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FB256" w14:textId="77777777" w:rsidR="000F7375" w:rsidRPr="00704FF8" w:rsidRDefault="000F7375" w:rsidP="00704FF8">
      <w:pPr>
        <w:pStyle w:val="OrdersTopLine"/>
      </w:pPr>
      <w:bookmarkStart w:id="0" w:name="_GoBack"/>
      <w:bookmarkEnd w:id="0"/>
      <w:r w:rsidRPr="00704FF8">
        <w:t>HIGH COURT OF AUSTRALIA</w:t>
      </w:r>
    </w:p>
    <w:p w14:paraId="321940B8" w14:textId="77777777" w:rsidR="000F7375" w:rsidRPr="00704FF8" w:rsidRDefault="000F7375" w:rsidP="00704FF8">
      <w:pPr>
        <w:pStyle w:val="OrderCentre"/>
      </w:pPr>
    </w:p>
    <w:p w14:paraId="0DD4B228" w14:textId="77777777" w:rsidR="000F7375" w:rsidRPr="00704FF8" w:rsidRDefault="000F7375" w:rsidP="00704FF8">
      <w:pPr>
        <w:pStyle w:val="OrderCentre"/>
      </w:pPr>
      <w:r w:rsidRPr="00704FF8">
        <w:t>KIEFEL CJ</w:t>
      </w:r>
      <w:r>
        <w:t>,</w:t>
      </w:r>
    </w:p>
    <w:p w14:paraId="33C35DCE" w14:textId="77777777" w:rsidR="000F7375" w:rsidRPr="00704FF8" w:rsidRDefault="000F7375" w:rsidP="00704FF8">
      <w:pPr>
        <w:pStyle w:val="OrderCentre"/>
      </w:pPr>
      <w:r w:rsidRPr="00704FF8">
        <w:t>GAGELER, EDELMAN</w:t>
      </w:r>
      <w:r>
        <w:t>, STEWARD</w:t>
      </w:r>
      <w:r w:rsidRPr="00704FF8">
        <w:t xml:space="preserve"> AND </w:t>
      </w:r>
      <w:r>
        <w:t>GLEESON</w:t>
      </w:r>
      <w:r w:rsidRPr="004C496B">
        <w:t xml:space="preserve"> </w:t>
      </w:r>
      <w:r w:rsidRPr="00704FF8">
        <w:t>JJ</w:t>
      </w:r>
    </w:p>
    <w:p w14:paraId="68F2874B" w14:textId="77777777" w:rsidR="000F7375" w:rsidRPr="00427F3A" w:rsidRDefault="000F7375" w:rsidP="00EE5374">
      <w:pPr>
        <w:pStyle w:val="Centre"/>
        <w:rPr>
          <w:lang w:val="en-AU"/>
        </w:rPr>
      </w:pPr>
    </w:p>
    <w:p w14:paraId="3B3D31D2" w14:textId="77777777" w:rsidR="000F7375" w:rsidRPr="00704FF8" w:rsidRDefault="000F7375" w:rsidP="00704FF8">
      <w:pPr>
        <w:pStyle w:val="OrdersCenteredBorder"/>
      </w:pPr>
    </w:p>
    <w:p w14:paraId="35AD1C82" w14:textId="77777777" w:rsidR="000F7375" w:rsidRDefault="000F7375" w:rsidP="00167725">
      <w:pPr>
        <w:pStyle w:val="OrdersBodyHeading"/>
      </w:pPr>
    </w:p>
    <w:p w14:paraId="4D2B6B30" w14:textId="77777777" w:rsidR="000F7375" w:rsidRDefault="000F7375" w:rsidP="00167725">
      <w:pPr>
        <w:pStyle w:val="OrdersPartyName"/>
        <w:ind w:right="-1"/>
        <w:rPr>
          <w:b/>
        </w:rPr>
      </w:pPr>
      <w:bookmarkStart w:id="1" w:name="_Hlk82681156"/>
      <w:r>
        <w:rPr>
          <w:b/>
        </w:rPr>
        <w:t xml:space="preserve">Matter No </w:t>
      </w:r>
      <w:r w:rsidRPr="00167725">
        <w:rPr>
          <w:b/>
        </w:rPr>
        <w:t>S</w:t>
      </w:r>
      <w:r>
        <w:rPr>
          <w:b/>
        </w:rPr>
        <w:t>22</w:t>
      </w:r>
      <w:r w:rsidRPr="00167725">
        <w:rPr>
          <w:b/>
        </w:rPr>
        <w:t>/2021</w:t>
      </w:r>
      <w:bookmarkEnd w:id="1"/>
    </w:p>
    <w:p w14:paraId="15BBE09D" w14:textId="77777777" w:rsidR="000F7375" w:rsidRDefault="000F7375" w:rsidP="00167725">
      <w:pPr>
        <w:pStyle w:val="OrdersPartyName"/>
        <w:ind w:right="-1"/>
      </w:pPr>
    </w:p>
    <w:p w14:paraId="63A4A825" w14:textId="77777777" w:rsidR="000F7375" w:rsidRPr="0032341F" w:rsidRDefault="000F7375" w:rsidP="009362E8">
      <w:pPr>
        <w:pStyle w:val="OrdersPartyName"/>
        <w:ind w:right="-1"/>
      </w:pPr>
      <w:r>
        <w:t>H. LUNDBECK A/S &amp; ANOR</w:t>
      </w:r>
      <w:r w:rsidRPr="0032341F">
        <w:tab/>
        <w:t>APPELLANT</w:t>
      </w:r>
      <w:r>
        <w:t>S</w:t>
      </w:r>
    </w:p>
    <w:p w14:paraId="3ED38DBA" w14:textId="77777777" w:rsidR="000F7375" w:rsidRPr="0032341F" w:rsidRDefault="000F7375" w:rsidP="009362E8">
      <w:pPr>
        <w:pStyle w:val="OrdersPartyName"/>
        <w:ind w:right="-1"/>
      </w:pPr>
    </w:p>
    <w:p w14:paraId="54F0DCD4" w14:textId="77777777" w:rsidR="000F7375" w:rsidRPr="0032341F" w:rsidRDefault="000F7375" w:rsidP="009362E8">
      <w:pPr>
        <w:pStyle w:val="OrdersPartyName"/>
        <w:ind w:right="-1"/>
      </w:pPr>
      <w:r w:rsidRPr="0032341F">
        <w:t>AND</w:t>
      </w:r>
    </w:p>
    <w:p w14:paraId="37549D10" w14:textId="77777777" w:rsidR="000F7375" w:rsidRPr="0032341F" w:rsidRDefault="000F7375" w:rsidP="009362E8">
      <w:pPr>
        <w:pStyle w:val="OrdersPartyName"/>
        <w:ind w:right="-1"/>
      </w:pPr>
    </w:p>
    <w:p w14:paraId="441A45CE" w14:textId="77777777" w:rsidR="000F7375" w:rsidRPr="0032341F" w:rsidRDefault="000F7375" w:rsidP="009362E8">
      <w:pPr>
        <w:pStyle w:val="OrdersPartyName"/>
        <w:ind w:right="-1"/>
      </w:pPr>
      <w:r>
        <w:t>SANDOZ PTY LTD</w:t>
      </w:r>
      <w:r w:rsidRPr="0032341F">
        <w:tab/>
        <w:t>RESPONDENT</w:t>
      </w:r>
    </w:p>
    <w:p w14:paraId="3EF4C541" w14:textId="77777777" w:rsidR="000F7375" w:rsidRDefault="000F7375" w:rsidP="00167725">
      <w:pPr>
        <w:pStyle w:val="OrdersBodyHeading"/>
      </w:pPr>
    </w:p>
    <w:p w14:paraId="4F402B26" w14:textId="77777777" w:rsidR="000F7375" w:rsidRDefault="000F7375" w:rsidP="00167725">
      <w:pPr>
        <w:pStyle w:val="OrdersPartyName"/>
        <w:ind w:right="-1"/>
        <w:rPr>
          <w:b/>
        </w:rPr>
      </w:pPr>
      <w:r>
        <w:rPr>
          <w:b/>
        </w:rPr>
        <w:t xml:space="preserve">Matter No </w:t>
      </w:r>
      <w:r w:rsidRPr="00167725">
        <w:rPr>
          <w:b/>
        </w:rPr>
        <w:t>S</w:t>
      </w:r>
      <w:r>
        <w:rPr>
          <w:b/>
        </w:rPr>
        <w:t>23</w:t>
      </w:r>
      <w:r w:rsidRPr="00167725">
        <w:rPr>
          <w:b/>
        </w:rPr>
        <w:t>/2021</w:t>
      </w:r>
    </w:p>
    <w:p w14:paraId="6BC43728" w14:textId="77777777" w:rsidR="000F7375" w:rsidRDefault="000F7375" w:rsidP="00167725">
      <w:pPr>
        <w:pStyle w:val="OrdersPartyName"/>
        <w:ind w:right="-1"/>
      </w:pPr>
    </w:p>
    <w:p w14:paraId="6184D804" w14:textId="77777777" w:rsidR="000F7375" w:rsidRPr="0032341F" w:rsidRDefault="000F7375" w:rsidP="00167725">
      <w:pPr>
        <w:pStyle w:val="OrdersPartyName"/>
        <w:ind w:right="-1"/>
      </w:pPr>
      <w:r>
        <w:t>CNS PHARMA PTY LTD</w:t>
      </w:r>
      <w:r w:rsidRPr="0032341F">
        <w:tab/>
        <w:t>APPELLANT</w:t>
      </w:r>
    </w:p>
    <w:p w14:paraId="405FED3E" w14:textId="77777777" w:rsidR="000F7375" w:rsidRPr="0032341F" w:rsidRDefault="000F7375" w:rsidP="00167725">
      <w:pPr>
        <w:pStyle w:val="OrdersPartyName"/>
        <w:ind w:right="-1"/>
      </w:pPr>
    </w:p>
    <w:p w14:paraId="3B1D2A8E" w14:textId="77777777" w:rsidR="000F7375" w:rsidRPr="0032341F" w:rsidRDefault="000F7375" w:rsidP="00167725">
      <w:pPr>
        <w:pStyle w:val="OrdersPartyName"/>
        <w:ind w:right="-1"/>
      </w:pPr>
      <w:r w:rsidRPr="0032341F">
        <w:t>AND</w:t>
      </w:r>
    </w:p>
    <w:p w14:paraId="68F66AEA" w14:textId="77777777" w:rsidR="000F7375" w:rsidRPr="0032341F" w:rsidRDefault="000F7375" w:rsidP="00167725">
      <w:pPr>
        <w:pStyle w:val="OrdersPartyName"/>
        <w:ind w:right="-1"/>
      </w:pPr>
    </w:p>
    <w:p w14:paraId="50709156" w14:textId="77777777" w:rsidR="000F7375" w:rsidRPr="0032341F" w:rsidRDefault="000F7375" w:rsidP="00167725">
      <w:pPr>
        <w:pStyle w:val="OrdersPartyName"/>
        <w:ind w:right="-1"/>
      </w:pPr>
      <w:r>
        <w:t>SANDOZ PTY LTD</w:t>
      </w:r>
      <w:r w:rsidRPr="0032341F">
        <w:tab/>
        <w:t>RESPONDENT</w:t>
      </w:r>
    </w:p>
    <w:p w14:paraId="09847387" w14:textId="77777777" w:rsidR="000F7375" w:rsidRPr="00427F3A" w:rsidRDefault="000F7375" w:rsidP="00AF0A5E">
      <w:pPr>
        <w:pStyle w:val="BodyHeading"/>
      </w:pPr>
    </w:p>
    <w:p w14:paraId="3950A902" w14:textId="77777777" w:rsidR="000F7375" w:rsidRPr="00427F3A" w:rsidRDefault="000F7375" w:rsidP="00BE0A6C">
      <w:pPr>
        <w:pStyle w:val="BodyHeading"/>
      </w:pPr>
    </w:p>
    <w:p w14:paraId="66707695" w14:textId="77777777" w:rsidR="000F7375" w:rsidRDefault="000F7375" w:rsidP="00EE5374">
      <w:pPr>
        <w:pStyle w:val="CentreItalics"/>
      </w:pPr>
      <w:r>
        <w:t>H. Lundbeck A/S v Sandoz Pty Ltd</w:t>
      </w:r>
    </w:p>
    <w:p w14:paraId="03822F90" w14:textId="77777777" w:rsidR="000F7375" w:rsidRPr="00427F3A" w:rsidRDefault="000F7375" w:rsidP="00EE5374">
      <w:pPr>
        <w:pStyle w:val="CentreItalics"/>
      </w:pPr>
      <w:r>
        <w:t>CNS Pharma Pty Ltd v Sandoz Pty Ltd</w:t>
      </w:r>
    </w:p>
    <w:p w14:paraId="34675D56" w14:textId="77777777" w:rsidR="000F7375" w:rsidRPr="00427F3A" w:rsidRDefault="000F7375" w:rsidP="00E90E4F">
      <w:pPr>
        <w:pStyle w:val="OrdersCentre"/>
      </w:pPr>
      <w:r>
        <w:t>[2022</w:t>
      </w:r>
      <w:r w:rsidRPr="00427F3A">
        <w:t xml:space="preserve">] HCA </w:t>
      </w:r>
      <w:r>
        <w:t>4</w:t>
      </w:r>
    </w:p>
    <w:p w14:paraId="7C7484A7" w14:textId="77777777" w:rsidR="000F7375" w:rsidRDefault="000F7375" w:rsidP="00E90E4F">
      <w:pPr>
        <w:pStyle w:val="OrdersCentreItalics"/>
      </w:pPr>
      <w:r>
        <w:t xml:space="preserve">Date of Hearing: </w:t>
      </w:r>
      <w:r w:rsidRPr="00167725">
        <w:t xml:space="preserve">8 </w:t>
      </w:r>
      <w:r>
        <w:t>October</w:t>
      </w:r>
      <w:r w:rsidRPr="00167725">
        <w:t xml:space="preserve"> 2021</w:t>
      </w:r>
    </w:p>
    <w:p w14:paraId="1D1207C3" w14:textId="77777777" w:rsidR="000F7375" w:rsidRPr="00427F3A" w:rsidRDefault="000F7375" w:rsidP="00E90E4F">
      <w:pPr>
        <w:pStyle w:val="OrdersCentreItalics"/>
      </w:pPr>
      <w:r>
        <w:t>Date of Judgment: 9 March 2022</w:t>
      </w:r>
    </w:p>
    <w:p w14:paraId="57C07883" w14:textId="77777777" w:rsidR="000F7375" w:rsidRDefault="000F7375" w:rsidP="00E90E4F">
      <w:pPr>
        <w:pStyle w:val="OrdersCentre"/>
      </w:pPr>
      <w:r w:rsidRPr="00167725">
        <w:t>S</w:t>
      </w:r>
      <w:r>
        <w:t>22</w:t>
      </w:r>
      <w:r w:rsidRPr="00167725">
        <w:t>/2021</w:t>
      </w:r>
      <w:r>
        <w:t xml:space="preserve"> &amp; </w:t>
      </w:r>
      <w:r w:rsidRPr="00167725">
        <w:t>S</w:t>
      </w:r>
      <w:r>
        <w:t>23</w:t>
      </w:r>
      <w:r w:rsidRPr="00167725">
        <w:t>/2021</w:t>
      </w:r>
    </w:p>
    <w:p w14:paraId="0DDC2E08" w14:textId="77777777" w:rsidR="000F7375" w:rsidRDefault="000F7375" w:rsidP="00E90E4F">
      <w:pPr>
        <w:pStyle w:val="OrdersCentre"/>
      </w:pPr>
    </w:p>
    <w:p w14:paraId="52DEA6B9" w14:textId="77777777" w:rsidR="000F7375" w:rsidRPr="00427F3A" w:rsidRDefault="000F7375" w:rsidP="00E90E4F">
      <w:pPr>
        <w:pStyle w:val="OrdersCentre"/>
      </w:pPr>
    </w:p>
    <w:p w14:paraId="42AEDB6D" w14:textId="77777777" w:rsidR="000F7375" w:rsidRPr="00BE0A6C" w:rsidRDefault="000F7375" w:rsidP="00E90E4F">
      <w:pPr>
        <w:pStyle w:val="OrderCentreBold"/>
      </w:pPr>
      <w:r w:rsidRPr="00BE0A6C">
        <w:t>ORDER</w:t>
      </w:r>
    </w:p>
    <w:p w14:paraId="4924C4BB" w14:textId="77777777" w:rsidR="000F7375" w:rsidRPr="00427F3A" w:rsidRDefault="000F7375" w:rsidP="00736C52">
      <w:pPr>
        <w:pStyle w:val="Centre"/>
        <w:rPr>
          <w:lang w:val="en-AU"/>
        </w:rPr>
      </w:pPr>
    </w:p>
    <w:p w14:paraId="229C1580" w14:textId="77777777" w:rsidR="000F7375" w:rsidRPr="0005751B" w:rsidRDefault="000F7375" w:rsidP="000734E5">
      <w:pPr>
        <w:pStyle w:val="OrdersText"/>
        <w:rPr>
          <w:b/>
          <w:i w:val="0"/>
        </w:rPr>
      </w:pPr>
      <w:r w:rsidRPr="0005751B">
        <w:rPr>
          <w:b/>
          <w:i w:val="0"/>
        </w:rPr>
        <w:t>In Matter No S22/2021</w:t>
      </w:r>
      <w:r>
        <w:rPr>
          <w:b/>
          <w:i w:val="0"/>
        </w:rPr>
        <w:t>:</w:t>
      </w:r>
    </w:p>
    <w:p w14:paraId="58F181A0" w14:textId="77777777" w:rsidR="000F7375" w:rsidRPr="00E7248A" w:rsidRDefault="000F7375" w:rsidP="000734E5">
      <w:pPr>
        <w:pStyle w:val="OrdersText"/>
      </w:pPr>
    </w:p>
    <w:p w14:paraId="4406C4D2" w14:textId="77777777" w:rsidR="000F7375" w:rsidRPr="005C110C" w:rsidRDefault="000F7375" w:rsidP="000734E5">
      <w:pPr>
        <w:pStyle w:val="OrdersText"/>
      </w:pPr>
      <w:r>
        <w:t>1.</w:t>
      </w:r>
      <w:r>
        <w:tab/>
      </w:r>
      <w:r w:rsidRPr="005C110C">
        <w:t xml:space="preserve">Appeal allowed with costs. </w:t>
      </w:r>
    </w:p>
    <w:p w14:paraId="52B98321" w14:textId="77777777" w:rsidR="000F7375" w:rsidRPr="005C110C" w:rsidRDefault="000F7375" w:rsidP="000734E5">
      <w:pPr>
        <w:pStyle w:val="OrdersText"/>
      </w:pPr>
    </w:p>
    <w:p w14:paraId="31E876D6" w14:textId="77777777" w:rsidR="000F7375" w:rsidRPr="005C110C" w:rsidRDefault="000F7375" w:rsidP="000734E5">
      <w:pPr>
        <w:pStyle w:val="OrdersText"/>
      </w:pPr>
      <w:r>
        <w:t>2.</w:t>
      </w:r>
      <w:r>
        <w:tab/>
      </w:r>
      <w:r w:rsidRPr="005C110C">
        <w:t>Set aside orders 1, 2 and 3 made on 4 August 2020 and orders 1 and 2 made on 30 March 2021 of the Full Court of the Federal Court of Australia and, in their place, order that:</w:t>
      </w:r>
    </w:p>
    <w:p w14:paraId="3E23AE28" w14:textId="35A0F145" w:rsidR="000F7375" w:rsidRDefault="000F7375">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i/>
          <w:lang w:eastAsia="en-US"/>
        </w:rPr>
      </w:pPr>
      <w:r>
        <w:br w:type="page"/>
      </w:r>
    </w:p>
    <w:p w14:paraId="7A54B7D5" w14:textId="1F1D696E" w:rsidR="000F7375" w:rsidRDefault="000F7375">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i/>
          <w:lang w:eastAsia="en-US"/>
        </w:rPr>
      </w:pPr>
      <w:r>
        <w:lastRenderedPageBreak/>
        <w:br w:type="page"/>
      </w:r>
    </w:p>
    <w:p w14:paraId="46626EF6" w14:textId="77777777" w:rsidR="000F7375" w:rsidRPr="005C110C" w:rsidRDefault="000F7375" w:rsidP="000734E5">
      <w:pPr>
        <w:pStyle w:val="OrdersText"/>
      </w:pPr>
    </w:p>
    <w:p w14:paraId="79DD1A21" w14:textId="77777777" w:rsidR="000F7375" w:rsidRPr="005C110C" w:rsidRDefault="000F7375" w:rsidP="004507CC">
      <w:pPr>
        <w:pStyle w:val="OrdersText"/>
        <w:ind w:left="1418"/>
      </w:pPr>
      <w:r>
        <w:t>(a)</w:t>
      </w:r>
      <w:r>
        <w:tab/>
        <w:t>t</w:t>
      </w:r>
      <w:r w:rsidRPr="005C110C">
        <w:t>he appeal and cross-appeal from the orders of the primary judge made on 19 February 2019 each be allowed in part;</w:t>
      </w:r>
    </w:p>
    <w:p w14:paraId="32406FE1" w14:textId="77777777" w:rsidR="000F7375" w:rsidRDefault="000F7375" w:rsidP="004507CC">
      <w:pPr>
        <w:pStyle w:val="OrdersText"/>
        <w:ind w:left="1418"/>
      </w:pPr>
    </w:p>
    <w:p w14:paraId="6D10E95F" w14:textId="77777777" w:rsidR="000F7375" w:rsidRPr="005C110C" w:rsidRDefault="000F7375" w:rsidP="004507CC">
      <w:pPr>
        <w:pStyle w:val="OrdersText"/>
        <w:ind w:left="1418"/>
      </w:pPr>
      <w:r>
        <w:t>(b)</w:t>
      </w:r>
      <w:r>
        <w:tab/>
        <w:t>d</w:t>
      </w:r>
      <w:r w:rsidRPr="005C110C">
        <w:t xml:space="preserve">eclare that the second respondent did not have rights to bring proceedings under s 79 of the </w:t>
      </w:r>
      <w:r w:rsidRPr="00014F90">
        <w:rPr>
          <w:i w:val="0"/>
          <w:iCs/>
        </w:rPr>
        <w:t>Patents Act 1990</w:t>
      </w:r>
      <w:r w:rsidRPr="005C110C">
        <w:t xml:space="preserve"> (Cth);</w:t>
      </w:r>
    </w:p>
    <w:p w14:paraId="3CD5CB29" w14:textId="77777777" w:rsidR="000F7375" w:rsidRPr="005C110C" w:rsidRDefault="000F7375" w:rsidP="004507CC">
      <w:pPr>
        <w:pStyle w:val="OrdersText"/>
        <w:ind w:left="1418"/>
      </w:pPr>
    </w:p>
    <w:p w14:paraId="70DFC23A" w14:textId="77777777" w:rsidR="000F7375" w:rsidRDefault="000F7375" w:rsidP="004507CC">
      <w:pPr>
        <w:pStyle w:val="OrdersText"/>
        <w:ind w:left="1418"/>
      </w:pPr>
      <w:r>
        <w:t>(c)</w:t>
      </w:r>
      <w:r>
        <w:tab/>
        <w:t>o</w:t>
      </w:r>
      <w:r w:rsidRPr="005C110C">
        <w:t xml:space="preserve">rders 2 and </w:t>
      </w:r>
      <w:r>
        <w:t>3</w:t>
      </w:r>
      <w:r w:rsidRPr="005C110C">
        <w:t xml:space="preserve"> made by the primary judge on 19 February 2019 be set aside</w:t>
      </w:r>
      <w:r>
        <w:t>;</w:t>
      </w:r>
      <w:r w:rsidRPr="005C110C">
        <w:t xml:space="preserve">  </w:t>
      </w:r>
    </w:p>
    <w:p w14:paraId="532B1F35" w14:textId="77777777" w:rsidR="000F7375" w:rsidRDefault="000F7375" w:rsidP="004507CC">
      <w:pPr>
        <w:pStyle w:val="OrdersText"/>
        <w:ind w:left="1418"/>
      </w:pPr>
    </w:p>
    <w:p w14:paraId="38592313" w14:textId="77777777" w:rsidR="000F7375" w:rsidRPr="00B61103" w:rsidRDefault="000F7375" w:rsidP="004507CC">
      <w:pPr>
        <w:pStyle w:val="OrdersText"/>
        <w:ind w:left="1418"/>
      </w:pPr>
      <w:r>
        <w:t>(d)</w:t>
      </w:r>
      <w:r>
        <w:tab/>
        <w:t>d</w:t>
      </w:r>
      <w:r w:rsidRPr="00B61103">
        <w:t>eclare that the first respondent is entitled to damages and pre-judgment interest calculated thereon</w:t>
      </w:r>
      <w:r>
        <w:t>;</w:t>
      </w:r>
      <w:r w:rsidRPr="00B61103">
        <w:t xml:space="preserve"> </w:t>
      </w:r>
    </w:p>
    <w:p w14:paraId="4EA35C2E" w14:textId="77777777" w:rsidR="000F7375" w:rsidRPr="005C110C" w:rsidRDefault="000F7375" w:rsidP="004507CC">
      <w:pPr>
        <w:pStyle w:val="OrdersText"/>
        <w:ind w:left="1418"/>
      </w:pPr>
    </w:p>
    <w:p w14:paraId="6C14271A" w14:textId="77777777" w:rsidR="000F7375" w:rsidRPr="005C110C" w:rsidRDefault="000F7375" w:rsidP="004507CC">
      <w:pPr>
        <w:pStyle w:val="OrdersText"/>
        <w:ind w:left="1418"/>
      </w:pPr>
      <w:r>
        <w:t>(e)</w:t>
      </w:r>
      <w:r>
        <w:tab/>
        <w:t>t</w:t>
      </w:r>
      <w:r w:rsidRPr="005C110C">
        <w:t xml:space="preserve">he matter be remitted to the primary judge for the recalculation of damages and pre-judgment interest payable to the first respondent; </w:t>
      </w:r>
    </w:p>
    <w:p w14:paraId="5C2CFAD8" w14:textId="77777777" w:rsidR="000F7375" w:rsidRPr="005C110C" w:rsidRDefault="000F7375" w:rsidP="004507CC">
      <w:pPr>
        <w:pStyle w:val="OrdersText"/>
        <w:ind w:left="1418"/>
      </w:pPr>
    </w:p>
    <w:p w14:paraId="44A0079C" w14:textId="77777777" w:rsidR="000F7375" w:rsidRPr="005C110C" w:rsidRDefault="000F7375" w:rsidP="004507CC">
      <w:pPr>
        <w:pStyle w:val="OrdersText"/>
        <w:ind w:left="1418"/>
      </w:pPr>
      <w:r>
        <w:t>(f)</w:t>
      </w:r>
      <w:r>
        <w:tab/>
        <w:t>t</w:t>
      </w:r>
      <w:r w:rsidRPr="005C110C">
        <w:t xml:space="preserve">he parties be given liberty to apply to the primary judge for a stay of the remitted proceedings pending the determination of the proceedings relating to the licence granted to the </w:t>
      </w:r>
      <w:r>
        <w:t>appellant</w:t>
      </w:r>
      <w:r w:rsidRPr="005C110C">
        <w:t xml:space="preserve"> by the Commissioner of Patents on 11 April 2019 under s 223(9) of the </w:t>
      </w:r>
      <w:r w:rsidRPr="00014F90">
        <w:rPr>
          <w:i w:val="0"/>
          <w:iCs/>
        </w:rPr>
        <w:t>Patents Act 1990</w:t>
      </w:r>
      <w:r w:rsidRPr="005C110C">
        <w:t xml:space="preserve"> (Cth); </w:t>
      </w:r>
    </w:p>
    <w:p w14:paraId="4A50CF07" w14:textId="77777777" w:rsidR="000F7375" w:rsidRPr="005C110C" w:rsidRDefault="000F7375" w:rsidP="004507CC">
      <w:pPr>
        <w:pStyle w:val="OrdersText"/>
        <w:ind w:left="1418"/>
      </w:pPr>
    </w:p>
    <w:p w14:paraId="192313D7" w14:textId="77777777" w:rsidR="000F7375" w:rsidRPr="005C110C" w:rsidRDefault="000F7375" w:rsidP="004507CC">
      <w:pPr>
        <w:pStyle w:val="OrdersText"/>
        <w:ind w:left="1418"/>
      </w:pPr>
      <w:r>
        <w:t>(g)</w:t>
      </w:r>
      <w:r>
        <w:tab/>
        <w:t>t</w:t>
      </w:r>
      <w:r w:rsidRPr="005C110C">
        <w:t>he appellant pay the respondents</w:t>
      </w:r>
      <w:r>
        <w:t>'</w:t>
      </w:r>
      <w:r w:rsidRPr="005C110C">
        <w:t xml:space="preserve"> costs to date in </w:t>
      </w:r>
      <w:r>
        <w:t xml:space="preserve">the </w:t>
      </w:r>
      <w:r w:rsidRPr="005C110C">
        <w:t>proceeding</w:t>
      </w:r>
      <w:r>
        <w:t>s</w:t>
      </w:r>
      <w:r w:rsidRPr="005C110C">
        <w:t xml:space="preserve"> </w:t>
      </w:r>
      <w:r>
        <w:t>before the primary judge</w:t>
      </w:r>
      <w:r w:rsidRPr="005C110C">
        <w:t>, and costs of the appeal and cross-appeal to the Full Court of the Federal Court of Australia; and</w:t>
      </w:r>
    </w:p>
    <w:p w14:paraId="71BCDFD7" w14:textId="77777777" w:rsidR="000F7375" w:rsidRPr="005C110C" w:rsidRDefault="000F7375" w:rsidP="004507CC">
      <w:pPr>
        <w:pStyle w:val="OrdersText"/>
        <w:ind w:left="1418"/>
      </w:pPr>
    </w:p>
    <w:p w14:paraId="75E438E8" w14:textId="77777777" w:rsidR="000F7375" w:rsidRPr="005C110C" w:rsidRDefault="000F7375" w:rsidP="004507CC">
      <w:pPr>
        <w:pStyle w:val="OrdersText"/>
        <w:ind w:left="1418"/>
      </w:pPr>
      <w:r>
        <w:t>(h)</w:t>
      </w:r>
      <w:r>
        <w:tab/>
        <w:t>t</w:t>
      </w:r>
      <w:r w:rsidRPr="005C110C">
        <w:t>he appeal and cross-appeal be otherwise dismissed.</w:t>
      </w:r>
    </w:p>
    <w:p w14:paraId="4F681B95" w14:textId="77777777" w:rsidR="000F7375" w:rsidRDefault="000F7375" w:rsidP="000734E5">
      <w:pPr>
        <w:pStyle w:val="OrdersText"/>
      </w:pPr>
    </w:p>
    <w:p w14:paraId="67F71458" w14:textId="77777777" w:rsidR="000F7375" w:rsidRPr="00E7248A" w:rsidRDefault="000F7375" w:rsidP="000734E5">
      <w:pPr>
        <w:pStyle w:val="OrdersText"/>
      </w:pPr>
    </w:p>
    <w:p w14:paraId="0CD45F6B" w14:textId="77777777" w:rsidR="000F7375" w:rsidRPr="00014F90" w:rsidRDefault="000F7375" w:rsidP="000734E5">
      <w:pPr>
        <w:pStyle w:val="OrdersText"/>
        <w:rPr>
          <w:b/>
          <w:i w:val="0"/>
        </w:rPr>
      </w:pPr>
      <w:r w:rsidRPr="00014F90">
        <w:rPr>
          <w:b/>
          <w:i w:val="0"/>
        </w:rPr>
        <w:t>In Matter No S23/2021:</w:t>
      </w:r>
    </w:p>
    <w:p w14:paraId="4A5D517B" w14:textId="77777777" w:rsidR="000F7375" w:rsidRPr="00E7248A" w:rsidRDefault="000F7375" w:rsidP="000734E5">
      <w:pPr>
        <w:pStyle w:val="OrdersText"/>
      </w:pPr>
    </w:p>
    <w:p w14:paraId="790BABB4" w14:textId="77777777" w:rsidR="000F7375" w:rsidRPr="00E7248A" w:rsidRDefault="000F7375" w:rsidP="000734E5">
      <w:pPr>
        <w:pStyle w:val="OrdersText"/>
      </w:pPr>
      <w:r w:rsidRPr="00E7248A">
        <w:t>Appeal dismissed with costs.</w:t>
      </w:r>
    </w:p>
    <w:p w14:paraId="4FC7184B" w14:textId="77777777" w:rsidR="000F7375" w:rsidRDefault="000F7375" w:rsidP="00EE5374">
      <w:pPr>
        <w:pStyle w:val="Body"/>
      </w:pPr>
    </w:p>
    <w:p w14:paraId="23FBD17C" w14:textId="77777777" w:rsidR="000F7375" w:rsidRPr="00427F3A" w:rsidRDefault="000F7375" w:rsidP="00EE5374">
      <w:pPr>
        <w:pStyle w:val="Body"/>
      </w:pPr>
    </w:p>
    <w:p w14:paraId="0EA04C87" w14:textId="77777777" w:rsidR="000F7375" w:rsidRPr="00427F3A" w:rsidRDefault="000F7375" w:rsidP="0032341F">
      <w:pPr>
        <w:pStyle w:val="OrdersBody"/>
      </w:pPr>
      <w:r w:rsidRPr="00427F3A">
        <w:t xml:space="preserve">On appeal from the </w:t>
      </w:r>
      <w:r w:rsidRPr="00B817B2">
        <w:t>Federal Court of Australia</w:t>
      </w:r>
    </w:p>
    <w:p w14:paraId="36A49FA6" w14:textId="77777777" w:rsidR="000F7375" w:rsidRDefault="000F7375" w:rsidP="00EE5374">
      <w:pPr>
        <w:pStyle w:val="Body"/>
      </w:pPr>
    </w:p>
    <w:p w14:paraId="648D7D84" w14:textId="77777777" w:rsidR="000F7375" w:rsidRPr="00427F3A" w:rsidRDefault="000F7375" w:rsidP="00EE5374">
      <w:pPr>
        <w:pStyle w:val="Body"/>
      </w:pPr>
    </w:p>
    <w:p w14:paraId="23152578" w14:textId="77777777" w:rsidR="000F7375" w:rsidRPr="00C07BBB" w:rsidRDefault="000F7375" w:rsidP="00E90E4F">
      <w:pPr>
        <w:pStyle w:val="OrdersBodyHeading"/>
      </w:pPr>
      <w:r w:rsidRPr="00C07BBB">
        <w:t>Representation</w:t>
      </w:r>
    </w:p>
    <w:p w14:paraId="7D4B3160" w14:textId="77777777" w:rsidR="000F7375" w:rsidRPr="00C07BBB" w:rsidRDefault="000F7375" w:rsidP="00EE5374">
      <w:pPr>
        <w:pStyle w:val="Body"/>
      </w:pPr>
    </w:p>
    <w:p w14:paraId="48B22656" w14:textId="77777777" w:rsidR="000F7375" w:rsidRDefault="000F7375" w:rsidP="00E90E4F">
      <w:pPr>
        <w:pStyle w:val="OrdersBody"/>
      </w:pPr>
      <w:r w:rsidRPr="004248AD">
        <w:t xml:space="preserve">A J L Bannon SC with L Merrick and C I Cunliffe for the appellants in each </w:t>
      </w:r>
      <w:r>
        <w:t>matter</w:t>
      </w:r>
      <w:r w:rsidRPr="004248AD">
        <w:t xml:space="preserve"> (instructed by </w:t>
      </w:r>
      <w:r w:rsidRPr="007B120F">
        <w:t>Corrs Chambers Westgarth)</w:t>
      </w:r>
    </w:p>
    <w:p w14:paraId="757591D2" w14:textId="2DEEE5A6" w:rsidR="000F7375" w:rsidRDefault="000F7375">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lang w:val="en-GB"/>
        </w:rPr>
      </w:pPr>
      <w:r>
        <w:br w:type="page"/>
      </w:r>
    </w:p>
    <w:p w14:paraId="40ECDDBB" w14:textId="0E060A02" w:rsidR="000F7375" w:rsidRDefault="000F7375">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lang w:val="en-GB"/>
        </w:rPr>
      </w:pPr>
      <w:r>
        <w:lastRenderedPageBreak/>
        <w:br w:type="page"/>
      </w:r>
    </w:p>
    <w:p w14:paraId="18BAB337" w14:textId="77777777" w:rsidR="000F7375" w:rsidRDefault="000F7375" w:rsidP="00E90E4F">
      <w:pPr>
        <w:pStyle w:val="OrdersBody"/>
      </w:pPr>
    </w:p>
    <w:p w14:paraId="3A682AA9" w14:textId="77777777" w:rsidR="000F7375" w:rsidRPr="00C07BBB" w:rsidRDefault="000F7375" w:rsidP="00E90E4F">
      <w:pPr>
        <w:pStyle w:val="OrdersBody"/>
      </w:pPr>
      <w:r w:rsidRPr="004248AD">
        <w:t xml:space="preserve">C Dimitriadis SC </w:t>
      </w:r>
      <w:r>
        <w:t>and</w:t>
      </w:r>
      <w:r w:rsidRPr="004248AD">
        <w:t xml:space="preserve"> A R Lang SC for the respondent in each </w:t>
      </w:r>
      <w:r>
        <w:t>matter</w:t>
      </w:r>
      <w:r w:rsidRPr="004248AD">
        <w:t xml:space="preserve"> (instructed by </w:t>
      </w:r>
      <w:r w:rsidRPr="007B120F">
        <w:t>Clayton Utz)</w:t>
      </w:r>
    </w:p>
    <w:p w14:paraId="49397B86" w14:textId="77777777" w:rsidR="000F7375" w:rsidRDefault="000F7375" w:rsidP="00EE5374">
      <w:pPr>
        <w:pStyle w:val="Body"/>
      </w:pPr>
    </w:p>
    <w:p w14:paraId="3D448D42" w14:textId="77777777" w:rsidR="000F7375" w:rsidRDefault="000F7375" w:rsidP="00EE5374">
      <w:pPr>
        <w:pStyle w:val="Body"/>
      </w:pPr>
    </w:p>
    <w:p w14:paraId="09EC050E" w14:textId="77777777" w:rsidR="000F7375" w:rsidRDefault="000F7375" w:rsidP="00EE5374">
      <w:pPr>
        <w:pStyle w:val="Body"/>
      </w:pPr>
    </w:p>
    <w:p w14:paraId="3E8AA907" w14:textId="77777777" w:rsidR="000F7375" w:rsidRDefault="000F7375" w:rsidP="00EE5374">
      <w:pPr>
        <w:pStyle w:val="Body"/>
      </w:pPr>
    </w:p>
    <w:p w14:paraId="68833B32" w14:textId="77777777" w:rsidR="000F7375" w:rsidRDefault="000F7375" w:rsidP="00EE5374">
      <w:pPr>
        <w:pStyle w:val="Body"/>
      </w:pPr>
    </w:p>
    <w:p w14:paraId="0D82DC36" w14:textId="77777777" w:rsidR="000F7375" w:rsidRDefault="000F7375" w:rsidP="00EE5374">
      <w:pPr>
        <w:pStyle w:val="Body"/>
      </w:pPr>
    </w:p>
    <w:p w14:paraId="7046BE6F" w14:textId="77777777" w:rsidR="000F7375" w:rsidRDefault="000F7375" w:rsidP="00EE5374">
      <w:pPr>
        <w:pStyle w:val="Body"/>
      </w:pPr>
    </w:p>
    <w:p w14:paraId="650498B7" w14:textId="77777777" w:rsidR="000F7375" w:rsidRDefault="000F7375" w:rsidP="00EE5374">
      <w:pPr>
        <w:pStyle w:val="Body"/>
      </w:pPr>
    </w:p>
    <w:p w14:paraId="7C639000" w14:textId="77777777" w:rsidR="000F7375" w:rsidRDefault="000F7375" w:rsidP="00EE5374">
      <w:pPr>
        <w:pStyle w:val="Body"/>
      </w:pPr>
    </w:p>
    <w:p w14:paraId="129842F1" w14:textId="77777777" w:rsidR="000F7375" w:rsidRDefault="000F7375" w:rsidP="00EE5374">
      <w:pPr>
        <w:pStyle w:val="Body"/>
      </w:pPr>
    </w:p>
    <w:p w14:paraId="764CE39A" w14:textId="77777777" w:rsidR="000F7375" w:rsidRDefault="000F7375" w:rsidP="00EE5374">
      <w:pPr>
        <w:pStyle w:val="Body"/>
      </w:pPr>
    </w:p>
    <w:p w14:paraId="7EC472CB" w14:textId="77777777" w:rsidR="000F7375" w:rsidRDefault="000F7375" w:rsidP="00EE5374">
      <w:pPr>
        <w:pStyle w:val="Body"/>
      </w:pPr>
    </w:p>
    <w:p w14:paraId="5174CCA8" w14:textId="77777777" w:rsidR="000F7375" w:rsidRDefault="000F7375" w:rsidP="00EE5374">
      <w:pPr>
        <w:pStyle w:val="Body"/>
      </w:pPr>
    </w:p>
    <w:p w14:paraId="08DC2D10" w14:textId="77777777" w:rsidR="000F7375" w:rsidRDefault="000F7375" w:rsidP="00EE5374">
      <w:pPr>
        <w:pStyle w:val="Body"/>
      </w:pPr>
    </w:p>
    <w:p w14:paraId="01B98519" w14:textId="77777777" w:rsidR="000F7375" w:rsidRDefault="000F7375" w:rsidP="00EE5374">
      <w:pPr>
        <w:pStyle w:val="Body"/>
      </w:pPr>
    </w:p>
    <w:p w14:paraId="4533D218" w14:textId="77777777" w:rsidR="000F7375" w:rsidRDefault="000F7375" w:rsidP="00EE5374">
      <w:pPr>
        <w:pStyle w:val="Body"/>
      </w:pPr>
    </w:p>
    <w:p w14:paraId="700FBD88" w14:textId="77777777" w:rsidR="000F7375" w:rsidRDefault="000F7375" w:rsidP="00EE5374">
      <w:pPr>
        <w:pStyle w:val="Body"/>
      </w:pPr>
    </w:p>
    <w:p w14:paraId="26E700F2" w14:textId="77777777" w:rsidR="000F7375" w:rsidRDefault="000F7375" w:rsidP="00EE5374">
      <w:pPr>
        <w:pStyle w:val="Body"/>
      </w:pPr>
    </w:p>
    <w:p w14:paraId="071C052E" w14:textId="77777777" w:rsidR="000F7375" w:rsidRDefault="000F7375" w:rsidP="00EE5374">
      <w:pPr>
        <w:pStyle w:val="Body"/>
      </w:pPr>
    </w:p>
    <w:p w14:paraId="58FF7134" w14:textId="77777777" w:rsidR="000F7375" w:rsidRDefault="000F7375" w:rsidP="00EE5374">
      <w:pPr>
        <w:pStyle w:val="Body"/>
      </w:pPr>
    </w:p>
    <w:p w14:paraId="5AA6BA45" w14:textId="77777777" w:rsidR="000F7375" w:rsidRDefault="000F7375" w:rsidP="00EE5374">
      <w:pPr>
        <w:pStyle w:val="Body"/>
      </w:pPr>
    </w:p>
    <w:p w14:paraId="4944D5DD" w14:textId="77777777" w:rsidR="000F7375" w:rsidRDefault="000F7375" w:rsidP="00EE5374">
      <w:pPr>
        <w:pStyle w:val="Body"/>
      </w:pPr>
    </w:p>
    <w:p w14:paraId="70CD4F3B" w14:textId="77777777" w:rsidR="000F7375" w:rsidRDefault="000F7375" w:rsidP="00EE5374">
      <w:pPr>
        <w:pStyle w:val="Body"/>
      </w:pPr>
    </w:p>
    <w:p w14:paraId="0F65835F" w14:textId="77777777" w:rsidR="000F7375" w:rsidRDefault="000F7375" w:rsidP="00EE5374">
      <w:pPr>
        <w:pStyle w:val="Body"/>
      </w:pPr>
    </w:p>
    <w:p w14:paraId="446D8D95" w14:textId="77777777" w:rsidR="000F7375" w:rsidRDefault="000F7375" w:rsidP="00EE5374">
      <w:pPr>
        <w:pStyle w:val="Body"/>
      </w:pPr>
    </w:p>
    <w:p w14:paraId="39DD5E34" w14:textId="77777777" w:rsidR="000F7375" w:rsidRDefault="000F7375" w:rsidP="00EE5374">
      <w:pPr>
        <w:pStyle w:val="Body"/>
      </w:pPr>
    </w:p>
    <w:p w14:paraId="7C73B8E5" w14:textId="77777777" w:rsidR="000F7375" w:rsidRDefault="000F7375" w:rsidP="00EE5374">
      <w:pPr>
        <w:pStyle w:val="Body"/>
      </w:pPr>
    </w:p>
    <w:p w14:paraId="7E891862" w14:textId="77777777" w:rsidR="000F7375" w:rsidRDefault="000F7375" w:rsidP="00EE5374">
      <w:pPr>
        <w:pStyle w:val="Body"/>
      </w:pPr>
    </w:p>
    <w:p w14:paraId="6C7956B8" w14:textId="77777777" w:rsidR="000F7375" w:rsidRDefault="000F7375" w:rsidP="00EE5374">
      <w:pPr>
        <w:pStyle w:val="Body"/>
      </w:pPr>
    </w:p>
    <w:p w14:paraId="0600B913" w14:textId="77777777" w:rsidR="000F7375" w:rsidRDefault="000F7375" w:rsidP="00EE5374">
      <w:pPr>
        <w:pStyle w:val="Body"/>
      </w:pPr>
    </w:p>
    <w:p w14:paraId="64C8B47D" w14:textId="77777777" w:rsidR="000F7375" w:rsidRDefault="000F7375" w:rsidP="00EE5374">
      <w:pPr>
        <w:pStyle w:val="Body"/>
      </w:pPr>
    </w:p>
    <w:p w14:paraId="02C10E29" w14:textId="77777777" w:rsidR="000F7375" w:rsidRDefault="000F7375" w:rsidP="00EE5374">
      <w:pPr>
        <w:pStyle w:val="Body"/>
      </w:pPr>
    </w:p>
    <w:p w14:paraId="4348D9D7" w14:textId="77777777" w:rsidR="000F7375" w:rsidRDefault="000F7375" w:rsidP="00EE5374">
      <w:pPr>
        <w:pStyle w:val="Body"/>
      </w:pPr>
    </w:p>
    <w:p w14:paraId="5CD9E79F" w14:textId="77777777" w:rsidR="000F7375" w:rsidRDefault="000F7375" w:rsidP="00EE5374">
      <w:pPr>
        <w:pStyle w:val="Body"/>
      </w:pPr>
    </w:p>
    <w:p w14:paraId="2E97996D" w14:textId="77777777" w:rsidR="000F7375" w:rsidRDefault="000F7375" w:rsidP="00EE5374">
      <w:pPr>
        <w:pStyle w:val="Body"/>
      </w:pPr>
    </w:p>
    <w:p w14:paraId="08E5BC33" w14:textId="77777777" w:rsidR="000F7375" w:rsidRDefault="000F7375" w:rsidP="00EE5374">
      <w:pPr>
        <w:pStyle w:val="Body"/>
      </w:pPr>
    </w:p>
    <w:p w14:paraId="70719C95" w14:textId="77777777" w:rsidR="000F7375" w:rsidRPr="00427F3A" w:rsidRDefault="000F7375" w:rsidP="00EE5374">
      <w:pPr>
        <w:pStyle w:val="Body"/>
      </w:pPr>
    </w:p>
    <w:p w14:paraId="5190F8D6" w14:textId="77777777" w:rsidR="000F7375" w:rsidRPr="00427F3A" w:rsidRDefault="000F7375" w:rsidP="00F9713B">
      <w:pPr>
        <w:pStyle w:val="Notice"/>
        <w:rPr>
          <w:lang w:val="en-AU"/>
        </w:rPr>
      </w:pPr>
      <w:r w:rsidRPr="00427F3A">
        <w:rPr>
          <w:lang w:val="en-AU"/>
        </w:rPr>
        <w:t>Notice:  This copy of the Court's Reasons for Judgment is subject to formal revision prior to publication in the Commonwealth Law Reports.</w:t>
      </w:r>
    </w:p>
    <w:p w14:paraId="2102D1E2" w14:textId="6306EE36" w:rsidR="000F7375" w:rsidRDefault="000F7375">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64874FB5" w14:textId="77777777" w:rsidR="000F7375" w:rsidRDefault="000F7375">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0F7375" w:rsidSect="000F7375">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6EF0C854" w14:textId="77777777" w:rsidR="000F7375" w:rsidRDefault="000F7375" w:rsidP="000F7375">
      <w:pPr>
        <w:pStyle w:val="CatchwordsBold"/>
      </w:pPr>
      <w:r w:rsidRPr="00B9489E">
        <w:lastRenderedPageBreak/>
        <w:t>CATCHWORDS</w:t>
      </w:r>
    </w:p>
    <w:p w14:paraId="264241DE" w14:textId="77777777" w:rsidR="000F7375" w:rsidRPr="00B9489E" w:rsidRDefault="000F7375" w:rsidP="000F7375">
      <w:pPr>
        <w:pStyle w:val="CatchwordsBold"/>
      </w:pPr>
    </w:p>
    <w:p w14:paraId="56E5A528" w14:textId="77777777" w:rsidR="000F7375" w:rsidRDefault="000F7375" w:rsidP="000F7375">
      <w:pPr>
        <w:pStyle w:val="CatchwordsBold"/>
      </w:pPr>
      <w:r>
        <w:t>H. Lundbeck A/S v Sandoz Pty Ltd</w:t>
      </w:r>
    </w:p>
    <w:p w14:paraId="42FDE29F" w14:textId="77777777" w:rsidR="000F7375" w:rsidRPr="00B9489E" w:rsidRDefault="000F7375" w:rsidP="000F7375">
      <w:pPr>
        <w:pStyle w:val="CatchwordsBold"/>
      </w:pPr>
      <w:r>
        <w:t xml:space="preserve">CNS Pharma Pty Ltd v Sandoz Pty Ltd </w:t>
      </w:r>
    </w:p>
    <w:p w14:paraId="20EBC79A" w14:textId="77777777" w:rsidR="000F7375" w:rsidRPr="00B9489E" w:rsidRDefault="000F7375" w:rsidP="000F7375">
      <w:pPr>
        <w:pStyle w:val="CatchwordsBold"/>
      </w:pPr>
    </w:p>
    <w:p w14:paraId="1055309F" w14:textId="77777777" w:rsidR="000F7375" w:rsidRDefault="000F7375" w:rsidP="000F7375">
      <w:pPr>
        <w:pStyle w:val="CatchwordsText"/>
      </w:pPr>
      <w:r>
        <w:t>Contract – Construction – Where clause in settlement agreement entered into between appellants and respondent prior to expiry of original term of patent granted respondent non-exclusive licence to exploit patent – Where clause in settlement agreement did not specify end date of non-exclusive licence – Whether non-exclusive licence applied to acts during extended term of patent.</w:t>
      </w:r>
    </w:p>
    <w:p w14:paraId="2F36F6CA" w14:textId="77777777" w:rsidR="000F7375" w:rsidRPr="00F53067" w:rsidRDefault="000F7375" w:rsidP="000F7375">
      <w:pPr>
        <w:pStyle w:val="CatchwordsText"/>
      </w:pPr>
    </w:p>
    <w:p w14:paraId="6AA6719B" w14:textId="77777777" w:rsidR="000F7375" w:rsidRDefault="000F7375" w:rsidP="000F7375">
      <w:pPr>
        <w:pStyle w:val="CatchwordsText"/>
      </w:pPr>
      <w:r>
        <w:t xml:space="preserve">Patents – Infringement </w:t>
      </w:r>
      <w:r w:rsidRPr="00B9489E">
        <w:t>–</w:t>
      </w:r>
      <w:r>
        <w:t xml:space="preserve"> Where term of patent extended under </w:t>
      </w:r>
      <w:r>
        <w:rPr>
          <w:i/>
        </w:rPr>
        <w:t xml:space="preserve">Patents Act 1990 </w:t>
      </w:r>
      <w:r>
        <w:t xml:space="preserve">(Cth) ("Act") – Where patentee and exclusive licensee brought infringement proceedings for acts done during extended term of patent – Whether exclusive licensee had rights to bring infringement proceedings under s 79 of Act for acts done during extended term of patent – Whether respondent engaged in misleading or deceptive conduct by not disclosing to customers possibility that term of patent might be extended – Construction and effect of s 79 of </w:t>
      </w:r>
      <w:r w:rsidRPr="007E38AF">
        <w:t>Act</w:t>
      </w:r>
      <w:r>
        <w:t xml:space="preserve"> – When patentee's cause of action accrued under s 79 of Act for the purposes of s 51A(1)(a) of </w:t>
      </w:r>
      <w:r>
        <w:rPr>
          <w:i/>
        </w:rPr>
        <w:t xml:space="preserve">Federal Court of Australia Act 1976 </w:t>
      </w:r>
      <w:r>
        <w:t>(Cth).</w:t>
      </w:r>
    </w:p>
    <w:p w14:paraId="0E61396D" w14:textId="77777777" w:rsidR="000F7375" w:rsidRDefault="000F7375" w:rsidP="000F7375">
      <w:pPr>
        <w:pStyle w:val="CatchwordsText"/>
      </w:pPr>
    </w:p>
    <w:p w14:paraId="42E4D693" w14:textId="77777777" w:rsidR="000F7375" w:rsidRDefault="000F7375" w:rsidP="000F7375">
      <w:pPr>
        <w:pStyle w:val="CatchwordsText"/>
      </w:pPr>
      <w:r w:rsidRPr="00B9489E">
        <w:t>Words and phrases –</w:t>
      </w:r>
      <w:r>
        <w:t xml:space="preserve"> "acts of infringement", "cause of action accrued", "commercial benefit", "exclusive licensee", "extension", "extension of the term of the patent", "grant of an extension", "infringement proceedings", "irrevocable non-exclusive licence", "misleading or deceptive conduct", "patent", "patentee's rights", "pharmaceutical substance", "term of the patent".</w:t>
      </w:r>
    </w:p>
    <w:p w14:paraId="6008A648" w14:textId="77777777" w:rsidR="000F7375" w:rsidRPr="00B9489E" w:rsidRDefault="000F7375" w:rsidP="000F7375">
      <w:pPr>
        <w:pStyle w:val="CatchwordsText"/>
      </w:pPr>
    </w:p>
    <w:p w14:paraId="46E0130A" w14:textId="77777777" w:rsidR="000F7375" w:rsidRDefault="000F7375" w:rsidP="000F7375">
      <w:pPr>
        <w:pStyle w:val="CatchwordsText"/>
      </w:pPr>
      <w:r>
        <w:rPr>
          <w:i/>
        </w:rPr>
        <w:t xml:space="preserve">Federal Court of Australia Act 1976 </w:t>
      </w:r>
      <w:r>
        <w:t>(Cth), s 51A(1)(a).</w:t>
      </w:r>
    </w:p>
    <w:p w14:paraId="1D473C47" w14:textId="77777777" w:rsidR="000F7375" w:rsidRPr="00EC23B3" w:rsidRDefault="000F7375" w:rsidP="000F7375">
      <w:pPr>
        <w:pStyle w:val="CatchwordsText"/>
        <w:rPr>
          <w:b/>
        </w:rPr>
      </w:pPr>
      <w:r>
        <w:rPr>
          <w:i/>
        </w:rPr>
        <w:t xml:space="preserve">Patents Act 1990 </w:t>
      </w:r>
      <w:r>
        <w:t>(Cth), s 79.</w:t>
      </w:r>
    </w:p>
    <w:p w14:paraId="1BED697B" w14:textId="1A5907A7" w:rsidR="000F7375" w:rsidRDefault="000F7375" w:rsidP="000F7375">
      <w:pPr>
        <w:pStyle w:val="CatchwordsText"/>
      </w:pPr>
    </w:p>
    <w:p w14:paraId="41103695" w14:textId="362EA91C" w:rsidR="000F7375" w:rsidRDefault="000F7375">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371A5B48" w14:textId="092CB745" w:rsidR="000F7375" w:rsidRDefault="000F7375">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137F8AF1" w14:textId="77777777" w:rsidR="000F7375" w:rsidRDefault="000F7375" w:rsidP="00091C8C">
      <w:pPr>
        <w:pStyle w:val="FixListStyle"/>
        <w:tabs>
          <w:tab w:val="clear" w:pos="720"/>
          <w:tab w:val="left" w:pos="0"/>
        </w:tabs>
        <w:spacing w:after="260" w:line="280" w:lineRule="exact"/>
        <w:ind w:right="0"/>
        <w:jc w:val="both"/>
        <w:rPr>
          <w:rFonts w:ascii="Times New Roman" w:hAnsi="Times New Roman"/>
        </w:rPr>
        <w:sectPr w:rsidR="000F7375" w:rsidSect="000F7375">
          <w:pgSz w:w="11907" w:h="16839" w:code="9"/>
          <w:pgMar w:top="1440" w:right="1701" w:bottom="1984" w:left="1701" w:header="720" w:footer="720" w:gutter="0"/>
          <w:pgNumType w:start="1"/>
          <w:cols w:space="720"/>
          <w:titlePg/>
          <w:docGrid w:linePitch="354"/>
        </w:sectPr>
      </w:pPr>
    </w:p>
    <w:p w14:paraId="71B02E37" w14:textId="72CF97E3" w:rsidR="00822726" w:rsidRPr="00091C8C" w:rsidRDefault="00091C8C" w:rsidP="00091C8C">
      <w:pPr>
        <w:pStyle w:val="FixListStyle"/>
        <w:tabs>
          <w:tab w:val="clear" w:pos="720"/>
          <w:tab w:val="left" w:pos="0"/>
        </w:tabs>
        <w:spacing w:after="260" w:line="280" w:lineRule="exact"/>
        <w:ind w:right="0"/>
        <w:jc w:val="both"/>
        <w:rPr>
          <w:rFonts w:ascii="Times New Roman" w:hAnsi="Times New Roman"/>
        </w:rPr>
      </w:pPr>
      <w:r w:rsidRPr="00091C8C">
        <w:rPr>
          <w:rFonts w:ascii="Times New Roman" w:hAnsi="Times New Roman"/>
        </w:rPr>
        <w:lastRenderedPageBreak/>
        <w:t xml:space="preserve">KIEFEL CJ, GAGELER, STEWARD AND GLEESON JJ.   </w:t>
      </w:r>
      <w:r w:rsidR="00BF3841" w:rsidRPr="00091C8C">
        <w:rPr>
          <w:rFonts w:ascii="Times New Roman" w:hAnsi="Times New Roman"/>
        </w:rPr>
        <w:t xml:space="preserve">These </w:t>
      </w:r>
      <w:r w:rsidR="00CC2557" w:rsidRPr="00091C8C">
        <w:rPr>
          <w:rFonts w:ascii="Times New Roman" w:hAnsi="Times New Roman"/>
        </w:rPr>
        <w:t xml:space="preserve">two </w:t>
      </w:r>
      <w:r w:rsidR="00BF3841" w:rsidRPr="00091C8C">
        <w:rPr>
          <w:rFonts w:ascii="Times New Roman" w:hAnsi="Times New Roman"/>
        </w:rPr>
        <w:t>appeals from decisions of the Full Court of the Federal Court (Nicholas, Yates and Be</w:t>
      </w:r>
      <w:r w:rsidR="00AD75EF" w:rsidRPr="00091C8C">
        <w:rPr>
          <w:rFonts w:ascii="Times New Roman" w:hAnsi="Times New Roman"/>
        </w:rPr>
        <w:t>a</w:t>
      </w:r>
      <w:r w:rsidR="00BF3841" w:rsidRPr="00091C8C">
        <w:rPr>
          <w:rFonts w:ascii="Times New Roman" w:hAnsi="Times New Roman"/>
        </w:rPr>
        <w:t>ch</w:t>
      </w:r>
      <w:r w:rsidR="00C23CBC" w:rsidRPr="00091C8C">
        <w:rPr>
          <w:rFonts w:ascii="Times New Roman" w:hAnsi="Times New Roman"/>
        </w:rPr>
        <w:t> </w:t>
      </w:r>
      <w:r w:rsidR="00BF3841" w:rsidRPr="00091C8C">
        <w:rPr>
          <w:rFonts w:ascii="Times New Roman" w:hAnsi="Times New Roman"/>
        </w:rPr>
        <w:t>JJ)</w:t>
      </w:r>
      <w:r w:rsidR="00BF3841" w:rsidRPr="00091C8C">
        <w:rPr>
          <w:rStyle w:val="FootnoteReference"/>
          <w:rFonts w:ascii="Times New Roman" w:hAnsi="Times New Roman"/>
          <w:sz w:val="24"/>
        </w:rPr>
        <w:footnoteReference w:id="2"/>
      </w:r>
      <w:r w:rsidR="00BF3841" w:rsidRPr="00091C8C">
        <w:rPr>
          <w:rFonts w:ascii="Times New Roman" w:hAnsi="Times New Roman"/>
        </w:rPr>
        <w:t>, each on appeal from a judgment of a single judge of that Court (Jago</w:t>
      </w:r>
      <w:r w:rsidR="00DA597B" w:rsidRPr="00091C8C">
        <w:rPr>
          <w:rFonts w:ascii="Times New Roman" w:hAnsi="Times New Roman"/>
        </w:rPr>
        <w:t>t</w:t>
      </w:r>
      <w:r w:rsidR="009043D7" w:rsidRPr="00091C8C">
        <w:rPr>
          <w:rFonts w:ascii="Times New Roman" w:hAnsi="Times New Roman"/>
        </w:rPr>
        <w:t> </w:t>
      </w:r>
      <w:r w:rsidR="00BF3841" w:rsidRPr="00091C8C">
        <w:rPr>
          <w:rFonts w:ascii="Times New Roman" w:hAnsi="Times New Roman"/>
        </w:rPr>
        <w:t>J)</w:t>
      </w:r>
      <w:r w:rsidR="00BF3841" w:rsidRPr="00091C8C">
        <w:rPr>
          <w:rStyle w:val="FootnoteReference"/>
          <w:rFonts w:ascii="Times New Roman" w:hAnsi="Times New Roman"/>
          <w:sz w:val="24"/>
        </w:rPr>
        <w:footnoteReference w:id="3"/>
      </w:r>
      <w:r w:rsidR="00BF3841" w:rsidRPr="00091C8C">
        <w:rPr>
          <w:rFonts w:ascii="Times New Roman" w:hAnsi="Times New Roman"/>
        </w:rPr>
        <w:t xml:space="preserve">, </w:t>
      </w:r>
      <w:r w:rsidR="00CF379B" w:rsidRPr="00091C8C">
        <w:rPr>
          <w:rFonts w:ascii="Times New Roman" w:hAnsi="Times New Roman"/>
        </w:rPr>
        <w:t>constitute</w:t>
      </w:r>
      <w:r w:rsidR="00192BB9" w:rsidRPr="00091C8C">
        <w:rPr>
          <w:rFonts w:ascii="Times New Roman" w:hAnsi="Times New Roman"/>
        </w:rPr>
        <w:t xml:space="preserve"> a</w:t>
      </w:r>
      <w:r w:rsidR="00CF379B" w:rsidRPr="00091C8C">
        <w:rPr>
          <w:rFonts w:ascii="Times New Roman" w:hAnsi="Times New Roman"/>
        </w:rPr>
        <w:t xml:space="preserve">nother </w:t>
      </w:r>
      <w:r w:rsidR="0038770C" w:rsidRPr="00091C8C">
        <w:rPr>
          <w:rFonts w:ascii="Times New Roman" w:hAnsi="Times New Roman"/>
        </w:rPr>
        <w:t>instalment</w:t>
      </w:r>
      <w:r w:rsidR="00B16EC7" w:rsidRPr="00091C8C">
        <w:rPr>
          <w:rFonts w:ascii="Times New Roman" w:hAnsi="Times New Roman"/>
        </w:rPr>
        <w:t xml:space="preserve"> </w:t>
      </w:r>
      <w:r w:rsidR="00A137B1" w:rsidRPr="00091C8C">
        <w:rPr>
          <w:rFonts w:ascii="Times New Roman" w:hAnsi="Times New Roman"/>
        </w:rPr>
        <w:t>in long</w:t>
      </w:r>
      <w:r w:rsidR="00E55C97" w:rsidRPr="00091C8C">
        <w:rPr>
          <w:rFonts w:ascii="Times New Roman" w:hAnsi="Times New Roman"/>
        </w:rPr>
        <w:t>-</w:t>
      </w:r>
      <w:r w:rsidR="00A137B1" w:rsidRPr="00091C8C">
        <w:rPr>
          <w:rFonts w:ascii="Times New Roman" w:hAnsi="Times New Roman"/>
        </w:rPr>
        <w:t>running serial litigation</w:t>
      </w:r>
      <w:r w:rsidR="00164062" w:rsidRPr="00091C8C">
        <w:rPr>
          <w:rFonts w:ascii="Times New Roman" w:hAnsi="Times New Roman"/>
        </w:rPr>
        <w:t xml:space="preserve"> concerning </w:t>
      </w:r>
      <w:r w:rsidR="00BF3841" w:rsidRPr="00091C8C">
        <w:rPr>
          <w:rFonts w:ascii="Times New Roman" w:hAnsi="Times New Roman"/>
        </w:rPr>
        <w:t xml:space="preserve">the </w:t>
      </w:r>
      <w:r w:rsidR="0095599C" w:rsidRPr="00091C8C">
        <w:rPr>
          <w:rFonts w:ascii="Times New Roman" w:hAnsi="Times New Roman"/>
        </w:rPr>
        <w:t>extension</w:t>
      </w:r>
      <w:r w:rsidR="00BF3841" w:rsidRPr="00091C8C">
        <w:rPr>
          <w:rFonts w:ascii="Times New Roman" w:hAnsi="Times New Roman"/>
        </w:rPr>
        <w:t xml:space="preserve"> under the </w:t>
      </w:r>
      <w:r w:rsidR="00BF3841" w:rsidRPr="00091C8C">
        <w:rPr>
          <w:rFonts w:ascii="Times New Roman" w:hAnsi="Times New Roman"/>
          <w:i/>
        </w:rPr>
        <w:t>Patents Act 1990</w:t>
      </w:r>
      <w:r w:rsidR="00BF3841" w:rsidRPr="00091C8C">
        <w:rPr>
          <w:rFonts w:ascii="Times New Roman" w:hAnsi="Times New Roman"/>
        </w:rPr>
        <w:t xml:space="preserve"> (Cth) ("the Act") of </w:t>
      </w:r>
      <w:r w:rsidR="0095599C" w:rsidRPr="00091C8C">
        <w:rPr>
          <w:rFonts w:ascii="Times New Roman" w:hAnsi="Times New Roman"/>
        </w:rPr>
        <w:t xml:space="preserve">the term </w:t>
      </w:r>
      <w:r w:rsidR="00BF3841" w:rsidRPr="00091C8C">
        <w:rPr>
          <w:rFonts w:ascii="Times New Roman" w:hAnsi="Times New Roman"/>
        </w:rPr>
        <w:t xml:space="preserve">of a standard patent relating to a pharmaceutical substance known as escitalopram ("the Patent"). </w:t>
      </w:r>
    </w:p>
    <w:p w14:paraId="37FCA98B" w14:textId="3E35EC78" w:rsidR="00BF3841" w:rsidRPr="00091C8C" w:rsidRDefault="00822726" w:rsidP="00091C8C">
      <w:pPr>
        <w:pStyle w:val="FixListStyle"/>
        <w:spacing w:after="260" w:line="280" w:lineRule="exact"/>
        <w:ind w:right="0"/>
        <w:jc w:val="both"/>
        <w:rPr>
          <w:rFonts w:ascii="Times New Roman" w:hAnsi="Times New Roman"/>
        </w:rPr>
      </w:pPr>
      <w:r w:rsidRPr="00091C8C">
        <w:rPr>
          <w:rFonts w:ascii="Times New Roman" w:hAnsi="Times New Roman"/>
        </w:rPr>
        <w:tab/>
      </w:r>
      <w:r w:rsidR="002605B1" w:rsidRPr="00091C8C">
        <w:rPr>
          <w:rFonts w:ascii="Times New Roman" w:hAnsi="Times New Roman"/>
        </w:rPr>
        <w:t>E</w:t>
      </w:r>
      <w:r w:rsidR="00AE3F7D" w:rsidRPr="00091C8C">
        <w:rPr>
          <w:rFonts w:ascii="Times New Roman" w:hAnsi="Times New Roman"/>
        </w:rPr>
        <w:t xml:space="preserve">scitalopram </w:t>
      </w:r>
      <w:r w:rsidR="00BF3841" w:rsidRPr="00091C8C">
        <w:rPr>
          <w:rFonts w:ascii="Times New Roman" w:hAnsi="Times New Roman"/>
        </w:rPr>
        <w:t>is</w:t>
      </w:r>
      <w:r w:rsidR="002605B1" w:rsidRPr="00091C8C">
        <w:rPr>
          <w:rFonts w:ascii="Times New Roman" w:hAnsi="Times New Roman"/>
        </w:rPr>
        <w:t xml:space="preserve"> used</w:t>
      </w:r>
      <w:r w:rsidR="00BF3841" w:rsidRPr="00091C8C">
        <w:rPr>
          <w:rFonts w:ascii="Times New Roman" w:hAnsi="Times New Roman"/>
        </w:rPr>
        <w:t xml:space="preserve"> as a treatment for depression. </w:t>
      </w:r>
      <w:r w:rsidR="00597C14" w:rsidRPr="00091C8C">
        <w:rPr>
          <w:rFonts w:ascii="Times New Roman" w:hAnsi="Times New Roman"/>
        </w:rPr>
        <w:t xml:space="preserve">Two </w:t>
      </w:r>
      <w:r w:rsidR="00DF2076" w:rsidRPr="00091C8C">
        <w:rPr>
          <w:rFonts w:ascii="Times New Roman" w:hAnsi="Times New Roman"/>
        </w:rPr>
        <w:t>pharmaceutical products</w:t>
      </w:r>
      <w:r w:rsidR="00597C14" w:rsidRPr="00091C8C">
        <w:rPr>
          <w:rFonts w:ascii="Times New Roman" w:hAnsi="Times New Roman"/>
        </w:rPr>
        <w:t xml:space="preserve"> containing escitalopram </w:t>
      </w:r>
      <w:r w:rsidR="00F43150" w:rsidRPr="00091C8C">
        <w:rPr>
          <w:rFonts w:ascii="Times New Roman" w:hAnsi="Times New Roman"/>
        </w:rPr>
        <w:t xml:space="preserve">are </w:t>
      </w:r>
      <w:r w:rsidR="00597C14" w:rsidRPr="00091C8C">
        <w:rPr>
          <w:rFonts w:ascii="Times New Roman" w:hAnsi="Times New Roman"/>
        </w:rPr>
        <w:t>i</w:t>
      </w:r>
      <w:r w:rsidR="00BF3841" w:rsidRPr="00091C8C">
        <w:rPr>
          <w:rFonts w:ascii="Times New Roman" w:hAnsi="Times New Roman"/>
        </w:rPr>
        <w:t>ncluded in the Australian Register of Therapeutic Goods ("ARTG")</w:t>
      </w:r>
      <w:r w:rsidR="008351E9" w:rsidRPr="00091C8C">
        <w:rPr>
          <w:rFonts w:ascii="Times New Roman" w:hAnsi="Times New Roman"/>
        </w:rPr>
        <w:t>. One is</w:t>
      </w:r>
      <w:r w:rsidR="00BF3841" w:rsidRPr="00091C8C">
        <w:rPr>
          <w:rFonts w:ascii="Times New Roman" w:hAnsi="Times New Roman"/>
        </w:rPr>
        <w:t xml:space="preserve"> </w:t>
      </w:r>
      <w:r w:rsidR="008351E9" w:rsidRPr="00091C8C">
        <w:rPr>
          <w:rFonts w:ascii="Times New Roman" w:hAnsi="Times New Roman"/>
        </w:rPr>
        <w:t xml:space="preserve">known </w:t>
      </w:r>
      <w:r w:rsidR="00BF3841" w:rsidRPr="00091C8C">
        <w:rPr>
          <w:rFonts w:ascii="Times New Roman" w:hAnsi="Times New Roman"/>
        </w:rPr>
        <w:t>as "Cipramil"</w:t>
      </w:r>
      <w:r w:rsidR="00A84799" w:rsidRPr="00091C8C">
        <w:rPr>
          <w:rFonts w:ascii="Times New Roman" w:hAnsi="Times New Roman"/>
        </w:rPr>
        <w:t>, t</w:t>
      </w:r>
      <w:r w:rsidR="008351E9" w:rsidRPr="00091C8C">
        <w:rPr>
          <w:rFonts w:ascii="Times New Roman" w:hAnsi="Times New Roman"/>
        </w:rPr>
        <w:t>he other as</w:t>
      </w:r>
      <w:r w:rsidR="00BF3841" w:rsidRPr="00091C8C">
        <w:rPr>
          <w:rFonts w:ascii="Times New Roman" w:hAnsi="Times New Roman"/>
        </w:rPr>
        <w:t xml:space="preserve"> "Lexapro".</w:t>
      </w:r>
    </w:p>
    <w:p w14:paraId="73010159" w14:textId="666F5FE7" w:rsidR="00BF3841" w:rsidRPr="00091C8C" w:rsidRDefault="00BF3841" w:rsidP="00091C8C">
      <w:pPr>
        <w:pStyle w:val="FixListStyle"/>
        <w:spacing w:after="260" w:line="280" w:lineRule="exact"/>
        <w:ind w:right="0"/>
        <w:jc w:val="both"/>
        <w:rPr>
          <w:rFonts w:ascii="Times New Roman" w:hAnsi="Times New Roman"/>
        </w:rPr>
      </w:pPr>
      <w:r w:rsidRPr="00091C8C">
        <w:rPr>
          <w:rFonts w:ascii="Times New Roman" w:hAnsi="Times New Roman"/>
        </w:rPr>
        <w:tab/>
        <w:t xml:space="preserve">The appellants in one appeal </w:t>
      </w:r>
      <w:r w:rsidR="00AE3E5A" w:rsidRPr="00091C8C">
        <w:rPr>
          <w:rFonts w:ascii="Times New Roman" w:hAnsi="Times New Roman"/>
        </w:rPr>
        <w:t xml:space="preserve">("the Lundbeck Appeal") </w:t>
      </w:r>
      <w:r w:rsidRPr="00091C8C">
        <w:rPr>
          <w:rFonts w:ascii="Times New Roman" w:hAnsi="Times New Roman"/>
        </w:rPr>
        <w:t>are H Lundbeck A/S ("Lundbeck</w:t>
      </w:r>
      <w:r w:rsidR="0076284D" w:rsidRPr="00091C8C">
        <w:rPr>
          <w:rFonts w:ascii="Times New Roman" w:hAnsi="Times New Roman"/>
        </w:rPr>
        <w:t xml:space="preserve"> Denmark</w:t>
      </w:r>
      <w:r w:rsidRPr="00091C8C">
        <w:rPr>
          <w:rFonts w:ascii="Times New Roman" w:hAnsi="Times New Roman"/>
        </w:rPr>
        <w:t>") and Lundbeck Australia Pty Ltd ("Lundbeck A</w:t>
      </w:r>
      <w:r w:rsidR="0076284D" w:rsidRPr="00091C8C">
        <w:rPr>
          <w:rFonts w:ascii="Times New Roman" w:hAnsi="Times New Roman"/>
        </w:rPr>
        <w:t>ustralia</w:t>
      </w:r>
      <w:r w:rsidRPr="00091C8C">
        <w:rPr>
          <w:rFonts w:ascii="Times New Roman" w:hAnsi="Times New Roman"/>
        </w:rPr>
        <w:t>"). Lundbeck</w:t>
      </w:r>
      <w:r w:rsidR="001E31E1" w:rsidRPr="00091C8C">
        <w:rPr>
          <w:rFonts w:ascii="Times New Roman" w:hAnsi="Times New Roman"/>
        </w:rPr>
        <w:t xml:space="preserve"> Denmark</w:t>
      </w:r>
      <w:r w:rsidR="003D4CFA" w:rsidRPr="00091C8C">
        <w:rPr>
          <w:rFonts w:ascii="Times New Roman" w:hAnsi="Times New Roman"/>
        </w:rPr>
        <w:t xml:space="preserve">, a Danish </w:t>
      </w:r>
      <w:r w:rsidR="00AB3984" w:rsidRPr="00091C8C">
        <w:rPr>
          <w:rFonts w:ascii="Times New Roman" w:hAnsi="Times New Roman"/>
        </w:rPr>
        <w:t>p</w:t>
      </w:r>
      <w:r w:rsidR="003D4CFA" w:rsidRPr="00091C8C">
        <w:rPr>
          <w:rFonts w:ascii="Times New Roman" w:hAnsi="Times New Roman"/>
        </w:rPr>
        <w:t xml:space="preserve">harmaceutical company, </w:t>
      </w:r>
      <w:r w:rsidRPr="00091C8C">
        <w:rPr>
          <w:rFonts w:ascii="Times New Roman" w:hAnsi="Times New Roman"/>
        </w:rPr>
        <w:t xml:space="preserve">is the owner of the Patent. Lundbeck </w:t>
      </w:r>
      <w:r w:rsidR="00AB3984" w:rsidRPr="00091C8C">
        <w:rPr>
          <w:rFonts w:ascii="Times New Roman" w:hAnsi="Times New Roman"/>
        </w:rPr>
        <w:t>Australia</w:t>
      </w:r>
      <w:r w:rsidR="003D4CFA" w:rsidRPr="00091C8C">
        <w:rPr>
          <w:rFonts w:ascii="Times New Roman" w:hAnsi="Times New Roman"/>
        </w:rPr>
        <w:t xml:space="preserve">, its Australian subsidiary, </w:t>
      </w:r>
      <w:r w:rsidRPr="00091C8C">
        <w:rPr>
          <w:rFonts w:ascii="Times New Roman" w:hAnsi="Times New Roman"/>
        </w:rPr>
        <w:t xml:space="preserve">holds </w:t>
      </w:r>
      <w:r w:rsidR="00BF335A" w:rsidRPr="00091C8C">
        <w:rPr>
          <w:rFonts w:ascii="Times New Roman" w:hAnsi="Times New Roman"/>
        </w:rPr>
        <w:t xml:space="preserve">an exclusive licence of the Patent </w:t>
      </w:r>
      <w:r w:rsidRPr="00091C8C">
        <w:rPr>
          <w:rFonts w:ascii="Times New Roman" w:hAnsi="Times New Roman"/>
        </w:rPr>
        <w:t xml:space="preserve">from Lundbeck </w:t>
      </w:r>
      <w:r w:rsidR="00035A7C" w:rsidRPr="00091C8C">
        <w:rPr>
          <w:rFonts w:ascii="Times New Roman" w:hAnsi="Times New Roman"/>
        </w:rPr>
        <w:t>Denmark</w:t>
      </w:r>
      <w:r w:rsidRPr="00091C8C">
        <w:rPr>
          <w:rFonts w:ascii="Times New Roman" w:hAnsi="Times New Roman"/>
        </w:rPr>
        <w:t>. The appellant in the other appeal</w:t>
      </w:r>
      <w:r w:rsidR="00AE3E5A" w:rsidRPr="00091C8C">
        <w:rPr>
          <w:rFonts w:ascii="Times New Roman" w:hAnsi="Times New Roman"/>
        </w:rPr>
        <w:t xml:space="preserve"> ("the Pharma Appeal")</w:t>
      </w:r>
      <w:r w:rsidR="005C2467" w:rsidRPr="00091C8C">
        <w:rPr>
          <w:rFonts w:ascii="Times New Roman" w:hAnsi="Times New Roman"/>
        </w:rPr>
        <w:t>,</w:t>
      </w:r>
      <w:r w:rsidRPr="00091C8C">
        <w:rPr>
          <w:rFonts w:ascii="Times New Roman" w:hAnsi="Times New Roman"/>
        </w:rPr>
        <w:t xml:space="preserve"> CNS Pharma Pty Ltd ("Pharma"), </w:t>
      </w:r>
      <w:r w:rsidR="005C2467" w:rsidRPr="00091C8C">
        <w:rPr>
          <w:rFonts w:ascii="Times New Roman" w:hAnsi="Times New Roman"/>
        </w:rPr>
        <w:t xml:space="preserve">is </w:t>
      </w:r>
      <w:r w:rsidRPr="00091C8C">
        <w:rPr>
          <w:rFonts w:ascii="Times New Roman" w:hAnsi="Times New Roman"/>
        </w:rPr>
        <w:t>a subsidiary of Lundbeck A</w:t>
      </w:r>
      <w:r w:rsidR="00593140" w:rsidRPr="00091C8C">
        <w:rPr>
          <w:rFonts w:ascii="Times New Roman" w:hAnsi="Times New Roman"/>
        </w:rPr>
        <w:t>ustralia</w:t>
      </w:r>
      <w:r w:rsidR="001B28EC" w:rsidRPr="00091C8C">
        <w:rPr>
          <w:rFonts w:ascii="Times New Roman" w:hAnsi="Times New Roman"/>
        </w:rPr>
        <w:t xml:space="preserve"> which sells</w:t>
      </w:r>
      <w:r w:rsidR="00261FBE" w:rsidRPr="00091C8C">
        <w:rPr>
          <w:rFonts w:ascii="Times New Roman" w:hAnsi="Times New Roman"/>
        </w:rPr>
        <w:t xml:space="preserve"> a generic version of Lexapro in Australia </w:t>
      </w:r>
      <w:r w:rsidR="0023097A" w:rsidRPr="00091C8C">
        <w:rPr>
          <w:rFonts w:ascii="Times New Roman" w:hAnsi="Times New Roman"/>
        </w:rPr>
        <w:t xml:space="preserve">which is also manufactured by and purchased </w:t>
      </w:r>
      <w:r w:rsidR="0049298E" w:rsidRPr="00091C8C">
        <w:rPr>
          <w:rFonts w:ascii="Times New Roman" w:hAnsi="Times New Roman"/>
        </w:rPr>
        <w:t>from</w:t>
      </w:r>
      <w:r w:rsidR="0023097A" w:rsidRPr="00091C8C">
        <w:rPr>
          <w:rFonts w:ascii="Times New Roman" w:hAnsi="Times New Roman"/>
        </w:rPr>
        <w:t xml:space="preserve"> Lundbeck Denmark</w:t>
      </w:r>
      <w:r w:rsidRPr="00091C8C">
        <w:rPr>
          <w:rFonts w:ascii="Times New Roman" w:hAnsi="Times New Roman"/>
        </w:rPr>
        <w:t>.</w:t>
      </w:r>
    </w:p>
    <w:p w14:paraId="089DBAF5" w14:textId="6BAA66CD" w:rsidR="00BF3841" w:rsidRPr="00091C8C" w:rsidRDefault="00BF3841" w:rsidP="00091C8C">
      <w:pPr>
        <w:pStyle w:val="FixListStyle"/>
        <w:spacing w:after="260" w:line="280" w:lineRule="exact"/>
        <w:ind w:right="0"/>
        <w:jc w:val="both"/>
        <w:rPr>
          <w:rFonts w:ascii="Times New Roman" w:hAnsi="Times New Roman"/>
        </w:rPr>
      </w:pPr>
      <w:r w:rsidRPr="00091C8C">
        <w:rPr>
          <w:rFonts w:ascii="Times New Roman" w:hAnsi="Times New Roman"/>
        </w:rPr>
        <w:tab/>
        <w:t xml:space="preserve">The Patent as granted to Lundbeck </w:t>
      </w:r>
      <w:r w:rsidR="00A2691E" w:rsidRPr="00091C8C">
        <w:rPr>
          <w:rFonts w:ascii="Times New Roman" w:hAnsi="Times New Roman"/>
        </w:rPr>
        <w:t xml:space="preserve">Denmark </w:t>
      </w:r>
      <w:r w:rsidRPr="00091C8C">
        <w:rPr>
          <w:rFonts w:ascii="Times New Roman" w:hAnsi="Times New Roman"/>
        </w:rPr>
        <w:t>was dated 13</w:t>
      </w:r>
      <w:r w:rsidR="00593140" w:rsidRPr="00091C8C">
        <w:rPr>
          <w:rFonts w:ascii="Times New Roman" w:hAnsi="Times New Roman"/>
        </w:rPr>
        <w:t> </w:t>
      </w:r>
      <w:r w:rsidRPr="00091C8C">
        <w:rPr>
          <w:rFonts w:ascii="Times New Roman" w:hAnsi="Times New Roman"/>
        </w:rPr>
        <w:t xml:space="preserve">June </w:t>
      </w:r>
      <w:r w:rsidR="001E31E1" w:rsidRPr="00091C8C">
        <w:rPr>
          <w:rFonts w:ascii="Times New Roman" w:hAnsi="Times New Roman"/>
        </w:rPr>
        <w:t>198</w:t>
      </w:r>
      <w:r w:rsidRPr="00091C8C">
        <w:rPr>
          <w:rFonts w:ascii="Times New Roman" w:hAnsi="Times New Roman"/>
        </w:rPr>
        <w:t>9</w:t>
      </w:r>
      <w:r w:rsidR="00074C27" w:rsidRPr="00091C8C">
        <w:rPr>
          <w:rFonts w:ascii="Times New Roman" w:hAnsi="Times New Roman"/>
        </w:rPr>
        <w:t>.</w:t>
      </w:r>
      <w:r w:rsidR="009A7756" w:rsidRPr="00091C8C">
        <w:rPr>
          <w:rFonts w:ascii="Times New Roman" w:hAnsi="Times New Roman"/>
        </w:rPr>
        <w:t xml:space="preserve"> </w:t>
      </w:r>
      <w:r w:rsidR="00074C27" w:rsidRPr="00091C8C">
        <w:rPr>
          <w:rFonts w:ascii="Times New Roman" w:hAnsi="Times New Roman"/>
        </w:rPr>
        <w:t>Having</w:t>
      </w:r>
      <w:r w:rsidRPr="00091C8C">
        <w:rPr>
          <w:rFonts w:ascii="Times New Roman" w:hAnsi="Times New Roman"/>
        </w:rPr>
        <w:t xml:space="preserve"> a standard term of 20 years, it expired on </w:t>
      </w:r>
      <w:r w:rsidR="00020EC6" w:rsidRPr="00091C8C">
        <w:rPr>
          <w:rFonts w:ascii="Times New Roman" w:hAnsi="Times New Roman"/>
        </w:rPr>
        <w:t xml:space="preserve">Saturday </w:t>
      </w:r>
      <w:r w:rsidRPr="00091C8C">
        <w:rPr>
          <w:rFonts w:ascii="Times New Roman" w:hAnsi="Times New Roman"/>
        </w:rPr>
        <w:t>13</w:t>
      </w:r>
      <w:r w:rsidR="00C05EE3" w:rsidRPr="00091C8C">
        <w:rPr>
          <w:rFonts w:ascii="Times New Roman" w:hAnsi="Times New Roman"/>
        </w:rPr>
        <w:t> </w:t>
      </w:r>
      <w:r w:rsidRPr="00091C8C">
        <w:rPr>
          <w:rFonts w:ascii="Times New Roman" w:hAnsi="Times New Roman"/>
        </w:rPr>
        <w:t>June 2009. However, on 25</w:t>
      </w:r>
      <w:r w:rsidR="00C05EE3" w:rsidRPr="00091C8C">
        <w:rPr>
          <w:rFonts w:ascii="Times New Roman" w:hAnsi="Times New Roman"/>
        </w:rPr>
        <w:t> </w:t>
      </w:r>
      <w:r w:rsidRPr="00091C8C">
        <w:rPr>
          <w:rFonts w:ascii="Times New Roman" w:hAnsi="Times New Roman"/>
        </w:rPr>
        <w:t xml:space="preserve">June 2014 Lundbeck </w:t>
      </w:r>
      <w:r w:rsidR="00B51F9A" w:rsidRPr="00091C8C">
        <w:rPr>
          <w:rFonts w:ascii="Times New Roman" w:hAnsi="Times New Roman"/>
        </w:rPr>
        <w:t xml:space="preserve">Denmark </w:t>
      </w:r>
      <w:r w:rsidRPr="00091C8C">
        <w:rPr>
          <w:rFonts w:ascii="Times New Roman" w:hAnsi="Times New Roman"/>
        </w:rPr>
        <w:t>was granted an extension of the term to 9</w:t>
      </w:r>
      <w:r w:rsidR="00C05EE3" w:rsidRPr="00091C8C">
        <w:rPr>
          <w:rFonts w:ascii="Times New Roman" w:hAnsi="Times New Roman"/>
        </w:rPr>
        <w:t> </w:t>
      </w:r>
      <w:r w:rsidRPr="00091C8C">
        <w:rPr>
          <w:rFonts w:ascii="Times New Roman" w:hAnsi="Times New Roman"/>
        </w:rPr>
        <w:t>December 2012.</w:t>
      </w:r>
    </w:p>
    <w:p w14:paraId="2619F3CA" w14:textId="6283A081" w:rsidR="00BF3841" w:rsidRPr="00091C8C" w:rsidRDefault="00BF3841" w:rsidP="00091C8C">
      <w:pPr>
        <w:pStyle w:val="FixListStyle"/>
        <w:spacing w:after="260" w:line="280" w:lineRule="exact"/>
        <w:ind w:right="0"/>
        <w:jc w:val="both"/>
        <w:rPr>
          <w:rFonts w:ascii="Times New Roman" w:hAnsi="Times New Roman"/>
        </w:rPr>
      </w:pPr>
      <w:r w:rsidRPr="00091C8C">
        <w:rPr>
          <w:rFonts w:ascii="Times New Roman" w:hAnsi="Times New Roman"/>
        </w:rPr>
        <w:tab/>
      </w:r>
      <w:r w:rsidR="009C6B95" w:rsidRPr="00091C8C">
        <w:rPr>
          <w:rFonts w:ascii="Times New Roman" w:hAnsi="Times New Roman"/>
        </w:rPr>
        <w:t xml:space="preserve">The respondent in both appeals, Sandoz Pty Ltd ("Sandoz"), is a supplier </w:t>
      </w:r>
      <w:r w:rsidR="00182C27" w:rsidRPr="00091C8C">
        <w:rPr>
          <w:rFonts w:ascii="Times New Roman" w:hAnsi="Times New Roman"/>
        </w:rPr>
        <w:t>of generic pharmaceutical product</w:t>
      </w:r>
      <w:r w:rsidR="00375716" w:rsidRPr="00091C8C">
        <w:rPr>
          <w:rFonts w:ascii="Times New Roman" w:hAnsi="Times New Roman"/>
        </w:rPr>
        <w:t>s</w:t>
      </w:r>
      <w:r w:rsidR="00182C27" w:rsidRPr="00091C8C">
        <w:rPr>
          <w:rFonts w:ascii="Times New Roman" w:hAnsi="Times New Roman"/>
        </w:rPr>
        <w:t>.</w:t>
      </w:r>
      <w:r w:rsidR="009C6B95" w:rsidRPr="00091C8C">
        <w:rPr>
          <w:rFonts w:ascii="Times New Roman" w:hAnsi="Times New Roman"/>
        </w:rPr>
        <w:t xml:space="preserve"> </w:t>
      </w:r>
      <w:r w:rsidRPr="00091C8C">
        <w:rPr>
          <w:rFonts w:ascii="Times New Roman" w:hAnsi="Times New Roman"/>
        </w:rPr>
        <w:t>During the</w:t>
      </w:r>
      <w:r w:rsidR="001A3C4E" w:rsidRPr="00091C8C">
        <w:rPr>
          <w:rFonts w:ascii="Times New Roman" w:hAnsi="Times New Roman"/>
        </w:rPr>
        <w:t xml:space="preserve"> </w:t>
      </w:r>
      <w:r w:rsidRPr="00091C8C">
        <w:rPr>
          <w:rFonts w:ascii="Times New Roman" w:hAnsi="Times New Roman"/>
        </w:rPr>
        <w:t xml:space="preserve">extended term, from </w:t>
      </w:r>
      <w:r w:rsidR="00A04AE1" w:rsidRPr="00091C8C">
        <w:rPr>
          <w:rFonts w:ascii="Times New Roman" w:hAnsi="Times New Roman"/>
        </w:rPr>
        <w:t xml:space="preserve">Monday </w:t>
      </w:r>
      <w:r w:rsidRPr="00091C8C">
        <w:rPr>
          <w:rFonts w:ascii="Times New Roman" w:hAnsi="Times New Roman"/>
        </w:rPr>
        <w:t>15</w:t>
      </w:r>
      <w:r w:rsidR="00202141" w:rsidRPr="00091C8C">
        <w:rPr>
          <w:rFonts w:ascii="Times New Roman" w:hAnsi="Times New Roman"/>
        </w:rPr>
        <w:t> </w:t>
      </w:r>
      <w:r w:rsidRPr="00091C8C">
        <w:rPr>
          <w:rFonts w:ascii="Times New Roman" w:hAnsi="Times New Roman"/>
        </w:rPr>
        <w:t xml:space="preserve">June </w:t>
      </w:r>
      <w:r w:rsidR="001A3C4E" w:rsidRPr="00091C8C">
        <w:rPr>
          <w:rFonts w:ascii="Times New Roman" w:hAnsi="Times New Roman"/>
        </w:rPr>
        <w:t>200</w:t>
      </w:r>
      <w:r w:rsidRPr="00091C8C">
        <w:rPr>
          <w:rFonts w:ascii="Times New Roman" w:hAnsi="Times New Roman"/>
        </w:rPr>
        <w:t>9 to 9</w:t>
      </w:r>
      <w:r w:rsidR="00202141" w:rsidRPr="00091C8C">
        <w:rPr>
          <w:rFonts w:ascii="Times New Roman" w:hAnsi="Times New Roman"/>
        </w:rPr>
        <w:t> </w:t>
      </w:r>
      <w:r w:rsidRPr="00091C8C">
        <w:rPr>
          <w:rFonts w:ascii="Times New Roman" w:hAnsi="Times New Roman"/>
        </w:rPr>
        <w:t xml:space="preserve">December 2012, </w:t>
      </w:r>
      <w:r w:rsidR="009C6B95" w:rsidRPr="00091C8C">
        <w:rPr>
          <w:rFonts w:ascii="Times New Roman" w:hAnsi="Times New Roman"/>
        </w:rPr>
        <w:t xml:space="preserve">Sandoz </w:t>
      </w:r>
      <w:r w:rsidRPr="00091C8C">
        <w:rPr>
          <w:rFonts w:ascii="Times New Roman" w:hAnsi="Times New Roman"/>
        </w:rPr>
        <w:t>sold generic escitalopram</w:t>
      </w:r>
      <w:r w:rsidR="00450134" w:rsidRPr="00091C8C">
        <w:rPr>
          <w:rFonts w:ascii="Times New Roman" w:hAnsi="Times New Roman"/>
        </w:rPr>
        <w:t xml:space="preserve"> products</w:t>
      </w:r>
      <w:r w:rsidR="001609F9" w:rsidRPr="00091C8C">
        <w:rPr>
          <w:rFonts w:ascii="Times New Roman" w:hAnsi="Times New Roman"/>
        </w:rPr>
        <w:t>.</w:t>
      </w:r>
      <w:r w:rsidRPr="00091C8C">
        <w:rPr>
          <w:rFonts w:ascii="Times New Roman" w:hAnsi="Times New Roman"/>
        </w:rPr>
        <w:t xml:space="preserve"> </w:t>
      </w:r>
    </w:p>
    <w:p w14:paraId="4CAA5B5B" w14:textId="6455A649" w:rsidR="00BF3841" w:rsidRPr="00091C8C" w:rsidRDefault="00BF3841" w:rsidP="00091C8C">
      <w:pPr>
        <w:pStyle w:val="FixListStyle"/>
        <w:spacing w:after="260" w:line="280" w:lineRule="exact"/>
        <w:ind w:right="0"/>
        <w:jc w:val="both"/>
        <w:rPr>
          <w:rFonts w:ascii="Times New Roman" w:hAnsi="Times New Roman"/>
        </w:rPr>
      </w:pPr>
      <w:r w:rsidRPr="00091C8C">
        <w:rPr>
          <w:rFonts w:ascii="Times New Roman" w:hAnsi="Times New Roman"/>
        </w:rPr>
        <w:tab/>
      </w:r>
      <w:r w:rsidR="00971916" w:rsidRPr="00091C8C">
        <w:rPr>
          <w:rFonts w:ascii="Times New Roman" w:hAnsi="Times New Roman"/>
        </w:rPr>
        <w:t>O</w:t>
      </w:r>
      <w:r w:rsidRPr="00091C8C">
        <w:rPr>
          <w:rFonts w:ascii="Times New Roman" w:hAnsi="Times New Roman"/>
        </w:rPr>
        <w:t>n 2</w:t>
      </w:r>
      <w:r w:rsidR="00971916" w:rsidRPr="00091C8C">
        <w:rPr>
          <w:rFonts w:ascii="Times New Roman" w:hAnsi="Times New Roman"/>
        </w:rPr>
        <w:t>6</w:t>
      </w:r>
      <w:r w:rsidR="0078549B" w:rsidRPr="00091C8C">
        <w:rPr>
          <w:rFonts w:ascii="Times New Roman" w:hAnsi="Times New Roman"/>
        </w:rPr>
        <w:t> </w:t>
      </w:r>
      <w:r w:rsidRPr="00091C8C">
        <w:rPr>
          <w:rFonts w:ascii="Times New Roman" w:hAnsi="Times New Roman"/>
        </w:rPr>
        <w:t xml:space="preserve">June 2014, </w:t>
      </w:r>
      <w:r w:rsidR="00971916" w:rsidRPr="00091C8C">
        <w:rPr>
          <w:rFonts w:ascii="Times New Roman" w:hAnsi="Times New Roman"/>
        </w:rPr>
        <w:t>the day after</w:t>
      </w:r>
      <w:r w:rsidRPr="00091C8C">
        <w:rPr>
          <w:rFonts w:ascii="Times New Roman" w:hAnsi="Times New Roman"/>
        </w:rPr>
        <w:t xml:space="preserve"> the grant of the extension of the term</w:t>
      </w:r>
      <w:r w:rsidR="00971916" w:rsidRPr="00091C8C">
        <w:rPr>
          <w:rFonts w:ascii="Times New Roman" w:hAnsi="Times New Roman"/>
        </w:rPr>
        <w:t xml:space="preserve">, </w:t>
      </w:r>
      <w:r w:rsidRPr="00091C8C">
        <w:rPr>
          <w:rFonts w:ascii="Times New Roman" w:hAnsi="Times New Roman"/>
        </w:rPr>
        <w:t>Lundbeck</w:t>
      </w:r>
      <w:r w:rsidR="0076284D" w:rsidRPr="00091C8C">
        <w:rPr>
          <w:rFonts w:ascii="Times New Roman" w:hAnsi="Times New Roman"/>
        </w:rPr>
        <w:t xml:space="preserve"> Denmark</w:t>
      </w:r>
      <w:r w:rsidRPr="00091C8C">
        <w:rPr>
          <w:rFonts w:ascii="Times New Roman" w:hAnsi="Times New Roman"/>
        </w:rPr>
        <w:t xml:space="preserve"> and Lundbeck A</w:t>
      </w:r>
      <w:r w:rsidR="0076284D" w:rsidRPr="00091C8C">
        <w:rPr>
          <w:rFonts w:ascii="Times New Roman" w:hAnsi="Times New Roman"/>
        </w:rPr>
        <w:t>ustralia</w:t>
      </w:r>
      <w:r w:rsidRPr="00091C8C">
        <w:rPr>
          <w:rFonts w:ascii="Times New Roman" w:hAnsi="Times New Roman"/>
        </w:rPr>
        <w:t xml:space="preserve"> </w:t>
      </w:r>
      <w:r w:rsidR="00132800" w:rsidRPr="00091C8C">
        <w:rPr>
          <w:rFonts w:ascii="Times New Roman" w:hAnsi="Times New Roman"/>
        </w:rPr>
        <w:t xml:space="preserve">commenced proceedings </w:t>
      </w:r>
      <w:r w:rsidR="006A2091" w:rsidRPr="00091C8C">
        <w:rPr>
          <w:rFonts w:ascii="Times New Roman" w:hAnsi="Times New Roman"/>
        </w:rPr>
        <w:t>against</w:t>
      </w:r>
      <w:r w:rsidRPr="00091C8C">
        <w:rPr>
          <w:rFonts w:ascii="Times New Roman" w:hAnsi="Times New Roman"/>
        </w:rPr>
        <w:t xml:space="preserve"> Sandoz </w:t>
      </w:r>
      <w:r w:rsidR="00BF3A9D" w:rsidRPr="00091C8C">
        <w:rPr>
          <w:rFonts w:ascii="Times New Roman" w:hAnsi="Times New Roman"/>
        </w:rPr>
        <w:t>in the Federal Court</w:t>
      </w:r>
      <w:r w:rsidR="00C60751" w:rsidRPr="00091C8C">
        <w:rPr>
          <w:rFonts w:ascii="Times New Roman" w:hAnsi="Times New Roman"/>
        </w:rPr>
        <w:t xml:space="preserve">. </w:t>
      </w:r>
      <w:r w:rsidR="00311503" w:rsidRPr="00091C8C">
        <w:rPr>
          <w:rFonts w:ascii="Times New Roman" w:hAnsi="Times New Roman"/>
        </w:rPr>
        <w:t>Lundbeck Denmark and Lundbeck Australia</w:t>
      </w:r>
      <w:r w:rsidR="00A83ABF" w:rsidRPr="00091C8C">
        <w:rPr>
          <w:rFonts w:ascii="Times New Roman" w:hAnsi="Times New Roman"/>
        </w:rPr>
        <w:t xml:space="preserve"> </w:t>
      </w:r>
      <w:r w:rsidR="00247694" w:rsidRPr="00091C8C">
        <w:rPr>
          <w:rFonts w:ascii="Times New Roman" w:hAnsi="Times New Roman"/>
        </w:rPr>
        <w:t xml:space="preserve">claimed </w:t>
      </w:r>
      <w:r w:rsidR="00A83ABF" w:rsidRPr="00091C8C">
        <w:rPr>
          <w:rFonts w:ascii="Times New Roman" w:hAnsi="Times New Roman"/>
        </w:rPr>
        <w:t>declaratory relief, damages and pre-judgment interest</w:t>
      </w:r>
      <w:r w:rsidR="006B5680" w:rsidRPr="00091C8C">
        <w:rPr>
          <w:rFonts w:ascii="Times New Roman" w:hAnsi="Times New Roman"/>
        </w:rPr>
        <w:t xml:space="preserve"> </w:t>
      </w:r>
      <w:r w:rsidRPr="00091C8C">
        <w:rPr>
          <w:rFonts w:ascii="Times New Roman" w:hAnsi="Times New Roman"/>
        </w:rPr>
        <w:t>on the basis that</w:t>
      </w:r>
      <w:r w:rsidR="00A85B74" w:rsidRPr="00091C8C">
        <w:rPr>
          <w:rFonts w:ascii="Times New Roman" w:hAnsi="Times New Roman"/>
        </w:rPr>
        <w:t>, by</w:t>
      </w:r>
      <w:r w:rsidRPr="00091C8C">
        <w:rPr>
          <w:rFonts w:ascii="Times New Roman" w:hAnsi="Times New Roman"/>
        </w:rPr>
        <w:t xml:space="preserve"> s</w:t>
      </w:r>
      <w:r w:rsidR="00A85B74" w:rsidRPr="00091C8C">
        <w:rPr>
          <w:rFonts w:ascii="Times New Roman" w:hAnsi="Times New Roman"/>
        </w:rPr>
        <w:t>elling</w:t>
      </w:r>
      <w:r w:rsidRPr="00091C8C">
        <w:rPr>
          <w:rFonts w:ascii="Times New Roman" w:hAnsi="Times New Roman"/>
        </w:rPr>
        <w:t xml:space="preserve"> generic escitalopram </w:t>
      </w:r>
      <w:r w:rsidR="00620034" w:rsidRPr="00091C8C">
        <w:rPr>
          <w:rFonts w:ascii="Times New Roman" w:hAnsi="Times New Roman"/>
        </w:rPr>
        <w:t xml:space="preserve">products </w:t>
      </w:r>
      <w:r w:rsidR="00BF3A9D" w:rsidRPr="00091C8C">
        <w:rPr>
          <w:rFonts w:ascii="Times New Roman" w:hAnsi="Times New Roman"/>
        </w:rPr>
        <w:t>between 15</w:t>
      </w:r>
      <w:r w:rsidR="00882DC9" w:rsidRPr="00091C8C">
        <w:rPr>
          <w:rFonts w:ascii="Times New Roman" w:hAnsi="Times New Roman"/>
        </w:rPr>
        <w:t> </w:t>
      </w:r>
      <w:r w:rsidR="00BF3A9D" w:rsidRPr="00091C8C">
        <w:rPr>
          <w:rFonts w:ascii="Times New Roman" w:hAnsi="Times New Roman"/>
        </w:rPr>
        <w:t>June 2009 and 9</w:t>
      </w:r>
      <w:r w:rsidR="00882DC9" w:rsidRPr="00091C8C">
        <w:rPr>
          <w:rFonts w:ascii="Times New Roman" w:hAnsi="Times New Roman"/>
        </w:rPr>
        <w:t> </w:t>
      </w:r>
      <w:r w:rsidR="00BF3A9D" w:rsidRPr="00091C8C">
        <w:rPr>
          <w:rFonts w:ascii="Times New Roman" w:hAnsi="Times New Roman"/>
        </w:rPr>
        <w:t>December 2012</w:t>
      </w:r>
      <w:r w:rsidR="00A85B74" w:rsidRPr="00091C8C">
        <w:rPr>
          <w:rFonts w:ascii="Times New Roman" w:hAnsi="Times New Roman"/>
        </w:rPr>
        <w:t xml:space="preserve">, </w:t>
      </w:r>
      <w:r w:rsidR="00A85B74" w:rsidRPr="00091C8C">
        <w:rPr>
          <w:rFonts w:ascii="Times New Roman" w:hAnsi="Times New Roman"/>
        </w:rPr>
        <w:lastRenderedPageBreak/>
        <w:t>Sandoz</w:t>
      </w:r>
      <w:r w:rsidRPr="00091C8C">
        <w:rPr>
          <w:rFonts w:ascii="Times New Roman" w:hAnsi="Times New Roman"/>
        </w:rPr>
        <w:t xml:space="preserve"> infringed the Patent. Pharma </w:t>
      </w:r>
      <w:r w:rsidR="006B5680" w:rsidRPr="00091C8C">
        <w:rPr>
          <w:rFonts w:ascii="Times New Roman" w:hAnsi="Times New Roman"/>
        </w:rPr>
        <w:t xml:space="preserve">also </w:t>
      </w:r>
      <w:r w:rsidR="0072233F" w:rsidRPr="00091C8C">
        <w:rPr>
          <w:rFonts w:ascii="Times New Roman" w:hAnsi="Times New Roman"/>
        </w:rPr>
        <w:t xml:space="preserve">commenced proceedings </w:t>
      </w:r>
      <w:r w:rsidR="006B5680" w:rsidRPr="00091C8C">
        <w:rPr>
          <w:rFonts w:ascii="Times New Roman" w:hAnsi="Times New Roman"/>
        </w:rPr>
        <w:t xml:space="preserve">against Sandoz in the Federal Court. </w:t>
      </w:r>
      <w:r w:rsidR="00122984" w:rsidRPr="00091C8C">
        <w:rPr>
          <w:rFonts w:ascii="Times New Roman" w:hAnsi="Times New Roman"/>
        </w:rPr>
        <w:t>Being neither the patentee nor</w:t>
      </w:r>
      <w:r w:rsidR="00003305" w:rsidRPr="00091C8C">
        <w:rPr>
          <w:rFonts w:ascii="Times New Roman" w:hAnsi="Times New Roman"/>
        </w:rPr>
        <w:t xml:space="preserve"> an</w:t>
      </w:r>
      <w:r w:rsidR="00122984" w:rsidRPr="00091C8C">
        <w:rPr>
          <w:rFonts w:ascii="Times New Roman" w:hAnsi="Times New Roman"/>
        </w:rPr>
        <w:t xml:space="preserve"> exclusive licensee</w:t>
      </w:r>
      <w:r w:rsidR="00A966EE" w:rsidRPr="00091C8C">
        <w:rPr>
          <w:rFonts w:ascii="Times New Roman" w:hAnsi="Times New Roman"/>
        </w:rPr>
        <w:t>,</w:t>
      </w:r>
      <w:r w:rsidR="00122984" w:rsidRPr="00091C8C">
        <w:rPr>
          <w:rFonts w:ascii="Times New Roman" w:hAnsi="Times New Roman"/>
        </w:rPr>
        <w:t xml:space="preserve"> Pharma could not commence proceedings for patent infringement. Rather, Pharma put its</w:t>
      </w:r>
      <w:r w:rsidR="00E92318" w:rsidRPr="00091C8C">
        <w:rPr>
          <w:rFonts w:ascii="Times New Roman" w:hAnsi="Times New Roman"/>
        </w:rPr>
        <w:t xml:space="preserve"> </w:t>
      </w:r>
      <w:r w:rsidR="00C006E7" w:rsidRPr="00091C8C">
        <w:rPr>
          <w:rFonts w:ascii="Times New Roman" w:hAnsi="Times New Roman"/>
        </w:rPr>
        <w:t xml:space="preserve">separate </w:t>
      </w:r>
      <w:r w:rsidRPr="00091C8C">
        <w:rPr>
          <w:rFonts w:ascii="Times New Roman" w:hAnsi="Times New Roman"/>
        </w:rPr>
        <w:t xml:space="preserve">claim </w:t>
      </w:r>
      <w:r w:rsidR="00BD30AA" w:rsidRPr="00091C8C">
        <w:rPr>
          <w:rFonts w:ascii="Times New Roman" w:hAnsi="Times New Roman"/>
        </w:rPr>
        <w:t xml:space="preserve">to declaratory relief, damages and pre-judgment interest </w:t>
      </w:r>
      <w:r w:rsidRPr="00091C8C">
        <w:rPr>
          <w:rFonts w:ascii="Times New Roman" w:hAnsi="Times New Roman"/>
        </w:rPr>
        <w:t>on the basis that</w:t>
      </w:r>
      <w:r w:rsidR="001A1C02" w:rsidRPr="00091C8C">
        <w:rPr>
          <w:rFonts w:ascii="Times New Roman" w:hAnsi="Times New Roman"/>
        </w:rPr>
        <w:t xml:space="preserve"> </w:t>
      </w:r>
      <w:r w:rsidRPr="00091C8C">
        <w:rPr>
          <w:rFonts w:ascii="Times New Roman" w:hAnsi="Times New Roman"/>
        </w:rPr>
        <w:t xml:space="preserve">Sandoz </w:t>
      </w:r>
      <w:r w:rsidR="000066B4" w:rsidRPr="00091C8C">
        <w:rPr>
          <w:rFonts w:ascii="Times New Roman" w:hAnsi="Times New Roman"/>
        </w:rPr>
        <w:t xml:space="preserve">also </w:t>
      </w:r>
      <w:r w:rsidRPr="00091C8C">
        <w:rPr>
          <w:rFonts w:ascii="Times New Roman" w:hAnsi="Times New Roman"/>
        </w:rPr>
        <w:t xml:space="preserve">engaged in misleading </w:t>
      </w:r>
      <w:r w:rsidR="002E1533" w:rsidRPr="00091C8C">
        <w:rPr>
          <w:rFonts w:ascii="Times New Roman" w:hAnsi="Times New Roman"/>
        </w:rPr>
        <w:t xml:space="preserve">or </w:t>
      </w:r>
      <w:r w:rsidRPr="00091C8C">
        <w:rPr>
          <w:rFonts w:ascii="Times New Roman" w:hAnsi="Times New Roman"/>
        </w:rPr>
        <w:t xml:space="preserve">deceptive conduct within the meaning of </w:t>
      </w:r>
      <w:r w:rsidR="00CF5500" w:rsidRPr="00091C8C">
        <w:rPr>
          <w:rFonts w:ascii="Times New Roman" w:hAnsi="Times New Roman"/>
        </w:rPr>
        <w:t xml:space="preserve">s 52 of the </w:t>
      </w:r>
      <w:r w:rsidR="00CF5500" w:rsidRPr="00091C8C">
        <w:rPr>
          <w:rFonts w:ascii="Times New Roman" w:hAnsi="Times New Roman"/>
          <w:i/>
        </w:rPr>
        <w:t xml:space="preserve">Trade Practices Act 1974 </w:t>
      </w:r>
      <w:r w:rsidR="00CF5500" w:rsidRPr="00091C8C">
        <w:rPr>
          <w:rFonts w:ascii="Times New Roman" w:hAnsi="Times New Roman"/>
        </w:rPr>
        <w:t xml:space="preserve">(Cth) and s 18 of the </w:t>
      </w:r>
      <w:r w:rsidR="00CF5500" w:rsidRPr="00091C8C">
        <w:rPr>
          <w:rFonts w:ascii="Times New Roman" w:hAnsi="Times New Roman"/>
          <w:i/>
        </w:rPr>
        <w:t>Australian Consumer Law</w:t>
      </w:r>
      <w:r w:rsidR="00CF5500" w:rsidRPr="00091C8C">
        <w:rPr>
          <w:rFonts w:ascii="Times New Roman" w:hAnsi="Times New Roman"/>
        </w:rPr>
        <w:t xml:space="preserve"> in Sch</w:t>
      </w:r>
      <w:r w:rsidR="00F1249F" w:rsidRPr="00091C8C">
        <w:rPr>
          <w:rFonts w:ascii="Times New Roman" w:hAnsi="Times New Roman"/>
        </w:rPr>
        <w:t> </w:t>
      </w:r>
      <w:r w:rsidR="00CF5500" w:rsidRPr="00091C8C">
        <w:rPr>
          <w:rFonts w:ascii="Times New Roman" w:hAnsi="Times New Roman"/>
        </w:rPr>
        <w:t xml:space="preserve">2 to the </w:t>
      </w:r>
      <w:r w:rsidR="00CF5500" w:rsidRPr="00091C8C">
        <w:rPr>
          <w:rFonts w:ascii="Times New Roman" w:hAnsi="Times New Roman"/>
          <w:i/>
        </w:rPr>
        <w:t>Competition and Consumer Act 2010</w:t>
      </w:r>
      <w:r w:rsidR="00CF5500" w:rsidRPr="00091C8C">
        <w:rPr>
          <w:rFonts w:ascii="Times New Roman" w:hAnsi="Times New Roman"/>
        </w:rPr>
        <w:t xml:space="preserve"> (Cth)</w:t>
      </w:r>
      <w:r w:rsidR="00A966EE" w:rsidRPr="00091C8C">
        <w:rPr>
          <w:rFonts w:ascii="Times New Roman" w:hAnsi="Times New Roman"/>
        </w:rPr>
        <w:t xml:space="preserve">, by failing to warn customers and potential customers to whom it sold </w:t>
      </w:r>
      <w:r w:rsidR="00992C67" w:rsidRPr="00091C8C">
        <w:rPr>
          <w:rFonts w:ascii="Times New Roman" w:hAnsi="Times New Roman"/>
        </w:rPr>
        <w:t xml:space="preserve">its generic escitalopram products </w:t>
      </w:r>
      <w:r w:rsidR="00A966EE" w:rsidRPr="00091C8C">
        <w:rPr>
          <w:rFonts w:ascii="Times New Roman" w:hAnsi="Times New Roman"/>
        </w:rPr>
        <w:t xml:space="preserve">that their supply of </w:t>
      </w:r>
      <w:r w:rsidR="00F1249F" w:rsidRPr="00091C8C">
        <w:rPr>
          <w:rFonts w:ascii="Times New Roman" w:hAnsi="Times New Roman"/>
        </w:rPr>
        <w:t xml:space="preserve">those products </w:t>
      </w:r>
      <w:r w:rsidR="00A966EE" w:rsidRPr="00091C8C">
        <w:rPr>
          <w:rFonts w:ascii="Times New Roman" w:hAnsi="Times New Roman"/>
        </w:rPr>
        <w:t>might infringe the Patent if and when an extension of the term was granted</w:t>
      </w:r>
      <w:r w:rsidRPr="00091C8C">
        <w:rPr>
          <w:rFonts w:ascii="Times New Roman" w:hAnsi="Times New Roman"/>
          <w:i/>
        </w:rPr>
        <w:t>.</w:t>
      </w:r>
      <w:r w:rsidRPr="00091C8C">
        <w:rPr>
          <w:rFonts w:ascii="Times New Roman" w:hAnsi="Times New Roman"/>
        </w:rPr>
        <w:t xml:space="preserve">  </w:t>
      </w:r>
    </w:p>
    <w:p w14:paraId="3E7F9D22" w14:textId="02E40A0F" w:rsidR="00BF3841" w:rsidRPr="00091C8C" w:rsidRDefault="00BF3841" w:rsidP="00091C8C">
      <w:pPr>
        <w:pStyle w:val="FixListStyle"/>
        <w:spacing w:after="260" w:line="280" w:lineRule="exact"/>
        <w:ind w:right="0"/>
        <w:jc w:val="both"/>
        <w:rPr>
          <w:rFonts w:ascii="Times New Roman" w:hAnsi="Times New Roman"/>
        </w:rPr>
      </w:pPr>
      <w:r w:rsidRPr="00091C8C">
        <w:rPr>
          <w:rFonts w:ascii="Times New Roman" w:hAnsi="Times New Roman"/>
        </w:rPr>
        <w:tab/>
        <w:t xml:space="preserve">The primary judge </w:t>
      </w:r>
      <w:r w:rsidR="008A42F7" w:rsidRPr="00091C8C">
        <w:rPr>
          <w:rFonts w:ascii="Times New Roman" w:hAnsi="Times New Roman"/>
        </w:rPr>
        <w:t xml:space="preserve">found </w:t>
      </w:r>
      <w:r w:rsidRPr="00091C8C">
        <w:rPr>
          <w:rFonts w:ascii="Times New Roman" w:hAnsi="Times New Roman"/>
        </w:rPr>
        <w:t xml:space="preserve">against Sandoz </w:t>
      </w:r>
      <w:r w:rsidR="00743879" w:rsidRPr="00091C8C">
        <w:rPr>
          <w:rFonts w:ascii="Times New Roman" w:hAnsi="Times New Roman"/>
        </w:rPr>
        <w:t>in</w:t>
      </w:r>
      <w:r w:rsidRPr="00091C8C">
        <w:rPr>
          <w:rFonts w:ascii="Times New Roman" w:hAnsi="Times New Roman"/>
        </w:rPr>
        <w:t xml:space="preserve"> both </w:t>
      </w:r>
      <w:r w:rsidR="00743879" w:rsidRPr="00091C8C">
        <w:rPr>
          <w:rFonts w:ascii="Times New Roman" w:hAnsi="Times New Roman"/>
        </w:rPr>
        <w:t>proceedings</w:t>
      </w:r>
      <w:r w:rsidRPr="00091C8C">
        <w:rPr>
          <w:rFonts w:ascii="Times New Roman" w:hAnsi="Times New Roman"/>
        </w:rPr>
        <w:t xml:space="preserve">. Her Honour </w:t>
      </w:r>
      <w:r w:rsidR="00BA1246" w:rsidRPr="00091C8C">
        <w:rPr>
          <w:rFonts w:ascii="Times New Roman" w:hAnsi="Times New Roman"/>
        </w:rPr>
        <w:t xml:space="preserve">accordingly </w:t>
      </w:r>
      <w:r w:rsidR="0064112A" w:rsidRPr="00091C8C">
        <w:rPr>
          <w:rFonts w:ascii="Times New Roman" w:hAnsi="Times New Roman"/>
        </w:rPr>
        <w:t>made declarations</w:t>
      </w:r>
      <w:r w:rsidR="00CA163F" w:rsidRPr="00091C8C">
        <w:rPr>
          <w:rFonts w:ascii="Times New Roman" w:hAnsi="Times New Roman"/>
        </w:rPr>
        <w:t xml:space="preserve"> and awarded damages</w:t>
      </w:r>
      <w:r w:rsidRPr="00091C8C">
        <w:rPr>
          <w:rFonts w:ascii="Times New Roman" w:hAnsi="Times New Roman"/>
        </w:rPr>
        <w:t xml:space="preserve"> </w:t>
      </w:r>
      <w:r w:rsidR="00CA163F" w:rsidRPr="00091C8C">
        <w:rPr>
          <w:rFonts w:ascii="Times New Roman" w:hAnsi="Times New Roman"/>
        </w:rPr>
        <w:t xml:space="preserve">and pre-judgment interest </w:t>
      </w:r>
      <w:r w:rsidRPr="00091C8C">
        <w:rPr>
          <w:rFonts w:ascii="Times New Roman" w:hAnsi="Times New Roman"/>
        </w:rPr>
        <w:t>to</w:t>
      </w:r>
      <w:r w:rsidR="00743879" w:rsidRPr="00091C8C">
        <w:rPr>
          <w:rFonts w:ascii="Times New Roman" w:hAnsi="Times New Roman"/>
        </w:rPr>
        <w:t xml:space="preserve"> </w:t>
      </w:r>
      <w:r w:rsidRPr="00091C8C">
        <w:rPr>
          <w:rFonts w:ascii="Times New Roman" w:hAnsi="Times New Roman"/>
        </w:rPr>
        <w:t xml:space="preserve">Lundbeck </w:t>
      </w:r>
      <w:r w:rsidR="00743879" w:rsidRPr="00091C8C">
        <w:rPr>
          <w:rFonts w:ascii="Times New Roman" w:hAnsi="Times New Roman"/>
        </w:rPr>
        <w:t xml:space="preserve">Denmark </w:t>
      </w:r>
      <w:r w:rsidRPr="00091C8C">
        <w:rPr>
          <w:rFonts w:ascii="Times New Roman" w:hAnsi="Times New Roman"/>
        </w:rPr>
        <w:t xml:space="preserve">and Lundbeck </w:t>
      </w:r>
      <w:r w:rsidR="00743879" w:rsidRPr="00091C8C">
        <w:rPr>
          <w:rFonts w:ascii="Times New Roman" w:hAnsi="Times New Roman"/>
        </w:rPr>
        <w:t>Australia</w:t>
      </w:r>
      <w:r w:rsidRPr="00091C8C">
        <w:rPr>
          <w:rFonts w:ascii="Times New Roman" w:hAnsi="Times New Roman"/>
        </w:rPr>
        <w:t xml:space="preserve"> </w:t>
      </w:r>
      <w:r w:rsidR="00BA1246" w:rsidRPr="00091C8C">
        <w:rPr>
          <w:rFonts w:ascii="Times New Roman" w:hAnsi="Times New Roman"/>
        </w:rPr>
        <w:t>(</w:t>
      </w:r>
      <w:r w:rsidRPr="00091C8C">
        <w:rPr>
          <w:rFonts w:ascii="Times New Roman" w:hAnsi="Times New Roman"/>
        </w:rPr>
        <w:t>for loss found to have been occasioned to each of them by Sandoz's infringement of the Patent</w:t>
      </w:r>
      <w:r w:rsidR="00BA1246" w:rsidRPr="00091C8C">
        <w:rPr>
          <w:rFonts w:ascii="Times New Roman" w:hAnsi="Times New Roman"/>
        </w:rPr>
        <w:t xml:space="preserve">) and </w:t>
      </w:r>
      <w:r w:rsidRPr="00091C8C">
        <w:rPr>
          <w:rFonts w:ascii="Times New Roman" w:hAnsi="Times New Roman"/>
        </w:rPr>
        <w:t xml:space="preserve">to Pharma </w:t>
      </w:r>
      <w:r w:rsidR="00BA1246" w:rsidRPr="00091C8C">
        <w:rPr>
          <w:rFonts w:ascii="Times New Roman" w:hAnsi="Times New Roman"/>
        </w:rPr>
        <w:t>(</w:t>
      </w:r>
      <w:r w:rsidRPr="00091C8C">
        <w:rPr>
          <w:rFonts w:ascii="Times New Roman" w:hAnsi="Times New Roman"/>
        </w:rPr>
        <w:t xml:space="preserve">for loss found to have been occasioned to it by </w:t>
      </w:r>
      <w:r w:rsidR="00C303AE" w:rsidRPr="00091C8C">
        <w:rPr>
          <w:rFonts w:ascii="Times New Roman" w:hAnsi="Times New Roman"/>
        </w:rPr>
        <w:t xml:space="preserve">the conduct on the part of Sandoz that her Honour found </w:t>
      </w:r>
      <w:r w:rsidR="00D306DF" w:rsidRPr="00091C8C">
        <w:rPr>
          <w:rFonts w:ascii="Times New Roman" w:hAnsi="Times New Roman"/>
        </w:rPr>
        <w:t xml:space="preserve">to be </w:t>
      </w:r>
      <w:r w:rsidRPr="00091C8C">
        <w:rPr>
          <w:rFonts w:ascii="Times New Roman" w:hAnsi="Times New Roman"/>
        </w:rPr>
        <w:t xml:space="preserve">misleading </w:t>
      </w:r>
      <w:r w:rsidR="00D76F11" w:rsidRPr="00091C8C">
        <w:rPr>
          <w:rFonts w:ascii="Times New Roman" w:hAnsi="Times New Roman"/>
        </w:rPr>
        <w:t xml:space="preserve">or </w:t>
      </w:r>
      <w:r w:rsidR="00740635" w:rsidRPr="00091C8C">
        <w:rPr>
          <w:rFonts w:ascii="Times New Roman" w:hAnsi="Times New Roman"/>
        </w:rPr>
        <w:t>deceptive</w:t>
      </w:r>
      <w:r w:rsidR="00BA1246" w:rsidRPr="00091C8C">
        <w:rPr>
          <w:rFonts w:ascii="Times New Roman" w:hAnsi="Times New Roman"/>
        </w:rPr>
        <w:t>)</w:t>
      </w:r>
      <w:r w:rsidRPr="00091C8C">
        <w:rPr>
          <w:rFonts w:ascii="Times New Roman" w:hAnsi="Times New Roman"/>
        </w:rPr>
        <w:t>.</w:t>
      </w:r>
    </w:p>
    <w:p w14:paraId="40BBEA7B" w14:textId="46444EAF" w:rsidR="00BF3841" w:rsidRPr="00091C8C" w:rsidRDefault="00BF3841" w:rsidP="00091C8C">
      <w:pPr>
        <w:pStyle w:val="FixListStyle"/>
        <w:spacing w:after="260" w:line="280" w:lineRule="exact"/>
        <w:ind w:right="0"/>
        <w:jc w:val="both"/>
        <w:rPr>
          <w:rFonts w:ascii="Times New Roman" w:hAnsi="Times New Roman"/>
        </w:rPr>
      </w:pPr>
      <w:r w:rsidRPr="00091C8C">
        <w:rPr>
          <w:rFonts w:ascii="Times New Roman" w:hAnsi="Times New Roman"/>
        </w:rPr>
        <w:tab/>
        <w:t xml:space="preserve">The Full Court allowed Sandoz's appeals, setting aside the </w:t>
      </w:r>
      <w:r w:rsidR="00D11A81" w:rsidRPr="00091C8C">
        <w:rPr>
          <w:rFonts w:ascii="Times New Roman" w:hAnsi="Times New Roman"/>
        </w:rPr>
        <w:t>declarations and awards of damages and pre-judgment interest made by the primary judge</w:t>
      </w:r>
      <w:r w:rsidR="007C2878" w:rsidRPr="00091C8C">
        <w:rPr>
          <w:rFonts w:ascii="Times New Roman" w:hAnsi="Times New Roman"/>
        </w:rPr>
        <w:t xml:space="preserve">, </w:t>
      </w:r>
      <w:r w:rsidR="00EC426C" w:rsidRPr="00091C8C">
        <w:rPr>
          <w:rFonts w:ascii="Times New Roman" w:hAnsi="Times New Roman"/>
        </w:rPr>
        <w:t xml:space="preserve">and </w:t>
      </w:r>
      <w:r w:rsidR="00D11A81" w:rsidRPr="00091C8C">
        <w:rPr>
          <w:rFonts w:ascii="Times New Roman" w:hAnsi="Times New Roman"/>
        </w:rPr>
        <w:t xml:space="preserve">in </w:t>
      </w:r>
      <w:r w:rsidR="00EC426C" w:rsidRPr="00091C8C">
        <w:rPr>
          <w:rFonts w:ascii="Times New Roman" w:hAnsi="Times New Roman"/>
        </w:rPr>
        <w:t>their place ordering th</w:t>
      </w:r>
      <w:r w:rsidR="00E947F8" w:rsidRPr="00091C8C">
        <w:rPr>
          <w:rFonts w:ascii="Times New Roman" w:hAnsi="Times New Roman"/>
        </w:rPr>
        <w:t>e dismissal of</w:t>
      </w:r>
      <w:r w:rsidR="00EC426C" w:rsidRPr="00091C8C">
        <w:rPr>
          <w:rFonts w:ascii="Times New Roman" w:hAnsi="Times New Roman"/>
        </w:rPr>
        <w:t xml:space="preserve"> </w:t>
      </w:r>
      <w:r w:rsidR="00D11A81" w:rsidRPr="00091C8C">
        <w:rPr>
          <w:rFonts w:ascii="Times New Roman" w:hAnsi="Times New Roman"/>
        </w:rPr>
        <w:t>both proceedings</w:t>
      </w:r>
      <w:r w:rsidRPr="00091C8C">
        <w:rPr>
          <w:rFonts w:ascii="Times New Roman" w:hAnsi="Times New Roman"/>
        </w:rPr>
        <w:t xml:space="preserve">. The principal </w:t>
      </w:r>
      <w:r w:rsidR="00D65478" w:rsidRPr="00091C8C">
        <w:rPr>
          <w:rFonts w:ascii="Times New Roman" w:hAnsi="Times New Roman"/>
        </w:rPr>
        <w:t>ground</w:t>
      </w:r>
      <w:r w:rsidRPr="00091C8C">
        <w:rPr>
          <w:rFonts w:ascii="Times New Roman" w:hAnsi="Times New Roman"/>
        </w:rPr>
        <w:t xml:space="preserve"> on which the Full Court allowed </w:t>
      </w:r>
      <w:r w:rsidR="00D65478" w:rsidRPr="00091C8C">
        <w:rPr>
          <w:rFonts w:ascii="Times New Roman" w:hAnsi="Times New Roman"/>
        </w:rPr>
        <w:t>the</w:t>
      </w:r>
      <w:r w:rsidRPr="00091C8C">
        <w:rPr>
          <w:rFonts w:ascii="Times New Roman" w:hAnsi="Times New Roman"/>
        </w:rPr>
        <w:t xml:space="preserve"> appeals was that </w:t>
      </w:r>
      <w:r w:rsidR="004C793A" w:rsidRPr="00091C8C">
        <w:rPr>
          <w:rFonts w:ascii="Times New Roman" w:hAnsi="Times New Roman"/>
        </w:rPr>
        <w:t>the Full Court</w:t>
      </w:r>
      <w:r w:rsidRPr="00091C8C">
        <w:rPr>
          <w:rFonts w:ascii="Times New Roman" w:hAnsi="Times New Roman"/>
        </w:rPr>
        <w:t xml:space="preserve"> found</w:t>
      </w:r>
      <w:r w:rsidRPr="00091C8C">
        <w:rPr>
          <w:rStyle w:val="FootnoteReference"/>
          <w:rFonts w:ascii="Times New Roman" w:hAnsi="Times New Roman"/>
          <w:sz w:val="24"/>
        </w:rPr>
        <w:footnoteReference w:id="4"/>
      </w:r>
      <w:r w:rsidRPr="00091C8C">
        <w:rPr>
          <w:rFonts w:ascii="Times New Roman" w:hAnsi="Times New Roman"/>
        </w:rPr>
        <w:t>, contrary to a finding of the primary judge</w:t>
      </w:r>
      <w:r w:rsidRPr="00091C8C">
        <w:rPr>
          <w:rStyle w:val="FootnoteReference"/>
          <w:rFonts w:ascii="Times New Roman" w:hAnsi="Times New Roman"/>
          <w:sz w:val="24"/>
        </w:rPr>
        <w:footnoteReference w:id="5"/>
      </w:r>
      <w:r w:rsidRPr="00091C8C">
        <w:rPr>
          <w:rFonts w:ascii="Times New Roman" w:hAnsi="Times New Roman"/>
        </w:rPr>
        <w:t xml:space="preserve">, that Sandoz held a non-exclusive licence from Lundbeck </w:t>
      </w:r>
      <w:r w:rsidR="0060238A" w:rsidRPr="00091C8C">
        <w:rPr>
          <w:rFonts w:ascii="Times New Roman" w:hAnsi="Times New Roman"/>
        </w:rPr>
        <w:t xml:space="preserve">Australia </w:t>
      </w:r>
      <w:r w:rsidRPr="00091C8C">
        <w:rPr>
          <w:rFonts w:ascii="Times New Roman" w:hAnsi="Times New Roman"/>
        </w:rPr>
        <w:t>from 31</w:t>
      </w:r>
      <w:r w:rsidR="0032227B" w:rsidRPr="00091C8C">
        <w:rPr>
          <w:rFonts w:ascii="Times New Roman" w:hAnsi="Times New Roman"/>
        </w:rPr>
        <w:t> </w:t>
      </w:r>
      <w:r w:rsidRPr="00091C8C">
        <w:rPr>
          <w:rFonts w:ascii="Times New Roman" w:hAnsi="Times New Roman"/>
        </w:rPr>
        <w:t>May 2009 to 9</w:t>
      </w:r>
      <w:r w:rsidR="0032227B" w:rsidRPr="00091C8C">
        <w:rPr>
          <w:rFonts w:ascii="Times New Roman" w:hAnsi="Times New Roman"/>
        </w:rPr>
        <w:t> </w:t>
      </w:r>
      <w:r w:rsidRPr="00091C8C">
        <w:rPr>
          <w:rFonts w:ascii="Times New Roman" w:hAnsi="Times New Roman"/>
        </w:rPr>
        <w:t xml:space="preserve">December 2012 </w:t>
      </w:r>
      <w:r w:rsidR="00D64A13" w:rsidRPr="00091C8C">
        <w:rPr>
          <w:rFonts w:ascii="Times New Roman" w:hAnsi="Times New Roman"/>
        </w:rPr>
        <w:t>through the</w:t>
      </w:r>
      <w:r w:rsidRPr="00091C8C">
        <w:rPr>
          <w:rFonts w:ascii="Times New Roman" w:hAnsi="Times New Roman"/>
        </w:rPr>
        <w:t xml:space="preserve"> operation of a clause </w:t>
      </w:r>
      <w:r w:rsidR="005E5EE2" w:rsidRPr="00091C8C">
        <w:rPr>
          <w:rFonts w:ascii="Times New Roman" w:hAnsi="Times New Roman"/>
        </w:rPr>
        <w:t xml:space="preserve">("the </w:t>
      </w:r>
      <w:r w:rsidRPr="00091C8C">
        <w:rPr>
          <w:rFonts w:ascii="Times New Roman" w:hAnsi="Times New Roman"/>
        </w:rPr>
        <w:t xml:space="preserve">settlement </w:t>
      </w:r>
      <w:r w:rsidR="005E5EE2" w:rsidRPr="00091C8C">
        <w:rPr>
          <w:rFonts w:ascii="Times New Roman" w:hAnsi="Times New Roman"/>
        </w:rPr>
        <w:t xml:space="preserve">clause") </w:t>
      </w:r>
      <w:r w:rsidRPr="00091C8C">
        <w:rPr>
          <w:rFonts w:ascii="Times New Roman" w:hAnsi="Times New Roman"/>
        </w:rPr>
        <w:t>in a</w:t>
      </w:r>
      <w:r w:rsidR="005E5EE2" w:rsidRPr="00091C8C">
        <w:rPr>
          <w:rFonts w:ascii="Times New Roman" w:hAnsi="Times New Roman"/>
        </w:rPr>
        <w:t xml:space="preserve"> "Settlement Agreement"</w:t>
      </w:r>
      <w:r w:rsidRPr="00091C8C">
        <w:rPr>
          <w:rFonts w:ascii="Times New Roman" w:hAnsi="Times New Roman"/>
        </w:rPr>
        <w:t xml:space="preserve"> which Sandoz had entered into with Lundbeck </w:t>
      </w:r>
      <w:r w:rsidR="002176A9" w:rsidRPr="00091C8C">
        <w:rPr>
          <w:rFonts w:ascii="Times New Roman" w:hAnsi="Times New Roman"/>
        </w:rPr>
        <w:t xml:space="preserve">Denmark </w:t>
      </w:r>
      <w:r w:rsidRPr="00091C8C">
        <w:rPr>
          <w:rFonts w:ascii="Times New Roman" w:hAnsi="Times New Roman"/>
        </w:rPr>
        <w:t>and Lundbeck A</w:t>
      </w:r>
      <w:r w:rsidR="002176A9" w:rsidRPr="00091C8C">
        <w:rPr>
          <w:rFonts w:ascii="Times New Roman" w:hAnsi="Times New Roman"/>
        </w:rPr>
        <w:t>ustralia</w:t>
      </w:r>
      <w:r w:rsidRPr="00091C8C">
        <w:rPr>
          <w:rFonts w:ascii="Times New Roman" w:hAnsi="Times New Roman"/>
        </w:rPr>
        <w:t xml:space="preserve"> in February 2007. The holding of that non-exclusive licence meant that none of Sandoz's sales between 15</w:t>
      </w:r>
      <w:r w:rsidR="003430ED" w:rsidRPr="00091C8C">
        <w:rPr>
          <w:rFonts w:ascii="Times New Roman" w:hAnsi="Times New Roman"/>
        </w:rPr>
        <w:t> </w:t>
      </w:r>
      <w:r w:rsidRPr="00091C8C">
        <w:rPr>
          <w:rFonts w:ascii="Times New Roman" w:hAnsi="Times New Roman"/>
        </w:rPr>
        <w:t xml:space="preserve">June </w:t>
      </w:r>
      <w:r w:rsidR="00695431" w:rsidRPr="00091C8C">
        <w:rPr>
          <w:rFonts w:ascii="Times New Roman" w:hAnsi="Times New Roman"/>
        </w:rPr>
        <w:t>200</w:t>
      </w:r>
      <w:r w:rsidRPr="00091C8C">
        <w:rPr>
          <w:rFonts w:ascii="Times New Roman" w:hAnsi="Times New Roman"/>
        </w:rPr>
        <w:t xml:space="preserve">9 </w:t>
      </w:r>
      <w:r w:rsidR="00F17C6A" w:rsidRPr="00091C8C">
        <w:rPr>
          <w:rFonts w:ascii="Times New Roman" w:hAnsi="Times New Roman"/>
        </w:rPr>
        <w:t>and</w:t>
      </w:r>
      <w:r w:rsidR="00EE0574" w:rsidRPr="00091C8C">
        <w:rPr>
          <w:rFonts w:ascii="Times New Roman" w:hAnsi="Times New Roman"/>
        </w:rPr>
        <w:t xml:space="preserve"> </w:t>
      </w:r>
      <w:r w:rsidRPr="00091C8C">
        <w:rPr>
          <w:rFonts w:ascii="Times New Roman" w:hAnsi="Times New Roman"/>
        </w:rPr>
        <w:t>9</w:t>
      </w:r>
      <w:r w:rsidR="003430ED" w:rsidRPr="00091C8C">
        <w:rPr>
          <w:rFonts w:ascii="Times New Roman" w:hAnsi="Times New Roman"/>
        </w:rPr>
        <w:t> </w:t>
      </w:r>
      <w:r w:rsidRPr="00091C8C">
        <w:rPr>
          <w:rFonts w:ascii="Times New Roman" w:hAnsi="Times New Roman"/>
        </w:rPr>
        <w:t xml:space="preserve">December 2012 </w:t>
      </w:r>
      <w:r w:rsidR="008F6F77" w:rsidRPr="00091C8C">
        <w:rPr>
          <w:rFonts w:ascii="Times New Roman" w:hAnsi="Times New Roman"/>
        </w:rPr>
        <w:t>amounted to acts of infringement.</w:t>
      </w:r>
    </w:p>
    <w:p w14:paraId="041F5551" w14:textId="1751B803" w:rsidR="00BF3841" w:rsidRPr="00091C8C" w:rsidRDefault="00BF3841" w:rsidP="00091C8C">
      <w:pPr>
        <w:pStyle w:val="FixListStyle"/>
        <w:spacing w:after="260" w:line="280" w:lineRule="exact"/>
        <w:ind w:right="0"/>
        <w:jc w:val="both"/>
        <w:rPr>
          <w:rFonts w:ascii="Times New Roman" w:hAnsi="Times New Roman"/>
        </w:rPr>
      </w:pPr>
      <w:r w:rsidRPr="00091C8C">
        <w:rPr>
          <w:rFonts w:ascii="Times New Roman" w:hAnsi="Times New Roman"/>
        </w:rPr>
        <w:tab/>
        <w:t xml:space="preserve">The principal ground of each appeal to this Court is that the Full Court was wrong, and the primary judge was right, in their </w:t>
      </w:r>
      <w:r w:rsidR="002B63F0" w:rsidRPr="00091C8C">
        <w:rPr>
          <w:rFonts w:ascii="Times New Roman" w:hAnsi="Times New Roman"/>
        </w:rPr>
        <w:t>competing</w:t>
      </w:r>
      <w:r w:rsidRPr="00091C8C">
        <w:rPr>
          <w:rFonts w:ascii="Times New Roman" w:hAnsi="Times New Roman"/>
        </w:rPr>
        <w:t xml:space="preserve"> constructions of the </w:t>
      </w:r>
      <w:r w:rsidR="0068160C" w:rsidRPr="00091C8C">
        <w:rPr>
          <w:rFonts w:ascii="Times New Roman" w:hAnsi="Times New Roman"/>
        </w:rPr>
        <w:t>s</w:t>
      </w:r>
      <w:r w:rsidRPr="00091C8C">
        <w:rPr>
          <w:rFonts w:ascii="Times New Roman" w:hAnsi="Times New Roman"/>
        </w:rPr>
        <w:t xml:space="preserve">ettlement </w:t>
      </w:r>
      <w:r w:rsidR="00EC2782" w:rsidRPr="00091C8C">
        <w:rPr>
          <w:rFonts w:ascii="Times New Roman" w:hAnsi="Times New Roman"/>
        </w:rPr>
        <w:t>clause</w:t>
      </w:r>
      <w:r w:rsidRPr="00091C8C">
        <w:rPr>
          <w:rFonts w:ascii="Times New Roman" w:hAnsi="Times New Roman"/>
        </w:rPr>
        <w:t>. If that ground is upheld, as we think it should</w:t>
      </w:r>
      <w:r w:rsidR="008F19FD" w:rsidRPr="00091C8C">
        <w:rPr>
          <w:rFonts w:ascii="Times New Roman" w:hAnsi="Times New Roman"/>
        </w:rPr>
        <w:t xml:space="preserve"> be</w:t>
      </w:r>
      <w:r w:rsidRPr="00091C8C">
        <w:rPr>
          <w:rFonts w:ascii="Times New Roman" w:hAnsi="Times New Roman"/>
        </w:rPr>
        <w:t xml:space="preserve">, two further grounds arise in the Lundbeck </w:t>
      </w:r>
      <w:r w:rsidR="00D706E6" w:rsidRPr="00091C8C">
        <w:rPr>
          <w:rFonts w:ascii="Times New Roman" w:hAnsi="Times New Roman"/>
        </w:rPr>
        <w:t>Appeal</w:t>
      </w:r>
      <w:r w:rsidRPr="00091C8C">
        <w:rPr>
          <w:rFonts w:ascii="Times New Roman" w:hAnsi="Times New Roman"/>
        </w:rPr>
        <w:t xml:space="preserve"> and a further issue is raised by notice of contention in the Pharma</w:t>
      </w:r>
      <w:r w:rsidR="00D706E6" w:rsidRPr="00091C8C">
        <w:rPr>
          <w:rFonts w:ascii="Times New Roman" w:hAnsi="Times New Roman"/>
        </w:rPr>
        <w:t xml:space="preserve"> Appeal</w:t>
      </w:r>
      <w:r w:rsidRPr="00091C8C">
        <w:rPr>
          <w:rFonts w:ascii="Times New Roman" w:hAnsi="Times New Roman"/>
        </w:rPr>
        <w:t>.</w:t>
      </w:r>
    </w:p>
    <w:p w14:paraId="4118B5BB" w14:textId="35416732" w:rsidR="00BF3841" w:rsidRPr="00091C8C" w:rsidRDefault="00BF3841" w:rsidP="00091C8C">
      <w:pPr>
        <w:pStyle w:val="FixListStyle"/>
        <w:spacing w:after="260" w:line="280" w:lineRule="exact"/>
        <w:ind w:right="0"/>
        <w:jc w:val="both"/>
        <w:rPr>
          <w:rFonts w:ascii="Times New Roman" w:hAnsi="Times New Roman"/>
        </w:rPr>
      </w:pPr>
      <w:r w:rsidRPr="00091C8C">
        <w:rPr>
          <w:rFonts w:ascii="Times New Roman" w:hAnsi="Times New Roman"/>
        </w:rPr>
        <w:lastRenderedPageBreak/>
        <w:tab/>
        <w:t xml:space="preserve">The first of the further grounds in the Lundbeck </w:t>
      </w:r>
      <w:r w:rsidR="00151097" w:rsidRPr="00091C8C">
        <w:rPr>
          <w:rFonts w:ascii="Times New Roman" w:hAnsi="Times New Roman"/>
        </w:rPr>
        <w:t>Appeal</w:t>
      </w:r>
      <w:r w:rsidRPr="00091C8C">
        <w:rPr>
          <w:rFonts w:ascii="Times New Roman" w:hAnsi="Times New Roman"/>
        </w:rPr>
        <w:t xml:space="preserve"> concerns whether Lundbeck </w:t>
      </w:r>
      <w:r w:rsidR="009E6AAD" w:rsidRPr="00091C8C">
        <w:rPr>
          <w:rFonts w:ascii="Times New Roman" w:hAnsi="Times New Roman"/>
        </w:rPr>
        <w:t>Australia</w:t>
      </w:r>
      <w:r w:rsidRPr="00091C8C">
        <w:rPr>
          <w:rFonts w:ascii="Times New Roman" w:hAnsi="Times New Roman"/>
        </w:rPr>
        <w:t xml:space="preserve"> (as distinct from Lundbeck </w:t>
      </w:r>
      <w:r w:rsidR="009E6AAD" w:rsidRPr="00091C8C">
        <w:rPr>
          <w:rFonts w:ascii="Times New Roman" w:hAnsi="Times New Roman"/>
        </w:rPr>
        <w:t>Denmark</w:t>
      </w:r>
      <w:r w:rsidRPr="00091C8C">
        <w:rPr>
          <w:rFonts w:ascii="Times New Roman" w:hAnsi="Times New Roman"/>
        </w:rPr>
        <w:t>) had right</w:t>
      </w:r>
      <w:r w:rsidR="00EC2782" w:rsidRPr="00091C8C">
        <w:rPr>
          <w:rFonts w:ascii="Times New Roman" w:hAnsi="Times New Roman"/>
        </w:rPr>
        <w:t>s</w:t>
      </w:r>
      <w:r w:rsidRPr="00091C8C">
        <w:rPr>
          <w:rFonts w:ascii="Times New Roman" w:hAnsi="Times New Roman"/>
        </w:rPr>
        <w:t xml:space="preserve"> to bring </w:t>
      </w:r>
      <w:r w:rsidR="00685EB4" w:rsidRPr="00091C8C">
        <w:rPr>
          <w:rFonts w:ascii="Times New Roman" w:hAnsi="Times New Roman"/>
        </w:rPr>
        <w:t>proceedings</w:t>
      </w:r>
      <w:r w:rsidRPr="00091C8C">
        <w:rPr>
          <w:rFonts w:ascii="Times New Roman" w:hAnsi="Times New Roman"/>
        </w:rPr>
        <w:t xml:space="preserve"> </w:t>
      </w:r>
      <w:r w:rsidR="00E600BF" w:rsidRPr="00091C8C">
        <w:rPr>
          <w:rFonts w:ascii="Times New Roman" w:hAnsi="Times New Roman"/>
        </w:rPr>
        <w:t>in respect of acts of</w:t>
      </w:r>
      <w:r w:rsidRPr="00091C8C">
        <w:rPr>
          <w:rFonts w:ascii="Times New Roman" w:hAnsi="Times New Roman"/>
        </w:rPr>
        <w:t xml:space="preserve"> infringement during the extended term: the primary judge held that it did</w:t>
      </w:r>
      <w:r w:rsidRPr="00091C8C">
        <w:rPr>
          <w:rStyle w:val="FootnoteReference"/>
          <w:rFonts w:ascii="Times New Roman" w:hAnsi="Times New Roman"/>
          <w:sz w:val="24"/>
        </w:rPr>
        <w:footnoteReference w:id="6"/>
      </w:r>
      <w:r w:rsidRPr="00091C8C">
        <w:rPr>
          <w:rFonts w:ascii="Times New Roman" w:hAnsi="Times New Roman"/>
        </w:rPr>
        <w:t>; the Full Court considered that it did not</w:t>
      </w:r>
      <w:r w:rsidRPr="00091C8C">
        <w:rPr>
          <w:rStyle w:val="FootnoteReference"/>
          <w:rFonts w:ascii="Times New Roman" w:hAnsi="Times New Roman"/>
          <w:sz w:val="24"/>
        </w:rPr>
        <w:footnoteReference w:id="7"/>
      </w:r>
      <w:r w:rsidRPr="00091C8C">
        <w:rPr>
          <w:rFonts w:ascii="Times New Roman" w:hAnsi="Times New Roman"/>
        </w:rPr>
        <w:t>. The second concerns when a cause of action for damages for infringement during the extended term arose</w:t>
      </w:r>
      <w:r w:rsidR="001C437C" w:rsidRPr="00091C8C">
        <w:rPr>
          <w:rFonts w:ascii="Times New Roman" w:hAnsi="Times New Roman"/>
        </w:rPr>
        <w:t xml:space="preserve"> against Sandoz</w:t>
      </w:r>
      <w:r w:rsidRPr="00091C8C">
        <w:rPr>
          <w:rFonts w:ascii="Times New Roman" w:hAnsi="Times New Roman"/>
        </w:rPr>
        <w:t xml:space="preserve"> for the purpose of calculating pre</w:t>
      </w:r>
      <w:r w:rsidR="00170589" w:rsidRPr="00091C8C">
        <w:rPr>
          <w:rFonts w:ascii="Times New Roman" w:hAnsi="Times New Roman"/>
        </w:rPr>
        <w:t>-</w:t>
      </w:r>
      <w:r w:rsidRPr="00091C8C">
        <w:rPr>
          <w:rFonts w:ascii="Times New Roman" w:hAnsi="Times New Roman"/>
        </w:rPr>
        <w:t xml:space="preserve">judgment interest: </w:t>
      </w:r>
      <w:r w:rsidR="003F1812" w:rsidRPr="00091C8C">
        <w:rPr>
          <w:rFonts w:ascii="Times New Roman" w:hAnsi="Times New Roman"/>
        </w:rPr>
        <w:t xml:space="preserve">the primary judge held that </w:t>
      </w:r>
      <w:r w:rsidR="00B53F41" w:rsidRPr="00091C8C">
        <w:rPr>
          <w:rFonts w:ascii="Times New Roman" w:hAnsi="Times New Roman"/>
        </w:rPr>
        <w:t>the cause of action for Lundbeck Denmark arose annually from 15</w:t>
      </w:r>
      <w:r w:rsidR="00C75043" w:rsidRPr="00091C8C">
        <w:rPr>
          <w:rFonts w:ascii="Times New Roman" w:hAnsi="Times New Roman"/>
        </w:rPr>
        <w:t> </w:t>
      </w:r>
      <w:r w:rsidR="00B53F41" w:rsidRPr="00091C8C">
        <w:rPr>
          <w:rFonts w:ascii="Times New Roman" w:hAnsi="Times New Roman"/>
        </w:rPr>
        <w:t>June 2009 and for Lundbeck Australia arose at the time of each infringing sale</w:t>
      </w:r>
      <w:r w:rsidRPr="00091C8C">
        <w:rPr>
          <w:rStyle w:val="FootnoteReference"/>
          <w:rFonts w:ascii="Times New Roman" w:hAnsi="Times New Roman"/>
          <w:sz w:val="24"/>
        </w:rPr>
        <w:footnoteReference w:id="8"/>
      </w:r>
      <w:r w:rsidRPr="00091C8C">
        <w:rPr>
          <w:rFonts w:ascii="Times New Roman" w:hAnsi="Times New Roman"/>
        </w:rPr>
        <w:t>; the Full Court considered that no cause of action arose until the later grant of the extension of the term of the Patent</w:t>
      </w:r>
      <w:r w:rsidRPr="00091C8C">
        <w:rPr>
          <w:rStyle w:val="FootnoteReference"/>
          <w:rFonts w:ascii="Times New Roman" w:hAnsi="Times New Roman"/>
          <w:sz w:val="24"/>
        </w:rPr>
        <w:footnoteReference w:id="9"/>
      </w:r>
      <w:r w:rsidRPr="00091C8C">
        <w:rPr>
          <w:rFonts w:ascii="Times New Roman" w:hAnsi="Times New Roman"/>
        </w:rPr>
        <w:t xml:space="preserve">. In respect of both grounds, we think that the Full Court was </w:t>
      </w:r>
      <w:r w:rsidR="00AD652F" w:rsidRPr="00091C8C">
        <w:rPr>
          <w:rFonts w:ascii="Times New Roman" w:hAnsi="Times New Roman"/>
        </w:rPr>
        <w:t>correct</w:t>
      </w:r>
      <w:r w:rsidRPr="00091C8C">
        <w:rPr>
          <w:rFonts w:ascii="Times New Roman" w:hAnsi="Times New Roman"/>
        </w:rPr>
        <w:t>.</w:t>
      </w:r>
    </w:p>
    <w:p w14:paraId="6C008E57" w14:textId="657E23A8" w:rsidR="00BF3841" w:rsidRPr="00091C8C" w:rsidRDefault="00BF3841" w:rsidP="00091C8C">
      <w:pPr>
        <w:pStyle w:val="FixListStyle"/>
        <w:spacing w:after="260" w:line="280" w:lineRule="exact"/>
        <w:ind w:right="0"/>
        <w:jc w:val="both"/>
        <w:rPr>
          <w:rFonts w:ascii="Times New Roman" w:hAnsi="Times New Roman"/>
        </w:rPr>
      </w:pPr>
      <w:r w:rsidRPr="00091C8C">
        <w:rPr>
          <w:rFonts w:ascii="Times New Roman" w:hAnsi="Times New Roman"/>
        </w:rPr>
        <w:tab/>
        <w:t xml:space="preserve">The further issue </w:t>
      </w:r>
      <w:r w:rsidR="001C437C" w:rsidRPr="00091C8C">
        <w:rPr>
          <w:rFonts w:ascii="Times New Roman" w:hAnsi="Times New Roman"/>
        </w:rPr>
        <w:t xml:space="preserve">which </w:t>
      </w:r>
      <w:r w:rsidR="00E959F9" w:rsidRPr="00091C8C">
        <w:rPr>
          <w:rFonts w:ascii="Times New Roman" w:hAnsi="Times New Roman"/>
        </w:rPr>
        <w:t>aris</w:t>
      </w:r>
      <w:r w:rsidR="001C437C" w:rsidRPr="00091C8C">
        <w:rPr>
          <w:rFonts w:ascii="Times New Roman" w:hAnsi="Times New Roman"/>
        </w:rPr>
        <w:t>es</w:t>
      </w:r>
      <w:r w:rsidRPr="00091C8C">
        <w:rPr>
          <w:rFonts w:ascii="Times New Roman" w:hAnsi="Times New Roman"/>
        </w:rPr>
        <w:t xml:space="preserve"> by notice of contention in the Pharma </w:t>
      </w:r>
      <w:r w:rsidR="00F11AF9" w:rsidRPr="00091C8C">
        <w:rPr>
          <w:rFonts w:ascii="Times New Roman" w:hAnsi="Times New Roman"/>
        </w:rPr>
        <w:t>Appeal</w:t>
      </w:r>
      <w:r w:rsidRPr="00091C8C">
        <w:rPr>
          <w:rFonts w:ascii="Times New Roman" w:hAnsi="Times New Roman"/>
        </w:rPr>
        <w:t xml:space="preserve"> is whether Sandoz's failure to warn the pharmacists to whom it sold that supply of its generic escitalopram products might infringe the Patent if and when an extension of the term was granted constituted misleading </w:t>
      </w:r>
      <w:r w:rsidR="0091671F" w:rsidRPr="00091C8C">
        <w:rPr>
          <w:rFonts w:ascii="Times New Roman" w:hAnsi="Times New Roman"/>
        </w:rPr>
        <w:t xml:space="preserve">or </w:t>
      </w:r>
      <w:r w:rsidRPr="00091C8C">
        <w:rPr>
          <w:rFonts w:ascii="Times New Roman" w:hAnsi="Times New Roman"/>
        </w:rPr>
        <w:t>deceptive conduct. The primary judge, as already noted, found that it did</w:t>
      </w:r>
      <w:r w:rsidRPr="00091C8C">
        <w:rPr>
          <w:rStyle w:val="FootnoteReference"/>
          <w:rFonts w:ascii="Times New Roman" w:hAnsi="Times New Roman"/>
          <w:sz w:val="24"/>
        </w:rPr>
        <w:footnoteReference w:id="10"/>
      </w:r>
      <w:r w:rsidRPr="00091C8C">
        <w:rPr>
          <w:rFonts w:ascii="Times New Roman" w:hAnsi="Times New Roman"/>
        </w:rPr>
        <w:t xml:space="preserve">. The Full Court did not need to address that finding given that, on its construction of the </w:t>
      </w:r>
      <w:r w:rsidR="007569BD" w:rsidRPr="00091C8C">
        <w:rPr>
          <w:rFonts w:ascii="Times New Roman" w:hAnsi="Times New Roman"/>
        </w:rPr>
        <w:t>settlement clause</w:t>
      </w:r>
      <w:r w:rsidRPr="00091C8C">
        <w:rPr>
          <w:rFonts w:ascii="Times New Roman" w:hAnsi="Times New Roman"/>
        </w:rPr>
        <w:t>, none of Sandoz's sales between 15</w:t>
      </w:r>
      <w:r w:rsidR="00E44D48" w:rsidRPr="00091C8C">
        <w:rPr>
          <w:rFonts w:ascii="Times New Roman" w:hAnsi="Times New Roman"/>
        </w:rPr>
        <w:t> </w:t>
      </w:r>
      <w:r w:rsidRPr="00091C8C">
        <w:rPr>
          <w:rFonts w:ascii="Times New Roman" w:hAnsi="Times New Roman"/>
        </w:rPr>
        <w:t xml:space="preserve">June </w:t>
      </w:r>
      <w:r w:rsidR="00695431" w:rsidRPr="00091C8C">
        <w:rPr>
          <w:rFonts w:ascii="Times New Roman" w:hAnsi="Times New Roman"/>
        </w:rPr>
        <w:t>200</w:t>
      </w:r>
      <w:r w:rsidRPr="00091C8C">
        <w:rPr>
          <w:rFonts w:ascii="Times New Roman" w:hAnsi="Times New Roman"/>
        </w:rPr>
        <w:t xml:space="preserve">9 </w:t>
      </w:r>
      <w:r w:rsidR="001052EF" w:rsidRPr="00091C8C">
        <w:rPr>
          <w:rFonts w:ascii="Times New Roman" w:hAnsi="Times New Roman"/>
        </w:rPr>
        <w:t>and</w:t>
      </w:r>
      <w:r w:rsidRPr="00091C8C">
        <w:rPr>
          <w:rFonts w:ascii="Times New Roman" w:hAnsi="Times New Roman"/>
        </w:rPr>
        <w:t xml:space="preserve"> 9</w:t>
      </w:r>
      <w:r w:rsidR="003B520E" w:rsidRPr="00091C8C">
        <w:rPr>
          <w:rFonts w:ascii="Times New Roman" w:hAnsi="Times New Roman"/>
        </w:rPr>
        <w:t> </w:t>
      </w:r>
      <w:r w:rsidRPr="00091C8C">
        <w:rPr>
          <w:rFonts w:ascii="Times New Roman" w:hAnsi="Times New Roman"/>
        </w:rPr>
        <w:t>December 2012 infringed the Patent</w:t>
      </w:r>
      <w:r w:rsidR="00B27E04" w:rsidRPr="00091C8C">
        <w:rPr>
          <w:rStyle w:val="FootnoteReference"/>
          <w:rFonts w:ascii="Times New Roman" w:hAnsi="Times New Roman"/>
          <w:sz w:val="24"/>
        </w:rPr>
        <w:footnoteReference w:id="11"/>
      </w:r>
      <w:r w:rsidRPr="00091C8C">
        <w:rPr>
          <w:rFonts w:ascii="Times New Roman" w:hAnsi="Times New Roman"/>
        </w:rPr>
        <w:t>.</w:t>
      </w:r>
      <w:r w:rsidR="00660DEC" w:rsidRPr="00091C8C">
        <w:rPr>
          <w:rFonts w:ascii="Times New Roman" w:hAnsi="Times New Roman"/>
        </w:rPr>
        <w:t xml:space="preserve"> </w:t>
      </w:r>
      <w:r w:rsidR="00065266" w:rsidRPr="00091C8C">
        <w:rPr>
          <w:rFonts w:ascii="Times New Roman" w:hAnsi="Times New Roman"/>
        </w:rPr>
        <w:t>D</w:t>
      </w:r>
      <w:r w:rsidR="005A613F" w:rsidRPr="00091C8C">
        <w:rPr>
          <w:rFonts w:ascii="Times New Roman" w:hAnsi="Times New Roman"/>
        </w:rPr>
        <w:t>isagree</w:t>
      </w:r>
      <w:r w:rsidR="001F7365" w:rsidRPr="00091C8C">
        <w:rPr>
          <w:rFonts w:ascii="Times New Roman" w:hAnsi="Times New Roman"/>
        </w:rPr>
        <w:t>ing</w:t>
      </w:r>
      <w:r w:rsidR="005A613F" w:rsidRPr="00091C8C">
        <w:rPr>
          <w:rFonts w:ascii="Times New Roman" w:hAnsi="Times New Roman"/>
        </w:rPr>
        <w:t xml:space="preserve"> with the primary judge</w:t>
      </w:r>
      <w:r w:rsidR="001F7365" w:rsidRPr="00091C8C">
        <w:rPr>
          <w:rFonts w:ascii="Times New Roman" w:hAnsi="Times New Roman"/>
        </w:rPr>
        <w:t>, we do not consider</w:t>
      </w:r>
      <w:r w:rsidR="00D668C3" w:rsidRPr="00091C8C">
        <w:rPr>
          <w:rFonts w:ascii="Times New Roman" w:hAnsi="Times New Roman"/>
        </w:rPr>
        <w:t xml:space="preserve"> that Sandoz's failure to warn</w:t>
      </w:r>
      <w:r w:rsidR="005A613F" w:rsidRPr="00091C8C">
        <w:rPr>
          <w:rFonts w:ascii="Times New Roman" w:hAnsi="Times New Roman"/>
        </w:rPr>
        <w:t xml:space="preserve"> </w:t>
      </w:r>
      <w:r w:rsidR="002142AF" w:rsidRPr="00091C8C">
        <w:rPr>
          <w:rFonts w:ascii="Times New Roman" w:hAnsi="Times New Roman"/>
        </w:rPr>
        <w:t>amounted to</w:t>
      </w:r>
      <w:r w:rsidR="005A613F" w:rsidRPr="00091C8C">
        <w:rPr>
          <w:rFonts w:ascii="Times New Roman" w:hAnsi="Times New Roman"/>
        </w:rPr>
        <w:t xml:space="preserve"> misleading </w:t>
      </w:r>
      <w:r w:rsidR="0091671F" w:rsidRPr="00091C8C">
        <w:rPr>
          <w:rFonts w:ascii="Times New Roman" w:hAnsi="Times New Roman"/>
        </w:rPr>
        <w:t xml:space="preserve">or </w:t>
      </w:r>
      <w:r w:rsidR="005A613F" w:rsidRPr="00091C8C">
        <w:rPr>
          <w:rFonts w:ascii="Times New Roman" w:hAnsi="Times New Roman"/>
        </w:rPr>
        <w:t>deceptive conduct</w:t>
      </w:r>
      <w:r w:rsidR="00D668C3" w:rsidRPr="00091C8C">
        <w:rPr>
          <w:rFonts w:ascii="Times New Roman" w:hAnsi="Times New Roman"/>
        </w:rPr>
        <w:t>.</w:t>
      </w:r>
    </w:p>
    <w:p w14:paraId="6C617D6A" w14:textId="55AFBC82" w:rsidR="00BF3841" w:rsidRPr="00091C8C" w:rsidRDefault="00BF3841" w:rsidP="00091C8C">
      <w:pPr>
        <w:pStyle w:val="FixListStyle"/>
        <w:spacing w:after="260" w:line="280" w:lineRule="exact"/>
        <w:ind w:right="0"/>
        <w:jc w:val="both"/>
        <w:rPr>
          <w:rFonts w:ascii="Times New Roman" w:hAnsi="Times New Roman"/>
        </w:rPr>
      </w:pPr>
      <w:r w:rsidRPr="00091C8C">
        <w:rPr>
          <w:rFonts w:ascii="Times New Roman" w:hAnsi="Times New Roman"/>
        </w:rPr>
        <w:tab/>
      </w:r>
      <w:r w:rsidR="00A03D56" w:rsidRPr="00091C8C">
        <w:rPr>
          <w:rFonts w:ascii="Times New Roman" w:hAnsi="Times New Roman"/>
        </w:rPr>
        <w:t>Though</w:t>
      </w:r>
      <w:r w:rsidRPr="00091C8C">
        <w:rPr>
          <w:rFonts w:ascii="Times New Roman" w:hAnsi="Times New Roman"/>
        </w:rPr>
        <w:t xml:space="preserve"> the issue raised by</w:t>
      </w:r>
      <w:r w:rsidR="00532362" w:rsidRPr="00091C8C">
        <w:rPr>
          <w:rFonts w:ascii="Times New Roman" w:hAnsi="Times New Roman"/>
        </w:rPr>
        <w:t xml:space="preserve"> the</w:t>
      </w:r>
      <w:r w:rsidRPr="00091C8C">
        <w:rPr>
          <w:rFonts w:ascii="Times New Roman" w:hAnsi="Times New Roman"/>
        </w:rPr>
        <w:t xml:space="preserve"> notice of contention in the Pharma </w:t>
      </w:r>
      <w:r w:rsidR="00A63D9D" w:rsidRPr="00091C8C">
        <w:rPr>
          <w:rFonts w:ascii="Times New Roman" w:hAnsi="Times New Roman"/>
        </w:rPr>
        <w:t>Appeal</w:t>
      </w:r>
      <w:r w:rsidRPr="00091C8C">
        <w:rPr>
          <w:rFonts w:ascii="Times New Roman" w:hAnsi="Times New Roman"/>
        </w:rPr>
        <w:t xml:space="preserve"> is discrete, resolution of each of the other issues in the appeals, including the construction of the </w:t>
      </w:r>
      <w:r w:rsidR="00A63D9D" w:rsidRPr="00091C8C">
        <w:rPr>
          <w:rFonts w:ascii="Times New Roman" w:hAnsi="Times New Roman"/>
        </w:rPr>
        <w:t>s</w:t>
      </w:r>
      <w:r w:rsidRPr="00091C8C">
        <w:rPr>
          <w:rFonts w:ascii="Times New Roman" w:hAnsi="Times New Roman"/>
        </w:rPr>
        <w:t xml:space="preserve">ettlement </w:t>
      </w:r>
      <w:r w:rsidR="00A63D9D" w:rsidRPr="00091C8C">
        <w:rPr>
          <w:rFonts w:ascii="Times New Roman" w:hAnsi="Times New Roman"/>
        </w:rPr>
        <w:t>clause</w:t>
      </w:r>
      <w:r w:rsidRPr="00091C8C">
        <w:rPr>
          <w:rFonts w:ascii="Times New Roman" w:hAnsi="Times New Roman"/>
        </w:rPr>
        <w:t>, turns substantially o</w:t>
      </w:r>
      <w:r w:rsidR="003A0BF7" w:rsidRPr="00091C8C">
        <w:rPr>
          <w:rFonts w:ascii="Times New Roman" w:hAnsi="Times New Roman"/>
        </w:rPr>
        <w:t>n</w:t>
      </w:r>
      <w:r w:rsidRPr="00091C8C">
        <w:rPr>
          <w:rFonts w:ascii="Times New Roman" w:hAnsi="Times New Roman"/>
        </w:rPr>
        <w:t xml:space="preserve"> the </w:t>
      </w:r>
      <w:r w:rsidR="003A0BF7" w:rsidRPr="00091C8C">
        <w:rPr>
          <w:rFonts w:ascii="Times New Roman" w:hAnsi="Times New Roman"/>
        </w:rPr>
        <w:t>constr</w:t>
      </w:r>
      <w:r w:rsidR="00212FBB" w:rsidRPr="00091C8C">
        <w:rPr>
          <w:rFonts w:ascii="Times New Roman" w:hAnsi="Times New Roman"/>
        </w:rPr>
        <w:t>uction</w:t>
      </w:r>
      <w:r w:rsidRPr="00091C8C">
        <w:rPr>
          <w:rFonts w:ascii="Times New Roman" w:hAnsi="Times New Roman"/>
        </w:rPr>
        <w:t xml:space="preserve"> and operation of provisions of the Act governing the </w:t>
      </w:r>
      <w:r w:rsidR="005F055D" w:rsidRPr="00091C8C">
        <w:rPr>
          <w:rFonts w:ascii="Times New Roman" w:hAnsi="Times New Roman"/>
        </w:rPr>
        <w:t xml:space="preserve">extension of the </w:t>
      </w:r>
      <w:r w:rsidRPr="00091C8C">
        <w:rPr>
          <w:rFonts w:ascii="Times New Roman" w:hAnsi="Times New Roman"/>
        </w:rPr>
        <w:t>term</w:t>
      </w:r>
      <w:r w:rsidR="005F055D" w:rsidRPr="00091C8C">
        <w:rPr>
          <w:rFonts w:ascii="Times New Roman" w:hAnsi="Times New Roman"/>
        </w:rPr>
        <w:t>s</w:t>
      </w:r>
      <w:r w:rsidRPr="00091C8C">
        <w:rPr>
          <w:rFonts w:ascii="Times New Roman" w:hAnsi="Times New Roman"/>
        </w:rPr>
        <w:t xml:space="preserve"> of standard patents relating to pharmaceutical substances. Those provisions are </w:t>
      </w:r>
      <w:r w:rsidR="00846C27" w:rsidRPr="00091C8C">
        <w:rPr>
          <w:rFonts w:ascii="Times New Roman" w:hAnsi="Times New Roman"/>
        </w:rPr>
        <w:t>best</w:t>
      </w:r>
      <w:r w:rsidRPr="00091C8C">
        <w:rPr>
          <w:rFonts w:ascii="Times New Roman" w:hAnsi="Times New Roman"/>
        </w:rPr>
        <w:t xml:space="preserve"> </w:t>
      </w:r>
      <w:r w:rsidR="00A42DE5" w:rsidRPr="00091C8C">
        <w:rPr>
          <w:rFonts w:ascii="Times New Roman" w:hAnsi="Times New Roman"/>
        </w:rPr>
        <w:t>exp</w:t>
      </w:r>
      <w:r w:rsidR="003B7425" w:rsidRPr="00091C8C">
        <w:rPr>
          <w:rFonts w:ascii="Times New Roman" w:hAnsi="Times New Roman"/>
        </w:rPr>
        <w:t>ounded</w:t>
      </w:r>
      <w:r w:rsidR="00F26434" w:rsidRPr="00091C8C">
        <w:rPr>
          <w:rFonts w:ascii="Times New Roman" w:hAnsi="Times New Roman"/>
        </w:rPr>
        <w:t>,</w:t>
      </w:r>
      <w:r w:rsidRPr="00091C8C">
        <w:rPr>
          <w:rFonts w:ascii="Times New Roman" w:hAnsi="Times New Roman"/>
        </w:rPr>
        <w:t xml:space="preserve"> and the facts relating to the Settlement Agreement recorded</w:t>
      </w:r>
      <w:r w:rsidR="00A936EE" w:rsidRPr="00091C8C">
        <w:rPr>
          <w:rFonts w:ascii="Times New Roman" w:hAnsi="Times New Roman"/>
        </w:rPr>
        <w:t>,</w:t>
      </w:r>
      <w:r w:rsidRPr="00091C8C">
        <w:rPr>
          <w:rFonts w:ascii="Times New Roman" w:hAnsi="Times New Roman"/>
        </w:rPr>
        <w:t xml:space="preserve"> before </w:t>
      </w:r>
      <w:r w:rsidR="003B7425" w:rsidRPr="00091C8C">
        <w:rPr>
          <w:rFonts w:ascii="Times New Roman" w:hAnsi="Times New Roman"/>
        </w:rPr>
        <w:lastRenderedPageBreak/>
        <w:t>explaining</w:t>
      </w:r>
      <w:r w:rsidR="00060DEA" w:rsidRPr="00091C8C">
        <w:rPr>
          <w:rFonts w:ascii="Times New Roman" w:hAnsi="Times New Roman"/>
        </w:rPr>
        <w:t xml:space="preserve"> in turn</w:t>
      </w:r>
      <w:r w:rsidR="005B3F23" w:rsidRPr="00091C8C">
        <w:rPr>
          <w:rFonts w:ascii="Times New Roman" w:hAnsi="Times New Roman"/>
        </w:rPr>
        <w:t>:</w:t>
      </w:r>
      <w:r w:rsidR="00C545D0" w:rsidRPr="00091C8C">
        <w:rPr>
          <w:rFonts w:ascii="Times New Roman" w:hAnsi="Times New Roman"/>
        </w:rPr>
        <w:t xml:space="preserve"> the </w:t>
      </w:r>
      <w:r w:rsidR="00C8201C" w:rsidRPr="00091C8C">
        <w:rPr>
          <w:rFonts w:ascii="Times New Roman" w:hAnsi="Times New Roman"/>
        </w:rPr>
        <w:t xml:space="preserve">proper </w:t>
      </w:r>
      <w:r w:rsidR="00C545D0" w:rsidRPr="00091C8C">
        <w:rPr>
          <w:rFonts w:ascii="Times New Roman" w:hAnsi="Times New Roman"/>
        </w:rPr>
        <w:t>construction of the settlement clause</w:t>
      </w:r>
      <w:r w:rsidR="004443C1" w:rsidRPr="00091C8C">
        <w:rPr>
          <w:rFonts w:ascii="Times New Roman" w:hAnsi="Times New Roman"/>
        </w:rPr>
        <w:t>;</w:t>
      </w:r>
      <w:r w:rsidR="003B7425" w:rsidRPr="00091C8C">
        <w:rPr>
          <w:rFonts w:ascii="Times New Roman" w:hAnsi="Times New Roman"/>
        </w:rPr>
        <w:t xml:space="preserve"> </w:t>
      </w:r>
      <w:r w:rsidR="003C4A16" w:rsidRPr="00091C8C">
        <w:rPr>
          <w:rFonts w:ascii="Times New Roman" w:hAnsi="Times New Roman"/>
        </w:rPr>
        <w:t xml:space="preserve">why </w:t>
      </w:r>
      <w:r w:rsidR="00F726C5" w:rsidRPr="00091C8C">
        <w:rPr>
          <w:rFonts w:ascii="Times New Roman" w:hAnsi="Times New Roman"/>
        </w:rPr>
        <w:t xml:space="preserve">Lundbeck Australia had </w:t>
      </w:r>
      <w:r w:rsidR="00C95596" w:rsidRPr="00091C8C">
        <w:rPr>
          <w:rFonts w:ascii="Times New Roman" w:hAnsi="Times New Roman"/>
        </w:rPr>
        <w:t>no</w:t>
      </w:r>
      <w:r w:rsidR="00F726C5" w:rsidRPr="00091C8C">
        <w:rPr>
          <w:rFonts w:ascii="Times New Roman" w:hAnsi="Times New Roman"/>
        </w:rPr>
        <w:t xml:space="preserve"> right to bring proceedings for infringement </w:t>
      </w:r>
      <w:r w:rsidR="00C95596" w:rsidRPr="00091C8C">
        <w:rPr>
          <w:rFonts w:ascii="Times New Roman" w:hAnsi="Times New Roman"/>
        </w:rPr>
        <w:t xml:space="preserve">during the </w:t>
      </w:r>
      <w:r w:rsidR="0026751F" w:rsidRPr="00091C8C">
        <w:rPr>
          <w:rFonts w:ascii="Times New Roman" w:hAnsi="Times New Roman"/>
        </w:rPr>
        <w:t xml:space="preserve">extended </w:t>
      </w:r>
      <w:r w:rsidR="00C95596" w:rsidRPr="00091C8C">
        <w:rPr>
          <w:rFonts w:ascii="Times New Roman" w:hAnsi="Times New Roman"/>
        </w:rPr>
        <w:t>term</w:t>
      </w:r>
      <w:r w:rsidR="004443C1" w:rsidRPr="00091C8C">
        <w:rPr>
          <w:rFonts w:ascii="Times New Roman" w:hAnsi="Times New Roman"/>
        </w:rPr>
        <w:t>;</w:t>
      </w:r>
      <w:r w:rsidR="00C95596" w:rsidRPr="00091C8C">
        <w:rPr>
          <w:rFonts w:ascii="Times New Roman" w:hAnsi="Times New Roman"/>
        </w:rPr>
        <w:t xml:space="preserve"> </w:t>
      </w:r>
      <w:r w:rsidR="00DD765F" w:rsidRPr="00091C8C">
        <w:rPr>
          <w:rFonts w:ascii="Times New Roman" w:hAnsi="Times New Roman"/>
        </w:rPr>
        <w:t xml:space="preserve">why Lundbeck Denmark had no cause of action </w:t>
      </w:r>
      <w:r w:rsidR="00681EE1" w:rsidRPr="00091C8C">
        <w:rPr>
          <w:rFonts w:ascii="Times New Roman" w:hAnsi="Times New Roman"/>
        </w:rPr>
        <w:t xml:space="preserve">against Sandoz </w:t>
      </w:r>
      <w:r w:rsidR="00DD765F" w:rsidRPr="00091C8C">
        <w:rPr>
          <w:rFonts w:ascii="Times New Roman" w:hAnsi="Times New Roman"/>
        </w:rPr>
        <w:t>until the grant of the extension of the term</w:t>
      </w:r>
      <w:r w:rsidR="004443C1" w:rsidRPr="00091C8C">
        <w:rPr>
          <w:rFonts w:ascii="Times New Roman" w:hAnsi="Times New Roman"/>
        </w:rPr>
        <w:t>;</w:t>
      </w:r>
      <w:r w:rsidR="00DD765F" w:rsidRPr="00091C8C">
        <w:rPr>
          <w:rFonts w:ascii="Times New Roman" w:hAnsi="Times New Roman"/>
        </w:rPr>
        <w:t xml:space="preserve"> and </w:t>
      </w:r>
      <w:r w:rsidR="005B3F23" w:rsidRPr="00091C8C">
        <w:rPr>
          <w:rFonts w:ascii="Times New Roman" w:hAnsi="Times New Roman"/>
        </w:rPr>
        <w:t xml:space="preserve">why Sandoz's failure to warn did not constitute misleading </w:t>
      </w:r>
      <w:r w:rsidR="00C47BCC" w:rsidRPr="00091C8C">
        <w:rPr>
          <w:rFonts w:ascii="Times New Roman" w:hAnsi="Times New Roman"/>
        </w:rPr>
        <w:t xml:space="preserve">or </w:t>
      </w:r>
      <w:r w:rsidR="005B3F23" w:rsidRPr="00091C8C">
        <w:rPr>
          <w:rFonts w:ascii="Times New Roman" w:hAnsi="Times New Roman"/>
        </w:rPr>
        <w:t>deceptive conduct.</w:t>
      </w:r>
    </w:p>
    <w:p w14:paraId="7315353B" w14:textId="52567580" w:rsidR="00BF3841" w:rsidRPr="00091C8C" w:rsidRDefault="00BF3841" w:rsidP="00091C8C">
      <w:pPr>
        <w:pStyle w:val="HeadingL1"/>
        <w:spacing w:after="260" w:line="280" w:lineRule="exact"/>
        <w:ind w:right="0"/>
        <w:jc w:val="both"/>
        <w:rPr>
          <w:rFonts w:ascii="Times New Roman" w:hAnsi="Times New Roman"/>
        </w:rPr>
      </w:pPr>
      <w:r w:rsidRPr="00091C8C">
        <w:rPr>
          <w:rFonts w:ascii="Times New Roman" w:hAnsi="Times New Roman"/>
        </w:rPr>
        <w:t xml:space="preserve">The term and </w:t>
      </w:r>
      <w:r w:rsidR="00AC568E" w:rsidRPr="00091C8C">
        <w:rPr>
          <w:rFonts w:ascii="Times New Roman" w:hAnsi="Times New Roman"/>
        </w:rPr>
        <w:t>extension of the term</w:t>
      </w:r>
      <w:r w:rsidRPr="00091C8C">
        <w:rPr>
          <w:rFonts w:ascii="Times New Roman" w:hAnsi="Times New Roman"/>
        </w:rPr>
        <w:t xml:space="preserve"> of </w:t>
      </w:r>
      <w:r w:rsidR="00AC568E" w:rsidRPr="00091C8C">
        <w:rPr>
          <w:rFonts w:ascii="Times New Roman" w:hAnsi="Times New Roman"/>
        </w:rPr>
        <w:t xml:space="preserve">a </w:t>
      </w:r>
      <w:r w:rsidRPr="00091C8C">
        <w:rPr>
          <w:rFonts w:ascii="Times New Roman" w:hAnsi="Times New Roman"/>
        </w:rPr>
        <w:t>standard patent</w:t>
      </w:r>
    </w:p>
    <w:p w14:paraId="0FA7FDAA" w14:textId="77777777" w:rsidR="00BF3841" w:rsidRPr="00091C8C" w:rsidRDefault="00BF3841" w:rsidP="00091C8C">
      <w:pPr>
        <w:pStyle w:val="FixListStyle"/>
        <w:spacing w:after="260" w:line="280" w:lineRule="exact"/>
        <w:ind w:right="0"/>
        <w:jc w:val="both"/>
        <w:rPr>
          <w:rFonts w:ascii="Times New Roman" w:hAnsi="Times New Roman"/>
        </w:rPr>
      </w:pPr>
      <w:r w:rsidRPr="00091C8C">
        <w:rPr>
          <w:rFonts w:ascii="Times New Roman" w:hAnsi="Times New Roman"/>
        </w:rPr>
        <w:tab/>
        <w:t>The Commissioner of Patents grants a standard patent for an invention by registering prescribed particulars of the patent in the Register of Patents</w:t>
      </w:r>
      <w:r w:rsidRPr="00091C8C">
        <w:rPr>
          <w:rStyle w:val="FootnoteReference"/>
          <w:rFonts w:ascii="Times New Roman" w:hAnsi="Times New Roman"/>
          <w:sz w:val="24"/>
        </w:rPr>
        <w:footnoteReference w:id="12"/>
      </w:r>
      <w:r w:rsidRPr="00091C8C">
        <w:rPr>
          <w:rFonts w:ascii="Times New Roman" w:hAnsi="Times New Roman"/>
        </w:rPr>
        <w:t>. The patent once granted gives to the patentee exclusive rights, during the term of the patent, both to exploit the invention (including by sale</w:t>
      </w:r>
      <w:r w:rsidRPr="00091C8C">
        <w:rPr>
          <w:rStyle w:val="FootnoteReference"/>
          <w:rFonts w:ascii="Times New Roman" w:hAnsi="Times New Roman"/>
          <w:sz w:val="24"/>
        </w:rPr>
        <w:footnoteReference w:id="13"/>
      </w:r>
      <w:r w:rsidRPr="00091C8C">
        <w:rPr>
          <w:rFonts w:ascii="Times New Roman" w:hAnsi="Times New Roman"/>
        </w:rPr>
        <w:t>) and to authorise another person to exploit the invention</w:t>
      </w:r>
      <w:r w:rsidRPr="00091C8C">
        <w:rPr>
          <w:rStyle w:val="FootnoteReference"/>
          <w:rFonts w:ascii="Times New Roman" w:hAnsi="Times New Roman"/>
          <w:sz w:val="24"/>
        </w:rPr>
        <w:footnoteReference w:id="14"/>
      </w:r>
      <w:r w:rsidRPr="00091C8C">
        <w:rPr>
          <w:rFonts w:ascii="Times New Roman" w:hAnsi="Times New Roman"/>
        </w:rPr>
        <w:t xml:space="preserve">. </w:t>
      </w:r>
    </w:p>
    <w:p w14:paraId="3ABB2585" w14:textId="412082C8" w:rsidR="00BF3841" w:rsidRPr="00091C8C" w:rsidRDefault="00BF3841" w:rsidP="00091C8C">
      <w:pPr>
        <w:pStyle w:val="FixListStyle"/>
        <w:spacing w:after="260" w:line="280" w:lineRule="exact"/>
        <w:ind w:right="0"/>
        <w:jc w:val="both"/>
        <w:rPr>
          <w:rFonts w:ascii="Times New Roman" w:hAnsi="Times New Roman"/>
        </w:rPr>
      </w:pPr>
      <w:r w:rsidRPr="00091C8C">
        <w:rPr>
          <w:rFonts w:ascii="Times New Roman" w:hAnsi="Times New Roman"/>
        </w:rPr>
        <w:tab/>
        <w:t>The term of a standard patent is 20 years from the date of the patent</w:t>
      </w:r>
      <w:r w:rsidRPr="00091C8C">
        <w:rPr>
          <w:rStyle w:val="FootnoteReference"/>
          <w:rFonts w:ascii="Times New Roman" w:hAnsi="Times New Roman"/>
          <w:sz w:val="24"/>
        </w:rPr>
        <w:footnoteReference w:id="15"/>
      </w:r>
      <w:r w:rsidR="00A22309" w:rsidRPr="00091C8C">
        <w:rPr>
          <w:rFonts w:ascii="Times New Roman" w:hAnsi="Times New Roman"/>
        </w:rPr>
        <w:t>. The date of the patent</w:t>
      </w:r>
      <w:r w:rsidRPr="00091C8C">
        <w:rPr>
          <w:rFonts w:ascii="Times New Roman" w:hAnsi="Times New Roman"/>
        </w:rPr>
        <w:t xml:space="preserve"> is the date of filing of the complete specification</w:t>
      </w:r>
      <w:r w:rsidR="00792F68" w:rsidRPr="00091C8C">
        <w:rPr>
          <w:rFonts w:ascii="Times New Roman" w:hAnsi="Times New Roman"/>
        </w:rPr>
        <w:t xml:space="preserve">, </w:t>
      </w:r>
      <w:r w:rsidR="003267BE" w:rsidRPr="00091C8C">
        <w:rPr>
          <w:rFonts w:ascii="Times New Roman" w:hAnsi="Times New Roman"/>
        </w:rPr>
        <w:t xml:space="preserve">which must </w:t>
      </w:r>
      <w:r w:rsidR="00A2761A" w:rsidRPr="00091C8C">
        <w:rPr>
          <w:rFonts w:ascii="Times New Roman" w:hAnsi="Times New Roman"/>
        </w:rPr>
        <w:t>c</w:t>
      </w:r>
      <w:r w:rsidR="007862F5" w:rsidRPr="00091C8C">
        <w:rPr>
          <w:rFonts w:ascii="Times New Roman" w:hAnsi="Times New Roman"/>
        </w:rPr>
        <w:t xml:space="preserve">ontain a clear </w:t>
      </w:r>
      <w:r w:rsidR="00972751" w:rsidRPr="00091C8C">
        <w:rPr>
          <w:rFonts w:ascii="Times New Roman" w:hAnsi="Times New Roman"/>
        </w:rPr>
        <w:t>disclos</w:t>
      </w:r>
      <w:r w:rsidR="007862F5" w:rsidRPr="00091C8C">
        <w:rPr>
          <w:rFonts w:ascii="Times New Roman" w:hAnsi="Times New Roman"/>
        </w:rPr>
        <w:t>ure of</w:t>
      </w:r>
      <w:r w:rsidR="00972751" w:rsidRPr="00091C8C">
        <w:rPr>
          <w:rFonts w:ascii="Times New Roman" w:hAnsi="Times New Roman"/>
        </w:rPr>
        <w:t xml:space="preserve"> the </w:t>
      </w:r>
      <w:r w:rsidR="00792F68" w:rsidRPr="00091C8C">
        <w:rPr>
          <w:rFonts w:ascii="Times New Roman" w:hAnsi="Times New Roman"/>
        </w:rPr>
        <w:t>invention</w:t>
      </w:r>
      <w:r w:rsidR="008F46D2" w:rsidRPr="00091C8C">
        <w:rPr>
          <w:rStyle w:val="FootnoteReference"/>
          <w:rFonts w:ascii="Times New Roman" w:hAnsi="Times New Roman"/>
          <w:sz w:val="24"/>
        </w:rPr>
        <w:footnoteReference w:id="16"/>
      </w:r>
      <w:r w:rsidR="008F46D2" w:rsidRPr="00091C8C">
        <w:rPr>
          <w:rFonts w:ascii="Times New Roman" w:hAnsi="Times New Roman"/>
        </w:rPr>
        <w:t>,</w:t>
      </w:r>
      <w:r w:rsidR="00792F68" w:rsidRPr="00091C8C">
        <w:rPr>
          <w:rFonts w:ascii="Times New Roman" w:hAnsi="Times New Roman"/>
        </w:rPr>
        <w:t xml:space="preserve"> </w:t>
      </w:r>
      <w:r w:rsidRPr="00091C8C">
        <w:rPr>
          <w:rFonts w:ascii="Times New Roman" w:hAnsi="Times New Roman"/>
        </w:rPr>
        <w:t>or such other date as might be provided for in regulations made under the Act</w:t>
      </w:r>
      <w:r w:rsidRPr="00091C8C">
        <w:rPr>
          <w:rStyle w:val="FootnoteReference"/>
          <w:rFonts w:ascii="Times New Roman" w:hAnsi="Times New Roman"/>
          <w:sz w:val="24"/>
        </w:rPr>
        <w:footnoteReference w:id="17"/>
      </w:r>
      <w:r w:rsidRPr="00091C8C">
        <w:rPr>
          <w:rFonts w:ascii="Times New Roman" w:hAnsi="Times New Roman"/>
        </w:rPr>
        <w:t>.</w:t>
      </w:r>
    </w:p>
    <w:p w14:paraId="281CA1E5" w14:textId="52299227" w:rsidR="008D0BF4" w:rsidRPr="00091C8C" w:rsidRDefault="00BF3841" w:rsidP="00091C8C">
      <w:pPr>
        <w:pStyle w:val="FixListStyle"/>
        <w:spacing w:after="260" w:line="280" w:lineRule="exact"/>
        <w:ind w:right="0"/>
        <w:jc w:val="both"/>
        <w:rPr>
          <w:rFonts w:ascii="Times New Roman" w:hAnsi="Times New Roman"/>
        </w:rPr>
      </w:pPr>
      <w:r w:rsidRPr="00091C8C">
        <w:rPr>
          <w:rFonts w:ascii="Times New Roman" w:hAnsi="Times New Roman"/>
        </w:rPr>
        <w:tab/>
      </w:r>
      <w:r w:rsidR="00CC5B86" w:rsidRPr="00091C8C">
        <w:rPr>
          <w:rFonts w:ascii="Times New Roman" w:hAnsi="Times New Roman"/>
        </w:rPr>
        <w:t xml:space="preserve">The Act makes no provision for </w:t>
      </w:r>
      <w:r w:rsidR="00816CE3" w:rsidRPr="00091C8C">
        <w:rPr>
          <w:rFonts w:ascii="Times New Roman" w:hAnsi="Times New Roman"/>
        </w:rPr>
        <w:t xml:space="preserve">the </w:t>
      </w:r>
      <w:r w:rsidR="00CC5B86" w:rsidRPr="00091C8C">
        <w:rPr>
          <w:rFonts w:ascii="Times New Roman" w:hAnsi="Times New Roman"/>
        </w:rPr>
        <w:t>extension of the term of a standard patent</w:t>
      </w:r>
      <w:r w:rsidR="00326498" w:rsidRPr="00091C8C">
        <w:rPr>
          <w:rFonts w:ascii="Times New Roman" w:hAnsi="Times New Roman"/>
        </w:rPr>
        <w:t xml:space="preserve"> </w:t>
      </w:r>
      <w:r w:rsidR="00CC5B86" w:rsidRPr="00091C8C">
        <w:rPr>
          <w:rFonts w:ascii="Times New Roman" w:hAnsi="Times New Roman"/>
        </w:rPr>
        <w:t xml:space="preserve">other than </w:t>
      </w:r>
      <w:r w:rsidR="001501DD" w:rsidRPr="00091C8C">
        <w:rPr>
          <w:rFonts w:ascii="Times New Roman" w:hAnsi="Times New Roman"/>
        </w:rPr>
        <w:t>provision</w:t>
      </w:r>
      <w:r w:rsidR="009B27AC" w:rsidRPr="00091C8C">
        <w:rPr>
          <w:rFonts w:ascii="Times New Roman" w:hAnsi="Times New Roman"/>
        </w:rPr>
        <w:t xml:space="preserve"> </w:t>
      </w:r>
      <w:r w:rsidR="00816CE3" w:rsidRPr="00091C8C">
        <w:rPr>
          <w:rFonts w:ascii="Times New Roman" w:hAnsi="Times New Roman"/>
        </w:rPr>
        <w:t xml:space="preserve">for the extension of the term of </w:t>
      </w:r>
      <w:r w:rsidRPr="00091C8C">
        <w:rPr>
          <w:rFonts w:ascii="Times New Roman" w:hAnsi="Times New Roman"/>
        </w:rPr>
        <w:t>a standard patent relating to a pharmaceutical substance</w:t>
      </w:r>
      <w:r w:rsidR="00326498" w:rsidRPr="00091C8C">
        <w:rPr>
          <w:rFonts w:ascii="Times New Roman" w:hAnsi="Times New Roman"/>
        </w:rPr>
        <w:t xml:space="preserve"> </w:t>
      </w:r>
      <w:r w:rsidR="00270056" w:rsidRPr="00091C8C">
        <w:rPr>
          <w:rFonts w:ascii="Times New Roman" w:hAnsi="Times New Roman"/>
        </w:rPr>
        <w:t xml:space="preserve">that is </w:t>
      </w:r>
      <w:r w:rsidR="00326498" w:rsidRPr="00091C8C">
        <w:rPr>
          <w:rFonts w:ascii="Times New Roman" w:hAnsi="Times New Roman"/>
        </w:rPr>
        <w:t>contained in goods included in the ARTG</w:t>
      </w:r>
      <w:r w:rsidR="00816CE3" w:rsidRPr="00091C8C">
        <w:rPr>
          <w:rFonts w:ascii="Times New Roman" w:hAnsi="Times New Roman"/>
        </w:rPr>
        <w:t xml:space="preserve">. </w:t>
      </w:r>
      <w:r w:rsidR="00B747A8" w:rsidRPr="00091C8C">
        <w:rPr>
          <w:rFonts w:ascii="Times New Roman" w:hAnsi="Times New Roman"/>
        </w:rPr>
        <w:t xml:space="preserve">Provision </w:t>
      </w:r>
      <w:r w:rsidR="00985C50" w:rsidRPr="00091C8C">
        <w:rPr>
          <w:rFonts w:ascii="Times New Roman" w:hAnsi="Times New Roman"/>
        </w:rPr>
        <w:t>in that respect is made in Pt</w:t>
      </w:r>
      <w:r w:rsidR="00915C6E" w:rsidRPr="00091C8C">
        <w:rPr>
          <w:rFonts w:ascii="Times New Roman" w:hAnsi="Times New Roman"/>
        </w:rPr>
        <w:t> </w:t>
      </w:r>
      <w:r w:rsidR="00985C50" w:rsidRPr="00091C8C">
        <w:rPr>
          <w:rFonts w:ascii="Times New Roman" w:hAnsi="Times New Roman"/>
        </w:rPr>
        <w:t>3</w:t>
      </w:r>
      <w:r w:rsidR="0053480B" w:rsidRPr="00091C8C">
        <w:rPr>
          <w:rFonts w:ascii="Times New Roman" w:hAnsi="Times New Roman"/>
        </w:rPr>
        <w:t xml:space="preserve"> of Ch 6</w:t>
      </w:r>
      <w:r w:rsidR="00B63220" w:rsidRPr="00091C8C">
        <w:rPr>
          <w:rFonts w:ascii="Times New Roman" w:hAnsi="Times New Roman"/>
        </w:rPr>
        <w:t xml:space="preserve">, </w:t>
      </w:r>
      <w:r w:rsidR="00DA3B84" w:rsidRPr="00091C8C">
        <w:rPr>
          <w:rFonts w:ascii="Times New Roman" w:hAnsi="Times New Roman"/>
        </w:rPr>
        <w:t xml:space="preserve">which was inserted </w:t>
      </w:r>
      <w:r w:rsidR="00B16B63" w:rsidRPr="00091C8C">
        <w:rPr>
          <w:rFonts w:ascii="Times New Roman" w:hAnsi="Times New Roman"/>
        </w:rPr>
        <w:t xml:space="preserve">by amendment </w:t>
      </w:r>
      <w:r w:rsidR="00297D9F" w:rsidRPr="00091C8C">
        <w:rPr>
          <w:rFonts w:ascii="Times New Roman" w:hAnsi="Times New Roman"/>
        </w:rPr>
        <w:t>in</w:t>
      </w:r>
      <w:r w:rsidR="00DA3B84" w:rsidRPr="00091C8C">
        <w:rPr>
          <w:rFonts w:ascii="Times New Roman" w:hAnsi="Times New Roman"/>
        </w:rPr>
        <w:t xml:space="preserve"> 19</w:t>
      </w:r>
      <w:r w:rsidR="00ED69E8" w:rsidRPr="00091C8C">
        <w:rPr>
          <w:rFonts w:ascii="Times New Roman" w:hAnsi="Times New Roman"/>
        </w:rPr>
        <w:t>98</w:t>
      </w:r>
      <w:r w:rsidR="00B16B63" w:rsidRPr="00091C8C">
        <w:rPr>
          <w:rFonts w:ascii="Times New Roman" w:hAnsi="Times New Roman"/>
        </w:rPr>
        <w:t xml:space="preserve"> ("the 1998 Act</w:t>
      </w:r>
      <w:r w:rsidR="00944FA5" w:rsidRPr="00091C8C">
        <w:rPr>
          <w:rFonts w:ascii="Times New Roman" w:hAnsi="Times New Roman"/>
        </w:rPr>
        <w:t>"</w:t>
      </w:r>
      <w:r w:rsidR="00B16B63" w:rsidRPr="00091C8C">
        <w:rPr>
          <w:rFonts w:ascii="Times New Roman" w:hAnsi="Times New Roman"/>
        </w:rPr>
        <w:t>)</w:t>
      </w:r>
      <w:r w:rsidR="00297D9F" w:rsidRPr="00091C8C">
        <w:rPr>
          <w:rStyle w:val="FootnoteReference"/>
          <w:rFonts w:ascii="Times New Roman" w:hAnsi="Times New Roman"/>
          <w:sz w:val="24"/>
        </w:rPr>
        <w:footnoteReference w:id="18"/>
      </w:r>
      <w:r w:rsidR="009E5DFC" w:rsidRPr="00091C8C">
        <w:rPr>
          <w:rFonts w:ascii="Times New Roman" w:hAnsi="Times New Roman"/>
        </w:rPr>
        <w:t xml:space="preserve">, </w:t>
      </w:r>
      <w:r w:rsidR="0005775A" w:rsidRPr="00091C8C">
        <w:rPr>
          <w:rFonts w:ascii="Times New Roman" w:hAnsi="Times New Roman"/>
        </w:rPr>
        <w:t xml:space="preserve">but </w:t>
      </w:r>
      <w:r w:rsidR="00ED69E8" w:rsidRPr="00091C8C">
        <w:rPr>
          <w:rFonts w:ascii="Times New Roman" w:hAnsi="Times New Roman"/>
        </w:rPr>
        <w:t>which</w:t>
      </w:r>
      <w:r w:rsidR="008F7A35" w:rsidRPr="00091C8C">
        <w:rPr>
          <w:rFonts w:ascii="Times New Roman" w:hAnsi="Times New Roman"/>
        </w:rPr>
        <w:t xml:space="preserve"> </w:t>
      </w:r>
      <w:r w:rsidR="00ED69E8" w:rsidRPr="00091C8C">
        <w:rPr>
          <w:rFonts w:ascii="Times New Roman" w:hAnsi="Times New Roman"/>
        </w:rPr>
        <w:t>w</w:t>
      </w:r>
      <w:r w:rsidR="00B63220" w:rsidRPr="00091C8C">
        <w:rPr>
          <w:rFonts w:ascii="Times New Roman" w:hAnsi="Times New Roman"/>
        </w:rPr>
        <w:t>as</w:t>
      </w:r>
      <w:r w:rsidR="00ED69E8" w:rsidRPr="00091C8C">
        <w:rPr>
          <w:rFonts w:ascii="Times New Roman" w:hAnsi="Times New Roman"/>
        </w:rPr>
        <w:t xml:space="preserve"> </w:t>
      </w:r>
      <w:r w:rsidR="00D16E42" w:rsidRPr="00091C8C">
        <w:rPr>
          <w:rFonts w:ascii="Times New Roman" w:hAnsi="Times New Roman"/>
        </w:rPr>
        <w:t>relevantly modelled in part on provisions</w:t>
      </w:r>
      <w:r w:rsidR="00D16E42" w:rsidRPr="00091C8C" w:rsidDel="00D16E42">
        <w:rPr>
          <w:rFonts w:ascii="Times New Roman" w:hAnsi="Times New Roman"/>
        </w:rPr>
        <w:t xml:space="preserve"> </w:t>
      </w:r>
      <w:r w:rsidR="00ED69E8" w:rsidRPr="00091C8C">
        <w:rPr>
          <w:rFonts w:ascii="Times New Roman" w:hAnsi="Times New Roman"/>
        </w:rPr>
        <w:t xml:space="preserve">inserted into the </w:t>
      </w:r>
      <w:r w:rsidR="00ED69E8" w:rsidRPr="00091C8C">
        <w:rPr>
          <w:rFonts w:ascii="Times New Roman" w:hAnsi="Times New Roman"/>
          <w:i/>
        </w:rPr>
        <w:t>Patents Act 1952</w:t>
      </w:r>
      <w:r w:rsidR="00ED69E8" w:rsidRPr="00091C8C">
        <w:rPr>
          <w:rFonts w:ascii="Times New Roman" w:hAnsi="Times New Roman"/>
        </w:rPr>
        <w:t xml:space="preserve"> (Cth) </w:t>
      </w:r>
      <w:r w:rsidR="000371E8" w:rsidRPr="00091C8C">
        <w:rPr>
          <w:rFonts w:ascii="Times New Roman" w:hAnsi="Times New Roman"/>
        </w:rPr>
        <w:t xml:space="preserve">("the 1952 Act") </w:t>
      </w:r>
      <w:r w:rsidR="00ED69E8" w:rsidRPr="00091C8C">
        <w:rPr>
          <w:rFonts w:ascii="Times New Roman" w:hAnsi="Times New Roman"/>
        </w:rPr>
        <w:t>in 1989</w:t>
      </w:r>
      <w:r w:rsidR="00546D25" w:rsidRPr="00091C8C">
        <w:rPr>
          <w:rFonts w:ascii="Times New Roman" w:hAnsi="Times New Roman"/>
        </w:rPr>
        <w:t xml:space="preserve"> </w:t>
      </w:r>
      <w:r w:rsidR="00546D25" w:rsidRPr="00091C8C">
        <w:rPr>
          <w:rFonts w:ascii="Times New Roman" w:hAnsi="Times New Roman"/>
        </w:rPr>
        <w:lastRenderedPageBreak/>
        <w:t>("the 1989 Act")</w:t>
      </w:r>
      <w:r w:rsidR="00ED69E8" w:rsidRPr="00091C8C">
        <w:rPr>
          <w:rStyle w:val="FootnoteReference"/>
          <w:rFonts w:ascii="Times New Roman" w:hAnsi="Times New Roman"/>
          <w:sz w:val="24"/>
        </w:rPr>
        <w:footnoteReference w:id="19"/>
      </w:r>
      <w:r w:rsidR="0005775A" w:rsidRPr="00091C8C">
        <w:rPr>
          <w:rFonts w:ascii="Times New Roman" w:hAnsi="Times New Roman"/>
        </w:rPr>
        <w:t xml:space="preserve"> </w:t>
      </w:r>
      <w:r w:rsidR="00526582" w:rsidRPr="00091C8C">
        <w:rPr>
          <w:rFonts w:ascii="Times New Roman" w:hAnsi="Times New Roman"/>
        </w:rPr>
        <w:t xml:space="preserve">which </w:t>
      </w:r>
      <w:r w:rsidR="00222A11" w:rsidRPr="00091C8C">
        <w:rPr>
          <w:rFonts w:ascii="Times New Roman" w:hAnsi="Times New Roman"/>
        </w:rPr>
        <w:t>were</w:t>
      </w:r>
      <w:r w:rsidR="00526582" w:rsidRPr="00091C8C">
        <w:rPr>
          <w:rFonts w:ascii="Times New Roman" w:hAnsi="Times New Roman"/>
        </w:rPr>
        <w:t xml:space="preserve"> </w:t>
      </w:r>
      <w:r w:rsidR="0005775A" w:rsidRPr="00091C8C">
        <w:rPr>
          <w:rFonts w:ascii="Times New Roman" w:hAnsi="Times New Roman"/>
        </w:rPr>
        <w:t>carried over into</w:t>
      </w:r>
      <w:r w:rsidR="008F7A35" w:rsidRPr="00091C8C">
        <w:rPr>
          <w:rFonts w:ascii="Times New Roman" w:hAnsi="Times New Roman"/>
        </w:rPr>
        <w:t xml:space="preserve"> </w:t>
      </w:r>
      <w:r w:rsidR="00D13E20" w:rsidRPr="00091C8C">
        <w:rPr>
          <w:rFonts w:ascii="Times New Roman" w:hAnsi="Times New Roman"/>
        </w:rPr>
        <w:t xml:space="preserve">the </w:t>
      </w:r>
      <w:r w:rsidR="008F7A35" w:rsidRPr="00091C8C">
        <w:rPr>
          <w:rFonts w:ascii="Times New Roman" w:hAnsi="Times New Roman"/>
        </w:rPr>
        <w:t xml:space="preserve">Act </w:t>
      </w:r>
      <w:r w:rsidR="000F7DCD" w:rsidRPr="00091C8C">
        <w:rPr>
          <w:rFonts w:ascii="Times New Roman" w:hAnsi="Times New Roman"/>
        </w:rPr>
        <w:t>as enacted</w:t>
      </w:r>
      <w:r w:rsidR="004E5937" w:rsidRPr="00091C8C">
        <w:rPr>
          <w:rStyle w:val="FootnoteReference"/>
          <w:rFonts w:ascii="Times New Roman" w:hAnsi="Times New Roman"/>
          <w:sz w:val="24"/>
        </w:rPr>
        <w:footnoteReference w:id="20"/>
      </w:r>
      <w:r w:rsidR="000F7DCD" w:rsidRPr="00091C8C">
        <w:rPr>
          <w:rFonts w:ascii="Times New Roman" w:hAnsi="Times New Roman"/>
        </w:rPr>
        <w:t xml:space="preserve"> </w:t>
      </w:r>
      <w:r w:rsidR="00AC2A3C" w:rsidRPr="00091C8C">
        <w:rPr>
          <w:rFonts w:ascii="Times New Roman" w:hAnsi="Times New Roman"/>
        </w:rPr>
        <w:t>but</w:t>
      </w:r>
      <w:r w:rsidR="004E5937" w:rsidRPr="00091C8C">
        <w:rPr>
          <w:rFonts w:ascii="Times New Roman" w:hAnsi="Times New Roman"/>
        </w:rPr>
        <w:t xml:space="preserve"> repealed in 1994</w:t>
      </w:r>
      <w:r w:rsidR="004E5937" w:rsidRPr="00091C8C">
        <w:rPr>
          <w:rStyle w:val="FootnoteReference"/>
          <w:rFonts w:ascii="Times New Roman" w:hAnsi="Times New Roman"/>
          <w:sz w:val="24"/>
        </w:rPr>
        <w:footnoteReference w:id="21"/>
      </w:r>
      <w:r w:rsidR="004E5937" w:rsidRPr="00091C8C">
        <w:rPr>
          <w:rFonts w:ascii="Times New Roman" w:hAnsi="Times New Roman"/>
        </w:rPr>
        <w:t>.</w:t>
      </w:r>
      <w:r w:rsidR="0005775A" w:rsidRPr="00091C8C">
        <w:rPr>
          <w:rFonts w:ascii="Times New Roman" w:hAnsi="Times New Roman"/>
        </w:rPr>
        <w:t xml:space="preserve"> </w:t>
      </w:r>
    </w:p>
    <w:p w14:paraId="3E8173CA" w14:textId="4A5A815E" w:rsidR="00D60BBC" w:rsidRPr="00091C8C" w:rsidRDefault="008D0BF4" w:rsidP="00091C8C">
      <w:pPr>
        <w:pStyle w:val="FixListStyle"/>
        <w:spacing w:after="260" w:line="280" w:lineRule="exact"/>
        <w:ind w:right="0"/>
        <w:jc w:val="both"/>
        <w:rPr>
          <w:rFonts w:ascii="Times New Roman" w:hAnsi="Times New Roman"/>
        </w:rPr>
      </w:pPr>
      <w:r w:rsidRPr="00091C8C">
        <w:rPr>
          <w:rFonts w:ascii="Times New Roman" w:hAnsi="Times New Roman"/>
        </w:rPr>
        <w:tab/>
      </w:r>
      <w:r w:rsidR="00AA126E" w:rsidRPr="00091C8C">
        <w:rPr>
          <w:rFonts w:ascii="Times New Roman" w:hAnsi="Times New Roman"/>
        </w:rPr>
        <w:t xml:space="preserve">The </w:t>
      </w:r>
      <w:r w:rsidR="00AE1BE8" w:rsidRPr="00091C8C">
        <w:rPr>
          <w:rFonts w:ascii="Times New Roman" w:hAnsi="Times New Roman"/>
        </w:rPr>
        <w:t>s</w:t>
      </w:r>
      <w:r w:rsidR="00AA126E" w:rsidRPr="00091C8C">
        <w:rPr>
          <w:rFonts w:ascii="Times New Roman" w:hAnsi="Times New Roman"/>
        </w:rPr>
        <w:t xml:space="preserve">econd </w:t>
      </w:r>
      <w:r w:rsidR="00AE1BE8" w:rsidRPr="00091C8C">
        <w:rPr>
          <w:rFonts w:ascii="Times New Roman" w:hAnsi="Times New Roman"/>
        </w:rPr>
        <w:t>r</w:t>
      </w:r>
      <w:r w:rsidR="00AA126E" w:rsidRPr="00091C8C">
        <w:rPr>
          <w:rFonts w:ascii="Times New Roman" w:hAnsi="Times New Roman"/>
        </w:rPr>
        <w:t xml:space="preserve">eading </w:t>
      </w:r>
      <w:r w:rsidR="00AE1BE8" w:rsidRPr="00091C8C">
        <w:rPr>
          <w:rFonts w:ascii="Times New Roman" w:hAnsi="Times New Roman"/>
        </w:rPr>
        <w:t>s</w:t>
      </w:r>
      <w:r w:rsidR="00AA126E" w:rsidRPr="00091C8C">
        <w:rPr>
          <w:rFonts w:ascii="Times New Roman" w:hAnsi="Times New Roman"/>
        </w:rPr>
        <w:t xml:space="preserve">peech for </w:t>
      </w:r>
      <w:r w:rsidR="0062296E" w:rsidRPr="00091C8C">
        <w:rPr>
          <w:rFonts w:ascii="Times New Roman" w:hAnsi="Times New Roman"/>
        </w:rPr>
        <w:t xml:space="preserve">the </w:t>
      </w:r>
      <w:r w:rsidR="00AA126E" w:rsidRPr="00091C8C">
        <w:rPr>
          <w:rFonts w:ascii="Times New Roman" w:hAnsi="Times New Roman"/>
        </w:rPr>
        <w:t xml:space="preserve">Bill for the </w:t>
      </w:r>
      <w:r w:rsidR="00546D25" w:rsidRPr="00091C8C">
        <w:rPr>
          <w:rFonts w:ascii="Times New Roman" w:hAnsi="Times New Roman"/>
        </w:rPr>
        <w:t xml:space="preserve">1998 </w:t>
      </w:r>
      <w:r w:rsidR="00AA126E" w:rsidRPr="00091C8C">
        <w:rPr>
          <w:rFonts w:ascii="Times New Roman" w:hAnsi="Times New Roman"/>
        </w:rPr>
        <w:t>Act</w:t>
      </w:r>
      <w:r w:rsidR="004137C3" w:rsidRPr="00091C8C">
        <w:rPr>
          <w:rFonts w:ascii="Times New Roman" w:hAnsi="Times New Roman"/>
        </w:rPr>
        <w:t xml:space="preserve"> described the object</w:t>
      </w:r>
      <w:r w:rsidR="006E08B4" w:rsidRPr="00091C8C">
        <w:rPr>
          <w:rFonts w:ascii="Times New Roman" w:hAnsi="Times New Roman"/>
        </w:rPr>
        <w:t>ive</w:t>
      </w:r>
      <w:r w:rsidR="004137C3" w:rsidRPr="00091C8C">
        <w:rPr>
          <w:rFonts w:ascii="Times New Roman" w:hAnsi="Times New Roman"/>
        </w:rPr>
        <w:t xml:space="preserve"> of </w:t>
      </w:r>
      <w:r w:rsidR="000E3C2D" w:rsidRPr="00091C8C">
        <w:rPr>
          <w:rFonts w:ascii="Times New Roman" w:hAnsi="Times New Roman"/>
        </w:rPr>
        <w:t>Pt</w:t>
      </w:r>
      <w:r w:rsidR="0062296E" w:rsidRPr="00091C8C">
        <w:rPr>
          <w:rFonts w:ascii="Times New Roman" w:hAnsi="Times New Roman"/>
        </w:rPr>
        <w:t> </w:t>
      </w:r>
      <w:r w:rsidR="000E3C2D" w:rsidRPr="00091C8C">
        <w:rPr>
          <w:rFonts w:ascii="Times New Roman" w:hAnsi="Times New Roman"/>
        </w:rPr>
        <w:t>3 of Ch</w:t>
      </w:r>
      <w:r w:rsidR="0062296E" w:rsidRPr="00091C8C">
        <w:rPr>
          <w:rFonts w:ascii="Times New Roman" w:hAnsi="Times New Roman"/>
        </w:rPr>
        <w:t> </w:t>
      </w:r>
      <w:r w:rsidR="000E3C2D" w:rsidRPr="00091C8C">
        <w:rPr>
          <w:rFonts w:ascii="Times New Roman" w:hAnsi="Times New Roman"/>
        </w:rPr>
        <w:t>6 as being</w:t>
      </w:r>
      <w:r w:rsidR="00AA126E" w:rsidRPr="00091C8C">
        <w:rPr>
          <w:rFonts w:ascii="Times New Roman" w:hAnsi="Times New Roman"/>
        </w:rPr>
        <w:t xml:space="preserve"> "to provide an 'effective patent life' more in line with that available to inventions in other fields of technology"</w:t>
      </w:r>
      <w:r w:rsidR="00AA126E" w:rsidRPr="00091C8C">
        <w:rPr>
          <w:rStyle w:val="FootnoteReference"/>
          <w:rFonts w:ascii="Times New Roman" w:hAnsi="Times New Roman"/>
          <w:sz w:val="24"/>
        </w:rPr>
        <w:footnoteReference w:id="22"/>
      </w:r>
      <w:r w:rsidR="00AA126E" w:rsidRPr="00091C8C">
        <w:rPr>
          <w:rFonts w:ascii="Times New Roman" w:hAnsi="Times New Roman"/>
        </w:rPr>
        <w:t>.</w:t>
      </w:r>
      <w:r w:rsidR="001E2DAD" w:rsidRPr="00091C8C">
        <w:rPr>
          <w:rFonts w:ascii="Times New Roman" w:hAnsi="Times New Roman"/>
        </w:rPr>
        <w:t xml:space="preserve"> In </w:t>
      </w:r>
      <w:r w:rsidR="00F02937" w:rsidRPr="00091C8C">
        <w:rPr>
          <w:rFonts w:ascii="Times New Roman" w:hAnsi="Times New Roman"/>
          <w:i/>
        </w:rPr>
        <w:t>Alphap</w:t>
      </w:r>
      <w:r w:rsidR="006C300C" w:rsidRPr="00091C8C">
        <w:rPr>
          <w:rFonts w:ascii="Times New Roman" w:hAnsi="Times New Roman"/>
          <w:i/>
        </w:rPr>
        <w:t xml:space="preserve">harm Pty Ltd </w:t>
      </w:r>
      <w:r w:rsidR="000A2675" w:rsidRPr="00091C8C">
        <w:rPr>
          <w:rFonts w:ascii="Times New Roman" w:hAnsi="Times New Roman"/>
          <w:i/>
        </w:rPr>
        <w:t xml:space="preserve">v </w:t>
      </w:r>
      <w:r w:rsidR="006C300C" w:rsidRPr="00091C8C">
        <w:rPr>
          <w:rFonts w:ascii="Times New Roman" w:hAnsi="Times New Roman"/>
          <w:i/>
        </w:rPr>
        <w:t>H Lundbeck A/S</w:t>
      </w:r>
      <w:r w:rsidR="006C300C" w:rsidRPr="00091C8C">
        <w:rPr>
          <w:rStyle w:val="FootnoteReference"/>
          <w:rFonts w:ascii="Times New Roman" w:hAnsi="Times New Roman"/>
          <w:sz w:val="24"/>
        </w:rPr>
        <w:footnoteReference w:id="23"/>
      </w:r>
      <w:r w:rsidR="006C300C" w:rsidRPr="00091C8C">
        <w:rPr>
          <w:rFonts w:ascii="Times New Roman" w:hAnsi="Times New Roman"/>
        </w:rPr>
        <w:t xml:space="preserve">, </w:t>
      </w:r>
      <w:r w:rsidR="00546C15" w:rsidRPr="00091C8C">
        <w:rPr>
          <w:rFonts w:ascii="Times New Roman" w:hAnsi="Times New Roman"/>
        </w:rPr>
        <w:t>Crenna</w:t>
      </w:r>
      <w:r w:rsidR="00583F42" w:rsidRPr="00091C8C">
        <w:rPr>
          <w:rFonts w:ascii="Times New Roman" w:hAnsi="Times New Roman"/>
        </w:rPr>
        <w:t xml:space="preserve">n, Bell and </w:t>
      </w:r>
      <w:r w:rsidR="002B7511" w:rsidRPr="00091C8C">
        <w:rPr>
          <w:rFonts w:ascii="Times New Roman" w:hAnsi="Times New Roman"/>
        </w:rPr>
        <w:t>Gageler</w:t>
      </w:r>
      <w:r w:rsidR="00A713C9" w:rsidRPr="00091C8C">
        <w:rPr>
          <w:rFonts w:ascii="Times New Roman" w:hAnsi="Times New Roman"/>
        </w:rPr>
        <w:t> </w:t>
      </w:r>
      <w:r w:rsidR="002B7511" w:rsidRPr="00091C8C">
        <w:rPr>
          <w:rFonts w:ascii="Times New Roman" w:hAnsi="Times New Roman"/>
        </w:rPr>
        <w:t xml:space="preserve">JJ </w:t>
      </w:r>
      <w:r w:rsidR="006C3A68" w:rsidRPr="00091C8C">
        <w:rPr>
          <w:rFonts w:ascii="Times New Roman" w:hAnsi="Times New Roman"/>
        </w:rPr>
        <w:t>noted</w:t>
      </w:r>
      <w:r w:rsidR="002B7511" w:rsidRPr="00091C8C">
        <w:rPr>
          <w:rFonts w:ascii="Times New Roman" w:hAnsi="Times New Roman"/>
        </w:rPr>
        <w:t>:</w:t>
      </w:r>
    </w:p>
    <w:p w14:paraId="2FA51B19" w14:textId="77777777" w:rsidR="00091C8C" w:rsidRDefault="00DF0C41" w:rsidP="00091C8C">
      <w:pPr>
        <w:pStyle w:val="leftright"/>
        <w:spacing w:before="0" w:after="260" w:line="280" w:lineRule="exact"/>
        <w:ind w:right="0"/>
        <w:jc w:val="both"/>
        <w:rPr>
          <w:rFonts w:ascii="Times New Roman" w:hAnsi="Times New Roman"/>
        </w:rPr>
      </w:pPr>
      <w:r w:rsidRPr="00091C8C">
        <w:rPr>
          <w:rFonts w:ascii="Times New Roman" w:hAnsi="Times New Roman"/>
        </w:rPr>
        <w:tab/>
      </w:r>
      <w:r w:rsidR="00CE2711" w:rsidRPr="00091C8C">
        <w:rPr>
          <w:rFonts w:ascii="Times New Roman" w:hAnsi="Times New Roman"/>
        </w:rPr>
        <w:t>"</w:t>
      </w:r>
      <w:r w:rsidR="009A5238" w:rsidRPr="00091C8C">
        <w:rPr>
          <w:rFonts w:ascii="Times New Roman" w:hAnsi="Times New Roman"/>
        </w:rPr>
        <w:t>The purposes of</w:t>
      </w:r>
      <w:r w:rsidR="00C5286B" w:rsidRPr="00091C8C">
        <w:rPr>
          <w:rFonts w:ascii="Times New Roman" w:hAnsi="Times New Roman"/>
        </w:rPr>
        <w:t xml:space="preserve"> the extension of term scheme are to balance the </w:t>
      </w:r>
      <w:r w:rsidR="00350F6C" w:rsidRPr="00091C8C">
        <w:rPr>
          <w:rFonts w:ascii="Times New Roman" w:hAnsi="Times New Roman"/>
        </w:rPr>
        <w:t>competing interests of a patentee of a pharmac</w:t>
      </w:r>
      <w:r w:rsidR="007465C4" w:rsidRPr="00091C8C">
        <w:rPr>
          <w:rFonts w:ascii="Times New Roman" w:hAnsi="Times New Roman"/>
        </w:rPr>
        <w:t xml:space="preserve">eutical substance whose </w:t>
      </w:r>
      <w:r w:rsidR="008162C7" w:rsidRPr="00091C8C">
        <w:rPr>
          <w:rFonts w:ascii="Times New Roman" w:hAnsi="Times New Roman"/>
        </w:rPr>
        <w:t>exploitation of mono</w:t>
      </w:r>
      <w:r w:rsidR="00C2459D" w:rsidRPr="00091C8C">
        <w:rPr>
          <w:rFonts w:ascii="Times New Roman" w:hAnsi="Times New Roman"/>
        </w:rPr>
        <w:t>poly has been delayed (because of regula</w:t>
      </w:r>
      <w:r w:rsidR="00A0035F" w:rsidRPr="00091C8C">
        <w:rPr>
          <w:rFonts w:ascii="Times New Roman" w:hAnsi="Times New Roman"/>
        </w:rPr>
        <w:t>tory</w:t>
      </w:r>
      <w:r w:rsidR="007F3289" w:rsidRPr="00091C8C">
        <w:rPr>
          <w:rFonts w:ascii="Times New Roman" w:hAnsi="Times New Roman"/>
        </w:rPr>
        <w:t xml:space="preserve"> delay) and the public interest in the unrestricted use of the </w:t>
      </w:r>
      <w:r w:rsidR="00380DCB" w:rsidRPr="00091C8C">
        <w:rPr>
          <w:rFonts w:ascii="Times New Roman" w:hAnsi="Times New Roman"/>
        </w:rPr>
        <w:t>pharm</w:t>
      </w:r>
      <w:r w:rsidR="005E0372" w:rsidRPr="00091C8C">
        <w:rPr>
          <w:rFonts w:ascii="Times New Roman" w:hAnsi="Times New Roman"/>
        </w:rPr>
        <w:t>aceutical invention (including</w:t>
      </w:r>
      <w:r w:rsidR="00B85039" w:rsidRPr="00091C8C">
        <w:rPr>
          <w:rFonts w:ascii="Times New Roman" w:hAnsi="Times New Roman"/>
        </w:rPr>
        <w:t xml:space="preserve"> by a </w:t>
      </w:r>
      <w:r w:rsidR="00BE331C" w:rsidRPr="00091C8C">
        <w:rPr>
          <w:rFonts w:ascii="Times New Roman" w:hAnsi="Times New Roman"/>
        </w:rPr>
        <w:t>competitor</w:t>
      </w:r>
      <w:r w:rsidR="00B85039" w:rsidRPr="00091C8C">
        <w:rPr>
          <w:rFonts w:ascii="Times New Roman" w:hAnsi="Times New Roman"/>
        </w:rPr>
        <w:t xml:space="preserve">) after the </w:t>
      </w:r>
      <w:r w:rsidR="009D3EA3" w:rsidRPr="00091C8C">
        <w:rPr>
          <w:rFonts w:ascii="Times New Roman" w:hAnsi="Times New Roman"/>
        </w:rPr>
        <w:t>expiration of the monopoly</w:t>
      </w:r>
      <w:r w:rsidR="005C5457" w:rsidRPr="00091C8C">
        <w:rPr>
          <w:rFonts w:ascii="Times New Roman" w:hAnsi="Times New Roman"/>
        </w:rPr>
        <w:t xml:space="preserve"> (that is, the term).</w:t>
      </w:r>
      <w:r w:rsidR="00756550" w:rsidRPr="00091C8C">
        <w:rPr>
          <w:rFonts w:ascii="Times New Roman" w:hAnsi="Times New Roman"/>
        </w:rPr>
        <w:t>"</w:t>
      </w:r>
    </w:p>
    <w:p w14:paraId="67D662ED" w14:textId="265540D6" w:rsidR="00450EAD" w:rsidRPr="00091C8C" w:rsidRDefault="00816CE3" w:rsidP="00091C8C">
      <w:pPr>
        <w:pStyle w:val="FixListStyle"/>
        <w:spacing w:after="260" w:line="280" w:lineRule="exact"/>
        <w:ind w:right="0"/>
        <w:jc w:val="both"/>
        <w:rPr>
          <w:rFonts w:ascii="Times New Roman" w:hAnsi="Times New Roman"/>
        </w:rPr>
      </w:pPr>
      <w:r w:rsidRPr="00091C8C">
        <w:rPr>
          <w:rFonts w:ascii="Times New Roman" w:hAnsi="Times New Roman"/>
        </w:rPr>
        <w:tab/>
      </w:r>
      <w:r w:rsidR="001B3BD1" w:rsidRPr="00091C8C">
        <w:rPr>
          <w:rFonts w:ascii="Times New Roman" w:hAnsi="Times New Roman"/>
        </w:rPr>
        <w:t>Section 70</w:t>
      </w:r>
      <w:r w:rsidR="008D40C6" w:rsidRPr="00091C8C">
        <w:rPr>
          <w:rFonts w:ascii="Times New Roman" w:hAnsi="Times New Roman"/>
        </w:rPr>
        <w:t xml:space="preserve"> allow</w:t>
      </w:r>
      <w:r w:rsidR="00AC2EF3" w:rsidRPr="00091C8C">
        <w:rPr>
          <w:rFonts w:ascii="Times New Roman" w:hAnsi="Times New Roman"/>
        </w:rPr>
        <w:t>s</w:t>
      </w:r>
      <w:r w:rsidR="008D40C6" w:rsidRPr="00091C8C">
        <w:rPr>
          <w:rFonts w:ascii="Times New Roman" w:hAnsi="Times New Roman"/>
        </w:rPr>
        <w:t xml:space="preserve"> the patentee</w:t>
      </w:r>
      <w:r w:rsidR="00081647" w:rsidRPr="00091C8C">
        <w:rPr>
          <w:rFonts w:ascii="Times New Roman" w:hAnsi="Times New Roman"/>
        </w:rPr>
        <w:t xml:space="preserve"> </w:t>
      </w:r>
      <w:r w:rsidR="00CA1259" w:rsidRPr="00091C8C">
        <w:rPr>
          <w:rFonts w:ascii="Times New Roman" w:hAnsi="Times New Roman"/>
        </w:rPr>
        <w:t>of a standard patent relating to a pharmaceutical substance</w:t>
      </w:r>
      <w:r w:rsidR="00843774" w:rsidRPr="00091C8C">
        <w:rPr>
          <w:rFonts w:ascii="Times New Roman" w:hAnsi="Times New Roman"/>
        </w:rPr>
        <w:t xml:space="preserve"> </w:t>
      </w:r>
      <w:r w:rsidR="00BF3841" w:rsidRPr="00091C8C">
        <w:rPr>
          <w:rFonts w:ascii="Times New Roman" w:hAnsi="Times New Roman"/>
        </w:rPr>
        <w:t xml:space="preserve">contained in goods included in the ARTG to apply to the Commissioner for a </w:t>
      </w:r>
      <w:r w:rsidR="002F0A46" w:rsidRPr="00091C8C">
        <w:rPr>
          <w:rFonts w:ascii="Times New Roman" w:hAnsi="Times New Roman"/>
        </w:rPr>
        <w:t>one-off</w:t>
      </w:r>
      <w:r w:rsidR="00BF3841" w:rsidRPr="00091C8C">
        <w:rPr>
          <w:rFonts w:ascii="Times New Roman" w:hAnsi="Times New Roman"/>
        </w:rPr>
        <w:t xml:space="preserve"> extension of the term of the patent if the</w:t>
      </w:r>
      <w:r w:rsidR="007E3001" w:rsidRPr="00091C8C">
        <w:rPr>
          <w:rFonts w:ascii="Times New Roman" w:hAnsi="Times New Roman"/>
        </w:rPr>
        <w:t xml:space="preserve"> period between</w:t>
      </w:r>
      <w:r w:rsidR="00BF3841" w:rsidRPr="00091C8C">
        <w:rPr>
          <w:rFonts w:ascii="Times New Roman" w:hAnsi="Times New Roman"/>
        </w:rPr>
        <w:t xml:space="preserve"> </w:t>
      </w:r>
      <w:r w:rsidR="007E3001" w:rsidRPr="00091C8C">
        <w:rPr>
          <w:rFonts w:ascii="Times New Roman" w:hAnsi="Times New Roman"/>
        </w:rPr>
        <w:t xml:space="preserve">the date of the patent and the </w:t>
      </w:r>
      <w:r w:rsidR="00BF3841" w:rsidRPr="00091C8C">
        <w:rPr>
          <w:rFonts w:ascii="Times New Roman" w:hAnsi="Times New Roman"/>
        </w:rPr>
        <w:t xml:space="preserve">date of commencement of the first inclusion of goods containing the substance in the ARTG is </w:t>
      </w:r>
      <w:r w:rsidR="007A00E6" w:rsidRPr="00091C8C">
        <w:rPr>
          <w:rFonts w:ascii="Times New Roman" w:hAnsi="Times New Roman"/>
        </w:rPr>
        <w:t>five</w:t>
      </w:r>
      <w:r w:rsidR="00FE6F74" w:rsidRPr="00091C8C">
        <w:rPr>
          <w:rFonts w:ascii="Times New Roman" w:hAnsi="Times New Roman"/>
        </w:rPr>
        <w:t xml:space="preserve"> </w:t>
      </w:r>
      <w:r w:rsidR="0069404F" w:rsidRPr="00091C8C">
        <w:rPr>
          <w:rFonts w:ascii="Times New Roman" w:hAnsi="Times New Roman"/>
        </w:rPr>
        <w:t xml:space="preserve">years or </w:t>
      </w:r>
      <w:r w:rsidR="00BF3841" w:rsidRPr="00091C8C">
        <w:rPr>
          <w:rFonts w:ascii="Times New Roman" w:hAnsi="Times New Roman"/>
        </w:rPr>
        <w:t>more</w:t>
      </w:r>
      <w:r w:rsidR="00BF3841" w:rsidRPr="00091C8C">
        <w:rPr>
          <w:rStyle w:val="FootnoteReference"/>
          <w:rFonts w:ascii="Times New Roman" w:hAnsi="Times New Roman"/>
          <w:sz w:val="24"/>
        </w:rPr>
        <w:footnoteReference w:id="24"/>
      </w:r>
      <w:r w:rsidR="00BF3841" w:rsidRPr="00091C8C">
        <w:rPr>
          <w:rFonts w:ascii="Times New Roman" w:hAnsi="Times New Roman"/>
        </w:rPr>
        <w:t xml:space="preserve">. </w:t>
      </w:r>
    </w:p>
    <w:p w14:paraId="2CA9548E" w14:textId="49A31964" w:rsidR="00122C64" w:rsidRPr="00091C8C" w:rsidRDefault="00450EAD" w:rsidP="00091C8C">
      <w:pPr>
        <w:pStyle w:val="FixListStyle"/>
        <w:spacing w:after="260" w:line="280" w:lineRule="exact"/>
        <w:ind w:right="0"/>
        <w:jc w:val="both"/>
        <w:rPr>
          <w:rFonts w:ascii="Times New Roman" w:hAnsi="Times New Roman"/>
        </w:rPr>
      </w:pPr>
      <w:r w:rsidRPr="00091C8C">
        <w:rPr>
          <w:rFonts w:ascii="Times New Roman" w:hAnsi="Times New Roman"/>
        </w:rPr>
        <w:tab/>
      </w:r>
      <w:r w:rsidR="00691E8E" w:rsidRPr="00091C8C">
        <w:rPr>
          <w:rFonts w:ascii="Times New Roman" w:hAnsi="Times New Roman"/>
        </w:rPr>
        <w:t xml:space="preserve">Section 71 provides that the patentee must apply for the extension during the term of the patent and within </w:t>
      </w:r>
      <w:r w:rsidR="007967F0" w:rsidRPr="00091C8C">
        <w:rPr>
          <w:rFonts w:ascii="Times New Roman" w:hAnsi="Times New Roman"/>
        </w:rPr>
        <w:t>six</w:t>
      </w:r>
      <w:r w:rsidR="00691E8E" w:rsidRPr="00091C8C">
        <w:rPr>
          <w:rFonts w:ascii="Times New Roman" w:hAnsi="Times New Roman"/>
        </w:rPr>
        <w:t xml:space="preserve"> months after the latest of three specified dates, here within </w:t>
      </w:r>
      <w:r w:rsidR="007967F0" w:rsidRPr="00091C8C">
        <w:rPr>
          <w:rFonts w:ascii="Times New Roman" w:hAnsi="Times New Roman"/>
        </w:rPr>
        <w:t>six</w:t>
      </w:r>
      <w:r w:rsidR="00691E8E" w:rsidRPr="00091C8C">
        <w:rPr>
          <w:rFonts w:ascii="Times New Roman" w:hAnsi="Times New Roman"/>
        </w:rPr>
        <w:t xml:space="preserve"> months </w:t>
      </w:r>
      <w:r w:rsidR="005B095A" w:rsidRPr="00091C8C">
        <w:rPr>
          <w:rFonts w:ascii="Times New Roman" w:hAnsi="Times New Roman"/>
        </w:rPr>
        <w:t>after</w:t>
      </w:r>
      <w:r w:rsidR="00691E8E" w:rsidRPr="00091C8C">
        <w:rPr>
          <w:rFonts w:ascii="Times New Roman" w:hAnsi="Times New Roman"/>
        </w:rPr>
        <w:t xml:space="preserve"> the first inclusion of goods containing the substance </w:t>
      </w:r>
      <w:r w:rsidR="00691E8E" w:rsidRPr="00091C8C">
        <w:rPr>
          <w:rFonts w:ascii="Times New Roman" w:hAnsi="Times New Roman"/>
        </w:rPr>
        <w:lastRenderedPageBreak/>
        <w:t>in the ARTG</w:t>
      </w:r>
      <w:r w:rsidR="00BF3841" w:rsidRPr="00091C8C">
        <w:rPr>
          <w:rStyle w:val="FootnoteReference"/>
          <w:rFonts w:ascii="Times New Roman" w:hAnsi="Times New Roman"/>
          <w:sz w:val="24"/>
        </w:rPr>
        <w:footnoteReference w:id="25"/>
      </w:r>
      <w:r w:rsidR="00BF3841" w:rsidRPr="00091C8C">
        <w:rPr>
          <w:rFonts w:ascii="Times New Roman" w:hAnsi="Times New Roman"/>
        </w:rPr>
        <w:t>. However, in specified circumstances</w:t>
      </w:r>
      <w:r w:rsidR="000B63E4" w:rsidRPr="00091C8C">
        <w:rPr>
          <w:rStyle w:val="FootnoteReference"/>
          <w:rFonts w:ascii="Times New Roman" w:hAnsi="Times New Roman"/>
          <w:sz w:val="24"/>
        </w:rPr>
        <w:footnoteReference w:id="26"/>
      </w:r>
      <w:r w:rsidR="00BF3841" w:rsidRPr="00091C8C">
        <w:rPr>
          <w:rFonts w:ascii="Times New Roman" w:hAnsi="Times New Roman"/>
        </w:rPr>
        <w:t>, the Commissioner has discretion to extend the time for the patentee</w:t>
      </w:r>
      <w:r w:rsidR="008C6762" w:rsidRPr="00091C8C">
        <w:rPr>
          <w:rFonts w:ascii="Times New Roman" w:hAnsi="Times New Roman"/>
        </w:rPr>
        <w:t xml:space="preserve"> to </w:t>
      </w:r>
      <w:r w:rsidR="00671C67" w:rsidRPr="00091C8C">
        <w:rPr>
          <w:rFonts w:ascii="Times New Roman" w:hAnsi="Times New Roman"/>
        </w:rPr>
        <w:t>apply</w:t>
      </w:r>
      <w:r w:rsidR="009C72FB" w:rsidRPr="00091C8C">
        <w:rPr>
          <w:rFonts w:ascii="Times New Roman" w:hAnsi="Times New Roman"/>
        </w:rPr>
        <w:t xml:space="preserve"> for </w:t>
      </w:r>
      <w:r w:rsidR="00BF3841" w:rsidRPr="00091C8C">
        <w:rPr>
          <w:rFonts w:ascii="Times New Roman" w:hAnsi="Times New Roman"/>
        </w:rPr>
        <w:t xml:space="preserve">the </w:t>
      </w:r>
      <w:r w:rsidR="00671C67" w:rsidRPr="00091C8C">
        <w:rPr>
          <w:rFonts w:ascii="Times New Roman" w:hAnsi="Times New Roman"/>
        </w:rPr>
        <w:t>extension</w:t>
      </w:r>
      <w:r w:rsidR="00BF3841" w:rsidRPr="00091C8C">
        <w:rPr>
          <w:rStyle w:val="FootnoteReference"/>
          <w:rFonts w:ascii="Times New Roman" w:hAnsi="Times New Roman"/>
          <w:sz w:val="24"/>
        </w:rPr>
        <w:footnoteReference w:id="27"/>
      </w:r>
      <w:r w:rsidR="00BF3841" w:rsidRPr="00091C8C">
        <w:rPr>
          <w:rFonts w:ascii="Times New Roman" w:hAnsi="Times New Roman"/>
        </w:rPr>
        <w:t>.</w:t>
      </w:r>
      <w:r w:rsidR="00EB1219" w:rsidRPr="00091C8C">
        <w:rPr>
          <w:rFonts w:ascii="Times New Roman" w:hAnsi="Times New Roman"/>
        </w:rPr>
        <w:t xml:space="preserve"> </w:t>
      </w:r>
      <w:r w:rsidR="009E598B" w:rsidRPr="00091C8C">
        <w:rPr>
          <w:rFonts w:ascii="Times New Roman" w:hAnsi="Times New Roman"/>
        </w:rPr>
        <w:t xml:space="preserve">The </w:t>
      </w:r>
      <w:r w:rsidR="00602ECE" w:rsidRPr="00091C8C">
        <w:rPr>
          <w:rFonts w:ascii="Times New Roman" w:hAnsi="Times New Roman"/>
        </w:rPr>
        <w:t xml:space="preserve">application must be </w:t>
      </w:r>
      <w:r w:rsidR="000E61C6" w:rsidRPr="00091C8C">
        <w:rPr>
          <w:rFonts w:ascii="Times New Roman" w:hAnsi="Times New Roman"/>
        </w:rPr>
        <w:t>advertised</w:t>
      </w:r>
      <w:r w:rsidR="000E61C6" w:rsidRPr="00091C8C">
        <w:rPr>
          <w:rStyle w:val="FootnoteReference"/>
          <w:rFonts w:ascii="Times New Roman" w:hAnsi="Times New Roman"/>
          <w:sz w:val="24"/>
        </w:rPr>
        <w:footnoteReference w:id="28"/>
      </w:r>
      <w:r w:rsidR="002B04D4" w:rsidRPr="00091C8C">
        <w:rPr>
          <w:rFonts w:ascii="Times New Roman" w:hAnsi="Times New Roman"/>
        </w:rPr>
        <w:t>,</w:t>
      </w:r>
      <w:r w:rsidR="000E61C6" w:rsidRPr="00091C8C">
        <w:rPr>
          <w:rFonts w:ascii="Times New Roman" w:hAnsi="Times New Roman"/>
        </w:rPr>
        <w:t xml:space="preserve"> must be </w:t>
      </w:r>
      <w:r w:rsidR="00602ECE" w:rsidRPr="00091C8C">
        <w:rPr>
          <w:rFonts w:ascii="Times New Roman" w:hAnsi="Times New Roman"/>
        </w:rPr>
        <w:t xml:space="preserve">accepted by the Commissioner if satisfied </w:t>
      </w:r>
      <w:r w:rsidR="008C6CDE" w:rsidRPr="00091C8C">
        <w:rPr>
          <w:rFonts w:ascii="Times New Roman" w:hAnsi="Times New Roman"/>
        </w:rPr>
        <w:t xml:space="preserve">that the requirements </w:t>
      </w:r>
      <w:r w:rsidR="007A620C" w:rsidRPr="00091C8C">
        <w:rPr>
          <w:rFonts w:ascii="Times New Roman" w:hAnsi="Times New Roman"/>
        </w:rPr>
        <w:t>of ss</w:t>
      </w:r>
      <w:r w:rsidR="0049327E" w:rsidRPr="00091C8C">
        <w:rPr>
          <w:rFonts w:ascii="Times New Roman" w:hAnsi="Times New Roman"/>
        </w:rPr>
        <w:t> </w:t>
      </w:r>
      <w:r w:rsidR="0016086C" w:rsidRPr="00091C8C">
        <w:rPr>
          <w:rFonts w:ascii="Times New Roman" w:hAnsi="Times New Roman"/>
        </w:rPr>
        <w:t>70 and 71 are met</w:t>
      </w:r>
      <w:r w:rsidR="007C30C5" w:rsidRPr="00091C8C">
        <w:rPr>
          <w:rStyle w:val="FootnoteReference"/>
          <w:rFonts w:ascii="Times New Roman" w:hAnsi="Times New Roman"/>
          <w:sz w:val="24"/>
        </w:rPr>
        <w:footnoteReference w:id="29"/>
      </w:r>
      <w:r w:rsidR="002B04D4" w:rsidRPr="00091C8C">
        <w:rPr>
          <w:rFonts w:ascii="Times New Roman" w:hAnsi="Times New Roman"/>
        </w:rPr>
        <w:t>,</w:t>
      </w:r>
      <w:r w:rsidR="0016086C" w:rsidRPr="00091C8C">
        <w:rPr>
          <w:rFonts w:ascii="Times New Roman" w:hAnsi="Times New Roman"/>
        </w:rPr>
        <w:t xml:space="preserve"> and may be opposed </w:t>
      </w:r>
      <w:r w:rsidR="007C30C5" w:rsidRPr="00091C8C">
        <w:rPr>
          <w:rFonts w:ascii="Times New Roman" w:hAnsi="Times New Roman"/>
        </w:rPr>
        <w:t xml:space="preserve">by any person on the </w:t>
      </w:r>
      <w:r w:rsidR="00122C64" w:rsidRPr="00091C8C">
        <w:rPr>
          <w:rFonts w:ascii="Times New Roman" w:hAnsi="Times New Roman"/>
        </w:rPr>
        <w:t>ground that one or more of the requirements of ss</w:t>
      </w:r>
      <w:r w:rsidR="00F4144F" w:rsidRPr="00091C8C">
        <w:rPr>
          <w:rFonts w:ascii="Times New Roman" w:hAnsi="Times New Roman"/>
        </w:rPr>
        <w:t> </w:t>
      </w:r>
      <w:r w:rsidR="00122C64" w:rsidRPr="00091C8C">
        <w:rPr>
          <w:rFonts w:ascii="Times New Roman" w:hAnsi="Times New Roman"/>
        </w:rPr>
        <w:t>70 and 71 are not met</w:t>
      </w:r>
      <w:r w:rsidR="00122C64" w:rsidRPr="00091C8C">
        <w:rPr>
          <w:rStyle w:val="FootnoteReference"/>
          <w:rFonts w:ascii="Times New Roman" w:hAnsi="Times New Roman"/>
          <w:sz w:val="24"/>
        </w:rPr>
        <w:footnoteReference w:id="30"/>
      </w:r>
      <w:r w:rsidR="00122C64" w:rsidRPr="00091C8C">
        <w:rPr>
          <w:rFonts w:ascii="Times New Roman" w:hAnsi="Times New Roman"/>
        </w:rPr>
        <w:t>.</w:t>
      </w:r>
    </w:p>
    <w:p w14:paraId="09103C48" w14:textId="25C29534" w:rsidR="00EB1219" w:rsidRPr="00091C8C" w:rsidRDefault="00F94A96" w:rsidP="00091C8C">
      <w:pPr>
        <w:pStyle w:val="FixListStyle"/>
        <w:spacing w:after="260" w:line="280" w:lineRule="exact"/>
        <w:ind w:right="0"/>
        <w:jc w:val="both"/>
        <w:rPr>
          <w:rFonts w:ascii="Times New Roman" w:hAnsi="Times New Roman"/>
        </w:rPr>
      </w:pPr>
      <w:r w:rsidRPr="00091C8C">
        <w:rPr>
          <w:rFonts w:ascii="Times New Roman" w:hAnsi="Times New Roman"/>
        </w:rPr>
        <w:tab/>
      </w:r>
      <w:r w:rsidR="003855CE" w:rsidRPr="00091C8C">
        <w:rPr>
          <w:rFonts w:ascii="Times New Roman" w:hAnsi="Times New Roman"/>
        </w:rPr>
        <w:t xml:space="preserve">Section 76 </w:t>
      </w:r>
      <w:r w:rsidR="007F0409" w:rsidRPr="00091C8C">
        <w:rPr>
          <w:rFonts w:ascii="Times New Roman" w:hAnsi="Times New Roman"/>
        </w:rPr>
        <w:t>provides that the Commissioner</w:t>
      </w:r>
      <w:r w:rsidR="004C27A4" w:rsidRPr="00091C8C">
        <w:rPr>
          <w:rFonts w:ascii="Times New Roman" w:hAnsi="Times New Roman"/>
        </w:rPr>
        <w:t xml:space="preserve"> </w:t>
      </w:r>
      <w:r w:rsidR="00855E7C" w:rsidRPr="00091C8C">
        <w:rPr>
          <w:rFonts w:ascii="Times New Roman" w:hAnsi="Times New Roman"/>
        </w:rPr>
        <w:t xml:space="preserve">must grant </w:t>
      </w:r>
      <w:r w:rsidR="00C8238F" w:rsidRPr="00091C8C">
        <w:rPr>
          <w:rFonts w:ascii="Times New Roman" w:hAnsi="Times New Roman"/>
        </w:rPr>
        <w:t xml:space="preserve">an extension of the term if there is no </w:t>
      </w:r>
      <w:r w:rsidR="005A71CF" w:rsidRPr="00091C8C">
        <w:rPr>
          <w:rFonts w:ascii="Times New Roman" w:hAnsi="Times New Roman"/>
        </w:rPr>
        <w:t>opposition</w:t>
      </w:r>
      <w:r w:rsidR="000A2A2A" w:rsidRPr="00091C8C">
        <w:rPr>
          <w:rFonts w:ascii="Times New Roman" w:hAnsi="Times New Roman"/>
        </w:rPr>
        <w:t xml:space="preserve"> to the grant</w:t>
      </w:r>
      <w:r w:rsidR="005A71CF" w:rsidRPr="00091C8C">
        <w:rPr>
          <w:rFonts w:ascii="Times New Roman" w:hAnsi="Times New Roman"/>
        </w:rPr>
        <w:t xml:space="preserve"> </w:t>
      </w:r>
      <w:r w:rsidR="006F6DB8" w:rsidRPr="00091C8C">
        <w:rPr>
          <w:rFonts w:ascii="Times New Roman" w:hAnsi="Times New Roman"/>
        </w:rPr>
        <w:t>or if</w:t>
      </w:r>
      <w:r w:rsidR="00DA2351" w:rsidRPr="00091C8C">
        <w:rPr>
          <w:rFonts w:ascii="Times New Roman" w:hAnsi="Times New Roman"/>
        </w:rPr>
        <w:t>,</w:t>
      </w:r>
      <w:r w:rsidR="006F6DB8" w:rsidRPr="00091C8C">
        <w:rPr>
          <w:rFonts w:ascii="Times New Roman" w:hAnsi="Times New Roman"/>
        </w:rPr>
        <w:t xml:space="preserve"> in spite of opposition, the Commissioner's decision or the decision on any appeal is that the extension should be granted</w:t>
      </w:r>
      <w:r w:rsidR="00085385" w:rsidRPr="00091C8C">
        <w:rPr>
          <w:rStyle w:val="FootnoteReference"/>
          <w:rFonts w:ascii="Times New Roman" w:hAnsi="Times New Roman"/>
          <w:sz w:val="24"/>
        </w:rPr>
        <w:footnoteReference w:id="31"/>
      </w:r>
      <w:r w:rsidR="0025404E" w:rsidRPr="00091C8C">
        <w:rPr>
          <w:rFonts w:ascii="Times New Roman" w:hAnsi="Times New Roman"/>
        </w:rPr>
        <w:t>.</w:t>
      </w:r>
      <w:r w:rsidR="0075143B" w:rsidRPr="00091C8C">
        <w:rPr>
          <w:rFonts w:ascii="Times New Roman" w:hAnsi="Times New Roman"/>
        </w:rPr>
        <w:t xml:space="preserve"> </w:t>
      </w:r>
      <w:r w:rsidR="00CE6C34" w:rsidRPr="00091C8C">
        <w:rPr>
          <w:rFonts w:ascii="Times New Roman" w:hAnsi="Times New Roman"/>
        </w:rPr>
        <w:t>T</w:t>
      </w:r>
      <w:r w:rsidR="00C621B6" w:rsidRPr="00091C8C">
        <w:rPr>
          <w:rFonts w:ascii="Times New Roman" w:hAnsi="Times New Roman"/>
        </w:rPr>
        <w:t>he</w:t>
      </w:r>
      <w:r w:rsidR="00BF3841" w:rsidRPr="00091C8C">
        <w:rPr>
          <w:rFonts w:ascii="Times New Roman" w:hAnsi="Times New Roman"/>
        </w:rPr>
        <w:t xml:space="preserve"> </w:t>
      </w:r>
      <w:r w:rsidR="00756DCE" w:rsidRPr="00091C8C">
        <w:rPr>
          <w:rFonts w:ascii="Times New Roman" w:hAnsi="Times New Roman"/>
        </w:rPr>
        <w:t>term</w:t>
      </w:r>
      <w:r w:rsidR="008C564D" w:rsidRPr="00091C8C">
        <w:rPr>
          <w:rFonts w:ascii="Times New Roman" w:hAnsi="Times New Roman"/>
        </w:rPr>
        <w:t xml:space="preserve"> </w:t>
      </w:r>
      <w:r w:rsidR="00D360F5" w:rsidRPr="00091C8C">
        <w:rPr>
          <w:rFonts w:ascii="Times New Roman" w:hAnsi="Times New Roman"/>
        </w:rPr>
        <w:t xml:space="preserve">of the </w:t>
      </w:r>
      <w:r w:rsidR="00BF3841" w:rsidRPr="00091C8C">
        <w:rPr>
          <w:rFonts w:ascii="Times New Roman" w:hAnsi="Times New Roman"/>
        </w:rPr>
        <w:t xml:space="preserve">extension </w:t>
      </w:r>
      <w:r w:rsidR="00C04276" w:rsidRPr="00091C8C">
        <w:rPr>
          <w:rFonts w:ascii="Times New Roman" w:hAnsi="Times New Roman"/>
        </w:rPr>
        <w:t xml:space="preserve">so </w:t>
      </w:r>
      <w:r w:rsidR="00571EF3" w:rsidRPr="00091C8C">
        <w:rPr>
          <w:rFonts w:ascii="Times New Roman" w:hAnsi="Times New Roman"/>
        </w:rPr>
        <w:t xml:space="preserve">granted </w:t>
      </w:r>
      <w:r w:rsidR="00BF3841" w:rsidRPr="00091C8C">
        <w:rPr>
          <w:rFonts w:ascii="Times New Roman" w:hAnsi="Times New Roman"/>
        </w:rPr>
        <w:t xml:space="preserve">is </w:t>
      </w:r>
      <w:r w:rsidR="00C04276" w:rsidRPr="00091C8C">
        <w:rPr>
          <w:rFonts w:ascii="Times New Roman" w:hAnsi="Times New Roman"/>
        </w:rPr>
        <w:t>spelt out in</w:t>
      </w:r>
      <w:r w:rsidR="00F47C5A" w:rsidRPr="00091C8C">
        <w:rPr>
          <w:rFonts w:ascii="Times New Roman" w:hAnsi="Times New Roman"/>
        </w:rPr>
        <w:t xml:space="preserve"> s</w:t>
      </w:r>
      <w:r w:rsidR="00016F7E" w:rsidRPr="00091C8C">
        <w:rPr>
          <w:rFonts w:ascii="Times New Roman" w:hAnsi="Times New Roman"/>
        </w:rPr>
        <w:t> </w:t>
      </w:r>
      <w:r w:rsidR="007403A6" w:rsidRPr="00091C8C">
        <w:rPr>
          <w:rFonts w:ascii="Times New Roman" w:hAnsi="Times New Roman"/>
        </w:rPr>
        <w:t>77</w:t>
      </w:r>
      <w:r w:rsidR="00F47C5A" w:rsidRPr="00091C8C">
        <w:rPr>
          <w:rFonts w:ascii="Times New Roman" w:hAnsi="Times New Roman"/>
        </w:rPr>
        <w:t xml:space="preserve"> </w:t>
      </w:r>
      <w:r w:rsidR="0025404E" w:rsidRPr="00091C8C">
        <w:rPr>
          <w:rFonts w:ascii="Times New Roman" w:hAnsi="Times New Roman"/>
        </w:rPr>
        <w:t>by reference</w:t>
      </w:r>
      <w:r w:rsidR="00AB5902" w:rsidRPr="00091C8C">
        <w:rPr>
          <w:rFonts w:ascii="Times New Roman" w:hAnsi="Times New Roman"/>
        </w:rPr>
        <w:t xml:space="preserve"> to a formula</w:t>
      </w:r>
      <w:r w:rsidR="006F0100" w:rsidRPr="00091C8C">
        <w:rPr>
          <w:rFonts w:ascii="Times New Roman" w:hAnsi="Times New Roman"/>
        </w:rPr>
        <w:t xml:space="preserve"> </w:t>
      </w:r>
      <w:r w:rsidR="005445F0" w:rsidRPr="00091C8C">
        <w:rPr>
          <w:rFonts w:ascii="Times New Roman" w:hAnsi="Times New Roman"/>
        </w:rPr>
        <w:t>(</w:t>
      </w:r>
      <w:r w:rsidR="003D5705" w:rsidRPr="00091C8C">
        <w:rPr>
          <w:rFonts w:ascii="Times New Roman" w:hAnsi="Times New Roman"/>
        </w:rPr>
        <w:t>equa</w:t>
      </w:r>
      <w:r w:rsidR="00323E90" w:rsidRPr="00091C8C">
        <w:rPr>
          <w:rFonts w:ascii="Times New Roman" w:hAnsi="Times New Roman"/>
        </w:rPr>
        <w:t>ting</w:t>
      </w:r>
      <w:r w:rsidR="003D5705" w:rsidRPr="00091C8C">
        <w:rPr>
          <w:rFonts w:ascii="Times New Roman" w:hAnsi="Times New Roman"/>
        </w:rPr>
        <w:t xml:space="preserve"> </w:t>
      </w:r>
      <w:r w:rsidR="003C5DD6" w:rsidRPr="00091C8C">
        <w:rPr>
          <w:rFonts w:ascii="Times New Roman" w:hAnsi="Times New Roman"/>
        </w:rPr>
        <w:t xml:space="preserve">to </w:t>
      </w:r>
      <w:r w:rsidR="001D4E6B" w:rsidRPr="00091C8C">
        <w:rPr>
          <w:rFonts w:ascii="Times New Roman" w:hAnsi="Times New Roman"/>
        </w:rPr>
        <w:t xml:space="preserve">how </w:t>
      </w:r>
      <w:r w:rsidR="006E63CA" w:rsidRPr="00091C8C">
        <w:rPr>
          <w:rFonts w:ascii="Times New Roman" w:hAnsi="Times New Roman"/>
        </w:rPr>
        <w:t xml:space="preserve">much </w:t>
      </w:r>
      <w:r w:rsidR="001D4E6B" w:rsidRPr="00091C8C">
        <w:rPr>
          <w:rFonts w:ascii="Times New Roman" w:hAnsi="Times New Roman"/>
        </w:rPr>
        <w:t>long</w:t>
      </w:r>
      <w:r w:rsidR="006E63CA" w:rsidRPr="00091C8C">
        <w:rPr>
          <w:rFonts w:ascii="Times New Roman" w:hAnsi="Times New Roman"/>
        </w:rPr>
        <w:t xml:space="preserve">er than </w:t>
      </w:r>
      <w:r w:rsidR="00325E8C" w:rsidRPr="00091C8C">
        <w:rPr>
          <w:rFonts w:ascii="Times New Roman" w:hAnsi="Times New Roman"/>
        </w:rPr>
        <w:t>five</w:t>
      </w:r>
      <w:r w:rsidR="006E63CA" w:rsidRPr="00091C8C">
        <w:rPr>
          <w:rFonts w:ascii="Times New Roman" w:hAnsi="Times New Roman"/>
        </w:rPr>
        <w:t xml:space="preserve"> years</w:t>
      </w:r>
      <w:r w:rsidR="000D3C4C" w:rsidRPr="00091C8C">
        <w:rPr>
          <w:rFonts w:ascii="Times New Roman" w:hAnsi="Times New Roman"/>
        </w:rPr>
        <w:t xml:space="preserve"> </w:t>
      </w:r>
      <w:r w:rsidR="003C5DD6" w:rsidRPr="00091C8C">
        <w:rPr>
          <w:rFonts w:ascii="Times New Roman" w:hAnsi="Times New Roman"/>
        </w:rPr>
        <w:t xml:space="preserve">the </w:t>
      </w:r>
      <w:r w:rsidR="00AB5902" w:rsidRPr="00091C8C">
        <w:rPr>
          <w:rFonts w:ascii="Times New Roman" w:hAnsi="Times New Roman"/>
        </w:rPr>
        <w:t xml:space="preserve">first inclusion of goods containing the substance in the ARTG </w:t>
      </w:r>
      <w:r w:rsidR="002B153F" w:rsidRPr="00091C8C">
        <w:rPr>
          <w:rFonts w:ascii="Times New Roman" w:hAnsi="Times New Roman"/>
        </w:rPr>
        <w:t xml:space="preserve">was after </w:t>
      </w:r>
      <w:r w:rsidR="00834767" w:rsidRPr="00091C8C">
        <w:rPr>
          <w:rFonts w:ascii="Times New Roman" w:hAnsi="Times New Roman"/>
        </w:rPr>
        <w:t>the date of the patent</w:t>
      </w:r>
      <w:r w:rsidR="007905A5" w:rsidRPr="00091C8C">
        <w:rPr>
          <w:rFonts w:ascii="Times New Roman" w:hAnsi="Times New Roman"/>
        </w:rPr>
        <w:t>)</w:t>
      </w:r>
      <w:r w:rsidR="00BF3841" w:rsidRPr="00091C8C">
        <w:rPr>
          <w:rStyle w:val="FootnoteReference"/>
          <w:rFonts w:ascii="Times New Roman" w:hAnsi="Times New Roman"/>
          <w:sz w:val="24"/>
        </w:rPr>
        <w:footnoteReference w:id="32"/>
      </w:r>
      <w:r w:rsidR="00EB1219" w:rsidRPr="00091C8C">
        <w:rPr>
          <w:rFonts w:ascii="Times New Roman" w:hAnsi="Times New Roman"/>
        </w:rPr>
        <w:t xml:space="preserve"> </w:t>
      </w:r>
      <w:r w:rsidR="002E2443" w:rsidRPr="00091C8C">
        <w:rPr>
          <w:rFonts w:ascii="Times New Roman" w:hAnsi="Times New Roman"/>
        </w:rPr>
        <w:t xml:space="preserve">but is </w:t>
      </w:r>
      <w:r w:rsidR="00EB1219" w:rsidRPr="00091C8C">
        <w:rPr>
          <w:rFonts w:ascii="Times New Roman" w:hAnsi="Times New Roman"/>
        </w:rPr>
        <w:t xml:space="preserve">capped at </w:t>
      </w:r>
      <w:r w:rsidR="00477D9C" w:rsidRPr="00091C8C">
        <w:rPr>
          <w:rFonts w:ascii="Times New Roman" w:hAnsi="Times New Roman"/>
        </w:rPr>
        <w:t xml:space="preserve">five </w:t>
      </w:r>
      <w:r w:rsidR="00EB1219" w:rsidRPr="00091C8C">
        <w:rPr>
          <w:rFonts w:ascii="Times New Roman" w:hAnsi="Times New Roman"/>
        </w:rPr>
        <w:t>years</w:t>
      </w:r>
      <w:r w:rsidR="00EB1219" w:rsidRPr="00091C8C">
        <w:rPr>
          <w:rStyle w:val="FootnoteReference"/>
          <w:rFonts w:ascii="Times New Roman" w:hAnsi="Times New Roman"/>
          <w:sz w:val="24"/>
        </w:rPr>
        <w:footnoteReference w:id="33"/>
      </w:r>
      <w:r w:rsidR="00EB1219" w:rsidRPr="00091C8C">
        <w:rPr>
          <w:rFonts w:ascii="Times New Roman" w:hAnsi="Times New Roman"/>
        </w:rPr>
        <w:t>.</w:t>
      </w:r>
    </w:p>
    <w:p w14:paraId="3503AFAE" w14:textId="34E2AA28" w:rsidR="00BF3841" w:rsidRPr="00091C8C" w:rsidRDefault="00EB1219" w:rsidP="00091C8C">
      <w:pPr>
        <w:pStyle w:val="FixListStyle"/>
        <w:spacing w:after="260" w:line="280" w:lineRule="exact"/>
        <w:ind w:right="0"/>
        <w:jc w:val="both"/>
        <w:rPr>
          <w:rFonts w:ascii="Times New Roman" w:hAnsi="Times New Roman"/>
        </w:rPr>
      </w:pPr>
      <w:r w:rsidRPr="00091C8C">
        <w:rPr>
          <w:rFonts w:ascii="Times New Roman" w:hAnsi="Times New Roman"/>
        </w:rPr>
        <w:tab/>
      </w:r>
      <w:r w:rsidR="00DE7CB4" w:rsidRPr="00091C8C">
        <w:rPr>
          <w:rFonts w:ascii="Times New Roman" w:hAnsi="Times New Roman"/>
        </w:rPr>
        <w:t>D</w:t>
      </w:r>
      <w:r w:rsidR="00BF3841" w:rsidRPr="00091C8C">
        <w:rPr>
          <w:rFonts w:ascii="Times New Roman" w:hAnsi="Times New Roman"/>
        </w:rPr>
        <w:t xml:space="preserve">uring the term of the extension, the exclusive rights </w:t>
      </w:r>
      <w:r w:rsidR="009B457C" w:rsidRPr="00091C8C">
        <w:rPr>
          <w:rFonts w:ascii="Times New Roman" w:hAnsi="Times New Roman"/>
        </w:rPr>
        <w:t>given by</w:t>
      </w:r>
      <w:r w:rsidR="00DE7CB4" w:rsidRPr="00091C8C">
        <w:rPr>
          <w:rFonts w:ascii="Times New Roman" w:hAnsi="Times New Roman"/>
        </w:rPr>
        <w:t xml:space="preserve"> </w:t>
      </w:r>
      <w:r w:rsidR="00FB61D4" w:rsidRPr="00091C8C">
        <w:rPr>
          <w:rFonts w:ascii="Times New Roman" w:hAnsi="Times New Roman"/>
        </w:rPr>
        <w:t xml:space="preserve">the </w:t>
      </w:r>
      <w:r w:rsidR="00757F26" w:rsidRPr="00091C8C">
        <w:rPr>
          <w:rFonts w:ascii="Times New Roman" w:hAnsi="Times New Roman"/>
        </w:rPr>
        <w:t>paten</w:t>
      </w:r>
      <w:r w:rsidR="009B457C" w:rsidRPr="00091C8C">
        <w:rPr>
          <w:rFonts w:ascii="Times New Roman" w:hAnsi="Times New Roman"/>
        </w:rPr>
        <w:t>t</w:t>
      </w:r>
      <w:r w:rsidR="00757F26" w:rsidRPr="00091C8C">
        <w:rPr>
          <w:rFonts w:ascii="Times New Roman" w:hAnsi="Times New Roman"/>
        </w:rPr>
        <w:t xml:space="preserve"> are limited by operation of </w:t>
      </w:r>
      <w:r w:rsidR="00DE7CB4" w:rsidRPr="00091C8C">
        <w:rPr>
          <w:rFonts w:ascii="Times New Roman" w:hAnsi="Times New Roman"/>
        </w:rPr>
        <w:t>s</w:t>
      </w:r>
      <w:r w:rsidR="00764808" w:rsidRPr="00091C8C">
        <w:rPr>
          <w:rFonts w:ascii="Times New Roman" w:hAnsi="Times New Roman"/>
        </w:rPr>
        <w:t> </w:t>
      </w:r>
      <w:r w:rsidR="00DE7CB4" w:rsidRPr="00091C8C">
        <w:rPr>
          <w:rFonts w:ascii="Times New Roman" w:hAnsi="Times New Roman"/>
        </w:rPr>
        <w:t>78</w:t>
      </w:r>
      <w:r w:rsidR="00757F26" w:rsidRPr="00091C8C">
        <w:rPr>
          <w:rFonts w:ascii="Times New Roman" w:hAnsi="Times New Roman"/>
        </w:rPr>
        <w:t xml:space="preserve">. In particular, </w:t>
      </w:r>
      <w:r w:rsidR="00BF3841" w:rsidRPr="00091C8C">
        <w:rPr>
          <w:rFonts w:ascii="Times New Roman" w:hAnsi="Times New Roman"/>
        </w:rPr>
        <w:t>the exclusive rights of the patentee are not infringed by a person exploiting the pharmaceutical substance for a purpose other than a therapeutic use</w:t>
      </w:r>
      <w:r w:rsidR="00BF3841" w:rsidRPr="00091C8C">
        <w:rPr>
          <w:rStyle w:val="FootnoteReference"/>
          <w:rFonts w:ascii="Times New Roman" w:hAnsi="Times New Roman"/>
          <w:sz w:val="24"/>
        </w:rPr>
        <w:footnoteReference w:id="34"/>
      </w:r>
      <w:r w:rsidR="00BF3841" w:rsidRPr="00091C8C">
        <w:rPr>
          <w:rFonts w:ascii="Times New Roman" w:hAnsi="Times New Roman"/>
        </w:rPr>
        <w:t>.</w:t>
      </w:r>
      <w:r w:rsidR="00554580" w:rsidRPr="00091C8C">
        <w:rPr>
          <w:rFonts w:ascii="Times New Roman" w:hAnsi="Times New Roman"/>
        </w:rPr>
        <w:t xml:space="preserve"> T</w:t>
      </w:r>
      <w:r w:rsidR="00C9720A" w:rsidRPr="00091C8C">
        <w:rPr>
          <w:rFonts w:ascii="Times New Roman" w:hAnsi="Times New Roman"/>
        </w:rPr>
        <w:t xml:space="preserve">he </w:t>
      </w:r>
      <w:r w:rsidR="00974891" w:rsidRPr="00091C8C">
        <w:rPr>
          <w:rFonts w:ascii="Times New Roman" w:hAnsi="Times New Roman"/>
        </w:rPr>
        <w:t>e</w:t>
      </w:r>
      <w:r w:rsidR="00F13036" w:rsidRPr="00091C8C">
        <w:rPr>
          <w:rFonts w:ascii="Times New Roman" w:hAnsi="Times New Roman"/>
        </w:rPr>
        <w:t xml:space="preserve">xplanatory </w:t>
      </w:r>
      <w:r w:rsidR="00974891" w:rsidRPr="00091C8C">
        <w:rPr>
          <w:rFonts w:ascii="Times New Roman" w:hAnsi="Times New Roman"/>
        </w:rPr>
        <w:t>m</w:t>
      </w:r>
      <w:r w:rsidR="00F13036" w:rsidRPr="00091C8C">
        <w:rPr>
          <w:rFonts w:ascii="Times New Roman" w:hAnsi="Times New Roman"/>
        </w:rPr>
        <w:t>e</w:t>
      </w:r>
      <w:r w:rsidR="002E4D3E" w:rsidRPr="00091C8C">
        <w:rPr>
          <w:rFonts w:ascii="Times New Roman" w:hAnsi="Times New Roman"/>
        </w:rPr>
        <w:t>morandum</w:t>
      </w:r>
      <w:r w:rsidR="009C3EB8" w:rsidRPr="00091C8C">
        <w:rPr>
          <w:rFonts w:ascii="Times New Roman" w:hAnsi="Times New Roman"/>
        </w:rPr>
        <w:t xml:space="preserve"> for the </w:t>
      </w:r>
      <w:r w:rsidR="009761C0" w:rsidRPr="00091C8C">
        <w:rPr>
          <w:rFonts w:ascii="Times New Roman" w:hAnsi="Times New Roman"/>
        </w:rPr>
        <w:t>Bill for the</w:t>
      </w:r>
      <w:r w:rsidR="007B2986" w:rsidRPr="00091C8C">
        <w:rPr>
          <w:rFonts w:ascii="Times New Roman" w:hAnsi="Times New Roman"/>
        </w:rPr>
        <w:t xml:space="preserve"> </w:t>
      </w:r>
      <w:r w:rsidR="00974891" w:rsidRPr="00091C8C">
        <w:rPr>
          <w:rFonts w:ascii="Times New Roman" w:hAnsi="Times New Roman"/>
        </w:rPr>
        <w:t xml:space="preserve">1998 </w:t>
      </w:r>
      <w:r w:rsidR="009C3EB8" w:rsidRPr="00091C8C">
        <w:rPr>
          <w:rFonts w:ascii="Times New Roman" w:hAnsi="Times New Roman"/>
        </w:rPr>
        <w:t>Act</w:t>
      </w:r>
      <w:r w:rsidR="00547CF4" w:rsidRPr="00091C8C">
        <w:rPr>
          <w:rFonts w:ascii="Times New Roman" w:hAnsi="Times New Roman"/>
        </w:rPr>
        <w:t xml:space="preserve"> </w:t>
      </w:r>
      <w:r w:rsidR="00744567" w:rsidRPr="00091C8C">
        <w:rPr>
          <w:rFonts w:ascii="Times New Roman" w:hAnsi="Times New Roman"/>
        </w:rPr>
        <w:t>referred to</w:t>
      </w:r>
      <w:r w:rsidR="00F64E87" w:rsidRPr="00091C8C">
        <w:rPr>
          <w:rFonts w:ascii="Times New Roman" w:hAnsi="Times New Roman"/>
        </w:rPr>
        <w:t xml:space="preserve"> the</w:t>
      </w:r>
      <w:r w:rsidR="00A43002" w:rsidRPr="00091C8C">
        <w:rPr>
          <w:rFonts w:ascii="Times New Roman" w:hAnsi="Times New Roman"/>
        </w:rPr>
        <w:t xml:space="preserve">se amendments as </w:t>
      </w:r>
      <w:r w:rsidR="00F64E87" w:rsidRPr="00091C8C">
        <w:rPr>
          <w:rFonts w:ascii="Times New Roman" w:hAnsi="Times New Roman"/>
        </w:rPr>
        <w:t>"sp</w:t>
      </w:r>
      <w:r w:rsidR="00275A3D" w:rsidRPr="00091C8C">
        <w:rPr>
          <w:rFonts w:ascii="Times New Roman" w:hAnsi="Times New Roman"/>
        </w:rPr>
        <w:t>ring-boarding</w:t>
      </w:r>
      <w:r w:rsidR="006C7368" w:rsidRPr="00091C8C">
        <w:rPr>
          <w:rFonts w:ascii="Times New Roman" w:hAnsi="Times New Roman"/>
        </w:rPr>
        <w:t>"</w:t>
      </w:r>
      <w:r w:rsidR="00275A3D" w:rsidRPr="00091C8C">
        <w:rPr>
          <w:rFonts w:ascii="Times New Roman" w:hAnsi="Times New Roman"/>
        </w:rPr>
        <w:t xml:space="preserve"> provision</w:t>
      </w:r>
      <w:r w:rsidR="00A43002" w:rsidRPr="00091C8C">
        <w:rPr>
          <w:rFonts w:ascii="Times New Roman" w:hAnsi="Times New Roman"/>
        </w:rPr>
        <w:t>s</w:t>
      </w:r>
      <w:r w:rsidR="00275A3D" w:rsidRPr="00091C8C">
        <w:rPr>
          <w:rFonts w:ascii="Times New Roman" w:hAnsi="Times New Roman"/>
        </w:rPr>
        <w:t xml:space="preserve"> designed </w:t>
      </w:r>
      <w:r w:rsidR="00275A3D" w:rsidRPr="00091C8C">
        <w:rPr>
          <w:rFonts w:ascii="Times New Roman" w:hAnsi="Times New Roman"/>
        </w:rPr>
        <w:lastRenderedPageBreak/>
        <w:t xml:space="preserve">to </w:t>
      </w:r>
      <w:r w:rsidR="00673CB1" w:rsidRPr="00091C8C">
        <w:rPr>
          <w:rFonts w:ascii="Times New Roman" w:hAnsi="Times New Roman"/>
        </w:rPr>
        <w:t xml:space="preserve">allow </w:t>
      </w:r>
      <w:r w:rsidR="00850C62" w:rsidRPr="00091C8C">
        <w:rPr>
          <w:rFonts w:ascii="Times New Roman" w:hAnsi="Times New Roman"/>
        </w:rPr>
        <w:t xml:space="preserve">suppliers </w:t>
      </w:r>
      <w:r w:rsidR="004C4205" w:rsidRPr="00091C8C">
        <w:rPr>
          <w:rFonts w:ascii="Times New Roman" w:hAnsi="Times New Roman"/>
        </w:rPr>
        <w:t>of generic</w:t>
      </w:r>
      <w:r w:rsidR="00EE2DEF" w:rsidRPr="00091C8C">
        <w:rPr>
          <w:rFonts w:ascii="Times New Roman" w:hAnsi="Times New Roman"/>
        </w:rPr>
        <w:t xml:space="preserve"> </w:t>
      </w:r>
      <w:r w:rsidR="005A3204" w:rsidRPr="00091C8C">
        <w:rPr>
          <w:rFonts w:ascii="Times New Roman" w:hAnsi="Times New Roman"/>
        </w:rPr>
        <w:t>pharmaceutical</w:t>
      </w:r>
      <w:r w:rsidR="00EE2DEF" w:rsidRPr="00091C8C">
        <w:rPr>
          <w:rFonts w:ascii="Times New Roman" w:hAnsi="Times New Roman"/>
        </w:rPr>
        <w:t xml:space="preserve"> pr</w:t>
      </w:r>
      <w:r w:rsidR="005A3204" w:rsidRPr="00091C8C">
        <w:rPr>
          <w:rFonts w:ascii="Times New Roman" w:hAnsi="Times New Roman"/>
        </w:rPr>
        <w:t>o</w:t>
      </w:r>
      <w:r w:rsidR="00EE2DEF" w:rsidRPr="00091C8C">
        <w:rPr>
          <w:rFonts w:ascii="Times New Roman" w:hAnsi="Times New Roman"/>
        </w:rPr>
        <w:t xml:space="preserve">ducts </w:t>
      </w:r>
      <w:r w:rsidR="00850C62" w:rsidRPr="00091C8C">
        <w:rPr>
          <w:rFonts w:ascii="Times New Roman" w:hAnsi="Times New Roman"/>
        </w:rPr>
        <w:t>to</w:t>
      </w:r>
      <w:r w:rsidR="00FD5C03" w:rsidRPr="00091C8C">
        <w:rPr>
          <w:rFonts w:ascii="Times New Roman" w:hAnsi="Times New Roman"/>
        </w:rPr>
        <w:t xml:space="preserve"> </w:t>
      </w:r>
      <w:r w:rsidR="00DC537E" w:rsidRPr="00091C8C">
        <w:rPr>
          <w:rFonts w:ascii="Times New Roman" w:hAnsi="Times New Roman"/>
        </w:rPr>
        <w:t xml:space="preserve">take steps necessary to </w:t>
      </w:r>
      <w:r w:rsidR="005857DD" w:rsidRPr="00091C8C">
        <w:rPr>
          <w:rFonts w:ascii="Times New Roman" w:hAnsi="Times New Roman"/>
        </w:rPr>
        <w:t>meet pre-marketing</w:t>
      </w:r>
      <w:r w:rsidR="00BF5DBC" w:rsidRPr="00091C8C">
        <w:rPr>
          <w:rFonts w:ascii="Times New Roman" w:hAnsi="Times New Roman"/>
        </w:rPr>
        <w:t xml:space="preserve"> regulatory requirements</w:t>
      </w:r>
      <w:r w:rsidR="00CA0D17" w:rsidRPr="00091C8C">
        <w:rPr>
          <w:rStyle w:val="FootnoteReference"/>
          <w:rFonts w:ascii="Times New Roman" w:hAnsi="Times New Roman"/>
          <w:sz w:val="24"/>
        </w:rPr>
        <w:footnoteReference w:id="35"/>
      </w:r>
      <w:r w:rsidR="00BE1F0C" w:rsidRPr="00091C8C">
        <w:rPr>
          <w:rFonts w:ascii="Times New Roman" w:hAnsi="Times New Roman"/>
        </w:rPr>
        <w:t>.</w:t>
      </w:r>
    </w:p>
    <w:p w14:paraId="69777422" w14:textId="33E33712" w:rsidR="00BF3841" w:rsidRPr="00091C8C" w:rsidRDefault="00BF3841" w:rsidP="00091C8C">
      <w:pPr>
        <w:pStyle w:val="FixListStyle"/>
        <w:spacing w:after="260" w:line="280" w:lineRule="exact"/>
        <w:ind w:right="0"/>
        <w:jc w:val="both"/>
        <w:rPr>
          <w:rFonts w:ascii="Times New Roman" w:hAnsi="Times New Roman"/>
        </w:rPr>
      </w:pPr>
      <w:r w:rsidRPr="00091C8C">
        <w:rPr>
          <w:rFonts w:ascii="Times New Roman" w:hAnsi="Times New Roman"/>
        </w:rPr>
        <w:tab/>
        <w:t>Section 79</w:t>
      </w:r>
      <w:r w:rsidR="00311CB4" w:rsidRPr="00091C8C">
        <w:rPr>
          <w:rFonts w:ascii="Times New Roman" w:hAnsi="Times New Roman"/>
        </w:rPr>
        <w:t>, the con</w:t>
      </w:r>
      <w:r w:rsidR="0051177C" w:rsidRPr="00091C8C">
        <w:rPr>
          <w:rFonts w:ascii="Times New Roman" w:hAnsi="Times New Roman"/>
        </w:rPr>
        <w:t>struction and operation of which lies at the heart</w:t>
      </w:r>
      <w:r w:rsidR="00F63C96" w:rsidRPr="00091C8C">
        <w:rPr>
          <w:rFonts w:ascii="Times New Roman" w:hAnsi="Times New Roman"/>
        </w:rPr>
        <w:t xml:space="preserve"> of the appeals</w:t>
      </w:r>
      <w:r w:rsidR="00D92E9F" w:rsidRPr="00091C8C">
        <w:rPr>
          <w:rFonts w:ascii="Times New Roman" w:hAnsi="Times New Roman"/>
        </w:rPr>
        <w:t>,</w:t>
      </w:r>
      <w:r w:rsidRPr="00091C8C">
        <w:rPr>
          <w:rFonts w:ascii="Times New Roman" w:hAnsi="Times New Roman"/>
        </w:rPr>
        <w:t xml:space="preserve"> provides:</w:t>
      </w:r>
    </w:p>
    <w:p w14:paraId="26AF38F6" w14:textId="77777777" w:rsidR="00BF3841" w:rsidRPr="00091C8C" w:rsidRDefault="00BF3841" w:rsidP="00091C8C">
      <w:pPr>
        <w:pStyle w:val="leftright"/>
        <w:spacing w:before="0" w:after="260" w:line="280" w:lineRule="exact"/>
        <w:ind w:right="0"/>
        <w:jc w:val="both"/>
        <w:rPr>
          <w:rFonts w:ascii="Times New Roman" w:hAnsi="Times New Roman"/>
        </w:rPr>
      </w:pPr>
      <w:r w:rsidRPr="00091C8C">
        <w:rPr>
          <w:rFonts w:ascii="Times New Roman" w:hAnsi="Times New Roman"/>
        </w:rPr>
        <w:t>"If:</w:t>
      </w:r>
    </w:p>
    <w:p w14:paraId="2B28EB78" w14:textId="2CAB070E" w:rsidR="00BF3841" w:rsidRPr="00091C8C" w:rsidRDefault="008C7D94" w:rsidP="00D665F2">
      <w:pPr>
        <w:pStyle w:val="leftright"/>
        <w:spacing w:before="0" w:after="260" w:line="280" w:lineRule="exact"/>
        <w:ind w:left="1440" w:right="0" w:hanging="1440"/>
        <w:jc w:val="both"/>
        <w:rPr>
          <w:rFonts w:ascii="Times New Roman" w:hAnsi="Times New Roman"/>
        </w:rPr>
      </w:pPr>
      <w:r w:rsidRPr="00091C8C">
        <w:rPr>
          <w:rFonts w:ascii="Times New Roman" w:hAnsi="Times New Roman"/>
        </w:rPr>
        <w:tab/>
      </w:r>
      <w:r w:rsidR="00BF3841" w:rsidRPr="00091C8C">
        <w:rPr>
          <w:rFonts w:ascii="Times New Roman" w:hAnsi="Times New Roman"/>
        </w:rPr>
        <w:t>(a)</w:t>
      </w:r>
      <w:r w:rsidR="00BF3841" w:rsidRPr="00091C8C">
        <w:rPr>
          <w:rFonts w:ascii="Times New Roman" w:hAnsi="Times New Roman"/>
        </w:rPr>
        <w:tab/>
        <w:t>a patentee applies for an extension of the</w:t>
      </w:r>
      <w:r w:rsidR="00893947">
        <w:rPr>
          <w:rFonts w:ascii="Times New Roman" w:hAnsi="Times New Roman"/>
        </w:rPr>
        <w:t xml:space="preserve"> </w:t>
      </w:r>
      <w:r w:rsidR="00BF3841" w:rsidRPr="00091C8C">
        <w:rPr>
          <w:rFonts w:ascii="Times New Roman" w:hAnsi="Times New Roman"/>
        </w:rPr>
        <w:t>term of a standard patent; and</w:t>
      </w:r>
    </w:p>
    <w:p w14:paraId="5BDE139D" w14:textId="184FAA5E" w:rsidR="00BF3841" w:rsidRPr="00091C8C" w:rsidRDefault="008C7D94" w:rsidP="00D665F2">
      <w:pPr>
        <w:pStyle w:val="leftright"/>
        <w:spacing w:before="0" w:after="260" w:line="280" w:lineRule="exact"/>
        <w:ind w:left="1440" w:right="0" w:hanging="1440"/>
        <w:jc w:val="both"/>
        <w:rPr>
          <w:rFonts w:ascii="Times New Roman" w:hAnsi="Times New Roman"/>
        </w:rPr>
      </w:pPr>
      <w:r w:rsidRPr="00091C8C">
        <w:rPr>
          <w:rFonts w:ascii="Times New Roman" w:hAnsi="Times New Roman"/>
        </w:rPr>
        <w:tab/>
      </w:r>
      <w:r w:rsidR="00BF3841" w:rsidRPr="00091C8C">
        <w:rPr>
          <w:rFonts w:ascii="Times New Roman" w:hAnsi="Times New Roman"/>
        </w:rPr>
        <w:t>(b)</w:t>
      </w:r>
      <w:r w:rsidR="00BF3841" w:rsidRPr="00091C8C">
        <w:rPr>
          <w:rFonts w:ascii="Times New Roman" w:hAnsi="Times New Roman"/>
        </w:rPr>
        <w:tab/>
        <w:t>the term of the patent expires before the</w:t>
      </w:r>
      <w:r w:rsidR="00D665F2">
        <w:rPr>
          <w:rFonts w:ascii="Times New Roman" w:hAnsi="Times New Roman"/>
        </w:rPr>
        <w:t xml:space="preserve"> </w:t>
      </w:r>
      <w:r w:rsidR="00BF3841" w:rsidRPr="00091C8C">
        <w:rPr>
          <w:rFonts w:ascii="Times New Roman" w:hAnsi="Times New Roman"/>
        </w:rPr>
        <w:t>application is determined; and</w:t>
      </w:r>
    </w:p>
    <w:p w14:paraId="71A350A3" w14:textId="408273B9" w:rsidR="00BF3841" w:rsidRPr="00091C8C" w:rsidRDefault="008C7D94" w:rsidP="00091C8C">
      <w:pPr>
        <w:pStyle w:val="leftright"/>
        <w:spacing w:before="0" w:after="260" w:line="280" w:lineRule="exact"/>
        <w:ind w:left="0" w:right="0"/>
        <w:jc w:val="both"/>
        <w:rPr>
          <w:rFonts w:ascii="Times New Roman" w:hAnsi="Times New Roman"/>
        </w:rPr>
      </w:pPr>
      <w:r w:rsidRPr="00091C8C">
        <w:rPr>
          <w:rFonts w:ascii="Times New Roman" w:hAnsi="Times New Roman"/>
        </w:rPr>
        <w:tab/>
      </w:r>
      <w:r w:rsidR="00BF3841" w:rsidRPr="00091C8C">
        <w:rPr>
          <w:rFonts w:ascii="Times New Roman" w:hAnsi="Times New Roman"/>
        </w:rPr>
        <w:t>(c)</w:t>
      </w:r>
      <w:r w:rsidR="00BF3841" w:rsidRPr="00091C8C">
        <w:rPr>
          <w:rFonts w:ascii="Times New Roman" w:hAnsi="Times New Roman"/>
        </w:rPr>
        <w:tab/>
        <w:t>the extension is granted;</w:t>
      </w:r>
    </w:p>
    <w:p w14:paraId="21597EEB" w14:textId="77777777" w:rsidR="00BF3841" w:rsidRPr="00091C8C" w:rsidRDefault="00BF3841" w:rsidP="00091C8C">
      <w:pPr>
        <w:pStyle w:val="leftright"/>
        <w:spacing w:before="0" w:after="260" w:line="280" w:lineRule="exact"/>
        <w:ind w:right="0"/>
        <w:jc w:val="both"/>
        <w:rPr>
          <w:rFonts w:ascii="Times New Roman" w:hAnsi="Times New Roman"/>
        </w:rPr>
      </w:pPr>
      <w:r w:rsidRPr="00091C8C">
        <w:rPr>
          <w:rFonts w:ascii="Times New Roman" w:hAnsi="Times New Roman"/>
        </w:rPr>
        <w:t>the patentee has, after the extension is granted, the same rights to start proceedings in respect of the doing of an act during the period:</w:t>
      </w:r>
    </w:p>
    <w:p w14:paraId="0166C109" w14:textId="76A69832" w:rsidR="00BF3841" w:rsidRPr="00091C8C" w:rsidRDefault="008C7D94" w:rsidP="00091C8C">
      <w:pPr>
        <w:pStyle w:val="leftright"/>
        <w:spacing w:before="0" w:after="260" w:line="280" w:lineRule="exact"/>
        <w:ind w:left="1440" w:right="0" w:hanging="1440"/>
        <w:jc w:val="both"/>
        <w:rPr>
          <w:rFonts w:ascii="Times New Roman" w:hAnsi="Times New Roman"/>
        </w:rPr>
      </w:pPr>
      <w:r w:rsidRPr="00091C8C">
        <w:rPr>
          <w:rFonts w:ascii="Times New Roman" w:hAnsi="Times New Roman"/>
        </w:rPr>
        <w:tab/>
      </w:r>
      <w:r w:rsidR="00BF3841" w:rsidRPr="00091C8C">
        <w:rPr>
          <w:rFonts w:ascii="Times New Roman" w:hAnsi="Times New Roman"/>
        </w:rPr>
        <w:t>(d)</w:t>
      </w:r>
      <w:r w:rsidR="00BF3841" w:rsidRPr="00091C8C">
        <w:rPr>
          <w:rFonts w:ascii="Times New Roman" w:hAnsi="Times New Roman"/>
        </w:rPr>
        <w:tab/>
        <w:t>commencing on the expiration of the term of the patent; and</w:t>
      </w:r>
    </w:p>
    <w:p w14:paraId="5E082A91" w14:textId="7029A3EE" w:rsidR="00BF3841" w:rsidRPr="00091C8C" w:rsidRDefault="008C7D94" w:rsidP="00091C8C">
      <w:pPr>
        <w:pStyle w:val="leftright"/>
        <w:spacing w:before="0" w:after="260" w:line="280" w:lineRule="exact"/>
        <w:ind w:left="1440" w:right="0" w:hanging="1440"/>
        <w:jc w:val="both"/>
        <w:rPr>
          <w:rFonts w:ascii="Times New Roman" w:hAnsi="Times New Roman"/>
        </w:rPr>
      </w:pPr>
      <w:r w:rsidRPr="00091C8C">
        <w:rPr>
          <w:rFonts w:ascii="Times New Roman" w:hAnsi="Times New Roman"/>
        </w:rPr>
        <w:tab/>
      </w:r>
      <w:r w:rsidR="00BF3841" w:rsidRPr="00091C8C">
        <w:rPr>
          <w:rFonts w:ascii="Times New Roman" w:hAnsi="Times New Roman"/>
        </w:rPr>
        <w:t>(e)</w:t>
      </w:r>
      <w:r w:rsidR="00BF3841" w:rsidRPr="00091C8C">
        <w:rPr>
          <w:rFonts w:ascii="Times New Roman" w:hAnsi="Times New Roman"/>
        </w:rPr>
        <w:tab/>
        <w:t>ending on the day on which the extension was granted;</w:t>
      </w:r>
    </w:p>
    <w:p w14:paraId="243D8818" w14:textId="77777777" w:rsidR="00091C8C" w:rsidRDefault="00BF3841" w:rsidP="00091C8C">
      <w:pPr>
        <w:pStyle w:val="leftright"/>
        <w:spacing w:before="0" w:after="260" w:line="280" w:lineRule="exact"/>
        <w:ind w:right="0"/>
        <w:jc w:val="both"/>
        <w:rPr>
          <w:rFonts w:ascii="Times New Roman" w:hAnsi="Times New Roman"/>
        </w:rPr>
      </w:pPr>
      <w:r w:rsidRPr="00091C8C">
        <w:rPr>
          <w:rFonts w:ascii="Times New Roman" w:hAnsi="Times New Roman"/>
        </w:rPr>
        <w:t>as if the extension had been granted at the time when the act was done."</w:t>
      </w:r>
    </w:p>
    <w:p w14:paraId="227B6A01" w14:textId="6FF1A46B" w:rsidR="00A82F0E" w:rsidRPr="00091C8C" w:rsidRDefault="00BF3841" w:rsidP="00091C8C">
      <w:pPr>
        <w:pStyle w:val="FixListStyle"/>
        <w:spacing w:after="260" w:line="280" w:lineRule="exact"/>
        <w:ind w:right="0"/>
        <w:jc w:val="both"/>
        <w:rPr>
          <w:rFonts w:ascii="Times New Roman" w:hAnsi="Times New Roman"/>
        </w:rPr>
      </w:pPr>
      <w:r w:rsidRPr="00091C8C">
        <w:rPr>
          <w:rFonts w:ascii="Times New Roman" w:hAnsi="Times New Roman"/>
        </w:rPr>
        <w:tab/>
      </w:r>
      <w:r w:rsidR="001E3402" w:rsidRPr="00091C8C">
        <w:rPr>
          <w:rFonts w:ascii="Times New Roman" w:hAnsi="Times New Roman"/>
        </w:rPr>
        <w:t>The reference in s</w:t>
      </w:r>
      <w:r w:rsidR="0085729E" w:rsidRPr="00091C8C">
        <w:rPr>
          <w:rFonts w:ascii="Times New Roman" w:hAnsi="Times New Roman"/>
        </w:rPr>
        <w:t> </w:t>
      </w:r>
      <w:r w:rsidR="001C337F" w:rsidRPr="00091C8C">
        <w:rPr>
          <w:rFonts w:ascii="Times New Roman" w:hAnsi="Times New Roman"/>
        </w:rPr>
        <w:t xml:space="preserve">79 </w:t>
      </w:r>
      <w:r w:rsidR="001E3402" w:rsidRPr="00091C8C">
        <w:rPr>
          <w:rFonts w:ascii="Times New Roman" w:hAnsi="Times New Roman"/>
        </w:rPr>
        <w:t xml:space="preserve">to </w:t>
      </w:r>
      <w:r w:rsidR="00E54C0B" w:rsidRPr="00091C8C">
        <w:rPr>
          <w:rFonts w:ascii="Times New Roman" w:hAnsi="Times New Roman"/>
        </w:rPr>
        <w:t>"</w:t>
      </w:r>
      <w:r w:rsidR="001E3402" w:rsidRPr="00091C8C">
        <w:rPr>
          <w:rFonts w:ascii="Times New Roman" w:hAnsi="Times New Roman"/>
        </w:rPr>
        <w:t>rights to start proceedings in respect of the doing of an act</w:t>
      </w:r>
      <w:r w:rsidR="00E54C0B" w:rsidRPr="00091C8C">
        <w:rPr>
          <w:rFonts w:ascii="Times New Roman" w:hAnsi="Times New Roman"/>
        </w:rPr>
        <w:t>"</w:t>
      </w:r>
      <w:r w:rsidR="001E3402" w:rsidRPr="00091C8C">
        <w:rPr>
          <w:rFonts w:ascii="Times New Roman" w:hAnsi="Times New Roman"/>
        </w:rPr>
        <w:t xml:space="preserve"> </w:t>
      </w:r>
      <w:r w:rsidR="00645C06" w:rsidRPr="00091C8C">
        <w:rPr>
          <w:rFonts w:ascii="Times New Roman" w:hAnsi="Times New Roman"/>
        </w:rPr>
        <w:t>needs to</w:t>
      </w:r>
      <w:r w:rsidRPr="00091C8C">
        <w:rPr>
          <w:rFonts w:ascii="Times New Roman" w:hAnsi="Times New Roman"/>
        </w:rPr>
        <w:t xml:space="preserve"> be </w:t>
      </w:r>
      <w:r w:rsidR="001E3402" w:rsidRPr="00091C8C">
        <w:rPr>
          <w:rFonts w:ascii="Times New Roman" w:hAnsi="Times New Roman"/>
        </w:rPr>
        <w:t>understood</w:t>
      </w:r>
      <w:r w:rsidR="00AC0C11" w:rsidRPr="00091C8C">
        <w:rPr>
          <w:rFonts w:ascii="Times New Roman" w:hAnsi="Times New Roman"/>
        </w:rPr>
        <w:t xml:space="preserve"> </w:t>
      </w:r>
      <w:r w:rsidR="00E37794" w:rsidRPr="00091C8C">
        <w:rPr>
          <w:rFonts w:ascii="Times New Roman" w:hAnsi="Times New Roman"/>
        </w:rPr>
        <w:t>against the background</w:t>
      </w:r>
      <w:r w:rsidRPr="00091C8C">
        <w:rPr>
          <w:rFonts w:ascii="Times New Roman" w:hAnsi="Times New Roman"/>
        </w:rPr>
        <w:t xml:space="preserve"> of s</w:t>
      </w:r>
      <w:r w:rsidR="00E54C0B" w:rsidRPr="00091C8C">
        <w:rPr>
          <w:rFonts w:ascii="Times New Roman" w:hAnsi="Times New Roman"/>
        </w:rPr>
        <w:t> </w:t>
      </w:r>
      <w:r w:rsidRPr="00091C8C">
        <w:rPr>
          <w:rFonts w:ascii="Times New Roman" w:hAnsi="Times New Roman"/>
        </w:rPr>
        <w:t>120</w:t>
      </w:r>
      <w:r w:rsidR="000568CF" w:rsidRPr="00091C8C">
        <w:rPr>
          <w:rFonts w:ascii="Times New Roman" w:hAnsi="Times New Roman"/>
        </w:rPr>
        <w:t xml:space="preserve"> of the Act</w:t>
      </w:r>
      <w:r w:rsidR="00D434B9" w:rsidRPr="00091C8C">
        <w:rPr>
          <w:rFonts w:ascii="Times New Roman" w:hAnsi="Times New Roman"/>
        </w:rPr>
        <w:t>.</w:t>
      </w:r>
      <w:r w:rsidR="0043737F" w:rsidRPr="00091C8C">
        <w:rPr>
          <w:rFonts w:ascii="Times New Roman" w:hAnsi="Times New Roman"/>
        </w:rPr>
        <w:t xml:space="preserve"> </w:t>
      </w:r>
    </w:p>
    <w:p w14:paraId="3D96918C" w14:textId="70DD0025" w:rsidR="00B27050" w:rsidRPr="00091C8C" w:rsidRDefault="00A82F0E" w:rsidP="00091C8C">
      <w:pPr>
        <w:pStyle w:val="FixListStyle"/>
        <w:spacing w:after="260" w:line="280" w:lineRule="exact"/>
        <w:ind w:right="0"/>
        <w:jc w:val="both"/>
        <w:rPr>
          <w:rFonts w:ascii="Times New Roman" w:hAnsi="Times New Roman"/>
        </w:rPr>
      </w:pPr>
      <w:r w:rsidRPr="00091C8C">
        <w:rPr>
          <w:rFonts w:ascii="Times New Roman" w:hAnsi="Times New Roman"/>
        </w:rPr>
        <w:tab/>
        <w:t>S</w:t>
      </w:r>
      <w:r w:rsidR="0043737F" w:rsidRPr="00091C8C">
        <w:rPr>
          <w:rFonts w:ascii="Times New Roman" w:hAnsi="Times New Roman"/>
        </w:rPr>
        <w:t>ection</w:t>
      </w:r>
      <w:r w:rsidR="00BF3841" w:rsidRPr="00091C8C">
        <w:rPr>
          <w:rFonts w:ascii="Times New Roman" w:hAnsi="Times New Roman"/>
        </w:rPr>
        <w:t xml:space="preserve"> </w:t>
      </w:r>
      <w:r w:rsidRPr="00091C8C">
        <w:rPr>
          <w:rFonts w:ascii="Times New Roman" w:hAnsi="Times New Roman"/>
        </w:rPr>
        <w:t>120</w:t>
      </w:r>
      <w:r w:rsidR="00BF3841" w:rsidRPr="00091C8C">
        <w:rPr>
          <w:rFonts w:ascii="Times New Roman" w:hAnsi="Times New Roman"/>
        </w:rPr>
        <w:t xml:space="preserve"> provides that "infringement proceedings</w:t>
      </w:r>
      <w:r w:rsidR="00D434B9" w:rsidRPr="00091C8C">
        <w:rPr>
          <w:rFonts w:ascii="Times New Roman" w:hAnsi="Times New Roman"/>
        </w:rPr>
        <w:t>"</w:t>
      </w:r>
      <w:r w:rsidR="00BF3841" w:rsidRPr="00091C8C">
        <w:rPr>
          <w:rFonts w:ascii="Times New Roman" w:hAnsi="Times New Roman"/>
        </w:rPr>
        <w:t xml:space="preserve"> may be started in a prescribed court, or in another court having jurisdiction to hear and determine the matter, by the patentee or an exclusive licensee</w:t>
      </w:r>
      <w:r w:rsidR="00BF3841" w:rsidRPr="00091C8C">
        <w:rPr>
          <w:rStyle w:val="FootnoteReference"/>
          <w:rFonts w:ascii="Times New Roman" w:hAnsi="Times New Roman"/>
          <w:sz w:val="24"/>
        </w:rPr>
        <w:footnoteReference w:id="36"/>
      </w:r>
      <w:r w:rsidR="007F2C4D" w:rsidRPr="00091C8C">
        <w:rPr>
          <w:rFonts w:ascii="Times New Roman" w:hAnsi="Times New Roman"/>
        </w:rPr>
        <w:t xml:space="preserve">. </w:t>
      </w:r>
      <w:r w:rsidR="001D0843" w:rsidRPr="00091C8C">
        <w:rPr>
          <w:rFonts w:ascii="Times New Roman" w:hAnsi="Times New Roman"/>
        </w:rPr>
        <w:t xml:space="preserve">The section </w:t>
      </w:r>
      <w:r w:rsidR="00BF3841" w:rsidRPr="00091C8C">
        <w:rPr>
          <w:rFonts w:ascii="Times New Roman" w:hAnsi="Times New Roman"/>
        </w:rPr>
        <w:t>goes on to require the patentee to be a party</w:t>
      </w:r>
      <w:r w:rsidR="00085385" w:rsidRPr="00091C8C">
        <w:rPr>
          <w:rFonts w:ascii="Times New Roman" w:hAnsi="Times New Roman"/>
        </w:rPr>
        <w:t xml:space="preserve"> in the proceedings</w:t>
      </w:r>
      <w:r w:rsidR="00BF3841" w:rsidRPr="00091C8C">
        <w:rPr>
          <w:rStyle w:val="FootnoteReference"/>
          <w:rFonts w:ascii="Times New Roman" w:hAnsi="Times New Roman"/>
          <w:sz w:val="24"/>
        </w:rPr>
        <w:footnoteReference w:id="37"/>
      </w:r>
      <w:r w:rsidR="00BF3841" w:rsidRPr="00091C8C">
        <w:rPr>
          <w:rFonts w:ascii="Times New Roman" w:hAnsi="Times New Roman"/>
        </w:rPr>
        <w:t xml:space="preserve">, to shield the patentee against costs </w:t>
      </w:r>
      <w:r w:rsidR="00BF3841" w:rsidRPr="00091C8C">
        <w:rPr>
          <w:rFonts w:ascii="Times New Roman" w:hAnsi="Times New Roman"/>
        </w:rPr>
        <w:lastRenderedPageBreak/>
        <w:t xml:space="preserve">unless the patentee </w:t>
      </w:r>
      <w:r w:rsidR="00C90256" w:rsidRPr="00091C8C">
        <w:rPr>
          <w:rFonts w:ascii="Times New Roman" w:hAnsi="Times New Roman"/>
        </w:rPr>
        <w:t>chooses to participate</w:t>
      </w:r>
      <w:r w:rsidR="00BF3841" w:rsidRPr="00091C8C">
        <w:rPr>
          <w:rStyle w:val="FootnoteReference"/>
          <w:rFonts w:ascii="Times New Roman" w:hAnsi="Times New Roman"/>
          <w:sz w:val="24"/>
        </w:rPr>
        <w:footnoteReference w:id="38"/>
      </w:r>
      <w:r w:rsidR="00BF3841" w:rsidRPr="00091C8C">
        <w:rPr>
          <w:rFonts w:ascii="Times New Roman" w:hAnsi="Times New Roman"/>
        </w:rPr>
        <w:t>, and to prescribe the period within which "[i]nfringement proceedings must be started"</w:t>
      </w:r>
      <w:r w:rsidR="00BF3841" w:rsidRPr="00091C8C">
        <w:rPr>
          <w:rStyle w:val="FootnoteReference"/>
          <w:rFonts w:ascii="Times New Roman" w:hAnsi="Times New Roman"/>
          <w:sz w:val="24"/>
        </w:rPr>
        <w:footnoteReference w:id="39"/>
      </w:r>
      <w:r w:rsidR="00BF3841" w:rsidRPr="00091C8C">
        <w:rPr>
          <w:rFonts w:ascii="Times New Roman" w:hAnsi="Times New Roman"/>
        </w:rPr>
        <w:t xml:space="preserve">. </w:t>
      </w:r>
    </w:p>
    <w:p w14:paraId="0F5F82DA" w14:textId="1866CDA6" w:rsidR="00BF3841" w:rsidRPr="00091C8C" w:rsidRDefault="00B27050" w:rsidP="00091C8C">
      <w:pPr>
        <w:pStyle w:val="FixListStyle"/>
        <w:spacing w:after="260" w:line="280" w:lineRule="exact"/>
        <w:ind w:right="0"/>
        <w:jc w:val="both"/>
        <w:rPr>
          <w:rFonts w:ascii="Times New Roman" w:hAnsi="Times New Roman"/>
        </w:rPr>
      </w:pPr>
      <w:r w:rsidRPr="00091C8C">
        <w:rPr>
          <w:rFonts w:ascii="Times New Roman" w:hAnsi="Times New Roman"/>
        </w:rPr>
        <w:tab/>
      </w:r>
      <w:r w:rsidR="00BF3841" w:rsidRPr="00091C8C">
        <w:rPr>
          <w:rFonts w:ascii="Times New Roman" w:hAnsi="Times New Roman"/>
        </w:rPr>
        <w:t xml:space="preserve">"Infringement proceedings" </w:t>
      </w:r>
      <w:r w:rsidR="009D696A" w:rsidRPr="00091C8C">
        <w:rPr>
          <w:rFonts w:ascii="Times New Roman" w:hAnsi="Times New Roman"/>
        </w:rPr>
        <w:t>are defined in</w:t>
      </w:r>
      <w:r w:rsidRPr="00091C8C">
        <w:rPr>
          <w:rFonts w:ascii="Times New Roman" w:hAnsi="Times New Roman"/>
        </w:rPr>
        <w:t xml:space="preserve"> the Act </w:t>
      </w:r>
      <w:r w:rsidR="00EE6081" w:rsidRPr="00091C8C">
        <w:rPr>
          <w:rFonts w:ascii="Times New Roman" w:hAnsi="Times New Roman"/>
        </w:rPr>
        <w:t>to mean</w:t>
      </w:r>
      <w:r w:rsidR="00BF3841" w:rsidRPr="00091C8C">
        <w:rPr>
          <w:rFonts w:ascii="Times New Roman" w:hAnsi="Times New Roman"/>
        </w:rPr>
        <w:t xml:space="preserve"> "proceedings for infringement of a patent"</w:t>
      </w:r>
      <w:r w:rsidR="00BF3841" w:rsidRPr="00091C8C">
        <w:rPr>
          <w:rStyle w:val="FootnoteReference"/>
          <w:rFonts w:ascii="Times New Roman" w:hAnsi="Times New Roman"/>
          <w:sz w:val="24"/>
        </w:rPr>
        <w:footnoteReference w:id="40"/>
      </w:r>
      <w:r w:rsidR="00BF3841" w:rsidRPr="00091C8C">
        <w:rPr>
          <w:rFonts w:ascii="Times New Roman" w:hAnsi="Times New Roman"/>
        </w:rPr>
        <w:t>.</w:t>
      </w:r>
      <w:r w:rsidR="004E1A18" w:rsidRPr="00091C8C">
        <w:rPr>
          <w:rFonts w:ascii="Times New Roman" w:hAnsi="Times New Roman"/>
        </w:rPr>
        <w:t xml:space="preserve"> </w:t>
      </w:r>
      <w:r w:rsidR="008E78A6" w:rsidRPr="00091C8C">
        <w:rPr>
          <w:rFonts w:ascii="Times New Roman" w:hAnsi="Times New Roman"/>
        </w:rPr>
        <w:t>Yet, a</w:t>
      </w:r>
      <w:r w:rsidR="009E5DFD" w:rsidRPr="00091C8C">
        <w:rPr>
          <w:rFonts w:ascii="Times New Roman" w:hAnsi="Times New Roman"/>
        </w:rPr>
        <w:t xml:space="preserve">s noted </w:t>
      </w:r>
      <w:r w:rsidR="009E2AC6" w:rsidRPr="00091C8C">
        <w:rPr>
          <w:rFonts w:ascii="Times New Roman" w:hAnsi="Times New Roman"/>
        </w:rPr>
        <w:t xml:space="preserve">by </w:t>
      </w:r>
      <w:r w:rsidR="00F34235" w:rsidRPr="00091C8C">
        <w:rPr>
          <w:rFonts w:ascii="Times New Roman" w:hAnsi="Times New Roman"/>
        </w:rPr>
        <w:t>Kiefel</w:t>
      </w:r>
      <w:r w:rsidR="0067753D" w:rsidRPr="00091C8C">
        <w:rPr>
          <w:rFonts w:ascii="Times New Roman" w:hAnsi="Times New Roman"/>
        </w:rPr>
        <w:t> </w:t>
      </w:r>
      <w:r w:rsidR="00F34235" w:rsidRPr="00091C8C">
        <w:rPr>
          <w:rFonts w:ascii="Times New Roman" w:hAnsi="Times New Roman"/>
        </w:rPr>
        <w:t>CJ</w:t>
      </w:r>
      <w:r w:rsidR="00744D29" w:rsidRPr="00091C8C">
        <w:rPr>
          <w:rFonts w:ascii="Times New Roman" w:hAnsi="Times New Roman"/>
        </w:rPr>
        <w:t>, Bell</w:t>
      </w:r>
      <w:r w:rsidR="00C05E57" w:rsidRPr="00091C8C">
        <w:rPr>
          <w:rFonts w:ascii="Times New Roman" w:hAnsi="Times New Roman"/>
        </w:rPr>
        <w:t xml:space="preserve"> </w:t>
      </w:r>
      <w:r w:rsidR="006759DF" w:rsidRPr="00091C8C">
        <w:rPr>
          <w:rFonts w:ascii="Times New Roman" w:hAnsi="Times New Roman"/>
        </w:rPr>
        <w:t>and Keane </w:t>
      </w:r>
      <w:r w:rsidR="00744D29" w:rsidRPr="00091C8C">
        <w:rPr>
          <w:rFonts w:ascii="Times New Roman" w:hAnsi="Times New Roman"/>
        </w:rPr>
        <w:t xml:space="preserve">JJ </w:t>
      </w:r>
      <w:r w:rsidR="009E5DFD" w:rsidRPr="00091C8C">
        <w:rPr>
          <w:rFonts w:ascii="Times New Roman" w:hAnsi="Times New Roman"/>
        </w:rPr>
        <w:t xml:space="preserve">in </w:t>
      </w:r>
      <w:r w:rsidR="009E5DFD" w:rsidRPr="00091C8C">
        <w:rPr>
          <w:rFonts w:ascii="Times New Roman" w:hAnsi="Times New Roman"/>
          <w:i/>
        </w:rPr>
        <w:t>Calidad Pty Ltd v Seiko Epson Corporation</w:t>
      </w:r>
      <w:r w:rsidR="006317FF" w:rsidRPr="00091C8C">
        <w:rPr>
          <w:rStyle w:val="FootnoteReference"/>
          <w:rFonts w:ascii="Times New Roman" w:hAnsi="Times New Roman"/>
          <w:sz w:val="24"/>
        </w:rPr>
        <w:footnoteReference w:id="41"/>
      </w:r>
      <w:r w:rsidR="00147B1D" w:rsidRPr="00091C8C">
        <w:rPr>
          <w:rFonts w:ascii="Times New Roman" w:hAnsi="Times New Roman"/>
          <w:i/>
        </w:rPr>
        <w:t xml:space="preserve"> </w:t>
      </w:r>
      <w:r w:rsidR="00147B1D" w:rsidRPr="00091C8C">
        <w:rPr>
          <w:rFonts w:ascii="Times New Roman" w:hAnsi="Times New Roman"/>
        </w:rPr>
        <w:t xml:space="preserve">and by Gummow </w:t>
      </w:r>
      <w:r w:rsidR="009149C2" w:rsidRPr="00091C8C">
        <w:rPr>
          <w:rFonts w:ascii="Times New Roman" w:hAnsi="Times New Roman"/>
        </w:rPr>
        <w:t>A</w:t>
      </w:r>
      <w:r w:rsidR="00110DC3" w:rsidRPr="00091C8C">
        <w:rPr>
          <w:rFonts w:ascii="Times New Roman" w:hAnsi="Times New Roman"/>
        </w:rPr>
        <w:t>-</w:t>
      </w:r>
      <w:r w:rsidR="009149C2" w:rsidRPr="00091C8C">
        <w:rPr>
          <w:rFonts w:ascii="Times New Roman" w:hAnsi="Times New Roman"/>
        </w:rPr>
        <w:t xml:space="preserve">CJ </w:t>
      </w:r>
      <w:r w:rsidR="00147B1D" w:rsidRPr="00091C8C">
        <w:rPr>
          <w:rFonts w:ascii="Times New Roman" w:hAnsi="Times New Roman"/>
        </w:rPr>
        <w:t>and Kirby</w:t>
      </w:r>
      <w:r w:rsidR="004A651A" w:rsidRPr="00091C8C">
        <w:rPr>
          <w:rFonts w:ascii="Times New Roman" w:hAnsi="Times New Roman"/>
        </w:rPr>
        <w:t> </w:t>
      </w:r>
      <w:r w:rsidR="00147B1D" w:rsidRPr="00091C8C">
        <w:rPr>
          <w:rFonts w:ascii="Times New Roman" w:hAnsi="Times New Roman"/>
        </w:rPr>
        <w:t xml:space="preserve">J in </w:t>
      </w:r>
      <w:r w:rsidR="00147B1D" w:rsidRPr="00091C8C">
        <w:rPr>
          <w:rFonts w:ascii="Times New Roman" w:hAnsi="Times New Roman"/>
          <w:i/>
        </w:rPr>
        <w:t>Northern Territory v Collins</w:t>
      </w:r>
      <w:r w:rsidR="00147B1D" w:rsidRPr="00091C8C">
        <w:rPr>
          <w:rStyle w:val="FootnoteReference"/>
          <w:rFonts w:ascii="Times New Roman" w:hAnsi="Times New Roman"/>
          <w:sz w:val="24"/>
        </w:rPr>
        <w:footnoteReference w:id="42"/>
      </w:r>
      <w:r w:rsidR="006317FF" w:rsidRPr="00091C8C">
        <w:rPr>
          <w:rFonts w:ascii="Times New Roman" w:hAnsi="Times New Roman"/>
        </w:rPr>
        <w:t>,</w:t>
      </w:r>
      <w:r w:rsidR="006317FF" w:rsidRPr="00091C8C">
        <w:rPr>
          <w:rFonts w:ascii="Times New Roman" w:hAnsi="Times New Roman"/>
          <w:i/>
        </w:rPr>
        <w:t xml:space="preserve"> </w:t>
      </w:r>
      <w:r w:rsidR="000A5FCE" w:rsidRPr="00091C8C">
        <w:rPr>
          <w:rFonts w:ascii="Times New Roman" w:hAnsi="Times New Roman"/>
        </w:rPr>
        <w:t>"infringement" is left undefined</w:t>
      </w:r>
      <w:r w:rsidR="00CA4DE2" w:rsidRPr="00091C8C">
        <w:rPr>
          <w:rFonts w:ascii="Times New Roman" w:hAnsi="Times New Roman"/>
        </w:rPr>
        <w:t xml:space="preserve">, the </w:t>
      </w:r>
      <w:r w:rsidR="00F60655" w:rsidRPr="00091C8C">
        <w:rPr>
          <w:rFonts w:ascii="Times New Roman" w:hAnsi="Times New Roman"/>
        </w:rPr>
        <w:t>scheme of the Act being instead to fix attention on the exclusive rights given by the patent. That is because</w:t>
      </w:r>
      <w:r w:rsidR="00390379" w:rsidRPr="00091C8C">
        <w:rPr>
          <w:rFonts w:ascii="Times New Roman" w:hAnsi="Times New Roman"/>
        </w:rPr>
        <w:t xml:space="preserve"> proc</w:t>
      </w:r>
      <w:r w:rsidR="00FE1519" w:rsidRPr="00091C8C">
        <w:rPr>
          <w:rFonts w:ascii="Times New Roman" w:hAnsi="Times New Roman"/>
        </w:rPr>
        <w:t>eedings for infringement of a patent –</w:t>
      </w:r>
      <w:r w:rsidR="00D74DF3" w:rsidRPr="00091C8C">
        <w:rPr>
          <w:rFonts w:ascii="Times New Roman" w:hAnsi="Times New Roman"/>
        </w:rPr>
        <w:t xml:space="preserve"> </w:t>
      </w:r>
      <w:r w:rsidR="00F60655" w:rsidRPr="00091C8C">
        <w:rPr>
          <w:rFonts w:ascii="Times New Roman" w:hAnsi="Times New Roman"/>
        </w:rPr>
        <w:t xml:space="preserve">though </w:t>
      </w:r>
      <w:r w:rsidR="00010933" w:rsidRPr="00091C8C">
        <w:rPr>
          <w:rFonts w:ascii="Times New Roman" w:hAnsi="Times New Roman"/>
        </w:rPr>
        <w:t>regulat</w:t>
      </w:r>
      <w:r w:rsidR="00897717" w:rsidRPr="00091C8C">
        <w:rPr>
          <w:rFonts w:ascii="Times New Roman" w:hAnsi="Times New Roman"/>
        </w:rPr>
        <w:t>ed</w:t>
      </w:r>
      <w:r w:rsidR="00DD1181" w:rsidRPr="00091C8C">
        <w:rPr>
          <w:rFonts w:ascii="Times New Roman" w:hAnsi="Times New Roman"/>
        </w:rPr>
        <w:t xml:space="preserve">, </w:t>
      </w:r>
      <w:r w:rsidR="008E78A6" w:rsidRPr="00091C8C">
        <w:rPr>
          <w:rFonts w:ascii="Times New Roman" w:hAnsi="Times New Roman"/>
        </w:rPr>
        <w:t>augmented</w:t>
      </w:r>
      <w:r w:rsidR="00DD1181" w:rsidRPr="00091C8C">
        <w:rPr>
          <w:rFonts w:ascii="Times New Roman" w:hAnsi="Times New Roman"/>
        </w:rPr>
        <w:t xml:space="preserve"> </w:t>
      </w:r>
      <w:r w:rsidR="00010933" w:rsidRPr="00091C8C">
        <w:rPr>
          <w:rFonts w:ascii="Times New Roman" w:hAnsi="Times New Roman"/>
        </w:rPr>
        <w:t xml:space="preserve">and </w:t>
      </w:r>
      <w:r w:rsidR="008628EB" w:rsidRPr="00091C8C">
        <w:rPr>
          <w:rFonts w:ascii="Times New Roman" w:hAnsi="Times New Roman"/>
        </w:rPr>
        <w:t>explicat</w:t>
      </w:r>
      <w:r w:rsidR="00897717" w:rsidRPr="00091C8C">
        <w:rPr>
          <w:rFonts w:ascii="Times New Roman" w:hAnsi="Times New Roman"/>
        </w:rPr>
        <w:t>ed</w:t>
      </w:r>
      <w:r w:rsidR="00010933" w:rsidRPr="00091C8C">
        <w:rPr>
          <w:rFonts w:ascii="Times New Roman" w:hAnsi="Times New Roman"/>
        </w:rPr>
        <w:t xml:space="preserve"> </w:t>
      </w:r>
      <w:r w:rsidR="00EE3EF6" w:rsidRPr="00091C8C">
        <w:rPr>
          <w:rFonts w:ascii="Times New Roman" w:hAnsi="Times New Roman"/>
        </w:rPr>
        <w:t>by</w:t>
      </w:r>
      <w:r w:rsidR="00DD1181" w:rsidRPr="00091C8C">
        <w:rPr>
          <w:rFonts w:ascii="Times New Roman" w:hAnsi="Times New Roman"/>
        </w:rPr>
        <w:t xml:space="preserve"> Ch</w:t>
      </w:r>
      <w:r w:rsidR="009241BA" w:rsidRPr="00091C8C">
        <w:rPr>
          <w:rFonts w:ascii="Times New Roman" w:hAnsi="Times New Roman"/>
        </w:rPr>
        <w:t> </w:t>
      </w:r>
      <w:r w:rsidR="00DD1181" w:rsidRPr="00091C8C">
        <w:rPr>
          <w:rFonts w:ascii="Times New Roman" w:hAnsi="Times New Roman"/>
        </w:rPr>
        <w:t>11 of</w:t>
      </w:r>
      <w:r w:rsidR="008628EB" w:rsidRPr="00091C8C">
        <w:rPr>
          <w:rFonts w:ascii="Times New Roman" w:hAnsi="Times New Roman"/>
        </w:rPr>
        <w:t xml:space="preserve"> the Act</w:t>
      </w:r>
      <w:r w:rsidR="00010933" w:rsidRPr="00091C8C">
        <w:rPr>
          <w:rFonts w:ascii="Times New Roman" w:hAnsi="Times New Roman"/>
        </w:rPr>
        <w:t xml:space="preserve">, including </w:t>
      </w:r>
      <w:r w:rsidR="00C557BC" w:rsidRPr="00091C8C">
        <w:rPr>
          <w:rFonts w:ascii="Times New Roman" w:hAnsi="Times New Roman"/>
        </w:rPr>
        <w:t>through the provision of</w:t>
      </w:r>
      <w:r w:rsidR="004E1A18" w:rsidRPr="00091C8C">
        <w:rPr>
          <w:rFonts w:ascii="Times New Roman" w:hAnsi="Times New Roman"/>
        </w:rPr>
        <w:t xml:space="preserve"> statut</w:t>
      </w:r>
      <w:r w:rsidR="00A243F1" w:rsidRPr="00091C8C">
        <w:rPr>
          <w:rFonts w:ascii="Times New Roman" w:hAnsi="Times New Roman"/>
        </w:rPr>
        <w:t>ory remedies</w:t>
      </w:r>
      <w:r w:rsidR="00744D29" w:rsidRPr="00091C8C">
        <w:rPr>
          <w:rStyle w:val="FootnoteReference"/>
          <w:rFonts w:ascii="Times New Roman" w:hAnsi="Times New Roman"/>
          <w:sz w:val="24"/>
        </w:rPr>
        <w:footnoteReference w:id="43"/>
      </w:r>
      <w:r w:rsidR="00FE1519" w:rsidRPr="00091C8C">
        <w:rPr>
          <w:rFonts w:ascii="Times New Roman" w:hAnsi="Times New Roman"/>
        </w:rPr>
        <w:t xml:space="preserve"> –</w:t>
      </w:r>
      <w:r w:rsidR="00D74DF3" w:rsidRPr="00091C8C">
        <w:rPr>
          <w:rFonts w:ascii="Times New Roman" w:hAnsi="Times New Roman"/>
        </w:rPr>
        <w:t xml:space="preserve"> </w:t>
      </w:r>
      <w:r w:rsidR="00DA518B" w:rsidRPr="00091C8C">
        <w:rPr>
          <w:rFonts w:ascii="Times New Roman" w:hAnsi="Times New Roman"/>
        </w:rPr>
        <w:t xml:space="preserve">are proceedings in tort for </w:t>
      </w:r>
      <w:r w:rsidR="00F60655" w:rsidRPr="00091C8C">
        <w:rPr>
          <w:rFonts w:ascii="Times New Roman" w:hAnsi="Times New Roman"/>
        </w:rPr>
        <w:t>the doing of an act in</w:t>
      </w:r>
      <w:r w:rsidR="00DA518B" w:rsidRPr="00091C8C">
        <w:rPr>
          <w:rFonts w:ascii="Times New Roman" w:hAnsi="Times New Roman"/>
        </w:rPr>
        <w:t xml:space="preserve"> violation </w:t>
      </w:r>
      <w:r w:rsidR="00E51177" w:rsidRPr="00091C8C">
        <w:rPr>
          <w:rFonts w:ascii="Times New Roman" w:hAnsi="Times New Roman"/>
        </w:rPr>
        <w:t xml:space="preserve">of </w:t>
      </w:r>
      <w:r w:rsidR="00F60655" w:rsidRPr="00091C8C">
        <w:rPr>
          <w:rFonts w:ascii="Times New Roman" w:hAnsi="Times New Roman"/>
        </w:rPr>
        <w:t>one or more legal</w:t>
      </w:r>
      <w:r w:rsidR="004E134E" w:rsidRPr="00091C8C">
        <w:rPr>
          <w:rFonts w:ascii="Times New Roman" w:hAnsi="Times New Roman"/>
        </w:rPr>
        <w:t xml:space="preserve"> right</w:t>
      </w:r>
      <w:r w:rsidR="00375B4A" w:rsidRPr="00091C8C">
        <w:rPr>
          <w:rFonts w:ascii="Times New Roman" w:hAnsi="Times New Roman"/>
        </w:rPr>
        <w:t>s</w:t>
      </w:r>
      <w:r w:rsidR="00E565D1" w:rsidRPr="00091C8C">
        <w:rPr>
          <w:rFonts w:ascii="Times New Roman" w:hAnsi="Times New Roman"/>
        </w:rPr>
        <w:t xml:space="preserve"> in rem</w:t>
      </w:r>
      <w:r w:rsidR="00A875D8" w:rsidRPr="00091C8C">
        <w:rPr>
          <w:rStyle w:val="FootnoteReference"/>
          <w:rFonts w:ascii="Times New Roman" w:hAnsi="Times New Roman"/>
          <w:sz w:val="24"/>
        </w:rPr>
        <w:footnoteReference w:id="44"/>
      </w:r>
      <w:r w:rsidR="00E565D1" w:rsidRPr="00091C8C">
        <w:rPr>
          <w:rFonts w:ascii="Times New Roman" w:hAnsi="Times New Roman"/>
        </w:rPr>
        <w:t xml:space="preserve"> the contours of which are defined by the exclusive rights given by the patent</w:t>
      </w:r>
      <w:r w:rsidR="00A875D8" w:rsidRPr="00091C8C">
        <w:rPr>
          <w:rFonts w:ascii="Times New Roman" w:hAnsi="Times New Roman"/>
        </w:rPr>
        <w:t xml:space="preserve">. </w:t>
      </w:r>
    </w:p>
    <w:p w14:paraId="5E2BA6D5" w14:textId="4E06AA0C" w:rsidR="00BF3841" w:rsidRPr="00091C8C" w:rsidRDefault="00BF3841" w:rsidP="00091C8C">
      <w:pPr>
        <w:pStyle w:val="FixListStyle"/>
        <w:spacing w:after="260" w:line="280" w:lineRule="exact"/>
        <w:ind w:right="0"/>
        <w:jc w:val="both"/>
        <w:rPr>
          <w:rFonts w:ascii="Times New Roman" w:hAnsi="Times New Roman"/>
        </w:rPr>
      </w:pPr>
      <w:r w:rsidRPr="00091C8C">
        <w:rPr>
          <w:rFonts w:ascii="Times New Roman" w:hAnsi="Times New Roman"/>
        </w:rPr>
        <w:tab/>
        <w:t xml:space="preserve">Section 120 assumes tortious liability on the part of a person who does an act that infringes an exclusive right to exploit the invention </w:t>
      </w:r>
      <w:r w:rsidR="006F0A01" w:rsidRPr="00091C8C">
        <w:rPr>
          <w:rFonts w:ascii="Times New Roman" w:hAnsi="Times New Roman"/>
        </w:rPr>
        <w:t>during the term of a patent</w:t>
      </w:r>
      <w:r w:rsidR="00BD3F1D" w:rsidRPr="00091C8C">
        <w:rPr>
          <w:rFonts w:ascii="Times New Roman" w:hAnsi="Times New Roman"/>
        </w:rPr>
        <w:t xml:space="preserve"> </w:t>
      </w:r>
      <w:r w:rsidR="004862BB" w:rsidRPr="00091C8C">
        <w:rPr>
          <w:rFonts w:ascii="Times New Roman" w:hAnsi="Times New Roman"/>
        </w:rPr>
        <w:t>and addresses itself to proceedings</w:t>
      </w:r>
      <w:r w:rsidR="00D52797" w:rsidRPr="00091C8C">
        <w:rPr>
          <w:rFonts w:ascii="Times New Roman" w:hAnsi="Times New Roman"/>
        </w:rPr>
        <w:t xml:space="preserve"> to </w:t>
      </w:r>
      <w:r w:rsidR="00B94BB7" w:rsidRPr="00091C8C">
        <w:rPr>
          <w:rFonts w:ascii="Times New Roman" w:hAnsi="Times New Roman"/>
        </w:rPr>
        <w:t>en</w:t>
      </w:r>
      <w:r w:rsidR="00D52797" w:rsidRPr="00091C8C">
        <w:rPr>
          <w:rFonts w:ascii="Times New Roman" w:hAnsi="Times New Roman"/>
        </w:rPr>
        <w:t>force that liability</w:t>
      </w:r>
      <w:r w:rsidRPr="00091C8C">
        <w:rPr>
          <w:rFonts w:ascii="Times New Roman" w:hAnsi="Times New Roman"/>
        </w:rPr>
        <w:t xml:space="preserve">. The stipulations set out in the section, including as to the court in which infringement proceedings </w:t>
      </w:r>
      <w:r w:rsidRPr="00091C8C">
        <w:rPr>
          <w:rFonts w:ascii="Times New Roman" w:hAnsi="Times New Roman"/>
        </w:rPr>
        <w:lastRenderedPageBreak/>
        <w:t>can be started</w:t>
      </w:r>
      <w:r w:rsidRPr="00091C8C">
        <w:rPr>
          <w:rStyle w:val="FootnoteReference"/>
          <w:rFonts w:ascii="Times New Roman" w:hAnsi="Times New Roman"/>
          <w:sz w:val="24"/>
        </w:rPr>
        <w:footnoteReference w:id="45"/>
      </w:r>
      <w:r w:rsidRPr="00091C8C">
        <w:rPr>
          <w:rFonts w:ascii="Times New Roman" w:hAnsi="Times New Roman"/>
        </w:rPr>
        <w:t xml:space="preserve"> and as to the period within which infringement proceedings can be started</w:t>
      </w:r>
      <w:r w:rsidRPr="00091C8C">
        <w:rPr>
          <w:rStyle w:val="FootnoteReference"/>
          <w:rFonts w:ascii="Times New Roman" w:hAnsi="Times New Roman"/>
          <w:sz w:val="24"/>
        </w:rPr>
        <w:footnoteReference w:id="46"/>
      </w:r>
      <w:r w:rsidR="004A54D4" w:rsidRPr="00091C8C">
        <w:rPr>
          <w:rFonts w:ascii="Times New Roman" w:hAnsi="Times New Roman"/>
        </w:rPr>
        <w:t>,</w:t>
      </w:r>
      <w:r w:rsidRPr="00091C8C">
        <w:rPr>
          <w:rFonts w:ascii="Times New Roman" w:hAnsi="Times New Roman"/>
        </w:rPr>
        <w:t xml:space="preserve"> are procedural.</w:t>
      </w:r>
    </w:p>
    <w:p w14:paraId="127B3EE1" w14:textId="19BE34C2" w:rsidR="00DD5D2C" w:rsidRPr="00091C8C" w:rsidRDefault="00BF3841" w:rsidP="00091C8C">
      <w:pPr>
        <w:pStyle w:val="FixListStyle"/>
        <w:spacing w:after="260" w:line="280" w:lineRule="exact"/>
        <w:ind w:right="0"/>
        <w:jc w:val="both"/>
        <w:rPr>
          <w:rFonts w:ascii="Times New Roman" w:hAnsi="Times New Roman"/>
        </w:rPr>
      </w:pPr>
      <w:r w:rsidRPr="00091C8C">
        <w:rPr>
          <w:rFonts w:ascii="Times New Roman" w:hAnsi="Times New Roman"/>
        </w:rPr>
        <w:tab/>
        <w:t xml:space="preserve">Section 79, in contrast, assumes absence of tortious liability on the part of a person </w:t>
      </w:r>
      <w:r w:rsidR="00363053" w:rsidRPr="00091C8C">
        <w:rPr>
          <w:rFonts w:ascii="Times New Roman" w:hAnsi="Times New Roman"/>
        </w:rPr>
        <w:t>who has done</w:t>
      </w:r>
      <w:r w:rsidRPr="00091C8C">
        <w:rPr>
          <w:rFonts w:ascii="Times New Roman" w:hAnsi="Times New Roman"/>
        </w:rPr>
        <w:t xml:space="preserve"> an act of the same nature during the period between the expiration of the term of a standard patent and the grant of an extension of the term of the patent. On that assumption, the section confers on the patentee </w:t>
      </w:r>
      <w:r w:rsidR="006E5852" w:rsidRPr="00091C8C">
        <w:rPr>
          <w:rFonts w:ascii="Times New Roman" w:hAnsi="Times New Roman"/>
        </w:rPr>
        <w:t xml:space="preserve">rights </w:t>
      </w:r>
      <w:r w:rsidRPr="00091C8C">
        <w:rPr>
          <w:rFonts w:ascii="Times New Roman" w:hAnsi="Times New Roman"/>
        </w:rPr>
        <w:t xml:space="preserve">to start proceedings against the person in respect of the doing of the act by </w:t>
      </w:r>
      <w:r w:rsidR="00B527E4" w:rsidRPr="00091C8C">
        <w:rPr>
          <w:rFonts w:ascii="Times New Roman" w:hAnsi="Times New Roman"/>
        </w:rPr>
        <w:t>creating</w:t>
      </w:r>
      <w:r w:rsidRPr="00091C8C">
        <w:rPr>
          <w:rFonts w:ascii="Times New Roman" w:hAnsi="Times New Roman"/>
        </w:rPr>
        <w:t xml:space="preserve"> </w:t>
      </w:r>
      <w:r w:rsidR="00E25A50" w:rsidRPr="00091C8C">
        <w:rPr>
          <w:rFonts w:ascii="Times New Roman" w:hAnsi="Times New Roman"/>
        </w:rPr>
        <w:t>the statutory</w:t>
      </w:r>
      <w:r w:rsidRPr="00091C8C">
        <w:rPr>
          <w:rFonts w:ascii="Times New Roman" w:hAnsi="Times New Roman"/>
        </w:rPr>
        <w:t xml:space="preserve"> fiction</w:t>
      </w:r>
      <w:r w:rsidR="0018525A" w:rsidRPr="00091C8C">
        <w:rPr>
          <w:rFonts w:ascii="Times New Roman" w:hAnsi="Times New Roman"/>
        </w:rPr>
        <w:t xml:space="preserve"> </w:t>
      </w:r>
      <w:r w:rsidR="00130203" w:rsidRPr="00091C8C">
        <w:rPr>
          <w:rFonts w:ascii="Times New Roman" w:hAnsi="Times New Roman"/>
        </w:rPr>
        <w:t>–</w:t>
      </w:r>
      <w:r w:rsidR="0018525A" w:rsidRPr="00091C8C">
        <w:rPr>
          <w:rFonts w:ascii="Times New Roman" w:hAnsi="Times New Roman"/>
        </w:rPr>
        <w:t xml:space="preserve"> c</w:t>
      </w:r>
      <w:r w:rsidR="000175AB" w:rsidRPr="00091C8C">
        <w:rPr>
          <w:rFonts w:ascii="Times New Roman" w:hAnsi="Times New Roman"/>
        </w:rPr>
        <w:t>onnoted by the words "as if"</w:t>
      </w:r>
      <w:r w:rsidRPr="00091C8C">
        <w:rPr>
          <w:rStyle w:val="FootnoteReference"/>
          <w:rFonts w:ascii="Times New Roman" w:hAnsi="Times New Roman"/>
          <w:sz w:val="24"/>
        </w:rPr>
        <w:footnoteReference w:id="47"/>
      </w:r>
      <w:r w:rsidRPr="00091C8C">
        <w:rPr>
          <w:rFonts w:ascii="Times New Roman" w:hAnsi="Times New Roman"/>
        </w:rPr>
        <w:t xml:space="preserve"> </w:t>
      </w:r>
      <w:r w:rsidR="00130203" w:rsidRPr="00091C8C">
        <w:rPr>
          <w:rFonts w:ascii="Times New Roman" w:hAnsi="Times New Roman"/>
        </w:rPr>
        <w:t>–</w:t>
      </w:r>
      <w:r w:rsidR="00BE608C" w:rsidRPr="00091C8C">
        <w:rPr>
          <w:rFonts w:ascii="Times New Roman" w:hAnsi="Times New Roman"/>
        </w:rPr>
        <w:t xml:space="preserve"> </w:t>
      </w:r>
      <w:r w:rsidRPr="00091C8C">
        <w:rPr>
          <w:rFonts w:ascii="Times New Roman" w:hAnsi="Times New Roman"/>
        </w:rPr>
        <w:t>that the extension had been granted at the time when the act was done.</w:t>
      </w:r>
      <w:r w:rsidR="004F4EE7" w:rsidRPr="00091C8C">
        <w:rPr>
          <w:rFonts w:ascii="Times New Roman" w:hAnsi="Times New Roman"/>
        </w:rPr>
        <w:t xml:space="preserve"> </w:t>
      </w:r>
    </w:p>
    <w:p w14:paraId="67C87A03" w14:textId="7916A8E8" w:rsidR="00F0118F" w:rsidRPr="00091C8C" w:rsidRDefault="006B20A0" w:rsidP="00091C8C">
      <w:pPr>
        <w:pStyle w:val="FixListStyle"/>
        <w:spacing w:after="260" w:line="280" w:lineRule="exact"/>
        <w:ind w:right="0"/>
        <w:jc w:val="both"/>
        <w:rPr>
          <w:rFonts w:ascii="Times New Roman" w:hAnsi="Times New Roman"/>
        </w:rPr>
      </w:pPr>
      <w:r w:rsidRPr="00091C8C">
        <w:rPr>
          <w:rFonts w:ascii="Times New Roman" w:hAnsi="Times New Roman"/>
        </w:rPr>
        <w:tab/>
      </w:r>
      <w:r w:rsidR="00BD3CE9" w:rsidRPr="00091C8C">
        <w:rPr>
          <w:rFonts w:ascii="Times New Roman" w:hAnsi="Times New Roman"/>
        </w:rPr>
        <w:t>T</w:t>
      </w:r>
      <w:r w:rsidR="0003061C" w:rsidRPr="00091C8C">
        <w:rPr>
          <w:rFonts w:ascii="Times New Roman" w:hAnsi="Times New Roman"/>
        </w:rPr>
        <w:t xml:space="preserve">he rights </w:t>
      </w:r>
      <w:r w:rsidR="002F5B3A" w:rsidRPr="00091C8C">
        <w:rPr>
          <w:rFonts w:ascii="Times New Roman" w:hAnsi="Times New Roman"/>
        </w:rPr>
        <w:t xml:space="preserve">to proceed </w:t>
      </w:r>
      <w:r w:rsidR="00D7116B" w:rsidRPr="00091C8C">
        <w:rPr>
          <w:rFonts w:ascii="Times New Roman" w:hAnsi="Times New Roman"/>
        </w:rPr>
        <w:t>conferred</w:t>
      </w:r>
      <w:r w:rsidR="0003061C" w:rsidRPr="00091C8C">
        <w:rPr>
          <w:rFonts w:ascii="Times New Roman" w:hAnsi="Times New Roman"/>
        </w:rPr>
        <w:t xml:space="preserve"> </w:t>
      </w:r>
      <w:r w:rsidR="002F5B3A" w:rsidRPr="00091C8C">
        <w:rPr>
          <w:rFonts w:ascii="Times New Roman" w:hAnsi="Times New Roman"/>
        </w:rPr>
        <w:t xml:space="preserve">by </w:t>
      </w:r>
      <w:r w:rsidR="00F25F0B" w:rsidRPr="00091C8C">
        <w:rPr>
          <w:rFonts w:ascii="Times New Roman" w:hAnsi="Times New Roman"/>
        </w:rPr>
        <w:t>s 79</w:t>
      </w:r>
      <w:r w:rsidR="002F5B3A" w:rsidRPr="00091C8C">
        <w:rPr>
          <w:rFonts w:ascii="Times New Roman" w:hAnsi="Times New Roman"/>
        </w:rPr>
        <w:t xml:space="preserve"> </w:t>
      </w:r>
      <w:r w:rsidR="00B87C12" w:rsidRPr="00091C8C">
        <w:rPr>
          <w:rFonts w:ascii="Times New Roman" w:hAnsi="Times New Roman"/>
        </w:rPr>
        <w:t xml:space="preserve">through the operation of that statutory fiction </w:t>
      </w:r>
      <w:r w:rsidR="0003061C" w:rsidRPr="00091C8C">
        <w:rPr>
          <w:rFonts w:ascii="Times New Roman" w:hAnsi="Times New Roman"/>
        </w:rPr>
        <w:t xml:space="preserve">are </w:t>
      </w:r>
      <w:r w:rsidR="0035610C" w:rsidRPr="00091C8C">
        <w:rPr>
          <w:rFonts w:ascii="Times New Roman" w:hAnsi="Times New Roman"/>
        </w:rPr>
        <w:t>inherently substantive. T</w:t>
      </w:r>
      <w:r w:rsidR="00333E44" w:rsidRPr="00091C8C">
        <w:rPr>
          <w:rFonts w:ascii="Times New Roman" w:hAnsi="Times New Roman"/>
        </w:rPr>
        <w:t>hat is because, t</w:t>
      </w:r>
      <w:r w:rsidR="00574BA0" w:rsidRPr="00091C8C">
        <w:rPr>
          <w:rFonts w:ascii="Times New Roman" w:hAnsi="Times New Roman"/>
        </w:rPr>
        <w:t>o</w:t>
      </w:r>
      <w:r w:rsidR="00BF3841" w:rsidRPr="00091C8C">
        <w:rPr>
          <w:rFonts w:ascii="Times New Roman" w:hAnsi="Times New Roman"/>
        </w:rPr>
        <w:t xml:space="preserve"> </w:t>
      </w:r>
      <w:r w:rsidR="000C7F49" w:rsidRPr="00091C8C">
        <w:rPr>
          <w:rFonts w:ascii="Times New Roman" w:hAnsi="Times New Roman"/>
        </w:rPr>
        <w:t xml:space="preserve">be equivalent </w:t>
      </w:r>
      <w:r w:rsidR="00333E44" w:rsidRPr="00091C8C">
        <w:rPr>
          <w:rFonts w:ascii="Times New Roman" w:hAnsi="Times New Roman"/>
        </w:rPr>
        <w:t>t</w:t>
      </w:r>
      <w:r w:rsidR="00516339" w:rsidRPr="00091C8C">
        <w:rPr>
          <w:rFonts w:ascii="Times New Roman" w:hAnsi="Times New Roman"/>
        </w:rPr>
        <w:t>o the rights to proceed</w:t>
      </w:r>
      <w:r w:rsidR="00734E17" w:rsidRPr="00091C8C">
        <w:rPr>
          <w:rFonts w:ascii="Times New Roman" w:hAnsi="Times New Roman"/>
        </w:rPr>
        <w:t xml:space="preserve"> </w:t>
      </w:r>
      <w:r w:rsidR="000E6648" w:rsidRPr="00091C8C">
        <w:rPr>
          <w:rFonts w:ascii="Times New Roman" w:hAnsi="Times New Roman"/>
        </w:rPr>
        <w:t xml:space="preserve">that </w:t>
      </w:r>
      <w:r w:rsidR="00734E17" w:rsidRPr="00091C8C">
        <w:rPr>
          <w:rFonts w:ascii="Times New Roman" w:hAnsi="Times New Roman"/>
        </w:rPr>
        <w:t xml:space="preserve">the patentee would have had </w:t>
      </w:r>
      <w:r w:rsidR="00D65872" w:rsidRPr="00091C8C">
        <w:rPr>
          <w:rFonts w:ascii="Times New Roman" w:hAnsi="Times New Roman"/>
        </w:rPr>
        <w:t xml:space="preserve">in tort </w:t>
      </w:r>
      <w:r w:rsidR="00EF6160" w:rsidRPr="00091C8C">
        <w:rPr>
          <w:rFonts w:ascii="Times New Roman" w:hAnsi="Times New Roman"/>
        </w:rPr>
        <w:t>had</w:t>
      </w:r>
      <w:r w:rsidR="00BF3841" w:rsidRPr="00091C8C">
        <w:rPr>
          <w:rFonts w:ascii="Times New Roman" w:hAnsi="Times New Roman"/>
        </w:rPr>
        <w:t xml:space="preserve"> the extension</w:t>
      </w:r>
      <w:r w:rsidR="00734E17" w:rsidRPr="00091C8C">
        <w:rPr>
          <w:rFonts w:ascii="Times New Roman" w:hAnsi="Times New Roman"/>
        </w:rPr>
        <w:t xml:space="preserve"> </w:t>
      </w:r>
      <w:r w:rsidR="00BF3841" w:rsidRPr="00091C8C">
        <w:rPr>
          <w:rFonts w:ascii="Times New Roman" w:hAnsi="Times New Roman"/>
        </w:rPr>
        <w:t xml:space="preserve">been granted when the act was done, </w:t>
      </w:r>
      <w:r w:rsidR="004B3522" w:rsidRPr="00091C8C">
        <w:rPr>
          <w:rFonts w:ascii="Times New Roman" w:hAnsi="Times New Roman"/>
        </w:rPr>
        <w:t xml:space="preserve">the </w:t>
      </w:r>
      <w:r w:rsidR="00BF3841" w:rsidRPr="00091C8C">
        <w:rPr>
          <w:rFonts w:ascii="Times New Roman" w:hAnsi="Times New Roman"/>
        </w:rPr>
        <w:t xml:space="preserve">rights to proceed </w:t>
      </w:r>
      <w:r w:rsidR="002F0616" w:rsidRPr="00091C8C">
        <w:rPr>
          <w:rFonts w:ascii="Times New Roman" w:hAnsi="Times New Roman"/>
        </w:rPr>
        <w:t xml:space="preserve">conferred </w:t>
      </w:r>
      <w:r w:rsidR="00C21737" w:rsidRPr="00091C8C">
        <w:rPr>
          <w:rFonts w:ascii="Times New Roman" w:hAnsi="Times New Roman"/>
        </w:rPr>
        <w:t xml:space="preserve">by the section </w:t>
      </w:r>
      <w:r w:rsidR="002F0616" w:rsidRPr="00091C8C">
        <w:rPr>
          <w:rFonts w:ascii="Times New Roman" w:hAnsi="Times New Roman"/>
        </w:rPr>
        <w:t xml:space="preserve">necessarily </w:t>
      </w:r>
      <w:r w:rsidR="00C21737" w:rsidRPr="00091C8C">
        <w:rPr>
          <w:rFonts w:ascii="Times New Roman" w:hAnsi="Times New Roman"/>
        </w:rPr>
        <w:t>impose</w:t>
      </w:r>
      <w:r w:rsidR="00BF3841" w:rsidRPr="00091C8C">
        <w:rPr>
          <w:rFonts w:ascii="Times New Roman" w:hAnsi="Times New Roman"/>
        </w:rPr>
        <w:t xml:space="preserve"> liability </w:t>
      </w:r>
      <w:r w:rsidR="00C657F6" w:rsidRPr="00091C8C">
        <w:rPr>
          <w:rFonts w:ascii="Times New Roman" w:hAnsi="Times New Roman"/>
        </w:rPr>
        <w:t xml:space="preserve">on the person </w:t>
      </w:r>
      <w:r w:rsidR="00295490" w:rsidRPr="00091C8C">
        <w:rPr>
          <w:rFonts w:ascii="Times New Roman" w:hAnsi="Times New Roman"/>
        </w:rPr>
        <w:t xml:space="preserve">by whom the act was done </w:t>
      </w:r>
      <w:r w:rsidR="00BF3841" w:rsidRPr="00091C8C">
        <w:rPr>
          <w:rFonts w:ascii="Times New Roman" w:hAnsi="Times New Roman"/>
        </w:rPr>
        <w:t>equivalent to th</w:t>
      </w:r>
      <w:r w:rsidR="000A5EB7" w:rsidRPr="00091C8C">
        <w:rPr>
          <w:rFonts w:ascii="Times New Roman" w:hAnsi="Times New Roman"/>
        </w:rPr>
        <w:t>e liability</w:t>
      </w:r>
      <w:r w:rsidR="00BF3841" w:rsidRPr="00091C8C">
        <w:rPr>
          <w:rFonts w:ascii="Times New Roman" w:hAnsi="Times New Roman"/>
        </w:rPr>
        <w:t xml:space="preserve"> </w:t>
      </w:r>
      <w:r w:rsidR="00994C6F" w:rsidRPr="00091C8C">
        <w:rPr>
          <w:rFonts w:ascii="Times New Roman" w:hAnsi="Times New Roman"/>
        </w:rPr>
        <w:t>the person</w:t>
      </w:r>
      <w:r w:rsidR="00BF3841" w:rsidRPr="00091C8C">
        <w:rPr>
          <w:rFonts w:ascii="Times New Roman" w:hAnsi="Times New Roman"/>
        </w:rPr>
        <w:t xml:space="preserve"> would have </w:t>
      </w:r>
      <w:r w:rsidR="000A5EB7" w:rsidRPr="00091C8C">
        <w:rPr>
          <w:rFonts w:ascii="Times New Roman" w:hAnsi="Times New Roman"/>
        </w:rPr>
        <w:t>had</w:t>
      </w:r>
      <w:r w:rsidR="00BF3841" w:rsidRPr="00091C8C">
        <w:rPr>
          <w:rFonts w:ascii="Times New Roman" w:hAnsi="Times New Roman"/>
        </w:rPr>
        <w:t xml:space="preserve"> in tort had the extension been granted when the act was done. The fiction created by the section enables the patentee to enforce the statutory liability created by the section by </w:t>
      </w:r>
      <w:r w:rsidR="000B6397" w:rsidRPr="00091C8C">
        <w:rPr>
          <w:rFonts w:ascii="Times New Roman" w:hAnsi="Times New Roman"/>
        </w:rPr>
        <w:t>starting</w:t>
      </w:r>
      <w:r w:rsidR="00BF3841" w:rsidRPr="00091C8C">
        <w:rPr>
          <w:rFonts w:ascii="Times New Roman" w:hAnsi="Times New Roman"/>
        </w:rPr>
        <w:t xml:space="preserve"> infringement proceedings against the person, to which s</w:t>
      </w:r>
      <w:r w:rsidR="00F91337" w:rsidRPr="00091C8C">
        <w:rPr>
          <w:rFonts w:ascii="Times New Roman" w:hAnsi="Times New Roman"/>
        </w:rPr>
        <w:t> </w:t>
      </w:r>
      <w:r w:rsidR="00BF3841" w:rsidRPr="00091C8C">
        <w:rPr>
          <w:rFonts w:ascii="Times New Roman" w:hAnsi="Times New Roman"/>
        </w:rPr>
        <w:t xml:space="preserve">120 </w:t>
      </w:r>
      <w:r w:rsidR="00B3323D" w:rsidRPr="00091C8C">
        <w:rPr>
          <w:rFonts w:ascii="Times New Roman" w:hAnsi="Times New Roman"/>
        </w:rPr>
        <w:t>then</w:t>
      </w:r>
      <w:r w:rsidR="00BF3841" w:rsidRPr="00091C8C">
        <w:rPr>
          <w:rFonts w:ascii="Times New Roman" w:hAnsi="Times New Roman"/>
        </w:rPr>
        <w:t xml:space="preserve"> appl</w:t>
      </w:r>
      <w:r w:rsidR="00F91337" w:rsidRPr="00091C8C">
        <w:rPr>
          <w:rFonts w:ascii="Times New Roman" w:hAnsi="Times New Roman"/>
        </w:rPr>
        <w:t>ies</w:t>
      </w:r>
      <w:r w:rsidR="00BF3841" w:rsidRPr="00091C8C">
        <w:rPr>
          <w:rFonts w:ascii="Times New Roman" w:hAnsi="Times New Roman"/>
        </w:rPr>
        <w:t>.</w:t>
      </w:r>
    </w:p>
    <w:p w14:paraId="03BA22A0" w14:textId="14701B63" w:rsidR="000F3746" w:rsidRPr="00091C8C" w:rsidRDefault="00537EEC" w:rsidP="00091C8C">
      <w:pPr>
        <w:pStyle w:val="FixListStyle"/>
        <w:spacing w:after="260" w:line="280" w:lineRule="exact"/>
        <w:ind w:right="0"/>
        <w:jc w:val="both"/>
        <w:rPr>
          <w:rFonts w:ascii="Times New Roman" w:hAnsi="Times New Roman"/>
        </w:rPr>
      </w:pPr>
      <w:r w:rsidRPr="00091C8C">
        <w:rPr>
          <w:rFonts w:ascii="Times New Roman" w:hAnsi="Times New Roman"/>
        </w:rPr>
        <w:tab/>
      </w:r>
      <w:r w:rsidR="00DB74DD" w:rsidRPr="00091C8C">
        <w:rPr>
          <w:rFonts w:ascii="Times New Roman" w:hAnsi="Times New Roman"/>
        </w:rPr>
        <w:t xml:space="preserve">As will be explained, </w:t>
      </w:r>
      <w:r w:rsidR="00AA2308" w:rsidRPr="00091C8C">
        <w:rPr>
          <w:rFonts w:ascii="Times New Roman" w:hAnsi="Times New Roman"/>
        </w:rPr>
        <w:t>l</w:t>
      </w:r>
      <w:r w:rsidR="00746BDF" w:rsidRPr="00091C8C">
        <w:rPr>
          <w:rFonts w:ascii="Times New Roman" w:hAnsi="Times New Roman"/>
        </w:rPr>
        <w:t xml:space="preserve">egislative </w:t>
      </w:r>
      <w:r w:rsidR="00706B6B" w:rsidRPr="00091C8C">
        <w:rPr>
          <w:rFonts w:ascii="Times New Roman" w:hAnsi="Times New Roman"/>
        </w:rPr>
        <w:t>perce</w:t>
      </w:r>
      <w:r w:rsidR="00A0324B" w:rsidRPr="00091C8C">
        <w:rPr>
          <w:rFonts w:ascii="Times New Roman" w:hAnsi="Times New Roman"/>
        </w:rPr>
        <w:t xml:space="preserve">ption of </w:t>
      </w:r>
      <w:r w:rsidR="00DA013E" w:rsidRPr="00091C8C">
        <w:rPr>
          <w:rFonts w:ascii="Times New Roman" w:hAnsi="Times New Roman"/>
        </w:rPr>
        <w:t>the</w:t>
      </w:r>
      <w:r w:rsidR="00A10F6D" w:rsidRPr="00091C8C">
        <w:rPr>
          <w:rFonts w:ascii="Times New Roman" w:hAnsi="Times New Roman"/>
        </w:rPr>
        <w:t xml:space="preserve"> </w:t>
      </w:r>
      <w:r w:rsidR="005914DB" w:rsidRPr="00091C8C">
        <w:rPr>
          <w:rFonts w:ascii="Times New Roman" w:hAnsi="Times New Roman"/>
        </w:rPr>
        <w:t>ne</w:t>
      </w:r>
      <w:r w:rsidR="00D42116" w:rsidRPr="00091C8C">
        <w:rPr>
          <w:rFonts w:ascii="Times New Roman" w:hAnsi="Times New Roman"/>
        </w:rPr>
        <w:t>ed</w:t>
      </w:r>
      <w:r w:rsidR="005914DB" w:rsidRPr="00091C8C">
        <w:rPr>
          <w:rFonts w:ascii="Times New Roman" w:hAnsi="Times New Roman"/>
        </w:rPr>
        <w:t xml:space="preserve"> </w:t>
      </w:r>
      <w:r w:rsidR="00D42116" w:rsidRPr="00091C8C">
        <w:rPr>
          <w:rFonts w:ascii="Times New Roman" w:hAnsi="Times New Roman"/>
        </w:rPr>
        <w:t>to</w:t>
      </w:r>
      <w:r w:rsidR="005914DB" w:rsidRPr="00091C8C">
        <w:rPr>
          <w:rFonts w:ascii="Times New Roman" w:hAnsi="Times New Roman"/>
        </w:rPr>
        <w:t xml:space="preserve"> </w:t>
      </w:r>
      <w:r w:rsidR="00F478CF" w:rsidRPr="00091C8C">
        <w:rPr>
          <w:rFonts w:ascii="Times New Roman" w:hAnsi="Times New Roman"/>
        </w:rPr>
        <w:t>creat</w:t>
      </w:r>
      <w:r w:rsidR="00A0324B" w:rsidRPr="00091C8C">
        <w:rPr>
          <w:rFonts w:ascii="Times New Roman" w:hAnsi="Times New Roman"/>
        </w:rPr>
        <w:t>e</w:t>
      </w:r>
      <w:r w:rsidR="00DE7B42" w:rsidRPr="00091C8C">
        <w:rPr>
          <w:rFonts w:ascii="Times New Roman" w:hAnsi="Times New Roman"/>
        </w:rPr>
        <w:t xml:space="preserve"> </w:t>
      </w:r>
      <w:r w:rsidR="00F478CF" w:rsidRPr="00091C8C">
        <w:rPr>
          <w:rFonts w:ascii="Times New Roman" w:hAnsi="Times New Roman"/>
        </w:rPr>
        <w:t>th</w:t>
      </w:r>
      <w:r w:rsidR="004C0529" w:rsidRPr="00091C8C">
        <w:rPr>
          <w:rFonts w:ascii="Times New Roman" w:hAnsi="Times New Roman"/>
        </w:rPr>
        <w:t>at</w:t>
      </w:r>
      <w:r w:rsidR="00F478CF" w:rsidRPr="00091C8C">
        <w:rPr>
          <w:rFonts w:ascii="Times New Roman" w:hAnsi="Times New Roman"/>
        </w:rPr>
        <w:t xml:space="preserve"> </w:t>
      </w:r>
      <w:r w:rsidR="00A10F6D" w:rsidRPr="00091C8C">
        <w:rPr>
          <w:rFonts w:ascii="Times New Roman" w:hAnsi="Times New Roman"/>
        </w:rPr>
        <w:t xml:space="preserve">statutory fiction </w:t>
      </w:r>
      <w:r w:rsidR="00B34D8A" w:rsidRPr="00091C8C">
        <w:rPr>
          <w:rFonts w:ascii="Times New Roman" w:hAnsi="Times New Roman"/>
        </w:rPr>
        <w:t>must</w:t>
      </w:r>
      <w:r w:rsidR="00DD6F4D" w:rsidRPr="00091C8C">
        <w:rPr>
          <w:rFonts w:ascii="Times New Roman" w:hAnsi="Times New Roman"/>
        </w:rPr>
        <w:t xml:space="preserve"> be taken to </w:t>
      </w:r>
      <w:r w:rsidR="009C2FFE" w:rsidRPr="00091C8C">
        <w:rPr>
          <w:rFonts w:ascii="Times New Roman" w:hAnsi="Times New Roman"/>
        </w:rPr>
        <w:t>reflect</w:t>
      </w:r>
      <w:r w:rsidR="00DD6F4D" w:rsidRPr="00091C8C">
        <w:rPr>
          <w:rFonts w:ascii="Times New Roman" w:hAnsi="Times New Roman"/>
        </w:rPr>
        <w:t xml:space="preserve"> </w:t>
      </w:r>
      <w:r w:rsidR="002C5678" w:rsidRPr="00091C8C">
        <w:rPr>
          <w:rFonts w:ascii="Times New Roman" w:hAnsi="Times New Roman"/>
        </w:rPr>
        <w:t xml:space="preserve">legislative </w:t>
      </w:r>
      <w:r w:rsidR="000F3746" w:rsidRPr="00091C8C">
        <w:rPr>
          <w:rFonts w:ascii="Times New Roman" w:hAnsi="Times New Roman"/>
        </w:rPr>
        <w:t>acceptance</w:t>
      </w:r>
      <w:r w:rsidR="002C5678" w:rsidRPr="00091C8C">
        <w:rPr>
          <w:rFonts w:ascii="Times New Roman" w:hAnsi="Times New Roman"/>
        </w:rPr>
        <w:t xml:space="preserve"> </w:t>
      </w:r>
      <w:r w:rsidR="00A80460" w:rsidRPr="00091C8C">
        <w:rPr>
          <w:rFonts w:ascii="Times New Roman" w:hAnsi="Times New Roman"/>
        </w:rPr>
        <w:t>that</w:t>
      </w:r>
      <w:r w:rsidR="00F91337" w:rsidRPr="00091C8C">
        <w:rPr>
          <w:rFonts w:ascii="Times New Roman" w:hAnsi="Times New Roman"/>
        </w:rPr>
        <w:t xml:space="preserve"> the</w:t>
      </w:r>
      <w:r w:rsidR="00165D24" w:rsidRPr="00091C8C">
        <w:rPr>
          <w:rFonts w:ascii="Times New Roman" w:hAnsi="Times New Roman"/>
        </w:rPr>
        <w:t xml:space="preserve"> </w:t>
      </w:r>
      <w:r w:rsidR="000E5CC4" w:rsidRPr="00091C8C">
        <w:rPr>
          <w:rFonts w:ascii="Times New Roman" w:hAnsi="Times New Roman"/>
        </w:rPr>
        <w:t xml:space="preserve">grant </w:t>
      </w:r>
      <w:r w:rsidR="000F3746" w:rsidRPr="00091C8C">
        <w:rPr>
          <w:rFonts w:ascii="Times New Roman" w:hAnsi="Times New Roman"/>
        </w:rPr>
        <w:t xml:space="preserve">of </w:t>
      </w:r>
      <w:r w:rsidR="000E5CC4" w:rsidRPr="00091C8C">
        <w:rPr>
          <w:rFonts w:ascii="Times New Roman" w:hAnsi="Times New Roman"/>
        </w:rPr>
        <w:t xml:space="preserve">an extension </w:t>
      </w:r>
      <w:r w:rsidR="000F3746" w:rsidRPr="00091C8C">
        <w:rPr>
          <w:rFonts w:ascii="Times New Roman" w:hAnsi="Times New Roman"/>
        </w:rPr>
        <w:t>under s</w:t>
      </w:r>
      <w:r w:rsidR="00F91337" w:rsidRPr="00091C8C">
        <w:rPr>
          <w:rFonts w:ascii="Times New Roman" w:hAnsi="Times New Roman"/>
        </w:rPr>
        <w:t> </w:t>
      </w:r>
      <w:r w:rsidR="000F3746" w:rsidRPr="00091C8C">
        <w:rPr>
          <w:rFonts w:ascii="Times New Roman" w:hAnsi="Times New Roman"/>
        </w:rPr>
        <w:t xml:space="preserve">76 </w:t>
      </w:r>
      <w:r w:rsidRPr="00091C8C">
        <w:rPr>
          <w:rFonts w:ascii="Times New Roman" w:hAnsi="Times New Roman"/>
        </w:rPr>
        <w:t xml:space="preserve">after </w:t>
      </w:r>
      <w:r w:rsidR="002C5678" w:rsidRPr="00091C8C">
        <w:rPr>
          <w:rFonts w:ascii="Times New Roman" w:hAnsi="Times New Roman"/>
        </w:rPr>
        <w:t xml:space="preserve">the </w:t>
      </w:r>
      <w:r w:rsidRPr="00091C8C">
        <w:rPr>
          <w:rFonts w:ascii="Times New Roman" w:hAnsi="Times New Roman"/>
        </w:rPr>
        <w:t xml:space="preserve">expiration of the term </w:t>
      </w:r>
      <w:r w:rsidR="000F3746" w:rsidRPr="00091C8C">
        <w:rPr>
          <w:rFonts w:ascii="Times New Roman" w:hAnsi="Times New Roman"/>
        </w:rPr>
        <w:t xml:space="preserve">of the patent </w:t>
      </w:r>
      <w:r w:rsidR="00DE7B42" w:rsidRPr="00091C8C">
        <w:rPr>
          <w:rFonts w:ascii="Times New Roman" w:hAnsi="Times New Roman"/>
        </w:rPr>
        <w:t>does</w:t>
      </w:r>
      <w:r w:rsidR="000456B3" w:rsidRPr="00091C8C">
        <w:rPr>
          <w:rFonts w:ascii="Times New Roman" w:hAnsi="Times New Roman"/>
        </w:rPr>
        <w:t xml:space="preserve"> </w:t>
      </w:r>
      <w:r w:rsidR="00E34AF3" w:rsidRPr="00091C8C">
        <w:rPr>
          <w:rFonts w:ascii="Times New Roman" w:hAnsi="Times New Roman"/>
        </w:rPr>
        <w:t>not itself</w:t>
      </w:r>
      <w:r w:rsidR="000456B3" w:rsidRPr="00091C8C">
        <w:rPr>
          <w:rFonts w:ascii="Times New Roman" w:hAnsi="Times New Roman"/>
        </w:rPr>
        <w:t xml:space="preserve"> </w:t>
      </w:r>
      <w:r w:rsidR="00A513AA" w:rsidRPr="00091C8C">
        <w:rPr>
          <w:rFonts w:ascii="Times New Roman" w:hAnsi="Times New Roman"/>
        </w:rPr>
        <w:t xml:space="preserve">operate to </w:t>
      </w:r>
      <w:r w:rsidR="000F3746" w:rsidRPr="00091C8C">
        <w:rPr>
          <w:rFonts w:ascii="Times New Roman" w:hAnsi="Times New Roman"/>
        </w:rPr>
        <w:t>give rise to</w:t>
      </w:r>
      <w:r w:rsidR="00623232" w:rsidRPr="00091C8C">
        <w:rPr>
          <w:rFonts w:ascii="Times New Roman" w:hAnsi="Times New Roman"/>
        </w:rPr>
        <w:t xml:space="preserve"> liability in tort for an act </w:t>
      </w:r>
      <w:r w:rsidR="00D00026" w:rsidRPr="00091C8C">
        <w:rPr>
          <w:rFonts w:ascii="Times New Roman" w:hAnsi="Times New Roman"/>
        </w:rPr>
        <w:t xml:space="preserve">that occurred </w:t>
      </w:r>
      <w:r w:rsidR="008E42D5" w:rsidRPr="00091C8C">
        <w:rPr>
          <w:rFonts w:ascii="Times New Roman" w:hAnsi="Times New Roman"/>
        </w:rPr>
        <w:t xml:space="preserve">between the </w:t>
      </w:r>
      <w:r w:rsidR="00F43F72" w:rsidRPr="00091C8C">
        <w:rPr>
          <w:rFonts w:ascii="Times New Roman" w:hAnsi="Times New Roman"/>
        </w:rPr>
        <w:t xml:space="preserve">date of the </w:t>
      </w:r>
      <w:r w:rsidR="008E42D5" w:rsidRPr="00091C8C">
        <w:rPr>
          <w:rFonts w:ascii="Times New Roman" w:hAnsi="Times New Roman"/>
        </w:rPr>
        <w:t>expiration and the</w:t>
      </w:r>
      <w:r w:rsidR="00B468E1" w:rsidRPr="00091C8C">
        <w:rPr>
          <w:rFonts w:ascii="Times New Roman" w:hAnsi="Times New Roman"/>
        </w:rPr>
        <w:t xml:space="preserve"> date of the</w:t>
      </w:r>
      <w:r w:rsidR="008E42D5" w:rsidRPr="00091C8C">
        <w:rPr>
          <w:rFonts w:ascii="Times New Roman" w:hAnsi="Times New Roman"/>
        </w:rPr>
        <w:t xml:space="preserve"> grant. </w:t>
      </w:r>
    </w:p>
    <w:p w14:paraId="77F0E03B" w14:textId="2831F7D6" w:rsidR="008E42D5" w:rsidRPr="00091C8C" w:rsidRDefault="000F3746" w:rsidP="00091C8C">
      <w:pPr>
        <w:pStyle w:val="FixListStyle"/>
        <w:spacing w:after="260" w:line="280" w:lineRule="exact"/>
        <w:ind w:right="0"/>
        <w:jc w:val="both"/>
        <w:rPr>
          <w:rFonts w:ascii="Times New Roman" w:hAnsi="Times New Roman"/>
        </w:rPr>
      </w:pPr>
      <w:r w:rsidRPr="00091C8C">
        <w:rPr>
          <w:rFonts w:ascii="Times New Roman" w:hAnsi="Times New Roman"/>
        </w:rPr>
        <w:tab/>
      </w:r>
      <w:r w:rsidR="005633D1" w:rsidRPr="00091C8C">
        <w:rPr>
          <w:rFonts w:ascii="Times New Roman" w:hAnsi="Times New Roman"/>
        </w:rPr>
        <w:t>L</w:t>
      </w:r>
      <w:r w:rsidR="00B92667" w:rsidRPr="00091C8C">
        <w:rPr>
          <w:rFonts w:ascii="Times New Roman" w:hAnsi="Times New Roman"/>
        </w:rPr>
        <w:t xml:space="preserve">egislative </w:t>
      </w:r>
      <w:r w:rsidR="00A738CC" w:rsidRPr="00091C8C">
        <w:rPr>
          <w:rFonts w:ascii="Times New Roman" w:hAnsi="Times New Roman"/>
        </w:rPr>
        <w:t>acceptance of th</w:t>
      </w:r>
      <w:r w:rsidR="008A7A8F" w:rsidRPr="00091C8C">
        <w:rPr>
          <w:rFonts w:ascii="Times New Roman" w:hAnsi="Times New Roman"/>
        </w:rPr>
        <w:t xml:space="preserve">at limitation </w:t>
      </w:r>
      <w:r w:rsidR="0041151A" w:rsidRPr="00091C8C">
        <w:rPr>
          <w:rFonts w:ascii="Times New Roman" w:hAnsi="Times New Roman"/>
        </w:rPr>
        <w:t>can</w:t>
      </w:r>
      <w:r w:rsidR="00B92667" w:rsidRPr="00091C8C">
        <w:rPr>
          <w:rFonts w:ascii="Times New Roman" w:hAnsi="Times New Roman"/>
        </w:rPr>
        <w:t xml:space="preserve"> be </w:t>
      </w:r>
      <w:r w:rsidR="00963214" w:rsidRPr="00091C8C">
        <w:rPr>
          <w:rFonts w:ascii="Times New Roman" w:hAnsi="Times New Roman"/>
        </w:rPr>
        <w:t xml:space="preserve">seen </w:t>
      </w:r>
      <w:r w:rsidR="0041151A" w:rsidRPr="00091C8C">
        <w:rPr>
          <w:rFonts w:ascii="Times New Roman" w:hAnsi="Times New Roman"/>
        </w:rPr>
        <w:t>as</w:t>
      </w:r>
      <w:r w:rsidR="00B92667" w:rsidRPr="00091C8C">
        <w:rPr>
          <w:rFonts w:ascii="Times New Roman" w:hAnsi="Times New Roman"/>
        </w:rPr>
        <w:t xml:space="preserve"> a</w:t>
      </w:r>
      <w:r w:rsidR="0041151A" w:rsidRPr="00091C8C">
        <w:rPr>
          <w:rFonts w:ascii="Times New Roman" w:hAnsi="Times New Roman"/>
        </w:rPr>
        <w:t>n ac</w:t>
      </w:r>
      <w:r w:rsidR="00FB4916" w:rsidRPr="00091C8C">
        <w:rPr>
          <w:rFonts w:ascii="Times New Roman" w:hAnsi="Times New Roman"/>
        </w:rPr>
        <w:t xml:space="preserve">knowledgement of </w:t>
      </w:r>
      <w:r w:rsidR="009339AF" w:rsidRPr="00091C8C">
        <w:rPr>
          <w:rFonts w:ascii="Times New Roman" w:hAnsi="Times New Roman"/>
        </w:rPr>
        <w:t xml:space="preserve">the </w:t>
      </w:r>
      <w:r w:rsidR="00E4634C" w:rsidRPr="00091C8C">
        <w:rPr>
          <w:rFonts w:ascii="Times New Roman" w:hAnsi="Times New Roman"/>
        </w:rPr>
        <w:t xml:space="preserve">application </w:t>
      </w:r>
      <w:r w:rsidR="008A7A8F" w:rsidRPr="00091C8C">
        <w:rPr>
          <w:rFonts w:ascii="Times New Roman" w:hAnsi="Times New Roman"/>
        </w:rPr>
        <w:t>to the power conferred by s</w:t>
      </w:r>
      <w:r w:rsidR="00F91337" w:rsidRPr="00091C8C">
        <w:rPr>
          <w:rFonts w:ascii="Times New Roman" w:hAnsi="Times New Roman"/>
        </w:rPr>
        <w:t> </w:t>
      </w:r>
      <w:r w:rsidR="008A7A8F" w:rsidRPr="00091C8C">
        <w:rPr>
          <w:rFonts w:ascii="Times New Roman" w:hAnsi="Times New Roman"/>
        </w:rPr>
        <w:t xml:space="preserve">76 </w:t>
      </w:r>
      <w:r w:rsidR="00E4634C" w:rsidRPr="00091C8C">
        <w:rPr>
          <w:rFonts w:ascii="Times New Roman" w:hAnsi="Times New Roman"/>
        </w:rPr>
        <w:t xml:space="preserve">of the </w:t>
      </w:r>
      <w:r w:rsidR="00C33979" w:rsidRPr="00091C8C">
        <w:rPr>
          <w:rFonts w:ascii="Times New Roman" w:hAnsi="Times New Roman"/>
        </w:rPr>
        <w:t xml:space="preserve">standard </w:t>
      </w:r>
      <w:r w:rsidR="00E4634C" w:rsidRPr="00091C8C">
        <w:rPr>
          <w:rFonts w:ascii="Times New Roman" w:hAnsi="Times New Roman"/>
        </w:rPr>
        <w:t>common law presumption "</w:t>
      </w:r>
      <w:r w:rsidR="00AF3F8F" w:rsidRPr="00091C8C">
        <w:rPr>
          <w:rFonts w:ascii="Times New Roman" w:hAnsi="Times New Roman"/>
        </w:rPr>
        <w:t>that a statute chang</w:t>
      </w:r>
      <w:r w:rsidR="00BA50E1" w:rsidRPr="00091C8C">
        <w:rPr>
          <w:rFonts w:ascii="Times New Roman" w:hAnsi="Times New Roman"/>
        </w:rPr>
        <w:t>ing the law ought not</w:t>
      </w:r>
      <w:r w:rsidR="00632D54" w:rsidRPr="00091C8C">
        <w:rPr>
          <w:rFonts w:ascii="Times New Roman" w:hAnsi="Times New Roman"/>
        </w:rPr>
        <w:t>, unless the intention appears</w:t>
      </w:r>
      <w:r w:rsidR="004D05BE" w:rsidRPr="00091C8C">
        <w:rPr>
          <w:rFonts w:ascii="Times New Roman" w:hAnsi="Times New Roman"/>
        </w:rPr>
        <w:t xml:space="preserve"> with reasonable certainty</w:t>
      </w:r>
      <w:r w:rsidR="001732D2" w:rsidRPr="00091C8C">
        <w:rPr>
          <w:rFonts w:ascii="Times New Roman" w:hAnsi="Times New Roman"/>
        </w:rPr>
        <w:t>, to be understood</w:t>
      </w:r>
      <w:r w:rsidR="008D4F42" w:rsidRPr="00091C8C">
        <w:rPr>
          <w:rFonts w:ascii="Times New Roman" w:hAnsi="Times New Roman"/>
        </w:rPr>
        <w:t xml:space="preserve"> as applying to facts</w:t>
      </w:r>
      <w:r w:rsidR="006A3C97" w:rsidRPr="00091C8C">
        <w:rPr>
          <w:rFonts w:ascii="Times New Roman" w:hAnsi="Times New Roman"/>
        </w:rPr>
        <w:t xml:space="preserve"> or events that have already occurred in such a way as to confer or impose</w:t>
      </w:r>
      <w:r w:rsidR="00DC7EE4" w:rsidRPr="00091C8C">
        <w:rPr>
          <w:rFonts w:ascii="Times New Roman" w:hAnsi="Times New Roman"/>
        </w:rPr>
        <w:t xml:space="preserve"> or otherwise affect</w:t>
      </w:r>
      <w:r w:rsidR="00971452" w:rsidRPr="00091C8C">
        <w:rPr>
          <w:rFonts w:ascii="Times New Roman" w:hAnsi="Times New Roman"/>
        </w:rPr>
        <w:t xml:space="preserve"> rights or liabilities which </w:t>
      </w:r>
      <w:r w:rsidR="00D43EFE" w:rsidRPr="00091C8C">
        <w:rPr>
          <w:rFonts w:ascii="Times New Roman" w:hAnsi="Times New Roman"/>
        </w:rPr>
        <w:t xml:space="preserve">the law had defined </w:t>
      </w:r>
      <w:r w:rsidR="00E31E97" w:rsidRPr="00091C8C">
        <w:rPr>
          <w:rFonts w:ascii="Times New Roman" w:hAnsi="Times New Roman"/>
        </w:rPr>
        <w:t>by reference</w:t>
      </w:r>
      <w:r w:rsidR="00EA755F" w:rsidRPr="00091C8C">
        <w:rPr>
          <w:rFonts w:ascii="Times New Roman" w:hAnsi="Times New Roman"/>
        </w:rPr>
        <w:t xml:space="preserve"> to the </w:t>
      </w:r>
      <w:r w:rsidR="00EA755F" w:rsidRPr="00091C8C">
        <w:rPr>
          <w:rFonts w:ascii="Times New Roman" w:hAnsi="Times New Roman"/>
        </w:rPr>
        <w:lastRenderedPageBreak/>
        <w:t>past events</w:t>
      </w:r>
      <w:r w:rsidR="00E4634C" w:rsidRPr="00091C8C">
        <w:rPr>
          <w:rFonts w:ascii="Times New Roman" w:hAnsi="Times New Roman"/>
        </w:rPr>
        <w:t>"</w:t>
      </w:r>
      <w:r w:rsidR="00E4634C" w:rsidRPr="00091C8C">
        <w:rPr>
          <w:rStyle w:val="FootnoteReference"/>
          <w:rFonts w:ascii="Times New Roman" w:hAnsi="Times New Roman"/>
          <w:sz w:val="24"/>
        </w:rPr>
        <w:footnoteReference w:id="48"/>
      </w:r>
      <w:r w:rsidR="00E4634C" w:rsidRPr="00091C8C">
        <w:rPr>
          <w:rFonts w:ascii="Times New Roman" w:hAnsi="Times New Roman"/>
        </w:rPr>
        <w:t xml:space="preserve">. </w:t>
      </w:r>
      <w:r w:rsidR="006614ED" w:rsidRPr="00091C8C">
        <w:rPr>
          <w:rFonts w:ascii="Times New Roman" w:hAnsi="Times New Roman"/>
        </w:rPr>
        <w:t>The presumption, in other words, is "that prima facie a statute must not be construed so as to change the legal character, or the legal consequences, of past events and transactions"</w:t>
      </w:r>
      <w:r w:rsidR="006614ED" w:rsidRPr="00091C8C">
        <w:rPr>
          <w:rStyle w:val="FootnoteReference"/>
          <w:rFonts w:ascii="Times New Roman" w:hAnsi="Times New Roman"/>
          <w:sz w:val="24"/>
        </w:rPr>
        <w:footnoteReference w:id="49"/>
      </w:r>
      <w:r w:rsidR="006614ED" w:rsidRPr="00091C8C">
        <w:rPr>
          <w:rFonts w:ascii="Times New Roman" w:hAnsi="Times New Roman"/>
        </w:rPr>
        <w:t xml:space="preserve">. </w:t>
      </w:r>
      <w:r w:rsidR="001725FD" w:rsidRPr="00091C8C">
        <w:rPr>
          <w:rFonts w:ascii="Times New Roman" w:hAnsi="Times New Roman"/>
        </w:rPr>
        <w:t xml:space="preserve">The presumption </w:t>
      </w:r>
      <w:r w:rsidR="00DF425D" w:rsidRPr="00091C8C">
        <w:rPr>
          <w:rFonts w:ascii="Times New Roman" w:hAnsi="Times New Roman"/>
        </w:rPr>
        <w:t>applies</w:t>
      </w:r>
      <w:r w:rsidR="001725FD" w:rsidRPr="00091C8C">
        <w:rPr>
          <w:rFonts w:ascii="Times New Roman" w:hAnsi="Times New Roman"/>
        </w:rPr>
        <w:t xml:space="preserve"> to </w:t>
      </w:r>
      <w:r w:rsidR="00A92174" w:rsidRPr="00091C8C">
        <w:rPr>
          <w:rFonts w:ascii="Times New Roman" w:hAnsi="Times New Roman"/>
        </w:rPr>
        <w:t xml:space="preserve">the interpretation of </w:t>
      </w:r>
      <w:r w:rsidR="001725FD" w:rsidRPr="00091C8C">
        <w:rPr>
          <w:rFonts w:ascii="Times New Roman" w:hAnsi="Times New Roman"/>
        </w:rPr>
        <w:t xml:space="preserve">a statute </w:t>
      </w:r>
      <w:r w:rsidR="00963214" w:rsidRPr="00091C8C">
        <w:rPr>
          <w:rFonts w:ascii="Times New Roman" w:hAnsi="Times New Roman"/>
        </w:rPr>
        <w:t>confer</w:t>
      </w:r>
      <w:r w:rsidR="00DF425D" w:rsidRPr="00091C8C">
        <w:rPr>
          <w:rFonts w:ascii="Times New Roman" w:hAnsi="Times New Roman"/>
        </w:rPr>
        <w:t>ring</w:t>
      </w:r>
      <w:r w:rsidR="001725FD" w:rsidRPr="00091C8C">
        <w:rPr>
          <w:rFonts w:ascii="Times New Roman" w:hAnsi="Times New Roman"/>
        </w:rPr>
        <w:t xml:space="preserve"> power </w:t>
      </w:r>
      <w:r w:rsidR="00A92174" w:rsidRPr="00091C8C">
        <w:rPr>
          <w:rFonts w:ascii="Times New Roman" w:hAnsi="Times New Roman"/>
        </w:rPr>
        <w:t xml:space="preserve">to </w:t>
      </w:r>
      <w:r w:rsidR="00E15C95" w:rsidRPr="00091C8C">
        <w:rPr>
          <w:rFonts w:ascii="Times New Roman" w:hAnsi="Times New Roman"/>
        </w:rPr>
        <w:t xml:space="preserve">affect rights and liabilities </w:t>
      </w:r>
      <w:r w:rsidR="009515D2" w:rsidRPr="00091C8C">
        <w:rPr>
          <w:rFonts w:ascii="Times New Roman" w:hAnsi="Times New Roman"/>
        </w:rPr>
        <w:t xml:space="preserve">in the same way as it applies to the interpretation of a statute </w:t>
      </w:r>
      <w:r w:rsidR="00A23D4C" w:rsidRPr="00091C8C">
        <w:rPr>
          <w:rFonts w:ascii="Times New Roman" w:hAnsi="Times New Roman"/>
        </w:rPr>
        <w:t>operat</w:t>
      </w:r>
      <w:r w:rsidR="00DF425D" w:rsidRPr="00091C8C">
        <w:rPr>
          <w:rFonts w:ascii="Times New Roman" w:hAnsi="Times New Roman"/>
        </w:rPr>
        <w:t>ing</w:t>
      </w:r>
      <w:r w:rsidR="00A23D4C" w:rsidRPr="00091C8C">
        <w:rPr>
          <w:rFonts w:ascii="Times New Roman" w:hAnsi="Times New Roman"/>
        </w:rPr>
        <w:t xml:space="preserve"> directly </w:t>
      </w:r>
      <w:r w:rsidR="009515D2" w:rsidRPr="00091C8C">
        <w:rPr>
          <w:rFonts w:ascii="Times New Roman" w:hAnsi="Times New Roman"/>
        </w:rPr>
        <w:t>to affect rights and liabilities</w:t>
      </w:r>
      <w:r w:rsidR="0054125D" w:rsidRPr="00091C8C">
        <w:rPr>
          <w:rStyle w:val="FootnoteReference"/>
          <w:rFonts w:ascii="Times New Roman" w:hAnsi="Times New Roman"/>
          <w:sz w:val="24"/>
        </w:rPr>
        <w:footnoteReference w:id="50"/>
      </w:r>
      <w:r w:rsidR="0054125D" w:rsidRPr="00091C8C">
        <w:rPr>
          <w:rFonts w:ascii="Times New Roman" w:hAnsi="Times New Roman"/>
        </w:rPr>
        <w:t>.</w:t>
      </w:r>
    </w:p>
    <w:p w14:paraId="163C6CB7" w14:textId="20B34186" w:rsidR="00F75F81" w:rsidRPr="00091C8C" w:rsidRDefault="008E42D5" w:rsidP="00091C8C">
      <w:pPr>
        <w:pStyle w:val="FixListStyle"/>
        <w:spacing w:after="260" w:line="280" w:lineRule="exact"/>
        <w:ind w:right="0"/>
        <w:jc w:val="both"/>
        <w:rPr>
          <w:rFonts w:ascii="Times New Roman" w:hAnsi="Times New Roman"/>
        </w:rPr>
      </w:pPr>
      <w:r w:rsidRPr="00091C8C">
        <w:rPr>
          <w:rFonts w:ascii="Times New Roman" w:hAnsi="Times New Roman"/>
        </w:rPr>
        <w:tab/>
      </w:r>
      <w:r w:rsidR="00AA6DD8" w:rsidRPr="00091C8C">
        <w:rPr>
          <w:rFonts w:ascii="Times New Roman" w:hAnsi="Times New Roman"/>
        </w:rPr>
        <w:t>U</w:t>
      </w:r>
      <w:r w:rsidR="00C352E7" w:rsidRPr="00091C8C">
        <w:rPr>
          <w:rFonts w:ascii="Times New Roman" w:hAnsi="Times New Roman"/>
        </w:rPr>
        <w:t>nderstand</w:t>
      </w:r>
      <w:r w:rsidR="00AA6DD8" w:rsidRPr="00091C8C">
        <w:rPr>
          <w:rFonts w:ascii="Times New Roman" w:hAnsi="Times New Roman"/>
        </w:rPr>
        <w:t>ing</w:t>
      </w:r>
      <w:r w:rsidR="00C352E7" w:rsidRPr="00091C8C">
        <w:rPr>
          <w:rFonts w:ascii="Times New Roman" w:hAnsi="Times New Roman"/>
        </w:rPr>
        <w:t xml:space="preserve"> </w:t>
      </w:r>
      <w:r w:rsidR="00165D24" w:rsidRPr="00091C8C">
        <w:rPr>
          <w:rFonts w:ascii="Times New Roman" w:hAnsi="Times New Roman"/>
        </w:rPr>
        <w:t xml:space="preserve">an exercise of the </w:t>
      </w:r>
      <w:r w:rsidR="00D44DA3" w:rsidRPr="00091C8C">
        <w:rPr>
          <w:rFonts w:ascii="Times New Roman" w:hAnsi="Times New Roman"/>
        </w:rPr>
        <w:t xml:space="preserve">power </w:t>
      </w:r>
      <w:r w:rsidR="00537EEC" w:rsidRPr="00091C8C">
        <w:rPr>
          <w:rFonts w:ascii="Times New Roman" w:hAnsi="Times New Roman"/>
        </w:rPr>
        <w:t>conferred by s</w:t>
      </w:r>
      <w:r w:rsidR="00402338" w:rsidRPr="00091C8C">
        <w:rPr>
          <w:rFonts w:ascii="Times New Roman" w:hAnsi="Times New Roman"/>
        </w:rPr>
        <w:t> </w:t>
      </w:r>
      <w:r w:rsidR="00537EEC" w:rsidRPr="00091C8C">
        <w:rPr>
          <w:rFonts w:ascii="Times New Roman" w:hAnsi="Times New Roman"/>
        </w:rPr>
        <w:t>7</w:t>
      </w:r>
      <w:r w:rsidR="00694327" w:rsidRPr="00091C8C">
        <w:rPr>
          <w:rFonts w:ascii="Times New Roman" w:hAnsi="Times New Roman"/>
        </w:rPr>
        <w:t>6</w:t>
      </w:r>
      <w:r w:rsidR="00F06BF7" w:rsidRPr="00091C8C">
        <w:rPr>
          <w:rFonts w:ascii="Times New Roman" w:hAnsi="Times New Roman"/>
        </w:rPr>
        <w:t xml:space="preserve"> </w:t>
      </w:r>
      <w:r w:rsidR="009C54C6" w:rsidRPr="00091C8C">
        <w:rPr>
          <w:rFonts w:ascii="Times New Roman" w:hAnsi="Times New Roman"/>
        </w:rPr>
        <w:t xml:space="preserve">to </w:t>
      </w:r>
      <w:r w:rsidR="00BF0479" w:rsidRPr="00091C8C">
        <w:rPr>
          <w:rFonts w:ascii="Times New Roman" w:hAnsi="Times New Roman"/>
        </w:rPr>
        <w:t>have a</w:t>
      </w:r>
      <w:r w:rsidR="00B9599B" w:rsidRPr="00091C8C">
        <w:rPr>
          <w:rFonts w:ascii="Times New Roman" w:hAnsi="Times New Roman"/>
        </w:rPr>
        <w:t xml:space="preserve">n </w:t>
      </w:r>
      <w:r w:rsidR="00BF0479" w:rsidRPr="00091C8C">
        <w:rPr>
          <w:rFonts w:ascii="Times New Roman" w:hAnsi="Times New Roman"/>
        </w:rPr>
        <w:t xml:space="preserve">operation </w:t>
      </w:r>
      <w:r w:rsidR="008E6F46" w:rsidRPr="00091C8C">
        <w:rPr>
          <w:rFonts w:ascii="Times New Roman" w:hAnsi="Times New Roman"/>
        </w:rPr>
        <w:t xml:space="preserve">consistent with the application </w:t>
      </w:r>
      <w:r w:rsidR="00837509" w:rsidRPr="00091C8C">
        <w:rPr>
          <w:rFonts w:ascii="Times New Roman" w:hAnsi="Times New Roman"/>
        </w:rPr>
        <w:t xml:space="preserve">to the section </w:t>
      </w:r>
      <w:r w:rsidR="008E6F46" w:rsidRPr="00091C8C">
        <w:rPr>
          <w:rFonts w:ascii="Times New Roman" w:hAnsi="Times New Roman"/>
        </w:rPr>
        <w:t xml:space="preserve">of the </w:t>
      </w:r>
      <w:r w:rsidR="00837509" w:rsidRPr="00091C8C">
        <w:rPr>
          <w:rFonts w:ascii="Times New Roman" w:hAnsi="Times New Roman"/>
        </w:rPr>
        <w:t>standard common law</w:t>
      </w:r>
      <w:r w:rsidR="008E6F46" w:rsidRPr="00091C8C">
        <w:rPr>
          <w:rFonts w:ascii="Times New Roman" w:hAnsi="Times New Roman"/>
        </w:rPr>
        <w:t xml:space="preserve"> presumption </w:t>
      </w:r>
      <w:r w:rsidR="009C54C6" w:rsidRPr="00091C8C">
        <w:rPr>
          <w:rFonts w:ascii="Times New Roman" w:hAnsi="Times New Roman"/>
        </w:rPr>
        <w:t>does no violence to the word "extension"</w:t>
      </w:r>
      <w:r w:rsidR="00B021DD" w:rsidRPr="00091C8C">
        <w:rPr>
          <w:rFonts w:ascii="Times New Roman" w:hAnsi="Times New Roman"/>
        </w:rPr>
        <w:t>.</w:t>
      </w:r>
      <w:r w:rsidR="00537EEC" w:rsidRPr="00091C8C">
        <w:rPr>
          <w:rFonts w:ascii="Times New Roman" w:hAnsi="Times New Roman"/>
        </w:rPr>
        <w:t xml:space="preserve"> The </w:t>
      </w:r>
      <w:r w:rsidR="00B021DD" w:rsidRPr="00091C8C">
        <w:rPr>
          <w:rFonts w:ascii="Times New Roman" w:hAnsi="Times New Roman"/>
        </w:rPr>
        <w:t>word</w:t>
      </w:r>
      <w:r w:rsidR="00F1794C" w:rsidRPr="00091C8C">
        <w:rPr>
          <w:rFonts w:ascii="Times New Roman" w:hAnsi="Times New Roman"/>
        </w:rPr>
        <w:t xml:space="preserve"> is not defined</w:t>
      </w:r>
      <w:r w:rsidR="00B021DD" w:rsidRPr="00091C8C">
        <w:rPr>
          <w:rFonts w:ascii="Times New Roman" w:hAnsi="Times New Roman"/>
        </w:rPr>
        <w:t xml:space="preserve"> </w:t>
      </w:r>
      <w:r w:rsidR="00F025F4" w:rsidRPr="00091C8C">
        <w:rPr>
          <w:rFonts w:ascii="Times New Roman" w:hAnsi="Times New Roman"/>
        </w:rPr>
        <w:t xml:space="preserve">in the Act </w:t>
      </w:r>
      <w:r w:rsidR="00695E74" w:rsidRPr="00091C8C">
        <w:rPr>
          <w:rFonts w:ascii="Times New Roman" w:hAnsi="Times New Roman"/>
        </w:rPr>
        <w:t xml:space="preserve">and </w:t>
      </w:r>
      <w:r w:rsidR="00B021DD" w:rsidRPr="00091C8C">
        <w:rPr>
          <w:rFonts w:ascii="Times New Roman" w:hAnsi="Times New Roman"/>
        </w:rPr>
        <w:t xml:space="preserve">has </w:t>
      </w:r>
      <w:r w:rsidR="00B41F62" w:rsidRPr="00091C8C">
        <w:rPr>
          <w:rFonts w:ascii="Times New Roman" w:hAnsi="Times New Roman"/>
        </w:rPr>
        <w:t>been ackno</w:t>
      </w:r>
      <w:r w:rsidR="009E1EED" w:rsidRPr="00091C8C">
        <w:rPr>
          <w:rFonts w:ascii="Times New Roman" w:hAnsi="Times New Roman"/>
        </w:rPr>
        <w:t xml:space="preserve">wledged in </w:t>
      </w:r>
      <w:r w:rsidR="00F025F4" w:rsidRPr="00091C8C">
        <w:rPr>
          <w:rFonts w:ascii="Times New Roman" w:hAnsi="Times New Roman"/>
        </w:rPr>
        <w:t xml:space="preserve">the </w:t>
      </w:r>
      <w:r w:rsidR="00A3605F" w:rsidRPr="00091C8C">
        <w:rPr>
          <w:rFonts w:ascii="Times New Roman" w:hAnsi="Times New Roman"/>
        </w:rPr>
        <w:t xml:space="preserve">context </w:t>
      </w:r>
      <w:r w:rsidR="00F025F4" w:rsidRPr="00091C8C">
        <w:rPr>
          <w:rFonts w:ascii="Times New Roman" w:hAnsi="Times New Roman"/>
        </w:rPr>
        <w:t xml:space="preserve">of patent law </w:t>
      </w:r>
      <w:r w:rsidR="00A3605F" w:rsidRPr="00091C8C">
        <w:rPr>
          <w:rFonts w:ascii="Times New Roman" w:hAnsi="Times New Roman"/>
        </w:rPr>
        <w:t xml:space="preserve">to have </w:t>
      </w:r>
      <w:r w:rsidR="00772D9D" w:rsidRPr="00091C8C">
        <w:rPr>
          <w:rFonts w:ascii="Times New Roman" w:hAnsi="Times New Roman"/>
        </w:rPr>
        <w:t>a</w:t>
      </w:r>
      <w:r w:rsidR="00B021DD" w:rsidRPr="00091C8C">
        <w:rPr>
          <w:rFonts w:ascii="Times New Roman" w:hAnsi="Times New Roman"/>
        </w:rPr>
        <w:t xml:space="preserve"> </w:t>
      </w:r>
      <w:r w:rsidR="00695E74" w:rsidRPr="00091C8C">
        <w:rPr>
          <w:rFonts w:ascii="Times New Roman" w:hAnsi="Times New Roman"/>
        </w:rPr>
        <w:t>meaning</w:t>
      </w:r>
      <w:r w:rsidR="009F4200" w:rsidRPr="00091C8C">
        <w:rPr>
          <w:rFonts w:ascii="Times New Roman" w:hAnsi="Times New Roman"/>
        </w:rPr>
        <w:t xml:space="preserve"> which "</w:t>
      </w:r>
      <w:r w:rsidR="00ED720E" w:rsidRPr="00091C8C">
        <w:rPr>
          <w:rFonts w:ascii="Times New Roman" w:hAnsi="Times New Roman"/>
        </w:rPr>
        <w:t>may well vary with the nature of the subject</w:t>
      </w:r>
      <w:r w:rsidR="00374EB0" w:rsidRPr="00091C8C">
        <w:rPr>
          <w:rFonts w:ascii="Times New Roman" w:hAnsi="Times New Roman"/>
        </w:rPr>
        <w:t xml:space="preserve"> </w:t>
      </w:r>
      <w:r w:rsidR="00A45E9D" w:rsidRPr="00091C8C">
        <w:rPr>
          <w:rFonts w:ascii="Times New Roman" w:hAnsi="Times New Roman"/>
        </w:rPr>
        <w:t>matter</w:t>
      </w:r>
      <w:r w:rsidR="00201624" w:rsidRPr="00091C8C">
        <w:rPr>
          <w:rFonts w:ascii="Times New Roman" w:hAnsi="Times New Roman"/>
        </w:rPr>
        <w:t>"</w:t>
      </w:r>
      <w:r w:rsidR="00201624" w:rsidRPr="00091C8C">
        <w:rPr>
          <w:rStyle w:val="FootnoteReference"/>
          <w:rFonts w:ascii="Times New Roman" w:hAnsi="Times New Roman"/>
          <w:sz w:val="24"/>
        </w:rPr>
        <w:footnoteReference w:id="51"/>
      </w:r>
      <w:r w:rsidR="001806B5" w:rsidRPr="00091C8C">
        <w:rPr>
          <w:rFonts w:ascii="Times New Roman" w:hAnsi="Times New Roman"/>
        </w:rPr>
        <w:t>.</w:t>
      </w:r>
      <w:r w:rsidR="00AC4A19" w:rsidRPr="00091C8C">
        <w:rPr>
          <w:rFonts w:ascii="Times New Roman" w:hAnsi="Times New Roman"/>
        </w:rPr>
        <w:t xml:space="preserve"> </w:t>
      </w:r>
    </w:p>
    <w:p w14:paraId="602F15E8" w14:textId="4C0DFD18" w:rsidR="00537EEC" w:rsidRPr="00091C8C" w:rsidRDefault="00F75F81" w:rsidP="00091C8C">
      <w:pPr>
        <w:pStyle w:val="FixListStyle"/>
        <w:spacing w:after="260" w:line="280" w:lineRule="exact"/>
        <w:ind w:right="0"/>
        <w:jc w:val="both"/>
        <w:rPr>
          <w:rFonts w:ascii="Times New Roman" w:hAnsi="Times New Roman"/>
        </w:rPr>
      </w:pPr>
      <w:r w:rsidRPr="00091C8C">
        <w:rPr>
          <w:rFonts w:ascii="Times New Roman" w:hAnsi="Times New Roman"/>
        </w:rPr>
        <w:tab/>
      </w:r>
      <w:r w:rsidR="00AC4A19" w:rsidRPr="00091C8C">
        <w:rPr>
          <w:rFonts w:ascii="Times New Roman" w:hAnsi="Times New Roman"/>
        </w:rPr>
        <w:t xml:space="preserve">Once it is accepted that </w:t>
      </w:r>
      <w:r w:rsidR="009620F5" w:rsidRPr="00091C8C">
        <w:rPr>
          <w:rFonts w:ascii="Times New Roman" w:hAnsi="Times New Roman"/>
        </w:rPr>
        <w:t xml:space="preserve">"extension" </w:t>
      </w:r>
      <w:r w:rsidR="00A536C5" w:rsidRPr="00091C8C">
        <w:rPr>
          <w:rFonts w:ascii="Times New Roman" w:hAnsi="Times New Roman"/>
        </w:rPr>
        <w:t>in th</w:t>
      </w:r>
      <w:r w:rsidR="00861140" w:rsidRPr="00091C8C">
        <w:rPr>
          <w:rFonts w:ascii="Times New Roman" w:hAnsi="Times New Roman"/>
        </w:rPr>
        <w:t>e</w:t>
      </w:r>
      <w:r w:rsidR="00A536C5" w:rsidRPr="00091C8C">
        <w:rPr>
          <w:rFonts w:ascii="Times New Roman" w:hAnsi="Times New Roman"/>
        </w:rPr>
        <w:t xml:space="preserve"> context</w:t>
      </w:r>
      <w:r w:rsidR="00B07DCA" w:rsidRPr="00091C8C">
        <w:rPr>
          <w:rFonts w:ascii="Times New Roman" w:hAnsi="Times New Roman"/>
        </w:rPr>
        <w:t xml:space="preserve"> </w:t>
      </w:r>
      <w:r w:rsidR="00861140" w:rsidRPr="00091C8C">
        <w:rPr>
          <w:rFonts w:ascii="Times New Roman" w:hAnsi="Times New Roman"/>
        </w:rPr>
        <w:t>of Pt</w:t>
      </w:r>
      <w:r w:rsidR="000256C4" w:rsidRPr="00091C8C">
        <w:rPr>
          <w:rFonts w:ascii="Times New Roman" w:hAnsi="Times New Roman"/>
        </w:rPr>
        <w:t> </w:t>
      </w:r>
      <w:r w:rsidR="00861140" w:rsidRPr="00091C8C">
        <w:rPr>
          <w:rFonts w:ascii="Times New Roman" w:hAnsi="Times New Roman"/>
        </w:rPr>
        <w:t>3 of Ch</w:t>
      </w:r>
      <w:r w:rsidR="000256C4" w:rsidRPr="00091C8C">
        <w:rPr>
          <w:rFonts w:ascii="Times New Roman" w:hAnsi="Times New Roman"/>
        </w:rPr>
        <w:t> </w:t>
      </w:r>
      <w:r w:rsidR="00861140" w:rsidRPr="00091C8C">
        <w:rPr>
          <w:rFonts w:ascii="Times New Roman" w:hAnsi="Times New Roman"/>
        </w:rPr>
        <w:t xml:space="preserve">6 </w:t>
      </w:r>
      <w:r w:rsidR="00BB41B2" w:rsidRPr="00091C8C">
        <w:rPr>
          <w:rFonts w:ascii="Times New Roman" w:hAnsi="Times New Roman"/>
        </w:rPr>
        <w:t>i</w:t>
      </w:r>
      <w:r w:rsidR="00CA50F4" w:rsidRPr="00091C8C">
        <w:rPr>
          <w:rFonts w:ascii="Times New Roman" w:hAnsi="Times New Roman"/>
        </w:rPr>
        <w:t xml:space="preserve">s not </w:t>
      </w:r>
      <w:r w:rsidR="00606BC4" w:rsidRPr="00091C8C">
        <w:rPr>
          <w:rFonts w:ascii="Times New Roman" w:hAnsi="Times New Roman"/>
        </w:rPr>
        <w:t xml:space="preserve">to be read according to its usual connotation </w:t>
      </w:r>
      <w:r w:rsidR="00BB41B2" w:rsidRPr="00091C8C">
        <w:rPr>
          <w:rFonts w:ascii="Times New Roman" w:hAnsi="Times New Roman"/>
        </w:rPr>
        <w:t xml:space="preserve">to imply </w:t>
      </w:r>
      <w:r w:rsidR="00B07DCA" w:rsidRPr="00091C8C">
        <w:rPr>
          <w:rFonts w:ascii="Times New Roman" w:hAnsi="Times New Roman"/>
        </w:rPr>
        <w:t>"</w:t>
      </w:r>
      <w:r w:rsidR="00AE146A" w:rsidRPr="00091C8C">
        <w:rPr>
          <w:rFonts w:ascii="Times New Roman" w:hAnsi="Times New Roman"/>
        </w:rPr>
        <w:t xml:space="preserve">that what is to be </w:t>
      </w:r>
      <w:r w:rsidR="00C10B90" w:rsidRPr="00091C8C">
        <w:rPr>
          <w:rFonts w:ascii="Times New Roman" w:hAnsi="Times New Roman"/>
        </w:rPr>
        <w:t xml:space="preserve">extended must be current </w:t>
      </w:r>
      <w:r w:rsidR="00FE61A7" w:rsidRPr="00091C8C">
        <w:rPr>
          <w:rFonts w:ascii="Times New Roman" w:hAnsi="Times New Roman"/>
        </w:rPr>
        <w:t>or existing"</w:t>
      </w:r>
      <w:r w:rsidR="00FE61A7" w:rsidRPr="00091C8C">
        <w:rPr>
          <w:rStyle w:val="FootnoteReference"/>
          <w:rFonts w:ascii="Times New Roman" w:hAnsi="Times New Roman"/>
          <w:sz w:val="24"/>
        </w:rPr>
        <w:footnoteReference w:id="52"/>
      </w:r>
      <w:r w:rsidR="00A66AB1" w:rsidRPr="00091C8C">
        <w:rPr>
          <w:rFonts w:ascii="Times New Roman" w:hAnsi="Times New Roman"/>
        </w:rPr>
        <w:t xml:space="preserve">, </w:t>
      </w:r>
      <w:r w:rsidR="008C1059" w:rsidRPr="00091C8C">
        <w:rPr>
          <w:rFonts w:ascii="Times New Roman" w:hAnsi="Times New Roman"/>
        </w:rPr>
        <w:t xml:space="preserve">there is no reason to regard the </w:t>
      </w:r>
      <w:r w:rsidR="006A34F6" w:rsidRPr="00091C8C">
        <w:rPr>
          <w:rFonts w:ascii="Times New Roman" w:hAnsi="Times New Roman"/>
        </w:rPr>
        <w:t xml:space="preserve">grant of </w:t>
      </w:r>
      <w:r w:rsidR="00FE2FEC" w:rsidRPr="00091C8C">
        <w:rPr>
          <w:rFonts w:ascii="Times New Roman" w:hAnsi="Times New Roman"/>
        </w:rPr>
        <w:t>the</w:t>
      </w:r>
      <w:r w:rsidR="006A34F6" w:rsidRPr="00091C8C">
        <w:rPr>
          <w:rFonts w:ascii="Times New Roman" w:hAnsi="Times New Roman"/>
        </w:rPr>
        <w:t xml:space="preserve"> </w:t>
      </w:r>
      <w:r w:rsidR="008C1059" w:rsidRPr="00091C8C">
        <w:rPr>
          <w:rFonts w:ascii="Times New Roman" w:hAnsi="Times New Roman"/>
        </w:rPr>
        <w:t>extension</w:t>
      </w:r>
      <w:r w:rsidR="009069E2" w:rsidRPr="00091C8C">
        <w:rPr>
          <w:rFonts w:ascii="Times New Roman" w:hAnsi="Times New Roman"/>
        </w:rPr>
        <w:t xml:space="preserve"> </w:t>
      </w:r>
      <w:r w:rsidR="00FE2FEC" w:rsidRPr="00091C8C">
        <w:rPr>
          <w:rFonts w:ascii="Times New Roman" w:hAnsi="Times New Roman"/>
        </w:rPr>
        <w:t xml:space="preserve">to which </w:t>
      </w:r>
      <w:r w:rsidR="00B9599B" w:rsidRPr="00091C8C">
        <w:rPr>
          <w:rFonts w:ascii="Times New Roman" w:hAnsi="Times New Roman"/>
        </w:rPr>
        <w:t>s 76</w:t>
      </w:r>
      <w:r w:rsidR="00FE2FEC" w:rsidRPr="00091C8C">
        <w:rPr>
          <w:rFonts w:ascii="Times New Roman" w:hAnsi="Times New Roman"/>
        </w:rPr>
        <w:t xml:space="preserve"> refers </w:t>
      </w:r>
      <w:r w:rsidR="009069E2" w:rsidRPr="00091C8C">
        <w:rPr>
          <w:rFonts w:ascii="Times New Roman" w:hAnsi="Times New Roman"/>
        </w:rPr>
        <w:t xml:space="preserve">as </w:t>
      </w:r>
      <w:r w:rsidR="003D2502" w:rsidRPr="00091C8C">
        <w:rPr>
          <w:rFonts w:ascii="Times New Roman" w:hAnsi="Times New Roman"/>
        </w:rPr>
        <w:t xml:space="preserve">necessarily </w:t>
      </w:r>
      <w:r w:rsidR="009069E2" w:rsidRPr="00091C8C">
        <w:rPr>
          <w:rFonts w:ascii="Times New Roman" w:hAnsi="Times New Roman"/>
        </w:rPr>
        <w:t>operating to give exclusive</w:t>
      </w:r>
      <w:r w:rsidR="005F328F" w:rsidRPr="00091C8C">
        <w:rPr>
          <w:rFonts w:ascii="Times New Roman" w:hAnsi="Times New Roman"/>
        </w:rPr>
        <w:t xml:space="preserve"> rights that are </w:t>
      </w:r>
      <w:r w:rsidR="006234C8" w:rsidRPr="00091C8C">
        <w:rPr>
          <w:rFonts w:ascii="Times New Roman" w:hAnsi="Times New Roman"/>
        </w:rPr>
        <w:t>contiguous</w:t>
      </w:r>
      <w:r w:rsidR="00A871F7" w:rsidRPr="00091C8C">
        <w:rPr>
          <w:rFonts w:ascii="Times New Roman" w:hAnsi="Times New Roman"/>
        </w:rPr>
        <w:t xml:space="preserve"> with those given by the original grant.</w:t>
      </w:r>
      <w:r w:rsidR="00080EB5" w:rsidRPr="00091C8C">
        <w:rPr>
          <w:rFonts w:ascii="Times New Roman" w:hAnsi="Times New Roman"/>
        </w:rPr>
        <w:t xml:space="preserve"> </w:t>
      </w:r>
      <w:r w:rsidR="00B9599B" w:rsidRPr="00091C8C">
        <w:rPr>
          <w:rFonts w:ascii="Times New Roman" w:hAnsi="Times New Roman"/>
        </w:rPr>
        <w:t xml:space="preserve">The construction of the section rather lends itself to being analogised to </w:t>
      </w:r>
      <w:r w:rsidR="00F62895" w:rsidRPr="00091C8C">
        <w:rPr>
          <w:rFonts w:ascii="Times New Roman" w:hAnsi="Times New Roman"/>
        </w:rPr>
        <w:t>what has been said to be</w:t>
      </w:r>
      <w:r w:rsidR="008E485A" w:rsidRPr="00091C8C">
        <w:rPr>
          <w:rFonts w:ascii="Times New Roman" w:hAnsi="Times New Roman"/>
        </w:rPr>
        <w:t xml:space="preserve"> </w:t>
      </w:r>
      <w:r w:rsidR="00440B9B" w:rsidRPr="00091C8C">
        <w:rPr>
          <w:rFonts w:ascii="Times New Roman" w:hAnsi="Times New Roman"/>
        </w:rPr>
        <w:t>"trite law"</w:t>
      </w:r>
      <w:r w:rsidR="00707F74" w:rsidRPr="00091C8C">
        <w:rPr>
          <w:rStyle w:val="FootnoteReference"/>
          <w:rFonts w:ascii="Times New Roman" w:hAnsi="Times New Roman"/>
          <w:sz w:val="24"/>
        </w:rPr>
        <w:footnoteReference w:id="53"/>
      </w:r>
      <w:r w:rsidR="00440B9B" w:rsidRPr="00091C8C">
        <w:rPr>
          <w:rFonts w:ascii="Times New Roman" w:hAnsi="Times New Roman"/>
        </w:rPr>
        <w:t xml:space="preserve"> in respect of</w:t>
      </w:r>
      <w:r w:rsidR="008E485A" w:rsidRPr="00091C8C">
        <w:rPr>
          <w:rFonts w:ascii="Times New Roman" w:hAnsi="Times New Roman"/>
        </w:rPr>
        <w:t xml:space="preserve"> </w:t>
      </w:r>
      <w:r w:rsidR="00211561" w:rsidRPr="00091C8C">
        <w:rPr>
          <w:rFonts w:ascii="Times New Roman" w:hAnsi="Times New Roman"/>
        </w:rPr>
        <w:t xml:space="preserve">the grant of </w:t>
      </w:r>
      <w:r w:rsidR="008E485A" w:rsidRPr="00091C8C">
        <w:rPr>
          <w:rFonts w:ascii="Times New Roman" w:hAnsi="Times New Roman"/>
        </w:rPr>
        <w:t xml:space="preserve">a lease </w:t>
      </w:r>
      <w:r w:rsidR="00641FFA" w:rsidRPr="00091C8C">
        <w:rPr>
          <w:rFonts w:ascii="Times New Roman" w:hAnsi="Times New Roman"/>
        </w:rPr>
        <w:t xml:space="preserve">expressed to </w:t>
      </w:r>
      <w:r w:rsidR="004D19A3" w:rsidRPr="00091C8C">
        <w:rPr>
          <w:rFonts w:ascii="Times New Roman" w:hAnsi="Times New Roman"/>
        </w:rPr>
        <w:t>take effect</w:t>
      </w:r>
      <w:r w:rsidR="00641FFA" w:rsidRPr="00091C8C">
        <w:rPr>
          <w:rFonts w:ascii="Times New Roman" w:hAnsi="Times New Roman"/>
        </w:rPr>
        <w:t xml:space="preserve"> from a </w:t>
      </w:r>
      <w:r w:rsidR="008E485A" w:rsidRPr="00091C8C">
        <w:rPr>
          <w:rFonts w:ascii="Times New Roman" w:hAnsi="Times New Roman"/>
        </w:rPr>
        <w:t>date</w:t>
      </w:r>
      <w:r w:rsidR="00641FFA" w:rsidRPr="00091C8C">
        <w:rPr>
          <w:rFonts w:ascii="Times New Roman" w:hAnsi="Times New Roman"/>
        </w:rPr>
        <w:t xml:space="preserve"> earlier </w:t>
      </w:r>
      <w:r w:rsidR="0027072B" w:rsidRPr="00091C8C">
        <w:rPr>
          <w:rFonts w:ascii="Times New Roman" w:hAnsi="Times New Roman"/>
        </w:rPr>
        <w:t>than</w:t>
      </w:r>
      <w:r w:rsidR="00641FFA" w:rsidRPr="00091C8C">
        <w:rPr>
          <w:rFonts w:ascii="Times New Roman" w:hAnsi="Times New Roman"/>
        </w:rPr>
        <w:t xml:space="preserve"> the date on which </w:t>
      </w:r>
      <w:r w:rsidR="00440B9B" w:rsidRPr="00091C8C">
        <w:rPr>
          <w:rFonts w:ascii="Times New Roman" w:hAnsi="Times New Roman"/>
        </w:rPr>
        <w:t>the lease</w:t>
      </w:r>
      <w:r w:rsidR="00641FFA" w:rsidRPr="00091C8C">
        <w:rPr>
          <w:rFonts w:ascii="Times New Roman" w:hAnsi="Times New Roman"/>
        </w:rPr>
        <w:t xml:space="preserve"> is </w:t>
      </w:r>
      <w:r w:rsidR="00440B9B" w:rsidRPr="00091C8C">
        <w:rPr>
          <w:rFonts w:ascii="Times New Roman" w:hAnsi="Times New Roman"/>
        </w:rPr>
        <w:t xml:space="preserve">in fact </w:t>
      </w:r>
      <w:r w:rsidR="00641FFA" w:rsidRPr="00091C8C">
        <w:rPr>
          <w:rFonts w:ascii="Times New Roman" w:hAnsi="Times New Roman"/>
        </w:rPr>
        <w:t>granted</w:t>
      </w:r>
      <w:r w:rsidR="00436937" w:rsidRPr="00091C8C">
        <w:rPr>
          <w:rFonts w:ascii="Times New Roman" w:hAnsi="Times New Roman"/>
        </w:rPr>
        <w:t xml:space="preserve">: </w:t>
      </w:r>
      <w:r w:rsidR="001F6988" w:rsidRPr="00091C8C">
        <w:rPr>
          <w:rFonts w:ascii="Times New Roman" w:hAnsi="Times New Roman"/>
        </w:rPr>
        <w:t xml:space="preserve">that "[t]he 'term' ... only designates the time </w:t>
      </w:r>
      <w:r w:rsidR="00334622" w:rsidRPr="00091C8C">
        <w:rPr>
          <w:rFonts w:ascii="Times New Roman" w:hAnsi="Times New Roman"/>
        </w:rPr>
        <w:t>for</w:t>
      </w:r>
      <w:r w:rsidR="001F6988" w:rsidRPr="00091C8C">
        <w:rPr>
          <w:rFonts w:ascii="Times New Roman" w:hAnsi="Times New Roman"/>
        </w:rPr>
        <w:t xml:space="preserve"> which it is to run, by way of calculation"</w:t>
      </w:r>
      <w:r w:rsidR="003C7445" w:rsidRPr="00091C8C">
        <w:rPr>
          <w:rStyle w:val="FootnoteReference"/>
          <w:rFonts w:ascii="Times New Roman" w:hAnsi="Times New Roman"/>
          <w:sz w:val="24"/>
        </w:rPr>
        <w:footnoteReference w:id="54"/>
      </w:r>
      <w:r w:rsidR="00587E34" w:rsidRPr="00091C8C">
        <w:rPr>
          <w:rFonts w:ascii="Times New Roman" w:hAnsi="Times New Roman"/>
        </w:rPr>
        <w:t xml:space="preserve"> and that "its operation as a grant [of a</w:t>
      </w:r>
      <w:r w:rsidR="00240C61" w:rsidRPr="00091C8C">
        <w:rPr>
          <w:rFonts w:ascii="Times New Roman" w:hAnsi="Times New Roman"/>
        </w:rPr>
        <w:t>n</w:t>
      </w:r>
      <w:r w:rsidR="00587E34" w:rsidRPr="00091C8C">
        <w:rPr>
          <w:rFonts w:ascii="Times New Roman" w:hAnsi="Times New Roman"/>
        </w:rPr>
        <w:t xml:space="preserve"> interest</w:t>
      </w:r>
      <w:r w:rsidR="00240C61" w:rsidRPr="00091C8C">
        <w:rPr>
          <w:rFonts w:ascii="Times New Roman" w:hAnsi="Times New Roman"/>
        </w:rPr>
        <w:t xml:space="preserve"> in property</w:t>
      </w:r>
      <w:r w:rsidR="00587E34" w:rsidRPr="00091C8C">
        <w:rPr>
          <w:rFonts w:ascii="Times New Roman" w:hAnsi="Times New Roman"/>
        </w:rPr>
        <w:t>] is merely prospective"</w:t>
      </w:r>
      <w:r w:rsidR="00587E34" w:rsidRPr="00091C8C">
        <w:rPr>
          <w:rStyle w:val="FootnoteReference"/>
          <w:rFonts w:ascii="Times New Roman" w:hAnsi="Times New Roman"/>
          <w:sz w:val="24"/>
        </w:rPr>
        <w:footnoteReference w:id="55"/>
      </w:r>
      <w:r w:rsidR="00587E34" w:rsidRPr="00091C8C">
        <w:rPr>
          <w:rFonts w:ascii="Times New Roman" w:hAnsi="Times New Roman"/>
        </w:rPr>
        <w:t>. The</w:t>
      </w:r>
      <w:r w:rsidR="00641FFA" w:rsidRPr="00091C8C">
        <w:rPr>
          <w:rFonts w:ascii="Times New Roman" w:hAnsi="Times New Roman"/>
        </w:rPr>
        <w:t xml:space="preserve"> </w:t>
      </w:r>
      <w:r w:rsidR="00854C29" w:rsidRPr="00091C8C">
        <w:rPr>
          <w:rFonts w:ascii="Times New Roman" w:hAnsi="Times New Roman"/>
        </w:rPr>
        <w:t xml:space="preserve">date </w:t>
      </w:r>
      <w:r w:rsidR="00A6316F" w:rsidRPr="00091C8C">
        <w:rPr>
          <w:rFonts w:ascii="Times New Roman" w:hAnsi="Times New Roman"/>
        </w:rPr>
        <w:t xml:space="preserve">of expiration </w:t>
      </w:r>
      <w:r w:rsidR="00A6316F" w:rsidRPr="00091C8C">
        <w:rPr>
          <w:rFonts w:ascii="Times New Roman" w:hAnsi="Times New Roman"/>
        </w:rPr>
        <w:lastRenderedPageBreak/>
        <w:t xml:space="preserve">of the term of the original </w:t>
      </w:r>
      <w:r w:rsidR="00707F74" w:rsidRPr="00091C8C">
        <w:rPr>
          <w:rFonts w:ascii="Times New Roman" w:hAnsi="Times New Roman"/>
        </w:rPr>
        <w:t xml:space="preserve">grant can </w:t>
      </w:r>
      <w:r w:rsidR="00D81724" w:rsidRPr="00091C8C">
        <w:rPr>
          <w:rFonts w:ascii="Times New Roman" w:hAnsi="Times New Roman"/>
        </w:rPr>
        <w:t xml:space="preserve">be </w:t>
      </w:r>
      <w:r w:rsidR="00FB6CEE" w:rsidRPr="00091C8C">
        <w:rPr>
          <w:rFonts w:ascii="Times New Roman" w:hAnsi="Times New Roman"/>
        </w:rPr>
        <w:t>understood</w:t>
      </w:r>
      <w:r w:rsidR="00483C56" w:rsidRPr="00091C8C">
        <w:rPr>
          <w:rFonts w:ascii="Times New Roman" w:hAnsi="Times New Roman"/>
        </w:rPr>
        <w:t xml:space="preserve"> as marking the commencement of the extension </w:t>
      </w:r>
      <w:r w:rsidR="00EA7F07" w:rsidRPr="00091C8C">
        <w:rPr>
          <w:rFonts w:ascii="Times New Roman" w:hAnsi="Times New Roman"/>
        </w:rPr>
        <w:t xml:space="preserve">the </w:t>
      </w:r>
      <w:r w:rsidR="00483C56" w:rsidRPr="00091C8C">
        <w:rPr>
          <w:rFonts w:ascii="Times New Roman" w:hAnsi="Times New Roman"/>
        </w:rPr>
        <w:t xml:space="preserve">duration of </w:t>
      </w:r>
      <w:r w:rsidR="007A6629" w:rsidRPr="00091C8C">
        <w:rPr>
          <w:rFonts w:ascii="Times New Roman" w:hAnsi="Times New Roman"/>
        </w:rPr>
        <w:t xml:space="preserve">which is </w:t>
      </w:r>
      <w:r w:rsidR="00890042" w:rsidRPr="00091C8C">
        <w:rPr>
          <w:rFonts w:ascii="Times New Roman" w:hAnsi="Times New Roman"/>
        </w:rPr>
        <w:t>calculated in accordance with s</w:t>
      </w:r>
      <w:r w:rsidR="002255EF" w:rsidRPr="00091C8C">
        <w:rPr>
          <w:rFonts w:ascii="Times New Roman" w:hAnsi="Times New Roman"/>
        </w:rPr>
        <w:t> </w:t>
      </w:r>
      <w:r w:rsidR="00890042" w:rsidRPr="00091C8C">
        <w:rPr>
          <w:rFonts w:ascii="Times New Roman" w:hAnsi="Times New Roman"/>
        </w:rPr>
        <w:t>77</w:t>
      </w:r>
      <w:r w:rsidR="0049041B" w:rsidRPr="00091C8C">
        <w:rPr>
          <w:rFonts w:ascii="Times New Roman" w:hAnsi="Times New Roman"/>
        </w:rPr>
        <w:t>. The</w:t>
      </w:r>
      <w:r w:rsidR="006C3267" w:rsidRPr="00091C8C">
        <w:rPr>
          <w:rFonts w:ascii="Times New Roman" w:hAnsi="Times New Roman"/>
        </w:rPr>
        <w:t xml:space="preserve"> </w:t>
      </w:r>
      <w:r w:rsidR="00D74C57" w:rsidRPr="00091C8C">
        <w:rPr>
          <w:rFonts w:ascii="Times New Roman" w:hAnsi="Times New Roman"/>
        </w:rPr>
        <w:t xml:space="preserve">grant of further </w:t>
      </w:r>
      <w:r w:rsidR="00A0434B" w:rsidRPr="00091C8C">
        <w:rPr>
          <w:rFonts w:ascii="Times New Roman" w:hAnsi="Times New Roman"/>
        </w:rPr>
        <w:t xml:space="preserve">exclusive rights to exploit the invention </w:t>
      </w:r>
      <w:r w:rsidR="00737ED7" w:rsidRPr="00091C8C">
        <w:rPr>
          <w:rFonts w:ascii="Times New Roman" w:hAnsi="Times New Roman"/>
        </w:rPr>
        <w:t xml:space="preserve">is </w:t>
      </w:r>
      <w:r w:rsidR="00DD085C" w:rsidRPr="00091C8C">
        <w:rPr>
          <w:rFonts w:ascii="Times New Roman" w:hAnsi="Times New Roman"/>
        </w:rPr>
        <w:t xml:space="preserve">prospective only from the date </w:t>
      </w:r>
      <w:r w:rsidR="0014482B" w:rsidRPr="00091C8C">
        <w:rPr>
          <w:rFonts w:ascii="Times New Roman" w:hAnsi="Times New Roman"/>
        </w:rPr>
        <w:t>that</w:t>
      </w:r>
      <w:r w:rsidR="00DD085C" w:rsidRPr="00091C8C">
        <w:rPr>
          <w:rFonts w:ascii="Times New Roman" w:hAnsi="Times New Roman"/>
        </w:rPr>
        <w:t xml:space="preserve"> the grant </w:t>
      </w:r>
      <w:r w:rsidR="0014482B" w:rsidRPr="00091C8C">
        <w:rPr>
          <w:rFonts w:ascii="Times New Roman" w:hAnsi="Times New Roman"/>
        </w:rPr>
        <w:t xml:space="preserve">is in fact made </w:t>
      </w:r>
      <w:r w:rsidR="00DD085C" w:rsidRPr="00091C8C">
        <w:rPr>
          <w:rFonts w:ascii="Times New Roman" w:hAnsi="Times New Roman"/>
        </w:rPr>
        <w:t>under s</w:t>
      </w:r>
      <w:r w:rsidR="002255EF" w:rsidRPr="00091C8C">
        <w:rPr>
          <w:rFonts w:ascii="Times New Roman" w:hAnsi="Times New Roman"/>
        </w:rPr>
        <w:t> </w:t>
      </w:r>
      <w:r w:rsidR="00DD085C" w:rsidRPr="00091C8C">
        <w:rPr>
          <w:rFonts w:ascii="Times New Roman" w:hAnsi="Times New Roman"/>
        </w:rPr>
        <w:t>76.</w:t>
      </w:r>
      <w:r w:rsidR="00D53CE3" w:rsidRPr="00091C8C">
        <w:rPr>
          <w:rFonts w:ascii="Times New Roman" w:hAnsi="Times New Roman"/>
        </w:rPr>
        <w:t xml:space="preserve"> </w:t>
      </w:r>
    </w:p>
    <w:p w14:paraId="17226617" w14:textId="4FB3605A" w:rsidR="00666E90" w:rsidRPr="00091C8C" w:rsidRDefault="00127B46" w:rsidP="00091C8C">
      <w:pPr>
        <w:pStyle w:val="FixListStyle"/>
        <w:spacing w:after="260" w:line="280" w:lineRule="exact"/>
        <w:ind w:right="0"/>
        <w:jc w:val="both"/>
        <w:rPr>
          <w:rFonts w:ascii="Times New Roman" w:hAnsi="Times New Roman"/>
        </w:rPr>
      </w:pPr>
      <w:r w:rsidRPr="00091C8C">
        <w:rPr>
          <w:rFonts w:ascii="Times New Roman" w:hAnsi="Times New Roman"/>
        </w:rPr>
        <w:tab/>
      </w:r>
      <w:r w:rsidR="00DD085C" w:rsidRPr="00091C8C">
        <w:rPr>
          <w:rFonts w:ascii="Times New Roman" w:hAnsi="Times New Roman"/>
        </w:rPr>
        <w:t>Legislative h</w:t>
      </w:r>
      <w:r w:rsidRPr="00091C8C">
        <w:rPr>
          <w:rFonts w:ascii="Times New Roman" w:hAnsi="Times New Roman"/>
        </w:rPr>
        <w:t xml:space="preserve">istory </w:t>
      </w:r>
      <w:r w:rsidR="006B20A0" w:rsidRPr="00091C8C">
        <w:rPr>
          <w:rFonts w:ascii="Times New Roman" w:hAnsi="Times New Roman"/>
        </w:rPr>
        <w:t>supports th</w:t>
      </w:r>
      <w:r w:rsidR="000F3D8E" w:rsidRPr="00091C8C">
        <w:rPr>
          <w:rFonts w:ascii="Times New Roman" w:hAnsi="Times New Roman"/>
        </w:rPr>
        <w:t>at</w:t>
      </w:r>
      <w:r w:rsidR="001E3D2A" w:rsidRPr="00091C8C">
        <w:rPr>
          <w:rFonts w:ascii="Times New Roman" w:hAnsi="Times New Roman"/>
        </w:rPr>
        <w:t xml:space="preserve"> understanding</w:t>
      </w:r>
      <w:r w:rsidR="0057167F" w:rsidRPr="00091C8C">
        <w:rPr>
          <w:rFonts w:ascii="Times New Roman" w:hAnsi="Times New Roman"/>
        </w:rPr>
        <w:t xml:space="preserve"> of </w:t>
      </w:r>
      <w:r w:rsidR="001A3113" w:rsidRPr="00091C8C">
        <w:rPr>
          <w:rFonts w:ascii="Times New Roman" w:hAnsi="Times New Roman"/>
        </w:rPr>
        <w:t xml:space="preserve">an exercise </w:t>
      </w:r>
      <w:r w:rsidR="006C15CC" w:rsidRPr="00091C8C">
        <w:rPr>
          <w:rFonts w:ascii="Times New Roman" w:hAnsi="Times New Roman"/>
        </w:rPr>
        <w:t xml:space="preserve">of the power conferred by </w:t>
      </w:r>
      <w:r w:rsidR="00744899" w:rsidRPr="00091C8C">
        <w:rPr>
          <w:rFonts w:ascii="Times New Roman" w:hAnsi="Times New Roman"/>
        </w:rPr>
        <w:t>s</w:t>
      </w:r>
      <w:r w:rsidR="002255EF" w:rsidRPr="00091C8C">
        <w:rPr>
          <w:rFonts w:ascii="Times New Roman" w:hAnsi="Times New Roman"/>
        </w:rPr>
        <w:t> </w:t>
      </w:r>
      <w:r w:rsidR="00744899" w:rsidRPr="00091C8C">
        <w:rPr>
          <w:rFonts w:ascii="Times New Roman" w:hAnsi="Times New Roman"/>
        </w:rPr>
        <w:t>76</w:t>
      </w:r>
      <w:r w:rsidR="00B24F5B" w:rsidRPr="00091C8C">
        <w:rPr>
          <w:rFonts w:ascii="Times New Roman" w:hAnsi="Times New Roman"/>
        </w:rPr>
        <w:t xml:space="preserve"> operating to give to the patentee further exclusive rights to exploit the invention </w:t>
      </w:r>
      <w:r w:rsidR="00C41E1C" w:rsidRPr="00091C8C">
        <w:rPr>
          <w:rFonts w:ascii="Times New Roman" w:hAnsi="Times New Roman"/>
        </w:rPr>
        <w:t>only during the p</w:t>
      </w:r>
      <w:r w:rsidR="00A55658" w:rsidRPr="00091C8C">
        <w:rPr>
          <w:rFonts w:ascii="Times New Roman" w:hAnsi="Times New Roman"/>
        </w:rPr>
        <w:t xml:space="preserve">eriod (if any) from the date of the grant of the </w:t>
      </w:r>
      <w:r w:rsidR="00666E90" w:rsidRPr="00091C8C">
        <w:rPr>
          <w:rFonts w:ascii="Times New Roman" w:hAnsi="Times New Roman"/>
        </w:rPr>
        <w:t>extension to the date of the expiration of the term of the extension calculated in accordance with s</w:t>
      </w:r>
      <w:r w:rsidR="001E4D81" w:rsidRPr="00091C8C">
        <w:rPr>
          <w:rFonts w:ascii="Times New Roman" w:hAnsi="Times New Roman"/>
        </w:rPr>
        <w:t> </w:t>
      </w:r>
      <w:r w:rsidR="00666E90" w:rsidRPr="00091C8C">
        <w:rPr>
          <w:rFonts w:ascii="Times New Roman" w:hAnsi="Times New Roman"/>
        </w:rPr>
        <w:t>77</w:t>
      </w:r>
      <w:r w:rsidR="007D6D8F" w:rsidRPr="00091C8C">
        <w:rPr>
          <w:rFonts w:ascii="Times New Roman" w:hAnsi="Times New Roman"/>
        </w:rPr>
        <w:t>.</w:t>
      </w:r>
      <w:r w:rsidR="000328BB" w:rsidRPr="00091C8C">
        <w:rPr>
          <w:rFonts w:ascii="Times New Roman" w:hAnsi="Times New Roman"/>
        </w:rPr>
        <w:t xml:space="preserve"> </w:t>
      </w:r>
    </w:p>
    <w:p w14:paraId="01BA563B" w14:textId="7AE8B4CC" w:rsidR="00666E90" w:rsidRPr="00091C8C" w:rsidRDefault="00EC677D" w:rsidP="00091C8C">
      <w:pPr>
        <w:pStyle w:val="FixListStyle"/>
        <w:spacing w:after="260" w:line="280" w:lineRule="exact"/>
        <w:ind w:right="0"/>
        <w:jc w:val="both"/>
        <w:rPr>
          <w:rFonts w:ascii="Times New Roman" w:hAnsi="Times New Roman"/>
        </w:rPr>
      </w:pPr>
      <w:r w:rsidRPr="00091C8C">
        <w:rPr>
          <w:rFonts w:ascii="Times New Roman" w:hAnsi="Times New Roman"/>
        </w:rPr>
        <w:tab/>
      </w:r>
      <w:r w:rsidR="000328BB" w:rsidRPr="00091C8C">
        <w:rPr>
          <w:rFonts w:ascii="Times New Roman" w:hAnsi="Times New Roman"/>
        </w:rPr>
        <w:t xml:space="preserve">Under </w:t>
      </w:r>
      <w:r w:rsidR="00F61A3C" w:rsidRPr="00091C8C">
        <w:rPr>
          <w:rFonts w:ascii="Times New Roman" w:hAnsi="Times New Roman"/>
        </w:rPr>
        <w:t>s</w:t>
      </w:r>
      <w:r w:rsidR="00924CCB" w:rsidRPr="00091C8C">
        <w:rPr>
          <w:rFonts w:ascii="Times New Roman" w:hAnsi="Times New Roman"/>
        </w:rPr>
        <w:t> </w:t>
      </w:r>
      <w:r w:rsidR="00F61A3C" w:rsidRPr="00091C8C">
        <w:rPr>
          <w:rFonts w:ascii="Times New Roman" w:hAnsi="Times New Roman"/>
        </w:rPr>
        <w:t>8</w:t>
      </w:r>
      <w:r w:rsidR="0030033F" w:rsidRPr="00091C8C">
        <w:rPr>
          <w:rFonts w:ascii="Times New Roman" w:hAnsi="Times New Roman"/>
        </w:rPr>
        <w:t>4</w:t>
      </w:r>
      <w:r w:rsidR="00F61A3C" w:rsidRPr="00091C8C">
        <w:rPr>
          <w:rFonts w:ascii="Times New Roman" w:hAnsi="Times New Roman"/>
        </w:rPr>
        <w:t>(</w:t>
      </w:r>
      <w:r w:rsidR="009D3DCD" w:rsidRPr="00091C8C">
        <w:rPr>
          <w:rFonts w:ascii="Times New Roman" w:hAnsi="Times New Roman"/>
        </w:rPr>
        <w:t>5</w:t>
      </w:r>
      <w:r w:rsidR="00F61A3C" w:rsidRPr="00091C8C">
        <w:rPr>
          <w:rFonts w:ascii="Times New Roman" w:hAnsi="Times New Roman"/>
        </w:rPr>
        <w:t xml:space="preserve">) of </w:t>
      </w:r>
      <w:r w:rsidR="000328BB" w:rsidRPr="00091C8C">
        <w:rPr>
          <w:rFonts w:ascii="Times New Roman" w:hAnsi="Times New Roman"/>
        </w:rPr>
        <w:t xml:space="preserve">the </w:t>
      </w:r>
      <w:r w:rsidR="000328BB" w:rsidRPr="00091C8C">
        <w:rPr>
          <w:rFonts w:ascii="Times New Roman" w:hAnsi="Times New Roman"/>
          <w:i/>
        </w:rPr>
        <w:t>Patents Act 1903</w:t>
      </w:r>
      <w:r w:rsidR="000328BB" w:rsidRPr="00091C8C">
        <w:rPr>
          <w:rFonts w:ascii="Times New Roman" w:hAnsi="Times New Roman"/>
        </w:rPr>
        <w:t xml:space="preserve"> (Cth), a</w:t>
      </w:r>
      <w:r w:rsidR="00DA0E7C" w:rsidRPr="00091C8C">
        <w:rPr>
          <w:rFonts w:ascii="Times New Roman" w:hAnsi="Times New Roman"/>
        </w:rPr>
        <w:t>nd</w:t>
      </w:r>
      <w:r w:rsidR="000328BB" w:rsidRPr="00091C8C">
        <w:rPr>
          <w:rFonts w:ascii="Times New Roman" w:hAnsi="Times New Roman"/>
        </w:rPr>
        <w:t xml:space="preserve"> under </w:t>
      </w:r>
      <w:r w:rsidR="00F61A3C" w:rsidRPr="00091C8C">
        <w:rPr>
          <w:rFonts w:ascii="Times New Roman" w:hAnsi="Times New Roman"/>
        </w:rPr>
        <w:t>s</w:t>
      </w:r>
      <w:r w:rsidR="007E0CE3" w:rsidRPr="00091C8C">
        <w:rPr>
          <w:rFonts w:ascii="Times New Roman" w:hAnsi="Times New Roman"/>
        </w:rPr>
        <w:t> </w:t>
      </w:r>
      <w:r w:rsidR="00F61A3C" w:rsidRPr="00091C8C">
        <w:rPr>
          <w:rFonts w:ascii="Times New Roman" w:hAnsi="Times New Roman"/>
        </w:rPr>
        <w:t xml:space="preserve">94(1) of </w:t>
      </w:r>
      <w:r w:rsidR="000328BB" w:rsidRPr="00091C8C">
        <w:rPr>
          <w:rFonts w:ascii="Times New Roman" w:hAnsi="Times New Roman"/>
        </w:rPr>
        <w:t>the</w:t>
      </w:r>
      <w:r w:rsidR="00BC5984" w:rsidRPr="00091C8C">
        <w:rPr>
          <w:rFonts w:ascii="Times New Roman" w:hAnsi="Times New Roman"/>
        </w:rPr>
        <w:t xml:space="preserve"> </w:t>
      </w:r>
      <w:r w:rsidR="007D12CB" w:rsidRPr="00091C8C">
        <w:rPr>
          <w:rFonts w:ascii="Times New Roman" w:hAnsi="Times New Roman"/>
        </w:rPr>
        <w:t>1952 Act</w:t>
      </w:r>
      <w:r w:rsidR="00BC5984" w:rsidRPr="00091C8C">
        <w:rPr>
          <w:rFonts w:ascii="Times New Roman" w:hAnsi="Times New Roman"/>
          <w:i/>
        </w:rPr>
        <w:t xml:space="preserve"> </w:t>
      </w:r>
      <w:r w:rsidR="00BC5984" w:rsidRPr="00091C8C">
        <w:rPr>
          <w:rFonts w:ascii="Times New Roman" w:hAnsi="Times New Roman"/>
        </w:rPr>
        <w:t>until</w:t>
      </w:r>
      <w:r w:rsidR="00F60837" w:rsidRPr="00091C8C">
        <w:rPr>
          <w:rFonts w:ascii="Times New Roman" w:hAnsi="Times New Roman"/>
        </w:rPr>
        <w:t xml:space="preserve"> </w:t>
      </w:r>
      <w:r w:rsidR="008962ED" w:rsidRPr="00091C8C">
        <w:rPr>
          <w:rFonts w:ascii="Times New Roman" w:hAnsi="Times New Roman"/>
        </w:rPr>
        <w:t xml:space="preserve">the </w:t>
      </w:r>
      <w:r w:rsidR="00F60837" w:rsidRPr="00091C8C">
        <w:rPr>
          <w:rFonts w:ascii="Times New Roman" w:hAnsi="Times New Roman"/>
        </w:rPr>
        <w:t>1</w:t>
      </w:r>
      <w:r w:rsidR="00CA3523" w:rsidRPr="00091C8C">
        <w:rPr>
          <w:rFonts w:ascii="Times New Roman" w:hAnsi="Times New Roman"/>
        </w:rPr>
        <w:t>989</w:t>
      </w:r>
      <w:r w:rsidR="008962ED" w:rsidRPr="00091C8C">
        <w:rPr>
          <w:rFonts w:ascii="Times New Roman" w:hAnsi="Times New Roman"/>
        </w:rPr>
        <w:t xml:space="preserve"> A</w:t>
      </w:r>
      <w:r w:rsidR="00135652" w:rsidRPr="00091C8C">
        <w:rPr>
          <w:rFonts w:ascii="Times New Roman" w:hAnsi="Times New Roman"/>
        </w:rPr>
        <w:t>ct</w:t>
      </w:r>
      <w:r w:rsidR="00CA3523" w:rsidRPr="00091C8C">
        <w:rPr>
          <w:rFonts w:ascii="Times New Roman" w:hAnsi="Times New Roman"/>
        </w:rPr>
        <w:t>,</w:t>
      </w:r>
      <w:r w:rsidR="004925F6" w:rsidRPr="00091C8C">
        <w:rPr>
          <w:rFonts w:ascii="Times New Roman" w:hAnsi="Times New Roman"/>
        </w:rPr>
        <w:t xml:space="preserve"> </w:t>
      </w:r>
      <w:r w:rsidR="00E16C9D" w:rsidRPr="00091C8C">
        <w:rPr>
          <w:rFonts w:ascii="Times New Roman" w:hAnsi="Times New Roman"/>
        </w:rPr>
        <w:t>power</w:t>
      </w:r>
      <w:r w:rsidR="00651841" w:rsidRPr="00091C8C">
        <w:rPr>
          <w:rFonts w:ascii="Times New Roman" w:hAnsi="Times New Roman"/>
        </w:rPr>
        <w:t xml:space="preserve"> </w:t>
      </w:r>
      <w:r w:rsidR="0075412E" w:rsidRPr="00091C8C">
        <w:rPr>
          <w:rFonts w:ascii="Times New Roman" w:hAnsi="Times New Roman"/>
        </w:rPr>
        <w:t xml:space="preserve">was conferred on </w:t>
      </w:r>
      <w:r w:rsidR="00745097" w:rsidRPr="00091C8C">
        <w:rPr>
          <w:rFonts w:ascii="Times New Roman" w:hAnsi="Times New Roman"/>
        </w:rPr>
        <w:t>a court</w:t>
      </w:r>
      <w:r w:rsidR="003424EF" w:rsidRPr="00091C8C">
        <w:rPr>
          <w:rFonts w:ascii="Times New Roman" w:hAnsi="Times New Roman"/>
        </w:rPr>
        <w:t xml:space="preserve"> </w:t>
      </w:r>
      <w:r w:rsidR="004849B5" w:rsidRPr="00091C8C">
        <w:rPr>
          <w:rFonts w:ascii="Times New Roman" w:hAnsi="Times New Roman"/>
        </w:rPr>
        <w:t>either</w:t>
      </w:r>
      <w:r w:rsidR="0075412E" w:rsidRPr="00091C8C">
        <w:rPr>
          <w:rFonts w:ascii="Times New Roman" w:hAnsi="Times New Roman"/>
        </w:rPr>
        <w:t xml:space="preserve"> </w:t>
      </w:r>
      <w:r w:rsidR="00651841" w:rsidRPr="00091C8C">
        <w:rPr>
          <w:rFonts w:ascii="Times New Roman" w:hAnsi="Times New Roman"/>
        </w:rPr>
        <w:t>to order</w:t>
      </w:r>
      <w:r w:rsidR="00707D73" w:rsidRPr="00091C8C">
        <w:rPr>
          <w:rFonts w:ascii="Times New Roman" w:hAnsi="Times New Roman"/>
        </w:rPr>
        <w:t xml:space="preserve"> </w:t>
      </w:r>
      <w:r w:rsidR="00651841" w:rsidRPr="00091C8C">
        <w:rPr>
          <w:rFonts w:ascii="Times New Roman" w:hAnsi="Times New Roman"/>
        </w:rPr>
        <w:t xml:space="preserve">an extension of the term of </w:t>
      </w:r>
      <w:r w:rsidR="00666E90" w:rsidRPr="00091C8C">
        <w:rPr>
          <w:rFonts w:ascii="Times New Roman" w:hAnsi="Times New Roman"/>
        </w:rPr>
        <w:t xml:space="preserve">any </w:t>
      </w:r>
      <w:r w:rsidR="00651841" w:rsidRPr="00091C8C">
        <w:rPr>
          <w:rFonts w:ascii="Times New Roman" w:hAnsi="Times New Roman"/>
        </w:rPr>
        <w:t xml:space="preserve">patent or </w:t>
      </w:r>
      <w:r w:rsidR="00215923" w:rsidRPr="00091C8C">
        <w:rPr>
          <w:rFonts w:ascii="Times New Roman" w:hAnsi="Times New Roman"/>
        </w:rPr>
        <w:t xml:space="preserve">to order </w:t>
      </w:r>
      <w:r w:rsidR="00031DDB" w:rsidRPr="00091C8C">
        <w:rPr>
          <w:rFonts w:ascii="Times New Roman" w:hAnsi="Times New Roman"/>
        </w:rPr>
        <w:t xml:space="preserve">the </w:t>
      </w:r>
      <w:r w:rsidR="00FA4823" w:rsidRPr="00091C8C">
        <w:rPr>
          <w:rFonts w:ascii="Times New Roman" w:hAnsi="Times New Roman"/>
        </w:rPr>
        <w:t>grant of a new patent.</w:t>
      </w:r>
      <w:r w:rsidR="004925F6" w:rsidRPr="00091C8C">
        <w:rPr>
          <w:rFonts w:ascii="Times New Roman" w:hAnsi="Times New Roman"/>
        </w:rPr>
        <w:t xml:space="preserve"> </w:t>
      </w:r>
      <w:r w:rsidR="003424EF" w:rsidRPr="00091C8C">
        <w:rPr>
          <w:rFonts w:ascii="Times New Roman" w:hAnsi="Times New Roman"/>
        </w:rPr>
        <w:t xml:space="preserve">The power was exercisable where the </w:t>
      </w:r>
      <w:r w:rsidR="008F5327" w:rsidRPr="00091C8C">
        <w:rPr>
          <w:rFonts w:ascii="Times New Roman" w:hAnsi="Times New Roman"/>
        </w:rPr>
        <w:t>c</w:t>
      </w:r>
      <w:r w:rsidR="000D5AEB" w:rsidRPr="00091C8C">
        <w:rPr>
          <w:rFonts w:ascii="Times New Roman" w:hAnsi="Times New Roman"/>
        </w:rPr>
        <w:t>ourt</w:t>
      </w:r>
      <w:r w:rsidR="003424EF" w:rsidRPr="00091C8C">
        <w:rPr>
          <w:rFonts w:ascii="Times New Roman" w:hAnsi="Times New Roman"/>
        </w:rPr>
        <w:t xml:space="preserve"> was of the opinion that the patentee had been inadequately remunerated by </w:t>
      </w:r>
      <w:r w:rsidR="000D5AEB" w:rsidRPr="00091C8C">
        <w:rPr>
          <w:rFonts w:ascii="Times New Roman" w:hAnsi="Times New Roman"/>
        </w:rPr>
        <w:t>the</w:t>
      </w:r>
      <w:r w:rsidR="003424EF" w:rsidRPr="00091C8C">
        <w:rPr>
          <w:rFonts w:ascii="Times New Roman" w:hAnsi="Times New Roman"/>
        </w:rPr>
        <w:t xml:space="preserve"> patent</w:t>
      </w:r>
      <w:r w:rsidR="000D5AEB" w:rsidRPr="00091C8C">
        <w:rPr>
          <w:rFonts w:ascii="Times New Roman" w:hAnsi="Times New Roman"/>
        </w:rPr>
        <w:t xml:space="preserve">. </w:t>
      </w:r>
      <w:r w:rsidR="00974147" w:rsidRPr="00091C8C">
        <w:rPr>
          <w:rFonts w:ascii="Times New Roman" w:hAnsi="Times New Roman"/>
        </w:rPr>
        <w:t>An</w:t>
      </w:r>
      <w:r w:rsidR="00837731" w:rsidRPr="00091C8C">
        <w:rPr>
          <w:rFonts w:ascii="Times New Roman" w:hAnsi="Times New Roman"/>
        </w:rPr>
        <w:t xml:space="preserve"> </w:t>
      </w:r>
      <w:r w:rsidR="001B6534" w:rsidRPr="00091C8C">
        <w:rPr>
          <w:rFonts w:ascii="Times New Roman" w:hAnsi="Times New Roman"/>
        </w:rPr>
        <w:t xml:space="preserve">extension of the term of </w:t>
      </w:r>
      <w:r w:rsidR="00532AA5" w:rsidRPr="00091C8C">
        <w:rPr>
          <w:rFonts w:ascii="Times New Roman" w:hAnsi="Times New Roman"/>
        </w:rPr>
        <w:t>a</w:t>
      </w:r>
      <w:r w:rsidR="001B6534" w:rsidRPr="00091C8C">
        <w:rPr>
          <w:rFonts w:ascii="Times New Roman" w:hAnsi="Times New Roman"/>
        </w:rPr>
        <w:t xml:space="preserve"> patent </w:t>
      </w:r>
      <w:r w:rsidR="00C045D2" w:rsidRPr="00091C8C">
        <w:rPr>
          <w:rFonts w:ascii="Times New Roman" w:hAnsi="Times New Roman"/>
        </w:rPr>
        <w:t>and</w:t>
      </w:r>
      <w:r w:rsidR="001B6534" w:rsidRPr="00091C8C">
        <w:rPr>
          <w:rFonts w:ascii="Times New Roman" w:hAnsi="Times New Roman"/>
        </w:rPr>
        <w:t xml:space="preserve"> the grant of a new patent </w:t>
      </w:r>
      <w:r w:rsidR="0035151A" w:rsidRPr="00091C8C">
        <w:rPr>
          <w:rFonts w:ascii="Times New Roman" w:hAnsi="Times New Roman"/>
        </w:rPr>
        <w:t xml:space="preserve">were </w:t>
      </w:r>
      <w:r w:rsidR="00701A66" w:rsidRPr="00091C8C">
        <w:rPr>
          <w:rFonts w:ascii="Times New Roman" w:hAnsi="Times New Roman"/>
        </w:rPr>
        <w:t>each</w:t>
      </w:r>
      <w:r w:rsidR="00532AA5" w:rsidRPr="00091C8C">
        <w:rPr>
          <w:rFonts w:ascii="Times New Roman" w:hAnsi="Times New Roman"/>
        </w:rPr>
        <w:t xml:space="preserve"> </w:t>
      </w:r>
      <w:r w:rsidR="0035151A" w:rsidRPr="00091C8C">
        <w:rPr>
          <w:rFonts w:ascii="Times New Roman" w:hAnsi="Times New Roman"/>
        </w:rPr>
        <w:t xml:space="preserve">understood to be </w:t>
      </w:r>
      <w:r w:rsidR="000119BD" w:rsidRPr="00091C8C">
        <w:rPr>
          <w:rFonts w:ascii="Times New Roman" w:hAnsi="Times New Roman"/>
        </w:rPr>
        <w:t>a "graft</w:t>
      </w:r>
      <w:r w:rsidR="00701A66" w:rsidRPr="00091C8C">
        <w:rPr>
          <w:rFonts w:ascii="Times New Roman" w:hAnsi="Times New Roman"/>
        </w:rPr>
        <w:t>"</w:t>
      </w:r>
      <w:r w:rsidR="000119BD" w:rsidRPr="00091C8C">
        <w:rPr>
          <w:rFonts w:ascii="Times New Roman" w:hAnsi="Times New Roman"/>
        </w:rPr>
        <w:t xml:space="preserve"> on</w:t>
      </w:r>
      <w:r w:rsidR="00701A66" w:rsidRPr="00091C8C">
        <w:rPr>
          <w:rFonts w:ascii="Times New Roman" w:hAnsi="Times New Roman"/>
        </w:rPr>
        <w:t>to</w:t>
      </w:r>
      <w:r w:rsidR="000119BD" w:rsidRPr="00091C8C">
        <w:rPr>
          <w:rFonts w:ascii="Times New Roman" w:hAnsi="Times New Roman"/>
        </w:rPr>
        <w:t xml:space="preserve"> the original grant </w:t>
      </w:r>
      <w:r w:rsidR="002D4334" w:rsidRPr="00091C8C">
        <w:rPr>
          <w:rFonts w:ascii="Times New Roman" w:hAnsi="Times New Roman"/>
        </w:rPr>
        <w:t>so as</w:t>
      </w:r>
      <w:r w:rsidR="000119BD" w:rsidRPr="00091C8C">
        <w:rPr>
          <w:rFonts w:ascii="Times New Roman" w:hAnsi="Times New Roman"/>
        </w:rPr>
        <w:t xml:space="preserve"> to have "no existence </w:t>
      </w:r>
      <w:r w:rsidR="00EE1C49" w:rsidRPr="00091C8C">
        <w:rPr>
          <w:rFonts w:ascii="Times New Roman" w:hAnsi="Times New Roman"/>
        </w:rPr>
        <w:t>apart from the parent grant"</w:t>
      </w:r>
      <w:r w:rsidR="00EE1C49" w:rsidRPr="00091C8C">
        <w:rPr>
          <w:rStyle w:val="FootnoteReference"/>
          <w:rFonts w:ascii="Times New Roman" w:hAnsi="Times New Roman"/>
          <w:sz w:val="24"/>
        </w:rPr>
        <w:footnoteReference w:id="56"/>
      </w:r>
      <w:r w:rsidR="00EE1C49" w:rsidRPr="00091C8C">
        <w:rPr>
          <w:rFonts w:ascii="Times New Roman" w:hAnsi="Times New Roman"/>
        </w:rPr>
        <w:t>.</w:t>
      </w:r>
    </w:p>
    <w:p w14:paraId="46259958" w14:textId="7244053A" w:rsidR="004013D1" w:rsidRPr="00091C8C" w:rsidRDefault="006F7E77" w:rsidP="00091C8C">
      <w:pPr>
        <w:pStyle w:val="FixListStyle"/>
        <w:spacing w:after="260" w:line="280" w:lineRule="exact"/>
        <w:ind w:right="0"/>
        <w:jc w:val="both"/>
        <w:rPr>
          <w:rFonts w:ascii="Times New Roman" w:hAnsi="Times New Roman"/>
        </w:rPr>
      </w:pPr>
      <w:r w:rsidRPr="00091C8C">
        <w:rPr>
          <w:rFonts w:ascii="Times New Roman" w:hAnsi="Times New Roman"/>
        </w:rPr>
        <w:tab/>
      </w:r>
      <w:r w:rsidR="00ED26FC" w:rsidRPr="00091C8C">
        <w:rPr>
          <w:rFonts w:ascii="Times New Roman" w:hAnsi="Times New Roman"/>
        </w:rPr>
        <w:t xml:space="preserve">Where the order </w:t>
      </w:r>
      <w:r w:rsidR="00666E90" w:rsidRPr="00091C8C">
        <w:rPr>
          <w:rFonts w:ascii="Times New Roman" w:hAnsi="Times New Roman"/>
        </w:rPr>
        <w:t xml:space="preserve">of the court </w:t>
      </w:r>
      <w:r w:rsidR="00ED26FC" w:rsidRPr="00091C8C">
        <w:rPr>
          <w:rFonts w:ascii="Times New Roman" w:hAnsi="Times New Roman"/>
        </w:rPr>
        <w:t>was made before the expiration of the original term, t</w:t>
      </w:r>
      <w:r w:rsidR="00524D92" w:rsidRPr="00091C8C">
        <w:rPr>
          <w:rFonts w:ascii="Times New Roman" w:hAnsi="Times New Roman"/>
        </w:rPr>
        <w:t xml:space="preserve">he practice was </w:t>
      </w:r>
      <w:r w:rsidR="00562E08" w:rsidRPr="00091C8C">
        <w:rPr>
          <w:rFonts w:ascii="Times New Roman" w:hAnsi="Times New Roman"/>
        </w:rPr>
        <w:t>normally</w:t>
      </w:r>
      <w:r w:rsidR="0091352E" w:rsidRPr="00091C8C">
        <w:rPr>
          <w:rFonts w:ascii="Times New Roman" w:hAnsi="Times New Roman"/>
        </w:rPr>
        <w:t xml:space="preserve"> </w:t>
      </w:r>
      <w:r w:rsidR="00524D92" w:rsidRPr="00091C8C">
        <w:rPr>
          <w:rFonts w:ascii="Times New Roman" w:hAnsi="Times New Roman"/>
        </w:rPr>
        <w:t xml:space="preserve">to extend </w:t>
      </w:r>
      <w:r w:rsidR="00ED26FC" w:rsidRPr="00091C8C">
        <w:rPr>
          <w:rFonts w:ascii="Times New Roman" w:hAnsi="Times New Roman"/>
        </w:rPr>
        <w:t>the term</w:t>
      </w:r>
      <w:r w:rsidR="00070562" w:rsidRPr="00091C8C">
        <w:rPr>
          <w:rFonts w:ascii="Times New Roman" w:hAnsi="Times New Roman"/>
        </w:rPr>
        <w:t xml:space="preserve">. </w:t>
      </w:r>
      <w:r w:rsidR="00456072" w:rsidRPr="00091C8C">
        <w:rPr>
          <w:rFonts w:ascii="Times New Roman" w:hAnsi="Times New Roman"/>
        </w:rPr>
        <w:t>W</w:t>
      </w:r>
      <w:r w:rsidR="004143E0" w:rsidRPr="00091C8C">
        <w:rPr>
          <w:rFonts w:ascii="Times New Roman" w:hAnsi="Times New Roman"/>
        </w:rPr>
        <w:t xml:space="preserve">here the </w:t>
      </w:r>
      <w:r w:rsidR="0066050B" w:rsidRPr="00091C8C">
        <w:rPr>
          <w:rFonts w:ascii="Times New Roman" w:hAnsi="Times New Roman"/>
        </w:rPr>
        <w:t xml:space="preserve">original </w:t>
      </w:r>
      <w:r w:rsidR="00292D98" w:rsidRPr="00091C8C">
        <w:rPr>
          <w:rFonts w:ascii="Times New Roman" w:hAnsi="Times New Roman"/>
        </w:rPr>
        <w:t>term</w:t>
      </w:r>
      <w:r w:rsidR="0066050B" w:rsidRPr="00091C8C">
        <w:rPr>
          <w:rFonts w:ascii="Times New Roman" w:hAnsi="Times New Roman"/>
        </w:rPr>
        <w:t xml:space="preserve"> had expired</w:t>
      </w:r>
      <w:r w:rsidR="00CE7E17" w:rsidRPr="00091C8C">
        <w:rPr>
          <w:rFonts w:ascii="Times New Roman" w:hAnsi="Times New Roman"/>
        </w:rPr>
        <w:t>,</w:t>
      </w:r>
      <w:r w:rsidR="00A15C02" w:rsidRPr="00091C8C">
        <w:rPr>
          <w:rFonts w:ascii="Times New Roman" w:hAnsi="Times New Roman"/>
        </w:rPr>
        <w:t xml:space="preserve"> </w:t>
      </w:r>
      <w:r w:rsidR="00E46254" w:rsidRPr="00091C8C">
        <w:rPr>
          <w:rFonts w:ascii="Times New Roman" w:hAnsi="Times New Roman"/>
        </w:rPr>
        <w:t xml:space="preserve">the practice was </w:t>
      </w:r>
      <w:r w:rsidR="00562E08" w:rsidRPr="00091C8C">
        <w:rPr>
          <w:rFonts w:ascii="Times New Roman" w:hAnsi="Times New Roman"/>
        </w:rPr>
        <w:t>normally</w:t>
      </w:r>
      <w:r w:rsidR="00E46254" w:rsidRPr="00091C8C">
        <w:rPr>
          <w:rFonts w:ascii="Times New Roman" w:hAnsi="Times New Roman"/>
        </w:rPr>
        <w:t xml:space="preserve"> to</w:t>
      </w:r>
      <w:r w:rsidR="00B51D32" w:rsidRPr="00091C8C">
        <w:rPr>
          <w:rFonts w:ascii="Times New Roman" w:hAnsi="Times New Roman"/>
        </w:rPr>
        <w:t xml:space="preserve"> order</w:t>
      </w:r>
      <w:r w:rsidR="00E46254" w:rsidRPr="00091C8C">
        <w:rPr>
          <w:rFonts w:ascii="Times New Roman" w:hAnsi="Times New Roman"/>
        </w:rPr>
        <w:t xml:space="preserve"> </w:t>
      </w:r>
      <w:r w:rsidR="00811310" w:rsidRPr="00091C8C">
        <w:rPr>
          <w:rFonts w:ascii="Times New Roman" w:hAnsi="Times New Roman"/>
        </w:rPr>
        <w:t>a new grant</w:t>
      </w:r>
      <w:r w:rsidR="00E46254" w:rsidRPr="00091C8C">
        <w:rPr>
          <w:rFonts w:ascii="Times New Roman" w:hAnsi="Times New Roman"/>
        </w:rPr>
        <w:t xml:space="preserve">. </w:t>
      </w:r>
      <w:r w:rsidR="00666E90" w:rsidRPr="00091C8C">
        <w:rPr>
          <w:rFonts w:ascii="Times New Roman" w:hAnsi="Times New Roman"/>
        </w:rPr>
        <w:t>I</w:t>
      </w:r>
      <w:r w:rsidR="000466CB" w:rsidRPr="00091C8C">
        <w:rPr>
          <w:rFonts w:ascii="Times New Roman" w:hAnsi="Times New Roman"/>
        </w:rPr>
        <w:t xml:space="preserve">rrespective of </w:t>
      </w:r>
      <w:r w:rsidR="00C50C0A" w:rsidRPr="00091C8C">
        <w:rPr>
          <w:rFonts w:ascii="Times New Roman" w:hAnsi="Times New Roman"/>
        </w:rPr>
        <w:t xml:space="preserve">whether </w:t>
      </w:r>
      <w:r w:rsidR="009130B4" w:rsidRPr="00091C8C">
        <w:rPr>
          <w:rFonts w:ascii="Times New Roman" w:hAnsi="Times New Roman"/>
        </w:rPr>
        <w:t xml:space="preserve">the order </w:t>
      </w:r>
      <w:r w:rsidR="00B81E19" w:rsidRPr="00091C8C">
        <w:rPr>
          <w:rFonts w:ascii="Times New Roman" w:hAnsi="Times New Roman"/>
        </w:rPr>
        <w:t xml:space="preserve">was </w:t>
      </w:r>
      <w:r w:rsidR="00371265" w:rsidRPr="00091C8C">
        <w:rPr>
          <w:rFonts w:ascii="Times New Roman" w:hAnsi="Times New Roman"/>
        </w:rPr>
        <w:t>t</w:t>
      </w:r>
      <w:r w:rsidR="00306DEB" w:rsidRPr="00091C8C">
        <w:rPr>
          <w:rFonts w:ascii="Times New Roman" w:hAnsi="Times New Roman"/>
        </w:rPr>
        <w:t xml:space="preserve">o </w:t>
      </w:r>
      <w:r w:rsidR="00371265" w:rsidRPr="00091C8C">
        <w:rPr>
          <w:rFonts w:ascii="Times New Roman" w:hAnsi="Times New Roman"/>
        </w:rPr>
        <w:t>exten</w:t>
      </w:r>
      <w:r w:rsidR="00306DEB" w:rsidRPr="00091C8C">
        <w:rPr>
          <w:rFonts w:ascii="Times New Roman" w:hAnsi="Times New Roman"/>
        </w:rPr>
        <w:t>d</w:t>
      </w:r>
      <w:r w:rsidR="00371265" w:rsidRPr="00091C8C">
        <w:rPr>
          <w:rFonts w:ascii="Times New Roman" w:hAnsi="Times New Roman"/>
        </w:rPr>
        <w:t xml:space="preserve"> the term of the patent or t</w:t>
      </w:r>
      <w:r w:rsidR="00306DEB" w:rsidRPr="00091C8C">
        <w:rPr>
          <w:rFonts w:ascii="Times New Roman" w:hAnsi="Times New Roman"/>
        </w:rPr>
        <w:t>o</w:t>
      </w:r>
      <w:r w:rsidR="00371265" w:rsidRPr="00091C8C">
        <w:rPr>
          <w:rFonts w:ascii="Times New Roman" w:hAnsi="Times New Roman"/>
        </w:rPr>
        <w:t xml:space="preserve"> grant a new patent</w:t>
      </w:r>
      <w:r w:rsidR="000E0647" w:rsidRPr="00091C8C">
        <w:rPr>
          <w:rFonts w:ascii="Times New Roman" w:hAnsi="Times New Roman"/>
        </w:rPr>
        <w:t>,</w:t>
      </w:r>
      <w:r w:rsidR="00235467" w:rsidRPr="00091C8C">
        <w:rPr>
          <w:rFonts w:ascii="Times New Roman" w:hAnsi="Times New Roman"/>
        </w:rPr>
        <w:t xml:space="preserve"> </w:t>
      </w:r>
      <w:r w:rsidR="00666E90" w:rsidRPr="00091C8C">
        <w:rPr>
          <w:rFonts w:ascii="Times New Roman" w:hAnsi="Times New Roman"/>
        </w:rPr>
        <w:t xml:space="preserve">however, </w:t>
      </w:r>
      <w:r w:rsidR="00116119" w:rsidRPr="00091C8C">
        <w:rPr>
          <w:rFonts w:ascii="Times New Roman" w:hAnsi="Times New Roman"/>
        </w:rPr>
        <w:t xml:space="preserve">an order made after the expiration of the patent </w:t>
      </w:r>
      <w:r w:rsidR="00235467" w:rsidRPr="00091C8C">
        <w:rPr>
          <w:rFonts w:ascii="Times New Roman" w:hAnsi="Times New Roman"/>
        </w:rPr>
        <w:t>would</w:t>
      </w:r>
      <w:r w:rsidR="00155B30" w:rsidRPr="00091C8C">
        <w:rPr>
          <w:rFonts w:ascii="Times New Roman" w:hAnsi="Times New Roman"/>
        </w:rPr>
        <w:t xml:space="preserve"> be made subject to a condition that </w:t>
      </w:r>
      <w:r w:rsidR="00FC6160" w:rsidRPr="00091C8C">
        <w:rPr>
          <w:rFonts w:ascii="Times New Roman" w:hAnsi="Times New Roman"/>
        </w:rPr>
        <w:t xml:space="preserve">no </w:t>
      </w:r>
      <w:r w:rsidR="003E3FB3" w:rsidRPr="00091C8C">
        <w:rPr>
          <w:rFonts w:ascii="Times New Roman" w:hAnsi="Times New Roman"/>
        </w:rPr>
        <w:t>proceeding</w:t>
      </w:r>
      <w:r w:rsidR="00FC6160" w:rsidRPr="00091C8C">
        <w:rPr>
          <w:rFonts w:ascii="Times New Roman" w:hAnsi="Times New Roman"/>
        </w:rPr>
        <w:t xml:space="preserve"> </w:t>
      </w:r>
      <w:r w:rsidR="00BE600D" w:rsidRPr="00091C8C">
        <w:rPr>
          <w:rFonts w:ascii="Times New Roman" w:hAnsi="Times New Roman"/>
        </w:rPr>
        <w:t xml:space="preserve">could be commenced or prosecuted in respect of </w:t>
      </w:r>
      <w:r w:rsidR="002A7450" w:rsidRPr="00091C8C">
        <w:rPr>
          <w:rFonts w:ascii="Times New Roman" w:hAnsi="Times New Roman"/>
        </w:rPr>
        <w:t xml:space="preserve">acts of infringement which occurred </w:t>
      </w:r>
      <w:r w:rsidR="004069DA" w:rsidRPr="00091C8C">
        <w:rPr>
          <w:rFonts w:ascii="Times New Roman" w:hAnsi="Times New Roman"/>
        </w:rPr>
        <w:t xml:space="preserve">after the date of </w:t>
      </w:r>
      <w:r w:rsidR="002E161F" w:rsidRPr="00091C8C">
        <w:rPr>
          <w:rFonts w:ascii="Times New Roman" w:hAnsi="Times New Roman"/>
        </w:rPr>
        <w:t xml:space="preserve">expiration of the original term </w:t>
      </w:r>
      <w:r w:rsidR="00CA4B7E" w:rsidRPr="00091C8C">
        <w:rPr>
          <w:rFonts w:ascii="Times New Roman" w:hAnsi="Times New Roman"/>
        </w:rPr>
        <w:t>and before the date of the order</w:t>
      </w:r>
      <w:r w:rsidR="00CA4B7E" w:rsidRPr="00091C8C">
        <w:rPr>
          <w:rStyle w:val="FootnoteReference"/>
          <w:rFonts w:ascii="Times New Roman" w:hAnsi="Times New Roman"/>
          <w:sz w:val="24"/>
        </w:rPr>
        <w:footnoteReference w:id="57"/>
      </w:r>
      <w:r w:rsidR="00CA4B7E" w:rsidRPr="00091C8C">
        <w:rPr>
          <w:rFonts w:ascii="Times New Roman" w:hAnsi="Times New Roman"/>
        </w:rPr>
        <w:t>.</w:t>
      </w:r>
    </w:p>
    <w:p w14:paraId="57998D2D" w14:textId="703B1166" w:rsidR="00C94998" w:rsidRPr="00091C8C" w:rsidRDefault="004013D1" w:rsidP="00091C8C">
      <w:pPr>
        <w:pStyle w:val="FixListStyle"/>
        <w:spacing w:after="260" w:line="280" w:lineRule="exact"/>
        <w:ind w:right="0"/>
        <w:jc w:val="both"/>
        <w:rPr>
          <w:rFonts w:ascii="Times New Roman" w:hAnsi="Times New Roman"/>
        </w:rPr>
      </w:pPr>
      <w:r w:rsidRPr="00091C8C">
        <w:rPr>
          <w:rFonts w:ascii="Times New Roman" w:hAnsi="Times New Roman"/>
        </w:rPr>
        <w:lastRenderedPageBreak/>
        <w:tab/>
        <w:t xml:space="preserve">In </w:t>
      </w:r>
      <w:r w:rsidRPr="00091C8C">
        <w:rPr>
          <w:rFonts w:ascii="Times New Roman" w:hAnsi="Times New Roman"/>
          <w:i/>
        </w:rPr>
        <w:t xml:space="preserve">Sanofi </w:t>
      </w:r>
      <w:r w:rsidR="0067249D" w:rsidRPr="00091C8C">
        <w:rPr>
          <w:rFonts w:ascii="Times New Roman" w:hAnsi="Times New Roman"/>
          <w:i/>
        </w:rPr>
        <w:t xml:space="preserve">v </w:t>
      </w:r>
      <w:r w:rsidRPr="00091C8C">
        <w:rPr>
          <w:rFonts w:ascii="Times New Roman" w:hAnsi="Times New Roman"/>
          <w:i/>
        </w:rPr>
        <w:t>Parke Davis Pty Ltd</w:t>
      </w:r>
      <w:r w:rsidRPr="00091C8C">
        <w:rPr>
          <w:rFonts w:ascii="Times New Roman" w:hAnsi="Times New Roman"/>
        </w:rPr>
        <w:t xml:space="preserve"> </w:t>
      </w:r>
      <w:r w:rsidRPr="00091C8C">
        <w:rPr>
          <w:rFonts w:ascii="Times New Roman" w:hAnsi="Times New Roman"/>
          <w:i/>
        </w:rPr>
        <w:t>[No</w:t>
      </w:r>
      <w:r w:rsidR="00716C82" w:rsidRPr="00091C8C">
        <w:rPr>
          <w:rFonts w:ascii="Times New Roman" w:hAnsi="Times New Roman"/>
          <w:i/>
        </w:rPr>
        <w:t xml:space="preserve"> </w:t>
      </w:r>
      <w:r w:rsidRPr="00091C8C">
        <w:rPr>
          <w:rFonts w:ascii="Times New Roman" w:hAnsi="Times New Roman"/>
          <w:i/>
        </w:rPr>
        <w:t>2]</w:t>
      </w:r>
      <w:r w:rsidR="005637BA" w:rsidRPr="00091C8C">
        <w:rPr>
          <w:rStyle w:val="FootnoteReference"/>
          <w:rFonts w:ascii="Times New Roman" w:hAnsi="Times New Roman"/>
          <w:sz w:val="24"/>
        </w:rPr>
        <w:footnoteReference w:id="58"/>
      </w:r>
      <w:r w:rsidR="005637BA" w:rsidRPr="00091C8C">
        <w:rPr>
          <w:rFonts w:ascii="Times New Roman" w:hAnsi="Times New Roman"/>
        </w:rPr>
        <w:t xml:space="preserve">, </w:t>
      </w:r>
      <w:r w:rsidR="00F03CE0" w:rsidRPr="00091C8C">
        <w:rPr>
          <w:rFonts w:ascii="Times New Roman" w:hAnsi="Times New Roman"/>
        </w:rPr>
        <w:t>Mason</w:t>
      </w:r>
      <w:r w:rsidR="00716C82" w:rsidRPr="00091C8C">
        <w:rPr>
          <w:rFonts w:ascii="Times New Roman" w:hAnsi="Times New Roman"/>
        </w:rPr>
        <w:t> </w:t>
      </w:r>
      <w:r w:rsidR="00F03CE0" w:rsidRPr="00091C8C">
        <w:rPr>
          <w:rFonts w:ascii="Times New Roman" w:hAnsi="Times New Roman"/>
        </w:rPr>
        <w:t>A</w:t>
      </w:r>
      <w:r w:rsidR="00BC50C7" w:rsidRPr="00091C8C">
        <w:rPr>
          <w:rFonts w:ascii="Times New Roman" w:hAnsi="Times New Roman"/>
        </w:rPr>
        <w:t>-</w:t>
      </w:r>
      <w:r w:rsidR="00F03CE0" w:rsidRPr="00091C8C">
        <w:rPr>
          <w:rFonts w:ascii="Times New Roman" w:hAnsi="Times New Roman"/>
        </w:rPr>
        <w:t>CJ, Wilson and Dawson</w:t>
      </w:r>
      <w:r w:rsidR="0091426B" w:rsidRPr="00091C8C">
        <w:rPr>
          <w:rFonts w:ascii="Times New Roman" w:hAnsi="Times New Roman"/>
        </w:rPr>
        <w:t> </w:t>
      </w:r>
      <w:r w:rsidR="00F03CE0" w:rsidRPr="00091C8C">
        <w:rPr>
          <w:rFonts w:ascii="Times New Roman" w:hAnsi="Times New Roman"/>
        </w:rPr>
        <w:t xml:space="preserve">JJ referred to </w:t>
      </w:r>
      <w:r w:rsidR="000424C9" w:rsidRPr="00091C8C">
        <w:rPr>
          <w:rFonts w:ascii="Times New Roman" w:hAnsi="Times New Roman"/>
        </w:rPr>
        <w:t xml:space="preserve">the imposition of </w:t>
      </w:r>
      <w:r w:rsidR="00B11E2F" w:rsidRPr="00091C8C">
        <w:rPr>
          <w:rFonts w:ascii="Times New Roman" w:hAnsi="Times New Roman"/>
        </w:rPr>
        <w:t xml:space="preserve">a condition in those terms as "appropriate to protect </w:t>
      </w:r>
      <w:r w:rsidR="00931FDF" w:rsidRPr="00091C8C">
        <w:rPr>
          <w:rFonts w:ascii="Times New Roman" w:hAnsi="Times New Roman"/>
        </w:rPr>
        <w:t xml:space="preserve">the interests of those members of the public who might otherwise be prejudiced </w:t>
      </w:r>
      <w:r w:rsidR="00191415" w:rsidRPr="00091C8C">
        <w:rPr>
          <w:rFonts w:ascii="Times New Roman" w:hAnsi="Times New Roman"/>
        </w:rPr>
        <w:t>by the extension of the term of the patent"</w:t>
      </w:r>
      <w:r w:rsidR="00191415" w:rsidRPr="00091C8C">
        <w:rPr>
          <w:rStyle w:val="FootnoteReference"/>
          <w:rFonts w:ascii="Times New Roman" w:hAnsi="Times New Roman"/>
          <w:sz w:val="24"/>
        </w:rPr>
        <w:footnoteReference w:id="59"/>
      </w:r>
      <w:r w:rsidR="00191415" w:rsidRPr="00091C8C">
        <w:rPr>
          <w:rFonts w:ascii="Times New Roman" w:hAnsi="Times New Roman"/>
        </w:rPr>
        <w:t xml:space="preserve">. </w:t>
      </w:r>
      <w:r w:rsidR="008E4A44" w:rsidRPr="00091C8C">
        <w:rPr>
          <w:rFonts w:ascii="Times New Roman" w:hAnsi="Times New Roman"/>
        </w:rPr>
        <w:t>Brennan</w:t>
      </w:r>
      <w:r w:rsidR="001E3264" w:rsidRPr="00091C8C">
        <w:rPr>
          <w:rFonts w:ascii="Times New Roman" w:hAnsi="Times New Roman"/>
        </w:rPr>
        <w:t> </w:t>
      </w:r>
      <w:r w:rsidR="00261B6C" w:rsidRPr="00091C8C">
        <w:rPr>
          <w:rFonts w:ascii="Times New Roman" w:hAnsi="Times New Roman"/>
        </w:rPr>
        <w:t>J</w:t>
      </w:r>
      <w:r w:rsidR="008E4A44" w:rsidRPr="00091C8C">
        <w:rPr>
          <w:rFonts w:ascii="Times New Roman" w:hAnsi="Times New Roman"/>
        </w:rPr>
        <w:t xml:space="preserve">, </w:t>
      </w:r>
      <w:r w:rsidR="000E2E63" w:rsidRPr="00091C8C">
        <w:rPr>
          <w:rFonts w:ascii="Times New Roman" w:hAnsi="Times New Roman"/>
        </w:rPr>
        <w:t xml:space="preserve">who </w:t>
      </w:r>
      <w:r w:rsidR="008E4A44" w:rsidRPr="00091C8C">
        <w:rPr>
          <w:rFonts w:ascii="Times New Roman" w:hAnsi="Times New Roman"/>
        </w:rPr>
        <w:t>concurr</w:t>
      </w:r>
      <w:r w:rsidR="000E2E63" w:rsidRPr="00091C8C">
        <w:rPr>
          <w:rFonts w:ascii="Times New Roman" w:hAnsi="Times New Roman"/>
        </w:rPr>
        <w:t>ed</w:t>
      </w:r>
      <w:r w:rsidR="008E4A44" w:rsidRPr="00091C8C">
        <w:rPr>
          <w:rFonts w:ascii="Times New Roman" w:hAnsi="Times New Roman"/>
        </w:rPr>
        <w:t xml:space="preserve"> </w:t>
      </w:r>
      <w:r w:rsidR="00A452DF" w:rsidRPr="00091C8C">
        <w:rPr>
          <w:rFonts w:ascii="Times New Roman" w:hAnsi="Times New Roman"/>
        </w:rPr>
        <w:t>in the result,</w:t>
      </w:r>
      <w:r w:rsidR="00E77E3C" w:rsidRPr="00091C8C">
        <w:rPr>
          <w:rFonts w:ascii="Times New Roman" w:hAnsi="Times New Roman"/>
        </w:rPr>
        <w:t xml:space="preserve"> went further. His Honour</w:t>
      </w:r>
      <w:r w:rsidR="00A452DF" w:rsidRPr="00091C8C">
        <w:rPr>
          <w:rFonts w:ascii="Times New Roman" w:hAnsi="Times New Roman"/>
        </w:rPr>
        <w:t xml:space="preserve"> </w:t>
      </w:r>
      <w:r w:rsidR="00503CF6" w:rsidRPr="00091C8C">
        <w:rPr>
          <w:rFonts w:ascii="Times New Roman" w:hAnsi="Times New Roman"/>
        </w:rPr>
        <w:t xml:space="preserve">explained </w:t>
      </w:r>
      <w:r w:rsidR="00A54A7C" w:rsidRPr="00091C8C">
        <w:rPr>
          <w:rFonts w:ascii="Times New Roman" w:hAnsi="Times New Roman"/>
        </w:rPr>
        <w:t xml:space="preserve">the imposition of </w:t>
      </w:r>
      <w:r w:rsidR="00503CF6" w:rsidRPr="00091C8C">
        <w:rPr>
          <w:rFonts w:ascii="Times New Roman" w:hAnsi="Times New Roman"/>
        </w:rPr>
        <w:t xml:space="preserve">a condition in those terms to be necessary to ensure that </w:t>
      </w:r>
      <w:r w:rsidR="00477873" w:rsidRPr="00091C8C">
        <w:rPr>
          <w:rFonts w:ascii="Times New Roman" w:hAnsi="Times New Roman"/>
        </w:rPr>
        <w:t xml:space="preserve">the order </w:t>
      </w:r>
      <w:r w:rsidR="00A54A7C" w:rsidRPr="00091C8C">
        <w:rPr>
          <w:rFonts w:ascii="Times New Roman" w:hAnsi="Times New Roman"/>
        </w:rPr>
        <w:t xml:space="preserve">that </w:t>
      </w:r>
      <w:r w:rsidR="00477873" w:rsidRPr="00091C8C">
        <w:rPr>
          <w:rFonts w:ascii="Times New Roman" w:hAnsi="Times New Roman"/>
        </w:rPr>
        <w:t xml:space="preserve">was made </w:t>
      </w:r>
      <w:r w:rsidR="00A54A7C" w:rsidRPr="00091C8C">
        <w:rPr>
          <w:rFonts w:ascii="Times New Roman" w:hAnsi="Times New Roman"/>
        </w:rPr>
        <w:t xml:space="preserve">was </w:t>
      </w:r>
      <w:r w:rsidR="00477873" w:rsidRPr="00091C8C">
        <w:rPr>
          <w:rFonts w:ascii="Times New Roman" w:hAnsi="Times New Roman"/>
        </w:rPr>
        <w:t xml:space="preserve">within </w:t>
      </w:r>
      <w:r w:rsidR="009F63E9" w:rsidRPr="00091C8C">
        <w:rPr>
          <w:rFonts w:ascii="Times New Roman" w:hAnsi="Times New Roman"/>
        </w:rPr>
        <w:t xml:space="preserve">the </w:t>
      </w:r>
      <w:r w:rsidR="00477873" w:rsidRPr="00091C8C">
        <w:rPr>
          <w:rFonts w:ascii="Times New Roman" w:hAnsi="Times New Roman"/>
        </w:rPr>
        <w:t>power</w:t>
      </w:r>
      <w:r w:rsidR="003446B5" w:rsidRPr="00091C8C">
        <w:rPr>
          <w:rFonts w:ascii="Times New Roman" w:hAnsi="Times New Roman"/>
        </w:rPr>
        <w:t xml:space="preserve"> </w:t>
      </w:r>
      <w:r w:rsidR="003A520A" w:rsidRPr="00091C8C">
        <w:rPr>
          <w:rFonts w:ascii="Times New Roman" w:hAnsi="Times New Roman"/>
        </w:rPr>
        <w:t>conferred by s</w:t>
      </w:r>
      <w:r w:rsidR="001E2710" w:rsidRPr="00091C8C">
        <w:rPr>
          <w:rFonts w:ascii="Times New Roman" w:hAnsi="Times New Roman"/>
        </w:rPr>
        <w:t> </w:t>
      </w:r>
      <w:r w:rsidR="003A520A" w:rsidRPr="00091C8C">
        <w:rPr>
          <w:rFonts w:ascii="Times New Roman" w:hAnsi="Times New Roman"/>
        </w:rPr>
        <w:t>94(1) of the 1952 Act</w:t>
      </w:r>
      <w:r w:rsidR="00477873" w:rsidRPr="00091C8C">
        <w:rPr>
          <w:rFonts w:ascii="Times New Roman" w:hAnsi="Times New Roman"/>
        </w:rPr>
        <w:t xml:space="preserve">. </w:t>
      </w:r>
      <w:r w:rsidR="00800A90" w:rsidRPr="00091C8C">
        <w:rPr>
          <w:rFonts w:ascii="Times New Roman" w:hAnsi="Times New Roman"/>
        </w:rPr>
        <w:t xml:space="preserve">Focusing </w:t>
      </w:r>
      <w:r w:rsidR="000C1683" w:rsidRPr="00091C8C">
        <w:rPr>
          <w:rFonts w:ascii="Times New Roman" w:hAnsi="Times New Roman"/>
        </w:rPr>
        <w:t>specifically on the power to order the grant of a new patent conferred by s</w:t>
      </w:r>
      <w:r w:rsidR="00002437" w:rsidRPr="00091C8C">
        <w:rPr>
          <w:rFonts w:ascii="Times New Roman" w:hAnsi="Times New Roman"/>
        </w:rPr>
        <w:t> </w:t>
      </w:r>
      <w:r w:rsidR="000C1683" w:rsidRPr="00091C8C">
        <w:rPr>
          <w:rFonts w:ascii="Times New Roman" w:hAnsi="Times New Roman"/>
        </w:rPr>
        <w:t>94(1)(b) of the 1952 Act, Brennan</w:t>
      </w:r>
      <w:r w:rsidR="00D41CCD" w:rsidRPr="00091C8C">
        <w:rPr>
          <w:rFonts w:ascii="Times New Roman" w:hAnsi="Times New Roman"/>
        </w:rPr>
        <w:t> </w:t>
      </w:r>
      <w:r w:rsidR="000C1683" w:rsidRPr="00091C8C">
        <w:rPr>
          <w:rFonts w:ascii="Times New Roman" w:hAnsi="Times New Roman"/>
        </w:rPr>
        <w:t>J explained</w:t>
      </w:r>
      <w:r w:rsidR="000C1683" w:rsidRPr="00091C8C">
        <w:rPr>
          <w:rStyle w:val="FootnoteReference"/>
          <w:rFonts w:ascii="Times New Roman" w:hAnsi="Times New Roman"/>
          <w:sz w:val="24"/>
        </w:rPr>
        <w:footnoteReference w:id="60"/>
      </w:r>
      <w:r w:rsidR="000C1683" w:rsidRPr="00091C8C">
        <w:rPr>
          <w:rFonts w:ascii="Times New Roman" w:hAnsi="Times New Roman"/>
        </w:rPr>
        <w:t>:</w:t>
      </w:r>
    </w:p>
    <w:p w14:paraId="2E09E6C3" w14:textId="41066716" w:rsidR="00091C8C" w:rsidRDefault="00785FCC" w:rsidP="00091C8C">
      <w:pPr>
        <w:pStyle w:val="leftright"/>
        <w:spacing w:before="0" w:after="260" w:line="280" w:lineRule="exact"/>
        <w:ind w:right="0"/>
        <w:jc w:val="both"/>
        <w:rPr>
          <w:rFonts w:ascii="Times New Roman" w:hAnsi="Times New Roman"/>
        </w:rPr>
      </w:pPr>
      <w:r w:rsidRPr="00091C8C">
        <w:rPr>
          <w:rFonts w:ascii="Times New Roman" w:hAnsi="Times New Roman"/>
        </w:rPr>
        <w:tab/>
      </w:r>
      <w:r w:rsidR="00034D4F" w:rsidRPr="00091C8C">
        <w:rPr>
          <w:rFonts w:ascii="Times New Roman" w:hAnsi="Times New Roman"/>
        </w:rPr>
        <w:t xml:space="preserve">"The general terms of </w:t>
      </w:r>
      <w:r w:rsidR="009905C7" w:rsidRPr="00091C8C">
        <w:rPr>
          <w:rFonts w:ascii="Times New Roman" w:hAnsi="Times New Roman"/>
        </w:rPr>
        <w:t>a</w:t>
      </w:r>
      <w:r w:rsidR="00034D4F" w:rsidRPr="00091C8C">
        <w:rPr>
          <w:rFonts w:ascii="Times New Roman" w:hAnsi="Times New Roman"/>
        </w:rPr>
        <w:t xml:space="preserve"> statute are not construed as affecting retrospectively a person's freedom to act in a way which was lawful at the time for it manifestly shocks one's sense of justice that an act legal at the time of doing it should be made unlawful by some new enactment. By parity of reasoning, if a statute confers a power to affect another person's freedom to act, the statute is not construed as conferring a power to impose a liability retrospectively for doing what was lawful at the time unless the terms of the statute clearly require that construction. It follows that, if the grant of a new patent without conditions in extension of a term which has expired would confer rights upon the patentee against a person who had made</w:t>
      </w:r>
      <w:r w:rsidR="00314D1D" w:rsidRPr="00091C8C">
        <w:rPr>
          <w:rFonts w:ascii="Times New Roman" w:hAnsi="Times New Roman"/>
        </w:rPr>
        <w:t>,</w:t>
      </w:r>
      <w:r w:rsidR="00034D4F" w:rsidRPr="00091C8C">
        <w:rPr>
          <w:rFonts w:ascii="Times New Roman" w:hAnsi="Times New Roman"/>
        </w:rPr>
        <w:t xml:space="preserve"> used or sold the subject matter of the patent when it was in the public domain, such a grant would exceed the power conferred by s</w:t>
      </w:r>
      <w:r w:rsidR="000E6CB9" w:rsidRPr="00091C8C">
        <w:rPr>
          <w:rFonts w:ascii="Times New Roman" w:hAnsi="Times New Roman"/>
        </w:rPr>
        <w:t> </w:t>
      </w:r>
      <w:r w:rsidR="00034D4F" w:rsidRPr="00091C8C">
        <w:rPr>
          <w:rFonts w:ascii="Times New Roman" w:hAnsi="Times New Roman"/>
        </w:rPr>
        <w:t>94(1)(b). There is a strong general presumption that a legislature does not inten</w:t>
      </w:r>
      <w:r w:rsidR="00314D1D" w:rsidRPr="00091C8C">
        <w:rPr>
          <w:rFonts w:ascii="Times New Roman" w:hAnsi="Times New Roman"/>
        </w:rPr>
        <w:t>d</w:t>
      </w:r>
      <w:r w:rsidR="00034D4F" w:rsidRPr="00091C8C">
        <w:rPr>
          <w:rFonts w:ascii="Times New Roman" w:hAnsi="Times New Roman"/>
        </w:rPr>
        <w:t xml:space="preserve"> to impose a new liability in respect of something that has already happened. There is no indication that the </w:t>
      </w:r>
      <w:r w:rsidR="000C1683" w:rsidRPr="00091C8C">
        <w:rPr>
          <w:rFonts w:ascii="Times New Roman" w:hAnsi="Times New Roman"/>
        </w:rPr>
        <w:t xml:space="preserve">[1952] </w:t>
      </w:r>
      <w:r w:rsidR="00034D4F" w:rsidRPr="00091C8C">
        <w:rPr>
          <w:rFonts w:ascii="Times New Roman" w:hAnsi="Times New Roman"/>
        </w:rPr>
        <w:t>Act intends a retrospective alteration of the rights of the patentee so as to permit him to treat as an infringer a person who lawfully made</w:t>
      </w:r>
      <w:r w:rsidR="00314D1D" w:rsidRPr="00091C8C">
        <w:rPr>
          <w:rFonts w:ascii="Times New Roman" w:hAnsi="Times New Roman"/>
        </w:rPr>
        <w:t>,</w:t>
      </w:r>
      <w:r w:rsidR="00034D4F" w:rsidRPr="00091C8C">
        <w:rPr>
          <w:rFonts w:ascii="Times New Roman" w:hAnsi="Times New Roman"/>
        </w:rPr>
        <w:t xml:space="preserve"> used or sold the subject matter of the patent when it was in the </w:t>
      </w:r>
      <w:r w:rsidR="009A572C" w:rsidRPr="00091C8C">
        <w:rPr>
          <w:rFonts w:ascii="Times New Roman" w:hAnsi="Times New Roman"/>
        </w:rPr>
        <w:t xml:space="preserve">public </w:t>
      </w:r>
      <w:r w:rsidR="00034D4F" w:rsidRPr="00091C8C">
        <w:rPr>
          <w:rFonts w:ascii="Times New Roman" w:hAnsi="Times New Roman"/>
        </w:rPr>
        <w:t xml:space="preserve">domain. However, if such an innocent infringer can be protected and is protected by appropriate </w:t>
      </w:r>
      <w:r w:rsidR="00FA0C65" w:rsidRPr="00091C8C">
        <w:rPr>
          <w:rFonts w:ascii="Times New Roman" w:hAnsi="Times New Roman"/>
        </w:rPr>
        <w:t xml:space="preserve">... </w:t>
      </w:r>
      <w:r w:rsidR="00034D4F" w:rsidRPr="00091C8C">
        <w:rPr>
          <w:rFonts w:ascii="Times New Roman" w:hAnsi="Times New Roman"/>
        </w:rPr>
        <w:t xml:space="preserve">conditions </w:t>
      </w:r>
      <w:r w:rsidR="00FA0C65" w:rsidRPr="00091C8C">
        <w:rPr>
          <w:rFonts w:ascii="Times New Roman" w:hAnsi="Times New Roman"/>
        </w:rPr>
        <w:t>...</w:t>
      </w:r>
      <w:r w:rsidR="00034D4F" w:rsidRPr="00091C8C">
        <w:rPr>
          <w:rFonts w:ascii="Times New Roman" w:hAnsi="Times New Roman"/>
        </w:rPr>
        <w:t xml:space="preserve"> contained in the new patent exempting him from liability for acts done while the invention was in the public domain, an order for the grant of such a new patent is within the power conferred by s</w:t>
      </w:r>
      <w:r w:rsidR="00E93AAC" w:rsidRPr="00091C8C">
        <w:rPr>
          <w:rFonts w:ascii="Times New Roman" w:hAnsi="Times New Roman"/>
        </w:rPr>
        <w:t> </w:t>
      </w:r>
      <w:r w:rsidR="00034D4F" w:rsidRPr="00091C8C">
        <w:rPr>
          <w:rFonts w:ascii="Times New Roman" w:hAnsi="Times New Roman"/>
        </w:rPr>
        <w:t>94(1)(b). A new patent containing such conditions does not retrospectively destroy the legal immunity of an innocent infringer for acts done prior to the grant of the new patent."</w:t>
      </w:r>
    </w:p>
    <w:p w14:paraId="7D323237" w14:textId="1671FD2A" w:rsidR="0089224A" w:rsidRPr="00091C8C" w:rsidRDefault="00673773" w:rsidP="00091C8C">
      <w:pPr>
        <w:pStyle w:val="FixListStyle"/>
        <w:spacing w:after="260" w:line="280" w:lineRule="exact"/>
        <w:ind w:right="0"/>
        <w:jc w:val="both"/>
        <w:rPr>
          <w:rFonts w:ascii="Times New Roman" w:hAnsi="Times New Roman"/>
        </w:rPr>
      </w:pPr>
      <w:r w:rsidRPr="00091C8C">
        <w:rPr>
          <w:rFonts w:ascii="Times New Roman" w:hAnsi="Times New Roman"/>
        </w:rPr>
        <w:lastRenderedPageBreak/>
        <w:tab/>
      </w:r>
      <w:r w:rsidR="00CB2AB7" w:rsidRPr="00091C8C">
        <w:rPr>
          <w:rFonts w:ascii="Times New Roman" w:hAnsi="Times New Roman"/>
        </w:rPr>
        <w:t xml:space="preserve">The </w:t>
      </w:r>
      <w:r w:rsidR="00FA0C65" w:rsidRPr="00091C8C">
        <w:rPr>
          <w:rFonts w:ascii="Times New Roman" w:hAnsi="Times New Roman"/>
        </w:rPr>
        <w:t>explanation given</w:t>
      </w:r>
      <w:r w:rsidR="00EB3F80" w:rsidRPr="00091C8C">
        <w:rPr>
          <w:rFonts w:ascii="Times New Roman" w:hAnsi="Times New Roman"/>
        </w:rPr>
        <w:t xml:space="preserve"> by Brennan</w:t>
      </w:r>
      <w:r w:rsidR="00E93AAC" w:rsidRPr="00091C8C">
        <w:rPr>
          <w:rFonts w:ascii="Times New Roman" w:hAnsi="Times New Roman"/>
        </w:rPr>
        <w:t> </w:t>
      </w:r>
      <w:r w:rsidR="00EB3F80" w:rsidRPr="00091C8C">
        <w:rPr>
          <w:rFonts w:ascii="Times New Roman" w:hAnsi="Times New Roman"/>
        </w:rPr>
        <w:t xml:space="preserve">J </w:t>
      </w:r>
      <w:r w:rsidR="000D4918" w:rsidRPr="00091C8C">
        <w:rPr>
          <w:rFonts w:ascii="Times New Roman" w:hAnsi="Times New Roman"/>
        </w:rPr>
        <w:t xml:space="preserve">in </w:t>
      </w:r>
      <w:r w:rsidR="000D4918" w:rsidRPr="00091C8C">
        <w:rPr>
          <w:rFonts w:ascii="Times New Roman" w:hAnsi="Times New Roman"/>
          <w:i/>
        </w:rPr>
        <w:t>Sanofi</w:t>
      </w:r>
      <w:r w:rsidR="000D4918" w:rsidRPr="00091C8C">
        <w:rPr>
          <w:rFonts w:ascii="Times New Roman" w:hAnsi="Times New Roman"/>
        </w:rPr>
        <w:t xml:space="preserve"> </w:t>
      </w:r>
      <w:r w:rsidR="00FA0C65" w:rsidRPr="00091C8C">
        <w:rPr>
          <w:rFonts w:ascii="Times New Roman" w:hAnsi="Times New Roman"/>
        </w:rPr>
        <w:t>of</w:t>
      </w:r>
      <w:r w:rsidR="00EB3F80" w:rsidRPr="00091C8C">
        <w:rPr>
          <w:rFonts w:ascii="Times New Roman" w:hAnsi="Times New Roman"/>
        </w:rPr>
        <w:t xml:space="preserve"> the </w:t>
      </w:r>
      <w:r w:rsidR="00FA0C65" w:rsidRPr="00091C8C">
        <w:rPr>
          <w:rFonts w:ascii="Times New Roman" w:hAnsi="Times New Roman"/>
        </w:rPr>
        <w:t xml:space="preserve">proper </w:t>
      </w:r>
      <w:r w:rsidR="00EB3F80" w:rsidRPr="00091C8C">
        <w:rPr>
          <w:rFonts w:ascii="Times New Roman" w:hAnsi="Times New Roman"/>
        </w:rPr>
        <w:t xml:space="preserve">construction of </w:t>
      </w:r>
      <w:r w:rsidR="007E364C" w:rsidRPr="00091C8C">
        <w:rPr>
          <w:rFonts w:ascii="Times New Roman" w:hAnsi="Times New Roman"/>
        </w:rPr>
        <w:t>s</w:t>
      </w:r>
      <w:r w:rsidR="006F55B0" w:rsidRPr="00091C8C">
        <w:rPr>
          <w:rFonts w:ascii="Times New Roman" w:hAnsi="Times New Roman"/>
        </w:rPr>
        <w:t> </w:t>
      </w:r>
      <w:r w:rsidR="007E364C" w:rsidRPr="00091C8C">
        <w:rPr>
          <w:rFonts w:ascii="Times New Roman" w:hAnsi="Times New Roman"/>
        </w:rPr>
        <w:t xml:space="preserve">94(1) of </w:t>
      </w:r>
      <w:r w:rsidR="00631E8C" w:rsidRPr="00091C8C">
        <w:rPr>
          <w:rFonts w:ascii="Times New Roman" w:hAnsi="Times New Roman"/>
        </w:rPr>
        <w:t xml:space="preserve">the 1952 Act </w:t>
      </w:r>
      <w:r w:rsidR="00C037D6" w:rsidRPr="00091C8C">
        <w:rPr>
          <w:rFonts w:ascii="Times New Roman" w:hAnsi="Times New Roman"/>
        </w:rPr>
        <w:t>involved</w:t>
      </w:r>
      <w:r w:rsidR="00E11661" w:rsidRPr="00091C8C">
        <w:rPr>
          <w:rFonts w:ascii="Times New Roman" w:hAnsi="Times New Roman"/>
        </w:rPr>
        <w:t xml:space="preserve"> an application </w:t>
      </w:r>
      <w:r w:rsidR="00FA0C65" w:rsidRPr="00091C8C">
        <w:rPr>
          <w:rFonts w:ascii="Times New Roman" w:hAnsi="Times New Roman"/>
        </w:rPr>
        <w:t xml:space="preserve">to that provision </w:t>
      </w:r>
      <w:r w:rsidR="00E11661" w:rsidRPr="00091C8C">
        <w:rPr>
          <w:rFonts w:ascii="Times New Roman" w:hAnsi="Times New Roman"/>
        </w:rPr>
        <w:t>of the standard common law presumption to wh</w:t>
      </w:r>
      <w:r w:rsidR="00C037D6" w:rsidRPr="00091C8C">
        <w:rPr>
          <w:rFonts w:ascii="Times New Roman" w:hAnsi="Times New Roman"/>
        </w:rPr>
        <w:t xml:space="preserve">ich reference has already been made. </w:t>
      </w:r>
      <w:r w:rsidR="00612C9B" w:rsidRPr="00091C8C">
        <w:rPr>
          <w:rFonts w:ascii="Times New Roman" w:hAnsi="Times New Roman"/>
        </w:rPr>
        <w:t>When t</w:t>
      </w:r>
      <w:r w:rsidRPr="00091C8C">
        <w:rPr>
          <w:rFonts w:ascii="Times New Roman" w:hAnsi="Times New Roman"/>
        </w:rPr>
        <w:t>h</w:t>
      </w:r>
      <w:r w:rsidR="00C940F0" w:rsidRPr="00091C8C">
        <w:rPr>
          <w:rFonts w:ascii="Times New Roman" w:hAnsi="Times New Roman"/>
        </w:rPr>
        <w:t>e</w:t>
      </w:r>
      <w:r w:rsidRPr="00091C8C">
        <w:rPr>
          <w:rFonts w:ascii="Times New Roman" w:hAnsi="Times New Roman"/>
        </w:rPr>
        <w:t xml:space="preserve"> </w:t>
      </w:r>
      <w:r w:rsidR="00E92108" w:rsidRPr="00091C8C">
        <w:rPr>
          <w:rFonts w:ascii="Times New Roman" w:hAnsi="Times New Roman"/>
        </w:rPr>
        <w:t>1989 Act rep</w:t>
      </w:r>
      <w:r w:rsidR="007A3018" w:rsidRPr="00091C8C">
        <w:rPr>
          <w:rFonts w:ascii="Times New Roman" w:hAnsi="Times New Roman"/>
        </w:rPr>
        <w:t>laced</w:t>
      </w:r>
      <w:r w:rsidR="00E92108" w:rsidRPr="00091C8C">
        <w:rPr>
          <w:rFonts w:ascii="Times New Roman" w:hAnsi="Times New Roman"/>
        </w:rPr>
        <w:t xml:space="preserve"> </w:t>
      </w:r>
      <w:r w:rsidR="007E364C" w:rsidRPr="00091C8C">
        <w:rPr>
          <w:rFonts w:ascii="Times New Roman" w:hAnsi="Times New Roman"/>
        </w:rPr>
        <w:t>s</w:t>
      </w:r>
      <w:r w:rsidR="00FC10E3" w:rsidRPr="00091C8C">
        <w:rPr>
          <w:rFonts w:ascii="Times New Roman" w:hAnsi="Times New Roman"/>
        </w:rPr>
        <w:t> </w:t>
      </w:r>
      <w:r w:rsidR="007E364C" w:rsidRPr="00091C8C">
        <w:rPr>
          <w:rFonts w:ascii="Times New Roman" w:hAnsi="Times New Roman"/>
        </w:rPr>
        <w:t>9</w:t>
      </w:r>
      <w:r w:rsidR="000D4918" w:rsidRPr="00091C8C">
        <w:rPr>
          <w:rFonts w:ascii="Times New Roman" w:hAnsi="Times New Roman"/>
        </w:rPr>
        <w:t>4(1)</w:t>
      </w:r>
      <w:r w:rsidR="000A5069" w:rsidRPr="00091C8C">
        <w:rPr>
          <w:rFonts w:ascii="Times New Roman" w:hAnsi="Times New Roman"/>
        </w:rPr>
        <w:t xml:space="preserve"> </w:t>
      </w:r>
      <w:r w:rsidR="007F2B73" w:rsidRPr="00091C8C">
        <w:rPr>
          <w:rFonts w:ascii="Times New Roman" w:hAnsi="Times New Roman"/>
        </w:rPr>
        <w:t xml:space="preserve">of the 1952 Act </w:t>
      </w:r>
      <w:r w:rsidR="007A3018" w:rsidRPr="00091C8C">
        <w:rPr>
          <w:rFonts w:ascii="Times New Roman" w:hAnsi="Times New Roman"/>
        </w:rPr>
        <w:t>with</w:t>
      </w:r>
      <w:r w:rsidR="00551ACE" w:rsidRPr="00091C8C">
        <w:rPr>
          <w:rFonts w:ascii="Times New Roman" w:hAnsi="Times New Roman"/>
        </w:rPr>
        <w:t xml:space="preserve"> the </w:t>
      </w:r>
      <w:r w:rsidR="00B16F55" w:rsidRPr="00091C8C">
        <w:rPr>
          <w:rFonts w:ascii="Times New Roman" w:hAnsi="Times New Roman"/>
        </w:rPr>
        <w:t>regime for</w:t>
      </w:r>
      <w:r w:rsidR="00CF45BE" w:rsidRPr="00091C8C">
        <w:rPr>
          <w:rFonts w:ascii="Times New Roman" w:hAnsi="Times New Roman"/>
        </w:rPr>
        <w:t xml:space="preserve"> the</w:t>
      </w:r>
      <w:r w:rsidR="00FB221B" w:rsidRPr="00091C8C">
        <w:rPr>
          <w:rFonts w:ascii="Times New Roman" w:hAnsi="Times New Roman"/>
        </w:rPr>
        <w:t xml:space="preserve"> administrative</w:t>
      </w:r>
      <w:r w:rsidR="00CF45BE" w:rsidRPr="00091C8C">
        <w:rPr>
          <w:rFonts w:ascii="Times New Roman" w:hAnsi="Times New Roman"/>
        </w:rPr>
        <w:t xml:space="preserve"> </w:t>
      </w:r>
      <w:r w:rsidR="00FB221B" w:rsidRPr="00091C8C">
        <w:rPr>
          <w:rFonts w:ascii="Times New Roman" w:hAnsi="Times New Roman"/>
        </w:rPr>
        <w:t xml:space="preserve">grant of </w:t>
      </w:r>
      <w:r w:rsidR="000D0E61" w:rsidRPr="00091C8C">
        <w:rPr>
          <w:rFonts w:ascii="Times New Roman" w:hAnsi="Times New Roman"/>
        </w:rPr>
        <w:t>an extension of the term of</w:t>
      </w:r>
      <w:r w:rsidR="00CF45BE" w:rsidRPr="00091C8C">
        <w:rPr>
          <w:rFonts w:ascii="Times New Roman" w:hAnsi="Times New Roman"/>
        </w:rPr>
        <w:t xml:space="preserve"> a standard patent relating to a pharmaceutical substance</w:t>
      </w:r>
      <w:r w:rsidR="007A3018" w:rsidRPr="00091C8C">
        <w:rPr>
          <w:rFonts w:ascii="Times New Roman" w:hAnsi="Times New Roman"/>
        </w:rPr>
        <w:t xml:space="preserve"> </w:t>
      </w:r>
      <w:r w:rsidR="00732E15" w:rsidRPr="00091C8C">
        <w:rPr>
          <w:rFonts w:ascii="Times New Roman" w:hAnsi="Times New Roman"/>
        </w:rPr>
        <w:t xml:space="preserve">on which </w:t>
      </w:r>
      <w:r w:rsidR="00AA51B3" w:rsidRPr="00091C8C">
        <w:rPr>
          <w:rFonts w:ascii="Times New Roman" w:hAnsi="Times New Roman"/>
        </w:rPr>
        <w:t>Pt</w:t>
      </w:r>
      <w:r w:rsidR="00390A64" w:rsidRPr="00091C8C">
        <w:rPr>
          <w:rFonts w:ascii="Times New Roman" w:hAnsi="Times New Roman"/>
        </w:rPr>
        <w:t> </w:t>
      </w:r>
      <w:r w:rsidR="00AA51B3" w:rsidRPr="00091C8C">
        <w:rPr>
          <w:rFonts w:ascii="Times New Roman" w:hAnsi="Times New Roman"/>
        </w:rPr>
        <w:t>3 of Ch</w:t>
      </w:r>
      <w:r w:rsidR="004E1DB0" w:rsidRPr="00091C8C">
        <w:rPr>
          <w:rFonts w:ascii="Times New Roman" w:hAnsi="Times New Roman"/>
        </w:rPr>
        <w:t> </w:t>
      </w:r>
      <w:r w:rsidR="00AA51B3" w:rsidRPr="00091C8C">
        <w:rPr>
          <w:rFonts w:ascii="Times New Roman" w:hAnsi="Times New Roman"/>
        </w:rPr>
        <w:t xml:space="preserve">6 </w:t>
      </w:r>
      <w:r w:rsidR="00FB221B" w:rsidRPr="00091C8C">
        <w:rPr>
          <w:rFonts w:ascii="Times New Roman" w:hAnsi="Times New Roman"/>
        </w:rPr>
        <w:t xml:space="preserve">of the Act </w:t>
      </w:r>
      <w:r w:rsidR="00813D78" w:rsidRPr="00091C8C">
        <w:rPr>
          <w:rFonts w:ascii="Times New Roman" w:hAnsi="Times New Roman"/>
        </w:rPr>
        <w:t>came to be</w:t>
      </w:r>
      <w:r w:rsidR="00FB221B" w:rsidRPr="00091C8C">
        <w:rPr>
          <w:rFonts w:ascii="Times New Roman" w:hAnsi="Times New Roman"/>
        </w:rPr>
        <w:t xml:space="preserve"> </w:t>
      </w:r>
      <w:r w:rsidR="00B16F55" w:rsidRPr="00091C8C">
        <w:rPr>
          <w:rFonts w:ascii="Times New Roman" w:hAnsi="Times New Roman"/>
        </w:rPr>
        <w:t>modelled</w:t>
      </w:r>
      <w:r w:rsidR="00612C9B" w:rsidRPr="00091C8C">
        <w:rPr>
          <w:rFonts w:ascii="Times New Roman" w:hAnsi="Times New Roman"/>
        </w:rPr>
        <w:t xml:space="preserve">, </w:t>
      </w:r>
      <w:r w:rsidR="00692078" w:rsidRPr="00091C8C">
        <w:rPr>
          <w:rFonts w:ascii="Times New Roman" w:hAnsi="Times New Roman"/>
        </w:rPr>
        <w:t xml:space="preserve">the </w:t>
      </w:r>
      <w:r w:rsidR="00FA0C65" w:rsidRPr="00091C8C">
        <w:rPr>
          <w:rFonts w:ascii="Times New Roman" w:hAnsi="Times New Roman"/>
        </w:rPr>
        <w:t xml:space="preserve">approach taken </w:t>
      </w:r>
      <w:r w:rsidR="00000F57" w:rsidRPr="00091C8C">
        <w:rPr>
          <w:rFonts w:ascii="Times New Roman" w:hAnsi="Times New Roman"/>
        </w:rPr>
        <w:t>by Brennan</w:t>
      </w:r>
      <w:r w:rsidR="00FC10E3" w:rsidRPr="00091C8C">
        <w:rPr>
          <w:rFonts w:ascii="Times New Roman" w:hAnsi="Times New Roman"/>
        </w:rPr>
        <w:t> </w:t>
      </w:r>
      <w:r w:rsidR="00000F57" w:rsidRPr="00091C8C">
        <w:rPr>
          <w:rFonts w:ascii="Times New Roman" w:hAnsi="Times New Roman"/>
        </w:rPr>
        <w:t>J</w:t>
      </w:r>
      <w:r w:rsidR="00473389" w:rsidRPr="00091C8C">
        <w:rPr>
          <w:rFonts w:ascii="Times New Roman" w:hAnsi="Times New Roman"/>
        </w:rPr>
        <w:t xml:space="preserve"> to the </w:t>
      </w:r>
      <w:r w:rsidR="0006365F" w:rsidRPr="00091C8C">
        <w:rPr>
          <w:rFonts w:ascii="Times New Roman" w:hAnsi="Times New Roman"/>
        </w:rPr>
        <w:t>proper construction</w:t>
      </w:r>
      <w:r w:rsidR="005A60B2" w:rsidRPr="00091C8C">
        <w:rPr>
          <w:rFonts w:ascii="Times New Roman" w:hAnsi="Times New Roman"/>
        </w:rPr>
        <w:t xml:space="preserve"> </w:t>
      </w:r>
      <w:r w:rsidR="00473389" w:rsidRPr="00091C8C">
        <w:rPr>
          <w:rFonts w:ascii="Times New Roman" w:hAnsi="Times New Roman"/>
        </w:rPr>
        <w:t xml:space="preserve">of a power </w:t>
      </w:r>
      <w:r w:rsidR="00B64675" w:rsidRPr="00091C8C">
        <w:rPr>
          <w:rFonts w:ascii="Times New Roman" w:hAnsi="Times New Roman"/>
        </w:rPr>
        <w:t xml:space="preserve">to extend the term of a patent </w:t>
      </w:r>
      <w:r w:rsidR="00000F57" w:rsidRPr="00091C8C">
        <w:rPr>
          <w:rFonts w:ascii="Times New Roman" w:hAnsi="Times New Roman"/>
        </w:rPr>
        <w:t>must be taken to have been heeded.</w:t>
      </w:r>
    </w:p>
    <w:p w14:paraId="1AAF6C5B" w14:textId="245B545E" w:rsidR="00D47285" w:rsidRPr="00091C8C" w:rsidRDefault="0089224A" w:rsidP="00091C8C">
      <w:pPr>
        <w:pStyle w:val="FixListStyle"/>
        <w:spacing w:after="260" w:line="280" w:lineRule="exact"/>
        <w:ind w:right="0"/>
        <w:jc w:val="both"/>
        <w:rPr>
          <w:rFonts w:ascii="Times New Roman" w:hAnsi="Times New Roman"/>
        </w:rPr>
      </w:pPr>
      <w:r w:rsidRPr="00091C8C">
        <w:rPr>
          <w:rFonts w:ascii="Times New Roman" w:hAnsi="Times New Roman"/>
        </w:rPr>
        <w:tab/>
      </w:r>
      <w:r w:rsidR="002203D0" w:rsidRPr="00091C8C">
        <w:rPr>
          <w:rFonts w:ascii="Times New Roman" w:hAnsi="Times New Roman"/>
        </w:rPr>
        <w:t xml:space="preserve">Of the </w:t>
      </w:r>
      <w:r w:rsidR="00CD77A6" w:rsidRPr="00091C8C">
        <w:rPr>
          <w:rFonts w:ascii="Times New Roman" w:hAnsi="Times New Roman"/>
        </w:rPr>
        <w:t>numer</w:t>
      </w:r>
      <w:r w:rsidR="001C53BF" w:rsidRPr="00091C8C">
        <w:rPr>
          <w:rFonts w:ascii="Times New Roman" w:hAnsi="Times New Roman"/>
        </w:rPr>
        <w:t>ous</w:t>
      </w:r>
      <w:r w:rsidR="002203D0" w:rsidRPr="00091C8C">
        <w:rPr>
          <w:rFonts w:ascii="Times New Roman" w:hAnsi="Times New Roman"/>
        </w:rPr>
        <w:t xml:space="preserve"> respects in which the </w:t>
      </w:r>
      <w:r w:rsidR="00102835" w:rsidRPr="00091C8C">
        <w:rPr>
          <w:rFonts w:ascii="Times New Roman" w:hAnsi="Times New Roman"/>
        </w:rPr>
        <w:t>regime</w:t>
      </w:r>
      <w:r w:rsidR="005347EF" w:rsidRPr="00091C8C">
        <w:rPr>
          <w:rFonts w:ascii="Times New Roman" w:hAnsi="Times New Roman"/>
        </w:rPr>
        <w:t xml:space="preserve"> </w:t>
      </w:r>
      <w:r w:rsidR="002F2F5B" w:rsidRPr="00091C8C">
        <w:rPr>
          <w:rFonts w:ascii="Times New Roman" w:hAnsi="Times New Roman"/>
        </w:rPr>
        <w:t xml:space="preserve">for the administrative grant of an extension of the term of a standard patent relating to a pharmaceutical substance </w:t>
      </w:r>
      <w:r w:rsidR="00B131F7" w:rsidRPr="00091C8C">
        <w:rPr>
          <w:rFonts w:ascii="Times New Roman" w:hAnsi="Times New Roman"/>
        </w:rPr>
        <w:t xml:space="preserve">introduced by the 1989 Act </w:t>
      </w:r>
      <w:r w:rsidR="00D747F2" w:rsidRPr="00091C8C">
        <w:rPr>
          <w:rFonts w:ascii="Times New Roman" w:hAnsi="Times New Roman"/>
        </w:rPr>
        <w:t xml:space="preserve">differed from </w:t>
      </w:r>
      <w:r w:rsidR="00302D74" w:rsidRPr="00091C8C">
        <w:rPr>
          <w:rFonts w:ascii="Times New Roman" w:hAnsi="Times New Roman"/>
        </w:rPr>
        <w:t>the</w:t>
      </w:r>
      <w:r w:rsidR="002F2F5B" w:rsidRPr="00091C8C">
        <w:rPr>
          <w:rFonts w:ascii="Times New Roman" w:hAnsi="Times New Roman"/>
        </w:rPr>
        <w:t xml:space="preserve"> earlier</w:t>
      </w:r>
      <w:r w:rsidR="00F46797" w:rsidRPr="00091C8C">
        <w:rPr>
          <w:rFonts w:ascii="Times New Roman" w:hAnsi="Times New Roman"/>
        </w:rPr>
        <w:t xml:space="preserve"> regime for the </w:t>
      </w:r>
      <w:r w:rsidR="00522023" w:rsidRPr="00091C8C">
        <w:rPr>
          <w:rFonts w:ascii="Times New Roman" w:hAnsi="Times New Roman"/>
        </w:rPr>
        <w:t xml:space="preserve">curial extension of a patent </w:t>
      </w:r>
      <w:r w:rsidR="00BD6048" w:rsidRPr="00091C8C">
        <w:rPr>
          <w:rFonts w:ascii="Times New Roman" w:hAnsi="Times New Roman"/>
        </w:rPr>
        <w:t>or grant of a new patent</w:t>
      </w:r>
      <w:r w:rsidR="00D74847" w:rsidRPr="00091C8C">
        <w:rPr>
          <w:rFonts w:ascii="Times New Roman" w:hAnsi="Times New Roman"/>
        </w:rPr>
        <w:t xml:space="preserve">, </w:t>
      </w:r>
      <w:r w:rsidR="006042A4" w:rsidRPr="00091C8C">
        <w:rPr>
          <w:rFonts w:ascii="Times New Roman" w:hAnsi="Times New Roman"/>
        </w:rPr>
        <w:t>two are of p</w:t>
      </w:r>
      <w:r w:rsidR="00D74847" w:rsidRPr="00091C8C">
        <w:rPr>
          <w:rFonts w:ascii="Times New Roman" w:hAnsi="Times New Roman"/>
        </w:rPr>
        <w:t>resent</w:t>
      </w:r>
      <w:r w:rsidR="006042A4" w:rsidRPr="00091C8C">
        <w:rPr>
          <w:rFonts w:ascii="Times New Roman" w:hAnsi="Times New Roman"/>
        </w:rPr>
        <w:t xml:space="preserve"> significance. </w:t>
      </w:r>
      <w:r w:rsidR="001C53BF" w:rsidRPr="00091C8C">
        <w:rPr>
          <w:rFonts w:ascii="Times New Roman" w:hAnsi="Times New Roman"/>
        </w:rPr>
        <w:t xml:space="preserve">The first </w:t>
      </w:r>
      <w:r w:rsidR="00E619B1" w:rsidRPr="00091C8C">
        <w:rPr>
          <w:rFonts w:ascii="Times New Roman" w:hAnsi="Times New Roman"/>
        </w:rPr>
        <w:t>wa</w:t>
      </w:r>
      <w:r w:rsidR="001C53BF" w:rsidRPr="00091C8C">
        <w:rPr>
          <w:rFonts w:ascii="Times New Roman" w:hAnsi="Times New Roman"/>
        </w:rPr>
        <w:t xml:space="preserve">s </w:t>
      </w:r>
      <w:r w:rsidR="000C55DC" w:rsidRPr="00091C8C">
        <w:rPr>
          <w:rFonts w:ascii="Times New Roman" w:hAnsi="Times New Roman"/>
        </w:rPr>
        <w:t>abandon</w:t>
      </w:r>
      <w:r w:rsidR="00BD6048" w:rsidRPr="00091C8C">
        <w:rPr>
          <w:rFonts w:ascii="Times New Roman" w:hAnsi="Times New Roman"/>
        </w:rPr>
        <w:t>ment of</w:t>
      </w:r>
      <w:r w:rsidR="000C55DC" w:rsidRPr="00091C8C">
        <w:rPr>
          <w:rFonts w:ascii="Times New Roman" w:hAnsi="Times New Roman"/>
        </w:rPr>
        <w:t xml:space="preserve"> </w:t>
      </w:r>
      <w:r w:rsidR="005347EF" w:rsidRPr="00091C8C">
        <w:rPr>
          <w:rFonts w:ascii="Times New Roman" w:hAnsi="Times New Roman"/>
        </w:rPr>
        <w:t xml:space="preserve">the </w:t>
      </w:r>
      <w:r w:rsidR="00C457F6" w:rsidRPr="00091C8C">
        <w:rPr>
          <w:rFonts w:ascii="Times New Roman" w:hAnsi="Times New Roman"/>
        </w:rPr>
        <w:t>former</w:t>
      </w:r>
      <w:r w:rsidR="004258B2" w:rsidRPr="00091C8C">
        <w:rPr>
          <w:rFonts w:ascii="Times New Roman" w:hAnsi="Times New Roman"/>
        </w:rPr>
        <w:t xml:space="preserve"> </w:t>
      </w:r>
      <w:r w:rsidR="00741BEF" w:rsidRPr="00091C8C">
        <w:rPr>
          <w:rFonts w:ascii="Times New Roman" w:hAnsi="Times New Roman"/>
        </w:rPr>
        <w:t>provision for</w:t>
      </w:r>
      <w:r w:rsidR="000C55DC" w:rsidRPr="00091C8C">
        <w:rPr>
          <w:rFonts w:ascii="Times New Roman" w:hAnsi="Times New Roman"/>
        </w:rPr>
        <w:t xml:space="preserve"> a grant</w:t>
      </w:r>
      <w:r w:rsidR="008F4AFC" w:rsidRPr="00091C8C">
        <w:rPr>
          <w:rFonts w:ascii="Times New Roman" w:hAnsi="Times New Roman"/>
        </w:rPr>
        <w:t xml:space="preserve"> </w:t>
      </w:r>
      <w:r w:rsidR="0095282E" w:rsidRPr="00091C8C">
        <w:rPr>
          <w:rFonts w:ascii="Times New Roman" w:hAnsi="Times New Roman"/>
        </w:rPr>
        <w:t xml:space="preserve">of a new patent </w:t>
      </w:r>
      <w:r w:rsidR="008F4AFC" w:rsidRPr="00091C8C">
        <w:rPr>
          <w:rFonts w:ascii="Times New Roman" w:hAnsi="Times New Roman"/>
        </w:rPr>
        <w:t>in favour of</w:t>
      </w:r>
      <w:r w:rsidR="00C457F6" w:rsidRPr="00091C8C">
        <w:rPr>
          <w:rFonts w:ascii="Times New Roman" w:hAnsi="Times New Roman"/>
        </w:rPr>
        <w:t xml:space="preserve"> an</w:t>
      </w:r>
      <w:r w:rsidR="006047DE" w:rsidRPr="00091C8C">
        <w:rPr>
          <w:rFonts w:ascii="Times New Roman" w:hAnsi="Times New Roman"/>
        </w:rPr>
        <w:t xml:space="preserve"> extension of the term of </w:t>
      </w:r>
      <w:r w:rsidR="0010013B" w:rsidRPr="00091C8C">
        <w:rPr>
          <w:rFonts w:ascii="Times New Roman" w:hAnsi="Times New Roman"/>
        </w:rPr>
        <w:t xml:space="preserve">a patent </w:t>
      </w:r>
      <w:r w:rsidR="006623A2" w:rsidRPr="00091C8C">
        <w:rPr>
          <w:rFonts w:ascii="Times New Roman" w:hAnsi="Times New Roman"/>
        </w:rPr>
        <w:t>in every case</w:t>
      </w:r>
      <w:r w:rsidR="00400954" w:rsidRPr="00091C8C">
        <w:rPr>
          <w:rFonts w:ascii="Times New Roman" w:hAnsi="Times New Roman"/>
        </w:rPr>
        <w:t xml:space="preserve">. </w:t>
      </w:r>
      <w:r w:rsidR="00417863" w:rsidRPr="00091C8C">
        <w:rPr>
          <w:rFonts w:ascii="Times New Roman" w:hAnsi="Times New Roman"/>
        </w:rPr>
        <w:t xml:space="preserve">The second </w:t>
      </w:r>
      <w:r w:rsidR="0072017E" w:rsidRPr="00091C8C">
        <w:rPr>
          <w:rFonts w:ascii="Times New Roman" w:hAnsi="Times New Roman"/>
        </w:rPr>
        <w:t>wa</w:t>
      </w:r>
      <w:r w:rsidR="00417863" w:rsidRPr="00091C8C">
        <w:rPr>
          <w:rFonts w:ascii="Times New Roman" w:hAnsi="Times New Roman"/>
        </w:rPr>
        <w:t xml:space="preserve">s </w:t>
      </w:r>
      <w:r w:rsidR="00C457F6" w:rsidRPr="00091C8C">
        <w:rPr>
          <w:rFonts w:ascii="Times New Roman" w:hAnsi="Times New Roman"/>
        </w:rPr>
        <w:t>abandon</w:t>
      </w:r>
      <w:r w:rsidR="0020314F" w:rsidRPr="00091C8C">
        <w:rPr>
          <w:rFonts w:ascii="Times New Roman" w:hAnsi="Times New Roman"/>
        </w:rPr>
        <w:t>ment of</w:t>
      </w:r>
      <w:r w:rsidR="00D74847" w:rsidRPr="00091C8C">
        <w:rPr>
          <w:rFonts w:ascii="Times New Roman" w:hAnsi="Times New Roman"/>
        </w:rPr>
        <w:t xml:space="preserve"> </w:t>
      </w:r>
      <w:r w:rsidR="00C457F6" w:rsidRPr="00091C8C">
        <w:rPr>
          <w:rFonts w:ascii="Times New Roman" w:hAnsi="Times New Roman"/>
        </w:rPr>
        <w:t>the former</w:t>
      </w:r>
      <w:r w:rsidR="00CC6D6B" w:rsidRPr="00091C8C">
        <w:rPr>
          <w:rFonts w:ascii="Times New Roman" w:hAnsi="Times New Roman"/>
        </w:rPr>
        <w:t xml:space="preserve"> curial</w:t>
      </w:r>
      <w:r w:rsidR="00C457F6" w:rsidRPr="00091C8C">
        <w:rPr>
          <w:rFonts w:ascii="Times New Roman" w:hAnsi="Times New Roman"/>
        </w:rPr>
        <w:t xml:space="preserve"> </w:t>
      </w:r>
      <w:r w:rsidR="004258B2" w:rsidRPr="00091C8C">
        <w:rPr>
          <w:rFonts w:ascii="Times New Roman" w:hAnsi="Times New Roman"/>
        </w:rPr>
        <w:t>discretion</w:t>
      </w:r>
      <w:r w:rsidR="00CE32E5" w:rsidRPr="00091C8C">
        <w:rPr>
          <w:rFonts w:ascii="Times New Roman" w:hAnsi="Times New Roman"/>
        </w:rPr>
        <w:t xml:space="preserve"> </w:t>
      </w:r>
      <w:r w:rsidR="004258B2" w:rsidRPr="00091C8C">
        <w:rPr>
          <w:rFonts w:ascii="Times New Roman" w:hAnsi="Times New Roman"/>
        </w:rPr>
        <w:t xml:space="preserve">as to the </w:t>
      </w:r>
      <w:r w:rsidR="00370F57" w:rsidRPr="00091C8C">
        <w:rPr>
          <w:rFonts w:ascii="Times New Roman" w:hAnsi="Times New Roman"/>
        </w:rPr>
        <w:t xml:space="preserve">period of </w:t>
      </w:r>
      <w:r w:rsidR="00D45C43" w:rsidRPr="00091C8C">
        <w:rPr>
          <w:rFonts w:ascii="Times New Roman" w:hAnsi="Times New Roman"/>
        </w:rPr>
        <w:t>an</w:t>
      </w:r>
      <w:r w:rsidR="00370F57" w:rsidRPr="00091C8C">
        <w:rPr>
          <w:rFonts w:ascii="Times New Roman" w:hAnsi="Times New Roman"/>
        </w:rPr>
        <w:t xml:space="preserve"> extension</w:t>
      </w:r>
      <w:r w:rsidR="00AA4820" w:rsidRPr="00091C8C">
        <w:rPr>
          <w:rFonts w:ascii="Times New Roman" w:hAnsi="Times New Roman"/>
        </w:rPr>
        <w:t xml:space="preserve"> and</w:t>
      </w:r>
      <w:r w:rsidR="00370F57" w:rsidRPr="00091C8C">
        <w:rPr>
          <w:rFonts w:ascii="Times New Roman" w:hAnsi="Times New Roman"/>
        </w:rPr>
        <w:t xml:space="preserve"> as to the </w:t>
      </w:r>
      <w:r w:rsidR="004258B2" w:rsidRPr="00091C8C">
        <w:rPr>
          <w:rFonts w:ascii="Times New Roman" w:hAnsi="Times New Roman"/>
        </w:rPr>
        <w:t xml:space="preserve">conditions </w:t>
      </w:r>
      <w:r w:rsidR="00D45C43" w:rsidRPr="00091C8C">
        <w:rPr>
          <w:rFonts w:ascii="Times New Roman" w:hAnsi="Times New Roman"/>
        </w:rPr>
        <w:t>of an</w:t>
      </w:r>
      <w:r w:rsidR="004258B2" w:rsidRPr="00091C8C">
        <w:rPr>
          <w:rFonts w:ascii="Times New Roman" w:hAnsi="Times New Roman"/>
        </w:rPr>
        <w:t xml:space="preserve"> </w:t>
      </w:r>
      <w:r w:rsidR="00575F22" w:rsidRPr="00091C8C">
        <w:rPr>
          <w:rFonts w:ascii="Times New Roman" w:hAnsi="Times New Roman"/>
        </w:rPr>
        <w:t>extension</w:t>
      </w:r>
      <w:r w:rsidR="00270282" w:rsidRPr="00091C8C">
        <w:rPr>
          <w:rFonts w:ascii="Times New Roman" w:hAnsi="Times New Roman"/>
        </w:rPr>
        <w:t xml:space="preserve"> </w:t>
      </w:r>
      <w:r w:rsidR="00A900D5" w:rsidRPr="00091C8C">
        <w:rPr>
          <w:rFonts w:ascii="Times New Roman" w:hAnsi="Times New Roman"/>
        </w:rPr>
        <w:t xml:space="preserve">in favour of what the </w:t>
      </w:r>
      <w:r w:rsidR="00FD1069" w:rsidRPr="00091C8C">
        <w:rPr>
          <w:rFonts w:ascii="Times New Roman" w:hAnsi="Times New Roman"/>
        </w:rPr>
        <w:t>e</w:t>
      </w:r>
      <w:r w:rsidR="00A900D5" w:rsidRPr="00091C8C">
        <w:rPr>
          <w:rFonts w:ascii="Times New Roman" w:hAnsi="Times New Roman"/>
        </w:rPr>
        <w:t xml:space="preserve">xplanatory </w:t>
      </w:r>
      <w:r w:rsidR="00FD1069" w:rsidRPr="00091C8C">
        <w:rPr>
          <w:rFonts w:ascii="Times New Roman" w:hAnsi="Times New Roman"/>
        </w:rPr>
        <w:t>m</w:t>
      </w:r>
      <w:r w:rsidR="00A900D5" w:rsidRPr="00091C8C">
        <w:rPr>
          <w:rFonts w:ascii="Times New Roman" w:hAnsi="Times New Roman"/>
        </w:rPr>
        <w:t>emorandum</w:t>
      </w:r>
      <w:r w:rsidR="00E1192A" w:rsidRPr="00091C8C">
        <w:rPr>
          <w:rFonts w:ascii="Times New Roman" w:hAnsi="Times New Roman"/>
        </w:rPr>
        <w:t xml:space="preserve"> for the Bill for </w:t>
      </w:r>
      <w:r w:rsidR="00655BD7" w:rsidRPr="00091C8C">
        <w:rPr>
          <w:rFonts w:ascii="Times New Roman" w:hAnsi="Times New Roman"/>
        </w:rPr>
        <w:t xml:space="preserve">the </w:t>
      </w:r>
      <w:r w:rsidR="00E1192A" w:rsidRPr="00091C8C">
        <w:rPr>
          <w:rFonts w:ascii="Times New Roman" w:hAnsi="Times New Roman"/>
        </w:rPr>
        <w:t xml:space="preserve">1989 Act </w:t>
      </w:r>
      <w:r w:rsidR="00243C27" w:rsidRPr="00091C8C">
        <w:rPr>
          <w:rFonts w:ascii="Times New Roman" w:hAnsi="Times New Roman"/>
        </w:rPr>
        <w:t xml:space="preserve">referred to </w:t>
      </w:r>
      <w:r w:rsidR="00E1192A" w:rsidRPr="00091C8C">
        <w:rPr>
          <w:rFonts w:ascii="Times New Roman" w:hAnsi="Times New Roman"/>
        </w:rPr>
        <w:t>as "more straightforward administrative procedures"</w:t>
      </w:r>
      <w:r w:rsidR="00E1192A" w:rsidRPr="00091C8C">
        <w:rPr>
          <w:rStyle w:val="FootnoteReference"/>
          <w:rFonts w:ascii="Times New Roman" w:hAnsi="Times New Roman"/>
          <w:sz w:val="24"/>
        </w:rPr>
        <w:footnoteReference w:id="61"/>
      </w:r>
      <w:r w:rsidR="006623A2" w:rsidRPr="00091C8C">
        <w:rPr>
          <w:rFonts w:ascii="Times New Roman" w:hAnsi="Times New Roman"/>
        </w:rPr>
        <w:t xml:space="preserve">. </w:t>
      </w:r>
    </w:p>
    <w:p w14:paraId="2F71E0D5" w14:textId="46413DDE" w:rsidR="007E2F66" w:rsidRPr="00091C8C" w:rsidRDefault="00D47285" w:rsidP="00091C8C">
      <w:pPr>
        <w:pStyle w:val="FixListStyle"/>
        <w:spacing w:after="260" w:line="280" w:lineRule="exact"/>
        <w:ind w:right="0"/>
        <w:jc w:val="both"/>
        <w:rPr>
          <w:rFonts w:ascii="Times New Roman" w:hAnsi="Times New Roman"/>
        </w:rPr>
      </w:pPr>
      <w:r w:rsidRPr="00091C8C">
        <w:rPr>
          <w:rFonts w:ascii="Times New Roman" w:hAnsi="Times New Roman"/>
        </w:rPr>
        <w:tab/>
      </w:r>
      <w:r w:rsidR="00383C4E" w:rsidRPr="00091C8C">
        <w:rPr>
          <w:rFonts w:ascii="Times New Roman" w:hAnsi="Times New Roman"/>
        </w:rPr>
        <w:t>T</w:t>
      </w:r>
      <w:r w:rsidR="003A60C6" w:rsidRPr="00091C8C">
        <w:rPr>
          <w:rFonts w:ascii="Times New Roman" w:hAnsi="Times New Roman"/>
        </w:rPr>
        <w:t xml:space="preserve">he </w:t>
      </w:r>
      <w:r w:rsidR="00EB551E" w:rsidRPr="00091C8C">
        <w:rPr>
          <w:rFonts w:ascii="Times New Roman" w:hAnsi="Times New Roman"/>
        </w:rPr>
        <w:t>approach</w:t>
      </w:r>
      <w:r w:rsidR="0058646F" w:rsidRPr="00091C8C">
        <w:rPr>
          <w:rFonts w:ascii="Times New Roman" w:hAnsi="Times New Roman"/>
        </w:rPr>
        <w:t xml:space="preserve"> </w:t>
      </w:r>
      <w:r w:rsidR="00383C4E" w:rsidRPr="00091C8C">
        <w:rPr>
          <w:rFonts w:ascii="Times New Roman" w:hAnsi="Times New Roman"/>
        </w:rPr>
        <w:t xml:space="preserve">adopted </w:t>
      </w:r>
      <w:r w:rsidR="00EE3328" w:rsidRPr="00091C8C">
        <w:rPr>
          <w:rFonts w:ascii="Times New Roman" w:hAnsi="Times New Roman"/>
        </w:rPr>
        <w:t xml:space="preserve">in the 1989 Act, as </w:t>
      </w:r>
      <w:r w:rsidR="00501926" w:rsidRPr="00091C8C">
        <w:rPr>
          <w:rFonts w:ascii="Times New Roman" w:hAnsi="Times New Roman"/>
        </w:rPr>
        <w:t xml:space="preserve">later </w:t>
      </w:r>
      <w:r w:rsidR="00EE3328" w:rsidRPr="00091C8C">
        <w:rPr>
          <w:rFonts w:ascii="Times New Roman" w:hAnsi="Times New Roman"/>
        </w:rPr>
        <w:t xml:space="preserve">carried through into </w:t>
      </w:r>
      <w:r w:rsidR="00225A8C" w:rsidRPr="00091C8C">
        <w:rPr>
          <w:rFonts w:ascii="Times New Roman" w:hAnsi="Times New Roman"/>
        </w:rPr>
        <w:t>Pt</w:t>
      </w:r>
      <w:r w:rsidR="001166A8" w:rsidRPr="00091C8C">
        <w:rPr>
          <w:rFonts w:ascii="Times New Roman" w:hAnsi="Times New Roman"/>
        </w:rPr>
        <w:t> </w:t>
      </w:r>
      <w:r w:rsidR="00225A8C" w:rsidRPr="00091C8C">
        <w:rPr>
          <w:rFonts w:ascii="Times New Roman" w:hAnsi="Times New Roman"/>
        </w:rPr>
        <w:t>3 of Ch</w:t>
      </w:r>
      <w:r w:rsidR="001166A8" w:rsidRPr="00091C8C">
        <w:rPr>
          <w:rFonts w:ascii="Times New Roman" w:hAnsi="Times New Roman"/>
        </w:rPr>
        <w:t> </w:t>
      </w:r>
      <w:r w:rsidR="00225A8C" w:rsidRPr="00091C8C">
        <w:rPr>
          <w:rFonts w:ascii="Times New Roman" w:hAnsi="Times New Roman"/>
        </w:rPr>
        <w:t xml:space="preserve">6 of </w:t>
      </w:r>
      <w:r w:rsidR="00EE3328" w:rsidRPr="00091C8C">
        <w:rPr>
          <w:rFonts w:ascii="Times New Roman" w:hAnsi="Times New Roman"/>
        </w:rPr>
        <w:t xml:space="preserve">the Act as amended by the 1998 Act, </w:t>
      </w:r>
      <w:r w:rsidR="00383C4E" w:rsidRPr="00091C8C">
        <w:rPr>
          <w:rFonts w:ascii="Times New Roman" w:hAnsi="Times New Roman"/>
        </w:rPr>
        <w:t xml:space="preserve">was </w:t>
      </w:r>
      <w:r w:rsidR="00F919EA" w:rsidRPr="00091C8C">
        <w:rPr>
          <w:rFonts w:ascii="Times New Roman" w:hAnsi="Times New Roman"/>
        </w:rPr>
        <w:t xml:space="preserve">to make </w:t>
      </w:r>
      <w:r w:rsidR="00383C4E" w:rsidRPr="00091C8C">
        <w:rPr>
          <w:rFonts w:ascii="Times New Roman" w:hAnsi="Times New Roman"/>
        </w:rPr>
        <w:t>automatic</w:t>
      </w:r>
      <w:r w:rsidR="0008418F" w:rsidRPr="00091C8C">
        <w:rPr>
          <w:rFonts w:ascii="Times New Roman" w:hAnsi="Times New Roman"/>
        </w:rPr>
        <w:t xml:space="preserve"> and </w:t>
      </w:r>
      <w:r w:rsidR="00687446" w:rsidRPr="00091C8C">
        <w:rPr>
          <w:rFonts w:ascii="Times New Roman" w:hAnsi="Times New Roman"/>
        </w:rPr>
        <w:t>exhaustive</w:t>
      </w:r>
      <w:r w:rsidR="001E7B04" w:rsidRPr="00091C8C">
        <w:rPr>
          <w:rFonts w:ascii="Times New Roman" w:hAnsi="Times New Roman"/>
        </w:rPr>
        <w:t xml:space="preserve"> legislative</w:t>
      </w:r>
      <w:r w:rsidR="00687446" w:rsidRPr="00091C8C">
        <w:rPr>
          <w:rFonts w:ascii="Times New Roman" w:hAnsi="Times New Roman"/>
        </w:rPr>
        <w:t xml:space="preserve"> prescription</w:t>
      </w:r>
      <w:r w:rsidR="000C0C84" w:rsidRPr="00091C8C">
        <w:rPr>
          <w:rFonts w:ascii="Times New Roman" w:hAnsi="Times New Roman"/>
        </w:rPr>
        <w:t xml:space="preserve"> </w:t>
      </w:r>
      <w:r w:rsidR="0052400C" w:rsidRPr="00091C8C">
        <w:rPr>
          <w:rFonts w:ascii="Times New Roman" w:hAnsi="Times New Roman"/>
        </w:rPr>
        <w:t>as to</w:t>
      </w:r>
      <w:r w:rsidR="00AF57F4" w:rsidRPr="00091C8C">
        <w:rPr>
          <w:rFonts w:ascii="Times New Roman" w:hAnsi="Times New Roman"/>
        </w:rPr>
        <w:t xml:space="preserve">: </w:t>
      </w:r>
      <w:r w:rsidR="0058646F" w:rsidRPr="00091C8C">
        <w:rPr>
          <w:rFonts w:ascii="Times New Roman" w:hAnsi="Times New Roman"/>
        </w:rPr>
        <w:t>the</w:t>
      </w:r>
      <w:r w:rsidR="004369FD" w:rsidRPr="00091C8C">
        <w:rPr>
          <w:rFonts w:ascii="Times New Roman" w:hAnsi="Times New Roman"/>
        </w:rPr>
        <w:t xml:space="preserve"> period of </w:t>
      </w:r>
      <w:r w:rsidR="00AF57F4" w:rsidRPr="00091C8C">
        <w:rPr>
          <w:rFonts w:ascii="Times New Roman" w:hAnsi="Times New Roman"/>
        </w:rPr>
        <w:t>the</w:t>
      </w:r>
      <w:r w:rsidR="004369FD" w:rsidRPr="00091C8C">
        <w:rPr>
          <w:rFonts w:ascii="Times New Roman" w:hAnsi="Times New Roman"/>
        </w:rPr>
        <w:t xml:space="preserve"> extension</w:t>
      </w:r>
      <w:r w:rsidR="00A501CE" w:rsidRPr="00091C8C">
        <w:rPr>
          <w:rFonts w:ascii="Times New Roman" w:hAnsi="Times New Roman"/>
        </w:rPr>
        <w:t>;</w:t>
      </w:r>
      <w:r w:rsidR="00C9436A" w:rsidRPr="00091C8C">
        <w:rPr>
          <w:rFonts w:ascii="Times New Roman" w:hAnsi="Times New Roman"/>
        </w:rPr>
        <w:t xml:space="preserve"> </w:t>
      </w:r>
      <w:r w:rsidR="004B19A8" w:rsidRPr="00091C8C">
        <w:rPr>
          <w:rFonts w:ascii="Times New Roman" w:hAnsi="Times New Roman"/>
        </w:rPr>
        <w:t xml:space="preserve">the </w:t>
      </w:r>
      <w:r w:rsidR="00740346" w:rsidRPr="00091C8C">
        <w:rPr>
          <w:rFonts w:ascii="Times New Roman" w:hAnsi="Times New Roman"/>
        </w:rPr>
        <w:t>limitation</w:t>
      </w:r>
      <w:r w:rsidR="004B19A8" w:rsidRPr="00091C8C">
        <w:rPr>
          <w:rFonts w:ascii="Times New Roman" w:hAnsi="Times New Roman"/>
        </w:rPr>
        <w:t xml:space="preserve"> of the </w:t>
      </w:r>
      <w:r w:rsidR="00740346" w:rsidRPr="00091C8C">
        <w:rPr>
          <w:rFonts w:ascii="Times New Roman" w:hAnsi="Times New Roman"/>
        </w:rPr>
        <w:t>exclusive</w:t>
      </w:r>
      <w:r w:rsidR="004B19A8" w:rsidRPr="00091C8C">
        <w:rPr>
          <w:rFonts w:ascii="Times New Roman" w:hAnsi="Times New Roman"/>
        </w:rPr>
        <w:t xml:space="preserve"> rights </w:t>
      </w:r>
      <w:r w:rsidR="00740346" w:rsidRPr="00091C8C">
        <w:rPr>
          <w:rFonts w:ascii="Times New Roman" w:hAnsi="Times New Roman"/>
        </w:rPr>
        <w:t xml:space="preserve">of the patentee during the </w:t>
      </w:r>
      <w:r w:rsidR="000D0E62" w:rsidRPr="00091C8C">
        <w:rPr>
          <w:rFonts w:ascii="Times New Roman" w:hAnsi="Times New Roman"/>
        </w:rPr>
        <w:t>period of the extension</w:t>
      </w:r>
      <w:r w:rsidR="00A501CE" w:rsidRPr="00091C8C">
        <w:rPr>
          <w:rFonts w:ascii="Times New Roman" w:hAnsi="Times New Roman"/>
        </w:rPr>
        <w:t>;</w:t>
      </w:r>
      <w:r w:rsidR="000D0E62" w:rsidRPr="00091C8C">
        <w:rPr>
          <w:rFonts w:ascii="Times New Roman" w:hAnsi="Times New Roman"/>
        </w:rPr>
        <w:t xml:space="preserve"> and </w:t>
      </w:r>
      <w:r w:rsidR="00440FC9" w:rsidRPr="00091C8C">
        <w:rPr>
          <w:rFonts w:ascii="Times New Roman" w:hAnsi="Times New Roman"/>
        </w:rPr>
        <w:t>the rights of the</w:t>
      </w:r>
      <w:r w:rsidR="00C14F4C" w:rsidRPr="00091C8C">
        <w:rPr>
          <w:rFonts w:ascii="Times New Roman" w:hAnsi="Times New Roman"/>
        </w:rPr>
        <w:t xml:space="preserve"> patentee </w:t>
      </w:r>
      <w:r w:rsidR="00440FC9" w:rsidRPr="00091C8C">
        <w:rPr>
          <w:rFonts w:ascii="Times New Roman" w:hAnsi="Times New Roman"/>
        </w:rPr>
        <w:t xml:space="preserve">in respect of acts of infringement which occurred after the date of expiration of the original term and before the </w:t>
      </w:r>
      <w:r w:rsidR="007546FF" w:rsidRPr="00091C8C">
        <w:rPr>
          <w:rFonts w:ascii="Times New Roman" w:hAnsi="Times New Roman"/>
        </w:rPr>
        <w:t>grant</w:t>
      </w:r>
      <w:r w:rsidR="00AC136E" w:rsidRPr="00091C8C">
        <w:rPr>
          <w:rFonts w:ascii="Times New Roman" w:hAnsi="Times New Roman"/>
        </w:rPr>
        <w:t xml:space="preserve"> of the extension</w:t>
      </w:r>
      <w:r w:rsidR="002075C1" w:rsidRPr="00091C8C">
        <w:rPr>
          <w:rFonts w:ascii="Times New Roman" w:hAnsi="Times New Roman"/>
        </w:rPr>
        <w:t>.</w:t>
      </w:r>
      <w:r w:rsidR="009E6D42" w:rsidRPr="00091C8C">
        <w:rPr>
          <w:rFonts w:ascii="Times New Roman" w:hAnsi="Times New Roman"/>
        </w:rPr>
        <w:t xml:space="preserve"> </w:t>
      </w:r>
    </w:p>
    <w:p w14:paraId="09170C21" w14:textId="065F35E8" w:rsidR="00FB6EAD" w:rsidRPr="00091C8C" w:rsidRDefault="007E2F66" w:rsidP="00091C8C">
      <w:pPr>
        <w:pStyle w:val="FixListStyle"/>
        <w:spacing w:after="260" w:line="280" w:lineRule="exact"/>
        <w:ind w:right="0"/>
        <w:jc w:val="both"/>
        <w:rPr>
          <w:rFonts w:ascii="Times New Roman" w:hAnsi="Times New Roman"/>
        </w:rPr>
      </w:pPr>
      <w:r w:rsidRPr="00091C8C">
        <w:rPr>
          <w:rFonts w:ascii="Times New Roman" w:hAnsi="Times New Roman"/>
        </w:rPr>
        <w:tab/>
        <w:t>Within that context, t</w:t>
      </w:r>
      <w:r w:rsidR="004946F3" w:rsidRPr="00091C8C">
        <w:rPr>
          <w:rFonts w:ascii="Times New Roman" w:hAnsi="Times New Roman"/>
        </w:rPr>
        <w:t xml:space="preserve">he </w:t>
      </w:r>
      <w:r w:rsidR="00E51159" w:rsidRPr="00091C8C">
        <w:rPr>
          <w:rFonts w:ascii="Times New Roman" w:hAnsi="Times New Roman"/>
        </w:rPr>
        <w:t>provision</w:t>
      </w:r>
      <w:r w:rsidR="00D462EF" w:rsidRPr="00091C8C">
        <w:rPr>
          <w:rFonts w:ascii="Times New Roman" w:hAnsi="Times New Roman"/>
        </w:rPr>
        <w:t xml:space="preserve"> of the 1952 Act as amended by the 1989 Act which was the progenitor of</w:t>
      </w:r>
      <w:r w:rsidR="00E51159" w:rsidRPr="00091C8C">
        <w:rPr>
          <w:rFonts w:ascii="Times New Roman" w:hAnsi="Times New Roman"/>
        </w:rPr>
        <w:t xml:space="preserve"> </w:t>
      </w:r>
      <w:r w:rsidR="00B75159" w:rsidRPr="00091C8C">
        <w:rPr>
          <w:rFonts w:ascii="Times New Roman" w:hAnsi="Times New Roman"/>
        </w:rPr>
        <w:t>s</w:t>
      </w:r>
      <w:r w:rsidR="004C38DA" w:rsidRPr="00091C8C">
        <w:rPr>
          <w:rFonts w:ascii="Times New Roman" w:hAnsi="Times New Roman"/>
        </w:rPr>
        <w:t> </w:t>
      </w:r>
      <w:r w:rsidR="00B75159" w:rsidRPr="00091C8C">
        <w:rPr>
          <w:rFonts w:ascii="Times New Roman" w:hAnsi="Times New Roman"/>
        </w:rPr>
        <w:t>79 of the Act</w:t>
      </w:r>
      <w:r w:rsidR="00B75159" w:rsidRPr="00091C8C">
        <w:rPr>
          <w:rStyle w:val="FootnoteReference"/>
          <w:rFonts w:ascii="Times New Roman" w:hAnsi="Times New Roman"/>
          <w:sz w:val="24"/>
        </w:rPr>
        <w:footnoteReference w:id="62"/>
      </w:r>
      <w:r w:rsidR="009C0AA7" w:rsidRPr="00091C8C">
        <w:rPr>
          <w:rFonts w:ascii="Times New Roman" w:hAnsi="Times New Roman"/>
        </w:rPr>
        <w:t xml:space="preserve"> was explained in the </w:t>
      </w:r>
      <w:r w:rsidR="009B11E3" w:rsidRPr="00091C8C">
        <w:rPr>
          <w:rFonts w:ascii="Times New Roman" w:hAnsi="Times New Roman"/>
        </w:rPr>
        <w:t>e</w:t>
      </w:r>
      <w:r w:rsidR="009C0AA7" w:rsidRPr="00091C8C">
        <w:rPr>
          <w:rFonts w:ascii="Times New Roman" w:hAnsi="Times New Roman"/>
        </w:rPr>
        <w:t xml:space="preserve">xplanatory </w:t>
      </w:r>
      <w:r w:rsidR="009B11E3" w:rsidRPr="00091C8C">
        <w:rPr>
          <w:rFonts w:ascii="Times New Roman" w:hAnsi="Times New Roman"/>
        </w:rPr>
        <w:t>m</w:t>
      </w:r>
      <w:r w:rsidR="009C0AA7" w:rsidRPr="00091C8C">
        <w:rPr>
          <w:rFonts w:ascii="Times New Roman" w:hAnsi="Times New Roman"/>
        </w:rPr>
        <w:t>em</w:t>
      </w:r>
      <w:r w:rsidR="00036418" w:rsidRPr="00091C8C">
        <w:rPr>
          <w:rFonts w:ascii="Times New Roman" w:hAnsi="Times New Roman"/>
        </w:rPr>
        <w:t>o</w:t>
      </w:r>
      <w:r w:rsidR="009C0AA7" w:rsidRPr="00091C8C">
        <w:rPr>
          <w:rFonts w:ascii="Times New Roman" w:hAnsi="Times New Roman"/>
        </w:rPr>
        <w:t>randum</w:t>
      </w:r>
      <w:r w:rsidR="00BC5B7B" w:rsidRPr="00091C8C">
        <w:rPr>
          <w:rFonts w:ascii="Times New Roman" w:hAnsi="Times New Roman"/>
        </w:rPr>
        <w:t xml:space="preserve"> for the Bill for</w:t>
      </w:r>
      <w:r w:rsidR="00036418" w:rsidRPr="00091C8C">
        <w:rPr>
          <w:rFonts w:ascii="Times New Roman" w:hAnsi="Times New Roman"/>
        </w:rPr>
        <w:t xml:space="preserve"> </w:t>
      </w:r>
      <w:r w:rsidRPr="00091C8C">
        <w:rPr>
          <w:rFonts w:ascii="Times New Roman" w:hAnsi="Times New Roman"/>
        </w:rPr>
        <w:t xml:space="preserve">the 1989 Act to </w:t>
      </w:r>
      <w:r w:rsidR="00036418" w:rsidRPr="00091C8C">
        <w:rPr>
          <w:rFonts w:ascii="Times New Roman" w:hAnsi="Times New Roman"/>
        </w:rPr>
        <w:t xml:space="preserve">have </w:t>
      </w:r>
      <w:r w:rsidR="00611826" w:rsidRPr="00091C8C">
        <w:rPr>
          <w:rFonts w:ascii="Times New Roman" w:hAnsi="Times New Roman"/>
        </w:rPr>
        <w:t xml:space="preserve">had </w:t>
      </w:r>
      <w:r w:rsidR="00036418" w:rsidRPr="00091C8C">
        <w:rPr>
          <w:rFonts w:ascii="Times New Roman" w:hAnsi="Times New Roman"/>
        </w:rPr>
        <w:t>"</w:t>
      </w:r>
      <w:r w:rsidR="00945335" w:rsidRPr="00091C8C">
        <w:rPr>
          <w:rFonts w:ascii="Times New Roman" w:hAnsi="Times New Roman"/>
        </w:rPr>
        <w:t>the effect that, where a patent's term is extended after the original term expired, the patent</w:t>
      </w:r>
      <w:r w:rsidR="0075296A" w:rsidRPr="00091C8C">
        <w:rPr>
          <w:rFonts w:ascii="Times New Roman" w:hAnsi="Times New Roman"/>
        </w:rPr>
        <w:t xml:space="preserve">ee's rights will backdate to the </w:t>
      </w:r>
      <w:r w:rsidR="00440FC9" w:rsidRPr="00091C8C">
        <w:rPr>
          <w:rFonts w:ascii="Times New Roman" w:hAnsi="Times New Roman"/>
        </w:rPr>
        <w:t xml:space="preserve">date of </w:t>
      </w:r>
      <w:r w:rsidR="0075296A" w:rsidRPr="00091C8C">
        <w:rPr>
          <w:rFonts w:ascii="Times New Roman" w:hAnsi="Times New Roman"/>
        </w:rPr>
        <w:t>expiry"</w:t>
      </w:r>
      <w:r w:rsidR="0026707B" w:rsidRPr="00091C8C">
        <w:rPr>
          <w:rStyle w:val="FootnoteReference"/>
          <w:rFonts w:ascii="Times New Roman" w:hAnsi="Times New Roman"/>
          <w:sz w:val="24"/>
        </w:rPr>
        <w:footnoteReference w:id="63"/>
      </w:r>
      <w:r w:rsidR="0026707B" w:rsidRPr="00091C8C">
        <w:rPr>
          <w:rFonts w:ascii="Times New Roman" w:hAnsi="Times New Roman"/>
        </w:rPr>
        <w:t>.</w:t>
      </w:r>
      <w:r w:rsidR="00611826" w:rsidRPr="00091C8C">
        <w:rPr>
          <w:rFonts w:ascii="Times New Roman" w:hAnsi="Times New Roman"/>
        </w:rPr>
        <w:t xml:space="preserve"> </w:t>
      </w:r>
      <w:r w:rsidR="00FB6EAD" w:rsidRPr="00091C8C">
        <w:rPr>
          <w:rFonts w:ascii="Times New Roman" w:hAnsi="Times New Roman"/>
        </w:rPr>
        <w:t>It was the equivalent to s</w:t>
      </w:r>
      <w:r w:rsidR="00777CA3" w:rsidRPr="00091C8C">
        <w:rPr>
          <w:rFonts w:ascii="Times New Roman" w:hAnsi="Times New Roman"/>
        </w:rPr>
        <w:t> </w:t>
      </w:r>
      <w:r w:rsidR="00FB6EAD" w:rsidRPr="00091C8C">
        <w:rPr>
          <w:rFonts w:ascii="Times New Roman" w:hAnsi="Times New Roman"/>
        </w:rPr>
        <w:t>79 (s</w:t>
      </w:r>
      <w:r w:rsidR="00777CA3" w:rsidRPr="00091C8C">
        <w:rPr>
          <w:rFonts w:ascii="Times New Roman" w:hAnsi="Times New Roman"/>
        </w:rPr>
        <w:t> </w:t>
      </w:r>
      <w:r w:rsidR="00FB6EAD" w:rsidRPr="00091C8C">
        <w:rPr>
          <w:rFonts w:ascii="Times New Roman" w:hAnsi="Times New Roman"/>
        </w:rPr>
        <w:t>96A) that was explained as having that backdating effect on the patentee's right</w:t>
      </w:r>
      <w:r w:rsidR="00601AAC">
        <w:rPr>
          <w:rFonts w:ascii="Times New Roman" w:hAnsi="Times New Roman"/>
        </w:rPr>
        <w:t>s</w:t>
      </w:r>
      <w:r w:rsidR="00FB6EAD" w:rsidRPr="00091C8C">
        <w:rPr>
          <w:rFonts w:ascii="Times New Roman" w:hAnsi="Times New Roman"/>
        </w:rPr>
        <w:t>, not the equivalent of s</w:t>
      </w:r>
      <w:r w:rsidR="00777CA3" w:rsidRPr="00091C8C">
        <w:rPr>
          <w:rFonts w:ascii="Times New Roman" w:hAnsi="Times New Roman"/>
        </w:rPr>
        <w:t> </w:t>
      </w:r>
      <w:r w:rsidR="00FB6EAD" w:rsidRPr="00091C8C">
        <w:rPr>
          <w:rFonts w:ascii="Times New Roman" w:hAnsi="Times New Roman"/>
        </w:rPr>
        <w:t>76 (s</w:t>
      </w:r>
      <w:r w:rsidR="00777CA3" w:rsidRPr="00091C8C">
        <w:rPr>
          <w:rFonts w:ascii="Times New Roman" w:hAnsi="Times New Roman"/>
        </w:rPr>
        <w:t> </w:t>
      </w:r>
      <w:r w:rsidR="00FB6EAD" w:rsidRPr="00091C8C">
        <w:rPr>
          <w:rFonts w:ascii="Times New Roman" w:hAnsi="Times New Roman"/>
        </w:rPr>
        <w:t xml:space="preserve">90). The same approach was taken in the 1998 Act. The </w:t>
      </w:r>
      <w:r w:rsidR="00FB6EAD" w:rsidRPr="00091C8C">
        <w:rPr>
          <w:rFonts w:ascii="Times New Roman" w:hAnsi="Times New Roman"/>
        </w:rPr>
        <w:lastRenderedPageBreak/>
        <w:t>legislature's approach both in 1989 and in 1998 was consistent with</w:t>
      </w:r>
      <w:r w:rsidR="00513CE6" w:rsidRPr="00091C8C">
        <w:rPr>
          <w:rFonts w:ascii="Times New Roman" w:hAnsi="Times New Roman"/>
        </w:rPr>
        <w:t xml:space="preserve"> an appreciation of the application of</w:t>
      </w:r>
      <w:r w:rsidR="00FB6EAD" w:rsidRPr="00091C8C">
        <w:rPr>
          <w:rFonts w:ascii="Times New Roman" w:hAnsi="Times New Roman"/>
        </w:rPr>
        <w:t xml:space="preserve"> Brennan</w:t>
      </w:r>
      <w:r w:rsidR="00513CE6" w:rsidRPr="00091C8C">
        <w:rPr>
          <w:rFonts w:ascii="Times New Roman" w:hAnsi="Times New Roman"/>
        </w:rPr>
        <w:t> </w:t>
      </w:r>
      <w:r w:rsidR="00FB6EAD" w:rsidRPr="00091C8C">
        <w:rPr>
          <w:rFonts w:ascii="Times New Roman" w:hAnsi="Times New Roman"/>
        </w:rPr>
        <w:t>J</w:t>
      </w:r>
      <w:r w:rsidR="00B60DFE" w:rsidRPr="00091C8C">
        <w:rPr>
          <w:rFonts w:ascii="Times New Roman" w:hAnsi="Times New Roman"/>
        </w:rPr>
        <w:t>'s reasoning</w:t>
      </w:r>
      <w:r w:rsidR="00FB6EAD" w:rsidRPr="00091C8C">
        <w:rPr>
          <w:rFonts w:ascii="Times New Roman" w:hAnsi="Times New Roman"/>
        </w:rPr>
        <w:t xml:space="preserve"> in </w:t>
      </w:r>
      <w:r w:rsidR="00FB6EAD" w:rsidRPr="00091C8C">
        <w:rPr>
          <w:rFonts w:ascii="Times New Roman" w:hAnsi="Times New Roman"/>
          <w:i/>
        </w:rPr>
        <w:t>Sanofi</w:t>
      </w:r>
      <w:r w:rsidR="00FB6EAD" w:rsidRPr="00091C8C">
        <w:rPr>
          <w:rFonts w:ascii="Times New Roman" w:hAnsi="Times New Roman"/>
        </w:rPr>
        <w:t xml:space="preserve">. </w:t>
      </w:r>
    </w:p>
    <w:p w14:paraId="71C71837" w14:textId="225BAC5C" w:rsidR="00AC136E" w:rsidRPr="00091C8C" w:rsidRDefault="00242CAB" w:rsidP="00091C8C">
      <w:pPr>
        <w:pStyle w:val="FixListStyle"/>
        <w:spacing w:after="260" w:line="280" w:lineRule="exact"/>
        <w:ind w:right="0"/>
        <w:jc w:val="both"/>
        <w:rPr>
          <w:rFonts w:ascii="Times New Roman" w:hAnsi="Times New Roman"/>
        </w:rPr>
      </w:pPr>
      <w:r w:rsidRPr="00091C8C">
        <w:rPr>
          <w:rFonts w:ascii="Times New Roman" w:hAnsi="Times New Roman"/>
        </w:rPr>
        <w:tab/>
      </w:r>
      <w:r w:rsidR="00FD3BF7" w:rsidRPr="00091C8C">
        <w:rPr>
          <w:rFonts w:ascii="Times New Roman" w:hAnsi="Times New Roman"/>
        </w:rPr>
        <w:t xml:space="preserve">The position, in short, is that </w:t>
      </w:r>
      <w:r w:rsidR="00E87E1A" w:rsidRPr="00091C8C">
        <w:rPr>
          <w:rFonts w:ascii="Times New Roman" w:hAnsi="Times New Roman"/>
        </w:rPr>
        <w:t>the power conferred by s</w:t>
      </w:r>
      <w:r w:rsidR="000A54E6" w:rsidRPr="00091C8C">
        <w:rPr>
          <w:rFonts w:ascii="Times New Roman" w:hAnsi="Times New Roman"/>
        </w:rPr>
        <w:t> </w:t>
      </w:r>
      <w:r w:rsidR="00E87E1A" w:rsidRPr="00091C8C">
        <w:rPr>
          <w:rFonts w:ascii="Times New Roman" w:hAnsi="Times New Roman"/>
        </w:rPr>
        <w:t xml:space="preserve">76 </w:t>
      </w:r>
      <w:r w:rsidR="002D70E9" w:rsidRPr="00091C8C">
        <w:rPr>
          <w:rFonts w:ascii="Times New Roman" w:hAnsi="Times New Roman"/>
        </w:rPr>
        <w:t xml:space="preserve">to extend the term of a </w:t>
      </w:r>
      <w:r w:rsidR="000F7E9B" w:rsidRPr="00091C8C">
        <w:rPr>
          <w:rFonts w:ascii="Times New Roman" w:hAnsi="Times New Roman"/>
        </w:rPr>
        <w:t xml:space="preserve">standard patent relating to a pharmaceutical substance contained in goods included in the ARTG is </w:t>
      </w:r>
      <w:r w:rsidR="00E8188E" w:rsidRPr="00091C8C">
        <w:rPr>
          <w:rFonts w:ascii="Times New Roman" w:hAnsi="Times New Roman"/>
        </w:rPr>
        <w:t xml:space="preserve">a power to grant further exclusive rights </w:t>
      </w:r>
      <w:r w:rsidR="00D462EF" w:rsidRPr="00091C8C">
        <w:rPr>
          <w:rFonts w:ascii="Times New Roman" w:hAnsi="Times New Roman"/>
        </w:rPr>
        <w:t>to</w:t>
      </w:r>
      <w:r w:rsidR="00567EF7" w:rsidRPr="00091C8C">
        <w:rPr>
          <w:rFonts w:ascii="Times New Roman" w:hAnsi="Times New Roman"/>
        </w:rPr>
        <w:t xml:space="preserve"> the patentee </w:t>
      </w:r>
      <w:r w:rsidR="00E8188E" w:rsidRPr="00091C8C">
        <w:rPr>
          <w:rFonts w:ascii="Times New Roman" w:hAnsi="Times New Roman"/>
        </w:rPr>
        <w:t>to exploit the invention from the date of the grant</w:t>
      </w:r>
      <w:r w:rsidR="006463C3" w:rsidRPr="00091C8C">
        <w:rPr>
          <w:rFonts w:ascii="Times New Roman" w:hAnsi="Times New Roman"/>
        </w:rPr>
        <w:t xml:space="preserve"> of the extension</w:t>
      </w:r>
      <w:r w:rsidR="00E8188E" w:rsidRPr="00091C8C">
        <w:rPr>
          <w:rFonts w:ascii="Times New Roman" w:hAnsi="Times New Roman"/>
        </w:rPr>
        <w:t xml:space="preserve"> </w:t>
      </w:r>
      <w:r w:rsidR="00516C3F" w:rsidRPr="00091C8C">
        <w:rPr>
          <w:rFonts w:ascii="Times New Roman" w:hAnsi="Times New Roman"/>
        </w:rPr>
        <w:t>to the date of the expiration of</w:t>
      </w:r>
      <w:r w:rsidR="008B1074" w:rsidRPr="00091C8C">
        <w:rPr>
          <w:rFonts w:ascii="Times New Roman" w:hAnsi="Times New Roman"/>
        </w:rPr>
        <w:t xml:space="preserve"> the period that commences with the date of the expiration of the </w:t>
      </w:r>
      <w:r w:rsidR="00F637FE" w:rsidRPr="00091C8C">
        <w:rPr>
          <w:rFonts w:ascii="Times New Roman" w:hAnsi="Times New Roman"/>
        </w:rPr>
        <w:t xml:space="preserve">term of the original grant </w:t>
      </w:r>
      <w:r w:rsidR="006053D3" w:rsidRPr="00091C8C">
        <w:rPr>
          <w:rFonts w:ascii="Times New Roman" w:hAnsi="Times New Roman"/>
        </w:rPr>
        <w:t>a</w:t>
      </w:r>
      <w:r w:rsidR="00395C4C" w:rsidRPr="00091C8C">
        <w:rPr>
          <w:rFonts w:ascii="Times New Roman" w:hAnsi="Times New Roman"/>
        </w:rPr>
        <w:t>nd that ends on the date</w:t>
      </w:r>
      <w:r w:rsidR="002F638C" w:rsidRPr="00091C8C">
        <w:rPr>
          <w:rFonts w:ascii="Times New Roman" w:hAnsi="Times New Roman"/>
        </w:rPr>
        <w:t xml:space="preserve"> determined in accordance with s</w:t>
      </w:r>
      <w:r w:rsidR="00126A99" w:rsidRPr="00091C8C">
        <w:rPr>
          <w:rFonts w:ascii="Times New Roman" w:hAnsi="Times New Roman"/>
        </w:rPr>
        <w:t> </w:t>
      </w:r>
      <w:r w:rsidR="002F638C" w:rsidRPr="00091C8C">
        <w:rPr>
          <w:rFonts w:ascii="Times New Roman" w:hAnsi="Times New Roman"/>
        </w:rPr>
        <w:t xml:space="preserve">77. </w:t>
      </w:r>
      <w:r w:rsidR="00BB5E2A" w:rsidRPr="00091C8C">
        <w:rPr>
          <w:rFonts w:ascii="Times New Roman" w:hAnsi="Times New Roman"/>
        </w:rPr>
        <w:t>W</w:t>
      </w:r>
      <w:r w:rsidR="00FD3BF7" w:rsidRPr="00091C8C">
        <w:rPr>
          <w:rFonts w:ascii="Times New Roman" w:hAnsi="Times New Roman"/>
        </w:rPr>
        <w:t>here the power conferred by s</w:t>
      </w:r>
      <w:r w:rsidR="00126A99" w:rsidRPr="00091C8C">
        <w:rPr>
          <w:rFonts w:ascii="Times New Roman" w:hAnsi="Times New Roman"/>
        </w:rPr>
        <w:t> </w:t>
      </w:r>
      <w:r w:rsidR="00FD3BF7" w:rsidRPr="00091C8C">
        <w:rPr>
          <w:rFonts w:ascii="Times New Roman" w:hAnsi="Times New Roman"/>
        </w:rPr>
        <w:t xml:space="preserve">76 is exercised </w:t>
      </w:r>
      <w:r w:rsidRPr="00091C8C">
        <w:rPr>
          <w:rFonts w:ascii="Times New Roman" w:hAnsi="Times New Roman"/>
          <w:i/>
        </w:rPr>
        <w:t>after</w:t>
      </w:r>
      <w:r w:rsidRPr="00091C8C">
        <w:rPr>
          <w:rFonts w:ascii="Times New Roman" w:hAnsi="Times New Roman"/>
        </w:rPr>
        <w:t xml:space="preserve"> the expiration of the term of the original grant, there is a </w:t>
      </w:r>
      <w:r w:rsidR="00353D90" w:rsidRPr="00091C8C">
        <w:rPr>
          <w:rFonts w:ascii="Times New Roman" w:hAnsi="Times New Roman"/>
        </w:rPr>
        <w:t xml:space="preserve">temporal </w:t>
      </w:r>
      <w:r w:rsidRPr="00091C8C">
        <w:rPr>
          <w:rFonts w:ascii="Times New Roman" w:hAnsi="Times New Roman"/>
        </w:rPr>
        <w:t>gap</w:t>
      </w:r>
      <w:r w:rsidR="00353D90" w:rsidRPr="00091C8C">
        <w:rPr>
          <w:rFonts w:ascii="Times New Roman" w:hAnsi="Times New Roman"/>
        </w:rPr>
        <w:t xml:space="preserve"> in the conferral of exclusive rights</w:t>
      </w:r>
      <w:r w:rsidR="00567EF7" w:rsidRPr="00091C8C">
        <w:rPr>
          <w:rFonts w:ascii="Times New Roman" w:hAnsi="Times New Roman"/>
        </w:rPr>
        <w:t xml:space="preserve"> on the patentee</w:t>
      </w:r>
      <w:r w:rsidRPr="00091C8C">
        <w:rPr>
          <w:rFonts w:ascii="Times New Roman" w:hAnsi="Times New Roman"/>
        </w:rPr>
        <w:t>. The function of s</w:t>
      </w:r>
      <w:r w:rsidR="00126A99" w:rsidRPr="00091C8C">
        <w:rPr>
          <w:rFonts w:ascii="Times New Roman" w:hAnsi="Times New Roman"/>
        </w:rPr>
        <w:t> </w:t>
      </w:r>
      <w:r w:rsidRPr="00091C8C">
        <w:rPr>
          <w:rFonts w:ascii="Times New Roman" w:hAnsi="Times New Roman"/>
        </w:rPr>
        <w:t xml:space="preserve">79 is to fill that gap. </w:t>
      </w:r>
      <w:r w:rsidR="005F667F" w:rsidRPr="00091C8C">
        <w:rPr>
          <w:rFonts w:ascii="Times New Roman" w:hAnsi="Times New Roman"/>
        </w:rPr>
        <w:t>In conferring</w:t>
      </w:r>
      <w:r w:rsidR="00750D3C" w:rsidRPr="00091C8C">
        <w:rPr>
          <w:rFonts w:ascii="Times New Roman" w:hAnsi="Times New Roman"/>
        </w:rPr>
        <w:t xml:space="preserve"> rights to </w:t>
      </w:r>
      <w:r w:rsidR="00654133" w:rsidRPr="00091C8C">
        <w:rPr>
          <w:rFonts w:ascii="Times New Roman" w:hAnsi="Times New Roman"/>
        </w:rPr>
        <w:t xml:space="preserve">start </w:t>
      </w:r>
      <w:r w:rsidR="00750D3C" w:rsidRPr="00091C8C">
        <w:rPr>
          <w:rFonts w:ascii="Times New Roman" w:hAnsi="Times New Roman"/>
        </w:rPr>
        <w:t>proceedings</w:t>
      </w:r>
      <w:r w:rsidR="00CA7FAC" w:rsidRPr="00091C8C">
        <w:rPr>
          <w:rFonts w:ascii="Times New Roman" w:hAnsi="Times New Roman"/>
        </w:rPr>
        <w:t xml:space="preserve"> in respect of </w:t>
      </w:r>
      <w:r w:rsidR="008365EC" w:rsidRPr="00091C8C">
        <w:rPr>
          <w:rFonts w:ascii="Times New Roman" w:hAnsi="Times New Roman"/>
        </w:rPr>
        <w:t>act</w:t>
      </w:r>
      <w:r w:rsidR="00CA7FAC" w:rsidRPr="00091C8C">
        <w:rPr>
          <w:rFonts w:ascii="Times New Roman" w:hAnsi="Times New Roman"/>
        </w:rPr>
        <w:t>s</w:t>
      </w:r>
      <w:r w:rsidR="008365EC" w:rsidRPr="00091C8C">
        <w:rPr>
          <w:rFonts w:ascii="Times New Roman" w:hAnsi="Times New Roman"/>
        </w:rPr>
        <w:t xml:space="preserve"> that occurred between the expiration </w:t>
      </w:r>
      <w:r w:rsidR="0074585D" w:rsidRPr="00091C8C">
        <w:rPr>
          <w:rFonts w:ascii="Times New Roman" w:hAnsi="Times New Roman"/>
        </w:rPr>
        <w:t xml:space="preserve">of the term of the original grant </w:t>
      </w:r>
      <w:r w:rsidR="008365EC" w:rsidRPr="00091C8C">
        <w:rPr>
          <w:rFonts w:ascii="Times New Roman" w:hAnsi="Times New Roman"/>
        </w:rPr>
        <w:t xml:space="preserve">and the </w:t>
      </w:r>
      <w:r w:rsidR="00683795" w:rsidRPr="00091C8C">
        <w:rPr>
          <w:rFonts w:ascii="Times New Roman" w:hAnsi="Times New Roman"/>
        </w:rPr>
        <w:t xml:space="preserve">subsequent </w:t>
      </w:r>
      <w:r w:rsidR="008365EC" w:rsidRPr="00091C8C">
        <w:rPr>
          <w:rFonts w:ascii="Times New Roman" w:hAnsi="Times New Roman"/>
        </w:rPr>
        <w:t>grant</w:t>
      </w:r>
      <w:r w:rsidR="00683795" w:rsidRPr="00091C8C">
        <w:rPr>
          <w:rFonts w:ascii="Times New Roman" w:hAnsi="Times New Roman"/>
        </w:rPr>
        <w:t xml:space="preserve"> of an extension</w:t>
      </w:r>
      <w:r w:rsidR="00276579" w:rsidRPr="00091C8C">
        <w:rPr>
          <w:rFonts w:ascii="Times New Roman" w:hAnsi="Times New Roman"/>
        </w:rPr>
        <w:t xml:space="preserve">, </w:t>
      </w:r>
      <w:r w:rsidR="00683795" w:rsidRPr="00091C8C">
        <w:rPr>
          <w:rFonts w:ascii="Times New Roman" w:hAnsi="Times New Roman"/>
        </w:rPr>
        <w:t>s</w:t>
      </w:r>
      <w:r w:rsidR="00126A99" w:rsidRPr="00091C8C">
        <w:rPr>
          <w:rFonts w:ascii="Times New Roman" w:hAnsi="Times New Roman"/>
        </w:rPr>
        <w:t> </w:t>
      </w:r>
      <w:r w:rsidR="009B2103" w:rsidRPr="00091C8C">
        <w:rPr>
          <w:rFonts w:ascii="Times New Roman" w:hAnsi="Times New Roman"/>
        </w:rPr>
        <w:t xml:space="preserve">79 </w:t>
      </w:r>
      <w:r w:rsidR="00501225" w:rsidRPr="00091C8C">
        <w:rPr>
          <w:rFonts w:ascii="Times New Roman" w:hAnsi="Times New Roman"/>
        </w:rPr>
        <w:t>operates to impose</w:t>
      </w:r>
      <w:r w:rsidR="002401AD" w:rsidRPr="00091C8C">
        <w:rPr>
          <w:rFonts w:ascii="Times New Roman" w:hAnsi="Times New Roman"/>
        </w:rPr>
        <w:t xml:space="preserve"> a substantive liability for those acts which </w:t>
      </w:r>
      <w:r w:rsidR="00117F57" w:rsidRPr="00091C8C">
        <w:rPr>
          <w:rFonts w:ascii="Times New Roman" w:hAnsi="Times New Roman"/>
        </w:rPr>
        <w:t xml:space="preserve">does not arise merely by force of </w:t>
      </w:r>
      <w:r w:rsidR="00EF47EB" w:rsidRPr="00091C8C">
        <w:rPr>
          <w:rFonts w:ascii="Times New Roman" w:hAnsi="Times New Roman"/>
        </w:rPr>
        <w:t>the exercise of the power conferred by s</w:t>
      </w:r>
      <w:r w:rsidR="00126A99" w:rsidRPr="00091C8C">
        <w:rPr>
          <w:rFonts w:ascii="Times New Roman" w:hAnsi="Times New Roman"/>
        </w:rPr>
        <w:t> </w:t>
      </w:r>
      <w:r w:rsidR="00EF47EB" w:rsidRPr="00091C8C">
        <w:rPr>
          <w:rFonts w:ascii="Times New Roman" w:hAnsi="Times New Roman"/>
        </w:rPr>
        <w:t>76</w:t>
      </w:r>
      <w:r w:rsidR="00805B88" w:rsidRPr="00091C8C">
        <w:rPr>
          <w:rFonts w:ascii="Times New Roman" w:hAnsi="Times New Roman"/>
        </w:rPr>
        <w:t>.</w:t>
      </w:r>
      <w:r w:rsidR="00B37373" w:rsidRPr="00091C8C">
        <w:rPr>
          <w:rFonts w:ascii="Times New Roman" w:hAnsi="Times New Roman"/>
        </w:rPr>
        <w:t xml:space="preserve"> In respect of acts that occurred between the expiration of the term of the original grant and the subsequent grant of an extension of the term, the rights to </w:t>
      </w:r>
      <w:r w:rsidR="00654133" w:rsidRPr="00091C8C">
        <w:rPr>
          <w:rFonts w:ascii="Times New Roman" w:hAnsi="Times New Roman"/>
        </w:rPr>
        <w:t>start</w:t>
      </w:r>
      <w:r w:rsidR="00136A59" w:rsidRPr="00091C8C">
        <w:rPr>
          <w:rFonts w:ascii="Times New Roman" w:hAnsi="Times New Roman"/>
        </w:rPr>
        <w:t xml:space="preserve"> proceedings </w:t>
      </w:r>
      <w:r w:rsidR="00B37373" w:rsidRPr="00091C8C">
        <w:rPr>
          <w:rFonts w:ascii="Times New Roman" w:hAnsi="Times New Roman"/>
        </w:rPr>
        <w:t>conferred by s</w:t>
      </w:r>
      <w:r w:rsidR="00126A99" w:rsidRPr="00091C8C">
        <w:rPr>
          <w:rFonts w:ascii="Times New Roman" w:hAnsi="Times New Roman"/>
        </w:rPr>
        <w:t> </w:t>
      </w:r>
      <w:r w:rsidR="00B37373" w:rsidRPr="00091C8C">
        <w:rPr>
          <w:rFonts w:ascii="Times New Roman" w:hAnsi="Times New Roman"/>
        </w:rPr>
        <w:t xml:space="preserve">79 </w:t>
      </w:r>
      <w:r w:rsidR="00B2752B" w:rsidRPr="00091C8C">
        <w:rPr>
          <w:rFonts w:ascii="Times New Roman" w:hAnsi="Times New Roman"/>
        </w:rPr>
        <w:t>(as qualified by s</w:t>
      </w:r>
      <w:r w:rsidR="00126A99" w:rsidRPr="00091C8C">
        <w:rPr>
          <w:rFonts w:ascii="Times New Roman" w:hAnsi="Times New Roman"/>
        </w:rPr>
        <w:t> </w:t>
      </w:r>
      <w:r w:rsidR="00B2752B" w:rsidRPr="00091C8C">
        <w:rPr>
          <w:rFonts w:ascii="Times New Roman" w:hAnsi="Times New Roman"/>
        </w:rPr>
        <w:t xml:space="preserve">78) </w:t>
      </w:r>
      <w:r w:rsidR="00B37373" w:rsidRPr="00091C8C">
        <w:rPr>
          <w:rFonts w:ascii="Times New Roman" w:hAnsi="Times New Roman"/>
        </w:rPr>
        <w:t xml:space="preserve">are </w:t>
      </w:r>
      <w:r w:rsidR="001C3483" w:rsidRPr="00091C8C">
        <w:rPr>
          <w:rFonts w:ascii="Times New Roman" w:hAnsi="Times New Roman"/>
        </w:rPr>
        <w:t>substantive and exhaustive.</w:t>
      </w:r>
    </w:p>
    <w:p w14:paraId="24169542" w14:textId="77777777" w:rsidR="00BF3841" w:rsidRPr="00091C8C" w:rsidRDefault="00BF3841" w:rsidP="00091C8C">
      <w:pPr>
        <w:pStyle w:val="HeadingL1"/>
        <w:spacing w:after="260" w:line="280" w:lineRule="exact"/>
        <w:ind w:right="0"/>
        <w:jc w:val="both"/>
        <w:rPr>
          <w:rFonts w:ascii="Times New Roman" w:hAnsi="Times New Roman"/>
        </w:rPr>
      </w:pPr>
      <w:r w:rsidRPr="00091C8C">
        <w:rPr>
          <w:rFonts w:ascii="Times New Roman" w:hAnsi="Times New Roman"/>
        </w:rPr>
        <w:t>The Settlement Agreement</w:t>
      </w:r>
    </w:p>
    <w:p w14:paraId="76228093" w14:textId="1C5FACEE" w:rsidR="004C5DF2" w:rsidRPr="00091C8C" w:rsidRDefault="00BF3841" w:rsidP="00091C8C">
      <w:pPr>
        <w:pStyle w:val="FixListStyle"/>
        <w:spacing w:after="260" w:line="280" w:lineRule="exact"/>
        <w:ind w:right="0"/>
        <w:jc w:val="both"/>
        <w:rPr>
          <w:rFonts w:ascii="Times New Roman" w:hAnsi="Times New Roman"/>
        </w:rPr>
      </w:pPr>
      <w:r w:rsidRPr="00091C8C">
        <w:rPr>
          <w:rFonts w:ascii="Times New Roman" w:hAnsi="Times New Roman"/>
        </w:rPr>
        <w:tab/>
      </w:r>
      <w:r w:rsidR="00BE1414" w:rsidRPr="00091C8C">
        <w:rPr>
          <w:rFonts w:ascii="Times New Roman" w:hAnsi="Times New Roman"/>
        </w:rPr>
        <w:t>T</w:t>
      </w:r>
      <w:r w:rsidRPr="00091C8C">
        <w:rPr>
          <w:rFonts w:ascii="Times New Roman" w:hAnsi="Times New Roman"/>
        </w:rPr>
        <w:t xml:space="preserve">he background to Sandoz having entered into the Settlement Agreement with Lundbeck </w:t>
      </w:r>
      <w:r w:rsidR="00126A99" w:rsidRPr="00091C8C">
        <w:rPr>
          <w:rFonts w:ascii="Times New Roman" w:hAnsi="Times New Roman"/>
        </w:rPr>
        <w:t xml:space="preserve">Denmark </w:t>
      </w:r>
      <w:r w:rsidRPr="00091C8C">
        <w:rPr>
          <w:rFonts w:ascii="Times New Roman" w:hAnsi="Times New Roman"/>
        </w:rPr>
        <w:t>and Lundbeck A</w:t>
      </w:r>
      <w:r w:rsidR="00126A99" w:rsidRPr="00091C8C">
        <w:rPr>
          <w:rFonts w:ascii="Times New Roman" w:hAnsi="Times New Roman"/>
        </w:rPr>
        <w:t xml:space="preserve">ustralia </w:t>
      </w:r>
      <w:r w:rsidRPr="00091C8C">
        <w:rPr>
          <w:rFonts w:ascii="Times New Roman" w:hAnsi="Times New Roman"/>
        </w:rPr>
        <w:t>in February 2007</w:t>
      </w:r>
      <w:r w:rsidR="00454AA8" w:rsidRPr="00091C8C">
        <w:rPr>
          <w:rFonts w:ascii="Times New Roman" w:hAnsi="Times New Roman"/>
        </w:rPr>
        <w:t xml:space="preserve"> </w:t>
      </w:r>
      <w:r w:rsidR="00882BF3" w:rsidRPr="00091C8C">
        <w:rPr>
          <w:rFonts w:ascii="Times New Roman" w:hAnsi="Times New Roman"/>
        </w:rPr>
        <w:t xml:space="preserve">had </w:t>
      </w:r>
      <w:r w:rsidR="00EB7320" w:rsidRPr="00091C8C">
        <w:rPr>
          <w:rFonts w:ascii="Times New Roman" w:hAnsi="Times New Roman"/>
        </w:rPr>
        <w:t xml:space="preserve">as its genesis the </w:t>
      </w:r>
      <w:r w:rsidR="002A1491" w:rsidRPr="00091C8C">
        <w:rPr>
          <w:rFonts w:ascii="Times New Roman" w:hAnsi="Times New Roman"/>
        </w:rPr>
        <w:t>inclusion of</w:t>
      </w:r>
      <w:r w:rsidR="00C55B82" w:rsidRPr="00091C8C">
        <w:rPr>
          <w:rFonts w:ascii="Times New Roman" w:hAnsi="Times New Roman"/>
        </w:rPr>
        <w:t xml:space="preserve"> </w:t>
      </w:r>
      <w:r w:rsidR="001546E4" w:rsidRPr="00091C8C">
        <w:rPr>
          <w:rFonts w:ascii="Times New Roman" w:hAnsi="Times New Roman"/>
        </w:rPr>
        <w:t xml:space="preserve">Cipramil in the ARTG </w:t>
      </w:r>
      <w:r w:rsidR="004C5DF2" w:rsidRPr="00091C8C">
        <w:rPr>
          <w:rFonts w:ascii="Times New Roman" w:hAnsi="Times New Roman"/>
        </w:rPr>
        <w:t xml:space="preserve">in December 1997. </w:t>
      </w:r>
      <w:r w:rsidR="001546E4" w:rsidRPr="00091C8C">
        <w:rPr>
          <w:rFonts w:ascii="Times New Roman" w:hAnsi="Times New Roman"/>
        </w:rPr>
        <w:t>Lexapro</w:t>
      </w:r>
      <w:r w:rsidR="004C5DF2" w:rsidRPr="00091C8C">
        <w:rPr>
          <w:rFonts w:ascii="Times New Roman" w:hAnsi="Times New Roman"/>
        </w:rPr>
        <w:t xml:space="preserve"> was </w:t>
      </w:r>
      <w:r w:rsidR="0092118D" w:rsidRPr="00091C8C">
        <w:rPr>
          <w:rFonts w:ascii="Times New Roman" w:hAnsi="Times New Roman"/>
        </w:rPr>
        <w:t>n</w:t>
      </w:r>
      <w:r w:rsidR="00E633BA" w:rsidRPr="00091C8C">
        <w:rPr>
          <w:rFonts w:ascii="Times New Roman" w:hAnsi="Times New Roman"/>
        </w:rPr>
        <w:t xml:space="preserve">ot </w:t>
      </w:r>
      <w:r w:rsidR="004C5DF2" w:rsidRPr="00091C8C">
        <w:rPr>
          <w:rFonts w:ascii="Times New Roman" w:hAnsi="Times New Roman"/>
        </w:rPr>
        <w:t xml:space="preserve">included in the ARTG </w:t>
      </w:r>
      <w:r w:rsidR="00E633BA" w:rsidRPr="00091C8C">
        <w:rPr>
          <w:rFonts w:ascii="Times New Roman" w:hAnsi="Times New Roman"/>
        </w:rPr>
        <w:t>until</w:t>
      </w:r>
      <w:r w:rsidR="004C5DF2" w:rsidRPr="00091C8C">
        <w:rPr>
          <w:rFonts w:ascii="Times New Roman" w:hAnsi="Times New Roman"/>
        </w:rPr>
        <w:t xml:space="preserve"> September 2003</w:t>
      </w:r>
      <w:r w:rsidR="001546E4" w:rsidRPr="00091C8C">
        <w:rPr>
          <w:rFonts w:ascii="Times New Roman" w:hAnsi="Times New Roman"/>
        </w:rPr>
        <w:t>.</w:t>
      </w:r>
    </w:p>
    <w:p w14:paraId="2F70DF49" w14:textId="143D1056" w:rsidR="00BE3F59" w:rsidRPr="00091C8C" w:rsidRDefault="004C5DF2" w:rsidP="00091C8C">
      <w:pPr>
        <w:pStyle w:val="FixListStyle"/>
        <w:spacing w:after="260" w:line="280" w:lineRule="exact"/>
        <w:ind w:right="0"/>
        <w:jc w:val="both"/>
        <w:rPr>
          <w:rFonts w:ascii="Times New Roman" w:hAnsi="Times New Roman"/>
        </w:rPr>
      </w:pPr>
      <w:r w:rsidRPr="00091C8C">
        <w:rPr>
          <w:rFonts w:ascii="Times New Roman" w:hAnsi="Times New Roman"/>
        </w:rPr>
        <w:tab/>
        <w:t>I</w:t>
      </w:r>
      <w:r w:rsidR="00BF3841" w:rsidRPr="00091C8C">
        <w:rPr>
          <w:rFonts w:ascii="Times New Roman" w:hAnsi="Times New Roman"/>
        </w:rPr>
        <w:t>n December 2003</w:t>
      </w:r>
      <w:r w:rsidRPr="00091C8C">
        <w:rPr>
          <w:rFonts w:ascii="Times New Roman" w:hAnsi="Times New Roman"/>
        </w:rPr>
        <w:t xml:space="preserve">, Lundbeck </w:t>
      </w:r>
      <w:r w:rsidR="009C6DC6" w:rsidRPr="00091C8C">
        <w:rPr>
          <w:rFonts w:ascii="Times New Roman" w:hAnsi="Times New Roman"/>
        </w:rPr>
        <w:t xml:space="preserve">Denmark </w:t>
      </w:r>
      <w:r w:rsidR="00BF3841" w:rsidRPr="00091C8C">
        <w:rPr>
          <w:rFonts w:ascii="Times New Roman" w:hAnsi="Times New Roman"/>
        </w:rPr>
        <w:t xml:space="preserve">applied for an extension of the term of the Patent based on the inclusion of </w:t>
      </w:r>
      <w:r w:rsidR="00746FF8" w:rsidRPr="00091C8C">
        <w:rPr>
          <w:rFonts w:ascii="Times New Roman" w:hAnsi="Times New Roman"/>
        </w:rPr>
        <w:t>Lexapro</w:t>
      </w:r>
      <w:r w:rsidR="00BF3841" w:rsidRPr="00091C8C">
        <w:rPr>
          <w:rFonts w:ascii="Times New Roman" w:hAnsi="Times New Roman"/>
        </w:rPr>
        <w:t xml:space="preserve"> in the ARTG.</w:t>
      </w:r>
      <w:r w:rsidR="0092118D" w:rsidRPr="00091C8C">
        <w:rPr>
          <w:rFonts w:ascii="Times New Roman" w:hAnsi="Times New Roman"/>
        </w:rPr>
        <w:t xml:space="preserve"> B</w:t>
      </w:r>
      <w:r w:rsidR="001D64B6" w:rsidRPr="00091C8C">
        <w:rPr>
          <w:rFonts w:ascii="Times New Roman" w:hAnsi="Times New Roman"/>
        </w:rPr>
        <w:t xml:space="preserve">ased on the inclusion of Lexapro in the ARTG, </w:t>
      </w:r>
      <w:r w:rsidR="00F25AA6" w:rsidRPr="00091C8C">
        <w:rPr>
          <w:rFonts w:ascii="Times New Roman" w:hAnsi="Times New Roman"/>
        </w:rPr>
        <w:t xml:space="preserve">the Commissioner </w:t>
      </w:r>
      <w:r w:rsidR="0092118D" w:rsidRPr="00091C8C">
        <w:rPr>
          <w:rFonts w:ascii="Times New Roman" w:hAnsi="Times New Roman"/>
        </w:rPr>
        <w:t xml:space="preserve">in 2004 </w:t>
      </w:r>
      <w:r w:rsidR="001D64B6" w:rsidRPr="00091C8C">
        <w:rPr>
          <w:rFonts w:ascii="Times New Roman" w:hAnsi="Times New Roman"/>
        </w:rPr>
        <w:t>granted an extension of the term of the Patent to</w:t>
      </w:r>
      <w:r w:rsidR="00EB33A6" w:rsidRPr="00091C8C">
        <w:rPr>
          <w:rFonts w:ascii="Times New Roman" w:hAnsi="Times New Roman"/>
        </w:rPr>
        <w:t xml:space="preserve"> end on</w:t>
      </w:r>
      <w:r w:rsidR="00BC3F8C" w:rsidRPr="00091C8C">
        <w:rPr>
          <w:rFonts w:ascii="Times New Roman" w:hAnsi="Times New Roman"/>
        </w:rPr>
        <w:t xml:space="preserve"> </w:t>
      </w:r>
      <w:r w:rsidR="001D64B6" w:rsidRPr="00091C8C">
        <w:rPr>
          <w:rFonts w:ascii="Times New Roman" w:hAnsi="Times New Roman"/>
        </w:rPr>
        <w:t>13</w:t>
      </w:r>
      <w:r w:rsidR="00676178" w:rsidRPr="00091C8C">
        <w:rPr>
          <w:rFonts w:ascii="Times New Roman" w:hAnsi="Times New Roman"/>
        </w:rPr>
        <w:t> </w:t>
      </w:r>
      <w:r w:rsidR="001D64B6" w:rsidRPr="00091C8C">
        <w:rPr>
          <w:rFonts w:ascii="Times New Roman" w:hAnsi="Times New Roman"/>
        </w:rPr>
        <w:t xml:space="preserve">June 2014. </w:t>
      </w:r>
      <w:r w:rsidR="00BE3F59" w:rsidRPr="00091C8C">
        <w:rPr>
          <w:rFonts w:ascii="Times New Roman" w:hAnsi="Times New Roman"/>
        </w:rPr>
        <w:t xml:space="preserve">However, </w:t>
      </w:r>
      <w:r w:rsidR="00A20F8E" w:rsidRPr="00091C8C">
        <w:rPr>
          <w:rFonts w:ascii="Times New Roman" w:hAnsi="Times New Roman"/>
        </w:rPr>
        <w:t xml:space="preserve">the Commissioner </w:t>
      </w:r>
      <w:r w:rsidR="00BB5109" w:rsidRPr="00091C8C">
        <w:rPr>
          <w:rFonts w:ascii="Times New Roman" w:hAnsi="Times New Roman"/>
        </w:rPr>
        <w:t>in 2006</w:t>
      </w:r>
      <w:r w:rsidR="00BC3F8C" w:rsidRPr="00091C8C">
        <w:rPr>
          <w:rFonts w:ascii="Times New Roman" w:hAnsi="Times New Roman"/>
        </w:rPr>
        <w:t xml:space="preserve"> </w:t>
      </w:r>
      <w:r w:rsidR="00A20F8E" w:rsidRPr="00091C8C">
        <w:rPr>
          <w:rFonts w:ascii="Times New Roman" w:hAnsi="Times New Roman"/>
        </w:rPr>
        <w:t>correct</w:t>
      </w:r>
      <w:r w:rsidR="00BD573E" w:rsidRPr="00091C8C">
        <w:rPr>
          <w:rFonts w:ascii="Times New Roman" w:hAnsi="Times New Roman"/>
        </w:rPr>
        <w:t>ed</w:t>
      </w:r>
      <w:r w:rsidR="00A20F8E" w:rsidRPr="00091C8C">
        <w:rPr>
          <w:rFonts w:ascii="Times New Roman" w:hAnsi="Times New Roman"/>
        </w:rPr>
        <w:t xml:space="preserve"> the </w:t>
      </w:r>
      <w:r w:rsidR="006D1B8C" w:rsidRPr="00091C8C">
        <w:rPr>
          <w:rFonts w:ascii="Times New Roman" w:hAnsi="Times New Roman"/>
        </w:rPr>
        <w:t xml:space="preserve">grant of the extension </w:t>
      </w:r>
      <w:r w:rsidR="00BC3F8C" w:rsidRPr="00091C8C">
        <w:rPr>
          <w:rFonts w:ascii="Times New Roman" w:hAnsi="Times New Roman"/>
        </w:rPr>
        <w:t xml:space="preserve">so as </w:t>
      </w:r>
      <w:r w:rsidR="006D1B8C" w:rsidRPr="00091C8C">
        <w:rPr>
          <w:rFonts w:ascii="Times New Roman" w:hAnsi="Times New Roman"/>
        </w:rPr>
        <w:t xml:space="preserve">to </w:t>
      </w:r>
      <w:r w:rsidR="00EC7DA1" w:rsidRPr="00091C8C">
        <w:rPr>
          <w:rFonts w:ascii="Times New Roman" w:hAnsi="Times New Roman"/>
        </w:rPr>
        <w:t xml:space="preserve">result in it </w:t>
      </w:r>
      <w:r w:rsidR="006D1B8C" w:rsidRPr="00091C8C">
        <w:rPr>
          <w:rFonts w:ascii="Times New Roman" w:hAnsi="Times New Roman"/>
        </w:rPr>
        <w:t>end</w:t>
      </w:r>
      <w:r w:rsidR="00EC7DA1" w:rsidRPr="00091C8C">
        <w:rPr>
          <w:rFonts w:ascii="Times New Roman" w:hAnsi="Times New Roman"/>
        </w:rPr>
        <w:t>ing</w:t>
      </w:r>
      <w:r w:rsidR="006D1B8C" w:rsidRPr="00091C8C">
        <w:rPr>
          <w:rFonts w:ascii="Times New Roman" w:hAnsi="Times New Roman"/>
        </w:rPr>
        <w:t xml:space="preserve"> on</w:t>
      </w:r>
      <w:r w:rsidR="006542C6" w:rsidRPr="00091C8C">
        <w:rPr>
          <w:rFonts w:ascii="Times New Roman" w:hAnsi="Times New Roman"/>
        </w:rPr>
        <w:t xml:space="preserve"> 9</w:t>
      </w:r>
      <w:r w:rsidR="00DD1ECA" w:rsidRPr="00091C8C">
        <w:rPr>
          <w:rFonts w:ascii="Times New Roman" w:hAnsi="Times New Roman"/>
        </w:rPr>
        <w:t> </w:t>
      </w:r>
      <w:r w:rsidR="006542C6" w:rsidRPr="00091C8C">
        <w:rPr>
          <w:rFonts w:ascii="Times New Roman" w:hAnsi="Times New Roman"/>
        </w:rPr>
        <w:t>December 20</w:t>
      </w:r>
      <w:r w:rsidR="00D50D1F" w:rsidRPr="00091C8C">
        <w:rPr>
          <w:rFonts w:ascii="Times New Roman" w:hAnsi="Times New Roman"/>
        </w:rPr>
        <w:t>12</w:t>
      </w:r>
      <w:r w:rsidR="00BD573E" w:rsidRPr="00091C8C">
        <w:rPr>
          <w:rFonts w:ascii="Times New Roman" w:hAnsi="Times New Roman"/>
        </w:rPr>
        <w:t xml:space="preserve">. The correction was </w:t>
      </w:r>
      <w:r w:rsidR="00D50D1F" w:rsidRPr="00091C8C">
        <w:rPr>
          <w:rFonts w:ascii="Times New Roman" w:hAnsi="Times New Roman"/>
        </w:rPr>
        <w:t xml:space="preserve">based on the earlier inclusion of </w:t>
      </w:r>
      <w:r w:rsidR="00F76ABB" w:rsidRPr="00091C8C">
        <w:rPr>
          <w:rFonts w:ascii="Times New Roman" w:hAnsi="Times New Roman"/>
        </w:rPr>
        <w:t>C</w:t>
      </w:r>
      <w:r w:rsidR="00C43061" w:rsidRPr="00091C8C">
        <w:rPr>
          <w:rFonts w:ascii="Times New Roman" w:hAnsi="Times New Roman"/>
        </w:rPr>
        <w:t>ipr</w:t>
      </w:r>
      <w:r w:rsidR="003004AF" w:rsidRPr="00091C8C">
        <w:rPr>
          <w:rFonts w:ascii="Times New Roman" w:hAnsi="Times New Roman"/>
        </w:rPr>
        <w:t>a</w:t>
      </w:r>
      <w:r w:rsidR="00F906FD" w:rsidRPr="00091C8C">
        <w:rPr>
          <w:rFonts w:ascii="Times New Roman" w:hAnsi="Times New Roman"/>
        </w:rPr>
        <w:t>m</w:t>
      </w:r>
      <w:r w:rsidR="00382161" w:rsidRPr="00091C8C">
        <w:rPr>
          <w:rFonts w:ascii="Times New Roman" w:hAnsi="Times New Roman"/>
        </w:rPr>
        <w:t>i</w:t>
      </w:r>
      <w:r w:rsidR="00F906FD" w:rsidRPr="00091C8C">
        <w:rPr>
          <w:rFonts w:ascii="Times New Roman" w:hAnsi="Times New Roman"/>
        </w:rPr>
        <w:t>l</w:t>
      </w:r>
      <w:r w:rsidR="003004AF" w:rsidRPr="00091C8C">
        <w:rPr>
          <w:rFonts w:ascii="Times New Roman" w:hAnsi="Times New Roman"/>
        </w:rPr>
        <w:t xml:space="preserve"> in the ARTG</w:t>
      </w:r>
      <w:r w:rsidR="00F76ABB" w:rsidRPr="00091C8C">
        <w:rPr>
          <w:rFonts w:ascii="Times New Roman" w:hAnsi="Times New Roman"/>
        </w:rPr>
        <w:t>.</w:t>
      </w:r>
    </w:p>
    <w:p w14:paraId="6FB4CEA6" w14:textId="5F3310BE" w:rsidR="00B566C3" w:rsidRPr="00091C8C" w:rsidRDefault="00DA0510" w:rsidP="00091C8C">
      <w:pPr>
        <w:pStyle w:val="FixListStyle"/>
        <w:spacing w:after="260" w:line="280" w:lineRule="exact"/>
        <w:ind w:right="0"/>
        <w:jc w:val="both"/>
        <w:rPr>
          <w:rFonts w:ascii="Times New Roman" w:hAnsi="Times New Roman"/>
        </w:rPr>
      </w:pPr>
      <w:r w:rsidRPr="00091C8C">
        <w:rPr>
          <w:rFonts w:ascii="Times New Roman" w:hAnsi="Times New Roman"/>
        </w:rPr>
        <w:tab/>
      </w:r>
      <w:r w:rsidR="00E54DD6" w:rsidRPr="00091C8C">
        <w:rPr>
          <w:rFonts w:ascii="Times New Roman" w:hAnsi="Times New Roman"/>
        </w:rPr>
        <w:t>Four separate</w:t>
      </w:r>
      <w:r w:rsidR="009335E3" w:rsidRPr="00091C8C">
        <w:rPr>
          <w:rFonts w:ascii="Times New Roman" w:hAnsi="Times New Roman"/>
        </w:rPr>
        <w:t xml:space="preserve"> proceedings </w:t>
      </w:r>
      <w:r w:rsidR="00F76ABB" w:rsidRPr="00091C8C">
        <w:rPr>
          <w:rFonts w:ascii="Times New Roman" w:hAnsi="Times New Roman"/>
        </w:rPr>
        <w:t xml:space="preserve">were then </w:t>
      </w:r>
      <w:r w:rsidR="00BB1235" w:rsidRPr="00091C8C">
        <w:rPr>
          <w:rFonts w:ascii="Times New Roman" w:hAnsi="Times New Roman"/>
        </w:rPr>
        <w:t>commenced</w:t>
      </w:r>
      <w:r w:rsidR="00F76ABB" w:rsidRPr="00091C8C">
        <w:rPr>
          <w:rFonts w:ascii="Times New Roman" w:hAnsi="Times New Roman"/>
        </w:rPr>
        <w:t xml:space="preserve"> </w:t>
      </w:r>
      <w:r w:rsidR="0000657B" w:rsidRPr="00091C8C">
        <w:rPr>
          <w:rFonts w:ascii="Times New Roman" w:hAnsi="Times New Roman"/>
        </w:rPr>
        <w:t>in</w:t>
      </w:r>
      <w:r w:rsidR="00F76ABB" w:rsidRPr="00091C8C">
        <w:rPr>
          <w:rFonts w:ascii="Times New Roman" w:hAnsi="Times New Roman"/>
        </w:rPr>
        <w:t xml:space="preserve"> the</w:t>
      </w:r>
      <w:r w:rsidR="00F469C5" w:rsidRPr="00091C8C">
        <w:rPr>
          <w:rFonts w:ascii="Times New Roman" w:hAnsi="Times New Roman"/>
        </w:rPr>
        <w:t xml:space="preserve"> Federal Court</w:t>
      </w:r>
      <w:r w:rsidR="00797E33" w:rsidRPr="00091C8C">
        <w:rPr>
          <w:rFonts w:ascii="Times New Roman" w:hAnsi="Times New Roman"/>
        </w:rPr>
        <w:t xml:space="preserve">. Lundbeck </w:t>
      </w:r>
      <w:r w:rsidR="001767BB" w:rsidRPr="00091C8C">
        <w:rPr>
          <w:rFonts w:ascii="Times New Roman" w:hAnsi="Times New Roman"/>
        </w:rPr>
        <w:t>Denmark</w:t>
      </w:r>
      <w:r w:rsidR="0092182A" w:rsidRPr="00091C8C">
        <w:rPr>
          <w:rFonts w:ascii="Times New Roman" w:hAnsi="Times New Roman"/>
        </w:rPr>
        <w:t xml:space="preserve"> </w:t>
      </w:r>
      <w:r w:rsidR="00797E33" w:rsidRPr="00091C8C">
        <w:rPr>
          <w:rFonts w:ascii="Times New Roman" w:hAnsi="Times New Roman"/>
        </w:rPr>
        <w:t>appealed the decision of the</w:t>
      </w:r>
      <w:r w:rsidR="000545BA" w:rsidRPr="00091C8C">
        <w:rPr>
          <w:rFonts w:ascii="Times New Roman" w:hAnsi="Times New Roman"/>
        </w:rPr>
        <w:t xml:space="preserve"> Commissioner to correct the extension</w:t>
      </w:r>
      <w:r w:rsidR="003C5178" w:rsidRPr="00091C8C">
        <w:rPr>
          <w:rFonts w:ascii="Times New Roman" w:hAnsi="Times New Roman"/>
        </w:rPr>
        <w:t xml:space="preserve"> of the term of the </w:t>
      </w:r>
      <w:r w:rsidR="008671D5" w:rsidRPr="00091C8C">
        <w:rPr>
          <w:rFonts w:ascii="Times New Roman" w:hAnsi="Times New Roman"/>
        </w:rPr>
        <w:t>P</w:t>
      </w:r>
      <w:r w:rsidR="003C5178" w:rsidRPr="00091C8C">
        <w:rPr>
          <w:rFonts w:ascii="Times New Roman" w:hAnsi="Times New Roman"/>
        </w:rPr>
        <w:t>atent</w:t>
      </w:r>
      <w:r w:rsidR="005926E0" w:rsidRPr="00091C8C">
        <w:rPr>
          <w:rFonts w:ascii="Times New Roman" w:hAnsi="Times New Roman"/>
        </w:rPr>
        <w:t xml:space="preserve"> from 13</w:t>
      </w:r>
      <w:r w:rsidR="00DF4BB4" w:rsidRPr="00091C8C">
        <w:rPr>
          <w:rFonts w:ascii="Times New Roman" w:hAnsi="Times New Roman"/>
        </w:rPr>
        <w:t> </w:t>
      </w:r>
      <w:r w:rsidR="005926E0" w:rsidRPr="00091C8C">
        <w:rPr>
          <w:rFonts w:ascii="Times New Roman" w:hAnsi="Times New Roman"/>
        </w:rPr>
        <w:t xml:space="preserve">June 2014 to </w:t>
      </w:r>
      <w:r w:rsidR="008F5155" w:rsidRPr="00091C8C">
        <w:rPr>
          <w:rFonts w:ascii="Times New Roman" w:hAnsi="Times New Roman"/>
        </w:rPr>
        <w:t>9</w:t>
      </w:r>
      <w:r w:rsidR="00DF4BB4" w:rsidRPr="00091C8C">
        <w:rPr>
          <w:rFonts w:ascii="Times New Roman" w:hAnsi="Times New Roman"/>
        </w:rPr>
        <w:t> </w:t>
      </w:r>
      <w:r w:rsidR="008F5155" w:rsidRPr="00091C8C">
        <w:rPr>
          <w:rFonts w:ascii="Times New Roman" w:hAnsi="Times New Roman"/>
        </w:rPr>
        <w:t>December 2012</w:t>
      </w:r>
      <w:r w:rsidR="00045B3E" w:rsidRPr="00091C8C">
        <w:rPr>
          <w:rFonts w:ascii="Times New Roman" w:hAnsi="Times New Roman"/>
        </w:rPr>
        <w:t>. Sandoz</w:t>
      </w:r>
      <w:r w:rsidR="009335E3" w:rsidRPr="00091C8C">
        <w:rPr>
          <w:rFonts w:ascii="Times New Roman" w:hAnsi="Times New Roman"/>
        </w:rPr>
        <w:t xml:space="preserve"> </w:t>
      </w:r>
      <w:r w:rsidR="00045B3E" w:rsidRPr="00091C8C">
        <w:rPr>
          <w:rFonts w:ascii="Times New Roman" w:hAnsi="Times New Roman"/>
        </w:rPr>
        <w:t>and two other suppliers of generic phar</w:t>
      </w:r>
      <w:r w:rsidR="00176AEE" w:rsidRPr="00091C8C">
        <w:rPr>
          <w:rFonts w:ascii="Times New Roman" w:hAnsi="Times New Roman"/>
        </w:rPr>
        <w:t>mac</w:t>
      </w:r>
      <w:r w:rsidR="007A0C40" w:rsidRPr="00091C8C">
        <w:rPr>
          <w:rFonts w:ascii="Times New Roman" w:hAnsi="Times New Roman"/>
        </w:rPr>
        <w:t>e</w:t>
      </w:r>
      <w:r w:rsidR="00B43136" w:rsidRPr="00091C8C">
        <w:rPr>
          <w:rFonts w:ascii="Times New Roman" w:hAnsi="Times New Roman"/>
        </w:rPr>
        <w:t>utical products</w:t>
      </w:r>
      <w:r w:rsidR="009335E3" w:rsidRPr="00091C8C">
        <w:rPr>
          <w:rFonts w:ascii="Times New Roman" w:hAnsi="Times New Roman"/>
        </w:rPr>
        <w:t xml:space="preserve"> </w:t>
      </w:r>
      <w:r w:rsidR="00DE00D0" w:rsidRPr="00091C8C">
        <w:rPr>
          <w:rFonts w:ascii="Times New Roman" w:hAnsi="Times New Roman"/>
        </w:rPr>
        <w:t xml:space="preserve">each </w:t>
      </w:r>
      <w:r w:rsidR="00BB1235" w:rsidRPr="00091C8C">
        <w:rPr>
          <w:rFonts w:ascii="Times New Roman" w:hAnsi="Times New Roman"/>
        </w:rPr>
        <w:t>commenced</w:t>
      </w:r>
      <w:r w:rsidR="0099444C" w:rsidRPr="00091C8C">
        <w:rPr>
          <w:rFonts w:ascii="Times New Roman" w:hAnsi="Times New Roman"/>
        </w:rPr>
        <w:t xml:space="preserve"> </w:t>
      </w:r>
      <w:r w:rsidR="009335E3" w:rsidRPr="00091C8C">
        <w:rPr>
          <w:rFonts w:ascii="Times New Roman" w:hAnsi="Times New Roman"/>
        </w:rPr>
        <w:t xml:space="preserve">separate </w:t>
      </w:r>
      <w:r w:rsidR="0099444C" w:rsidRPr="00091C8C">
        <w:rPr>
          <w:rFonts w:ascii="Times New Roman" w:hAnsi="Times New Roman"/>
        </w:rPr>
        <w:t xml:space="preserve">proceedings </w:t>
      </w:r>
      <w:r w:rsidR="009335E3" w:rsidRPr="00091C8C">
        <w:rPr>
          <w:rFonts w:ascii="Times New Roman" w:hAnsi="Times New Roman"/>
        </w:rPr>
        <w:t xml:space="preserve">against Lundbeck </w:t>
      </w:r>
      <w:r w:rsidR="00B21C36" w:rsidRPr="00091C8C">
        <w:rPr>
          <w:rFonts w:ascii="Times New Roman" w:hAnsi="Times New Roman"/>
        </w:rPr>
        <w:t xml:space="preserve">Denmark </w:t>
      </w:r>
      <w:r w:rsidR="0099444C" w:rsidRPr="00091C8C">
        <w:rPr>
          <w:rFonts w:ascii="Times New Roman" w:hAnsi="Times New Roman"/>
        </w:rPr>
        <w:t>challenging</w:t>
      </w:r>
      <w:r w:rsidR="001A61E8" w:rsidRPr="00091C8C">
        <w:rPr>
          <w:rFonts w:ascii="Times New Roman" w:hAnsi="Times New Roman"/>
        </w:rPr>
        <w:t xml:space="preserve"> the validity of the </w:t>
      </w:r>
      <w:r w:rsidR="009335E3" w:rsidRPr="00091C8C">
        <w:rPr>
          <w:rFonts w:ascii="Times New Roman" w:hAnsi="Times New Roman"/>
        </w:rPr>
        <w:t>P</w:t>
      </w:r>
      <w:r w:rsidR="001A61E8" w:rsidRPr="00091C8C">
        <w:rPr>
          <w:rFonts w:ascii="Times New Roman" w:hAnsi="Times New Roman"/>
        </w:rPr>
        <w:t>atent.</w:t>
      </w:r>
      <w:r w:rsidR="00B566C3" w:rsidRPr="00091C8C">
        <w:rPr>
          <w:rFonts w:ascii="Times New Roman" w:hAnsi="Times New Roman"/>
        </w:rPr>
        <w:t xml:space="preserve"> </w:t>
      </w:r>
      <w:r w:rsidR="001A61E8" w:rsidRPr="00091C8C">
        <w:rPr>
          <w:rFonts w:ascii="Times New Roman" w:hAnsi="Times New Roman"/>
        </w:rPr>
        <w:t xml:space="preserve">The </w:t>
      </w:r>
      <w:r w:rsidR="005E450D" w:rsidRPr="00091C8C">
        <w:rPr>
          <w:rFonts w:ascii="Times New Roman" w:hAnsi="Times New Roman"/>
        </w:rPr>
        <w:t>S</w:t>
      </w:r>
      <w:r w:rsidR="001A61E8" w:rsidRPr="00091C8C">
        <w:rPr>
          <w:rFonts w:ascii="Times New Roman" w:hAnsi="Times New Roman"/>
        </w:rPr>
        <w:t xml:space="preserve">ettlement </w:t>
      </w:r>
      <w:r w:rsidR="00B566C3" w:rsidRPr="00091C8C">
        <w:rPr>
          <w:rFonts w:ascii="Times New Roman" w:hAnsi="Times New Roman"/>
        </w:rPr>
        <w:t>A</w:t>
      </w:r>
      <w:r w:rsidR="001A61E8" w:rsidRPr="00091C8C">
        <w:rPr>
          <w:rFonts w:ascii="Times New Roman" w:hAnsi="Times New Roman"/>
        </w:rPr>
        <w:t>greement</w:t>
      </w:r>
      <w:r w:rsidR="00ED5DFB" w:rsidRPr="00091C8C">
        <w:rPr>
          <w:rFonts w:ascii="Times New Roman" w:hAnsi="Times New Roman"/>
        </w:rPr>
        <w:t xml:space="preserve"> resolved Sandoz'</w:t>
      </w:r>
      <w:r w:rsidR="00B566C3" w:rsidRPr="00091C8C">
        <w:rPr>
          <w:rFonts w:ascii="Times New Roman" w:hAnsi="Times New Roman"/>
        </w:rPr>
        <w:t>s</w:t>
      </w:r>
      <w:r w:rsidR="00ED5DFB" w:rsidRPr="00091C8C">
        <w:rPr>
          <w:rFonts w:ascii="Times New Roman" w:hAnsi="Times New Roman"/>
        </w:rPr>
        <w:t xml:space="preserve"> challenge </w:t>
      </w:r>
      <w:r w:rsidR="005745B0" w:rsidRPr="00091C8C">
        <w:rPr>
          <w:rFonts w:ascii="Times New Roman" w:hAnsi="Times New Roman"/>
        </w:rPr>
        <w:t xml:space="preserve">to the validity of </w:t>
      </w:r>
      <w:r w:rsidR="00065D1B" w:rsidRPr="00091C8C">
        <w:rPr>
          <w:rFonts w:ascii="Times New Roman" w:hAnsi="Times New Roman"/>
        </w:rPr>
        <w:t xml:space="preserve">the </w:t>
      </w:r>
      <w:r w:rsidR="006F73D9" w:rsidRPr="00091C8C">
        <w:rPr>
          <w:rFonts w:ascii="Times New Roman" w:hAnsi="Times New Roman"/>
        </w:rPr>
        <w:t>P</w:t>
      </w:r>
      <w:r w:rsidR="00065D1B" w:rsidRPr="00091C8C">
        <w:rPr>
          <w:rFonts w:ascii="Times New Roman" w:hAnsi="Times New Roman"/>
        </w:rPr>
        <w:t xml:space="preserve">atent, </w:t>
      </w:r>
      <w:r w:rsidR="0046067C" w:rsidRPr="00091C8C">
        <w:rPr>
          <w:rFonts w:ascii="Times New Roman" w:hAnsi="Times New Roman"/>
        </w:rPr>
        <w:t>following which Sandoz'</w:t>
      </w:r>
      <w:r w:rsidR="00B566C3" w:rsidRPr="00091C8C">
        <w:rPr>
          <w:rFonts w:ascii="Times New Roman" w:hAnsi="Times New Roman"/>
        </w:rPr>
        <w:t>s</w:t>
      </w:r>
      <w:r w:rsidR="0046067C" w:rsidRPr="00091C8C">
        <w:rPr>
          <w:rFonts w:ascii="Times New Roman" w:hAnsi="Times New Roman"/>
        </w:rPr>
        <w:t xml:space="preserve"> </w:t>
      </w:r>
      <w:r w:rsidR="00097004" w:rsidRPr="00091C8C">
        <w:rPr>
          <w:rFonts w:ascii="Times New Roman" w:hAnsi="Times New Roman"/>
        </w:rPr>
        <w:t xml:space="preserve">proceeding against Lundbeck </w:t>
      </w:r>
      <w:r w:rsidR="00DF5808" w:rsidRPr="00091C8C">
        <w:rPr>
          <w:rFonts w:ascii="Times New Roman" w:hAnsi="Times New Roman"/>
        </w:rPr>
        <w:t xml:space="preserve">Denmark </w:t>
      </w:r>
      <w:r w:rsidR="00097004" w:rsidRPr="00091C8C">
        <w:rPr>
          <w:rFonts w:ascii="Times New Roman" w:hAnsi="Times New Roman"/>
        </w:rPr>
        <w:t>was discontinued</w:t>
      </w:r>
      <w:r w:rsidR="007D26B5" w:rsidRPr="00091C8C">
        <w:rPr>
          <w:rFonts w:ascii="Times New Roman" w:hAnsi="Times New Roman"/>
        </w:rPr>
        <w:t xml:space="preserve"> by consent.</w:t>
      </w:r>
      <w:r w:rsidR="000D15F4" w:rsidRPr="00091C8C">
        <w:rPr>
          <w:rFonts w:ascii="Times New Roman" w:hAnsi="Times New Roman"/>
        </w:rPr>
        <w:t xml:space="preserve"> </w:t>
      </w:r>
    </w:p>
    <w:p w14:paraId="2050F914" w14:textId="5DE62316" w:rsidR="001A61E8" w:rsidRPr="00091C8C" w:rsidRDefault="00B566C3" w:rsidP="00091C8C">
      <w:pPr>
        <w:pStyle w:val="FixListStyle"/>
        <w:spacing w:after="260" w:line="280" w:lineRule="exact"/>
        <w:ind w:right="0"/>
        <w:jc w:val="both"/>
        <w:rPr>
          <w:rFonts w:ascii="Times New Roman" w:hAnsi="Times New Roman"/>
        </w:rPr>
      </w:pPr>
      <w:r w:rsidRPr="00091C8C">
        <w:rPr>
          <w:rFonts w:ascii="Times New Roman" w:hAnsi="Times New Roman"/>
        </w:rPr>
        <w:lastRenderedPageBreak/>
        <w:tab/>
      </w:r>
      <w:r w:rsidR="000D15F4" w:rsidRPr="00091C8C">
        <w:rPr>
          <w:rFonts w:ascii="Times New Roman" w:hAnsi="Times New Roman"/>
        </w:rPr>
        <w:t xml:space="preserve">The </w:t>
      </w:r>
      <w:r w:rsidR="000F75B7" w:rsidRPr="00091C8C">
        <w:rPr>
          <w:rFonts w:ascii="Times New Roman" w:hAnsi="Times New Roman"/>
        </w:rPr>
        <w:t>S</w:t>
      </w:r>
      <w:r w:rsidR="000D15F4" w:rsidRPr="00091C8C">
        <w:rPr>
          <w:rFonts w:ascii="Times New Roman" w:hAnsi="Times New Roman"/>
        </w:rPr>
        <w:t>ettlem</w:t>
      </w:r>
      <w:r w:rsidR="002D69FE" w:rsidRPr="00091C8C">
        <w:rPr>
          <w:rFonts w:ascii="Times New Roman" w:hAnsi="Times New Roman"/>
        </w:rPr>
        <w:t>en</w:t>
      </w:r>
      <w:r w:rsidR="000D15F4" w:rsidRPr="00091C8C">
        <w:rPr>
          <w:rFonts w:ascii="Times New Roman" w:hAnsi="Times New Roman"/>
        </w:rPr>
        <w:t xml:space="preserve">t </w:t>
      </w:r>
      <w:r w:rsidR="000F75B7" w:rsidRPr="00091C8C">
        <w:rPr>
          <w:rFonts w:ascii="Times New Roman" w:hAnsi="Times New Roman"/>
        </w:rPr>
        <w:t>A</w:t>
      </w:r>
      <w:r w:rsidR="000D15F4" w:rsidRPr="00091C8C">
        <w:rPr>
          <w:rFonts w:ascii="Times New Roman" w:hAnsi="Times New Roman"/>
        </w:rPr>
        <w:t>greement defined "</w:t>
      </w:r>
      <w:r w:rsidRPr="00091C8C">
        <w:rPr>
          <w:rFonts w:ascii="Times New Roman" w:hAnsi="Times New Roman"/>
        </w:rPr>
        <w:t>P</w:t>
      </w:r>
      <w:r w:rsidR="002D69FE" w:rsidRPr="00091C8C">
        <w:rPr>
          <w:rFonts w:ascii="Times New Roman" w:hAnsi="Times New Roman"/>
        </w:rPr>
        <w:t xml:space="preserve">atent" to mean the </w:t>
      </w:r>
      <w:r w:rsidRPr="00091C8C">
        <w:rPr>
          <w:rFonts w:ascii="Times New Roman" w:hAnsi="Times New Roman"/>
        </w:rPr>
        <w:t>P</w:t>
      </w:r>
      <w:r w:rsidR="002D69FE" w:rsidRPr="00091C8C">
        <w:rPr>
          <w:rFonts w:ascii="Times New Roman" w:hAnsi="Times New Roman"/>
        </w:rPr>
        <w:t>atent</w:t>
      </w:r>
      <w:r w:rsidR="005A0F49" w:rsidRPr="00091C8C">
        <w:rPr>
          <w:rFonts w:ascii="Times New Roman" w:hAnsi="Times New Roman"/>
        </w:rPr>
        <w:t xml:space="preserve"> and </w:t>
      </w:r>
      <w:r w:rsidR="000F75B7" w:rsidRPr="00091C8C">
        <w:rPr>
          <w:rFonts w:ascii="Times New Roman" w:hAnsi="Times New Roman"/>
        </w:rPr>
        <w:t xml:space="preserve">defined </w:t>
      </w:r>
      <w:r w:rsidR="005A0F49" w:rsidRPr="00091C8C">
        <w:rPr>
          <w:rFonts w:ascii="Times New Roman" w:hAnsi="Times New Roman"/>
        </w:rPr>
        <w:t>"</w:t>
      </w:r>
      <w:r w:rsidRPr="00091C8C">
        <w:rPr>
          <w:rFonts w:ascii="Times New Roman" w:hAnsi="Times New Roman"/>
        </w:rPr>
        <w:t>P</w:t>
      </w:r>
      <w:r w:rsidR="005A0F49" w:rsidRPr="00091C8C">
        <w:rPr>
          <w:rFonts w:ascii="Times New Roman" w:hAnsi="Times New Roman"/>
        </w:rPr>
        <w:t>roceeding" to mean Sandoz'</w:t>
      </w:r>
      <w:r w:rsidR="009B2A05" w:rsidRPr="00091C8C">
        <w:rPr>
          <w:rFonts w:ascii="Times New Roman" w:hAnsi="Times New Roman"/>
        </w:rPr>
        <w:t>s</w:t>
      </w:r>
      <w:r w:rsidR="00677849" w:rsidRPr="00091C8C">
        <w:rPr>
          <w:rFonts w:ascii="Times New Roman" w:hAnsi="Times New Roman"/>
        </w:rPr>
        <w:t xml:space="preserve"> proceeding against Lundbeck Denmark for </w:t>
      </w:r>
      <w:r w:rsidR="00CD7369" w:rsidRPr="00091C8C">
        <w:rPr>
          <w:rFonts w:ascii="Times New Roman" w:hAnsi="Times New Roman"/>
        </w:rPr>
        <w:t>revocation</w:t>
      </w:r>
      <w:r w:rsidR="00677849" w:rsidRPr="00091C8C">
        <w:rPr>
          <w:rFonts w:ascii="Times New Roman" w:hAnsi="Times New Roman"/>
        </w:rPr>
        <w:t xml:space="preserve"> of</w:t>
      </w:r>
      <w:r w:rsidR="00BB1DCD" w:rsidRPr="00091C8C">
        <w:rPr>
          <w:rFonts w:ascii="Times New Roman" w:hAnsi="Times New Roman"/>
        </w:rPr>
        <w:t xml:space="preserve"> the </w:t>
      </w:r>
      <w:r w:rsidRPr="00091C8C">
        <w:rPr>
          <w:rFonts w:ascii="Times New Roman" w:hAnsi="Times New Roman"/>
        </w:rPr>
        <w:t>P</w:t>
      </w:r>
      <w:r w:rsidR="00CD7369" w:rsidRPr="00091C8C">
        <w:rPr>
          <w:rFonts w:ascii="Times New Roman" w:hAnsi="Times New Roman"/>
        </w:rPr>
        <w:t xml:space="preserve">atent. </w:t>
      </w:r>
      <w:r w:rsidR="008C1547" w:rsidRPr="00091C8C">
        <w:rPr>
          <w:rFonts w:ascii="Times New Roman" w:hAnsi="Times New Roman"/>
        </w:rPr>
        <w:t>Under t</w:t>
      </w:r>
      <w:r w:rsidR="00E36129" w:rsidRPr="00091C8C">
        <w:rPr>
          <w:rFonts w:ascii="Times New Roman" w:hAnsi="Times New Roman"/>
        </w:rPr>
        <w:t>he Settlement Agreement</w:t>
      </w:r>
      <w:r w:rsidR="008C1547" w:rsidRPr="00091C8C">
        <w:rPr>
          <w:rFonts w:ascii="Times New Roman" w:hAnsi="Times New Roman"/>
        </w:rPr>
        <w:t xml:space="preserve">, </w:t>
      </w:r>
      <w:r w:rsidR="00262505" w:rsidRPr="00091C8C">
        <w:rPr>
          <w:rFonts w:ascii="Times New Roman" w:hAnsi="Times New Roman"/>
        </w:rPr>
        <w:t xml:space="preserve">Lundbeck Denmark and Lundbeck Australia </w:t>
      </w:r>
      <w:r w:rsidR="00CD7369" w:rsidRPr="00091C8C">
        <w:rPr>
          <w:rFonts w:ascii="Times New Roman" w:hAnsi="Times New Roman"/>
        </w:rPr>
        <w:t xml:space="preserve">jointly and </w:t>
      </w:r>
      <w:r w:rsidR="001315C0" w:rsidRPr="00091C8C">
        <w:rPr>
          <w:rFonts w:ascii="Times New Roman" w:hAnsi="Times New Roman"/>
        </w:rPr>
        <w:t>severally</w:t>
      </w:r>
      <w:r w:rsidR="001174C8" w:rsidRPr="00091C8C">
        <w:rPr>
          <w:rFonts w:ascii="Times New Roman" w:hAnsi="Times New Roman"/>
        </w:rPr>
        <w:t xml:space="preserve"> released </w:t>
      </w:r>
      <w:r w:rsidR="000020D1" w:rsidRPr="00091C8C">
        <w:rPr>
          <w:rFonts w:ascii="Times New Roman" w:hAnsi="Times New Roman"/>
        </w:rPr>
        <w:t>Sandoz</w:t>
      </w:r>
      <w:r w:rsidR="001174C8" w:rsidRPr="00091C8C">
        <w:rPr>
          <w:rFonts w:ascii="Times New Roman" w:hAnsi="Times New Roman"/>
        </w:rPr>
        <w:t xml:space="preserve"> "from all</w:t>
      </w:r>
      <w:r w:rsidR="00F94935" w:rsidRPr="00091C8C">
        <w:rPr>
          <w:rFonts w:ascii="Times New Roman" w:hAnsi="Times New Roman"/>
        </w:rPr>
        <w:t xml:space="preserve"> claims, actions and causes of action</w:t>
      </w:r>
      <w:r w:rsidR="008744A7" w:rsidRPr="00091C8C">
        <w:rPr>
          <w:rFonts w:ascii="Times New Roman" w:hAnsi="Times New Roman"/>
        </w:rPr>
        <w:t>s</w:t>
      </w:r>
      <w:r w:rsidR="00F94935" w:rsidRPr="00091C8C">
        <w:rPr>
          <w:rFonts w:ascii="Times New Roman" w:hAnsi="Times New Roman"/>
        </w:rPr>
        <w:t xml:space="preserve"> ... present and future</w:t>
      </w:r>
      <w:r w:rsidR="00BE7FA1" w:rsidRPr="00091C8C">
        <w:rPr>
          <w:rFonts w:ascii="Times New Roman" w:hAnsi="Times New Roman"/>
        </w:rPr>
        <w:t xml:space="preserve">, relating to the </w:t>
      </w:r>
      <w:r w:rsidR="00FB32A6" w:rsidRPr="00091C8C">
        <w:rPr>
          <w:rFonts w:ascii="Times New Roman" w:hAnsi="Times New Roman"/>
        </w:rPr>
        <w:t>P</w:t>
      </w:r>
      <w:r w:rsidR="00BE7FA1" w:rsidRPr="00091C8C">
        <w:rPr>
          <w:rFonts w:ascii="Times New Roman" w:hAnsi="Times New Roman"/>
        </w:rPr>
        <w:t>roceeding</w:t>
      </w:r>
      <w:r w:rsidR="00BD67C9" w:rsidRPr="00091C8C">
        <w:rPr>
          <w:rFonts w:ascii="Times New Roman" w:hAnsi="Times New Roman"/>
        </w:rPr>
        <w:t xml:space="preserve">". </w:t>
      </w:r>
      <w:r w:rsidR="00AC2A03" w:rsidRPr="00091C8C">
        <w:rPr>
          <w:rFonts w:ascii="Times New Roman" w:hAnsi="Times New Roman"/>
        </w:rPr>
        <w:t>By the settlement clause</w:t>
      </w:r>
      <w:r w:rsidR="00657AA0" w:rsidRPr="00091C8C">
        <w:rPr>
          <w:rFonts w:ascii="Times New Roman" w:hAnsi="Times New Roman"/>
        </w:rPr>
        <w:t>,</w:t>
      </w:r>
      <w:r w:rsidR="00D27082" w:rsidRPr="00091C8C">
        <w:rPr>
          <w:rFonts w:ascii="Times New Roman" w:hAnsi="Times New Roman"/>
        </w:rPr>
        <w:t xml:space="preserve"> </w:t>
      </w:r>
      <w:r w:rsidR="008C1547" w:rsidRPr="00091C8C">
        <w:rPr>
          <w:rFonts w:ascii="Times New Roman" w:hAnsi="Times New Roman"/>
        </w:rPr>
        <w:t>cl</w:t>
      </w:r>
      <w:r w:rsidR="000020D1" w:rsidRPr="00091C8C">
        <w:rPr>
          <w:rFonts w:ascii="Times New Roman" w:hAnsi="Times New Roman"/>
        </w:rPr>
        <w:t> </w:t>
      </w:r>
      <w:r w:rsidR="008C1547" w:rsidRPr="00091C8C">
        <w:rPr>
          <w:rFonts w:ascii="Times New Roman" w:hAnsi="Times New Roman"/>
        </w:rPr>
        <w:t>3 of the Settlement Agreement</w:t>
      </w:r>
      <w:r w:rsidR="00DC5948" w:rsidRPr="00091C8C">
        <w:rPr>
          <w:rFonts w:ascii="Times New Roman" w:hAnsi="Times New Roman"/>
        </w:rPr>
        <w:t xml:space="preserve">, </w:t>
      </w:r>
      <w:r w:rsidR="00BD67C9" w:rsidRPr="00091C8C">
        <w:rPr>
          <w:rFonts w:ascii="Times New Roman" w:hAnsi="Times New Roman"/>
        </w:rPr>
        <w:t xml:space="preserve">Lundbeck </w:t>
      </w:r>
      <w:r w:rsidR="00D649B8" w:rsidRPr="00091C8C">
        <w:rPr>
          <w:rFonts w:ascii="Times New Roman" w:hAnsi="Times New Roman"/>
        </w:rPr>
        <w:t>Denma</w:t>
      </w:r>
      <w:r w:rsidR="00373BFB" w:rsidRPr="00091C8C">
        <w:rPr>
          <w:rFonts w:ascii="Times New Roman" w:hAnsi="Times New Roman"/>
        </w:rPr>
        <w:t xml:space="preserve">rk and Lundbeck Australia jointly and </w:t>
      </w:r>
      <w:r w:rsidR="009B2A05" w:rsidRPr="00091C8C">
        <w:rPr>
          <w:rFonts w:ascii="Times New Roman" w:hAnsi="Times New Roman"/>
        </w:rPr>
        <w:t>severally</w:t>
      </w:r>
      <w:r w:rsidR="00373BFB" w:rsidRPr="00091C8C">
        <w:rPr>
          <w:rFonts w:ascii="Times New Roman" w:hAnsi="Times New Roman"/>
        </w:rPr>
        <w:t xml:space="preserve"> granted Sandoz what was described as </w:t>
      </w:r>
      <w:r w:rsidR="00851007" w:rsidRPr="00091C8C">
        <w:rPr>
          <w:rFonts w:ascii="Times New Roman" w:hAnsi="Times New Roman"/>
        </w:rPr>
        <w:t>"an irrevocable non-</w:t>
      </w:r>
      <w:r w:rsidR="009C7837" w:rsidRPr="00091C8C">
        <w:rPr>
          <w:rFonts w:ascii="Times New Roman" w:hAnsi="Times New Roman"/>
        </w:rPr>
        <w:t>exc</w:t>
      </w:r>
      <w:r w:rsidR="0091734F" w:rsidRPr="00091C8C">
        <w:rPr>
          <w:rFonts w:ascii="Times New Roman" w:hAnsi="Times New Roman"/>
        </w:rPr>
        <w:t>lusive licen</w:t>
      </w:r>
      <w:r w:rsidR="00370717" w:rsidRPr="00091C8C">
        <w:rPr>
          <w:rFonts w:ascii="Times New Roman" w:hAnsi="Times New Roman"/>
        </w:rPr>
        <w:t>c</w:t>
      </w:r>
      <w:r w:rsidR="0091734F" w:rsidRPr="00091C8C">
        <w:rPr>
          <w:rFonts w:ascii="Times New Roman" w:hAnsi="Times New Roman"/>
        </w:rPr>
        <w:t xml:space="preserve">e to the </w:t>
      </w:r>
      <w:r w:rsidR="0031329C" w:rsidRPr="00091C8C">
        <w:rPr>
          <w:rFonts w:ascii="Times New Roman" w:hAnsi="Times New Roman"/>
        </w:rPr>
        <w:t>P</w:t>
      </w:r>
      <w:r w:rsidR="0091734F" w:rsidRPr="00091C8C">
        <w:rPr>
          <w:rFonts w:ascii="Times New Roman" w:hAnsi="Times New Roman"/>
        </w:rPr>
        <w:t>atent</w:t>
      </w:r>
      <w:r w:rsidR="00C12045" w:rsidRPr="00091C8C">
        <w:rPr>
          <w:rFonts w:ascii="Times New Roman" w:hAnsi="Times New Roman"/>
        </w:rPr>
        <w:t>".</w:t>
      </w:r>
    </w:p>
    <w:p w14:paraId="46D214E2" w14:textId="6852ADE2" w:rsidR="008744A7" w:rsidRPr="00091C8C" w:rsidRDefault="008744A7" w:rsidP="00091C8C">
      <w:pPr>
        <w:pStyle w:val="FixListStyle"/>
        <w:spacing w:after="260" w:line="280" w:lineRule="exact"/>
        <w:ind w:right="0"/>
        <w:jc w:val="both"/>
        <w:rPr>
          <w:rFonts w:ascii="Times New Roman" w:hAnsi="Times New Roman"/>
        </w:rPr>
      </w:pPr>
      <w:r w:rsidRPr="00091C8C">
        <w:rPr>
          <w:rFonts w:ascii="Times New Roman" w:hAnsi="Times New Roman"/>
        </w:rPr>
        <w:tab/>
      </w:r>
      <w:r w:rsidR="001D119E" w:rsidRPr="00091C8C">
        <w:rPr>
          <w:rFonts w:ascii="Times New Roman" w:hAnsi="Times New Roman"/>
        </w:rPr>
        <w:t>T</w:t>
      </w:r>
      <w:r w:rsidR="001E295A" w:rsidRPr="00091C8C">
        <w:rPr>
          <w:rFonts w:ascii="Times New Roman" w:hAnsi="Times New Roman"/>
        </w:rPr>
        <w:t>he settlement clause</w:t>
      </w:r>
      <w:r w:rsidR="00DC5948" w:rsidRPr="00091C8C">
        <w:rPr>
          <w:rFonts w:ascii="Times New Roman" w:hAnsi="Times New Roman"/>
        </w:rPr>
        <w:t xml:space="preserve"> </w:t>
      </w:r>
      <w:r w:rsidR="001E295A" w:rsidRPr="00091C8C">
        <w:rPr>
          <w:rFonts w:ascii="Times New Roman" w:hAnsi="Times New Roman"/>
        </w:rPr>
        <w:t>was expressed as follows:</w:t>
      </w:r>
    </w:p>
    <w:p w14:paraId="1812D315" w14:textId="7AEF583D" w:rsidR="008D66D9" w:rsidRPr="00091C8C" w:rsidRDefault="00EF3F54" w:rsidP="00091C8C">
      <w:pPr>
        <w:pStyle w:val="leftright"/>
        <w:spacing w:before="0" w:after="260" w:line="280" w:lineRule="exact"/>
        <w:ind w:left="1440" w:right="0" w:hanging="720"/>
        <w:jc w:val="both"/>
        <w:rPr>
          <w:rFonts w:ascii="Times New Roman" w:hAnsi="Times New Roman"/>
        </w:rPr>
      </w:pPr>
      <w:r w:rsidRPr="00091C8C">
        <w:rPr>
          <w:rFonts w:ascii="Times New Roman" w:hAnsi="Times New Roman"/>
        </w:rPr>
        <w:t>"</w:t>
      </w:r>
      <w:r w:rsidR="00BD2E39" w:rsidRPr="00091C8C">
        <w:rPr>
          <w:rFonts w:ascii="Times New Roman" w:hAnsi="Times New Roman"/>
        </w:rPr>
        <w:t>(1)</w:t>
      </w:r>
      <w:r w:rsidR="00BE747B" w:rsidRPr="00091C8C">
        <w:rPr>
          <w:rFonts w:ascii="Times New Roman" w:hAnsi="Times New Roman"/>
        </w:rPr>
        <w:tab/>
      </w:r>
      <w:r w:rsidR="008D66D9" w:rsidRPr="00091C8C">
        <w:rPr>
          <w:rFonts w:ascii="Times New Roman" w:hAnsi="Times New Roman"/>
        </w:rPr>
        <w:t>Lundbeck Denmark and Lundbeck Australia jointly and severally grant Sandoz an irrevocable non-exclusive licence to the Patent effective from:</w:t>
      </w:r>
    </w:p>
    <w:p w14:paraId="25387C5C" w14:textId="1BD99A9D" w:rsidR="008D66D9" w:rsidRPr="00091C8C" w:rsidRDefault="000020D1" w:rsidP="00091C8C">
      <w:pPr>
        <w:pStyle w:val="leftright"/>
        <w:spacing w:before="0" w:after="260" w:line="280" w:lineRule="exact"/>
        <w:ind w:left="2160" w:right="0" w:hanging="1440"/>
        <w:jc w:val="both"/>
        <w:rPr>
          <w:rFonts w:ascii="Times New Roman" w:hAnsi="Times New Roman"/>
        </w:rPr>
      </w:pPr>
      <w:r w:rsidRPr="00091C8C">
        <w:rPr>
          <w:rFonts w:ascii="Times New Roman" w:hAnsi="Times New Roman"/>
        </w:rPr>
        <w:tab/>
      </w:r>
      <w:r w:rsidR="008D66D9" w:rsidRPr="00091C8C">
        <w:rPr>
          <w:rFonts w:ascii="Times New Roman" w:hAnsi="Times New Roman"/>
        </w:rPr>
        <w:t>(a)</w:t>
      </w:r>
      <w:r w:rsidR="00577709" w:rsidRPr="00091C8C">
        <w:rPr>
          <w:rFonts w:ascii="Times New Roman" w:hAnsi="Times New Roman"/>
        </w:rPr>
        <w:tab/>
      </w:r>
      <w:r w:rsidR="008D66D9" w:rsidRPr="00091C8C">
        <w:rPr>
          <w:rFonts w:ascii="Times New Roman" w:hAnsi="Times New Roman"/>
        </w:rPr>
        <w:t>31 May 2009 if the Patent expires on 13</w:t>
      </w:r>
      <w:r w:rsidRPr="00091C8C">
        <w:rPr>
          <w:rFonts w:ascii="Times New Roman" w:hAnsi="Times New Roman"/>
        </w:rPr>
        <w:t> </w:t>
      </w:r>
      <w:r w:rsidR="008D66D9" w:rsidRPr="00091C8C">
        <w:rPr>
          <w:rFonts w:ascii="Times New Roman" w:hAnsi="Times New Roman"/>
        </w:rPr>
        <w:t>June 2009;</w:t>
      </w:r>
    </w:p>
    <w:p w14:paraId="0307A3F3" w14:textId="060D40F8" w:rsidR="008D66D9" w:rsidRPr="00091C8C" w:rsidRDefault="000020D1" w:rsidP="00091C8C">
      <w:pPr>
        <w:pStyle w:val="leftright"/>
        <w:spacing w:before="0" w:after="260" w:line="280" w:lineRule="exact"/>
        <w:ind w:left="2160" w:right="0" w:hanging="1440"/>
        <w:jc w:val="both"/>
        <w:rPr>
          <w:rFonts w:ascii="Times New Roman" w:hAnsi="Times New Roman"/>
        </w:rPr>
      </w:pPr>
      <w:r w:rsidRPr="00091C8C">
        <w:rPr>
          <w:rFonts w:ascii="Times New Roman" w:hAnsi="Times New Roman"/>
        </w:rPr>
        <w:tab/>
      </w:r>
      <w:r w:rsidR="008D66D9" w:rsidRPr="00091C8C">
        <w:rPr>
          <w:rFonts w:ascii="Times New Roman" w:hAnsi="Times New Roman"/>
        </w:rPr>
        <w:t>(b)</w:t>
      </w:r>
      <w:r w:rsidR="00577709" w:rsidRPr="00091C8C">
        <w:rPr>
          <w:rFonts w:ascii="Times New Roman" w:hAnsi="Times New Roman"/>
        </w:rPr>
        <w:tab/>
      </w:r>
      <w:r w:rsidR="008D66D9" w:rsidRPr="00091C8C">
        <w:rPr>
          <w:rFonts w:ascii="Times New Roman" w:hAnsi="Times New Roman"/>
        </w:rPr>
        <w:t>26 November 2012 if the Patent expires on 9</w:t>
      </w:r>
      <w:r w:rsidRPr="00091C8C">
        <w:rPr>
          <w:rFonts w:ascii="Times New Roman" w:hAnsi="Times New Roman"/>
        </w:rPr>
        <w:t> </w:t>
      </w:r>
      <w:r w:rsidR="008D66D9" w:rsidRPr="00091C8C">
        <w:rPr>
          <w:rFonts w:ascii="Times New Roman" w:hAnsi="Times New Roman"/>
        </w:rPr>
        <w:t>December 2012;</w:t>
      </w:r>
    </w:p>
    <w:p w14:paraId="48D540EC" w14:textId="2DDD22E2" w:rsidR="00C97FC0" w:rsidRPr="00091C8C" w:rsidRDefault="000020D1" w:rsidP="00091C8C">
      <w:pPr>
        <w:pStyle w:val="leftright"/>
        <w:spacing w:before="0" w:after="260" w:line="280" w:lineRule="exact"/>
        <w:ind w:left="2160" w:right="0" w:hanging="1440"/>
        <w:jc w:val="both"/>
        <w:rPr>
          <w:rFonts w:ascii="Times New Roman" w:hAnsi="Times New Roman"/>
        </w:rPr>
      </w:pPr>
      <w:r w:rsidRPr="00091C8C">
        <w:rPr>
          <w:rFonts w:ascii="Times New Roman" w:hAnsi="Times New Roman"/>
        </w:rPr>
        <w:tab/>
      </w:r>
      <w:r w:rsidR="008D66D9" w:rsidRPr="00091C8C">
        <w:rPr>
          <w:rFonts w:ascii="Times New Roman" w:hAnsi="Times New Roman"/>
        </w:rPr>
        <w:t>(c)</w:t>
      </w:r>
      <w:r w:rsidR="00577709" w:rsidRPr="00091C8C">
        <w:rPr>
          <w:rFonts w:ascii="Times New Roman" w:hAnsi="Times New Roman"/>
        </w:rPr>
        <w:tab/>
      </w:r>
      <w:r w:rsidR="008D66D9" w:rsidRPr="00091C8C">
        <w:rPr>
          <w:rFonts w:ascii="Times New Roman" w:hAnsi="Times New Roman"/>
        </w:rPr>
        <w:t>31 May 2014 if the Patent expires on 13</w:t>
      </w:r>
      <w:r w:rsidR="00D97E60" w:rsidRPr="00091C8C">
        <w:rPr>
          <w:rFonts w:ascii="Times New Roman" w:hAnsi="Times New Roman"/>
        </w:rPr>
        <w:t> </w:t>
      </w:r>
      <w:r w:rsidR="008D66D9" w:rsidRPr="00091C8C">
        <w:rPr>
          <w:rFonts w:ascii="Times New Roman" w:hAnsi="Times New Roman"/>
        </w:rPr>
        <w:t>June 2014; or</w:t>
      </w:r>
    </w:p>
    <w:p w14:paraId="591C869B" w14:textId="09640663" w:rsidR="00B4171E" w:rsidRPr="00091C8C" w:rsidRDefault="000020D1" w:rsidP="00091C8C">
      <w:pPr>
        <w:pStyle w:val="leftright"/>
        <w:spacing w:before="0" w:after="260" w:line="280" w:lineRule="exact"/>
        <w:ind w:left="2160" w:right="0" w:hanging="1440"/>
        <w:jc w:val="both"/>
        <w:rPr>
          <w:rFonts w:ascii="Times New Roman" w:hAnsi="Times New Roman"/>
        </w:rPr>
      </w:pPr>
      <w:r w:rsidRPr="00091C8C">
        <w:rPr>
          <w:rFonts w:ascii="Times New Roman" w:hAnsi="Times New Roman"/>
        </w:rPr>
        <w:tab/>
        <w:t>(</w:t>
      </w:r>
      <w:r w:rsidR="00B4171E" w:rsidRPr="00091C8C">
        <w:rPr>
          <w:rFonts w:ascii="Times New Roman" w:hAnsi="Times New Roman"/>
        </w:rPr>
        <w:t>d)</w:t>
      </w:r>
      <w:r w:rsidR="00577709" w:rsidRPr="00091C8C">
        <w:rPr>
          <w:rFonts w:ascii="Times New Roman" w:hAnsi="Times New Roman"/>
        </w:rPr>
        <w:tab/>
      </w:r>
      <w:r w:rsidR="00B4171E" w:rsidRPr="00091C8C">
        <w:rPr>
          <w:rFonts w:ascii="Times New Roman" w:hAnsi="Times New Roman"/>
        </w:rPr>
        <w:t>2 weeks prior to the expiry of the Patent if the Patent expires on a date</w:t>
      </w:r>
      <w:r w:rsidR="00F12FCF" w:rsidRPr="00091C8C">
        <w:rPr>
          <w:rFonts w:ascii="Times New Roman" w:hAnsi="Times New Roman"/>
        </w:rPr>
        <w:t xml:space="preserve"> </w:t>
      </w:r>
      <w:r w:rsidR="00B4171E" w:rsidRPr="00091C8C">
        <w:rPr>
          <w:rFonts w:ascii="Times New Roman" w:hAnsi="Times New Roman"/>
        </w:rPr>
        <w:t>other than a date described in clause 3(a) to (c).</w:t>
      </w:r>
    </w:p>
    <w:p w14:paraId="097024A0" w14:textId="56CDA7AE" w:rsidR="006F24D4" w:rsidRPr="00091C8C" w:rsidRDefault="00BD2E39" w:rsidP="00091C8C">
      <w:pPr>
        <w:pStyle w:val="leftright"/>
        <w:spacing w:before="0" w:after="260" w:line="280" w:lineRule="exact"/>
        <w:ind w:left="1440" w:right="0" w:hanging="720"/>
        <w:jc w:val="both"/>
        <w:rPr>
          <w:rFonts w:ascii="Times New Roman" w:hAnsi="Times New Roman"/>
        </w:rPr>
      </w:pPr>
      <w:r w:rsidRPr="00091C8C">
        <w:rPr>
          <w:rFonts w:ascii="Times New Roman" w:hAnsi="Times New Roman"/>
        </w:rPr>
        <w:t>(</w:t>
      </w:r>
      <w:r w:rsidR="00A756D2" w:rsidRPr="00091C8C">
        <w:rPr>
          <w:rFonts w:ascii="Times New Roman" w:hAnsi="Times New Roman"/>
        </w:rPr>
        <w:t>2</w:t>
      </w:r>
      <w:r w:rsidRPr="00091C8C">
        <w:rPr>
          <w:rFonts w:ascii="Times New Roman" w:hAnsi="Times New Roman"/>
        </w:rPr>
        <w:t>)</w:t>
      </w:r>
      <w:r w:rsidR="00410E5F" w:rsidRPr="00091C8C">
        <w:rPr>
          <w:rFonts w:ascii="Times New Roman" w:hAnsi="Times New Roman"/>
        </w:rPr>
        <w:tab/>
      </w:r>
      <w:r w:rsidR="00B4171E" w:rsidRPr="00091C8C">
        <w:rPr>
          <w:rFonts w:ascii="Times New Roman" w:hAnsi="Times New Roman"/>
        </w:rPr>
        <w:t>In addition to the licence granted under clause</w:t>
      </w:r>
      <w:r w:rsidR="004536E0" w:rsidRPr="00091C8C">
        <w:rPr>
          <w:rFonts w:ascii="Times New Roman" w:hAnsi="Times New Roman"/>
        </w:rPr>
        <w:t> </w:t>
      </w:r>
      <w:r w:rsidR="00B4171E" w:rsidRPr="00091C8C">
        <w:rPr>
          <w:rFonts w:ascii="Times New Roman" w:hAnsi="Times New Roman"/>
        </w:rPr>
        <w:t>3(1), Lundbeck Denmark and Lundbeck Australia jointly and severally grant Sandoz an irrevocable non</w:t>
      </w:r>
      <w:r w:rsidR="00A756D2" w:rsidRPr="00091C8C">
        <w:rPr>
          <w:rFonts w:ascii="Times New Roman" w:hAnsi="Times New Roman"/>
        </w:rPr>
        <w:t>-</w:t>
      </w:r>
      <w:r w:rsidR="00B4171E" w:rsidRPr="00091C8C">
        <w:rPr>
          <w:rFonts w:ascii="Times New Roman" w:hAnsi="Times New Roman"/>
        </w:rPr>
        <w:t>exclusive licence to the Patent, effective from the beginning of the calendar month in which the licence granted under clause</w:t>
      </w:r>
      <w:r w:rsidR="001D72A5" w:rsidRPr="00091C8C">
        <w:rPr>
          <w:rFonts w:ascii="Times New Roman" w:hAnsi="Times New Roman"/>
        </w:rPr>
        <w:t> </w:t>
      </w:r>
      <w:r w:rsidR="00B4171E" w:rsidRPr="00091C8C">
        <w:rPr>
          <w:rFonts w:ascii="Times New Roman" w:hAnsi="Times New Roman"/>
        </w:rPr>
        <w:t>3(1) becomes effective, for the sole purpose of manufacturing, importing, marketing and offering to sell</w:t>
      </w:r>
      <w:r w:rsidR="00091CBC" w:rsidRPr="00091C8C">
        <w:rPr>
          <w:rFonts w:ascii="Times New Roman" w:hAnsi="Times New Roman"/>
        </w:rPr>
        <w:t xml:space="preserve"> </w:t>
      </w:r>
      <w:r w:rsidR="00B4171E" w:rsidRPr="00091C8C">
        <w:rPr>
          <w:rFonts w:ascii="Times New Roman" w:hAnsi="Times New Roman"/>
        </w:rPr>
        <w:t>(but not selling or supplying) pharmaceutical products containing</w:t>
      </w:r>
      <w:r w:rsidR="00091CBC" w:rsidRPr="00091C8C">
        <w:rPr>
          <w:rFonts w:ascii="Times New Roman" w:hAnsi="Times New Roman"/>
        </w:rPr>
        <w:t xml:space="preserve"> </w:t>
      </w:r>
      <w:r w:rsidR="00B4171E" w:rsidRPr="00091C8C">
        <w:rPr>
          <w:rFonts w:ascii="Times New Roman" w:hAnsi="Times New Roman"/>
        </w:rPr>
        <w:t>escitalopram.</w:t>
      </w:r>
    </w:p>
    <w:p w14:paraId="2BB1A799" w14:textId="77777777" w:rsidR="00091C8C" w:rsidRDefault="005B764E" w:rsidP="00091C8C">
      <w:pPr>
        <w:pStyle w:val="leftright"/>
        <w:spacing w:before="0" w:after="260" w:line="280" w:lineRule="exact"/>
        <w:ind w:left="1440" w:right="0" w:hanging="720"/>
        <w:jc w:val="both"/>
        <w:rPr>
          <w:rFonts w:ascii="Times New Roman" w:hAnsi="Times New Roman"/>
        </w:rPr>
      </w:pPr>
      <w:r w:rsidRPr="00091C8C">
        <w:rPr>
          <w:rFonts w:ascii="Times New Roman" w:hAnsi="Times New Roman"/>
        </w:rPr>
        <w:t>(3)</w:t>
      </w:r>
      <w:r w:rsidR="00410E5F" w:rsidRPr="00091C8C">
        <w:rPr>
          <w:rFonts w:ascii="Times New Roman" w:hAnsi="Times New Roman"/>
        </w:rPr>
        <w:tab/>
      </w:r>
      <w:r w:rsidRPr="00091C8C">
        <w:rPr>
          <w:rFonts w:ascii="Times New Roman" w:hAnsi="Times New Roman"/>
        </w:rPr>
        <w:t>For the avoidance of doubt, nothing in this Agreement is to be taken as granting a licence of, or authorisation to exploit, any patent other than the Patent.</w:t>
      </w:r>
      <w:r w:rsidR="00EA6FA5" w:rsidRPr="00091C8C">
        <w:rPr>
          <w:rFonts w:ascii="Times New Roman" w:hAnsi="Times New Roman"/>
        </w:rPr>
        <w:t>"</w:t>
      </w:r>
    </w:p>
    <w:p w14:paraId="63C7A54C" w14:textId="534C2844" w:rsidR="001E295A" w:rsidRPr="00091C8C" w:rsidRDefault="00C41988" w:rsidP="00091C8C">
      <w:pPr>
        <w:pStyle w:val="FixListStyle"/>
        <w:spacing w:after="260" w:line="280" w:lineRule="exact"/>
        <w:ind w:right="0"/>
        <w:jc w:val="both"/>
        <w:rPr>
          <w:rFonts w:ascii="Times New Roman" w:hAnsi="Times New Roman"/>
        </w:rPr>
      </w:pPr>
      <w:r w:rsidRPr="00091C8C">
        <w:rPr>
          <w:rFonts w:ascii="Times New Roman" w:hAnsi="Times New Roman"/>
        </w:rPr>
        <w:tab/>
      </w:r>
      <w:r w:rsidR="0006590F" w:rsidRPr="00091C8C">
        <w:rPr>
          <w:rFonts w:ascii="Times New Roman" w:hAnsi="Times New Roman"/>
        </w:rPr>
        <w:t xml:space="preserve">The </w:t>
      </w:r>
      <w:r w:rsidR="00AB6C94" w:rsidRPr="00091C8C">
        <w:rPr>
          <w:rFonts w:ascii="Times New Roman" w:hAnsi="Times New Roman"/>
        </w:rPr>
        <w:t xml:space="preserve">inspiration for </w:t>
      </w:r>
      <w:r w:rsidR="00617DF7" w:rsidRPr="00091C8C">
        <w:rPr>
          <w:rFonts w:ascii="Times New Roman" w:hAnsi="Times New Roman"/>
        </w:rPr>
        <w:t xml:space="preserve">each of </w:t>
      </w:r>
      <w:r w:rsidR="0006590F" w:rsidRPr="00091C8C">
        <w:rPr>
          <w:rFonts w:ascii="Times New Roman" w:hAnsi="Times New Roman"/>
        </w:rPr>
        <w:t xml:space="preserve">the </w:t>
      </w:r>
      <w:r w:rsidR="00D11B54" w:rsidRPr="00091C8C">
        <w:rPr>
          <w:rFonts w:ascii="Times New Roman" w:hAnsi="Times New Roman"/>
        </w:rPr>
        <w:t xml:space="preserve">first </w:t>
      </w:r>
      <w:r w:rsidR="0006590F" w:rsidRPr="00091C8C">
        <w:rPr>
          <w:rFonts w:ascii="Times New Roman" w:hAnsi="Times New Roman"/>
        </w:rPr>
        <w:t xml:space="preserve">three </w:t>
      </w:r>
      <w:r w:rsidR="00D11B54" w:rsidRPr="00091C8C">
        <w:rPr>
          <w:rFonts w:ascii="Times New Roman" w:hAnsi="Times New Roman"/>
        </w:rPr>
        <w:t xml:space="preserve">of the dates </w:t>
      </w:r>
      <w:r w:rsidR="00617DF7" w:rsidRPr="00091C8C">
        <w:rPr>
          <w:rFonts w:ascii="Times New Roman" w:hAnsi="Times New Roman"/>
        </w:rPr>
        <w:t xml:space="preserve">specified in the settlement clause </w:t>
      </w:r>
      <w:r w:rsidR="005D47F4" w:rsidRPr="00091C8C">
        <w:rPr>
          <w:rFonts w:ascii="Times New Roman" w:hAnsi="Times New Roman"/>
        </w:rPr>
        <w:t xml:space="preserve">as </w:t>
      </w:r>
      <w:r w:rsidR="00DC5948" w:rsidRPr="00091C8C">
        <w:rPr>
          <w:rFonts w:ascii="Times New Roman" w:hAnsi="Times New Roman"/>
        </w:rPr>
        <w:t xml:space="preserve">a </w:t>
      </w:r>
      <w:r w:rsidR="005D47F4" w:rsidRPr="00091C8C">
        <w:rPr>
          <w:rFonts w:ascii="Times New Roman" w:hAnsi="Times New Roman"/>
        </w:rPr>
        <w:t xml:space="preserve">possible date for the expiration of the Patent is not difficult to </w:t>
      </w:r>
      <w:r w:rsidR="00F371A1" w:rsidRPr="00091C8C">
        <w:rPr>
          <w:rFonts w:ascii="Times New Roman" w:hAnsi="Times New Roman"/>
        </w:rPr>
        <w:t xml:space="preserve">discern. </w:t>
      </w:r>
      <w:r w:rsidR="00E7548E" w:rsidRPr="00091C8C">
        <w:rPr>
          <w:rFonts w:ascii="Times New Roman" w:hAnsi="Times New Roman"/>
        </w:rPr>
        <w:t>13</w:t>
      </w:r>
      <w:r w:rsidR="005B764E" w:rsidRPr="00091C8C">
        <w:rPr>
          <w:rFonts w:ascii="Times New Roman" w:hAnsi="Times New Roman"/>
        </w:rPr>
        <w:t> </w:t>
      </w:r>
      <w:r w:rsidR="00E7548E" w:rsidRPr="00091C8C">
        <w:rPr>
          <w:rFonts w:ascii="Times New Roman" w:hAnsi="Times New Roman"/>
        </w:rPr>
        <w:t>June 20</w:t>
      </w:r>
      <w:r w:rsidR="0081729B" w:rsidRPr="00091C8C">
        <w:rPr>
          <w:rFonts w:ascii="Times New Roman" w:hAnsi="Times New Roman"/>
        </w:rPr>
        <w:t xml:space="preserve">09 </w:t>
      </w:r>
      <w:r w:rsidR="008959F3" w:rsidRPr="00091C8C">
        <w:rPr>
          <w:rFonts w:ascii="Times New Roman" w:hAnsi="Times New Roman"/>
        </w:rPr>
        <w:t xml:space="preserve">was the prospective date </w:t>
      </w:r>
      <w:r w:rsidR="000E16F2" w:rsidRPr="00091C8C">
        <w:rPr>
          <w:rFonts w:ascii="Times New Roman" w:hAnsi="Times New Roman"/>
        </w:rPr>
        <w:t>for the</w:t>
      </w:r>
      <w:r w:rsidR="008959F3" w:rsidRPr="00091C8C">
        <w:rPr>
          <w:rFonts w:ascii="Times New Roman" w:hAnsi="Times New Roman"/>
        </w:rPr>
        <w:t xml:space="preserve"> expiration of the Patent </w:t>
      </w:r>
      <w:r w:rsidR="0075283B" w:rsidRPr="00091C8C">
        <w:rPr>
          <w:rFonts w:ascii="Times New Roman" w:hAnsi="Times New Roman"/>
        </w:rPr>
        <w:t xml:space="preserve">if there were </w:t>
      </w:r>
      <w:r w:rsidR="001930C9" w:rsidRPr="00091C8C">
        <w:rPr>
          <w:rFonts w:ascii="Times New Roman" w:hAnsi="Times New Roman"/>
        </w:rPr>
        <w:t>no</w:t>
      </w:r>
      <w:r w:rsidR="00AC3BDA" w:rsidRPr="00091C8C">
        <w:rPr>
          <w:rFonts w:ascii="Times New Roman" w:hAnsi="Times New Roman"/>
        </w:rPr>
        <w:t xml:space="preserve"> extension of its term. 9</w:t>
      </w:r>
      <w:r w:rsidR="005B764E" w:rsidRPr="00091C8C">
        <w:rPr>
          <w:rFonts w:ascii="Times New Roman" w:hAnsi="Times New Roman"/>
        </w:rPr>
        <w:t> </w:t>
      </w:r>
      <w:r w:rsidR="00AC3BDA" w:rsidRPr="00091C8C">
        <w:rPr>
          <w:rFonts w:ascii="Times New Roman" w:hAnsi="Times New Roman"/>
        </w:rPr>
        <w:t xml:space="preserve">December 2012 was the prospective date </w:t>
      </w:r>
      <w:r w:rsidR="000E16F2" w:rsidRPr="00091C8C">
        <w:rPr>
          <w:rFonts w:ascii="Times New Roman" w:hAnsi="Times New Roman"/>
        </w:rPr>
        <w:t>for the</w:t>
      </w:r>
      <w:r w:rsidR="00AC3BDA" w:rsidRPr="00091C8C">
        <w:rPr>
          <w:rFonts w:ascii="Times New Roman" w:hAnsi="Times New Roman"/>
        </w:rPr>
        <w:t xml:space="preserve"> expiration of the Patent </w:t>
      </w:r>
      <w:r w:rsidR="0045711C" w:rsidRPr="00091C8C">
        <w:rPr>
          <w:rFonts w:ascii="Times New Roman" w:hAnsi="Times New Roman"/>
        </w:rPr>
        <w:t>if there were</w:t>
      </w:r>
      <w:r w:rsidR="009D5115" w:rsidRPr="00091C8C">
        <w:rPr>
          <w:rFonts w:ascii="Times New Roman" w:hAnsi="Times New Roman"/>
        </w:rPr>
        <w:t xml:space="preserve"> an extension</w:t>
      </w:r>
      <w:r w:rsidR="0022452F" w:rsidRPr="00091C8C">
        <w:rPr>
          <w:rFonts w:ascii="Times New Roman" w:hAnsi="Times New Roman"/>
        </w:rPr>
        <w:t xml:space="preserve"> </w:t>
      </w:r>
      <w:r w:rsidR="002B3011" w:rsidRPr="00091C8C">
        <w:rPr>
          <w:rFonts w:ascii="Times New Roman" w:hAnsi="Times New Roman"/>
        </w:rPr>
        <w:t xml:space="preserve">of its term </w:t>
      </w:r>
      <w:r w:rsidR="0022452F" w:rsidRPr="00091C8C">
        <w:rPr>
          <w:rFonts w:ascii="Times New Roman" w:hAnsi="Times New Roman"/>
        </w:rPr>
        <w:t>based on the inclusion of Cipram</w:t>
      </w:r>
      <w:r w:rsidR="00382161" w:rsidRPr="00091C8C">
        <w:rPr>
          <w:rFonts w:ascii="Times New Roman" w:hAnsi="Times New Roman"/>
        </w:rPr>
        <w:t>i</w:t>
      </w:r>
      <w:r w:rsidR="0022452F" w:rsidRPr="00091C8C">
        <w:rPr>
          <w:rFonts w:ascii="Times New Roman" w:hAnsi="Times New Roman"/>
        </w:rPr>
        <w:t>l in the ARTG.</w:t>
      </w:r>
      <w:r w:rsidR="009D5115" w:rsidRPr="00091C8C">
        <w:rPr>
          <w:rFonts w:ascii="Times New Roman" w:hAnsi="Times New Roman"/>
        </w:rPr>
        <w:t xml:space="preserve"> </w:t>
      </w:r>
      <w:r w:rsidR="00382161" w:rsidRPr="00091C8C">
        <w:rPr>
          <w:rFonts w:ascii="Times New Roman" w:hAnsi="Times New Roman"/>
        </w:rPr>
        <w:t>13</w:t>
      </w:r>
      <w:r w:rsidR="005B764E" w:rsidRPr="00091C8C">
        <w:rPr>
          <w:rFonts w:ascii="Times New Roman" w:hAnsi="Times New Roman"/>
        </w:rPr>
        <w:t> </w:t>
      </w:r>
      <w:r w:rsidR="00382161" w:rsidRPr="00091C8C">
        <w:rPr>
          <w:rFonts w:ascii="Times New Roman" w:hAnsi="Times New Roman"/>
        </w:rPr>
        <w:t xml:space="preserve">June 2014 was the prospective date </w:t>
      </w:r>
      <w:r w:rsidR="000E16F2" w:rsidRPr="00091C8C">
        <w:rPr>
          <w:rFonts w:ascii="Times New Roman" w:hAnsi="Times New Roman"/>
        </w:rPr>
        <w:t>for the</w:t>
      </w:r>
      <w:r w:rsidR="00382161" w:rsidRPr="00091C8C">
        <w:rPr>
          <w:rFonts w:ascii="Times New Roman" w:hAnsi="Times New Roman"/>
        </w:rPr>
        <w:t xml:space="preserve"> </w:t>
      </w:r>
      <w:r w:rsidR="00382161" w:rsidRPr="00091C8C">
        <w:rPr>
          <w:rFonts w:ascii="Times New Roman" w:hAnsi="Times New Roman"/>
        </w:rPr>
        <w:lastRenderedPageBreak/>
        <w:t xml:space="preserve">expiration of the Patent </w:t>
      </w:r>
      <w:r w:rsidR="0045711C" w:rsidRPr="00091C8C">
        <w:rPr>
          <w:rFonts w:ascii="Times New Roman" w:hAnsi="Times New Roman"/>
        </w:rPr>
        <w:t>if there were</w:t>
      </w:r>
      <w:r w:rsidR="00382161" w:rsidRPr="00091C8C">
        <w:rPr>
          <w:rFonts w:ascii="Times New Roman" w:hAnsi="Times New Roman"/>
        </w:rPr>
        <w:t xml:space="preserve"> an extension </w:t>
      </w:r>
      <w:r w:rsidR="002B3011" w:rsidRPr="00091C8C">
        <w:rPr>
          <w:rFonts w:ascii="Times New Roman" w:hAnsi="Times New Roman"/>
        </w:rPr>
        <w:t xml:space="preserve">of its term </w:t>
      </w:r>
      <w:r w:rsidR="00382161" w:rsidRPr="00091C8C">
        <w:rPr>
          <w:rFonts w:ascii="Times New Roman" w:hAnsi="Times New Roman"/>
        </w:rPr>
        <w:t xml:space="preserve">based on the inclusion of </w:t>
      </w:r>
      <w:r w:rsidR="00877BD1" w:rsidRPr="00091C8C">
        <w:rPr>
          <w:rFonts w:ascii="Times New Roman" w:hAnsi="Times New Roman"/>
        </w:rPr>
        <w:t>Lexapro</w:t>
      </w:r>
      <w:r w:rsidR="00382161" w:rsidRPr="00091C8C">
        <w:rPr>
          <w:rFonts w:ascii="Times New Roman" w:hAnsi="Times New Roman"/>
        </w:rPr>
        <w:t xml:space="preserve"> in the ARTG. </w:t>
      </w:r>
    </w:p>
    <w:p w14:paraId="2BEED4A2" w14:textId="468F13E2" w:rsidR="00877BD1" w:rsidRPr="00091C8C" w:rsidRDefault="00877BD1" w:rsidP="00091C8C">
      <w:pPr>
        <w:pStyle w:val="FixListStyle"/>
        <w:spacing w:after="260" w:line="280" w:lineRule="exact"/>
        <w:ind w:right="0"/>
        <w:jc w:val="both"/>
        <w:rPr>
          <w:rFonts w:ascii="Times New Roman" w:hAnsi="Times New Roman"/>
        </w:rPr>
      </w:pPr>
      <w:r w:rsidRPr="00091C8C">
        <w:rPr>
          <w:rFonts w:ascii="Times New Roman" w:hAnsi="Times New Roman"/>
        </w:rPr>
        <w:tab/>
      </w:r>
      <w:r w:rsidR="00E303A5" w:rsidRPr="00091C8C">
        <w:rPr>
          <w:rFonts w:ascii="Times New Roman" w:hAnsi="Times New Roman"/>
        </w:rPr>
        <w:t>T</w:t>
      </w:r>
      <w:r w:rsidR="00903901" w:rsidRPr="00091C8C">
        <w:rPr>
          <w:rFonts w:ascii="Times New Roman" w:hAnsi="Times New Roman"/>
        </w:rPr>
        <w:t xml:space="preserve">he </w:t>
      </w:r>
      <w:r w:rsidR="00EE3E9E" w:rsidRPr="00091C8C">
        <w:rPr>
          <w:rFonts w:ascii="Times New Roman" w:hAnsi="Times New Roman"/>
        </w:rPr>
        <w:t xml:space="preserve">challenges to </w:t>
      </w:r>
      <w:r w:rsidR="00711B67" w:rsidRPr="00091C8C">
        <w:rPr>
          <w:rFonts w:ascii="Times New Roman" w:hAnsi="Times New Roman"/>
        </w:rPr>
        <w:t xml:space="preserve">the </w:t>
      </w:r>
      <w:r w:rsidR="00903901" w:rsidRPr="00091C8C">
        <w:rPr>
          <w:rFonts w:ascii="Times New Roman" w:hAnsi="Times New Roman"/>
        </w:rPr>
        <w:t xml:space="preserve">validity of the </w:t>
      </w:r>
      <w:r w:rsidR="00EE3E9E" w:rsidRPr="00091C8C">
        <w:rPr>
          <w:rFonts w:ascii="Times New Roman" w:hAnsi="Times New Roman"/>
        </w:rPr>
        <w:t xml:space="preserve">Patent by the other </w:t>
      </w:r>
      <w:r w:rsidR="009F4AAE" w:rsidRPr="00091C8C">
        <w:rPr>
          <w:rFonts w:ascii="Times New Roman" w:hAnsi="Times New Roman"/>
        </w:rPr>
        <w:t xml:space="preserve">suppliers of generic pharmaceutical products continued </w:t>
      </w:r>
      <w:r w:rsidR="00F610AA" w:rsidRPr="00091C8C">
        <w:rPr>
          <w:rFonts w:ascii="Times New Roman" w:hAnsi="Times New Roman"/>
        </w:rPr>
        <w:t xml:space="preserve">afterwards </w:t>
      </w:r>
      <w:r w:rsidR="00217884" w:rsidRPr="00091C8C">
        <w:rPr>
          <w:rFonts w:ascii="Times New Roman" w:hAnsi="Times New Roman"/>
        </w:rPr>
        <w:t>in the Federal Court</w:t>
      </w:r>
      <w:r w:rsidR="00E91207" w:rsidRPr="00091C8C">
        <w:rPr>
          <w:rFonts w:ascii="Times New Roman" w:hAnsi="Times New Roman"/>
        </w:rPr>
        <w:t>. The</w:t>
      </w:r>
      <w:r w:rsidR="00F376DC" w:rsidRPr="00091C8C">
        <w:rPr>
          <w:rFonts w:ascii="Times New Roman" w:hAnsi="Times New Roman"/>
        </w:rPr>
        <w:t>se</w:t>
      </w:r>
      <w:r w:rsidR="00E91207" w:rsidRPr="00091C8C">
        <w:rPr>
          <w:rFonts w:ascii="Times New Roman" w:hAnsi="Times New Roman"/>
        </w:rPr>
        <w:t xml:space="preserve"> challenges</w:t>
      </w:r>
      <w:r w:rsidR="008D4432" w:rsidRPr="00091C8C">
        <w:rPr>
          <w:rFonts w:ascii="Times New Roman" w:hAnsi="Times New Roman"/>
        </w:rPr>
        <w:t xml:space="preserve"> were</w:t>
      </w:r>
      <w:r w:rsidR="00F22132" w:rsidRPr="00091C8C">
        <w:rPr>
          <w:rFonts w:ascii="Times New Roman" w:hAnsi="Times New Roman"/>
        </w:rPr>
        <w:t xml:space="preserve"> largely</w:t>
      </w:r>
      <w:r w:rsidR="008D4432" w:rsidRPr="00091C8C">
        <w:rPr>
          <w:rFonts w:ascii="Times New Roman" w:hAnsi="Times New Roman"/>
        </w:rPr>
        <w:t xml:space="preserve"> unsuccessful</w:t>
      </w:r>
      <w:r w:rsidR="00A605A6" w:rsidRPr="00091C8C">
        <w:rPr>
          <w:rFonts w:ascii="Times New Roman" w:hAnsi="Times New Roman"/>
        </w:rPr>
        <w:t xml:space="preserve"> at first instance</w:t>
      </w:r>
      <w:r w:rsidR="00A605A6" w:rsidRPr="00091C8C">
        <w:rPr>
          <w:rStyle w:val="FootnoteReference"/>
          <w:rFonts w:ascii="Times New Roman" w:hAnsi="Times New Roman"/>
          <w:sz w:val="24"/>
        </w:rPr>
        <w:footnoteReference w:id="64"/>
      </w:r>
      <w:r w:rsidR="00A605A6" w:rsidRPr="00091C8C">
        <w:rPr>
          <w:rFonts w:ascii="Times New Roman" w:hAnsi="Times New Roman"/>
        </w:rPr>
        <w:t xml:space="preserve"> and on appeal</w:t>
      </w:r>
      <w:r w:rsidR="00846A10" w:rsidRPr="00091C8C">
        <w:rPr>
          <w:rFonts w:ascii="Times New Roman" w:hAnsi="Times New Roman"/>
        </w:rPr>
        <w:t xml:space="preserve"> to the Full Court</w:t>
      </w:r>
      <w:r w:rsidR="00A605A6" w:rsidRPr="00091C8C">
        <w:rPr>
          <w:rStyle w:val="FootnoteReference"/>
          <w:rFonts w:ascii="Times New Roman" w:hAnsi="Times New Roman"/>
          <w:sz w:val="24"/>
        </w:rPr>
        <w:footnoteReference w:id="65"/>
      </w:r>
      <w:r w:rsidR="00846A10" w:rsidRPr="00091C8C">
        <w:rPr>
          <w:rFonts w:ascii="Times New Roman" w:hAnsi="Times New Roman"/>
        </w:rPr>
        <w:t xml:space="preserve">, </w:t>
      </w:r>
      <w:r w:rsidR="00647425" w:rsidRPr="00091C8C">
        <w:rPr>
          <w:rFonts w:ascii="Times New Roman" w:hAnsi="Times New Roman"/>
        </w:rPr>
        <w:t xml:space="preserve">save </w:t>
      </w:r>
      <w:r w:rsidR="00247344" w:rsidRPr="00091C8C">
        <w:rPr>
          <w:rFonts w:ascii="Times New Roman" w:hAnsi="Times New Roman"/>
        </w:rPr>
        <w:t>importantly</w:t>
      </w:r>
      <w:r w:rsidR="00112696" w:rsidRPr="00091C8C">
        <w:rPr>
          <w:rFonts w:ascii="Times New Roman" w:hAnsi="Times New Roman"/>
        </w:rPr>
        <w:t xml:space="preserve"> </w:t>
      </w:r>
      <w:r w:rsidR="002A38F4" w:rsidRPr="00091C8C">
        <w:rPr>
          <w:rFonts w:ascii="Times New Roman" w:hAnsi="Times New Roman"/>
        </w:rPr>
        <w:t xml:space="preserve">that the extension of the </w:t>
      </w:r>
      <w:r w:rsidR="00112696" w:rsidRPr="00091C8C">
        <w:rPr>
          <w:rFonts w:ascii="Times New Roman" w:hAnsi="Times New Roman"/>
        </w:rPr>
        <w:t xml:space="preserve">term </w:t>
      </w:r>
      <w:r w:rsidR="001619CA" w:rsidRPr="00091C8C">
        <w:rPr>
          <w:rFonts w:ascii="Times New Roman" w:hAnsi="Times New Roman"/>
        </w:rPr>
        <w:t xml:space="preserve">was held to </w:t>
      </w:r>
      <w:r w:rsidR="006A4D5D" w:rsidRPr="00091C8C">
        <w:rPr>
          <w:rFonts w:ascii="Times New Roman" w:hAnsi="Times New Roman"/>
        </w:rPr>
        <w:t xml:space="preserve">have been wholly </w:t>
      </w:r>
      <w:r w:rsidR="001619CA" w:rsidRPr="00091C8C">
        <w:rPr>
          <w:rFonts w:ascii="Times New Roman" w:hAnsi="Times New Roman"/>
        </w:rPr>
        <w:t>invalid.</w:t>
      </w:r>
      <w:r w:rsidR="00826E62" w:rsidRPr="00091C8C">
        <w:rPr>
          <w:rFonts w:ascii="Times New Roman" w:hAnsi="Times New Roman"/>
        </w:rPr>
        <w:t xml:space="preserve"> That is to say, the Patent </w:t>
      </w:r>
      <w:r w:rsidR="001F514E" w:rsidRPr="00091C8C">
        <w:rPr>
          <w:rFonts w:ascii="Times New Roman" w:hAnsi="Times New Roman"/>
        </w:rPr>
        <w:t xml:space="preserve">was held </w:t>
      </w:r>
      <w:r w:rsidR="00CA1777" w:rsidRPr="00091C8C">
        <w:rPr>
          <w:rFonts w:ascii="Times New Roman" w:hAnsi="Times New Roman"/>
        </w:rPr>
        <w:t xml:space="preserve">not to have </w:t>
      </w:r>
      <w:r w:rsidR="00826E62" w:rsidRPr="00091C8C">
        <w:rPr>
          <w:rFonts w:ascii="Times New Roman" w:hAnsi="Times New Roman"/>
        </w:rPr>
        <w:t xml:space="preserve">been extended either </w:t>
      </w:r>
      <w:r w:rsidR="0063654C" w:rsidRPr="00091C8C">
        <w:rPr>
          <w:rFonts w:ascii="Times New Roman" w:hAnsi="Times New Roman"/>
        </w:rPr>
        <w:t xml:space="preserve">to </w:t>
      </w:r>
      <w:r w:rsidR="00826E62" w:rsidRPr="00091C8C">
        <w:rPr>
          <w:rFonts w:ascii="Times New Roman" w:hAnsi="Times New Roman"/>
        </w:rPr>
        <w:t>9</w:t>
      </w:r>
      <w:r w:rsidR="00090663" w:rsidRPr="00091C8C">
        <w:rPr>
          <w:rFonts w:ascii="Times New Roman" w:hAnsi="Times New Roman"/>
        </w:rPr>
        <w:t> </w:t>
      </w:r>
      <w:r w:rsidR="00826E62" w:rsidRPr="00091C8C">
        <w:rPr>
          <w:rFonts w:ascii="Times New Roman" w:hAnsi="Times New Roman"/>
        </w:rPr>
        <w:t xml:space="preserve">December 2012 or </w:t>
      </w:r>
      <w:r w:rsidR="0063654C" w:rsidRPr="00091C8C">
        <w:rPr>
          <w:rFonts w:ascii="Times New Roman" w:hAnsi="Times New Roman"/>
        </w:rPr>
        <w:t xml:space="preserve">to </w:t>
      </w:r>
      <w:r w:rsidR="00826E62" w:rsidRPr="00091C8C">
        <w:rPr>
          <w:rFonts w:ascii="Times New Roman" w:hAnsi="Times New Roman"/>
        </w:rPr>
        <w:t>13</w:t>
      </w:r>
      <w:r w:rsidR="003D7B99" w:rsidRPr="00091C8C">
        <w:rPr>
          <w:rFonts w:ascii="Times New Roman" w:hAnsi="Times New Roman"/>
        </w:rPr>
        <w:t> </w:t>
      </w:r>
      <w:r w:rsidR="00826E62" w:rsidRPr="00091C8C">
        <w:rPr>
          <w:rFonts w:ascii="Times New Roman" w:hAnsi="Times New Roman"/>
        </w:rPr>
        <w:t>June 2014</w:t>
      </w:r>
      <w:r w:rsidR="00CA1777" w:rsidRPr="00091C8C">
        <w:rPr>
          <w:rFonts w:ascii="Times New Roman" w:hAnsi="Times New Roman"/>
        </w:rPr>
        <w:t xml:space="preserve">. The </w:t>
      </w:r>
      <w:r w:rsidR="00A2075C" w:rsidRPr="00091C8C">
        <w:rPr>
          <w:rFonts w:ascii="Times New Roman" w:hAnsi="Times New Roman"/>
        </w:rPr>
        <w:t>outcome</w:t>
      </w:r>
      <w:r w:rsidR="00CA1777" w:rsidRPr="00091C8C">
        <w:rPr>
          <w:rFonts w:ascii="Times New Roman" w:hAnsi="Times New Roman"/>
        </w:rPr>
        <w:t xml:space="preserve"> was </w:t>
      </w:r>
      <w:r w:rsidR="001E5BCC" w:rsidRPr="00091C8C">
        <w:rPr>
          <w:rFonts w:ascii="Times New Roman" w:hAnsi="Times New Roman"/>
        </w:rPr>
        <w:t xml:space="preserve">accordingly </w:t>
      </w:r>
      <w:r w:rsidR="00A2075C" w:rsidRPr="00091C8C">
        <w:rPr>
          <w:rFonts w:ascii="Times New Roman" w:hAnsi="Times New Roman"/>
        </w:rPr>
        <w:t>that the Patent remained</w:t>
      </w:r>
      <w:r w:rsidR="00C6682C" w:rsidRPr="00091C8C">
        <w:rPr>
          <w:rFonts w:ascii="Times New Roman" w:hAnsi="Times New Roman"/>
        </w:rPr>
        <w:t xml:space="preserve"> due to expire at the end of </w:t>
      </w:r>
      <w:r w:rsidR="00685AAA" w:rsidRPr="00091C8C">
        <w:rPr>
          <w:rFonts w:ascii="Times New Roman" w:hAnsi="Times New Roman"/>
        </w:rPr>
        <w:t xml:space="preserve">the </w:t>
      </w:r>
      <w:r w:rsidR="001A5C22" w:rsidRPr="00091C8C">
        <w:rPr>
          <w:rFonts w:ascii="Times New Roman" w:hAnsi="Times New Roman"/>
        </w:rPr>
        <w:t xml:space="preserve">term </w:t>
      </w:r>
      <w:r w:rsidR="00685AAA" w:rsidRPr="00091C8C">
        <w:rPr>
          <w:rFonts w:ascii="Times New Roman" w:hAnsi="Times New Roman"/>
        </w:rPr>
        <w:t>of its or</w:t>
      </w:r>
      <w:r w:rsidR="00131640" w:rsidRPr="00091C8C">
        <w:rPr>
          <w:rFonts w:ascii="Times New Roman" w:hAnsi="Times New Roman"/>
        </w:rPr>
        <w:t>iginal grant</w:t>
      </w:r>
      <w:r w:rsidR="00641364" w:rsidRPr="00091C8C">
        <w:rPr>
          <w:rFonts w:ascii="Times New Roman" w:hAnsi="Times New Roman"/>
        </w:rPr>
        <w:t>,</w:t>
      </w:r>
      <w:r w:rsidR="00131640" w:rsidRPr="00091C8C">
        <w:rPr>
          <w:rFonts w:ascii="Times New Roman" w:hAnsi="Times New Roman"/>
        </w:rPr>
        <w:t xml:space="preserve"> being</w:t>
      </w:r>
      <w:r w:rsidR="001A5C22" w:rsidRPr="00091C8C">
        <w:rPr>
          <w:rFonts w:ascii="Times New Roman" w:hAnsi="Times New Roman"/>
        </w:rPr>
        <w:t xml:space="preserve"> 13</w:t>
      </w:r>
      <w:r w:rsidR="00090663" w:rsidRPr="00091C8C">
        <w:rPr>
          <w:rFonts w:ascii="Times New Roman" w:hAnsi="Times New Roman"/>
        </w:rPr>
        <w:t> </w:t>
      </w:r>
      <w:r w:rsidR="001A5C22" w:rsidRPr="00091C8C">
        <w:rPr>
          <w:rFonts w:ascii="Times New Roman" w:hAnsi="Times New Roman"/>
        </w:rPr>
        <w:t>June 2009.</w:t>
      </w:r>
    </w:p>
    <w:p w14:paraId="41040448" w14:textId="759610A9" w:rsidR="001619CA" w:rsidRPr="00091C8C" w:rsidRDefault="001619CA" w:rsidP="00091C8C">
      <w:pPr>
        <w:pStyle w:val="FixListStyle"/>
        <w:spacing w:after="260" w:line="280" w:lineRule="exact"/>
        <w:ind w:right="0"/>
        <w:jc w:val="both"/>
        <w:rPr>
          <w:rFonts w:ascii="Times New Roman" w:hAnsi="Times New Roman"/>
        </w:rPr>
      </w:pPr>
      <w:r w:rsidRPr="00091C8C">
        <w:rPr>
          <w:rFonts w:ascii="Times New Roman" w:hAnsi="Times New Roman"/>
        </w:rPr>
        <w:tab/>
      </w:r>
      <w:r w:rsidR="0082040B" w:rsidRPr="00091C8C">
        <w:rPr>
          <w:rFonts w:ascii="Times New Roman" w:hAnsi="Times New Roman"/>
        </w:rPr>
        <w:t>On 12</w:t>
      </w:r>
      <w:r w:rsidR="00B52135" w:rsidRPr="00091C8C">
        <w:rPr>
          <w:rFonts w:ascii="Times New Roman" w:hAnsi="Times New Roman"/>
        </w:rPr>
        <w:t> </w:t>
      </w:r>
      <w:r w:rsidR="0082040B" w:rsidRPr="00091C8C">
        <w:rPr>
          <w:rFonts w:ascii="Times New Roman" w:hAnsi="Times New Roman"/>
        </w:rPr>
        <w:t>June 20</w:t>
      </w:r>
      <w:r w:rsidR="00120B14" w:rsidRPr="00091C8C">
        <w:rPr>
          <w:rFonts w:ascii="Times New Roman" w:hAnsi="Times New Roman"/>
        </w:rPr>
        <w:t xml:space="preserve">09, </w:t>
      </w:r>
      <w:r w:rsidR="00EA4DFF" w:rsidRPr="00091C8C">
        <w:rPr>
          <w:rFonts w:ascii="Times New Roman" w:hAnsi="Times New Roman"/>
        </w:rPr>
        <w:t xml:space="preserve">the day after the decision of the Full Court confirming that the extension of the </w:t>
      </w:r>
      <w:r w:rsidR="00015E36" w:rsidRPr="00091C8C">
        <w:rPr>
          <w:rFonts w:ascii="Times New Roman" w:hAnsi="Times New Roman"/>
        </w:rPr>
        <w:t>term was in</w:t>
      </w:r>
      <w:r w:rsidR="00000C70" w:rsidRPr="00091C8C">
        <w:rPr>
          <w:rFonts w:ascii="Times New Roman" w:hAnsi="Times New Roman"/>
        </w:rPr>
        <w:t>valid and the day before the</w:t>
      </w:r>
      <w:r w:rsidR="001B5040" w:rsidRPr="00091C8C">
        <w:rPr>
          <w:rFonts w:ascii="Times New Roman" w:hAnsi="Times New Roman"/>
        </w:rPr>
        <w:t xml:space="preserve"> expiration of </w:t>
      </w:r>
      <w:r w:rsidR="00235586" w:rsidRPr="00091C8C">
        <w:rPr>
          <w:rFonts w:ascii="Times New Roman" w:hAnsi="Times New Roman"/>
        </w:rPr>
        <w:t>the</w:t>
      </w:r>
      <w:r w:rsidR="00405EC1" w:rsidRPr="00091C8C">
        <w:rPr>
          <w:rFonts w:ascii="Times New Roman" w:hAnsi="Times New Roman"/>
        </w:rPr>
        <w:t xml:space="preserve"> term</w:t>
      </w:r>
      <w:r w:rsidR="0082746F" w:rsidRPr="00091C8C">
        <w:rPr>
          <w:rFonts w:ascii="Times New Roman" w:hAnsi="Times New Roman"/>
        </w:rPr>
        <w:t xml:space="preserve"> of the original grant of the Patent</w:t>
      </w:r>
      <w:r w:rsidR="00B93252" w:rsidRPr="00091C8C">
        <w:rPr>
          <w:rFonts w:ascii="Times New Roman" w:hAnsi="Times New Roman"/>
        </w:rPr>
        <w:t xml:space="preserve">, Lundbeck Denmark applied to the Commissioner for an extension of time to </w:t>
      </w:r>
      <w:r w:rsidR="00793512" w:rsidRPr="00091C8C">
        <w:rPr>
          <w:rFonts w:ascii="Times New Roman" w:hAnsi="Times New Roman"/>
        </w:rPr>
        <w:t xml:space="preserve">apply for </w:t>
      </w:r>
      <w:r w:rsidR="00B93252" w:rsidRPr="00091C8C">
        <w:rPr>
          <w:rFonts w:ascii="Times New Roman" w:hAnsi="Times New Roman"/>
        </w:rPr>
        <w:t xml:space="preserve">an extension of </w:t>
      </w:r>
      <w:r w:rsidR="00530E40" w:rsidRPr="00091C8C">
        <w:rPr>
          <w:rFonts w:ascii="Times New Roman" w:hAnsi="Times New Roman"/>
        </w:rPr>
        <w:t>the term based on the inclusion of Cipramil in the ARTG.</w:t>
      </w:r>
      <w:r w:rsidR="00200F90" w:rsidRPr="00091C8C">
        <w:rPr>
          <w:rFonts w:ascii="Times New Roman" w:hAnsi="Times New Roman"/>
        </w:rPr>
        <w:t xml:space="preserve"> The </w:t>
      </w:r>
      <w:r w:rsidR="00FC08D8" w:rsidRPr="00091C8C">
        <w:rPr>
          <w:rFonts w:ascii="Times New Roman" w:hAnsi="Times New Roman"/>
        </w:rPr>
        <w:t>Commissioner granted that application</w:t>
      </w:r>
      <w:r w:rsidR="005C0EB3" w:rsidRPr="00091C8C">
        <w:rPr>
          <w:rStyle w:val="FootnoteReference"/>
          <w:rFonts w:ascii="Times New Roman" w:hAnsi="Times New Roman"/>
          <w:sz w:val="24"/>
        </w:rPr>
        <w:footnoteReference w:id="66"/>
      </w:r>
      <w:r w:rsidR="00FC08D8" w:rsidRPr="00091C8C">
        <w:rPr>
          <w:rFonts w:ascii="Times New Roman" w:hAnsi="Times New Roman"/>
        </w:rPr>
        <w:t xml:space="preserve"> in a decision</w:t>
      </w:r>
      <w:r w:rsidR="0065275C" w:rsidRPr="00091C8C">
        <w:rPr>
          <w:rFonts w:ascii="Times New Roman" w:hAnsi="Times New Roman"/>
        </w:rPr>
        <w:t xml:space="preserve"> which was </w:t>
      </w:r>
      <w:r w:rsidR="00C77BFF" w:rsidRPr="00091C8C">
        <w:rPr>
          <w:rFonts w:ascii="Times New Roman" w:hAnsi="Times New Roman"/>
        </w:rPr>
        <w:t xml:space="preserve">later </w:t>
      </w:r>
      <w:r w:rsidR="0065275C" w:rsidRPr="00091C8C">
        <w:rPr>
          <w:rFonts w:ascii="Times New Roman" w:hAnsi="Times New Roman"/>
        </w:rPr>
        <w:t>upheld on appeal</w:t>
      </w:r>
      <w:r w:rsidR="00382300" w:rsidRPr="00091C8C">
        <w:rPr>
          <w:rFonts w:ascii="Times New Roman" w:hAnsi="Times New Roman"/>
        </w:rPr>
        <w:t xml:space="preserve"> by the </w:t>
      </w:r>
      <w:r w:rsidR="006A674D" w:rsidRPr="00091C8C">
        <w:rPr>
          <w:rFonts w:ascii="Times New Roman" w:hAnsi="Times New Roman"/>
        </w:rPr>
        <w:t>Administrative</w:t>
      </w:r>
      <w:r w:rsidR="00382300" w:rsidRPr="00091C8C">
        <w:rPr>
          <w:rFonts w:ascii="Times New Roman" w:hAnsi="Times New Roman"/>
        </w:rPr>
        <w:t xml:space="preserve"> Appeals Tribunal</w:t>
      </w:r>
      <w:r w:rsidR="00382300" w:rsidRPr="00091C8C">
        <w:rPr>
          <w:rStyle w:val="FootnoteReference"/>
          <w:rFonts w:ascii="Times New Roman" w:hAnsi="Times New Roman"/>
          <w:sz w:val="24"/>
        </w:rPr>
        <w:footnoteReference w:id="67"/>
      </w:r>
      <w:r w:rsidR="00382300" w:rsidRPr="00091C8C">
        <w:rPr>
          <w:rFonts w:ascii="Times New Roman" w:hAnsi="Times New Roman"/>
        </w:rPr>
        <w:t xml:space="preserve"> and on further appeal to the Full Court of the Federal Court</w:t>
      </w:r>
      <w:r w:rsidR="00382300" w:rsidRPr="00091C8C">
        <w:rPr>
          <w:rStyle w:val="FootnoteReference"/>
          <w:rFonts w:ascii="Times New Roman" w:hAnsi="Times New Roman"/>
          <w:sz w:val="24"/>
        </w:rPr>
        <w:footnoteReference w:id="68"/>
      </w:r>
      <w:r w:rsidR="00382300" w:rsidRPr="00091C8C">
        <w:rPr>
          <w:rFonts w:ascii="Times New Roman" w:hAnsi="Times New Roman"/>
        </w:rPr>
        <w:t xml:space="preserve"> and to this Court</w:t>
      </w:r>
      <w:r w:rsidR="00382300" w:rsidRPr="00091C8C">
        <w:rPr>
          <w:rStyle w:val="FootnoteReference"/>
          <w:rFonts w:ascii="Times New Roman" w:hAnsi="Times New Roman"/>
          <w:sz w:val="24"/>
        </w:rPr>
        <w:footnoteReference w:id="69"/>
      </w:r>
      <w:r w:rsidR="004B67BE" w:rsidRPr="00091C8C">
        <w:rPr>
          <w:rFonts w:ascii="Times New Roman" w:hAnsi="Times New Roman"/>
        </w:rPr>
        <w:t>.</w:t>
      </w:r>
    </w:p>
    <w:p w14:paraId="4141C9DF" w14:textId="72A5F9C2" w:rsidR="004B67BE" w:rsidRPr="00091C8C" w:rsidRDefault="004B67BE" w:rsidP="00091C8C">
      <w:pPr>
        <w:pStyle w:val="FixListStyle"/>
        <w:spacing w:after="260" w:line="280" w:lineRule="exact"/>
        <w:ind w:right="0"/>
        <w:jc w:val="both"/>
        <w:rPr>
          <w:rFonts w:ascii="Times New Roman" w:hAnsi="Times New Roman"/>
        </w:rPr>
      </w:pPr>
      <w:r w:rsidRPr="00091C8C">
        <w:rPr>
          <w:rFonts w:ascii="Times New Roman" w:hAnsi="Times New Roman"/>
        </w:rPr>
        <w:tab/>
        <w:t xml:space="preserve">The extension of time for the making of the application </w:t>
      </w:r>
      <w:r w:rsidR="00BD0674" w:rsidRPr="00091C8C">
        <w:rPr>
          <w:rFonts w:ascii="Times New Roman" w:hAnsi="Times New Roman"/>
        </w:rPr>
        <w:t xml:space="preserve">having been </w:t>
      </w:r>
      <w:r w:rsidR="00464472" w:rsidRPr="00091C8C">
        <w:rPr>
          <w:rFonts w:ascii="Times New Roman" w:hAnsi="Times New Roman"/>
        </w:rPr>
        <w:t>upheld</w:t>
      </w:r>
      <w:r w:rsidR="00BD0674" w:rsidRPr="00091C8C">
        <w:rPr>
          <w:rFonts w:ascii="Times New Roman" w:hAnsi="Times New Roman"/>
        </w:rPr>
        <w:t xml:space="preserve">, the </w:t>
      </w:r>
      <w:r w:rsidR="00D959EE" w:rsidRPr="00091C8C">
        <w:rPr>
          <w:rFonts w:ascii="Times New Roman" w:hAnsi="Times New Roman"/>
        </w:rPr>
        <w:t>Commissioner on 25</w:t>
      </w:r>
      <w:r w:rsidR="00E914FD" w:rsidRPr="00091C8C">
        <w:rPr>
          <w:rFonts w:ascii="Times New Roman" w:hAnsi="Times New Roman"/>
        </w:rPr>
        <w:t> </w:t>
      </w:r>
      <w:r w:rsidR="00D959EE" w:rsidRPr="00091C8C">
        <w:rPr>
          <w:rFonts w:ascii="Times New Roman" w:hAnsi="Times New Roman"/>
        </w:rPr>
        <w:t>June 2014</w:t>
      </w:r>
      <w:r w:rsidR="00F7645F" w:rsidRPr="00091C8C">
        <w:rPr>
          <w:rFonts w:ascii="Times New Roman" w:hAnsi="Times New Roman"/>
        </w:rPr>
        <w:t xml:space="preserve"> granted the extension</w:t>
      </w:r>
      <w:r w:rsidR="00EE3645" w:rsidRPr="00091C8C">
        <w:rPr>
          <w:rFonts w:ascii="Times New Roman" w:hAnsi="Times New Roman"/>
        </w:rPr>
        <w:t xml:space="preserve"> of the term </w:t>
      </w:r>
      <w:r w:rsidR="00FF220F" w:rsidRPr="00091C8C">
        <w:rPr>
          <w:rFonts w:ascii="Times New Roman" w:hAnsi="Times New Roman"/>
        </w:rPr>
        <w:t>to 9</w:t>
      </w:r>
      <w:r w:rsidR="00E914FD" w:rsidRPr="00091C8C">
        <w:rPr>
          <w:rFonts w:ascii="Times New Roman" w:hAnsi="Times New Roman"/>
        </w:rPr>
        <w:t> </w:t>
      </w:r>
      <w:r w:rsidR="00FF220F" w:rsidRPr="00091C8C">
        <w:rPr>
          <w:rFonts w:ascii="Times New Roman" w:hAnsi="Times New Roman"/>
        </w:rPr>
        <w:t xml:space="preserve">December 2012 </w:t>
      </w:r>
      <w:r w:rsidR="00F7645F" w:rsidRPr="00091C8C">
        <w:rPr>
          <w:rFonts w:ascii="Times New Roman" w:hAnsi="Times New Roman"/>
        </w:rPr>
        <w:t>based on the inclusion of Cipramil in the ARTG</w:t>
      </w:r>
      <w:r w:rsidR="006A674D" w:rsidRPr="00091C8C">
        <w:rPr>
          <w:rFonts w:ascii="Times New Roman" w:hAnsi="Times New Roman"/>
        </w:rPr>
        <w:t xml:space="preserve">. The grant of </w:t>
      </w:r>
      <w:r w:rsidR="006A674D" w:rsidRPr="00091C8C">
        <w:rPr>
          <w:rFonts w:ascii="Times New Roman" w:hAnsi="Times New Roman"/>
        </w:rPr>
        <w:lastRenderedPageBreak/>
        <w:t xml:space="preserve">the extension was challenged </w:t>
      </w:r>
      <w:r w:rsidR="001F4F33" w:rsidRPr="00091C8C">
        <w:rPr>
          <w:rFonts w:ascii="Times New Roman" w:hAnsi="Times New Roman"/>
        </w:rPr>
        <w:t>by Sandoz and others in the Federal Court. The challenge was unsuccessful</w:t>
      </w:r>
      <w:r w:rsidR="00085400" w:rsidRPr="00091C8C">
        <w:rPr>
          <w:rFonts w:ascii="Times New Roman" w:hAnsi="Times New Roman"/>
        </w:rPr>
        <w:t xml:space="preserve"> at first instance</w:t>
      </w:r>
      <w:r w:rsidR="00085400" w:rsidRPr="00091C8C">
        <w:rPr>
          <w:rStyle w:val="FootnoteReference"/>
          <w:rFonts w:ascii="Times New Roman" w:hAnsi="Times New Roman"/>
          <w:sz w:val="24"/>
        </w:rPr>
        <w:footnoteReference w:id="70"/>
      </w:r>
      <w:r w:rsidR="00085400" w:rsidRPr="00091C8C">
        <w:rPr>
          <w:rFonts w:ascii="Times New Roman" w:hAnsi="Times New Roman"/>
        </w:rPr>
        <w:t xml:space="preserve"> and on appeal to the </w:t>
      </w:r>
      <w:r w:rsidR="002958E9" w:rsidRPr="00091C8C">
        <w:rPr>
          <w:rFonts w:ascii="Times New Roman" w:hAnsi="Times New Roman"/>
        </w:rPr>
        <w:t>Full Court</w:t>
      </w:r>
      <w:r w:rsidR="002958E9" w:rsidRPr="00091C8C">
        <w:rPr>
          <w:rStyle w:val="FootnoteReference"/>
          <w:rFonts w:ascii="Times New Roman" w:hAnsi="Times New Roman"/>
          <w:sz w:val="24"/>
        </w:rPr>
        <w:footnoteReference w:id="71"/>
      </w:r>
      <w:r w:rsidR="002958E9" w:rsidRPr="00091C8C">
        <w:rPr>
          <w:rFonts w:ascii="Times New Roman" w:hAnsi="Times New Roman"/>
        </w:rPr>
        <w:t>.</w:t>
      </w:r>
    </w:p>
    <w:p w14:paraId="6FE39E92" w14:textId="68589B14" w:rsidR="00CD2474" w:rsidRPr="00091C8C" w:rsidRDefault="00CD2474" w:rsidP="00091C8C">
      <w:pPr>
        <w:pStyle w:val="FixListStyle"/>
        <w:spacing w:after="260" w:line="280" w:lineRule="exact"/>
        <w:ind w:right="0"/>
        <w:jc w:val="both"/>
        <w:rPr>
          <w:rFonts w:ascii="Times New Roman" w:hAnsi="Times New Roman"/>
        </w:rPr>
      </w:pPr>
      <w:r w:rsidRPr="00091C8C">
        <w:rPr>
          <w:rFonts w:ascii="Times New Roman" w:hAnsi="Times New Roman"/>
        </w:rPr>
        <w:tab/>
      </w:r>
      <w:r w:rsidR="00D837CD" w:rsidRPr="00091C8C">
        <w:rPr>
          <w:rFonts w:ascii="Times New Roman" w:hAnsi="Times New Roman"/>
        </w:rPr>
        <w:t xml:space="preserve">From the standpoint of the </w:t>
      </w:r>
      <w:r w:rsidR="00FF5BD2" w:rsidRPr="00091C8C">
        <w:rPr>
          <w:rFonts w:ascii="Times New Roman" w:hAnsi="Times New Roman"/>
        </w:rPr>
        <w:t xml:space="preserve">parties entering into the </w:t>
      </w:r>
      <w:r w:rsidR="00CB3201" w:rsidRPr="00091C8C">
        <w:rPr>
          <w:rFonts w:ascii="Times New Roman" w:hAnsi="Times New Roman"/>
        </w:rPr>
        <w:t>S</w:t>
      </w:r>
      <w:r w:rsidR="00FF5BD2" w:rsidRPr="00091C8C">
        <w:rPr>
          <w:rFonts w:ascii="Times New Roman" w:hAnsi="Times New Roman"/>
        </w:rPr>
        <w:t xml:space="preserve">ettlement </w:t>
      </w:r>
      <w:r w:rsidR="00CB3201" w:rsidRPr="00091C8C">
        <w:rPr>
          <w:rFonts w:ascii="Times New Roman" w:hAnsi="Times New Roman"/>
        </w:rPr>
        <w:t>A</w:t>
      </w:r>
      <w:r w:rsidR="005A656B" w:rsidRPr="00091C8C">
        <w:rPr>
          <w:rFonts w:ascii="Times New Roman" w:hAnsi="Times New Roman"/>
        </w:rPr>
        <w:t>greement</w:t>
      </w:r>
      <w:r w:rsidR="00E16E4E" w:rsidRPr="00091C8C">
        <w:rPr>
          <w:rFonts w:ascii="Times New Roman" w:hAnsi="Times New Roman"/>
        </w:rPr>
        <w:t xml:space="preserve"> </w:t>
      </w:r>
      <w:r w:rsidR="00B22877" w:rsidRPr="00091C8C">
        <w:rPr>
          <w:rFonts w:ascii="Times New Roman" w:hAnsi="Times New Roman"/>
        </w:rPr>
        <w:t xml:space="preserve">in </w:t>
      </w:r>
      <w:r w:rsidR="00AC6955" w:rsidRPr="00091C8C">
        <w:rPr>
          <w:rFonts w:ascii="Times New Roman" w:hAnsi="Times New Roman"/>
        </w:rPr>
        <w:t>February 2007, the p</w:t>
      </w:r>
      <w:r w:rsidR="008159D7" w:rsidRPr="00091C8C">
        <w:rPr>
          <w:rFonts w:ascii="Times New Roman" w:hAnsi="Times New Roman"/>
        </w:rPr>
        <w:t>rospect</w:t>
      </w:r>
      <w:r w:rsidR="00AC6955" w:rsidRPr="00091C8C">
        <w:rPr>
          <w:rFonts w:ascii="Times New Roman" w:hAnsi="Times New Roman"/>
        </w:rPr>
        <w:t xml:space="preserve"> of the </w:t>
      </w:r>
      <w:r w:rsidR="00221C77" w:rsidRPr="00091C8C">
        <w:rPr>
          <w:rFonts w:ascii="Times New Roman" w:hAnsi="Times New Roman"/>
        </w:rPr>
        <w:t>P</w:t>
      </w:r>
      <w:r w:rsidR="00AC6955" w:rsidRPr="00091C8C">
        <w:rPr>
          <w:rFonts w:ascii="Times New Roman" w:hAnsi="Times New Roman"/>
        </w:rPr>
        <w:t xml:space="preserve">atent being extended </w:t>
      </w:r>
      <w:r w:rsidR="005B1BCF" w:rsidRPr="00091C8C">
        <w:rPr>
          <w:rFonts w:ascii="Times New Roman" w:hAnsi="Times New Roman"/>
        </w:rPr>
        <w:t xml:space="preserve">so as </w:t>
      </w:r>
      <w:r w:rsidR="00AC6955" w:rsidRPr="00091C8C">
        <w:rPr>
          <w:rFonts w:ascii="Times New Roman" w:hAnsi="Times New Roman"/>
        </w:rPr>
        <w:t>to end on 9</w:t>
      </w:r>
      <w:r w:rsidR="00C929B4" w:rsidRPr="00091C8C">
        <w:rPr>
          <w:rFonts w:ascii="Times New Roman" w:hAnsi="Times New Roman"/>
        </w:rPr>
        <w:t> </w:t>
      </w:r>
      <w:r w:rsidR="00AC6955" w:rsidRPr="00091C8C">
        <w:rPr>
          <w:rFonts w:ascii="Times New Roman" w:hAnsi="Times New Roman"/>
        </w:rPr>
        <w:t>December 20</w:t>
      </w:r>
      <w:r w:rsidR="001010C4" w:rsidRPr="00091C8C">
        <w:rPr>
          <w:rFonts w:ascii="Times New Roman" w:hAnsi="Times New Roman"/>
        </w:rPr>
        <w:t>12 after its term had expired</w:t>
      </w:r>
      <w:r w:rsidR="006F2F5E" w:rsidRPr="00091C8C">
        <w:rPr>
          <w:rFonts w:ascii="Times New Roman" w:hAnsi="Times New Roman"/>
        </w:rPr>
        <w:t xml:space="preserve"> on 13</w:t>
      </w:r>
      <w:r w:rsidR="00862E56" w:rsidRPr="00091C8C">
        <w:rPr>
          <w:rFonts w:ascii="Times New Roman" w:hAnsi="Times New Roman"/>
        </w:rPr>
        <w:t> </w:t>
      </w:r>
      <w:r w:rsidR="006F2F5E" w:rsidRPr="00091C8C">
        <w:rPr>
          <w:rFonts w:ascii="Times New Roman" w:hAnsi="Times New Roman"/>
        </w:rPr>
        <w:t>June 2009 was found by the primary judge</w:t>
      </w:r>
      <w:r w:rsidR="006F2F5E" w:rsidRPr="00091C8C">
        <w:rPr>
          <w:rStyle w:val="FootnoteReference"/>
          <w:rFonts w:ascii="Times New Roman" w:hAnsi="Times New Roman"/>
          <w:sz w:val="24"/>
        </w:rPr>
        <w:footnoteReference w:id="72"/>
      </w:r>
      <w:r w:rsidR="006F2F5E" w:rsidRPr="00091C8C">
        <w:rPr>
          <w:rFonts w:ascii="Times New Roman" w:hAnsi="Times New Roman"/>
        </w:rPr>
        <w:t xml:space="preserve"> and accepted</w:t>
      </w:r>
      <w:r w:rsidR="000853CF" w:rsidRPr="00091C8C">
        <w:rPr>
          <w:rFonts w:ascii="Times New Roman" w:hAnsi="Times New Roman"/>
        </w:rPr>
        <w:t xml:space="preserve"> by the Full Court</w:t>
      </w:r>
      <w:r w:rsidR="000853CF" w:rsidRPr="00091C8C">
        <w:rPr>
          <w:rStyle w:val="FootnoteReference"/>
          <w:rFonts w:ascii="Times New Roman" w:hAnsi="Times New Roman"/>
          <w:sz w:val="24"/>
        </w:rPr>
        <w:footnoteReference w:id="73"/>
      </w:r>
      <w:r w:rsidR="00675CE3" w:rsidRPr="00091C8C">
        <w:rPr>
          <w:rFonts w:ascii="Times New Roman" w:hAnsi="Times New Roman"/>
        </w:rPr>
        <w:t xml:space="preserve"> to have been</w:t>
      </w:r>
      <w:r w:rsidR="00C637BB" w:rsidRPr="00091C8C">
        <w:rPr>
          <w:rFonts w:ascii="Times New Roman" w:hAnsi="Times New Roman"/>
        </w:rPr>
        <w:t xml:space="preserve"> </w:t>
      </w:r>
      <w:r w:rsidR="001E78B0" w:rsidRPr="00091C8C">
        <w:rPr>
          <w:rFonts w:ascii="Times New Roman" w:hAnsi="Times New Roman"/>
        </w:rPr>
        <w:t>a "</w:t>
      </w:r>
      <w:r w:rsidR="006F6E3D" w:rsidRPr="00091C8C">
        <w:rPr>
          <w:rFonts w:ascii="Times New Roman" w:hAnsi="Times New Roman"/>
        </w:rPr>
        <w:t>possib</w:t>
      </w:r>
      <w:r w:rsidR="001E78B0" w:rsidRPr="00091C8C">
        <w:rPr>
          <w:rFonts w:ascii="Times New Roman" w:hAnsi="Times New Roman"/>
        </w:rPr>
        <w:t>ility"</w:t>
      </w:r>
      <w:r w:rsidR="006F6E3D" w:rsidRPr="00091C8C">
        <w:rPr>
          <w:rFonts w:ascii="Times New Roman" w:hAnsi="Times New Roman"/>
        </w:rPr>
        <w:t xml:space="preserve"> but</w:t>
      </w:r>
      <w:r w:rsidR="001E78B0" w:rsidRPr="00091C8C">
        <w:rPr>
          <w:rFonts w:ascii="Times New Roman" w:hAnsi="Times New Roman"/>
        </w:rPr>
        <w:t xml:space="preserve"> one which was</w:t>
      </w:r>
      <w:r w:rsidR="006F6E3D" w:rsidRPr="00091C8C">
        <w:rPr>
          <w:rFonts w:ascii="Times New Roman" w:hAnsi="Times New Roman"/>
        </w:rPr>
        <w:t xml:space="preserve"> </w:t>
      </w:r>
      <w:r w:rsidR="00C637BB" w:rsidRPr="00091C8C">
        <w:rPr>
          <w:rFonts w:ascii="Times New Roman" w:hAnsi="Times New Roman"/>
        </w:rPr>
        <w:t>"objectively remote</w:t>
      </w:r>
      <w:r w:rsidR="00445DE3" w:rsidRPr="00091C8C">
        <w:rPr>
          <w:rFonts w:ascii="Times New Roman" w:hAnsi="Times New Roman"/>
        </w:rPr>
        <w:t>".</w:t>
      </w:r>
      <w:r w:rsidR="00941C55" w:rsidRPr="00091C8C">
        <w:rPr>
          <w:rFonts w:ascii="Times New Roman" w:hAnsi="Times New Roman"/>
        </w:rPr>
        <w:t xml:space="preserve"> </w:t>
      </w:r>
      <w:r w:rsidR="00ED7371" w:rsidRPr="00091C8C">
        <w:rPr>
          <w:rFonts w:ascii="Times New Roman" w:hAnsi="Times New Roman"/>
        </w:rPr>
        <w:t>Her Honour found</w:t>
      </w:r>
      <w:r w:rsidR="00BB0BAA" w:rsidRPr="00091C8C">
        <w:rPr>
          <w:rStyle w:val="FootnoteReference"/>
          <w:rFonts w:ascii="Times New Roman" w:hAnsi="Times New Roman"/>
          <w:sz w:val="24"/>
        </w:rPr>
        <w:footnoteReference w:id="74"/>
      </w:r>
      <w:r w:rsidR="00ED7371" w:rsidRPr="00091C8C">
        <w:rPr>
          <w:rFonts w:ascii="Times New Roman" w:hAnsi="Times New Roman"/>
        </w:rPr>
        <w:t>, and the Full Court accepted</w:t>
      </w:r>
      <w:r w:rsidR="00BB0BAA" w:rsidRPr="00091C8C">
        <w:rPr>
          <w:rStyle w:val="FootnoteReference"/>
          <w:rFonts w:ascii="Times New Roman" w:hAnsi="Times New Roman"/>
          <w:sz w:val="24"/>
        </w:rPr>
        <w:footnoteReference w:id="75"/>
      </w:r>
      <w:r w:rsidR="00ED7371" w:rsidRPr="00091C8C">
        <w:rPr>
          <w:rFonts w:ascii="Times New Roman" w:hAnsi="Times New Roman"/>
        </w:rPr>
        <w:t xml:space="preserve">, that the </w:t>
      </w:r>
      <w:r w:rsidR="008026B7" w:rsidRPr="00091C8C">
        <w:rPr>
          <w:rFonts w:ascii="Times New Roman" w:hAnsi="Times New Roman"/>
        </w:rPr>
        <w:t xml:space="preserve">parties in entering into the Settlement Agreement </w:t>
      </w:r>
      <w:r w:rsidR="00FA1520" w:rsidRPr="00091C8C">
        <w:rPr>
          <w:rFonts w:ascii="Times New Roman" w:hAnsi="Times New Roman"/>
        </w:rPr>
        <w:t xml:space="preserve">can be taken to have </w:t>
      </w:r>
      <w:r w:rsidR="008B3CD1" w:rsidRPr="00091C8C">
        <w:rPr>
          <w:rFonts w:ascii="Times New Roman" w:hAnsi="Times New Roman"/>
        </w:rPr>
        <w:t xml:space="preserve">expected that they would know by </w:t>
      </w:r>
      <w:r w:rsidR="000228D1" w:rsidRPr="00091C8C">
        <w:rPr>
          <w:rFonts w:ascii="Times New Roman" w:hAnsi="Times New Roman"/>
        </w:rPr>
        <w:t>1</w:t>
      </w:r>
      <w:r w:rsidR="00384203" w:rsidRPr="00091C8C">
        <w:rPr>
          <w:rFonts w:ascii="Times New Roman" w:hAnsi="Times New Roman"/>
        </w:rPr>
        <w:t> </w:t>
      </w:r>
      <w:r w:rsidR="000228D1" w:rsidRPr="00091C8C">
        <w:rPr>
          <w:rFonts w:ascii="Times New Roman" w:hAnsi="Times New Roman"/>
        </w:rPr>
        <w:t xml:space="preserve">May 2009 when the Patent would expire. </w:t>
      </w:r>
    </w:p>
    <w:p w14:paraId="743E018E" w14:textId="7ED1446F" w:rsidR="00BF3841" w:rsidRPr="00091C8C" w:rsidRDefault="00BF3841" w:rsidP="00091C8C">
      <w:pPr>
        <w:pStyle w:val="HeadingL1"/>
        <w:spacing w:after="260" w:line="280" w:lineRule="exact"/>
        <w:ind w:right="0"/>
        <w:jc w:val="both"/>
        <w:rPr>
          <w:rFonts w:ascii="Times New Roman" w:hAnsi="Times New Roman"/>
        </w:rPr>
      </w:pPr>
      <w:r w:rsidRPr="00091C8C">
        <w:rPr>
          <w:rFonts w:ascii="Times New Roman" w:hAnsi="Times New Roman"/>
        </w:rPr>
        <w:t xml:space="preserve">Construction of the </w:t>
      </w:r>
      <w:r w:rsidR="00F20076" w:rsidRPr="00091C8C">
        <w:rPr>
          <w:rFonts w:ascii="Times New Roman" w:hAnsi="Times New Roman"/>
        </w:rPr>
        <w:t>s</w:t>
      </w:r>
      <w:r w:rsidRPr="00091C8C">
        <w:rPr>
          <w:rFonts w:ascii="Times New Roman" w:hAnsi="Times New Roman"/>
        </w:rPr>
        <w:t xml:space="preserve">ettlement </w:t>
      </w:r>
      <w:r w:rsidR="00F20076" w:rsidRPr="00091C8C">
        <w:rPr>
          <w:rFonts w:ascii="Times New Roman" w:hAnsi="Times New Roman"/>
        </w:rPr>
        <w:t>c</w:t>
      </w:r>
      <w:r w:rsidR="00712279" w:rsidRPr="00091C8C">
        <w:rPr>
          <w:rFonts w:ascii="Times New Roman" w:hAnsi="Times New Roman"/>
        </w:rPr>
        <w:t>lause</w:t>
      </w:r>
    </w:p>
    <w:p w14:paraId="09CE8E50" w14:textId="4726A29B" w:rsidR="00BF3841" w:rsidRPr="00091C8C" w:rsidRDefault="00BF3841" w:rsidP="00091C8C">
      <w:pPr>
        <w:pStyle w:val="FixListStyle"/>
        <w:spacing w:after="260" w:line="280" w:lineRule="exact"/>
        <w:ind w:right="0"/>
        <w:jc w:val="both"/>
        <w:rPr>
          <w:rFonts w:ascii="Times New Roman" w:hAnsi="Times New Roman"/>
        </w:rPr>
      </w:pPr>
      <w:r w:rsidRPr="00091C8C">
        <w:rPr>
          <w:rFonts w:ascii="Times New Roman" w:hAnsi="Times New Roman"/>
        </w:rPr>
        <w:tab/>
        <w:t xml:space="preserve">Parties </w:t>
      </w:r>
      <w:r w:rsidR="00EC31CD" w:rsidRPr="00091C8C">
        <w:rPr>
          <w:rFonts w:ascii="Times New Roman" w:hAnsi="Times New Roman"/>
        </w:rPr>
        <w:t>to</w:t>
      </w:r>
      <w:r w:rsidRPr="00091C8C">
        <w:rPr>
          <w:rFonts w:ascii="Times New Roman" w:hAnsi="Times New Roman"/>
        </w:rPr>
        <w:t xml:space="preserve"> a written contract by which they contract in respect of </w:t>
      </w:r>
      <w:r w:rsidR="00A20BCD" w:rsidRPr="00091C8C">
        <w:rPr>
          <w:rFonts w:ascii="Times New Roman" w:hAnsi="Times New Roman"/>
        </w:rPr>
        <w:t xml:space="preserve">statutory </w:t>
      </w:r>
      <w:r w:rsidRPr="00091C8C">
        <w:rPr>
          <w:rFonts w:ascii="Times New Roman" w:hAnsi="Times New Roman"/>
        </w:rPr>
        <w:t>rights</w:t>
      </w:r>
      <w:r w:rsidR="00B67C17" w:rsidRPr="00091C8C">
        <w:rPr>
          <w:rFonts w:ascii="Times New Roman" w:hAnsi="Times New Roman"/>
        </w:rPr>
        <w:t xml:space="preserve"> </w:t>
      </w:r>
      <w:r w:rsidRPr="00091C8C">
        <w:rPr>
          <w:rFonts w:ascii="Times New Roman" w:hAnsi="Times New Roman"/>
        </w:rPr>
        <w:t xml:space="preserve">can ordinarily be taken to use </w:t>
      </w:r>
      <w:r w:rsidR="00A20BCD" w:rsidRPr="00091C8C">
        <w:rPr>
          <w:rFonts w:ascii="Times New Roman" w:hAnsi="Times New Roman"/>
        </w:rPr>
        <w:t>statutory</w:t>
      </w:r>
      <w:r w:rsidRPr="00091C8C">
        <w:rPr>
          <w:rFonts w:ascii="Times New Roman" w:hAnsi="Times New Roman"/>
        </w:rPr>
        <w:t xml:space="preserve"> language according to its statutory meaning.</w:t>
      </w:r>
      <w:r w:rsidR="00714CAF" w:rsidRPr="00091C8C">
        <w:rPr>
          <w:rFonts w:ascii="Times New Roman" w:hAnsi="Times New Roman"/>
        </w:rPr>
        <w:t xml:space="preserve"> To recognise as much is to recognise no more than that the </w:t>
      </w:r>
      <w:r w:rsidR="00B67C17" w:rsidRPr="00091C8C">
        <w:rPr>
          <w:rFonts w:ascii="Times New Roman" w:hAnsi="Times New Roman"/>
        </w:rPr>
        <w:t xml:space="preserve">statute </w:t>
      </w:r>
      <w:r w:rsidR="00027A32" w:rsidRPr="00091C8C">
        <w:rPr>
          <w:rFonts w:ascii="Times New Roman" w:hAnsi="Times New Roman"/>
        </w:rPr>
        <w:t>is central to</w:t>
      </w:r>
      <w:r w:rsidR="00B67C17" w:rsidRPr="00091C8C">
        <w:rPr>
          <w:rFonts w:ascii="Times New Roman" w:hAnsi="Times New Roman"/>
        </w:rPr>
        <w:t xml:space="preserve"> the matrix </w:t>
      </w:r>
      <w:r w:rsidR="00027A32" w:rsidRPr="00091C8C">
        <w:rPr>
          <w:rFonts w:ascii="Times New Roman" w:hAnsi="Times New Roman"/>
        </w:rPr>
        <w:t xml:space="preserve">of fact </w:t>
      </w:r>
      <w:r w:rsidR="00B67C17" w:rsidRPr="00091C8C">
        <w:rPr>
          <w:rFonts w:ascii="Times New Roman" w:hAnsi="Times New Roman"/>
        </w:rPr>
        <w:t xml:space="preserve">within </w:t>
      </w:r>
      <w:r w:rsidR="00CA19E9" w:rsidRPr="00091C8C">
        <w:rPr>
          <w:rFonts w:ascii="Times New Roman" w:hAnsi="Times New Roman"/>
        </w:rPr>
        <w:t xml:space="preserve">the context of </w:t>
      </w:r>
      <w:r w:rsidR="00B67C17" w:rsidRPr="00091C8C">
        <w:rPr>
          <w:rFonts w:ascii="Times New Roman" w:hAnsi="Times New Roman"/>
        </w:rPr>
        <w:t xml:space="preserve">which the </w:t>
      </w:r>
      <w:r w:rsidR="004B3CA8" w:rsidRPr="00091C8C">
        <w:rPr>
          <w:rFonts w:ascii="Times New Roman" w:hAnsi="Times New Roman"/>
        </w:rPr>
        <w:t>common</w:t>
      </w:r>
      <w:r w:rsidR="001915E1" w:rsidRPr="00091C8C">
        <w:rPr>
          <w:rFonts w:ascii="Times New Roman" w:hAnsi="Times New Roman"/>
        </w:rPr>
        <w:t xml:space="preserve"> intention of the parties </w:t>
      </w:r>
      <w:r w:rsidR="00CC125C" w:rsidRPr="00091C8C">
        <w:rPr>
          <w:rFonts w:ascii="Times New Roman" w:hAnsi="Times New Roman"/>
        </w:rPr>
        <w:t>falls to</w:t>
      </w:r>
      <w:r w:rsidR="001915E1" w:rsidRPr="00091C8C">
        <w:rPr>
          <w:rFonts w:ascii="Times New Roman" w:hAnsi="Times New Roman"/>
        </w:rPr>
        <w:t xml:space="preserve"> be objectively determined</w:t>
      </w:r>
      <w:r w:rsidR="001915E1" w:rsidRPr="00091C8C">
        <w:rPr>
          <w:rStyle w:val="FootnoteReference"/>
          <w:rFonts w:ascii="Times New Roman" w:hAnsi="Times New Roman"/>
          <w:sz w:val="24"/>
        </w:rPr>
        <w:footnoteReference w:id="76"/>
      </w:r>
      <w:r w:rsidR="001915E1" w:rsidRPr="00091C8C">
        <w:rPr>
          <w:rFonts w:ascii="Times New Roman" w:hAnsi="Times New Roman"/>
        </w:rPr>
        <w:t xml:space="preserve">. </w:t>
      </w:r>
      <w:r w:rsidR="00923F7E" w:rsidRPr="00091C8C">
        <w:rPr>
          <w:rFonts w:ascii="Times New Roman" w:hAnsi="Times New Roman"/>
        </w:rPr>
        <w:t>Absent</w:t>
      </w:r>
      <w:r w:rsidR="001915E1" w:rsidRPr="00091C8C">
        <w:rPr>
          <w:rFonts w:ascii="Times New Roman" w:hAnsi="Times New Roman"/>
        </w:rPr>
        <w:t xml:space="preserve"> reason to consider </w:t>
      </w:r>
      <w:r w:rsidR="000E5D8F" w:rsidRPr="00091C8C">
        <w:rPr>
          <w:rFonts w:ascii="Times New Roman" w:hAnsi="Times New Roman"/>
        </w:rPr>
        <w:t xml:space="preserve">that </w:t>
      </w:r>
      <w:r w:rsidR="00B05CBA" w:rsidRPr="00091C8C">
        <w:rPr>
          <w:rFonts w:ascii="Times New Roman" w:hAnsi="Times New Roman"/>
        </w:rPr>
        <w:t>the parties</w:t>
      </w:r>
      <w:r w:rsidR="008512C8" w:rsidRPr="00091C8C">
        <w:rPr>
          <w:rFonts w:ascii="Times New Roman" w:hAnsi="Times New Roman"/>
        </w:rPr>
        <w:t xml:space="preserve"> to</w:t>
      </w:r>
      <w:r w:rsidR="000E5D8F" w:rsidRPr="00091C8C">
        <w:rPr>
          <w:rFonts w:ascii="Times New Roman" w:hAnsi="Times New Roman"/>
        </w:rPr>
        <w:t>gether</w:t>
      </w:r>
      <w:r w:rsidR="00B05CBA" w:rsidRPr="00091C8C">
        <w:rPr>
          <w:rFonts w:ascii="Times New Roman" w:hAnsi="Times New Roman"/>
        </w:rPr>
        <w:t xml:space="preserve"> </w:t>
      </w:r>
      <w:r w:rsidR="000E5D8F" w:rsidRPr="00091C8C">
        <w:rPr>
          <w:rFonts w:ascii="Times New Roman" w:hAnsi="Times New Roman"/>
        </w:rPr>
        <w:t>intend</w:t>
      </w:r>
      <w:r w:rsidR="00B05CBA" w:rsidRPr="00091C8C">
        <w:rPr>
          <w:rFonts w:ascii="Times New Roman" w:hAnsi="Times New Roman"/>
        </w:rPr>
        <w:t xml:space="preserve"> </w:t>
      </w:r>
      <w:r w:rsidR="007D0C74" w:rsidRPr="00091C8C">
        <w:rPr>
          <w:rFonts w:ascii="Times New Roman" w:hAnsi="Times New Roman"/>
        </w:rPr>
        <w:t>language</w:t>
      </w:r>
      <w:r w:rsidR="002D0855" w:rsidRPr="00091C8C">
        <w:rPr>
          <w:rFonts w:ascii="Times New Roman" w:hAnsi="Times New Roman"/>
        </w:rPr>
        <w:t xml:space="preserve"> used in a statute</w:t>
      </w:r>
      <w:r w:rsidR="007D0C74" w:rsidRPr="00091C8C">
        <w:rPr>
          <w:rFonts w:ascii="Times New Roman" w:hAnsi="Times New Roman"/>
        </w:rPr>
        <w:t xml:space="preserve"> to have </w:t>
      </w:r>
      <w:r w:rsidR="00B05CBA" w:rsidRPr="00091C8C">
        <w:rPr>
          <w:rFonts w:ascii="Times New Roman" w:hAnsi="Times New Roman"/>
        </w:rPr>
        <w:t xml:space="preserve">some other meaning, </w:t>
      </w:r>
      <w:r w:rsidR="00923F7E" w:rsidRPr="00091C8C">
        <w:rPr>
          <w:rFonts w:ascii="Times New Roman" w:hAnsi="Times New Roman"/>
        </w:rPr>
        <w:t xml:space="preserve">there </w:t>
      </w:r>
      <w:r w:rsidR="008512C8" w:rsidRPr="00091C8C">
        <w:rPr>
          <w:rFonts w:ascii="Times New Roman" w:hAnsi="Times New Roman"/>
        </w:rPr>
        <w:t xml:space="preserve">is no reason not to attribute </w:t>
      </w:r>
      <w:r w:rsidR="00F01471" w:rsidRPr="00091C8C">
        <w:rPr>
          <w:rFonts w:ascii="Times New Roman" w:hAnsi="Times New Roman"/>
        </w:rPr>
        <w:t>t</w:t>
      </w:r>
      <w:r w:rsidR="001D27CE" w:rsidRPr="00091C8C">
        <w:rPr>
          <w:rFonts w:ascii="Times New Roman" w:hAnsi="Times New Roman"/>
        </w:rPr>
        <w:t>o the</w:t>
      </w:r>
      <w:r w:rsidR="00B073C9" w:rsidRPr="00091C8C">
        <w:rPr>
          <w:rFonts w:ascii="Times New Roman" w:hAnsi="Times New Roman"/>
        </w:rPr>
        <w:t xml:space="preserve">m </w:t>
      </w:r>
      <w:r w:rsidR="009B53BF" w:rsidRPr="00091C8C">
        <w:rPr>
          <w:rFonts w:ascii="Times New Roman" w:hAnsi="Times New Roman"/>
        </w:rPr>
        <w:t>a</w:t>
      </w:r>
      <w:r w:rsidR="001B11B6" w:rsidRPr="00091C8C">
        <w:rPr>
          <w:rFonts w:ascii="Times New Roman" w:hAnsi="Times New Roman"/>
        </w:rPr>
        <w:t xml:space="preserve"> </w:t>
      </w:r>
      <w:r w:rsidR="00AE6D9C" w:rsidRPr="00091C8C">
        <w:rPr>
          <w:rFonts w:ascii="Times New Roman" w:hAnsi="Times New Roman"/>
        </w:rPr>
        <w:t>common</w:t>
      </w:r>
      <w:r w:rsidR="00AA719E" w:rsidRPr="00091C8C">
        <w:rPr>
          <w:rFonts w:ascii="Times New Roman" w:hAnsi="Times New Roman"/>
        </w:rPr>
        <w:t xml:space="preserve"> </w:t>
      </w:r>
      <w:r w:rsidR="009B53BF" w:rsidRPr="00091C8C">
        <w:rPr>
          <w:rFonts w:ascii="Times New Roman" w:hAnsi="Times New Roman"/>
        </w:rPr>
        <w:t xml:space="preserve">intention </w:t>
      </w:r>
      <w:r w:rsidR="00FC4FF1" w:rsidRPr="00091C8C">
        <w:rPr>
          <w:rFonts w:ascii="Times New Roman" w:hAnsi="Times New Roman"/>
        </w:rPr>
        <w:t xml:space="preserve">to use </w:t>
      </w:r>
      <w:r w:rsidR="00013AB6" w:rsidRPr="00091C8C">
        <w:rPr>
          <w:rFonts w:ascii="Times New Roman" w:hAnsi="Times New Roman"/>
        </w:rPr>
        <w:t>that la</w:t>
      </w:r>
      <w:r w:rsidR="00B22452" w:rsidRPr="00091C8C">
        <w:rPr>
          <w:rFonts w:ascii="Times New Roman" w:hAnsi="Times New Roman"/>
        </w:rPr>
        <w:t>nguage</w:t>
      </w:r>
      <w:r w:rsidR="00DB5BEC" w:rsidRPr="00091C8C">
        <w:rPr>
          <w:rFonts w:ascii="Times New Roman" w:hAnsi="Times New Roman"/>
        </w:rPr>
        <w:t xml:space="preserve"> </w:t>
      </w:r>
      <w:r w:rsidR="00FC4FF1" w:rsidRPr="00091C8C">
        <w:rPr>
          <w:rFonts w:ascii="Times New Roman" w:hAnsi="Times New Roman"/>
        </w:rPr>
        <w:t>according to its</w:t>
      </w:r>
      <w:r w:rsidR="009B18D2" w:rsidRPr="00091C8C">
        <w:rPr>
          <w:rFonts w:ascii="Times New Roman" w:hAnsi="Times New Roman"/>
        </w:rPr>
        <w:t xml:space="preserve"> </w:t>
      </w:r>
      <w:r w:rsidR="00FC4FF1" w:rsidRPr="00091C8C">
        <w:rPr>
          <w:rFonts w:ascii="Times New Roman" w:hAnsi="Times New Roman"/>
        </w:rPr>
        <w:t>statutory meaning.</w:t>
      </w:r>
    </w:p>
    <w:p w14:paraId="18C49C23" w14:textId="23726115" w:rsidR="006C31F2" w:rsidRPr="00091C8C" w:rsidRDefault="006C31F2" w:rsidP="00091C8C">
      <w:pPr>
        <w:pStyle w:val="FixListStyle"/>
        <w:spacing w:after="260" w:line="280" w:lineRule="exact"/>
        <w:ind w:right="0"/>
        <w:jc w:val="both"/>
        <w:rPr>
          <w:rFonts w:ascii="Times New Roman" w:hAnsi="Times New Roman"/>
        </w:rPr>
      </w:pPr>
      <w:r w:rsidRPr="00091C8C">
        <w:rPr>
          <w:rFonts w:ascii="Times New Roman" w:hAnsi="Times New Roman"/>
        </w:rPr>
        <w:tab/>
      </w:r>
      <w:r w:rsidR="00742AD9" w:rsidRPr="00091C8C">
        <w:rPr>
          <w:rFonts w:ascii="Times New Roman" w:hAnsi="Times New Roman"/>
        </w:rPr>
        <w:t>All parties</w:t>
      </w:r>
      <w:r w:rsidR="00DB3802" w:rsidRPr="00091C8C">
        <w:rPr>
          <w:rFonts w:ascii="Times New Roman" w:hAnsi="Times New Roman"/>
        </w:rPr>
        <w:t xml:space="preserve"> </w:t>
      </w:r>
      <w:r w:rsidR="00742AD9" w:rsidRPr="00091C8C">
        <w:rPr>
          <w:rFonts w:ascii="Times New Roman" w:hAnsi="Times New Roman"/>
        </w:rPr>
        <w:t xml:space="preserve">to the appeals implicitly recognised that principle. </w:t>
      </w:r>
      <w:r w:rsidR="009B1E6E" w:rsidRPr="00091C8C">
        <w:rPr>
          <w:rFonts w:ascii="Times New Roman" w:hAnsi="Times New Roman"/>
        </w:rPr>
        <w:t>But only the appellants applied it consistently.</w:t>
      </w:r>
    </w:p>
    <w:p w14:paraId="76031B32" w14:textId="63C5826E" w:rsidR="009B1E6E" w:rsidRPr="00091C8C" w:rsidRDefault="009B1E6E" w:rsidP="00091C8C">
      <w:pPr>
        <w:pStyle w:val="FixListStyle"/>
        <w:spacing w:after="260" w:line="280" w:lineRule="exact"/>
        <w:ind w:right="0"/>
        <w:jc w:val="both"/>
        <w:rPr>
          <w:rFonts w:ascii="Times New Roman" w:hAnsi="Times New Roman"/>
        </w:rPr>
      </w:pPr>
      <w:r w:rsidRPr="00091C8C">
        <w:rPr>
          <w:rFonts w:ascii="Times New Roman" w:hAnsi="Times New Roman"/>
        </w:rPr>
        <w:lastRenderedPageBreak/>
        <w:tab/>
      </w:r>
      <w:r w:rsidR="00AB3687" w:rsidRPr="00091C8C">
        <w:rPr>
          <w:rFonts w:ascii="Times New Roman" w:hAnsi="Times New Roman"/>
        </w:rPr>
        <w:t xml:space="preserve">The parties were agreed </w:t>
      </w:r>
      <w:r w:rsidR="006F4418" w:rsidRPr="00091C8C">
        <w:rPr>
          <w:rFonts w:ascii="Times New Roman" w:hAnsi="Times New Roman"/>
        </w:rPr>
        <w:t xml:space="preserve">on the hearing of the appeals </w:t>
      </w:r>
      <w:r w:rsidR="00AB3687" w:rsidRPr="00091C8C">
        <w:rPr>
          <w:rFonts w:ascii="Times New Roman" w:hAnsi="Times New Roman"/>
        </w:rPr>
        <w:t xml:space="preserve">that </w:t>
      </w:r>
      <w:r w:rsidR="00844570" w:rsidRPr="00091C8C">
        <w:rPr>
          <w:rFonts w:ascii="Times New Roman" w:hAnsi="Times New Roman"/>
        </w:rPr>
        <w:t xml:space="preserve">the words "Patent" and "expire" </w:t>
      </w:r>
      <w:r w:rsidR="00794577" w:rsidRPr="00091C8C">
        <w:rPr>
          <w:rFonts w:ascii="Times New Roman" w:hAnsi="Times New Roman"/>
        </w:rPr>
        <w:t xml:space="preserve">in the settlement clause </w:t>
      </w:r>
      <w:r w:rsidR="005C02FC" w:rsidRPr="00091C8C">
        <w:rPr>
          <w:rFonts w:ascii="Times New Roman" w:hAnsi="Times New Roman"/>
        </w:rPr>
        <w:t>took</w:t>
      </w:r>
      <w:r w:rsidR="00794577" w:rsidRPr="00091C8C">
        <w:rPr>
          <w:rFonts w:ascii="Times New Roman" w:hAnsi="Times New Roman"/>
        </w:rPr>
        <w:t xml:space="preserve"> their </w:t>
      </w:r>
      <w:r w:rsidR="005C02FC" w:rsidRPr="00091C8C">
        <w:rPr>
          <w:rFonts w:ascii="Times New Roman" w:hAnsi="Times New Roman"/>
        </w:rPr>
        <w:t>content</w:t>
      </w:r>
      <w:r w:rsidR="00794577" w:rsidRPr="00091C8C">
        <w:rPr>
          <w:rFonts w:ascii="Times New Roman" w:hAnsi="Times New Roman"/>
        </w:rPr>
        <w:t xml:space="preserve"> from the Act</w:t>
      </w:r>
      <w:r w:rsidR="00BC2828" w:rsidRPr="00091C8C">
        <w:rPr>
          <w:rFonts w:ascii="Times New Roman" w:hAnsi="Times New Roman"/>
        </w:rPr>
        <w:t xml:space="preserve">. One consequence </w:t>
      </w:r>
      <w:r w:rsidR="00980725" w:rsidRPr="00091C8C">
        <w:rPr>
          <w:rFonts w:ascii="Times New Roman" w:hAnsi="Times New Roman"/>
        </w:rPr>
        <w:t>wa</w:t>
      </w:r>
      <w:r w:rsidR="00BC2828" w:rsidRPr="00091C8C">
        <w:rPr>
          <w:rFonts w:ascii="Times New Roman" w:hAnsi="Times New Roman"/>
        </w:rPr>
        <w:t xml:space="preserve">s that they were agreed that the </w:t>
      </w:r>
      <w:r w:rsidR="00CE6DF7" w:rsidRPr="00091C8C">
        <w:rPr>
          <w:rFonts w:ascii="Times New Roman" w:hAnsi="Times New Roman"/>
        </w:rPr>
        <w:t>"irrevocable non-exclusive licence to the Patent"</w:t>
      </w:r>
      <w:r w:rsidR="00BC2828" w:rsidRPr="00091C8C">
        <w:rPr>
          <w:rFonts w:ascii="Times New Roman" w:hAnsi="Times New Roman"/>
        </w:rPr>
        <w:t xml:space="preserve"> </w:t>
      </w:r>
      <w:r w:rsidR="00295856" w:rsidRPr="00091C8C">
        <w:rPr>
          <w:rFonts w:ascii="Times New Roman" w:hAnsi="Times New Roman"/>
        </w:rPr>
        <w:t>granted to Sandoz</w:t>
      </w:r>
      <w:r w:rsidR="0041036B" w:rsidRPr="00091C8C">
        <w:rPr>
          <w:rFonts w:ascii="Times New Roman" w:hAnsi="Times New Roman"/>
        </w:rPr>
        <w:t xml:space="preserve"> by the settlement clause </w:t>
      </w:r>
      <w:r w:rsidR="00BC2828" w:rsidRPr="00091C8C">
        <w:rPr>
          <w:rFonts w:ascii="Times New Roman" w:hAnsi="Times New Roman"/>
        </w:rPr>
        <w:t>amounted to a grant of permission to exploit</w:t>
      </w:r>
      <w:r w:rsidR="00240130" w:rsidRPr="00091C8C">
        <w:rPr>
          <w:rFonts w:ascii="Times New Roman" w:hAnsi="Times New Roman"/>
        </w:rPr>
        <w:t xml:space="preserve"> the </w:t>
      </w:r>
      <w:r w:rsidR="00105015" w:rsidRPr="00091C8C">
        <w:rPr>
          <w:rFonts w:ascii="Times New Roman" w:hAnsi="Times New Roman"/>
        </w:rPr>
        <w:t xml:space="preserve">invention </w:t>
      </w:r>
      <w:r w:rsidR="00DF2076" w:rsidRPr="00091C8C">
        <w:rPr>
          <w:rFonts w:ascii="Times New Roman" w:hAnsi="Times New Roman"/>
        </w:rPr>
        <w:t xml:space="preserve">including by </w:t>
      </w:r>
      <w:r w:rsidR="00B065CE" w:rsidRPr="00091C8C">
        <w:rPr>
          <w:rFonts w:ascii="Times New Roman" w:hAnsi="Times New Roman"/>
        </w:rPr>
        <w:t xml:space="preserve">selling </w:t>
      </w:r>
      <w:r w:rsidR="00DF2076" w:rsidRPr="00091C8C">
        <w:rPr>
          <w:rFonts w:ascii="Times New Roman" w:hAnsi="Times New Roman"/>
        </w:rPr>
        <w:t>pharmaceutical products containing escitalopram</w:t>
      </w:r>
      <w:r w:rsidR="00B065CE" w:rsidRPr="00091C8C">
        <w:rPr>
          <w:rFonts w:ascii="Times New Roman" w:hAnsi="Times New Roman"/>
        </w:rPr>
        <w:t xml:space="preserve">. Another consequence </w:t>
      </w:r>
      <w:r w:rsidR="006121F1" w:rsidRPr="00091C8C">
        <w:rPr>
          <w:rFonts w:ascii="Times New Roman" w:hAnsi="Times New Roman"/>
        </w:rPr>
        <w:t>wa</w:t>
      </w:r>
      <w:r w:rsidR="00B065CE" w:rsidRPr="00091C8C">
        <w:rPr>
          <w:rFonts w:ascii="Times New Roman" w:hAnsi="Times New Roman"/>
        </w:rPr>
        <w:t xml:space="preserve">s that they were agreed </w:t>
      </w:r>
      <w:r w:rsidR="00794577" w:rsidRPr="00091C8C">
        <w:rPr>
          <w:rFonts w:ascii="Times New Roman" w:hAnsi="Times New Roman"/>
        </w:rPr>
        <w:t xml:space="preserve">that </w:t>
      </w:r>
      <w:r w:rsidR="00074511" w:rsidRPr="00091C8C">
        <w:rPr>
          <w:rFonts w:ascii="Times New Roman" w:hAnsi="Times New Roman"/>
        </w:rPr>
        <w:t xml:space="preserve">(notwithstanding </w:t>
      </w:r>
      <w:r w:rsidR="00B065CE" w:rsidRPr="00091C8C">
        <w:rPr>
          <w:rFonts w:ascii="Times New Roman" w:hAnsi="Times New Roman"/>
        </w:rPr>
        <w:t xml:space="preserve">the </w:t>
      </w:r>
      <w:r w:rsidR="001C3745" w:rsidRPr="00091C8C">
        <w:rPr>
          <w:rFonts w:ascii="Times New Roman" w:hAnsi="Times New Roman"/>
        </w:rPr>
        <w:t xml:space="preserve">later </w:t>
      </w:r>
      <w:r w:rsidR="00763B8F" w:rsidRPr="00091C8C">
        <w:rPr>
          <w:rFonts w:ascii="Times New Roman" w:hAnsi="Times New Roman"/>
        </w:rPr>
        <w:t xml:space="preserve">grant </w:t>
      </w:r>
      <w:r w:rsidR="00074511" w:rsidRPr="00091C8C">
        <w:rPr>
          <w:rFonts w:ascii="Times New Roman" w:hAnsi="Times New Roman"/>
        </w:rPr>
        <w:t xml:space="preserve">on </w:t>
      </w:r>
      <w:r w:rsidR="0081057A" w:rsidRPr="00091C8C">
        <w:rPr>
          <w:rFonts w:ascii="Times New Roman" w:hAnsi="Times New Roman"/>
        </w:rPr>
        <w:t>25</w:t>
      </w:r>
      <w:r w:rsidR="00C85712" w:rsidRPr="00091C8C">
        <w:rPr>
          <w:rFonts w:ascii="Times New Roman" w:hAnsi="Times New Roman"/>
        </w:rPr>
        <w:t> </w:t>
      </w:r>
      <w:r w:rsidR="0081057A" w:rsidRPr="00091C8C">
        <w:rPr>
          <w:rFonts w:ascii="Times New Roman" w:hAnsi="Times New Roman"/>
        </w:rPr>
        <w:t xml:space="preserve">June 2014 </w:t>
      </w:r>
      <w:r w:rsidR="004F6D4A" w:rsidRPr="00091C8C">
        <w:rPr>
          <w:rFonts w:ascii="Times New Roman" w:hAnsi="Times New Roman"/>
        </w:rPr>
        <w:t xml:space="preserve">of the extension </w:t>
      </w:r>
      <w:r w:rsidR="00074511" w:rsidRPr="00091C8C">
        <w:rPr>
          <w:rFonts w:ascii="Times New Roman" w:hAnsi="Times New Roman"/>
        </w:rPr>
        <w:t>to 9</w:t>
      </w:r>
      <w:r w:rsidR="00C85712" w:rsidRPr="00091C8C">
        <w:rPr>
          <w:rFonts w:ascii="Times New Roman" w:hAnsi="Times New Roman"/>
        </w:rPr>
        <w:t> </w:t>
      </w:r>
      <w:r w:rsidR="003D5E64" w:rsidRPr="00091C8C">
        <w:rPr>
          <w:rFonts w:ascii="Times New Roman" w:hAnsi="Times New Roman"/>
        </w:rPr>
        <w:t xml:space="preserve">December </w:t>
      </w:r>
      <w:r w:rsidR="00074511" w:rsidRPr="00091C8C">
        <w:rPr>
          <w:rFonts w:ascii="Times New Roman" w:hAnsi="Times New Roman"/>
        </w:rPr>
        <w:t xml:space="preserve">2012) the Patent in fact expired </w:t>
      </w:r>
      <w:r w:rsidR="00C34A45" w:rsidRPr="00091C8C">
        <w:rPr>
          <w:rFonts w:ascii="Times New Roman" w:hAnsi="Times New Roman"/>
        </w:rPr>
        <w:t xml:space="preserve">with the expiration of </w:t>
      </w:r>
      <w:r w:rsidR="00BA3F7D" w:rsidRPr="00091C8C">
        <w:rPr>
          <w:rFonts w:ascii="Times New Roman" w:hAnsi="Times New Roman"/>
        </w:rPr>
        <w:t>its</w:t>
      </w:r>
      <w:r w:rsidR="00C34A45" w:rsidRPr="00091C8C">
        <w:rPr>
          <w:rFonts w:ascii="Times New Roman" w:hAnsi="Times New Roman"/>
        </w:rPr>
        <w:t xml:space="preserve"> original term </w:t>
      </w:r>
      <w:r w:rsidR="00074511" w:rsidRPr="00091C8C">
        <w:rPr>
          <w:rFonts w:ascii="Times New Roman" w:hAnsi="Times New Roman"/>
        </w:rPr>
        <w:t>on 13</w:t>
      </w:r>
      <w:r w:rsidR="00C85712" w:rsidRPr="00091C8C">
        <w:rPr>
          <w:rFonts w:ascii="Times New Roman" w:hAnsi="Times New Roman"/>
        </w:rPr>
        <w:t> </w:t>
      </w:r>
      <w:r w:rsidR="00074511" w:rsidRPr="00091C8C">
        <w:rPr>
          <w:rFonts w:ascii="Times New Roman" w:hAnsi="Times New Roman"/>
        </w:rPr>
        <w:t>June 2009</w:t>
      </w:r>
      <w:r w:rsidR="001128B2" w:rsidRPr="00091C8C">
        <w:rPr>
          <w:rFonts w:ascii="Times New Roman" w:hAnsi="Times New Roman"/>
        </w:rPr>
        <w:t xml:space="preserve">. </w:t>
      </w:r>
      <w:r w:rsidR="003B16E5" w:rsidRPr="00091C8C">
        <w:rPr>
          <w:rFonts w:ascii="Times New Roman" w:hAnsi="Times New Roman"/>
        </w:rPr>
        <w:t>Accordingly, t</w:t>
      </w:r>
      <w:r w:rsidR="001128B2" w:rsidRPr="00091C8C">
        <w:rPr>
          <w:rFonts w:ascii="Times New Roman" w:hAnsi="Times New Roman"/>
        </w:rPr>
        <w:t xml:space="preserve">hey were agreed that </w:t>
      </w:r>
      <w:r w:rsidR="00124A38" w:rsidRPr="00091C8C">
        <w:rPr>
          <w:rFonts w:ascii="Times New Roman" w:hAnsi="Times New Roman"/>
        </w:rPr>
        <w:t>cl</w:t>
      </w:r>
      <w:r w:rsidR="00C85712" w:rsidRPr="00091C8C">
        <w:rPr>
          <w:rFonts w:ascii="Times New Roman" w:hAnsi="Times New Roman"/>
        </w:rPr>
        <w:t> </w:t>
      </w:r>
      <w:r w:rsidR="00124A38" w:rsidRPr="00091C8C">
        <w:rPr>
          <w:rFonts w:ascii="Times New Roman" w:hAnsi="Times New Roman"/>
        </w:rPr>
        <w:t>3(1)(a)</w:t>
      </w:r>
      <w:r w:rsidR="00763B8F" w:rsidRPr="00091C8C">
        <w:rPr>
          <w:rFonts w:ascii="Times New Roman" w:hAnsi="Times New Roman"/>
        </w:rPr>
        <w:t xml:space="preserve">, </w:t>
      </w:r>
      <w:r w:rsidR="00857014" w:rsidRPr="00091C8C">
        <w:rPr>
          <w:rFonts w:ascii="Times New Roman" w:hAnsi="Times New Roman"/>
        </w:rPr>
        <w:t>and not cl</w:t>
      </w:r>
      <w:r w:rsidR="00907835" w:rsidRPr="00091C8C">
        <w:rPr>
          <w:rFonts w:ascii="Times New Roman" w:hAnsi="Times New Roman"/>
        </w:rPr>
        <w:t> </w:t>
      </w:r>
      <w:r w:rsidR="00857014" w:rsidRPr="00091C8C">
        <w:rPr>
          <w:rFonts w:ascii="Times New Roman" w:hAnsi="Times New Roman"/>
        </w:rPr>
        <w:t>3(1)(b)</w:t>
      </w:r>
      <w:r w:rsidR="00D56890" w:rsidRPr="00091C8C">
        <w:rPr>
          <w:rFonts w:ascii="Times New Roman" w:hAnsi="Times New Roman"/>
        </w:rPr>
        <w:t>,</w:t>
      </w:r>
      <w:r w:rsidR="00857014" w:rsidRPr="00091C8C">
        <w:rPr>
          <w:rFonts w:ascii="Times New Roman" w:hAnsi="Times New Roman"/>
        </w:rPr>
        <w:t xml:space="preserve"> </w:t>
      </w:r>
      <w:r w:rsidR="00124A38" w:rsidRPr="00091C8C">
        <w:rPr>
          <w:rFonts w:ascii="Times New Roman" w:hAnsi="Times New Roman"/>
        </w:rPr>
        <w:t>was triggered</w:t>
      </w:r>
      <w:r w:rsidR="00857014" w:rsidRPr="00091C8C">
        <w:rPr>
          <w:rFonts w:ascii="Times New Roman" w:hAnsi="Times New Roman"/>
        </w:rPr>
        <w:t xml:space="preserve"> </w:t>
      </w:r>
      <w:r w:rsidR="00763B8F" w:rsidRPr="00091C8C">
        <w:rPr>
          <w:rFonts w:ascii="Times New Roman" w:hAnsi="Times New Roman"/>
        </w:rPr>
        <w:t>with the result that t</w:t>
      </w:r>
      <w:r w:rsidR="0031329C" w:rsidRPr="00091C8C">
        <w:rPr>
          <w:rFonts w:ascii="Times New Roman" w:hAnsi="Times New Roman"/>
        </w:rPr>
        <w:t xml:space="preserve">he licence was effective from </w:t>
      </w:r>
      <w:r w:rsidR="002E6B48" w:rsidRPr="00091C8C">
        <w:rPr>
          <w:rFonts w:ascii="Times New Roman" w:hAnsi="Times New Roman"/>
        </w:rPr>
        <w:t>31</w:t>
      </w:r>
      <w:r w:rsidR="00CC77D1" w:rsidRPr="00091C8C">
        <w:rPr>
          <w:rFonts w:ascii="Times New Roman" w:hAnsi="Times New Roman"/>
        </w:rPr>
        <w:t> </w:t>
      </w:r>
      <w:r w:rsidR="002E6B48" w:rsidRPr="00091C8C">
        <w:rPr>
          <w:rFonts w:ascii="Times New Roman" w:hAnsi="Times New Roman"/>
        </w:rPr>
        <w:t>May 2009.</w:t>
      </w:r>
    </w:p>
    <w:p w14:paraId="0FCA433B" w14:textId="052C94A9" w:rsidR="002E6B48" w:rsidRPr="00091C8C" w:rsidRDefault="002E6B48" w:rsidP="00091C8C">
      <w:pPr>
        <w:pStyle w:val="FixListStyle"/>
        <w:spacing w:after="260" w:line="280" w:lineRule="exact"/>
        <w:ind w:right="0"/>
        <w:jc w:val="both"/>
        <w:rPr>
          <w:rFonts w:ascii="Times New Roman" w:hAnsi="Times New Roman"/>
        </w:rPr>
      </w:pPr>
      <w:r w:rsidRPr="00091C8C">
        <w:rPr>
          <w:rFonts w:ascii="Times New Roman" w:hAnsi="Times New Roman"/>
        </w:rPr>
        <w:tab/>
        <w:t xml:space="preserve">But only the appellants applied </w:t>
      </w:r>
      <w:r w:rsidR="0053126F" w:rsidRPr="00091C8C">
        <w:rPr>
          <w:rFonts w:ascii="Times New Roman" w:hAnsi="Times New Roman"/>
        </w:rPr>
        <w:t xml:space="preserve">the word "Patent" consistently </w:t>
      </w:r>
      <w:r w:rsidR="00846413" w:rsidRPr="00091C8C">
        <w:rPr>
          <w:rFonts w:ascii="Times New Roman" w:hAnsi="Times New Roman"/>
        </w:rPr>
        <w:t>to conclude that the licence "to the Patent" granted to Sandoz</w:t>
      </w:r>
      <w:r w:rsidR="009C2DC8" w:rsidRPr="00091C8C">
        <w:rPr>
          <w:rFonts w:ascii="Times New Roman" w:hAnsi="Times New Roman"/>
        </w:rPr>
        <w:t xml:space="preserve"> </w:t>
      </w:r>
      <w:r w:rsidR="00B61CA1" w:rsidRPr="00091C8C">
        <w:rPr>
          <w:rFonts w:ascii="Times New Roman" w:hAnsi="Times New Roman"/>
        </w:rPr>
        <w:t>by cl</w:t>
      </w:r>
      <w:r w:rsidR="00061CE5" w:rsidRPr="00091C8C">
        <w:rPr>
          <w:rFonts w:ascii="Times New Roman" w:hAnsi="Times New Roman"/>
        </w:rPr>
        <w:t> </w:t>
      </w:r>
      <w:r w:rsidR="00B61CA1" w:rsidRPr="00091C8C">
        <w:rPr>
          <w:rFonts w:ascii="Times New Roman" w:hAnsi="Times New Roman"/>
        </w:rPr>
        <w:t xml:space="preserve">3(1)(a) </w:t>
      </w:r>
      <w:r w:rsidR="008546B0" w:rsidRPr="00091C8C">
        <w:rPr>
          <w:rFonts w:ascii="Times New Roman" w:hAnsi="Times New Roman"/>
        </w:rPr>
        <w:t xml:space="preserve">was for a </w:t>
      </w:r>
      <w:r w:rsidR="007951BE" w:rsidRPr="00091C8C">
        <w:rPr>
          <w:rFonts w:ascii="Times New Roman" w:hAnsi="Times New Roman"/>
        </w:rPr>
        <w:t xml:space="preserve">term which commenced on </w:t>
      </w:r>
      <w:r w:rsidR="0062004C" w:rsidRPr="00091C8C">
        <w:rPr>
          <w:rFonts w:ascii="Times New Roman" w:hAnsi="Times New Roman"/>
        </w:rPr>
        <w:t>31</w:t>
      </w:r>
      <w:r w:rsidR="009A5BD6" w:rsidRPr="00091C8C">
        <w:rPr>
          <w:rFonts w:ascii="Times New Roman" w:hAnsi="Times New Roman"/>
        </w:rPr>
        <w:t> </w:t>
      </w:r>
      <w:r w:rsidR="0062004C" w:rsidRPr="00091C8C">
        <w:rPr>
          <w:rFonts w:ascii="Times New Roman" w:hAnsi="Times New Roman"/>
        </w:rPr>
        <w:t xml:space="preserve">May 2009 </w:t>
      </w:r>
      <w:r w:rsidR="007951BE" w:rsidRPr="00091C8C">
        <w:rPr>
          <w:rFonts w:ascii="Times New Roman" w:hAnsi="Times New Roman"/>
        </w:rPr>
        <w:t xml:space="preserve">and </w:t>
      </w:r>
      <w:r w:rsidR="00D747E6" w:rsidRPr="00091C8C">
        <w:rPr>
          <w:rFonts w:ascii="Times New Roman" w:hAnsi="Times New Roman"/>
        </w:rPr>
        <w:t xml:space="preserve">which expired with the expiration of </w:t>
      </w:r>
      <w:r w:rsidR="004E715C" w:rsidRPr="00091C8C">
        <w:rPr>
          <w:rFonts w:ascii="Times New Roman" w:hAnsi="Times New Roman"/>
        </w:rPr>
        <w:t xml:space="preserve">the </w:t>
      </w:r>
      <w:r w:rsidR="003A5972" w:rsidRPr="00091C8C">
        <w:rPr>
          <w:rFonts w:ascii="Times New Roman" w:hAnsi="Times New Roman"/>
        </w:rPr>
        <w:t xml:space="preserve">original </w:t>
      </w:r>
      <w:r w:rsidR="004E715C" w:rsidRPr="00091C8C">
        <w:rPr>
          <w:rFonts w:ascii="Times New Roman" w:hAnsi="Times New Roman"/>
        </w:rPr>
        <w:t>term of the Patent</w:t>
      </w:r>
      <w:r w:rsidR="00D747E6" w:rsidRPr="00091C8C">
        <w:rPr>
          <w:rFonts w:ascii="Times New Roman" w:hAnsi="Times New Roman"/>
        </w:rPr>
        <w:t xml:space="preserve"> </w:t>
      </w:r>
      <w:r w:rsidR="004E715C" w:rsidRPr="00091C8C">
        <w:rPr>
          <w:rFonts w:ascii="Times New Roman" w:hAnsi="Times New Roman"/>
        </w:rPr>
        <w:t>on 13</w:t>
      </w:r>
      <w:r w:rsidR="00061CE5" w:rsidRPr="00091C8C">
        <w:rPr>
          <w:rFonts w:ascii="Times New Roman" w:hAnsi="Times New Roman"/>
        </w:rPr>
        <w:t> </w:t>
      </w:r>
      <w:r w:rsidR="004E715C" w:rsidRPr="00091C8C">
        <w:rPr>
          <w:rFonts w:ascii="Times New Roman" w:hAnsi="Times New Roman"/>
        </w:rPr>
        <w:t xml:space="preserve">June 2009. </w:t>
      </w:r>
      <w:r w:rsidR="00A3260B" w:rsidRPr="00091C8C">
        <w:rPr>
          <w:rFonts w:ascii="Times New Roman" w:hAnsi="Times New Roman"/>
        </w:rPr>
        <w:t xml:space="preserve">The argument for </w:t>
      </w:r>
      <w:r w:rsidR="00187FBA" w:rsidRPr="00091C8C">
        <w:rPr>
          <w:rFonts w:ascii="Times New Roman" w:hAnsi="Times New Roman"/>
        </w:rPr>
        <w:t xml:space="preserve">Sandoz was that the licence </w:t>
      </w:r>
      <w:r w:rsidR="00A03EFB" w:rsidRPr="00091C8C">
        <w:rPr>
          <w:rFonts w:ascii="Times New Roman" w:hAnsi="Times New Roman"/>
        </w:rPr>
        <w:t>granted was for a term which commenced on 31</w:t>
      </w:r>
      <w:r w:rsidR="00B32104" w:rsidRPr="00091C8C">
        <w:rPr>
          <w:rFonts w:ascii="Times New Roman" w:hAnsi="Times New Roman"/>
        </w:rPr>
        <w:t> </w:t>
      </w:r>
      <w:r w:rsidR="00A03EFB" w:rsidRPr="00091C8C">
        <w:rPr>
          <w:rFonts w:ascii="Times New Roman" w:hAnsi="Times New Roman"/>
        </w:rPr>
        <w:t xml:space="preserve">May 2009 but which had no </w:t>
      </w:r>
      <w:r w:rsidR="00DB55A0" w:rsidRPr="00091C8C">
        <w:rPr>
          <w:rFonts w:ascii="Times New Roman" w:hAnsi="Times New Roman"/>
        </w:rPr>
        <w:t xml:space="preserve">fixed </w:t>
      </w:r>
      <w:r w:rsidR="00A03EFB" w:rsidRPr="00091C8C">
        <w:rPr>
          <w:rFonts w:ascii="Times New Roman" w:hAnsi="Times New Roman"/>
        </w:rPr>
        <w:t xml:space="preserve">end date. </w:t>
      </w:r>
      <w:r w:rsidR="00DB55A0" w:rsidRPr="00091C8C">
        <w:rPr>
          <w:rFonts w:ascii="Times New Roman" w:hAnsi="Times New Roman"/>
        </w:rPr>
        <w:t>The licence</w:t>
      </w:r>
      <w:r w:rsidR="00BE4865" w:rsidRPr="00091C8C">
        <w:rPr>
          <w:rFonts w:ascii="Times New Roman" w:hAnsi="Times New Roman"/>
        </w:rPr>
        <w:t xml:space="preserve">, according to Sandoz, </w:t>
      </w:r>
      <w:r w:rsidR="00386241" w:rsidRPr="00091C8C">
        <w:rPr>
          <w:rFonts w:ascii="Times New Roman" w:hAnsi="Times New Roman"/>
        </w:rPr>
        <w:t xml:space="preserve">was not only irrevocable </w:t>
      </w:r>
      <w:r w:rsidR="009A0C2B" w:rsidRPr="00091C8C">
        <w:rPr>
          <w:rFonts w:ascii="Times New Roman" w:hAnsi="Times New Roman"/>
        </w:rPr>
        <w:t>but indefinite.</w:t>
      </w:r>
    </w:p>
    <w:p w14:paraId="61047B91" w14:textId="4CD7B0C9" w:rsidR="00EF78AC" w:rsidRPr="00091C8C" w:rsidRDefault="000D6970" w:rsidP="00091C8C">
      <w:pPr>
        <w:pStyle w:val="FixListStyle"/>
        <w:spacing w:after="260" w:line="280" w:lineRule="exact"/>
        <w:ind w:right="0"/>
        <w:jc w:val="both"/>
        <w:rPr>
          <w:rFonts w:ascii="Times New Roman" w:hAnsi="Times New Roman"/>
        </w:rPr>
      </w:pPr>
      <w:r w:rsidRPr="00091C8C">
        <w:rPr>
          <w:rFonts w:ascii="Times New Roman" w:hAnsi="Times New Roman"/>
        </w:rPr>
        <w:tab/>
      </w:r>
      <w:r w:rsidR="008C768D" w:rsidRPr="00091C8C">
        <w:rPr>
          <w:rFonts w:ascii="Times New Roman" w:hAnsi="Times New Roman"/>
        </w:rPr>
        <w:t>T</w:t>
      </w:r>
      <w:r w:rsidR="00750A41" w:rsidRPr="00091C8C">
        <w:rPr>
          <w:rFonts w:ascii="Times New Roman" w:hAnsi="Times New Roman"/>
        </w:rPr>
        <w:t>he argument for Sandoz fail</w:t>
      </w:r>
      <w:r w:rsidR="00171A59" w:rsidRPr="00091C8C">
        <w:rPr>
          <w:rFonts w:ascii="Times New Roman" w:hAnsi="Times New Roman"/>
        </w:rPr>
        <w:t>ed</w:t>
      </w:r>
      <w:r w:rsidR="00750A41" w:rsidRPr="00091C8C">
        <w:rPr>
          <w:rFonts w:ascii="Times New Roman" w:hAnsi="Times New Roman"/>
        </w:rPr>
        <w:t xml:space="preserve"> to </w:t>
      </w:r>
      <w:r w:rsidR="00BE4865" w:rsidRPr="00091C8C">
        <w:rPr>
          <w:rFonts w:ascii="Times New Roman" w:hAnsi="Times New Roman"/>
        </w:rPr>
        <w:t xml:space="preserve">give </w:t>
      </w:r>
      <w:r w:rsidR="00E425B6" w:rsidRPr="00091C8C">
        <w:rPr>
          <w:rFonts w:ascii="Times New Roman" w:hAnsi="Times New Roman"/>
        </w:rPr>
        <w:t xml:space="preserve">temporal effect to the licence </w:t>
      </w:r>
      <w:r w:rsidR="001C3FF8" w:rsidRPr="00091C8C">
        <w:rPr>
          <w:rFonts w:ascii="Times New Roman" w:hAnsi="Times New Roman"/>
        </w:rPr>
        <w:t>granted to Sandoz by cl</w:t>
      </w:r>
      <w:r w:rsidR="005D4331" w:rsidRPr="00091C8C">
        <w:rPr>
          <w:rFonts w:ascii="Times New Roman" w:hAnsi="Times New Roman"/>
        </w:rPr>
        <w:t> </w:t>
      </w:r>
      <w:r w:rsidR="001C3FF8" w:rsidRPr="00091C8C">
        <w:rPr>
          <w:rFonts w:ascii="Times New Roman" w:hAnsi="Times New Roman"/>
        </w:rPr>
        <w:t xml:space="preserve">3(1)(a) </w:t>
      </w:r>
      <w:r w:rsidR="00E425B6" w:rsidRPr="00091C8C">
        <w:rPr>
          <w:rFonts w:ascii="Times New Roman" w:hAnsi="Times New Roman"/>
        </w:rPr>
        <w:t xml:space="preserve">being </w:t>
      </w:r>
      <w:r w:rsidR="00D434A1" w:rsidRPr="00091C8C">
        <w:rPr>
          <w:rFonts w:ascii="Times New Roman" w:hAnsi="Times New Roman"/>
        </w:rPr>
        <w:t xml:space="preserve">expressed to be </w:t>
      </w:r>
      <w:r w:rsidR="00E425B6" w:rsidRPr="00091C8C">
        <w:rPr>
          <w:rFonts w:ascii="Times New Roman" w:hAnsi="Times New Roman"/>
        </w:rPr>
        <w:t>"to the Patent"</w:t>
      </w:r>
      <w:r w:rsidR="0035467A" w:rsidRPr="00091C8C">
        <w:rPr>
          <w:rFonts w:ascii="Times New Roman" w:hAnsi="Times New Roman"/>
        </w:rPr>
        <w:t xml:space="preserve"> which was </w:t>
      </w:r>
      <w:r w:rsidR="00404E1E" w:rsidRPr="00091C8C">
        <w:rPr>
          <w:rFonts w:ascii="Times New Roman" w:hAnsi="Times New Roman"/>
        </w:rPr>
        <w:t>expressed</w:t>
      </w:r>
      <w:r w:rsidR="00AF09D7" w:rsidRPr="00091C8C">
        <w:rPr>
          <w:rFonts w:ascii="Times New Roman" w:hAnsi="Times New Roman"/>
        </w:rPr>
        <w:t xml:space="preserve"> </w:t>
      </w:r>
      <w:r w:rsidR="0035467A" w:rsidRPr="00091C8C">
        <w:rPr>
          <w:rFonts w:ascii="Times New Roman" w:hAnsi="Times New Roman"/>
        </w:rPr>
        <w:t>to "expire" on 13</w:t>
      </w:r>
      <w:r w:rsidR="00746D3E" w:rsidRPr="00091C8C">
        <w:rPr>
          <w:rFonts w:ascii="Times New Roman" w:hAnsi="Times New Roman"/>
        </w:rPr>
        <w:t> </w:t>
      </w:r>
      <w:r w:rsidR="0035467A" w:rsidRPr="00091C8C">
        <w:rPr>
          <w:rFonts w:ascii="Times New Roman" w:hAnsi="Times New Roman"/>
        </w:rPr>
        <w:t>June 2009</w:t>
      </w:r>
      <w:r w:rsidR="00274290" w:rsidRPr="00091C8C">
        <w:rPr>
          <w:rFonts w:ascii="Times New Roman" w:hAnsi="Times New Roman"/>
        </w:rPr>
        <w:t xml:space="preserve"> </w:t>
      </w:r>
      <w:r w:rsidR="00171A59" w:rsidRPr="00091C8C">
        <w:rPr>
          <w:rFonts w:ascii="Times New Roman" w:hAnsi="Times New Roman"/>
        </w:rPr>
        <w:t>and</w:t>
      </w:r>
      <w:r w:rsidR="0027001F" w:rsidRPr="00091C8C">
        <w:rPr>
          <w:rFonts w:ascii="Times New Roman" w:hAnsi="Times New Roman"/>
        </w:rPr>
        <w:t xml:space="preserve"> failed </w:t>
      </w:r>
      <w:r w:rsidR="00171A59" w:rsidRPr="00091C8C">
        <w:rPr>
          <w:rFonts w:ascii="Times New Roman" w:hAnsi="Times New Roman"/>
        </w:rPr>
        <w:t xml:space="preserve">also </w:t>
      </w:r>
      <w:r w:rsidR="0027001F" w:rsidRPr="00091C8C">
        <w:rPr>
          <w:rFonts w:ascii="Times New Roman" w:hAnsi="Times New Roman"/>
        </w:rPr>
        <w:t>to</w:t>
      </w:r>
      <w:r w:rsidR="00C96481" w:rsidRPr="00091C8C">
        <w:rPr>
          <w:rFonts w:ascii="Times New Roman" w:hAnsi="Times New Roman"/>
        </w:rPr>
        <w:t xml:space="preserve"> be attentive to the internal logic of </w:t>
      </w:r>
      <w:r w:rsidR="00E40681" w:rsidRPr="00091C8C">
        <w:rPr>
          <w:rFonts w:ascii="Times New Roman" w:hAnsi="Times New Roman"/>
        </w:rPr>
        <w:t xml:space="preserve">the settlement clause. </w:t>
      </w:r>
    </w:p>
    <w:p w14:paraId="6ABB1A80" w14:textId="23CD551B" w:rsidR="000D6970" w:rsidRPr="00091C8C" w:rsidRDefault="00EF78AC" w:rsidP="00091C8C">
      <w:pPr>
        <w:pStyle w:val="FixListStyle"/>
        <w:spacing w:after="260" w:line="280" w:lineRule="exact"/>
        <w:ind w:right="0"/>
        <w:jc w:val="both"/>
        <w:rPr>
          <w:rFonts w:ascii="Times New Roman" w:hAnsi="Times New Roman"/>
        </w:rPr>
      </w:pPr>
      <w:r w:rsidRPr="00091C8C">
        <w:rPr>
          <w:rFonts w:ascii="Times New Roman" w:hAnsi="Times New Roman"/>
        </w:rPr>
        <w:tab/>
      </w:r>
      <w:r w:rsidR="001D0A4D" w:rsidRPr="00091C8C">
        <w:rPr>
          <w:rFonts w:ascii="Times New Roman" w:hAnsi="Times New Roman"/>
        </w:rPr>
        <w:t>When cl</w:t>
      </w:r>
      <w:r w:rsidR="005D4331" w:rsidRPr="00091C8C">
        <w:rPr>
          <w:rFonts w:ascii="Times New Roman" w:hAnsi="Times New Roman"/>
        </w:rPr>
        <w:t> </w:t>
      </w:r>
      <w:r w:rsidR="001D0A4D" w:rsidRPr="00091C8C">
        <w:rPr>
          <w:rFonts w:ascii="Times New Roman" w:hAnsi="Times New Roman"/>
        </w:rPr>
        <w:t>3(1)(a) is read in context with cl</w:t>
      </w:r>
      <w:r w:rsidR="005D4331" w:rsidRPr="00091C8C">
        <w:rPr>
          <w:rFonts w:ascii="Times New Roman" w:hAnsi="Times New Roman"/>
        </w:rPr>
        <w:t> </w:t>
      </w:r>
      <w:r w:rsidR="001D0A4D" w:rsidRPr="00091C8C">
        <w:rPr>
          <w:rFonts w:ascii="Times New Roman" w:hAnsi="Times New Roman"/>
        </w:rPr>
        <w:t>3(1)(b), cl</w:t>
      </w:r>
      <w:r w:rsidR="005D4331" w:rsidRPr="00091C8C">
        <w:rPr>
          <w:rFonts w:ascii="Times New Roman" w:hAnsi="Times New Roman"/>
        </w:rPr>
        <w:t> </w:t>
      </w:r>
      <w:r w:rsidR="001D0A4D" w:rsidRPr="00091C8C">
        <w:rPr>
          <w:rFonts w:ascii="Times New Roman" w:hAnsi="Times New Roman"/>
        </w:rPr>
        <w:t>3(1)(</w:t>
      </w:r>
      <w:r w:rsidR="00686DB7" w:rsidRPr="00091C8C">
        <w:rPr>
          <w:rFonts w:ascii="Times New Roman" w:hAnsi="Times New Roman"/>
        </w:rPr>
        <w:t>c</w:t>
      </w:r>
      <w:r w:rsidR="001D0A4D" w:rsidRPr="00091C8C">
        <w:rPr>
          <w:rFonts w:ascii="Times New Roman" w:hAnsi="Times New Roman"/>
        </w:rPr>
        <w:t xml:space="preserve">) and </w:t>
      </w:r>
      <w:r w:rsidR="000A7143" w:rsidRPr="00091C8C">
        <w:rPr>
          <w:rFonts w:ascii="Times New Roman" w:hAnsi="Times New Roman"/>
        </w:rPr>
        <w:t>cl </w:t>
      </w:r>
      <w:r w:rsidR="001D0A4D" w:rsidRPr="00091C8C">
        <w:rPr>
          <w:rFonts w:ascii="Times New Roman" w:hAnsi="Times New Roman"/>
        </w:rPr>
        <w:t>3(1)(</w:t>
      </w:r>
      <w:r w:rsidR="00686DB7" w:rsidRPr="00091C8C">
        <w:rPr>
          <w:rFonts w:ascii="Times New Roman" w:hAnsi="Times New Roman"/>
        </w:rPr>
        <w:t>d</w:t>
      </w:r>
      <w:r w:rsidR="001D0A4D" w:rsidRPr="00091C8C">
        <w:rPr>
          <w:rFonts w:ascii="Times New Roman" w:hAnsi="Times New Roman"/>
        </w:rPr>
        <w:t>)</w:t>
      </w:r>
      <w:r w:rsidR="00686DB7" w:rsidRPr="00091C8C">
        <w:rPr>
          <w:rFonts w:ascii="Times New Roman" w:hAnsi="Times New Roman"/>
        </w:rPr>
        <w:t>, it is apparent that</w:t>
      </w:r>
      <w:r w:rsidR="00CD2878" w:rsidRPr="00091C8C">
        <w:rPr>
          <w:rFonts w:ascii="Times New Roman" w:hAnsi="Times New Roman"/>
        </w:rPr>
        <w:t xml:space="preserve"> each </w:t>
      </w:r>
      <w:r w:rsidR="009E77CD" w:rsidRPr="00091C8C">
        <w:rPr>
          <w:rFonts w:ascii="Times New Roman" w:hAnsi="Times New Roman"/>
        </w:rPr>
        <w:t xml:space="preserve">of those </w:t>
      </w:r>
      <w:r w:rsidR="005D5EC1" w:rsidRPr="00091C8C">
        <w:rPr>
          <w:rFonts w:ascii="Times New Roman" w:hAnsi="Times New Roman"/>
        </w:rPr>
        <w:t>paragraph</w:t>
      </w:r>
      <w:r w:rsidR="009E77CD" w:rsidRPr="00091C8C">
        <w:rPr>
          <w:rFonts w:ascii="Times New Roman" w:hAnsi="Times New Roman"/>
        </w:rPr>
        <w:t>s</w:t>
      </w:r>
      <w:r w:rsidR="005D5EC1" w:rsidRPr="00091C8C">
        <w:rPr>
          <w:rFonts w:ascii="Times New Roman" w:hAnsi="Times New Roman"/>
        </w:rPr>
        <w:t xml:space="preserve"> of the settlement clause </w:t>
      </w:r>
      <w:r w:rsidR="0017621A" w:rsidRPr="00091C8C">
        <w:rPr>
          <w:rFonts w:ascii="Times New Roman" w:hAnsi="Times New Roman"/>
        </w:rPr>
        <w:t xml:space="preserve">was consistent in </w:t>
      </w:r>
      <w:r w:rsidR="005C3A04" w:rsidRPr="00091C8C">
        <w:rPr>
          <w:rFonts w:ascii="Times New Roman" w:hAnsi="Times New Roman"/>
        </w:rPr>
        <w:t>treat</w:t>
      </w:r>
      <w:r w:rsidR="00D1121A" w:rsidRPr="00091C8C">
        <w:rPr>
          <w:rFonts w:ascii="Times New Roman" w:hAnsi="Times New Roman"/>
        </w:rPr>
        <w:t>ing</w:t>
      </w:r>
      <w:r w:rsidR="005C3A04" w:rsidRPr="00091C8C">
        <w:rPr>
          <w:rFonts w:ascii="Times New Roman" w:hAnsi="Times New Roman"/>
        </w:rPr>
        <w:t xml:space="preserve"> the </w:t>
      </w:r>
      <w:r w:rsidR="00B0727A" w:rsidRPr="00091C8C">
        <w:rPr>
          <w:rFonts w:ascii="Times New Roman" w:hAnsi="Times New Roman"/>
        </w:rPr>
        <w:t xml:space="preserve">date of the </w:t>
      </w:r>
      <w:r w:rsidR="00C72BF5" w:rsidRPr="00091C8C">
        <w:rPr>
          <w:rFonts w:ascii="Times New Roman" w:hAnsi="Times New Roman"/>
        </w:rPr>
        <w:t xml:space="preserve">expiration of the licence as the date of the expiration of the Patent </w:t>
      </w:r>
      <w:r w:rsidR="00EC65E7" w:rsidRPr="00091C8C">
        <w:rPr>
          <w:rFonts w:ascii="Times New Roman" w:hAnsi="Times New Roman"/>
        </w:rPr>
        <w:t xml:space="preserve">and </w:t>
      </w:r>
      <w:r w:rsidR="00D219E1" w:rsidRPr="00091C8C">
        <w:rPr>
          <w:rFonts w:ascii="Times New Roman" w:hAnsi="Times New Roman"/>
        </w:rPr>
        <w:t xml:space="preserve">that each paragraph of the settlement clause was consistent in specifying as </w:t>
      </w:r>
      <w:r w:rsidR="00EC65E7" w:rsidRPr="00091C8C">
        <w:rPr>
          <w:rFonts w:ascii="Times New Roman" w:hAnsi="Times New Roman"/>
        </w:rPr>
        <w:t xml:space="preserve">the </w:t>
      </w:r>
      <w:r w:rsidR="008A56D5" w:rsidRPr="00091C8C">
        <w:rPr>
          <w:rFonts w:ascii="Times New Roman" w:hAnsi="Times New Roman"/>
        </w:rPr>
        <w:t xml:space="preserve">date of the </w:t>
      </w:r>
      <w:r w:rsidR="00EC65E7" w:rsidRPr="00091C8C">
        <w:rPr>
          <w:rFonts w:ascii="Times New Roman" w:hAnsi="Times New Roman"/>
        </w:rPr>
        <w:t>comm</w:t>
      </w:r>
      <w:r w:rsidR="000D09EA" w:rsidRPr="00091C8C">
        <w:rPr>
          <w:rFonts w:ascii="Times New Roman" w:hAnsi="Times New Roman"/>
        </w:rPr>
        <w:t>encement of the licence a date two weeks before</w:t>
      </w:r>
      <w:r w:rsidR="007B5FC1" w:rsidRPr="00091C8C">
        <w:rPr>
          <w:rFonts w:ascii="Times New Roman" w:hAnsi="Times New Roman"/>
        </w:rPr>
        <w:t xml:space="preserve"> expiration</w:t>
      </w:r>
      <w:r w:rsidR="000D09EA" w:rsidRPr="00091C8C">
        <w:rPr>
          <w:rFonts w:ascii="Times New Roman" w:hAnsi="Times New Roman"/>
        </w:rPr>
        <w:t>.</w:t>
      </w:r>
      <w:r w:rsidR="00455A32" w:rsidRPr="00091C8C">
        <w:rPr>
          <w:rFonts w:ascii="Times New Roman" w:hAnsi="Times New Roman"/>
        </w:rPr>
        <w:t xml:space="preserve"> </w:t>
      </w:r>
      <w:r w:rsidR="00AA163A" w:rsidRPr="00091C8C">
        <w:rPr>
          <w:rFonts w:ascii="Times New Roman" w:hAnsi="Times New Roman"/>
        </w:rPr>
        <w:t>The overall effect was that, n</w:t>
      </w:r>
      <w:r w:rsidR="00CD2878" w:rsidRPr="00091C8C">
        <w:rPr>
          <w:rFonts w:ascii="Times New Roman" w:hAnsi="Times New Roman"/>
        </w:rPr>
        <w:t xml:space="preserve">o </w:t>
      </w:r>
      <w:r w:rsidR="00AC70AC" w:rsidRPr="00091C8C">
        <w:rPr>
          <w:rFonts w:ascii="Times New Roman" w:hAnsi="Times New Roman"/>
        </w:rPr>
        <w:t xml:space="preserve">matter what the date </w:t>
      </w:r>
      <w:r w:rsidR="008F6746" w:rsidRPr="00091C8C">
        <w:rPr>
          <w:rFonts w:ascii="Times New Roman" w:hAnsi="Times New Roman"/>
        </w:rPr>
        <w:t>of the expiration of the</w:t>
      </w:r>
      <w:r w:rsidR="00B86CAB" w:rsidRPr="00091C8C">
        <w:rPr>
          <w:rFonts w:ascii="Times New Roman" w:hAnsi="Times New Roman"/>
        </w:rPr>
        <w:t xml:space="preserve"> term of the</w:t>
      </w:r>
      <w:r w:rsidR="008F6746" w:rsidRPr="00091C8C">
        <w:rPr>
          <w:rFonts w:ascii="Times New Roman" w:hAnsi="Times New Roman"/>
        </w:rPr>
        <w:t xml:space="preserve"> Patent might end up being, the</w:t>
      </w:r>
      <w:r w:rsidR="00B03946" w:rsidRPr="00091C8C">
        <w:rPr>
          <w:rFonts w:ascii="Times New Roman" w:hAnsi="Times New Roman"/>
        </w:rPr>
        <w:t xml:space="preserve"> irrevocable non-exclusive licence to the Patent</w:t>
      </w:r>
      <w:r w:rsidR="00742437" w:rsidRPr="00091C8C">
        <w:rPr>
          <w:rFonts w:ascii="Times New Roman" w:hAnsi="Times New Roman"/>
        </w:rPr>
        <w:t xml:space="preserve"> </w:t>
      </w:r>
      <w:r w:rsidR="00B03946" w:rsidRPr="00091C8C">
        <w:rPr>
          <w:rFonts w:ascii="Times New Roman" w:hAnsi="Times New Roman"/>
        </w:rPr>
        <w:t xml:space="preserve">granted </w:t>
      </w:r>
      <w:r w:rsidR="00742437" w:rsidRPr="00091C8C">
        <w:rPr>
          <w:rFonts w:ascii="Times New Roman" w:hAnsi="Times New Roman"/>
        </w:rPr>
        <w:t xml:space="preserve">was to </w:t>
      </w:r>
      <w:r w:rsidR="00A746FF" w:rsidRPr="00091C8C">
        <w:rPr>
          <w:rFonts w:ascii="Times New Roman" w:hAnsi="Times New Roman"/>
        </w:rPr>
        <w:t>commence</w:t>
      </w:r>
      <w:r w:rsidR="00B03946" w:rsidRPr="00091C8C">
        <w:rPr>
          <w:rFonts w:ascii="Times New Roman" w:hAnsi="Times New Roman"/>
        </w:rPr>
        <w:t xml:space="preserve"> two weeks before that date</w:t>
      </w:r>
      <w:r w:rsidR="00B25C54" w:rsidRPr="00091C8C">
        <w:rPr>
          <w:rFonts w:ascii="Times New Roman" w:hAnsi="Times New Roman"/>
        </w:rPr>
        <w:t xml:space="preserve"> and was to expire</w:t>
      </w:r>
      <w:r w:rsidR="00CD2878" w:rsidRPr="00091C8C">
        <w:rPr>
          <w:rFonts w:ascii="Times New Roman" w:hAnsi="Times New Roman"/>
        </w:rPr>
        <w:t xml:space="preserve"> on the date of th</w:t>
      </w:r>
      <w:r w:rsidR="00EA2A20" w:rsidRPr="00091C8C">
        <w:rPr>
          <w:rFonts w:ascii="Times New Roman" w:hAnsi="Times New Roman"/>
        </w:rPr>
        <w:t>at</w:t>
      </w:r>
      <w:r w:rsidR="00CD2878" w:rsidRPr="00091C8C">
        <w:rPr>
          <w:rFonts w:ascii="Times New Roman" w:hAnsi="Times New Roman"/>
        </w:rPr>
        <w:t xml:space="preserve"> expiration</w:t>
      </w:r>
      <w:r w:rsidR="00B03946" w:rsidRPr="00091C8C">
        <w:rPr>
          <w:rFonts w:ascii="Times New Roman" w:hAnsi="Times New Roman"/>
        </w:rPr>
        <w:t>.</w:t>
      </w:r>
    </w:p>
    <w:p w14:paraId="1AECDABE" w14:textId="54311299" w:rsidR="00C30244" w:rsidRPr="00091C8C" w:rsidRDefault="00C30244" w:rsidP="00091C8C">
      <w:pPr>
        <w:pStyle w:val="FixListStyle"/>
        <w:spacing w:after="260" w:line="280" w:lineRule="exact"/>
        <w:ind w:right="0"/>
        <w:jc w:val="both"/>
        <w:rPr>
          <w:rFonts w:ascii="Times New Roman" w:hAnsi="Times New Roman"/>
        </w:rPr>
      </w:pPr>
      <w:r w:rsidRPr="00091C8C">
        <w:rPr>
          <w:rFonts w:ascii="Times New Roman" w:hAnsi="Times New Roman"/>
        </w:rPr>
        <w:tab/>
      </w:r>
      <w:r w:rsidR="00803188" w:rsidRPr="00091C8C">
        <w:rPr>
          <w:rFonts w:ascii="Times New Roman" w:hAnsi="Times New Roman"/>
        </w:rPr>
        <w:t xml:space="preserve">The </w:t>
      </w:r>
      <w:r w:rsidR="00445C2C" w:rsidRPr="00091C8C">
        <w:rPr>
          <w:rFonts w:ascii="Times New Roman" w:hAnsi="Times New Roman"/>
        </w:rPr>
        <w:t>"</w:t>
      </w:r>
      <w:r w:rsidR="00803188" w:rsidRPr="00091C8C">
        <w:rPr>
          <w:rFonts w:ascii="Times New Roman" w:hAnsi="Times New Roman"/>
        </w:rPr>
        <w:t xml:space="preserve">commercial </w:t>
      </w:r>
      <w:r w:rsidR="00445C2C" w:rsidRPr="00091C8C">
        <w:rPr>
          <w:rFonts w:ascii="Times New Roman" w:hAnsi="Times New Roman"/>
        </w:rPr>
        <w:t>result"</w:t>
      </w:r>
      <w:r w:rsidR="00AA61B7" w:rsidRPr="00091C8C">
        <w:rPr>
          <w:rFonts w:ascii="Times New Roman" w:hAnsi="Times New Roman"/>
        </w:rPr>
        <w:t xml:space="preserve"> </w:t>
      </w:r>
      <w:r w:rsidR="00445C2C" w:rsidRPr="00091C8C">
        <w:rPr>
          <w:rFonts w:ascii="Times New Roman" w:hAnsi="Times New Roman"/>
        </w:rPr>
        <w:t xml:space="preserve">which the parties </w:t>
      </w:r>
      <w:r w:rsidR="00B9404A" w:rsidRPr="00091C8C">
        <w:rPr>
          <w:rFonts w:ascii="Times New Roman" w:hAnsi="Times New Roman"/>
        </w:rPr>
        <w:t>can be inferred to have intended to produce</w:t>
      </w:r>
      <w:r w:rsidR="0035167E" w:rsidRPr="00091C8C">
        <w:rPr>
          <w:rFonts w:ascii="Times New Roman" w:hAnsi="Times New Roman"/>
        </w:rPr>
        <w:t xml:space="preserve"> by the settlement clause</w:t>
      </w:r>
      <w:r w:rsidR="00061914" w:rsidRPr="00091C8C">
        <w:rPr>
          <w:rFonts w:ascii="Times New Roman" w:hAnsi="Times New Roman"/>
        </w:rPr>
        <w:t xml:space="preserve"> structured in that way</w:t>
      </w:r>
      <w:r w:rsidR="00B9404A" w:rsidRPr="00091C8C">
        <w:rPr>
          <w:rStyle w:val="FootnoteReference"/>
          <w:rFonts w:ascii="Times New Roman" w:hAnsi="Times New Roman"/>
          <w:sz w:val="24"/>
        </w:rPr>
        <w:footnoteReference w:id="77"/>
      </w:r>
      <w:r w:rsidR="00BB5ABE" w:rsidRPr="00091C8C">
        <w:rPr>
          <w:rFonts w:ascii="Times New Roman" w:hAnsi="Times New Roman"/>
        </w:rPr>
        <w:t xml:space="preserve"> </w:t>
      </w:r>
      <w:r w:rsidR="00A71F65" w:rsidRPr="00091C8C">
        <w:rPr>
          <w:rFonts w:ascii="Times New Roman" w:hAnsi="Times New Roman"/>
        </w:rPr>
        <w:t xml:space="preserve">was to allow Sandoz </w:t>
      </w:r>
      <w:r w:rsidR="002358D9" w:rsidRPr="00091C8C">
        <w:rPr>
          <w:rFonts w:ascii="Times New Roman" w:hAnsi="Times New Roman"/>
        </w:rPr>
        <w:t>to</w:t>
      </w:r>
      <w:r w:rsidR="00A71F65" w:rsidRPr="00091C8C">
        <w:rPr>
          <w:rFonts w:ascii="Times New Roman" w:hAnsi="Times New Roman"/>
        </w:rPr>
        <w:t xml:space="preserve"> sell generic pharmaceutical products containing escitalopram during the final two weeks of the term of the Patent</w:t>
      </w:r>
      <w:r w:rsidR="004E0560" w:rsidRPr="00091C8C">
        <w:rPr>
          <w:rFonts w:ascii="Times New Roman" w:hAnsi="Times New Roman"/>
        </w:rPr>
        <w:t>.</w:t>
      </w:r>
      <w:r w:rsidR="00A71F65" w:rsidRPr="00091C8C">
        <w:rPr>
          <w:rFonts w:ascii="Times New Roman" w:hAnsi="Times New Roman"/>
        </w:rPr>
        <w:t xml:space="preserve"> </w:t>
      </w:r>
      <w:r w:rsidR="004E0560" w:rsidRPr="00091C8C">
        <w:rPr>
          <w:rFonts w:ascii="Times New Roman" w:hAnsi="Times New Roman"/>
        </w:rPr>
        <w:t>During that period</w:t>
      </w:r>
      <w:r w:rsidR="004B0ADC" w:rsidRPr="00091C8C">
        <w:rPr>
          <w:rFonts w:ascii="Times New Roman" w:hAnsi="Times New Roman"/>
        </w:rPr>
        <w:t xml:space="preserve"> </w:t>
      </w:r>
      <w:r w:rsidR="00A71F65" w:rsidRPr="00091C8C">
        <w:rPr>
          <w:rFonts w:ascii="Times New Roman" w:hAnsi="Times New Roman"/>
        </w:rPr>
        <w:t xml:space="preserve">other suppliers of generic pharmaceutical products </w:t>
      </w:r>
      <w:r w:rsidR="00251B6F" w:rsidRPr="00091C8C">
        <w:rPr>
          <w:rFonts w:ascii="Times New Roman" w:hAnsi="Times New Roman"/>
        </w:rPr>
        <w:t xml:space="preserve">would </w:t>
      </w:r>
      <w:r w:rsidR="00A71F65" w:rsidRPr="00091C8C">
        <w:rPr>
          <w:rFonts w:ascii="Times New Roman" w:hAnsi="Times New Roman"/>
        </w:rPr>
        <w:t xml:space="preserve">still </w:t>
      </w:r>
      <w:r w:rsidR="00251B6F" w:rsidRPr="00091C8C">
        <w:rPr>
          <w:rFonts w:ascii="Times New Roman" w:hAnsi="Times New Roman"/>
        </w:rPr>
        <w:t xml:space="preserve">be </w:t>
      </w:r>
      <w:r w:rsidR="00A71F65" w:rsidRPr="00091C8C">
        <w:rPr>
          <w:rFonts w:ascii="Times New Roman" w:hAnsi="Times New Roman"/>
        </w:rPr>
        <w:t xml:space="preserve">excluded from selling products containing escitalopram through the continuing operation of the exclusive rights to exploit the </w:t>
      </w:r>
      <w:r w:rsidR="00A71F65" w:rsidRPr="00091C8C">
        <w:rPr>
          <w:rFonts w:ascii="Times New Roman" w:hAnsi="Times New Roman"/>
        </w:rPr>
        <w:lastRenderedPageBreak/>
        <w:t xml:space="preserve">invention conferred on Lundbeck Denmark </w:t>
      </w:r>
      <w:r w:rsidR="00F66123" w:rsidRPr="00091C8C">
        <w:rPr>
          <w:rFonts w:ascii="Times New Roman" w:hAnsi="Times New Roman"/>
        </w:rPr>
        <w:t xml:space="preserve">for </w:t>
      </w:r>
      <w:r w:rsidR="00A71F65" w:rsidRPr="00091C8C">
        <w:rPr>
          <w:rFonts w:ascii="Times New Roman" w:hAnsi="Times New Roman"/>
        </w:rPr>
        <w:t>the term of the Patent. The benefit of being able to sell generic pharmaceutical products containing escitalopram during the final two weeks of the term of the Patent through the operation of the licence conferred by cl</w:t>
      </w:r>
      <w:r w:rsidR="00C91053" w:rsidRPr="00091C8C">
        <w:rPr>
          <w:rFonts w:ascii="Times New Roman" w:hAnsi="Times New Roman"/>
        </w:rPr>
        <w:t> </w:t>
      </w:r>
      <w:r w:rsidR="00A71F65" w:rsidRPr="00091C8C">
        <w:rPr>
          <w:rFonts w:ascii="Times New Roman" w:hAnsi="Times New Roman"/>
        </w:rPr>
        <w:t>3(1) was enhanced by the more limited licence conferred through the operation of cl</w:t>
      </w:r>
      <w:r w:rsidR="00C91053" w:rsidRPr="00091C8C">
        <w:rPr>
          <w:rFonts w:ascii="Times New Roman" w:hAnsi="Times New Roman"/>
        </w:rPr>
        <w:t> </w:t>
      </w:r>
      <w:r w:rsidR="00A71F65" w:rsidRPr="00091C8C">
        <w:rPr>
          <w:rFonts w:ascii="Times New Roman" w:hAnsi="Times New Roman"/>
        </w:rPr>
        <w:t xml:space="preserve">3(2), </w:t>
      </w:r>
      <w:r w:rsidR="00F9477C" w:rsidRPr="00091C8C">
        <w:rPr>
          <w:rFonts w:ascii="Times New Roman" w:hAnsi="Times New Roman"/>
        </w:rPr>
        <w:t xml:space="preserve">which allowed Sandoz to start manufacturing, importing, marketing and offering to </w:t>
      </w:r>
      <w:r w:rsidR="009E5477" w:rsidRPr="00091C8C">
        <w:rPr>
          <w:rFonts w:ascii="Times New Roman" w:hAnsi="Times New Roman"/>
        </w:rPr>
        <w:t xml:space="preserve">sell </w:t>
      </w:r>
      <w:r w:rsidR="00894A05" w:rsidRPr="00091C8C">
        <w:rPr>
          <w:rFonts w:ascii="Times New Roman" w:hAnsi="Times New Roman"/>
        </w:rPr>
        <w:t xml:space="preserve">(but not yet to sell) </w:t>
      </w:r>
      <w:r w:rsidR="009E5477" w:rsidRPr="00091C8C">
        <w:rPr>
          <w:rFonts w:ascii="Times New Roman" w:hAnsi="Times New Roman"/>
        </w:rPr>
        <w:t xml:space="preserve">its generic pharmaceutical products </w:t>
      </w:r>
      <w:r w:rsidR="0028350D" w:rsidRPr="00091C8C">
        <w:rPr>
          <w:rFonts w:ascii="Times New Roman" w:hAnsi="Times New Roman"/>
        </w:rPr>
        <w:t>containing es</w:t>
      </w:r>
      <w:r w:rsidR="000D647A" w:rsidRPr="00091C8C">
        <w:rPr>
          <w:rFonts w:ascii="Times New Roman" w:hAnsi="Times New Roman"/>
        </w:rPr>
        <w:t>cit</w:t>
      </w:r>
      <w:r w:rsidR="000B1F17" w:rsidRPr="00091C8C">
        <w:rPr>
          <w:rFonts w:ascii="Times New Roman" w:hAnsi="Times New Roman"/>
        </w:rPr>
        <w:t>alopram</w:t>
      </w:r>
      <w:r w:rsidR="006E7752" w:rsidRPr="00091C8C">
        <w:rPr>
          <w:rFonts w:ascii="Times New Roman" w:hAnsi="Times New Roman"/>
        </w:rPr>
        <w:t xml:space="preserve"> at the beginning</w:t>
      </w:r>
      <w:r w:rsidR="000B1F17" w:rsidRPr="00091C8C">
        <w:rPr>
          <w:rFonts w:ascii="Times New Roman" w:hAnsi="Times New Roman"/>
        </w:rPr>
        <w:t xml:space="preserve"> </w:t>
      </w:r>
      <w:r w:rsidR="00992AEA" w:rsidRPr="00091C8C">
        <w:rPr>
          <w:rFonts w:ascii="Times New Roman" w:hAnsi="Times New Roman"/>
        </w:rPr>
        <w:t>of the calendar month</w:t>
      </w:r>
      <w:r w:rsidR="00EF15F6" w:rsidRPr="00091C8C">
        <w:rPr>
          <w:rFonts w:ascii="Times New Roman" w:hAnsi="Times New Roman"/>
        </w:rPr>
        <w:t xml:space="preserve"> in which the </w:t>
      </w:r>
      <w:r w:rsidR="00B62618" w:rsidRPr="00091C8C">
        <w:rPr>
          <w:rFonts w:ascii="Times New Roman" w:hAnsi="Times New Roman"/>
        </w:rPr>
        <w:t xml:space="preserve">two week </w:t>
      </w:r>
      <w:r w:rsidR="00312908" w:rsidRPr="00091C8C">
        <w:rPr>
          <w:rFonts w:ascii="Times New Roman" w:hAnsi="Times New Roman"/>
        </w:rPr>
        <w:t>licence enabling it</w:t>
      </w:r>
      <w:r w:rsidR="00D50713" w:rsidRPr="00091C8C">
        <w:rPr>
          <w:rFonts w:ascii="Times New Roman" w:hAnsi="Times New Roman"/>
        </w:rPr>
        <w:t xml:space="preserve"> to sell </w:t>
      </w:r>
      <w:r w:rsidR="008E24E3" w:rsidRPr="00091C8C">
        <w:rPr>
          <w:rFonts w:ascii="Times New Roman" w:hAnsi="Times New Roman"/>
        </w:rPr>
        <w:t xml:space="preserve">was to become </w:t>
      </w:r>
      <w:r w:rsidR="00205CE6" w:rsidRPr="00091C8C">
        <w:rPr>
          <w:rFonts w:ascii="Times New Roman" w:hAnsi="Times New Roman"/>
        </w:rPr>
        <w:t>effective</w:t>
      </w:r>
      <w:r w:rsidR="00605FB6" w:rsidRPr="00091C8C">
        <w:rPr>
          <w:rFonts w:ascii="Times New Roman" w:hAnsi="Times New Roman"/>
        </w:rPr>
        <w:t>.</w:t>
      </w:r>
    </w:p>
    <w:p w14:paraId="7DD4141D" w14:textId="45F6B51A" w:rsidR="009F025D" w:rsidRPr="00091C8C" w:rsidRDefault="00000750" w:rsidP="00091C8C">
      <w:pPr>
        <w:pStyle w:val="FixListStyle"/>
        <w:spacing w:after="260" w:line="280" w:lineRule="exact"/>
        <w:ind w:right="0"/>
        <w:jc w:val="both"/>
        <w:rPr>
          <w:rFonts w:ascii="Times New Roman" w:hAnsi="Times New Roman"/>
        </w:rPr>
      </w:pPr>
      <w:r w:rsidRPr="00091C8C">
        <w:rPr>
          <w:rFonts w:ascii="Times New Roman" w:hAnsi="Times New Roman"/>
        </w:rPr>
        <w:tab/>
      </w:r>
      <w:r w:rsidR="009F025D" w:rsidRPr="00091C8C">
        <w:rPr>
          <w:rFonts w:ascii="Times New Roman" w:hAnsi="Times New Roman"/>
        </w:rPr>
        <w:t>Through the settlement clause Sandoz accordingly got the modest but valuable commercial benefit of a two</w:t>
      </w:r>
      <w:r w:rsidR="00C31DCD" w:rsidRPr="00091C8C">
        <w:rPr>
          <w:rFonts w:ascii="Times New Roman" w:hAnsi="Times New Roman"/>
        </w:rPr>
        <w:t xml:space="preserve"> </w:t>
      </w:r>
      <w:r w:rsidR="009F025D" w:rsidRPr="00091C8C">
        <w:rPr>
          <w:rFonts w:ascii="Times New Roman" w:hAnsi="Times New Roman"/>
        </w:rPr>
        <w:t>week head-start over competing suppliers of generic pharmaceutical products containing escitalopram, who would not be able to start selling until after the Patent expired. That is what Lundbeck Denmark and Lundbeck Australia were conceding to Sandoz in exchange for Sandoz giving up its challenge to the validity of the Patent.</w:t>
      </w:r>
    </w:p>
    <w:p w14:paraId="20A939BE" w14:textId="04684DFF" w:rsidR="00F60D44" w:rsidRPr="00091C8C" w:rsidRDefault="0079477F" w:rsidP="00091C8C">
      <w:pPr>
        <w:pStyle w:val="FixListStyle"/>
        <w:spacing w:after="260" w:line="280" w:lineRule="exact"/>
        <w:ind w:right="0"/>
        <w:jc w:val="both"/>
        <w:rPr>
          <w:rFonts w:ascii="Times New Roman" w:hAnsi="Times New Roman"/>
        </w:rPr>
      </w:pPr>
      <w:r w:rsidRPr="00091C8C">
        <w:rPr>
          <w:rFonts w:ascii="Times New Roman" w:hAnsi="Times New Roman"/>
        </w:rPr>
        <w:tab/>
        <w:t>True</w:t>
      </w:r>
      <w:r w:rsidR="004C7FF5" w:rsidRPr="00091C8C">
        <w:rPr>
          <w:rFonts w:ascii="Times New Roman" w:hAnsi="Times New Roman"/>
        </w:rPr>
        <w:t xml:space="preserve"> it is that the parties can</w:t>
      </w:r>
      <w:r w:rsidR="009E13DD" w:rsidRPr="00091C8C">
        <w:rPr>
          <w:rFonts w:ascii="Times New Roman" w:hAnsi="Times New Roman"/>
        </w:rPr>
        <w:t>not</w:t>
      </w:r>
      <w:r w:rsidR="004C7FF5" w:rsidRPr="00091C8C">
        <w:rPr>
          <w:rFonts w:ascii="Times New Roman" w:hAnsi="Times New Roman"/>
        </w:rPr>
        <w:t xml:space="preserve"> be taken to have foreseen the grant of an extension of the term after the </w:t>
      </w:r>
      <w:r w:rsidR="0035470F" w:rsidRPr="00091C8C">
        <w:rPr>
          <w:rFonts w:ascii="Times New Roman" w:hAnsi="Times New Roman"/>
        </w:rPr>
        <w:t>or</w:t>
      </w:r>
      <w:r w:rsidR="00273DD5" w:rsidRPr="00091C8C">
        <w:rPr>
          <w:rFonts w:ascii="Times New Roman" w:hAnsi="Times New Roman"/>
        </w:rPr>
        <w:t xml:space="preserve">iginal term of the </w:t>
      </w:r>
      <w:r w:rsidR="004C7FF5" w:rsidRPr="00091C8C">
        <w:rPr>
          <w:rFonts w:ascii="Times New Roman" w:hAnsi="Times New Roman"/>
        </w:rPr>
        <w:t>Patent had expired as anything more than a remote possibility</w:t>
      </w:r>
      <w:r w:rsidR="000433A2" w:rsidRPr="00091C8C">
        <w:rPr>
          <w:rFonts w:ascii="Times New Roman" w:hAnsi="Times New Roman"/>
        </w:rPr>
        <w:t xml:space="preserve">, </w:t>
      </w:r>
      <w:r w:rsidR="004C7FF5" w:rsidRPr="00091C8C">
        <w:rPr>
          <w:rFonts w:ascii="Times New Roman" w:hAnsi="Times New Roman"/>
        </w:rPr>
        <w:t xml:space="preserve">that </w:t>
      </w:r>
      <w:r w:rsidR="00CF5106" w:rsidRPr="00091C8C">
        <w:rPr>
          <w:rFonts w:ascii="Times New Roman" w:hAnsi="Times New Roman"/>
        </w:rPr>
        <w:t xml:space="preserve">Sandoz </w:t>
      </w:r>
      <w:r w:rsidR="004C7FF5" w:rsidRPr="00091C8C">
        <w:rPr>
          <w:rFonts w:ascii="Times New Roman" w:hAnsi="Times New Roman"/>
        </w:rPr>
        <w:t xml:space="preserve">by entering into the </w:t>
      </w:r>
      <w:r w:rsidR="008F747F" w:rsidRPr="00091C8C">
        <w:rPr>
          <w:rFonts w:ascii="Times New Roman" w:hAnsi="Times New Roman"/>
        </w:rPr>
        <w:t>S</w:t>
      </w:r>
      <w:r w:rsidR="004C7FF5" w:rsidRPr="00091C8C">
        <w:rPr>
          <w:rFonts w:ascii="Times New Roman" w:hAnsi="Times New Roman"/>
        </w:rPr>
        <w:t xml:space="preserve">ettlement </w:t>
      </w:r>
      <w:r w:rsidR="008F747F" w:rsidRPr="00091C8C">
        <w:rPr>
          <w:rFonts w:ascii="Times New Roman" w:hAnsi="Times New Roman"/>
        </w:rPr>
        <w:t>A</w:t>
      </w:r>
      <w:r w:rsidR="004C7FF5" w:rsidRPr="00091C8C">
        <w:rPr>
          <w:rFonts w:ascii="Times New Roman" w:hAnsi="Times New Roman"/>
        </w:rPr>
        <w:t>greement</w:t>
      </w:r>
      <w:r w:rsidR="005A515B" w:rsidRPr="00091C8C">
        <w:rPr>
          <w:rFonts w:ascii="Times New Roman" w:hAnsi="Times New Roman"/>
        </w:rPr>
        <w:t xml:space="preserve"> </w:t>
      </w:r>
      <w:r w:rsidR="000F4591" w:rsidRPr="00091C8C">
        <w:rPr>
          <w:rFonts w:ascii="Times New Roman" w:hAnsi="Times New Roman"/>
        </w:rPr>
        <w:t xml:space="preserve">was giving up </w:t>
      </w:r>
      <w:r w:rsidR="000E2B2B" w:rsidRPr="00091C8C">
        <w:rPr>
          <w:rFonts w:ascii="Times New Roman" w:hAnsi="Times New Roman"/>
        </w:rPr>
        <w:t xml:space="preserve">for the future </w:t>
      </w:r>
      <w:r w:rsidR="00E07A55" w:rsidRPr="00091C8C">
        <w:rPr>
          <w:rFonts w:ascii="Times New Roman" w:hAnsi="Times New Roman"/>
        </w:rPr>
        <w:t xml:space="preserve">as well as for the present </w:t>
      </w:r>
      <w:r w:rsidR="000E2B2B" w:rsidRPr="00091C8C">
        <w:rPr>
          <w:rFonts w:ascii="Times New Roman" w:hAnsi="Times New Roman"/>
        </w:rPr>
        <w:t>any</w:t>
      </w:r>
      <w:r w:rsidR="000F4591" w:rsidRPr="00091C8C">
        <w:rPr>
          <w:rFonts w:ascii="Times New Roman" w:hAnsi="Times New Roman"/>
        </w:rPr>
        <w:t xml:space="preserve"> right to challenge the validity of the Patent</w:t>
      </w:r>
      <w:r w:rsidR="000433A2" w:rsidRPr="00091C8C">
        <w:rPr>
          <w:rFonts w:ascii="Times New Roman" w:hAnsi="Times New Roman"/>
        </w:rPr>
        <w:t xml:space="preserve">, and that </w:t>
      </w:r>
      <w:r w:rsidR="00AD2903" w:rsidRPr="00091C8C">
        <w:rPr>
          <w:rFonts w:ascii="Times New Roman" w:hAnsi="Times New Roman"/>
        </w:rPr>
        <w:t>the parties can be taken to have recognised the</w:t>
      </w:r>
      <w:r w:rsidR="003854BA" w:rsidRPr="00091C8C">
        <w:rPr>
          <w:rFonts w:ascii="Times New Roman" w:hAnsi="Times New Roman"/>
        </w:rPr>
        <w:t xml:space="preserve"> commercial importan</w:t>
      </w:r>
      <w:r w:rsidR="00AD2903" w:rsidRPr="00091C8C">
        <w:rPr>
          <w:rFonts w:ascii="Times New Roman" w:hAnsi="Times New Roman"/>
        </w:rPr>
        <w:t>ce</w:t>
      </w:r>
      <w:r w:rsidR="003854BA" w:rsidRPr="00091C8C">
        <w:rPr>
          <w:rFonts w:ascii="Times New Roman" w:hAnsi="Times New Roman"/>
        </w:rPr>
        <w:t xml:space="preserve"> to Sandoz </w:t>
      </w:r>
      <w:r w:rsidR="00AD2903" w:rsidRPr="00091C8C">
        <w:rPr>
          <w:rFonts w:ascii="Times New Roman" w:hAnsi="Times New Roman"/>
        </w:rPr>
        <w:t>of</w:t>
      </w:r>
      <w:r w:rsidR="003854BA" w:rsidRPr="00091C8C">
        <w:rPr>
          <w:rFonts w:ascii="Times New Roman" w:hAnsi="Times New Roman"/>
        </w:rPr>
        <w:t xml:space="preserve"> be</w:t>
      </w:r>
      <w:r w:rsidR="00AD2903" w:rsidRPr="00091C8C">
        <w:rPr>
          <w:rFonts w:ascii="Times New Roman" w:hAnsi="Times New Roman"/>
        </w:rPr>
        <w:t>ing</w:t>
      </w:r>
      <w:r w:rsidR="003854BA" w:rsidRPr="00091C8C">
        <w:rPr>
          <w:rFonts w:ascii="Times New Roman" w:hAnsi="Times New Roman"/>
        </w:rPr>
        <w:t xml:space="preserve"> able to </w:t>
      </w:r>
      <w:r w:rsidR="005D2591" w:rsidRPr="00091C8C">
        <w:rPr>
          <w:rFonts w:ascii="Times New Roman" w:hAnsi="Times New Roman"/>
        </w:rPr>
        <w:t>continue to sell its generic pharmaceutical products containing escitalopram once it had started.</w:t>
      </w:r>
      <w:r w:rsidR="00062CEE" w:rsidRPr="00091C8C">
        <w:rPr>
          <w:rFonts w:ascii="Times New Roman" w:hAnsi="Times New Roman"/>
        </w:rPr>
        <w:t xml:space="preserve"> </w:t>
      </w:r>
      <w:r w:rsidR="00165FC1" w:rsidRPr="00091C8C">
        <w:rPr>
          <w:rFonts w:ascii="Times New Roman" w:hAnsi="Times New Roman"/>
        </w:rPr>
        <w:t>But equally</w:t>
      </w:r>
      <w:r w:rsidR="00F60D44" w:rsidRPr="00091C8C">
        <w:rPr>
          <w:rFonts w:ascii="Times New Roman" w:hAnsi="Times New Roman"/>
        </w:rPr>
        <w:t xml:space="preserve">, </w:t>
      </w:r>
      <w:r w:rsidR="00D9511D" w:rsidRPr="00091C8C">
        <w:rPr>
          <w:rFonts w:ascii="Times New Roman" w:hAnsi="Times New Roman"/>
        </w:rPr>
        <w:t xml:space="preserve">it is </w:t>
      </w:r>
      <w:r w:rsidR="009F025D" w:rsidRPr="00091C8C">
        <w:rPr>
          <w:rFonts w:ascii="Times New Roman" w:hAnsi="Times New Roman"/>
        </w:rPr>
        <w:t xml:space="preserve">not easy </w:t>
      </w:r>
      <w:r w:rsidR="00D9511D" w:rsidRPr="00091C8C">
        <w:rPr>
          <w:rFonts w:ascii="Times New Roman" w:hAnsi="Times New Roman"/>
        </w:rPr>
        <w:t>to regard</w:t>
      </w:r>
      <w:r w:rsidR="00273548" w:rsidRPr="00091C8C">
        <w:rPr>
          <w:rFonts w:ascii="Times New Roman" w:hAnsi="Times New Roman"/>
        </w:rPr>
        <w:t xml:space="preserve"> </w:t>
      </w:r>
      <w:r w:rsidR="00D7284C" w:rsidRPr="00091C8C">
        <w:rPr>
          <w:rFonts w:ascii="Times New Roman" w:hAnsi="Times New Roman"/>
        </w:rPr>
        <w:t xml:space="preserve">the </w:t>
      </w:r>
      <w:r w:rsidR="00150B67" w:rsidRPr="00091C8C">
        <w:rPr>
          <w:rFonts w:ascii="Times New Roman" w:hAnsi="Times New Roman"/>
        </w:rPr>
        <w:t>parties</w:t>
      </w:r>
      <w:r w:rsidR="00165FC1" w:rsidRPr="00091C8C">
        <w:rPr>
          <w:rFonts w:ascii="Times New Roman" w:hAnsi="Times New Roman"/>
        </w:rPr>
        <w:t xml:space="preserve"> </w:t>
      </w:r>
      <w:r w:rsidR="00D7284C" w:rsidRPr="00091C8C">
        <w:rPr>
          <w:rFonts w:ascii="Times New Roman" w:hAnsi="Times New Roman"/>
        </w:rPr>
        <w:t xml:space="preserve">as </w:t>
      </w:r>
      <w:r w:rsidR="002F205B" w:rsidRPr="00091C8C">
        <w:rPr>
          <w:rFonts w:ascii="Times New Roman" w:hAnsi="Times New Roman"/>
        </w:rPr>
        <w:t xml:space="preserve">having </w:t>
      </w:r>
      <w:r w:rsidR="00CC0919" w:rsidRPr="00091C8C">
        <w:rPr>
          <w:rFonts w:ascii="Times New Roman" w:hAnsi="Times New Roman"/>
        </w:rPr>
        <w:t>bargained away</w:t>
      </w:r>
      <w:r w:rsidR="00C9141F" w:rsidRPr="00091C8C">
        <w:rPr>
          <w:rFonts w:ascii="Times New Roman" w:hAnsi="Times New Roman"/>
        </w:rPr>
        <w:t xml:space="preserve"> </w:t>
      </w:r>
      <w:r w:rsidR="00DA4CEB" w:rsidRPr="00091C8C">
        <w:rPr>
          <w:rFonts w:ascii="Times New Roman" w:hAnsi="Times New Roman"/>
        </w:rPr>
        <w:t xml:space="preserve">substantially </w:t>
      </w:r>
      <w:r w:rsidR="00521440" w:rsidRPr="00091C8C">
        <w:rPr>
          <w:rFonts w:ascii="Times New Roman" w:hAnsi="Times New Roman"/>
        </w:rPr>
        <w:t xml:space="preserve">the </w:t>
      </w:r>
      <w:r w:rsidR="00DA4CEB" w:rsidRPr="00091C8C">
        <w:rPr>
          <w:rFonts w:ascii="Times New Roman" w:hAnsi="Times New Roman"/>
        </w:rPr>
        <w:t xml:space="preserve">whole of the commercial </w:t>
      </w:r>
      <w:r w:rsidR="00521440" w:rsidRPr="00091C8C">
        <w:rPr>
          <w:rFonts w:ascii="Times New Roman" w:hAnsi="Times New Roman"/>
        </w:rPr>
        <w:t xml:space="preserve">benefit to Lundbeck Denmark </w:t>
      </w:r>
      <w:r w:rsidR="00B87695" w:rsidRPr="00091C8C">
        <w:rPr>
          <w:rFonts w:ascii="Times New Roman" w:hAnsi="Times New Roman"/>
        </w:rPr>
        <w:t xml:space="preserve">of </w:t>
      </w:r>
      <w:r w:rsidR="004B4177" w:rsidRPr="00091C8C">
        <w:rPr>
          <w:rFonts w:ascii="Times New Roman" w:hAnsi="Times New Roman"/>
        </w:rPr>
        <w:t xml:space="preserve">obtaining a grant of </w:t>
      </w:r>
      <w:r w:rsidR="00160B3F" w:rsidRPr="00091C8C">
        <w:rPr>
          <w:rFonts w:ascii="Times New Roman" w:hAnsi="Times New Roman"/>
        </w:rPr>
        <w:t xml:space="preserve">an extension </w:t>
      </w:r>
      <w:r w:rsidR="00D03BF1" w:rsidRPr="00091C8C">
        <w:rPr>
          <w:rFonts w:ascii="Times New Roman" w:hAnsi="Times New Roman"/>
        </w:rPr>
        <w:t xml:space="preserve">of the term </w:t>
      </w:r>
      <w:r w:rsidR="00160B3F" w:rsidRPr="00091C8C">
        <w:rPr>
          <w:rFonts w:ascii="Times New Roman" w:hAnsi="Times New Roman"/>
        </w:rPr>
        <w:t xml:space="preserve">after the original term had expired </w:t>
      </w:r>
      <w:r w:rsidR="002A6334" w:rsidRPr="00091C8C">
        <w:rPr>
          <w:rFonts w:ascii="Times New Roman" w:hAnsi="Times New Roman"/>
        </w:rPr>
        <w:t>i</w:t>
      </w:r>
      <w:r w:rsidR="0031454E" w:rsidRPr="00091C8C">
        <w:rPr>
          <w:rFonts w:ascii="Times New Roman" w:hAnsi="Times New Roman"/>
        </w:rPr>
        <w:t>n the event that</w:t>
      </w:r>
      <w:r w:rsidR="004D7ECF" w:rsidRPr="00091C8C">
        <w:rPr>
          <w:rFonts w:ascii="Times New Roman" w:hAnsi="Times New Roman"/>
        </w:rPr>
        <w:t xml:space="preserve"> </w:t>
      </w:r>
      <w:r w:rsidR="00DA4CEB" w:rsidRPr="00091C8C">
        <w:rPr>
          <w:rFonts w:ascii="Times New Roman" w:hAnsi="Times New Roman"/>
        </w:rPr>
        <w:t xml:space="preserve">what seemed to be a </w:t>
      </w:r>
      <w:r w:rsidR="004D7ECF" w:rsidRPr="00091C8C">
        <w:rPr>
          <w:rFonts w:ascii="Times New Roman" w:hAnsi="Times New Roman"/>
        </w:rPr>
        <w:t xml:space="preserve">remote possibility became a reality. </w:t>
      </w:r>
    </w:p>
    <w:p w14:paraId="04AAA789" w14:textId="3A61EF92" w:rsidR="0079477F" w:rsidRPr="00091C8C" w:rsidRDefault="00F60D44" w:rsidP="00091C8C">
      <w:pPr>
        <w:pStyle w:val="FixListStyle"/>
        <w:spacing w:after="260" w:line="280" w:lineRule="exact"/>
        <w:ind w:right="0"/>
        <w:jc w:val="both"/>
        <w:rPr>
          <w:rFonts w:ascii="Times New Roman" w:hAnsi="Times New Roman"/>
        </w:rPr>
      </w:pPr>
      <w:r w:rsidRPr="00091C8C">
        <w:rPr>
          <w:rFonts w:ascii="Times New Roman" w:hAnsi="Times New Roman"/>
        </w:rPr>
        <w:tab/>
      </w:r>
      <w:r w:rsidR="00BD34D4" w:rsidRPr="00091C8C">
        <w:rPr>
          <w:rFonts w:ascii="Times New Roman" w:hAnsi="Times New Roman"/>
        </w:rPr>
        <w:t>Objectively construed i</w:t>
      </w:r>
      <w:r w:rsidR="00AB7972" w:rsidRPr="00091C8C">
        <w:rPr>
          <w:rFonts w:ascii="Times New Roman" w:hAnsi="Times New Roman"/>
        </w:rPr>
        <w:t xml:space="preserve">n </w:t>
      </w:r>
      <w:r w:rsidR="00004AC8" w:rsidRPr="00091C8C">
        <w:rPr>
          <w:rFonts w:ascii="Times New Roman" w:hAnsi="Times New Roman"/>
        </w:rPr>
        <w:t>the context within which the parties entered into the Settlement Agreement, t</w:t>
      </w:r>
      <w:r w:rsidR="00F3484C" w:rsidRPr="00091C8C">
        <w:rPr>
          <w:rFonts w:ascii="Times New Roman" w:hAnsi="Times New Roman"/>
        </w:rPr>
        <w:t xml:space="preserve">he </w:t>
      </w:r>
      <w:r w:rsidR="007F5A2A" w:rsidRPr="00091C8C">
        <w:rPr>
          <w:rFonts w:ascii="Times New Roman" w:hAnsi="Times New Roman"/>
        </w:rPr>
        <w:t xml:space="preserve">language of the </w:t>
      </w:r>
      <w:r w:rsidR="00F3484C" w:rsidRPr="00091C8C">
        <w:rPr>
          <w:rFonts w:ascii="Times New Roman" w:hAnsi="Times New Roman"/>
        </w:rPr>
        <w:t>settlement clause</w:t>
      </w:r>
      <w:r w:rsidR="00D40F32" w:rsidRPr="00091C8C">
        <w:rPr>
          <w:rFonts w:ascii="Times New Roman" w:hAnsi="Times New Roman"/>
        </w:rPr>
        <w:t xml:space="preserve"> cannot be interpreted as saying anything </w:t>
      </w:r>
      <w:r w:rsidR="00E113A8" w:rsidRPr="00091C8C">
        <w:rPr>
          <w:rFonts w:ascii="Times New Roman" w:hAnsi="Times New Roman"/>
        </w:rPr>
        <w:t xml:space="preserve">about any right to bring proceedings against Sandoz </w:t>
      </w:r>
      <w:r w:rsidR="00537738" w:rsidRPr="00091C8C">
        <w:rPr>
          <w:rFonts w:ascii="Times New Roman" w:hAnsi="Times New Roman"/>
        </w:rPr>
        <w:t xml:space="preserve">that Lundbeck Denmark or Lundbeck Australia might have </w:t>
      </w:r>
      <w:r w:rsidR="00E113A8" w:rsidRPr="00091C8C">
        <w:rPr>
          <w:rFonts w:ascii="Times New Roman" w:hAnsi="Times New Roman"/>
        </w:rPr>
        <w:t>under s</w:t>
      </w:r>
      <w:r w:rsidR="00DC69FF" w:rsidRPr="00091C8C">
        <w:rPr>
          <w:rFonts w:ascii="Times New Roman" w:hAnsi="Times New Roman"/>
        </w:rPr>
        <w:t> </w:t>
      </w:r>
      <w:r w:rsidR="00E113A8" w:rsidRPr="00091C8C">
        <w:rPr>
          <w:rFonts w:ascii="Times New Roman" w:hAnsi="Times New Roman"/>
        </w:rPr>
        <w:t xml:space="preserve">79 of the Act in the event of an extension of the term of the Patent </w:t>
      </w:r>
      <w:r w:rsidR="00676F60" w:rsidRPr="00091C8C">
        <w:rPr>
          <w:rFonts w:ascii="Times New Roman" w:hAnsi="Times New Roman"/>
        </w:rPr>
        <w:t xml:space="preserve">being granted </w:t>
      </w:r>
      <w:r w:rsidR="00E113A8" w:rsidRPr="00091C8C">
        <w:rPr>
          <w:rFonts w:ascii="Times New Roman" w:hAnsi="Times New Roman"/>
        </w:rPr>
        <w:t xml:space="preserve">after </w:t>
      </w:r>
      <w:r w:rsidR="00676F60" w:rsidRPr="00091C8C">
        <w:rPr>
          <w:rFonts w:ascii="Times New Roman" w:hAnsi="Times New Roman"/>
        </w:rPr>
        <w:t>th</w:t>
      </w:r>
      <w:r w:rsidR="002F7AFE" w:rsidRPr="00091C8C">
        <w:rPr>
          <w:rFonts w:ascii="Times New Roman" w:hAnsi="Times New Roman"/>
        </w:rPr>
        <w:t xml:space="preserve">e </w:t>
      </w:r>
      <w:r w:rsidR="00A8312E" w:rsidRPr="00091C8C">
        <w:rPr>
          <w:rFonts w:ascii="Times New Roman" w:hAnsi="Times New Roman"/>
        </w:rPr>
        <w:t>or</w:t>
      </w:r>
      <w:r w:rsidR="00D879C6" w:rsidRPr="00091C8C">
        <w:rPr>
          <w:rFonts w:ascii="Times New Roman" w:hAnsi="Times New Roman"/>
        </w:rPr>
        <w:t xml:space="preserve">iginal term of the </w:t>
      </w:r>
      <w:r w:rsidR="00676F60" w:rsidRPr="00091C8C">
        <w:rPr>
          <w:rFonts w:ascii="Times New Roman" w:hAnsi="Times New Roman"/>
        </w:rPr>
        <w:t>Patent</w:t>
      </w:r>
      <w:r w:rsidR="00E113A8" w:rsidRPr="00091C8C">
        <w:rPr>
          <w:rFonts w:ascii="Times New Roman" w:hAnsi="Times New Roman"/>
        </w:rPr>
        <w:t xml:space="preserve"> expired</w:t>
      </w:r>
      <w:r w:rsidR="00F3484C" w:rsidRPr="00091C8C">
        <w:rPr>
          <w:rFonts w:ascii="Times New Roman" w:hAnsi="Times New Roman"/>
        </w:rPr>
        <w:t>.</w:t>
      </w:r>
      <w:r w:rsidR="007A4A43" w:rsidRPr="00091C8C">
        <w:rPr>
          <w:rFonts w:ascii="Times New Roman" w:hAnsi="Times New Roman"/>
        </w:rPr>
        <w:t xml:space="preserve"> In the events that </w:t>
      </w:r>
      <w:r w:rsidR="00270A2E" w:rsidRPr="00091C8C">
        <w:rPr>
          <w:rFonts w:ascii="Times New Roman" w:hAnsi="Times New Roman"/>
        </w:rPr>
        <w:t xml:space="preserve">subsequently </w:t>
      </w:r>
      <w:r w:rsidR="007A4A43" w:rsidRPr="00091C8C">
        <w:rPr>
          <w:rFonts w:ascii="Times New Roman" w:hAnsi="Times New Roman"/>
        </w:rPr>
        <w:t>occurred</w:t>
      </w:r>
      <w:r w:rsidR="00722BE6" w:rsidRPr="00091C8C">
        <w:rPr>
          <w:rFonts w:ascii="Times New Roman" w:hAnsi="Times New Roman"/>
        </w:rPr>
        <w:t xml:space="preserve">, the settlement clause </w:t>
      </w:r>
      <w:r w:rsidR="00DE7B58" w:rsidRPr="00091C8C">
        <w:rPr>
          <w:rFonts w:ascii="Times New Roman" w:hAnsi="Times New Roman"/>
        </w:rPr>
        <w:t xml:space="preserve">relevantly </w:t>
      </w:r>
      <w:r w:rsidR="00722BE6" w:rsidRPr="00091C8C">
        <w:rPr>
          <w:rFonts w:ascii="Times New Roman" w:hAnsi="Times New Roman"/>
        </w:rPr>
        <w:t xml:space="preserve">operated </w:t>
      </w:r>
      <w:r w:rsidR="00937F30" w:rsidRPr="00091C8C">
        <w:rPr>
          <w:rFonts w:ascii="Times New Roman" w:hAnsi="Times New Roman"/>
        </w:rPr>
        <w:t xml:space="preserve">to confer on Sandoz </w:t>
      </w:r>
      <w:r w:rsidR="00DE7B58" w:rsidRPr="00091C8C">
        <w:rPr>
          <w:rFonts w:ascii="Times New Roman" w:hAnsi="Times New Roman"/>
        </w:rPr>
        <w:t>no more than permission to sell pharmaceutical products containing escitalopram</w:t>
      </w:r>
      <w:r w:rsidR="00937F30" w:rsidRPr="00091C8C">
        <w:rPr>
          <w:rFonts w:ascii="Times New Roman" w:hAnsi="Times New Roman"/>
        </w:rPr>
        <w:t xml:space="preserve"> </w:t>
      </w:r>
      <w:r w:rsidR="004805DF" w:rsidRPr="00091C8C">
        <w:rPr>
          <w:rFonts w:ascii="Times New Roman" w:hAnsi="Times New Roman"/>
        </w:rPr>
        <w:t xml:space="preserve">during </w:t>
      </w:r>
      <w:r w:rsidR="00A71339" w:rsidRPr="00091C8C">
        <w:rPr>
          <w:rFonts w:ascii="Times New Roman" w:hAnsi="Times New Roman"/>
        </w:rPr>
        <w:t>the</w:t>
      </w:r>
      <w:r w:rsidR="002A4DCA" w:rsidRPr="00091C8C">
        <w:rPr>
          <w:rFonts w:ascii="Times New Roman" w:hAnsi="Times New Roman"/>
        </w:rPr>
        <w:t xml:space="preserve"> </w:t>
      </w:r>
      <w:r w:rsidR="00DD68C4" w:rsidRPr="00091C8C">
        <w:rPr>
          <w:rFonts w:ascii="Times New Roman" w:hAnsi="Times New Roman"/>
        </w:rPr>
        <w:t xml:space="preserve">period which </w:t>
      </w:r>
      <w:r w:rsidR="00937F30" w:rsidRPr="00091C8C">
        <w:rPr>
          <w:rFonts w:ascii="Times New Roman" w:hAnsi="Times New Roman"/>
        </w:rPr>
        <w:t>commenced on 31</w:t>
      </w:r>
      <w:r w:rsidR="00E9719D" w:rsidRPr="00091C8C">
        <w:rPr>
          <w:rFonts w:ascii="Times New Roman" w:hAnsi="Times New Roman"/>
        </w:rPr>
        <w:t> </w:t>
      </w:r>
      <w:r w:rsidR="00937F30" w:rsidRPr="00091C8C">
        <w:rPr>
          <w:rFonts w:ascii="Times New Roman" w:hAnsi="Times New Roman"/>
        </w:rPr>
        <w:t xml:space="preserve">May 2009 and which expired </w:t>
      </w:r>
      <w:r w:rsidR="00A71339" w:rsidRPr="00091C8C">
        <w:rPr>
          <w:rFonts w:ascii="Times New Roman" w:hAnsi="Times New Roman"/>
        </w:rPr>
        <w:t xml:space="preserve">with the expiration of the original term of the Patent </w:t>
      </w:r>
      <w:r w:rsidR="00937F30" w:rsidRPr="00091C8C">
        <w:rPr>
          <w:rFonts w:ascii="Times New Roman" w:hAnsi="Times New Roman"/>
        </w:rPr>
        <w:t>on 13</w:t>
      </w:r>
      <w:r w:rsidR="00DC69FF" w:rsidRPr="00091C8C">
        <w:rPr>
          <w:rFonts w:ascii="Times New Roman" w:hAnsi="Times New Roman"/>
        </w:rPr>
        <w:t> </w:t>
      </w:r>
      <w:r w:rsidR="00937F30" w:rsidRPr="00091C8C">
        <w:rPr>
          <w:rFonts w:ascii="Times New Roman" w:hAnsi="Times New Roman"/>
        </w:rPr>
        <w:t>June 2009.</w:t>
      </w:r>
    </w:p>
    <w:p w14:paraId="543651ED" w14:textId="0D65D4CA" w:rsidR="00BF3841" w:rsidRPr="00091C8C" w:rsidRDefault="00BF3841" w:rsidP="00091C8C">
      <w:pPr>
        <w:pStyle w:val="HeadingL1"/>
        <w:spacing w:after="260" w:line="280" w:lineRule="exact"/>
        <w:ind w:right="0"/>
        <w:jc w:val="both"/>
        <w:rPr>
          <w:rFonts w:ascii="Times New Roman" w:hAnsi="Times New Roman"/>
        </w:rPr>
      </w:pPr>
      <w:r w:rsidRPr="00091C8C">
        <w:rPr>
          <w:rFonts w:ascii="Times New Roman" w:hAnsi="Times New Roman"/>
        </w:rPr>
        <w:lastRenderedPageBreak/>
        <w:t>Lundbeck A</w:t>
      </w:r>
      <w:r w:rsidR="003B7425" w:rsidRPr="00091C8C">
        <w:rPr>
          <w:rFonts w:ascii="Times New Roman" w:hAnsi="Times New Roman"/>
        </w:rPr>
        <w:t>ustralia</w:t>
      </w:r>
      <w:r w:rsidRPr="00091C8C">
        <w:rPr>
          <w:rFonts w:ascii="Times New Roman" w:hAnsi="Times New Roman"/>
        </w:rPr>
        <w:t xml:space="preserve"> had </w:t>
      </w:r>
      <w:r w:rsidR="001E549C" w:rsidRPr="00091C8C">
        <w:rPr>
          <w:rFonts w:ascii="Times New Roman" w:hAnsi="Times New Roman"/>
        </w:rPr>
        <w:t xml:space="preserve">no </w:t>
      </w:r>
      <w:r w:rsidRPr="00091C8C">
        <w:rPr>
          <w:rFonts w:ascii="Times New Roman" w:hAnsi="Times New Roman"/>
        </w:rPr>
        <w:t xml:space="preserve">rights to </w:t>
      </w:r>
      <w:r w:rsidR="00B566A6" w:rsidRPr="00091C8C">
        <w:rPr>
          <w:rFonts w:ascii="Times New Roman" w:hAnsi="Times New Roman"/>
        </w:rPr>
        <w:t>bring</w:t>
      </w:r>
      <w:r w:rsidR="00CF15D4" w:rsidRPr="00091C8C">
        <w:rPr>
          <w:rFonts w:ascii="Times New Roman" w:hAnsi="Times New Roman"/>
        </w:rPr>
        <w:t xml:space="preserve"> infringement</w:t>
      </w:r>
      <w:r w:rsidR="00B566A6" w:rsidRPr="00091C8C">
        <w:rPr>
          <w:rFonts w:ascii="Times New Roman" w:hAnsi="Times New Roman"/>
        </w:rPr>
        <w:t xml:space="preserve"> </w:t>
      </w:r>
      <w:r w:rsidRPr="00091C8C">
        <w:rPr>
          <w:rFonts w:ascii="Times New Roman" w:hAnsi="Times New Roman"/>
        </w:rPr>
        <w:t>proceed</w:t>
      </w:r>
      <w:r w:rsidR="00B566A6" w:rsidRPr="00091C8C">
        <w:rPr>
          <w:rFonts w:ascii="Times New Roman" w:hAnsi="Times New Roman"/>
        </w:rPr>
        <w:t>ings</w:t>
      </w:r>
      <w:r w:rsidR="00CF15D4" w:rsidRPr="00091C8C">
        <w:rPr>
          <w:rFonts w:ascii="Times New Roman" w:hAnsi="Times New Roman"/>
        </w:rPr>
        <w:t xml:space="preserve"> against Sandoz</w:t>
      </w:r>
    </w:p>
    <w:p w14:paraId="219D4837" w14:textId="3038FF3C" w:rsidR="00A0364A" w:rsidRPr="00091C8C" w:rsidRDefault="00BF3841" w:rsidP="00091C8C">
      <w:pPr>
        <w:pStyle w:val="FixListStyle"/>
        <w:spacing w:after="260" w:line="280" w:lineRule="exact"/>
        <w:ind w:right="0"/>
        <w:jc w:val="both"/>
        <w:rPr>
          <w:rFonts w:ascii="Times New Roman" w:hAnsi="Times New Roman"/>
        </w:rPr>
      </w:pPr>
      <w:r w:rsidRPr="00091C8C">
        <w:rPr>
          <w:rFonts w:ascii="Times New Roman" w:hAnsi="Times New Roman"/>
        </w:rPr>
        <w:tab/>
      </w:r>
      <w:r w:rsidR="000F2994" w:rsidRPr="00091C8C">
        <w:rPr>
          <w:rFonts w:ascii="Times New Roman" w:hAnsi="Times New Roman"/>
        </w:rPr>
        <w:t>O</w:t>
      </w:r>
      <w:r w:rsidR="000C72E0" w:rsidRPr="00091C8C">
        <w:rPr>
          <w:rFonts w:ascii="Times New Roman" w:hAnsi="Times New Roman"/>
        </w:rPr>
        <w:t xml:space="preserve">nce it is recognised that the only </w:t>
      </w:r>
      <w:r w:rsidR="002C61D8" w:rsidRPr="00091C8C">
        <w:rPr>
          <w:rFonts w:ascii="Times New Roman" w:hAnsi="Times New Roman"/>
        </w:rPr>
        <w:t>rights to bring proceedings</w:t>
      </w:r>
      <w:r w:rsidR="000C72E0" w:rsidRPr="00091C8C">
        <w:rPr>
          <w:rFonts w:ascii="Times New Roman" w:hAnsi="Times New Roman"/>
        </w:rPr>
        <w:t xml:space="preserve"> in respect of acts</w:t>
      </w:r>
      <w:r w:rsidR="001360A3" w:rsidRPr="00091C8C">
        <w:rPr>
          <w:rFonts w:ascii="Times New Roman" w:hAnsi="Times New Roman"/>
        </w:rPr>
        <w:t xml:space="preserve"> </w:t>
      </w:r>
      <w:r w:rsidR="000C72E0" w:rsidRPr="00091C8C">
        <w:rPr>
          <w:rFonts w:ascii="Times New Roman" w:hAnsi="Times New Roman"/>
        </w:rPr>
        <w:t>occurr</w:t>
      </w:r>
      <w:r w:rsidR="001360A3" w:rsidRPr="00091C8C">
        <w:rPr>
          <w:rFonts w:ascii="Times New Roman" w:hAnsi="Times New Roman"/>
        </w:rPr>
        <w:t>ing</w:t>
      </w:r>
      <w:r w:rsidR="000C72E0" w:rsidRPr="00091C8C">
        <w:rPr>
          <w:rFonts w:ascii="Times New Roman" w:hAnsi="Times New Roman"/>
        </w:rPr>
        <w:t xml:space="preserve"> between the date of the expiration of </w:t>
      </w:r>
      <w:r w:rsidR="00A56E2B" w:rsidRPr="00091C8C">
        <w:rPr>
          <w:rFonts w:ascii="Times New Roman" w:hAnsi="Times New Roman"/>
        </w:rPr>
        <w:t xml:space="preserve">the </w:t>
      </w:r>
      <w:r w:rsidR="000C72E0" w:rsidRPr="00091C8C">
        <w:rPr>
          <w:rFonts w:ascii="Times New Roman" w:hAnsi="Times New Roman"/>
        </w:rPr>
        <w:t xml:space="preserve">original term of </w:t>
      </w:r>
      <w:r w:rsidR="002C61D8" w:rsidRPr="00091C8C">
        <w:rPr>
          <w:rFonts w:ascii="Times New Roman" w:hAnsi="Times New Roman"/>
        </w:rPr>
        <w:t>a p</w:t>
      </w:r>
      <w:r w:rsidR="000A05B1" w:rsidRPr="00091C8C">
        <w:rPr>
          <w:rFonts w:ascii="Times New Roman" w:hAnsi="Times New Roman"/>
        </w:rPr>
        <w:t xml:space="preserve">atent </w:t>
      </w:r>
      <w:r w:rsidR="00A56E2B" w:rsidRPr="00091C8C">
        <w:rPr>
          <w:rFonts w:ascii="Times New Roman" w:hAnsi="Times New Roman"/>
        </w:rPr>
        <w:t xml:space="preserve">and </w:t>
      </w:r>
      <w:r w:rsidR="000A05B1" w:rsidRPr="00091C8C">
        <w:rPr>
          <w:rFonts w:ascii="Times New Roman" w:hAnsi="Times New Roman"/>
        </w:rPr>
        <w:t xml:space="preserve">the date of the grant of </w:t>
      </w:r>
      <w:r w:rsidR="008514AC" w:rsidRPr="00091C8C">
        <w:rPr>
          <w:rFonts w:ascii="Times New Roman" w:hAnsi="Times New Roman"/>
        </w:rPr>
        <w:t>an</w:t>
      </w:r>
      <w:r w:rsidR="000A05B1" w:rsidRPr="00091C8C">
        <w:rPr>
          <w:rFonts w:ascii="Times New Roman" w:hAnsi="Times New Roman"/>
        </w:rPr>
        <w:t xml:space="preserve"> extension of the term of th</w:t>
      </w:r>
      <w:r w:rsidR="0071466A" w:rsidRPr="00091C8C">
        <w:rPr>
          <w:rFonts w:ascii="Times New Roman" w:hAnsi="Times New Roman"/>
        </w:rPr>
        <w:t>at</w:t>
      </w:r>
      <w:r w:rsidR="000A05B1" w:rsidRPr="00091C8C">
        <w:rPr>
          <w:rFonts w:ascii="Times New Roman" w:hAnsi="Times New Roman"/>
        </w:rPr>
        <w:t xml:space="preserve"> patent are those conferred by s</w:t>
      </w:r>
      <w:r w:rsidR="00DC69FF" w:rsidRPr="00091C8C">
        <w:rPr>
          <w:rFonts w:ascii="Times New Roman" w:hAnsi="Times New Roman"/>
        </w:rPr>
        <w:t> </w:t>
      </w:r>
      <w:r w:rsidR="00A0364A" w:rsidRPr="00091C8C">
        <w:rPr>
          <w:rFonts w:ascii="Times New Roman" w:hAnsi="Times New Roman"/>
        </w:rPr>
        <w:t xml:space="preserve">79 of the Act, it is apparent </w:t>
      </w:r>
      <w:r w:rsidR="001E65F4" w:rsidRPr="00091C8C">
        <w:rPr>
          <w:rFonts w:ascii="Times New Roman" w:hAnsi="Times New Roman"/>
        </w:rPr>
        <w:t>on the face</w:t>
      </w:r>
      <w:r w:rsidR="00324124" w:rsidRPr="00091C8C">
        <w:rPr>
          <w:rFonts w:ascii="Times New Roman" w:hAnsi="Times New Roman"/>
        </w:rPr>
        <w:t xml:space="preserve"> of </w:t>
      </w:r>
      <w:r w:rsidR="00C15866" w:rsidRPr="00091C8C">
        <w:rPr>
          <w:rFonts w:ascii="Times New Roman" w:hAnsi="Times New Roman"/>
        </w:rPr>
        <w:t>the section</w:t>
      </w:r>
      <w:r w:rsidR="00324124" w:rsidRPr="00091C8C">
        <w:rPr>
          <w:rFonts w:ascii="Times New Roman" w:hAnsi="Times New Roman"/>
        </w:rPr>
        <w:t xml:space="preserve"> </w:t>
      </w:r>
      <w:r w:rsidR="00A0364A" w:rsidRPr="00091C8C">
        <w:rPr>
          <w:rFonts w:ascii="Times New Roman" w:hAnsi="Times New Roman"/>
        </w:rPr>
        <w:t>that th</w:t>
      </w:r>
      <w:r w:rsidR="008514AC" w:rsidRPr="00091C8C">
        <w:rPr>
          <w:rFonts w:ascii="Times New Roman" w:hAnsi="Times New Roman"/>
        </w:rPr>
        <w:t>e</w:t>
      </w:r>
      <w:r w:rsidR="00A0364A" w:rsidRPr="00091C8C">
        <w:rPr>
          <w:rFonts w:ascii="Times New Roman" w:hAnsi="Times New Roman"/>
        </w:rPr>
        <w:t xml:space="preserve"> rights to bring proceedings </w:t>
      </w:r>
      <w:r w:rsidR="008514AC" w:rsidRPr="00091C8C">
        <w:rPr>
          <w:rFonts w:ascii="Times New Roman" w:hAnsi="Times New Roman"/>
        </w:rPr>
        <w:t xml:space="preserve">in respect of </w:t>
      </w:r>
      <w:r w:rsidR="008A5918" w:rsidRPr="00091C8C">
        <w:rPr>
          <w:rFonts w:ascii="Times New Roman" w:hAnsi="Times New Roman"/>
        </w:rPr>
        <w:t xml:space="preserve">those </w:t>
      </w:r>
      <w:r w:rsidR="008514AC" w:rsidRPr="00091C8C">
        <w:rPr>
          <w:rFonts w:ascii="Times New Roman" w:hAnsi="Times New Roman"/>
        </w:rPr>
        <w:t xml:space="preserve">acts </w:t>
      </w:r>
      <w:r w:rsidR="00A0364A" w:rsidRPr="00091C8C">
        <w:rPr>
          <w:rFonts w:ascii="Times New Roman" w:hAnsi="Times New Roman"/>
        </w:rPr>
        <w:t>are limited to the patentee.</w:t>
      </w:r>
      <w:r w:rsidR="00324124" w:rsidRPr="00091C8C">
        <w:rPr>
          <w:rFonts w:ascii="Times New Roman" w:hAnsi="Times New Roman"/>
        </w:rPr>
        <w:t xml:space="preserve"> </w:t>
      </w:r>
    </w:p>
    <w:p w14:paraId="3BD63086" w14:textId="5C16AC42" w:rsidR="000F2994" w:rsidRPr="00091C8C" w:rsidRDefault="00DB4ABD" w:rsidP="00091C8C">
      <w:pPr>
        <w:pStyle w:val="FixListStyle"/>
        <w:spacing w:after="260" w:line="280" w:lineRule="exact"/>
        <w:ind w:right="0"/>
        <w:jc w:val="both"/>
        <w:rPr>
          <w:rFonts w:ascii="Times New Roman" w:hAnsi="Times New Roman"/>
        </w:rPr>
      </w:pPr>
      <w:r w:rsidRPr="00091C8C">
        <w:rPr>
          <w:rFonts w:ascii="Times New Roman" w:hAnsi="Times New Roman"/>
        </w:rPr>
        <w:tab/>
        <w:t xml:space="preserve">Whether </w:t>
      </w:r>
      <w:r w:rsidR="00065B8D" w:rsidRPr="00091C8C">
        <w:rPr>
          <w:rFonts w:ascii="Times New Roman" w:hAnsi="Times New Roman"/>
        </w:rPr>
        <w:t>s</w:t>
      </w:r>
      <w:r w:rsidR="00681393" w:rsidRPr="00091C8C">
        <w:rPr>
          <w:rFonts w:ascii="Times New Roman" w:hAnsi="Times New Roman"/>
        </w:rPr>
        <w:t> </w:t>
      </w:r>
      <w:r w:rsidR="00065B8D" w:rsidRPr="00091C8C">
        <w:rPr>
          <w:rFonts w:ascii="Times New Roman" w:hAnsi="Times New Roman"/>
        </w:rPr>
        <w:t>79's non-conferral</w:t>
      </w:r>
      <w:r w:rsidRPr="00091C8C">
        <w:rPr>
          <w:rFonts w:ascii="Times New Roman" w:hAnsi="Times New Roman"/>
        </w:rPr>
        <w:t xml:space="preserve"> </w:t>
      </w:r>
      <w:r w:rsidR="00065B8D" w:rsidRPr="00091C8C">
        <w:rPr>
          <w:rFonts w:ascii="Times New Roman" w:hAnsi="Times New Roman"/>
        </w:rPr>
        <w:t>of rights to bring proceedings on an exclusive licensee can be explained</w:t>
      </w:r>
      <w:r w:rsidR="00E74D5A" w:rsidRPr="00091C8C">
        <w:rPr>
          <w:rFonts w:ascii="Times New Roman" w:hAnsi="Times New Roman"/>
        </w:rPr>
        <w:t>, as the Full Court surmised</w:t>
      </w:r>
      <w:r w:rsidR="00F52DA4" w:rsidRPr="00091C8C">
        <w:rPr>
          <w:rStyle w:val="FootnoteReference"/>
          <w:rFonts w:ascii="Times New Roman" w:hAnsi="Times New Roman"/>
          <w:sz w:val="24"/>
        </w:rPr>
        <w:footnoteReference w:id="78"/>
      </w:r>
      <w:r w:rsidR="00E74D5A" w:rsidRPr="00091C8C">
        <w:rPr>
          <w:rFonts w:ascii="Times New Roman" w:hAnsi="Times New Roman"/>
        </w:rPr>
        <w:t xml:space="preserve">, by reference to the patentee alone having a right to apply for </w:t>
      </w:r>
      <w:r w:rsidR="0024646B" w:rsidRPr="00091C8C">
        <w:rPr>
          <w:rFonts w:ascii="Times New Roman" w:hAnsi="Times New Roman"/>
        </w:rPr>
        <w:t xml:space="preserve">an extension of the term, or whether </w:t>
      </w:r>
      <w:r w:rsidR="009C18CC" w:rsidRPr="00091C8C">
        <w:rPr>
          <w:rFonts w:ascii="Times New Roman" w:hAnsi="Times New Roman"/>
        </w:rPr>
        <w:t>the</w:t>
      </w:r>
      <w:r w:rsidR="00F52DA4" w:rsidRPr="00091C8C">
        <w:rPr>
          <w:rFonts w:ascii="Times New Roman" w:hAnsi="Times New Roman"/>
        </w:rPr>
        <w:t xml:space="preserve"> potential</w:t>
      </w:r>
      <w:r w:rsidR="009C18CC" w:rsidRPr="00091C8C">
        <w:rPr>
          <w:rFonts w:ascii="Times New Roman" w:hAnsi="Times New Roman"/>
        </w:rPr>
        <w:t xml:space="preserve"> position of an exclusive licensee was simply over</w:t>
      </w:r>
      <w:r w:rsidR="00F52DA4" w:rsidRPr="00091C8C">
        <w:rPr>
          <w:rFonts w:ascii="Times New Roman" w:hAnsi="Times New Roman"/>
        </w:rPr>
        <w:t>looked in the framing of the section</w:t>
      </w:r>
      <w:r w:rsidR="00B0545A" w:rsidRPr="00091C8C">
        <w:rPr>
          <w:rFonts w:ascii="Times New Roman" w:hAnsi="Times New Roman"/>
        </w:rPr>
        <w:t xml:space="preserve">, </w:t>
      </w:r>
      <w:r w:rsidR="00F52DA4" w:rsidRPr="00091C8C">
        <w:rPr>
          <w:rFonts w:ascii="Times New Roman" w:hAnsi="Times New Roman"/>
        </w:rPr>
        <w:t>does not emerge from the l</w:t>
      </w:r>
      <w:r w:rsidR="00B0545A" w:rsidRPr="00091C8C">
        <w:rPr>
          <w:rFonts w:ascii="Times New Roman" w:hAnsi="Times New Roman"/>
        </w:rPr>
        <w:t xml:space="preserve">egislative history or extrinsic material </w:t>
      </w:r>
      <w:r w:rsidR="003F556D" w:rsidRPr="00091C8C">
        <w:rPr>
          <w:rFonts w:ascii="Times New Roman" w:hAnsi="Times New Roman"/>
        </w:rPr>
        <w:t xml:space="preserve">and </w:t>
      </w:r>
      <w:r w:rsidR="00B0545A" w:rsidRPr="00091C8C">
        <w:rPr>
          <w:rFonts w:ascii="Times New Roman" w:hAnsi="Times New Roman"/>
        </w:rPr>
        <w:t xml:space="preserve">does not </w:t>
      </w:r>
      <w:r w:rsidR="00C344A5" w:rsidRPr="00091C8C">
        <w:rPr>
          <w:rFonts w:ascii="Times New Roman" w:hAnsi="Times New Roman"/>
        </w:rPr>
        <w:t>ultimately matter</w:t>
      </w:r>
      <w:r w:rsidR="00B0545A" w:rsidRPr="00091C8C">
        <w:rPr>
          <w:rFonts w:ascii="Times New Roman" w:hAnsi="Times New Roman"/>
        </w:rPr>
        <w:t xml:space="preserve">. </w:t>
      </w:r>
    </w:p>
    <w:p w14:paraId="42F1DA26" w14:textId="4D8D59BB" w:rsidR="00BF3841" w:rsidRPr="00091C8C" w:rsidRDefault="00BF3841" w:rsidP="00091C8C">
      <w:pPr>
        <w:pStyle w:val="FixListStyle"/>
        <w:spacing w:after="260" w:line="280" w:lineRule="exact"/>
        <w:ind w:right="0"/>
        <w:jc w:val="both"/>
        <w:rPr>
          <w:rFonts w:ascii="Times New Roman" w:hAnsi="Times New Roman"/>
        </w:rPr>
      </w:pPr>
      <w:r w:rsidRPr="00091C8C">
        <w:rPr>
          <w:rFonts w:ascii="Times New Roman" w:hAnsi="Times New Roman"/>
        </w:rPr>
        <w:tab/>
      </w:r>
      <w:r w:rsidR="00C91302" w:rsidRPr="00091C8C">
        <w:rPr>
          <w:rFonts w:ascii="Times New Roman" w:hAnsi="Times New Roman"/>
        </w:rPr>
        <w:t>The province of statutory construction</w:t>
      </w:r>
      <w:r w:rsidR="005A7669" w:rsidRPr="00091C8C">
        <w:rPr>
          <w:rFonts w:ascii="Times New Roman" w:hAnsi="Times New Roman"/>
        </w:rPr>
        <w:t xml:space="preserve"> is the attribution of meaning to </w:t>
      </w:r>
      <w:r w:rsidR="0084179A" w:rsidRPr="00091C8C">
        <w:rPr>
          <w:rFonts w:ascii="Times New Roman" w:hAnsi="Times New Roman"/>
        </w:rPr>
        <w:t>the enacted statutory text, not</w:t>
      </w:r>
      <w:r w:rsidR="00772E1B" w:rsidRPr="00091C8C">
        <w:rPr>
          <w:rFonts w:ascii="Times New Roman" w:hAnsi="Times New Roman"/>
        </w:rPr>
        <w:t xml:space="preserve"> the remediation of perceived legislative oversight</w:t>
      </w:r>
      <w:r w:rsidR="00772E1B" w:rsidRPr="00091C8C">
        <w:rPr>
          <w:rStyle w:val="FootnoteReference"/>
          <w:rFonts w:ascii="Times New Roman" w:hAnsi="Times New Roman"/>
          <w:sz w:val="24"/>
        </w:rPr>
        <w:footnoteReference w:id="79"/>
      </w:r>
      <w:r w:rsidR="00A34647" w:rsidRPr="00091C8C">
        <w:rPr>
          <w:rFonts w:ascii="Times New Roman" w:hAnsi="Times New Roman"/>
        </w:rPr>
        <w:t>.</w:t>
      </w:r>
      <w:r w:rsidR="00B46F77" w:rsidRPr="00091C8C">
        <w:rPr>
          <w:rFonts w:ascii="Times New Roman" w:hAnsi="Times New Roman"/>
        </w:rPr>
        <w:t xml:space="preserve"> </w:t>
      </w:r>
      <w:r w:rsidR="00C344A5" w:rsidRPr="00091C8C">
        <w:rPr>
          <w:rFonts w:ascii="Times New Roman" w:hAnsi="Times New Roman"/>
        </w:rPr>
        <w:t>Here, the text is intractable and unambiguous.</w:t>
      </w:r>
    </w:p>
    <w:p w14:paraId="42B84C3A" w14:textId="6CDB5430" w:rsidR="00C344A5" w:rsidRPr="00091C8C" w:rsidRDefault="0029563B" w:rsidP="00091C8C">
      <w:pPr>
        <w:pStyle w:val="FixListStyle"/>
        <w:spacing w:after="260" w:line="280" w:lineRule="exact"/>
        <w:ind w:right="0"/>
        <w:jc w:val="both"/>
        <w:rPr>
          <w:rFonts w:ascii="Times New Roman" w:hAnsi="Times New Roman"/>
        </w:rPr>
      </w:pPr>
      <w:r w:rsidRPr="00091C8C">
        <w:rPr>
          <w:rFonts w:ascii="Times New Roman" w:hAnsi="Times New Roman"/>
        </w:rPr>
        <w:tab/>
        <w:t>Lundbeck Denmark</w:t>
      </w:r>
      <w:r w:rsidR="00D02DA8" w:rsidRPr="00091C8C">
        <w:rPr>
          <w:rFonts w:ascii="Times New Roman" w:hAnsi="Times New Roman"/>
        </w:rPr>
        <w:t>, as patentee,</w:t>
      </w:r>
      <w:r w:rsidRPr="00091C8C">
        <w:rPr>
          <w:rFonts w:ascii="Times New Roman" w:hAnsi="Times New Roman"/>
        </w:rPr>
        <w:t xml:space="preserve"> had rights to bring proceedings against </w:t>
      </w:r>
      <w:r w:rsidR="00D02DA8" w:rsidRPr="00091C8C">
        <w:rPr>
          <w:rFonts w:ascii="Times New Roman" w:hAnsi="Times New Roman"/>
        </w:rPr>
        <w:t>Sandoz under s</w:t>
      </w:r>
      <w:r w:rsidR="00790878" w:rsidRPr="00091C8C">
        <w:rPr>
          <w:rFonts w:ascii="Times New Roman" w:hAnsi="Times New Roman"/>
        </w:rPr>
        <w:t> </w:t>
      </w:r>
      <w:r w:rsidR="00D02DA8" w:rsidRPr="00091C8C">
        <w:rPr>
          <w:rFonts w:ascii="Times New Roman" w:hAnsi="Times New Roman"/>
        </w:rPr>
        <w:t>79 of the Act. Lundbeck Australia, as exclusive licensee, did not.</w:t>
      </w:r>
    </w:p>
    <w:p w14:paraId="534AB09B" w14:textId="66113BAF" w:rsidR="00BF3841" w:rsidRPr="00091C8C" w:rsidRDefault="00BF3841" w:rsidP="00091C8C">
      <w:pPr>
        <w:pStyle w:val="HeadingL1"/>
        <w:spacing w:after="260" w:line="280" w:lineRule="exact"/>
        <w:ind w:right="0"/>
        <w:jc w:val="both"/>
        <w:rPr>
          <w:rFonts w:ascii="Times New Roman" w:hAnsi="Times New Roman"/>
        </w:rPr>
      </w:pPr>
      <w:r w:rsidRPr="00091C8C">
        <w:rPr>
          <w:rFonts w:ascii="Times New Roman" w:hAnsi="Times New Roman"/>
        </w:rPr>
        <w:t>Lundbeck</w:t>
      </w:r>
      <w:r w:rsidR="00B566A6" w:rsidRPr="00091C8C">
        <w:rPr>
          <w:rFonts w:ascii="Times New Roman" w:hAnsi="Times New Roman"/>
        </w:rPr>
        <w:t xml:space="preserve"> Denmark's cause of action </w:t>
      </w:r>
      <w:r w:rsidR="00114D31" w:rsidRPr="00091C8C">
        <w:rPr>
          <w:rFonts w:ascii="Times New Roman" w:hAnsi="Times New Roman"/>
        </w:rPr>
        <w:t xml:space="preserve">against Sandoz </w:t>
      </w:r>
      <w:r w:rsidRPr="00091C8C">
        <w:rPr>
          <w:rFonts w:ascii="Times New Roman" w:hAnsi="Times New Roman"/>
        </w:rPr>
        <w:t>accrued</w:t>
      </w:r>
      <w:r w:rsidR="001E549C" w:rsidRPr="00091C8C">
        <w:rPr>
          <w:rFonts w:ascii="Times New Roman" w:hAnsi="Times New Roman"/>
        </w:rPr>
        <w:t xml:space="preserve"> only </w:t>
      </w:r>
      <w:r w:rsidR="003C4A16" w:rsidRPr="00091C8C">
        <w:rPr>
          <w:rFonts w:ascii="Times New Roman" w:hAnsi="Times New Roman"/>
        </w:rPr>
        <w:t xml:space="preserve">on the grant </w:t>
      </w:r>
      <w:r w:rsidR="000B61A0" w:rsidRPr="00091C8C">
        <w:rPr>
          <w:rFonts w:ascii="Times New Roman" w:hAnsi="Times New Roman"/>
        </w:rPr>
        <w:t>of the extension</w:t>
      </w:r>
    </w:p>
    <w:p w14:paraId="73660B1D" w14:textId="5C13D21C" w:rsidR="007D1CE3" w:rsidRPr="00091C8C" w:rsidRDefault="00BF3841" w:rsidP="00091C8C">
      <w:pPr>
        <w:pStyle w:val="FixListStyle"/>
        <w:spacing w:after="260" w:line="280" w:lineRule="exact"/>
        <w:ind w:right="0"/>
        <w:jc w:val="both"/>
        <w:rPr>
          <w:rFonts w:ascii="Times New Roman" w:hAnsi="Times New Roman"/>
        </w:rPr>
      </w:pPr>
      <w:r w:rsidRPr="00091C8C">
        <w:rPr>
          <w:rFonts w:ascii="Times New Roman" w:hAnsi="Times New Roman"/>
        </w:rPr>
        <w:tab/>
      </w:r>
      <w:r w:rsidR="001E46E8" w:rsidRPr="00091C8C">
        <w:rPr>
          <w:rFonts w:ascii="Times New Roman" w:hAnsi="Times New Roman"/>
        </w:rPr>
        <w:t>Section 51A</w:t>
      </w:r>
      <w:r w:rsidR="00C70693" w:rsidRPr="00091C8C">
        <w:rPr>
          <w:rFonts w:ascii="Times New Roman" w:hAnsi="Times New Roman"/>
        </w:rPr>
        <w:t>(1)</w:t>
      </w:r>
      <w:r w:rsidR="00330651" w:rsidRPr="00091C8C">
        <w:rPr>
          <w:rFonts w:ascii="Times New Roman" w:hAnsi="Times New Roman"/>
        </w:rPr>
        <w:t>(a)</w:t>
      </w:r>
      <w:r w:rsidR="00C70693" w:rsidRPr="00091C8C">
        <w:rPr>
          <w:rFonts w:ascii="Times New Roman" w:hAnsi="Times New Roman"/>
        </w:rPr>
        <w:t xml:space="preserve"> of the </w:t>
      </w:r>
      <w:r w:rsidR="00C70693" w:rsidRPr="00091C8C">
        <w:rPr>
          <w:rFonts w:ascii="Times New Roman" w:hAnsi="Times New Roman"/>
          <w:i/>
        </w:rPr>
        <w:t>Federal Court</w:t>
      </w:r>
      <w:r w:rsidR="005B78A8" w:rsidRPr="00091C8C">
        <w:rPr>
          <w:rFonts w:ascii="Times New Roman" w:hAnsi="Times New Roman"/>
          <w:i/>
        </w:rPr>
        <w:t xml:space="preserve"> of Australia Act</w:t>
      </w:r>
      <w:r w:rsidR="00D93EB7" w:rsidRPr="00091C8C">
        <w:rPr>
          <w:rFonts w:ascii="Times New Roman" w:hAnsi="Times New Roman"/>
          <w:i/>
        </w:rPr>
        <w:t xml:space="preserve"> 1976</w:t>
      </w:r>
      <w:r w:rsidR="00D93EB7" w:rsidRPr="00091C8C">
        <w:rPr>
          <w:rFonts w:ascii="Times New Roman" w:hAnsi="Times New Roman"/>
        </w:rPr>
        <w:t xml:space="preserve"> (Cth) </w:t>
      </w:r>
      <w:r w:rsidR="00330651" w:rsidRPr="00091C8C">
        <w:rPr>
          <w:rFonts w:ascii="Times New Roman" w:hAnsi="Times New Roman"/>
        </w:rPr>
        <w:t>empowers</w:t>
      </w:r>
      <w:r w:rsidR="00712902" w:rsidRPr="00091C8C">
        <w:rPr>
          <w:rFonts w:ascii="Times New Roman" w:hAnsi="Times New Roman"/>
        </w:rPr>
        <w:t xml:space="preserve"> the Federal Court</w:t>
      </w:r>
      <w:r w:rsidR="00D93EB7" w:rsidRPr="00091C8C">
        <w:rPr>
          <w:rFonts w:ascii="Times New Roman" w:hAnsi="Times New Roman"/>
        </w:rPr>
        <w:t xml:space="preserve"> </w:t>
      </w:r>
      <w:r w:rsidR="00166A5C" w:rsidRPr="00091C8C">
        <w:rPr>
          <w:rFonts w:ascii="Times New Roman" w:hAnsi="Times New Roman"/>
        </w:rPr>
        <w:t>in "any proceedings</w:t>
      </w:r>
      <w:r w:rsidR="00F471E7" w:rsidRPr="00091C8C">
        <w:rPr>
          <w:rFonts w:ascii="Times New Roman" w:hAnsi="Times New Roman"/>
        </w:rPr>
        <w:t xml:space="preserve"> for the recovery </w:t>
      </w:r>
      <w:r w:rsidR="00413C47" w:rsidRPr="00091C8C">
        <w:rPr>
          <w:rFonts w:ascii="Times New Roman" w:hAnsi="Times New Roman"/>
        </w:rPr>
        <w:t xml:space="preserve">of any money" </w:t>
      </w:r>
      <w:r w:rsidR="00712902" w:rsidRPr="00091C8C">
        <w:rPr>
          <w:rFonts w:ascii="Times New Roman" w:hAnsi="Times New Roman"/>
        </w:rPr>
        <w:t>to</w:t>
      </w:r>
      <w:r w:rsidR="001B0139" w:rsidRPr="00091C8C">
        <w:rPr>
          <w:rFonts w:ascii="Times New Roman" w:hAnsi="Times New Roman"/>
        </w:rPr>
        <w:t xml:space="preserve"> "order that the</w:t>
      </w:r>
      <w:r w:rsidR="001D1785" w:rsidRPr="00091C8C">
        <w:rPr>
          <w:rFonts w:ascii="Times New Roman" w:hAnsi="Times New Roman"/>
        </w:rPr>
        <w:t xml:space="preserve">re be included in the sum </w:t>
      </w:r>
      <w:r w:rsidR="00A33F3E" w:rsidRPr="00091C8C">
        <w:rPr>
          <w:rFonts w:ascii="Times New Roman" w:hAnsi="Times New Roman"/>
        </w:rPr>
        <w:t xml:space="preserve">for which judgment is </w:t>
      </w:r>
      <w:r w:rsidR="00167F87" w:rsidRPr="00091C8C">
        <w:rPr>
          <w:rFonts w:ascii="Times New Roman" w:hAnsi="Times New Roman"/>
        </w:rPr>
        <w:t>given interest ... on the whole or</w:t>
      </w:r>
      <w:r w:rsidR="00A92DDC" w:rsidRPr="00091C8C">
        <w:rPr>
          <w:rFonts w:ascii="Times New Roman" w:hAnsi="Times New Roman"/>
        </w:rPr>
        <w:t xml:space="preserve"> any part of the money </w:t>
      </w:r>
      <w:r w:rsidR="00C9008E" w:rsidRPr="00091C8C">
        <w:rPr>
          <w:rFonts w:ascii="Times New Roman" w:hAnsi="Times New Roman"/>
        </w:rPr>
        <w:t>for the whole or any part</w:t>
      </w:r>
      <w:r w:rsidR="00BB3C5F" w:rsidRPr="00091C8C">
        <w:rPr>
          <w:rFonts w:ascii="Times New Roman" w:hAnsi="Times New Roman"/>
        </w:rPr>
        <w:t xml:space="preserve"> of </w:t>
      </w:r>
      <w:r w:rsidR="00004748" w:rsidRPr="00091C8C">
        <w:rPr>
          <w:rFonts w:ascii="Times New Roman" w:hAnsi="Times New Roman"/>
        </w:rPr>
        <w:t xml:space="preserve">the </w:t>
      </w:r>
      <w:r w:rsidR="00BB3C5F" w:rsidRPr="00091C8C">
        <w:rPr>
          <w:rFonts w:ascii="Times New Roman" w:hAnsi="Times New Roman"/>
        </w:rPr>
        <w:t xml:space="preserve">period between the </w:t>
      </w:r>
      <w:r w:rsidR="00F3335D" w:rsidRPr="00091C8C">
        <w:rPr>
          <w:rFonts w:ascii="Times New Roman" w:hAnsi="Times New Roman"/>
        </w:rPr>
        <w:t xml:space="preserve">date </w:t>
      </w:r>
      <w:r w:rsidR="00B8045B" w:rsidRPr="00091C8C">
        <w:rPr>
          <w:rFonts w:ascii="Times New Roman" w:hAnsi="Times New Roman"/>
        </w:rPr>
        <w:t>when</w:t>
      </w:r>
      <w:r w:rsidR="007D0060" w:rsidRPr="00091C8C">
        <w:rPr>
          <w:rFonts w:ascii="Times New Roman" w:hAnsi="Times New Roman"/>
        </w:rPr>
        <w:t xml:space="preserve"> the cause of </w:t>
      </w:r>
      <w:r w:rsidR="00B8045B" w:rsidRPr="00091C8C">
        <w:rPr>
          <w:rFonts w:ascii="Times New Roman" w:hAnsi="Times New Roman"/>
        </w:rPr>
        <w:t>action</w:t>
      </w:r>
      <w:r w:rsidR="00093A74" w:rsidRPr="00091C8C">
        <w:rPr>
          <w:rFonts w:ascii="Times New Roman" w:hAnsi="Times New Roman"/>
        </w:rPr>
        <w:t xml:space="preserve"> arose</w:t>
      </w:r>
      <w:r w:rsidR="00FC00AC" w:rsidRPr="00091C8C">
        <w:rPr>
          <w:rFonts w:ascii="Times New Roman" w:hAnsi="Times New Roman"/>
        </w:rPr>
        <w:t xml:space="preserve"> and the date </w:t>
      </w:r>
      <w:r w:rsidR="00F36045" w:rsidRPr="00091C8C">
        <w:rPr>
          <w:rFonts w:ascii="Times New Roman" w:hAnsi="Times New Roman"/>
        </w:rPr>
        <w:t>as of which judgment is entered"</w:t>
      </w:r>
      <w:r w:rsidR="00183637" w:rsidRPr="00091C8C">
        <w:rPr>
          <w:rFonts w:ascii="Times New Roman" w:hAnsi="Times New Roman"/>
        </w:rPr>
        <w:t>.</w:t>
      </w:r>
      <w:r w:rsidR="00B0607E" w:rsidRPr="00091C8C">
        <w:rPr>
          <w:rFonts w:ascii="Times New Roman" w:hAnsi="Times New Roman"/>
        </w:rPr>
        <w:t xml:space="preserve"> A cause of action do</w:t>
      </w:r>
      <w:r w:rsidR="00EA0175" w:rsidRPr="00091C8C">
        <w:rPr>
          <w:rFonts w:ascii="Times New Roman" w:hAnsi="Times New Roman"/>
        </w:rPr>
        <w:t>es not arise</w:t>
      </w:r>
      <w:r w:rsidR="00850E5B" w:rsidRPr="00091C8C">
        <w:rPr>
          <w:rFonts w:ascii="Times New Roman" w:hAnsi="Times New Roman"/>
        </w:rPr>
        <w:t xml:space="preserve"> within the meaning of the provision until all </w:t>
      </w:r>
      <w:r w:rsidR="00F41C79" w:rsidRPr="00091C8C">
        <w:rPr>
          <w:rFonts w:ascii="Times New Roman" w:hAnsi="Times New Roman"/>
        </w:rPr>
        <w:t xml:space="preserve">of </w:t>
      </w:r>
      <w:r w:rsidR="00850E5B" w:rsidRPr="00091C8C">
        <w:rPr>
          <w:rFonts w:ascii="Times New Roman" w:hAnsi="Times New Roman"/>
        </w:rPr>
        <w:t>the facts</w:t>
      </w:r>
      <w:r w:rsidR="004203A4" w:rsidRPr="00091C8C">
        <w:rPr>
          <w:rFonts w:ascii="Times New Roman" w:hAnsi="Times New Roman"/>
        </w:rPr>
        <w:t xml:space="preserve"> </w:t>
      </w:r>
      <w:r w:rsidR="002A00FE" w:rsidRPr="00091C8C">
        <w:rPr>
          <w:rFonts w:ascii="Times New Roman" w:hAnsi="Times New Roman"/>
        </w:rPr>
        <w:t>which the</w:t>
      </w:r>
      <w:r w:rsidR="00EA74B3" w:rsidRPr="00091C8C">
        <w:rPr>
          <w:rFonts w:ascii="Times New Roman" w:hAnsi="Times New Roman"/>
        </w:rPr>
        <w:t xml:space="preserve"> applicant must prove </w:t>
      </w:r>
      <w:r w:rsidR="000403DB" w:rsidRPr="00091C8C">
        <w:rPr>
          <w:rFonts w:ascii="Times New Roman" w:hAnsi="Times New Roman"/>
        </w:rPr>
        <w:t xml:space="preserve">to obtain judgment for the recovery of the </w:t>
      </w:r>
      <w:r w:rsidR="00621596" w:rsidRPr="00091C8C">
        <w:rPr>
          <w:rFonts w:ascii="Times New Roman" w:hAnsi="Times New Roman"/>
        </w:rPr>
        <w:t xml:space="preserve">money </w:t>
      </w:r>
      <w:r w:rsidR="003D2A03" w:rsidRPr="00091C8C">
        <w:rPr>
          <w:rFonts w:ascii="Times New Roman" w:hAnsi="Times New Roman"/>
        </w:rPr>
        <w:t xml:space="preserve">have come into </w:t>
      </w:r>
      <w:r w:rsidR="00621596" w:rsidRPr="00091C8C">
        <w:rPr>
          <w:rFonts w:ascii="Times New Roman" w:hAnsi="Times New Roman"/>
        </w:rPr>
        <w:t>exist</w:t>
      </w:r>
      <w:r w:rsidR="003D2A03" w:rsidRPr="00091C8C">
        <w:rPr>
          <w:rFonts w:ascii="Times New Roman" w:hAnsi="Times New Roman"/>
        </w:rPr>
        <w:t>ence</w:t>
      </w:r>
      <w:r w:rsidR="009B19DB" w:rsidRPr="00091C8C">
        <w:rPr>
          <w:rStyle w:val="FootnoteReference"/>
          <w:rFonts w:ascii="Times New Roman" w:hAnsi="Times New Roman"/>
          <w:sz w:val="24"/>
        </w:rPr>
        <w:footnoteReference w:id="80"/>
      </w:r>
      <w:r w:rsidR="00575193" w:rsidRPr="00091C8C">
        <w:rPr>
          <w:rFonts w:ascii="Times New Roman" w:hAnsi="Times New Roman"/>
        </w:rPr>
        <w:t>.</w:t>
      </w:r>
      <w:r w:rsidR="00B555E4" w:rsidRPr="00091C8C">
        <w:rPr>
          <w:rFonts w:ascii="Times New Roman" w:hAnsi="Times New Roman"/>
        </w:rPr>
        <w:t xml:space="preserve"> </w:t>
      </w:r>
    </w:p>
    <w:p w14:paraId="37E18E79" w14:textId="1308A55B" w:rsidR="005B2F44" w:rsidRPr="00091C8C" w:rsidRDefault="003D2A03" w:rsidP="00091C8C">
      <w:pPr>
        <w:pStyle w:val="FixListStyle"/>
        <w:spacing w:after="260" w:line="280" w:lineRule="exact"/>
        <w:ind w:right="0"/>
        <w:jc w:val="both"/>
        <w:rPr>
          <w:rFonts w:ascii="Times New Roman" w:hAnsi="Times New Roman"/>
        </w:rPr>
      </w:pPr>
      <w:r w:rsidRPr="00091C8C">
        <w:rPr>
          <w:rFonts w:ascii="Times New Roman" w:hAnsi="Times New Roman"/>
        </w:rPr>
        <w:lastRenderedPageBreak/>
        <w:tab/>
      </w:r>
      <w:r w:rsidR="00E41A7C" w:rsidRPr="00091C8C">
        <w:rPr>
          <w:rFonts w:ascii="Times New Roman" w:hAnsi="Times New Roman"/>
        </w:rPr>
        <w:t>When</w:t>
      </w:r>
      <w:r w:rsidR="00AE738F" w:rsidRPr="00091C8C">
        <w:rPr>
          <w:rFonts w:ascii="Times New Roman" w:hAnsi="Times New Roman"/>
        </w:rPr>
        <w:t xml:space="preserve"> it is </w:t>
      </w:r>
      <w:r w:rsidR="00DD71CC" w:rsidRPr="00091C8C">
        <w:rPr>
          <w:rFonts w:ascii="Times New Roman" w:hAnsi="Times New Roman"/>
        </w:rPr>
        <w:t>again</w:t>
      </w:r>
      <w:r w:rsidR="00AE738F" w:rsidRPr="00091C8C">
        <w:rPr>
          <w:rFonts w:ascii="Times New Roman" w:hAnsi="Times New Roman"/>
        </w:rPr>
        <w:t xml:space="preserve"> </w:t>
      </w:r>
      <w:r w:rsidR="00E21323" w:rsidRPr="00091C8C">
        <w:rPr>
          <w:rFonts w:ascii="Times New Roman" w:hAnsi="Times New Roman"/>
        </w:rPr>
        <w:t>recognised</w:t>
      </w:r>
      <w:r w:rsidR="00AE738F" w:rsidRPr="00091C8C">
        <w:rPr>
          <w:rFonts w:ascii="Times New Roman" w:hAnsi="Times New Roman"/>
        </w:rPr>
        <w:t xml:space="preserve"> that the only </w:t>
      </w:r>
      <w:r w:rsidR="009645F4" w:rsidRPr="00091C8C">
        <w:rPr>
          <w:rFonts w:ascii="Times New Roman" w:hAnsi="Times New Roman"/>
        </w:rPr>
        <w:t xml:space="preserve">rights </w:t>
      </w:r>
      <w:r w:rsidR="00BE47FA" w:rsidRPr="00091C8C">
        <w:rPr>
          <w:rFonts w:ascii="Times New Roman" w:hAnsi="Times New Roman"/>
        </w:rPr>
        <w:t xml:space="preserve">Lundbeck Denmark had to </w:t>
      </w:r>
      <w:r w:rsidR="009C0554" w:rsidRPr="00091C8C">
        <w:rPr>
          <w:rFonts w:ascii="Times New Roman" w:hAnsi="Times New Roman"/>
        </w:rPr>
        <w:t>recover</w:t>
      </w:r>
      <w:r w:rsidR="00BE47FA" w:rsidRPr="00091C8C">
        <w:rPr>
          <w:rFonts w:ascii="Times New Roman" w:hAnsi="Times New Roman"/>
        </w:rPr>
        <w:t xml:space="preserve"> damages </w:t>
      </w:r>
      <w:r w:rsidR="009526D7" w:rsidRPr="00091C8C">
        <w:rPr>
          <w:rFonts w:ascii="Times New Roman" w:hAnsi="Times New Roman"/>
        </w:rPr>
        <w:t>against Sandoz</w:t>
      </w:r>
      <w:r w:rsidR="009C0554" w:rsidRPr="00091C8C">
        <w:rPr>
          <w:rFonts w:ascii="Times New Roman" w:hAnsi="Times New Roman"/>
        </w:rPr>
        <w:t xml:space="preserve"> </w:t>
      </w:r>
      <w:r w:rsidR="00E2448C" w:rsidRPr="00091C8C">
        <w:rPr>
          <w:rFonts w:ascii="Times New Roman" w:hAnsi="Times New Roman"/>
        </w:rPr>
        <w:t>in respect of</w:t>
      </w:r>
      <w:r w:rsidR="00077732" w:rsidRPr="00091C8C">
        <w:rPr>
          <w:rFonts w:ascii="Times New Roman" w:hAnsi="Times New Roman"/>
        </w:rPr>
        <w:t xml:space="preserve"> </w:t>
      </w:r>
      <w:r w:rsidR="000B70B3" w:rsidRPr="00091C8C">
        <w:rPr>
          <w:rFonts w:ascii="Times New Roman" w:hAnsi="Times New Roman"/>
        </w:rPr>
        <w:t xml:space="preserve">acts </w:t>
      </w:r>
      <w:r w:rsidR="00E2448C" w:rsidRPr="00091C8C">
        <w:rPr>
          <w:rFonts w:ascii="Times New Roman" w:hAnsi="Times New Roman"/>
        </w:rPr>
        <w:t>which occurred between 13</w:t>
      </w:r>
      <w:r w:rsidR="00663E9A" w:rsidRPr="00091C8C">
        <w:rPr>
          <w:rFonts w:ascii="Times New Roman" w:hAnsi="Times New Roman"/>
        </w:rPr>
        <w:t> </w:t>
      </w:r>
      <w:r w:rsidR="00E2448C" w:rsidRPr="00091C8C">
        <w:rPr>
          <w:rFonts w:ascii="Times New Roman" w:hAnsi="Times New Roman"/>
        </w:rPr>
        <w:t>June 200</w:t>
      </w:r>
      <w:r w:rsidR="00770D93" w:rsidRPr="00091C8C">
        <w:rPr>
          <w:rFonts w:ascii="Times New Roman" w:hAnsi="Times New Roman"/>
        </w:rPr>
        <w:t>9</w:t>
      </w:r>
      <w:r w:rsidR="00E2448C" w:rsidRPr="00091C8C">
        <w:rPr>
          <w:rFonts w:ascii="Times New Roman" w:hAnsi="Times New Roman"/>
        </w:rPr>
        <w:t xml:space="preserve"> </w:t>
      </w:r>
      <w:r w:rsidR="007E61DE" w:rsidRPr="00091C8C">
        <w:rPr>
          <w:rFonts w:ascii="Times New Roman" w:hAnsi="Times New Roman"/>
        </w:rPr>
        <w:t xml:space="preserve">and </w:t>
      </w:r>
      <w:r w:rsidR="006236E3" w:rsidRPr="00091C8C">
        <w:rPr>
          <w:rFonts w:ascii="Times New Roman" w:hAnsi="Times New Roman"/>
        </w:rPr>
        <w:t>25</w:t>
      </w:r>
      <w:r w:rsidR="00663E9A" w:rsidRPr="00091C8C">
        <w:rPr>
          <w:rFonts w:ascii="Times New Roman" w:hAnsi="Times New Roman"/>
        </w:rPr>
        <w:t> </w:t>
      </w:r>
      <w:r w:rsidR="006236E3" w:rsidRPr="00091C8C">
        <w:rPr>
          <w:rFonts w:ascii="Times New Roman" w:hAnsi="Times New Roman"/>
        </w:rPr>
        <w:t xml:space="preserve">June 2014 </w:t>
      </w:r>
      <w:r w:rsidR="002D552B" w:rsidRPr="00091C8C">
        <w:rPr>
          <w:rFonts w:ascii="Times New Roman" w:hAnsi="Times New Roman"/>
        </w:rPr>
        <w:t xml:space="preserve">were </w:t>
      </w:r>
      <w:r w:rsidR="00846CE2" w:rsidRPr="00091C8C">
        <w:rPr>
          <w:rFonts w:ascii="Times New Roman" w:hAnsi="Times New Roman"/>
        </w:rPr>
        <w:t xml:space="preserve">the rights conferred </w:t>
      </w:r>
      <w:r w:rsidR="00255E3D" w:rsidRPr="00091C8C">
        <w:rPr>
          <w:rFonts w:ascii="Times New Roman" w:hAnsi="Times New Roman"/>
        </w:rPr>
        <w:t>by s</w:t>
      </w:r>
      <w:r w:rsidR="0037402C" w:rsidRPr="00091C8C">
        <w:rPr>
          <w:rFonts w:ascii="Times New Roman" w:hAnsi="Times New Roman"/>
        </w:rPr>
        <w:t> </w:t>
      </w:r>
      <w:r w:rsidR="00255E3D" w:rsidRPr="00091C8C">
        <w:rPr>
          <w:rFonts w:ascii="Times New Roman" w:hAnsi="Times New Roman"/>
        </w:rPr>
        <w:t>79 of the Act</w:t>
      </w:r>
      <w:r w:rsidR="00174FBD" w:rsidRPr="00091C8C">
        <w:rPr>
          <w:rFonts w:ascii="Times New Roman" w:hAnsi="Times New Roman"/>
        </w:rPr>
        <w:t xml:space="preserve">, </w:t>
      </w:r>
      <w:r w:rsidR="00E21323" w:rsidRPr="00091C8C">
        <w:rPr>
          <w:rFonts w:ascii="Times New Roman" w:hAnsi="Times New Roman"/>
        </w:rPr>
        <w:t xml:space="preserve">it </w:t>
      </w:r>
      <w:r w:rsidR="00117D34" w:rsidRPr="00091C8C">
        <w:rPr>
          <w:rFonts w:ascii="Times New Roman" w:hAnsi="Times New Roman"/>
        </w:rPr>
        <w:t>is</w:t>
      </w:r>
      <w:r w:rsidR="00E21323" w:rsidRPr="00091C8C">
        <w:rPr>
          <w:rFonts w:ascii="Times New Roman" w:hAnsi="Times New Roman"/>
        </w:rPr>
        <w:t xml:space="preserve"> apparent that all of the facts that </w:t>
      </w:r>
      <w:r w:rsidR="00E21914" w:rsidRPr="00091C8C">
        <w:rPr>
          <w:rFonts w:ascii="Times New Roman" w:hAnsi="Times New Roman"/>
        </w:rPr>
        <w:t>Lundbeck Denmark needed to</w:t>
      </w:r>
      <w:r w:rsidR="00E21323" w:rsidRPr="00091C8C">
        <w:rPr>
          <w:rFonts w:ascii="Times New Roman" w:hAnsi="Times New Roman"/>
        </w:rPr>
        <w:t xml:space="preserve"> prove to </w:t>
      </w:r>
      <w:r w:rsidR="00C74244" w:rsidRPr="00091C8C">
        <w:rPr>
          <w:rFonts w:ascii="Times New Roman" w:hAnsi="Times New Roman"/>
        </w:rPr>
        <w:t xml:space="preserve">establish those rights </w:t>
      </w:r>
      <w:r w:rsidR="00E21914" w:rsidRPr="00091C8C">
        <w:rPr>
          <w:rFonts w:ascii="Times New Roman" w:hAnsi="Times New Roman"/>
        </w:rPr>
        <w:t>did not</w:t>
      </w:r>
      <w:r w:rsidR="00E21323" w:rsidRPr="00091C8C">
        <w:rPr>
          <w:rFonts w:ascii="Times New Roman" w:hAnsi="Times New Roman"/>
        </w:rPr>
        <w:t xml:space="preserve"> come into existence</w:t>
      </w:r>
      <w:r w:rsidR="00663747" w:rsidRPr="00091C8C">
        <w:rPr>
          <w:rFonts w:ascii="Times New Roman" w:hAnsi="Times New Roman"/>
        </w:rPr>
        <w:t xml:space="preserve"> </w:t>
      </w:r>
      <w:r w:rsidR="00C2736E" w:rsidRPr="00091C8C">
        <w:rPr>
          <w:rFonts w:ascii="Times New Roman" w:hAnsi="Times New Roman"/>
        </w:rPr>
        <w:t>until the grant of the extension of the term on 25</w:t>
      </w:r>
      <w:r w:rsidR="00663E9A" w:rsidRPr="00091C8C">
        <w:rPr>
          <w:rFonts w:ascii="Times New Roman" w:hAnsi="Times New Roman"/>
        </w:rPr>
        <w:t> </w:t>
      </w:r>
      <w:r w:rsidR="00C2736E" w:rsidRPr="00091C8C">
        <w:rPr>
          <w:rFonts w:ascii="Times New Roman" w:hAnsi="Times New Roman"/>
        </w:rPr>
        <w:t xml:space="preserve">June 2014. </w:t>
      </w:r>
    </w:p>
    <w:p w14:paraId="49BC909B" w14:textId="5A308CC1" w:rsidR="00C60BF2" w:rsidRPr="00091C8C" w:rsidRDefault="005413F1" w:rsidP="00091C8C">
      <w:pPr>
        <w:pStyle w:val="FixListStyle"/>
        <w:spacing w:after="260" w:line="280" w:lineRule="exact"/>
        <w:ind w:right="0"/>
        <w:jc w:val="both"/>
        <w:rPr>
          <w:rFonts w:ascii="Times New Roman" w:hAnsi="Times New Roman"/>
        </w:rPr>
      </w:pPr>
      <w:r w:rsidRPr="00091C8C">
        <w:rPr>
          <w:rFonts w:ascii="Times New Roman" w:hAnsi="Times New Roman"/>
        </w:rPr>
        <w:tab/>
      </w:r>
      <w:r w:rsidR="00C60BF2" w:rsidRPr="00091C8C">
        <w:rPr>
          <w:rFonts w:ascii="Times New Roman" w:hAnsi="Times New Roman"/>
        </w:rPr>
        <w:t>The fact that "the extension is granted" is a precondition to the rights to bring proceedings which s 79 of the Act confers on a patentee coming into existence.</w:t>
      </w:r>
    </w:p>
    <w:p w14:paraId="61B2FB52" w14:textId="3E32AFC4" w:rsidR="003744F7" w:rsidRPr="00091C8C" w:rsidRDefault="003744F7" w:rsidP="00091C8C">
      <w:pPr>
        <w:pStyle w:val="FixListStyle"/>
        <w:spacing w:after="260" w:line="280" w:lineRule="exact"/>
        <w:ind w:right="0"/>
        <w:jc w:val="both"/>
        <w:rPr>
          <w:rFonts w:ascii="Times New Roman" w:hAnsi="Times New Roman"/>
        </w:rPr>
      </w:pPr>
      <w:r w:rsidRPr="00091C8C">
        <w:rPr>
          <w:rFonts w:ascii="Times New Roman" w:hAnsi="Times New Roman"/>
        </w:rPr>
        <w:tab/>
        <w:t xml:space="preserve">Not for nothing did </w:t>
      </w:r>
      <w:r w:rsidR="008C6DDC" w:rsidRPr="00091C8C">
        <w:rPr>
          <w:rFonts w:ascii="Times New Roman" w:hAnsi="Times New Roman"/>
        </w:rPr>
        <w:t>Lundbeck Denmark wait until 26</w:t>
      </w:r>
      <w:r w:rsidR="005F08C4" w:rsidRPr="00091C8C">
        <w:rPr>
          <w:rFonts w:ascii="Times New Roman" w:hAnsi="Times New Roman"/>
        </w:rPr>
        <w:t> </w:t>
      </w:r>
      <w:r w:rsidR="008C6DDC" w:rsidRPr="00091C8C">
        <w:rPr>
          <w:rFonts w:ascii="Times New Roman" w:hAnsi="Times New Roman"/>
        </w:rPr>
        <w:t>June 2014 to commence proceedings</w:t>
      </w:r>
      <w:r w:rsidR="00421DA6" w:rsidRPr="00091C8C">
        <w:rPr>
          <w:rFonts w:ascii="Times New Roman" w:hAnsi="Times New Roman"/>
        </w:rPr>
        <w:t xml:space="preserve"> against Sandoz for infringement of the Patent</w:t>
      </w:r>
      <w:r w:rsidR="008C6DDC" w:rsidRPr="00091C8C">
        <w:rPr>
          <w:rFonts w:ascii="Times New Roman" w:hAnsi="Times New Roman"/>
        </w:rPr>
        <w:t xml:space="preserve">. </w:t>
      </w:r>
      <w:r w:rsidR="00B3674A" w:rsidRPr="00091C8C">
        <w:rPr>
          <w:rFonts w:ascii="Times New Roman" w:hAnsi="Times New Roman"/>
        </w:rPr>
        <w:t>Only on 25</w:t>
      </w:r>
      <w:r w:rsidR="00663E9A" w:rsidRPr="00091C8C">
        <w:rPr>
          <w:rFonts w:ascii="Times New Roman" w:hAnsi="Times New Roman"/>
        </w:rPr>
        <w:t> </w:t>
      </w:r>
      <w:r w:rsidR="00B3674A" w:rsidRPr="00091C8C">
        <w:rPr>
          <w:rFonts w:ascii="Times New Roman" w:hAnsi="Times New Roman"/>
        </w:rPr>
        <w:t xml:space="preserve">June 2014 did its cause of action </w:t>
      </w:r>
      <w:r w:rsidR="00976E32" w:rsidRPr="00091C8C">
        <w:rPr>
          <w:rFonts w:ascii="Times New Roman" w:hAnsi="Times New Roman"/>
        </w:rPr>
        <w:t xml:space="preserve">arise </w:t>
      </w:r>
      <w:r w:rsidR="00270AF7" w:rsidRPr="00091C8C">
        <w:rPr>
          <w:rFonts w:ascii="Times New Roman" w:hAnsi="Times New Roman"/>
        </w:rPr>
        <w:t>under s</w:t>
      </w:r>
      <w:r w:rsidR="00663E9A" w:rsidRPr="00091C8C">
        <w:rPr>
          <w:rFonts w:ascii="Times New Roman" w:hAnsi="Times New Roman"/>
        </w:rPr>
        <w:t> </w:t>
      </w:r>
      <w:r w:rsidR="00270AF7" w:rsidRPr="00091C8C">
        <w:rPr>
          <w:rFonts w:ascii="Times New Roman" w:hAnsi="Times New Roman"/>
        </w:rPr>
        <w:t xml:space="preserve">79 </w:t>
      </w:r>
      <w:r w:rsidR="00976E32" w:rsidRPr="00091C8C">
        <w:rPr>
          <w:rFonts w:ascii="Times New Roman" w:hAnsi="Times New Roman"/>
        </w:rPr>
        <w:t>of the Act</w:t>
      </w:r>
      <w:r w:rsidR="00B3674A" w:rsidRPr="00091C8C">
        <w:rPr>
          <w:rFonts w:ascii="Times New Roman" w:hAnsi="Times New Roman"/>
        </w:rPr>
        <w:t xml:space="preserve">. </w:t>
      </w:r>
      <w:r w:rsidR="003E3080" w:rsidRPr="00091C8C">
        <w:rPr>
          <w:rFonts w:ascii="Times New Roman" w:hAnsi="Times New Roman"/>
        </w:rPr>
        <w:t>And only from then c</w:t>
      </w:r>
      <w:r w:rsidR="00F46EE9" w:rsidRPr="00091C8C">
        <w:rPr>
          <w:rFonts w:ascii="Times New Roman" w:hAnsi="Times New Roman"/>
        </w:rPr>
        <w:t>ould</w:t>
      </w:r>
      <w:r w:rsidR="003E3080" w:rsidRPr="00091C8C">
        <w:rPr>
          <w:rFonts w:ascii="Times New Roman" w:hAnsi="Times New Roman"/>
        </w:rPr>
        <w:t xml:space="preserve"> it obtain interest </w:t>
      </w:r>
      <w:r w:rsidR="006354B7" w:rsidRPr="00091C8C">
        <w:rPr>
          <w:rFonts w:ascii="Times New Roman" w:hAnsi="Times New Roman"/>
        </w:rPr>
        <w:t>under s</w:t>
      </w:r>
      <w:r w:rsidR="00663E9A" w:rsidRPr="00091C8C">
        <w:rPr>
          <w:rFonts w:ascii="Times New Roman" w:hAnsi="Times New Roman"/>
        </w:rPr>
        <w:t> </w:t>
      </w:r>
      <w:r w:rsidR="006354B7" w:rsidRPr="00091C8C">
        <w:rPr>
          <w:rFonts w:ascii="Times New Roman" w:hAnsi="Times New Roman"/>
        </w:rPr>
        <w:t xml:space="preserve">51A(1)(a) </w:t>
      </w:r>
      <w:r w:rsidR="00EA4EA6" w:rsidRPr="00091C8C">
        <w:rPr>
          <w:rFonts w:ascii="Times New Roman" w:hAnsi="Times New Roman"/>
        </w:rPr>
        <w:t xml:space="preserve">of the </w:t>
      </w:r>
      <w:r w:rsidR="00EA4EA6" w:rsidRPr="00091C8C">
        <w:rPr>
          <w:rFonts w:ascii="Times New Roman" w:hAnsi="Times New Roman"/>
          <w:i/>
        </w:rPr>
        <w:t xml:space="preserve">Federal Court of Australia Act </w:t>
      </w:r>
      <w:r w:rsidR="003E3080" w:rsidRPr="00091C8C">
        <w:rPr>
          <w:rFonts w:ascii="Times New Roman" w:hAnsi="Times New Roman"/>
        </w:rPr>
        <w:t xml:space="preserve">on the </w:t>
      </w:r>
      <w:r w:rsidR="00A941CB" w:rsidRPr="00091C8C">
        <w:rPr>
          <w:rFonts w:ascii="Times New Roman" w:hAnsi="Times New Roman"/>
        </w:rPr>
        <w:t>damages to which it is entitled</w:t>
      </w:r>
      <w:r w:rsidR="0079276C" w:rsidRPr="00091C8C">
        <w:rPr>
          <w:rFonts w:ascii="Times New Roman" w:hAnsi="Times New Roman"/>
        </w:rPr>
        <w:t xml:space="preserve"> through the operation of s 79 of the Act</w:t>
      </w:r>
      <w:r w:rsidR="00A941CB" w:rsidRPr="00091C8C">
        <w:rPr>
          <w:rFonts w:ascii="Times New Roman" w:hAnsi="Times New Roman"/>
        </w:rPr>
        <w:t>.</w:t>
      </w:r>
    </w:p>
    <w:p w14:paraId="2CC54B73" w14:textId="3EE8CA47" w:rsidR="00BF3841" w:rsidRPr="00091C8C" w:rsidRDefault="00BF3841" w:rsidP="00091C8C">
      <w:pPr>
        <w:pStyle w:val="HeadingL1"/>
        <w:spacing w:after="260" w:line="280" w:lineRule="exact"/>
        <w:ind w:right="0"/>
        <w:jc w:val="both"/>
        <w:rPr>
          <w:rFonts w:ascii="Times New Roman" w:hAnsi="Times New Roman"/>
        </w:rPr>
      </w:pPr>
      <w:r w:rsidRPr="00091C8C">
        <w:rPr>
          <w:rFonts w:ascii="Times New Roman" w:hAnsi="Times New Roman"/>
        </w:rPr>
        <w:t xml:space="preserve">Sandoz </w:t>
      </w:r>
      <w:r w:rsidR="003C4A16" w:rsidRPr="00091C8C">
        <w:rPr>
          <w:rFonts w:ascii="Times New Roman" w:hAnsi="Times New Roman"/>
        </w:rPr>
        <w:t xml:space="preserve">did not </w:t>
      </w:r>
      <w:r w:rsidRPr="00091C8C">
        <w:rPr>
          <w:rFonts w:ascii="Times New Roman" w:hAnsi="Times New Roman"/>
        </w:rPr>
        <w:t>engage in misleading or deceptive conduct</w:t>
      </w:r>
    </w:p>
    <w:p w14:paraId="651F3269" w14:textId="0EBC5BED" w:rsidR="00CE6737" w:rsidRPr="00091C8C" w:rsidRDefault="00BF3841" w:rsidP="00091C8C">
      <w:pPr>
        <w:pStyle w:val="FixListStyle"/>
        <w:spacing w:after="260" w:line="280" w:lineRule="exact"/>
        <w:ind w:right="0"/>
        <w:jc w:val="both"/>
        <w:rPr>
          <w:rFonts w:ascii="Times New Roman" w:hAnsi="Times New Roman"/>
        </w:rPr>
      </w:pPr>
      <w:r w:rsidRPr="00091C8C">
        <w:rPr>
          <w:rFonts w:ascii="Times New Roman" w:hAnsi="Times New Roman"/>
        </w:rPr>
        <w:tab/>
      </w:r>
      <w:r w:rsidR="00CE6737" w:rsidRPr="00091C8C">
        <w:rPr>
          <w:rFonts w:ascii="Times New Roman" w:hAnsi="Times New Roman"/>
        </w:rPr>
        <w:t xml:space="preserve">Resolution of the issue about misleading </w:t>
      </w:r>
      <w:r w:rsidR="00147122" w:rsidRPr="00091C8C">
        <w:rPr>
          <w:rFonts w:ascii="Times New Roman" w:hAnsi="Times New Roman"/>
        </w:rPr>
        <w:t xml:space="preserve">or </w:t>
      </w:r>
      <w:r w:rsidR="00CE6737" w:rsidRPr="00091C8C">
        <w:rPr>
          <w:rFonts w:ascii="Times New Roman" w:hAnsi="Times New Roman"/>
        </w:rPr>
        <w:t xml:space="preserve">deceptive conduct raised by the notice of contention in the Pharma </w:t>
      </w:r>
      <w:r w:rsidR="00BF6C16" w:rsidRPr="00091C8C">
        <w:rPr>
          <w:rFonts w:ascii="Times New Roman" w:hAnsi="Times New Roman"/>
        </w:rPr>
        <w:t>A</w:t>
      </w:r>
      <w:r w:rsidR="00CE6737" w:rsidRPr="00091C8C">
        <w:rPr>
          <w:rFonts w:ascii="Times New Roman" w:hAnsi="Times New Roman"/>
        </w:rPr>
        <w:t xml:space="preserve">ppeal does not call for revisitation of the principles pertaining to the characterisation of conduct as misleading or deceptive considered in </w:t>
      </w:r>
      <w:bookmarkStart w:id="2" w:name="_Hlk85797400"/>
      <w:r w:rsidR="00CE6737" w:rsidRPr="00091C8C">
        <w:rPr>
          <w:rFonts w:ascii="Times New Roman" w:hAnsi="Times New Roman"/>
          <w:i/>
        </w:rPr>
        <w:t xml:space="preserve">Campomar </w:t>
      </w:r>
      <w:r w:rsidR="002F3C0B" w:rsidRPr="00091C8C">
        <w:rPr>
          <w:rFonts w:ascii="Times New Roman" w:hAnsi="Times New Roman"/>
          <w:i/>
        </w:rPr>
        <w:t xml:space="preserve">Sociedad Limitada </w:t>
      </w:r>
      <w:r w:rsidR="00CE6737" w:rsidRPr="00091C8C">
        <w:rPr>
          <w:rFonts w:ascii="Times New Roman" w:hAnsi="Times New Roman"/>
          <w:i/>
        </w:rPr>
        <w:t>v Nike International</w:t>
      </w:r>
      <w:bookmarkEnd w:id="2"/>
      <w:r w:rsidR="002F3C0B" w:rsidRPr="00091C8C">
        <w:rPr>
          <w:rFonts w:ascii="Times New Roman" w:hAnsi="Times New Roman"/>
          <w:i/>
        </w:rPr>
        <w:t xml:space="preserve"> Ltd</w:t>
      </w:r>
      <w:r w:rsidR="00CE6737" w:rsidRPr="00091C8C">
        <w:rPr>
          <w:rStyle w:val="FootnoteReference"/>
          <w:rFonts w:ascii="Times New Roman" w:hAnsi="Times New Roman"/>
          <w:sz w:val="24"/>
        </w:rPr>
        <w:footnoteReference w:id="81"/>
      </w:r>
      <w:r w:rsidR="00CE6737" w:rsidRPr="00091C8C">
        <w:rPr>
          <w:rFonts w:ascii="Times New Roman" w:hAnsi="Times New Roman"/>
        </w:rPr>
        <w:t xml:space="preserve"> and in </w:t>
      </w:r>
      <w:r w:rsidR="00CE6737" w:rsidRPr="00091C8C">
        <w:rPr>
          <w:rFonts w:ascii="Times New Roman" w:hAnsi="Times New Roman"/>
          <w:i/>
        </w:rPr>
        <w:t>Miller &amp; Associates Insurance Broking Pty Ltd v BMW Australia Finance Ltd</w:t>
      </w:r>
      <w:r w:rsidR="00CE6737" w:rsidRPr="00091C8C">
        <w:rPr>
          <w:rStyle w:val="FootnoteReference"/>
          <w:rFonts w:ascii="Times New Roman" w:hAnsi="Times New Roman"/>
          <w:sz w:val="24"/>
        </w:rPr>
        <w:footnoteReference w:id="82"/>
      </w:r>
      <w:r w:rsidR="00CE6737" w:rsidRPr="00091C8C">
        <w:rPr>
          <w:rFonts w:ascii="Times New Roman" w:hAnsi="Times New Roman"/>
        </w:rPr>
        <w:t>. It is enough to highlight two of those principles. One is the need, where the conduct is not said to be directed to identified individuals, "to isolate by some criterion" a representative member of the class of persons to whom the conduct is directed</w:t>
      </w:r>
      <w:r w:rsidR="00CE6737" w:rsidRPr="00091C8C">
        <w:rPr>
          <w:rStyle w:val="FootnoteReference"/>
          <w:rFonts w:ascii="Times New Roman" w:hAnsi="Times New Roman"/>
          <w:sz w:val="24"/>
        </w:rPr>
        <w:footnoteReference w:id="83"/>
      </w:r>
      <w:r w:rsidR="00CE6737" w:rsidRPr="00091C8C">
        <w:rPr>
          <w:rFonts w:ascii="Times New Roman" w:hAnsi="Times New Roman"/>
        </w:rPr>
        <w:t xml:space="preserve">. The other is the need, where the misleading </w:t>
      </w:r>
      <w:r w:rsidR="001C2CB0" w:rsidRPr="00091C8C">
        <w:rPr>
          <w:rFonts w:ascii="Times New Roman" w:hAnsi="Times New Roman"/>
        </w:rPr>
        <w:t xml:space="preserve">or </w:t>
      </w:r>
      <w:r w:rsidR="00CE6737" w:rsidRPr="00091C8C">
        <w:rPr>
          <w:rFonts w:ascii="Times New Roman" w:hAnsi="Times New Roman"/>
        </w:rPr>
        <w:t>deceptive character of the conduct is said to lie in non-disclosure of some circumstance, ordinarily to establish that the representative member of the class to whom the conduct</w:t>
      </w:r>
      <w:r w:rsidR="000A355F" w:rsidRPr="00091C8C">
        <w:rPr>
          <w:rFonts w:ascii="Times New Roman" w:hAnsi="Times New Roman"/>
        </w:rPr>
        <w:t xml:space="preserve"> is</w:t>
      </w:r>
      <w:r w:rsidR="00CE6737" w:rsidRPr="00091C8C">
        <w:rPr>
          <w:rFonts w:ascii="Times New Roman" w:hAnsi="Times New Roman"/>
        </w:rPr>
        <w:t xml:space="preserve"> directed would hold </w:t>
      </w:r>
      <w:r w:rsidR="00CE6737" w:rsidRPr="00091C8C">
        <w:rPr>
          <w:rFonts w:ascii="Times New Roman" w:hAnsi="Times New Roman"/>
        </w:rPr>
        <w:lastRenderedPageBreak/>
        <w:t>a reasonable expectation that the circumstance would be disclosed if the circumstance exists</w:t>
      </w:r>
      <w:r w:rsidR="00CE6737" w:rsidRPr="00091C8C">
        <w:rPr>
          <w:rStyle w:val="FootnoteReference"/>
          <w:rFonts w:ascii="Times New Roman" w:hAnsi="Times New Roman"/>
          <w:sz w:val="24"/>
        </w:rPr>
        <w:footnoteReference w:id="84"/>
      </w:r>
      <w:r w:rsidR="00CE6737" w:rsidRPr="00091C8C">
        <w:rPr>
          <w:rFonts w:ascii="Times New Roman" w:hAnsi="Times New Roman"/>
        </w:rPr>
        <w:t>.</w:t>
      </w:r>
    </w:p>
    <w:p w14:paraId="78DDDFE6" w14:textId="61FBC7A9" w:rsidR="00CE6737" w:rsidRPr="00091C8C" w:rsidRDefault="00CE6737" w:rsidP="00091C8C">
      <w:pPr>
        <w:pStyle w:val="FixListStyle"/>
        <w:spacing w:after="260" w:line="280" w:lineRule="exact"/>
        <w:ind w:right="0"/>
        <w:jc w:val="both"/>
        <w:rPr>
          <w:rFonts w:ascii="Times New Roman" w:hAnsi="Times New Roman"/>
        </w:rPr>
      </w:pPr>
      <w:r w:rsidRPr="00091C8C">
        <w:rPr>
          <w:rFonts w:ascii="Times New Roman" w:hAnsi="Times New Roman"/>
        </w:rPr>
        <w:tab/>
        <w:t xml:space="preserve">Pharma's pleaded case was that, in supplying its generic escitalopram products, Sandoz engaged in misleading </w:t>
      </w:r>
      <w:r w:rsidR="001C2CB0" w:rsidRPr="00091C8C">
        <w:rPr>
          <w:rFonts w:ascii="Times New Roman" w:hAnsi="Times New Roman"/>
        </w:rPr>
        <w:t xml:space="preserve">or </w:t>
      </w:r>
      <w:r w:rsidRPr="00091C8C">
        <w:rPr>
          <w:rFonts w:ascii="Times New Roman" w:hAnsi="Times New Roman"/>
        </w:rPr>
        <w:t>deceptive conduct on one or other of two bases. The first was that it failed</w:t>
      </w:r>
      <w:r w:rsidR="00E53FFE" w:rsidRPr="00091C8C">
        <w:rPr>
          <w:rFonts w:ascii="Times New Roman" w:hAnsi="Times New Roman"/>
        </w:rPr>
        <w:t xml:space="preserve">, </w:t>
      </w:r>
      <w:r w:rsidRPr="00091C8C">
        <w:rPr>
          <w:rFonts w:ascii="Times New Roman" w:hAnsi="Times New Roman"/>
        </w:rPr>
        <w:t>refused or neglected to warn its customers or potential customers (including distributors, pharmacies, medical practitioners, end users and others) that the exploitation of its generic products could infringe the Patent. The other was that it impliedly represented to those customers and potential customers that they could use its products without infringing the Patent.</w:t>
      </w:r>
    </w:p>
    <w:p w14:paraId="72E38120" w14:textId="06F3EB68" w:rsidR="00CE6737" w:rsidRPr="00091C8C" w:rsidRDefault="00CE6737" w:rsidP="00091C8C">
      <w:pPr>
        <w:pStyle w:val="FixListStyle"/>
        <w:spacing w:after="260" w:line="280" w:lineRule="exact"/>
        <w:ind w:right="0"/>
        <w:jc w:val="both"/>
        <w:rPr>
          <w:rFonts w:ascii="Times New Roman" w:hAnsi="Times New Roman"/>
        </w:rPr>
      </w:pPr>
      <w:r w:rsidRPr="00091C8C">
        <w:rPr>
          <w:rFonts w:ascii="Times New Roman" w:hAnsi="Times New Roman"/>
        </w:rPr>
        <w:tab/>
        <w:t xml:space="preserve">The primary judge's finding of misleading </w:t>
      </w:r>
      <w:r w:rsidR="000036B1" w:rsidRPr="00091C8C">
        <w:rPr>
          <w:rFonts w:ascii="Times New Roman" w:hAnsi="Times New Roman"/>
        </w:rPr>
        <w:t xml:space="preserve">or </w:t>
      </w:r>
      <w:r w:rsidRPr="00091C8C">
        <w:rPr>
          <w:rFonts w:ascii="Times New Roman" w:hAnsi="Times New Roman"/>
        </w:rPr>
        <w:t>deceptive conduct was something of an amalgam of Pharma's pleaded alternatives. Her Honour said</w:t>
      </w:r>
      <w:r w:rsidRPr="00091C8C">
        <w:rPr>
          <w:rStyle w:val="FootnoteReference"/>
          <w:rFonts w:ascii="Times New Roman" w:hAnsi="Times New Roman"/>
          <w:sz w:val="24"/>
        </w:rPr>
        <w:footnoteReference w:id="85"/>
      </w:r>
      <w:r w:rsidRPr="00091C8C">
        <w:rPr>
          <w:rFonts w:ascii="Times New Roman" w:hAnsi="Times New Roman"/>
        </w:rPr>
        <w:t>:</w:t>
      </w:r>
    </w:p>
    <w:p w14:paraId="37393339" w14:textId="77777777" w:rsidR="00091C8C" w:rsidRDefault="00CE6737" w:rsidP="00091C8C">
      <w:pPr>
        <w:pStyle w:val="leftright"/>
        <w:spacing w:before="0" w:after="260" w:line="280" w:lineRule="exact"/>
        <w:ind w:right="0"/>
        <w:jc w:val="both"/>
        <w:rPr>
          <w:rFonts w:ascii="Times New Roman" w:hAnsi="Times New Roman"/>
        </w:rPr>
      </w:pPr>
      <w:r w:rsidRPr="00091C8C">
        <w:rPr>
          <w:rFonts w:ascii="Times New Roman" w:hAnsi="Times New Roman"/>
        </w:rPr>
        <w:t>"It is not necessary to go so far as to say that there is a general principle that a failure to warn of a potential patent infringement by the supply of a product is likely to involve misleading and deceptive conduct. It may be accepted that each case turns on its own facts."</w:t>
      </w:r>
    </w:p>
    <w:p w14:paraId="2AC5B27F" w14:textId="16182467" w:rsidR="00CE6737" w:rsidRPr="00091C8C" w:rsidRDefault="00CE6737" w:rsidP="00091C8C">
      <w:pPr>
        <w:pStyle w:val="NormalBody"/>
        <w:spacing w:after="260" w:line="280" w:lineRule="exact"/>
        <w:ind w:right="0"/>
        <w:jc w:val="both"/>
        <w:rPr>
          <w:rFonts w:ascii="Times New Roman" w:hAnsi="Times New Roman"/>
        </w:rPr>
      </w:pPr>
      <w:r w:rsidRPr="00091C8C">
        <w:rPr>
          <w:rFonts w:ascii="Times New Roman" w:hAnsi="Times New Roman"/>
        </w:rPr>
        <w:t>Her Honour continued</w:t>
      </w:r>
      <w:r w:rsidRPr="00091C8C">
        <w:rPr>
          <w:rStyle w:val="FootnoteReference"/>
          <w:rFonts w:ascii="Times New Roman" w:hAnsi="Times New Roman"/>
          <w:sz w:val="24"/>
        </w:rPr>
        <w:footnoteReference w:id="86"/>
      </w:r>
      <w:r w:rsidRPr="00091C8C">
        <w:rPr>
          <w:rFonts w:ascii="Times New Roman" w:hAnsi="Times New Roman"/>
        </w:rPr>
        <w:t>:</w:t>
      </w:r>
    </w:p>
    <w:p w14:paraId="7F096CC7" w14:textId="77777777" w:rsidR="00091C8C" w:rsidRDefault="00CE6737" w:rsidP="00091C8C">
      <w:pPr>
        <w:pStyle w:val="leftright"/>
        <w:spacing w:before="0" w:after="260" w:line="280" w:lineRule="exact"/>
        <w:ind w:right="0"/>
        <w:jc w:val="both"/>
        <w:rPr>
          <w:rFonts w:ascii="Times New Roman" w:hAnsi="Times New Roman"/>
        </w:rPr>
      </w:pPr>
      <w:r w:rsidRPr="00091C8C">
        <w:rPr>
          <w:rFonts w:ascii="Times New Roman" w:hAnsi="Times New Roman"/>
        </w:rPr>
        <w:t>"Sandoz achieved its sales to pharmacists on the basis of an implied misrepresentation that its products did not infringe any patent, but the products would infringe if and when the extension of term was granted. The extension of term was granted and thus the products infringed. This is sufficient to constitute misleading and deceptive conduct in the circumstances."</w:t>
      </w:r>
    </w:p>
    <w:p w14:paraId="57A31D9E" w14:textId="1AB724BF" w:rsidR="00CE6737" w:rsidRPr="00091C8C" w:rsidRDefault="00CE6737" w:rsidP="00091C8C">
      <w:pPr>
        <w:pStyle w:val="FixListStyle"/>
        <w:spacing w:after="260" w:line="280" w:lineRule="exact"/>
        <w:ind w:right="0"/>
        <w:jc w:val="both"/>
        <w:rPr>
          <w:rFonts w:ascii="Times New Roman" w:hAnsi="Times New Roman"/>
        </w:rPr>
      </w:pPr>
      <w:r w:rsidRPr="00091C8C">
        <w:rPr>
          <w:rFonts w:ascii="Times New Roman" w:hAnsi="Times New Roman"/>
        </w:rPr>
        <w:tab/>
        <w:t xml:space="preserve">No exception is taken by Sandoz to the primary judge's finding that it achieved its sales on the basis of an implied misrepresentation that its products did not infringe any patent. The finding accords with findings of misleading </w:t>
      </w:r>
      <w:r w:rsidR="000036B1" w:rsidRPr="00091C8C">
        <w:rPr>
          <w:rFonts w:ascii="Times New Roman" w:hAnsi="Times New Roman"/>
        </w:rPr>
        <w:t xml:space="preserve">or </w:t>
      </w:r>
      <w:r w:rsidRPr="00091C8C">
        <w:rPr>
          <w:rFonts w:ascii="Times New Roman" w:hAnsi="Times New Roman"/>
        </w:rPr>
        <w:t>deceptive conduct</w:t>
      </w:r>
      <w:r w:rsidR="00A71B52" w:rsidRPr="00091C8C">
        <w:rPr>
          <w:rFonts w:ascii="Times New Roman" w:hAnsi="Times New Roman"/>
        </w:rPr>
        <w:t xml:space="preserve"> having been implicit</w:t>
      </w:r>
      <w:r w:rsidRPr="00091C8C">
        <w:rPr>
          <w:rFonts w:ascii="Times New Roman" w:hAnsi="Times New Roman"/>
        </w:rPr>
        <w:t xml:space="preserve"> in the sale of infringing products in a </w:t>
      </w:r>
      <w:r w:rsidRPr="00091C8C">
        <w:rPr>
          <w:rFonts w:ascii="Times New Roman" w:hAnsi="Times New Roman"/>
        </w:rPr>
        <w:lastRenderedPageBreak/>
        <w:t>number of other patent infringement cases</w:t>
      </w:r>
      <w:r w:rsidRPr="00091C8C">
        <w:rPr>
          <w:rStyle w:val="FootnoteReference"/>
          <w:rFonts w:ascii="Times New Roman" w:hAnsi="Times New Roman"/>
          <w:sz w:val="24"/>
        </w:rPr>
        <w:footnoteReference w:id="87"/>
      </w:r>
      <w:r w:rsidRPr="00091C8C">
        <w:rPr>
          <w:rFonts w:ascii="Times New Roman" w:hAnsi="Times New Roman"/>
        </w:rPr>
        <w:t xml:space="preserve"> to which her Honour had earlier referred</w:t>
      </w:r>
      <w:r w:rsidRPr="00091C8C">
        <w:rPr>
          <w:rStyle w:val="FootnoteReference"/>
          <w:rFonts w:ascii="Times New Roman" w:hAnsi="Times New Roman"/>
          <w:sz w:val="24"/>
        </w:rPr>
        <w:footnoteReference w:id="88"/>
      </w:r>
      <w:r w:rsidRPr="00091C8C">
        <w:rPr>
          <w:rFonts w:ascii="Times New Roman" w:hAnsi="Times New Roman"/>
        </w:rPr>
        <w:t>.</w:t>
      </w:r>
    </w:p>
    <w:p w14:paraId="27B42AD7" w14:textId="45062D75" w:rsidR="00CE6737" w:rsidRPr="00091C8C" w:rsidRDefault="00CE6737" w:rsidP="00091C8C">
      <w:pPr>
        <w:pStyle w:val="FixListStyle"/>
        <w:spacing w:after="260" w:line="280" w:lineRule="exact"/>
        <w:ind w:right="0"/>
        <w:jc w:val="both"/>
        <w:rPr>
          <w:rFonts w:ascii="Times New Roman" w:hAnsi="Times New Roman"/>
        </w:rPr>
      </w:pPr>
      <w:r w:rsidRPr="00091C8C">
        <w:rPr>
          <w:rFonts w:ascii="Times New Roman" w:hAnsi="Times New Roman"/>
        </w:rPr>
        <w:tab/>
        <w:t>The problem with the balance of the primary judge's finding to which Sandoz points lies in the absence of a foundation in the evidence for considering pharmacists to have held a reasonable expectation that Sandoz would inform them, not of an existing fact, but of the possibility that they might be exposed to proceedings for infringement (through the operation of s</w:t>
      </w:r>
      <w:r w:rsidR="00A6799D" w:rsidRPr="00091C8C">
        <w:rPr>
          <w:rFonts w:ascii="Times New Roman" w:hAnsi="Times New Roman"/>
        </w:rPr>
        <w:t> </w:t>
      </w:r>
      <w:r w:rsidRPr="00091C8C">
        <w:rPr>
          <w:rFonts w:ascii="Times New Roman" w:hAnsi="Times New Roman"/>
        </w:rPr>
        <w:t>79 of the Act) if and when an extension of the term of the Patent came to be granted in the future. That pharmacists would have held an expectation of being informed about a possibility of that nature is not self-evident. Their holding of</w:t>
      </w:r>
      <w:r w:rsidR="00A71B52" w:rsidRPr="00091C8C">
        <w:rPr>
          <w:rFonts w:ascii="Times New Roman" w:hAnsi="Times New Roman"/>
        </w:rPr>
        <w:t xml:space="preserve"> such</w:t>
      </w:r>
      <w:r w:rsidRPr="00091C8C">
        <w:rPr>
          <w:rFonts w:ascii="Times New Roman" w:hAnsi="Times New Roman"/>
        </w:rPr>
        <w:t xml:space="preserve"> an expectation was not the subject of admission on the part of Sandoz and was not the subject of evidence adduced by Pharma</w:t>
      </w:r>
      <w:r w:rsidRPr="00091C8C">
        <w:rPr>
          <w:rFonts w:ascii="Times New Roman" w:hAnsi="Times New Roman"/>
          <w:bCs/>
        </w:rPr>
        <w:t>.</w:t>
      </w:r>
      <w:r w:rsidRPr="00091C8C">
        <w:rPr>
          <w:rFonts w:ascii="Times New Roman" w:hAnsi="Times New Roman"/>
        </w:rPr>
        <w:t xml:space="preserve"> </w:t>
      </w:r>
    </w:p>
    <w:p w14:paraId="27EC549E" w14:textId="10F9FA0E" w:rsidR="00BF3841" w:rsidRPr="00091C8C" w:rsidRDefault="00CE6737" w:rsidP="00091C8C">
      <w:pPr>
        <w:pStyle w:val="FixListStyle"/>
        <w:spacing w:after="260" w:line="280" w:lineRule="exact"/>
        <w:ind w:right="0"/>
        <w:jc w:val="both"/>
        <w:rPr>
          <w:rFonts w:ascii="Times New Roman" w:hAnsi="Times New Roman"/>
        </w:rPr>
      </w:pPr>
      <w:r w:rsidRPr="00091C8C">
        <w:rPr>
          <w:rFonts w:ascii="Times New Roman" w:hAnsi="Times New Roman"/>
        </w:rPr>
        <w:tab/>
        <w:t xml:space="preserve">The finding that Sandoz engaged in misleading </w:t>
      </w:r>
      <w:r w:rsidR="006062DE" w:rsidRPr="00091C8C">
        <w:rPr>
          <w:rFonts w:ascii="Times New Roman" w:hAnsi="Times New Roman"/>
        </w:rPr>
        <w:t xml:space="preserve">or </w:t>
      </w:r>
      <w:r w:rsidRPr="00091C8C">
        <w:rPr>
          <w:rFonts w:ascii="Times New Roman" w:hAnsi="Times New Roman"/>
        </w:rPr>
        <w:t>deceptive conduct in supplying its generic escitalopram products between 1</w:t>
      </w:r>
      <w:r w:rsidR="003F79D2" w:rsidRPr="00091C8C">
        <w:rPr>
          <w:rFonts w:ascii="Times New Roman" w:hAnsi="Times New Roman"/>
        </w:rPr>
        <w:t>5</w:t>
      </w:r>
      <w:r w:rsidR="008331F3" w:rsidRPr="00091C8C">
        <w:rPr>
          <w:rFonts w:ascii="Times New Roman" w:hAnsi="Times New Roman"/>
        </w:rPr>
        <w:t> </w:t>
      </w:r>
      <w:r w:rsidRPr="00091C8C">
        <w:rPr>
          <w:rFonts w:ascii="Times New Roman" w:hAnsi="Times New Roman"/>
        </w:rPr>
        <w:t>June 200</w:t>
      </w:r>
      <w:r w:rsidR="00AF014A" w:rsidRPr="00091C8C">
        <w:rPr>
          <w:rFonts w:ascii="Times New Roman" w:hAnsi="Times New Roman"/>
        </w:rPr>
        <w:t>9</w:t>
      </w:r>
      <w:r w:rsidRPr="00091C8C">
        <w:rPr>
          <w:rFonts w:ascii="Times New Roman" w:hAnsi="Times New Roman"/>
        </w:rPr>
        <w:t xml:space="preserve"> and </w:t>
      </w:r>
      <w:r w:rsidR="003F79D2" w:rsidRPr="00091C8C">
        <w:rPr>
          <w:rFonts w:ascii="Times New Roman" w:hAnsi="Times New Roman"/>
        </w:rPr>
        <w:t>9</w:t>
      </w:r>
      <w:r w:rsidR="001E1E40" w:rsidRPr="00091C8C">
        <w:rPr>
          <w:rFonts w:ascii="Times New Roman" w:hAnsi="Times New Roman"/>
        </w:rPr>
        <w:t> </w:t>
      </w:r>
      <w:r w:rsidR="003F79D2" w:rsidRPr="00091C8C">
        <w:rPr>
          <w:rFonts w:ascii="Times New Roman" w:hAnsi="Times New Roman"/>
        </w:rPr>
        <w:t xml:space="preserve">December 2012 </w:t>
      </w:r>
      <w:r w:rsidRPr="00091C8C">
        <w:rPr>
          <w:rFonts w:ascii="Times New Roman" w:hAnsi="Times New Roman"/>
        </w:rPr>
        <w:t>cannot be sustained.</w:t>
      </w:r>
    </w:p>
    <w:p w14:paraId="30770312" w14:textId="77777777" w:rsidR="00BF3841" w:rsidRPr="00091C8C" w:rsidRDefault="00BF3841" w:rsidP="00091C8C">
      <w:pPr>
        <w:pStyle w:val="HeadingL1"/>
        <w:spacing w:after="260" w:line="280" w:lineRule="exact"/>
        <w:ind w:right="0"/>
        <w:jc w:val="both"/>
        <w:rPr>
          <w:rFonts w:ascii="Times New Roman" w:hAnsi="Times New Roman"/>
        </w:rPr>
      </w:pPr>
      <w:r w:rsidRPr="00091C8C">
        <w:rPr>
          <w:rFonts w:ascii="Times New Roman" w:hAnsi="Times New Roman"/>
        </w:rPr>
        <w:t>Disposition of the appeals</w:t>
      </w:r>
    </w:p>
    <w:p w14:paraId="58A4B435" w14:textId="77777777" w:rsidR="008A287D" w:rsidRPr="00091C8C" w:rsidRDefault="00BF3841" w:rsidP="00091C8C">
      <w:pPr>
        <w:pStyle w:val="FixListStyle"/>
        <w:spacing w:after="260" w:line="280" w:lineRule="exact"/>
        <w:ind w:right="0"/>
        <w:jc w:val="both"/>
        <w:rPr>
          <w:rFonts w:ascii="Times New Roman" w:hAnsi="Times New Roman"/>
        </w:rPr>
      </w:pPr>
      <w:r w:rsidRPr="00091C8C">
        <w:rPr>
          <w:rFonts w:ascii="Times New Roman" w:hAnsi="Times New Roman"/>
        </w:rPr>
        <w:tab/>
      </w:r>
      <w:r w:rsidR="008A287D" w:rsidRPr="00091C8C">
        <w:rPr>
          <w:rFonts w:ascii="Times New Roman" w:hAnsi="Times New Roman"/>
        </w:rPr>
        <w:t>The Pharma Appeal must be dismissed with costs.</w:t>
      </w:r>
    </w:p>
    <w:p w14:paraId="60BDA2ED" w14:textId="01E93014" w:rsidR="00BF3841" w:rsidRPr="00091C8C" w:rsidRDefault="008A287D" w:rsidP="00091C8C">
      <w:pPr>
        <w:pStyle w:val="FixListStyle"/>
        <w:spacing w:after="260" w:line="280" w:lineRule="exact"/>
        <w:ind w:right="0"/>
        <w:jc w:val="both"/>
        <w:rPr>
          <w:rFonts w:ascii="Times New Roman" w:hAnsi="Times New Roman"/>
        </w:rPr>
      </w:pPr>
      <w:r w:rsidRPr="00091C8C">
        <w:rPr>
          <w:rFonts w:ascii="Times New Roman" w:hAnsi="Times New Roman"/>
        </w:rPr>
        <w:tab/>
      </w:r>
      <w:r w:rsidR="00BF3841" w:rsidRPr="00091C8C">
        <w:rPr>
          <w:rFonts w:ascii="Times New Roman" w:hAnsi="Times New Roman"/>
        </w:rPr>
        <w:t xml:space="preserve">The Lundbeck </w:t>
      </w:r>
      <w:r w:rsidR="00B467F3" w:rsidRPr="00091C8C">
        <w:rPr>
          <w:rFonts w:ascii="Times New Roman" w:hAnsi="Times New Roman"/>
        </w:rPr>
        <w:t>Appeal</w:t>
      </w:r>
      <w:r w:rsidR="00BF3841" w:rsidRPr="00091C8C">
        <w:rPr>
          <w:rFonts w:ascii="Times New Roman" w:hAnsi="Times New Roman"/>
        </w:rPr>
        <w:t xml:space="preserve"> must be allowed. The orders of the Full Court allowing the appeal and dismissing the cross-appeal from the decision of the primary judge, setting aside the substantive orders made by the primary judge, and dismissing the </w:t>
      </w:r>
      <w:r w:rsidR="00D57413" w:rsidRPr="00091C8C">
        <w:rPr>
          <w:rFonts w:ascii="Times New Roman" w:hAnsi="Times New Roman"/>
        </w:rPr>
        <w:t>proceedings</w:t>
      </w:r>
      <w:r w:rsidR="00BF3841" w:rsidRPr="00091C8C">
        <w:rPr>
          <w:rFonts w:ascii="Times New Roman" w:hAnsi="Times New Roman"/>
        </w:rPr>
        <w:t xml:space="preserve">, must each be set aside. In their place, the appeal and the cross-appeal from the decision of the primary judge must each be allowed in part, the orders made by the primary judge for damages and pre-judgment interest payable to each of Lundbeck </w:t>
      </w:r>
      <w:r w:rsidR="00D57413" w:rsidRPr="00091C8C">
        <w:rPr>
          <w:rFonts w:ascii="Times New Roman" w:hAnsi="Times New Roman"/>
        </w:rPr>
        <w:t xml:space="preserve">Denmark </w:t>
      </w:r>
      <w:r w:rsidR="00BF3841" w:rsidRPr="00091C8C">
        <w:rPr>
          <w:rFonts w:ascii="Times New Roman" w:hAnsi="Times New Roman"/>
        </w:rPr>
        <w:t>and Lundbeck A</w:t>
      </w:r>
      <w:r w:rsidR="00D57413" w:rsidRPr="00091C8C">
        <w:rPr>
          <w:rFonts w:ascii="Times New Roman" w:hAnsi="Times New Roman"/>
        </w:rPr>
        <w:t>ustralia</w:t>
      </w:r>
      <w:r w:rsidR="00BF3841" w:rsidRPr="00091C8C">
        <w:rPr>
          <w:rFonts w:ascii="Times New Roman" w:hAnsi="Times New Roman"/>
        </w:rPr>
        <w:t xml:space="preserve"> must be set aside, and the matter must be remitted to the primary judge for recalculation of damages and pre</w:t>
      </w:r>
      <w:r w:rsidR="0083641A" w:rsidRPr="00091C8C">
        <w:rPr>
          <w:rFonts w:ascii="Times New Roman" w:hAnsi="Times New Roman"/>
        </w:rPr>
        <w:t>-</w:t>
      </w:r>
      <w:r w:rsidR="00BF3841" w:rsidRPr="00091C8C">
        <w:rPr>
          <w:rFonts w:ascii="Times New Roman" w:hAnsi="Times New Roman"/>
        </w:rPr>
        <w:t xml:space="preserve">judgment interest payable to Lundbeck </w:t>
      </w:r>
      <w:r w:rsidR="00DE7A93" w:rsidRPr="00091C8C">
        <w:rPr>
          <w:rFonts w:ascii="Times New Roman" w:hAnsi="Times New Roman"/>
        </w:rPr>
        <w:t xml:space="preserve">Denmark </w:t>
      </w:r>
      <w:r w:rsidR="00BF3841" w:rsidRPr="00091C8C">
        <w:rPr>
          <w:rFonts w:ascii="Times New Roman" w:hAnsi="Times New Roman"/>
        </w:rPr>
        <w:t xml:space="preserve">alone. </w:t>
      </w:r>
    </w:p>
    <w:p w14:paraId="662052AF" w14:textId="50E39E74" w:rsidR="00BF3841" w:rsidRPr="00091C8C" w:rsidRDefault="00BF3841" w:rsidP="00091C8C">
      <w:pPr>
        <w:pStyle w:val="FixListStyle"/>
        <w:spacing w:after="260" w:line="280" w:lineRule="exact"/>
        <w:ind w:right="0"/>
        <w:jc w:val="both"/>
        <w:rPr>
          <w:rFonts w:ascii="Times New Roman" w:hAnsi="Times New Roman"/>
        </w:rPr>
      </w:pPr>
      <w:r w:rsidRPr="00091C8C">
        <w:rPr>
          <w:rFonts w:ascii="Times New Roman" w:hAnsi="Times New Roman"/>
        </w:rPr>
        <w:lastRenderedPageBreak/>
        <w:tab/>
        <w:t>There is no dispute between the parties that the recalculation of damages must be undertaken in accordance with an adjustment made by the Full Court to the primary judge's discount of the damages from 25% to 2 to 3%. The recalculation of pre</w:t>
      </w:r>
      <w:r w:rsidR="0083641A" w:rsidRPr="00091C8C">
        <w:rPr>
          <w:rFonts w:ascii="Times New Roman" w:hAnsi="Times New Roman"/>
        </w:rPr>
        <w:t>-</w:t>
      </w:r>
      <w:r w:rsidRPr="00091C8C">
        <w:rPr>
          <w:rFonts w:ascii="Times New Roman" w:hAnsi="Times New Roman"/>
        </w:rPr>
        <w:t>judgment interest on those damages must be undertaken in accordance with the holding of this Court that Lundbeck</w:t>
      </w:r>
      <w:r w:rsidR="00E629BC" w:rsidRPr="00091C8C">
        <w:rPr>
          <w:rFonts w:ascii="Times New Roman" w:hAnsi="Times New Roman"/>
        </w:rPr>
        <w:t xml:space="preserve"> Denmark's</w:t>
      </w:r>
      <w:r w:rsidRPr="00091C8C">
        <w:rPr>
          <w:rFonts w:ascii="Times New Roman" w:hAnsi="Times New Roman"/>
        </w:rPr>
        <w:t xml:space="preserve"> cause of action arose </w:t>
      </w:r>
      <w:r w:rsidR="00E629BC" w:rsidRPr="00091C8C">
        <w:rPr>
          <w:rFonts w:ascii="Times New Roman" w:hAnsi="Times New Roman"/>
        </w:rPr>
        <w:t xml:space="preserve">only </w:t>
      </w:r>
      <w:r w:rsidRPr="00091C8C">
        <w:rPr>
          <w:rFonts w:ascii="Times New Roman" w:hAnsi="Times New Roman"/>
        </w:rPr>
        <w:t>on the grant of the extension of the term of the Patent on 25</w:t>
      </w:r>
      <w:r w:rsidR="00BA68E4" w:rsidRPr="00091C8C">
        <w:rPr>
          <w:rFonts w:ascii="Times New Roman" w:hAnsi="Times New Roman"/>
        </w:rPr>
        <w:t> </w:t>
      </w:r>
      <w:r w:rsidRPr="00091C8C">
        <w:rPr>
          <w:rFonts w:ascii="Times New Roman" w:hAnsi="Times New Roman"/>
        </w:rPr>
        <w:t>June 2014.</w:t>
      </w:r>
    </w:p>
    <w:p w14:paraId="693711A1" w14:textId="42B4DEF3" w:rsidR="0076347C" w:rsidRPr="00091C8C" w:rsidRDefault="0076347C" w:rsidP="00091C8C">
      <w:pPr>
        <w:pStyle w:val="FixListStyle"/>
        <w:spacing w:after="260" w:line="280" w:lineRule="exact"/>
        <w:ind w:right="0"/>
        <w:jc w:val="both"/>
        <w:rPr>
          <w:rFonts w:ascii="Times New Roman" w:hAnsi="Times New Roman"/>
        </w:rPr>
      </w:pPr>
      <w:r w:rsidRPr="00091C8C">
        <w:rPr>
          <w:rFonts w:ascii="Times New Roman" w:hAnsi="Times New Roman"/>
        </w:rPr>
        <w:tab/>
        <w:t xml:space="preserve">There is </w:t>
      </w:r>
      <w:r w:rsidR="00497CBE" w:rsidRPr="00091C8C">
        <w:rPr>
          <w:rFonts w:ascii="Times New Roman" w:hAnsi="Times New Roman"/>
        </w:rPr>
        <w:t xml:space="preserve">also </w:t>
      </w:r>
      <w:r w:rsidRPr="00091C8C">
        <w:rPr>
          <w:rFonts w:ascii="Times New Roman" w:hAnsi="Times New Roman"/>
        </w:rPr>
        <w:t xml:space="preserve">no dispute between the parties that the </w:t>
      </w:r>
      <w:r w:rsidR="002D79EF" w:rsidRPr="00091C8C">
        <w:rPr>
          <w:rFonts w:ascii="Times New Roman" w:hAnsi="Times New Roman"/>
        </w:rPr>
        <w:t xml:space="preserve">order </w:t>
      </w:r>
      <w:r w:rsidR="00EF6E49" w:rsidRPr="00091C8C">
        <w:rPr>
          <w:rFonts w:ascii="Times New Roman" w:hAnsi="Times New Roman"/>
        </w:rPr>
        <w:t xml:space="preserve">remitting the matter to the primary judge </w:t>
      </w:r>
      <w:r w:rsidR="002D79EF" w:rsidRPr="00091C8C">
        <w:rPr>
          <w:rFonts w:ascii="Times New Roman" w:hAnsi="Times New Roman"/>
        </w:rPr>
        <w:t xml:space="preserve">for the </w:t>
      </w:r>
      <w:r w:rsidRPr="00091C8C">
        <w:rPr>
          <w:rFonts w:ascii="Times New Roman" w:hAnsi="Times New Roman"/>
        </w:rPr>
        <w:t xml:space="preserve">recalculation of damages </w:t>
      </w:r>
      <w:r w:rsidR="00064B8F" w:rsidRPr="00091C8C">
        <w:rPr>
          <w:rFonts w:ascii="Times New Roman" w:hAnsi="Times New Roman"/>
        </w:rPr>
        <w:t>should</w:t>
      </w:r>
      <w:r w:rsidRPr="00091C8C">
        <w:rPr>
          <w:rFonts w:ascii="Times New Roman" w:hAnsi="Times New Roman"/>
        </w:rPr>
        <w:t xml:space="preserve"> be </w:t>
      </w:r>
      <w:r w:rsidR="00DE6791" w:rsidRPr="00091C8C">
        <w:rPr>
          <w:rFonts w:ascii="Times New Roman" w:hAnsi="Times New Roman"/>
        </w:rPr>
        <w:t xml:space="preserve">framed </w:t>
      </w:r>
      <w:r w:rsidR="0045238C" w:rsidRPr="00091C8C">
        <w:rPr>
          <w:rFonts w:ascii="Times New Roman" w:hAnsi="Times New Roman"/>
        </w:rPr>
        <w:t>to ensure that it does not</w:t>
      </w:r>
      <w:r w:rsidRPr="00091C8C">
        <w:rPr>
          <w:rFonts w:ascii="Times New Roman" w:hAnsi="Times New Roman"/>
        </w:rPr>
        <w:t xml:space="preserve"> prejudice </w:t>
      </w:r>
      <w:r w:rsidR="0040534B" w:rsidRPr="00091C8C">
        <w:rPr>
          <w:rFonts w:ascii="Times New Roman" w:hAnsi="Times New Roman"/>
        </w:rPr>
        <w:t xml:space="preserve">the outcome of </w:t>
      </w:r>
      <w:r w:rsidR="0056795D" w:rsidRPr="00091C8C">
        <w:rPr>
          <w:rFonts w:ascii="Times New Roman" w:hAnsi="Times New Roman"/>
        </w:rPr>
        <w:t>a pending</w:t>
      </w:r>
      <w:r w:rsidR="0040534B" w:rsidRPr="00091C8C">
        <w:rPr>
          <w:rFonts w:ascii="Times New Roman" w:hAnsi="Times New Roman"/>
        </w:rPr>
        <w:t xml:space="preserve"> </w:t>
      </w:r>
      <w:r w:rsidR="007C1297" w:rsidRPr="00091C8C">
        <w:rPr>
          <w:rFonts w:ascii="Times New Roman" w:hAnsi="Times New Roman"/>
        </w:rPr>
        <w:t xml:space="preserve">review by the Administrative Appeals Tribunal sought </w:t>
      </w:r>
      <w:r w:rsidR="0040534B" w:rsidRPr="00091C8C">
        <w:rPr>
          <w:rFonts w:ascii="Times New Roman" w:hAnsi="Times New Roman"/>
        </w:rPr>
        <w:t>by</w:t>
      </w:r>
      <w:r w:rsidR="00E6278F" w:rsidRPr="00091C8C">
        <w:rPr>
          <w:rFonts w:ascii="Times New Roman" w:hAnsi="Times New Roman"/>
        </w:rPr>
        <w:t xml:space="preserve"> </w:t>
      </w:r>
      <w:r w:rsidR="0040534B" w:rsidRPr="00091C8C">
        <w:rPr>
          <w:rFonts w:ascii="Times New Roman" w:hAnsi="Times New Roman"/>
        </w:rPr>
        <w:t xml:space="preserve">Lundbeck </w:t>
      </w:r>
      <w:r w:rsidR="007C1297" w:rsidRPr="00091C8C">
        <w:rPr>
          <w:rFonts w:ascii="Times New Roman" w:hAnsi="Times New Roman"/>
        </w:rPr>
        <w:t xml:space="preserve">Denmark </w:t>
      </w:r>
      <w:r w:rsidR="00D13C37" w:rsidRPr="00091C8C">
        <w:rPr>
          <w:rFonts w:ascii="Times New Roman" w:hAnsi="Times New Roman"/>
        </w:rPr>
        <w:t>of the decision</w:t>
      </w:r>
      <w:r w:rsidR="00516A0D" w:rsidRPr="00091C8C">
        <w:rPr>
          <w:rFonts w:ascii="Times New Roman" w:hAnsi="Times New Roman"/>
        </w:rPr>
        <w:t xml:space="preserve"> by</w:t>
      </w:r>
      <w:r w:rsidR="0040534B" w:rsidRPr="00091C8C">
        <w:rPr>
          <w:rFonts w:ascii="Times New Roman" w:hAnsi="Times New Roman"/>
        </w:rPr>
        <w:t xml:space="preserve"> the Commissioner</w:t>
      </w:r>
      <w:r w:rsidR="0045238C" w:rsidRPr="00091C8C">
        <w:rPr>
          <w:rFonts w:ascii="Times New Roman" w:hAnsi="Times New Roman"/>
        </w:rPr>
        <w:t xml:space="preserve">, </w:t>
      </w:r>
      <w:r w:rsidR="00695513" w:rsidRPr="00091C8C">
        <w:rPr>
          <w:rFonts w:ascii="Times New Roman" w:hAnsi="Times New Roman"/>
        </w:rPr>
        <w:t>after the decision of the primary judge but before the decision of the Full Court</w:t>
      </w:r>
      <w:r w:rsidR="0045238C" w:rsidRPr="00091C8C">
        <w:rPr>
          <w:rFonts w:ascii="Times New Roman" w:hAnsi="Times New Roman"/>
        </w:rPr>
        <w:t>,</w:t>
      </w:r>
      <w:r w:rsidR="00695513" w:rsidRPr="00091C8C">
        <w:rPr>
          <w:rFonts w:ascii="Times New Roman" w:hAnsi="Times New Roman"/>
        </w:rPr>
        <w:t xml:space="preserve"> </w:t>
      </w:r>
      <w:r w:rsidR="002A53EB" w:rsidRPr="00091C8C">
        <w:rPr>
          <w:rFonts w:ascii="Times New Roman" w:hAnsi="Times New Roman"/>
        </w:rPr>
        <w:t xml:space="preserve">to grant </w:t>
      </w:r>
      <w:r w:rsidR="00695513" w:rsidRPr="00091C8C">
        <w:rPr>
          <w:rFonts w:ascii="Times New Roman" w:hAnsi="Times New Roman"/>
        </w:rPr>
        <w:t xml:space="preserve">a licence </w:t>
      </w:r>
      <w:r w:rsidR="00DE6791" w:rsidRPr="00091C8C">
        <w:rPr>
          <w:rFonts w:ascii="Times New Roman" w:hAnsi="Times New Roman"/>
        </w:rPr>
        <w:t>under s</w:t>
      </w:r>
      <w:r w:rsidR="00567B14" w:rsidRPr="00091C8C">
        <w:rPr>
          <w:rFonts w:ascii="Times New Roman" w:hAnsi="Times New Roman"/>
        </w:rPr>
        <w:t> </w:t>
      </w:r>
      <w:r w:rsidR="00DE6791" w:rsidRPr="00091C8C">
        <w:rPr>
          <w:rFonts w:ascii="Times New Roman" w:hAnsi="Times New Roman"/>
        </w:rPr>
        <w:t>223(9) of the Act and reg</w:t>
      </w:r>
      <w:r w:rsidR="00146B10" w:rsidRPr="00091C8C">
        <w:rPr>
          <w:rFonts w:ascii="Times New Roman" w:hAnsi="Times New Roman"/>
        </w:rPr>
        <w:t> </w:t>
      </w:r>
      <w:r w:rsidR="00DE6791" w:rsidRPr="00091C8C">
        <w:rPr>
          <w:rFonts w:ascii="Times New Roman" w:hAnsi="Times New Roman"/>
        </w:rPr>
        <w:t xml:space="preserve">22.21 of the </w:t>
      </w:r>
      <w:r w:rsidR="00DE6791" w:rsidRPr="00091C8C">
        <w:rPr>
          <w:rFonts w:ascii="Times New Roman" w:hAnsi="Times New Roman"/>
          <w:i/>
        </w:rPr>
        <w:t>Patents Regulations 1991</w:t>
      </w:r>
      <w:r w:rsidR="00DE6791" w:rsidRPr="00091C8C">
        <w:rPr>
          <w:rFonts w:ascii="Times New Roman" w:hAnsi="Times New Roman"/>
        </w:rPr>
        <w:t xml:space="preserve"> (Cth)</w:t>
      </w:r>
      <w:r w:rsidR="0045238C" w:rsidRPr="00091C8C">
        <w:rPr>
          <w:rStyle w:val="FootnoteReference"/>
          <w:rFonts w:ascii="Times New Roman" w:hAnsi="Times New Roman"/>
          <w:sz w:val="24"/>
        </w:rPr>
        <w:footnoteReference w:id="89"/>
      </w:r>
      <w:r w:rsidR="00DE6791" w:rsidRPr="00091C8C">
        <w:rPr>
          <w:rFonts w:ascii="Times New Roman" w:hAnsi="Times New Roman"/>
        </w:rPr>
        <w:t>.</w:t>
      </w:r>
      <w:r w:rsidR="0045238C" w:rsidRPr="00091C8C">
        <w:rPr>
          <w:rFonts w:ascii="Times New Roman" w:hAnsi="Times New Roman"/>
        </w:rPr>
        <w:t xml:space="preserve"> </w:t>
      </w:r>
    </w:p>
    <w:p w14:paraId="3F448095" w14:textId="77777777" w:rsidR="00BB2DE8" w:rsidRDefault="00BF3841" w:rsidP="00091C8C">
      <w:pPr>
        <w:pStyle w:val="FixListStyle"/>
        <w:spacing w:after="260" w:line="280" w:lineRule="exact"/>
        <w:ind w:right="0"/>
        <w:jc w:val="both"/>
        <w:rPr>
          <w:rFonts w:ascii="Times New Roman" w:hAnsi="Times New Roman"/>
        </w:rPr>
      </w:pPr>
      <w:r w:rsidRPr="00091C8C">
        <w:rPr>
          <w:rFonts w:ascii="Times New Roman" w:hAnsi="Times New Roman"/>
        </w:rPr>
        <w:tab/>
        <w:t xml:space="preserve">As Lundbeck </w:t>
      </w:r>
      <w:r w:rsidR="00BE4B8F" w:rsidRPr="00091C8C">
        <w:rPr>
          <w:rFonts w:ascii="Times New Roman" w:hAnsi="Times New Roman"/>
        </w:rPr>
        <w:t xml:space="preserve">Denmark </w:t>
      </w:r>
      <w:r w:rsidRPr="00091C8C">
        <w:rPr>
          <w:rFonts w:ascii="Times New Roman" w:hAnsi="Times New Roman"/>
        </w:rPr>
        <w:t>has had a substantial measure of success</w:t>
      </w:r>
      <w:r w:rsidR="005029F0" w:rsidRPr="00091C8C">
        <w:rPr>
          <w:rFonts w:ascii="Times New Roman" w:hAnsi="Times New Roman"/>
        </w:rPr>
        <w:t xml:space="preserve"> in the Lundbeck Appeal</w:t>
      </w:r>
      <w:r w:rsidRPr="00091C8C">
        <w:rPr>
          <w:rFonts w:ascii="Times New Roman" w:hAnsi="Times New Roman"/>
        </w:rPr>
        <w:t xml:space="preserve">, Lundbeck </w:t>
      </w:r>
      <w:r w:rsidR="003A571C" w:rsidRPr="00091C8C">
        <w:rPr>
          <w:rFonts w:ascii="Times New Roman" w:hAnsi="Times New Roman"/>
        </w:rPr>
        <w:t xml:space="preserve">Denmark </w:t>
      </w:r>
      <w:r w:rsidRPr="00091C8C">
        <w:rPr>
          <w:rFonts w:ascii="Times New Roman" w:hAnsi="Times New Roman"/>
        </w:rPr>
        <w:t>and Lundbeck A</w:t>
      </w:r>
      <w:r w:rsidR="003A571C" w:rsidRPr="00091C8C">
        <w:rPr>
          <w:rFonts w:ascii="Times New Roman" w:hAnsi="Times New Roman"/>
        </w:rPr>
        <w:t>ustralia</w:t>
      </w:r>
      <w:r w:rsidRPr="00091C8C">
        <w:rPr>
          <w:rFonts w:ascii="Times New Roman" w:hAnsi="Times New Roman"/>
        </w:rPr>
        <w:t xml:space="preserve"> are to have their costs to date </w:t>
      </w:r>
      <w:r w:rsidR="00933287" w:rsidRPr="00091C8C">
        <w:rPr>
          <w:rFonts w:ascii="Times New Roman" w:hAnsi="Times New Roman"/>
        </w:rPr>
        <w:t xml:space="preserve">of the proceedings </w:t>
      </w:r>
      <w:r w:rsidRPr="00091C8C">
        <w:rPr>
          <w:rFonts w:ascii="Times New Roman" w:hAnsi="Times New Roman"/>
        </w:rPr>
        <w:t xml:space="preserve">before the primary judge, </w:t>
      </w:r>
      <w:r w:rsidR="00933287" w:rsidRPr="00091C8C">
        <w:rPr>
          <w:rFonts w:ascii="Times New Roman" w:hAnsi="Times New Roman"/>
        </w:rPr>
        <w:t>of the appeal and cross-appeal to</w:t>
      </w:r>
      <w:r w:rsidRPr="00091C8C">
        <w:rPr>
          <w:rFonts w:ascii="Times New Roman" w:hAnsi="Times New Roman"/>
        </w:rPr>
        <w:t xml:space="preserve"> the Full Court and </w:t>
      </w:r>
      <w:r w:rsidR="00933287" w:rsidRPr="00091C8C">
        <w:rPr>
          <w:rFonts w:ascii="Times New Roman" w:hAnsi="Times New Roman"/>
        </w:rPr>
        <w:t>of the appeal to</w:t>
      </w:r>
      <w:r w:rsidRPr="00091C8C">
        <w:rPr>
          <w:rFonts w:ascii="Times New Roman" w:hAnsi="Times New Roman"/>
        </w:rPr>
        <w:t xml:space="preserve"> this Court. </w:t>
      </w:r>
    </w:p>
    <w:p w14:paraId="5ECB84CD" w14:textId="77777777" w:rsidR="00BB2DE8" w:rsidRDefault="00BB2DE8" w:rsidP="00091C8C">
      <w:pPr>
        <w:pStyle w:val="FixListStyle"/>
        <w:spacing w:after="260" w:line="280" w:lineRule="exact"/>
        <w:ind w:right="0"/>
        <w:jc w:val="both"/>
        <w:rPr>
          <w:rFonts w:ascii="Times New Roman" w:hAnsi="Times New Roman"/>
        </w:rPr>
        <w:sectPr w:rsidR="00BB2DE8" w:rsidSect="000F7375">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6E6DDA23" w14:textId="77777777" w:rsidR="00BB2DE8" w:rsidRPr="00D01163" w:rsidRDefault="00BB2DE8" w:rsidP="00D01163">
      <w:pPr>
        <w:pStyle w:val="NormalBody"/>
        <w:tabs>
          <w:tab w:val="clear" w:pos="720"/>
          <w:tab w:val="left" w:pos="0"/>
        </w:tabs>
        <w:spacing w:after="260" w:line="280" w:lineRule="exact"/>
        <w:ind w:right="0"/>
        <w:jc w:val="both"/>
        <w:rPr>
          <w:rFonts w:ascii="Times New Roman" w:hAnsi="Times New Roman"/>
        </w:rPr>
      </w:pPr>
      <w:r w:rsidRPr="00D01163">
        <w:rPr>
          <w:rFonts w:ascii="Times New Roman" w:hAnsi="Times New Roman"/>
        </w:rPr>
        <w:lastRenderedPageBreak/>
        <w:t xml:space="preserve">EDELMAN J.   </w:t>
      </w:r>
    </w:p>
    <w:p w14:paraId="075656C5" w14:textId="77777777" w:rsidR="00BB2DE8" w:rsidRPr="00D01163" w:rsidRDefault="00BB2DE8" w:rsidP="00D01163">
      <w:pPr>
        <w:pStyle w:val="HeadingL1"/>
        <w:spacing w:after="260" w:line="280" w:lineRule="exact"/>
        <w:ind w:right="0"/>
        <w:jc w:val="both"/>
        <w:rPr>
          <w:rFonts w:ascii="Times New Roman" w:hAnsi="Times New Roman"/>
        </w:rPr>
      </w:pPr>
      <w:r w:rsidRPr="00D01163">
        <w:rPr>
          <w:rFonts w:ascii="Times New Roman" w:hAnsi="Times New Roman"/>
        </w:rPr>
        <w:t>The issue of contractual implication and the consequential issues</w:t>
      </w:r>
    </w:p>
    <w:p w14:paraId="164B8655" w14:textId="77777777" w:rsidR="00BB2DE8" w:rsidRPr="00D01163" w:rsidRDefault="00BB2DE8" w:rsidP="00D01163">
      <w:pPr>
        <w:pStyle w:val="FixListStyle"/>
        <w:spacing w:after="260" w:line="280" w:lineRule="exact"/>
        <w:ind w:right="0"/>
        <w:jc w:val="both"/>
        <w:rPr>
          <w:rFonts w:ascii="Times New Roman" w:hAnsi="Times New Roman"/>
        </w:rPr>
      </w:pPr>
      <w:r w:rsidRPr="00D01163">
        <w:rPr>
          <w:rFonts w:ascii="Times New Roman" w:hAnsi="Times New Roman"/>
        </w:rPr>
        <w:tab/>
        <w:t>The appellants in one of the appeals before this Court are H Lundbeck A/S ("Lundbeck Denmark") and its subsidiary and exclusive licensee, Lundbeck Australia Pty Ltd ("Lundbeck Australia"), collectively described below as the "Lundbeck entities". In February 2007, the Lundbeck entities entered into a settlement agreement with the respondent in both appeals, Sandoz Pty Ltd ("Sandoz"). By cl 5 of the settlement agreement, Sandoz agreed to discontinue proceedings that it had brought against the Lundbeck entities which had sought revocation of a patent that Lundbeck Denmark held in relation to a pharmaceutical substance called escitalopram, which is a treatment for depression ("the Patent").</w:t>
      </w:r>
    </w:p>
    <w:p w14:paraId="6A6D1848" w14:textId="77777777" w:rsidR="00BB2DE8" w:rsidRPr="00D01163" w:rsidRDefault="00BB2DE8" w:rsidP="00D01163">
      <w:pPr>
        <w:pStyle w:val="FixListStyle"/>
        <w:spacing w:after="260" w:line="280" w:lineRule="exact"/>
        <w:ind w:right="0"/>
        <w:jc w:val="both"/>
        <w:rPr>
          <w:rFonts w:ascii="Times New Roman" w:hAnsi="Times New Roman"/>
        </w:rPr>
      </w:pPr>
      <w:r w:rsidRPr="00D01163">
        <w:rPr>
          <w:rFonts w:ascii="Times New Roman" w:hAnsi="Times New Roman"/>
        </w:rPr>
        <w:tab/>
        <w:t>The principal issue on these appeals concerns the interpretation of a bespoke clause in the settlement agreement and its application to remote circumstances which were not expected by either party to occur. By the bespoke clause, cl 3, the Lundbeck entities granted to Sandoz irrevocable non</w:t>
      </w:r>
      <w:r w:rsidRPr="00D01163">
        <w:rPr>
          <w:rFonts w:ascii="Times New Roman" w:hAnsi="Times New Roman"/>
        </w:rPr>
        <w:noBreakHyphen/>
        <w:t>exclusive licences "to the Patent". Clause 3 carefully provided for a commencement date for the licences based on various contingencies concerning when the term of the Patent might expire. The commencement date for the primary licence was set to be a date that was two weeks before the expiry of the term of the Patent. The principal interpretation issue arises because there was no express provision of an end date to the licences.</w:t>
      </w:r>
    </w:p>
    <w:p w14:paraId="76498534" w14:textId="77777777" w:rsidR="00BB2DE8" w:rsidRPr="00D01163" w:rsidRDefault="00BB2DE8" w:rsidP="00D01163">
      <w:pPr>
        <w:pStyle w:val="FixListStyle"/>
        <w:spacing w:after="260" w:line="280" w:lineRule="exact"/>
        <w:ind w:right="0"/>
        <w:jc w:val="both"/>
        <w:rPr>
          <w:rFonts w:ascii="Times New Roman" w:hAnsi="Times New Roman"/>
        </w:rPr>
      </w:pPr>
      <w:r w:rsidRPr="00D01163">
        <w:rPr>
          <w:rFonts w:ascii="Times New Roman" w:hAnsi="Times New Roman"/>
        </w:rPr>
        <w:tab/>
        <w:t>The appellants in both appeals submitted that the licences came to an end when the term of the Patent expired. This would have the effect that, if an extension of the term of the Patent were granted after expiry of the Patent term</w:t>
      </w:r>
      <w:r w:rsidRPr="00D01163">
        <w:rPr>
          <w:rStyle w:val="FootnoteReference"/>
          <w:rFonts w:ascii="Times New Roman" w:hAnsi="Times New Roman"/>
          <w:sz w:val="24"/>
        </w:rPr>
        <w:footnoteReference w:id="90"/>
      </w:r>
      <w:r w:rsidRPr="00D01163">
        <w:rPr>
          <w:rFonts w:ascii="Times New Roman" w:hAnsi="Times New Roman"/>
        </w:rPr>
        <w:t>, Sandoz's licence would have expired and proceedings could be brought against Sandoz for post</w:t>
      </w:r>
      <w:r w:rsidRPr="00D01163">
        <w:rPr>
          <w:rFonts w:ascii="Times New Roman" w:hAnsi="Times New Roman"/>
        </w:rPr>
        <w:noBreakHyphen/>
        <w:t>expiry acts that would have infringed the Patent "as if the [Patent] extension had been granted"</w:t>
      </w:r>
      <w:r w:rsidRPr="00D01163">
        <w:rPr>
          <w:rStyle w:val="FootnoteReference"/>
          <w:rFonts w:ascii="Times New Roman" w:hAnsi="Times New Roman"/>
          <w:sz w:val="24"/>
        </w:rPr>
        <w:footnoteReference w:id="91"/>
      </w:r>
      <w:r w:rsidRPr="00D01163">
        <w:rPr>
          <w:rFonts w:ascii="Times New Roman" w:hAnsi="Times New Roman"/>
        </w:rPr>
        <w:t xml:space="preserve"> at the time of those acts. The primary judge accepted this submission</w:t>
      </w:r>
      <w:r w:rsidRPr="00D01163">
        <w:rPr>
          <w:rStyle w:val="FootnoteReference"/>
          <w:rFonts w:ascii="Times New Roman" w:hAnsi="Times New Roman"/>
          <w:sz w:val="24"/>
        </w:rPr>
        <w:footnoteReference w:id="92"/>
      </w:r>
      <w:r w:rsidRPr="00D01163">
        <w:rPr>
          <w:rFonts w:ascii="Times New Roman" w:hAnsi="Times New Roman"/>
        </w:rPr>
        <w:t>. By contrast, Sandoz submitted that there was an absence of any expressed or implied end date in the licences which meant that the licences must be perpetual. Hence, Sandoz would have a defence to an action against it for infringement of the Patent on the basis that it acted under a licence. The Full Court of the Federal Court of Australia accepted this submission</w:t>
      </w:r>
      <w:r w:rsidRPr="00D01163">
        <w:rPr>
          <w:rStyle w:val="FootnoteReference"/>
          <w:rFonts w:ascii="Times New Roman" w:hAnsi="Times New Roman"/>
          <w:sz w:val="24"/>
        </w:rPr>
        <w:footnoteReference w:id="93"/>
      </w:r>
      <w:r w:rsidRPr="00D01163">
        <w:rPr>
          <w:rFonts w:ascii="Times New Roman" w:hAnsi="Times New Roman"/>
        </w:rPr>
        <w:t xml:space="preserve">. For the reasons below, and gratefully relying upon the comprehensive background and legislative history </w:t>
      </w:r>
      <w:r w:rsidRPr="00D01163">
        <w:rPr>
          <w:rFonts w:ascii="Times New Roman" w:hAnsi="Times New Roman"/>
        </w:rPr>
        <w:lastRenderedPageBreak/>
        <w:t>set out in the joint judgment, the proper approach to recognition of implications means that the conclusion of the primary judge best reflects the implications in cl 3 that would be recognised by a reasonable person in the position of the parties. This conclusion gives rise to three consequential issues.</w:t>
      </w:r>
    </w:p>
    <w:p w14:paraId="7D88102D" w14:textId="77777777" w:rsidR="00BB2DE8" w:rsidRPr="00D01163" w:rsidRDefault="00BB2DE8" w:rsidP="00D01163">
      <w:pPr>
        <w:pStyle w:val="FixListStyle"/>
        <w:spacing w:after="260" w:line="280" w:lineRule="exact"/>
        <w:ind w:right="0"/>
        <w:jc w:val="both"/>
        <w:rPr>
          <w:rFonts w:ascii="Times New Roman" w:hAnsi="Times New Roman"/>
        </w:rPr>
      </w:pPr>
      <w:r w:rsidRPr="00D01163">
        <w:rPr>
          <w:rFonts w:ascii="Times New Roman" w:hAnsi="Times New Roman"/>
        </w:rPr>
        <w:tab/>
        <w:t xml:space="preserve">The first consequential issue concerns whether, in addition to the claim by Lundbeck Denmark as patentee, a claim can be brought against Sandoz for infringement of the Patent by Lundbeck Australia, as an exclusive licensee. Under s 79 of the </w:t>
      </w:r>
      <w:r w:rsidRPr="00D01163">
        <w:rPr>
          <w:rFonts w:ascii="Times New Roman" w:hAnsi="Times New Roman"/>
          <w:i/>
          <w:iCs/>
        </w:rPr>
        <w:t>Patents Act 1990</w:t>
      </w:r>
      <w:r w:rsidRPr="00D01163">
        <w:rPr>
          <w:rFonts w:ascii="Times New Roman" w:hAnsi="Times New Roman"/>
          <w:iCs/>
        </w:rPr>
        <w:t> (Cth)</w:t>
      </w:r>
      <w:r w:rsidRPr="00D01163">
        <w:rPr>
          <w:rFonts w:ascii="Times New Roman" w:hAnsi="Times New Roman"/>
        </w:rPr>
        <w:t>, a patentee has the "same rights to start proceedings" for infringement following an extension of the term of a standard patent "as if the extension had been granted at the time when the act was done". The Full Court correctly concluded that this right to start proceedings under s 79 is conferred only upon a patentee and not upon an exclusive licensee</w:t>
      </w:r>
      <w:r w:rsidRPr="00D01163">
        <w:rPr>
          <w:rStyle w:val="FootnoteReference"/>
          <w:rFonts w:ascii="Times New Roman" w:hAnsi="Times New Roman"/>
          <w:sz w:val="24"/>
        </w:rPr>
        <w:footnoteReference w:id="94"/>
      </w:r>
      <w:r w:rsidRPr="00D01163">
        <w:rPr>
          <w:rFonts w:ascii="Times New Roman" w:hAnsi="Times New Roman"/>
        </w:rPr>
        <w:t xml:space="preserve">. Lundbeck Australia had no "right" to start proceedings under s 79 of the </w:t>
      </w:r>
      <w:r w:rsidRPr="00D01163">
        <w:rPr>
          <w:rFonts w:ascii="Times New Roman" w:hAnsi="Times New Roman"/>
          <w:i/>
        </w:rPr>
        <w:t>Patents Act</w:t>
      </w:r>
      <w:r w:rsidRPr="00D01163">
        <w:rPr>
          <w:rFonts w:ascii="Times New Roman" w:hAnsi="Times New Roman"/>
        </w:rPr>
        <w:t>.</w:t>
      </w:r>
    </w:p>
    <w:p w14:paraId="67E18AF4" w14:textId="77777777" w:rsidR="00BB2DE8" w:rsidRPr="00D01163" w:rsidRDefault="00BB2DE8" w:rsidP="00D01163">
      <w:pPr>
        <w:pStyle w:val="FixListStyle"/>
        <w:spacing w:after="260" w:line="280" w:lineRule="exact"/>
        <w:ind w:right="0"/>
        <w:jc w:val="both"/>
        <w:rPr>
          <w:rFonts w:ascii="Times New Roman" w:hAnsi="Times New Roman"/>
        </w:rPr>
      </w:pPr>
      <w:r w:rsidRPr="00D01163">
        <w:rPr>
          <w:rFonts w:ascii="Times New Roman" w:hAnsi="Times New Roman"/>
        </w:rPr>
        <w:tab/>
        <w:t>The second consequential issue is the date from which pre</w:t>
      </w:r>
      <w:r w:rsidRPr="00D01163">
        <w:rPr>
          <w:rFonts w:ascii="Times New Roman" w:hAnsi="Times New Roman"/>
        </w:rPr>
        <w:noBreakHyphen/>
        <w:t xml:space="preserve">judgment interest runs pursuant to s 51A(1)(a) of the </w:t>
      </w:r>
      <w:r w:rsidRPr="00D01163">
        <w:rPr>
          <w:rFonts w:ascii="Times New Roman" w:hAnsi="Times New Roman"/>
          <w:i/>
          <w:iCs/>
        </w:rPr>
        <w:t>Federal Court of Australia Act 1976</w:t>
      </w:r>
      <w:r w:rsidRPr="00D01163">
        <w:rPr>
          <w:rFonts w:ascii="Times New Roman" w:hAnsi="Times New Roman"/>
          <w:iCs/>
        </w:rPr>
        <w:t> (Cth)</w:t>
      </w:r>
      <w:r w:rsidRPr="00D01163">
        <w:rPr>
          <w:rFonts w:ascii="Times New Roman" w:hAnsi="Times New Roman"/>
        </w:rPr>
        <w:t xml:space="preserve"> for Lundbeck Denmark's claim under s 79 of the </w:t>
      </w:r>
      <w:r w:rsidRPr="00D01163">
        <w:rPr>
          <w:rFonts w:ascii="Times New Roman" w:hAnsi="Times New Roman"/>
          <w:i/>
          <w:iCs/>
        </w:rPr>
        <w:t>Patents Act</w:t>
      </w:r>
      <w:r w:rsidRPr="00D01163">
        <w:rPr>
          <w:rFonts w:ascii="Times New Roman" w:hAnsi="Times New Roman"/>
        </w:rPr>
        <w:t>. Although it was unnecessary for the Full Court to address this issue, the Full Court correctly reasoned that the power to award interest to Lundbeck Denmark arose from the time at which its cause of action accrued, being the date when the term of the Patent was extended</w:t>
      </w:r>
      <w:r w:rsidRPr="00D01163">
        <w:rPr>
          <w:rStyle w:val="FootnoteReference"/>
          <w:rFonts w:ascii="Times New Roman" w:hAnsi="Times New Roman"/>
          <w:sz w:val="24"/>
        </w:rPr>
        <w:footnoteReference w:id="95"/>
      </w:r>
      <w:r w:rsidRPr="00D01163">
        <w:rPr>
          <w:rFonts w:ascii="Times New Roman" w:hAnsi="Times New Roman"/>
        </w:rPr>
        <w:t>. Prior to this date, Lundbeck Denmark had no legal rights that were enforceable by legal action, and therefore no "cause of action" within the meaning of s 51A(1)(a).</w:t>
      </w:r>
    </w:p>
    <w:p w14:paraId="529C8F2D" w14:textId="77777777" w:rsidR="00BB2DE8" w:rsidRPr="00D01163" w:rsidRDefault="00BB2DE8" w:rsidP="00D01163">
      <w:pPr>
        <w:pStyle w:val="FixListStyle"/>
        <w:spacing w:after="260" w:line="280" w:lineRule="exact"/>
        <w:ind w:right="0"/>
        <w:jc w:val="both"/>
        <w:rPr>
          <w:rFonts w:ascii="Times New Roman" w:hAnsi="Times New Roman"/>
        </w:rPr>
      </w:pPr>
      <w:r w:rsidRPr="00D01163">
        <w:rPr>
          <w:rFonts w:ascii="Times New Roman" w:hAnsi="Times New Roman"/>
        </w:rPr>
        <w:tab/>
        <w:t xml:space="preserve">The third consequential issue arises by a notice of contention in the second appeal, which is brought by a subsidiary of Lundbeck Australia, CNS Pharma Pty Ltd ("Pharma"). Pharma purchases from Lundbeck Denmark, and then sells, a generic product containing escitalopram. Pharma joined with the Lundbeck entities in support of the finding of the primary judge that the licences ended when the term of the Patent expired. Pharma then claimed that when Sandoz entered the market to sell products containing escitalopram Sandoz engaged in misleading or deceptive conduct within s 52 of the </w:t>
      </w:r>
      <w:r w:rsidRPr="00D01163">
        <w:rPr>
          <w:rFonts w:ascii="Times New Roman" w:hAnsi="Times New Roman"/>
          <w:i/>
          <w:iCs/>
        </w:rPr>
        <w:t>Trade Practices Act 1974</w:t>
      </w:r>
      <w:r w:rsidRPr="00D01163">
        <w:rPr>
          <w:rFonts w:ascii="Times New Roman" w:hAnsi="Times New Roman"/>
          <w:iCs/>
        </w:rPr>
        <w:t xml:space="preserve"> </w:t>
      </w:r>
      <w:r w:rsidRPr="00D01163">
        <w:rPr>
          <w:rFonts w:ascii="Times New Roman" w:hAnsi="Times New Roman"/>
        </w:rPr>
        <w:t xml:space="preserve">(Cth) and s 18 of the </w:t>
      </w:r>
      <w:r w:rsidRPr="00D01163">
        <w:rPr>
          <w:rFonts w:ascii="Times New Roman" w:hAnsi="Times New Roman"/>
          <w:i/>
          <w:iCs/>
        </w:rPr>
        <w:t>Australian Consumer Law</w:t>
      </w:r>
      <w:r w:rsidRPr="00D01163">
        <w:rPr>
          <w:rStyle w:val="FootnoteReference"/>
          <w:rFonts w:ascii="Times New Roman" w:hAnsi="Times New Roman"/>
          <w:sz w:val="24"/>
        </w:rPr>
        <w:footnoteReference w:id="96"/>
      </w:r>
      <w:r w:rsidRPr="00D01163">
        <w:rPr>
          <w:rFonts w:ascii="Times New Roman" w:hAnsi="Times New Roman"/>
          <w:i/>
          <w:iCs/>
        </w:rPr>
        <w:t xml:space="preserve">. </w:t>
      </w:r>
    </w:p>
    <w:p w14:paraId="5B2D97B3" w14:textId="77777777" w:rsidR="00BB2DE8" w:rsidRPr="00D01163" w:rsidRDefault="00BB2DE8" w:rsidP="00D01163">
      <w:pPr>
        <w:pStyle w:val="FixListStyle"/>
        <w:spacing w:after="260" w:line="280" w:lineRule="exact"/>
        <w:ind w:right="0"/>
        <w:jc w:val="both"/>
        <w:rPr>
          <w:rFonts w:ascii="Times New Roman" w:hAnsi="Times New Roman"/>
        </w:rPr>
      </w:pPr>
      <w:r w:rsidRPr="00D01163">
        <w:rPr>
          <w:rFonts w:ascii="Times New Roman" w:hAnsi="Times New Roman"/>
        </w:rPr>
        <w:tab/>
        <w:t xml:space="preserve">The primary judge found that Sandoz engaged in misleading or deceptive conduct by an implied misrepresentation from Sandoz that the products sold did not infringe any patent without the qualification that the products would infringe a </w:t>
      </w:r>
      <w:r w:rsidRPr="00D01163">
        <w:rPr>
          <w:rFonts w:ascii="Times New Roman" w:hAnsi="Times New Roman"/>
        </w:rPr>
        <w:lastRenderedPageBreak/>
        <w:t>patent if and when an extension of the term were granted to Lundbeck Denmark</w:t>
      </w:r>
      <w:r w:rsidRPr="00D01163">
        <w:rPr>
          <w:rStyle w:val="FootnoteReference"/>
          <w:rFonts w:ascii="Times New Roman" w:hAnsi="Times New Roman"/>
          <w:sz w:val="24"/>
        </w:rPr>
        <w:footnoteReference w:id="97"/>
      </w:r>
      <w:r w:rsidRPr="00D01163">
        <w:rPr>
          <w:rFonts w:ascii="Times New Roman" w:hAnsi="Times New Roman"/>
        </w:rPr>
        <w:t>. The Full Court did not need to address this issue since its conclusion that Sandoz's licences were perpetual meant that the products did not infringe any patent. Ultimately, this third consequential issue reduces to whether Pharma established that the existence of the remote possibility of an extension of the term of the Patent was sufficiently material that Sandoz should have qualified its implied representation that its products did not infringe any patent in order to have the effect that the non</w:t>
      </w:r>
      <w:r w:rsidRPr="00D01163">
        <w:rPr>
          <w:rFonts w:ascii="Times New Roman" w:hAnsi="Times New Roman"/>
        </w:rPr>
        <w:noBreakHyphen/>
        <w:t>disclosure of that qualification could be misleading or deceptive. That remote possibility was not material.</w:t>
      </w:r>
    </w:p>
    <w:p w14:paraId="7F218C82" w14:textId="77777777" w:rsidR="00BB2DE8" w:rsidRPr="00D01163" w:rsidRDefault="00BB2DE8" w:rsidP="00D01163">
      <w:pPr>
        <w:pStyle w:val="HeadingL1"/>
        <w:spacing w:after="260" w:line="280" w:lineRule="exact"/>
        <w:ind w:right="0"/>
        <w:jc w:val="both"/>
        <w:rPr>
          <w:rFonts w:ascii="Times New Roman" w:hAnsi="Times New Roman"/>
        </w:rPr>
      </w:pPr>
      <w:r w:rsidRPr="00D01163">
        <w:rPr>
          <w:rFonts w:ascii="Times New Roman" w:hAnsi="Times New Roman"/>
        </w:rPr>
        <w:t>The express and implied meaning of the terms of the primary licence</w:t>
      </w:r>
    </w:p>
    <w:p w14:paraId="4518594D" w14:textId="77777777" w:rsidR="00BB2DE8" w:rsidRPr="00D01163" w:rsidRDefault="00BB2DE8" w:rsidP="00D01163">
      <w:pPr>
        <w:pStyle w:val="HeadingL2"/>
        <w:spacing w:after="260" w:line="280" w:lineRule="exact"/>
        <w:ind w:right="0"/>
        <w:jc w:val="both"/>
        <w:rPr>
          <w:rFonts w:ascii="Times New Roman" w:hAnsi="Times New Roman"/>
        </w:rPr>
      </w:pPr>
      <w:r w:rsidRPr="00D01163">
        <w:rPr>
          <w:rFonts w:ascii="Times New Roman" w:hAnsi="Times New Roman"/>
        </w:rPr>
        <w:t xml:space="preserve">No express provision for an end date to the primary licence </w:t>
      </w:r>
    </w:p>
    <w:p w14:paraId="5226C566" w14:textId="77777777" w:rsidR="00BB2DE8" w:rsidRPr="00D01163" w:rsidRDefault="00BB2DE8" w:rsidP="00D01163">
      <w:pPr>
        <w:pStyle w:val="FixListStyle"/>
        <w:spacing w:after="260" w:line="280" w:lineRule="exact"/>
        <w:ind w:right="0"/>
        <w:jc w:val="both"/>
        <w:rPr>
          <w:rFonts w:ascii="Times New Roman" w:hAnsi="Times New Roman"/>
        </w:rPr>
      </w:pPr>
      <w:r w:rsidRPr="00D01163">
        <w:rPr>
          <w:rFonts w:ascii="Times New Roman" w:hAnsi="Times New Roman"/>
        </w:rPr>
        <w:tab/>
        <w:t>Clause 3 of the settlement agreement provides as follows:</w:t>
      </w:r>
    </w:p>
    <w:p w14:paraId="346FBF82" w14:textId="77777777" w:rsidR="00BB2DE8" w:rsidRPr="00D01163" w:rsidRDefault="00BB2DE8" w:rsidP="00D01163">
      <w:pPr>
        <w:pStyle w:val="LeftrightafterHC"/>
        <w:keepNext/>
        <w:spacing w:before="0" w:after="260" w:line="280" w:lineRule="exact"/>
        <w:ind w:right="0"/>
        <w:jc w:val="both"/>
        <w:rPr>
          <w:rFonts w:ascii="Times New Roman" w:hAnsi="Times New Roman"/>
          <w:b/>
          <w:bCs/>
        </w:rPr>
      </w:pPr>
      <w:r w:rsidRPr="00D01163">
        <w:rPr>
          <w:rFonts w:ascii="Times New Roman" w:hAnsi="Times New Roman"/>
        </w:rPr>
        <w:t>"</w:t>
      </w:r>
      <w:r w:rsidRPr="00D01163">
        <w:rPr>
          <w:rFonts w:ascii="Times New Roman" w:hAnsi="Times New Roman"/>
          <w:b/>
          <w:bCs/>
        </w:rPr>
        <w:t>Licence to exploit the Patent</w:t>
      </w:r>
    </w:p>
    <w:p w14:paraId="3E12B5D1" w14:textId="77777777" w:rsidR="00BB2DE8" w:rsidRPr="00D01163" w:rsidRDefault="00BB2DE8" w:rsidP="00D01163">
      <w:pPr>
        <w:pStyle w:val="LeftrightHanging"/>
        <w:spacing w:before="0" w:after="260" w:line="280" w:lineRule="exact"/>
        <w:ind w:right="0"/>
        <w:jc w:val="both"/>
        <w:rPr>
          <w:rFonts w:ascii="Times New Roman" w:hAnsi="Times New Roman"/>
          <w:b/>
          <w:bCs/>
        </w:rPr>
      </w:pPr>
      <w:r w:rsidRPr="00D01163">
        <w:rPr>
          <w:rFonts w:ascii="Times New Roman" w:hAnsi="Times New Roman"/>
        </w:rPr>
        <w:t xml:space="preserve">(1) </w:t>
      </w:r>
      <w:r w:rsidRPr="00D01163">
        <w:rPr>
          <w:rFonts w:ascii="Times New Roman" w:hAnsi="Times New Roman"/>
        </w:rPr>
        <w:tab/>
        <w:t>Lundbeck Denmark and Lundbeck Australia jointly and severally grant Sandoz an irrevocable non</w:t>
      </w:r>
      <w:r w:rsidRPr="00D01163">
        <w:rPr>
          <w:rFonts w:ascii="Times New Roman" w:hAnsi="Times New Roman"/>
        </w:rPr>
        <w:noBreakHyphen/>
        <w:t>exclusive licence to the Patent effective from:</w:t>
      </w:r>
    </w:p>
    <w:p w14:paraId="6ED5F9BA" w14:textId="77777777" w:rsidR="00BB2DE8" w:rsidRPr="00D01163" w:rsidRDefault="00BB2DE8" w:rsidP="00D01163">
      <w:pPr>
        <w:pStyle w:val="LRHangingMore"/>
        <w:spacing w:before="0" w:after="260" w:line="280" w:lineRule="exact"/>
        <w:ind w:right="0"/>
        <w:jc w:val="both"/>
        <w:rPr>
          <w:rFonts w:ascii="Times New Roman" w:hAnsi="Times New Roman"/>
        </w:rPr>
      </w:pPr>
      <w:r w:rsidRPr="00D01163">
        <w:rPr>
          <w:rFonts w:ascii="Times New Roman" w:hAnsi="Times New Roman"/>
        </w:rPr>
        <w:t>(a)</w:t>
      </w:r>
      <w:r w:rsidRPr="00D01163">
        <w:rPr>
          <w:rFonts w:ascii="Times New Roman" w:hAnsi="Times New Roman"/>
        </w:rPr>
        <w:tab/>
        <w:t>31 May 2009 if the Patent expires on 13 June 2009;</w:t>
      </w:r>
    </w:p>
    <w:p w14:paraId="21DA3681" w14:textId="77777777" w:rsidR="00BB2DE8" w:rsidRPr="00D01163" w:rsidRDefault="00BB2DE8" w:rsidP="00D01163">
      <w:pPr>
        <w:pStyle w:val="LRHangingMore"/>
        <w:spacing w:before="0" w:after="260" w:line="280" w:lineRule="exact"/>
        <w:ind w:right="0"/>
        <w:jc w:val="both"/>
        <w:rPr>
          <w:rFonts w:ascii="Times New Roman" w:hAnsi="Times New Roman"/>
        </w:rPr>
      </w:pPr>
      <w:r w:rsidRPr="00D01163">
        <w:rPr>
          <w:rFonts w:ascii="Times New Roman" w:hAnsi="Times New Roman"/>
        </w:rPr>
        <w:t>(b)</w:t>
      </w:r>
      <w:r w:rsidRPr="00D01163">
        <w:rPr>
          <w:rFonts w:ascii="Times New Roman" w:hAnsi="Times New Roman"/>
        </w:rPr>
        <w:tab/>
        <w:t>26 November 2012 if the Patent expires on 9 December 2012;</w:t>
      </w:r>
    </w:p>
    <w:p w14:paraId="4B69B5EC" w14:textId="77777777" w:rsidR="00BB2DE8" w:rsidRPr="00D01163" w:rsidRDefault="00BB2DE8" w:rsidP="00D01163">
      <w:pPr>
        <w:pStyle w:val="LRHangingMore"/>
        <w:spacing w:before="0" w:after="260" w:line="280" w:lineRule="exact"/>
        <w:ind w:right="0"/>
        <w:jc w:val="both"/>
        <w:rPr>
          <w:rFonts w:ascii="Times New Roman" w:hAnsi="Times New Roman"/>
        </w:rPr>
      </w:pPr>
      <w:r w:rsidRPr="00D01163">
        <w:rPr>
          <w:rFonts w:ascii="Times New Roman" w:hAnsi="Times New Roman"/>
        </w:rPr>
        <w:t>(c)</w:t>
      </w:r>
      <w:r w:rsidRPr="00D01163">
        <w:rPr>
          <w:rFonts w:ascii="Times New Roman" w:hAnsi="Times New Roman"/>
        </w:rPr>
        <w:tab/>
        <w:t>31 May 2014 if the Patent expires on 13 June 2014; or</w:t>
      </w:r>
    </w:p>
    <w:p w14:paraId="31750E61" w14:textId="77777777" w:rsidR="00BB2DE8" w:rsidRPr="00D01163" w:rsidRDefault="00BB2DE8" w:rsidP="00D01163">
      <w:pPr>
        <w:pStyle w:val="LRHangingMore"/>
        <w:spacing w:before="0" w:after="260" w:line="280" w:lineRule="exact"/>
        <w:ind w:right="0"/>
        <w:jc w:val="both"/>
        <w:rPr>
          <w:rFonts w:ascii="Times New Roman" w:hAnsi="Times New Roman"/>
        </w:rPr>
      </w:pPr>
      <w:r w:rsidRPr="00D01163">
        <w:rPr>
          <w:rFonts w:ascii="Times New Roman" w:hAnsi="Times New Roman"/>
        </w:rPr>
        <w:t>(d)</w:t>
      </w:r>
      <w:r w:rsidRPr="00D01163">
        <w:rPr>
          <w:rFonts w:ascii="Times New Roman" w:hAnsi="Times New Roman"/>
        </w:rPr>
        <w:tab/>
        <w:t>2 weeks prior to the expiry of the Patent if the Patent expires on a date other than a date described in clause 3(a) to (c).</w:t>
      </w:r>
    </w:p>
    <w:p w14:paraId="72B56B70" w14:textId="77777777" w:rsidR="00BB2DE8" w:rsidRPr="00D01163" w:rsidRDefault="00BB2DE8" w:rsidP="00D01163">
      <w:pPr>
        <w:pStyle w:val="LeftrightHanging"/>
        <w:spacing w:before="0" w:after="260" w:line="280" w:lineRule="exact"/>
        <w:ind w:right="0"/>
        <w:jc w:val="both"/>
        <w:rPr>
          <w:rFonts w:ascii="Times New Roman" w:hAnsi="Times New Roman"/>
        </w:rPr>
      </w:pPr>
      <w:r w:rsidRPr="00D01163">
        <w:rPr>
          <w:rFonts w:ascii="Times New Roman" w:hAnsi="Times New Roman"/>
        </w:rPr>
        <w:t xml:space="preserve">(2) </w:t>
      </w:r>
      <w:r w:rsidRPr="00D01163">
        <w:rPr>
          <w:rFonts w:ascii="Times New Roman" w:hAnsi="Times New Roman"/>
        </w:rPr>
        <w:tab/>
        <w:t>In addition to the licence granted under clause 3(1), Lundbeck Denmark and Lundbeck Australia jointly and severally grant Sandoz an irrevocable non</w:t>
      </w:r>
      <w:r w:rsidRPr="00D01163">
        <w:rPr>
          <w:rFonts w:ascii="Times New Roman" w:hAnsi="Times New Roman"/>
        </w:rPr>
        <w:noBreakHyphen/>
        <w:t>exclusive licence to the Patent, effective from the beginning of the calendar month in which the licence granted under clause 3(1) becomes effective, for the sole purpose of manufacturing, importing, marketing and offering to sell (but not selling or supplying) pharmaceutical products containing escitalopram.</w:t>
      </w:r>
    </w:p>
    <w:p w14:paraId="34E79D7A" w14:textId="77777777" w:rsidR="00BB2DE8" w:rsidRDefault="00BB2DE8" w:rsidP="00D01163">
      <w:pPr>
        <w:pStyle w:val="LeftrightHanging"/>
        <w:spacing w:before="0" w:after="260" w:line="280" w:lineRule="exact"/>
        <w:ind w:right="0"/>
        <w:jc w:val="both"/>
        <w:rPr>
          <w:rFonts w:ascii="Times New Roman" w:hAnsi="Times New Roman"/>
        </w:rPr>
      </w:pPr>
      <w:r w:rsidRPr="00D01163">
        <w:rPr>
          <w:rFonts w:ascii="Times New Roman" w:hAnsi="Times New Roman"/>
        </w:rPr>
        <w:t xml:space="preserve">(3) </w:t>
      </w:r>
      <w:r w:rsidRPr="00D01163">
        <w:rPr>
          <w:rFonts w:ascii="Times New Roman" w:hAnsi="Times New Roman"/>
        </w:rPr>
        <w:tab/>
        <w:t>For the avoidance of doubt, nothing in this Agreement is to be taken as granting a licence of, or authorisation to exploit, any patent other than the Patent."</w:t>
      </w:r>
    </w:p>
    <w:p w14:paraId="3491197A" w14:textId="77777777" w:rsidR="00BB2DE8" w:rsidRPr="00D01163" w:rsidRDefault="00BB2DE8" w:rsidP="00D01163">
      <w:pPr>
        <w:pStyle w:val="FixListStyle"/>
        <w:spacing w:after="260" w:line="280" w:lineRule="exact"/>
        <w:ind w:right="0"/>
        <w:jc w:val="both"/>
        <w:rPr>
          <w:rFonts w:ascii="Times New Roman" w:hAnsi="Times New Roman"/>
        </w:rPr>
      </w:pPr>
      <w:r w:rsidRPr="00D01163">
        <w:rPr>
          <w:rFonts w:ascii="Times New Roman" w:hAnsi="Times New Roman"/>
        </w:rPr>
        <w:lastRenderedPageBreak/>
        <w:tab/>
        <w:t>The licence in cl 3(1) is described in these reasons as the "primary licence" and the licence in cl 3(2) is described as the "supplementary licence". The possible commencement dates for the primary licence, and their objective, shared rationale, were clear. The first date, 31 May 2009, represented two weeks before the expected expiry date of the term of the Patent, 13 June 2009, if no extension were granted. The second and third dates represented two weeks before the expected expiry dates of the term of the Patent if there were an extension of the term of the Patent based on the inclusion of one or other of two pharmaceutical products containing escitalopram in the Australian Register of Therapeutic Goods</w:t>
      </w:r>
      <w:r w:rsidRPr="00D01163">
        <w:rPr>
          <w:rStyle w:val="FootnoteReference"/>
          <w:rFonts w:ascii="Times New Roman" w:hAnsi="Times New Roman"/>
          <w:sz w:val="24"/>
        </w:rPr>
        <w:footnoteReference w:id="98"/>
      </w:r>
      <w:r w:rsidRPr="00D01163">
        <w:rPr>
          <w:rFonts w:ascii="Times New Roman" w:hAnsi="Times New Roman"/>
        </w:rPr>
        <w:t xml:space="preserve">. </w:t>
      </w:r>
    </w:p>
    <w:p w14:paraId="3D8B3416" w14:textId="77777777" w:rsidR="00BB2DE8" w:rsidRPr="00D01163" w:rsidRDefault="00BB2DE8" w:rsidP="00D01163">
      <w:pPr>
        <w:pStyle w:val="FixListStyle"/>
        <w:spacing w:after="260" w:line="280" w:lineRule="exact"/>
        <w:ind w:right="0"/>
        <w:jc w:val="both"/>
        <w:rPr>
          <w:rFonts w:ascii="Times New Roman" w:hAnsi="Times New Roman"/>
        </w:rPr>
      </w:pPr>
      <w:r w:rsidRPr="00D01163">
        <w:rPr>
          <w:rFonts w:ascii="Times New Roman" w:hAnsi="Times New Roman"/>
        </w:rPr>
        <w:tab/>
        <w:t>One of the problems with the drafting of the primary licence and the supplementary licence is the expression "an irrevocable non</w:t>
      </w:r>
      <w:r w:rsidRPr="00D01163">
        <w:rPr>
          <w:rFonts w:ascii="Times New Roman" w:hAnsi="Times New Roman"/>
        </w:rPr>
        <w:noBreakHyphen/>
        <w:t xml:space="preserve">exclusive licence to the Patent". The best that can be said of that expression is that it is ambiguous. The primary judge took one view of what it meant. The Full Court took another. </w:t>
      </w:r>
    </w:p>
    <w:p w14:paraId="205A16DF" w14:textId="77777777" w:rsidR="00BB2DE8" w:rsidRPr="00D01163" w:rsidRDefault="00BB2DE8" w:rsidP="00D01163">
      <w:pPr>
        <w:pStyle w:val="FixListStyle"/>
        <w:spacing w:after="260" w:line="280" w:lineRule="exact"/>
        <w:ind w:right="0"/>
        <w:jc w:val="both"/>
        <w:rPr>
          <w:rFonts w:ascii="Times New Roman" w:hAnsi="Times New Roman"/>
        </w:rPr>
      </w:pPr>
      <w:r w:rsidRPr="00D01163">
        <w:rPr>
          <w:rFonts w:ascii="Times New Roman" w:hAnsi="Times New Roman"/>
        </w:rPr>
        <w:tab/>
        <w:t>In its literal terms, the expression "licence to the Patent" is nonsense. A licence is a freedom from a duty: it is "an authority to do something which would otherwise be wrongful or illegal or inoperative"</w:t>
      </w:r>
      <w:r w:rsidRPr="00D01163">
        <w:rPr>
          <w:rStyle w:val="FootnoteReference"/>
          <w:rFonts w:ascii="Times New Roman" w:hAnsi="Times New Roman"/>
          <w:sz w:val="24"/>
        </w:rPr>
        <w:footnoteReference w:id="99"/>
      </w:r>
      <w:r w:rsidRPr="00D01163">
        <w:rPr>
          <w:rFonts w:ascii="Times New Roman" w:hAnsi="Times New Roman"/>
        </w:rPr>
        <w:t>. A patent over an invention is a grant of "the exclusive rights, during the term of the patent, to exploit the invention and to authorise another person to exploit the invention"</w:t>
      </w:r>
      <w:r w:rsidRPr="00D01163">
        <w:rPr>
          <w:rStyle w:val="FootnoteReference"/>
          <w:rFonts w:ascii="Times New Roman" w:hAnsi="Times New Roman"/>
          <w:sz w:val="24"/>
        </w:rPr>
        <w:footnoteReference w:id="100"/>
      </w:r>
      <w:r w:rsidRPr="00D01163">
        <w:rPr>
          <w:rFonts w:ascii="Times New Roman" w:hAnsi="Times New Roman"/>
        </w:rPr>
        <w:t>. It makes no more sense to speak of a person having a "licence to the Patent" than it does to speak of an invitee to a leased property having a "licence to the lease".</w:t>
      </w:r>
    </w:p>
    <w:p w14:paraId="3B2C2B8C" w14:textId="77777777" w:rsidR="00BB2DE8" w:rsidRPr="00D01163" w:rsidRDefault="00BB2DE8" w:rsidP="00D01163">
      <w:pPr>
        <w:pStyle w:val="FixListStyle"/>
        <w:spacing w:after="260" w:line="280" w:lineRule="exact"/>
        <w:ind w:right="0"/>
        <w:jc w:val="both"/>
        <w:rPr>
          <w:rFonts w:ascii="Times New Roman" w:hAnsi="Times New Roman"/>
        </w:rPr>
      </w:pPr>
      <w:r w:rsidRPr="00D01163">
        <w:rPr>
          <w:rFonts w:ascii="Times New Roman" w:hAnsi="Times New Roman"/>
        </w:rPr>
        <w:tab/>
        <w:t xml:space="preserve">It appears that the expression "licence to the Patent" was used interchangeably with the notion, as expressed in the heading to the clause and in cl 3(3), of a licence to exploit the Patent. But even then the expression is nonsensical. A patent is not something that is exploited. The subject matter of exploitation is the invention with which the patent is concerned. The only sensible meanings that can be given to the expression "licence to the Patent" are either: (i) a freedom to exploit the invention that is the subject matter of the Patent; or (ii) a freedom to exploit the invention that is the subject matter of the Patent during the term of the Patent. Consistently with the meaning of "exploit" in the </w:t>
      </w:r>
      <w:r w:rsidRPr="00D01163">
        <w:rPr>
          <w:rFonts w:ascii="Times New Roman" w:hAnsi="Times New Roman"/>
          <w:i/>
          <w:iCs/>
        </w:rPr>
        <w:t>Patents Act</w:t>
      </w:r>
      <w:r w:rsidRPr="00D01163">
        <w:rPr>
          <w:rStyle w:val="FootnoteReference"/>
          <w:rFonts w:ascii="Times New Roman" w:hAnsi="Times New Roman"/>
          <w:sz w:val="24"/>
        </w:rPr>
        <w:footnoteReference w:id="101"/>
      </w:r>
      <w:r w:rsidRPr="00D01163">
        <w:rPr>
          <w:rFonts w:ascii="Times New Roman" w:hAnsi="Times New Roman"/>
        </w:rPr>
        <w:t>,</w:t>
      </w:r>
      <w:r w:rsidRPr="00D01163">
        <w:rPr>
          <w:rFonts w:ascii="Times New Roman" w:hAnsi="Times New Roman"/>
          <w:i/>
          <w:iCs/>
        </w:rPr>
        <w:t xml:space="preserve"> </w:t>
      </w:r>
      <w:r w:rsidRPr="00D01163">
        <w:rPr>
          <w:rFonts w:ascii="Times New Roman" w:hAnsi="Times New Roman"/>
        </w:rPr>
        <w:t>the freedom to exploit the invention includes making, selling, or otherwise disposing of pharmaceutical products containing escitalopram.</w:t>
      </w:r>
    </w:p>
    <w:p w14:paraId="288F7F17" w14:textId="77777777" w:rsidR="00BB2DE8" w:rsidRPr="00D01163" w:rsidRDefault="00BB2DE8" w:rsidP="00D01163">
      <w:pPr>
        <w:pStyle w:val="FixListStyle"/>
        <w:spacing w:after="260" w:line="280" w:lineRule="exact"/>
        <w:ind w:right="0"/>
        <w:jc w:val="both"/>
        <w:rPr>
          <w:rFonts w:ascii="Times New Roman" w:hAnsi="Times New Roman"/>
        </w:rPr>
      </w:pPr>
      <w:r w:rsidRPr="00D01163">
        <w:rPr>
          <w:rFonts w:ascii="Times New Roman" w:hAnsi="Times New Roman"/>
        </w:rPr>
        <w:lastRenderedPageBreak/>
        <w:tab/>
        <w:t>Sandoz's essential submissions in this Court were simple and clear. First, it was submitted that cl 3 expressly provides for a commencement date but does not expressly provide for any end date for the licences. Hence, any end date for the licences required an implication to be recognised in cl 3. Sandoz submitted that the interpretation of the primary judge that limited the primary licence to a two</w:t>
      </w:r>
      <w:r w:rsidRPr="00D01163">
        <w:rPr>
          <w:rFonts w:ascii="Times New Roman" w:hAnsi="Times New Roman"/>
        </w:rPr>
        <w:noBreakHyphen/>
        <w:t>week period "had the same effect ... as implying a term for an end date". Secondly, it was submitted that the strictness of the test for recognition of an implied term, requiring satisfaction of five factors</w:t>
      </w:r>
      <w:r w:rsidRPr="00D01163">
        <w:rPr>
          <w:rStyle w:val="FootnoteReference"/>
          <w:rFonts w:ascii="Times New Roman" w:hAnsi="Times New Roman"/>
          <w:sz w:val="24"/>
        </w:rPr>
        <w:footnoteReference w:id="102"/>
      </w:r>
      <w:r w:rsidRPr="00D01163">
        <w:rPr>
          <w:rFonts w:ascii="Times New Roman" w:hAnsi="Times New Roman"/>
        </w:rPr>
        <w:t>, was not met.</w:t>
      </w:r>
    </w:p>
    <w:p w14:paraId="240B580B" w14:textId="77777777" w:rsidR="00BB2DE8" w:rsidRPr="00D01163" w:rsidRDefault="00BB2DE8" w:rsidP="00D01163">
      <w:pPr>
        <w:pStyle w:val="HeadingL2"/>
        <w:spacing w:after="260" w:line="280" w:lineRule="exact"/>
        <w:ind w:right="0"/>
        <w:jc w:val="both"/>
        <w:rPr>
          <w:rFonts w:ascii="Times New Roman" w:hAnsi="Times New Roman"/>
        </w:rPr>
      </w:pPr>
      <w:r w:rsidRPr="00D01163">
        <w:rPr>
          <w:rFonts w:ascii="Times New Roman" w:hAnsi="Times New Roman"/>
        </w:rPr>
        <w:t xml:space="preserve">Expressions and implications </w:t>
      </w:r>
    </w:p>
    <w:p w14:paraId="623D6ACC" w14:textId="77777777" w:rsidR="00BB2DE8" w:rsidRPr="00D01163" w:rsidRDefault="00BB2DE8" w:rsidP="00D01163">
      <w:pPr>
        <w:pStyle w:val="FixListStyle"/>
        <w:spacing w:after="260" w:line="280" w:lineRule="exact"/>
        <w:ind w:right="0"/>
        <w:jc w:val="both"/>
        <w:rPr>
          <w:rFonts w:ascii="Times New Roman" w:hAnsi="Times New Roman"/>
        </w:rPr>
      </w:pPr>
      <w:r w:rsidRPr="00D01163">
        <w:rPr>
          <w:rFonts w:ascii="Times New Roman" w:hAnsi="Times New Roman"/>
        </w:rPr>
        <w:tab/>
        <w:t>There are ephemeral borders, to which lawyers sometimes cling, between three categories of interpretation of words in legal instruments: (i) interpretation of the meaning of express words in a clause; (ii) drawing inferences that recognise implications within a clause; and (iii) drawing inferences that recognise the implication of a new "term". All three are "an exercise in interpretation"</w:t>
      </w:r>
      <w:r w:rsidRPr="00D01163">
        <w:rPr>
          <w:rStyle w:val="FootnoteReference"/>
          <w:rFonts w:ascii="Times New Roman" w:hAnsi="Times New Roman"/>
          <w:sz w:val="24"/>
        </w:rPr>
        <w:footnoteReference w:id="103"/>
      </w:r>
      <w:r w:rsidRPr="00D01163">
        <w:rPr>
          <w:rFonts w:ascii="Times New Roman" w:hAnsi="Times New Roman"/>
        </w:rPr>
        <w:t>. All three are concerned with "what the [instrument] actually means"</w:t>
      </w:r>
      <w:r w:rsidRPr="00D01163">
        <w:rPr>
          <w:rStyle w:val="FootnoteReference"/>
          <w:rFonts w:ascii="Times New Roman" w:hAnsi="Times New Roman"/>
          <w:sz w:val="24"/>
        </w:rPr>
        <w:footnoteReference w:id="104"/>
      </w:r>
      <w:r w:rsidRPr="00D01163">
        <w:rPr>
          <w:rFonts w:ascii="Times New Roman" w:hAnsi="Times New Roman"/>
        </w:rPr>
        <w:t>. And all three involve drawing inferences and recognising matters that are implied in the sense that they are not confined to the semantics of literally expressed meaning. For instance, like the latter two categories, even the first category will often involve drawing inferences from context by recognising explicatures from the express text</w:t>
      </w:r>
      <w:r w:rsidRPr="00D01163">
        <w:rPr>
          <w:rStyle w:val="FootnoteReference"/>
          <w:rFonts w:ascii="Times New Roman" w:hAnsi="Times New Roman"/>
          <w:sz w:val="24"/>
        </w:rPr>
        <w:footnoteReference w:id="105"/>
      </w:r>
      <w:r w:rsidRPr="00D01163">
        <w:rPr>
          <w:rFonts w:ascii="Times New Roman" w:hAnsi="Times New Roman"/>
        </w:rPr>
        <w:t>. In all three categories, context and purpose supply additional information for the meaning that combines with the literal text. By this means, the "implication is included in [the meaning of] what is expressed"</w:t>
      </w:r>
      <w:r w:rsidRPr="00D01163">
        <w:rPr>
          <w:rStyle w:val="FootnoteReference"/>
          <w:rFonts w:ascii="Times New Roman" w:hAnsi="Times New Roman"/>
          <w:sz w:val="24"/>
        </w:rPr>
        <w:footnoteReference w:id="106"/>
      </w:r>
      <w:r w:rsidRPr="00D01163">
        <w:rPr>
          <w:rFonts w:ascii="Times New Roman" w:hAnsi="Times New Roman"/>
        </w:rPr>
        <w:t>.</w:t>
      </w:r>
    </w:p>
    <w:p w14:paraId="6936F4EA" w14:textId="77777777" w:rsidR="00BB2DE8" w:rsidRPr="00D01163" w:rsidRDefault="00BB2DE8" w:rsidP="00D01163">
      <w:pPr>
        <w:pStyle w:val="FixListStyle"/>
        <w:spacing w:after="260" w:line="280" w:lineRule="exact"/>
        <w:ind w:right="0"/>
        <w:jc w:val="both"/>
        <w:rPr>
          <w:rFonts w:ascii="Times New Roman" w:hAnsi="Times New Roman"/>
        </w:rPr>
      </w:pPr>
      <w:r w:rsidRPr="00D01163">
        <w:rPr>
          <w:rFonts w:ascii="Times New Roman" w:hAnsi="Times New Roman"/>
        </w:rPr>
        <w:lastRenderedPageBreak/>
        <w:tab/>
        <w:t>The distinction between the three categories can be so fine that in the same case some members of this Court have treated the interpretation exercise as falling within one category while others have treated it as falling within another category</w:t>
      </w:r>
      <w:r w:rsidRPr="00D01163">
        <w:rPr>
          <w:rStyle w:val="FootnoteReference"/>
          <w:rFonts w:ascii="Times New Roman" w:hAnsi="Times New Roman"/>
          <w:sz w:val="24"/>
        </w:rPr>
        <w:footnoteReference w:id="107"/>
      </w:r>
      <w:r w:rsidRPr="00D01163">
        <w:rPr>
          <w:rFonts w:ascii="Times New Roman" w:hAnsi="Times New Roman"/>
        </w:rPr>
        <w:t xml:space="preserve">. A decision that can illustrate the fine distinction is </w:t>
      </w:r>
      <w:r w:rsidRPr="00D01163">
        <w:rPr>
          <w:rFonts w:ascii="Times New Roman" w:hAnsi="Times New Roman"/>
          <w:i/>
          <w:iCs/>
        </w:rPr>
        <w:t>Prenn v Simmonds</w:t>
      </w:r>
      <w:r w:rsidRPr="00D01163">
        <w:rPr>
          <w:rStyle w:val="FootnoteReference"/>
          <w:rFonts w:ascii="Times New Roman" w:hAnsi="Times New Roman"/>
          <w:sz w:val="24"/>
        </w:rPr>
        <w:footnoteReference w:id="108"/>
      </w:r>
      <w:r w:rsidRPr="00D01163">
        <w:rPr>
          <w:rFonts w:ascii="Times New Roman" w:hAnsi="Times New Roman"/>
          <w:iCs/>
        </w:rPr>
        <w:t>,</w:t>
      </w:r>
      <w:r w:rsidRPr="00D01163">
        <w:rPr>
          <w:rFonts w:ascii="Times New Roman" w:hAnsi="Times New Roman"/>
          <w:i/>
          <w:iCs/>
        </w:rPr>
        <w:t xml:space="preserve"> </w:t>
      </w:r>
      <w:r w:rsidRPr="00D01163">
        <w:rPr>
          <w:rFonts w:ascii="Times New Roman" w:hAnsi="Times New Roman"/>
        </w:rPr>
        <w:t xml:space="preserve">which was considered by Mason J in </w:t>
      </w:r>
      <w:r w:rsidRPr="00D01163">
        <w:rPr>
          <w:rFonts w:ascii="Times New Roman" w:hAnsi="Times New Roman"/>
          <w:i/>
          <w:iCs/>
        </w:rPr>
        <w:t>Codelfa Construction Pty Ltd v State Rail Authority of NSW</w:t>
      </w:r>
      <w:r w:rsidRPr="00D01163">
        <w:rPr>
          <w:rStyle w:val="FootnoteReference"/>
          <w:rFonts w:ascii="Times New Roman" w:hAnsi="Times New Roman"/>
          <w:sz w:val="24"/>
        </w:rPr>
        <w:footnoteReference w:id="109"/>
      </w:r>
      <w:r w:rsidRPr="00D01163">
        <w:rPr>
          <w:rFonts w:ascii="Times New Roman" w:hAnsi="Times New Roman"/>
          <w:i/>
          <w:iCs/>
        </w:rPr>
        <w:t xml:space="preserve">. </w:t>
      </w:r>
      <w:r w:rsidRPr="00D01163">
        <w:rPr>
          <w:rFonts w:ascii="Times New Roman" w:hAnsi="Times New Roman"/>
        </w:rPr>
        <w:t xml:space="preserve">As Mason J explained, the expression considered in that case, "profits of RTT", was held to mean "the consolidated profits of the group of companies consisting of RTT and its subsidiaries" by interpretation of the meaning of an express word – profits – having regard to surrounding circumstances. But the reasoning in </w:t>
      </w:r>
      <w:r w:rsidRPr="00D01163">
        <w:rPr>
          <w:rFonts w:ascii="Times New Roman" w:hAnsi="Times New Roman"/>
          <w:i/>
          <w:iCs/>
        </w:rPr>
        <w:t>Prenn v Simmonds</w:t>
      </w:r>
      <w:r w:rsidRPr="00D01163">
        <w:rPr>
          <w:rFonts w:ascii="Times New Roman" w:hAnsi="Times New Roman"/>
        </w:rPr>
        <w:t xml:space="preserve"> might equally have been expressed as recognising an implication as though the word "consolidated" appeared before "profits" or as recognising an implied term that "profits of the RTT group shall be treated as profits of RTT".</w:t>
      </w:r>
    </w:p>
    <w:p w14:paraId="7C5EA8EB" w14:textId="77777777" w:rsidR="00BB2DE8" w:rsidRPr="00D01163" w:rsidRDefault="00BB2DE8" w:rsidP="00D01163">
      <w:pPr>
        <w:pStyle w:val="FixListStyle"/>
        <w:spacing w:after="260" w:line="280" w:lineRule="exact"/>
        <w:ind w:right="0"/>
        <w:jc w:val="both"/>
        <w:rPr>
          <w:rFonts w:ascii="Times New Roman" w:hAnsi="Times New Roman"/>
        </w:rPr>
      </w:pPr>
      <w:r w:rsidRPr="00D01163">
        <w:rPr>
          <w:rFonts w:ascii="Times New Roman" w:hAnsi="Times New Roman"/>
        </w:rPr>
        <w:tab/>
        <w:t>Despite the close, perhaps inseparable, association between these three categories of interpretation, it can sometimes appear as though courts are applying a different test for interpretation in each different category. Putting to one side any issue concerning whether ambiguity is required before extrinsic circumstances and context can be considered</w:t>
      </w:r>
      <w:r w:rsidRPr="00D01163">
        <w:rPr>
          <w:rStyle w:val="FootnoteReference"/>
          <w:rFonts w:ascii="Times New Roman" w:hAnsi="Times New Roman"/>
          <w:sz w:val="24"/>
        </w:rPr>
        <w:footnoteReference w:id="110"/>
      </w:r>
      <w:r w:rsidRPr="00D01163">
        <w:rPr>
          <w:rFonts w:ascii="Times New Roman" w:hAnsi="Times New Roman"/>
        </w:rPr>
        <w:t>, a constraint which does not arise in relation to the meaning of written documents or instruments generally</w:t>
      </w:r>
      <w:r w:rsidRPr="00D01163">
        <w:rPr>
          <w:rStyle w:val="FootnoteReference"/>
          <w:rFonts w:ascii="Times New Roman" w:hAnsi="Times New Roman"/>
          <w:sz w:val="24"/>
        </w:rPr>
        <w:footnoteReference w:id="111"/>
      </w:r>
      <w:r w:rsidRPr="00D01163">
        <w:rPr>
          <w:rFonts w:ascii="Times New Roman" w:hAnsi="Times New Roman"/>
        </w:rPr>
        <w:t xml:space="preserve">, a simple approach is generally taken in the category where the meaning of express words is concerned. In that category, the task of interpretation is commonly said simply to be a matter of ascertaining what would have been intended by a reasonable person in the position of the parties, with inferences about that meaning to be drawn from the </w:t>
      </w:r>
      <w:r w:rsidRPr="00D01163">
        <w:rPr>
          <w:rFonts w:ascii="Times New Roman" w:hAnsi="Times New Roman"/>
        </w:rPr>
        <w:lastRenderedPageBreak/>
        <w:t>information reasonably available to the parties</w:t>
      </w:r>
      <w:r w:rsidRPr="00D01163">
        <w:rPr>
          <w:rStyle w:val="FootnoteReference"/>
          <w:rFonts w:ascii="Times New Roman" w:hAnsi="Times New Roman"/>
          <w:sz w:val="24"/>
        </w:rPr>
        <w:footnoteReference w:id="112"/>
      </w:r>
      <w:r w:rsidRPr="00D01163">
        <w:rPr>
          <w:rFonts w:ascii="Times New Roman" w:hAnsi="Times New Roman"/>
        </w:rPr>
        <w:t xml:space="preserve">. In </w:t>
      </w:r>
      <w:r w:rsidRPr="00D01163">
        <w:rPr>
          <w:rFonts w:ascii="Times New Roman" w:hAnsi="Times New Roman"/>
          <w:i/>
          <w:iCs/>
        </w:rPr>
        <w:t>Chartbrook Ltd v Persimmon Homes Ltd</w:t>
      </w:r>
      <w:r w:rsidRPr="00D01163">
        <w:rPr>
          <w:rStyle w:val="FootnoteReference"/>
          <w:rFonts w:ascii="Times New Roman" w:hAnsi="Times New Roman"/>
          <w:sz w:val="24"/>
        </w:rPr>
        <w:footnoteReference w:id="113"/>
      </w:r>
      <w:r w:rsidRPr="00D01163">
        <w:rPr>
          <w:rFonts w:ascii="Times New Roman" w:hAnsi="Times New Roman"/>
        </w:rPr>
        <w:t>, Lord Hoffmann said that "there is not, so to speak, a limit to the amount of red ink or verbal rearrangement or correction which the court is allowed. All that is required is that it should be clear that something has gone wrong with the language and that it should be clear what a reasonable person would have understood the parties to have meant."</w:t>
      </w:r>
    </w:p>
    <w:p w14:paraId="56833F7F" w14:textId="77777777" w:rsidR="00BB2DE8" w:rsidRPr="00D01163" w:rsidRDefault="00BB2DE8" w:rsidP="00D01163">
      <w:pPr>
        <w:pStyle w:val="FixListStyle"/>
        <w:spacing w:after="260" w:line="280" w:lineRule="exact"/>
        <w:ind w:right="0"/>
        <w:jc w:val="both"/>
        <w:rPr>
          <w:rFonts w:ascii="Times New Roman" w:hAnsi="Times New Roman"/>
        </w:rPr>
      </w:pPr>
      <w:r w:rsidRPr="00D01163">
        <w:rPr>
          <w:rFonts w:ascii="Times New Roman" w:hAnsi="Times New Roman"/>
        </w:rPr>
        <w:tab/>
        <w:t xml:space="preserve">By contrast, the task of interpretation is sometimes expressed as a more rigid test, requiring much greater restraint, where the meaning of a clause requires an inference that is said to involve the addition or removal of words in the instrument. So, for drawing inferences that recognise an unexpressed implication within a clause, in </w:t>
      </w:r>
      <w:r w:rsidRPr="00D01163">
        <w:rPr>
          <w:rFonts w:ascii="Times New Roman" w:hAnsi="Times New Roman"/>
          <w:i/>
          <w:iCs/>
        </w:rPr>
        <w:t>Fitzgerald v Masters</w:t>
      </w:r>
      <w:r w:rsidRPr="00D01163">
        <w:rPr>
          <w:rStyle w:val="FootnoteReference"/>
          <w:rFonts w:ascii="Times New Roman" w:hAnsi="Times New Roman"/>
          <w:sz w:val="24"/>
        </w:rPr>
        <w:footnoteReference w:id="114"/>
      </w:r>
      <w:r w:rsidRPr="00D01163">
        <w:rPr>
          <w:rFonts w:ascii="Times New Roman" w:hAnsi="Times New Roman"/>
        </w:rPr>
        <w:t>, Dixon CJ and Fullagar J said that "[w]ords may generally be supplied, omitted or corrected, in an instrument, where it is clearly necessary in order to avoid absurdity or inconsistency". And an even stricter approach to drawing inferences that recognise an entire implied term in a contract appears from the famous passage in</w:t>
      </w:r>
      <w:r w:rsidRPr="00D01163">
        <w:rPr>
          <w:rFonts w:ascii="Times New Roman" w:hAnsi="Times New Roman"/>
          <w:i/>
          <w:iCs/>
        </w:rPr>
        <w:t xml:space="preserve"> Codelfa</w:t>
      </w:r>
      <w:r w:rsidRPr="00D01163">
        <w:rPr>
          <w:rStyle w:val="FootnoteReference"/>
          <w:rFonts w:ascii="Times New Roman" w:hAnsi="Times New Roman"/>
          <w:sz w:val="24"/>
        </w:rPr>
        <w:footnoteReference w:id="115"/>
      </w:r>
      <w:r w:rsidRPr="00D01163">
        <w:rPr>
          <w:rFonts w:ascii="Times New Roman" w:hAnsi="Times New Roman"/>
          <w:iCs/>
        </w:rPr>
        <w:t>,</w:t>
      </w:r>
      <w:r w:rsidRPr="00D01163">
        <w:rPr>
          <w:rFonts w:ascii="Times New Roman" w:hAnsi="Times New Roman"/>
        </w:rPr>
        <w:t xml:space="preserve"> where Mason J (with whom Stephen and Wilson JJ agreed) said that "courts have been at pains to emphasize that it is not enough that it is reasonable to imply a term" and that there are five "conditions necessary to ground the implication of a term". The proposed implied term: (1) must be reasonable and equitable; (2) must be necessary to give business efficacy to the contract, so that no term will be implied if the contract is effective without it; (3) must be so obvious that "it goes without saying"; (4) must be capable of clear expression; and (5) must not contradict any express term of the contract.</w:t>
      </w:r>
    </w:p>
    <w:p w14:paraId="0427DC5B" w14:textId="77777777" w:rsidR="00BB2DE8" w:rsidRPr="00D01163" w:rsidRDefault="00BB2DE8" w:rsidP="00D01163">
      <w:pPr>
        <w:pStyle w:val="FixListStyle"/>
        <w:spacing w:after="260" w:line="280" w:lineRule="exact"/>
        <w:ind w:right="0"/>
        <w:jc w:val="both"/>
        <w:rPr>
          <w:rFonts w:ascii="Times New Roman" w:hAnsi="Times New Roman"/>
        </w:rPr>
      </w:pPr>
      <w:r w:rsidRPr="00D01163">
        <w:rPr>
          <w:rFonts w:ascii="Times New Roman" w:hAnsi="Times New Roman"/>
        </w:rPr>
        <w:tab/>
        <w:t xml:space="preserve">The ephemeral nature of the borders between the three categories of interpretation makes it difficult to justify any sharp distinctions between them. It has thus, albeit controversially, been suggested that the categories be entirely </w:t>
      </w:r>
      <w:r w:rsidRPr="00D01163">
        <w:rPr>
          <w:rFonts w:ascii="Times New Roman" w:hAnsi="Times New Roman"/>
        </w:rPr>
        <w:lastRenderedPageBreak/>
        <w:t>collapsed</w:t>
      </w:r>
      <w:r w:rsidRPr="00D01163">
        <w:rPr>
          <w:rStyle w:val="FootnoteReference"/>
          <w:rFonts w:ascii="Times New Roman" w:hAnsi="Times New Roman"/>
          <w:sz w:val="24"/>
        </w:rPr>
        <w:footnoteReference w:id="116"/>
      </w:r>
      <w:r w:rsidRPr="00D01163">
        <w:rPr>
          <w:rFonts w:ascii="Times New Roman" w:hAnsi="Times New Roman"/>
        </w:rPr>
        <w:t>. The best approach is to recognise that implications fall on a continuum that depends upon the extent of the contribution that the general or particular circumstances of context or purpose must make to the required inference beyond the language of the provision</w:t>
      </w:r>
      <w:r w:rsidRPr="00D01163">
        <w:rPr>
          <w:rStyle w:val="FootnoteReference"/>
          <w:rFonts w:ascii="Times New Roman" w:hAnsi="Times New Roman"/>
          <w:sz w:val="24"/>
        </w:rPr>
        <w:footnoteReference w:id="117"/>
      </w:r>
      <w:r w:rsidRPr="00D01163">
        <w:rPr>
          <w:rFonts w:ascii="Times New Roman" w:hAnsi="Times New Roman"/>
        </w:rPr>
        <w:t>. In contracts that are entirely in writing, like other entirely written instruments such as legislation, the larger the contribution from surrounding circumstances beyond the text that is required to recognise the implication the greater must be the relevance of those circumstances</w:t>
      </w:r>
      <w:r w:rsidRPr="00D01163">
        <w:rPr>
          <w:rStyle w:val="FootnoteReference"/>
          <w:rFonts w:ascii="Times New Roman" w:hAnsi="Times New Roman"/>
          <w:sz w:val="24"/>
        </w:rPr>
        <w:footnoteReference w:id="118"/>
      </w:r>
      <w:r w:rsidRPr="00D01163">
        <w:rPr>
          <w:rFonts w:ascii="Times New Roman" w:hAnsi="Times New Roman"/>
        </w:rPr>
        <w:t xml:space="preserve"> and the greater the "force as to carry conviction to the mind"</w:t>
      </w:r>
      <w:r w:rsidRPr="00D01163">
        <w:rPr>
          <w:rStyle w:val="FootnoteReference"/>
          <w:rFonts w:ascii="Times New Roman" w:hAnsi="Times New Roman"/>
          <w:sz w:val="24"/>
        </w:rPr>
        <w:footnoteReference w:id="119"/>
      </w:r>
      <w:r w:rsidRPr="00D01163">
        <w:rPr>
          <w:rFonts w:ascii="Times New Roman" w:hAnsi="Times New Roman"/>
        </w:rPr>
        <w:t xml:space="preserve"> that is needed before the implication can be recognised as one that would have been intended by a reasonable person in the position of the parties. </w:t>
      </w:r>
    </w:p>
    <w:p w14:paraId="083D5425" w14:textId="77777777" w:rsidR="00BB2DE8" w:rsidRPr="00D01163" w:rsidRDefault="00BB2DE8" w:rsidP="00D01163">
      <w:pPr>
        <w:pStyle w:val="FixListStyle"/>
        <w:spacing w:after="260" w:line="280" w:lineRule="exact"/>
        <w:ind w:right="0"/>
        <w:jc w:val="both"/>
        <w:rPr>
          <w:rFonts w:ascii="Times New Roman" w:hAnsi="Times New Roman"/>
        </w:rPr>
      </w:pPr>
      <w:r w:rsidRPr="00D01163">
        <w:rPr>
          <w:rFonts w:ascii="Times New Roman" w:hAnsi="Times New Roman"/>
        </w:rPr>
        <w:tab/>
        <w:t xml:space="preserve">At one end of the continuum, an implication beyond the literal meaning of express words might be slight and in contractual interpretation the inference of that implied meaning can be readily drawn if that was the meaning that would have been intended by a reasonable person in the position of the parties. It does not matter if the inference is described as inserting new words. As Lord Eldon LC said in </w:t>
      </w:r>
      <w:r w:rsidRPr="00D01163">
        <w:rPr>
          <w:rFonts w:ascii="Times New Roman" w:hAnsi="Times New Roman"/>
          <w:i/>
          <w:iCs/>
        </w:rPr>
        <w:t>Wight v Dicksons</w:t>
      </w:r>
      <w:r w:rsidRPr="00D01163">
        <w:rPr>
          <w:rStyle w:val="FootnoteReference"/>
          <w:rFonts w:ascii="Times New Roman" w:hAnsi="Times New Roman"/>
          <w:sz w:val="24"/>
        </w:rPr>
        <w:footnoteReference w:id="120"/>
      </w:r>
      <w:r w:rsidRPr="00D01163">
        <w:rPr>
          <w:rFonts w:ascii="Times New Roman" w:hAnsi="Times New Roman"/>
        </w:rPr>
        <w:t>, "[i]t had been said that it was too strong to insert a word; but the answer was, that the other words in the [contract] could not have their proper effect without it".</w:t>
      </w:r>
    </w:p>
    <w:p w14:paraId="33D1D50D" w14:textId="77777777" w:rsidR="00BB2DE8" w:rsidRPr="00D01163" w:rsidRDefault="00BB2DE8" w:rsidP="00D01163">
      <w:pPr>
        <w:pStyle w:val="FixListStyle"/>
        <w:spacing w:after="260" w:line="280" w:lineRule="exact"/>
        <w:ind w:right="0"/>
        <w:jc w:val="both"/>
        <w:rPr>
          <w:rFonts w:ascii="Times New Roman" w:hAnsi="Times New Roman"/>
        </w:rPr>
      </w:pPr>
      <w:r w:rsidRPr="00D01163">
        <w:rPr>
          <w:rFonts w:ascii="Times New Roman" w:hAnsi="Times New Roman"/>
        </w:rPr>
        <w:tab/>
        <w:t xml:space="preserve">At the other end of the continuum, a contractual implication beyond the literal meaning of the express words might be large, requiring a high level of satisfaction by the court that the implication would have been intended by a reasonable person in the position of the parties. Hence, if the implication is properly characterised as a new, and separate, term of the contract, the present state of the law is that a court will require satisfaction of all five of the factors endorsed in </w:t>
      </w:r>
      <w:r w:rsidRPr="00D01163">
        <w:rPr>
          <w:rFonts w:ascii="Times New Roman" w:hAnsi="Times New Roman"/>
          <w:i/>
          <w:iCs/>
        </w:rPr>
        <w:t xml:space="preserve">Codelfa </w:t>
      </w:r>
      <w:r w:rsidRPr="00D01163">
        <w:rPr>
          <w:rFonts w:ascii="Times New Roman" w:hAnsi="Times New Roman"/>
        </w:rPr>
        <w:t>before the implication is recognised.</w:t>
      </w:r>
    </w:p>
    <w:p w14:paraId="13E723C0" w14:textId="77777777" w:rsidR="00BB2DE8" w:rsidRPr="00D01163" w:rsidRDefault="00BB2DE8" w:rsidP="00D01163">
      <w:pPr>
        <w:pStyle w:val="HeadingL2"/>
        <w:spacing w:after="260" w:line="280" w:lineRule="exact"/>
        <w:ind w:right="0"/>
        <w:jc w:val="both"/>
        <w:rPr>
          <w:rFonts w:ascii="Times New Roman" w:hAnsi="Times New Roman"/>
        </w:rPr>
      </w:pPr>
      <w:r w:rsidRPr="00D01163">
        <w:rPr>
          <w:rFonts w:ascii="Times New Roman" w:hAnsi="Times New Roman"/>
        </w:rPr>
        <w:lastRenderedPageBreak/>
        <w:t>An implied end date?</w:t>
      </w:r>
    </w:p>
    <w:p w14:paraId="25532FEE" w14:textId="77777777" w:rsidR="00BB2DE8" w:rsidRPr="00D01163" w:rsidRDefault="00BB2DE8" w:rsidP="00D01163">
      <w:pPr>
        <w:pStyle w:val="FixListStyle"/>
        <w:spacing w:after="260" w:line="280" w:lineRule="exact"/>
        <w:ind w:right="0"/>
        <w:jc w:val="both"/>
        <w:rPr>
          <w:rFonts w:ascii="Times New Roman" w:hAnsi="Times New Roman"/>
        </w:rPr>
      </w:pPr>
      <w:r w:rsidRPr="00D01163">
        <w:rPr>
          <w:rFonts w:ascii="Times New Roman" w:hAnsi="Times New Roman"/>
        </w:rPr>
        <w:tab/>
        <w:t>These principles concerning implication arise on the interpretation of cl 3, and in particular the resolution of whether the expression "licence to the Patent" means only a freedom to exploit the invention that is the subject matter of the Patent or whether the meaning of that expression also includes the implication that the freedom is limited to the initial term of the Patent without regard to any extension. Neither of the competing interpretations, either that of Sandoz (perpetual licences) or that of the appellants (licences until the initial expiry of the Patent), treated the term of the licences as the term of the Patent with any extensions. Such an interpretation would not have been contemplated by a reasonable person in the position of the parties since it would leave the licences in a form of suspended animation between the expiry of the initial term of the Patent and any subsequent post</w:t>
      </w:r>
      <w:r w:rsidRPr="00D01163">
        <w:rPr>
          <w:rFonts w:ascii="Times New Roman" w:hAnsi="Times New Roman"/>
        </w:rPr>
        <w:noBreakHyphen/>
        <w:t>expiry extension of the term.</w:t>
      </w:r>
    </w:p>
    <w:p w14:paraId="03627343" w14:textId="77777777" w:rsidR="00BB2DE8" w:rsidRPr="00D01163" w:rsidRDefault="00BB2DE8" w:rsidP="00D01163">
      <w:pPr>
        <w:pStyle w:val="FixListStyle"/>
        <w:spacing w:after="260" w:line="280" w:lineRule="exact"/>
        <w:ind w:right="0"/>
        <w:jc w:val="both"/>
        <w:rPr>
          <w:rFonts w:ascii="Times New Roman" w:hAnsi="Times New Roman"/>
        </w:rPr>
      </w:pPr>
      <w:r w:rsidRPr="00D01163">
        <w:rPr>
          <w:rFonts w:ascii="Times New Roman" w:hAnsi="Times New Roman"/>
        </w:rPr>
        <w:tab/>
        <w:t>A licence to exploit the subject matter of a patent does not always terminate when the term of the patent expires; indeed, without a condition to the contrary, the licence will be valid even if the patent is invalid</w:t>
      </w:r>
      <w:r w:rsidRPr="00D01163">
        <w:rPr>
          <w:rStyle w:val="FootnoteReference"/>
          <w:rFonts w:ascii="Times New Roman" w:hAnsi="Times New Roman"/>
          <w:sz w:val="24"/>
        </w:rPr>
        <w:footnoteReference w:id="121"/>
      </w:r>
      <w:r w:rsidRPr="00D01163">
        <w:rPr>
          <w:rFonts w:ascii="Times New Roman" w:hAnsi="Times New Roman"/>
        </w:rPr>
        <w:t xml:space="preserve">. Section 145 of the </w:t>
      </w:r>
      <w:r w:rsidRPr="00D01163">
        <w:rPr>
          <w:rFonts w:ascii="Times New Roman" w:hAnsi="Times New Roman"/>
          <w:i/>
          <w:iCs/>
        </w:rPr>
        <w:t xml:space="preserve">Patents Act </w:t>
      </w:r>
      <w:r w:rsidRPr="00D01163">
        <w:rPr>
          <w:rFonts w:ascii="Times New Roman" w:hAnsi="Times New Roman"/>
        </w:rPr>
        <w:t>assumes that there will be instances where the licence continues after the expiry of the term of the patent. In circumstances where "the instrument does not expressly provide for what is to happen when some event occurs", such as where there is no express provision that the licence is to come to an end when the term of the patent expires, the "most usual inference ... is that nothing is to happen"</w:t>
      </w:r>
      <w:r w:rsidRPr="00D01163">
        <w:rPr>
          <w:rStyle w:val="FootnoteReference"/>
          <w:rFonts w:ascii="Times New Roman" w:hAnsi="Times New Roman"/>
          <w:sz w:val="24"/>
        </w:rPr>
        <w:footnoteReference w:id="122"/>
      </w:r>
      <w:r w:rsidRPr="00D01163">
        <w:rPr>
          <w:rFonts w:ascii="Times New Roman" w:hAnsi="Times New Roman"/>
        </w:rPr>
        <w:t>. The licence does not terminate. That was the central, and powerful, plank of the reasoning of the Full Court</w:t>
      </w:r>
      <w:r w:rsidRPr="00D01163">
        <w:rPr>
          <w:rStyle w:val="FootnoteReference"/>
          <w:rFonts w:ascii="Times New Roman" w:hAnsi="Times New Roman"/>
          <w:sz w:val="24"/>
        </w:rPr>
        <w:footnoteReference w:id="123"/>
      </w:r>
      <w:r w:rsidRPr="00D01163">
        <w:rPr>
          <w:rFonts w:ascii="Times New Roman" w:hAnsi="Times New Roman"/>
        </w:rPr>
        <w:t>.</w:t>
      </w:r>
    </w:p>
    <w:p w14:paraId="72EC94D9" w14:textId="77777777" w:rsidR="00BB2DE8" w:rsidRPr="00D01163" w:rsidRDefault="00BB2DE8" w:rsidP="00D01163">
      <w:pPr>
        <w:pStyle w:val="FixListStyle"/>
        <w:spacing w:after="260" w:line="280" w:lineRule="exact"/>
        <w:ind w:right="0"/>
        <w:jc w:val="both"/>
        <w:rPr>
          <w:rFonts w:ascii="Times New Roman" w:hAnsi="Times New Roman"/>
        </w:rPr>
      </w:pPr>
      <w:r w:rsidRPr="00D01163">
        <w:rPr>
          <w:rFonts w:ascii="Times New Roman" w:hAnsi="Times New Roman"/>
        </w:rPr>
        <w:tab/>
        <w:t xml:space="preserve">On the other hand, as explained above, it is clear that something went wrong with the manner in which the parties expressed themselves in cl 3. It requires only a slight inference beyond the literal meaning of the words to conclude that the reference in cll 3(1) and 3(2) to a "licence to the Patent", like the equally nonsensical words in cl 3(3) "licence of ... the Patent", carries the implication that the freedom to exploit the invention is limited to the term of the Patent. With the ease by which the implied meaning can be derived from the garbled words used, it is not necessary for background facts and reasonable assumptions to provide a high </w:t>
      </w:r>
      <w:r w:rsidRPr="00D01163">
        <w:rPr>
          <w:rFonts w:ascii="Times New Roman" w:hAnsi="Times New Roman"/>
        </w:rPr>
        <w:lastRenderedPageBreak/>
        <w:t>level of satisfaction that this implication would have been intended by a reasonable person in the position of the parties. The background facts in this case provide sufficient satisfaction that a reasonable person in the position of the parties would have intended to limit the term of the licences to the initial term of the Patent.</w:t>
      </w:r>
    </w:p>
    <w:p w14:paraId="79173BEB" w14:textId="77777777" w:rsidR="00BB2DE8" w:rsidRPr="00D01163" w:rsidRDefault="00BB2DE8" w:rsidP="00D01163">
      <w:pPr>
        <w:pStyle w:val="FixListStyle"/>
        <w:spacing w:after="260" w:line="280" w:lineRule="exact"/>
        <w:ind w:right="0"/>
        <w:jc w:val="both"/>
        <w:rPr>
          <w:rFonts w:ascii="Times New Roman" w:hAnsi="Times New Roman"/>
        </w:rPr>
      </w:pPr>
      <w:r w:rsidRPr="00D01163">
        <w:rPr>
          <w:rFonts w:ascii="Times New Roman" w:hAnsi="Times New Roman"/>
        </w:rPr>
        <w:tab/>
        <w:t>One background fact is that the parties were aware that there was a "remote possibility that the term of the Patent might be extended sometime after it had expired"</w:t>
      </w:r>
      <w:r w:rsidRPr="00D01163">
        <w:rPr>
          <w:rStyle w:val="FootnoteReference"/>
          <w:rFonts w:ascii="Times New Roman" w:hAnsi="Times New Roman"/>
          <w:sz w:val="24"/>
        </w:rPr>
        <w:footnoteReference w:id="124"/>
      </w:r>
      <w:r w:rsidRPr="00D01163">
        <w:rPr>
          <w:rFonts w:ascii="Times New Roman" w:hAnsi="Times New Roman"/>
        </w:rPr>
        <w:t>. On the first of the proposed dates, in cl 3(1)(a), which turned out to be the commencement of the primary licence, the period of extension would be approximately three and a half years. The appellants relied upon the remote possibility of this extension as a matter of commercial context that was said to favour their interpretation. If the primary and supplementary licences ended when the term of the Patent expired, then they would preserve the exclusivity of the Lundbeck entities' rights upon an extension of the term of the Patent.</w:t>
      </w:r>
    </w:p>
    <w:p w14:paraId="0B62A694" w14:textId="77777777" w:rsidR="00BB2DE8" w:rsidRPr="00D01163" w:rsidRDefault="00BB2DE8" w:rsidP="00D01163">
      <w:pPr>
        <w:pStyle w:val="FixListStyle"/>
        <w:spacing w:after="260" w:line="280" w:lineRule="exact"/>
        <w:ind w:right="0"/>
        <w:jc w:val="both"/>
        <w:rPr>
          <w:rFonts w:ascii="Times New Roman" w:hAnsi="Times New Roman"/>
        </w:rPr>
      </w:pPr>
      <w:r w:rsidRPr="00D01163">
        <w:rPr>
          <w:rFonts w:ascii="Times New Roman" w:hAnsi="Times New Roman"/>
        </w:rPr>
        <w:tab/>
        <w:t>Whilst it will always be an important matter of context for the interpretation of a commercial agreement if an interpretation would be "commercial nonsense"</w:t>
      </w:r>
      <w:r w:rsidRPr="00D01163">
        <w:rPr>
          <w:rStyle w:val="FootnoteReference"/>
          <w:rFonts w:ascii="Times New Roman" w:hAnsi="Times New Roman"/>
          <w:sz w:val="24"/>
        </w:rPr>
        <w:footnoteReference w:id="125"/>
      </w:r>
      <w:r w:rsidRPr="00D01163">
        <w:rPr>
          <w:rFonts w:ascii="Times New Roman" w:hAnsi="Times New Roman"/>
        </w:rPr>
        <w:t xml:space="preserve">, it will rarely assist for the interpretation of an agreement that the court considers that, from the perspective of one party, one or more clauses are not commercially wise or convenient. As Neuberger LJ said in </w:t>
      </w:r>
      <w:r w:rsidRPr="00D01163">
        <w:rPr>
          <w:rFonts w:ascii="Times New Roman" w:hAnsi="Times New Roman"/>
          <w:i/>
          <w:iCs/>
        </w:rPr>
        <w:t>Skanska Rashleigh Weatherfoil Ltd v Somerfield Stores Ltd</w:t>
      </w:r>
      <w:r w:rsidRPr="00D01163">
        <w:rPr>
          <w:rStyle w:val="FootnoteReference"/>
          <w:rFonts w:ascii="Times New Roman" w:hAnsi="Times New Roman"/>
          <w:sz w:val="24"/>
        </w:rPr>
        <w:footnoteReference w:id="126"/>
      </w:r>
      <w:r w:rsidRPr="00D01163">
        <w:rPr>
          <w:rFonts w:ascii="Times New Roman" w:hAnsi="Times New Roman"/>
        </w:rPr>
        <w:t>:</w:t>
      </w:r>
    </w:p>
    <w:p w14:paraId="629D2726" w14:textId="77777777" w:rsidR="00BB2DE8" w:rsidRDefault="00BB2DE8" w:rsidP="00D01163">
      <w:pPr>
        <w:pStyle w:val="LeftrightafterHC"/>
        <w:spacing w:before="0" w:after="260" w:line="280" w:lineRule="exact"/>
        <w:ind w:right="0"/>
        <w:jc w:val="both"/>
        <w:rPr>
          <w:rFonts w:ascii="Times New Roman" w:hAnsi="Times New Roman"/>
        </w:rPr>
      </w:pPr>
      <w:bookmarkStart w:id="4" w:name="para22"/>
      <w:r w:rsidRPr="00D01163">
        <w:rPr>
          <w:rFonts w:ascii="Times New Roman" w:hAnsi="Times New Roman"/>
        </w:rPr>
        <w:t>"[T]he court must be careful before departing from the natural meaning of the provision in the contract merely because it may conflict with its notions of commercial common sense of what the parties may must or should have thought or intended. Judges are not always the most commercially</w:t>
      </w:r>
      <w:r w:rsidRPr="00D01163">
        <w:rPr>
          <w:rFonts w:ascii="Times New Roman" w:hAnsi="Times New Roman"/>
        </w:rPr>
        <w:noBreakHyphen/>
        <w:t>minded, let alone the most commercially experienced, of people, and should, I think, avoid arrogating to themselves overconfidently the role of arbiter of commercial reasonableness or likelihood.</w:t>
      </w:r>
      <w:bookmarkEnd w:id="4"/>
      <w:r w:rsidRPr="00D01163">
        <w:rPr>
          <w:rFonts w:ascii="Times New Roman" w:hAnsi="Times New Roman"/>
        </w:rPr>
        <w:t>"</w:t>
      </w:r>
    </w:p>
    <w:p w14:paraId="41F3BD2A" w14:textId="77777777" w:rsidR="00BB2DE8" w:rsidRPr="00D01163" w:rsidRDefault="00BB2DE8" w:rsidP="00D01163">
      <w:pPr>
        <w:pStyle w:val="FixListStyle"/>
        <w:spacing w:after="260" w:line="280" w:lineRule="exact"/>
        <w:ind w:right="0"/>
        <w:jc w:val="both"/>
        <w:rPr>
          <w:rFonts w:ascii="Times New Roman" w:hAnsi="Times New Roman"/>
        </w:rPr>
      </w:pPr>
      <w:r w:rsidRPr="00D01163">
        <w:rPr>
          <w:rFonts w:ascii="Times New Roman" w:hAnsi="Times New Roman"/>
        </w:rPr>
        <w:tab/>
        <w:t xml:space="preserve">Perhaps with this principle in mind, but not without a flourish of comic hyperbole, the appellants submitted that Sandoz's interpretation was "madness" and "commercially incomprehensible" because Sandoz's interpretation suggested that the Lundbeck entities would have given up a right to exclude others from </w:t>
      </w:r>
      <w:r w:rsidRPr="00D01163">
        <w:rPr>
          <w:rFonts w:ascii="Times New Roman" w:hAnsi="Times New Roman"/>
        </w:rPr>
        <w:lastRenderedPageBreak/>
        <w:t>exploiting escitalopram products for three and a half years, without any royalties in return. This submission cannot be accepted. At the time of the settlement agreement, on any interpretation of cl 3 no reasonable person in the position of the parties would have considered that the Lundbeck entities were giving up such valuable rights.</w:t>
      </w:r>
    </w:p>
    <w:p w14:paraId="3EACBE5D" w14:textId="77777777" w:rsidR="00BB2DE8" w:rsidRPr="00D01163" w:rsidRDefault="00BB2DE8" w:rsidP="00D01163">
      <w:pPr>
        <w:pStyle w:val="FixListStyle"/>
        <w:spacing w:after="260" w:line="280" w:lineRule="exact"/>
        <w:ind w:right="0"/>
        <w:jc w:val="both"/>
        <w:rPr>
          <w:rFonts w:ascii="Times New Roman" w:hAnsi="Times New Roman"/>
        </w:rPr>
      </w:pPr>
      <w:r w:rsidRPr="00D01163">
        <w:rPr>
          <w:rFonts w:ascii="Times New Roman" w:hAnsi="Times New Roman"/>
        </w:rPr>
        <w:tab/>
        <w:t>On Sandoz's interpretation of cl 3, all that the Lundbeck entities were giving up was possible rights against one legal person, Sandoz, in circumstances where the rights would only exist on the remote possibility of an extension. Moreover, even if that remote possibility were to be treated as a certainty, it would equally be "madness" for Sandoz to discontinue its litigation in exchange for primary and supplementary licences that would enable it to sell escitalopram products when those licences were worthless because they expired within a very short period. If Sandoz knew that its primary licence would only be for two weeks, it would be unlawful to sell to pharmacists without disclosing that fact</w:t>
      </w:r>
      <w:r w:rsidRPr="00D01163">
        <w:rPr>
          <w:rStyle w:val="FootnoteReference"/>
          <w:rFonts w:ascii="Times New Roman" w:hAnsi="Times New Roman"/>
          <w:sz w:val="24"/>
        </w:rPr>
        <w:footnoteReference w:id="127"/>
      </w:r>
      <w:r w:rsidRPr="00D01163">
        <w:rPr>
          <w:rFonts w:ascii="Times New Roman" w:hAnsi="Times New Roman"/>
        </w:rPr>
        <w:t xml:space="preserve"> and no reasonable pharmacist would purchase escitalopram products at short notice, knowing that even with instantaneous distribution the products could only be sold to customers for a small number of days from the date of purchase by the pharmacist.</w:t>
      </w:r>
    </w:p>
    <w:p w14:paraId="040FC1EB" w14:textId="77777777" w:rsidR="00BB2DE8" w:rsidRPr="00D01163" w:rsidRDefault="00BB2DE8" w:rsidP="00D01163">
      <w:pPr>
        <w:pStyle w:val="FixListStyle"/>
        <w:spacing w:after="260" w:line="280" w:lineRule="exact"/>
        <w:ind w:right="0"/>
        <w:jc w:val="both"/>
        <w:rPr>
          <w:rFonts w:ascii="Times New Roman" w:hAnsi="Times New Roman"/>
        </w:rPr>
      </w:pPr>
      <w:r w:rsidRPr="00D01163">
        <w:rPr>
          <w:rFonts w:ascii="Times New Roman" w:hAnsi="Times New Roman"/>
        </w:rPr>
        <w:tab/>
        <w:t xml:space="preserve">Ultimately, therefore, the background fact that the parties were aware of the remote possibility that the term of the Patent might be extended after the initial expiry, to apply retrospectively, does not assist either interpretation of cl 3. Other background facts and circumstances are much more useful in interpreting the meaning of cl 3, and any implications contained in it. </w:t>
      </w:r>
    </w:p>
    <w:p w14:paraId="6B8EF676" w14:textId="77777777" w:rsidR="00BB2DE8" w:rsidRPr="00D01163" w:rsidRDefault="00BB2DE8" w:rsidP="00D01163">
      <w:pPr>
        <w:pStyle w:val="FixListStyle"/>
        <w:spacing w:after="260" w:line="280" w:lineRule="exact"/>
        <w:ind w:right="0"/>
        <w:jc w:val="both"/>
        <w:rPr>
          <w:rFonts w:ascii="Times New Roman" w:hAnsi="Times New Roman"/>
        </w:rPr>
      </w:pPr>
      <w:r w:rsidRPr="00D01163">
        <w:rPr>
          <w:rFonts w:ascii="Times New Roman" w:hAnsi="Times New Roman"/>
        </w:rPr>
        <w:tab/>
        <w:t>Another objective background fact relevant to the interpretation of the settlement agreement</w:t>
      </w:r>
      <w:r w:rsidRPr="00D01163">
        <w:rPr>
          <w:rStyle w:val="FootnoteReference"/>
          <w:rFonts w:ascii="Times New Roman" w:hAnsi="Times New Roman"/>
          <w:sz w:val="24"/>
        </w:rPr>
        <w:footnoteReference w:id="128"/>
      </w:r>
      <w:r w:rsidRPr="00D01163">
        <w:rPr>
          <w:rFonts w:ascii="Times New Roman" w:hAnsi="Times New Roman"/>
        </w:rPr>
        <w:t xml:space="preserve"> is the expressed purpose of the licences in pre</w:t>
      </w:r>
      <w:r w:rsidRPr="00D01163">
        <w:rPr>
          <w:rFonts w:ascii="Times New Roman" w:hAnsi="Times New Roman"/>
        </w:rPr>
        <w:noBreakHyphen/>
        <w:t>contractual communications between the parties. The purpose was expressed in each case as an "early entry licence" with a period from the start of the month "to stockpile and offer for sale (but not actually supply)" in order to take immediate advantage of the early entry licence. A further background fact at the time of the settlement agreement, which the primary judge also found would have been reasonably ascertainable by a reasonable person in the position of the parties, was that "various generic entities ... were keen to launch their own escitalopram products"</w:t>
      </w:r>
      <w:r w:rsidRPr="00D01163">
        <w:rPr>
          <w:rStyle w:val="FootnoteReference"/>
          <w:rFonts w:ascii="Times New Roman" w:hAnsi="Times New Roman"/>
          <w:sz w:val="24"/>
        </w:rPr>
        <w:footnoteReference w:id="129"/>
      </w:r>
      <w:r w:rsidRPr="00D01163">
        <w:rPr>
          <w:rFonts w:ascii="Times New Roman" w:hAnsi="Times New Roman"/>
        </w:rPr>
        <w:t>.</w:t>
      </w:r>
    </w:p>
    <w:p w14:paraId="6691FF81" w14:textId="77777777" w:rsidR="00BB2DE8" w:rsidRPr="00D01163" w:rsidRDefault="00BB2DE8" w:rsidP="00D01163">
      <w:pPr>
        <w:pStyle w:val="FixListStyle"/>
        <w:spacing w:after="260" w:line="280" w:lineRule="exact"/>
        <w:ind w:right="0"/>
        <w:jc w:val="both"/>
        <w:rPr>
          <w:rFonts w:ascii="Times New Roman" w:hAnsi="Times New Roman"/>
        </w:rPr>
      </w:pPr>
      <w:r w:rsidRPr="00D01163">
        <w:rPr>
          <w:rFonts w:ascii="Times New Roman" w:hAnsi="Times New Roman"/>
        </w:rPr>
        <w:lastRenderedPageBreak/>
        <w:tab/>
        <w:t>In short, the purpose of the licences was to enable Sandoz to get a head start over other entities seeking to enter the market to sell generic pharmaceutical products on the expiry of the term of the Patent. Even a short, two</w:t>
      </w:r>
      <w:r w:rsidRPr="00D01163">
        <w:rPr>
          <w:rFonts w:ascii="Times New Roman" w:hAnsi="Times New Roman"/>
        </w:rPr>
        <w:noBreakHyphen/>
        <w:t>week head start could enable Sandoz to establish itself as a preferred supplier, especially with the supplementary licence period from the start of the month for manufacturing, importing, marketing, and offering to sell. As the primary judge correctly explained</w:t>
      </w:r>
      <w:r w:rsidRPr="00D01163">
        <w:rPr>
          <w:rStyle w:val="FootnoteReference"/>
          <w:rFonts w:ascii="Times New Roman" w:hAnsi="Times New Roman"/>
          <w:sz w:val="24"/>
        </w:rPr>
        <w:footnoteReference w:id="130"/>
      </w:r>
      <w:r w:rsidRPr="00D01163">
        <w:rPr>
          <w:rFonts w:ascii="Times New Roman" w:hAnsi="Times New Roman"/>
        </w:rPr>
        <w:t>:</w:t>
      </w:r>
    </w:p>
    <w:p w14:paraId="0A03F4C6" w14:textId="77777777" w:rsidR="00BB2DE8" w:rsidRDefault="00BB2DE8" w:rsidP="00D01163">
      <w:pPr>
        <w:pStyle w:val="LeftrightafterHC"/>
        <w:spacing w:before="0" w:after="260" w:line="280" w:lineRule="exact"/>
        <w:ind w:right="0"/>
        <w:jc w:val="both"/>
        <w:rPr>
          <w:rFonts w:ascii="Times New Roman" w:hAnsi="Times New Roman"/>
        </w:rPr>
      </w:pPr>
      <w:r w:rsidRPr="00D01163">
        <w:rPr>
          <w:rFonts w:ascii="Times New Roman" w:hAnsi="Times New Roman"/>
        </w:rPr>
        <w:t>"The parties also would have appreciated that, for generic entities, every day counted for entry into a market to maximise the opportunity to take market share and so any early entry Sandoz could negotiate in exchange for discontinuing its proceedings would have value to Sandoz."</w:t>
      </w:r>
    </w:p>
    <w:p w14:paraId="54D1FB89" w14:textId="77777777" w:rsidR="00BB2DE8" w:rsidRPr="00D01163" w:rsidRDefault="00BB2DE8" w:rsidP="00D01163">
      <w:pPr>
        <w:pStyle w:val="FixListStyle"/>
        <w:spacing w:after="260" w:line="280" w:lineRule="exact"/>
        <w:ind w:right="0"/>
        <w:jc w:val="both"/>
        <w:rPr>
          <w:rFonts w:ascii="Times New Roman" w:hAnsi="Times New Roman"/>
        </w:rPr>
      </w:pPr>
      <w:r w:rsidRPr="00D01163">
        <w:rPr>
          <w:rFonts w:ascii="Times New Roman" w:hAnsi="Times New Roman"/>
        </w:rPr>
        <w:tab/>
        <w:t>In light of this purpose, a reasonable person in the position of the parties would have expected the primary licence to be for the two weeks until the expiry of the term of the Patent, with the earlier commencement of the supplementary licence. The purpose was effectively to give a head start to Sandoz shortly before the expiry of the term of the Patent, albeit that once that term had expired Sandoz would be placed in the same position as its competitors. The primary judge was therefore correct to conclude that, in effect, the licences "to the Patent" carried the implication that the freedom to exploit the invention was limited to the term of the Patent.</w:t>
      </w:r>
    </w:p>
    <w:p w14:paraId="16ABAC09" w14:textId="77777777" w:rsidR="00BB2DE8" w:rsidRPr="00D01163" w:rsidRDefault="00BB2DE8" w:rsidP="00D01163">
      <w:pPr>
        <w:pStyle w:val="HeadingL1"/>
        <w:spacing w:after="260" w:line="280" w:lineRule="exact"/>
        <w:ind w:right="0"/>
        <w:jc w:val="both"/>
        <w:rPr>
          <w:rFonts w:ascii="Times New Roman" w:hAnsi="Times New Roman"/>
        </w:rPr>
      </w:pPr>
      <w:r w:rsidRPr="00D01163">
        <w:rPr>
          <w:rFonts w:ascii="Times New Roman" w:hAnsi="Times New Roman"/>
        </w:rPr>
        <w:t>The consequential issues</w:t>
      </w:r>
    </w:p>
    <w:p w14:paraId="52F39302" w14:textId="77777777" w:rsidR="00BB2DE8" w:rsidRPr="00D01163" w:rsidRDefault="00BB2DE8" w:rsidP="00D01163">
      <w:pPr>
        <w:pStyle w:val="HeadingL2"/>
        <w:spacing w:after="260" w:line="280" w:lineRule="exact"/>
        <w:ind w:right="0"/>
        <w:jc w:val="both"/>
        <w:rPr>
          <w:rFonts w:ascii="Times New Roman" w:hAnsi="Times New Roman"/>
        </w:rPr>
      </w:pPr>
      <w:r w:rsidRPr="00D01163">
        <w:rPr>
          <w:rFonts w:ascii="Times New Roman" w:hAnsi="Times New Roman"/>
        </w:rPr>
        <w:t>Can Lundbeck Australia bring infringement proceedings?</w:t>
      </w:r>
    </w:p>
    <w:p w14:paraId="655BA757" w14:textId="77777777" w:rsidR="00BB2DE8" w:rsidRPr="00D01163" w:rsidRDefault="00BB2DE8" w:rsidP="00D01163">
      <w:pPr>
        <w:pStyle w:val="FixListStyle"/>
        <w:spacing w:after="260" w:line="280" w:lineRule="exact"/>
        <w:ind w:right="0"/>
        <w:jc w:val="both"/>
        <w:rPr>
          <w:rFonts w:ascii="Times New Roman" w:hAnsi="Times New Roman"/>
        </w:rPr>
      </w:pPr>
      <w:r w:rsidRPr="00D01163">
        <w:rPr>
          <w:rFonts w:ascii="Times New Roman" w:hAnsi="Times New Roman"/>
        </w:rPr>
        <w:tab/>
        <w:t>The first issue that is consequential upon the conclusion that Sandoz's licences ended upon the expiry of the term of the Patent is whether Lundbeck Australia, as exclusive licensee, could bring infringement proceedings against Sandoz or whether the only party entitled to bring proceedings in such circumstances is Lundbeck Denmark, as patentee.</w:t>
      </w:r>
    </w:p>
    <w:p w14:paraId="082F98DD" w14:textId="77777777" w:rsidR="00BB2DE8" w:rsidRPr="00D01163" w:rsidRDefault="00BB2DE8" w:rsidP="00D01163">
      <w:pPr>
        <w:pStyle w:val="FixListStyle"/>
        <w:spacing w:after="260" w:line="280" w:lineRule="exact"/>
        <w:ind w:right="0"/>
        <w:jc w:val="both"/>
        <w:rPr>
          <w:rFonts w:ascii="Times New Roman" w:hAnsi="Times New Roman"/>
        </w:rPr>
      </w:pPr>
      <w:r w:rsidRPr="00D01163">
        <w:rPr>
          <w:rFonts w:ascii="Times New Roman" w:hAnsi="Times New Roman"/>
        </w:rPr>
        <w:tab/>
        <w:t xml:space="preserve">Section 79 of the </w:t>
      </w:r>
      <w:r w:rsidRPr="00D01163">
        <w:rPr>
          <w:rFonts w:ascii="Times New Roman" w:hAnsi="Times New Roman"/>
          <w:i/>
          <w:iCs/>
        </w:rPr>
        <w:t xml:space="preserve">Patents Act </w:t>
      </w:r>
      <w:r w:rsidRPr="00D01163">
        <w:rPr>
          <w:rFonts w:ascii="Times New Roman" w:hAnsi="Times New Roman"/>
        </w:rPr>
        <w:t xml:space="preserve">confers upon a patentee the "same rights to start proceedings" for the doing of an act, including an infringement, where an extension of the term of a standard patent is granted after the expiry of the initial term of the patent as if the extension had been granted when the act was done. The appellants submitted that the absence of an express conferral of the same "right" for an exclusive licensee to start proceedings was anomalous for three reasons: (i) the statutory scheme of the </w:t>
      </w:r>
      <w:r w:rsidRPr="00D01163">
        <w:rPr>
          <w:rFonts w:ascii="Times New Roman" w:hAnsi="Times New Roman"/>
          <w:i/>
          <w:iCs/>
        </w:rPr>
        <w:t>Patents Act</w:t>
      </w:r>
      <w:r w:rsidRPr="00D01163">
        <w:rPr>
          <w:rFonts w:ascii="Times New Roman" w:hAnsi="Times New Roman"/>
          <w:iCs/>
        </w:rPr>
        <w:t xml:space="preserve"> </w:t>
      </w:r>
      <w:r w:rsidRPr="00D01163">
        <w:rPr>
          <w:rFonts w:ascii="Times New Roman" w:hAnsi="Times New Roman"/>
        </w:rPr>
        <w:t xml:space="preserve">contemplates that exclusive licences might be granted (for example, in s 13(1)), so it would be anomalous if the exclusive licensee did not have the "right" to pursue infringement proceedings; (ii) if an extension of the term were granted immediately before the expiry of the </w:t>
      </w:r>
      <w:r w:rsidRPr="00D01163">
        <w:rPr>
          <w:rFonts w:ascii="Times New Roman" w:hAnsi="Times New Roman"/>
        </w:rPr>
        <w:lastRenderedPageBreak/>
        <w:t>term of a patent, then the patentee or exclusive licensee could bring proceedings, so it would be anomalous if only the patentee could do so immediately after the extension of the term were granted; and (iii) if the extension of the term is granted either during</w:t>
      </w:r>
      <w:r w:rsidRPr="00D01163">
        <w:rPr>
          <w:rFonts w:ascii="Times New Roman" w:hAnsi="Times New Roman"/>
          <w:i/>
          <w:iCs/>
        </w:rPr>
        <w:t xml:space="preserve"> </w:t>
      </w:r>
      <w:r w:rsidRPr="00D01163">
        <w:rPr>
          <w:rFonts w:ascii="Times New Roman" w:hAnsi="Times New Roman"/>
        </w:rPr>
        <w:t>or after</w:t>
      </w:r>
      <w:r w:rsidRPr="00D01163">
        <w:rPr>
          <w:rFonts w:ascii="Times New Roman" w:hAnsi="Times New Roman"/>
          <w:i/>
          <w:iCs/>
        </w:rPr>
        <w:t xml:space="preserve"> </w:t>
      </w:r>
      <w:r w:rsidRPr="00D01163">
        <w:rPr>
          <w:rFonts w:ascii="Times New Roman" w:hAnsi="Times New Roman"/>
          <w:iCs/>
        </w:rPr>
        <w:t>the term of the patent, then s 78 limits the exclusive rights of the patentee during the period of the extension but, since Parliament could not have contemplated freedom from those limits for the exclusive licensee, both ss 78 and 79 must impliedly extend also to exclusive licensees.</w:t>
      </w:r>
    </w:p>
    <w:p w14:paraId="25080B1D" w14:textId="77777777" w:rsidR="00BB2DE8" w:rsidRPr="00D01163" w:rsidRDefault="00BB2DE8" w:rsidP="00D01163">
      <w:pPr>
        <w:pStyle w:val="FixListStyle"/>
        <w:spacing w:after="260" w:line="280" w:lineRule="exact"/>
        <w:ind w:right="0"/>
        <w:jc w:val="both"/>
        <w:rPr>
          <w:rFonts w:ascii="Times New Roman" w:hAnsi="Times New Roman"/>
        </w:rPr>
      </w:pPr>
      <w:r w:rsidRPr="00D01163">
        <w:rPr>
          <w:rFonts w:ascii="Times New Roman" w:hAnsi="Times New Roman"/>
          <w:iCs/>
        </w:rPr>
        <w:tab/>
        <w:t xml:space="preserve">In effect, the submission </w:t>
      </w:r>
      <w:r w:rsidRPr="00D01163">
        <w:rPr>
          <w:rFonts w:ascii="Times New Roman" w:hAnsi="Times New Roman"/>
        </w:rPr>
        <w:t>of the appellants – that s 79 applies to an exclusive licensee –</w:t>
      </w:r>
      <w:r w:rsidRPr="00D01163">
        <w:rPr>
          <w:rFonts w:ascii="Times New Roman" w:hAnsi="Times New Roman"/>
          <w:iCs/>
        </w:rPr>
        <w:t xml:space="preserve"> is that these anomalies combine to require that s 79 be read with the implication expressed in italics: "the patentee </w:t>
      </w:r>
      <w:r w:rsidRPr="00D01163">
        <w:rPr>
          <w:rFonts w:ascii="Times New Roman" w:hAnsi="Times New Roman"/>
          <w:i/>
        </w:rPr>
        <w:t xml:space="preserve">or exclusive licensee </w:t>
      </w:r>
      <w:r w:rsidRPr="00D01163">
        <w:rPr>
          <w:rFonts w:ascii="Times New Roman" w:hAnsi="Times New Roman"/>
          <w:iCs/>
        </w:rPr>
        <w:t>has, after the extension is granted, the same rights to start proceedings". The appellants' submission is effectively that this is an occasion of an error or infelicity in the drafting of legislation. Such errors, by inclusion or omission of only a few words, can radically change statutory meaning. But the correction of drafting errors, even substantial errors, does not defeat the intention of Parliament. To the contrary, such correction respects that intention. As with written contracts</w:t>
      </w:r>
      <w:r w:rsidRPr="00D01163">
        <w:rPr>
          <w:rStyle w:val="FootnoteReference"/>
          <w:rFonts w:ascii="Times New Roman" w:hAnsi="Times New Roman"/>
          <w:iCs/>
          <w:sz w:val="24"/>
        </w:rPr>
        <w:footnoteReference w:id="131"/>
      </w:r>
      <w:r w:rsidRPr="00D01163">
        <w:rPr>
          <w:rFonts w:ascii="Times New Roman" w:hAnsi="Times New Roman"/>
          <w:iCs/>
        </w:rPr>
        <w:t xml:space="preserve">, an implication might exist that gives a </w:t>
      </w:r>
      <w:r w:rsidRPr="00D01163">
        <w:rPr>
          <w:rFonts w:ascii="Times New Roman" w:hAnsi="Times New Roman"/>
        </w:rPr>
        <w:t>statutory</w:t>
      </w:r>
      <w:r w:rsidRPr="00D01163">
        <w:rPr>
          <w:rFonts w:ascii="Times New Roman" w:hAnsi="Times New Roman"/>
          <w:iCs/>
        </w:rPr>
        <w:t xml:space="preserve"> provision a meaning that would directly contradict, or would substantially change the effect of, the literal meaning of the provision</w:t>
      </w:r>
      <w:r w:rsidRPr="00D01163">
        <w:rPr>
          <w:rStyle w:val="FootnoteReference"/>
          <w:rFonts w:ascii="Times New Roman" w:hAnsi="Times New Roman"/>
          <w:iCs/>
          <w:sz w:val="24"/>
        </w:rPr>
        <w:footnoteReference w:id="132"/>
      </w:r>
      <w:r w:rsidRPr="00D01163">
        <w:rPr>
          <w:rFonts w:ascii="Times New Roman" w:hAnsi="Times New Roman"/>
          <w:iCs/>
        </w:rPr>
        <w:t>. But the more that an implication "departs from the natural and ordinary meaning of the terms of the provision in the context in which they appear", the more plain it must be that the meaning is one that "Parliament intended it to have"</w:t>
      </w:r>
      <w:r w:rsidRPr="00D01163">
        <w:rPr>
          <w:rStyle w:val="FootnoteReference"/>
          <w:rFonts w:ascii="Times New Roman" w:hAnsi="Times New Roman"/>
          <w:iCs/>
          <w:sz w:val="24"/>
        </w:rPr>
        <w:footnoteReference w:id="133"/>
      </w:r>
      <w:r w:rsidRPr="00D01163">
        <w:rPr>
          <w:rFonts w:ascii="Times New Roman" w:hAnsi="Times New Roman"/>
          <w:iCs/>
        </w:rPr>
        <w:t>.</w:t>
      </w:r>
    </w:p>
    <w:p w14:paraId="409F0D2F" w14:textId="77777777" w:rsidR="00BB2DE8" w:rsidRPr="00D01163" w:rsidRDefault="00BB2DE8" w:rsidP="00D01163">
      <w:pPr>
        <w:pStyle w:val="FixListStyle"/>
        <w:spacing w:after="260" w:line="280" w:lineRule="exact"/>
        <w:ind w:right="0"/>
        <w:jc w:val="both"/>
        <w:rPr>
          <w:rFonts w:ascii="Times New Roman" w:hAnsi="Times New Roman"/>
        </w:rPr>
      </w:pPr>
      <w:r w:rsidRPr="00D01163">
        <w:rPr>
          <w:rFonts w:ascii="Times New Roman" w:hAnsi="Times New Roman"/>
          <w:iCs/>
        </w:rPr>
        <w:tab/>
        <w:t>The implication for which the appellants contended involves a large addition to the language of the provision, akin to the creation of a new term by applying s 79 also to exclusive licensees. Like implications in contractual instruments, a statutory implication that has effect as if the provision "contained additional words or omitted words involves a judgment of matters of degree" which is readily answered against "an insertion which is 'too big, or too much at variance with the language in fact used by the legislature'"</w:t>
      </w:r>
      <w:r w:rsidRPr="00D01163">
        <w:rPr>
          <w:rStyle w:val="FootnoteReference"/>
          <w:rFonts w:ascii="Times New Roman" w:hAnsi="Times New Roman"/>
          <w:iCs/>
          <w:sz w:val="24"/>
        </w:rPr>
        <w:footnoteReference w:id="134"/>
      </w:r>
      <w:r w:rsidRPr="00D01163">
        <w:rPr>
          <w:rFonts w:ascii="Times New Roman" w:hAnsi="Times New Roman"/>
          <w:iCs/>
        </w:rPr>
        <w:t xml:space="preserve">. To the extent that </w:t>
      </w:r>
      <w:r w:rsidRPr="00D01163">
        <w:rPr>
          <w:rFonts w:ascii="Times New Roman" w:hAnsi="Times New Roman"/>
          <w:iCs/>
        </w:rPr>
        <w:lastRenderedPageBreak/>
        <w:t xml:space="preserve">they are anomalies at all, the alleged </w:t>
      </w:r>
      <w:r w:rsidRPr="00D01163">
        <w:rPr>
          <w:rFonts w:ascii="Times New Roman" w:hAnsi="Times New Roman"/>
        </w:rPr>
        <w:t>three</w:t>
      </w:r>
      <w:r w:rsidRPr="00D01163">
        <w:rPr>
          <w:rFonts w:ascii="Times New Roman" w:hAnsi="Times New Roman"/>
          <w:iCs/>
        </w:rPr>
        <w:t xml:space="preserve"> anomalies identified by the appellants</w:t>
      </w:r>
      <w:r w:rsidRPr="00D01163">
        <w:rPr>
          <w:rFonts w:ascii="Times New Roman" w:hAnsi="Times New Roman"/>
        </w:rPr>
        <w:t xml:space="preserve"> </w:t>
      </w:r>
      <w:r w:rsidRPr="00D01163">
        <w:rPr>
          <w:rFonts w:ascii="Times New Roman" w:hAnsi="Times New Roman"/>
          <w:iCs/>
        </w:rPr>
        <w:t xml:space="preserve">are insufficient to justify recognition of such a large implication. The first two anomalies depend upon an assumption that Parliament intended to treat the position of an extension of the term before </w:t>
      </w:r>
      <w:r w:rsidRPr="00D01163">
        <w:rPr>
          <w:rFonts w:ascii="Times New Roman" w:hAnsi="Times New Roman"/>
        </w:rPr>
        <w:t>the</w:t>
      </w:r>
      <w:r w:rsidRPr="00D01163">
        <w:rPr>
          <w:rFonts w:ascii="Times New Roman" w:hAnsi="Times New Roman"/>
          <w:iCs/>
        </w:rPr>
        <w:t xml:space="preserve"> expiry of the term of a patent in the same way as the position after expiry. As the Full Court observed, that assumption may not be correct</w:t>
      </w:r>
      <w:r w:rsidRPr="00D01163">
        <w:rPr>
          <w:rStyle w:val="FootnoteReference"/>
          <w:rFonts w:ascii="Times New Roman" w:hAnsi="Times New Roman"/>
          <w:iCs/>
          <w:sz w:val="24"/>
        </w:rPr>
        <w:footnoteReference w:id="135"/>
      </w:r>
      <w:r w:rsidRPr="00D01163">
        <w:rPr>
          <w:rFonts w:ascii="Times New Roman" w:hAnsi="Times New Roman"/>
          <w:iCs/>
        </w:rPr>
        <w:t xml:space="preserve">. The </w:t>
      </w:r>
      <w:r w:rsidRPr="00D01163">
        <w:rPr>
          <w:rFonts w:ascii="Times New Roman" w:hAnsi="Times New Roman"/>
        </w:rPr>
        <w:t>third</w:t>
      </w:r>
      <w:r w:rsidRPr="00D01163">
        <w:rPr>
          <w:rFonts w:ascii="Times New Roman" w:hAnsi="Times New Roman"/>
          <w:iCs/>
        </w:rPr>
        <w:t xml:space="preserve"> and final asserted anomaly is based on a misconception. No implication is needed in s 78 because</w:t>
      </w:r>
      <w:r w:rsidRPr="00D01163">
        <w:rPr>
          <w:rFonts w:ascii="Times New Roman" w:hAnsi="Times New Roman"/>
        </w:rPr>
        <w:t>,</w:t>
      </w:r>
      <w:r w:rsidRPr="00D01163">
        <w:rPr>
          <w:rFonts w:ascii="Times New Roman" w:hAnsi="Times New Roman"/>
          <w:iCs/>
        </w:rPr>
        <w:t xml:space="preserve"> by limiting the rights of the patentee</w:t>
      </w:r>
      <w:r w:rsidRPr="00D01163">
        <w:rPr>
          <w:rFonts w:ascii="Times New Roman" w:hAnsi="Times New Roman"/>
        </w:rPr>
        <w:t>,</w:t>
      </w:r>
      <w:r w:rsidRPr="00D01163">
        <w:rPr>
          <w:rFonts w:ascii="Times New Roman" w:hAnsi="Times New Roman"/>
          <w:iCs/>
        </w:rPr>
        <w:t xml:space="preserve"> s 78 also limits the derivative rights</w:t>
      </w:r>
      <w:r w:rsidRPr="00D01163">
        <w:rPr>
          <w:rStyle w:val="FootnoteReference"/>
          <w:rFonts w:ascii="Times New Roman" w:hAnsi="Times New Roman"/>
          <w:iCs/>
          <w:sz w:val="24"/>
        </w:rPr>
        <w:footnoteReference w:id="136"/>
      </w:r>
      <w:r w:rsidRPr="00D01163">
        <w:rPr>
          <w:rFonts w:ascii="Times New Roman" w:hAnsi="Times New Roman"/>
          <w:iCs/>
        </w:rPr>
        <w:t xml:space="preserve"> of the exclusive licensee to commence infringement proceedings conferred by s 120 of the </w:t>
      </w:r>
      <w:r w:rsidRPr="00D01163">
        <w:rPr>
          <w:rFonts w:ascii="Times New Roman" w:hAnsi="Times New Roman"/>
          <w:i/>
        </w:rPr>
        <w:t>Patents Act</w:t>
      </w:r>
      <w:r w:rsidRPr="00D01163">
        <w:rPr>
          <w:rFonts w:ascii="Times New Roman" w:hAnsi="Times New Roman"/>
          <w:iCs/>
        </w:rPr>
        <w:t>.</w:t>
      </w:r>
    </w:p>
    <w:p w14:paraId="30C9A003" w14:textId="77777777" w:rsidR="00BB2DE8" w:rsidRPr="00D01163" w:rsidRDefault="00BB2DE8" w:rsidP="00D01163">
      <w:pPr>
        <w:pStyle w:val="FixListStyle"/>
        <w:spacing w:after="260" w:line="280" w:lineRule="exact"/>
        <w:ind w:right="0"/>
        <w:jc w:val="both"/>
        <w:rPr>
          <w:rFonts w:ascii="Times New Roman" w:hAnsi="Times New Roman"/>
        </w:rPr>
      </w:pPr>
      <w:r w:rsidRPr="00D01163">
        <w:rPr>
          <w:rFonts w:ascii="Times New Roman" w:hAnsi="Times New Roman"/>
          <w:iCs/>
        </w:rPr>
        <w:tab/>
        <w:t xml:space="preserve">The Full Court was therefore correct </w:t>
      </w:r>
      <w:r w:rsidRPr="00D01163">
        <w:rPr>
          <w:rFonts w:ascii="Times New Roman" w:hAnsi="Times New Roman"/>
        </w:rPr>
        <w:t>to conclude</w:t>
      </w:r>
      <w:r w:rsidRPr="00D01163">
        <w:rPr>
          <w:rFonts w:ascii="Times New Roman" w:hAnsi="Times New Roman"/>
          <w:iCs/>
        </w:rPr>
        <w:t xml:space="preserve"> that Lundbeck Australia has no power to commence a proceeding for infringement of the Patent in respect of conduct which occurred during the extended term of the Patent. This ground of appeal in each of the appeals should be dismissed.</w:t>
      </w:r>
    </w:p>
    <w:p w14:paraId="420C680F" w14:textId="77777777" w:rsidR="00BB2DE8" w:rsidRPr="00D01163" w:rsidRDefault="00BB2DE8" w:rsidP="00D01163">
      <w:pPr>
        <w:pStyle w:val="HeadingL2"/>
        <w:spacing w:after="260" w:line="280" w:lineRule="exact"/>
        <w:ind w:right="0"/>
        <w:jc w:val="both"/>
        <w:rPr>
          <w:rFonts w:ascii="Times New Roman" w:hAnsi="Times New Roman"/>
        </w:rPr>
      </w:pPr>
      <w:r w:rsidRPr="00D01163">
        <w:rPr>
          <w:rFonts w:ascii="Times New Roman" w:hAnsi="Times New Roman"/>
        </w:rPr>
        <w:t>Interest</w:t>
      </w:r>
    </w:p>
    <w:p w14:paraId="7100E089" w14:textId="77777777" w:rsidR="00BB2DE8" w:rsidRPr="00D01163" w:rsidRDefault="00BB2DE8" w:rsidP="00D01163">
      <w:pPr>
        <w:pStyle w:val="FixListStyle"/>
        <w:spacing w:after="260" w:line="280" w:lineRule="exact"/>
        <w:ind w:right="0"/>
        <w:jc w:val="both"/>
        <w:rPr>
          <w:rFonts w:ascii="Times New Roman" w:hAnsi="Times New Roman"/>
        </w:rPr>
      </w:pPr>
      <w:r w:rsidRPr="00D01163">
        <w:rPr>
          <w:rFonts w:ascii="Times New Roman" w:hAnsi="Times New Roman"/>
        </w:rPr>
        <w:tab/>
        <w:t xml:space="preserve">The second consequential issue concerns the date from which Lundbeck Denmark can claim interest under s 51A(1)(a) of the </w:t>
      </w:r>
      <w:r w:rsidRPr="00D01163">
        <w:rPr>
          <w:rFonts w:ascii="Times New Roman" w:hAnsi="Times New Roman"/>
          <w:i/>
          <w:iCs/>
        </w:rPr>
        <w:t xml:space="preserve">Federal Court of Australia Act </w:t>
      </w:r>
      <w:r w:rsidRPr="00D01163">
        <w:rPr>
          <w:rFonts w:ascii="Times New Roman" w:hAnsi="Times New Roman"/>
        </w:rPr>
        <w:t xml:space="preserve">on its claim under s 79 of the </w:t>
      </w:r>
      <w:r w:rsidRPr="00D01163">
        <w:rPr>
          <w:rFonts w:ascii="Times New Roman" w:hAnsi="Times New Roman"/>
          <w:i/>
          <w:iCs/>
        </w:rPr>
        <w:t>Patents Act</w:t>
      </w:r>
      <w:r w:rsidRPr="00D01163">
        <w:rPr>
          <w:rFonts w:ascii="Times New Roman" w:hAnsi="Times New Roman"/>
        </w:rPr>
        <w:t>. Section 51A(1)(a) empowers the Federal Court, in any proceedings for the recovery of any money, to include in the judgment sum an amount of interest on the whole or any part of the money due. The interest is to be awarded for the whole or any part of the period "between the date when the cause of action arose and the date as of which judgment is entered".</w:t>
      </w:r>
    </w:p>
    <w:p w14:paraId="49B2E6D9" w14:textId="77777777" w:rsidR="00BB2DE8" w:rsidRPr="00D01163" w:rsidRDefault="00BB2DE8" w:rsidP="00D01163">
      <w:pPr>
        <w:pStyle w:val="FixListStyle"/>
        <w:spacing w:after="260" w:line="280" w:lineRule="exact"/>
        <w:ind w:right="0"/>
        <w:jc w:val="both"/>
        <w:rPr>
          <w:rFonts w:ascii="Times New Roman" w:hAnsi="Times New Roman"/>
        </w:rPr>
      </w:pPr>
      <w:r w:rsidRPr="00D01163">
        <w:rPr>
          <w:rFonts w:ascii="Times New Roman" w:hAnsi="Times New Roman"/>
        </w:rPr>
        <w:tab/>
        <w:t>The issue reduces to the time at which the "cause of action arose". The expression "cause of action" is slippery. It can mean different things in different contexts. Sometimes the expression is taken to mean a right</w:t>
      </w:r>
      <w:r w:rsidRPr="00D01163">
        <w:rPr>
          <w:rStyle w:val="FootnoteReference"/>
          <w:rFonts w:ascii="Times New Roman" w:hAnsi="Times New Roman"/>
          <w:sz w:val="24"/>
        </w:rPr>
        <w:footnoteReference w:id="137"/>
      </w:r>
      <w:r w:rsidRPr="00D01163">
        <w:rPr>
          <w:rFonts w:ascii="Times New Roman" w:hAnsi="Times New Roman"/>
        </w:rPr>
        <w:t xml:space="preserve">. The most common use of "cause of action", however, is in the sense set out in </w:t>
      </w:r>
      <w:r w:rsidRPr="00D01163">
        <w:rPr>
          <w:rFonts w:ascii="Times New Roman" w:hAnsi="Times New Roman"/>
          <w:i/>
          <w:iCs/>
        </w:rPr>
        <w:t>Letang v Cooper</w:t>
      </w:r>
      <w:r w:rsidRPr="00D01163">
        <w:rPr>
          <w:rStyle w:val="FootnoteReference"/>
          <w:rFonts w:ascii="Times New Roman" w:hAnsi="Times New Roman"/>
          <w:sz w:val="24"/>
        </w:rPr>
        <w:footnoteReference w:id="138"/>
      </w:r>
      <w:r w:rsidRPr="00D01163">
        <w:rPr>
          <w:rFonts w:ascii="Times New Roman" w:hAnsi="Times New Roman"/>
          <w:iCs/>
        </w:rPr>
        <w:t>,</w:t>
      </w:r>
      <w:r w:rsidRPr="00D01163">
        <w:rPr>
          <w:rFonts w:ascii="Times New Roman" w:hAnsi="Times New Roman"/>
        </w:rPr>
        <w:t xml:space="preserve"> where, in a passage relied upon on many occasions in Australia</w:t>
      </w:r>
      <w:r w:rsidRPr="00D01163">
        <w:rPr>
          <w:rStyle w:val="FootnoteReference"/>
          <w:rFonts w:ascii="Times New Roman" w:hAnsi="Times New Roman"/>
          <w:sz w:val="24"/>
        </w:rPr>
        <w:footnoteReference w:id="139"/>
      </w:r>
      <w:r w:rsidRPr="00D01163">
        <w:rPr>
          <w:rFonts w:ascii="Times New Roman" w:hAnsi="Times New Roman"/>
        </w:rPr>
        <w:t xml:space="preserve">, Diplock LJ </w:t>
      </w:r>
      <w:r w:rsidRPr="00D01163">
        <w:rPr>
          <w:rFonts w:ascii="Times New Roman" w:hAnsi="Times New Roman"/>
        </w:rPr>
        <w:lastRenderedPageBreak/>
        <w:t xml:space="preserve">commenced his reasons with the description of a cause of action as "simply a factual situation the existence of which entitles one person to obtain from the court a remedy against another person". This common sense of a cause of action is the sense in which it is used in s 51A(1)(a) of the </w:t>
      </w:r>
      <w:r w:rsidRPr="00D01163">
        <w:rPr>
          <w:rFonts w:ascii="Times New Roman" w:hAnsi="Times New Roman"/>
          <w:i/>
          <w:iCs/>
        </w:rPr>
        <w:t>Federal Court of Australia Act</w:t>
      </w:r>
      <w:r w:rsidRPr="00D01163">
        <w:rPr>
          <w:rFonts w:ascii="Times New Roman" w:hAnsi="Times New Roman"/>
        </w:rPr>
        <w:t xml:space="preserve">. As Gaudron J described the reference to "cause of action" in that provision in </w:t>
      </w:r>
      <w:r w:rsidRPr="00D01163">
        <w:rPr>
          <w:rFonts w:ascii="Times New Roman" w:hAnsi="Times New Roman"/>
          <w:i/>
          <w:iCs/>
        </w:rPr>
        <w:t>The Commonwealth v SCI Operations Pty Ltd</w:t>
      </w:r>
      <w:r w:rsidRPr="00D01163">
        <w:rPr>
          <w:rStyle w:val="FootnoteReference"/>
          <w:rFonts w:ascii="Times New Roman" w:hAnsi="Times New Roman"/>
          <w:sz w:val="24"/>
        </w:rPr>
        <w:footnoteReference w:id="140"/>
      </w:r>
      <w:r w:rsidRPr="00D01163">
        <w:rPr>
          <w:rFonts w:ascii="Times New Roman" w:hAnsi="Times New Roman"/>
        </w:rPr>
        <w:t>, it is a "legal right enforceable by legal action".</w:t>
      </w:r>
    </w:p>
    <w:p w14:paraId="6F4EEF11" w14:textId="77777777" w:rsidR="00BB2DE8" w:rsidRPr="00D01163" w:rsidRDefault="00BB2DE8" w:rsidP="00D01163">
      <w:pPr>
        <w:pStyle w:val="FixListStyle"/>
        <w:spacing w:after="260" w:line="280" w:lineRule="exact"/>
        <w:ind w:right="0"/>
        <w:jc w:val="both"/>
        <w:rPr>
          <w:rFonts w:ascii="Times New Roman" w:hAnsi="Times New Roman"/>
        </w:rPr>
      </w:pPr>
      <w:r w:rsidRPr="00D01163">
        <w:rPr>
          <w:rFonts w:ascii="Times New Roman" w:hAnsi="Times New Roman"/>
          <w:iCs/>
        </w:rPr>
        <w:tab/>
        <w:t xml:space="preserve">Section 79 of the </w:t>
      </w:r>
      <w:r w:rsidRPr="00D01163">
        <w:rPr>
          <w:rFonts w:ascii="Times New Roman" w:hAnsi="Times New Roman"/>
          <w:i/>
        </w:rPr>
        <w:t xml:space="preserve">Patents Act </w:t>
      </w:r>
      <w:r w:rsidRPr="00D01163">
        <w:rPr>
          <w:rFonts w:ascii="Times New Roman" w:hAnsi="Times New Roman"/>
          <w:iCs/>
        </w:rPr>
        <w:t>operates on past facts in that it creates a power for a patentee to "start proceedings" in respect of acts done after the expiry of the term of the patent and prior to the extension of the patent "as if the extension had been granted at the time when the act was done". The retroactive operation relies on a fiction that the extension was granted at the earlier date when the act was done. But s 79 does not create a further fiction to deem a patentee to have had the ability to obtain a remedy from the court at that earlier date.</w:t>
      </w:r>
    </w:p>
    <w:p w14:paraId="42365005" w14:textId="77777777" w:rsidR="00BB2DE8" w:rsidRPr="00D01163" w:rsidRDefault="00BB2DE8" w:rsidP="00D01163">
      <w:pPr>
        <w:pStyle w:val="FixListStyle"/>
        <w:spacing w:after="260" w:line="280" w:lineRule="exact"/>
        <w:ind w:right="0"/>
        <w:jc w:val="both"/>
        <w:rPr>
          <w:rFonts w:ascii="Times New Roman" w:hAnsi="Times New Roman"/>
        </w:rPr>
      </w:pPr>
      <w:r w:rsidRPr="00D01163">
        <w:rPr>
          <w:rFonts w:ascii="Times New Roman" w:hAnsi="Times New Roman"/>
          <w:iCs/>
        </w:rPr>
        <w:tab/>
        <w:t xml:space="preserve">In other words, s 79 creates a new cause of action from the date of the grant of the extension, with that cause of action operating on past facts. It does not deem a cause of action to have arisen at that earlier date. The Full Court was therefore correct that interest under </w:t>
      </w:r>
      <w:r w:rsidRPr="00D01163">
        <w:rPr>
          <w:rFonts w:ascii="Times New Roman" w:hAnsi="Times New Roman"/>
        </w:rPr>
        <w:t xml:space="preserve">s 51A(1)(a) of the </w:t>
      </w:r>
      <w:r w:rsidRPr="00D01163">
        <w:rPr>
          <w:rFonts w:ascii="Times New Roman" w:hAnsi="Times New Roman"/>
          <w:i/>
          <w:iCs/>
        </w:rPr>
        <w:t xml:space="preserve">Federal Court of Australia Act </w:t>
      </w:r>
      <w:r w:rsidRPr="00D01163">
        <w:rPr>
          <w:rFonts w:ascii="Times New Roman" w:hAnsi="Times New Roman"/>
        </w:rPr>
        <w:t>could only accrue for</w:t>
      </w:r>
      <w:r w:rsidRPr="00D01163">
        <w:rPr>
          <w:rFonts w:ascii="Times New Roman" w:hAnsi="Times New Roman"/>
          <w:iCs/>
        </w:rPr>
        <w:t xml:space="preserve"> Lundbeck Denmark's claim from 25 June 2014, being the date on which the Commissioner of Patents granted the extension to the term of the Patent. This ground of appeal in each of the appeals should be dismissed.</w:t>
      </w:r>
    </w:p>
    <w:p w14:paraId="38A89893" w14:textId="77777777" w:rsidR="00BB2DE8" w:rsidRPr="00D01163" w:rsidRDefault="00BB2DE8" w:rsidP="00D01163">
      <w:pPr>
        <w:pStyle w:val="HeadingL2"/>
        <w:spacing w:after="260" w:line="280" w:lineRule="exact"/>
        <w:ind w:right="0"/>
        <w:jc w:val="both"/>
        <w:rPr>
          <w:rFonts w:ascii="Times New Roman" w:hAnsi="Times New Roman"/>
        </w:rPr>
      </w:pPr>
      <w:r w:rsidRPr="00D01163">
        <w:rPr>
          <w:rFonts w:ascii="Times New Roman" w:hAnsi="Times New Roman"/>
        </w:rPr>
        <w:t>Misleading or deceptive conduct</w:t>
      </w:r>
    </w:p>
    <w:p w14:paraId="36F20131" w14:textId="77777777" w:rsidR="00BB2DE8" w:rsidRPr="00D01163" w:rsidRDefault="00BB2DE8" w:rsidP="00D01163">
      <w:pPr>
        <w:pStyle w:val="FixListStyle"/>
        <w:spacing w:after="260" w:line="280" w:lineRule="exact"/>
        <w:ind w:right="0"/>
        <w:jc w:val="both"/>
        <w:rPr>
          <w:rFonts w:ascii="Times New Roman" w:hAnsi="Times New Roman"/>
        </w:rPr>
      </w:pPr>
      <w:r w:rsidRPr="00D01163">
        <w:rPr>
          <w:rFonts w:ascii="Times New Roman" w:hAnsi="Times New Roman"/>
        </w:rPr>
        <w:tab/>
        <w:t>The issue raised by Sandoz's notice of contention in the Pharma appeal is whether Sandoz engaged in misleading or deceptive conduct by its non</w:t>
      </w:r>
      <w:r w:rsidRPr="00D01163">
        <w:rPr>
          <w:rFonts w:ascii="Times New Roman" w:hAnsi="Times New Roman"/>
        </w:rPr>
        <w:noBreakHyphen/>
        <w:t>disclosure of the existing fact or circumstance that there was a possibility that the term of the Patent might be extended, thus exposing pharmacists to potential liability for infringement. Sandoz submitted that its conduct was not misleading or deceptive.</w:t>
      </w:r>
    </w:p>
    <w:p w14:paraId="7D247AB5" w14:textId="77777777" w:rsidR="00BB2DE8" w:rsidRPr="00D01163" w:rsidRDefault="00BB2DE8" w:rsidP="00D01163">
      <w:pPr>
        <w:pStyle w:val="FixListStyle"/>
        <w:spacing w:after="260" w:line="280" w:lineRule="exact"/>
        <w:ind w:right="0"/>
        <w:jc w:val="both"/>
        <w:rPr>
          <w:rFonts w:ascii="Times New Roman" w:hAnsi="Times New Roman"/>
        </w:rPr>
      </w:pPr>
      <w:r w:rsidRPr="00D01163">
        <w:rPr>
          <w:rFonts w:ascii="Times New Roman" w:hAnsi="Times New Roman"/>
        </w:rPr>
        <w:tab/>
        <w:t xml:space="preserve">Sandoz submitted that the primary judge erred by concluding that Sandoz made an implied representation that its products sold to pharmacists did not infringe any patent since, it was submitted, "a vendor would not normally be taken merely by selling a product to be warranting that the product does not infringe any patent". There is force in that submission, just as a licensor will not generally be </w:t>
      </w:r>
      <w:r w:rsidRPr="00D01163">
        <w:rPr>
          <w:rFonts w:ascii="Times New Roman" w:hAnsi="Times New Roman"/>
        </w:rPr>
        <w:lastRenderedPageBreak/>
        <w:t>taken to have impliedly warranted to the licensee that the patent is valid</w:t>
      </w:r>
      <w:r w:rsidRPr="00D01163">
        <w:rPr>
          <w:rStyle w:val="FootnoteReference"/>
          <w:rFonts w:ascii="Times New Roman" w:hAnsi="Times New Roman"/>
          <w:sz w:val="24"/>
        </w:rPr>
        <w:footnoteReference w:id="141"/>
      </w:r>
      <w:r w:rsidRPr="00D01163">
        <w:rPr>
          <w:rFonts w:ascii="Times New Roman" w:hAnsi="Times New Roman"/>
        </w:rPr>
        <w:t>. But this issue was not thoroughly argued in this Court, is arguably outside the terms of the notice of contention, and is not necessary to decide.</w:t>
      </w:r>
    </w:p>
    <w:p w14:paraId="7B845DA6" w14:textId="77777777" w:rsidR="00BB2DE8" w:rsidRPr="00D01163" w:rsidRDefault="00BB2DE8" w:rsidP="00D01163">
      <w:pPr>
        <w:pStyle w:val="FixListStyle"/>
        <w:spacing w:after="260" w:line="280" w:lineRule="exact"/>
        <w:ind w:right="0"/>
        <w:jc w:val="both"/>
        <w:rPr>
          <w:rFonts w:ascii="Times New Roman" w:hAnsi="Times New Roman"/>
        </w:rPr>
      </w:pPr>
      <w:r w:rsidRPr="00D01163">
        <w:rPr>
          <w:rFonts w:ascii="Times New Roman" w:hAnsi="Times New Roman"/>
        </w:rPr>
        <w:tab/>
        <w:t>The notice of contention must succeed on a different point. It is possible for an implied representation of fact to be misleading or deceptive if the representation, whilst true, is subject to a qualification which is not disclosed. If the qualification is material, then the non</w:t>
      </w:r>
      <w:r w:rsidRPr="00D01163">
        <w:rPr>
          <w:rFonts w:ascii="Times New Roman" w:hAnsi="Times New Roman"/>
        </w:rPr>
        <w:noBreakHyphen/>
        <w:t>disclosure of that qualification can be misleading</w:t>
      </w:r>
      <w:r w:rsidRPr="00D01163">
        <w:rPr>
          <w:rStyle w:val="FootnoteReference"/>
          <w:rFonts w:ascii="Times New Roman" w:hAnsi="Times New Roman"/>
          <w:sz w:val="24"/>
        </w:rPr>
        <w:footnoteReference w:id="142"/>
      </w:r>
      <w:r w:rsidRPr="00D01163">
        <w:rPr>
          <w:rFonts w:ascii="Times New Roman" w:hAnsi="Times New Roman"/>
        </w:rPr>
        <w:t>. In this case, any implied representation by Sandoz that the products it sold did not infringe any patent was true at the time the representation was made. But a qualification to such a representation, that there was a remote possibility that a future extension to the term of a patent might permit proceedings to be brought against the purchaser, was not material. That is, there was no material qualification to which any implied representation by Sandoz should have been subject.</w:t>
      </w:r>
    </w:p>
    <w:p w14:paraId="200998BA" w14:textId="77777777" w:rsidR="00BB2DE8" w:rsidRPr="00D01163" w:rsidRDefault="00BB2DE8" w:rsidP="00D01163">
      <w:pPr>
        <w:pStyle w:val="FixListStyle"/>
        <w:spacing w:after="260" w:line="280" w:lineRule="exact"/>
        <w:ind w:right="0"/>
        <w:jc w:val="both"/>
        <w:rPr>
          <w:rFonts w:ascii="Times New Roman" w:hAnsi="Times New Roman"/>
        </w:rPr>
      </w:pPr>
      <w:r w:rsidRPr="00D01163">
        <w:rPr>
          <w:rFonts w:ascii="Times New Roman" w:hAnsi="Times New Roman"/>
        </w:rPr>
        <w:tab/>
        <w:t>The primary judge found that the possibility that the term of the Patent might be extended was remote at the time of the settlement agreement in February 2007</w:t>
      </w:r>
      <w:r w:rsidRPr="00D01163">
        <w:rPr>
          <w:rStyle w:val="FootnoteReference"/>
          <w:rFonts w:ascii="Times New Roman" w:hAnsi="Times New Roman"/>
          <w:sz w:val="24"/>
        </w:rPr>
        <w:footnoteReference w:id="143"/>
      </w:r>
      <w:r w:rsidRPr="00D01163">
        <w:rPr>
          <w:rFonts w:ascii="Times New Roman" w:hAnsi="Times New Roman"/>
        </w:rPr>
        <w:t>. Her Honour did not suggest that this possibility was any more likely at the time of Sandoz's sales to pharmacists in June 2009. For this reason, Pharma did not establish at trial that the existence of the remote possibility was a sufficiently material qualification to any implied representation that Sandoz's products did not infringe any patent to have the effect that the non</w:t>
      </w:r>
      <w:r w:rsidRPr="00D01163">
        <w:rPr>
          <w:rFonts w:ascii="Times New Roman" w:hAnsi="Times New Roman"/>
        </w:rPr>
        <w:noBreakHyphen/>
        <w:t>disclosure of that qualification could be misleading or deceptive. There is a distinction between (i) an implied representation that medical practitioners, pharmacists, and patients are legally entitled to prescribe, dispense, or use a pharmaceutical product when they may not presently be so entitled</w:t>
      </w:r>
      <w:r w:rsidRPr="00D01163">
        <w:rPr>
          <w:rStyle w:val="FootnoteReference"/>
          <w:rFonts w:ascii="Times New Roman" w:hAnsi="Times New Roman"/>
          <w:sz w:val="24"/>
        </w:rPr>
        <w:footnoteReference w:id="144"/>
      </w:r>
      <w:r w:rsidRPr="00D01163">
        <w:rPr>
          <w:rFonts w:ascii="Times New Roman" w:hAnsi="Times New Roman"/>
        </w:rPr>
        <w:t>, and (ii) an implied representation that such persons are so entitled but that there is a remote possibility that a future extension to the term of a patent might permit proceedings to be brought against them. Any implied representation to pharmacists by Sandoz would fall within the second category. The remoteness of the possibility is such that the sales by Sandoz did not involve any misleading or deceptive conduct by Sandoz.</w:t>
      </w:r>
    </w:p>
    <w:p w14:paraId="2B34CEF2" w14:textId="77777777" w:rsidR="00BB2DE8" w:rsidRPr="00D01163" w:rsidRDefault="00BB2DE8" w:rsidP="00D01163">
      <w:pPr>
        <w:pStyle w:val="HeadingL1"/>
        <w:spacing w:after="260" w:line="280" w:lineRule="exact"/>
        <w:ind w:right="0"/>
        <w:jc w:val="both"/>
        <w:rPr>
          <w:rFonts w:ascii="Times New Roman" w:hAnsi="Times New Roman"/>
        </w:rPr>
      </w:pPr>
      <w:r w:rsidRPr="00D01163">
        <w:rPr>
          <w:rFonts w:ascii="Times New Roman" w:hAnsi="Times New Roman"/>
        </w:rPr>
        <w:lastRenderedPageBreak/>
        <w:t>Conclusion</w:t>
      </w:r>
    </w:p>
    <w:p w14:paraId="2B6FEBDE" w14:textId="451D5250" w:rsidR="00A73989" w:rsidRPr="00381ADD" w:rsidRDefault="00BB2DE8" w:rsidP="00381ADD">
      <w:pPr>
        <w:pStyle w:val="FixListStyle"/>
        <w:spacing w:after="260" w:line="280" w:lineRule="exact"/>
        <w:ind w:right="0"/>
        <w:jc w:val="both"/>
        <w:rPr>
          <w:rFonts w:ascii="Times New Roman" w:hAnsi="Times New Roman"/>
        </w:rPr>
      </w:pPr>
      <w:r w:rsidRPr="00D01163">
        <w:rPr>
          <w:rFonts w:ascii="Times New Roman" w:hAnsi="Times New Roman"/>
        </w:rPr>
        <w:tab/>
        <w:t>Orders should be made as proposed in the joint judgment.</w:t>
      </w:r>
    </w:p>
    <w:sectPr w:rsidR="00A73989" w:rsidRPr="00381ADD" w:rsidSect="00381ADD">
      <w:headerReference w:type="even" r:id="rId23"/>
      <w:headerReference w:type="default" r:id="rId24"/>
      <w:footerReference w:type="even" r:id="rId25"/>
      <w:footerReference w:type="default" r:id="rId26"/>
      <w:headerReference w:type="first" r:id="rId27"/>
      <w:footerReference w:type="first" r:id="rId28"/>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135C7" w14:textId="77777777" w:rsidR="00F85929" w:rsidRDefault="00F85929">
      <w:pPr>
        <w:spacing w:line="240" w:lineRule="auto"/>
      </w:pPr>
      <w:r>
        <w:separator/>
      </w:r>
    </w:p>
  </w:endnote>
  <w:endnote w:type="continuationSeparator" w:id="0">
    <w:p w14:paraId="3A1E1394" w14:textId="77777777" w:rsidR="00F85929" w:rsidRDefault="00F85929">
      <w:pPr>
        <w:spacing w:line="240" w:lineRule="auto"/>
      </w:pPr>
      <w:r>
        <w:continuationSeparator/>
      </w:r>
    </w:p>
  </w:endnote>
  <w:endnote w:type="continuationNotice" w:id="1">
    <w:p w14:paraId="2B0A5350" w14:textId="77777777" w:rsidR="00F85929" w:rsidRDefault="00F8592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32D20" w14:textId="77777777" w:rsidR="000F7375" w:rsidRDefault="000F73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C3A9C" w14:textId="77777777" w:rsidR="000F7375" w:rsidRDefault="000F73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8F66F" w14:textId="77777777" w:rsidR="000F7375" w:rsidRDefault="000F737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CD841" w14:textId="77777777" w:rsidR="000F7375" w:rsidRDefault="000F737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E5C51" w14:textId="77777777" w:rsidR="000F7375" w:rsidRDefault="000F737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BD11B" w14:textId="77777777" w:rsidR="000F7375" w:rsidRDefault="000F737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6ECFC" w14:textId="77777777" w:rsidR="00D01163" w:rsidRDefault="00F8592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36FE4" w14:textId="77777777" w:rsidR="00D01163" w:rsidRDefault="00F85929">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46485" w14:textId="77777777" w:rsidR="00D01163" w:rsidRDefault="00F859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6CF92D" w14:textId="77777777" w:rsidR="00F85929" w:rsidRPr="00091C8C" w:rsidRDefault="00F85929" w:rsidP="00091C8C">
      <w:pPr>
        <w:pStyle w:val="Footer"/>
        <w:spacing w:before="120" w:after="20"/>
        <w:ind w:right="0"/>
        <w:rPr>
          <w:rFonts w:ascii="Times New Roman" w:hAnsi="Times New Roman"/>
        </w:rPr>
      </w:pPr>
      <w:r>
        <w:continuationSeparator/>
      </w:r>
    </w:p>
  </w:footnote>
  <w:footnote w:type="continuationSeparator" w:id="0">
    <w:p w14:paraId="626E6D5D" w14:textId="77777777" w:rsidR="00F85929" w:rsidRPr="00091C8C" w:rsidRDefault="00F85929" w:rsidP="00091C8C">
      <w:pPr>
        <w:pStyle w:val="Footer"/>
        <w:spacing w:before="120" w:after="20"/>
        <w:ind w:right="0"/>
        <w:rPr>
          <w:rFonts w:ascii="Times New Roman" w:hAnsi="Times New Roman"/>
        </w:rPr>
      </w:pPr>
      <w:r w:rsidRPr="00091C8C">
        <w:rPr>
          <w:rFonts w:ascii="Times New Roman" w:hAnsi="Times New Roman"/>
        </w:rPr>
        <w:continuationSeparator/>
      </w:r>
    </w:p>
  </w:footnote>
  <w:footnote w:type="continuationNotice" w:id="1">
    <w:p w14:paraId="1426B4A8" w14:textId="77777777" w:rsidR="00F85929" w:rsidRPr="00381ADD" w:rsidRDefault="00F85929">
      <w:pPr>
        <w:jc w:val="right"/>
        <w:rPr>
          <w:rFonts w:ascii="Times New Roman" w:hAnsi="Times New Roman"/>
          <w:sz w:val="24"/>
        </w:rPr>
      </w:pPr>
    </w:p>
  </w:footnote>
  <w:footnote w:id="2">
    <w:p w14:paraId="75FD9D53" w14:textId="02CFEB4A" w:rsidR="00BF3841" w:rsidRPr="00091C8C" w:rsidRDefault="00BF3841" w:rsidP="00091C8C">
      <w:pPr>
        <w:pStyle w:val="FootnoteText"/>
        <w:spacing w:line="280" w:lineRule="exact"/>
        <w:ind w:right="0"/>
        <w:jc w:val="both"/>
        <w:rPr>
          <w:rFonts w:ascii="Times New Roman" w:hAnsi="Times New Roman"/>
          <w:sz w:val="24"/>
        </w:rPr>
      </w:pPr>
      <w:r w:rsidRPr="00091C8C">
        <w:rPr>
          <w:rStyle w:val="FootnoteReference"/>
          <w:rFonts w:ascii="Times New Roman" w:hAnsi="Times New Roman"/>
          <w:sz w:val="22"/>
          <w:vertAlign w:val="baseline"/>
        </w:rPr>
        <w:footnoteRef/>
      </w:r>
      <w:r w:rsidRPr="00091C8C">
        <w:rPr>
          <w:rFonts w:ascii="Times New Roman" w:hAnsi="Times New Roman"/>
          <w:sz w:val="24"/>
        </w:rPr>
        <w:t xml:space="preserve"> </w:t>
      </w:r>
      <w:r w:rsidRPr="00091C8C">
        <w:rPr>
          <w:rFonts w:ascii="Times New Roman" w:hAnsi="Times New Roman"/>
          <w:sz w:val="24"/>
        </w:rPr>
        <w:tab/>
      </w:r>
      <w:r w:rsidRPr="00091C8C">
        <w:rPr>
          <w:rFonts w:ascii="Times New Roman" w:hAnsi="Times New Roman"/>
          <w:i/>
          <w:sz w:val="24"/>
        </w:rPr>
        <w:t>Sandoz Pty Ltd v H Lundbeck</w:t>
      </w:r>
      <w:r w:rsidRPr="00091C8C">
        <w:rPr>
          <w:rFonts w:ascii="Times New Roman" w:hAnsi="Times New Roman"/>
          <w:sz w:val="24"/>
        </w:rPr>
        <w:t xml:space="preserve"> </w:t>
      </w:r>
      <w:r w:rsidRPr="00091C8C">
        <w:rPr>
          <w:rFonts w:ascii="Times New Roman" w:hAnsi="Times New Roman"/>
          <w:i/>
          <w:sz w:val="24"/>
        </w:rPr>
        <w:t>A/S</w:t>
      </w:r>
      <w:r w:rsidRPr="00091C8C">
        <w:rPr>
          <w:rFonts w:ascii="Times New Roman" w:hAnsi="Times New Roman"/>
          <w:sz w:val="24"/>
        </w:rPr>
        <w:t xml:space="preserve"> (2020) 384 ALR 35; </w:t>
      </w:r>
      <w:r w:rsidRPr="00091C8C">
        <w:rPr>
          <w:rFonts w:ascii="Times New Roman" w:hAnsi="Times New Roman"/>
          <w:i/>
          <w:sz w:val="24"/>
        </w:rPr>
        <w:t>Sandoz Pty Ltd v H Lundbeck</w:t>
      </w:r>
      <w:r w:rsidRPr="00091C8C">
        <w:rPr>
          <w:rFonts w:ascii="Times New Roman" w:hAnsi="Times New Roman"/>
          <w:sz w:val="24"/>
        </w:rPr>
        <w:t xml:space="preserve"> </w:t>
      </w:r>
      <w:r w:rsidR="00186134" w:rsidRPr="00091C8C">
        <w:rPr>
          <w:rFonts w:ascii="Times New Roman" w:hAnsi="Times New Roman"/>
          <w:i/>
          <w:iCs/>
          <w:sz w:val="24"/>
        </w:rPr>
        <w:t>A/S [</w:t>
      </w:r>
      <w:r w:rsidRPr="00091C8C">
        <w:rPr>
          <w:rFonts w:ascii="Times New Roman" w:hAnsi="Times New Roman"/>
          <w:i/>
          <w:sz w:val="24"/>
        </w:rPr>
        <w:t>No 2</w:t>
      </w:r>
      <w:r w:rsidR="00186134" w:rsidRPr="00091C8C">
        <w:rPr>
          <w:rFonts w:ascii="Times New Roman" w:hAnsi="Times New Roman"/>
          <w:i/>
          <w:iCs/>
          <w:sz w:val="24"/>
        </w:rPr>
        <w:t>]</w:t>
      </w:r>
      <w:r w:rsidR="00186134" w:rsidRPr="00091C8C">
        <w:rPr>
          <w:rFonts w:ascii="Times New Roman" w:hAnsi="Times New Roman"/>
          <w:sz w:val="24"/>
        </w:rPr>
        <w:t xml:space="preserve"> </w:t>
      </w:r>
      <w:r w:rsidRPr="00091C8C">
        <w:rPr>
          <w:rFonts w:ascii="Times New Roman" w:hAnsi="Times New Roman"/>
          <w:sz w:val="24"/>
        </w:rPr>
        <w:t>[2021] FCAFC 47.</w:t>
      </w:r>
    </w:p>
  </w:footnote>
  <w:footnote w:id="3">
    <w:p w14:paraId="1D895EAF" w14:textId="06B891BF" w:rsidR="00BF3841" w:rsidRPr="00091C8C" w:rsidRDefault="00BF3841" w:rsidP="00091C8C">
      <w:pPr>
        <w:pStyle w:val="FootnoteText"/>
        <w:spacing w:line="280" w:lineRule="exact"/>
        <w:ind w:right="0"/>
        <w:jc w:val="both"/>
        <w:rPr>
          <w:rFonts w:ascii="Times New Roman" w:hAnsi="Times New Roman"/>
          <w:sz w:val="24"/>
        </w:rPr>
      </w:pPr>
      <w:r w:rsidRPr="00091C8C">
        <w:rPr>
          <w:rStyle w:val="FootnoteReference"/>
          <w:rFonts w:ascii="Times New Roman" w:hAnsi="Times New Roman"/>
          <w:sz w:val="22"/>
          <w:vertAlign w:val="baseline"/>
        </w:rPr>
        <w:footnoteRef/>
      </w:r>
      <w:r w:rsidRPr="00091C8C">
        <w:rPr>
          <w:rFonts w:ascii="Times New Roman" w:hAnsi="Times New Roman"/>
          <w:sz w:val="24"/>
        </w:rPr>
        <w:t xml:space="preserve"> </w:t>
      </w:r>
      <w:r w:rsidRPr="00091C8C">
        <w:rPr>
          <w:rFonts w:ascii="Times New Roman" w:hAnsi="Times New Roman"/>
          <w:sz w:val="24"/>
        </w:rPr>
        <w:tab/>
      </w:r>
      <w:r w:rsidRPr="00091C8C">
        <w:rPr>
          <w:rFonts w:ascii="Times New Roman" w:hAnsi="Times New Roman"/>
          <w:i/>
          <w:sz w:val="24"/>
        </w:rPr>
        <w:t>H Lundbeck A/S v Sandoz Pty Ltd</w:t>
      </w:r>
      <w:r w:rsidRPr="00091C8C">
        <w:rPr>
          <w:rFonts w:ascii="Times New Roman" w:hAnsi="Times New Roman"/>
          <w:sz w:val="24"/>
        </w:rPr>
        <w:t xml:space="preserve"> (2018) 137 </w:t>
      </w:r>
      <w:r w:rsidR="009C7F9E" w:rsidRPr="00091C8C">
        <w:rPr>
          <w:rFonts w:ascii="Times New Roman" w:hAnsi="Times New Roman"/>
          <w:sz w:val="24"/>
        </w:rPr>
        <w:t>I</w:t>
      </w:r>
      <w:r w:rsidRPr="00091C8C">
        <w:rPr>
          <w:rFonts w:ascii="Times New Roman" w:hAnsi="Times New Roman"/>
          <w:sz w:val="24"/>
        </w:rPr>
        <w:t>PR 40</w:t>
      </w:r>
      <w:r w:rsidR="00CD1320" w:rsidRPr="00091C8C">
        <w:rPr>
          <w:rFonts w:ascii="Times New Roman" w:hAnsi="Times New Roman"/>
          <w:sz w:val="24"/>
        </w:rPr>
        <w:t>8</w:t>
      </w:r>
      <w:r w:rsidRPr="00091C8C">
        <w:rPr>
          <w:rFonts w:ascii="Times New Roman" w:hAnsi="Times New Roman"/>
          <w:sz w:val="24"/>
        </w:rPr>
        <w:t xml:space="preserve">; </w:t>
      </w:r>
      <w:r w:rsidRPr="00091C8C">
        <w:rPr>
          <w:rFonts w:ascii="Times New Roman" w:hAnsi="Times New Roman"/>
          <w:i/>
          <w:sz w:val="24"/>
        </w:rPr>
        <w:t>H Lundbeck A/S v Sandoz Pty Ltd</w:t>
      </w:r>
      <w:r w:rsidRPr="00091C8C">
        <w:rPr>
          <w:rFonts w:ascii="Times New Roman" w:hAnsi="Times New Roman"/>
          <w:sz w:val="24"/>
        </w:rPr>
        <w:t xml:space="preserve"> </w:t>
      </w:r>
      <w:r w:rsidR="004019E9" w:rsidRPr="00091C8C">
        <w:rPr>
          <w:rFonts w:ascii="Times New Roman" w:hAnsi="Times New Roman"/>
          <w:i/>
          <w:iCs/>
          <w:sz w:val="24"/>
        </w:rPr>
        <w:t>[</w:t>
      </w:r>
      <w:r w:rsidRPr="00091C8C">
        <w:rPr>
          <w:rFonts w:ascii="Times New Roman" w:hAnsi="Times New Roman"/>
          <w:i/>
          <w:sz w:val="24"/>
        </w:rPr>
        <w:t>No 2</w:t>
      </w:r>
      <w:r w:rsidR="004019E9" w:rsidRPr="00091C8C">
        <w:rPr>
          <w:rFonts w:ascii="Times New Roman" w:hAnsi="Times New Roman"/>
          <w:i/>
          <w:iCs/>
          <w:sz w:val="24"/>
        </w:rPr>
        <w:t>]</w:t>
      </w:r>
      <w:r w:rsidR="004019E9" w:rsidRPr="00091C8C">
        <w:rPr>
          <w:rFonts w:ascii="Times New Roman" w:hAnsi="Times New Roman"/>
          <w:sz w:val="24"/>
        </w:rPr>
        <w:t xml:space="preserve"> </w:t>
      </w:r>
      <w:r w:rsidRPr="00091C8C">
        <w:rPr>
          <w:rFonts w:ascii="Times New Roman" w:hAnsi="Times New Roman"/>
          <w:sz w:val="24"/>
        </w:rPr>
        <w:t>[2019] FCA 46.</w:t>
      </w:r>
    </w:p>
  </w:footnote>
  <w:footnote w:id="4">
    <w:p w14:paraId="7D59A31D" w14:textId="6EC2C54B" w:rsidR="00BF3841" w:rsidRPr="00091C8C" w:rsidRDefault="00BF3841" w:rsidP="00091C8C">
      <w:pPr>
        <w:pStyle w:val="FootnoteText"/>
        <w:spacing w:line="280" w:lineRule="exact"/>
        <w:ind w:right="0"/>
        <w:jc w:val="both"/>
        <w:rPr>
          <w:rFonts w:ascii="Times New Roman" w:hAnsi="Times New Roman"/>
          <w:sz w:val="24"/>
        </w:rPr>
      </w:pPr>
      <w:r w:rsidRPr="00091C8C">
        <w:rPr>
          <w:rStyle w:val="FootnoteReference"/>
          <w:rFonts w:ascii="Times New Roman" w:hAnsi="Times New Roman"/>
          <w:sz w:val="22"/>
          <w:vertAlign w:val="baseline"/>
        </w:rPr>
        <w:footnoteRef/>
      </w:r>
      <w:r w:rsidRPr="00091C8C">
        <w:rPr>
          <w:rFonts w:ascii="Times New Roman" w:hAnsi="Times New Roman"/>
          <w:sz w:val="24"/>
        </w:rPr>
        <w:t xml:space="preserve"> </w:t>
      </w:r>
      <w:r w:rsidR="008C6DEF" w:rsidRPr="00091C8C">
        <w:rPr>
          <w:rFonts w:ascii="Times New Roman" w:hAnsi="Times New Roman"/>
          <w:sz w:val="24"/>
        </w:rPr>
        <w:tab/>
      </w:r>
      <w:r w:rsidR="00F427C5" w:rsidRPr="00091C8C">
        <w:rPr>
          <w:rFonts w:ascii="Times New Roman" w:hAnsi="Times New Roman"/>
          <w:i/>
          <w:sz w:val="24"/>
        </w:rPr>
        <w:t>Sandoz Pty Ltd v H Lundbeck</w:t>
      </w:r>
      <w:r w:rsidR="00F427C5" w:rsidRPr="00091C8C">
        <w:rPr>
          <w:rFonts w:ascii="Times New Roman" w:hAnsi="Times New Roman"/>
          <w:sz w:val="24"/>
        </w:rPr>
        <w:t xml:space="preserve"> </w:t>
      </w:r>
      <w:r w:rsidR="00F427C5" w:rsidRPr="00091C8C">
        <w:rPr>
          <w:rFonts w:ascii="Times New Roman" w:hAnsi="Times New Roman"/>
          <w:i/>
          <w:sz w:val="24"/>
        </w:rPr>
        <w:t>A/S</w:t>
      </w:r>
      <w:r w:rsidR="00F427C5" w:rsidRPr="00091C8C">
        <w:rPr>
          <w:rFonts w:ascii="Times New Roman" w:hAnsi="Times New Roman"/>
          <w:sz w:val="24"/>
        </w:rPr>
        <w:t xml:space="preserve"> (2020) 384 ALR 35 at</w:t>
      </w:r>
      <w:r w:rsidR="00BB6047" w:rsidRPr="00091C8C">
        <w:rPr>
          <w:rFonts w:ascii="Times New Roman" w:hAnsi="Times New Roman"/>
          <w:sz w:val="24"/>
        </w:rPr>
        <w:t xml:space="preserve"> </w:t>
      </w:r>
      <w:r w:rsidR="003430ED" w:rsidRPr="00091C8C">
        <w:rPr>
          <w:rFonts w:ascii="Times New Roman" w:hAnsi="Times New Roman"/>
          <w:sz w:val="24"/>
        </w:rPr>
        <w:t>48</w:t>
      </w:r>
      <w:r w:rsidR="008E3D77" w:rsidRPr="00091C8C">
        <w:rPr>
          <w:rFonts w:ascii="Times New Roman" w:hAnsi="Times New Roman"/>
          <w:sz w:val="24"/>
        </w:rPr>
        <w:t>-51</w:t>
      </w:r>
      <w:r w:rsidR="003430ED" w:rsidRPr="00091C8C">
        <w:rPr>
          <w:rFonts w:ascii="Times New Roman" w:hAnsi="Times New Roman"/>
          <w:sz w:val="24"/>
        </w:rPr>
        <w:t xml:space="preserve"> </w:t>
      </w:r>
      <w:r w:rsidR="00BB6047" w:rsidRPr="00091C8C">
        <w:rPr>
          <w:rFonts w:ascii="Times New Roman" w:hAnsi="Times New Roman"/>
          <w:sz w:val="24"/>
        </w:rPr>
        <w:t>[55]-[</w:t>
      </w:r>
      <w:r w:rsidR="00481D3E" w:rsidRPr="00091C8C">
        <w:rPr>
          <w:rFonts w:ascii="Times New Roman" w:hAnsi="Times New Roman"/>
          <w:sz w:val="24"/>
        </w:rPr>
        <w:t>69].</w:t>
      </w:r>
    </w:p>
  </w:footnote>
  <w:footnote w:id="5">
    <w:p w14:paraId="72D39415" w14:textId="71BBF2F9" w:rsidR="00BF3841" w:rsidRPr="00091C8C" w:rsidRDefault="00BF3841" w:rsidP="00091C8C">
      <w:pPr>
        <w:pStyle w:val="FootnoteText"/>
        <w:spacing w:line="280" w:lineRule="exact"/>
        <w:ind w:right="0"/>
        <w:jc w:val="both"/>
        <w:rPr>
          <w:rFonts w:ascii="Times New Roman" w:hAnsi="Times New Roman"/>
          <w:sz w:val="24"/>
        </w:rPr>
      </w:pPr>
      <w:r w:rsidRPr="00091C8C">
        <w:rPr>
          <w:rStyle w:val="FootnoteReference"/>
          <w:rFonts w:ascii="Times New Roman" w:hAnsi="Times New Roman"/>
          <w:sz w:val="22"/>
          <w:vertAlign w:val="baseline"/>
        </w:rPr>
        <w:footnoteRef/>
      </w:r>
      <w:r w:rsidRPr="00091C8C">
        <w:rPr>
          <w:rFonts w:ascii="Times New Roman" w:hAnsi="Times New Roman"/>
          <w:sz w:val="24"/>
        </w:rPr>
        <w:t xml:space="preserve"> </w:t>
      </w:r>
      <w:r w:rsidR="009C7F9E" w:rsidRPr="00091C8C">
        <w:rPr>
          <w:rFonts w:ascii="Times New Roman" w:hAnsi="Times New Roman"/>
          <w:sz w:val="24"/>
        </w:rPr>
        <w:tab/>
      </w:r>
      <w:r w:rsidR="00BB6047" w:rsidRPr="00091C8C">
        <w:rPr>
          <w:rFonts w:ascii="Times New Roman" w:hAnsi="Times New Roman"/>
          <w:i/>
          <w:sz w:val="24"/>
        </w:rPr>
        <w:t>H Lundbeck A/S v Sandoz Pty Ltd</w:t>
      </w:r>
      <w:r w:rsidR="00BB6047" w:rsidRPr="00091C8C">
        <w:rPr>
          <w:rFonts w:ascii="Times New Roman" w:hAnsi="Times New Roman"/>
          <w:sz w:val="24"/>
        </w:rPr>
        <w:t xml:space="preserve"> (2018) 137 IPR 40</w:t>
      </w:r>
      <w:r w:rsidR="00831B4F" w:rsidRPr="00091C8C">
        <w:rPr>
          <w:rFonts w:ascii="Times New Roman" w:hAnsi="Times New Roman"/>
          <w:sz w:val="24"/>
        </w:rPr>
        <w:t>8</w:t>
      </w:r>
      <w:r w:rsidR="00BB6047" w:rsidRPr="00091C8C">
        <w:rPr>
          <w:rFonts w:ascii="Times New Roman" w:hAnsi="Times New Roman"/>
          <w:sz w:val="24"/>
        </w:rPr>
        <w:t xml:space="preserve"> at </w:t>
      </w:r>
      <w:r w:rsidR="000F3591" w:rsidRPr="00091C8C">
        <w:rPr>
          <w:rFonts w:ascii="Times New Roman" w:hAnsi="Times New Roman"/>
          <w:sz w:val="24"/>
        </w:rPr>
        <w:t>480-</w:t>
      </w:r>
      <w:r w:rsidR="00D178D3" w:rsidRPr="00091C8C">
        <w:rPr>
          <w:rFonts w:ascii="Times New Roman" w:hAnsi="Times New Roman"/>
          <w:sz w:val="24"/>
        </w:rPr>
        <w:t xml:space="preserve">485 </w:t>
      </w:r>
      <w:r w:rsidR="00704B70" w:rsidRPr="00091C8C">
        <w:rPr>
          <w:rFonts w:ascii="Times New Roman" w:hAnsi="Times New Roman"/>
          <w:sz w:val="24"/>
        </w:rPr>
        <w:t>[275]-[303].</w:t>
      </w:r>
    </w:p>
  </w:footnote>
  <w:footnote w:id="6">
    <w:p w14:paraId="39E4CFE8" w14:textId="76A4BFC7" w:rsidR="00BF3841" w:rsidRPr="00091C8C" w:rsidRDefault="00BF3841" w:rsidP="00091C8C">
      <w:pPr>
        <w:pStyle w:val="FootnoteText"/>
        <w:spacing w:line="280" w:lineRule="exact"/>
        <w:ind w:right="0"/>
        <w:jc w:val="both"/>
        <w:rPr>
          <w:rFonts w:ascii="Times New Roman" w:hAnsi="Times New Roman"/>
          <w:sz w:val="24"/>
        </w:rPr>
      </w:pPr>
      <w:r w:rsidRPr="00091C8C">
        <w:rPr>
          <w:rStyle w:val="FootnoteReference"/>
          <w:rFonts w:ascii="Times New Roman" w:hAnsi="Times New Roman"/>
          <w:sz w:val="22"/>
          <w:vertAlign w:val="baseline"/>
        </w:rPr>
        <w:footnoteRef/>
      </w:r>
      <w:r w:rsidRPr="00091C8C">
        <w:rPr>
          <w:rFonts w:ascii="Times New Roman" w:hAnsi="Times New Roman"/>
          <w:sz w:val="24"/>
        </w:rPr>
        <w:t xml:space="preserve"> </w:t>
      </w:r>
      <w:r w:rsidR="009C7F9E" w:rsidRPr="00091C8C">
        <w:rPr>
          <w:rFonts w:ascii="Times New Roman" w:hAnsi="Times New Roman"/>
          <w:sz w:val="24"/>
        </w:rPr>
        <w:tab/>
      </w:r>
      <w:r w:rsidR="00243EF4" w:rsidRPr="00091C8C">
        <w:rPr>
          <w:rFonts w:ascii="Times New Roman" w:hAnsi="Times New Roman"/>
          <w:i/>
          <w:sz w:val="24"/>
        </w:rPr>
        <w:t>H Lundbeck A/S v Sandoz Pty Ltd</w:t>
      </w:r>
      <w:r w:rsidR="00243EF4" w:rsidRPr="00091C8C">
        <w:rPr>
          <w:rFonts w:ascii="Times New Roman" w:hAnsi="Times New Roman"/>
          <w:sz w:val="24"/>
        </w:rPr>
        <w:t xml:space="preserve"> (2018) 137 IPR 40</w:t>
      </w:r>
      <w:r w:rsidR="002E6417" w:rsidRPr="00091C8C">
        <w:rPr>
          <w:rFonts w:ascii="Times New Roman" w:hAnsi="Times New Roman"/>
          <w:sz w:val="24"/>
        </w:rPr>
        <w:t>8</w:t>
      </w:r>
      <w:r w:rsidR="00243EF4" w:rsidRPr="00091C8C">
        <w:rPr>
          <w:rFonts w:ascii="Times New Roman" w:hAnsi="Times New Roman"/>
          <w:sz w:val="24"/>
        </w:rPr>
        <w:t xml:space="preserve"> at </w:t>
      </w:r>
      <w:r w:rsidR="009D49C6" w:rsidRPr="00091C8C">
        <w:rPr>
          <w:rFonts w:ascii="Times New Roman" w:hAnsi="Times New Roman"/>
          <w:sz w:val="24"/>
        </w:rPr>
        <w:t xml:space="preserve">453-458 </w:t>
      </w:r>
      <w:r w:rsidR="00B84E34" w:rsidRPr="00091C8C">
        <w:rPr>
          <w:rFonts w:ascii="Times New Roman" w:hAnsi="Times New Roman"/>
          <w:sz w:val="24"/>
        </w:rPr>
        <w:t>[1</w:t>
      </w:r>
      <w:r w:rsidR="00130749" w:rsidRPr="00091C8C">
        <w:rPr>
          <w:rFonts w:ascii="Times New Roman" w:hAnsi="Times New Roman"/>
          <w:sz w:val="24"/>
        </w:rPr>
        <w:t>73</w:t>
      </w:r>
      <w:r w:rsidR="00B84E34" w:rsidRPr="00091C8C">
        <w:rPr>
          <w:rFonts w:ascii="Times New Roman" w:hAnsi="Times New Roman"/>
          <w:sz w:val="24"/>
        </w:rPr>
        <w:t>]-[195].</w:t>
      </w:r>
    </w:p>
  </w:footnote>
  <w:footnote w:id="7">
    <w:p w14:paraId="1A08CEE0" w14:textId="3A238642" w:rsidR="00BF3841" w:rsidRPr="00091C8C" w:rsidRDefault="00BF3841" w:rsidP="00091C8C">
      <w:pPr>
        <w:pStyle w:val="FootnoteText"/>
        <w:spacing w:line="280" w:lineRule="exact"/>
        <w:ind w:right="0"/>
        <w:jc w:val="both"/>
        <w:rPr>
          <w:rFonts w:ascii="Times New Roman" w:hAnsi="Times New Roman"/>
          <w:sz w:val="24"/>
        </w:rPr>
      </w:pPr>
      <w:r w:rsidRPr="00091C8C">
        <w:rPr>
          <w:rStyle w:val="FootnoteReference"/>
          <w:rFonts w:ascii="Times New Roman" w:hAnsi="Times New Roman"/>
          <w:sz w:val="22"/>
          <w:vertAlign w:val="baseline"/>
        </w:rPr>
        <w:footnoteRef/>
      </w:r>
      <w:r w:rsidRPr="00091C8C">
        <w:rPr>
          <w:rFonts w:ascii="Times New Roman" w:hAnsi="Times New Roman"/>
          <w:sz w:val="24"/>
        </w:rPr>
        <w:t xml:space="preserve"> </w:t>
      </w:r>
      <w:r w:rsidR="00243EF4" w:rsidRPr="00091C8C">
        <w:rPr>
          <w:rFonts w:ascii="Times New Roman" w:hAnsi="Times New Roman"/>
          <w:sz w:val="24"/>
        </w:rPr>
        <w:tab/>
      </w:r>
      <w:r w:rsidR="00243EF4" w:rsidRPr="00091C8C">
        <w:rPr>
          <w:rFonts w:ascii="Times New Roman" w:hAnsi="Times New Roman"/>
          <w:i/>
          <w:sz w:val="24"/>
        </w:rPr>
        <w:t>Sandoz Pty Ltd v H Lundbeck</w:t>
      </w:r>
      <w:r w:rsidR="00243EF4" w:rsidRPr="00091C8C">
        <w:rPr>
          <w:rFonts w:ascii="Times New Roman" w:hAnsi="Times New Roman"/>
          <w:sz w:val="24"/>
        </w:rPr>
        <w:t xml:space="preserve"> </w:t>
      </w:r>
      <w:r w:rsidR="00243EF4" w:rsidRPr="00091C8C">
        <w:rPr>
          <w:rFonts w:ascii="Times New Roman" w:hAnsi="Times New Roman"/>
          <w:i/>
          <w:sz w:val="24"/>
        </w:rPr>
        <w:t>A/S</w:t>
      </w:r>
      <w:r w:rsidR="00243EF4" w:rsidRPr="00091C8C">
        <w:rPr>
          <w:rFonts w:ascii="Times New Roman" w:hAnsi="Times New Roman"/>
          <w:sz w:val="24"/>
        </w:rPr>
        <w:t xml:space="preserve"> (2020) 384 ALR 35 at</w:t>
      </w:r>
      <w:r w:rsidR="008B7CBE" w:rsidRPr="00091C8C">
        <w:rPr>
          <w:rFonts w:ascii="Times New Roman" w:hAnsi="Times New Roman"/>
          <w:sz w:val="24"/>
        </w:rPr>
        <w:t xml:space="preserve"> </w:t>
      </w:r>
      <w:r w:rsidR="001C42D9" w:rsidRPr="00091C8C">
        <w:rPr>
          <w:rFonts w:ascii="Times New Roman" w:hAnsi="Times New Roman"/>
          <w:sz w:val="24"/>
        </w:rPr>
        <w:t>56</w:t>
      </w:r>
      <w:r w:rsidR="00DA1DF6" w:rsidRPr="00091C8C">
        <w:rPr>
          <w:rFonts w:ascii="Times New Roman" w:hAnsi="Times New Roman"/>
          <w:sz w:val="24"/>
        </w:rPr>
        <w:t xml:space="preserve">-63 </w:t>
      </w:r>
      <w:r w:rsidR="008B7CBE" w:rsidRPr="00091C8C">
        <w:rPr>
          <w:rFonts w:ascii="Times New Roman" w:hAnsi="Times New Roman"/>
          <w:sz w:val="24"/>
        </w:rPr>
        <w:t>[83]-[110].</w:t>
      </w:r>
    </w:p>
  </w:footnote>
  <w:footnote w:id="8">
    <w:p w14:paraId="5EF527D0" w14:textId="295E3D70" w:rsidR="00BF3841" w:rsidRPr="00091C8C" w:rsidRDefault="00BF3841" w:rsidP="00091C8C">
      <w:pPr>
        <w:pStyle w:val="FootnoteText"/>
        <w:spacing w:line="280" w:lineRule="exact"/>
        <w:ind w:right="0"/>
        <w:jc w:val="both"/>
        <w:rPr>
          <w:rFonts w:ascii="Times New Roman" w:hAnsi="Times New Roman"/>
          <w:sz w:val="24"/>
        </w:rPr>
      </w:pPr>
      <w:r w:rsidRPr="00091C8C">
        <w:rPr>
          <w:rStyle w:val="FootnoteReference"/>
          <w:rFonts w:ascii="Times New Roman" w:hAnsi="Times New Roman"/>
          <w:sz w:val="22"/>
          <w:vertAlign w:val="baseline"/>
        </w:rPr>
        <w:footnoteRef/>
      </w:r>
      <w:r w:rsidRPr="00091C8C">
        <w:rPr>
          <w:rFonts w:ascii="Times New Roman" w:hAnsi="Times New Roman"/>
          <w:sz w:val="24"/>
        </w:rPr>
        <w:t xml:space="preserve"> </w:t>
      </w:r>
      <w:r w:rsidR="00487FF6" w:rsidRPr="00091C8C">
        <w:rPr>
          <w:rFonts w:ascii="Times New Roman" w:hAnsi="Times New Roman"/>
          <w:sz w:val="24"/>
        </w:rPr>
        <w:tab/>
      </w:r>
      <w:r w:rsidR="002531D8" w:rsidRPr="00091C8C">
        <w:rPr>
          <w:rFonts w:ascii="Times New Roman" w:hAnsi="Times New Roman"/>
          <w:i/>
          <w:sz w:val="24"/>
        </w:rPr>
        <w:t>H Lundbeck A/S v Sandoz Pty Ltd</w:t>
      </w:r>
      <w:r w:rsidR="002531D8" w:rsidRPr="00091C8C">
        <w:rPr>
          <w:rFonts w:ascii="Times New Roman" w:hAnsi="Times New Roman"/>
          <w:sz w:val="24"/>
        </w:rPr>
        <w:t xml:space="preserve"> (2018) 137 IPR </w:t>
      </w:r>
      <w:r w:rsidR="00E96B55" w:rsidRPr="00091C8C">
        <w:rPr>
          <w:rFonts w:ascii="Times New Roman" w:hAnsi="Times New Roman"/>
          <w:sz w:val="24"/>
        </w:rPr>
        <w:t xml:space="preserve">408 </w:t>
      </w:r>
      <w:r w:rsidR="002531D8" w:rsidRPr="00091C8C">
        <w:rPr>
          <w:rFonts w:ascii="Times New Roman" w:hAnsi="Times New Roman"/>
          <w:sz w:val="24"/>
        </w:rPr>
        <w:t>at</w:t>
      </w:r>
      <w:r w:rsidR="00D5784D" w:rsidRPr="00091C8C">
        <w:rPr>
          <w:rFonts w:ascii="Times New Roman" w:hAnsi="Times New Roman"/>
          <w:sz w:val="24"/>
        </w:rPr>
        <w:t xml:space="preserve"> </w:t>
      </w:r>
      <w:r w:rsidR="000D27FF" w:rsidRPr="00091C8C">
        <w:rPr>
          <w:rFonts w:ascii="Times New Roman" w:hAnsi="Times New Roman"/>
          <w:sz w:val="24"/>
        </w:rPr>
        <w:t xml:space="preserve">523 </w:t>
      </w:r>
      <w:r w:rsidR="007466AC" w:rsidRPr="00091C8C">
        <w:rPr>
          <w:rFonts w:ascii="Times New Roman" w:hAnsi="Times New Roman"/>
          <w:sz w:val="24"/>
        </w:rPr>
        <w:t>[467]</w:t>
      </w:r>
      <w:r w:rsidR="000D27FF" w:rsidRPr="00091C8C">
        <w:rPr>
          <w:rFonts w:ascii="Times New Roman" w:hAnsi="Times New Roman"/>
          <w:sz w:val="24"/>
        </w:rPr>
        <w:t>-</w:t>
      </w:r>
      <w:r w:rsidR="004443C1" w:rsidRPr="00091C8C">
        <w:rPr>
          <w:rFonts w:ascii="Times New Roman" w:hAnsi="Times New Roman"/>
          <w:sz w:val="24"/>
        </w:rPr>
        <w:t>[468],</w:t>
      </w:r>
      <w:r w:rsidR="000D27FF" w:rsidRPr="00091C8C">
        <w:rPr>
          <w:rFonts w:ascii="Times New Roman" w:hAnsi="Times New Roman"/>
          <w:sz w:val="24"/>
        </w:rPr>
        <w:t xml:space="preserve"> 524</w:t>
      </w:r>
      <w:r w:rsidR="004443C1" w:rsidRPr="00091C8C">
        <w:rPr>
          <w:rFonts w:ascii="Times New Roman" w:hAnsi="Times New Roman"/>
          <w:sz w:val="24"/>
        </w:rPr>
        <w:t xml:space="preserve"> [472]</w:t>
      </w:r>
      <w:r w:rsidR="000D27FF" w:rsidRPr="00091C8C">
        <w:rPr>
          <w:rFonts w:ascii="Times New Roman" w:hAnsi="Times New Roman"/>
          <w:sz w:val="24"/>
        </w:rPr>
        <w:t>,</w:t>
      </w:r>
      <w:r w:rsidR="004443C1" w:rsidRPr="00091C8C">
        <w:rPr>
          <w:rFonts w:ascii="Times New Roman" w:hAnsi="Times New Roman"/>
          <w:sz w:val="24"/>
        </w:rPr>
        <w:t xml:space="preserve"> </w:t>
      </w:r>
      <w:r w:rsidR="00D5784D" w:rsidRPr="00091C8C">
        <w:rPr>
          <w:rFonts w:ascii="Times New Roman" w:hAnsi="Times New Roman"/>
          <w:sz w:val="24"/>
        </w:rPr>
        <w:t>540</w:t>
      </w:r>
      <w:r w:rsidR="002626C8" w:rsidRPr="00091C8C">
        <w:rPr>
          <w:rFonts w:ascii="Times New Roman" w:hAnsi="Times New Roman"/>
          <w:sz w:val="24"/>
        </w:rPr>
        <w:t xml:space="preserve"> [532]</w:t>
      </w:r>
      <w:r w:rsidR="00145383" w:rsidRPr="00091C8C">
        <w:rPr>
          <w:rFonts w:ascii="Times New Roman" w:hAnsi="Times New Roman"/>
          <w:sz w:val="24"/>
        </w:rPr>
        <w:t>.</w:t>
      </w:r>
    </w:p>
  </w:footnote>
  <w:footnote w:id="9">
    <w:p w14:paraId="7E05387E" w14:textId="07A308B6" w:rsidR="00BF3841" w:rsidRPr="00091C8C" w:rsidRDefault="00BF3841" w:rsidP="00091C8C">
      <w:pPr>
        <w:pStyle w:val="FootnoteText"/>
        <w:spacing w:line="280" w:lineRule="exact"/>
        <w:ind w:right="0"/>
        <w:jc w:val="both"/>
        <w:rPr>
          <w:rFonts w:ascii="Times New Roman" w:hAnsi="Times New Roman"/>
          <w:sz w:val="24"/>
        </w:rPr>
      </w:pPr>
      <w:r w:rsidRPr="00091C8C">
        <w:rPr>
          <w:rStyle w:val="FootnoteReference"/>
          <w:rFonts w:ascii="Times New Roman" w:hAnsi="Times New Roman"/>
          <w:sz w:val="22"/>
          <w:vertAlign w:val="baseline"/>
        </w:rPr>
        <w:footnoteRef/>
      </w:r>
      <w:r w:rsidRPr="00091C8C">
        <w:rPr>
          <w:rFonts w:ascii="Times New Roman" w:hAnsi="Times New Roman"/>
          <w:sz w:val="24"/>
        </w:rPr>
        <w:t xml:space="preserve"> </w:t>
      </w:r>
      <w:r w:rsidR="002531D8" w:rsidRPr="00091C8C">
        <w:rPr>
          <w:rFonts w:ascii="Times New Roman" w:hAnsi="Times New Roman"/>
          <w:sz w:val="24"/>
        </w:rPr>
        <w:tab/>
      </w:r>
      <w:r w:rsidR="002531D8" w:rsidRPr="00091C8C">
        <w:rPr>
          <w:rFonts w:ascii="Times New Roman" w:hAnsi="Times New Roman"/>
          <w:i/>
          <w:sz w:val="24"/>
        </w:rPr>
        <w:t>Sandoz Pty Ltd v H Lundbeck</w:t>
      </w:r>
      <w:r w:rsidR="002531D8" w:rsidRPr="00091C8C">
        <w:rPr>
          <w:rFonts w:ascii="Times New Roman" w:hAnsi="Times New Roman"/>
          <w:sz w:val="24"/>
        </w:rPr>
        <w:t xml:space="preserve"> </w:t>
      </w:r>
      <w:r w:rsidR="002531D8" w:rsidRPr="00091C8C">
        <w:rPr>
          <w:rFonts w:ascii="Times New Roman" w:hAnsi="Times New Roman"/>
          <w:i/>
          <w:sz w:val="24"/>
        </w:rPr>
        <w:t>A/S</w:t>
      </w:r>
      <w:r w:rsidR="002531D8" w:rsidRPr="00091C8C">
        <w:rPr>
          <w:rFonts w:ascii="Times New Roman" w:hAnsi="Times New Roman"/>
          <w:sz w:val="24"/>
        </w:rPr>
        <w:t xml:space="preserve"> (2020) 384 ALR 35 at </w:t>
      </w:r>
      <w:r w:rsidR="00FA0D88" w:rsidRPr="00091C8C">
        <w:rPr>
          <w:rFonts w:ascii="Times New Roman" w:hAnsi="Times New Roman"/>
          <w:sz w:val="24"/>
        </w:rPr>
        <w:t>69-</w:t>
      </w:r>
      <w:r w:rsidR="0090083B" w:rsidRPr="00091C8C">
        <w:rPr>
          <w:rFonts w:ascii="Times New Roman" w:hAnsi="Times New Roman"/>
          <w:sz w:val="24"/>
        </w:rPr>
        <w:t xml:space="preserve">73 </w:t>
      </w:r>
      <w:r w:rsidR="008F2189" w:rsidRPr="00091C8C">
        <w:rPr>
          <w:rFonts w:ascii="Times New Roman" w:hAnsi="Times New Roman"/>
          <w:sz w:val="24"/>
        </w:rPr>
        <w:t>[135]-[147].</w:t>
      </w:r>
    </w:p>
  </w:footnote>
  <w:footnote w:id="10">
    <w:p w14:paraId="29552320" w14:textId="1F67CD2D" w:rsidR="00BF3841" w:rsidRPr="00091C8C" w:rsidRDefault="00BF3841" w:rsidP="00091C8C">
      <w:pPr>
        <w:pStyle w:val="FootnoteText"/>
        <w:spacing w:line="280" w:lineRule="exact"/>
        <w:ind w:right="0"/>
        <w:jc w:val="both"/>
        <w:rPr>
          <w:rFonts w:ascii="Times New Roman" w:hAnsi="Times New Roman"/>
          <w:sz w:val="24"/>
        </w:rPr>
      </w:pPr>
      <w:r w:rsidRPr="00091C8C">
        <w:rPr>
          <w:rStyle w:val="FootnoteReference"/>
          <w:rFonts w:ascii="Times New Roman" w:hAnsi="Times New Roman"/>
          <w:sz w:val="22"/>
          <w:vertAlign w:val="baseline"/>
        </w:rPr>
        <w:footnoteRef/>
      </w:r>
      <w:r w:rsidRPr="00091C8C">
        <w:rPr>
          <w:rFonts w:ascii="Times New Roman" w:hAnsi="Times New Roman"/>
          <w:sz w:val="24"/>
        </w:rPr>
        <w:t xml:space="preserve"> </w:t>
      </w:r>
      <w:r w:rsidR="00B27E04" w:rsidRPr="00091C8C">
        <w:rPr>
          <w:rFonts w:ascii="Times New Roman" w:hAnsi="Times New Roman"/>
          <w:sz w:val="24"/>
        </w:rPr>
        <w:tab/>
      </w:r>
      <w:r w:rsidR="00EB7415" w:rsidRPr="00091C8C">
        <w:rPr>
          <w:rFonts w:ascii="Times New Roman" w:hAnsi="Times New Roman"/>
          <w:i/>
          <w:sz w:val="24"/>
        </w:rPr>
        <w:t>H Lundbeck A/S v Sandoz Pty Ltd</w:t>
      </w:r>
      <w:r w:rsidR="00EB7415" w:rsidRPr="00091C8C">
        <w:rPr>
          <w:rFonts w:ascii="Times New Roman" w:hAnsi="Times New Roman"/>
          <w:sz w:val="24"/>
        </w:rPr>
        <w:t xml:space="preserve"> (2018) 137 IPR 40</w:t>
      </w:r>
      <w:r w:rsidR="00C4434B" w:rsidRPr="00091C8C">
        <w:rPr>
          <w:rFonts w:ascii="Times New Roman" w:hAnsi="Times New Roman"/>
          <w:sz w:val="24"/>
        </w:rPr>
        <w:t>8</w:t>
      </w:r>
      <w:r w:rsidR="00EB7415" w:rsidRPr="00091C8C">
        <w:rPr>
          <w:rFonts w:ascii="Times New Roman" w:hAnsi="Times New Roman"/>
          <w:sz w:val="24"/>
        </w:rPr>
        <w:t xml:space="preserve"> at </w:t>
      </w:r>
      <w:r w:rsidR="007347C1" w:rsidRPr="00091C8C">
        <w:rPr>
          <w:rFonts w:ascii="Times New Roman" w:hAnsi="Times New Roman"/>
          <w:sz w:val="24"/>
        </w:rPr>
        <w:t>540-</w:t>
      </w:r>
      <w:r w:rsidR="003C61A5" w:rsidRPr="00091C8C">
        <w:rPr>
          <w:rFonts w:ascii="Times New Roman" w:hAnsi="Times New Roman"/>
          <w:sz w:val="24"/>
        </w:rPr>
        <w:t xml:space="preserve">544 </w:t>
      </w:r>
      <w:r w:rsidR="00EB7415" w:rsidRPr="00091C8C">
        <w:rPr>
          <w:rFonts w:ascii="Times New Roman" w:hAnsi="Times New Roman"/>
          <w:sz w:val="24"/>
        </w:rPr>
        <w:t>[</w:t>
      </w:r>
      <w:r w:rsidR="00284F94" w:rsidRPr="00091C8C">
        <w:rPr>
          <w:rFonts w:ascii="Times New Roman" w:hAnsi="Times New Roman"/>
          <w:sz w:val="24"/>
        </w:rPr>
        <w:t>534]-[548].</w:t>
      </w:r>
    </w:p>
  </w:footnote>
  <w:footnote w:id="11">
    <w:p w14:paraId="1EB8433B" w14:textId="369537F1" w:rsidR="00B27E04" w:rsidRPr="00091C8C" w:rsidRDefault="00B27E04" w:rsidP="00091C8C">
      <w:pPr>
        <w:pStyle w:val="FootnoteText"/>
        <w:spacing w:line="280" w:lineRule="exact"/>
        <w:ind w:right="0"/>
        <w:jc w:val="both"/>
        <w:rPr>
          <w:rFonts w:ascii="Times New Roman" w:hAnsi="Times New Roman"/>
          <w:sz w:val="24"/>
        </w:rPr>
      </w:pPr>
      <w:r w:rsidRPr="00091C8C">
        <w:rPr>
          <w:rStyle w:val="FootnoteReference"/>
          <w:rFonts w:ascii="Times New Roman" w:hAnsi="Times New Roman"/>
          <w:sz w:val="22"/>
          <w:vertAlign w:val="baseline"/>
        </w:rPr>
        <w:footnoteRef/>
      </w:r>
      <w:r w:rsidRPr="00091C8C">
        <w:rPr>
          <w:rFonts w:ascii="Times New Roman" w:hAnsi="Times New Roman"/>
          <w:sz w:val="24"/>
        </w:rPr>
        <w:t xml:space="preserve"> </w:t>
      </w:r>
      <w:r w:rsidRPr="00091C8C">
        <w:rPr>
          <w:rFonts w:ascii="Times New Roman" w:hAnsi="Times New Roman"/>
          <w:sz w:val="24"/>
        </w:rPr>
        <w:tab/>
      </w:r>
      <w:r w:rsidRPr="00091C8C">
        <w:rPr>
          <w:rFonts w:ascii="Times New Roman" w:hAnsi="Times New Roman"/>
          <w:i/>
          <w:sz w:val="24"/>
        </w:rPr>
        <w:t>Sandoz Pty Ltd v H Lundbeck</w:t>
      </w:r>
      <w:r w:rsidRPr="00091C8C">
        <w:rPr>
          <w:rFonts w:ascii="Times New Roman" w:hAnsi="Times New Roman"/>
          <w:sz w:val="24"/>
        </w:rPr>
        <w:t xml:space="preserve"> </w:t>
      </w:r>
      <w:r w:rsidRPr="00091C8C">
        <w:rPr>
          <w:rFonts w:ascii="Times New Roman" w:hAnsi="Times New Roman"/>
          <w:i/>
          <w:sz w:val="24"/>
        </w:rPr>
        <w:t>A/S</w:t>
      </w:r>
      <w:r w:rsidRPr="00091C8C">
        <w:rPr>
          <w:rFonts w:ascii="Times New Roman" w:hAnsi="Times New Roman"/>
          <w:sz w:val="24"/>
        </w:rPr>
        <w:t xml:space="preserve"> (2020) 384 ALR 35 at </w:t>
      </w:r>
      <w:r w:rsidR="003C61A5" w:rsidRPr="00091C8C">
        <w:rPr>
          <w:rFonts w:ascii="Times New Roman" w:hAnsi="Times New Roman"/>
          <w:sz w:val="24"/>
        </w:rPr>
        <w:t>73 [151].</w:t>
      </w:r>
    </w:p>
  </w:footnote>
  <w:footnote w:id="12">
    <w:p w14:paraId="42314516" w14:textId="77777777" w:rsidR="00BF3841" w:rsidRPr="00091C8C" w:rsidRDefault="00BF3841" w:rsidP="00091C8C">
      <w:pPr>
        <w:pStyle w:val="FootnoteText"/>
        <w:spacing w:line="280" w:lineRule="exact"/>
        <w:ind w:right="0"/>
        <w:jc w:val="both"/>
        <w:rPr>
          <w:rFonts w:ascii="Times New Roman" w:hAnsi="Times New Roman"/>
          <w:sz w:val="24"/>
        </w:rPr>
      </w:pPr>
      <w:r w:rsidRPr="00091C8C">
        <w:rPr>
          <w:rStyle w:val="FootnoteReference"/>
          <w:rFonts w:ascii="Times New Roman" w:hAnsi="Times New Roman"/>
          <w:sz w:val="22"/>
          <w:vertAlign w:val="baseline"/>
        </w:rPr>
        <w:footnoteRef/>
      </w:r>
      <w:r w:rsidRPr="00091C8C">
        <w:rPr>
          <w:rFonts w:ascii="Times New Roman" w:hAnsi="Times New Roman"/>
          <w:sz w:val="24"/>
        </w:rPr>
        <w:t xml:space="preserve"> </w:t>
      </w:r>
      <w:r w:rsidRPr="00091C8C">
        <w:rPr>
          <w:rFonts w:ascii="Times New Roman" w:hAnsi="Times New Roman"/>
          <w:sz w:val="24"/>
        </w:rPr>
        <w:tab/>
        <w:t>Section 61 of the Act.</w:t>
      </w:r>
    </w:p>
  </w:footnote>
  <w:footnote w:id="13">
    <w:p w14:paraId="77343B40" w14:textId="20EBEF72" w:rsidR="00BF3841" w:rsidRPr="00091C8C" w:rsidRDefault="00BF3841" w:rsidP="00091C8C">
      <w:pPr>
        <w:pStyle w:val="FootnoteText"/>
        <w:spacing w:line="280" w:lineRule="exact"/>
        <w:ind w:right="0"/>
        <w:jc w:val="both"/>
        <w:rPr>
          <w:rFonts w:ascii="Times New Roman" w:hAnsi="Times New Roman"/>
          <w:sz w:val="24"/>
        </w:rPr>
      </w:pPr>
      <w:r w:rsidRPr="00091C8C">
        <w:rPr>
          <w:rStyle w:val="FootnoteReference"/>
          <w:rFonts w:ascii="Times New Roman" w:hAnsi="Times New Roman"/>
          <w:sz w:val="22"/>
          <w:vertAlign w:val="baseline"/>
        </w:rPr>
        <w:footnoteRef/>
      </w:r>
      <w:r w:rsidRPr="00091C8C">
        <w:rPr>
          <w:rFonts w:ascii="Times New Roman" w:hAnsi="Times New Roman"/>
          <w:sz w:val="24"/>
        </w:rPr>
        <w:t xml:space="preserve"> </w:t>
      </w:r>
      <w:r w:rsidRPr="00091C8C">
        <w:rPr>
          <w:rFonts w:ascii="Times New Roman" w:hAnsi="Times New Roman"/>
          <w:sz w:val="24"/>
        </w:rPr>
        <w:tab/>
        <w:t>Section 3 of</w:t>
      </w:r>
      <w:r w:rsidR="00F357E2" w:rsidRPr="00091C8C">
        <w:rPr>
          <w:rFonts w:ascii="Times New Roman" w:hAnsi="Times New Roman"/>
          <w:sz w:val="24"/>
        </w:rPr>
        <w:t xml:space="preserve"> the Act</w:t>
      </w:r>
      <w:r w:rsidRPr="00091C8C">
        <w:rPr>
          <w:rFonts w:ascii="Times New Roman" w:hAnsi="Times New Roman"/>
          <w:sz w:val="24"/>
        </w:rPr>
        <w:t xml:space="preserve"> and Sch 1 (definition of "exploit") to</w:t>
      </w:r>
      <w:r w:rsidR="00F357E2" w:rsidRPr="00091C8C">
        <w:rPr>
          <w:rFonts w:ascii="Times New Roman" w:hAnsi="Times New Roman"/>
          <w:sz w:val="24"/>
        </w:rPr>
        <w:t xml:space="preserve"> </w:t>
      </w:r>
      <w:r w:rsidRPr="00091C8C">
        <w:rPr>
          <w:rFonts w:ascii="Times New Roman" w:hAnsi="Times New Roman"/>
          <w:sz w:val="24"/>
        </w:rPr>
        <w:t>the Act.</w:t>
      </w:r>
    </w:p>
  </w:footnote>
  <w:footnote w:id="14">
    <w:p w14:paraId="29D1F36C" w14:textId="77777777" w:rsidR="00BF3841" w:rsidRPr="00091C8C" w:rsidRDefault="00BF3841" w:rsidP="00091C8C">
      <w:pPr>
        <w:pStyle w:val="FootnoteText"/>
        <w:spacing w:line="280" w:lineRule="exact"/>
        <w:ind w:right="0"/>
        <w:jc w:val="both"/>
        <w:rPr>
          <w:rFonts w:ascii="Times New Roman" w:hAnsi="Times New Roman"/>
          <w:sz w:val="24"/>
        </w:rPr>
      </w:pPr>
      <w:r w:rsidRPr="00091C8C">
        <w:rPr>
          <w:rStyle w:val="FootnoteReference"/>
          <w:rFonts w:ascii="Times New Roman" w:hAnsi="Times New Roman"/>
          <w:sz w:val="22"/>
          <w:vertAlign w:val="baseline"/>
        </w:rPr>
        <w:footnoteRef/>
      </w:r>
      <w:r w:rsidRPr="00091C8C">
        <w:rPr>
          <w:rFonts w:ascii="Times New Roman" w:hAnsi="Times New Roman"/>
          <w:sz w:val="24"/>
        </w:rPr>
        <w:t xml:space="preserve"> </w:t>
      </w:r>
      <w:r w:rsidRPr="00091C8C">
        <w:rPr>
          <w:rFonts w:ascii="Times New Roman" w:hAnsi="Times New Roman"/>
          <w:sz w:val="24"/>
        </w:rPr>
        <w:tab/>
        <w:t>Section 13 of the Act.</w:t>
      </w:r>
    </w:p>
  </w:footnote>
  <w:footnote w:id="15">
    <w:p w14:paraId="767442BC" w14:textId="77777777" w:rsidR="00BF3841" w:rsidRPr="00091C8C" w:rsidRDefault="00BF3841" w:rsidP="00091C8C">
      <w:pPr>
        <w:pStyle w:val="FootnoteText"/>
        <w:spacing w:line="280" w:lineRule="exact"/>
        <w:ind w:right="0"/>
        <w:jc w:val="both"/>
        <w:rPr>
          <w:rFonts w:ascii="Times New Roman" w:hAnsi="Times New Roman"/>
          <w:sz w:val="24"/>
        </w:rPr>
      </w:pPr>
      <w:r w:rsidRPr="00091C8C">
        <w:rPr>
          <w:rStyle w:val="FootnoteReference"/>
          <w:rFonts w:ascii="Times New Roman" w:hAnsi="Times New Roman"/>
          <w:sz w:val="22"/>
          <w:vertAlign w:val="baseline"/>
        </w:rPr>
        <w:footnoteRef/>
      </w:r>
      <w:r w:rsidRPr="00091C8C">
        <w:rPr>
          <w:rFonts w:ascii="Times New Roman" w:hAnsi="Times New Roman"/>
          <w:sz w:val="24"/>
        </w:rPr>
        <w:t xml:space="preserve"> </w:t>
      </w:r>
      <w:r w:rsidRPr="00091C8C">
        <w:rPr>
          <w:rFonts w:ascii="Times New Roman" w:hAnsi="Times New Roman"/>
          <w:sz w:val="24"/>
        </w:rPr>
        <w:tab/>
        <w:t>Section 67 of the Act.</w:t>
      </w:r>
    </w:p>
  </w:footnote>
  <w:footnote w:id="16">
    <w:p w14:paraId="17460887" w14:textId="164DB299" w:rsidR="008F46D2" w:rsidRPr="00091C8C" w:rsidRDefault="008F46D2" w:rsidP="00091C8C">
      <w:pPr>
        <w:pStyle w:val="FootnoteText"/>
        <w:spacing w:line="280" w:lineRule="exact"/>
        <w:ind w:right="0"/>
        <w:jc w:val="both"/>
        <w:rPr>
          <w:rFonts w:ascii="Times New Roman" w:hAnsi="Times New Roman"/>
          <w:sz w:val="24"/>
        </w:rPr>
      </w:pPr>
      <w:r w:rsidRPr="00091C8C">
        <w:rPr>
          <w:rStyle w:val="FootnoteReference"/>
          <w:rFonts w:ascii="Times New Roman" w:hAnsi="Times New Roman"/>
          <w:sz w:val="22"/>
          <w:vertAlign w:val="baseline"/>
        </w:rPr>
        <w:footnoteRef/>
      </w:r>
      <w:r w:rsidRPr="00091C8C">
        <w:rPr>
          <w:rFonts w:ascii="Times New Roman" w:hAnsi="Times New Roman"/>
          <w:sz w:val="24"/>
        </w:rPr>
        <w:t xml:space="preserve"> </w:t>
      </w:r>
      <w:r w:rsidR="0083463C" w:rsidRPr="00091C8C">
        <w:rPr>
          <w:rFonts w:ascii="Times New Roman" w:hAnsi="Times New Roman"/>
          <w:sz w:val="24"/>
        </w:rPr>
        <w:tab/>
        <w:t>Section 40</w:t>
      </w:r>
      <w:r w:rsidR="00A9291A" w:rsidRPr="00091C8C">
        <w:rPr>
          <w:rFonts w:ascii="Times New Roman" w:hAnsi="Times New Roman"/>
          <w:sz w:val="24"/>
        </w:rPr>
        <w:t>(2)</w:t>
      </w:r>
      <w:r w:rsidR="008621F8" w:rsidRPr="00091C8C">
        <w:rPr>
          <w:rFonts w:ascii="Times New Roman" w:hAnsi="Times New Roman"/>
          <w:sz w:val="24"/>
        </w:rPr>
        <w:t>, (3) and (4)</w:t>
      </w:r>
      <w:r w:rsidR="0083463C" w:rsidRPr="00091C8C">
        <w:rPr>
          <w:rFonts w:ascii="Times New Roman" w:hAnsi="Times New Roman"/>
          <w:sz w:val="24"/>
        </w:rPr>
        <w:t xml:space="preserve"> of the Act.</w:t>
      </w:r>
    </w:p>
  </w:footnote>
  <w:footnote w:id="17">
    <w:p w14:paraId="65311198" w14:textId="77777777" w:rsidR="00BF3841" w:rsidRPr="00091C8C" w:rsidRDefault="00BF3841" w:rsidP="00091C8C">
      <w:pPr>
        <w:pStyle w:val="FootnoteText"/>
        <w:spacing w:line="280" w:lineRule="exact"/>
        <w:ind w:right="0"/>
        <w:jc w:val="both"/>
        <w:rPr>
          <w:rFonts w:ascii="Times New Roman" w:hAnsi="Times New Roman"/>
          <w:sz w:val="24"/>
        </w:rPr>
      </w:pPr>
      <w:r w:rsidRPr="00091C8C">
        <w:rPr>
          <w:rStyle w:val="FootnoteReference"/>
          <w:rFonts w:ascii="Times New Roman" w:hAnsi="Times New Roman"/>
          <w:sz w:val="22"/>
          <w:vertAlign w:val="baseline"/>
        </w:rPr>
        <w:footnoteRef/>
      </w:r>
      <w:r w:rsidRPr="00091C8C">
        <w:rPr>
          <w:rFonts w:ascii="Times New Roman" w:hAnsi="Times New Roman"/>
          <w:sz w:val="24"/>
        </w:rPr>
        <w:t xml:space="preserve"> </w:t>
      </w:r>
      <w:r w:rsidRPr="00091C8C">
        <w:rPr>
          <w:rFonts w:ascii="Times New Roman" w:hAnsi="Times New Roman"/>
          <w:sz w:val="24"/>
        </w:rPr>
        <w:tab/>
        <w:t>Section 65 of the Act.</w:t>
      </w:r>
    </w:p>
  </w:footnote>
  <w:footnote w:id="18">
    <w:p w14:paraId="1FBC1692" w14:textId="1E52E723" w:rsidR="00297D9F" w:rsidRPr="00091C8C" w:rsidRDefault="00297D9F" w:rsidP="00091C8C">
      <w:pPr>
        <w:pStyle w:val="FootnoteText"/>
        <w:spacing w:line="280" w:lineRule="exact"/>
        <w:ind w:right="0"/>
        <w:jc w:val="both"/>
        <w:rPr>
          <w:rFonts w:ascii="Times New Roman" w:hAnsi="Times New Roman"/>
          <w:sz w:val="24"/>
        </w:rPr>
      </w:pPr>
      <w:r w:rsidRPr="00091C8C">
        <w:rPr>
          <w:rStyle w:val="FootnoteReference"/>
          <w:rFonts w:ascii="Times New Roman" w:hAnsi="Times New Roman"/>
          <w:sz w:val="22"/>
          <w:vertAlign w:val="baseline"/>
        </w:rPr>
        <w:footnoteRef/>
      </w:r>
      <w:r w:rsidRPr="00091C8C">
        <w:rPr>
          <w:rFonts w:ascii="Times New Roman" w:hAnsi="Times New Roman"/>
          <w:sz w:val="24"/>
        </w:rPr>
        <w:t xml:space="preserve"> </w:t>
      </w:r>
      <w:r w:rsidR="00F4294A" w:rsidRPr="00091C8C">
        <w:rPr>
          <w:rFonts w:ascii="Times New Roman" w:hAnsi="Times New Roman"/>
          <w:sz w:val="24"/>
        </w:rPr>
        <w:tab/>
      </w:r>
      <w:r w:rsidR="008757EB" w:rsidRPr="00091C8C">
        <w:rPr>
          <w:rFonts w:ascii="Times New Roman" w:hAnsi="Times New Roman"/>
          <w:i/>
          <w:sz w:val="24"/>
        </w:rPr>
        <w:t>Intellectual Property Laws</w:t>
      </w:r>
      <w:r w:rsidR="004C130B" w:rsidRPr="00091C8C">
        <w:rPr>
          <w:rFonts w:ascii="Times New Roman" w:hAnsi="Times New Roman"/>
          <w:i/>
          <w:sz w:val="24"/>
        </w:rPr>
        <w:t xml:space="preserve"> Amendment Act 19</w:t>
      </w:r>
      <w:r w:rsidR="000D5BB6" w:rsidRPr="00091C8C">
        <w:rPr>
          <w:rFonts w:ascii="Times New Roman" w:hAnsi="Times New Roman"/>
          <w:i/>
          <w:sz w:val="24"/>
        </w:rPr>
        <w:t>98</w:t>
      </w:r>
      <w:r w:rsidR="000D5BB6" w:rsidRPr="00091C8C">
        <w:rPr>
          <w:rFonts w:ascii="Times New Roman" w:hAnsi="Times New Roman"/>
          <w:sz w:val="24"/>
        </w:rPr>
        <w:t xml:space="preserve"> (Cth).</w:t>
      </w:r>
    </w:p>
  </w:footnote>
  <w:footnote w:id="19">
    <w:p w14:paraId="4A7BDC1C" w14:textId="20B3F3A3" w:rsidR="00ED69E8" w:rsidRPr="00091C8C" w:rsidRDefault="00ED69E8" w:rsidP="00091C8C">
      <w:pPr>
        <w:pStyle w:val="FootnoteText"/>
        <w:spacing w:line="280" w:lineRule="exact"/>
        <w:ind w:right="0"/>
        <w:jc w:val="both"/>
        <w:rPr>
          <w:rFonts w:ascii="Times New Roman" w:hAnsi="Times New Roman"/>
          <w:sz w:val="24"/>
        </w:rPr>
      </w:pPr>
      <w:r w:rsidRPr="00091C8C">
        <w:rPr>
          <w:rStyle w:val="FootnoteReference"/>
          <w:rFonts w:ascii="Times New Roman" w:hAnsi="Times New Roman"/>
          <w:sz w:val="22"/>
          <w:vertAlign w:val="baseline"/>
        </w:rPr>
        <w:footnoteRef/>
      </w:r>
      <w:r w:rsidRPr="00091C8C">
        <w:rPr>
          <w:rFonts w:ascii="Times New Roman" w:hAnsi="Times New Roman"/>
          <w:sz w:val="24"/>
        </w:rPr>
        <w:t xml:space="preserve"> </w:t>
      </w:r>
      <w:r w:rsidR="008D13F8" w:rsidRPr="00091C8C">
        <w:rPr>
          <w:rFonts w:ascii="Times New Roman" w:hAnsi="Times New Roman"/>
          <w:sz w:val="24"/>
        </w:rPr>
        <w:tab/>
      </w:r>
      <w:r w:rsidR="00D30CD6" w:rsidRPr="00091C8C">
        <w:rPr>
          <w:rFonts w:ascii="Times New Roman" w:hAnsi="Times New Roman"/>
          <w:i/>
          <w:sz w:val="24"/>
        </w:rPr>
        <w:t>Patent</w:t>
      </w:r>
      <w:r w:rsidR="00362211" w:rsidRPr="00091C8C">
        <w:rPr>
          <w:rFonts w:ascii="Times New Roman" w:hAnsi="Times New Roman"/>
          <w:i/>
          <w:sz w:val="24"/>
        </w:rPr>
        <w:t>s</w:t>
      </w:r>
      <w:r w:rsidR="00D30CD6" w:rsidRPr="00091C8C">
        <w:rPr>
          <w:rFonts w:ascii="Times New Roman" w:hAnsi="Times New Roman"/>
          <w:i/>
          <w:sz w:val="24"/>
        </w:rPr>
        <w:t xml:space="preserve"> Amendment Act 1989</w:t>
      </w:r>
      <w:r w:rsidR="00D30CD6" w:rsidRPr="00091C8C">
        <w:rPr>
          <w:rFonts w:ascii="Times New Roman" w:hAnsi="Times New Roman"/>
          <w:sz w:val="24"/>
        </w:rPr>
        <w:t xml:space="preserve"> (Cth).</w:t>
      </w:r>
    </w:p>
  </w:footnote>
  <w:footnote w:id="20">
    <w:p w14:paraId="62B9E3B0" w14:textId="6C3708DE" w:rsidR="004E5937" w:rsidRPr="00091C8C" w:rsidRDefault="004E5937" w:rsidP="00091C8C">
      <w:pPr>
        <w:pStyle w:val="FootnoteText"/>
        <w:spacing w:line="280" w:lineRule="exact"/>
        <w:ind w:right="0"/>
        <w:jc w:val="both"/>
        <w:rPr>
          <w:rFonts w:ascii="Times New Roman" w:hAnsi="Times New Roman"/>
          <w:sz w:val="24"/>
        </w:rPr>
      </w:pPr>
      <w:r w:rsidRPr="00091C8C">
        <w:rPr>
          <w:rStyle w:val="FootnoteReference"/>
          <w:rFonts w:ascii="Times New Roman" w:hAnsi="Times New Roman"/>
          <w:sz w:val="22"/>
          <w:vertAlign w:val="baseline"/>
        </w:rPr>
        <w:footnoteRef/>
      </w:r>
      <w:r w:rsidRPr="00091C8C">
        <w:rPr>
          <w:rFonts w:ascii="Times New Roman" w:hAnsi="Times New Roman"/>
          <w:sz w:val="24"/>
        </w:rPr>
        <w:t xml:space="preserve"> </w:t>
      </w:r>
      <w:r w:rsidR="00D35B23" w:rsidRPr="00091C8C">
        <w:rPr>
          <w:rFonts w:ascii="Times New Roman" w:hAnsi="Times New Roman"/>
          <w:sz w:val="24"/>
        </w:rPr>
        <w:tab/>
      </w:r>
      <w:r w:rsidR="007B76DF" w:rsidRPr="00091C8C">
        <w:rPr>
          <w:rFonts w:ascii="Times New Roman" w:hAnsi="Times New Roman"/>
          <w:sz w:val="24"/>
        </w:rPr>
        <w:t xml:space="preserve">See Div 2 of Pt 3 of Ch 6 of the </w:t>
      </w:r>
      <w:r w:rsidR="00026130" w:rsidRPr="00091C8C">
        <w:rPr>
          <w:rFonts w:ascii="Times New Roman" w:hAnsi="Times New Roman"/>
          <w:sz w:val="24"/>
        </w:rPr>
        <w:t>Act</w:t>
      </w:r>
      <w:r w:rsidR="00DF636C" w:rsidRPr="00091C8C">
        <w:rPr>
          <w:rFonts w:ascii="Times New Roman" w:hAnsi="Times New Roman"/>
          <w:sz w:val="24"/>
        </w:rPr>
        <w:t xml:space="preserve"> </w:t>
      </w:r>
      <w:r w:rsidR="00E671CB" w:rsidRPr="00091C8C">
        <w:rPr>
          <w:rFonts w:ascii="Times New Roman" w:hAnsi="Times New Roman"/>
          <w:sz w:val="24"/>
        </w:rPr>
        <w:t>as enacted</w:t>
      </w:r>
      <w:r w:rsidR="008C4449" w:rsidRPr="00091C8C">
        <w:rPr>
          <w:rFonts w:ascii="Times New Roman" w:hAnsi="Times New Roman"/>
          <w:sz w:val="24"/>
        </w:rPr>
        <w:t>.</w:t>
      </w:r>
    </w:p>
  </w:footnote>
  <w:footnote w:id="21">
    <w:p w14:paraId="4DC4DC94" w14:textId="6DBB2CE8" w:rsidR="004E5937" w:rsidRPr="00091C8C" w:rsidRDefault="004E5937" w:rsidP="00091C8C">
      <w:pPr>
        <w:pStyle w:val="FootnoteText"/>
        <w:spacing w:line="280" w:lineRule="exact"/>
        <w:ind w:right="0"/>
        <w:jc w:val="both"/>
        <w:rPr>
          <w:rFonts w:ascii="Times New Roman" w:hAnsi="Times New Roman"/>
          <w:sz w:val="24"/>
        </w:rPr>
      </w:pPr>
      <w:r w:rsidRPr="00091C8C">
        <w:rPr>
          <w:rStyle w:val="FootnoteReference"/>
          <w:rFonts w:ascii="Times New Roman" w:hAnsi="Times New Roman"/>
          <w:sz w:val="22"/>
          <w:vertAlign w:val="baseline"/>
        </w:rPr>
        <w:footnoteRef/>
      </w:r>
      <w:r w:rsidRPr="00091C8C">
        <w:rPr>
          <w:rFonts w:ascii="Times New Roman" w:hAnsi="Times New Roman"/>
          <w:sz w:val="24"/>
        </w:rPr>
        <w:t xml:space="preserve"> </w:t>
      </w:r>
      <w:r w:rsidR="006231D1" w:rsidRPr="00091C8C">
        <w:rPr>
          <w:rFonts w:ascii="Times New Roman" w:hAnsi="Times New Roman"/>
          <w:sz w:val="24"/>
        </w:rPr>
        <w:tab/>
      </w:r>
      <w:r w:rsidR="006231D1" w:rsidRPr="00091C8C">
        <w:rPr>
          <w:rFonts w:ascii="Times New Roman" w:hAnsi="Times New Roman"/>
          <w:i/>
          <w:sz w:val="24"/>
        </w:rPr>
        <w:t>Patents (World Trade Organi</w:t>
      </w:r>
      <w:r w:rsidR="00B337BA" w:rsidRPr="00091C8C">
        <w:rPr>
          <w:rFonts w:ascii="Times New Roman" w:hAnsi="Times New Roman"/>
          <w:i/>
          <w:sz w:val="24"/>
        </w:rPr>
        <w:t>z</w:t>
      </w:r>
      <w:r w:rsidR="006231D1" w:rsidRPr="00091C8C">
        <w:rPr>
          <w:rFonts w:ascii="Times New Roman" w:hAnsi="Times New Roman"/>
          <w:i/>
          <w:sz w:val="24"/>
        </w:rPr>
        <w:t>ation</w:t>
      </w:r>
      <w:r w:rsidR="00B337BA" w:rsidRPr="00091C8C">
        <w:rPr>
          <w:rFonts w:ascii="Times New Roman" w:hAnsi="Times New Roman"/>
          <w:i/>
          <w:sz w:val="24"/>
        </w:rPr>
        <w:t xml:space="preserve"> Amendments)</w:t>
      </w:r>
      <w:r w:rsidR="00B337BA" w:rsidRPr="00091C8C">
        <w:rPr>
          <w:rFonts w:ascii="Times New Roman" w:hAnsi="Times New Roman"/>
          <w:sz w:val="24"/>
        </w:rPr>
        <w:t xml:space="preserve"> </w:t>
      </w:r>
      <w:r w:rsidR="00B337BA" w:rsidRPr="00091C8C">
        <w:rPr>
          <w:rFonts w:ascii="Times New Roman" w:hAnsi="Times New Roman"/>
          <w:i/>
          <w:sz w:val="24"/>
        </w:rPr>
        <w:t>Act 1994</w:t>
      </w:r>
      <w:r w:rsidR="00B337BA" w:rsidRPr="00091C8C">
        <w:rPr>
          <w:rFonts w:ascii="Times New Roman" w:hAnsi="Times New Roman"/>
          <w:sz w:val="24"/>
        </w:rPr>
        <w:t xml:space="preserve"> (Cth)</w:t>
      </w:r>
      <w:r w:rsidR="003B47D1" w:rsidRPr="00091C8C">
        <w:rPr>
          <w:rFonts w:ascii="Times New Roman" w:hAnsi="Times New Roman"/>
          <w:sz w:val="24"/>
        </w:rPr>
        <w:t>.</w:t>
      </w:r>
    </w:p>
  </w:footnote>
  <w:footnote w:id="22">
    <w:p w14:paraId="1D71299C" w14:textId="061D530E" w:rsidR="00AA126E" w:rsidRPr="00091C8C" w:rsidRDefault="00AA126E" w:rsidP="00091C8C">
      <w:pPr>
        <w:pStyle w:val="FootnoteText"/>
        <w:spacing w:line="280" w:lineRule="exact"/>
        <w:ind w:right="0"/>
        <w:jc w:val="both"/>
        <w:rPr>
          <w:rFonts w:ascii="Times New Roman" w:hAnsi="Times New Roman"/>
          <w:sz w:val="24"/>
        </w:rPr>
      </w:pPr>
      <w:r w:rsidRPr="00091C8C">
        <w:rPr>
          <w:rStyle w:val="FootnoteReference"/>
          <w:rFonts w:ascii="Times New Roman" w:hAnsi="Times New Roman"/>
          <w:sz w:val="22"/>
          <w:vertAlign w:val="baseline"/>
        </w:rPr>
        <w:footnoteRef/>
      </w:r>
      <w:r w:rsidRPr="00091C8C">
        <w:rPr>
          <w:rFonts w:ascii="Times New Roman" w:hAnsi="Times New Roman"/>
          <w:sz w:val="24"/>
        </w:rPr>
        <w:t xml:space="preserve"> </w:t>
      </w:r>
      <w:r w:rsidRPr="00091C8C">
        <w:rPr>
          <w:rFonts w:ascii="Times New Roman" w:hAnsi="Times New Roman"/>
          <w:sz w:val="24"/>
        </w:rPr>
        <w:tab/>
      </w:r>
      <w:r w:rsidR="00B34421" w:rsidRPr="00091C8C">
        <w:rPr>
          <w:rFonts w:ascii="Times New Roman" w:hAnsi="Times New Roman"/>
          <w:sz w:val="24"/>
        </w:rPr>
        <w:t xml:space="preserve">Australia, House of </w:t>
      </w:r>
      <w:r w:rsidR="00024CBE" w:rsidRPr="00091C8C">
        <w:rPr>
          <w:rFonts w:ascii="Times New Roman" w:hAnsi="Times New Roman"/>
          <w:sz w:val="24"/>
        </w:rPr>
        <w:t>R</w:t>
      </w:r>
      <w:r w:rsidR="00B34421" w:rsidRPr="00091C8C">
        <w:rPr>
          <w:rFonts w:ascii="Times New Roman" w:hAnsi="Times New Roman"/>
          <w:sz w:val="24"/>
        </w:rPr>
        <w:t>epresentatives</w:t>
      </w:r>
      <w:r w:rsidR="00544BC9" w:rsidRPr="00091C8C">
        <w:rPr>
          <w:rFonts w:ascii="Times New Roman" w:hAnsi="Times New Roman"/>
          <w:sz w:val="24"/>
        </w:rPr>
        <w:t xml:space="preserve">, </w:t>
      </w:r>
      <w:r w:rsidR="00544BC9" w:rsidRPr="00091C8C">
        <w:rPr>
          <w:rFonts w:ascii="Times New Roman" w:hAnsi="Times New Roman"/>
          <w:i/>
          <w:sz w:val="24"/>
        </w:rPr>
        <w:t>Parliamentary Debates</w:t>
      </w:r>
      <w:r w:rsidR="00AE32B2" w:rsidRPr="00091C8C">
        <w:rPr>
          <w:rFonts w:ascii="Times New Roman" w:hAnsi="Times New Roman"/>
          <w:sz w:val="24"/>
        </w:rPr>
        <w:t xml:space="preserve"> (Hansard)</w:t>
      </w:r>
      <w:r w:rsidR="00173CA1" w:rsidRPr="00091C8C">
        <w:rPr>
          <w:rFonts w:ascii="Times New Roman" w:hAnsi="Times New Roman"/>
          <w:sz w:val="24"/>
        </w:rPr>
        <w:t>,</w:t>
      </w:r>
      <w:r w:rsidR="00AE32B2" w:rsidRPr="00091C8C">
        <w:rPr>
          <w:rFonts w:ascii="Times New Roman" w:hAnsi="Times New Roman"/>
          <w:sz w:val="24"/>
        </w:rPr>
        <w:t xml:space="preserve"> 26</w:t>
      </w:r>
      <w:r w:rsidR="003A5289">
        <w:rPr>
          <w:rFonts w:ascii="Times New Roman" w:hAnsi="Times New Roman"/>
          <w:sz w:val="24"/>
        </w:rPr>
        <w:t> </w:t>
      </w:r>
      <w:r w:rsidR="00AE32B2" w:rsidRPr="00091C8C">
        <w:rPr>
          <w:rFonts w:ascii="Times New Roman" w:hAnsi="Times New Roman"/>
          <w:sz w:val="24"/>
        </w:rPr>
        <w:t>November 1997</w:t>
      </w:r>
      <w:r w:rsidR="007F360C" w:rsidRPr="00091C8C">
        <w:rPr>
          <w:rFonts w:ascii="Times New Roman" w:hAnsi="Times New Roman"/>
          <w:sz w:val="24"/>
        </w:rPr>
        <w:t xml:space="preserve"> at </w:t>
      </w:r>
      <w:r w:rsidR="00AE32B2" w:rsidRPr="00091C8C">
        <w:rPr>
          <w:rFonts w:ascii="Times New Roman" w:hAnsi="Times New Roman"/>
          <w:sz w:val="24"/>
        </w:rPr>
        <w:t>11275</w:t>
      </w:r>
      <w:r w:rsidR="00024CBE" w:rsidRPr="00091C8C">
        <w:rPr>
          <w:rFonts w:ascii="Times New Roman" w:hAnsi="Times New Roman"/>
          <w:sz w:val="24"/>
        </w:rPr>
        <w:t>.</w:t>
      </w:r>
    </w:p>
  </w:footnote>
  <w:footnote w:id="23">
    <w:p w14:paraId="1EB0FAE0" w14:textId="5CF1AF7C" w:rsidR="006C300C" w:rsidRPr="00091C8C" w:rsidRDefault="006C300C" w:rsidP="00091C8C">
      <w:pPr>
        <w:pStyle w:val="FootnoteText"/>
        <w:spacing w:line="280" w:lineRule="exact"/>
        <w:ind w:right="0"/>
        <w:jc w:val="both"/>
        <w:rPr>
          <w:rFonts w:ascii="Times New Roman" w:hAnsi="Times New Roman"/>
          <w:sz w:val="24"/>
        </w:rPr>
      </w:pPr>
      <w:r w:rsidRPr="00091C8C">
        <w:rPr>
          <w:rStyle w:val="FootnoteReference"/>
          <w:rFonts w:ascii="Times New Roman" w:hAnsi="Times New Roman"/>
          <w:sz w:val="22"/>
          <w:vertAlign w:val="baseline"/>
        </w:rPr>
        <w:footnoteRef/>
      </w:r>
      <w:r w:rsidRPr="00091C8C">
        <w:rPr>
          <w:rFonts w:ascii="Times New Roman" w:hAnsi="Times New Roman"/>
          <w:sz w:val="24"/>
        </w:rPr>
        <w:t xml:space="preserve"> </w:t>
      </w:r>
      <w:r w:rsidRPr="00091C8C">
        <w:rPr>
          <w:rFonts w:ascii="Times New Roman" w:hAnsi="Times New Roman"/>
          <w:sz w:val="24"/>
        </w:rPr>
        <w:tab/>
        <w:t xml:space="preserve">(2014) 254 CLR 247 at </w:t>
      </w:r>
      <w:r w:rsidR="00286299" w:rsidRPr="00091C8C">
        <w:rPr>
          <w:rFonts w:ascii="Times New Roman" w:hAnsi="Times New Roman"/>
          <w:sz w:val="24"/>
        </w:rPr>
        <w:t>271 [60].</w:t>
      </w:r>
    </w:p>
  </w:footnote>
  <w:footnote w:id="24">
    <w:p w14:paraId="5AA7853F" w14:textId="4B5C0D01" w:rsidR="00BF3841" w:rsidRPr="00091C8C" w:rsidRDefault="00BF3841" w:rsidP="00091C8C">
      <w:pPr>
        <w:pStyle w:val="FootnoteText"/>
        <w:spacing w:line="280" w:lineRule="exact"/>
        <w:ind w:right="0"/>
        <w:jc w:val="both"/>
        <w:rPr>
          <w:rFonts w:ascii="Times New Roman" w:hAnsi="Times New Roman"/>
          <w:sz w:val="24"/>
        </w:rPr>
      </w:pPr>
      <w:r w:rsidRPr="00091C8C">
        <w:rPr>
          <w:rStyle w:val="FootnoteReference"/>
          <w:rFonts w:ascii="Times New Roman" w:hAnsi="Times New Roman"/>
          <w:sz w:val="22"/>
          <w:vertAlign w:val="baseline"/>
        </w:rPr>
        <w:footnoteRef/>
      </w:r>
      <w:r w:rsidRPr="00091C8C">
        <w:rPr>
          <w:rFonts w:ascii="Times New Roman" w:hAnsi="Times New Roman"/>
          <w:sz w:val="24"/>
        </w:rPr>
        <w:t xml:space="preserve"> </w:t>
      </w:r>
      <w:r w:rsidRPr="00091C8C">
        <w:rPr>
          <w:rFonts w:ascii="Times New Roman" w:hAnsi="Times New Roman"/>
          <w:sz w:val="24"/>
        </w:rPr>
        <w:tab/>
        <w:t>Section 70</w:t>
      </w:r>
      <w:r w:rsidR="00843774" w:rsidRPr="00091C8C">
        <w:rPr>
          <w:rFonts w:ascii="Times New Roman" w:hAnsi="Times New Roman"/>
          <w:sz w:val="24"/>
        </w:rPr>
        <w:t>(1), (2)</w:t>
      </w:r>
      <w:r w:rsidR="003F1EFB" w:rsidRPr="00091C8C">
        <w:rPr>
          <w:rFonts w:ascii="Times New Roman" w:hAnsi="Times New Roman"/>
          <w:sz w:val="24"/>
        </w:rPr>
        <w:t>(a)</w:t>
      </w:r>
      <w:r w:rsidR="00843774" w:rsidRPr="00091C8C">
        <w:rPr>
          <w:rFonts w:ascii="Times New Roman" w:hAnsi="Times New Roman"/>
          <w:sz w:val="24"/>
        </w:rPr>
        <w:t xml:space="preserve">, </w:t>
      </w:r>
      <w:r w:rsidRPr="00091C8C">
        <w:rPr>
          <w:rFonts w:ascii="Times New Roman" w:hAnsi="Times New Roman"/>
          <w:sz w:val="24"/>
        </w:rPr>
        <w:t>(3)</w:t>
      </w:r>
      <w:r w:rsidR="00843774" w:rsidRPr="00091C8C">
        <w:rPr>
          <w:rFonts w:ascii="Times New Roman" w:hAnsi="Times New Roman"/>
          <w:sz w:val="24"/>
        </w:rPr>
        <w:t xml:space="preserve">, (4) </w:t>
      </w:r>
      <w:r w:rsidRPr="00091C8C">
        <w:rPr>
          <w:rFonts w:ascii="Times New Roman" w:hAnsi="Times New Roman"/>
          <w:sz w:val="24"/>
        </w:rPr>
        <w:t xml:space="preserve">and </w:t>
      </w:r>
      <w:r w:rsidR="00E9186F">
        <w:rPr>
          <w:rFonts w:ascii="Times New Roman" w:hAnsi="Times New Roman"/>
          <w:sz w:val="24"/>
        </w:rPr>
        <w:t>(</w:t>
      </w:r>
      <w:r w:rsidRPr="00091C8C">
        <w:rPr>
          <w:rFonts w:ascii="Times New Roman" w:hAnsi="Times New Roman"/>
          <w:sz w:val="24"/>
        </w:rPr>
        <w:t>5</w:t>
      </w:r>
      <w:r w:rsidR="00E9186F">
        <w:rPr>
          <w:rFonts w:ascii="Times New Roman" w:hAnsi="Times New Roman"/>
          <w:sz w:val="24"/>
        </w:rPr>
        <w:t>)</w:t>
      </w:r>
      <w:r w:rsidRPr="00091C8C">
        <w:rPr>
          <w:rFonts w:ascii="Times New Roman" w:hAnsi="Times New Roman"/>
          <w:sz w:val="24"/>
        </w:rPr>
        <w:t>(a)</w:t>
      </w:r>
      <w:r w:rsidR="00D4501D" w:rsidRPr="00091C8C">
        <w:rPr>
          <w:rFonts w:ascii="Times New Roman" w:hAnsi="Times New Roman"/>
          <w:sz w:val="24"/>
        </w:rPr>
        <w:t xml:space="preserve"> of the Act</w:t>
      </w:r>
      <w:r w:rsidRPr="00091C8C">
        <w:rPr>
          <w:rFonts w:ascii="Times New Roman" w:hAnsi="Times New Roman"/>
          <w:sz w:val="24"/>
        </w:rPr>
        <w:t>.</w:t>
      </w:r>
    </w:p>
  </w:footnote>
  <w:footnote w:id="25">
    <w:p w14:paraId="67AFAE9B" w14:textId="7AA94DD6" w:rsidR="00BF3841" w:rsidRPr="00091C8C" w:rsidRDefault="00BF3841" w:rsidP="00091C8C">
      <w:pPr>
        <w:pStyle w:val="FootnoteText"/>
        <w:spacing w:line="280" w:lineRule="exact"/>
        <w:ind w:right="0"/>
        <w:jc w:val="both"/>
        <w:rPr>
          <w:rFonts w:ascii="Times New Roman" w:hAnsi="Times New Roman"/>
          <w:sz w:val="24"/>
        </w:rPr>
      </w:pPr>
      <w:r w:rsidRPr="00091C8C">
        <w:rPr>
          <w:rStyle w:val="FootnoteReference"/>
          <w:rFonts w:ascii="Times New Roman" w:hAnsi="Times New Roman"/>
          <w:sz w:val="22"/>
          <w:vertAlign w:val="baseline"/>
        </w:rPr>
        <w:footnoteRef/>
      </w:r>
      <w:r w:rsidRPr="00091C8C">
        <w:rPr>
          <w:rFonts w:ascii="Times New Roman" w:hAnsi="Times New Roman"/>
          <w:sz w:val="24"/>
        </w:rPr>
        <w:t xml:space="preserve"> </w:t>
      </w:r>
      <w:r w:rsidRPr="00091C8C">
        <w:rPr>
          <w:rFonts w:ascii="Times New Roman" w:hAnsi="Times New Roman"/>
          <w:sz w:val="24"/>
        </w:rPr>
        <w:tab/>
        <w:t xml:space="preserve">Section </w:t>
      </w:r>
      <w:r w:rsidR="00F43741" w:rsidRPr="00091C8C">
        <w:rPr>
          <w:rFonts w:ascii="Times New Roman" w:hAnsi="Times New Roman"/>
          <w:sz w:val="24"/>
        </w:rPr>
        <w:t>71</w:t>
      </w:r>
      <w:r w:rsidRPr="00091C8C">
        <w:rPr>
          <w:rFonts w:ascii="Times New Roman" w:hAnsi="Times New Roman"/>
          <w:sz w:val="24"/>
        </w:rPr>
        <w:t>(2</w:t>
      </w:r>
      <w:r w:rsidR="00F43741" w:rsidRPr="00091C8C">
        <w:rPr>
          <w:rFonts w:ascii="Times New Roman" w:hAnsi="Times New Roman"/>
          <w:sz w:val="24"/>
        </w:rPr>
        <w:t>)(b</w:t>
      </w:r>
      <w:r w:rsidRPr="00091C8C">
        <w:rPr>
          <w:rFonts w:ascii="Times New Roman" w:hAnsi="Times New Roman"/>
          <w:sz w:val="24"/>
        </w:rPr>
        <w:t>) of the Act.</w:t>
      </w:r>
      <w:r w:rsidR="00F43741" w:rsidRPr="00091C8C">
        <w:rPr>
          <w:rFonts w:ascii="Times New Roman" w:hAnsi="Times New Roman"/>
          <w:sz w:val="24"/>
        </w:rPr>
        <w:t xml:space="preserve"> </w:t>
      </w:r>
    </w:p>
  </w:footnote>
  <w:footnote w:id="26">
    <w:p w14:paraId="7CE94973" w14:textId="6B5E11C4" w:rsidR="000B63E4" w:rsidRPr="00091C8C" w:rsidRDefault="000B63E4" w:rsidP="00091C8C">
      <w:pPr>
        <w:pStyle w:val="FootnoteText"/>
        <w:spacing w:line="280" w:lineRule="exact"/>
        <w:ind w:right="0"/>
        <w:jc w:val="both"/>
        <w:rPr>
          <w:rFonts w:ascii="Times New Roman" w:hAnsi="Times New Roman"/>
          <w:sz w:val="24"/>
        </w:rPr>
      </w:pPr>
      <w:r w:rsidRPr="00091C8C">
        <w:rPr>
          <w:rStyle w:val="FootnoteReference"/>
          <w:rFonts w:ascii="Times New Roman" w:hAnsi="Times New Roman"/>
          <w:sz w:val="22"/>
          <w:vertAlign w:val="baseline"/>
        </w:rPr>
        <w:footnoteRef/>
      </w:r>
      <w:r w:rsidRPr="00091C8C">
        <w:rPr>
          <w:rFonts w:ascii="Times New Roman" w:hAnsi="Times New Roman"/>
          <w:sz w:val="24"/>
        </w:rPr>
        <w:t xml:space="preserve"> </w:t>
      </w:r>
      <w:r w:rsidR="00F43741" w:rsidRPr="00091C8C">
        <w:rPr>
          <w:rFonts w:ascii="Times New Roman" w:hAnsi="Times New Roman"/>
          <w:sz w:val="24"/>
        </w:rPr>
        <w:tab/>
        <w:t>Section 223(2) of the Act.</w:t>
      </w:r>
    </w:p>
  </w:footnote>
  <w:footnote w:id="27">
    <w:p w14:paraId="59CA5FA7" w14:textId="0F5F20E4" w:rsidR="00BF3841" w:rsidRPr="00091C8C" w:rsidRDefault="00BF3841" w:rsidP="00091C8C">
      <w:pPr>
        <w:pStyle w:val="FootnoteText"/>
        <w:spacing w:line="280" w:lineRule="exact"/>
        <w:ind w:right="0"/>
        <w:jc w:val="both"/>
        <w:rPr>
          <w:rFonts w:ascii="Times New Roman" w:hAnsi="Times New Roman"/>
          <w:sz w:val="24"/>
        </w:rPr>
      </w:pPr>
      <w:r w:rsidRPr="00091C8C">
        <w:rPr>
          <w:rStyle w:val="FootnoteReference"/>
          <w:rFonts w:ascii="Times New Roman" w:hAnsi="Times New Roman"/>
          <w:sz w:val="22"/>
          <w:vertAlign w:val="baseline"/>
        </w:rPr>
        <w:footnoteRef/>
      </w:r>
      <w:r w:rsidRPr="00091C8C">
        <w:rPr>
          <w:rFonts w:ascii="Times New Roman" w:hAnsi="Times New Roman"/>
          <w:sz w:val="24"/>
        </w:rPr>
        <w:t xml:space="preserve"> </w:t>
      </w:r>
      <w:r w:rsidRPr="00091C8C">
        <w:rPr>
          <w:rFonts w:ascii="Times New Roman" w:hAnsi="Times New Roman"/>
          <w:sz w:val="24"/>
        </w:rPr>
        <w:tab/>
        <w:t>S</w:t>
      </w:r>
      <w:r w:rsidR="00BC5396" w:rsidRPr="00091C8C">
        <w:rPr>
          <w:rFonts w:ascii="Times New Roman" w:hAnsi="Times New Roman"/>
          <w:sz w:val="24"/>
        </w:rPr>
        <w:t xml:space="preserve">ee </w:t>
      </w:r>
      <w:r w:rsidR="00BA324B" w:rsidRPr="00091C8C">
        <w:rPr>
          <w:rFonts w:ascii="Times New Roman" w:hAnsi="Times New Roman"/>
          <w:i/>
          <w:sz w:val="24"/>
        </w:rPr>
        <w:t>A</w:t>
      </w:r>
      <w:r w:rsidR="00933D76" w:rsidRPr="00091C8C">
        <w:rPr>
          <w:rFonts w:ascii="Times New Roman" w:hAnsi="Times New Roman"/>
          <w:i/>
          <w:sz w:val="24"/>
        </w:rPr>
        <w:t>lpha</w:t>
      </w:r>
      <w:r w:rsidR="00CF2F9E" w:rsidRPr="00091C8C">
        <w:rPr>
          <w:rFonts w:ascii="Times New Roman" w:hAnsi="Times New Roman"/>
          <w:i/>
          <w:sz w:val="24"/>
        </w:rPr>
        <w:t>p</w:t>
      </w:r>
      <w:r w:rsidR="00BA324B" w:rsidRPr="00091C8C">
        <w:rPr>
          <w:rFonts w:ascii="Times New Roman" w:hAnsi="Times New Roman"/>
          <w:i/>
          <w:sz w:val="24"/>
        </w:rPr>
        <w:t>harm Pty Ltd</w:t>
      </w:r>
      <w:r w:rsidR="00A26DF3" w:rsidRPr="00091C8C">
        <w:rPr>
          <w:rFonts w:ascii="Times New Roman" w:hAnsi="Times New Roman"/>
          <w:i/>
          <w:sz w:val="24"/>
        </w:rPr>
        <w:t xml:space="preserve"> v</w:t>
      </w:r>
      <w:r w:rsidR="00BA324B" w:rsidRPr="00091C8C">
        <w:rPr>
          <w:rFonts w:ascii="Times New Roman" w:hAnsi="Times New Roman"/>
          <w:i/>
          <w:sz w:val="24"/>
        </w:rPr>
        <w:t xml:space="preserve"> H Lundbeck A/S </w:t>
      </w:r>
      <w:r w:rsidR="00BA324B" w:rsidRPr="00091C8C">
        <w:rPr>
          <w:rFonts w:ascii="Times New Roman" w:hAnsi="Times New Roman"/>
          <w:sz w:val="24"/>
        </w:rPr>
        <w:t>(2014) 2</w:t>
      </w:r>
      <w:r w:rsidR="00E44EFA" w:rsidRPr="00091C8C">
        <w:rPr>
          <w:rFonts w:ascii="Times New Roman" w:hAnsi="Times New Roman"/>
          <w:sz w:val="24"/>
        </w:rPr>
        <w:t>54</w:t>
      </w:r>
      <w:r w:rsidR="00BA324B" w:rsidRPr="00091C8C">
        <w:rPr>
          <w:rFonts w:ascii="Times New Roman" w:hAnsi="Times New Roman"/>
          <w:sz w:val="24"/>
        </w:rPr>
        <w:t xml:space="preserve"> CLR 247</w:t>
      </w:r>
      <w:r w:rsidR="00F51AEA" w:rsidRPr="00091C8C">
        <w:rPr>
          <w:rFonts w:ascii="Times New Roman" w:hAnsi="Times New Roman"/>
          <w:sz w:val="24"/>
        </w:rPr>
        <w:t>.</w:t>
      </w:r>
    </w:p>
  </w:footnote>
  <w:footnote w:id="28">
    <w:p w14:paraId="5867E9FE" w14:textId="2ED5E9F2" w:rsidR="000E61C6" w:rsidRPr="00091C8C" w:rsidRDefault="000E61C6" w:rsidP="00091C8C">
      <w:pPr>
        <w:pStyle w:val="FootnoteText"/>
        <w:spacing w:line="280" w:lineRule="exact"/>
        <w:ind w:right="0"/>
        <w:jc w:val="both"/>
        <w:rPr>
          <w:rFonts w:ascii="Times New Roman" w:hAnsi="Times New Roman"/>
          <w:sz w:val="24"/>
        </w:rPr>
      </w:pPr>
      <w:r w:rsidRPr="00091C8C">
        <w:rPr>
          <w:rStyle w:val="FootnoteReference"/>
          <w:rFonts w:ascii="Times New Roman" w:hAnsi="Times New Roman"/>
          <w:sz w:val="22"/>
          <w:vertAlign w:val="baseline"/>
        </w:rPr>
        <w:footnoteRef/>
      </w:r>
      <w:r w:rsidRPr="00091C8C">
        <w:rPr>
          <w:rFonts w:ascii="Times New Roman" w:hAnsi="Times New Roman"/>
          <w:sz w:val="24"/>
        </w:rPr>
        <w:t xml:space="preserve"> </w:t>
      </w:r>
      <w:r w:rsidR="00EB0234" w:rsidRPr="00091C8C">
        <w:rPr>
          <w:rFonts w:ascii="Times New Roman" w:hAnsi="Times New Roman"/>
          <w:sz w:val="24"/>
        </w:rPr>
        <w:tab/>
        <w:t xml:space="preserve">Section </w:t>
      </w:r>
      <w:r w:rsidR="007F0409" w:rsidRPr="00091C8C">
        <w:rPr>
          <w:rFonts w:ascii="Times New Roman" w:hAnsi="Times New Roman"/>
          <w:sz w:val="24"/>
        </w:rPr>
        <w:t>72 of the Act.</w:t>
      </w:r>
    </w:p>
  </w:footnote>
  <w:footnote w:id="29">
    <w:p w14:paraId="20264AAE" w14:textId="1A0E6082" w:rsidR="007C30C5" w:rsidRPr="00091C8C" w:rsidRDefault="007C30C5" w:rsidP="00091C8C">
      <w:pPr>
        <w:pStyle w:val="FootnoteText"/>
        <w:spacing w:line="280" w:lineRule="exact"/>
        <w:ind w:right="0"/>
        <w:jc w:val="both"/>
        <w:rPr>
          <w:rFonts w:ascii="Times New Roman" w:hAnsi="Times New Roman"/>
          <w:sz w:val="24"/>
        </w:rPr>
      </w:pPr>
      <w:r w:rsidRPr="00091C8C">
        <w:rPr>
          <w:rStyle w:val="FootnoteReference"/>
          <w:rFonts w:ascii="Times New Roman" w:hAnsi="Times New Roman"/>
          <w:sz w:val="22"/>
          <w:vertAlign w:val="baseline"/>
        </w:rPr>
        <w:footnoteRef/>
      </w:r>
      <w:r w:rsidRPr="00091C8C">
        <w:rPr>
          <w:rFonts w:ascii="Times New Roman" w:hAnsi="Times New Roman"/>
          <w:sz w:val="24"/>
        </w:rPr>
        <w:t xml:space="preserve"> </w:t>
      </w:r>
      <w:r w:rsidR="007F0409" w:rsidRPr="00091C8C">
        <w:rPr>
          <w:rFonts w:ascii="Times New Roman" w:hAnsi="Times New Roman"/>
          <w:sz w:val="24"/>
        </w:rPr>
        <w:tab/>
        <w:t>Section 74 of the Act.</w:t>
      </w:r>
    </w:p>
  </w:footnote>
  <w:footnote w:id="30">
    <w:p w14:paraId="3393EA7C" w14:textId="7D86AA63" w:rsidR="00122C64" w:rsidRPr="00091C8C" w:rsidRDefault="00122C64" w:rsidP="00091C8C">
      <w:pPr>
        <w:pStyle w:val="FootnoteText"/>
        <w:spacing w:line="280" w:lineRule="exact"/>
        <w:ind w:right="0"/>
        <w:jc w:val="both"/>
        <w:rPr>
          <w:rFonts w:ascii="Times New Roman" w:hAnsi="Times New Roman"/>
          <w:sz w:val="24"/>
        </w:rPr>
      </w:pPr>
      <w:r w:rsidRPr="00091C8C">
        <w:rPr>
          <w:rStyle w:val="FootnoteReference"/>
          <w:rFonts w:ascii="Times New Roman" w:hAnsi="Times New Roman"/>
          <w:sz w:val="22"/>
          <w:vertAlign w:val="baseline"/>
        </w:rPr>
        <w:footnoteRef/>
      </w:r>
      <w:r w:rsidRPr="00091C8C">
        <w:rPr>
          <w:rFonts w:ascii="Times New Roman" w:hAnsi="Times New Roman"/>
          <w:sz w:val="24"/>
        </w:rPr>
        <w:t xml:space="preserve"> </w:t>
      </w:r>
      <w:r w:rsidR="007F0409" w:rsidRPr="00091C8C">
        <w:rPr>
          <w:rFonts w:ascii="Times New Roman" w:hAnsi="Times New Roman"/>
          <w:sz w:val="24"/>
        </w:rPr>
        <w:tab/>
        <w:t>Section 75 of the Act.</w:t>
      </w:r>
    </w:p>
  </w:footnote>
  <w:footnote w:id="31">
    <w:p w14:paraId="581E0A78" w14:textId="6CAB7CD9" w:rsidR="00085385" w:rsidRPr="00091C8C" w:rsidRDefault="00085385" w:rsidP="00091C8C">
      <w:pPr>
        <w:pStyle w:val="FootnoteText"/>
        <w:spacing w:line="280" w:lineRule="exact"/>
        <w:ind w:right="0"/>
        <w:jc w:val="both"/>
        <w:rPr>
          <w:rFonts w:ascii="Times New Roman" w:hAnsi="Times New Roman"/>
          <w:sz w:val="24"/>
        </w:rPr>
      </w:pPr>
      <w:r w:rsidRPr="00091C8C">
        <w:rPr>
          <w:rStyle w:val="FootnoteReference"/>
          <w:rFonts w:ascii="Times New Roman" w:hAnsi="Times New Roman"/>
          <w:sz w:val="22"/>
          <w:vertAlign w:val="baseline"/>
        </w:rPr>
        <w:footnoteRef/>
      </w:r>
      <w:r w:rsidRPr="00091C8C">
        <w:rPr>
          <w:rFonts w:ascii="Times New Roman" w:hAnsi="Times New Roman"/>
          <w:sz w:val="24"/>
        </w:rPr>
        <w:t xml:space="preserve"> </w:t>
      </w:r>
      <w:r w:rsidRPr="00091C8C">
        <w:rPr>
          <w:rFonts w:ascii="Times New Roman" w:hAnsi="Times New Roman"/>
          <w:sz w:val="24"/>
        </w:rPr>
        <w:tab/>
        <w:t>Section 76(1)</w:t>
      </w:r>
      <w:r w:rsidR="00DC28CA" w:rsidRPr="00091C8C">
        <w:rPr>
          <w:rFonts w:ascii="Times New Roman" w:hAnsi="Times New Roman"/>
          <w:sz w:val="24"/>
        </w:rPr>
        <w:t xml:space="preserve"> of the Act</w:t>
      </w:r>
      <w:r w:rsidRPr="00091C8C">
        <w:rPr>
          <w:rFonts w:ascii="Times New Roman" w:hAnsi="Times New Roman"/>
          <w:sz w:val="24"/>
        </w:rPr>
        <w:t>.</w:t>
      </w:r>
    </w:p>
  </w:footnote>
  <w:footnote w:id="32">
    <w:p w14:paraId="38EE4889" w14:textId="1E875322" w:rsidR="00BF3841" w:rsidRPr="00091C8C" w:rsidRDefault="00BF3841" w:rsidP="00091C8C">
      <w:pPr>
        <w:pStyle w:val="FootnoteText"/>
        <w:spacing w:line="280" w:lineRule="exact"/>
        <w:ind w:right="0"/>
        <w:jc w:val="both"/>
        <w:rPr>
          <w:rFonts w:ascii="Times New Roman" w:hAnsi="Times New Roman"/>
          <w:sz w:val="24"/>
        </w:rPr>
      </w:pPr>
      <w:r w:rsidRPr="00091C8C">
        <w:rPr>
          <w:rStyle w:val="FootnoteReference"/>
          <w:rFonts w:ascii="Times New Roman" w:hAnsi="Times New Roman"/>
          <w:sz w:val="22"/>
          <w:vertAlign w:val="baseline"/>
        </w:rPr>
        <w:footnoteRef/>
      </w:r>
      <w:r w:rsidRPr="00091C8C">
        <w:rPr>
          <w:rFonts w:ascii="Times New Roman" w:hAnsi="Times New Roman"/>
          <w:sz w:val="24"/>
        </w:rPr>
        <w:t xml:space="preserve"> </w:t>
      </w:r>
      <w:r w:rsidRPr="00091C8C">
        <w:rPr>
          <w:rFonts w:ascii="Times New Roman" w:hAnsi="Times New Roman"/>
          <w:sz w:val="24"/>
        </w:rPr>
        <w:tab/>
        <w:t>Section 77</w:t>
      </w:r>
      <w:r w:rsidR="00EA599C" w:rsidRPr="00091C8C">
        <w:rPr>
          <w:rFonts w:ascii="Times New Roman" w:hAnsi="Times New Roman"/>
          <w:sz w:val="24"/>
        </w:rPr>
        <w:t>(</w:t>
      </w:r>
      <w:r w:rsidR="00A94E85" w:rsidRPr="00091C8C">
        <w:rPr>
          <w:rFonts w:ascii="Times New Roman" w:hAnsi="Times New Roman"/>
          <w:sz w:val="24"/>
        </w:rPr>
        <w:t>1</w:t>
      </w:r>
      <w:r w:rsidR="00EA599C" w:rsidRPr="00091C8C">
        <w:rPr>
          <w:rFonts w:ascii="Times New Roman" w:hAnsi="Times New Roman"/>
          <w:sz w:val="24"/>
        </w:rPr>
        <w:t>)</w:t>
      </w:r>
      <w:r w:rsidRPr="00091C8C">
        <w:rPr>
          <w:rFonts w:ascii="Times New Roman" w:hAnsi="Times New Roman"/>
          <w:sz w:val="24"/>
        </w:rPr>
        <w:t xml:space="preserve"> of the Act.</w:t>
      </w:r>
    </w:p>
  </w:footnote>
  <w:footnote w:id="33">
    <w:p w14:paraId="32986B64" w14:textId="488CF154" w:rsidR="00EB1219" w:rsidRPr="00091C8C" w:rsidRDefault="00EB1219" w:rsidP="00091C8C">
      <w:pPr>
        <w:pStyle w:val="FootnoteText"/>
        <w:spacing w:line="280" w:lineRule="exact"/>
        <w:ind w:right="0"/>
        <w:jc w:val="both"/>
        <w:rPr>
          <w:rFonts w:ascii="Times New Roman" w:hAnsi="Times New Roman"/>
          <w:sz w:val="24"/>
        </w:rPr>
      </w:pPr>
      <w:r w:rsidRPr="00091C8C">
        <w:rPr>
          <w:rStyle w:val="FootnoteReference"/>
          <w:rFonts w:ascii="Times New Roman" w:hAnsi="Times New Roman"/>
          <w:sz w:val="22"/>
          <w:vertAlign w:val="baseline"/>
        </w:rPr>
        <w:footnoteRef/>
      </w:r>
      <w:r w:rsidRPr="00091C8C">
        <w:rPr>
          <w:rFonts w:ascii="Times New Roman" w:hAnsi="Times New Roman"/>
          <w:sz w:val="24"/>
        </w:rPr>
        <w:t xml:space="preserve"> </w:t>
      </w:r>
      <w:r w:rsidRPr="00091C8C">
        <w:rPr>
          <w:rFonts w:ascii="Times New Roman" w:hAnsi="Times New Roman"/>
          <w:sz w:val="24"/>
        </w:rPr>
        <w:tab/>
        <w:t>Section 77(</w:t>
      </w:r>
      <w:r w:rsidR="00A94E85" w:rsidRPr="00091C8C">
        <w:rPr>
          <w:rFonts w:ascii="Times New Roman" w:hAnsi="Times New Roman"/>
          <w:sz w:val="24"/>
        </w:rPr>
        <w:t>2</w:t>
      </w:r>
      <w:r w:rsidRPr="00091C8C">
        <w:rPr>
          <w:rFonts w:ascii="Times New Roman" w:hAnsi="Times New Roman"/>
          <w:sz w:val="24"/>
        </w:rPr>
        <w:t>) of the Act.</w:t>
      </w:r>
    </w:p>
  </w:footnote>
  <w:footnote w:id="34">
    <w:p w14:paraId="286194A0" w14:textId="77777777" w:rsidR="00BF3841" w:rsidRPr="00091C8C" w:rsidRDefault="00BF3841" w:rsidP="00091C8C">
      <w:pPr>
        <w:pStyle w:val="FootnoteText"/>
        <w:spacing w:line="280" w:lineRule="exact"/>
        <w:ind w:right="0"/>
        <w:jc w:val="both"/>
        <w:rPr>
          <w:rFonts w:ascii="Times New Roman" w:hAnsi="Times New Roman"/>
          <w:sz w:val="24"/>
        </w:rPr>
      </w:pPr>
      <w:r w:rsidRPr="00091C8C">
        <w:rPr>
          <w:rStyle w:val="FootnoteReference"/>
          <w:rFonts w:ascii="Times New Roman" w:hAnsi="Times New Roman"/>
          <w:sz w:val="22"/>
          <w:vertAlign w:val="baseline"/>
        </w:rPr>
        <w:footnoteRef/>
      </w:r>
      <w:r w:rsidRPr="00091C8C">
        <w:rPr>
          <w:rFonts w:ascii="Times New Roman" w:hAnsi="Times New Roman"/>
          <w:sz w:val="24"/>
        </w:rPr>
        <w:t xml:space="preserve"> </w:t>
      </w:r>
      <w:r w:rsidRPr="00091C8C">
        <w:rPr>
          <w:rFonts w:ascii="Times New Roman" w:hAnsi="Times New Roman"/>
          <w:sz w:val="24"/>
        </w:rPr>
        <w:tab/>
        <w:t>Section 78(a)(i) of the Act.</w:t>
      </w:r>
    </w:p>
  </w:footnote>
  <w:footnote w:id="35">
    <w:p w14:paraId="7E084A14" w14:textId="20755A29" w:rsidR="00CA0D17" w:rsidRPr="00091C8C" w:rsidRDefault="00CA0D17" w:rsidP="00091C8C">
      <w:pPr>
        <w:pStyle w:val="FootnoteText"/>
        <w:spacing w:line="280" w:lineRule="exact"/>
        <w:ind w:right="0"/>
        <w:jc w:val="both"/>
        <w:rPr>
          <w:rFonts w:ascii="Times New Roman" w:hAnsi="Times New Roman"/>
          <w:sz w:val="24"/>
        </w:rPr>
      </w:pPr>
      <w:r w:rsidRPr="00091C8C">
        <w:rPr>
          <w:rStyle w:val="FootnoteReference"/>
          <w:rFonts w:ascii="Times New Roman" w:hAnsi="Times New Roman"/>
          <w:sz w:val="22"/>
          <w:vertAlign w:val="baseline"/>
        </w:rPr>
        <w:footnoteRef/>
      </w:r>
      <w:r w:rsidRPr="00091C8C">
        <w:rPr>
          <w:rFonts w:ascii="Times New Roman" w:hAnsi="Times New Roman"/>
          <w:sz w:val="24"/>
        </w:rPr>
        <w:t xml:space="preserve"> </w:t>
      </w:r>
      <w:r w:rsidRPr="00091C8C">
        <w:rPr>
          <w:rFonts w:ascii="Times New Roman" w:hAnsi="Times New Roman"/>
          <w:sz w:val="24"/>
        </w:rPr>
        <w:tab/>
      </w:r>
      <w:r w:rsidR="001A4DD0" w:rsidRPr="00091C8C">
        <w:rPr>
          <w:rFonts w:ascii="Times New Roman" w:hAnsi="Times New Roman"/>
          <w:sz w:val="24"/>
        </w:rPr>
        <w:t>Australia, House of Repres</w:t>
      </w:r>
      <w:r w:rsidR="007121BC" w:rsidRPr="00091C8C">
        <w:rPr>
          <w:rFonts w:ascii="Times New Roman" w:hAnsi="Times New Roman"/>
          <w:sz w:val="24"/>
        </w:rPr>
        <w:t>e</w:t>
      </w:r>
      <w:r w:rsidR="001A4DD0" w:rsidRPr="00091C8C">
        <w:rPr>
          <w:rFonts w:ascii="Times New Roman" w:hAnsi="Times New Roman"/>
          <w:sz w:val="24"/>
        </w:rPr>
        <w:t>ntatives</w:t>
      </w:r>
      <w:r w:rsidR="00823D36" w:rsidRPr="00091C8C">
        <w:rPr>
          <w:rFonts w:ascii="Times New Roman" w:hAnsi="Times New Roman"/>
          <w:sz w:val="24"/>
        </w:rPr>
        <w:t xml:space="preserve">, </w:t>
      </w:r>
      <w:r w:rsidR="00823D36" w:rsidRPr="00091C8C">
        <w:rPr>
          <w:rFonts w:ascii="Times New Roman" w:hAnsi="Times New Roman"/>
          <w:i/>
          <w:sz w:val="24"/>
        </w:rPr>
        <w:t>Inte</w:t>
      </w:r>
      <w:r w:rsidR="00015FD9" w:rsidRPr="00091C8C">
        <w:rPr>
          <w:rFonts w:ascii="Times New Roman" w:hAnsi="Times New Roman"/>
          <w:i/>
          <w:sz w:val="24"/>
        </w:rPr>
        <w:t>llectual Propert</w:t>
      </w:r>
      <w:r w:rsidR="00013521" w:rsidRPr="00091C8C">
        <w:rPr>
          <w:rFonts w:ascii="Times New Roman" w:hAnsi="Times New Roman"/>
          <w:i/>
          <w:sz w:val="24"/>
        </w:rPr>
        <w:t>y Law</w:t>
      </w:r>
      <w:r w:rsidR="00E87FD4" w:rsidRPr="00091C8C">
        <w:rPr>
          <w:rFonts w:ascii="Times New Roman" w:hAnsi="Times New Roman"/>
          <w:i/>
          <w:sz w:val="24"/>
        </w:rPr>
        <w:t>s</w:t>
      </w:r>
      <w:r w:rsidR="00013521" w:rsidRPr="00091C8C">
        <w:rPr>
          <w:rFonts w:ascii="Times New Roman" w:hAnsi="Times New Roman"/>
          <w:i/>
          <w:sz w:val="24"/>
        </w:rPr>
        <w:t xml:space="preserve"> Amendment Bill</w:t>
      </w:r>
      <w:r w:rsidR="007121BC" w:rsidRPr="00091C8C">
        <w:rPr>
          <w:rFonts w:ascii="Times New Roman" w:hAnsi="Times New Roman"/>
          <w:sz w:val="24"/>
        </w:rPr>
        <w:t xml:space="preserve"> </w:t>
      </w:r>
      <w:r w:rsidR="007121BC" w:rsidRPr="00091C8C">
        <w:rPr>
          <w:rFonts w:ascii="Times New Roman" w:hAnsi="Times New Roman"/>
          <w:i/>
          <w:sz w:val="24"/>
        </w:rPr>
        <w:t>1997</w:t>
      </w:r>
      <w:r w:rsidR="007121BC" w:rsidRPr="00091C8C">
        <w:rPr>
          <w:rFonts w:ascii="Times New Roman" w:hAnsi="Times New Roman"/>
          <w:sz w:val="24"/>
        </w:rPr>
        <w:t>, Explanatory Memorandum</w:t>
      </w:r>
      <w:r w:rsidR="000E3AD7" w:rsidRPr="00091C8C">
        <w:rPr>
          <w:rFonts w:ascii="Times New Roman" w:hAnsi="Times New Roman"/>
          <w:sz w:val="24"/>
        </w:rPr>
        <w:t xml:space="preserve"> at</w:t>
      </w:r>
      <w:r w:rsidR="00857718" w:rsidRPr="00091C8C">
        <w:rPr>
          <w:rFonts w:ascii="Times New Roman" w:hAnsi="Times New Roman"/>
          <w:sz w:val="24"/>
        </w:rPr>
        <w:t xml:space="preserve"> </w:t>
      </w:r>
      <w:r w:rsidR="00A43002" w:rsidRPr="00091C8C">
        <w:rPr>
          <w:rFonts w:ascii="Times New Roman" w:hAnsi="Times New Roman"/>
          <w:sz w:val="24"/>
        </w:rPr>
        <w:t>2</w:t>
      </w:r>
      <w:r w:rsidR="00EC34C4" w:rsidRPr="00091C8C">
        <w:rPr>
          <w:rFonts w:ascii="Times New Roman" w:hAnsi="Times New Roman"/>
          <w:sz w:val="24"/>
        </w:rPr>
        <w:t>.</w:t>
      </w:r>
    </w:p>
  </w:footnote>
  <w:footnote w:id="36">
    <w:p w14:paraId="428F8455" w14:textId="77777777" w:rsidR="00BF3841" w:rsidRPr="00091C8C" w:rsidRDefault="00BF3841" w:rsidP="00091C8C">
      <w:pPr>
        <w:pStyle w:val="FootnoteText"/>
        <w:spacing w:line="280" w:lineRule="exact"/>
        <w:ind w:right="0"/>
        <w:jc w:val="both"/>
        <w:rPr>
          <w:rFonts w:ascii="Times New Roman" w:hAnsi="Times New Roman"/>
          <w:sz w:val="24"/>
        </w:rPr>
      </w:pPr>
      <w:r w:rsidRPr="00091C8C">
        <w:rPr>
          <w:rStyle w:val="FootnoteReference"/>
          <w:rFonts w:ascii="Times New Roman" w:hAnsi="Times New Roman"/>
          <w:sz w:val="22"/>
          <w:vertAlign w:val="baseline"/>
        </w:rPr>
        <w:footnoteRef/>
      </w:r>
      <w:r w:rsidRPr="00091C8C">
        <w:rPr>
          <w:rFonts w:ascii="Times New Roman" w:hAnsi="Times New Roman"/>
          <w:sz w:val="24"/>
        </w:rPr>
        <w:t xml:space="preserve"> </w:t>
      </w:r>
      <w:r w:rsidRPr="00091C8C">
        <w:rPr>
          <w:rFonts w:ascii="Times New Roman" w:hAnsi="Times New Roman"/>
          <w:sz w:val="24"/>
        </w:rPr>
        <w:tab/>
        <w:t>Section 120(1) of the Act.</w:t>
      </w:r>
    </w:p>
  </w:footnote>
  <w:footnote w:id="37">
    <w:p w14:paraId="16D4924A" w14:textId="77777777" w:rsidR="00BF3841" w:rsidRPr="00091C8C" w:rsidRDefault="00BF3841" w:rsidP="00091C8C">
      <w:pPr>
        <w:pStyle w:val="FootnoteText"/>
        <w:spacing w:line="280" w:lineRule="exact"/>
        <w:ind w:right="0"/>
        <w:jc w:val="both"/>
        <w:rPr>
          <w:rFonts w:ascii="Times New Roman" w:hAnsi="Times New Roman"/>
          <w:sz w:val="24"/>
        </w:rPr>
      </w:pPr>
      <w:r w:rsidRPr="00091C8C">
        <w:rPr>
          <w:rStyle w:val="FootnoteReference"/>
          <w:rFonts w:ascii="Times New Roman" w:hAnsi="Times New Roman"/>
          <w:sz w:val="22"/>
          <w:vertAlign w:val="baseline"/>
        </w:rPr>
        <w:footnoteRef/>
      </w:r>
      <w:r w:rsidRPr="00091C8C">
        <w:rPr>
          <w:rFonts w:ascii="Times New Roman" w:hAnsi="Times New Roman"/>
          <w:sz w:val="24"/>
        </w:rPr>
        <w:t xml:space="preserve"> </w:t>
      </w:r>
      <w:r w:rsidRPr="00091C8C">
        <w:rPr>
          <w:rFonts w:ascii="Times New Roman" w:hAnsi="Times New Roman"/>
          <w:sz w:val="24"/>
        </w:rPr>
        <w:tab/>
        <w:t>Section 120(2) of the Act.</w:t>
      </w:r>
    </w:p>
  </w:footnote>
  <w:footnote w:id="38">
    <w:p w14:paraId="73FCD973" w14:textId="77777777" w:rsidR="00BF3841" w:rsidRPr="00091C8C" w:rsidRDefault="00BF3841" w:rsidP="00091C8C">
      <w:pPr>
        <w:pStyle w:val="FootnoteText"/>
        <w:spacing w:line="280" w:lineRule="exact"/>
        <w:ind w:right="0"/>
        <w:jc w:val="both"/>
        <w:rPr>
          <w:rFonts w:ascii="Times New Roman" w:hAnsi="Times New Roman"/>
          <w:sz w:val="24"/>
        </w:rPr>
      </w:pPr>
      <w:r w:rsidRPr="00091C8C">
        <w:rPr>
          <w:rStyle w:val="FootnoteReference"/>
          <w:rFonts w:ascii="Times New Roman" w:hAnsi="Times New Roman"/>
          <w:sz w:val="22"/>
          <w:vertAlign w:val="baseline"/>
        </w:rPr>
        <w:footnoteRef/>
      </w:r>
      <w:r w:rsidRPr="00091C8C">
        <w:rPr>
          <w:rFonts w:ascii="Times New Roman" w:hAnsi="Times New Roman"/>
          <w:sz w:val="24"/>
        </w:rPr>
        <w:t xml:space="preserve"> </w:t>
      </w:r>
      <w:r w:rsidRPr="00091C8C">
        <w:rPr>
          <w:rFonts w:ascii="Times New Roman" w:hAnsi="Times New Roman"/>
          <w:sz w:val="24"/>
        </w:rPr>
        <w:tab/>
        <w:t>Section 120(3) of the Act.</w:t>
      </w:r>
    </w:p>
  </w:footnote>
  <w:footnote w:id="39">
    <w:p w14:paraId="462F164D" w14:textId="77777777" w:rsidR="00BF3841" w:rsidRPr="00091C8C" w:rsidRDefault="00BF3841" w:rsidP="00091C8C">
      <w:pPr>
        <w:pStyle w:val="FootnoteText"/>
        <w:spacing w:line="280" w:lineRule="exact"/>
        <w:ind w:right="0"/>
        <w:jc w:val="both"/>
        <w:rPr>
          <w:rFonts w:ascii="Times New Roman" w:hAnsi="Times New Roman"/>
          <w:sz w:val="24"/>
        </w:rPr>
      </w:pPr>
      <w:r w:rsidRPr="00091C8C">
        <w:rPr>
          <w:rStyle w:val="FootnoteReference"/>
          <w:rFonts w:ascii="Times New Roman" w:hAnsi="Times New Roman"/>
          <w:sz w:val="22"/>
          <w:vertAlign w:val="baseline"/>
        </w:rPr>
        <w:footnoteRef/>
      </w:r>
      <w:r w:rsidRPr="00091C8C">
        <w:rPr>
          <w:rFonts w:ascii="Times New Roman" w:hAnsi="Times New Roman"/>
          <w:sz w:val="24"/>
        </w:rPr>
        <w:t xml:space="preserve"> </w:t>
      </w:r>
      <w:r w:rsidRPr="00091C8C">
        <w:rPr>
          <w:rFonts w:ascii="Times New Roman" w:hAnsi="Times New Roman"/>
          <w:sz w:val="24"/>
        </w:rPr>
        <w:tab/>
        <w:t>Section 120(4) of the Act.</w:t>
      </w:r>
    </w:p>
  </w:footnote>
  <w:footnote w:id="40">
    <w:p w14:paraId="177755D3" w14:textId="77777777" w:rsidR="00BF3841" w:rsidRPr="00091C8C" w:rsidRDefault="00BF3841" w:rsidP="00091C8C">
      <w:pPr>
        <w:pStyle w:val="FootnoteText"/>
        <w:spacing w:line="280" w:lineRule="exact"/>
        <w:ind w:right="0"/>
        <w:jc w:val="both"/>
        <w:rPr>
          <w:rFonts w:ascii="Times New Roman" w:hAnsi="Times New Roman"/>
          <w:sz w:val="24"/>
        </w:rPr>
      </w:pPr>
      <w:r w:rsidRPr="00091C8C">
        <w:rPr>
          <w:rStyle w:val="FootnoteReference"/>
          <w:rFonts w:ascii="Times New Roman" w:hAnsi="Times New Roman"/>
          <w:sz w:val="22"/>
          <w:vertAlign w:val="baseline"/>
        </w:rPr>
        <w:footnoteRef/>
      </w:r>
      <w:r w:rsidRPr="00091C8C">
        <w:rPr>
          <w:rFonts w:ascii="Times New Roman" w:hAnsi="Times New Roman"/>
          <w:sz w:val="24"/>
        </w:rPr>
        <w:t xml:space="preserve"> </w:t>
      </w:r>
      <w:r w:rsidRPr="00091C8C">
        <w:rPr>
          <w:rFonts w:ascii="Times New Roman" w:hAnsi="Times New Roman"/>
          <w:sz w:val="24"/>
        </w:rPr>
        <w:tab/>
        <w:t>Section 3 of the Act and Sch 1 (definition of "infringement proceedings") to the Act.</w:t>
      </w:r>
    </w:p>
  </w:footnote>
  <w:footnote w:id="41">
    <w:p w14:paraId="6F561D82" w14:textId="165C1E78" w:rsidR="006317FF" w:rsidRPr="00091C8C" w:rsidRDefault="006317FF" w:rsidP="00091C8C">
      <w:pPr>
        <w:pStyle w:val="FootnoteText"/>
        <w:spacing w:line="280" w:lineRule="exact"/>
        <w:ind w:right="0"/>
        <w:jc w:val="both"/>
        <w:rPr>
          <w:rFonts w:ascii="Times New Roman" w:hAnsi="Times New Roman"/>
          <w:sz w:val="24"/>
        </w:rPr>
      </w:pPr>
      <w:r w:rsidRPr="00091C8C">
        <w:rPr>
          <w:rStyle w:val="FootnoteReference"/>
          <w:rFonts w:ascii="Times New Roman" w:hAnsi="Times New Roman"/>
          <w:sz w:val="22"/>
          <w:vertAlign w:val="baseline"/>
        </w:rPr>
        <w:footnoteRef/>
      </w:r>
      <w:r w:rsidRPr="00091C8C">
        <w:rPr>
          <w:rFonts w:ascii="Times New Roman" w:hAnsi="Times New Roman"/>
          <w:sz w:val="24"/>
        </w:rPr>
        <w:t xml:space="preserve"> </w:t>
      </w:r>
      <w:r w:rsidRPr="00091C8C">
        <w:rPr>
          <w:rFonts w:ascii="Times New Roman" w:hAnsi="Times New Roman"/>
          <w:sz w:val="24"/>
        </w:rPr>
        <w:tab/>
        <w:t xml:space="preserve">(2020) </w:t>
      </w:r>
      <w:r w:rsidR="00DE6136" w:rsidRPr="00091C8C">
        <w:rPr>
          <w:rFonts w:ascii="Times New Roman" w:hAnsi="Times New Roman"/>
          <w:sz w:val="24"/>
        </w:rPr>
        <w:t xml:space="preserve">94 ALJR 1044 </w:t>
      </w:r>
      <w:r w:rsidRPr="00091C8C">
        <w:rPr>
          <w:rFonts w:ascii="Times New Roman" w:hAnsi="Times New Roman"/>
          <w:sz w:val="24"/>
        </w:rPr>
        <w:t>at</w:t>
      </w:r>
      <w:r w:rsidR="00713E05" w:rsidRPr="00091C8C">
        <w:rPr>
          <w:rFonts w:ascii="Times New Roman" w:hAnsi="Times New Roman"/>
          <w:sz w:val="24"/>
        </w:rPr>
        <w:t xml:space="preserve"> 1054</w:t>
      </w:r>
      <w:r w:rsidRPr="00091C8C">
        <w:rPr>
          <w:rFonts w:ascii="Times New Roman" w:hAnsi="Times New Roman"/>
          <w:sz w:val="24"/>
        </w:rPr>
        <w:t xml:space="preserve"> [</w:t>
      </w:r>
      <w:r w:rsidR="00893509" w:rsidRPr="00091C8C">
        <w:rPr>
          <w:rFonts w:ascii="Times New Roman" w:hAnsi="Times New Roman"/>
          <w:sz w:val="24"/>
        </w:rPr>
        <w:t>26</w:t>
      </w:r>
      <w:r w:rsidRPr="00091C8C">
        <w:rPr>
          <w:rFonts w:ascii="Times New Roman" w:hAnsi="Times New Roman"/>
          <w:sz w:val="24"/>
        </w:rPr>
        <w:t>]</w:t>
      </w:r>
      <w:r w:rsidR="00DE6136" w:rsidRPr="00091C8C">
        <w:rPr>
          <w:rFonts w:ascii="Times New Roman" w:hAnsi="Times New Roman"/>
          <w:sz w:val="24"/>
        </w:rPr>
        <w:t xml:space="preserve">; </w:t>
      </w:r>
      <w:r w:rsidR="004F7BB9" w:rsidRPr="00091C8C">
        <w:rPr>
          <w:rFonts w:ascii="Times New Roman" w:hAnsi="Times New Roman"/>
          <w:sz w:val="24"/>
        </w:rPr>
        <w:t xml:space="preserve">384 ALR 577 at </w:t>
      </w:r>
      <w:r w:rsidR="008648DD" w:rsidRPr="00091C8C">
        <w:rPr>
          <w:rFonts w:ascii="Times New Roman" w:hAnsi="Times New Roman"/>
          <w:sz w:val="24"/>
        </w:rPr>
        <w:t>584</w:t>
      </w:r>
      <w:r w:rsidRPr="00091C8C">
        <w:rPr>
          <w:rFonts w:ascii="Times New Roman" w:hAnsi="Times New Roman"/>
          <w:sz w:val="24"/>
        </w:rPr>
        <w:t>.</w:t>
      </w:r>
    </w:p>
  </w:footnote>
  <w:footnote w:id="42">
    <w:p w14:paraId="1DB58C97" w14:textId="61F3E93C" w:rsidR="00147B1D" w:rsidRPr="00091C8C" w:rsidRDefault="00147B1D" w:rsidP="00091C8C">
      <w:pPr>
        <w:pStyle w:val="FootnoteText"/>
        <w:spacing w:line="280" w:lineRule="exact"/>
        <w:ind w:right="0"/>
        <w:jc w:val="both"/>
        <w:rPr>
          <w:rFonts w:ascii="Times New Roman" w:hAnsi="Times New Roman"/>
          <w:sz w:val="24"/>
        </w:rPr>
      </w:pPr>
      <w:r w:rsidRPr="00091C8C">
        <w:rPr>
          <w:rStyle w:val="FootnoteReference"/>
          <w:rFonts w:ascii="Times New Roman" w:hAnsi="Times New Roman"/>
          <w:sz w:val="22"/>
          <w:vertAlign w:val="baseline"/>
        </w:rPr>
        <w:footnoteRef/>
      </w:r>
      <w:r w:rsidRPr="00091C8C">
        <w:rPr>
          <w:rFonts w:ascii="Times New Roman" w:hAnsi="Times New Roman"/>
          <w:sz w:val="24"/>
        </w:rPr>
        <w:t xml:space="preserve"> </w:t>
      </w:r>
      <w:r w:rsidRPr="00091C8C">
        <w:rPr>
          <w:rFonts w:ascii="Times New Roman" w:hAnsi="Times New Roman"/>
          <w:sz w:val="24"/>
        </w:rPr>
        <w:tab/>
      </w:r>
      <w:r w:rsidR="002F2EE2" w:rsidRPr="00091C8C">
        <w:rPr>
          <w:rFonts w:ascii="Times New Roman" w:hAnsi="Times New Roman"/>
          <w:sz w:val="24"/>
        </w:rPr>
        <w:t>(2008) 235 CLR 619 at 624 [20].</w:t>
      </w:r>
    </w:p>
  </w:footnote>
  <w:footnote w:id="43">
    <w:p w14:paraId="34FE2BB9" w14:textId="2FFE6948" w:rsidR="00744D29" w:rsidRPr="00091C8C" w:rsidRDefault="00744D29" w:rsidP="00091C8C">
      <w:pPr>
        <w:pStyle w:val="FootnoteText"/>
        <w:spacing w:line="280" w:lineRule="exact"/>
        <w:ind w:right="0"/>
        <w:jc w:val="both"/>
        <w:rPr>
          <w:rFonts w:ascii="Times New Roman" w:hAnsi="Times New Roman"/>
          <w:sz w:val="24"/>
        </w:rPr>
      </w:pPr>
      <w:r w:rsidRPr="00091C8C">
        <w:rPr>
          <w:rStyle w:val="FootnoteReference"/>
          <w:rFonts w:ascii="Times New Roman" w:hAnsi="Times New Roman"/>
          <w:sz w:val="22"/>
          <w:vertAlign w:val="baseline"/>
        </w:rPr>
        <w:footnoteRef/>
      </w:r>
      <w:r w:rsidRPr="00091C8C">
        <w:rPr>
          <w:rFonts w:ascii="Times New Roman" w:hAnsi="Times New Roman"/>
          <w:sz w:val="24"/>
        </w:rPr>
        <w:t xml:space="preserve"> </w:t>
      </w:r>
      <w:r w:rsidR="00E97196" w:rsidRPr="00091C8C">
        <w:rPr>
          <w:rFonts w:ascii="Times New Roman" w:hAnsi="Times New Roman"/>
          <w:sz w:val="24"/>
        </w:rPr>
        <w:tab/>
        <w:t>Sections 122</w:t>
      </w:r>
      <w:r w:rsidR="00B625A4" w:rsidRPr="00091C8C">
        <w:rPr>
          <w:rFonts w:ascii="Times New Roman" w:hAnsi="Times New Roman"/>
          <w:sz w:val="24"/>
        </w:rPr>
        <w:t xml:space="preserve"> and 123 of the Act.</w:t>
      </w:r>
    </w:p>
  </w:footnote>
  <w:footnote w:id="44">
    <w:p w14:paraId="68F5168D" w14:textId="2E47BE85" w:rsidR="00A875D8" w:rsidRPr="00091C8C" w:rsidRDefault="00A875D8" w:rsidP="00091C8C">
      <w:pPr>
        <w:pStyle w:val="FootnoteText"/>
        <w:spacing w:line="280" w:lineRule="exact"/>
        <w:ind w:right="0"/>
        <w:jc w:val="both"/>
        <w:rPr>
          <w:rFonts w:ascii="Times New Roman" w:hAnsi="Times New Roman"/>
          <w:sz w:val="24"/>
        </w:rPr>
      </w:pPr>
      <w:r w:rsidRPr="00091C8C">
        <w:rPr>
          <w:rStyle w:val="FootnoteReference"/>
          <w:rFonts w:ascii="Times New Roman" w:hAnsi="Times New Roman"/>
          <w:sz w:val="22"/>
          <w:vertAlign w:val="baseline"/>
        </w:rPr>
        <w:footnoteRef/>
      </w:r>
      <w:r w:rsidRPr="00091C8C">
        <w:rPr>
          <w:rFonts w:ascii="Times New Roman" w:hAnsi="Times New Roman"/>
          <w:sz w:val="24"/>
        </w:rPr>
        <w:t xml:space="preserve"> </w:t>
      </w:r>
      <w:r w:rsidR="00182EC6" w:rsidRPr="00091C8C">
        <w:rPr>
          <w:rFonts w:ascii="Times New Roman" w:hAnsi="Times New Roman"/>
          <w:sz w:val="24"/>
        </w:rPr>
        <w:tab/>
      </w:r>
      <w:r w:rsidR="0026761D" w:rsidRPr="00091C8C">
        <w:rPr>
          <w:rFonts w:ascii="Times New Roman" w:hAnsi="Times New Roman"/>
          <w:sz w:val="24"/>
        </w:rPr>
        <w:t xml:space="preserve">Ricketson, </w:t>
      </w:r>
      <w:r w:rsidR="0026761D" w:rsidRPr="00091C8C">
        <w:rPr>
          <w:rFonts w:ascii="Times New Roman" w:hAnsi="Times New Roman"/>
          <w:i/>
          <w:sz w:val="24"/>
        </w:rPr>
        <w:t>The Law of Intellectual Property</w:t>
      </w:r>
      <w:r w:rsidR="0026761D" w:rsidRPr="00091C8C">
        <w:rPr>
          <w:rFonts w:ascii="Times New Roman" w:hAnsi="Times New Roman"/>
          <w:sz w:val="24"/>
        </w:rPr>
        <w:t xml:space="preserve"> (1984) at 992 [50.37]; </w:t>
      </w:r>
      <w:r w:rsidR="004A0515" w:rsidRPr="00091C8C">
        <w:rPr>
          <w:rFonts w:ascii="Times New Roman" w:hAnsi="Times New Roman"/>
          <w:i/>
          <w:sz w:val="24"/>
        </w:rPr>
        <w:t xml:space="preserve">Independent </w:t>
      </w:r>
      <w:r w:rsidR="007D1CE3" w:rsidRPr="00091C8C">
        <w:rPr>
          <w:rFonts w:ascii="Times New Roman" w:hAnsi="Times New Roman"/>
          <w:i/>
          <w:sz w:val="24"/>
        </w:rPr>
        <w:t>O</w:t>
      </w:r>
      <w:r w:rsidR="004A0515" w:rsidRPr="00091C8C">
        <w:rPr>
          <w:rFonts w:ascii="Times New Roman" w:hAnsi="Times New Roman"/>
          <w:i/>
          <w:sz w:val="24"/>
        </w:rPr>
        <w:t>il Industries</w:t>
      </w:r>
      <w:r w:rsidR="0050005F" w:rsidRPr="00091C8C">
        <w:rPr>
          <w:rFonts w:ascii="Times New Roman" w:hAnsi="Times New Roman"/>
          <w:i/>
          <w:sz w:val="24"/>
        </w:rPr>
        <w:t xml:space="preserve"> Ltd v </w:t>
      </w:r>
      <w:r w:rsidR="00252E03" w:rsidRPr="00091C8C">
        <w:rPr>
          <w:rFonts w:ascii="Times New Roman" w:hAnsi="Times New Roman"/>
          <w:i/>
          <w:sz w:val="24"/>
        </w:rPr>
        <w:t xml:space="preserve">The </w:t>
      </w:r>
      <w:r w:rsidR="0050005F" w:rsidRPr="00091C8C">
        <w:rPr>
          <w:rFonts w:ascii="Times New Roman" w:hAnsi="Times New Roman"/>
          <w:i/>
          <w:sz w:val="24"/>
        </w:rPr>
        <w:t>Shell Co</w:t>
      </w:r>
      <w:r w:rsidR="007D1CE3" w:rsidRPr="00091C8C">
        <w:rPr>
          <w:rFonts w:ascii="Times New Roman" w:hAnsi="Times New Roman"/>
          <w:i/>
          <w:sz w:val="24"/>
        </w:rPr>
        <w:t xml:space="preserve"> of Australia Ltd</w:t>
      </w:r>
      <w:r w:rsidR="007D1CE3" w:rsidRPr="00091C8C">
        <w:rPr>
          <w:rFonts w:ascii="Times New Roman" w:hAnsi="Times New Roman"/>
          <w:sz w:val="24"/>
        </w:rPr>
        <w:t xml:space="preserve"> (1937) 37 SR (NSW) 39</w:t>
      </w:r>
      <w:r w:rsidR="008B7420" w:rsidRPr="00091C8C">
        <w:rPr>
          <w:rFonts w:ascii="Times New Roman" w:hAnsi="Times New Roman"/>
          <w:sz w:val="24"/>
        </w:rPr>
        <w:t>4 at 414</w:t>
      </w:r>
      <w:r w:rsidR="00AF344B" w:rsidRPr="00091C8C">
        <w:rPr>
          <w:rFonts w:ascii="Times New Roman" w:hAnsi="Times New Roman"/>
          <w:sz w:val="24"/>
        </w:rPr>
        <w:t>;</w:t>
      </w:r>
      <w:r w:rsidR="00407F47" w:rsidRPr="00091C8C">
        <w:rPr>
          <w:rFonts w:ascii="Times New Roman" w:hAnsi="Times New Roman"/>
          <w:sz w:val="24"/>
        </w:rPr>
        <w:t xml:space="preserve"> </w:t>
      </w:r>
      <w:r w:rsidR="00407F47" w:rsidRPr="00091C8C">
        <w:rPr>
          <w:rFonts w:ascii="Times New Roman" w:hAnsi="Times New Roman"/>
          <w:i/>
          <w:sz w:val="24"/>
        </w:rPr>
        <w:t>General Tire and Rubber Co v Firestone Tyre and Rubber Co Ltd</w:t>
      </w:r>
      <w:r w:rsidR="00407F47" w:rsidRPr="00091C8C">
        <w:rPr>
          <w:rFonts w:ascii="Times New Roman" w:hAnsi="Times New Roman"/>
          <w:sz w:val="24"/>
        </w:rPr>
        <w:t xml:space="preserve"> [1976] RPC 197 at </w:t>
      </w:r>
      <w:r w:rsidR="00B2241C" w:rsidRPr="00091C8C">
        <w:rPr>
          <w:rFonts w:ascii="Times New Roman" w:hAnsi="Times New Roman"/>
          <w:sz w:val="24"/>
        </w:rPr>
        <w:t>211-</w:t>
      </w:r>
      <w:r w:rsidR="00407F47" w:rsidRPr="00091C8C">
        <w:rPr>
          <w:rFonts w:ascii="Times New Roman" w:hAnsi="Times New Roman"/>
          <w:sz w:val="24"/>
        </w:rPr>
        <w:t>212;</w:t>
      </w:r>
      <w:r w:rsidR="00AF344B" w:rsidRPr="00091C8C">
        <w:rPr>
          <w:rFonts w:ascii="Times New Roman" w:hAnsi="Times New Roman"/>
          <w:sz w:val="24"/>
        </w:rPr>
        <w:t xml:space="preserve"> </w:t>
      </w:r>
      <w:r w:rsidR="00AF344B" w:rsidRPr="00091C8C">
        <w:rPr>
          <w:rFonts w:ascii="Times New Roman" w:hAnsi="Times New Roman"/>
          <w:i/>
          <w:sz w:val="24"/>
        </w:rPr>
        <w:t>Collins v Northern</w:t>
      </w:r>
      <w:r w:rsidR="006F141B" w:rsidRPr="00091C8C">
        <w:rPr>
          <w:rFonts w:ascii="Times New Roman" w:hAnsi="Times New Roman"/>
          <w:i/>
          <w:sz w:val="24"/>
        </w:rPr>
        <w:t xml:space="preserve"> Territory</w:t>
      </w:r>
      <w:r w:rsidR="006E61E0" w:rsidRPr="00091C8C">
        <w:rPr>
          <w:rFonts w:ascii="Times New Roman" w:hAnsi="Times New Roman"/>
          <w:sz w:val="24"/>
        </w:rPr>
        <w:t xml:space="preserve"> (2007)</w:t>
      </w:r>
      <w:r w:rsidR="00653390" w:rsidRPr="00091C8C">
        <w:rPr>
          <w:rFonts w:ascii="Times New Roman" w:hAnsi="Times New Roman"/>
          <w:sz w:val="24"/>
        </w:rPr>
        <w:t xml:space="preserve"> 161 FCR 549 at 559-56</w:t>
      </w:r>
      <w:r w:rsidR="006A401F" w:rsidRPr="00091C8C">
        <w:rPr>
          <w:rFonts w:ascii="Times New Roman" w:hAnsi="Times New Roman"/>
          <w:sz w:val="24"/>
        </w:rPr>
        <w:t>2</w:t>
      </w:r>
      <w:r w:rsidR="00653390" w:rsidRPr="00091C8C">
        <w:rPr>
          <w:rFonts w:ascii="Times New Roman" w:hAnsi="Times New Roman"/>
          <w:sz w:val="24"/>
        </w:rPr>
        <w:t xml:space="preserve"> [</w:t>
      </w:r>
      <w:r w:rsidR="00A835CE" w:rsidRPr="00091C8C">
        <w:rPr>
          <w:rFonts w:ascii="Times New Roman" w:hAnsi="Times New Roman"/>
          <w:sz w:val="24"/>
        </w:rPr>
        <w:t>24]-[28]</w:t>
      </w:r>
      <w:r w:rsidR="00C315B9" w:rsidRPr="00091C8C">
        <w:rPr>
          <w:rFonts w:ascii="Times New Roman" w:hAnsi="Times New Roman"/>
          <w:sz w:val="24"/>
        </w:rPr>
        <w:t xml:space="preserve"> (a decision overturned on appeal</w:t>
      </w:r>
      <w:r w:rsidR="000B6B8A" w:rsidRPr="00091C8C">
        <w:rPr>
          <w:rFonts w:ascii="Times New Roman" w:hAnsi="Times New Roman"/>
          <w:sz w:val="24"/>
        </w:rPr>
        <w:t xml:space="preserve"> on different grounds</w:t>
      </w:r>
      <w:r w:rsidR="00635008" w:rsidRPr="00091C8C">
        <w:rPr>
          <w:rFonts w:ascii="Times New Roman" w:hAnsi="Times New Roman"/>
          <w:sz w:val="24"/>
        </w:rPr>
        <w:t xml:space="preserve"> in</w:t>
      </w:r>
      <w:r w:rsidR="00FB31C9" w:rsidRPr="00091C8C">
        <w:rPr>
          <w:rFonts w:ascii="Times New Roman" w:hAnsi="Times New Roman"/>
          <w:sz w:val="24"/>
        </w:rPr>
        <w:t xml:space="preserve"> </w:t>
      </w:r>
      <w:r w:rsidR="00FB31C9" w:rsidRPr="00091C8C">
        <w:rPr>
          <w:rFonts w:ascii="Times New Roman" w:hAnsi="Times New Roman"/>
          <w:i/>
          <w:sz w:val="24"/>
        </w:rPr>
        <w:t>Norther</w:t>
      </w:r>
      <w:r w:rsidR="0026607A" w:rsidRPr="00091C8C">
        <w:rPr>
          <w:rFonts w:ascii="Times New Roman" w:hAnsi="Times New Roman"/>
          <w:i/>
          <w:sz w:val="24"/>
        </w:rPr>
        <w:t>n</w:t>
      </w:r>
      <w:r w:rsidR="00FB31C9" w:rsidRPr="00091C8C">
        <w:rPr>
          <w:rFonts w:ascii="Times New Roman" w:hAnsi="Times New Roman"/>
          <w:i/>
          <w:sz w:val="24"/>
        </w:rPr>
        <w:t xml:space="preserve"> Terr</w:t>
      </w:r>
      <w:r w:rsidR="0026607A" w:rsidRPr="00091C8C">
        <w:rPr>
          <w:rFonts w:ascii="Times New Roman" w:hAnsi="Times New Roman"/>
          <w:i/>
          <w:sz w:val="24"/>
        </w:rPr>
        <w:t>i</w:t>
      </w:r>
      <w:r w:rsidR="00FB31C9" w:rsidRPr="00091C8C">
        <w:rPr>
          <w:rFonts w:ascii="Times New Roman" w:hAnsi="Times New Roman"/>
          <w:i/>
          <w:sz w:val="24"/>
        </w:rPr>
        <w:t>t</w:t>
      </w:r>
      <w:r w:rsidR="0026607A" w:rsidRPr="00091C8C">
        <w:rPr>
          <w:rFonts w:ascii="Times New Roman" w:hAnsi="Times New Roman"/>
          <w:i/>
          <w:sz w:val="24"/>
        </w:rPr>
        <w:t>or</w:t>
      </w:r>
      <w:r w:rsidR="00FB31C9" w:rsidRPr="00091C8C">
        <w:rPr>
          <w:rFonts w:ascii="Times New Roman" w:hAnsi="Times New Roman"/>
          <w:i/>
          <w:sz w:val="24"/>
        </w:rPr>
        <w:t>y v Collins</w:t>
      </w:r>
      <w:r w:rsidR="000E1E5D" w:rsidRPr="00091C8C">
        <w:rPr>
          <w:rFonts w:ascii="Times New Roman" w:hAnsi="Times New Roman"/>
          <w:sz w:val="24"/>
        </w:rPr>
        <w:t xml:space="preserve"> (2008) 235 CLR 619</w:t>
      </w:r>
      <w:r w:rsidR="0026607A" w:rsidRPr="00091C8C">
        <w:rPr>
          <w:rFonts w:ascii="Times New Roman" w:hAnsi="Times New Roman"/>
          <w:sz w:val="24"/>
        </w:rPr>
        <w:t xml:space="preserve">). </w:t>
      </w:r>
      <w:r w:rsidR="00942FEE" w:rsidRPr="00091C8C">
        <w:rPr>
          <w:rFonts w:ascii="Times New Roman" w:hAnsi="Times New Roman"/>
          <w:sz w:val="24"/>
        </w:rPr>
        <w:t xml:space="preserve">See </w:t>
      </w:r>
      <w:r w:rsidR="008B7420" w:rsidRPr="00091C8C">
        <w:rPr>
          <w:rFonts w:ascii="Times New Roman" w:hAnsi="Times New Roman"/>
          <w:sz w:val="24"/>
        </w:rPr>
        <w:t xml:space="preserve">also </w:t>
      </w:r>
      <w:r w:rsidR="00942FEE" w:rsidRPr="00091C8C">
        <w:rPr>
          <w:rFonts w:ascii="Times New Roman" w:hAnsi="Times New Roman"/>
          <w:i/>
          <w:sz w:val="24"/>
        </w:rPr>
        <w:t>Clarke v Adi</w:t>
      </w:r>
      <w:r w:rsidR="00726B1B" w:rsidRPr="00091C8C">
        <w:rPr>
          <w:rFonts w:ascii="Times New Roman" w:hAnsi="Times New Roman"/>
          <w:i/>
          <w:sz w:val="24"/>
        </w:rPr>
        <w:t>e</w:t>
      </w:r>
      <w:r w:rsidR="00942FEE" w:rsidRPr="00091C8C">
        <w:rPr>
          <w:rFonts w:ascii="Times New Roman" w:hAnsi="Times New Roman"/>
          <w:sz w:val="24"/>
        </w:rPr>
        <w:t xml:space="preserve"> (1877) </w:t>
      </w:r>
      <w:r w:rsidR="00E52FF3" w:rsidRPr="00091C8C">
        <w:rPr>
          <w:rFonts w:ascii="Times New Roman" w:hAnsi="Times New Roman"/>
          <w:sz w:val="24"/>
        </w:rPr>
        <w:t>2 App Cas 315 at 333-334</w:t>
      </w:r>
      <w:r w:rsidR="00A02CE2" w:rsidRPr="00091C8C">
        <w:rPr>
          <w:rFonts w:ascii="Times New Roman" w:hAnsi="Times New Roman"/>
          <w:sz w:val="24"/>
        </w:rPr>
        <w:t>.</w:t>
      </w:r>
    </w:p>
  </w:footnote>
  <w:footnote w:id="45">
    <w:p w14:paraId="58244EED" w14:textId="670991C5" w:rsidR="00BF3841" w:rsidRPr="00091C8C" w:rsidRDefault="00BF3841" w:rsidP="00091C8C">
      <w:pPr>
        <w:pStyle w:val="FootnoteText"/>
        <w:spacing w:line="280" w:lineRule="exact"/>
        <w:ind w:right="0"/>
        <w:jc w:val="both"/>
        <w:rPr>
          <w:rFonts w:ascii="Times New Roman" w:hAnsi="Times New Roman"/>
          <w:sz w:val="24"/>
        </w:rPr>
      </w:pPr>
      <w:r w:rsidRPr="00091C8C">
        <w:rPr>
          <w:rStyle w:val="FootnoteReference"/>
          <w:rFonts w:ascii="Times New Roman" w:hAnsi="Times New Roman"/>
          <w:sz w:val="22"/>
          <w:vertAlign w:val="baseline"/>
        </w:rPr>
        <w:footnoteRef/>
      </w:r>
      <w:r w:rsidRPr="00091C8C">
        <w:rPr>
          <w:rFonts w:ascii="Times New Roman" w:hAnsi="Times New Roman"/>
          <w:sz w:val="24"/>
        </w:rPr>
        <w:t xml:space="preserve"> </w:t>
      </w:r>
      <w:r w:rsidR="007336FB" w:rsidRPr="00091C8C">
        <w:rPr>
          <w:rFonts w:ascii="Times New Roman" w:hAnsi="Times New Roman"/>
          <w:sz w:val="24"/>
        </w:rPr>
        <w:tab/>
      </w:r>
      <w:r w:rsidR="008C0727" w:rsidRPr="00091C8C">
        <w:rPr>
          <w:rFonts w:ascii="Times New Roman" w:hAnsi="Times New Roman"/>
          <w:sz w:val="24"/>
        </w:rPr>
        <w:t xml:space="preserve">cf </w:t>
      </w:r>
      <w:r w:rsidR="00E72C8B" w:rsidRPr="00091C8C">
        <w:rPr>
          <w:rFonts w:ascii="Times New Roman" w:hAnsi="Times New Roman"/>
          <w:i/>
          <w:sz w:val="24"/>
        </w:rPr>
        <w:t>R v Ward</w:t>
      </w:r>
      <w:r w:rsidR="00E72C8B" w:rsidRPr="00091C8C">
        <w:rPr>
          <w:rFonts w:ascii="Times New Roman" w:hAnsi="Times New Roman"/>
          <w:sz w:val="24"/>
        </w:rPr>
        <w:t xml:space="preserve"> (1978) 140 CLR 584 at 588-589</w:t>
      </w:r>
      <w:r w:rsidR="00D63801" w:rsidRPr="00091C8C">
        <w:rPr>
          <w:rFonts w:ascii="Times New Roman" w:hAnsi="Times New Roman"/>
          <w:sz w:val="24"/>
        </w:rPr>
        <w:t xml:space="preserve">; </w:t>
      </w:r>
      <w:r w:rsidR="00D63801" w:rsidRPr="00091C8C">
        <w:rPr>
          <w:rFonts w:ascii="Times New Roman" w:hAnsi="Times New Roman"/>
          <w:i/>
          <w:sz w:val="24"/>
        </w:rPr>
        <w:t>Kodak (Aust) Pty Ltd v The Commonwealth</w:t>
      </w:r>
      <w:r w:rsidR="00D63801" w:rsidRPr="00091C8C">
        <w:rPr>
          <w:rFonts w:ascii="Times New Roman" w:hAnsi="Times New Roman"/>
          <w:sz w:val="24"/>
        </w:rPr>
        <w:t xml:space="preserve"> (1988) 22 FCR 197 at 201-202.</w:t>
      </w:r>
    </w:p>
  </w:footnote>
  <w:footnote w:id="46">
    <w:p w14:paraId="03F4BAAF" w14:textId="60E7DACB" w:rsidR="00BF3841" w:rsidRPr="00091C8C" w:rsidRDefault="00BF3841" w:rsidP="00091C8C">
      <w:pPr>
        <w:pStyle w:val="FootnoteText"/>
        <w:spacing w:line="280" w:lineRule="exact"/>
        <w:ind w:right="0"/>
        <w:jc w:val="both"/>
        <w:rPr>
          <w:rFonts w:ascii="Times New Roman" w:hAnsi="Times New Roman"/>
          <w:sz w:val="24"/>
        </w:rPr>
      </w:pPr>
      <w:r w:rsidRPr="00091C8C">
        <w:rPr>
          <w:rStyle w:val="FootnoteReference"/>
          <w:rFonts w:ascii="Times New Roman" w:hAnsi="Times New Roman"/>
          <w:sz w:val="22"/>
          <w:vertAlign w:val="baseline"/>
        </w:rPr>
        <w:footnoteRef/>
      </w:r>
      <w:r w:rsidRPr="00091C8C">
        <w:rPr>
          <w:rFonts w:ascii="Times New Roman" w:hAnsi="Times New Roman"/>
          <w:sz w:val="24"/>
        </w:rPr>
        <w:t xml:space="preserve"> </w:t>
      </w:r>
      <w:r w:rsidR="003228E6" w:rsidRPr="00091C8C">
        <w:rPr>
          <w:rFonts w:ascii="Times New Roman" w:hAnsi="Times New Roman"/>
          <w:sz w:val="24"/>
        </w:rPr>
        <w:tab/>
        <w:t xml:space="preserve">cf </w:t>
      </w:r>
      <w:r w:rsidR="00A24D76" w:rsidRPr="00091C8C">
        <w:rPr>
          <w:rFonts w:ascii="Times New Roman" w:hAnsi="Times New Roman"/>
          <w:i/>
          <w:sz w:val="24"/>
        </w:rPr>
        <w:t>Minister for Home Affairs v DMA18</w:t>
      </w:r>
      <w:r w:rsidR="00A24D76" w:rsidRPr="00091C8C">
        <w:rPr>
          <w:rFonts w:ascii="Times New Roman" w:hAnsi="Times New Roman"/>
          <w:sz w:val="24"/>
        </w:rPr>
        <w:t xml:space="preserve"> (</w:t>
      </w:r>
      <w:r w:rsidR="009221C2" w:rsidRPr="00091C8C">
        <w:rPr>
          <w:rFonts w:ascii="Times New Roman" w:hAnsi="Times New Roman"/>
          <w:sz w:val="24"/>
        </w:rPr>
        <w:t xml:space="preserve">2020) </w:t>
      </w:r>
      <w:r w:rsidR="00590E4E" w:rsidRPr="00091C8C">
        <w:rPr>
          <w:rFonts w:ascii="Times New Roman" w:hAnsi="Times New Roman"/>
          <w:sz w:val="24"/>
        </w:rPr>
        <w:t xml:space="preserve">95 ALJR 14 </w:t>
      </w:r>
      <w:r w:rsidR="009221C2" w:rsidRPr="00091C8C">
        <w:rPr>
          <w:rFonts w:ascii="Times New Roman" w:hAnsi="Times New Roman"/>
          <w:sz w:val="24"/>
        </w:rPr>
        <w:t xml:space="preserve">at </w:t>
      </w:r>
      <w:r w:rsidR="003F7F43" w:rsidRPr="00091C8C">
        <w:rPr>
          <w:rFonts w:ascii="Times New Roman" w:hAnsi="Times New Roman"/>
          <w:sz w:val="24"/>
        </w:rPr>
        <w:t xml:space="preserve">23-24 </w:t>
      </w:r>
      <w:r w:rsidR="009221C2" w:rsidRPr="00091C8C">
        <w:rPr>
          <w:rFonts w:ascii="Times New Roman" w:hAnsi="Times New Roman"/>
          <w:sz w:val="24"/>
        </w:rPr>
        <w:t>[31]</w:t>
      </w:r>
      <w:r w:rsidR="003F7F43" w:rsidRPr="00091C8C">
        <w:rPr>
          <w:rFonts w:ascii="Times New Roman" w:hAnsi="Times New Roman"/>
          <w:sz w:val="24"/>
        </w:rPr>
        <w:t xml:space="preserve">; </w:t>
      </w:r>
      <w:r w:rsidR="004B7662" w:rsidRPr="00091C8C">
        <w:rPr>
          <w:rFonts w:ascii="Times New Roman" w:hAnsi="Times New Roman"/>
          <w:sz w:val="24"/>
        </w:rPr>
        <w:t>385 ALR 16 at 27</w:t>
      </w:r>
      <w:r w:rsidR="009221C2" w:rsidRPr="00091C8C">
        <w:rPr>
          <w:rFonts w:ascii="Times New Roman" w:hAnsi="Times New Roman"/>
          <w:sz w:val="24"/>
        </w:rPr>
        <w:t>.</w:t>
      </w:r>
    </w:p>
  </w:footnote>
  <w:footnote w:id="47">
    <w:p w14:paraId="5EAA8438" w14:textId="00D3BA7E" w:rsidR="00BF3841" w:rsidRPr="00091C8C" w:rsidRDefault="00BF3841" w:rsidP="00091C8C">
      <w:pPr>
        <w:pStyle w:val="FootnoteText"/>
        <w:spacing w:line="280" w:lineRule="exact"/>
        <w:ind w:right="0"/>
        <w:jc w:val="both"/>
        <w:rPr>
          <w:rFonts w:ascii="Times New Roman" w:hAnsi="Times New Roman"/>
          <w:sz w:val="24"/>
        </w:rPr>
      </w:pPr>
      <w:r w:rsidRPr="00091C8C">
        <w:rPr>
          <w:rStyle w:val="FootnoteReference"/>
          <w:rFonts w:ascii="Times New Roman" w:hAnsi="Times New Roman"/>
          <w:sz w:val="22"/>
          <w:vertAlign w:val="baseline"/>
        </w:rPr>
        <w:footnoteRef/>
      </w:r>
      <w:r w:rsidRPr="00091C8C">
        <w:rPr>
          <w:rFonts w:ascii="Times New Roman" w:hAnsi="Times New Roman"/>
          <w:sz w:val="24"/>
        </w:rPr>
        <w:t xml:space="preserve"> </w:t>
      </w:r>
      <w:r w:rsidR="00B208B8" w:rsidRPr="00091C8C">
        <w:rPr>
          <w:rFonts w:ascii="Times New Roman" w:hAnsi="Times New Roman"/>
          <w:sz w:val="24"/>
        </w:rPr>
        <w:tab/>
      </w:r>
      <w:r w:rsidR="00641815" w:rsidRPr="00091C8C">
        <w:rPr>
          <w:rFonts w:ascii="Times New Roman" w:hAnsi="Times New Roman"/>
          <w:sz w:val="24"/>
        </w:rPr>
        <w:t xml:space="preserve">cf </w:t>
      </w:r>
      <w:r w:rsidR="00641815" w:rsidRPr="00091C8C">
        <w:rPr>
          <w:rFonts w:ascii="Times New Roman" w:hAnsi="Times New Roman"/>
          <w:i/>
          <w:sz w:val="24"/>
        </w:rPr>
        <w:t>Re Macks; Ex parte Saint</w:t>
      </w:r>
      <w:r w:rsidR="00641815" w:rsidRPr="00091C8C">
        <w:rPr>
          <w:rFonts w:ascii="Times New Roman" w:hAnsi="Times New Roman"/>
          <w:sz w:val="24"/>
        </w:rPr>
        <w:t xml:space="preserve"> (2000) 204 CLR 158 at 203 [115].</w:t>
      </w:r>
    </w:p>
  </w:footnote>
  <w:footnote w:id="48">
    <w:p w14:paraId="50A14793" w14:textId="2232EBDA" w:rsidR="00E4634C" w:rsidRPr="00091C8C" w:rsidRDefault="00E4634C" w:rsidP="00091C8C">
      <w:pPr>
        <w:pStyle w:val="FootnoteText"/>
        <w:spacing w:line="280" w:lineRule="exact"/>
        <w:ind w:right="0"/>
        <w:jc w:val="both"/>
        <w:rPr>
          <w:rFonts w:ascii="Times New Roman" w:hAnsi="Times New Roman"/>
          <w:sz w:val="24"/>
        </w:rPr>
      </w:pPr>
      <w:r w:rsidRPr="00091C8C">
        <w:rPr>
          <w:rStyle w:val="FootnoteReference"/>
          <w:rFonts w:ascii="Times New Roman" w:hAnsi="Times New Roman"/>
          <w:sz w:val="22"/>
          <w:vertAlign w:val="baseline"/>
        </w:rPr>
        <w:footnoteRef/>
      </w:r>
      <w:r w:rsidRPr="00091C8C">
        <w:rPr>
          <w:rFonts w:ascii="Times New Roman" w:hAnsi="Times New Roman"/>
          <w:sz w:val="24"/>
        </w:rPr>
        <w:t xml:space="preserve"> </w:t>
      </w:r>
      <w:r w:rsidR="00890DB4" w:rsidRPr="00091C8C">
        <w:rPr>
          <w:rFonts w:ascii="Times New Roman" w:hAnsi="Times New Roman"/>
          <w:sz w:val="24"/>
        </w:rPr>
        <w:tab/>
      </w:r>
      <w:r w:rsidR="0060099B" w:rsidRPr="00091C8C">
        <w:rPr>
          <w:rFonts w:ascii="Times New Roman" w:hAnsi="Times New Roman"/>
          <w:i/>
          <w:sz w:val="24"/>
        </w:rPr>
        <w:t xml:space="preserve">Chang Jeeng v Nuffield (Australia) Pty Ltd </w:t>
      </w:r>
      <w:r w:rsidR="002F0288" w:rsidRPr="00091C8C">
        <w:rPr>
          <w:rFonts w:ascii="Times New Roman" w:hAnsi="Times New Roman"/>
          <w:sz w:val="24"/>
        </w:rPr>
        <w:t>(1959) 101 CLR 629 at 637-638</w:t>
      </w:r>
      <w:r w:rsidR="00411C5F" w:rsidRPr="00091C8C">
        <w:rPr>
          <w:rFonts w:ascii="Times New Roman" w:hAnsi="Times New Roman"/>
          <w:sz w:val="24"/>
        </w:rPr>
        <w:t>.</w:t>
      </w:r>
    </w:p>
  </w:footnote>
  <w:footnote w:id="49">
    <w:p w14:paraId="598E129D" w14:textId="77777777" w:rsidR="006614ED" w:rsidRPr="00091C8C" w:rsidRDefault="006614ED" w:rsidP="00091C8C">
      <w:pPr>
        <w:pStyle w:val="FootnoteText"/>
        <w:spacing w:line="280" w:lineRule="exact"/>
        <w:ind w:right="0"/>
        <w:jc w:val="both"/>
        <w:rPr>
          <w:rFonts w:ascii="Times New Roman" w:hAnsi="Times New Roman"/>
          <w:sz w:val="24"/>
        </w:rPr>
      </w:pPr>
      <w:r w:rsidRPr="00091C8C">
        <w:rPr>
          <w:rStyle w:val="FootnoteReference"/>
          <w:rFonts w:ascii="Times New Roman" w:hAnsi="Times New Roman"/>
          <w:sz w:val="22"/>
          <w:vertAlign w:val="baseline"/>
        </w:rPr>
        <w:footnoteRef/>
      </w:r>
      <w:r w:rsidRPr="00091C8C">
        <w:rPr>
          <w:rFonts w:ascii="Times New Roman" w:hAnsi="Times New Roman"/>
          <w:sz w:val="24"/>
        </w:rPr>
        <w:t xml:space="preserve"> </w:t>
      </w:r>
      <w:r w:rsidRPr="00091C8C">
        <w:rPr>
          <w:rFonts w:ascii="Times New Roman" w:hAnsi="Times New Roman"/>
          <w:sz w:val="24"/>
        </w:rPr>
        <w:tab/>
      </w:r>
      <w:r w:rsidRPr="00091C8C">
        <w:rPr>
          <w:rFonts w:ascii="Times New Roman" w:hAnsi="Times New Roman"/>
          <w:i/>
          <w:sz w:val="24"/>
        </w:rPr>
        <w:t>Ku-Ring-Gai Municipal Council v Attorney-General for the State of New South Wales</w:t>
      </w:r>
      <w:r w:rsidRPr="00091C8C">
        <w:rPr>
          <w:rFonts w:ascii="Times New Roman" w:hAnsi="Times New Roman"/>
          <w:sz w:val="24"/>
        </w:rPr>
        <w:t xml:space="preserve"> (1957) 99 CLR 251 at 269.</w:t>
      </w:r>
    </w:p>
  </w:footnote>
  <w:footnote w:id="50">
    <w:p w14:paraId="1F9A64D1" w14:textId="12CF2BAB" w:rsidR="0054125D" w:rsidRPr="00091C8C" w:rsidRDefault="0054125D" w:rsidP="00091C8C">
      <w:pPr>
        <w:pStyle w:val="FootnoteText"/>
        <w:spacing w:line="280" w:lineRule="exact"/>
        <w:ind w:right="0"/>
        <w:jc w:val="both"/>
        <w:rPr>
          <w:rFonts w:ascii="Times New Roman" w:hAnsi="Times New Roman"/>
          <w:sz w:val="24"/>
        </w:rPr>
      </w:pPr>
      <w:r w:rsidRPr="00091C8C">
        <w:rPr>
          <w:rStyle w:val="FootnoteReference"/>
          <w:rFonts w:ascii="Times New Roman" w:hAnsi="Times New Roman"/>
          <w:sz w:val="22"/>
          <w:vertAlign w:val="baseline"/>
        </w:rPr>
        <w:footnoteRef/>
      </w:r>
      <w:r w:rsidRPr="00091C8C">
        <w:rPr>
          <w:rFonts w:ascii="Times New Roman" w:hAnsi="Times New Roman"/>
          <w:sz w:val="24"/>
        </w:rPr>
        <w:t xml:space="preserve"> </w:t>
      </w:r>
      <w:r w:rsidRPr="00091C8C">
        <w:rPr>
          <w:rFonts w:ascii="Times New Roman" w:hAnsi="Times New Roman"/>
          <w:sz w:val="24"/>
        </w:rPr>
        <w:tab/>
      </w:r>
      <w:r w:rsidRPr="00091C8C">
        <w:rPr>
          <w:rFonts w:ascii="Times New Roman" w:hAnsi="Times New Roman"/>
          <w:i/>
          <w:sz w:val="24"/>
        </w:rPr>
        <w:t>ADCO Constructions Pty Ltd v Goudappel</w:t>
      </w:r>
      <w:r w:rsidRPr="00091C8C">
        <w:rPr>
          <w:rFonts w:ascii="Times New Roman" w:hAnsi="Times New Roman"/>
          <w:sz w:val="24"/>
        </w:rPr>
        <w:t xml:space="preserve"> (2014) 254 CLR 1 at 21 [51].</w:t>
      </w:r>
    </w:p>
  </w:footnote>
  <w:footnote w:id="51">
    <w:p w14:paraId="1BF53C03" w14:textId="6D00D3C9" w:rsidR="00201624" w:rsidRPr="00091C8C" w:rsidRDefault="00201624" w:rsidP="00091C8C">
      <w:pPr>
        <w:pStyle w:val="FootnoteText"/>
        <w:spacing w:line="280" w:lineRule="exact"/>
        <w:ind w:right="0"/>
        <w:jc w:val="both"/>
        <w:rPr>
          <w:rFonts w:ascii="Times New Roman" w:hAnsi="Times New Roman"/>
          <w:sz w:val="24"/>
        </w:rPr>
      </w:pPr>
      <w:r w:rsidRPr="00091C8C">
        <w:rPr>
          <w:rStyle w:val="FootnoteReference"/>
          <w:rFonts w:ascii="Times New Roman" w:hAnsi="Times New Roman"/>
          <w:sz w:val="22"/>
          <w:vertAlign w:val="baseline"/>
        </w:rPr>
        <w:footnoteRef/>
      </w:r>
      <w:r w:rsidRPr="00091C8C">
        <w:rPr>
          <w:rFonts w:ascii="Times New Roman" w:hAnsi="Times New Roman"/>
          <w:sz w:val="24"/>
        </w:rPr>
        <w:t xml:space="preserve"> </w:t>
      </w:r>
      <w:r w:rsidRPr="00091C8C">
        <w:rPr>
          <w:rFonts w:ascii="Times New Roman" w:hAnsi="Times New Roman"/>
          <w:sz w:val="24"/>
        </w:rPr>
        <w:tab/>
      </w:r>
      <w:r w:rsidRPr="00091C8C">
        <w:rPr>
          <w:rFonts w:ascii="Times New Roman" w:hAnsi="Times New Roman"/>
          <w:i/>
          <w:sz w:val="24"/>
        </w:rPr>
        <w:t>Sanofi</w:t>
      </w:r>
      <w:r w:rsidR="00330BCE" w:rsidRPr="00091C8C">
        <w:rPr>
          <w:rFonts w:ascii="Times New Roman" w:hAnsi="Times New Roman"/>
          <w:i/>
          <w:sz w:val="24"/>
        </w:rPr>
        <w:t xml:space="preserve"> v Parke Davis Pty Ltd</w:t>
      </w:r>
      <w:r w:rsidR="00330BCE" w:rsidRPr="00091C8C">
        <w:rPr>
          <w:rFonts w:ascii="Times New Roman" w:hAnsi="Times New Roman"/>
          <w:sz w:val="24"/>
        </w:rPr>
        <w:t xml:space="preserve"> </w:t>
      </w:r>
      <w:r w:rsidR="00330BCE" w:rsidRPr="00091C8C">
        <w:rPr>
          <w:rFonts w:ascii="Times New Roman" w:hAnsi="Times New Roman"/>
          <w:i/>
          <w:sz w:val="24"/>
        </w:rPr>
        <w:t>[No 2]</w:t>
      </w:r>
      <w:r w:rsidR="001806B5" w:rsidRPr="00091C8C">
        <w:rPr>
          <w:rFonts w:ascii="Times New Roman" w:hAnsi="Times New Roman"/>
          <w:sz w:val="24"/>
        </w:rPr>
        <w:t xml:space="preserve"> (1983) 152 CLR 1 at 7.</w:t>
      </w:r>
    </w:p>
  </w:footnote>
  <w:footnote w:id="52">
    <w:p w14:paraId="675F42E8" w14:textId="512BDA93" w:rsidR="00FE61A7" w:rsidRPr="00091C8C" w:rsidRDefault="00FE61A7" w:rsidP="00091C8C">
      <w:pPr>
        <w:pStyle w:val="FootnoteText"/>
        <w:spacing w:line="280" w:lineRule="exact"/>
        <w:ind w:right="0"/>
        <w:jc w:val="both"/>
        <w:rPr>
          <w:rFonts w:ascii="Times New Roman" w:hAnsi="Times New Roman"/>
          <w:sz w:val="24"/>
        </w:rPr>
      </w:pPr>
      <w:r w:rsidRPr="00091C8C">
        <w:rPr>
          <w:rStyle w:val="FootnoteReference"/>
          <w:rFonts w:ascii="Times New Roman" w:hAnsi="Times New Roman"/>
          <w:sz w:val="22"/>
          <w:vertAlign w:val="baseline"/>
        </w:rPr>
        <w:footnoteRef/>
      </w:r>
      <w:r w:rsidRPr="00091C8C">
        <w:rPr>
          <w:rFonts w:ascii="Times New Roman" w:hAnsi="Times New Roman"/>
          <w:sz w:val="24"/>
        </w:rPr>
        <w:t xml:space="preserve"> </w:t>
      </w:r>
      <w:r w:rsidRPr="00091C8C">
        <w:rPr>
          <w:rFonts w:ascii="Times New Roman" w:hAnsi="Times New Roman"/>
          <w:sz w:val="24"/>
        </w:rPr>
        <w:tab/>
      </w:r>
      <w:r w:rsidRPr="00091C8C">
        <w:rPr>
          <w:rFonts w:ascii="Times New Roman" w:hAnsi="Times New Roman"/>
          <w:i/>
          <w:sz w:val="24"/>
        </w:rPr>
        <w:t xml:space="preserve">Parke Davis Pty Ltd v Sanofi </w:t>
      </w:r>
      <w:r w:rsidR="00B3286D" w:rsidRPr="00091C8C">
        <w:rPr>
          <w:rFonts w:ascii="Times New Roman" w:hAnsi="Times New Roman"/>
          <w:sz w:val="24"/>
        </w:rPr>
        <w:t>(1982) 43 ALR 487 at 503.</w:t>
      </w:r>
      <w:r w:rsidR="00C646AE" w:rsidRPr="00091C8C">
        <w:rPr>
          <w:rFonts w:ascii="Times New Roman" w:hAnsi="Times New Roman"/>
          <w:sz w:val="24"/>
        </w:rPr>
        <w:t xml:space="preserve"> </w:t>
      </w:r>
    </w:p>
  </w:footnote>
  <w:footnote w:id="53">
    <w:p w14:paraId="535F1560" w14:textId="6A78E901" w:rsidR="00707F74" w:rsidRPr="00091C8C" w:rsidRDefault="00707F74" w:rsidP="00091C8C">
      <w:pPr>
        <w:pStyle w:val="FootnoteText"/>
        <w:spacing w:line="280" w:lineRule="exact"/>
        <w:ind w:right="0"/>
        <w:jc w:val="both"/>
        <w:rPr>
          <w:rFonts w:ascii="Times New Roman" w:hAnsi="Times New Roman"/>
          <w:sz w:val="24"/>
        </w:rPr>
      </w:pPr>
      <w:r w:rsidRPr="00091C8C">
        <w:rPr>
          <w:rStyle w:val="FootnoteReference"/>
          <w:rFonts w:ascii="Times New Roman" w:hAnsi="Times New Roman"/>
          <w:sz w:val="22"/>
          <w:vertAlign w:val="baseline"/>
        </w:rPr>
        <w:footnoteRef/>
      </w:r>
      <w:r w:rsidRPr="00091C8C">
        <w:rPr>
          <w:rFonts w:ascii="Times New Roman" w:hAnsi="Times New Roman"/>
          <w:sz w:val="24"/>
        </w:rPr>
        <w:t xml:space="preserve"> </w:t>
      </w:r>
      <w:r w:rsidRPr="00091C8C">
        <w:rPr>
          <w:rFonts w:ascii="Times New Roman" w:hAnsi="Times New Roman"/>
          <w:sz w:val="24"/>
        </w:rPr>
        <w:tab/>
      </w:r>
      <w:r w:rsidRPr="00091C8C">
        <w:rPr>
          <w:rFonts w:ascii="Times New Roman" w:hAnsi="Times New Roman"/>
          <w:i/>
          <w:sz w:val="24"/>
        </w:rPr>
        <w:t>Perpetual Trustee Co Ltd v Morley</w:t>
      </w:r>
      <w:r w:rsidRPr="00091C8C">
        <w:rPr>
          <w:rFonts w:ascii="Times New Roman" w:hAnsi="Times New Roman"/>
          <w:sz w:val="24"/>
        </w:rPr>
        <w:t xml:space="preserve"> (1968) 121 CLR </w:t>
      </w:r>
      <w:r w:rsidR="001970E7" w:rsidRPr="00091C8C">
        <w:rPr>
          <w:rFonts w:ascii="Times New Roman" w:hAnsi="Times New Roman"/>
          <w:sz w:val="24"/>
        </w:rPr>
        <w:t>659 at 662-663.</w:t>
      </w:r>
    </w:p>
  </w:footnote>
  <w:footnote w:id="54">
    <w:p w14:paraId="53DF0D09" w14:textId="3B8FCDBD" w:rsidR="003C7445" w:rsidRPr="00091C8C" w:rsidRDefault="003C7445" w:rsidP="00091C8C">
      <w:pPr>
        <w:pStyle w:val="FootnoteText"/>
        <w:spacing w:line="280" w:lineRule="exact"/>
        <w:ind w:right="0"/>
        <w:jc w:val="both"/>
        <w:rPr>
          <w:rFonts w:ascii="Times New Roman" w:hAnsi="Times New Roman"/>
          <w:sz w:val="24"/>
        </w:rPr>
      </w:pPr>
      <w:r w:rsidRPr="00091C8C">
        <w:rPr>
          <w:rStyle w:val="FootnoteReference"/>
          <w:rFonts w:ascii="Times New Roman" w:hAnsi="Times New Roman"/>
          <w:sz w:val="22"/>
          <w:vertAlign w:val="baseline"/>
        </w:rPr>
        <w:footnoteRef/>
      </w:r>
      <w:r w:rsidRPr="00091C8C">
        <w:rPr>
          <w:rFonts w:ascii="Times New Roman" w:hAnsi="Times New Roman"/>
          <w:sz w:val="24"/>
        </w:rPr>
        <w:t xml:space="preserve"> </w:t>
      </w:r>
      <w:r w:rsidRPr="00091C8C">
        <w:rPr>
          <w:rFonts w:ascii="Times New Roman" w:hAnsi="Times New Roman"/>
          <w:sz w:val="24"/>
        </w:rPr>
        <w:tab/>
      </w:r>
      <w:r w:rsidR="00B23ECA" w:rsidRPr="00091C8C">
        <w:rPr>
          <w:rFonts w:ascii="Times New Roman" w:hAnsi="Times New Roman"/>
          <w:i/>
          <w:sz w:val="24"/>
        </w:rPr>
        <w:t>Perpetual Trustee Co Ltd v Morley</w:t>
      </w:r>
      <w:r w:rsidR="00B23ECA" w:rsidRPr="00091C8C">
        <w:rPr>
          <w:rFonts w:ascii="Times New Roman" w:hAnsi="Times New Roman"/>
          <w:sz w:val="24"/>
        </w:rPr>
        <w:t xml:space="preserve"> (1968) 121 CLR 659 at 663, quoting </w:t>
      </w:r>
      <w:r w:rsidR="00B23ECA" w:rsidRPr="00091C8C">
        <w:rPr>
          <w:rFonts w:ascii="Times New Roman" w:hAnsi="Times New Roman"/>
          <w:i/>
          <w:sz w:val="24"/>
        </w:rPr>
        <w:t>Cooper v Robinson</w:t>
      </w:r>
      <w:r w:rsidR="00B23ECA" w:rsidRPr="00091C8C">
        <w:rPr>
          <w:rFonts w:ascii="Times New Roman" w:hAnsi="Times New Roman"/>
          <w:sz w:val="24"/>
        </w:rPr>
        <w:t xml:space="preserve"> (1842) 10 M</w:t>
      </w:r>
      <w:r w:rsidR="002021C5" w:rsidRPr="00091C8C">
        <w:rPr>
          <w:rFonts w:ascii="Times New Roman" w:hAnsi="Times New Roman"/>
          <w:sz w:val="24"/>
        </w:rPr>
        <w:t xml:space="preserve"> </w:t>
      </w:r>
      <w:r w:rsidR="00B23ECA" w:rsidRPr="00091C8C">
        <w:rPr>
          <w:rFonts w:ascii="Times New Roman" w:hAnsi="Times New Roman"/>
          <w:sz w:val="24"/>
        </w:rPr>
        <w:t>&amp; W 694 at 696 [152 ER 651 at 652].</w:t>
      </w:r>
    </w:p>
  </w:footnote>
  <w:footnote w:id="55">
    <w:p w14:paraId="6EE5AFA8" w14:textId="16D4A79A" w:rsidR="00587E34" w:rsidRPr="00091C8C" w:rsidRDefault="00587E34" w:rsidP="00091C8C">
      <w:pPr>
        <w:pStyle w:val="FootnoteText"/>
        <w:spacing w:line="280" w:lineRule="exact"/>
        <w:ind w:right="0"/>
        <w:jc w:val="both"/>
        <w:rPr>
          <w:rFonts w:ascii="Times New Roman" w:hAnsi="Times New Roman"/>
          <w:sz w:val="24"/>
        </w:rPr>
      </w:pPr>
      <w:r w:rsidRPr="00091C8C">
        <w:rPr>
          <w:rStyle w:val="FootnoteReference"/>
          <w:rFonts w:ascii="Times New Roman" w:hAnsi="Times New Roman"/>
          <w:sz w:val="22"/>
          <w:vertAlign w:val="baseline"/>
        </w:rPr>
        <w:footnoteRef/>
      </w:r>
      <w:r w:rsidRPr="00091C8C">
        <w:rPr>
          <w:rFonts w:ascii="Times New Roman" w:hAnsi="Times New Roman"/>
          <w:sz w:val="24"/>
        </w:rPr>
        <w:t xml:space="preserve"> </w:t>
      </w:r>
      <w:r w:rsidRPr="00091C8C">
        <w:rPr>
          <w:rFonts w:ascii="Times New Roman" w:hAnsi="Times New Roman"/>
          <w:sz w:val="24"/>
        </w:rPr>
        <w:tab/>
      </w:r>
      <w:r w:rsidRPr="00091C8C">
        <w:rPr>
          <w:rFonts w:ascii="Times New Roman" w:hAnsi="Times New Roman"/>
          <w:i/>
          <w:sz w:val="24"/>
        </w:rPr>
        <w:t>Perpetual Trustee Co Ltd v Morley</w:t>
      </w:r>
      <w:r w:rsidRPr="00091C8C">
        <w:rPr>
          <w:rFonts w:ascii="Times New Roman" w:hAnsi="Times New Roman"/>
          <w:sz w:val="24"/>
        </w:rPr>
        <w:t xml:space="preserve"> (1968) 121 CLR 659 at 662, quoting </w:t>
      </w:r>
      <w:r w:rsidRPr="00091C8C">
        <w:rPr>
          <w:rFonts w:ascii="Times New Roman" w:hAnsi="Times New Roman"/>
          <w:i/>
          <w:sz w:val="24"/>
        </w:rPr>
        <w:t>Wyburd v Tuck</w:t>
      </w:r>
      <w:r w:rsidRPr="00091C8C">
        <w:rPr>
          <w:rFonts w:ascii="Times New Roman" w:hAnsi="Times New Roman"/>
          <w:sz w:val="24"/>
        </w:rPr>
        <w:t xml:space="preserve"> (1799) 1 B &amp; P 458 at 464 [126 ER 1009 at 1012].</w:t>
      </w:r>
    </w:p>
  </w:footnote>
  <w:footnote w:id="56">
    <w:p w14:paraId="5B38D928" w14:textId="6B1F38EF" w:rsidR="00EE1C49" w:rsidRPr="00091C8C" w:rsidRDefault="00EE1C49" w:rsidP="00091C8C">
      <w:pPr>
        <w:pStyle w:val="FootnoteText"/>
        <w:spacing w:line="280" w:lineRule="exact"/>
        <w:ind w:right="0"/>
        <w:jc w:val="both"/>
        <w:rPr>
          <w:rFonts w:ascii="Times New Roman" w:hAnsi="Times New Roman"/>
          <w:sz w:val="24"/>
        </w:rPr>
      </w:pPr>
      <w:r w:rsidRPr="00091C8C">
        <w:rPr>
          <w:rStyle w:val="FootnoteReference"/>
          <w:rFonts w:ascii="Times New Roman" w:hAnsi="Times New Roman"/>
          <w:sz w:val="22"/>
          <w:vertAlign w:val="baseline"/>
        </w:rPr>
        <w:footnoteRef/>
      </w:r>
      <w:r w:rsidRPr="00091C8C">
        <w:rPr>
          <w:rFonts w:ascii="Times New Roman" w:hAnsi="Times New Roman"/>
          <w:sz w:val="24"/>
        </w:rPr>
        <w:t xml:space="preserve"> </w:t>
      </w:r>
      <w:r w:rsidRPr="00091C8C">
        <w:rPr>
          <w:rFonts w:ascii="Times New Roman" w:hAnsi="Times New Roman"/>
          <w:sz w:val="24"/>
        </w:rPr>
        <w:tab/>
      </w:r>
      <w:r w:rsidR="00872620" w:rsidRPr="00091C8C">
        <w:rPr>
          <w:rFonts w:ascii="Times New Roman" w:hAnsi="Times New Roman"/>
          <w:i/>
          <w:sz w:val="24"/>
        </w:rPr>
        <w:t xml:space="preserve">In </w:t>
      </w:r>
      <w:r w:rsidR="00872CC3" w:rsidRPr="00091C8C">
        <w:rPr>
          <w:rFonts w:ascii="Times New Roman" w:hAnsi="Times New Roman"/>
          <w:i/>
          <w:sz w:val="24"/>
        </w:rPr>
        <w:t>r</w:t>
      </w:r>
      <w:r w:rsidRPr="00091C8C">
        <w:rPr>
          <w:rFonts w:ascii="Times New Roman" w:hAnsi="Times New Roman"/>
          <w:i/>
          <w:sz w:val="24"/>
        </w:rPr>
        <w:t>e Ro</w:t>
      </w:r>
      <w:r w:rsidR="00532AA5" w:rsidRPr="00091C8C">
        <w:rPr>
          <w:rFonts w:ascii="Times New Roman" w:hAnsi="Times New Roman"/>
          <w:i/>
          <w:sz w:val="24"/>
        </w:rPr>
        <w:t>b</w:t>
      </w:r>
      <w:r w:rsidRPr="00091C8C">
        <w:rPr>
          <w:rFonts w:ascii="Times New Roman" w:hAnsi="Times New Roman"/>
          <w:i/>
          <w:sz w:val="24"/>
        </w:rPr>
        <w:t>inson's Patent</w:t>
      </w:r>
      <w:r w:rsidRPr="00091C8C">
        <w:rPr>
          <w:rFonts w:ascii="Times New Roman" w:hAnsi="Times New Roman"/>
          <w:sz w:val="24"/>
        </w:rPr>
        <w:t xml:space="preserve"> (1918) 25 CLR </w:t>
      </w:r>
      <w:r w:rsidR="00532AA5" w:rsidRPr="00091C8C">
        <w:rPr>
          <w:rFonts w:ascii="Times New Roman" w:hAnsi="Times New Roman"/>
          <w:sz w:val="24"/>
        </w:rPr>
        <w:t>116 at 137</w:t>
      </w:r>
      <w:r w:rsidR="00295F4B" w:rsidRPr="00091C8C">
        <w:rPr>
          <w:rFonts w:ascii="Times New Roman" w:hAnsi="Times New Roman"/>
          <w:sz w:val="24"/>
        </w:rPr>
        <w:t xml:space="preserve"> and</w:t>
      </w:r>
      <w:r w:rsidR="00295F4B" w:rsidRPr="00091C8C">
        <w:rPr>
          <w:rFonts w:ascii="Times New Roman" w:hAnsi="Times New Roman"/>
          <w:i/>
          <w:sz w:val="24"/>
        </w:rPr>
        <w:t xml:space="preserve"> Sanofi v Parke Davis Pty Ltd</w:t>
      </w:r>
      <w:r w:rsidR="00295F4B" w:rsidRPr="00091C8C">
        <w:rPr>
          <w:rFonts w:ascii="Times New Roman" w:hAnsi="Times New Roman"/>
          <w:sz w:val="24"/>
        </w:rPr>
        <w:t xml:space="preserve"> </w:t>
      </w:r>
      <w:r w:rsidR="00505A73" w:rsidRPr="00091C8C">
        <w:rPr>
          <w:rFonts w:ascii="Times New Roman" w:hAnsi="Times New Roman"/>
          <w:i/>
          <w:iCs/>
          <w:sz w:val="24"/>
        </w:rPr>
        <w:t>[</w:t>
      </w:r>
      <w:r w:rsidR="00295F4B" w:rsidRPr="00091C8C">
        <w:rPr>
          <w:rFonts w:ascii="Times New Roman" w:hAnsi="Times New Roman"/>
          <w:i/>
          <w:sz w:val="24"/>
        </w:rPr>
        <w:t>No 2]</w:t>
      </w:r>
      <w:r w:rsidR="00295F4B" w:rsidRPr="00091C8C">
        <w:rPr>
          <w:rFonts w:ascii="Times New Roman" w:hAnsi="Times New Roman"/>
          <w:sz w:val="24"/>
        </w:rPr>
        <w:t xml:space="preserve"> (1983) 152 CLR 1 at 11</w:t>
      </w:r>
      <w:r w:rsidR="00532AA5" w:rsidRPr="00091C8C">
        <w:rPr>
          <w:rFonts w:ascii="Times New Roman" w:hAnsi="Times New Roman"/>
          <w:sz w:val="24"/>
        </w:rPr>
        <w:t xml:space="preserve">, </w:t>
      </w:r>
      <w:r w:rsidR="00443894" w:rsidRPr="00091C8C">
        <w:rPr>
          <w:rFonts w:ascii="Times New Roman" w:hAnsi="Times New Roman"/>
          <w:sz w:val="24"/>
        </w:rPr>
        <w:t xml:space="preserve">each </w:t>
      </w:r>
      <w:r w:rsidR="00532AA5" w:rsidRPr="00091C8C">
        <w:rPr>
          <w:rFonts w:ascii="Times New Roman" w:hAnsi="Times New Roman"/>
          <w:sz w:val="24"/>
        </w:rPr>
        <w:t xml:space="preserve">quoting </w:t>
      </w:r>
      <w:r w:rsidR="0047729F" w:rsidRPr="00091C8C">
        <w:rPr>
          <w:rFonts w:ascii="Times New Roman" w:hAnsi="Times New Roman"/>
          <w:i/>
          <w:sz w:val="24"/>
        </w:rPr>
        <w:t xml:space="preserve">Bovill v Finch </w:t>
      </w:r>
      <w:r w:rsidR="0047729F" w:rsidRPr="00091C8C">
        <w:rPr>
          <w:rFonts w:ascii="Times New Roman" w:hAnsi="Times New Roman"/>
          <w:sz w:val="24"/>
        </w:rPr>
        <w:t xml:space="preserve">(1870) LR 5 </w:t>
      </w:r>
      <w:r w:rsidR="00206E4D" w:rsidRPr="00091C8C">
        <w:rPr>
          <w:rFonts w:ascii="Times New Roman" w:hAnsi="Times New Roman"/>
          <w:sz w:val="24"/>
        </w:rPr>
        <w:t>CP</w:t>
      </w:r>
      <w:r w:rsidR="0047729F" w:rsidRPr="00091C8C">
        <w:rPr>
          <w:rFonts w:ascii="Times New Roman" w:hAnsi="Times New Roman"/>
          <w:sz w:val="24"/>
        </w:rPr>
        <w:t xml:space="preserve"> </w:t>
      </w:r>
      <w:r w:rsidR="00634745" w:rsidRPr="00091C8C">
        <w:rPr>
          <w:rFonts w:ascii="Times New Roman" w:hAnsi="Times New Roman"/>
          <w:sz w:val="24"/>
        </w:rPr>
        <w:t>523 at 532.</w:t>
      </w:r>
      <w:r w:rsidR="00EC677D" w:rsidRPr="00091C8C">
        <w:rPr>
          <w:rFonts w:ascii="Times New Roman" w:hAnsi="Times New Roman"/>
          <w:sz w:val="24"/>
        </w:rPr>
        <w:t xml:space="preserve"> See also </w:t>
      </w:r>
      <w:r w:rsidR="00EC677D" w:rsidRPr="00091C8C">
        <w:rPr>
          <w:rFonts w:ascii="Times New Roman" w:hAnsi="Times New Roman"/>
          <w:i/>
          <w:sz w:val="24"/>
        </w:rPr>
        <w:t>Ex parte Celotex Corporation; In re Shaw's Patents</w:t>
      </w:r>
      <w:r w:rsidR="00EC677D" w:rsidRPr="00091C8C">
        <w:rPr>
          <w:rFonts w:ascii="Times New Roman" w:hAnsi="Times New Roman"/>
          <w:sz w:val="24"/>
        </w:rPr>
        <w:t xml:space="preserve"> (1937) 57 CLR 19 at 25.</w:t>
      </w:r>
    </w:p>
  </w:footnote>
  <w:footnote w:id="57">
    <w:p w14:paraId="4C1618CB" w14:textId="27D81E9D" w:rsidR="00CA4B7E" w:rsidRPr="00091C8C" w:rsidRDefault="00CA4B7E" w:rsidP="00091C8C">
      <w:pPr>
        <w:pStyle w:val="FootnoteText"/>
        <w:spacing w:line="280" w:lineRule="exact"/>
        <w:ind w:right="0"/>
        <w:jc w:val="both"/>
        <w:rPr>
          <w:rFonts w:ascii="Times New Roman" w:hAnsi="Times New Roman"/>
          <w:sz w:val="24"/>
        </w:rPr>
      </w:pPr>
      <w:r w:rsidRPr="00091C8C">
        <w:rPr>
          <w:rStyle w:val="FootnoteReference"/>
          <w:rFonts w:ascii="Times New Roman" w:hAnsi="Times New Roman"/>
          <w:sz w:val="22"/>
          <w:vertAlign w:val="baseline"/>
        </w:rPr>
        <w:footnoteRef/>
      </w:r>
      <w:r w:rsidRPr="00091C8C">
        <w:rPr>
          <w:rFonts w:ascii="Times New Roman" w:hAnsi="Times New Roman"/>
          <w:sz w:val="24"/>
        </w:rPr>
        <w:t xml:space="preserve"> </w:t>
      </w:r>
      <w:r w:rsidRPr="00091C8C">
        <w:rPr>
          <w:rFonts w:ascii="Times New Roman" w:hAnsi="Times New Roman"/>
          <w:sz w:val="24"/>
        </w:rPr>
        <w:tab/>
      </w:r>
      <w:r w:rsidR="001F76A6" w:rsidRPr="00091C8C">
        <w:rPr>
          <w:rFonts w:ascii="Times New Roman" w:hAnsi="Times New Roman"/>
          <w:i/>
          <w:sz w:val="24"/>
        </w:rPr>
        <w:t>Ex parte Celotex Corporation; In re Shaw's Patents</w:t>
      </w:r>
      <w:r w:rsidR="001F76A6" w:rsidRPr="00091C8C">
        <w:rPr>
          <w:rFonts w:ascii="Times New Roman" w:hAnsi="Times New Roman"/>
          <w:sz w:val="24"/>
        </w:rPr>
        <w:t xml:space="preserve"> (1937) 57 CLR </w:t>
      </w:r>
      <w:r w:rsidR="002D50BD" w:rsidRPr="00091C8C">
        <w:rPr>
          <w:rFonts w:ascii="Times New Roman" w:hAnsi="Times New Roman"/>
          <w:sz w:val="24"/>
        </w:rPr>
        <w:t xml:space="preserve">19 at 25. </w:t>
      </w:r>
      <w:r w:rsidR="00607CCA" w:rsidRPr="00091C8C">
        <w:rPr>
          <w:rFonts w:ascii="Times New Roman" w:hAnsi="Times New Roman"/>
          <w:sz w:val="24"/>
        </w:rPr>
        <w:t xml:space="preserve">See </w:t>
      </w:r>
      <w:r w:rsidR="00DE7BB4" w:rsidRPr="00091C8C">
        <w:rPr>
          <w:rFonts w:ascii="Times New Roman" w:hAnsi="Times New Roman"/>
          <w:sz w:val="24"/>
        </w:rPr>
        <w:t>eg</w:t>
      </w:r>
      <w:r w:rsidR="00A43C42" w:rsidRPr="00091C8C">
        <w:rPr>
          <w:rFonts w:ascii="Times New Roman" w:hAnsi="Times New Roman"/>
          <w:sz w:val="24"/>
        </w:rPr>
        <w:t xml:space="preserve"> </w:t>
      </w:r>
      <w:r w:rsidR="00505A73" w:rsidRPr="00091C8C">
        <w:rPr>
          <w:rFonts w:ascii="Times New Roman" w:hAnsi="Times New Roman"/>
          <w:i/>
          <w:sz w:val="24"/>
        </w:rPr>
        <w:t>I</w:t>
      </w:r>
      <w:r w:rsidR="00D63645" w:rsidRPr="00091C8C">
        <w:rPr>
          <w:rFonts w:ascii="Times New Roman" w:hAnsi="Times New Roman"/>
          <w:i/>
          <w:sz w:val="24"/>
        </w:rPr>
        <w:t>n r</w:t>
      </w:r>
      <w:r w:rsidR="00C94998" w:rsidRPr="00091C8C">
        <w:rPr>
          <w:rFonts w:ascii="Times New Roman" w:hAnsi="Times New Roman"/>
          <w:i/>
          <w:sz w:val="24"/>
        </w:rPr>
        <w:t>e Robinson's Patent</w:t>
      </w:r>
      <w:r w:rsidR="00C94998" w:rsidRPr="00091C8C">
        <w:rPr>
          <w:rFonts w:ascii="Times New Roman" w:hAnsi="Times New Roman"/>
          <w:sz w:val="24"/>
        </w:rPr>
        <w:t xml:space="preserve"> (1918) 25 CLR 116 at 13</w:t>
      </w:r>
      <w:r w:rsidR="00E16FAB" w:rsidRPr="00091C8C">
        <w:rPr>
          <w:rFonts w:ascii="Times New Roman" w:hAnsi="Times New Roman"/>
          <w:sz w:val="24"/>
        </w:rPr>
        <w:t>9</w:t>
      </w:r>
      <w:r w:rsidR="001C4415" w:rsidRPr="00091C8C">
        <w:rPr>
          <w:rFonts w:ascii="Times New Roman" w:hAnsi="Times New Roman"/>
          <w:sz w:val="24"/>
        </w:rPr>
        <w:t xml:space="preserve">; </w:t>
      </w:r>
      <w:r w:rsidR="007A3D53" w:rsidRPr="00091C8C">
        <w:rPr>
          <w:rFonts w:ascii="Times New Roman" w:hAnsi="Times New Roman"/>
          <w:i/>
          <w:sz w:val="24"/>
        </w:rPr>
        <w:t>Gillette Industries Ltd v Commissioner of Patents</w:t>
      </w:r>
      <w:r w:rsidR="007A3D53" w:rsidRPr="00091C8C">
        <w:rPr>
          <w:rFonts w:ascii="Times New Roman" w:hAnsi="Times New Roman"/>
          <w:sz w:val="24"/>
        </w:rPr>
        <w:t xml:space="preserve"> (1943) 67 CLR 529 at 535; </w:t>
      </w:r>
      <w:r w:rsidR="00E16FAB" w:rsidRPr="00091C8C">
        <w:rPr>
          <w:rFonts w:ascii="Times New Roman" w:hAnsi="Times New Roman"/>
          <w:i/>
          <w:sz w:val="24"/>
        </w:rPr>
        <w:t xml:space="preserve">In </w:t>
      </w:r>
      <w:r w:rsidR="00D11B3C" w:rsidRPr="00091C8C">
        <w:rPr>
          <w:rFonts w:ascii="Times New Roman" w:hAnsi="Times New Roman"/>
          <w:i/>
          <w:sz w:val="24"/>
        </w:rPr>
        <w:t>r</w:t>
      </w:r>
      <w:r w:rsidR="00E16FAB" w:rsidRPr="00091C8C">
        <w:rPr>
          <w:rFonts w:ascii="Times New Roman" w:hAnsi="Times New Roman"/>
          <w:i/>
          <w:sz w:val="24"/>
        </w:rPr>
        <w:t xml:space="preserve">e Usines </w:t>
      </w:r>
      <w:r w:rsidR="00D63645" w:rsidRPr="00091C8C">
        <w:rPr>
          <w:rFonts w:ascii="Times New Roman" w:hAnsi="Times New Roman"/>
          <w:i/>
          <w:sz w:val="24"/>
        </w:rPr>
        <w:t>d</w:t>
      </w:r>
      <w:r w:rsidR="00E16FAB" w:rsidRPr="00091C8C">
        <w:rPr>
          <w:rFonts w:ascii="Times New Roman" w:hAnsi="Times New Roman"/>
          <w:i/>
          <w:sz w:val="24"/>
        </w:rPr>
        <w:t>e Melle's Patent</w:t>
      </w:r>
      <w:r w:rsidR="00E16FAB" w:rsidRPr="00091C8C">
        <w:rPr>
          <w:rFonts w:ascii="Times New Roman" w:hAnsi="Times New Roman"/>
          <w:sz w:val="24"/>
        </w:rPr>
        <w:t xml:space="preserve"> (1954) 91 CLR 42 at 52</w:t>
      </w:r>
      <w:r w:rsidR="007A3D53" w:rsidRPr="00091C8C">
        <w:rPr>
          <w:rFonts w:ascii="Times New Roman" w:hAnsi="Times New Roman"/>
          <w:sz w:val="24"/>
        </w:rPr>
        <w:t>.</w:t>
      </w:r>
      <w:r w:rsidR="00E16FAB" w:rsidRPr="00091C8C">
        <w:rPr>
          <w:rFonts w:ascii="Times New Roman" w:hAnsi="Times New Roman"/>
          <w:sz w:val="24"/>
        </w:rPr>
        <w:t xml:space="preserve"> </w:t>
      </w:r>
    </w:p>
  </w:footnote>
  <w:footnote w:id="58">
    <w:p w14:paraId="1C3A7613" w14:textId="4E7E55AA" w:rsidR="005637BA" w:rsidRPr="00091C8C" w:rsidRDefault="005637BA" w:rsidP="00091C8C">
      <w:pPr>
        <w:pStyle w:val="FootnoteText"/>
        <w:spacing w:line="280" w:lineRule="exact"/>
        <w:ind w:right="0"/>
        <w:jc w:val="both"/>
        <w:rPr>
          <w:rFonts w:ascii="Times New Roman" w:hAnsi="Times New Roman"/>
          <w:sz w:val="24"/>
        </w:rPr>
      </w:pPr>
      <w:r w:rsidRPr="00091C8C">
        <w:rPr>
          <w:rStyle w:val="FootnoteReference"/>
          <w:rFonts w:ascii="Times New Roman" w:hAnsi="Times New Roman"/>
          <w:sz w:val="22"/>
          <w:vertAlign w:val="baseline"/>
        </w:rPr>
        <w:footnoteRef/>
      </w:r>
      <w:r w:rsidRPr="00091C8C">
        <w:rPr>
          <w:rFonts w:ascii="Times New Roman" w:hAnsi="Times New Roman"/>
          <w:sz w:val="24"/>
        </w:rPr>
        <w:t xml:space="preserve"> </w:t>
      </w:r>
      <w:r w:rsidRPr="00091C8C">
        <w:rPr>
          <w:rFonts w:ascii="Times New Roman" w:hAnsi="Times New Roman"/>
          <w:sz w:val="24"/>
        </w:rPr>
        <w:tab/>
        <w:t>(1983) 152 CLR 1.</w:t>
      </w:r>
    </w:p>
  </w:footnote>
  <w:footnote w:id="59">
    <w:p w14:paraId="36DA9633" w14:textId="4B4B1B7D" w:rsidR="00191415" w:rsidRPr="00091C8C" w:rsidRDefault="00191415" w:rsidP="00091C8C">
      <w:pPr>
        <w:pStyle w:val="FootnoteText"/>
        <w:spacing w:line="280" w:lineRule="exact"/>
        <w:ind w:right="0"/>
        <w:jc w:val="both"/>
        <w:rPr>
          <w:rFonts w:ascii="Times New Roman" w:hAnsi="Times New Roman"/>
          <w:sz w:val="24"/>
        </w:rPr>
      </w:pPr>
      <w:r w:rsidRPr="00091C8C">
        <w:rPr>
          <w:rStyle w:val="FootnoteReference"/>
          <w:rFonts w:ascii="Times New Roman" w:hAnsi="Times New Roman"/>
          <w:sz w:val="22"/>
          <w:vertAlign w:val="baseline"/>
        </w:rPr>
        <w:footnoteRef/>
      </w:r>
      <w:r w:rsidRPr="00091C8C">
        <w:rPr>
          <w:rFonts w:ascii="Times New Roman" w:hAnsi="Times New Roman"/>
          <w:sz w:val="24"/>
        </w:rPr>
        <w:t xml:space="preserve"> </w:t>
      </w:r>
      <w:r w:rsidRPr="00091C8C">
        <w:rPr>
          <w:rFonts w:ascii="Times New Roman" w:hAnsi="Times New Roman"/>
          <w:sz w:val="24"/>
        </w:rPr>
        <w:tab/>
        <w:t>(1983) 152 CLR 1 at 15.</w:t>
      </w:r>
    </w:p>
  </w:footnote>
  <w:footnote w:id="60">
    <w:p w14:paraId="15095E49" w14:textId="4B4CB941" w:rsidR="000C1683" w:rsidRPr="00091C8C" w:rsidRDefault="000C1683" w:rsidP="00091C8C">
      <w:pPr>
        <w:pStyle w:val="FootnoteText"/>
        <w:spacing w:line="280" w:lineRule="exact"/>
        <w:ind w:right="0"/>
        <w:jc w:val="both"/>
        <w:rPr>
          <w:rFonts w:ascii="Times New Roman" w:hAnsi="Times New Roman"/>
          <w:sz w:val="24"/>
        </w:rPr>
      </w:pPr>
      <w:r w:rsidRPr="00091C8C">
        <w:rPr>
          <w:rStyle w:val="FootnoteReference"/>
          <w:rFonts w:ascii="Times New Roman" w:hAnsi="Times New Roman"/>
          <w:sz w:val="22"/>
          <w:vertAlign w:val="baseline"/>
        </w:rPr>
        <w:footnoteRef/>
      </w:r>
      <w:r w:rsidRPr="00091C8C">
        <w:rPr>
          <w:rFonts w:ascii="Times New Roman" w:hAnsi="Times New Roman"/>
          <w:sz w:val="24"/>
        </w:rPr>
        <w:t xml:space="preserve"> </w:t>
      </w:r>
      <w:r w:rsidRPr="00091C8C">
        <w:rPr>
          <w:rFonts w:ascii="Times New Roman" w:hAnsi="Times New Roman"/>
          <w:sz w:val="24"/>
        </w:rPr>
        <w:tab/>
        <w:t>(1983) 152 CLR 1 at 20-21</w:t>
      </w:r>
      <w:r w:rsidR="0067249D" w:rsidRPr="00091C8C">
        <w:rPr>
          <w:rFonts w:ascii="Times New Roman" w:hAnsi="Times New Roman"/>
          <w:sz w:val="24"/>
        </w:rPr>
        <w:t xml:space="preserve"> (cleaned up)</w:t>
      </w:r>
      <w:r w:rsidRPr="00091C8C">
        <w:rPr>
          <w:rFonts w:ascii="Times New Roman" w:hAnsi="Times New Roman"/>
          <w:sz w:val="24"/>
        </w:rPr>
        <w:t>.</w:t>
      </w:r>
    </w:p>
  </w:footnote>
  <w:footnote w:id="61">
    <w:p w14:paraId="0C2A8893" w14:textId="26D24F59" w:rsidR="00E1192A" w:rsidRPr="00091C8C" w:rsidRDefault="00E1192A" w:rsidP="00091C8C">
      <w:pPr>
        <w:pStyle w:val="FootnoteText"/>
        <w:spacing w:line="280" w:lineRule="exact"/>
        <w:ind w:right="0"/>
        <w:jc w:val="both"/>
        <w:rPr>
          <w:rFonts w:ascii="Times New Roman" w:hAnsi="Times New Roman"/>
          <w:sz w:val="24"/>
        </w:rPr>
      </w:pPr>
      <w:r w:rsidRPr="00091C8C">
        <w:rPr>
          <w:rStyle w:val="FootnoteReference"/>
          <w:rFonts w:ascii="Times New Roman" w:hAnsi="Times New Roman"/>
          <w:sz w:val="22"/>
          <w:vertAlign w:val="baseline"/>
        </w:rPr>
        <w:footnoteRef/>
      </w:r>
      <w:r w:rsidRPr="00091C8C">
        <w:rPr>
          <w:rFonts w:ascii="Times New Roman" w:hAnsi="Times New Roman"/>
          <w:sz w:val="24"/>
        </w:rPr>
        <w:t xml:space="preserve"> </w:t>
      </w:r>
      <w:r w:rsidRPr="00091C8C">
        <w:rPr>
          <w:rFonts w:ascii="Times New Roman" w:hAnsi="Times New Roman"/>
          <w:sz w:val="24"/>
        </w:rPr>
        <w:tab/>
      </w:r>
      <w:r w:rsidR="00201442" w:rsidRPr="00091C8C">
        <w:rPr>
          <w:rFonts w:ascii="Times New Roman" w:hAnsi="Times New Roman"/>
          <w:sz w:val="24"/>
        </w:rPr>
        <w:t>Australia, Senate</w:t>
      </w:r>
      <w:r w:rsidR="002C2668" w:rsidRPr="00091C8C">
        <w:rPr>
          <w:rFonts w:ascii="Times New Roman" w:hAnsi="Times New Roman"/>
          <w:sz w:val="24"/>
        </w:rPr>
        <w:t>,</w:t>
      </w:r>
      <w:r w:rsidR="00201442" w:rsidRPr="00091C8C">
        <w:rPr>
          <w:rFonts w:ascii="Times New Roman" w:hAnsi="Times New Roman"/>
          <w:sz w:val="24"/>
        </w:rPr>
        <w:t xml:space="preserve"> </w:t>
      </w:r>
      <w:r w:rsidR="00201442" w:rsidRPr="00091C8C">
        <w:rPr>
          <w:rFonts w:ascii="Times New Roman" w:hAnsi="Times New Roman"/>
          <w:i/>
          <w:sz w:val="24"/>
        </w:rPr>
        <w:t>Patents Amendment Bill</w:t>
      </w:r>
      <w:r w:rsidR="00201442" w:rsidRPr="00091C8C">
        <w:rPr>
          <w:rFonts w:ascii="Times New Roman" w:hAnsi="Times New Roman"/>
          <w:sz w:val="24"/>
        </w:rPr>
        <w:t xml:space="preserve"> </w:t>
      </w:r>
      <w:r w:rsidR="00201442" w:rsidRPr="00091C8C">
        <w:rPr>
          <w:rFonts w:ascii="Times New Roman" w:hAnsi="Times New Roman"/>
          <w:i/>
          <w:sz w:val="24"/>
        </w:rPr>
        <w:t>1989</w:t>
      </w:r>
      <w:r w:rsidR="00201442" w:rsidRPr="00091C8C">
        <w:rPr>
          <w:rFonts w:ascii="Times New Roman" w:hAnsi="Times New Roman"/>
          <w:sz w:val="24"/>
        </w:rPr>
        <w:t>, Exp</w:t>
      </w:r>
      <w:r w:rsidR="005632D8" w:rsidRPr="00091C8C">
        <w:rPr>
          <w:rFonts w:ascii="Times New Roman" w:hAnsi="Times New Roman"/>
          <w:sz w:val="24"/>
        </w:rPr>
        <w:t>l</w:t>
      </w:r>
      <w:r w:rsidR="00201442" w:rsidRPr="00091C8C">
        <w:rPr>
          <w:rFonts w:ascii="Times New Roman" w:hAnsi="Times New Roman"/>
          <w:sz w:val="24"/>
        </w:rPr>
        <w:t>anatory Memora</w:t>
      </w:r>
      <w:r w:rsidR="005632D8" w:rsidRPr="00091C8C">
        <w:rPr>
          <w:rFonts w:ascii="Times New Roman" w:hAnsi="Times New Roman"/>
          <w:sz w:val="24"/>
        </w:rPr>
        <w:t xml:space="preserve">ndum </w:t>
      </w:r>
      <w:r w:rsidR="00E0209D" w:rsidRPr="00091C8C">
        <w:rPr>
          <w:rFonts w:ascii="Times New Roman" w:hAnsi="Times New Roman"/>
          <w:sz w:val="24"/>
        </w:rPr>
        <w:t xml:space="preserve">at </w:t>
      </w:r>
      <w:r w:rsidR="005632D8" w:rsidRPr="00091C8C">
        <w:rPr>
          <w:rFonts w:ascii="Times New Roman" w:hAnsi="Times New Roman"/>
          <w:sz w:val="24"/>
        </w:rPr>
        <w:t>2 [1].</w:t>
      </w:r>
    </w:p>
  </w:footnote>
  <w:footnote w:id="62">
    <w:p w14:paraId="1565FB3C" w14:textId="12982A9A" w:rsidR="00B75159" w:rsidRPr="00091C8C" w:rsidRDefault="00B75159" w:rsidP="00091C8C">
      <w:pPr>
        <w:pStyle w:val="FootnoteText"/>
        <w:spacing w:line="280" w:lineRule="exact"/>
        <w:ind w:right="0"/>
        <w:jc w:val="both"/>
        <w:rPr>
          <w:rFonts w:ascii="Times New Roman" w:hAnsi="Times New Roman"/>
          <w:sz w:val="24"/>
        </w:rPr>
      </w:pPr>
      <w:r w:rsidRPr="00091C8C">
        <w:rPr>
          <w:rStyle w:val="FootnoteReference"/>
          <w:rFonts w:ascii="Times New Roman" w:hAnsi="Times New Roman"/>
          <w:sz w:val="22"/>
          <w:vertAlign w:val="baseline"/>
        </w:rPr>
        <w:footnoteRef/>
      </w:r>
      <w:r w:rsidRPr="00091C8C">
        <w:rPr>
          <w:rFonts w:ascii="Times New Roman" w:hAnsi="Times New Roman"/>
          <w:sz w:val="24"/>
        </w:rPr>
        <w:t xml:space="preserve"> </w:t>
      </w:r>
      <w:r w:rsidRPr="00091C8C">
        <w:rPr>
          <w:rFonts w:ascii="Times New Roman" w:hAnsi="Times New Roman"/>
          <w:sz w:val="24"/>
        </w:rPr>
        <w:tab/>
        <w:t>Section 9</w:t>
      </w:r>
      <w:r w:rsidR="006F6B7C" w:rsidRPr="00091C8C">
        <w:rPr>
          <w:rFonts w:ascii="Times New Roman" w:hAnsi="Times New Roman"/>
          <w:sz w:val="24"/>
        </w:rPr>
        <w:t>6</w:t>
      </w:r>
      <w:r w:rsidRPr="00091C8C">
        <w:rPr>
          <w:rFonts w:ascii="Times New Roman" w:hAnsi="Times New Roman"/>
          <w:sz w:val="24"/>
        </w:rPr>
        <w:t xml:space="preserve">A of the </w:t>
      </w:r>
      <w:r w:rsidR="009C0AA7" w:rsidRPr="00091C8C">
        <w:rPr>
          <w:rFonts w:ascii="Times New Roman" w:hAnsi="Times New Roman"/>
          <w:sz w:val="24"/>
        </w:rPr>
        <w:t xml:space="preserve">1952 </w:t>
      </w:r>
      <w:r w:rsidRPr="00091C8C">
        <w:rPr>
          <w:rFonts w:ascii="Times New Roman" w:hAnsi="Times New Roman"/>
          <w:sz w:val="24"/>
        </w:rPr>
        <w:t>Act.</w:t>
      </w:r>
    </w:p>
  </w:footnote>
  <w:footnote w:id="63">
    <w:p w14:paraId="36E5D265" w14:textId="617B5B9A" w:rsidR="0026707B" w:rsidRPr="00091C8C" w:rsidRDefault="0026707B" w:rsidP="00091C8C">
      <w:pPr>
        <w:pStyle w:val="FootnoteText"/>
        <w:spacing w:line="280" w:lineRule="exact"/>
        <w:ind w:right="0"/>
        <w:jc w:val="both"/>
        <w:rPr>
          <w:rFonts w:ascii="Times New Roman" w:hAnsi="Times New Roman"/>
          <w:sz w:val="24"/>
        </w:rPr>
      </w:pPr>
      <w:r w:rsidRPr="00091C8C">
        <w:rPr>
          <w:rStyle w:val="FootnoteReference"/>
          <w:rFonts w:ascii="Times New Roman" w:hAnsi="Times New Roman"/>
          <w:sz w:val="22"/>
          <w:vertAlign w:val="baseline"/>
        </w:rPr>
        <w:footnoteRef/>
      </w:r>
      <w:r w:rsidRPr="00091C8C">
        <w:rPr>
          <w:rFonts w:ascii="Times New Roman" w:hAnsi="Times New Roman"/>
          <w:sz w:val="24"/>
        </w:rPr>
        <w:t xml:space="preserve"> </w:t>
      </w:r>
      <w:r w:rsidRPr="00091C8C">
        <w:rPr>
          <w:rFonts w:ascii="Times New Roman" w:hAnsi="Times New Roman"/>
          <w:sz w:val="24"/>
        </w:rPr>
        <w:tab/>
      </w:r>
      <w:r w:rsidR="00361336" w:rsidRPr="00091C8C">
        <w:rPr>
          <w:rFonts w:ascii="Times New Roman" w:hAnsi="Times New Roman"/>
          <w:sz w:val="24"/>
        </w:rPr>
        <w:t>Australia, Senate</w:t>
      </w:r>
      <w:r w:rsidR="00A3470C" w:rsidRPr="00091C8C">
        <w:rPr>
          <w:rFonts w:ascii="Times New Roman" w:hAnsi="Times New Roman"/>
          <w:sz w:val="24"/>
        </w:rPr>
        <w:t>,</w:t>
      </w:r>
      <w:r w:rsidR="00361336" w:rsidRPr="00091C8C">
        <w:rPr>
          <w:rFonts w:ascii="Times New Roman" w:hAnsi="Times New Roman"/>
          <w:sz w:val="24"/>
        </w:rPr>
        <w:t xml:space="preserve"> </w:t>
      </w:r>
      <w:r w:rsidR="00361336" w:rsidRPr="00091C8C">
        <w:rPr>
          <w:rFonts w:ascii="Times New Roman" w:hAnsi="Times New Roman"/>
          <w:i/>
          <w:sz w:val="24"/>
        </w:rPr>
        <w:t>Patents Amendment Bill</w:t>
      </w:r>
      <w:r w:rsidR="00361336" w:rsidRPr="00091C8C">
        <w:rPr>
          <w:rFonts w:ascii="Times New Roman" w:hAnsi="Times New Roman"/>
          <w:sz w:val="24"/>
        </w:rPr>
        <w:t xml:space="preserve"> </w:t>
      </w:r>
      <w:r w:rsidR="00361336" w:rsidRPr="00091C8C">
        <w:rPr>
          <w:rFonts w:ascii="Times New Roman" w:hAnsi="Times New Roman"/>
          <w:i/>
          <w:sz w:val="24"/>
        </w:rPr>
        <w:t>1989</w:t>
      </w:r>
      <w:r w:rsidR="00361336" w:rsidRPr="00091C8C">
        <w:rPr>
          <w:rFonts w:ascii="Times New Roman" w:hAnsi="Times New Roman"/>
          <w:sz w:val="24"/>
        </w:rPr>
        <w:t xml:space="preserve">, Explanatory Memorandum </w:t>
      </w:r>
      <w:r w:rsidR="006F6B7C" w:rsidRPr="00091C8C">
        <w:rPr>
          <w:rFonts w:ascii="Times New Roman" w:hAnsi="Times New Roman"/>
          <w:sz w:val="24"/>
        </w:rPr>
        <w:t xml:space="preserve">at </w:t>
      </w:r>
      <w:r w:rsidR="00361336" w:rsidRPr="00091C8C">
        <w:rPr>
          <w:rFonts w:ascii="Times New Roman" w:hAnsi="Times New Roman"/>
          <w:sz w:val="24"/>
        </w:rPr>
        <w:t>6 [27].</w:t>
      </w:r>
    </w:p>
  </w:footnote>
  <w:footnote w:id="64">
    <w:p w14:paraId="370B354C" w14:textId="452EA561" w:rsidR="00A605A6" w:rsidRPr="00091C8C" w:rsidRDefault="00A605A6" w:rsidP="00091C8C">
      <w:pPr>
        <w:pStyle w:val="FootnoteText"/>
        <w:spacing w:line="280" w:lineRule="exact"/>
        <w:ind w:right="0"/>
        <w:jc w:val="both"/>
        <w:rPr>
          <w:rFonts w:ascii="Times New Roman" w:hAnsi="Times New Roman"/>
          <w:sz w:val="24"/>
        </w:rPr>
      </w:pPr>
      <w:r w:rsidRPr="00091C8C">
        <w:rPr>
          <w:rStyle w:val="FootnoteReference"/>
          <w:rFonts w:ascii="Times New Roman" w:hAnsi="Times New Roman"/>
          <w:sz w:val="22"/>
          <w:vertAlign w:val="baseline"/>
        </w:rPr>
        <w:footnoteRef/>
      </w:r>
      <w:r w:rsidRPr="00091C8C">
        <w:rPr>
          <w:rFonts w:ascii="Times New Roman" w:hAnsi="Times New Roman"/>
          <w:sz w:val="24"/>
        </w:rPr>
        <w:t xml:space="preserve"> </w:t>
      </w:r>
      <w:r w:rsidR="005E7567" w:rsidRPr="00091C8C">
        <w:rPr>
          <w:rFonts w:ascii="Times New Roman" w:hAnsi="Times New Roman"/>
          <w:sz w:val="24"/>
        </w:rPr>
        <w:tab/>
      </w:r>
      <w:r w:rsidR="0044559D" w:rsidRPr="00091C8C">
        <w:rPr>
          <w:rFonts w:ascii="Times New Roman" w:hAnsi="Times New Roman"/>
          <w:i/>
          <w:sz w:val="24"/>
        </w:rPr>
        <w:t>Alp</w:t>
      </w:r>
      <w:r w:rsidR="00194B30" w:rsidRPr="00091C8C">
        <w:rPr>
          <w:rFonts w:ascii="Times New Roman" w:hAnsi="Times New Roman"/>
          <w:i/>
          <w:sz w:val="24"/>
        </w:rPr>
        <w:t>h</w:t>
      </w:r>
      <w:r w:rsidR="00F1266E" w:rsidRPr="00091C8C">
        <w:rPr>
          <w:rFonts w:ascii="Times New Roman" w:hAnsi="Times New Roman"/>
          <w:i/>
          <w:sz w:val="24"/>
        </w:rPr>
        <w:t>a</w:t>
      </w:r>
      <w:r w:rsidR="006454B8" w:rsidRPr="00091C8C">
        <w:rPr>
          <w:rFonts w:ascii="Times New Roman" w:hAnsi="Times New Roman"/>
          <w:i/>
          <w:sz w:val="24"/>
        </w:rPr>
        <w:t>p</w:t>
      </w:r>
      <w:r w:rsidR="005F0E70" w:rsidRPr="00091C8C">
        <w:rPr>
          <w:rFonts w:ascii="Times New Roman" w:hAnsi="Times New Roman"/>
          <w:i/>
          <w:sz w:val="24"/>
        </w:rPr>
        <w:t>harm</w:t>
      </w:r>
      <w:r w:rsidR="00C8679B" w:rsidRPr="00091C8C">
        <w:rPr>
          <w:rFonts w:ascii="Times New Roman" w:hAnsi="Times New Roman"/>
          <w:i/>
          <w:sz w:val="24"/>
        </w:rPr>
        <w:t xml:space="preserve"> Pty Ltd v H Lundbeck</w:t>
      </w:r>
      <w:r w:rsidR="00A25AE7" w:rsidRPr="00091C8C">
        <w:rPr>
          <w:rFonts w:ascii="Times New Roman" w:hAnsi="Times New Roman"/>
          <w:i/>
          <w:sz w:val="24"/>
        </w:rPr>
        <w:t xml:space="preserve"> A/S</w:t>
      </w:r>
      <w:r w:rsidR="00A25AE7" w:rsidRPr="00091C8C">
        <w:rPr>
          <w:rFonts w:ascii="Times New Roman" w:hAnsi="Times New Roman"/>
          <w:sz w:val="24"/>
        </w:rPr>
        <w:t xml:space="preserve"> (2008) 76 IPR 618.</w:t>
      </w:r>
    </w:p>
  </w:footnote>
  <w:footnote w:id="65">
    <w:p w14:paraId="02412D16" w14:textId="1F7A4ED8" w:rsidR="00A605A6" w:rsidRPr="00091C8C" w:rsidRDefault="00A605A6" w:rsidP="00091C8C">
      <w:pPr>
        <w:pStyle w:val="FootnoteText"/>
        <w:spacing w:line="280" w:lineRule="exact"/>
        <w:ind w:right="0"/>
        <w:jc w:val="both"/>
        <w:rPr>
          <w:rFonts w:ascii="Times New Roman" w:hAnsi="Times New Roman"/>
          <w:sz w:val="24"/>
        </w:rPr>
      </w:pPr>
      <w:r w:rsidRPr="00091C8C">
        <w:rPr>
          <w:rStyle w:val="FootnoteReference"/>
          <w:rFonts w:ascii="Times New Roman" w:hAnsi="Times New Roman"/>
          <w:sz w:val="22"/>
          <w:vertAlign w:val="baseline"/>
        </w:rPr>
        <w:footnoteRef/>
      </w:r>
      <w:r w:rsidRPr="00091C8C">
        <w:rPr>
          <w:rFonts w:ascii="Times New Roman" w:hAnsi="Times New Roman"/>
          <w:sz w:val="24"/>
        </w:rPr>
        <w:t xml:space="preserve"> </w:t>
      </w:r>
      <w:r w:rsidR="00B00743" w:rsidRPr="00091C8C">
        <w:rPr>
          <w:rFonts w:ascii="Times New Roman" w:hAnsi="Times New Roman"/>
          <w:sz w:val="24"/>
        </w:rPr>
        <w:tab/>
      </w:r>
      <w:r w:rsidR="00B00743" w:rsidRPr="00091C8C">
        <w:rPr>
          <w:rFonts w:ascii="Times New Roman" w:hAnsi="Times New Roman"/>
          <w:i/>
          <w:sz w:val="24"/>
        </w:rPr>
        <w:t xml:space="preserve">H Lundbeck </w:t>
      </w:r>
      <w:r w:rsidR="008D1AB0" w:rsidRPr="00091C8C">
        <w:rPr>
          <w:rFonts w:ascii="Times New Roman" w:hAnsi="Times New Roman"/>
          <w:i/>
          <w:sz w:val="24"/>
        </w:rPr>
        <w:t xml:space="preserve">A/S v </w:t>
      </w:r>
      <w:r w:rsidR="00DE18ED" w:rsidRPr="00091C8C">
        <w:rPr>
          <w:rFonts w:ascii="Times New Roman" w:hAnsi="Times New Roman"/>
          <w:i/>
          <w:sz w:val="24"/>
        </w:rPr>
        <w:t>Alp</w:t>
      </w:r>
      <w:r w:rsidR="00592E4E" w:rsidRPr="00091C8C">
        <w:rPr>
          <w:rFonts w:ascii="Times New Roman" w:hAnsi="Times New Roman"/>
          <w:i/>
          <w:sz w:val="24"/>
        </w:rPr>
        <w:t>h</w:t>
      </w:r>
      <w:r w:rsidR="00DE18ED" w:rsidRPr="00091C8C">
        <w:rPr>
          <w:rFonts w:ascii="Times New Roman" w:hAnsi="Times New Roman"/>
          <w:i/>
          <w:sz w:val="24"/>
        </w:rPr>
        <w:t>a</w:t>
      </w:r>
      <w:r w:rsidR="00BE4E98" w:rsidRPr="00091C8C">
        <w:rPr>
          <w:rFonts w:ascii="Times New Roman" w:hAnsi="Times New Roman"/>
          <w:i/>
          <w:sz w:val="24"/>
        </w:rPr>
        <w:t>pharm Pty Ltd</w:t>
      </w:r>
      <w:r w:rsidR="00BE4E98" w:rsidRPr="00091C8C">
        <w:rPr>
          <w:rFonts w:ascii="Times New Roman" w:hAnsi="Times New Roman"/>
          <w:sz w:val="24"/>
        </w:rPr>
        <w:t xml:space="preserve"> </w:t>
      </w:r>
      <w:r w:rsidR="00335384" w:rsidRPr="00091C8C">
        <w:rPr>
          <w:rFonts w:ascii="Times New Roman" w:hAnsi="Times New Roman"/>
          <w:sz w:val="24"/>
        </w:rPr>
        <w:t>(2009) 177 FCR 151.</w:t>
      </w:r>
    </w:p>
  </w:footnote>
  <w:footnote w:id="66">
    <w:p w14:paraId="2CDA1BE3" w14:textId="1A6D0EF9" w:rsidR="005C0EB3" w:rsidRPr="00091C8C" w:rsidRDefault="005C0EB3" w:rsidP="00091C8C">
      <w:pPr>
        <w:pStyle w:val="FootnoteText"/>
        <w:spacing w:line="280" w:lineRule="exact"/>
        <w:ind w:right="0"/>
        <w:jc w:val="both"/>
        <w:rPr>
          <w:rFonts w:ascii="Times New Roman" w:hAnsi="Times New Roman"/>
          <w:sz w:val="24"/>
        </w:rPr>
      </w:pPr>
      <w:r w:rsidRPr="00091C8C">
        <w:rPr>
          <w:rStyle w:val="FootnoteReference"/>
          <w:rFonts w:ascii="Times New Roman" w:hAnsi="Times New Roman"/>
          <w:sz w:val="22"/>
          <w:vertAlign w:val="baseline"/>
        </w:rPr>
        <w:footnoteRef/>
      </w:r>
      <w:r w:rsidRPr="00091C8C">
        <w:rPr>
          <w:rFonts w:ascii="Times New Roman" w:hAnsi="Times New Roman"/>
          <w:sz w:val="24"/>
        </w:rPr>
        <w:t xml:space="preserve"> </w:t>
      </w:r>
      <w:r w:rsidRPr="00091C8C">
        <w:rPr>
          <w:rFonts w:ascii="Times New Roman" w:hAnsi="Times New Roman"/>
          <w:sz w:val="24"/>
        </w:rPr>
        <w:tab/>
      </w:r>
      <w:r w:rsidR="00134D1D" w:rsidRPr="00091C8C">
        <w:rPr>
          <w:rFonts w:ascii="Times New Roman" w:hAnsi="Times New Roman"/>
          <w:i/>
          <w:sz w:val="24"/>
        </w:rPr>
        <w:t xml:space="preserve">Alphapharm Pty Ltd v H Lundbeck A/S </w:t>
      </w:r>
      <w:r w:rsidRPr="00091C8C">
        <w:rPr>
          <w:rFonts w:ascii="Times New Roman" w:hAnsi="Times New Roman"/>
          <w:sz w:val="24"/>
        </w:rPr>
        <w:t>(2011) 92 IPR 628.</w:t>
      </w:r>
    </w:p>
  </w:footnote>
  <w:footnote w:id="67">
    <w:p w14:paraId="683BA330" w14:textId="641DEFFE" w:rsidR="00382300" w:rsidRPr="00091C8C" w:rsidRDefault="00382300" w:rsidP="00091C8C">
      <w:pPr>
        <w:pStyle w:val="FootnoteText"/>
        <w:spacing w:line="280" w:lineRule="exact"/>
        <w:ind w:right="0"/>
        <w:jc w:val="both"/>
        <w:rPr>
          <w:rFonts w:ascii="Times New Roman" w:hAnsi="Times New Roman"/>
          <w:sz w:val="24"/>
        </w:rPr>
      </w:pPr>
      <w:r w:rsidRPr="00091C8C">
        <w:rPr>
          <w:rStyle w:val="FootnoteReference"/>
          <w:rFonts w:ascii="Times New Roman" w:hAnsi="Times New Roman"/>
          <w:sz w:val="22"/>
          <w:vertAlign w:val="baseline"/>
        </w:rPr>
        <w:footnoteRef/>
      </w:r>
      <w:r w:rsidRPr="00091C8C">
        <w:rPr>
          <w:rFonts w:ascii="Times New Roman" w:hAnsi="Times New Roman"/>
          <w:sz w:val="24"/>
        </w:rPr>
        <w:t xml:space="preserve"> </w:t>
      </w:r>
      <w:r w:rsidRPr="00091C8C">
        <w:rPr>
          <w:rFonts w:ascii="Times New Roman" w:hAnsi="Times New Roman"/>
          <w:sz w:val="24"/>
        </w:rPr>
        <w:tab/>
      </w:r>
      <w:r w:rsidR="00194B30" w:rsidRPr="00091C8C">
        <w:rPr>
          <w:rFonts w:ascii="Times New Roman" w:hAnsi="Times New Roman"/>
          <w:i/>
          <w:sz w:val="24"/>
        </w:rPr>
        <w:t xml:space="preserve">Re Aspen </w:t>
      </w:r>
      <w:r w:rsidR="003D22FD" w:rsidRPr="00091C8C">
        <w:rPr>
          <w:rFonts w:ascii="Times New Roman" w:hAnsi="Times New Roman"/>
          <w:i/>
          <w:sz w:val="24"/>
        </w:rPr>
        <w:t xml:space="preserve">Pharma Pty Ltd and </w:t>
      </w:r>
      <w:r w:rsidR="00D73C6C" w:rsidRPr="00091C8C">
        <w:rPr>
          <w:rFonts w:ascii="Times New Roman" w:hAnsi="Times New Roman"/>
          <w:i/>
          <w:sz w:val="24"/>
        </w:rPr>
        <w:t>Commissioner of Patents</w:t>
      </w:r>
      <w:r w:rsidR="00D73C6C" w:rsidRPr="00091C8C">
        <w:rPr>
          <w:rFonts w:ascii="Times New Roman" w:hAnsi="Times New Roman"/>
          <w:sz w:val="24"/>
        </w:rPr>
        <w:t xml:space="preserve"> (2012) </w:t>
      </w:r>
      <w:r w:rsidR="002A19E9" w:rsidRPr="00091C8C">
        <w:rPr>
          <w:rFonts w:ascii="Times New Roman" w:hAnsi="Times New Roman"/>
          <w:sz w:val="24"/>
        </w:rPr>
        <w:t>132 ALD 648</w:t>
      </w:r>
      <w:r w:rsidR="0027529C" w:rsidRPr="00091C8C">
        <w:rPr>
          <w:rFonts w:ascii="Times New Roman" w:hAnsi="Times New Roman"/>
          <w:sz w:val="24"/>
        </w:rPr>
        <w:t>.</w:t>
      </w:r>
    </w:p>
  </w:footnote>
  <w:footnote w:id="68">
    <w:p w14:paraId="7E6D771E" w14:textId="235EE9C1" w:rsidR="00382300" w:rsidRPr="00091C8C" w:rsidRDefault="00382300" w:rsidP="00091C8C">
      <w:pPr>
        <w:pStyle w:val="FootnoteText"/>
        <w:spacing w:line="280" w:lineRule="exact"/>
        <w:ind w:right="0"/>
        <w:jc w:val="both"/>
        <w:rPr>
          <w:rFonts w:ascii="Times New Roman" w:hAnsi="Times New Roman"/>
          <w:sz w:val="24"/>
        </w:rPr>
      </w:pPr>
      <w:r w:rsidRPr="00091C8C">
        <w:rPr>
          <w:rStyle w:val="FootnoteReference"/>
          <w:rFonts w:ascii="Times New Roman" w:hAnsi="Times New Roman"/>
          <w:sz w:val="22"/>
          <w:vertAlign w:val="baseline"/>
        </w:rPr>
        <w:footnoteRef/>
      </w:r>
      <w:r w:rsidRPr="00091C8C">
        <w:rPr>
          <w:rFonts w:ascii="Times New Roman" w:hAnsi="Times New Roman"/>
          <w:sz w:val="24"/>
        </w:rPr>
        <w:t xml:space="preserve"> </w:t>
      </w:r>
      <w:r w:rsidRPr="00091C8C">
        <w:rPr>
          <w:rFonts w:ascii="Times New Roman" w:hAnsi="Times New Roman"/>
          <w:sz w:val="24"/>
        </w:rPr>
        <w:tab/>
      </w:r>
      <w:r w:rsidR="00AE367C" w:rsidRPr="00091C8C">
        <w:rPr>
          <w:rFonts w:ascii="Times New Roman" w:hAnsi="Times New Roman"/>
          <w:i/>
          <w:sz w:val="24"/>
        </w:rPr>
        <w:t xml:space="preserve">Aspen Pharma Pty Ltd </w:t>
      </w:r>
      <w:r w:rsidR="00DD5D7B" w:rsidRPr="00091C8C">
        <w:rPr>
          <w:rFonts w:ascii="Times New Roman" w:hAnsi="Times New Roman"/>
          <w:i/>
          <w:sz w:val="24"/>
        </w:rPr>
        <w:t xml:space="preserve">v </w:t>
      </w:r>
      <w:r w:rsidR="00AE367C" w:rsidRPr="00091C8C">
        <w:rPr>
          <w:rFonts w:ascii="Times New Roman" w:hAnsi="Times New Roman"/>
          <w:i/>
          <w:sz w:val="24"/>
        </w:rPr>
        <w:t>H Lundbeck</w:t>
      </w:r>
      <w:r w:rsidR="00DC74C4" w:rsidRPr="00091C8C">
        <w:rPr>
          <w:rFonts w:ascii="Times New Roman" w:hAnsi="Times New Roman"/>
          <w:i/>
          <w:sz w:val="24"/>
        </w:rPr>
        <w:t xml:space="preserve"> A/S</w:t>
      </w:r>
      <w:r w:rsidR="00DC74C4" w:rsidRPr="00091C8C">
        <w:rPr>
          <w:rFonts w:ascii="Times New Roman" w:hAnsi="Times New Roman"/>
          <w:sz w:val="24"/>
        </w:rPr>
        <w:t xml:space="preserve"> (2013) 216 FC</w:t>
      </w:r>
      <w:r w:rsidR="004B4080" w:rsidRPr="00091C8C">
        <w:rPr>
          <w:rFonts w:ascii="Times New Roman" w:hAnsi="Times New Roman"/>
          <w:sz w:val="24"/>
        </w:rPr>
        <w:t>R</w:t>
      </w:r>
      <w:r w:rsidR="00DC74C4" w:rsidRPr="00091C8C">
        <w:rPr>
          <w:rFonts w:ascii="Times New Roman" w:hAnsi="Times New Roman"/>
          <w:sz w:val="24"/>
        </w:rPr>
        <w:t xml:space="preserve"> 508</w:t>
      </w:r>
      <w:r w:rsidR="004B4080" w:rsidRPr="00091C8C">
        <w:rPr>
          <w:rFonts w:ascii="Times New Roman" w:hAnsi="Times New Roman"/>
          <w:sz w:val="24"/>
        </w:rPr>
        <w:t>.</w:t>
      </w:r>
    </w:p>
  </w:footnote>
  <w:footnote w:id="69">
    <w:p w14:paraId="78D3D76B" w14:textId="0C694E30" w:rsidR="00382300" w:rsidRPr="00091C8C" w:rsidRDefault="00382300" w:rsidP="00091C8C">
      <w:pPr>
        <w:pStyle w:val="FootnoteText"/>
        <w:spacing w:line="280" w:lineRule="exact"/>
        <w:ind w:right="0"/>
        <w:jc w:val="both"/>
        <w:rPr>
          <w:rFonts w:ascii="Times New Roman" w:hAnsi="Times New Roman"/>
          <w:sz w:val="24"/>
        </w:rPr>
      </w:pPr>
      <w:r w:rsidRPr="00091C8C">
        <w:rPr>
          <w:rStyle w:val="FootnoteReference"/>
          <w:rFonts w:ascii="Times New Roman" w:hAnsi="Times New Roman"/>
          <w:sz w:val="22"/>
          <w:vertAlign w:val="baseline"/>
        </w:rPr>
        <w:footnoteRef/>
      </w:r>
      <w:r w:rsidRPr="00091C8C">
        <w:rPr>
          <w:rFonts w:ascii="Times New Roman" w:hAnsi="Times New Roman"/>
          <w:sz w:val="24"/>
        </w:rPr>
        <w:t xml:space="preserve"> </w:t>
      </w:r>
      <w:r w:rsidR="004B4080" w:rsidRPr="00091C8C">
        <w:rPr>
          <w:rFonts w:ascii="Times New Roman" w:hAnsi="Times New Roman"/>
          <w:sz w:val="24"/>
        </w:rPr>
        <w:tab/>
      </w:r>
      <w:r w:rsidR="00F02937" w:rsidRPr="00091C8C">
        <w:rPr>
          <w:rFonts w:ascii="Times New Roman" w:hAnsi="Times New Roman"/>
          <w:i/>
          <w:sz w:val="24"/>
        </w:rPr>
        <w:t>Alphapharm</w:t>
      </w:r>
      <w:r w:rsidR="004B4080" w:rsidRPr="00091C8C">
        <w:rPr>
          <w:rFonts w:ascii="Times New Roman" w:hAnsi="Times New Roman"/>
          <w:i/>
          <w:sz w:val="24"/>
        </w:rPr>
        <w:t xml:space="preserve"> Pty Ltd </w:t>
      </w:r>
      <w:r w:rsidR="00900CAA" w:rsidRPr="00091C8C">
        <w:rPr>
          <w:rFonts w:ascii="Times New Roman" w:hAnsi="Times New Roman"/>
          <w:i/>
          <w:sz w:val="24"/>
        </w:rPr>
        <w:t xml:space="preserve">v </w:t>
      </w:r>
      <w:r w:rsidR="004B4080" w:rsidRPr="00091C8C">
        <w:rPr>
          <w:rFonts w:ascii="Times New Roman" w:hAnsi="Times New Roman"/>
          <w:i/>
          <w:sz w:val="24"/>
        </w:rPr>
        <w:t xml:space="preserve">H Lundbeck A/S </w:t>
      </w:r>
      <w:r w:rsidR="004B4080" w:rsidRPr="00091C8C">
        <w:rPr>
          <w:rFonts w:ascii="Times New Roman" w:hAnsi="Times New Roman"/>
          <w:sz w:val="24"/>
        </w:rPr>
        <w:t>(2014) 2</w:t>
      </w:r>
      <w:r w:rsidR="00C2540B" w:rsidRPr="00091C8C">
        <w:rPr>
          <w:rFonts w:ascii="Times New Roman" w:hAnsi="Times New Roman"/>
          <w:sz w:val="24"/>
        </w:rPr>
        <w:t>54</w:t>
      </w:r>
      <w:r w:rsidR="004B4080" w:rsidRPr="00091C8C">
        <w:rPr>
          <w:rFonts w:ascii="Times New Roman" w:hAnsi="Times New Roman"/>
          <w:sz w:val="24"/>
        </w:rPr>
        <w:t xml:space="preserve"> CLR 247.</w:t>
      </w:r>
    </w:p>
  </w:footnote>
  <w:footnote w:id="70">
    <w:p w14:paraId="6181C30D" w14:textId="73C960F0" w:rsidR="00085400" w:rsidRPr="00091C8C" w:rsidRDefault="00085400" w:rsidP="00091C8C">
      <w:pPr>
        <w:pStyle w:val="FootnoteText"/>
        <w:spacing w:line="280" w:lineRule="exact"/>
        <w:ind w:right="0"/>
        <w:jc w:val="both"/>
        <w:rPr>
          <w:rFonts w:ascii="Times New Roman" w:hAnsi="Times New Roman"/>
          <w:sz w:val="24"/>
        </w:rPr>
      </w:pPr>
      <w:r w:rsidRPr="00091C8C">
        <w:rPr>
          <w:rStyle w:val="FootnoteReference"/>
          <w:rFonts w:ascii="Times New Roman" w:hAnsi="Times New Roman"/>
          <w:sz w:val="22"/>
          <w:vertAlign w:val="baseline"/>
        </w:rPr>
        <w:footnoteRef/>
      </w:r>
      <w:r w:rsidRPr="00091C8C">
        <w:rPr>
          <w:rFonts w:ascii="Times New Roman" w:hAnsi="Times New Roman"/>
          <w:sz w:val="24"/>
        </w:rPr>
        <w:t xml:space="preserve"> </w:t>
      </w:r>
      <w:r w:rsidRPr="00091C8C">
        <w:rPr>
          <w:rFonts w:ascii="Times New Roman" w:hAnsi="Times New Roman"/>
          <w:sz w:val="24"/>
        </w:rPr>
        <w:tab/>
      </w:r>
      <w:r w:rsidR="00211B1C" w:rsidRPr="00091C8C">
        <w:rPr>
          <w:rFonts w:ascii="Times New Roman" w:hAnsi="Times New Roman"/>
          <w:i/>
          <w:sz w:val="24"/>
        </w:rPr>
        <w:t>Alpha</w:t>
      </w:r>
      <w:r w:rsidR="00825EF4" w:rsidRPr="00091C8C">
        <w:rPr>
          <w:rFonts w:ascii="Times New Roman" w:hAnsi="Times New Roman"/>
          <w:i/>
          <w:sz w:val="24"/>
        </w:rPr>
        <w:t>pharm Pty Ltd v H Lundbeck A/S</w:t>
      </w:r>
      <w:r w:rsidR="00825EF4" w:rsidRPr="00091C8C">
        <w:rPr>
          <w:rFonts w:ascii="Times New Roman" w:hAnsi="Times New Roman"/>
          <w:sz w:val="24"/>
        </w:rPr>
        <w:t xml:space="preserve"> (2014) 110 IPR 59.</w:t>
      </w:r>
    </w:p>
  </w:footnote>
  <w:footnote w:id="71">
    <w:p w14:paraId="6360F92A" w14:textId="3EE935D2" w:rsidR="002958E9" w:rsidRPr="00091C8C" w:rsidRDefault="002958E9" w:rsidP="00091C8C">
      <w:pPr>
        <w:pStyle w:val="FootnoteText"/>
        <w:spacing w:line="280" w:lineRule="exact"/>
        <w:ind w:right="0"/>
        <w:jc w:val="both"/>
        <w:rPr>
          <w:rFonts w:ascii="Times New Roman" w:hAnsi="Times New Roman"/>
          <w:sz w:val="24"/>
        </w:rPr>
      </w:pPr>
      <w:r w:rsidRPr="00091C8C">
        <w:rPr>
          <w:rStyle w:val="FootnoteReference"/>
          <w:rFonts w:ascii="Times New Roman" w:hAnsi="Times New Roman"/>
          <w:sz w:val="22"/>
          <w:vertAlign w:val="baseline"/>
        </w:rPr>
        <w:footnoteRef/>
      </w:r>
      <w:r w:rsidRPr="00091C8C">
        <w:rPr>
          <w:rFonts w:ascii="Times New Roman" w:hAnsi="Times New Roman"/>
          <w:sz w:val="24"/>
        </w:rPr>
        <w:t xml:space="preserve"> </w:t>
      </w:r>
      <w:r w:rsidRPr="00091C8C">
        <w:rPr>
          <w:rFonts w:ascii="Times New Roman" w:hAnsi="Times New Roman"/>
          <w:sz w:val="24"/>
        </w:rPr>
        <w:tab/>
      </w:r>
      <w:r w:rsidR="00296D26" w:rsidRPr="00091C8C">
        <w:rPr>
          <w:rFonts w:ascii="Times New Roman" w:hAnsi="Times New Roman"/>
          <w:i/>
          <w:sz w:val="24"/>
        </w:rPr>
        <w:t>Alphapharm Pty Ltd v H Lundbeck A/S</w:t>
      </w:r>
      <w:r w:rsidR="00296D26" w:rsidRPr="00091C8C">
        <w:rPr>
          <w:rFonts w:ascii="Times New Roman" w:hAnsi="Times New Roman"/>
          <w:sz w:val="24"/>
        </w:rPr>
        <w:t xml:space="preserve"> (201</w:t>
      </w:r>
      <w:r w:rsidR="00530001" w:rsidRPr="00091C8C">
        <w:rPr>
          <w:rFonts w:ascii="Times New Roman" w:hAnsi="Times New Roman"/>
          <w:sz w:val="24"/>
        </w:rPr>
        <w:t>5</w:t>
      </w:r>
      <w:r w:rsidR="00296D26" w:rsidRPr="00091C8C">
        <w:rPr>
          <w:rFonts w:ascii="Times New Roman" w:hAnsi="Times New Roman"/>
          <w:sz w:val="24"/>
        </w:rPr>
        <w:t>) 234 FCR 306.</w:t>
      </w:r>
    </w:p>
  </w:footnote>
  <w:footnote w:id="72">
    <w:p w14:paraId="429ECD7A" w14:textId="13C27D7A" w:rsidR="006F2F5E" w:rsidRPr="00091C8C" w:rsidRDefault="006F2F5E" w:rsidP="00091C8C">
      <w:pPr>
        <w:pStyle w:val="FootnoteText"/>
        <w:spacing w:line="280" w:lineRule="exact"/>
        <w:ind w:right="0"/>
        <w:jc w:val="both"/>
        <w:rPr>
          <w:rFonts w:ascii="Times New Roman" w:hAnsi="Times New Roman"/>
          <w:sz w:val="24"/>
        </w:rPr>
      </w:pPr>
      <w:r w:rsidRPr="00091C8C">
        <w:rPr>
          <w:rStyle w:val="FootnoteReference"/>
          <w:rFonts w:ascii="Times New Roman" w:hAnsi="Times New Roman"/>
          <w:sz w:val="22"/>
          <w:vertAlign w:val="baseline"/>
        </w:rPr>
        <w:footnoteRef/>
      </w:r>
      <w:r w:rsidRPr="00091C8C">
        <w:rPr>
          <w:rFonts w:ascii="Times New Roman" w:hAnsi="Times New Roman"/>
          <w:sz w:val="24"/>
        </w:rPr>
        <w:t xml:space="preserve"> </w:t>
      </w:r>
      <w:r w:rsidRPr="00091C8C">
        <w:rPr>
          <w:rFonts w:ascii="Times New Roman" w:hAnsi="Times New Roman"/>
          <w:sz w:val="24"/>
        </w:rPr>
        <w:tab/>
      </w:r>
      <w:r w:rsidR="00323E02" w:rsidRPr="00091C8C">
        <w:rPr>
          <w:rFonts w:ascii="Times New Roman" w:hAnsi="Times New Roman"/>
          <w:i/>
          <w:sz w:val="24"/>
        </w:rPr>
        <w:t>H Lundbeck A/S v Sandoz Pty Ltd</w:t>
      </w:r>
      <w:r w:rsidR="00323E02" w:rsidRPr="00091C8C">
        <w:rPr>
          <w:rFonts w:ascii="Times New Roman" w:hAnsi="Times New Roman"/>
          <w:sz w:val="24"/>
        </w:rPr>
        <w:t xml:space="preserve"> (2018) 137 IPR 40</w:t>
      </w:r>
      <w:r w:rsidR="00D63396" w:rsidRPr="00091C8C">
        <w:rPr>
          <w:rFonts w:ascii="Times New Roman" w:hAnsi="Times New Roman"/>
          <w:sz w:val="24"/>
        </w:rPr>
        <w:t>8</w:t>
      </w:r>
      <w:r w:rsidR="00323E02" w:rsidRPr="00091C8C">
        <w:rPr>
          <w:rFonts w:ascii="Times New Roman" w:hAnsi="Times New Roman"/>
          <w:sz w:val="24"/>
        </w:rPr>
        <w:t xml:space="preserve"> at</w:t>
      </w:r>
      <w:r w:rsidR="00D63396" w:rsidRPr="00091C8C">
        <w:rPr>
          <w:rFonts w:ascii="Times New Roman" w:hAnsi="Times New Roman"/>
          <w:sz w:val="24"/>
        </w:rPr>
        <w:t xml:space="preserve"> </w:t>
      </w:r>
      <w:r w:rsidR="001A368E" w:rsidRPr="00091C8C">
        <w:rPr>
          <w:rFonts w:ascii="Times New Roman" w:hAnsi="Times New Roman"/>
          <w:sz w:val="24"/>
        </w:rPr>
        <w:t>483 [291].</w:t>
      </w:r>
    </w:p>
  </w:footnote>
  <w:footnote w:id="73">
    <w:p w14:paraId="47DB6223" w14:textId="0B278BC1" w:rsidR="000853CF" w:rsidRPr="00091C8C" w:rsidRDefault="000853CF" w:rsidP="00091C8C">
      <w:pPr>
        <w:pStyle w:val="FootnoteText"/>
        <w:spacing w:line="280" w:lineRule="exact"/>
        <w:ind w:right="0"/>
        <w:jc w:val="both"/>
        <w:rPr>
          <w:rFonts w:ascii="Times New Roman" w:hAnsi="Times New Roman"/>
          <w:sz w:val="24"/>
        </w:rPr>
      </w:pPr>
      <w:r w:rsidRPr="00091C8C">
        <w:rPr>
          <w:rStyle w:val="FootnoteReference"/>
          <w:rFonts w:ascii="Times New Roman" w:hAnsi="Times New Roman"/>
          <w:sz w:val="22"/>
          <w:vertAlign w:val="baseline"/>
        </w:rPr>
        <w:footnoteRef/>
      </w:r>
      <w:r w:rsidRPr="00091C8C">
        <w:rPr>
          <w:rFonts w:ascii="Times New Roman" w:hAnsi="Times New Roman"/>
          <w:sz w:val="24"/>
        </w:rPr>
        <w:t xml:space="preserve"> </w:t>
      </w:r>
      <w:r w:rsidRPr="00091C8C">
        <w:rPr>
          <w:rFonts w:ascii="Times New Roman" w:hAnsi="Times New Roman"/>
          <w:sz w:val="24"/>
        </w:rPr>
        <w:tab/>
      </w:r>
      <w:r w:rsidR="007C59D7" w:rsidRPr="00091C8C">
        <w:rPr>
          <w:rFonts w:ascii="Times New Roman" w:hAnsi="Times New Roman"/>
          <w:i/>
          <w:sz w:val="24"/>
        </w:rPr>
        <w:t>Sandoz Pty Ltd v H Lundbeck</w:t>
      </w:r>
      <w:r w:rsidR="007C59D7" w:rsidRPr="00091C8C">
        <w:rPr>
          <w:rFonts w:ascii="Times New Roman" w:hAnsi="Times New Roman"/>
          <w:sz w:val="24"/>
        </w:rPr>
        <w:t xml:space="preserve"> </w:t>
      </w:r>
      <w:r w:rsidR="007C59D7" w:rsidRPr="00091C8C">
        <w:rPr>
          <w:rFonts w:ascii="Times New Roman" w:hAnsi="Times New Roman"/>
          <w:i/>
          <w:sz w:val="24"/>
        </w:rPr>
        <w:t>A/S</w:t>
      </w:r>
      <w:r w:rsidR="007C59D7" w:rsidRPr="00091C8C">
        <w:rPr>
          <w:rFonts w:ascii="Times New Roman" w:hAnsi="Times New Roman"/>
          <w:sz w:val="24"/>
        </w:rPr>
        <w:t xml:space="preserve"> (2020) 384 ALR 35 </w:t>
      </w:r>
      <w:r w:rsidRPr="00091C8C">
        <w:rPr>
          <w:rFonts w:ascii="Times New Roman" w:hAnsi="Times New Roman"/>
          <w:sz w:val="24"/>
        </w:rPr>
        <w:t>at</w:t>
      </w:r>
      <w:r w:rsidR="004E0431" w:rsidRPr="00091C8C">
        <w:rPr>
          <w:rFonts w:ascii="Times New Roman" w:hAnsi="Times New Roman"/>
          <w:sz w:val="24"/>
        </w:rPr>
        <w:t xml:space="preserve"> 51 [69]</w:t>
      </w:r>
      <w:r w:rsidR="00675CE3" w:rsidRPr="00091C8C">
        <w:rPr>
          <w:rFonts w:ascii="Times New Roman" w:hAnsi="Times New Roman"/>
          <w:sz w:val="24"/>
        </w:rPr>
        <w:t>.</w:t>
      </w:r>
    </w:p>
  </w:footnote>
  <w:footnote w:id="74">
    <w:p w14:paraId="3A8CEE8B" w14:textId="695CB3B8" w:rsidR="00BB0BAA" w:rsidRPr="00091C8C" w:rsidRDefault="00BB0BAA" w:rsidP="00091C8C">
      <w:pPr>
        <w:pStyle w:val="FootnoteText"/>
        <w:spacing w:line="280" w:lineRule="exact"/>
        <w:ind w:right="0"/>
        <w:jc w:val="both"/>
        <w:rPr>
          <w:rFonts w:ascii="Times New Roman" w:hAnsi="Times New Roman"/>
          <w:sz w:val="24"/>
        </w:rPr>
      </w:pPr>
      <w:r w:rsidRPr="00091C8C">
        <w:rPr>
          <w:rStyle w:val="FootnoteReference"/>
          <w:rFonts w:ascii="Times New Roman" w:hAnsi="Times New Roman"/>
          <w:sz w:val="22"/>
          <w:vertAlign w:val="baseline"/>
        </w:rPr>
        <w:footnoteRef/>
      </w:r>
      <w:r w:rsidRPr="00091C8C">
        <w:rPr>
          <w:rFonts w:ascii="Times New Roman" w:hAnsi="Times New Roman"/>
          <w:sz w:val="24"/>
        </w:rPr>
        <w:t xml:space="preserve"> </w:t>
      </w:r>
      <w:r w:rsidR="00323E02" w:rsidRPr="00091C8C">
        <w:rPr>
          <w:rFonts w:ascii="Times New Roman" w:hAnsi="Times New Roman"/>
          <w:sz w:val="24"/>
        </w:rPr>
        <w:tab/>
      </w:r>
      <w:r w:rsidR="00323E02" w:rsidRPr="00091C8C">
        <w:rPr>
          <w:rFonts w:ascii="Times New Roman" w:hAnsi="Times New Roman"/>
          <w:i/>
          <w:sz w:val="24"/>
        </w:rPr>
        <w:t>H Lundbeck A/S v Sandoz Pty Ltd</w:t>
      </w:r>
      <w:r w:rsidR="00323E02" w:rsidRPr="00091C8C">
        <w:rPr>
          <w:rFonts w:ascii="Times New Roman" w:hAnsi="Times New Roman"/>
          <w:sz w:val="24"/>
        </w:rPr>
        <w:t xml:space="preserve"> (2018) 137 IPR 40</w:t>
      </w:r>
      <w:r w:rsidR="00D63396" w:rsidRPr="00091C8C">
        <w:rPr>
          <w:rFonts w:ascii="Times New Roman" w:hAnsi="Times New Roman"/>
          <w:sz w:val="24"/>
        </w:rPr>
        <w:t>8</w:t>
      </w:r>
      <w:r w:rsidR="00323E02" w:rsidRPr="00091C8C">
        <w:rPr>
          <w:rFonts w:ascii="Times New Roman" w:hAnsi="Times New Roman"/>
          <w:sz w:val="24"/>
        </w:rPr>
        <w:t xml:space="preserve"> at</w:t>
      </w:r>
      <w:r w:rsidR="001A368E" w:rsidRPr="00091C8C">
        <w:rPr>
          <w:rFonts w:ascii="Times New Roman" w:hAnsi="Times New Roman"/>
          <w:sz w:val="24"/>
        </w:rPr>
        <w:t xml:space="preserve"> 484 [294].</w:t>
      </w:r>
    </w:p>
  </w:footnote>
  <w:footnote w:id="75">
    <w:p w14:paraId="10D02887" w14:textId="138C1730" w:rsidR="00BB0BAA" w:rsidRPr="00091C8C" w:rsidRDefault="00BB0BAA" w:rsidP="00091C8C">
      <w:pPr>
        <w:pStyle w:val="FootnoteText"/>
        <w:spacing w:line="280" w:lineRule="exact"/>
        <w:ind w:right="0"/>
        <w:jc w:val="both"/>
        <w:rPr>
          <w:rFonts w:ascii="Times New Roman" w:hAnsi="Times New Roman"/>
          <w:sz w:val="24"/>
        </w:rPr>
      </w:pPr>
      <w:r w:rsidRPr="00091C8C">
        <w:rPr>
          <w:rStyle w:val="FootnoteReference"/>
          <w:rFonts w:ascii="Times New Roman" w:hAnsi="Times New Roman"/>
          <w:sz w:val="22"/>
          <w:vertAlign w:val="baseline"/>
        </w:rPr>
        <w:footnoteRef/>
      </w:r>
      <w:r w:rsidRPr="00091C8C">
        <w:rPr>
          <w:rFonts w:ascii="Times New Roman" w:hAnsi="Times New Roman"/>
          <w:sz w:val="24"/>
        </w:rPr>
        <w:t xml:space="preserve"> </w:t>
      </w:r>
      <w:r w:rsidR="007C59D7" w:rsidRPr="00091C8C">
        <w:rPr>
          <w:rFonts w:ascii="Times New Roman" w:hAnsi="Times New Roman"/>
          <w:sz w:val="24"/>
        </w:rPr>
        <w:tab/>
      </w:r>
      <w:r w:rsidR="007C59D7" w:rsidRPr="00091C8C">
        <w:rPr>
          <w:rFonts w:ascii="Times New Roman" w:hAnsi="Times New Roman"/>
          <w:i/>
          <w:sz w:val="24"/>
        </w:rPr>
        <w:t>Sandoz Pty Ltd v H Lundbeck</w:t>
      </w:r>
      <w:r w:rsidR="007C59D7" w:rsidRPr="00091C8C">
        <w:rPr>
          <w:rFonts w:ascii="Times New Roman" w:hAnsi="Times New Roman"/>
          <w:sz w:val="24"/>
        </w:rPr>
        <w:t xml:space="preserve"> </w:t>
      </w:r>
      <w:r w:rsidR="007C59D7" w:rsidRPr="00091C8C">
        <w:rPr>
          <w:rFonts w:ascii="Times New Roman" w:hAnsi="Times New Roman"/>
          <w:i/>
          <w:sz w:val="24"/>
        </w:rPr>
        <w:t>A/S</w:t>
      </w:r>
      <w:r w:rsidR="007C59D7" w:rsidRPr="00091C8C">
        <w:rPr>
          <w:rFonts w:ascii="Times New Roman" w:hAnsi="Times New Roman"/>
          <w:sz w:val="24"/>
        </w:rPr>
        <w:t xml:space="preserve"> (2020) 384 ALR 35 at </w:t>
      </w:r>
      <w:r w:rsidR="001A368E" w:rsidRPr="00091C8C">
        <w:rPr>
          <w:rFonts w:ascii="Times New Roman" w:hAnsi="Times New Roman"/>
          <w:sz w:val="24"/>
        </w:rPr>
        <w:t xml:space="preserve">49 </w:t>
      </w:r>
      <w:r w:rsidR="00323E02" w:rsidRPr="00091C8C">
        <w:rPr>
          <w:rFonts w:ascii="Times New Roman" w:hAnsi="Times New Roman"/>
          <w:sz w:val="24"/>
        </w:rPr>
        <w:t>[59].</w:t>
      </w:r>
    </w:p>
  </w:footnote>
  <w:footnote w:id="76">
    <w:p w14:paraId="292FFB7A" w14:textId="1C17B0B2" w:rsidR="001915E1" w:rsidRPr="00091C8C" w:rsidRDefault="001915E1" w:rsidP="00091C8C">
      <w:pPr>
        <w:pStyle w:val="FootnoteText"/>
        <w:spacing w:line="280" w:lineRule="exact"/>
        <w:ind w:right="0"/>
        <w:jc w:val="both"/>
        <w:rPr>
          <w:rFonts w:ascii="Times New Roman" w:hAnsi="Times New Roman"/>
          <w:sz w:val="24"/>
        </w:rPr>
      </w:pPr>
      <w:r w:rsidRPr="00091C8C">
        <w:rPr>
          <w:rStyle w:val="FootnoteReference"/>
          <w:rFonts w:ascii="Times New Roman" w:hAnsi="Times New Roman"/>
          <w:sz w:val="22"/>
          <w:vertAlign w:val="baseline"/>
        </w:rPr>
        <w:footnoteRef/>
      </w:r>
      <w:r w:rsidRPr="00091C8C">
        <w:rPr>
          <w:rFonts w:ascii="Times New Roman" w:hAnsi="Times New Roman"/>
          <w:sz w:val="24"/>
        </w:rPr>
        <w:t xml:space="preserve"> </w:t>
      </w:r>
      <w:r w:rsidR="00D832D5" w:rsidRPr="00091C8C">
        <w:rPr>
          <w:rFonts w:ascii="Times New Roman" w:hAnsi="Times New Roman"/>
          <w:sz w:val="24"/>
        </w:rPr>
        <w:tab/>
      </w:r>
      <w:r w:rsidR="002B607B" w:rsidRPr="00091C8C">
        <w:rPr>
          <w:rFonts w:ascii="Times New Roman" w:hAnsi="Times New Roman"/>
          <w:i/>
          <w:sz w:val="24"/>
        </w:rPr>
        <w:t>Phoenix Commercial Enterprises Pty Ltd v City of Canada Bay Council</w:t>
      </w:r>
      <w:r w:rsidR="002B607B" w:rsidRPr="00091C8C">
        <w:rPr>
          <w:rFonts w:ascii="Times New Roman" w:hAnsi="Times New Roman"/>
          <w:sz w:val="24"/>
        </w:rPr>
        <w:t xml:space="preserve"> [2010] NSWCA 64 at [176]. See also </w:t>
      </w:r>
      <w:r w:rsidR="00D832D5" w:rsidRPr="00091C8C">
        <w:rPr>
          <w:rFonts w:ascii="Times New Roman" w:hAnsi="Times New Roman"/>
          <w:i/>
          <w:sz w:val="24"/>
        </w:rPr>
        <w:t xml:space="preserve">Royal Botanic </w:t>
      </w:r>
      <w:r w:rsidR="007D71E0" w:rsidRPr="00091C8C">
        <w:rPr>
          <w:rFonts w:ascii="Times New Roman" w:hAnsi="Times New Roman"/>
          <w:i/>
          <w:sz w:val="24"/>
        </w:rPr>
        <w:t>G</w:t>
      </w:r>
      <w:r w:rsidR="00D832D5" w:rsidRPr="00091C8C">
        <w:rPr>
          <w:rFonts w:ascii="Times New Roman" w:hAnsi="Times New Roman"/>
          <w:i/>
          <w:sz w:val="24"/>
        </w:rPr>
        <w:t>arden</w:t>
      </w:r>
      <w:r w:rsidR="00393542" w:rsidRPr="00091C8C">
        <w:rPr>
          <w:rFonts w:ascii="Times New Roman" w:hAnsi="Times New Roman"/>
          <w:i/>
          <w:sz w:val="24"/>
        </w:rPr>
        <w:t xml:space="preserve">s and Domain Trust v South Sydney </w:t>
      </w:r>
      <w:r w:rsidR="005D7124" w:rsidRPr="00091C8C">
        <w:rPr>
          <w:rFonts w:ascii="Times New Roman" w:hAnsi="Times New Roman"/>
          <w:i/>
          <w:sz w:val="24"/>
        </w:rPr>
        <w:t xml:space="preserve">City </w:t>
      </w:r>
      <w:r w:rsidR="00393542" w:rsidRPr="00091C8C">
        <w:rPr>
          <w:rFonts w:ascii="Times New Roman" w:hAnsi="Times New Roman"/>
          <w:i/>
          <w:sz w:val="24"/>
        </w:rPr>
        <w:t>Council</w:t>
      </w:r>
      <w:r w:rsidR="00393542" w:rsidRPr="00091C8C">
        <w:rPr>
          <w:rFonts w:ascii="Times New Roman" w:hAnsi="Times New Roman"/>
          <w:sz w:val="24"/>
        </w:rPr>
        <w:t xml:space="preserve"> (2002) 240 CLR 45 at 53 [12];</w:t>
      </w:r>
      <w:r w:rsidR="000665DF" w:rsidRPr="00091C8C">
        <w:rPr>
          <w:rFonts w:ascii="Times New Roman" w:hAnsi="Times New Roman"/>
          <w:sz w:val="24"/>
        </w:rPr>
        <w:t xml:space="preserve"> Carter, </w:t>
      </w:r>
      <w:r w:rsidR="000665DF" w:rsidRPr="00091C8C">
        <w:rPr>
          <w:rFonts w:ascii="Times New Roman" w:hAnsi="Times New Roman"/>
          <w:i/>
          <w:sz w:val="24"/>
        </w:rPr>
        <w:t xml:space="preserve">The Construction of Commercial Contracts </w:t>
      </w:r>
      <w:r w:rsidR="000665DF" w:rsidRPr="00091C8C">
        <w:rPr>
          <w:rFonts w:ascii="Times New Roman" w:hAnsi="Times New Roman"/>
          <w:sz w:val="24"/>
        </w:rPr>
        <w:t>(2012) at 202-203 [6-29]</w:t>
      </w:r>
      <w:r w:rsidR="00E41D4B" w:rsidRPr="00091C8C">
        <w:rPr>
          <w:rFonts w:ascii="Times New Roman" w:hAnsi="Times New Roman"/>
          <w:sz w:val="24"/>
        </w:rPr>
        <w:t>.</w:t>
      </w:r>
    </w:p>
  </w:footnote>
  <w:footnote w:id="77">
    <w:p w14:paraId="73D13FF5" w14:textId="2467878A" w:rsidR="00B9404A" w:rsidRPr="00091C8C" w:rsidRDefault="00B9404A" w:rsidP="00091C8C">
      <w:pPr>
        <w:pStyle w:val="FootnoteText"/>
        <w:spacing w:line="280" w:lineRule="exact"/>
        <w:ind w:right="0"/>
        <w:jc w:val="both"/>
        <w:rPr>
          <w:rFonts w:ascii="Times New Roman" w:hAnsi="Times New Roman"/>
          <w:sz w:val="24"/>
        </w:rPr>
      </w:pPr>
      <w:r w:rsidRPr="00091C8C">
        <w:rPr>
          <w:rStyle w:val="FootnoteReference"/>
          <w:rFonts w:ascii="Times New Roman" w:hAnsi="Times New Roman"/>
          <w:sz w:val="22"/>
          <w:vertAlign w:val="baseline"/>
        </w:rPr>
        <w:footnoteRef/>
      </w:r>
      <w:r w:rsidRPr="00091C8C">
        <w:rPr>
          <w:rFonts w:ascii="Times New Roman" w:hAnsi="Times New Roman"/>
          <w:sz w:val="24"/>
        </w:rPr>
        <w:t xml:space="preserve"> </w:t>
      </w:r>
      <w:r w:rsidR="003D2F78" w:rsidRPr="00091C8C">
        <w:rPr>
          <w:rFonts w:ascii="Times New Roman" w:hAnsi="Times New Roman"/>
          <w:sz w:val="24"/>
        </w:rPr>
        <w:tab/>
      </w:r>
      <w:r w:rsidR="0049156D" w:rsidRPr="00091C8C">
        <w:rPr>
          <w:rFonts w:ascii="Times New Roman" w:hAnsi="Times New Roman"/>
          <w:i/>
          <w:sz w:val="24"/>
        </w:rPr>
        <w:t>Electricity Genera</w:t>
      </w:r>
      <w:r w:rsidR="003033F2" w:rsidRPr="00091C8C">
        <w:rPr>
          <w:rFonts w:ascii="Times New Roman" w:hAnsi="Times New Roman"/>
          <w:i/>
          <w:sz w:val="24"/>
        </w:rPr>
        <w:t>tion Corporation</w:t>
      </w:r>
      <w:r w:rsidR="00F56607" w:rsidRPr="00091C8C">
        <w:rPr>
          <w:rFonts w:ascii="Times New Roman" w:hAnsi="Times New Roman"/>
          <w:i/>
          <w:sz w:val="24"/>
        </w:rPr>
        <w:t xml:space="preserve"> v Woodside Energy Ltd</w:t>
      </w:r>
      <w:r w:rsidR="00633EF3" w:rsidRPr="00091C8C">
        <w:rPr>
          <w:rFonts w:ascii="Times New Roman" w:hAnsi="Times New Roman"/>
          <w:sz w:val="24"/>
        </w:rPr>
        <w:t xml:space="preserve"> (2014) 25</w:t>
      </w:r>
      <w:r w:rsidR="00E818E6" w:rsidRPr="00091C8C">
        <w:rPr>
          <w:rFonts w:ascii="Times New Roman" w:hAnsi="Times New Roman"/>
          <w:sz w:val="24"/>
        </w:rPr>
        <w:t>1 CLR 640 at</w:t>
      </w:r>
      <w:r w:rsidR="005D5AB6" w:rsidRPr="00091C8C">
        <w:rPr>
          <w:rFonts w:ascii="Times New Roman" w:hAnsi="Times New Roman"/>
          <w:sz w:val="24"/>
        </w:rPr>
        <w:t xml:space="preserve"> 65</w:t>
      </w:r>
      <w:r w:rsidR="00CE13B3" w:rsidRPr="00091C8C">
        <w:rPr>
          <w:rFonts w:ascii="Times New Roman" w:hAnsi="Times New Roman"/>
          <w:sz w:val="24"/>
        </w:rPr>
        <w:t>6-65</w:t>
      </w:r>
      <w:r w:rsidR="005D5AB6" w:rsidRPr="00091C8C">
        <w:rPr>
          <w:rFonts w:ascii="Times New Roman" w:hAnsi="Times New Roman"/>
          <w:sz w:val="24"/>
        </w:rPr>
        <w:t>7</w:t>
      </w:r>
      <w:r w:rsidR="00E818E6" w:rsidRPr="00091C8C">
        <w:rPr>
          <w:rFonts w:ascii="Times New Roman" w:hAnsi="Times New Roman"/>
          <w:sz w:val="24"/>
        </w:rPr>
        <w:t xml:space="preserve"> [35]</w:t>
      </w:r>
      <w:r w:rsidR="007F3389" w:rsidRPr="00091C8C">
        <w:rPr>
          <w:rFonts w:ascii="Times New Roman" w:hAnsi="Times New Roman"/>
          <w:sz w:val="24"/>
        </w:rPr>
        <w:t xml:space="preserve">, quoting </w:t>
      </w:r>
      <w:r w:rsidR="007F3389" w:rsidRPr="00091C8C">
        <w:rPr>
          <w:rFonts w:ascii="Times New Roman" w:hAnsi="Times New Roman"/>
          <w:i/>
          <w:sz w:val="24"/>
        </w:rPr>
        <w:t>Re Golden Key Ltd</w:t>
      </w:r>
      <w:r w:rsidR="007F3389" w:rsidRPr="00091C8C">
        <w:rPr>
          <w:rFonts w:ascii="Times New Roman" w:hAnsi="Times New Roman"/>
          <w:sz w:val="24"/>
        </w:rPr>
        <w:t xml:space="preserve"> [2009] EWCA Civ 636 at [28]</w:t>
      </w:r>
      <w:r w:rsidR="00E818E6" w:rsidRPr="00091C8C">
        <w:rPr>
          <w:rFonts w:ascii="Times New Roman" w:hAnsi="Times New Roman"/>
          <w:sz w:val="24"/>
        </w:rPr>
        <w:t>.</w:t>
      </w:r>
    </w:p>
  </w:footnote>
  <w:footnote w:id="78">
    <w:p w14:paraId="0E959941" w14:textId="6DA28865" w:rsidR="00F52DA4" w:rsidRPr="00091C8C" w:rsidRDefault="00F52DA4" w:rsidP="00091C8C">
      <w:pPr>
        <w:pStyle w:val="FootnoteText"/>
        <w:spacing w:line="280" w:lineRule="exact"/>
        <w:ind w:right="0"/>
        <w:jc w:val="both"/>
        <w:rPr>
          <w:rFonts w:ascii="Times New Roman" w:hAnsi="Times New Roman"/>
          <w:sz w:val="24"/>
        </w:rPr>
      </w:pPr>
      <w:r w:rsidRPr="00091C8C">
        <w:rPr>
          <w:rStyle w:val="FootnoteReference"/>
          <w:rFonts w:ascii="Times New Roman" w:hAnsi="Times New Roman"/>
          <w:sz w:val="22"/>
          <w:vertAlign w:val="baseline"/>
        </w:rPr>
        <w:footnoteRef/>
      </w:r>
      <w:r w:rsidRPr="00091C8C">
        <w:rPr>
          <w:rFonts w:ascii="Times New Roman" w:hAnsi="Times New Roman"/>
          <w:sz w:val="24"/>
        </w:rPr>
        <w:t xml:space="preserve"> </w:t>
      </w:r>
      <w:r w:rsidR="008F4AAB" w:rsidRPr="00091C8C">
        <w:rPr>
          <w:rFonts w:ascii="Times New Roman" w:hAnsi="Times New Roman"/>
          <w:sz w:val="24"/>
        </w:rPr>
        <w:tab/>
      </w:r>
      <w:r w:rsidR="008F4AAB" w:rsidRPr="00091C8C">
        <w:rPr>
          <w:rFonts w:ascii="Times New Roman" w:hAnsi="Times New Roman"/>
          <w:i/>
          <w:sz w:val="24"/>
        </w:rPr>
        <w:t>Sandoz Pty Ltd v H Lundbeck</w:t>
      </w:r>
      <w:r w:rsidR="008F4AAB" w:rsidRPr="00091C8C">
        <w:rPr>
          <w:rFonts w:ascii="Times New Roman" w:hAnsi="Times New Roman"/>
          <w:sz w:val="24"/>
        </w:rPr>
        <w:t xml:space="preserve"> </w:t>
      </w:r>
      <w:r w:rsidR="008F4AAB" w:rsidRPr="00091C8C">
        <w:rPr>
          <w:rFonts w:ascii="Times New Roman" w:hAnsi="Times New Roman"/>
          <w:i/>
          <w:sz w:val="24"/>
        </w:rPr>
        <w:t>A/S</w:t>
      </w:r>
      <w:r w:rsidR="008F4AAB" w:rsidRPr="00091C8C">
        <w:rPr>
          <w:rFonts w:ascii="Times New Roman" w:hAnsi="Times New Roman"/>
          <w:sz w:val="24"/>
        </w:rPr>
        <w:t xml:space="preserve"> (2020) 384 ALR 35 at </w:t>
      </w:r>
      <w:r w:rsidR="00CC7088" w:rsidRPr="00091C8C">
        <w:rPr>
          <w:rFonts w:ascii="Times New Roman" w:hAnsi="Times New Roman"/>
          <w:sz w:val="24"/>
        </w:rPr>
        <w:t>62-63 [109].</w:t>
      </w:r>
    </w:p>
  </w:footnote>
  <w:footnote w:id="79">
    <w:p w14:paraId="7E92417F" w14:textId="07291706" w:rsidR="00772E1B" w:rsidRPr="00091C8C" w:rsidRDefault="00772E1B" w:rsidP="00091C8C">
      <w:pPr>
        <w:pStyle w:val="FootnoteText"/>
        <w:spacing w:line="280" w:lineRule="exact"/>
        <w:ind w:right="0"/>
        <w:jc w:val="both"/>
        <w:rPr>
          <w:rFonts w:ascii="Times New Roman" w:hAnsi="Times New Roman"/>
          <w:sz w:val="24"/>
        </w:rPr>
      </w:pPr>
      <w:r w:rsidRPr="00091C8C">
        <w:rPr>
          <w:rStyle w:val="FootnoteReference"/>
          <w:rFonts w:ascii="Times New Roman" w:hAnsi="Times New Roman"/>
          <w:sz w:val="22"/>
          <w:vertAlign w:val="baseline"/>
        </w:rPr>
        <w:footnoteRef/>
      </w:r>
      <w:r w:rsidRPr="00091C8C">
        <w:rPr>
          <w:rFonts w:ascii="Times New Roman" w:hAnsi="Times New Roman"/>
          <w:sz w:val="24"/>
        </w:rPr>
        <w:t xml:space="preserve"> </w:t>
      </w:r>
      <w:r w:rsidRPr="00091C8C">
        <w:rPr>
          <w:rFonts w:ascii="Times New Roman" w:hAnsi="Times New Roman"/>
          <w:sz w:val="24"/>
        </w:rPr>
        <w:tab/>
      </w:r>
      <w:r w:rsidRPr="00091C8C">
        <w:rPr>
          <w:rFonts w:ascii="Times New Roman" w:hAnsi="Times New Roman"/>
          <w:i/>
          <w:sz w:val="24"/>
        </w:rPr>
        <w:t xml:space="preserve">Taylor v Owners </w:t>
      </w:r>
      <w:r w:rsidR="00DF78F2" w:rsidRPr="00091C8C">
        <w:rPr>
          <w:rFonts w:ascii="Times New Roman" w:hAnsi="Times New Roman"/>
          <w:i/>
          <w:sz w:val="24"/>
        </w:rPr>
        <w:t>–</w:t>
      </w:r>
      <w:r w:rsidR="00206598" w:rsidRPr="00091C8C">
        <w:rPr>
          <w:rFonts w:ascii="Times New Roman" w:hAnsi="Times New Roman"/>
          <w:i/>
          <w:sz w:val="24"/>
        </w:rPr>
        <w:t xml:space="preserve"> </w:t>
      </w:r>
      <w:r w:rsidRPr="00091C8C">
        <w:rPr>
          <w:rFonts w:ascii="Times New Roman" w:hAnsi="Times New Roman"/>
          <w:i/>
          <w:sz w:val="24"/>
        </w:rPr>
        <w:t>St</w:t>
      </w:r>
      <w:r w:rsidR="00E6684C" w:rsidRPr="00091C8C">
        <w:rPr>
          <w:rFonts w:ascii="Times New Roman" w:hAnsi="Times New Roman"/>
          <w:i/>
          <w:sz w:val="24"/>
        </w:rPr>
        <w:t>rata Plan No</w:t>
      </w:r>
      <w:r w:rsidR="005F72A6" w:rsidRPr="00091C8C">
        <w:rPr>
          <w:rFonts w:ascii="Times New Roman" w:hAnsi="Times New Roman"/>
          <w:i/>
          <w:sz w:val="24"/>
        </w:rPr>
        <w:t xml:space="preserve"> 11564</w:t>
      </w:r>
      <w:r w:rsidR="005F72A6" w:rsidRPr="00091C8C">
        <w:rPr>
          <w:rFonts w:ascii="Times New Roman" w:hAnsi="Times New Roman"/>
          <w:sz w:val="24"/>
        </w:rPr>
        <w:t xml:space="preserve"> (</w:t>
      </w:r>
      <w:r w:rsidR="00797404" w:rsidRPr="00091C8C">
        <w:rPr>
          <w:rFonts w:ascii="Times New Roman" w:hAnsi="Times New Roman"/>
          <w:sz w:val="24"/>
        </w:rPr>
        <w:t xml:space="preserve">2014) 253 CLR </w:t>
      </w:r>
      <w:r w:rsidR="00D128E0" w:rsidRPr="00091C8C">
        <w:rPr>
          <w:rFonts w:ascii="Times New Roman" w:hAnsi="Times New Roman"/>
          <w:sz w:val="24"/>
        </w:rPr>
        <w:t xml:space="preserve">531 at </w:t>
      </w:r>
      <w:r w:rsidR="00A34647" w:rsidRPr="00091C8C">
        <w:rPr>
          <w:rFonts w:ascii="Times New Roman" w:hAnsi="Times New Roman"/>
          <w:sz w:val="24"/>
        </w:rPr>
        <w:t>556-557 [65].</w:t>
      </w:r>
    </w:p>
  </w:footnote>
  <w:footnote w:id="80">
    <w:p w14:paraId="50C8924C" w14:textId="47A60F49" w:rsidR="009B19DB" w:rsidRPr="00091C8C" w:rsidRDefault="009B19DB" w:rsidP="00091C8C">
      <w:pPr>
        <w:pStyle w:val="FootnoteText"/>
        <w:spacing w:line="280" w:lineRule="exact"/>
        <w:ind w:right="0"/>
        <w:jc w:val="both"/>
        <w:rPr>
          <w:rFonts w:ascii="Times New Roman" w:hAnsi="Times New Roman"/>
          <w:i/>
          <w:sz w:val="24"/>
        </w:rPr>
      </w:pPr>
      <w:r w:rsidRPr="00091C8C">
        <w:rPr>
          <w:rStyle w:val="FootnoteReference"/>
          <w:rFonts w:ascii="Times New Roman" w:hAnsi="Times New Roman"/>
          <w:sz w:val="22"/>
          <w:vertAlign w:val="baseline"/>
        </w:rPr>
        <w:footnoteRef/>
      </w:r>
      <w:r w:rsidRPr="00091C8C">
        <w:rPr>
          <w:rFonts w:ascii="Times New Roman" w:hAnsi="Times New Roman"/>
          <w:sz w:val="24"/>
        </w:rPr>
        <w:t xml:space="preserve"> </w:t>
      </w:r>
      <w:r w:rsidRPr="00091C8C">
        <w:rPr>
          <w:rFonts w:ascii="Times New Roman" w:hAnsi="Times New Roman"/>
          <w:sz w:val="24"/>
        </w:rPr>
        <w:tab/>
      </w:r>
      <w:r w:rsidR="002E0697" w:rsidRPr="00091C8C">
        <w:rPr>
          <w:rFonts w:ascii="Times New Roman" w:hAnsi="Times New Roman"/>
          <w:i/>
          <w:sz w:val="24"/>
        </w:rPr>
        <w:t xml:space="preserve">Do </w:t>
      </w:r>
      <w:r w:rsidR="005853A8" w:rsidRPr="00091C8C">
        <w:rPr>
          <w:rFonts w:ascii="Times New Roman" w:hAnsi="Times New Roman"/>
          <w:i/>
          <w:sz w:val="24"/>
        </w:rPr>
        <w:t>C</w:t>
      </w:r>
      <w:r w:rsidR="002E0697" w:rsidRPr="00091C8C">
        <w:rPr>
          <w:rFonts w:ascii="Times New Roman" w:hAnsi="Times New Roman"/>
          <w:i/>
          <w:sz w:val="24"/>
        </w:rPr>
        <w:t>ar</w:t>
      </w:r>
      <w:r w:rsidR="001441D1" w:rsidRPr="00091C8C">
        <w:rPr>
          <w:rFonts w:ascii="Times New Roman" w:hAnsi="Times New Roman"/>
          <w:i/>
          <w:sz w:val="24"/>
        </w:rPr>
        <w:t>mo v Ford Excavations Pty Ltd</w:t>
      </w:r>
      <w:r w:rsidR="00881227" w:rsidRPr="00091C8C">
        <w:rPr>
          <w:rFonts w:ascii="Times New Roman" w:hAnsi="Times New Roman"/>
          <w:sz w:val="24"/>
        </w:rPr>
        <w:t xml:space="preserve"> (1984) 154 CLR 234 at 245</w:t>
      </w:r>
      <w:r w:rsidR="00575193" w:rsidRPr="00091C8C">
        <w:rPr>
          <w:rFonts w:ascii="Times New Roman" w:hAnsi="Times New Roman"/>
          <w:sz w:val="24"/>
        </w:rPr>
        <w:t>.</w:t>
      </w:r>
      <w:r w:rsidR="000C2E1E" w:rsidRPr="00091C8C">
        <w:rPr>
          <w:rFonts w:ascii="Times New Roman" w:hAnsi="Times New Roman"/>
          <w:sz w:val="24"/>
        </w:rPr>
        <w:t xml:space="preserve"> See also</w:t>
      </w:r>
      <w:r w:rsidR="00D339B5" w:rsidRPr="00091C8C">
        <w:rPr>
          <w:rFonts w:ascii="Times New Roman" w:hAnsi="Times New Roman"/>
          <w:sz w:val="24"/>
        </w:rPr>
        <w:t xml:space="preserve"> </w:t>
      </w:r>
      <w:r w:rsidR="00D339B5" w:rsidRPr="00091C8C">
        <w:rPr>
          <w:rFonts w:ascii="Times New Roman" w:hAnsi="Times New Roman"/>
          <w:i/>
          <w:sz w:val="24"/>
        </w:rPr>
        <w:t>Ferrier v Civil Aviation Authority</w:t>
      </w:r>
      <w:r w:rsidR="00D339B5" w:rsidRPr="00091C8C">
        <w:rPr>
          <w:rFonts w:ascii="Times New Roman" w:hAnsi="Times New Roman"/>
          <w:sz w:val="24"/>
        </w:rPr>
        <w:t xml:space="preserve"> (1994) 55 FCR 28 at 92.</w:t>
      </w:r>
    </w:p>
  </w:footnote>
  <w:footnote w:id="81">
    <w:p w14:paraId="2C5A2CF5" w14:textId="55CF3BC0" w:rsidR="00CE6737" w:rsidRPr="00091C8C" w:rsidRDefault="00CE6737" w:rsidP="00091C8C">
      <w:pPr>
        <w:pStyle w:val="FootnoteText"/>
        <w:spacing w:line="280" w:lineRule="exact"/>
        <w:ind w:right="0"/>
        <w:jc w:val="both"/>
        <w:rPr>
          <w:rFonts w:ascii="Times New Roman" w:hAnsi="Times New Roman"/>
          <w:sz w:val="24"/>
        </w:rPr>
      </w:pPr>
      <w:r w:rsidRPr="00091C8C">
        <w:rPr>
          <w:rStyle w:val="FootnoteReference"/>
          <w:rFonts w:ascii="Times New Roman" w:hAnsi="Times New Roman"/>
          <w:sz w:val="22"/>
          <w:vertAlign w:val="baseline"/>
        </w:rPr>
        <w:footnoteRef/>
      </w:r>
      <w:r w:rsidRPr="00091C8C">
        <w:rPr>
          <w:rFonts w:ascii="Times New Roman" w:hAnsi="Times New Roman"/>
          <w:sz w:val="24"/>
        </w:rPr>
        <w:t xml:space="preserve"> </w:t>
      </w:r>
      <w:r w:rsidRPr="00091C8C">
        <w:rPr>
          <w:rFonts w:ascii="Times New Roman" w:hAnsi="Times New Roman"/>
          <w:sz w:val="24"/>
        </w:rPr>
        <w:tab/>
        <w:t>(2000) 202 CLR 45 at 81-88 [92]-[</w:t>
      </w:r>
      <w:r w:rsidR="00510004" w:rsidRPr="00091C8C">
        <w:rPr>
          <w:rFonts w:ascii="Times New Roman" w:hAnsi="Times New Roman"/>
          <w:sz w:val="24"/>
        </w:rPr>
        <w:t>10</w:t>
      </w:r>
      <w:r w:rsidRPr="00091C8C">
        <w:rPr>
          <w:rFonts w:ascii="Times New Roman" w:hAnsi="Times New Roman"/>
          <w:sz w:val="24"/>
        </w:rPr>
        <w:t>7].</w:t>
      </w:r>
    </w:p>
  </w:footnote>
  <w:footnote w:id="82">
    <w:p w14:paraId="1A7B6CC7" w14:textId="77777777" w:rsidR="00CE6737" w:rsidRPr="00091C8C" w:rsidRDefault="00CE6737" w:rsidP="00091C8C">
      <w:pPr>
        <w:pStyle w:val="FootnoteText"/>
        <w:spacing w:line="280" w:lineRule="exact"/>
        <w:ind w:right="0"/>
        <w:jc w:val="both"/>
        <w:rPr>
          <w:rFonts w:ascii="Times New Roman" w:hAnsi="Times New Roman"/>
          <w:sz w:val="24"/>
        </w:rPr>
      </w:pPr>
      <w:r w:rsidRPr="00091C8C">
        <w:rPr>
          <w:rStyle w:val="FootnoteReference"/>
          <w:rFonts w:ascii="Times New Roman" w:hAnsi="Times New Roman"/>
          <w:sz w:val="22"/>
          <w:vertAlign w:val="baseline"/>
        </w:rPr>
        <w:footnoteRef/>
      </w:r>
      <w:r w:rsidRPr="00091C8C">
        <w:rPr>
          <w:rFonts w:ascii="Times New Roman" w:hAnsi="Times New Roman"/>
          <w:sz w:val="24"/>
        </w:rPr>
        <w:t xml:space="preserve"> </w:t>
      </w:r>
      <w:r w:rsidRPr="00091C8C">
        <w:rPr>
          <w:rFonts w:ascii="Times New Roman" w:hAnsi="Times New Roman"/>
          <w:sz w:val="24"/>
        </w:rPr>
        <w:tab/>
        <w:t>(2010) 241 CLR 357 at 368-371 [14]-[23].</w:t>
      </w:r>
    </w:p>
  </w:footnote>
  <w:footnote w:id="83">
    <w:p w14:paraId="0C08C37F" w14:textId="1ABE0AFB" w:rsidR="00CE6737" w:rsidRPr="00091C8C" w:rsidRDefault="00CE6737" w:rsidP="00091C8C">
      <w:pPr>
        <w:pStyle w:val="FootnoteText"/>
        <w:spacing w:line="280" w:lineRule="exact"/>
        <w:ind w:right="0"/>
        <w:jc w:val="both"/>
        <w:rPr>
          <w:rFonts w:ascii="Times New Roman" w:hAnsi="Times New Roman"/>
          <w:sz w:val="24"/>
        </w:rPr>
      </w:pPr>
      <w:r w:rsidRPr="00091C8C">
        <w:rPr>
          <w:rStyle w:val="FootnoteReference"/>
          <w:rFonts w:ascii="Times New Roman" w:hAnsi="Times New Roman"/>
          <w:sz w:val="22"/>
          <w:vertAlign w:val="baseline"/>
        </w:rPr>
        <w:footnoteRef/>
      </w:r>
      <w:r w:rsidRPr="00091C8C">
        <w:rPr>
          <w:rFonts w:ascii="Times New Roman" w:hAnsi="Times New Roman"/>
          <w:sz w:val="24"/>
        </w:rPr>
        <w:t xml:space="preserve"> </w:t>
      </w:r>
      <w:r w:rsidRPr="00091C8C">
        <w:rPr>
          <w:rFonts w:ascii="Times New Roman" w:hAnsi="Times New Roman"/>
          <w:sz w:val="24"/>
        </w:rPr>
        <w:tab/>
      </w:r>
      <w:r w:rsidR="005F08C4" w:rsidRPr="00091C8C">
        <w:rPr>
          <w:rFonts w:ascii="Times New Roman" w:hAnsi="Times New Roman"/>
          <w:i/>
          <w:sz w:val="24"/>
        </w:rPr>
        <w:t xml:space="preserve">Campomar Sociedad Limitada v Nike International </w:t>
      </w:r>
      <w:r w:rsidR="00BE7B6E" w:rsidRPr="00091C8C">
        <w:rPr>
          <w:rFonts w:ascii="Times New Roman" w:hAnsi="Times New Roman"/>
          <w:i/>
          <w:sz w:val="24"/>
        </w:rPr>
        <w:t>Ltd</w:t>
      </w:r>
      <w:r w:rsidR="005F08C4" w:rsidRPr="00091C8C">
        <w:rPr>
          <w:rFonts w:ascii="Times New Roman" w:hAnsi="Times New Roman"/>
          <w:sz w:val="24"/>
        </w:rPr>
        <w:t xml:space="preserve"> </w:t>
      </w:r>
      <w:r w:rsidRPr="00091C8C">
        <w:rPr>
          <w:rFonts w:ascii="Times New Roman" w:hAnsi="Times New Roman"/>
          <w:sz w:val="24"/>
        </w:rPr>
        <w:t>(2000) 202 CLR 45 at 85 [103].</w:t>
      </w:r>
    </w:p>
  </w:footnote>
  <w:footnote w:id="84">
    <w:p w14:paraId="47409143" w14:textId="403C1700" w:rsidR="00CE6737" w:rsidRPr="00091C8C" w:rsidRDefault="00CE6737" w:rsidP="00091C8C">
      <w:pPr>
        <w:pStyle w:val="FootnoteText"/>
        <w:spacing w:line="280" w:lineRule="exact"/>
        <w:ind w:right="0"/>
        <w:jc w:val="both"/>
        <w:rPr>
          <w:rFonts w:ascii="Times New Roman" w:hAnsi="Times New Roman"/>
          <w:sz w:val="24"/>
        </w:rPr>
      </w:pPr>
      <w:r w:rsidRPr="00091C8C">
        <w:rPr>
          <w:rStyle w:val="FootnoteReference"/>
          <w:rFonts w:ascii="Times New Roman" w:hAnsi="Times New Roman"/>
          <w:sz w:val="22"/>
          <w:vertAlign w:val="baseline"/>
        </w:rPr>
        <w:footnoteRef/>
      </w:r>
      <w:r w:rsidRPr="00091C8C">
        <w:rPr>
          <w:rFonts w:ascii="Times New Roman" w:hAnsi="Times New Roman"/>
          <w:sz w:val="24"/>
        </w:rPr>
        <w:t xml:space="preserve"> </w:t>
      </w:r>
      <w:r w:rsidRPr="00091C8C">
        <w:rPr>
          <w:rFonts w:ascii="Times New Roman" w:hAnsi="Times New Roman"/>
          <w:sz w:val="24"/>
        </w:rPr>
        <w:tab/>
      </w:r>
      <w:r w:rsidR="005F08C4" w:rsidRPr="00091C8C">
        <w:rPr>
          <w:rFonts w:ascii="Times New Roman" w:hAnsi="Times New Roman"/>
          <w:i/>
          <w:sz w:val="24"/>
        </w:rPr>
        <w:t>Miller &amp; Associates Insurance Broking Pty Ltd v BMW Australia Finance Ltd</w:t>
      </w:r>
      <w:r w:rsidR="005F08C4" w:rsidRPr="00091C8C">
        <w:rPr>
          <w:rFonts w:ascii="Times New Roman" w:hAnsi="Times New Roman"/>
          <w:sz w:val="24"/>
        </w:rPr>
        <w:t xml:space="preserve"> </w:t>
      </w:r>
      <w:r w:rsidRPr="00091C8C">
        <w:rPr>
          <w:rFonts w:ascii="Times New Roman" w:hAnsi="Times New Roman"/>
          <w:sz w:val="24"/>
        </w:rPr>
        <w:t>(2010) 241 CLR 357 at 369-370 [18]-[21].</w:t>
      </w:r>
    </w:p>
  </w:footnote>
  <w:footnote w:id="85">
    <w:p w14:paraId="1311A50A" w14:textId="0A341A5B" w:rsidR="00CE6737" w:rsidRPr="00091C8C" w:rsidRDefault="00CE6737" w:rsidP="00091C8C">
      <w:pPr>
        <w:pStyle w:val="FootnoteText"/>
        <w:spacing w:line="280" w:lineRule="exact"/>
        <w:ind w:right="0"/>
        <w:jc w:val="both"/>
        <w:rPr>
          <w:rFonts w:ascii="Times New Roman" w:hAnsi="Times New Roman"/>
          <w:sz w:val="24"/>
        </w:rPr>
      </w:pPr>
      <w:r w:rsidRPr="00091C8C">
        <w:rPr>
          <w:rStyle w:val="FootnoteReference"/>
          <w:rFonts w:ascii="Times New Roman" w:hAnsi="Times New Roman"/>
          <w:sz w:val="22"/>
          <w:vertAlign w:val="baseline"/>
        </w:rPr>
        <w:footnoteRef/>
      </w:r>
      <w:r w:rsidRPr="00091C8C">
        <w:rPr>
          <w:rFonts w:ascii="Times New Roman" w:hAnsi="Times New Roman"/>
          <w:sz w:val="24"/>
        </w:rPr>
        <w:t xml:space="preserve"> </w:t>
      </w:r>
      <w:r w:rsidRPr="00091C8C">
        <w:rPr>
          <w:rFonts w:ascii="Times New Roman" w:hAnsi="Times New Roman"/>
          <w:sz w:val="24"/>
        </w:rPr>
        <w:tab/>
      </w:r>
      <w:r w:rsidRPr="00091C8C">
        <w:rPr>
          <w:rFonts w:ascii="Times New Roman" w:hAnsi="Times New Roman"/>
          <w:i/>
          <w:sz w:val="24"/>
        </w:rPr>
        <w:t>H Lundbeck A/S v Sandoz Pty Ltd</w:t>
      </w:r>
      <w:r w:rsidRPr="00091C8C">
        <w:rPr>
          <w:rFonts w:ascii="Times New Roman" w:hAnsi="Times New Roman"/>
          <w:sz w:val="24"/>
        </w:rPr>
        <w:t xml:space="preserve"> (2018) 137 IPR 40</w:t>
      </w:r>
      <w:r w:rsidR="005F08C4" w:rsidRPr="00091C8C">
        <w:rPr>
          <w:rFonts w:ascii="Times New Roman" w:hAnsi="Times New Roman"/>
          <w:sz w:val="24"/>
        </w:rPr>
        <w:t>8</w:t>
      </w:r>
      <w:r w:rsidRPr="00091C8C">
        <w:rPr>
          <w:rFonts w:ascii="Times New Roman" w:hAnsi="Times New Roman"/>
          <w:sz w:val="24"/>
        </w:rPr>
        <w:t xml:space="preserve"> at </w:t>
      </w:r>
      <w:r w:rsidR="005F08C4" w:rsidRPr="00091C8C">
        <w:rPr>
          <w:rFonts w:ascii="Times New Roman" w:hAnsi="Times New Roman"/>
          <w:sz w:val="24"/>
        </w:rPr>
        <w:t xml:space="preserve">543 </w:t>
      </w:r>
      <w:r w:rsidRPr="00091C8C">
        <w:rPr>
          <w:rFonts w:ascii="Times New Roman" w:hAnsi="Times New Roman"/>
          <w:sz w:val="24"/>
        </w:rPr>
        <w:t>[545].</w:t>
      </w:r>
    </w:p>
  </w:footnote>
  <w:footnote w:id="86">
    <w:p w14:paraId="26F5211D" w14:textId="3E516D44" w:rsidR="00CE6737" w:rsidRPr="00091C8C" w:rsidRDefault="00CE6737" w:rsidP="00091C8C">
      <w:pPr>
        <w:pStyle w:val="FootnoteText"/>
        <w:spacing w:line="280" w:lineRule="exact"/>
        <w:ind w:right="0"/>
        <w:jc w:val="both"/>
        <w:rPr>
          <w:rFonts w:ascii="Times New Roman" w:hAnsi="Times New Roman"/>
          <w:sz w:val="24"/>
        </w:rPr>
      </w:pPr>
      <w:r w:rsidRPr="00091C8C">
        <w:rPr>
          <w:rStyle w:val="FootnoteReference"/>
          <w:rFonts w:ascii="Times New Roman" w:hAnsi="Times New Roman"/>
          <w:sz w:val="22"/>
          <w:vertAlign w:val="baseline"/>
        </w:rPr>
        <w:footnoteRef/>
      </w:r>
      <w:r w:rsidRPr="00091C8C">
        <w:rPr>
          <w:rFonts w:ascii="Times New Roman" w:hAnsi="Times New Roman"/>
          <w:sz w:val="24"/>
        </w:rPr>
        <w:t xml:space="preserve"> </w:t>
      </w:r>
      <w:r w:rsidRPr="00091C8C">
        <w:rPr>
          <w:rFonts w:ascii="Times New Roman" w:hAnsi="Times New Roman"/>
          <w:sz w:val="24"/>
        </w:rPr>
        <w:tab/>
      </w:r>
      <w:r w:rsidRPr="00091C8C">
        <w:rPr>
          <w:rFonts w:ascii="Times New Roman" w:hAnsi="Times New Roman"/>
          <w:i/>
          <w:sz w:val="24"/>
        </w:rPr>
        <w:t>H Lundbeck A/S v Sandoz Pty Ltd</w:t>
      </w:r>
      <w:r w:rsidRPr="00091C8C">
        <w:rPr>
          <w:rFonts w:ascii="Times New Roman" w:hAnsi="Times New Roman"/>
          <w:sz w:val="24"/>
        </w:rPr>
        <w:t xml:space="preserve"> (2018) 137 IPR 40</w:t>
      </w:r>
      <w:r w:rsidR="005F08C4" w:rsidRPr="00091C8C">
        <w:rPr>
          <w:rFonts w:ascii="Times New Roman" w:hAnsi="Times New Roman"/>
          <w:sz w:val="24"/>
        </w:rPr>
        <w:t>8</w:t>
      </w:r>
      <w:r w:rsidR="0089610E" w:rsidRPr="00091C8C">
        <w:rPr>
          <w:rFonts w:ascii="Times New Roman" w:hAnsi="Times New Roman"/>
          <w:sz w:val="24"/>
        </w:rPr>
        <w:t xml:space="preserve"> </w:t>
      </w:r>
      <w:r w:rsidRPr="00091C8C">
        <w:rPr>
          <w:rFonts w:ascii="Times New Roman" w:hAnsi="Times New Roman"/>
          <w:sz w:val="24"/>
        </w:rPr>
        <w:t xml:space="preserve">at </w:t>
      </w:r>
      <w:r w:rsidR="005F08C4" w:rsidRPr="00091C8C">
        <w:rPr>
          <w:rFonts w:ascii="Times New Roman" w:hAnsi="Times New Roman"/>
          <w:sz w:val="24"/>
        </w:rPr>
        <w:t>543</w:t>
      </w:r>
      <w:r w:rsidR="00A130E4" w:rsidRPr="00091C8C">
        <w:rPr>
          <w:rFonts w:ascii="Times New Roman" w:hAnsi="Times New Roman"/>
          <w:sz w:val="24"/>
        </w:rPr>
        <w:t xml:space="preserve"> </w:t>
      </w:r>
      <w:r w:rsidRPr="00091C8C">
        <w:rPr>
          <w:rFonts w:ascii="Times New Roman" w:hAnsi="Times New Roman"/>
          <w:sz w:val="24"/>
        </w:rPr>
        <w:t>[545].</w:t>
      </w:r>
    </w:p>
  </w:footnote>
  <w:footnote w:id="87">
    <w:p w14:paraId="25041D05" w14:textId="54EBBBBD" w:rsidR="00CE6737" w:rsidRPr="00091C8C" w:rsidRDefault="00CE6737" w:rsidP="00091C8C">
      <w:pPr>
        <w:pStyle w:val="FootnoteText"/>
        <w:spacing w:line="280" w:lineRule="exact"/>
        <w:ind w:right="0"/>
        <w:jc w:val="both"/>
        <w:rPr>
          <w:rFonts w:ascii="Times New Roman" w:hAnsi="Times New Roman"/>
          <w:sz w:val="24"/>
        </w:rPr>
      </w:pPr>
      <w:r w:rsidRPr="00091C8C">
        <w:rPr>
          <w:rStyle w:val="FootnoteReference"/>
          <w:rFonts w:ascii="Times New Roman" w:hAnsi="Times New Roman"/>
          <w:sz w:val="22"/>
          <w:vertAlign w:val="baseline"/>
        </w:rPr>
        <w:footnoteRef/>
      </w:r>
      <w:r w:rsidRPr="00091C8C">
        <w:rPr>
          <w:rFonts w:ascii="Times New Roman" w:hAnsi="Times New Roman"/>
          <w:sz w:val="24"/>
        </w:rPr>
        <w:t xml:space="preserve"> </w:t>
      </w:r>
      <w:r w:rsidRPr="00091C8C">
        <w:rPr>
          <w:rFonts w:ascii="Times New Roman" w:hAnsi="Times New Roman"/>
          <w:sz w:val="24"/>
        </w:rPr>
        <w:tab/>
      </w:r>
      <w:r w:rsidRPr="00091C8C">
        <w:rPr>
          <w:rFonts w:ascii="Times New Roman" w:hAnsi="Times New Roman"/>
          <w:i/>
          <w:sz w:val="24"/>
        </w:rPr>
        <w:t xml:space="preserve">Advanced Building Systems Pty </w:t>
      </w:r>
      <w:r w:rsidR="00934DC8" w:rsidRPr="00091C8C">
        <w:rPr>
          <w:rFonts w:ascii="Times New Roman" w:hAnsi="Times New Roman"/>
          <w:i/>
          <w:sz w:val="24"/>
        </w:rPr>
        <w:t>Ltd</w:t>
      </w:r>
      <w:r w:rsidRPr="00091C8C">
        <w:rPr>
          <w:rFonts w:ascii="Times New Roman" w:hAnsi="Times New Roman"/>
          <w:i/>
          <w:sz w:val="24"/>
        </w:rPr>
        <w:t xml:space="preserve"> v Ramset Fasteners</w:t>
      </w:r>
      <w:r w:rsidRPr="00091C8C">
        <w:rPr>
          <w:rFonts w:ascii="Times New Roman" w:hAnsi="Times New Roman"/>
          <w:sz w:val="24"/>
        </w:rPr>
        <w:t xml:space="preserve"> </w:t>
      </w:r>
      <w:r w:rsidRPr="00091C8C">
        <w:rPr>
          <w:rFonts w:ascii="Times New Roman" w:hAnsi="Times New Roman"/>
          <w:i/>
          <w:sz w:val="24"/>
        </w:rPr>
        <w:t>(Aust)</w:t>
      </w:r>
      <w:r w:rsidRPr="00091C8C">
        <w:rPr>
          <w:rFonts w:ascii="Times New Roman" w:hAnsi="Times New Roman"/>
          <w:sz w:val="24"/>
        </w:rPr>
        <w:t xml:space="preserve"> </w:t>
      </w:r>
      <w:r w:rsidRPr="00091C8C">
        <w:rPr>
          <w:rFonts w:ascii="Times New Roman" w:hAnsi="Times New Roman"/>
          <w:i/>
          <w:sz w:val="24"/>
        </w:rPr>
        <w:t>Pty Ltd</w:t>
      </w:r>
      <w:r w:rsidRPr="00091C8C">
        <w:rPr>
          <w:rFonts w:ascii="Times New Roman" w:hAnsi="Times New Roman"/>
          <w:sz w:val="24"/>
        </w:rPr>
        <w:t xml:space="preserve"> (1995) AIPC</w:t>
      </w:r>
      <w:r w:rsidR="000B751E" w:rsidRPr="00091C8C">
        <w:rPr>
          <w:rFonts w:ascii="Times New Roman" w:hAnsi="Times New Roman"/>
          <w:sz w:val="24"/>
        </w:rPr>
        <w:t xml:space="preserve"> </w:t>
      </w:r>
      <w:r w:rsidR="007F37EC" w:rsidRPr="00091C8C">
        <w:rPr>
          <w:rFonts w:ascii="Times New Roman" w:hAnsi="Times New Roman"/>
          <w:sz w:val="24"/>
        </w:rPr>
        <w:t>¶</w:t>
      </w:r>
      <w:r w:rsidRPr="00091C8C">
        <w:rPr>
          <w:rFonts w:ascii="Times New Roman" w:hAnsi="Times New Roman"/>
          <w:sz w:val="24"/>
        </w:rPr>
        <w:t xml:space="preserve">91-129; </w:t>
      </w:r>
      <w:r w:rsidRPr="00091C8C">
        <w:rPr>
          <w:rFonts w:ascii="Times New Roman" w:hAnsi="Times New Roman"/>
          <w:i/>
          <w:sz w:val="24"/>
        </w:rPr>
        <w:t>Ramset Fasteners</w:t>
      </w:r>
      <w:r w:rsidRPr="00091C8C">
        <w:rPr>
          <w:rFonts w:ascii="Times New Roman" w:hAnsi="Times New Roman"/>
          <w:sz w:val="24"/>
        </w:rPr>
        <w:t xml:space="preserve"> </w:t>
      </w:r>
      <w:r w:rsidRPr="00091C8C">
        <w:rPr>
          <w:rFonts w:ascii="Times New Roman" w:hAnsi="Times New Roman"/>
          <w:i/>
          <w:sz w:val="24"/>
        </w:rPr>
        <w:t>(Aust)</w:t>
      </w:r>
      <w:r w:rsidRPr="00091C8C">
        <w:rPr>
          <w:rFonts w:ascii="Times New Roman" w:hAnsi="Times New Roman"/>
          <w:sz w:val="24"/>
        </w:rPr>
        <w:t xml:space="preserve"> </w:t>
      </w:r>
      <w:r w:rsidRPr="00091C8C">
        <w:rPr>
          <w:rFonts w:ascii="Times New Roman" w:hAnsi="Times New Roman"/>
          <w:i/>
          <w:sz w:val="24"/>
        </w:rPr>
        <w:t>Pty Ltd v Advanced Building Systems Pty Ltd</w:t>
      </w:r>
      <w:r w:rsidRPr="00091C8C">
        <w:rPr>
          <w:rFonts w:ascii="Times New Roman" w:hAnsi="Times New Roman"/>
          <w:sz w:val="24"/>
        </w:rPr>
        <w:t xml:space="preserve"> (1999) 1</w:t>
      </w:r>
      <w:r w:rsidR="0026384E" w:rsidRPr="00091C8C">
        <w:rPr>
          <w:rFonts w:ascii="Times New Roman" w:hAnsi="Times New Roman"/>
          <w:sz w:val="24"/>
        </w:rPr>
        <w:t>6</w:t>
      </w:r>
      <w:r w:rsidRPr="00091C8C">
        <w:rPr>
          <w:rFonts w:ascii="Times New Roman" w:hAnsi="Times New Roman"/>
          <w:sz w:val="24"/>
        </w:rPr>
        <w:t xml:space="preserve">4 ALR 239; </w:t>
      </w:r>
      <w:r w:rsidRPr="00091C8C">
        <w:rPr>
          <w:rFonts w:ascii="Times New Roman" w:hAnsi="Times New Roman"/>
          <w:i/>
          <w:sz w:val="24"/>
        </w:rPr>
        <w:t>Sanofi-Aventis Australia Pty Ltd v Apotex Pty</w:t>
      </w:r>
      <w:r w:rsidRPr="00091C8C">
        <w:rPr>
          <w:rFonts w:ascii="Times New Roman" w:hAnsi="Times New Roman"/>
          <w:sz w:val="24"/>
        </w:rPr>
        <w:t xml:space="preserve"> </w:t>
      </w:r>
      <w:r w:rsidR="003E63E2" w:rsidRPr="00091C8C">
        <w:rPr>
          <w:rFonts w:ascii="Times New Roman" w:hAnsi="Times New Roman"/>
          <w:i/>
          <w:iCs/>
          <w:sz w:val="24"/>
        </w:rPr>
        <w:t>Ltd</w:t>
      </w:r>
      <w:r w:rsidR="003E63E2" w:rsidRPr="00091C8C">
        <w:rPr>
          <w:rFonts w:ascii="Times New Roman" w:hAnsi="Times New Roman"/>
          <w:sz w:val="24"/>
        </w:rPr>
        <w:t xml:space="preserve"> </w:t>
      </w:r>
      <w:r w:rsidR="003E63E2" w:rsidRPr="00091C8C">
        <w:rPr>
          <w:rFonts w:ascii="Times New Roman" w:hAnsi="Times New Roman"/>
          <w:i/>
          <w:iCs/>
          <w:sz w:val="24"/>
        </w:rPr>
        <w:t>[</w:t>
      </w:r>
      <w:r w:rsidRPr="00091C8C">
        <w:rPr>
          <w:rFonts w:ascii="Times New Roman" w:hAnsi="Times New Roman"/>
          <w:i/>
          <w:sz w:val="24"/>
        </w:rPr>
        <w:t>No 3</w:t>
      </w:r>
      <w:r w:rsidR="003E63E2" w:rsidRPr="00091C8C">
        <w:rPr>
          <w:rFonts w:ascii="Times New Roman" w:hAnsi="Times New Roman"/>
          <w:i/>
          <w:iCs/>
          <w:sz w:val="24"/>
        </w:rPr>
        <w:t>]</w:t>
      </w:r>
      <w:r w:rsidRPr="00091C8C">
        <w:rPr>
          <w:rFonts w:ascii="Times New Roman" w:hAnsi="Times New Roman"/>
          <w:sz w:val="24"/>
        </w:rPr>
        <w:t xml:space="preserve"> (2011) 196 FCR 1 at </w:t>
      </w:r>
      <w:r w:rsidR="0085234E" w:rsidRPr="00091C8C">
        <w:rPr>
          <w:rFonts w:ascii="Times New Roman" w:hAnsi="Times New Roman"/>
          <w:sz w:val="24"/>
        </w:rPr>
        <w:t>81-</w:t>
      </w:r>
      <w:r w:rsidR="007E0B60" w:rsidRPr="00091C8C">
        <w:rPr>
          <w:rFonts w:ascii="Times New Roman" w:hAnsi="Times New Roman"/>
          <w:sz w:val="24"/>
        </w:rPr>
        <w:t xml:space="preserve">83 </w:t>
      </w:r>
      <w:r w:rsidRPr="00091C8C">
        <w:rPr>
          <w:rFonts w:ascii="Times New Roman" w:hAnsi="Times New Roman"/>
          <w:sz w:val="24"/>
        </w:rPr>
        <w:t xml:space="preserve">[275]-[282]; </w:t>
      </w:r>
      <w:r w:rsidRPr="00091C8C">
        <w:rPr>
          <w:rFonts w:ascii="Times New Roman" w:hAnsi="Times New Roman"/>
          <w:i/>
          <w:sz w:val="24"/>
        </w:rPr>
        <w:t>Apotex Pty Ltd v Sanofi-Aventis Australia Pty Ltd</w:t>
      </w:r>
      <w:r w:rsidRPr="00091C8C">
        <w:rPr>
          <w:rFonts w:ascii="Times New Roman" w:hAnsi="Times New Roman"/>
          <w:sz w:val="24"/>
        </w:rPr>
        <w:t xml:space="preserve"> </w:t>
      </w:r>
      <w:r w:rsidR="00652BAB" w:rsidRPr="00091C8C">
        <w:rPr>
          <w:rFonts w:ascii="Times New Roman" w:hAnsi="Times New Roman"/>
          <w:i/>
          <w:iCs/>
          <w:sz w:val="24"/>
        </w:rPr>
        <w:t>[</w:t>
      </w:r>
      <w:r w:rsidRPr="00091C8C">
        <w:rPr>
          <w:rFonts w:ascii="Times New Roman" w:hAnsi="Times New Roman"/>
          <w:i/>
          <w:sz w:val="24"/>
        </w:rPr>
        <w:t>No 2</w:t>
      </w:r>
      <w:r w:rsidR="00652BAB" w:rsidRPr="00091C8C">
        <w:rPr>
          <w:rFonts w:ascii="Times New Roman" w:hAnsi="Times New Roman"/>
          <w:i/>
          <w:iCs/>
          <w:sz w:val="24"/>
        </w:rPr>
        <w:t>]</w:t>
      </w:r>
      <w:r w:rsidRPr="00091C8C">
        <w:rPr>
          <w:rFonts w:ascii="Times New Roman" w:hAnsi="Times New Roman"/>
          <w:sz w:val="24"/>
        </w:rPr>
        <w:t xml:space="preserve"> (2012) 204 FCR 494 at </w:t>
      </w:r>
      <w:r w:rsidR="00416437" w:rsidRPr="00091C8C">
        <w:rPr>
          <w:rFonts w:ascii="Times New Roman" w:hAnsi="Times New Roman"/>
          <w:sz w:val="24"/>
        </w:rPr>
        <w:t xml:space="preserve">518 </w:t>
      </w:r>
      <w:r w:rsidRPr="00091C8C">
        <w:rPr>
          <w:rFonts w:ascii="Times New Roman" w:hAnsi="Times New Roman"/>
          <w:sz w:val="24"/>
        </w:rPr>
        <w:t xml:space="preserve">[91]; </w:t>
      </w:r>
      <w:r w:rsidRPr="00091C8C">
        <w:rPr>
          <w:rFonts w:ascii="Times New Roman" w:hAnsi="Times New Roman"/>
          <w:i/>
          <w:sz w:val="24"/>
        </w:rPr>
        <w:t>Sandvik Intellectual Property AB v Quarry Mining &amp; Construction Equipment Pty Ltd</w:t>
      </w:r>
      <w:r w:rsidRPr="00091C8C">
        <w:rPr>
          <w:rFonts w:ascii="Times New Roman" w:hAnsi="Times New Roman"/>
          <w:sz w:val="24"/>
        </w:rPr>
        <w:t xml:space="preserve"> (2016) 118 IPR 421 at </w:t>
      </w:r>
      <w:r w:rsidR="005E2B3B" w:rsidRPr="00091C8C">
        <w:rPr>
          <w:rFonts w:ascii="Times New Roman" w:hAnsi="Times New Roman"/>
          <w:sz w:val="24"/>
        </w:rPr>
        <w:t xml:space="preserve">496-497 </w:t>
      </w:r>
      <w:r w:rsidRPr="00091C8C">
        <w:rPr>
          <w:rFonts w:ascii="Times New Roman" w:hAnsi="Times New Roman"/>
          <w:sz w:val="24"/>
        </w:rPr>
        <w:t>[272]-[277].</w:t>
      </w:r>
    </w:p>
  </w:footnote>
  <w:footnote w:id="88">
    <w:p w14:paraId="29DA073C" w14:textId="54D9AC62" w:rsidR="00CE6737" w:rsidRPr="00091C8C" w:rsidRDefault="00CE6737" w:rsidP="00091C8C">
      <w:pPr>
        <w:pStyle w:val="FootnoteText"/>
        <w:spacing w:line="280" w:lineRule="exact"/>
        <w:ind w:right="0"/>
        <w:jc w:val="both"/>
        <w:rPr>
          <w:rFonts w:ascii="Times New Roman" w:hAnsi="Times New Roman"/>
          <w:sz w:val="24"/>
        </w:rPr>
      </w:pPr>
      <w:r w:rsidRPr="00091C8C">
        <w:rPr>
          <w:rStyle w:val="FootnoteReference"/>
          <w:rFonts w:ascii="Times New Roman" w:hAnsi="Times New Roman"/>
          <w:sz w:val="22"/>
          <w:vertAlign w:val="baseline"/>
        </w:rPr>
        <w:footnoteRef/>
      </w:r>
      <w:r w:rsidRPr="00091C8C">
        <w:rPr>
          <w:rFonts w:ascii="Times New Roman" w:hAnsi="Times New Roman"/>
          <w:sz w:val="24"/>
        </w:rPr>
        <w:t xml:space="preserve"> </w:t>
      </w:r>
      <w:r w:rsidRPr="00091C8C">
        <w:rPr>
          <w:rFonts w:ascii="Times New Roman" w:hAnsi="Times New Roman"/>
          <w:sz w:val="24"/>
        </w:rPr>
        <w:tab/>
      </w:r>
      <w:r w:rsidRPr="00091C8C">
        <w:rPr>
          <w:rFonts w:ascii="Times New Roman" w:hAnsi="Times New Roman"/>
          <w:i/>
          <w:sz w:val="24"/>
        </w:rPr>
        <w:t>H Lundbeck A/S v Sandoz Pty Ltd</w:t>
      </w:r>
      <w:r w:rsidRPr="00091C8C">
        <w:rPr>
          <w:rFonts w:ascii="Times New Roman" w:hAnsi="Times New Roman"/>
          <w:sz w:val="24"/>
        </w:rPr>
        <w:t xml:space="preserve"> (2018) 137 IPR 40</w:t>
      </w:r>
      <w:r w:rsidR="00AF014A" w:rsidRPr="00091C8C">
        <w:rPr>
          <w:rFonts w:ascii="Times New Roman" w:hAnsi="Times New Roman"/>
          <w:sz w:val="24"/>
        </w:rPr>
        <w:t xml:space="preserve">8 </w:t>
      </w:r>
      <w:r w:rsidRPr="00091C8C">
        <w:rPr>
          <w:rFonts w:ascii="Times New Roman" w:hAnsi="Times New Roman"/>
          <w:sz w:val="24"/>
        </w:rPr>
        <w:t xml:space="preserve">at </w:t>
      </w:r>
      <w:r w:rsidR="00AF014A" w:rsidRPr="00091C8C">
        <w:rPr>
          <w:rFonts w:ascii="Times New Roman" w:hAnsi="Times New Roman"/>
          <w:sz w:val="24"/>
        </w:rPr>
        <w:t xml:space="preserve">541-543 </w:t>
      </w:r>
      <w:r w:rsidRPr="00091C8C">
        <w:rPr>
          <w:rFonts w:ascii="Times New Roman" w:hAnsi="Times New Roman"/>
          <w:sz w:val="24"/>
        </w:rPr>
        <w:t>[538]-[544].</w:t>
      </w:r>
    </w:p>
  </w:footnote>
  <w:footnote w:id="89">
    <w:p w14:paraId="7D09671B" w14:textId="535AAE1F" w:rsidR="0045238C" w:rsidRPr="00091C8C" w:rsidRDefault="0045238C" w:rsidP="00091C8C">
      <w:pPr>
        <w:pStyle w:val="FootnoteText"/>
        <w:spacing w:line="280" w:lineRule="exact"/>
        <w:ind w:right="0"/>
        <w:jc w:val="both"/>
        <w:rPr>
          <w:rFonts w:ascii="Times New Roman" w:hAnsi="Times New Roman"/>
          <w:sz w:val="24"/>
        </w:rPr>
      </w:pPr>
      <w:r w:rsidRPr="00091C8C">
        <w:rPr>
          <w:rStyle w:val="FootnoteReference"/>
          <w:rFonts w:ascii="Times New Roman" w:hAnsi="Times New Roman"/>
          <w:sz w:val="22"/>
          <w:vertAlign w:val="baseline"/>
        </w:rPr>
        <w:footnoteRef/>
      </w:r>
      <w:r w:rsidRPr="00091C8C">
        <w:rPr>
          <w:rFonts w:ascii="Times New Roman" w:hAnsi="Times New Roman"/>
          <w:sz w:val="24"/>
        </w:rPr>
        <w:t xml:space="preserve"> </w:t>
      </w:r>
      <w:r w:rsidR="00376448" w:rsidRPr="00091C8C">
        <w:rPr>
          <w:rFonts w:ascii="Times New Roman" w:hAnsi="Times New Roman"/>
          <w:sz w:val="24"/>
        </w:rPr>
        <w:tab/>
      </w:r>
      <w:r w:rsidR="00376448" w:rsidRPr="00091C8C">
        <w:rPr>
          <w:rFonts w:ascii="Times New Roman" w:hAnsi="Times New Roman"/>
          <w:i/>
          <w:sz w:val="24"/>
        </w:rPr>
        <w:t>H Lundbeck A/S v Sandoz Pty Ltd</w:t>
      </w:r>
      <w:r w:rsidR="00376448" w:rsidRPr="00091C8C">
        <w:rPr>
          <w:rFonts w:ascii="Times New Roman" w:hAnsi="Times New Roman"/>
          <w:sz w:val="24"/>
        </w:rPr>
        <w:t xml:space="preserve"> </w:t>
      </w:r>
      <w:r w:rsidR="000B751E" w:rsidRPr="00091C8C">
        <w:rPr>
          <w:rFonts w:ascii="Times New Roman" w:hAnsi="Times New Roman"/>
          <w:sz w:val="24"/>
        </w:rPr>
        <w:t>(</w:t>
      </w:r>
      <w:r w:rsidR="00376448" w:rsidRPr="00091C8C">
        <w:rPr>
          <w:rFonts w:ascii="Times New Roman" w:hAnsi="Times New Roman"/>
          <w:sz w:val="24"/>
        </w:rPr>
        <w:t>2019</w:t>
      </w:r>
      <w:r w:rsidR="000B751E" w:rsidRPr="00091C8C">
        <w:rPr>
          <w:rFonts w:ascii="Times New Roman" w:hAnsi="Times New Roman"/>
          <w:sz w:val="24"/>
        </w:rPr>
        <w:t>)</w:t>
      </w:r>
      <w:r w:rsidR="00376448" w:rsidRPr="00091C8C">
        <w:rPr>
          <w:rFonts w:ascii="Times New Roman" w:hAnsi="Times New Roman"/>
          <w:sz w:val="24"/>
        </w:rPr>
        <w:t xml:space="preserve"> </w:t>
      </w:r>
      <w:r w:rsidR="000B751E" w:rsidRPr="00091C8C">
        <w:rPr>
          <w:rFonts w:ascii="Times New Roman" w:hAnsi="Times New Roman"/>
          <w:sz w:val="24"/>
        </w:rPr>
        <w:t>153 IPR 170.</w:t>
      </w:r>
    </w:p>
  </w:footnote>
  <w:footnote w:id="90">
    <w:p w14:paraId="5C71579C" w14:textId="77777777" w:rsidR="00BB2DE8" w:rsidRPr="00D01163" w:rsidRDefault="00BB2DE8" w:rsidP="00D01163">
      <w:pPr>
        <w:pStyle w:val="FootnoteText"/>
        <w:spacing w:line="280" w:lineRule="exact"/>
        <w:ind w:right="0"/>
        <w:jc w:val="both"/>
        <w:rPr>
          <w:rFonts w:ascii="Times New Roman" w:hAnsi="Times New Roman"/>
          <w:sz w:val="24"/>
        </w:rPr>
      </w:pPr>
      <w:r w:rsidRPr="00D01163">
        <w:rPr>
          <w:rStyle w:val="FootnoteReference"/>
          <w:rFonts w:ascii="Times New Roman" w:hAnsi="Times New Roman"/>
          <w:sz w:val="22"/>
          <w:vertAlign w:val="baseline"/>
        </w:rPr>
        <w:footnoteRef/>
      </w:r>
      <w:r w:rsidRPr="00D01163">
        <w:rPr>
          <w:rFonts w:ascii="Times New Roman" w:hAnsi="Times New Roman"/>
          <w:sz w:val="24"/>
        </w:rPr>
        <w:t xml:space="preserve"> </w:t>
      </w:r>
      <w:r w:rsidRPr="00D01163">
        <w:rPr>
          <w:rFonts w:ascii="Times New Roman" w:hAnsi="Times New Roman"/>
          <w:sz w:val="24"/>
        </w:rPr>
        <w:tab/>
        <w:t xml:space="preserve">See </w:t>
      </w:r>
      <w:r w:rsidRPr="00D01163">
        <w:rPr>
          <w:rFonts w:ascii="Times New Roman" w:hAnsi="Times New Roman"/>
          <w:i/>
          <w:iCs/>
          <w:sz w:val="24"/>
        </w:rPr>
        <w:t>Patents Act 1990</w:t>
      </w:r>
      <w:r w:rsidRPr="00D01163">
        <w:rPr>
          <w:rFonts w:ascii="Times New Roman" w:hAnsi="Times New Roman"/>
          <w:iCs/>
          <w:sz w:val="24"/>
        </w:rPr>
        <w:t xml:space="preserve"> (Cth)</w:t>
      </w:r>
      <w:r w:rsidRPr="00D01163">
        <w:rPr>
          <w:rFonts w:ascii="Times New Roman" w:hAnsi="Times New Roman"/>
          <w:sz w:val="24"/>
        </w:rPr>
        <w:t>, s 76.</w:t>
      </w:r>
    </w:p>
  </w:footnote>
  <w:footnote w:id="91">
    <w:p w14:paraId="033ADD62" w14:textId="77777777" w:rsidR="00BB2DE8" w:rsidRPr="00D01163" w:rsidRDefault="00BB2DE8" w:rsidP="00D01163">
      <w:pPr>
        <w:pStyle w:val="FootnoteText"/>
        <w:spacing w:line="280" w:lineRule="exact"/>
        <w:ind w:right="0"/>
        <w:jc w:val="both"/>
        <w:rPr>
          <w:rFonts w:ascii="Times New Roman" w:hAnsi="Times New Roman"/>
          <w:sz w:val="24"/>
        </w:rPr>
      </w:pPr>
      <w:r w:rsidRPr="00D01163">
        <w:rPr>
          <w:rStyle w:val="FootnoteReference"/>
          <w:rFonts w:ascii="Times New Roman" w:hAnsi="Times New Roman"/>
          <w:sz w:val="22"/>
          <w:vertAlign w:val="baseline"/>
        </w:rPr>
        <w:footnoteRef/>
      </w:r>
      <w:r w:rsidRPr="00D01163">
        <w:rPr>
          <w:rFonts w:ascii="Times New Roman" w:hAnsi="Times New Roman"/>
          <w:sz w:val="24"/>
        </w:rPr>
        <w:t xml:space="preserve"> </w:t>
      </w:r>
      <w:r w:rsidRPr="00D01163">
        <w:rPr>
          <w:rFonts w:ascii="Times New Roman" w:hAnsi="Times New Roman"/>
          <w:sz w:val="24"/>
        </w:rPr>
        <w:tab/>
      </w:r>
      <w:r w:rsidRPr="00D01163">
        <w:rPr>
          <w:rFonts w:ascii="Times New Roman" w:hAnsi="Times New Roman"/>
          <w:i/>
          <w:iCs/>
          <w:sz w:val="24"/>
        </w:rPr>
        <w:t>Patents Act</w:t>
      </w:r>
      <w:r w:rsidRPr="00D01163">
        <w:rPr>
          <w:rFonts w:ascii="Times New Roman" w:hAnsi="Times New Roman"/>
          <w:sz w:val="24"/>
        </w:rPr>
        <w:t>, s 79.</w:t>
      </w:r>
    </w:p>
  </w:footnote>
  <w:footnote w:id="92">
    <w:p w14:paraId="044BA6B0" w14:textId="77777777" w:rsidR="00BB2DE8" w:rsidRPr="00D01163" w:rsidRDefault="00BB2DE8" w:rsidP="00D01163">
      <w:pPr>
        <w:pStyle w:val="FootnoteText"/>
        <w:spacing w:line="280" w:lineRule="exact"/>
        <w:ind w:right="0"/>
        <w:jc w:val="both"/>
        <w:rPr>
          <w:rFonts w:ascii="Times New Roman" w:hAnsi="Times New Roman"/>
          <w:sz w:val="24"/>
        </w:rPr>
      </w:pPr>
      <w:r w:rsidRPr="00D01163">
        <w:rPr>
          <w:rStyle w:val="FootnoteReference"/>
          <w:rFonts w:ascii="Times New Roman" w:hAnsi="Times New Roman"/>
          <w:sz w:val="22"/>
          <w:vertAlign w:val="baseline"/>
        </w:rPr>
        <w:footnoteRef/>
      </w:r>
      <w:r w:rsidRPr="00D01163">
        <w:rPr>
          <w:rFonts w:ascii="Times New Roman" w:hAnsi="Times New Roman"/>
          <w:sz w:val="24"/>
        </w:rPr>
        <w:t xml:space="preserve"> </w:t>
      </w:r>
      <w:r w:rsidRPr="00D01163">
        <w:rPr>
          <w:rFonts w:ascii="Times New Roman" w:hAnsi="Times New Roman"/>
          <w:sz w:val="24"/>
        </w:rPr>
        <w:tab/>
      </w:r>
      <w:r w:rsidRPr="00D01163">
        <w:rPr>
          <w:rFonts w:ascii="Times New Roman" w:hAnsi="Times New Roman"/>
          <w:i/>
          <w:sz w:val="24"/>
        </w:rPr>
        <w:t>H Lundbeck A/S v Sandoz Pty Ltd</w:t>
      </w:r>
      <w:r w:rsidRPr="00D01163">
        <w:rPr>
          <w:rFonts w:ascii="Times New Roman" w:hAnsi="Times New Roman"/>
          <w:sz w:val="24"/>
        </w:rPr>
        <w:t xml:space="preserve"> (2018) 137 IPR 408 at 484</w:t>
      </w:r>
      <w:r w:rsidRPr="00D01163">
        <w:rPr>
          <w:rFonts w:ascii="Times New Roman" w:hAnsi="Times New Roman"/>
          <w:sz w:val="24"/>
        </w:rPr>
        <w:noBreakHyphen/>
        <w:t>485 [296]</w:t>
      </w:r>
      <w:r w:rsidRPr="00D01163">
        <w:rPr>
          <w:rFonts w:ascii="Times New Roman" w:hAnsi="Times New Roman"/>
          <w:sz w:val="24"/>
        </w:rPr>
        <w:noBreakHyphen/>
        <w:t>[303].</w:t>
      </w:r>
    </w:p>
  </w:footnote>
  <w:footnote w:id="93">
    <w:p w14:paraId="65465640" w14:textId="77777777" w:rsidR="00BB2DE8" w:rsidRPr="00D01163" w:rsidRDefault="00BB2DE8" w:rsidP="00D01163">
      <w:pPr>
        <w:pStyle w:val="FootnoteText"/>
        <w:spacing w:line="280" w:lineRule="exact"/>
        <w:ind w:right="0"/>
        <w:jc w:val="both"/>
        <w:rPr>
          <w:rFonts w:ascii="Times New Roman" w:hAnsi="Times New Roman"/>
          <w:sz w:val="24"/>
        </w:rPr>
      </w:pPr>
      <w:r w:rsidRPr="00D01163">
        <w:rPr>
          <w:rStyle w:val="FootnoteReference"/>
          <w:rFonts w:ascii="Times New Roman" w:hAnsi="Times New Roman"/>
          <w:sz w:val="22"/>
          <w:vertAlign w:val="baseline"/>
        </w:rPr>
        <w:footnoteRef/>
      </w:r>
      <w:r w:rsidRPr="00D01163">
        <w:rPr>
          <w:rFonts w:ascii="Times New Roman" w:hAnsi="Times New Roman"/>
          <w:sz w:val="24"/>
        </w:rPr>
        <w:t xml:space="preserve"> </w:t>
      </w:r>
      <w:r w:rsidRPr="00D01163">
        <w:rPr>
          <w:rFonts w:ascii="Times New Roman" w:hAnsi="Times New Roman"/>
          <w:sz w:val="24"/>
        </w:rPr>
        <w:tab/>
      </w:r>
      <w:r w:rsidRPr="00D01163">
        <w:rPr>
          <w:rFonts w:ascii="Times New Roman" w:hAnsi="Times New Roman"/>
          <w:i/>
          <w:sz w:val="24"/>
        </w:rPr>
        <w:t>Sandoz Pty Ltd v H Lundbeck A/S</w:t>
      </w:r>
      <w:r w:rsidRPr="00D01163">
        <w:rPr>
          <w:rFonts w:ascii="Times New Roman" w:hAnsi="Times New Roman"/>
          <w:sz w:val="24"/>
        </w:rPr>
        <w:t xml:space="preserve"> (2020) 384 ALR 35 at 51 [67]</w:t>
      </w:r>
      <w:r w:rsidRPr="00D01163">
        <w:rPr>
          <w:rFonts w:ascii="Times New Roman" w:hAnsi="Times New Roman"/>
          <w:sz w:val="24"/>
        </w:rPr>
        <w:noBreakHyphen/>
        <w:t>[69].</w:t>
      </w:r>
    </w:p>
  </w:footnote>
  <w:footnote w:id="94">
    <w:p w14:paraId="5667BB71" w14:textId="77777777" w:rsidR="00BB2DE8" w:rsidRPr="00D01163" w:rsidRDefault="00BB2DE8" w:rsidP="00D01163">
      <w:pPr>
        <w:pStyle w:val="FootnoteText"/>
        <w:spacing w:line="280" w:lineRule="exact"/>
        <w:ind w:right="0"/>
        <w:jc w:val="both"/>
        <w:rPr>
          <w:rFonts w:ascii="Times New Roman" w:hAnsi="Times New Roman"/>
          <w:sz w:val="24"/>
        </w:rPr>
      </w:pPr>
      <w:r w:rsidRPr="00D01163">
        <w:rPr>
          <w:rStyle w:val="FootnoteReference"/>
          <w:rFonts w:ascii="Times New Roman" w:hAnsi="Times New Roman"/>
          <w:sz w:val="22"/>
          <w:vertAlign w:val="baseline"/>
        </w:rPr>
        <w:footnoteRef/>
      </w:r>
      <w:r w:rsidRPr="00D01163">
        <w:rPr>
          <w:rFonts w:ascii="Times New Roman" w:hAnsi="Times New Roman"/>
          <w:sz w:val="24"/>
        </w:rPr>
        <w:t xml:space="preserve"> </w:t>
      </w:r>
      <w:r w:rsidRPr="00D01163">
        <w:rPr>
          <w:rFonts w:ascii="Times New Roman" w:hAnsi="Times New Roman"/>
          <w:sz w:val="24"/>
        </w:rPr>
        <w:tab/>
      </w:r>
      <w:r w:rsidRPr="00D01163">
        <w:rPr>
          <w:rFonts w:ascii="Times New Roman" w:hAnsi="Times New Roman"/>
          <w:i/>
          <w:iCs/>
          <w:sz w:val="24"/>
        </w:rPr>
        <w:t xml:space="preserve">Sandoz Pty Ltd v H Lundbeck A/S </w:t>
      </w:r>
      <w:r w:rsidRPr="00D01163">
        <w:rPr>
          <w:rFonts w:ascii="Times New Roman" w:hAnsi="Times New Roman"/>
          <w:sz w:val="24"/>
        </w:rPr>
        <w:t>(2020) 384 ALR 35 at 62</w:t>
      </w:r>
      <w:r w:rsidRPr="00D01163">
        <w:rPr>
          <w:rFonts w:ascii="Times New Roman" w:hAnsi="Times New Roman"/>
          <w:sz w:val="24"/>
        </w:rPr>
        <w:noBreakHyphen/>
        <w:t>63 [105]</w:t>
      </w:r>
      <w:r w:rsidRPr="00D01163">
        <w:rPr>
          <w:rFonts w:ascii="Times New Roman" w:hAnsi="Times New Roman"/>
          <w:sz w:val="24"/>
        </w:rPr>
        <w:noBreakHyphen/>
        <w:t>[110].</w:t>
      </w:r>
    </w:p>
  </w:footnote>
  <w:footnote w:id="95">
    <w:p w14:paraId="648EC5AD" w14:textId="77777777" w:rsidR="00BB2DE8" w:rsidRPr="00D01163" w:rsidRDefault="00BB2DE8" w:rsidP="00D01163">
      <w:pPr>
        <w:pStyle w:val="FootnoteText"/>
        <w:spacing w:line="280" w:lineRule="exact"/>
        <w:ind w:right="0"/>
        <w:jc w:val="both"/>
        <w:rPr>
          <w:rFonts w:ascii="Times New Roman" w:hAnsi="Times New Roman"/>
          <w:sz w:val="24"/>
        </w:rPr>
      </w:pPr>
      <w:r w:rsidRPr="00D01163">
        <w:rPr>
          <w:rStyle w:val="FootnoteReference"/>
          <w:rFonts w:ascii="Times New Roman" w:hAnsi="Times New Roman"/>
          <w:sz w:val="22"/>
          <w:vertAlign w:val="baseline"/>
        </w:rPr>
        <w:footnoteRef/>
      </w:r>
      <w:r w:rsidRPr="00D01163">
        <w:rPr>
          <w:rFonts w:ascii="Times New Roman" w:hAnsi="Times New Roman"/>
          <w:sz w:val="24"/>
        </w:rPr>
        <w:t xml:space="preserve"> </w:t>
      </w:r>
      <w:r w:rsidRPr="00D01163">
        <w:rPr>
          <w:rFonts w:ascii="Times New Roman" w:hAnsi="Times New Roman"/>
          <w:sz w:val="24"/>
        </w:rPr>
        <w:tab/>
      </w:r>
      <w:r w:rsidRPr="00D01163">
        <w:rPr>
          <w:rFonts w:ascii="Times New Roman" w:hAnsi="Times New Roman"/>
          <w:i/>
          <w:iCs/>
          <w:sz w:val="24"/>
        </w:rPr>
        <w:t xml:space="preserve">Sandoz Pty Ltd v H Lundbeck A/S </w:t>
      </w:r>
      <w:r w:rsidRPr="00D01163">
        <w:rPr>
          <w:rFonts w:ascii="Times New Roman" w:hAnsi="Times New Roman"/>
          <w:sz w:val="24"/>
        </w:rPr>
        <w:t>(2020) 384 ALR 35 at 71</w:t>
      </w:r>
      <w:r w:rsidRPr="00D01163">
        <w:rPr>
          <w:rFonts w:ascii="Times New Roman" w:hAnsi="Times New Roman"/>
          <w:sz w:val="24"/>
        </w:rPr>
        <w:noBreakHyphen/>
        <w:t>73 [140]</w:t>
      </w:r>
      <w:r w:rsidRPr="00D01163">
        <w:rPr>
          <w:rFonts w:ascii="Times New Roman" w:hAnsi="Times New Roman"/>
          <w:sz w:val="24"/>
        </w:rPr>
        <w:noBreakHyphen/>
        <w:t>[147].</w:t>
      </w:r>
    </w:p>
  </w:footnote>
  <w:footnote w:id="96">
    <w:p w14:paraId="54425FB4" w14:textId="77777777" w:rsidR="00BB2DE8" w:rsidRPr="00D01163" w:rsidRDefault="00BB2DE8" w:rsidP="00D01163">
      <w:pPr>
        <w:pStyle w:val="FootnoteText"/>
        <w:spacing w:line="280" w:lineRule="exact"/>
        <w:ind w:right="0"/>
        <w:jc w:val="both"/>
        <w:rPr>
          <w:rFonts w:ascii="Times New Roman" w:hAnsi="Times New Roman"/>
          <w:sz w:val="24"/>
        </w:rPr>
      </w:pPr>
      <w:r w:rsidRPr="00D01163">
        <w:rPr>
          <w:rStyle w:val="FootnoteReference"/>
          <w:rFonts w:ascii="Times New Roman" w:hAnsi="Times New Roman"/>
          <w:sz w:val="22"/>
          <w:vertAlign w:val="baseline"/>
        </w:rPr>
        <w:footnoteRef/>
      </w:r>
      <w:r w:rsidRPr="00D01163">
        <w:rPr>
          <w:rFonts w:ascii="Times New Roman" w:hAnsi="Times New Roman"/>
          <w:sz w:val="24"/>
        </w:rPr>
        <w:t xml:space="preserve"> </w:t>
      </w:r>
      <w:r w:rsidRPr="00D01163">
        <w:rPr>
          <w:rFonts w:ascii="Times New Roman" w:hAnsi="Times New Roman"/>
          <w:sz w:val="24"/>
        </w:rPr>
        <w:tab/>
      </w:r>
      <w:r w:rsidRPr="00D01163">
        <w:rPr>
          <w:rFonts w:ascii="Times New Roman" w:hAnsi="Times New Roman"/>
          <w:i/>
          <w:iCs/>
          <w:sz w:val="24"/>
        </w:rPr>
        <w:t xml:space="preserve">Competition and Consumer Act 2010 </w:t>
      </w:r>
      <w:r w:rsidRPr="00D01163">
        <w:rPr>
          <w:rFonts w:ascii="Times New Roman" w:hAnsi="Times New Roman"/>
          <w:sz w:val="24"/>
        </w:rPr>
        <w:t xml:space="preserve">(Cth), Sch 2. </w:t>
      </w:r>
    </w:p>
  </w:footnote>
  <w:footnote w:id="97">
    <w:p w14:paraId="115E5EC6" w14:textId="77777777" w:rsidR="00BB2DE8" w:rsidRPr="00D01163" w:rsidRDefault="00BB2DE8" w:rsidP="00D01163">
      <w:pPr>
        <w:pStyle w:val="FootnoteText"/>
        <w:spacing w:line="280" w:lineRule="exact"/>
        <w:ind w:right="0"/>
        <w:jc w:val="both"/>
        <w:rPr>
          <w:rFonts w:ascii="Times New Roman" w:hAnsi="Times New Roman"/>
          <w:sz w:val="24"/>
        </w:rPr>
      </w:pPr>
      <w:r w:rsidRPr="00D01163">
        <w:rPr>
          <w:rStyle w:val="FootnoteReference"/>
          <w:rFonts w:ascii="Times New Roman" w:hAnsi="Times New Roman"/>
          <w:sz w:val="22"/>
          <w:vertAlign w:val="baseline"/>
        </w:rPr>
        <w:footnoteRef/>
      </w:r>
      <w:r w:rsidRPr="00D01163">
        <w:rPr>
          <w:rFonts w:ascii="Times New Roman" w:hAnsi="Times New Roman"/>
          <w:sz w:val="24"/>
        </w:rPr>
        <w:t xml:space="preserve"> </w:t>
      </w:r>
      <w:r w:rsidRPr="00D01163">
        <w:rPr>
          <w:rFonts w:ascii="Times New Roman" w:hAnsi="Times New Roman"/>
          <w:sz w:val="24"/>
        </w:rPr>
        <w:tab/>
      </w:r>
      <w:r w:rsidRPr="00D01163">
        <w:rPr>
          <w:rFonts w:ascii="Times New Roman" w:hAnsi="Times New Roman"/>
          <w:i/>
          <w:iCs/>
          <w:sz w:val="24"/>
        </w:rPr>
        <w:t xml:space="preserve">H Lundbeck A/S v Sandoz Pty Ltd </w:t>
      </w:r>
      <w:r w:rsidRPr="00D01163">
        <w:rPr>
          <w:rFonts w:ascii="Times New Roman" w:hAnsi="Times New Roman"/>
          <w:sz w:val="24"/>
        </w:rPr>
        <w:t>(2018) 137 IPR 408 at 543 [545].</w:t>
      </w:r>
    </w:p>
  </w:footnote>
  <w:footnote w:id="98">
    <w:p w14:paraId="6C66985C" w14:textId="77777777" w:rsidR="00BB2DE8" w:rsidRPr="00D01163" w:rsidRDefault="00BB2DE8" w:rsidP="00D01163">
      <w:pPr>
        <w:pStyle w:val="FootnoteText"/>
        <w:spacing w:line="280" w:lineRule="exact"/>
        <w:ind w:right="0"/>
        <w:jc w:val="both"/>
        <w:rPr>
          <w:rFonts w:ascii="Times New Roman" w:hAnsi="Times New Roman"/>
          <w:sz w:val="24"/>
        </w:rPr>
      </w:pPr>
      <w:r w:rsidRPr="00D01163">
        <w:rPr>
          <w:rStyle w:val="FootnoteReference"/>
          <w:rFonts w:ascii="Times New Roman" w:hAnsi="Times New Roman"/>
          <w:sz w:val="22"/>
          <w:vertAlign w:val="baseline"/>
        </w:rPr>
        <w:footnoteRef/>
      </w:r>
      <w:r w:rsidRPr="00D01163">
        <w:rPr>
          <w:rFonts w:ascii="Times New Roman" w:hAnsi="Times New Roman"/>
          <w:sz w:val="24"/>
        </w:rPr>
        <w:t xml:space="preserve"> </w:t>
      </w:r>
      <w:r w:rsidRPr="00D01163">
        <w:rPr>
          <w:rFonts w:ascii="Times New Roman" w:hAnsi="Times New Roman"/>
          <w:sz w:val="24"/>
        </w:rPr>
        <w:tab/>
        <w:t xml:space="preserve">See </w:t>
      </w:r>
      <w:r w:rsidRPr="00D01163">
        <w:rPr>
          <w:rFonts w:ascii="Times New Roman" w:hAnsi="Times New Roman"/>
          <w:i/>
          <w:iCs/>
          <w:sz w:val="24"/>
        </w:rPr>
        <w:t>Patents Act</w:t>
      </w:r>
      <w:r w:rsidRPr="00D01163">
        <w:rPr>
          <w:rFonts w:ascii="Times New Roman" w:hAnsi="Times New Roman"/>
          <w:sz w:val="24"/>
        </w:rPr>
        <w:t>, ss 70, 77.</w:t>
      </w:r>
    </w:p>
  </w:footnote>
  <w:footnote w:id="99">
    <w:p w14:paraId="36EFF7BC" w14:textId="77777777" w:rsidR="00BB2DE8" w:rsidRPr="00D01163" w:rsidRDefault="00BB2DE8" w:rsidP="00D01163">
      <w:pPr>
        <w:pStyle w:val="FootnoteText"/>
        <w:spacing w:line="280" w:lineRule="exact"/>
        <w:ind w:right="0"/>
        <w:jc w:val="both"/>
        <w:rPr>
          <w:rFonts w:ascii="Times New Roman" w:hAnsi="Times New Roman"/>
          <w:sz w:val="24"/>
        </w:rPr>
      </w:pPr>
      <w:r w:rsidRPr="00D01163">
        <w:rPr>
          <w:rStyle w:val="FootnoteReference"/>
          <w:rFonts w:ascii="Times New Roman" w:hAnsi="Times New Roman"/>
          <w:sz w:val="22"/>
          <w:vertAlign w:val="baseline"/>
        </w:rPr>
        <w:footnoteRef/>
      </w:r>
      <w:r w:rsidRPr="00D01163">
        <w:rPr>
          <w:rFonts w:ascii="Times New Roman" w:hAnsi="Times New Roman"/>
          <w:sz w:val="24"/>
        </w:rPr>
        <w:t xml:space="preserve"> </w:t>
      </w:r>
      <w:r w:rsidRPr="00D01163">
        <w:rPr>
          <w:rFonts w:ascii="Times New Roman" w:hAnsi="Times New Roman"/>
          <w:sz w:val="24"/>
        </w:rPr>
        <w:tab/>
      </w:r>
      <w:r w:rsidRPr="00D01163">
        <w:rPr>
          <w:rFonts w:ascii="Times New Roman" w:hAnsi="Times New Roman"/>
          <w:i/>
          <w:iCs/>
          <w:sz w:val="24"/>
        </w:rPr>
        <w:t>Federal Commissioner of Taxation v United Aircraft Corporation</w:t>
      </w:r>
      <w:r w:rsidRPr="00D01163">
        <w:rPr>
          <w:rFonts w:ascii="Times New Roman" w:hAnsi="Times New Roman"/>
          <w:sz w:val="24"/>
        </w:rPr>
        <w:t xml:space="preserve"> (1943) 68 CLR 525 at 533.</w:t>
      </w:r>
    </w:p>
  </w:footnote>
  <w:footnote w:id="100">
    <w:p w14:paraId="2EFFB9F2" w14:textId="77777777" w:rsidR="00BB2DE8" w:rsidRPr="00D01163" w:rsidRDefault="00BB2DE8" w:rsidP="00D01163">
      <w:pPr>
        <w:pStyle w:val="FootnoteText"/>
        <w:spacing w:line="280" w:lineRule="exact"/>
        <w:ind w:right="0"/>
        <w:jc w:val="both"/>
        <w:rPr>
          <w:rFonts w:ascii="Times New Roman" w:hAnsi="Times New Roman"/>
          <w:i/>
          <w:iCs/>
          <w:sz w:val="24"/>
        </w:rPr>
      </w:pPr>
      <w:r w:rsidRPr="00D01163">
        <w:rPr>
          <w:rStyle w:val="FootnoteReference"/>
          <w:rFonts w:ascii="Times New Roman" w:hAnsi="Times New Roman"/>
          <w:sz w:val="22"/>
          <w:vertAlign w:val="baseline"/>
        </w:rPr>
        <w:footnoteRef/>
      </w:r>
      <w:r w:rsidRPr="00D01163">
        <w:rPr>
          <w:rFonts w:ascii="Times New Roman" w:hAnsi="Times New Roman"/>
          <w:sz w:val="24"/>
        </w:rPr>
        <w:t xml:space="preserve"> </w:t>
      </w:r>
      <w:r w:rsidRPr="00D01163">
        <w:rPr>
          <w:rFonts w:ascii="Times New Roman" w:hAnsi="Times New Roman"/>
          <w:sz w:val="24"/>
        </w:rPr>
        <w:tab/>
      </w:r>
      <w:r w:rsidRPr="00D01163">
        <w:rPr>
          <w:rFonts w:ascii="Times New Roman" w:hAnsi="Times New Roman"/>
          <w:i/>
          <w:iCs/>
          <w:sz w:val="24"/>
        </w:rPr>
        <w:t>Patents Act</w:t>
      </w:r>
      <w:r w:rsidRPr="00D01163">
        <w:rPr>
          <w:rFonts w:ascii="Times New Roman" w:hAnsi="Times New Roman"/>
          <w:sz w:val="24"/>
        </w:rPr>
        <w:t xml:space="preserve">, s 13(1). </w:t>
      </w:r>
    </w:p>
  </w:footnote>
  <w:footnote w:id="101">
    <w:p w14:paraId="238D39CE" w14:textId="77777777" w:rsidR="00BB2DE8" w:rsidRPr="00D01163" w:rsidRDefault="00BB2DE8" w:rsidP="00D01163">
      <w:pPr>
        <w:pStyle w:val="FootnoteText"/>
        <w:spacing w:line="280" w:lineRule="exact"/>
        <w:ind w:right="0"/>
        <w:jc w:val="both"/>
        <w:rPr>
          <w:rFonts w:ascii="Times New Roman" w:hAnsi="Times New Roman"/>
          <w:sz w:val="24"/>
        </w:rPr>
      </w:pPr>
      <w:r w:rsidRPr="00D01163">
        <w:rPr>
          <w:rStyle w:val="FootnoteReference"/>
          <w:rFonts w:ascii="Times New Roman" w:hAnsi="Times New Roman"/>
          <w:sz w:val="22"/>
          <w:vertAlign w:val="baseline"/>
        </w:rPr>
        <w:footnoteRef/>
      </w:r>
      <w:r w:rsidRPr="00D01163">
        <w:rPr>
          <w:rFonts w:ascii="Times New Roman" w:hAnsi="Times New Roman"/>
          <w:sz w:val="24"/>
        </w:rPr>
        <w:t xml:space="preserve"> </w:t>
      </w:r>
      <w:r w:rsidRPr="00D01163">
        <w:rPr>
          <w:rFonts w:ascii="Times New Roman" w:hAnsi="Times New Roman"/>
          <w:sz w:val="24"/>
        </w:rPr>
        <w:tab/>
      </w:r>
      <w:r w:rsidRPr="00D01163">
        <w:rPr>
          <w:rFonts w:ascii="Times New Roman" w:hAnsi="Times New Roman"/>
          <w:i/>
          <w:iCs/>
          <w:sz w:val="24"/>
        </w:rPr>
        <w:t>Patents Act</w:t>
      </w:r>
      <w:r w:rsidRPr="00D01163">
        <w:rPr>
          <w:rFonts w:ascii="Times New Roman" w:hAnsi="Times New Roman"/>
          <w:sz w:val="24"/>
        </w:rPr>
        <w:t>, s 3 read with Sch 1 definition of "exploit".</w:t>
      </w:r>
    </w:p>
  </w:footnote>
  <w:footnote w:id="102">
    <w:p w14:paraId="7BEF52D9" w14:textId="77777777" w:rsidR="00BB2DE8" w:rsidRPr="00D01163" w:rsidRDefault="00BB2DE8" w:rsidP="00D01163">
      <w:pPr>
        <w:pStyle w:val="FootnoteText"/>
        <w:spacing w:line="280" w:lineRule="exact"/>
        <w:ind w:right="0"/>
        <w:jc w:val="both"/>
        <w:rPr>
          <w:rFonts w:ascii="Times New Roman" w:hAnsi="Times New Roman"/>
          <w:sz w:val="24"/>
        </w:rPr>
      </w:pPr>
      <w:r w:rsidRPr="00D01163">
        <w:rPr>
          <w:rStyle w:val="FootnoteReference"/>
          <w:rFonts w:ascii="Times New Roman" w:hAnsi="Times New Roman"/>
          <w:sz w:val="22"/>
          <w:vertAlign w:val="baseline"/>
        </w:rPr>
        <w:footnoteRef/>
      </w:r>
      <w:r w:rsidRPr="00D01163">
        <w:rPr>
          <w:rFonts w:ascii="Times New Roman" w:hAnsi="Times New Roman"/>
          <w:sz w:val="24"/>
        </w:rPr>
        <w:t xml:space="preserve"> </w:t>
      </w:r>
      <w:r w:rsidRPr="00D01163">
        <w:rPr>
          <w:rFonts w:ascii="Times New Roman" w:hAnsi="Times New Roman"/>
          <w:sz w:val="24"/>
        </w:rPr>
        <w:tab/>
        <w:t xml:space="preserve">See </w:t>
      </w:r>
      <w:r w:rsidRPr="00D01163">
        <w:rPr>
          <w:rFonts w:ascii="Times New Roman" w:hAnsi="Times New Roman"/>
          <w:i/>
          <w:sz w:val="24"/>
        </w:rPr>
        <w:t xml:space="preserve">BP Refinery (Westernport) Pty Ltd v Shire of Hastings </w:t>
      </w:r>
      <w:r w:rsidRPr="00D01163">
        <w:rPr>
          <w:rFonts w:ascii="Times New Roman" w:hAnsi="Times New Roman"/>
          <w:sz w:val="24"/>
        </w:rPr>
        <w:t>(1977) 180 CLR 266 at 283.</w:t>
      </w:r>
    </w:p>
  </w:footnote>
  <w:footnote w:id="103">
    <w:p w14:paraId="274A45D2" w14:textId="77777777" w:rsidR="00BB2DE8" w:rsidRPr="00D01163" w:rsidRDefault="00BB2DE8" w:rsidP="00D01163">
      <w:pPr>
        <w:pStyle w:val="FootnoteText"/>
        <w:spacing w:line="280" w:lineRule="exact"/>
        <w:ind w:right="0"/>
        <w:jc w:val="both"/>
        <w:rPr>
          <w:rFonts w:ascii="Times New Roman" w:hAnsi="Times New Roman"/>
          <w:sz w:val="24"/>
        </w:rPr>
      </w:pPr>
      <w:r w:rsidRPr="00D01163">
        <w:rPr>
          <w:rStyle w:val="FootnoteReference"/>
          <w:rFonts w:ascii="Times New Roman" w:hAnsi="Times New Roman"/>
          <w:sz w:val="22"/>
          <w:vertAlign w:val="baseline"/>
        </w:rPr>
        <w:footnoteRef/>
      </w:r>
      <w:r w:rsidRPr="00D01163">
        <w:rPr>
          <w:rFonts w:ascii="Times New Roman" w:hAnsi="Times New Roman"/>
          <w:sz w:val="24"/>
        </w:rPr>
        <w:t xml:space="preserve"> </w:t>
      </w:r>
      <w:r w:rsidRPr="00D01163">
        <w:rPr>
          <w:rFonts w:ascii="Times New Roman" w:hAnsi="Times New Roman"/>
          <w:sz w:val="24"/>
        </w:rPr>
        <w:tab/>
      </w:r>
      <w:r w:rsidRPr="00D01163">
        <w:rPr>
          <w:rFonts w:ascii="Times New Roman" w:hAnsi="Times New Roman"/>
          <w:i/>
          <w:iCs/>
          <w:sz w:val="24"/>
        </w:rPr>
        <w:t>Codelfa Construction Pty Ltd v State Rail Authority of NSW</w:t>
      </w:r>
      <w:r w:rsidRPr="00D01163">
        <w:rPr>
          <w:rFonts w:ascii="Times New Roman" w:hAnsi="Times New Roman"/>
          <w:sz w:val="24"/>
        </w:rPr>
        <w:t xml:space="preserve"> (1982) 149 CLR 337 at 345; </w:t>
      </w:r>
      <w:r w:rsidRPr="00D01163">
        <w:rPr>
          <w:rFonts w:ascii="Times New Roman" w:hAnsi="Times New Roman"/>
          <w:i/>
          <w:iCs/>
          <w:sz w:val="24"/>
        </w:rPr>
        <w:t xml:space="preserve">Commonwealth Bank of Australia v Barker </w:t>
      </w:r>
      <w:r w:rsidRPr="00D01163">
        <w:rPr>
          <w:rFonts w:ascii="Times New Roman" w:hAnsi="Times New Roman"/>
          <w:sz w:val="24"/>
        </w:rPr>
        <w:t>(2014) 253 CLR 169 at 186 [22].</w:t>
      </w:r>
    </w:p>
  </w:footnote>
  <w:footnote w:id="104">
    <w:p w14:paraId="67654DD9" w14:textId="77777777" w:rsidR="00BB2DE8" w:rsidRPr="00D01163" w:rsidRDefault="00BB2DE8" w:rsidP="00D01163">
      <w:pPr>
        <w:pStyle w:val="FootnoteText"/>
        <w:spacing w:line="280" w:lineRule="exact"/>
        <w:ind w:right="0"/>
        <w:jc w:val="both"/>
        <w:rPr>
          <w:rFonts w:ascii="Times New Roman" w:hAnsi="Times New Roman"/>
          <w:sz w:val="24"/>
        </w:rPr>
      </w:pPr>
      <w:r w:rsidRPr="00D01163">
        <w:rPr>
          <w:rStyle w:val="FootnoteReference"/>
          <w:rFonts w:ascii="Times New Roman" w:hAnsi="Times New Roman"/>
          <w:sz w:val="22"/>
          <w:vertAlign w:val="baseline"/>
        </w:rPr>
        <w:footnoteRef/>
      </w:r>
      <w:r w:rsidRPr="00D01163">
        <w:rPr>
          <w:rFonts w:ascii="Times New Roman" w:hAnsi="Times New Roman"/>
          <w:sz w:val="24"/>
        </w:rPr>
        <w:t xml:space="preserve"> </w:t>
      </w:r>
      <w:r w:rsidRPr="00D01163">
        <w:rPr>
          <w:rFonts w:ascii="Times New Roman" w:hAnsi="Times New Roman"/>
          <w:sz w:val="24"/>
        </w:rPr>
        <w:tab/>
      </w:r>
      <w:r w:rsidRPr="00D01163">
        <w:rPr>
          <w:rFonts w:ascii="Times New Roman" w:hAnsi="Times New Roman"/>
          <w:i/>
          <w:iCs/>
          <w:sz w:val="24"/>
        </w:rPr>
        <w:t>Attorney General of Belize v Belize Telecom Ltd</w:t>
      </w:r>
      <w:r w:rsidRPr="00D01163">
        <w:rPr>
          <w:rFonts w:ascii="Times New Roman" w:hAnsi="Times New Roman"/>
          <w:iCs/>
          <w:sz w:val="24"/>
        </w:rPr>
        <w:t xml:space="preserve"> </w:t>
      </w:r>
      <w:r w:rsidRPr="00D01163">
        <w:rPr>
          <w:rFonts w:ascii="Times New Roman" w:hAnsi="Times New Roman"/>
          <w:sz w:val="24"/>
        </w:rPr>
        <w:t xml:space="preserve">[2009] 1 WLR 1988 at 1994 [22]; </w:t>
      </w:r>
      <w:bookmarkStart w:id="3" w:name="_Hlk86327112"/>
      <w:r w:rsidRPr="00D01163">
        <w:rPr>
          <w:rFonts w:ascii="Times New Roman" w:hAnsi="Times New Roman"/>
          <w:sz w:val="24"/>
        </w:rPr>
        <w:t xml:space="preserve">[2009] 2 All ER 1127 at </w:t>
      </w:r>
      <w:bookmarkEnd w:id="3"/>
      <w:r w:rsidRPr="00D01163">
        <w:rPr>
          <w:rFonts w:ascii="Times New Roman" w:hAnsi="Times New Roman"/>
          <w:sz w:val="24"/>
        </w:rPr>
        <w:t xml:space="preserve">1134; </w:t>
      </w:r>
      <w:r w:rsidRPr="00D01163">
        <w:rPr>
          <w:rFonts w:ascii="Times New Roman" w:hAnsi="Times New Roman"/>
          <w:i/>
          <w:iCs/>
          <w:sz w:val="24"/>
        </w:rPr>
        <w:t>Commonwealth Bank of Australia v Barker</w:t>
      </w:r>
      <w:r w:rsidRPr="00D01163">
        <w:rPr>
          <w:rFonts w:ascii="Times New Roman" w:hAnsi="Times New Roman"/>
          <w:iCs/>
          <w:sz w:val="24"/>
        </w:rPr>
        <w:t xml:space="preserve"> </w:t>
      </w:r>
      <w:r w:rsidRPr="00D01163">
        <w:rPr>
          <w:rFonts w:ascii="Times New Roman" w:hAnsi="Times New Roman"/>
          <w:sz w:val="24"/>
        </w:rPr>
        <w:t>(2014) 253 CLR 169 at 186 [22].</w:t>
      </w:r>
    </w:p>
  </w:footnote>
  <w:footnote w:id="105">
    <w:p w14:paraId="34685F64" w14:textId="77777777" w:rsidR="00BB2DE8" w:rsidRPr="00D01163" w:rsidRDefault="00BB2DE8" w:rsidP="00D01163">
      <w:pPr>
        <w:pStyle w:val="FootnoteText"/>
        <w:spacing w:line="280" w:lineRule="exact"/>
        <w:ind w:right="0"/>
        <w:jc w:val="both"/>
        <w:rPr>
          <w:rFonts w:ascii="Times New Roman" w:hAnsi="Times New Roman"/>
          <w:sz w:val="24"/>
        </w:rPr>
      </w:pPr>
      <w:r w:rsidRPr="00D01163">
        <w:rPr>
          <w:rStyle w:val="FootnoteReference"/>
          <w:rFonts w:ascii="Times New Roman" w:hAnsi="Times New Roman"/>
          <w:sz w:val="22"/>
          <w:vertAlign w:val="baseline"/>
        </w:rPr>
        <w:footnoteRef/>
      </w:r>
      <w:r w:rsidRPr="00D01163">
        <w:rPr>
          <w:rFonts w:ascii="Times New Roman" w:hAnsi="Times New Roman"/>
          <w:sz w:val="24"/>
        </w:rPr>
        <w:t xml:space="preserve"> </w:t>
      </w:r>
      <w:r w:rsidRPr="00D01163">
        <w:rPr>
          <w:rFonts w:ascii="Times New Roman" w:hAnsi="Times New Roman"/>
          <w:sz w:val="24"/>
        </w:rPr>
        <w:tab/>
        <w:t xml:space="preserve">Sperber and Wilson, </w:t>
      </w:r>
      <w:r w:rsidRPr="00D01163">
        <w:rPr>
          <w:rFonts w:ascii="Times New Roman" w:hAnsi="Times New Roman"/>
          <w:i/>
          <w:iCs/>
          <w:sz w:val="24"/>
        </w:rPr>
        <w:t>Relevance: Communication and Cognition</w:t>
      </w:r>
      <w:r w:rsidRPr="00D01163">
        <w:rPr>
          <w:rFonts w:ascii="Times New Roman" w:hAnsi="Times New Roman"/>
          <w:sz w:val="24"/>
        </w:rPr>
        <w:t xml:space="preserve">, 2nd ed (1995) at 182; Carston, </w:t>
      </w:r>
      <w:r w:rsidRPr="00D01163">
        <w:rPr>
          <w:rFonts w:ascii="Times New Roman" w:hAnsi="Times New Roman"/>
          <w:i/>
          <w:iCs/>
          <w:sz w:val="24"/>
        </w:rPr>
        <w:t xml:space="preserve">Thoughts and Utterances: The Pragmatics of Explicit Communication </w:t>
      </w:r>
      <w:r w:rsidRPr="00D01163">
        <w:rPr>
          <w:rFonts w:ascii="Times New Roman" w:hAnsi="Times New Roman"/>
          <w:sz w:val="24"/>
        </w:rPr>
        <w:t>(2002) at 116</w:t>
      </w:r>
      <w:r w:rsidRPr="00D01163">
        <w:rPr>
          <w:rFonts w:ascii="Times New Roman" w:hAnsi="Times New Roman"/>
          <w:sz w:val="24"/>
        </w:rPr>
        <w:noBreakHyphen/>
        <w:t xml:space="preserve">125. And see Haugh, "The Intuitive Basis of Implicature: Relevance Theoretic </w:t>
      </w:r>
      <w:r w:rsidRPr="00D01163">
        <w:rPr>
          <w:rFonts w:ascii="Times New Roman" w:hAnsi="Times New Roman"/>
          <w:i/>
          <w:iCs/>
          <w:sz w:val="24"/>
        </w:rPr>
        <w:t xml:space="preserve">Implicitness </w:t>
      </w:r>
      <w:r w:rsidRPr="00D01163">
        <w:rPr>
          <w:rFonts w:ascii="Times New Roman" w:hAnsi="Times New Roman"/>
          <w:sz w:val="24"/>
        </w:rPr>
        <w:t xml:space="preserve">versus Gricean </w:t>
      </w:r>
      <w:r w:rsidRPr="00D01163">
        <w:rPr>
          <w:rFonts w:ascii="Times New Roman" w:hAnsi="Times New Roman"/>
          <w:i/>
          <w:iCs/>
          <w:sz w:val="24"/>
        </w:rPr>
        <w:t>Implying</w:t>
      </w:r>
      <w:r w:rsidRPr="00D01163">
        <w:rPr>
          <w:rFonts w:ascii="Times New Roman" w:hAnsi="Times New Roman"/>
          <w:sz w:val="24"/>
        </w:rPr>
        <w:t xml:space="preserve">" (2002) 12 </w:t>
      </w:r>
      <w:r w:rsidRPr="00D01163">
        <w:rPr>
          <w:rFonts w:ascii="Times New Roman" w:hAnsi="Times New Roman"/>
          <w:i/>
          <w:iCs/>
          <w:sz w:val="24"/>
        </w:rPr>
        <w:t xml:space="preserve">Pragmatics </w:t>
      </w:r>
      <w:r w:rsidRPr="00D01163">
        <w:rPr>
          <w:rFonts w:ascii="Times New Roman" w:hAnsi="Times New Roman"/>
          <w:sz w:val="24"/>
        </w:rPr>
        <w:t>117 at 123</w:t>
      </w:r>
      <w:r w:rsidRPr="00D01163">
        <w:rPr>
          <w:rFonts w:ascii="Times New Roman" w:hAnsi="Times New Roman"/>
          <w:sz w:val="24"/>
        </w:rPr>
        <w:noBreakHyphen/>
        <w:t xml:space="preserve">130. </w:t>
      </w:r>
    </w:p>
  </w:footnote>
  <w:footnote w:id="106">
    <w:p w14:paraId="232045D6" w14:textId="77777777" w:rsidR="00BB2DE8" w:rsidRPr="00D01163" w:rsidRDefault="00BB2DE8" w:rsidP="00D01163">
      <w:pPr>
        <w:pStyle w:val="FootnoteText"/>
        <w:spacing w:line="280" w:lineRule="exact"/>
        <w:ind w:right="0"/>
        <w:jc w:val="both"/>
        <w:rPr>
          <w:rFonts w:ascii="Times New Roman" w:hAnsi="Times New Roman"/>
          <w:sz w:val="24"/>
        </w:rPr>
      </w:pPr>
      <w:r w:rsidRPr="00D01163">
        <w:rPr>
          <w:rStyle w:val="FootnoteReference"/>
          <w:rFonts w:ascii="Times New Roman" w:hAnsi="Times New Roman"/>
          <w:sz w:val="22"/>
          <w:vertAlign w:val="baseline"/>
        </w:rPr>
        <w:footnoteRef/>
      </w:r>
      <w:r w:rsidRPr="00D01163">
        <w:rPr>
          <w:rFonts w:ascii="Times New Roman" w:hAnsi="Times New Roman"/>
          <w:sz w:val="24"/>
        </w:rPr>
        <w:t xml:space="preserve"> </w:t>
      </w:r>
      <w:r w:rsidRPr="00D01163">
        <w:rPr>
          <w:rFonts w:ascii="Times New Roman" w:hAnsi="Times New Roman"/>
          <w:sz w:val="24"/>
        </w:rPr>
        <w:tab/>
      </w:r>
      <w:r w:rsidRPr="00D01163">
        <w:rPr>
          <w:rFonts w:ascii="Times New Roman" w:hAnsi="Times New Roman"/>
          <w:i/>
          <w:iCs/>
          <w:sz w:val="24"/>
        </w:rPr>
        <w:t>Merchant Service Guild of Australasia v Newcastle and Hunter River Steamship Co Ltd [No 1]</w:t>
      </w:r>
      <w:r w:rsidRPr="00D01163">
        <w:rPr>
          <w:rFonts w:ascii="Times New Roman" w:hAnsi="Times New Roman"/>
          <w:iCs/>
          <w:sz w:val="24"/>
        </w:rPr>
        <w:t xml:space="preserve"> </w:t>
      </w:r>
      <w:r w:rsidRPr="00D01163">
        <w:rPr>
          <w:rFonts w:ascii="Times New Roman" w:hAnsi="Times New Roman"/>
          <w:sz w:val="24"/>
        </w:rPr>
        <w:t xml:space="preserve">(1913) 16 CLR 591 at 624. See also </w:t>
      </w:r>
      <w:r w:rsidRPr="00D01163">
        <w:rPr>
          <w:rFonts w:ascii="Times New Roman" w:hAnsi="Times New Roman"/>
          <w:i/>
          <w:iCs/>
          <w:sz w:val="24"/>
        </w:rPr>
        <w:t>Lubrano v Gollin &amp; Co Pty Ltd</w:t>
      </w:r>
      <w:r w:rsidRPr="00D01163">
        <w:rPr>
          <w:rFonts w:ascii="Times New Roman" w:hAnsi="Times New Roman"/>
          <w:sz w:val="24"/>
        </w:rPr>
        <w:t xml:space="preserve"> (1919) 27 CLR 113 at 118; </w:t>
      </w:r>
      <w:r w:rsidRPr="00D01163">
        <w:rPr>
          <w:rFonts w:ascii="Times New Roman" w:hAnsi="Times New Roman"/>
          <w:i/>
          <w:iCs/>
          <w:sz w:val="24"/>
        </w:rPr>
        <w:t>R v Rigby</w:t>
      </w:r>
      <w:r w:rsidRPr="00D01163">
        <w:rPr>
          <w:rFonts w:ascii="Times New Roman" w:hAnsi="Times New Roman"/>
          <w:sz w:val="24"/>
        </w:rPr>
        <w:t xml:space="preserve"> (1956) 100 CLR 146 at 151; </w:t>
      </w:r>
      <w:r w:rsidRPr="00D01163">
        <w:rPr>
          <w:rFonts w:ascii="Times New Roman" w:hAnsi="Times New Roman"/>
          <w:i/>
          <w:iCs/>
          <w:sz w:val="24"/>
        </w:rPr>
        <w:t xml:space="preserve">Wurridjal v The Commonwealth </w:t>
      </w:r>
      <w:r w:rsidRPr="00D01163">
        <w:rPr>
          <w:rFonts w:ascii="Times New Roman" w:hAnsi="Times New Roman"/>
          <w:sz w:val="24"/>
        </w:rPr>
        <w:t>(2009) 237 CLR 309 at 368 [120].</w:t>
      </w:r>
    </w:p>
  </w:footnote>
  <w:footnote w:id="107">
    <w:p w14:paraId="2823F9A9" w14:textId="77777777" w:rsidR="00BB2DE8" w:rsidRPr="00D01163" w:rsidRDefault="00BB2DE8" w:rsidP="00D01163">
      <w:pPr>
        <w:pStyle w:val="FootnoteText"/>
        <w:spacing w:line="280" w:lineRule="exact"/>
        <w:ind w:right="0"/>
        <w:jc w:val="both"/>
        <w:rPr>
          <w:rFonts w:ascii="Times New Roman" w:hAnsi="Times New Roman"/>
          <w:sz w:val="24"/>
        </w:rPr>
      </w:pPr>
      <w:r w:rsidRPr="00D01163">
        <w:rPr>
          <w:rStyle w:val="FootnoteReference"/>
          <w:rFonts w:ascii="Times New Roman" w:hAnsi="Times New Roman"/>
          <w:sz w:val="22"/>
          <w:vertAlign w:val="baseline"/>
        </w:rPr>
        <w:footnoteRef/>
      </w:r>
      <w:r w:rsidRPr="00D01163">
        <w:rPr>
          <w:rFonts w:ascii="Times New Roman" w:hAnsi="Times New Roman"/>
          <w:sz w:val="24"/>
        </w:rPr>
        <w:t xml:space="preserve"> </w:t>
      </w:r>
      <w:r w:rsidRPr="00D01163">
        <w:rPr>
          <w:rFonts w:ascii="Times New Roman" w:hAnsi="Times New Roman"/>
          <w:sz w:val="24"/>
        </w:rPr>
        <w:tab/>
        <w:t xml:space="preserve">Compare, for instance, the approaches in </w:t>
      </w:r>
      <w:r w:rsidRPr="00D01163">
        <w:rPr>
          <w:rFonts w:ascii="Times New Roman" w:hAnsi="Times New Roman"/>
          <w:i/>
          <w:iCs/>
          <w:sz w:val="24"/>
        </w:rPr>
        <w:t>Lewis Construction (Engineering) Pty Ltd v Southern Electric Authority of Queensland</w:t>
      </w:r>
      <w:r w:rsidRPr="00D01163">
        <w:rPr>
          <w:rFonts w:ascii="Times New Roman" w:hAnsi="Times New Roman"/>
          <w:iCs/>
          <w:sz w:val="24"/>
        </w:rPr>
        <w:t xml:space="preserve"> </w:t>
      </w:r>
      <w:r w:rsidRPr="00D01163">
        <w:rPr>
          <w:rFonts w:ascii="Times New Roman" w:hAnsi="Times New Roman"/>
          <w:sz w:val="24"/>
        </w:rPr>
        <w:t>(1976) 50 ALJR 769 at 770</w:t>
      </w:r>
      <w:r w:rsidRPr="00D01163">
        <w:rPr>
          <w:rFonts w:ascii="Times New Roman" w:hAnsi="Times New Roman"/>
          <w:sz w:val="24"/>
        </w:rPr>
        <w:noBreakHyphen/>
        <w:t>771 (Barwick CJ in dissent), 773</w:t>
      </w:r>
      <w:r w:rsidRPr="00D01163">
        <w:rPr>
          <w:rFonts w:ascii="Times New Roman" w:hAnsi="Times New Roman"/>
          <w:sz w:val="24"/>
        </w:rPr>
        <w:noBreakHyphen/>
        <w:t>775 (Gibbs J), with 777 (Stephen and Murphy JJ); 11 ALR 305 at 309, 314</w:t>
      </w:r>
      <w:r w:rsidRPr="00D01163">
        <w:rPr>
          <w:rFonts w:ascii="Times New Roman" w:hAnsi="Times New Roman"/>
          <w:sz w:val="24"/>
        </w:rPr>
        <w:noBreakHyphen/>
        <w:t>318, 321</w:t>
      </w:r>
      <w:r w:rsidRPr="00D01163">
        <w:rPr>
          <w:rFonts w:ascii="Times New Roman" w:hAnsi="Times New Roman"/>
          <w:sz w:val="24"/>
        </w:rPr>
        <w:noBreakHyphen/>
        <w:t>323.</w:t>
      </w:r>
    </w:p>
  </w:footnote>
  <w:footnote w:id="108">
    <w:p w14:paraId="072D96D9" w14:textId="77777777" w:rsidR="00BB2DE8" w:rsidRPr="00D01163" w:rsidRDefault="00BB2DE8" w:rsidP="00D01163">
      <w:pPr>
        <w:pStyle w:val="FootnoteText"/>
        <w:spacing w:line="280" w:lineRule="exact"/>
        <w:ind w:right="0"/>
        <w:jc w:val="both"/>
        <w:rPr>
          <w:rFonts w:ascii="Times New Roman" w:hAnsi="Times New Roman"/>
          <w:sz w:val="24"/>
        </w:rPr>
      </w:pPr>
      <w:r w:rsidRPr="00D01163">
        <w:rPr>
          <w:rStyle w:val="FootnoteReference"/>
          <w:rFonts w:ascii="Times New Roman" w:hAnsi="Times New Roman"/>
          <w:sz w:val="22"/>
          <w:vertAlign w:val="baseline"/>
        </w:rPr>
        <w:footnoteRef/>
      </w:r>
      <w:r w:rsidRPr="00D01163">
        <w:rPr>
          <w:rFonts w:ascii="Times New Roman" w:hAnsi="Times New Roman"/>
          <w:sz w:val="24"/>
        </w:rPr>
        <w:t xml:space="preserve"> </w:t>
      </w:r>
      <w:r w:rsidRPr="00D01163">
        <w:rPr>
          <w:rFonts w:ascii="Times New Roman" w:hAnsi="Times New Roman"/>
          <w:sz w:val="24"/>
        </w:rPr>
        <w:tab/>
        <w:t>[1971] 1 WLR 1381 at 1388; [1971] 3 All ER 237 at 243.</w:t>
      </w:r>
    </w:p>
  </w:footnote>
  <w:footnote w:id="109">
    <w:p w14:paraId="7B00BD1F" w14:textId="77777777" w:rsidR="00BB2DE8" w:rsidRPr="00D01163" w:rsidRDefault="00BB2DE8" w:rsidP="00D01163">
      <w:pPr>
        <w:pStyle w:val="FootnoteText"/>
        <w:spacing w:line="280" w:lineRule="exact"/>
        <w:ind w:right="0"/>
        <w:jc w:val="both"/>
        <w:rPr>
          <w:rFonts w:ascii="Times New Roman" w:hAnsi="Times New Roman"/>
          <w:sz w:val="24"/>
        </w:rPr>
      </w:pPr>
      <w:r w:rsidRPr="00D01163">
        <w:rPr>
          <w:rStyle w:val="FootnoteReference"/>
          <w:rFonts w:ascii="Times New Roman" w:hAnsi="Times New Roman"/>
          <w:sz w:val="22"/>
          <w:vertAlign w:val="baseline"/>
        </w:rPr>
        <w:footnoteRef/>
      </w:r>
      <w:r w:rsidRPr="00D01163">
        <w:rPr>
          <w:rFonts w:ascii="Times New Roman" w:hAnsi="Times New Roman"/>
          <w:sz w:val="24"/>
        </w:rPr>
        <w:t xml:space="preserve"> </w:t>
      </w:r>
      <w:r w:rsidRPr="00D01163">
        <w:rPr>
          <w:rFonts w:ascii="Times New Roman" w:hAnsi="Times New Roman"/>
          <w:sz w:val="24"/>
        </w:rPr>
        <w:tab/>
        <w:t>(1982) 149 CLR 337 at 348.</w:t>
      </w:r>
    </w:p>
  </w:footnote>
  <w:footnote w:id="110">
    <w:p w14:paraId="66645A9A" w14:textId="77777777" w:rsidR="00BB2DE8" w:rsidRPr="00D01163" w:rsidRDefault="00BB2DE8" w:rsidP="00D01163">
      <w:pPr>
        <w:pStyle w:val="FootnoteText"/>
        <w:spacing w:line="280" w:lineRule="exact"/>
        <w:ind w:right="0"/>
        <w:jc w:val="both"/>
        <w:rPr>
          <w:rFonts w:ascii="Times New Roman" w:hAnsi="Times New Roman"/>
          <w:sz w:val="24"/>
        </w:rPr>
      </w:pPr>
      <w:r w:rsidRPr="00D01163">
        <w:rPr>
          <w:rStyle w:val="FootnoteReference"/>
          <w:rFonts w:ascii="Times New Roman" w:hAnsi="Times New Roman"/>
          <w:sz w:val="22"/>
          <w:vertAlign w:val="baseline"/>
        </w:rPr>
        <w:footnoteRef/>
      </w:r>
      <w:r w:rsidRPr="00D01163">
        <w:rPr>
          <w:rFonts w:ascii="Times New Roman" w:hAnsi="Times New Roman"/>
          <w:sz w:val="24"/>
        </w:rPr>
        <w:t xml:space="preserve"> </w:t>
      </w:r>
      <w:r w:rsidRPr="00D01163">
        <w:rPr>
          <w:rFonts w:ascii="Times New Roman" w:hAnsi="Times New Roman"/>
          <w:sz w:val="24"/>
        </w:rPr>
        <w:tab/>
      </w:r>
      <w:r w:rsidRPr="00D01163">
        <w:rPr>
          <w:rFonts w:ascii="Times New Roman" w:hAnsi="Times New Roman"/>
          <w:i/>
          <w:iCs/>
          <w:sz w:val="24"/>
        </w:rPr>
        <w:t>Codelfa Construction Pty Ltd v State Rail Authority of NSW</w:t>
      </w:r>
      <w:r w:rsidRPr="00D01163">
        <w:rPr>
          <w:rFonts w:ascii="Times New Roman" w:hAnsi="Times New Roman"/>
          <w:sz w:val="24"/>
        </w:rPr>
        <w:t xml:space="preserve"> (1982) 149 CLR 337 at 352, considered in </w:t>
      </w:r>
      <w:r w:rsidRPr="00D01163">
        <w:rPr>
          <w:rFonts w:ascii="Times New Roman" w:hAnsi="Times New Roman"/>
          <w:i/>
          <w:iCs/>
          <w:sz w:val="24"/>
        </w:rPr>
        <w:t xml:space="preserve">Franklins Pty Ltd v Metcash Trading Ltd </w:t>
      </w:r>
      <w:r w:rsidRPr="00D01163">
        <w:rPr>
          <w:rFonts w:ascii="Times New Roman" w:hAnsi="Times New Roman"/>
          <w:sz w:val="24"/>
        </w:rPr>
        <w:t xml:space="preserve">(2009) 76 NSWLR 603 at 617 [17(b)]; </w:t>
      </w:r>
      <w:r w:rsidRPr="00D01163">
        <w:rPr>
          <w:rFonts w:ascii="Times New Roman" w:hAnsi="Times New Roman"/>
          <w:i/>
          <w:iCs/>
          <w:sz w:val="24"/>
        </w:rPr>
        <w:t xml:space="preserve">Mainteck Services Pty Ltd v Stein Heurtey SA </w:t>
      </w:r>
      <w:r w:rsidRPr="00D01163">
        <w:rPr>
          <w:rFonts w:ascii="Times New Roman" w:hAnsi="Times New Roman"/>
          <w:sz w:val="24"/>
        </w:rPr>
        <w:t>(2014) 89 NSWLR 633 at 654</w:t>
      </w:r>
      <w:r w:rsidRPr="00D01163">
        <w:rPr>
          <w:rFonts w:ascii="Times New Roman" w:hAnsi="Times New Roman"/>
          <w:sz w:val="24"/>
        </w:rPr>
        <w:noBreakHyphen/>
        <w:t>655 [78]</w:t>
      </w:r>
      <w:r w:rsidRPr="00D01163">
        <w:rPr>
          <w:rFonts w:ascii="Times New Roman" w:hAnsi="Times New Roman"/>
          <w:sz w:val="24"/>
        </w:rPr>
        <w:noBreakHyphen/>
        <w:t xml:space="preserve">[79]; </w:t>
      </w:r>
      <w:r w:rsidRPr="00D01163">
        <w:rPr>
          <w:rFonts w:ascii="Times New Roman" w:hAnsi="Times New Roman"/>
          <w:i/>
          <w:iCs/>
          <w:sz w:val="24"/>
        </w:rPr>
        <w:t xml:space="preserve">Mount Bruce Mining Pty Ltd v Wright Prospecting Pty Ltd </w:t>
      </w:r>
      <w:r w:rsidRPr="00D01163">
        <w:rPr>
          <w:rFonts w:ascii="Times New Roman" w:hAnsi="Times New Roman"/>
          <w:sz w:val="24"/>
        </w:rPr>
        <w:t xml:space="preserve">(2015) 256 CLR 104 at 132 [110]. </w:t>
      </w:r>
    </w:p>
  </w:footnote>
  <w:footnote w:id="111">
    <w:p w14:paraId="32F4A807" w14:textId="77777777" w:rsidR="00BB2DE8" w:rsidRPr="00D01163" w:rsidRDefault="00BB2DE8" w:rsidP="00D01163">
      <w:pPr>
        <w:pStyle w:val="FootnoteText"/>
        <w:spacing w:line="280" w:lineRule="exact"/>
        <w:ind w:right="0"/>
        <w:jc w:val="both"/>
        <w:rPr>
          <w:rFonts w:ascii="Times New Roman" w:hAnsi="Times New Roman"/>
          <w:sz w:val="24"/>
        </w:rPr>
      </w:pPr>
      <w:r w:rsidRPr="00D01163">
        <w:rPr>
          <w:rStyle w:val="FootnoteReference"/>
          <w:rFonts w:ascii="Times New Roman" w:hAnsi="Times New Roman"/>
          <w:sz w:val="22"/>
          <w:vertAlign w:val="baseline"/>
        </w:rPr>
        <w:footnoteRef/>
      </w:r>
      <w:r w:rsidRPr="00D01163">
        <w:rPr>
          <w:rFonts w:ascii="Times New Roman" w:hAnsi="Times New Roman"/>
          <w:sz w:val="24"/>
        </w:rPr>
        <w:t xml:space="preserve"> </w:t>
      </w:r>
      <w:r w:rsidRPr="00D01163">
        <w:rPr>
          <w:rFonts w:ascii="Times New Roman" w:hAnsi="Times New Roman"/>
          <w:sz w:val="24"/>
        </w:rPr>
        <w:tab/>
      </w:r>
      <w:r w:rsidRPr="00D01163">
        <w:rPr>
          <w:rFonts w:ascii="Times New Roman" w:hAnsi="Times New Roman"/>
          <w:i/>
          <w:iCs/>
          <w:sz w:val="24"/>
        </w:rPr>
        <w:t xml:space="preserve">Rinehart v Hancock Prospecting Pty Ltd </w:t>
      </w:r>
      <w:r w:rsidRPr="00D01163">
        <w:rPr>
          <w:rFonts w:ascii="Times New Roman" w:hAnsi="Times New Roman"/>
          <w:sz w:val="24"/>
        </w:rPr>
        <w:t xml:space="preserve">(2019) 267 CLR 514 at 548 [83]. </w:t>
      </w:r>
    </w:p>
  </w:footnote>
  <w:footnote w:id="112">
    <w:p w14:paraId="6EDEE577" w14:textId="77777777" w:rsidR="00BB2DE8" w:rsidRPr="00D01163" w:rsidRDefault="00BB2DE8" w:rsidP="00D01163">
      <w:pPr>
        <w:pStyle w:val="FootnoteText"/>
        <w:spacing w:line="280" w:lineRule="exact"/>
        <w:ind w:right="0"/>
        <w:jc w:val="both"/>
        <w:rPr>
          <w:rFonts w:ascii="Times New Roman" w:hAnsi="Times New Roman"/>
          <w:sz w:val="24"/>
        </w:rPr>
      </w:pPr>
      <w:r w:rsidRPr="00D01163">
        <w:rPr>
          <w:rStyle w:val="FootnoteReference"/>
          <w:rFonts w:ascii="Times New Roman" w:hAnsi="Times New Roman"/>
          <w:sz w:val="22"/>
          <w:vertAlign w:val="baseline"/>
        </w:rPr>
        <w:footnoteRef/>
      </w:r>
      <w:r w:rsidRPr="00D01163">
        <w:rPr>
          <w:rFonts w:ascii="Times New Roman" w:hAnsi="Times New Roman"/>
          <w:sz w:val="24"/>
        </w:rPr>
        <w:t xml:space="preserve"> </w:t>
      </w:r>
      <w:r w:rsidRPr="00D01163">
        <w:rPr>
          <w:rFonts w:ascii="Times New Roman" w:hAnsi="Times New Roman"/>
          <w:sz w:val="24"/>
        </w:rPr>
        <w:tab/>
      </w:r>
      <w:r w:rsidRPr="00D01163">
        <w:rPr>
          <w:rFonts w:ascii="Times New Roman" w:hAnsi="Times New Roman"/>
          <w:i/>
          <w:iCs/>
          <w:sz w:val="24"/>
        </w:rPr>
        <w:t>Maggbury Pty Ltd v Hafele Australia Pty Ltd</w:t>
      </w:r>
      <w:r w:rsidRPr="00D01163">
        <w:rPr>
          <w:rFonts w:ascii="Times New Roman" w:hAnsi="Times New Roman"/>
          <w:iCs/>
          <w:sz w:val="24"/>
        </w:rPr>
        <w:t xml:space="preserve"> </w:t>
      </w:r>
      <w:r w:rsidRPr="00D01163">
        <w:rPr>
          <w:rFonts w:ascii="Times New Roman" w:hAnsi="Times New Roman"/>
          <w:sz w:val="24"/>
        </w:rPr>
        <w:t xml:space="preserve">(2001) 210 CLR 181 at 188 [11], quoting </w:t>
      </w:r>
      <w:r w:rsidRPr="00D01163">
        <w:rPr>
          <w:rFonts w:ascii="Times New Roman" w:hAnsi="Times New Roman"/>
          <w:i/>
          <w:iCs/>
          <w:sz w:val="24"/>
        </w:rPr>
        <w:t>Investors Compensation Scheme Ltd v West Bromwich Building Society</w:t>
      </w:r>
      <w:r w:rsidRPr="00D01163">
        <w:rPr>
          <w:rFonts w:ascii="Times New Roman" w:hAnsi="Times New Roman"/>
          <w:iCs/>
          <w:sz w:val="24"/>
        </w:rPr>
        <w:t xml:space="preserve"> </w:t>
      </w:r>
      <w:r w:rsidRPr="00D01163">
        <w:rPr>
          <w:rFonts w:ascii="Times New Roman" w:hAnsi="Times New Roman"/>
          <w:sz w:val="24"/>
        </w:rPr>
        <w:t xml:space="preserve">[1998] 1 WLR 896 at 912; [1998] 1 All ER 98 at 114. See also </w:t>
      </w:r>
      <w:r w:rsidRPr="00D01163">
        <w:rPr>
          <w:rFonts w:ascii="Times New Roman" w:hAnsi="Times New Roman"/>
          <w:i/>
          <w:iCs/>
          <w:sz w:val="24"/>
        </w:rPr>
        <w:t xml:space="preserve">Attorney General of Belize v Belize Telecom Ltd </w:t>
      </w:r>
      <w:r w:rsidRPr="00D01163">
        <w:rPr>
          <w:rFonts w:ascii="Times New Roman" w:hAnsi="Times New Roman"/>
          <w:sz w:val="24"/>
        </w:rPr>
        <w:t>[2009] 1 WLR 1988 at 1993 [16]; [2009] 2 All ER 1127 at 1132.</w:t>
      </w:r>
    </w:p>
  </w:footnote>
  <w:footnote w:id="113">
    <w:p w14:paraId="7815E6A9" w14:textId="77777777" w:rsidR="00BB2DE8" w:rsidRPr="00D01163" w:rsidRDefault="00BB2DE8" w:rsidP="00D01163">
      <w:pPr>
        <w:pStyle w:val="FootnoteText"/>
        <w:spacing w:line="280" w:lineRule="exact"/>
        <w:ind w:right="0"/>
        <w:jc w:val="both"/>
        <w:rPr>
          <w:rFonts w:ascii="Times New Roman" w:hAnsi="Times New Roman"/>
          <w:sz w:val="24"/>
        </w:rPr>
      </w:pPr>
      <w:r w:rsidRPr="00D01163">
        <w:rPr>
          <w:rStyle w:val="FootnoteReference"/>
          <w:rFonts w:ascii="Times New Roman" w:hAnsi="Times New Roman"/>
          <w:sz w:val="22"/>
          <w:vertAlign w:val="baseline"/>
        </w:rPr>
        <w:footnoteRef/>
      </w:r>
      <w:r w:rsidRPr="00D01163">
        <w:rPr>
          <w:rFonts w:ascii="Times New Roman" w:hAnsi="Times New Roman"/>
          <w:sz w:val="24"/>
        </w:rPr>
        <w:t xml:space="preserve"> </w:t>
      </w:r>
      <w:r w:rsidRPr="00D01163">
        <w:rPr>
          <w:rFonts w:ascii="Times New Roman" w:hAnsi="Times New Roman"/>
          <w:sz w:val="24"/>
        </w:rPr>
        <w:tab/>
        <w:t xml:space="preserve">[2009] AC 1101 at 1114 [25]. </w:t>
      </w:r>
    </w:p>
  </w:footnote>
  <w:footnote w:id="114">
    <w:p w14:paraId="7B3ED8E7" w14:textId="77777777" w:rsidR="00BB2DE8" w:rsidRPr="00D01163" w:rsidRDefault="00BB2DE8" w:rsidP="00D01163">
      <w:pPr>
        <w:pStyle w:val="FootnoteText"/>
        <w:spacing w:line="280" w:lineRule="exact"/>
        <w:ind w:right="0"/>
        <w:jc w:val="both"/>
        <w:rPr>
          <w:rFonts w:ascii="Times New Roman" w:hAnsi="Times New Roman"/>
          <w:sz w:val="24"/>
        </w:rPr>
      </w:pPr>
      <w:r w:rsidRPr="00D01163">
        <w:rPr>
          <w:rStyle w:val="FootnoteReference"/>
          <w:rFonts w:ascii="Times New Roman" w:hAnsi="Times New Roman"/>
          <w:sz w:val="22"/>
          <w:vertAlign w:val="baseline"/>
        </w:rPr>
        <w:footnoteRef/>
      </w:r>
      <w:r w:rsidRPr="00D01163">
        <w:rPr>
          <w:rFonts w:ascii="Times New Roman" w:hAnsi="Times New Roman"/>
          <w:sz w:val="24"/>
        </w:rPr>
        <w:t xml:space="preserve"> </w:t>
      </w:r>
      <w:r w:rsidRPr="00D01163">
        <w:rPr>
          <w:rFonts w:ascii="Times New Roman" w:hAnsi="Times New Roman"/>
          <w:sz w:val="24"/>
        </w:rPr>
        <w:tab/>
        <w:t>(1956) 95 CLR 420 at 426</w:t>
      </w:r>
      <w:r w:rsidRPr="00D01163">
        <w:rPr>
          <w:rFonts w:ascii="Times New Roman" w:hAnsi="Times New Roman"/>
          <w:sz w:val="24"/>
        </w:rPr>
        <w:noBreakHyphen/>
        <w:t>427.</w:t>
      </w:r>
    </w:p>
  </w:footnote>
  <w:footnote w:id="115">
    <w:p w14:paraId="35140B55" w14:textId="77777777" w:rsidR="00BB2DE8" w:rsidRPr="00D01163" w:rsidRDefault="00BB2DE8" w:rsidP="00D01163">
      <w:pPr>
        <w:pStyle w:val="FootnoteText"/>
        <w:spacing w:line="280" w:lineRule="exact"/>
        <w:ind w:right="0"/>
        <w:jc w:val="both"/>
        <w:rPr>
          <w:rFonts w:ascii="Times New Roman" w:hAnsi="Times New Roman"/>
          <w:sz w:val="24"/>
        </w:rPr>
      </w:pPr>
      <w:r w:rsidRPr="00D01163">
        <w:rPr>
          <w:rStyle w:val="FootnoteReference"/>
          <w:rFonts w:ascii="Times New Roman" w:hAnsi="Times New Roman"/>
          <w:sz w:val="22"/>
          <w:vertAlign w:val="baseline"/>
        </w:rPr>
        <w:footnoteRef/>
      </w:r>
      <w:r w:rsidRPr="00D01163">
        <w:rPr>
          <w:rFonts w:ascii="Times New Roman" w:hAnsi="Times New Roman"/>
          <w:sz w:val="24"/>
        </w:rPr>
        <w:t xml:space="preserve"> </w:t>
      </w:r>
      <w:r w:rsidRPr="00D01163">
        <w:rPr>
          <w:rFonts w:ascii="Times New Roman" w:hAnsi="Times New Roman"/>
          <w:sz w:val="24"/>
        </w:rPr>
        <w:tab/>
        <w:t>(1982) 149 CLR 337 at 346</w:t>
      </w:r>
      <w:r w:rsidRPr="00D01163">
        <w:rPr>
          <w:rFonts w:ascii="Times New Roman" w:hAnsi="Times New Roman"/>
          <w:sz w:val="24"/>
        </w:rPr>
        <w:noBreakHyphen/>
        <w:t xml:space="preserve">347, approving </w:t>
      </w:r>
      <w:r w:rsidRPr="00D01163">
        <w:rPr>
          <w:rFonts w:ascii="Times New Roman" w:hAnsi="Times New Roman"/>
          <w:i/>
          <w:iCs/>
          <w:sz w:val="24"/>
        </w:rPr>
        <w:t xml:space="preserve">BP Refinery (Westernport) Pty Ltd v Shire of Hastings </w:t>
      </w:r>
      <w:r w:rsidRPr="00D01163">
        <w:rPr>
          <w:rFonts w:ascii="Times New Roman" w:hAnsi="Times New Roman"/>
          <w:sz w:val="24"/>
        </w:rPr>
        <w:t xml:space="preserve">(1977) 180 CLR 266 at 283. See also </w:t>
      </w:r>
      <w:r w:rsidRPr="00D01163">
        <w:rPr>
          <w:rFonts w:ascii="Times New Roman" w:hAnsi="Times New Roman"/>
          <w:i/>
          <w:iCs/>
          <w:sz w:val="24"/>
        </w:rPr>
        <w:t>Secured Income Real Estate (Australia) Ltd v St Martins Investments Pty Ltd</w:t>
      </w:r>
      <w:r w:rsidRPr="00D01163">
        <w:rPr>
          <w:rFonts w:ascii="Times New Roman" w:hAnsi="Times New Roman"/>
          <w:sz w:val="24"/>
        </w:rPr>
        <w:t xml:space="preserve"> (1979) 144 CLR 596 at 605</w:t>
      </w:r>
      <w:r w:rsidRPr="00D01163">
        <w:rPr>
          <w:rFonts w:ascii="Times New Roman" w:hAnsi="Times New Roman"/>
          <w:sz w:val="24"/>
        </w:rPr>
        <w:noBreakHyphen/>
        <w:t>606.</w:t>
      </w:r>
    </w:p>
  </w:footnote>
  <w:footnote w:id="116">
    <w:p w14:paraId="5D0387A1" w14:textId="77777777" w:rsidR="00BB2DE8" w:rsidRPr="00D01163" w:rsidRDefault="00BB2DE8" w:rsidP="00D01163">
      <w:pPr>
        <w:pStyle w:val="FootnoteText"/>
        <w:spacing w:line="280" w:lineRule="exact"/>
        <w:ind w:right="0"/>
        <w:jc w:val="both"/>
        <w:rPr>
          <w:rFonts w:ascii="Times New Roman" w:hAnsi="Times New Roman"/>
          <w:sz w:val="24"/>
        </w:rPr>
      </w:pPr>
      <w:r w:rsidRPr="00D01163">
        <w:rPr>
          <w:rStyle w:val="FootnoteReference"/>
          <w:rFonts w:ascii="Times New Roman" w:hAnsi="Times New Roman"/>
          <w:sz w:val="22"/>
          <w:vertAlign w:val="baseline"/>
        </w:rPr>
        <w:footnoteRef/>
      </w:r>
      <w:r w:rsidRPr="00D01163">
        <w:rPr>
          <w:rFonts w:ascii="Times New Roman" w:hAnsi="Times New Roman"/>
          <w:sz w:val="24"/>
        </w:rPr>
        <w:t xml:space="preserve"> </w:t>
      </w:r>
      <w:r w:rsidRPr="00D01163">
        <w:rPr>
          <w:rFonts w:ascii="Times New Roman" w:hAnsi="Times New Roman"/>
          <w:sz w:val="24"/>
        </w:rPr>
        <w:tab/>
        <w:t xml:space="preserve">See </w:t>
      </w:r>
      <w:r w:rsidRPr="00D01163">
        <w:rPr>
          <w:rFonts w:ascii="Times New Roman" w:hAnsi="Times New Roman"/>
          <w:i/>
          <w:iCs/>
          <w:sz w:val="24"/>
        </w:rPr>
        <w:t xml:space="preserve">Attorney General of Belize v Belize Telecom Ltd </w:t>
      </w:r>
      <w:r w:rsidRPr="00D01163">
        <w:rPr>
          <w:rFonts w:ascii="Times New Roman" w:hAnsi="Times New Roman"/>
          <w:sz w:val="24"/>
        </w:rPr>
        <w:t>[2009] 1 WLR 1988 at 1993</w:t>
      </w:r>
      <w:r w:rsidRPr="00D01163">
        <w:rPr>
          <w:rFonts w:ascii="Times New Roman" w:hAnsi="Times New Roman"/>
          <w:sz w:val="24"/>
        </w:rPr>
        <w:noBreakHyphen/>
        <w:t>1995 [16]</w:t>
      </w:r>
      <w:r w:rsidRPr="00D01163">
        <w:rPr>
          <w:rFonts w:ascii="Times New Roman" w:hAnsi="Times New Roman"/>
          <w:sz w:val="24"/>
        </w:rPr>
        <w:noBreakHyphen/>
        <w:t>[27]; [2009] 2 All ER 1127 at 1132</w:t>
      </w:r>
      <w:r w:rsidRPr="00D01163">
        <w:rPr>
          <w:rFonts w:ascii="Times New Roman" w:hAnsi="Times New Roman"/>
          <w:sz w:val="24"/>
        </w:rPr>
        <w:noBreakHyphen/>
        <w:t>1135.</w:t>
      </w:r>
    </w:p>
  </w:footnote>
  <w:footnote w:id="117">
    <w:p w14:paraId="6B771DD4" w14:textId="77777777" w:rsidR="00BB2DE8" w:rsidRPr="00D01163" w:rsidRDefault="00BB2DE8" w:rsidP="00D01163">
      <w:pPr>
        <w:pStyle w:val="FootnoteText"/>
        <w:spacing w:line="280" w:lineRule="exact"/>
        <w:ind w:right="0"/>
        <w:jc w:val="both"/>
        <w:rPr>
          <w:rFonts w:ascii="Times New Roman" w:hAnsi="Times New Roman"/>
          <w:sz w:val="24"/>
        </w:rPr>
      </w:pPr>
      <w:r w:rsidRPr="00D01163">
        <w:rPr>
          <w:rStyle w:val="FootnoteReference"/>
          <w:rFonts w:ascii="Times New Roman" w:hAnsi="Times New Roman"/>
          <w:sz w:val="22"/>
          <w:vertAlign w:val="baseline"/>
        </w:rPr>
        <w:footnoteRef/>
      </w:r>
      <w:r w:rsidRPr="00D01163">
        <w:rPr>
          <w:rFonts w:ascii="Times New Roman" w:hAnsi="Times New Roman"/>
          <w:sz w:val="24"/>
        </w:rPr>
        <w:t xml:space="preserve"> </w:t>
      </w:r>
      <w:r w:rsidRPr="00D01163">
        <w:rPr>
          <w:rFonts w:ascii="Times New Roman" w:hAnsi="Times New Roman"/>
          <w:sz w:val="24"/>
        </w:rPr>
        <w:tab/>
        <w:t xml:space="preserve">See Sternau et al, "Levels of interpretation: New tools for characterizing intended meanings" (2015) 84 </w:t>
      </w:r>
      <w:r w:rsidRPr="00D01163">
        <w:rPr>
          <w:rFonts w:ascii="Times New Roman" w:hAnsi="Times New Roman"/>
          <w:i/>
          <w:iCs/>
          <w:sz w:val="24"/>
        </w:rPr>
        <w:t>Journal of Pragmatics</w:t>
      </w:r>
      <w:r w:rsidRPr="00D01163">
        <w:rPr>
          <w:rFonts w:ascii="Times New Roman" w:hAnsi="Times New Roman"/>
          <w:iCs/>
          <w:sz w:val="24"/>
        </w:rPr>
        <w:t xml:space="preserve"> </w:t>
      </w:r>
      <w:r w:rsidRPr="00D01163">
        <w:rPr>
          <w:rFonts w:ascii="Times New Roman" w:hAnsi="Times New Roman"/>
          <w:sz w:val="24"/>
        </w:rPr>
        <w:t>86 at 88.</w:t>
      </w:r>
    </w:p>
  </w:footnote>
  <w:footnote w:id="118">
    <w:p w14:paraId="53C02EE6" w14:textId="77777777" w:rsidR="00BB2DE8" w:rsidRPr="00D01163" w:rsidRDefault="00BB2DE8" w:rsidP="00D01163">
      <w:pPr>
        <w:pStyle w:val="FootnoteText"/>
        <w:spacing w:line="280" w:lineRule="exact"/>
        <w:ind w:right="0"/>
        <w:jc w:val="both"/>
        <w:rPr>
          <w:rFonts w:ascii="Times New Roman" w:hAnsi="Times New Roman"/>
          <w:sz w:val="24"/>
        </w:rPr>
      </w:pPr>
      <w:r w:rsidRPr="00D01163">
        <w:rPr>
          <w:rStyle w:val="FootnoteReference"/>
          <w:rFonts w:ascii="Times New Roman" w:hAnsi="Times New Roman"/>
          <w:sz w:val="22"/>
          <w:vertAlign w:val="baseline"/>
        </w:rPr>
        <w:footnoteRef/>
      </w:r>
      <w:r w:rsidRPr="00D01163">
        <w:rPr>
          <w:rFonts w:ascii="Times New Roman" w:hAnsi="Times New Roman"/>
          <w:sz w:val="24"/>
        </w:rPr>
        <w:t xml:space="preserve"> </w:t>
      </w:r>
      <w:r w:rsidRPr="00D01163">
        <w:rPr>
          <w:rFonts w:ascii="Times New Roman" w:hAnsi="Times New Roman"/>
          <w:sz w:val="24"/>
        </w:rPr>
        <w:tab/>
        <w:t xml:space="preserve">Sperber and Wilson, </w:t>
      </w:r>
      <w:r w:rsidRPr="00D01163">
        <w:rPr>
          <w:rFonts w:ascii="Times New Roman" w:hAnsi="Times New Roman"/>
          <w:i/>
          <w:iCs/>
          <w:sz w:val="24"/>
        </w:rPr>
        <w:t>Relevance: Communication and Cognition</w:t>
      </w:r>
      <w:r w:rsidRPr="00D01163">
        <w:rPr>
          <w:rFonts w:ascii="Times New Roman" w:hAnsi="Times New Roman"/>
          <w:iCs/>
          <w:sz w:val="24"/>
        </w:rPr>
        <w:t>,</w:t>
      </w:r>
      <w:r w:rsidRPr="00D01163">
        <w:rPr>
          <w:rFonts w:ascii="Times New Roman" w:hAnsi="Times New Roman"/>
          <w:i/>
          <w:iCs/>
          <w:sz w:val="24"/>
        </w:rPr>
        <w:t xml:space="preserve"> </w:t>
      </w:r>
      <w:r w:rsidRPr="00D01163">
        <w:rPr>
          <w:rFonts w:ascii="Times New Roman" w:hAnsi="Times New Roman"/>
          <w:sz w:val="24"/>
        </w:rPr>
        <w:t>2nd ed (1995) at 123</w:t>
      </w:r>
      <w:r w:rsidRPr="00D01163">
        <w:rPr>
          <w:rFonts w:ascii="Times New Roman" w:hAnsi="Times New Roman"/>
          <w:sz w:val="24"/>
        </w:rPr>
        <w:noBreakHyphen/>
        <w:t>132.</w:t>
      </w:r>
    </w:p>
  </w:footnote>
  <w:footnote w:id="119">
    <w:p w14:paraId="0ED40227" w14:textId="77777777" w:rsidR="00BB2DE8" w:rsidRPr="00D01163" w:rsidRDefault="00BB2DE8" w:rsidP="00D01163">
      <w:pPr>
        <w:pStyle w:val="FootnoteText"/>
        <w:spacing w:line="280" w:lineRule="exact"/>
        <w:ind w:right="0"/>
        <w:jc w:val="both"/>
        <w:rPr>
          <w:rFonts w:ascii="Times New Roman" w:hAnsi="Times New Roman"/>
          <w:sz w:val="24"/>
        </w:rPr>
      </w:pPr>
      <w:r w:rsidRPr="00D01163">
        <w:rPr>
          <w:rStyle w:val="FootnoteReference"/>
          <w:rFonts w:ascii="Times New Roman" w:hAnsi="Times New Roman"/>
          <w:sz w:val="22"/>
          <w:vertAlign w:val="baseline"/>
        </w:rPr>
        <w:footnoteRef/>
      </w:r>
      <w:r w:rsidRPr="00D01163">
        <w:rPr>
          <w:rFonts w:ascii="Times New Roman" w:hAnsi="Times New Roman"/>
          <w:sz w:val="24"/>
        </w:rPr>
        <w:t xml:space="preserve"> </w:t>
      </w:r>
      <w:r w:rsidRPr="00D01163">
        <w:rPr>
          <w:rFonts w:ascii="Times New Roman" w:hAnsi="Times New Roman"/>
          <w:sz w:val="24"/>
        </w:rPr>
        <w:tab/>
      </w:r>
      <w:r w:rsidRPr="00D01163">
        <w:rPr>
          <w:rFonts w:ascii="Times New Roman" w:hAnsi="Times New Roman"/>
          <w:i/>
          <w:iCs/>
          <w:sz w:val="24"/>
        </w:rPr>
        <w:t>Butt v Long</w:t>
      </w:r>
      <w:r w:rsidRPr="00D01163">
        <w:rPr>
          <w:rFonts w:ascii="Times New Roman" w:hAnsi="Times New Roman"/>
          <w:iCs/>
          <w:sz w:val="24"/>
        </w:rPr>
        <w:t xml:space="preserve"> </w:t>
      </w:r>
      <w:r w:rsidRPr="00D01163">
        <w:rPr>
          <w:rFonts w:ascii="Times New Roman" w:hAnsi="Times New Roman"/>
          <w:sz w:val="24"/>
        </w:rPr>
        <w:t>(1953) 88 CLR 476 at 488.</w:t>
      </w:r>
    </w:p>
  </w:footnote>
  <w:footnote w:id="120">
    <w:p w14:paraId="7663486A" w14:textId="77777777" w:rsidR="00BB2DE8" w:rsidRPr="00D01163" w:rsidRDefault="00BB2DE8" w:rsidP="00D01163">
      <w:pPr>
        <w:pStyle w:val="FootnoteText"/>
        <w:spacing w:line="280" w:lineRule="exact"/>
        <w:ind w:right="0"/>
        <w:jc w:val="both"/>
        <w:rPr>
          <w:rFonts w:ascii="Times New Roman" w:hAnsi="Times New Roman"/>
          <w:sz w:val="24"/>
        </w:rPr>
      </w:pPr>
      <w:r w:rsidRPr="00D01163">
        <w:rPr>
          <w:rStyle w:val="FootnoteReference"/>
          <w:rFonts w:ascii="Times New Roman" w:hAnsi="Times New Roman"/>
          <w:sz w:val="22"/>
          <w:vertAlign w:val="baseline"/>
        </w:rPr>
        <w:footnoteRef/>
      </w:r>
      <w:r w:rsidRPr="00D01163">
        <w:rPr>
          <w:rFonts w:ascii="Times New Roman" w:hAnsi="Times New Roman"/>
          <w:sz w:val="24"/>
        </w:rPr>
        <w:t xml:space="preserve"> </w:t>
      </w:r>
      <w:r w:rsidRPr="00D01163">
        <w:rPr>
          <w:rFonts w:ascii="Times New Roman" w:hAnsi="Times New Roman"/>
          <w:sz w:val="24"/>
        </w:rPr>
        <w:tab/>
        <w:t>(1813) 1 Dow 141 at 147 [3 ER 651 at 653].</w:t>
      </w:r>
    </w:p>
  </w:footnote>
  <w:footnote w:id="121">
    <w:p w14:paraId="59DDF7D4" w14:textId="77777777" w:rsidR="00BB2DE8" w:rsidRPr="00D01163" w:rsidRDefault="00BB2DE8" w:rsidP="00D01163">
      <w:pPr>
        <w:pStyle w:val="FootnoteText"/>
        <w:spacing w:line="280" w:lineRule="exact"/>
        <w:ind w:right="0"/>
        <w:jc w:val="both"/>
        <w:rPr>
          <w:rFonts w:ascii="Times New Roman" w:hAnsi="Times New Roman"/>
          <w:sz w:val="24"/>
        </w:rPr>
      </w:pPr>
      <w:r w:rsidRPr="00D01163">
        <w:rPr>
          <w:rStyle w:val="FootnoteReference"/>
          <w:rFonts w:ascii="Times New Roman" w:hAnsi="Times New Roman"/>
          <w:sz w:val="22"/>
          <w:vertAlign w:val="baseline"/>
        </w:rPr>
        <w:footnoteRef/>
      </w:r>
      <w:r w:rsidRPr="00D01163">
        <w:rPr>
          <w:rFonts w:ascii="Times New Roman" w:hAnsi="Times New Roman"/>
          <w:sz w:val="24"/>
        </w:rPr>
        <w:t xml:space="preserve"> </w:t>
      </w:r>
      <w:r w:rsidRPr="00D01163">
        <w:rPr>
          <w:rFonts w:ascii="Times New Roman" w:hAnsi="Times New Roman"/>
          <w:sz w:val="24"/>
        </w:rPr>
        <w:tab/>
        <w:t xml:space="preserve">As to consequences of this see, eg, </w:t>
      </w:r>
      <w:r w:rsidRPr="00D01163">
        <w:rPr>
          <w:rFonts w:ascii="Times New Roman" w:hAnsi="Times New Roman"/>
          <w:i/>
          <w:iCs/>
          <w:sz w:val="24"/>
        </w:rPr>
        <w:t>Taylor v Hare</w:t>
      </w:r>
      <w:r w:rsidRPr="00D01163">
        <w:rPr>
          <w:rFonts w:ascii="Times New Roman" w:hAnsi="Times New Roman"/>
          <w:iCs/>
          <w:sz w:val="24"/>
        </w:rPr>
        <w:t xml:space="preserve"> </w:t>
      </w:r>
      <w:r w:rsidRPr="00D01163">
        <w:rPr>
          <w:rFonts w:ascii="Times New Roman" w:hAnsi="Times New Roman"/>
          <w:sz w:val="24"/>
        </w:rPr>
        <w:t xml:space="preserve">(1805) 1 B &amp; P (NR) 260 [127 ER 461]; </w:t>
      </w:r>
      <w:r w:rsidRPr="00D01163">
        <w:rPr>
          <w:rFonts w:ascii="Times New Roman" w:hAnsi="Times New Roman"/>
          <w:i/>
          <w:iCs/>
          <w:sz w:val="24"/>
        </w:rPr>
        <w:t xml:space="preserve">Lawes v Purser </w:t>
      </w:r>
      <w:r w:rsidRPr="00D01163">
        <w:rPr>
          <w:rFonts w:ascii="Times New Roman" w:hAnsi="Times New Roman"/>
          <w:sz w:val="24"/>
        </w:rPr>
        <w:t xml:space="preserve">(1856) 6 E &amp; B 930 at 935 [119 ER 1110 at 1112]. Compare Mitchell, Mitchell and Watterson (eds), </w:t>
      </w:r>
      <w:r w:rsidRPr="00D01163">
        <w:rPr>
          <w:rFonts w:ascii="Times New Roman" w:hAnsi="Times New Roman"/>
          <w:i/>
          <w:iCs/>
          <w:sz w:val="24"/>
        </w:rPr>
        <w:t>Goff and Jones: The Law of Unjust Enrichment</w:t>
      </w:r>
      <w:r w:rsidRPr="00D01163">
        <w:rPr>
          <w:rFonts w:ascii="Times New Roman" w:hAnsi="Times New Roman"/>
          <w:sz w:val="24"/>
        </w:rPr>
        <w:t>,</w:t>
      </w:r>
      <w:r w:rsidRPr="00D01163">
        <w:rPr>
          <w:rFonts w:ascii="Times New Roman" w:hAnsi="Times New Roman"/>
          <w:i/>
          <w:iCs/>
          <w:sz w:val="24"/>
        </w:rPr>
        <w:t xml:space="preserve"> </w:t>
      </w:r>
      <w:r w:rsidRPr="00D01163">
        <w:rPr>
          <w:rFonts w:ascii="Times New Roman" w:hAnsi="Times New Roman"/>
          <w:sz w:val="24"/>
        </w:rPr>
        <w:t>9th ed</w:t>
      </w:r>
      <w:r w:rsidRPr="00D01163">
        <w:rPr>
          <w:rFonts w:ascii="Times New Roman" w:hAnsi="Times New Roman"/>
          <w:i/>
          <w:iCs/>
          <w:sz w:val="24"/>
        </w:rPr>
        <w:t xml:space="preserve"> </w:t>
      </w:r>
      <w:r w:rsidRPr="00D01163">
        <w:rPr>
          <w:rFonts w:ascii="Times New Roman" w:hAnsi="Times New Roman"/>
          <w:sz w:val="24"/>
        </w:rPr>
        <w:t>(2016) at 468 [13</w:t>
      </w:r>
      <w:r w:rsidRPr="00D01163">
        <w:rPr>
          <w:rFonts w:ascii="Times New Roman" w:hAnsi="Times New Roman"/>
          <w:sz w:val="24"/>
        </w:rPr>
        <w:noBreakHyphen/>
        <w:t>23].</w:t>
      </w:r>
    </w:p>
  </w:footnote>
  <w:footnote w:id="122">
    <w:p w14:paraId="33795A75" w14:textId="77777777" w:rsidR="00BB2DE8" w:rsidRPr="00D01163" w:rsidRDefault="00BB2DE8" w:rsidP="00D01163">
      <w:pPr>
        <w:pStyle w:val="FootnoteText"/>
        <w:spacing w:line="280" w:lineRule="exact"/>
        <w:ind w:right="0"/>
        <w:jc w:val="both"/>
        <w:rPr>
          <w:rFonts w:ascii="Times New Roman" w:hAnsi="Times New Roman"/>
          <w:sz w:val="24"/>
        </w:rPr>
      </w:pPr>
      <w:r w:rsidRPr="00D01163">
        <w:rPr>
          <w:rStyle w:val="FootnoteReference"/>
          <w:rFonts w:ascii="Times New Roman" w:hAnsi="Times New Roman"/>
          <w:sz w:val="22"/>
          <w:vertAlign w:val="baseline"/>
        </w:rPr>
        <w:footnoteRef/>
      </w:r>
      <w:r w:rsidRPr="00D01163">
        <w:rPr>
          <w:rFonts w:ascii="Times New Roman" w:hAnsi="Times New Roman"/>
          <w:sz w:val="24"/>
        </w:rPr>
        <w:t xml:space="preserve"> </w:t>
      </w:r>
      <w:r w:rsidRPr="00D01163">
        <w:rPr>
          <w:rFonts w:ascii="Times New Roman" w:hAnsi="Times New Roman"/>
          <w:sz w:val="24"/>
        </w:rPr>
        <w:tab/>
      </w:r>
      <w:r w:rsidRPr="00D01163">
        <w:rPr>
          <w:rFonts w:ascii="Times New Roman" w:hAnsi="Times New Roman"/>
          <w:i/>
          <w:iCs/>
          <w:sz w:val="24"/>
        </w:rPr>
        <w:t>Attorney General of Belize v Belize Telecom Ltd</w:t>
      </w:r>
      <w:r w:rsidRPr="00D01163">
        <w:rPr>
          <w:rFonts w:ascii="Times New Roman" w:hAnsi="Times New Roman"/>
          <w:iCs/>
          <w:sz w:val="24"/>
        </w:rPr>
        <w:t xml:space="preserve"> </w:t>
      </w:r>
      <w:r w:rsidRPr="00D01163">
        <w:rPr>
          <w:rFonts w:ascii="Times New Roman" w:hAnsi="Times New Roman"/>
          <w:sz w:val="24"/>
        </w:rPr>
        <w:t>[2009] 1 WLR 1988 at 1993 [17]; [2009] 2 All ER 1127 at 1132.</w:t>
      </w:r>
    </w:p>
  </w:footnote>
  <w:footnote w:id="123">
    <w:p w14:paraId="518FF732" w14:textId="77777777" w:rsidR="00BB2DE8" w:rsidRPr="00D01163" w:rsidRDefault="00BB2DE8" w:rsidP="00D01163">
      <w:pPr>
        <w:pStyle w:val="FootnoteText"/>
        <w:spacing w:line="280" w:lineRule="exact"/>
        <w:ind w:right="0"/>
        <w:jc w:val="both"/>
        <w:rPr>
          <w:rFonts w:ascii="Times New Roman" w:hAnsi="Times New Roman"/>
          <w:sz w:val="24"/>
        </w:rPr>
      </w:pPr>
      <w:r w:rsidRPr="00D01163">
        <w:rPr>
          <w:rStyle w:val="FootnoteReference"/>
          <w:rFonts w:ascii="Times New Roman" w:hAnsi="Times New Roman"/>
          <w:sz w:val="22"/>
          <w:vertAlign w:val="baseline"/>
        </w:rPr>
        <w:footnoteRef/>
      </w:r>
      <w:r w:rsidRPr="00D01163">
        <w:rPr>
          <w:rFonts w:ascii="Times New Roman" w:hAnsi="Times New Roman"/>
          <w:sz w:val="24"/>
        </w:rPr>
        <w:t xml:space="preserve"> </w:t>
      </w:r>
      <w:r w:rsidRPr="00D01163">
        <w:rPr>
          <w:rFonts w:ascii="Times New Roman" w:hAnsi="Times New Roman"/>
          <w:sz w:val="24"/>
        </w:rPr>
        <w:tab/>
      </w:r>
      <w:r w:rsidRPr="00D01163">
        <w:rPr>
          <w:rFonts w:ascii="Times New Roman" w:hAnsi="Times New Roman"/>
          <w:i/>
          <w:iCs/>
          <w:sz w:val="24"/>
        </w:rPr>
        <w:t xml:space="preserve">Sandoz Pty Ltd v H Lundbeck A/S </w:t>
      </w:r>
      <w:r w:rsidRPr="00D01163">
        <w:rPr>
          <w:rFonts w:ascii="Times New Roman" w:hAnsi="Times New Roman"/>
          <w:sz w:val="24"/>
        </w:rPr>
        <w:t>(2020) 384 ALR 35 at 50</w:t>
      </w:r>
      <w:r w:rsidRPr="00D01163">
        <w:rPr>
          <w:rFonts w:ascii="Times New Roman" w:hAnsi="Times New Roman"/>
          <w:sz w:val="24"/>
        </w:rPr>
        <w:noBreakHyphen/>
        <w:t>51 [66]</w:t>
      </w:r>
      <w:r w:rsidRPr="00D01163">
        <w:rPr>
          <w:rFonts w:ascii="Times New Roman" w:hAnsi="Times New Roman"/>
          <w:sz w:val="24"/>
        </w:rPr>
        <w:noBreakHyphen/>
        <w:t>[67].</w:t>
      </w:r>
    </w:p>
  </w:footnote>
  <w:footnote w:id="124">
    <w:p w14:paraId="1B0B17F3" w14:textId="77777777" w:rsidR="00BB2DE8" w:rsidRPr="00D01163" w:rsidRDefault="00BB2DE8" w:rsidP="00D01163">
      <w:pPr>
        <w:pStyle w:val="FootnoteText"/>
        <w:spacing w:line="280" w:lineRule="exact"/>
        <w:ind w:right="0"/>
        <w:jc w:val="both"/>
        <w:rPr>
          <w:rFonts w:ascii="Times New Roman" w:hAnsi="Times New Roman"/>
          <w:sz w:val="24"/>
        </w:rPr>
      </w:pPr>
      <w:r w:rsidRPr="00D01163">
        <w:rPr>
          <w:rStyle w:val="FootnoteReference"/>
          <w:rFonts w:ascii="Times New Roman" w:hAnsi="Times New Roman"/>
          <w:sz w:val="22"/>
          <w:vertAlign w:val="baseline"/>
        </w:rPr>
        <w:footnoteRef/>
      </w:r>
      <w:r w:rsidRPr="00D01163">
        <w:rPr>
          <w:rFonts w:ascii="Times New Roman" w:hAnsi="Times New Roman"/>
          <w:sz w:val="24"/>
        </w:rPr>
        <w:t xml:space="preserve"> </w:t>
      </w:r>
      <w:r w:rsidRPr="00D01163">
        <w:rPr>
          <w:rFonts w:ascii="Times New Roman" w:hAnsi="Times New Roman"/>
          <w:sz w:val="24"/>
        </w:rPr>
        <w:tab/>
      </w:r>
      <w:r w:rsidRPr="00D01163">
        <w:rPr>
          <w:rFonts w:ascii="Times New Roman" w:hAnsi="Times New Roman"/>
          <w:i/>
          <w:iCs/>
          <w:sz w:val="24"/>
        </w:rPr>
        <w:t xml:space="preserve">Sandoz Pty Ltd </w:t>
      </w:r>
      <w:r w:rsidRPr="00D01163">
        <w:rPr>
          <w:rFonts w:ascii="Times New Roman" w:hAnsi="Times New Roman"/>
          <w:i/>
          <w:sz w:val="24"/>
        </w:rPr>
        <w:t>v H Lundbeck A/S</w:t>
      </w:r>
      <w:r w:rsidRPr="00D01163">
        <w:rPr>
          <w:rFonts w:ascii="Times New Roman" w:hAnsi="Times New Roman"/>
          <w:sz w:val="24"/>
        </w:rPr>
        <w:t xml:space="preserve"> (2020) 384 ALR 35 at 51 [69].</w:t>
      </w:r>
    </w:p>
  </w:footnote>
  <w:footnote w:id="125">
    <w:p w14:paraId="13A29681" w14:textId="77777777" w:rsidR="00BB2DE8" w:rsidRPr="00D01163" w:rsidRDefault="00BB2DE8" w:rsidP="00D01163">
      <w:pPr>
        <w:pStyle w:val="FootnoteText"/>
        <w:spacing w:line="280" w:lineRule="exact"/>
        <w:ind w:right="0"/>
        <w:jc w:val="both"/>
        <w:rPr>
          <w:rFonts w:ascii="Times New Roman" w:hAnsi="Times New Roman"/>
          <w:sz w:val="24"/>
        </w:rPr>
      </w:pPr>
      <w:r w:rsidRPr="00D01163">
        <w:rPr>
          <w:rStyle w:val="FootnoteReference"/>
          <w:rFonts w:ascii="Times New Roman" w:hAnsi="Times New Roman"/>
          <w:sz w:val="22"/>
          <w:vertAlign w:val="baseline"/>
        </w:rPr>
        <w:footnoteRef/>
      </w:r>
      <w:r w:rsidRPr="00D01163">
        <w:rPr>
          <w:rFonts w:ascii="Times New Roman" w:hAnsi="Times New Roman"/>
          <w:sz w:val="24"/>
        </w:rPr>
        <w:t xml:space="preserve"> </w:t>
      </w:r>
      <w:r w:rsidRPr="00D01163">
        <w:rPr>
          <w:rFonts w:ascii="Times New Roman" w:hAnsi="Times New Roman"/>
          <w:sz w:val="24"/>
        </w:rPr>
        <w:tab/>
      </w:r>
      <w:r w:rsidRPr="00D01163">
        <w:rPr>
          <w:rFonts w:ascii="Times New Roman" w:hAnsi="Times New Roman"/>
          <w:i/>
          <w:iCs/>
          <w:sz w:val="24"/>
        </w:rPr>
        <w:t>Simic v New South Wales Land and Housing Corporation</w:t>
      </w:r>
      <w:r w:rsidRPr="00D01163">
        <w:rPr>
          <w:rFonts w:ascii="Times New Roman" w:hAnsi="Times New Roman"/>
          <w:iCs/>
          <w:sz w:val="24"/>
        </w:rPr>
        <w:t xml:space="preserve"> </w:t>
      </w:r>
      <w:r w:rsidRPr="00D01163">
        <w:rPr>
          <w:rFonts w:ascii="Times New Roman" w:hAnsi="Times New Roman"/>
          <w:sz w:val="24"/>
        </w:rPr>
        <w:t>(2016) 260 CLR 85</w:t>
      </w:r>
      <w:r w:rsidRPr="00D01163">
        <w:rPr>
          <w:rFonts w:ascii="Times New Roman" w:hAnsi="Times New Roman"/>
          <w:iCs/>
          <w:sz w:val="24"/>
        </w:rPr>
        <w:t xml:space="preserve"> </w:t>
      </w:r>
      <w:r w:rsidRPr="00D01163">
        <w:rPr>
          <w:rFonts w:ascii="Times New Roman" w:hAnsi="Times New Roman"/>
          <w:sz w:val="24"/>
        </w:rPr>
        <w:t xml:space="preserve">at 111 [78]; </w:t>
      </w:r>
      <w:r w:rsidRPr="00D01163">
        <w:rPr>
          <w:rFonts w:ascii="Times New Roman" w:hAnsi="Times New Roman"/>
          <w:i/>
          <w:iCs/>
          <w:sz w:val="24"/>
        </w:rPr>
        <w:t>Electricity Generation Corporation v Woodside Energy Ltd</w:t>
      </w:r>
      <w:r w:rsidRPr="00D01163">
        <w:rPr>
          <w:rFonts w:ascii="Times New Roman" w:hAnsi="Times New Roman"/>
          <w:sz w:val="24"/>
        </w:rPr>
        <w:t xml:space="preserve"> (2014) 251 CLR 640 at 656</w:t>
      </w:r>
      <w:r w:rsidRPr="00D01163">
        <w:rPr>
          <w:rFonts w:ascii="Times New Roman" w:hAnsi="Times New Roman"/>
          <w:sz w:val="24"/>
        </w:rPr>
        <w:noBreakHyphen/>
        <w:t xml:space="preserve">657 [35]; </w:t>
      </w:r>
      <w:r w:rsidRPr="00D01163">
        <w:rPr>
          <w:rFonts w:ascii="Times New Roman" w:hAnsi="Times New Roman"/>
          <w:i/>
          <w:iCs/>
          <w:sz w:val="24"/>
        </w:rPr>
        <w:t xml:space="preserve">Mount Bruce Mining Pty Ltd v Wright Prospecting Pty Ltd </w:t>
      </w:r>
      <w:r w:rsidRPr="00D01163">
        <w:rPr>
          <w:rFonts w:ascii="Times New Roman" w:hAnsi="Times New Roman"/>
          <w:sz w:val="24"/>
        </w:rPr>
        <w:t xml:space="preserve">(2015) 256 CLR 104 at 117 [51]. </w:t>
      </w:r>
    </w:p>
  </w:footnote>
  <w:footnote w:id="126">
    <w:p w14:paraId="5F748271" w14:textId="77777777" w:rsidR="00BB2DE8" w:rsidRPr="00D01163" w:rsidRDefault="00BB2DE8" w:rsidP="00D01163">
      <w:pPr>
        <w:pStyle w:val="FootnoteText"/>
        <w:spacing w:line="280" w:lineRule="exact"/>
        <w:ind w:right="0"/>
        <w:jc w:val="both"/>
        <w:rPr>
          <w:rFonts w:ascii="Times New Roman" w:hAnsi="Times New Roman"/>
          <w:sz w:val="24"/>
        </w:rPr>
      </w:pPr>
      <w:r w:rsidRPr="00D01163">
        <w:rPr>
          <w:rStyle w:val="FootnoteReference"/>
          <w:rFonts w:ascii="Times New Roman" w:hAnsi="Times New Roman"/>
          <w:sz w:val="22"/>
          <w:vertAlign w:val="baseline"/>
        </w:rPr>
        <w:footnoteRef/>
      </w:r>
      <w:r w:rsidRPr="00D01163">
        <w:rPr>
          <w:rFonts w:ascii="Times New Roman" w:hAnsi="Times New Roman"/>
          <w:sz w:val="24"/>
        </w:rPr>
        <w:t xml:space="preserve"> </w:t>
      </w:r>
      <w:r w:rsidRPr="00D01163">
        <w:rPr>
          <w:rFonts w:ascii="Times New Roman" w:hAnsi="Times New Roman"/>
          <w:sz w:val="24"/>
        </w:rPr>
        <w:tab/>
        <w:t xml:space="preserve">[2006] EWCA Civ 1732 at [22]. See also Thomson, Warnick and Martin, </w:t>
      </w:r>
      <w:r w:rsidRPr="00D01163">
        <w:rPr>
          <w:rFonts w:ascii="Times New Roman" w:hAnsi="Times New Roman"/>
          <w:i/>
          <w:iCs/>
          <w:sz w:val="24"/>
        </w:rPr>
        <w:t>Commercial Contract Clauses: Principles and Interpretation</w:t>
      </w:r>
      <w:r w:rsidRPr="00D01163">
        <w:rPr>
          <w:rFonts w:ascii="Times New Roman" w:hAnsi="Times New Roman"/>
          <w:iCs/>
          <w:sz w:val="24"/>
        </w:rPr>
        <w:t>, 3rd ed</w:t>
      </w:r>
      <w:r w:rsidRPr="00D01163">
        <w:rPr>
          <w:rFonts w:ascii="Times New Roman" w:hAnsi="Times New Roman"/>
          <w:i/>
          <w:iCs/>
          <w:sz w:val="24"/>
        </w:rPr>
        <w:t xml:space="preserve"> </w:t>
      </w:r>
      <w:r w:rsidRPr="00D01163">
        <w:rPr>
          <w:rFonts w:ascii="Times New Roman" w:hAnsi="Times New Roman"/>
          <w:sz w:val="24"/>
        </w:rPr>
        <w:t>(2019) at 19</w:t>
      </w:r>
      <w:r w:rsidRPr="00D01163">
        <w:rPr>
          <w:rFonts w:ascii="Times New Roman" w:hAnsi="Times New Roman"/>
          <w:sz w:val="24"/>
        </w:rPr>
        <w:noBreakHyphen/>
        <w:t>21 [1350].</w:t>
      </w:r>
    </w:p>
  </w:footnote>
  <w:footnote w:id="127">
    <w:p w14:paraId="13BD1001" w14:textId="77777777" w:rsidR="00BB2DE8" w:rsidRPr="00D01163" w:rsidRDefault="00BB2DE8" w:rsidP="00D01163">
      <w:pPr>
        <w:pStyle w:val="FootnoteText"/>
        <w:spacing w:line="280" w:lineRule="exact"/>
        <w:ind w:right="0"/>
        <w:jc w:val="both"/>
        <w:rPr>
          <w:rFonts w:ascii="Times New Roman" w:hAnsi="Times New Roman"/>
          <w:sz w:val="24"/>
        </w:rPr>
      </w:pPr>
      <w:r w:rsidRPr="00D01163">
        <w:rPr>
          <w:rStyle w:val="FootnoteReference"/>
          <w:rFonts w:ascii="Times New Roman" w:hAnsi="Times New Roman"/>
          <w:sz w:val="22"/>
          <w:vertAlign w:val="baseline"/>
        </w:rPr>
        <w:footnoteRef/>
      </w:r>
      <w:r w:rsidRPr="00D01163">
        <w:rPr>
          <w:rFonts w:ascii="Times New Roman" w:hAnsi="Times New Roman"/>
          <w:sz w:val="24"/>
        </w:rPr>
        <w:t xml:space="preserve"> </w:t>
      </w:r>
      <w:r w:rsidRPr="00D01163">
        <w:rPr>
          <w:rFonts w:ascii="Times New Roman" w:hAnsi="Times New Roman"/>
          <w:sz w:val="24"/>
        </w:rPr>
        <w:tab/>
        <w:t xml:space="preserve">See, eg, </w:t>
      </w:r>
      <w:r w:rsidRPr="00D01163">
        <w:rPr>
          <w:rFonts w:ascii="Times New Roman" w:hAnsi="Times New Roman"/>
          <w:i/>
          <w:sz w:val="24"/>
        </w:rPr>
        <w:t>Miller &amp; Associates Insurance Broking Pty Ltd v BMW Australia Finance Ltd</w:t>
      </w:r>
      <w:r w:rsidRPr="00D01163">
        <w:rPr>
          <w:rFonts w:ascii="Times New Roman" w:hAnsi="Times New Roman"/>
          <w:sz w:val="24"/>
        </w:rPr>
        <w:t xml:space="preserve"> (2010) 241 CLR 357 at 371 [23].</w:t>
      </w:r>
    </w:p>
  </w:footnote>
  <w:footnote w:id="128">
    <w:p w14:paraId="571BBFDE" w14:textId="77777777" w:rsidR="00BB2DE8" w:rsidRPr="00D01163" w:rsidRDefault="00BB2DE8" w:rsidP="00D01163">
      <w:pPr>
        <w:pStyle w:val="FootnoteText"/>
        <w:spacing w:line="280" w:lineRule="exact"/>
        <w:ind w:right="0"/>
        <w:jc w:val="both"/>
        <w:rPr>
          <w:rFonts w:ascii="Times New Roman" w:hAnsi="Times New Roman"/>
          <w:sz w:val="24"/>
        </w:rPr>
      </w:pPr>
      <w:r w:rsidRPr="00D01163">
        <w:rPr>
          <w:rStyle w:val="FootnoteReference"/>
          <w:rFonts w:ascii="Times New Roman" w:hAnsi="Times New Roman"/>
          <w:sz w:val="22"/>
          <w:vertAlign w:val="baseline"/>
        </w:rPr>
        <w:footnoteRef/>
      </w:r>
      <w:r w:rsidRPr="00D01163">
        <w:rPr>
          <w:rFonts w:ascii="Times New Roman" w:hAnsi="Times New Roman"/>
          <w:sz w:val="24"/>
        </w:rPr>
        <w:t xml:space="preserve"> </w:t>
      </w:r>
      <w:r w:rsidRPr="00D01163">
        <w:rPr>
          <w:rFonts w:ascii="Times New Roman" w:hAnsi="Times New Roman"/>
          <w:sz w:val="24"/>
        </w:rPr>
        <w:tab/>
        <w:t xml:space="preserve">See </w:t>
      </w:r>
      <w:r w:rsidRPr="00D01163">
        <w:rPr>
          <w:rFonts w:ascii="Times New Roman" w:hAnsi="Times New Roman"/>
          <w:i/>
          <w:iCs/>
          <w:sz w:val="24"/>
        </w:rPr>
        <w:t>Codelfa Construction Pty Ltd v State Rail Authority of NSW</w:t>
      </w:r>
      <w:r w:rsidRPr="00D01163">
        <w:rPr>
          <w:rFonts w:ascii="Times New Roman" w:hAnsi="Times New Roman"/>
          <w:sz w:val="24"/>
        </w:rPr>
        <w:t xml:space="preserve"> (1982) 149 CLR 337 at 352.</w:t>
      </w:r>
    </w:p>
  </w:footnote>
  <w:footnote w:id="129">
    <w:p w14:paraId="5E9C88C1" w14:textId="77777777" w:rsidR="00BB2DE8" w:rsidRPr="00D01163" w:rsidRDefault="00BB2DE8" w:rsidP="00D01163">
      <w:pPr>
        <w:pStyle w:val="FootnoteText"/>
        <w:spacing w:line="280" w:lineRule="exact"/>
        <w:ind w:right="0"/>
        <w:jc w:val="both"/>
        <w:rPr>
          <w:rFonts w:ascii="Times New Roman" w:hAnsi="Times New Roman"/>
          <w:sz w:val="24"/>
        </w:rPr>
      </w:pPr>
      <w:r w:rsidRPr="00D01163">
        <w:rPr>
          <w:rStyle w:val="FootnoteReference"/>
          <w:rFonts w:ascii="Times New Roman" w:hAnsi="Times New Roman"/>
          <w:sz w:val="22"/>
          <w:vertAlign w:val="baseline"/>
        </w:rPr>
        <w:footnoteRef/>
      </w:r>
      <w:r w:rsidRPr="00D01163">
        <w:rPr>
          <w:rFonts w:ascii="Times New Roman" w:hAnsi="Times New Roman"/>
          <w:sz w:val="24"/>
        </w:rPr>
        <w:t xml:space="preserve"> </w:t>
      </w:r>
      <w:r w:rsidRPr="00D01163">
        <w:rPr>
          <w:rFonts w:ascii="Times New Roman" w:hAnsi="Times New Roman"/>
          <w:sz w:val="24"/>
        </w:rPr>
        <w:tab/>
      </w:r>
      <w:r w:rsidRPr="00D01163">
        <w:rPr>
          <w:rFonts w:ascii="Times New Roman" w:hAnsi="Times New Roman"/>
          <w:i/>
          <w:iCs/>
          <w:sz w:val="24"/>
        </w:rPr>
        <w:t xml:space="preserve">H Lundbeck A/S v Sandoz Pty Ltd </w:t>
      </w:r>
      <w:r w:rsidRPr="00D01163">
        <w:rPr>
          <w:rFonts w:ascii="Times New Roman" w:hAnsi="Times New Roman"/>
          <w:sz w:val="24"/>
        </w:rPr>
        <w:t>(2018) 137 IPR 408 at 477</w:t>
      </w:r>
      <w:r w:rsidRPr="00D01163">
        <w:rPr>
          <w:rFonts w:ascii="Times New Roman" w:hAnsi="Times New Roman"/>
          <w:sz w:val="24"/>
        </w:rPr>
        <w:noBreakHyphen/>
        <w:t>478 [264].</w:t>
      </w:r>
    </w:p>
  </w:footnote>
  <w:footnote w:id="130">
    <w:p w14:paraId="36373D8A" w14:textId="77777777" w:rsidR="00BB2DE8" w:rsidRPr="00D01163" w:rsidRDefault="00BB2DE8" w:rsidP="00D01163">
      <w:pPr>
        <w:pStyle w:val="FootnoteText"/>
        <w:spacing w:line="280" w:lineRule="exact"/>
        <w:ind w:right="0"/>
        <w:jc w:val="both"/>
        <w:rPr>
          <w:rFonts w:ascii="Times New Roman" w:hAnsi="Times New Roman"/>
          <w:sz w:val="24"/>
        </w:rPr>
      </w:pPr>
      <w:r w:rsidRPr="00D01163">
        <w:rPr>
          <w:rStyle w:val="FootnoteReference"/>
          <w:rFonts w:ascii="Times New Roman" w:hAnsi="Times New Roman"/>
          <w:sz w:val="22"/>
          <w:vertAlign w:val="baseline"/>
        </w:rPr>
        <w:footnoteRef/>
      </w:r>
      <w:r w:rsidRPr="00D01163">
        <w:rPr>
          <w:rFonts w:ascii="Times New Roman" w:hAnsi="Times New Roman"/>
          <w:sz w:val="24"/>
        </w:rPr>
        <w:t xml:space="preserve"> </w:t>
      </w:r>
      <w:r w:rsidRPr="00D01163">
        <w:rPr>
          <w:rFonts w:ascii="Times New Roman" w:hAnsi="Times New Roman"/>
          <w:sz w:val="24"/>
        </w:rPr>
        <w:tab/>
      </w:r>
      <w:r w:rsidRPr="00D01163">
        <w:rPr>
          <w:rFonts w:ascii="Times New Roman" w:hAnsi="Times New Roman"/>
          <w:i/>
          <w:iCs/>
          <w:sz w:val="24"/>
        </w:rPr>
        <w:t xml:space="preserve">H Lundbeck A/S v Sandoz Pty Ltd </w:t>
      </w:r>
      <w:r w:rsidRPr="00D01163">
        <w:rPr>
          <w:rFonts w:ascii="Times New Roman" w:hAnsi="Times New Roman"/>
          <w:sz w:val="24"/>
        </w:rPr>
        <w:t>(2018) 137 IPR 408 at 478 [269].</w:t>
      </w:r>
    </w:p>
  </w:footnote>
  <w:footnote w:id="131">
    <w:p w14:paraId="0040A06B" w14:textId="77777777" w:rsidR="00BB2DE8" w:rsidRPr="00D01163" w:rsidRDefault="00BB2DE8" w:rsidP="00D01163">
      <w:pPr>
        <w:pStyle w:val="FootnoteText"/>
        <w:spacing w:line="280" w:lineRule="exact"/>
        <w:ind w:right="0"/>
        <w:jc w:val="both"/>
        <w:rPr>
          <w:rFonts w:ascii="Times New Roman" w:hAnsi="Times New Roman"/>
          <w:sz w:val="24"/>
        </w:rPr>
      </w:pPr>
      <w:r w:rsidRPr="00D01163">
        <w:rPr>
          <w:rStyle w:val="FootnoteReference"/>
          <w:rFonts w:ascii="Times New Roman" w:hAnsi="Times New Roman"/>
          <w:sz w:val="22"/>
          <w:vertAlign w:val="baseline"/>
        </w:rPr>
        <w:footnoteRef/>
      </w:r>
      <w:r w:rsidRPr="00D01163">
        <w:rPr>
          <w:rFonts w:ascii="Times New Roman" w:hAnsi="Times New Roman"/>
          <w:sz w:val="24"/>
        </w:rPr>
        <w:t xml:space="preserve"> </w:t>
      </w:r>
      <w:r w:rsidRPr="00D01163">
        <w:rPr>
          <w:rFonts w:ascii="Times New Roman" w:hAnsi="Times New Roman"/>
          <w:sz w:val="24"/>
        </w:rPr>
        <w:tab/>
      </w:r>
      <w:r w:rsidRPr="00D01163">
        <w:rPr>
          <w:rFonts w:ascii="Times New Roman" w:hAnsi="Times New Roman"/>
          <w:i/>
          <w:sz w:val="24"/>
        </w:rPr>
        <w:t>Fitzgerald v Masters</w:t>
      </w:r>
      <w:r w:rsidRPr="00D01163">
        <w:rPr>
          <w:rFonts w:ascii="Times New Roman" w:hAnsi="Times New Roman"/>
          <w:sz w:val="24"/>
        </w:rPr>
        <w:t xml:space="preserve"> (1956) 95 CLR 420 at 426</w:t>
      </w:r>
      <w:r w:rsidRPr="00D01163">
        <w:rPr>
          <w:rFonts w:ascii="Times New Roman" w:hAnsi="Times New Roman"/>
          <w:sz w:val="24"/>
        </w:rPr>
        <w:noBreakHyphen/>
        <w:t>427.</w:t>
      </w:r>
    </w:p>
  </w:footnote>
  <w:footnote w:id="132">
    <w:p w14:paraId="4A56CEB6" w14:textId="77777777" w:rsidR="00BB2DE8" w:rsidRPr="00D01163" w:rsidRDefault="00BB2DE8" w:rsidP="00D01163">
      <w:pPr>
        <w:pStyle w:val="FootnoteText"/>
        <w:spacing w:line="280" w:lineRule="exact"/>
        <w:ind w:right="0"/>
        <w:jc w:val="both"/>
        <w:rPr>
          <w:rFonts w:ascii="Times New Roman" w:hAnsi="Times New Roman"/>
          <w:sz w:val="24"/>
        </w:rPr>
      </w:pPr>
      <w:r w:rsidRPr="00D01163">
        <w:rPr>
          <w:rStyle w:val="FootnoteReference"/>
          <w:rFonts w:ascii="Times New Roman" w:hAnsi="Times New Roman"/>
          <w:sz w:val="22"/>
          <w:vertAlign w:val="baseline"/>
        </w:rPr>
        <w:footnoteRef/>
      </w:r>
      <w:r w:rsidRPr="00D01163">
        <w:rPr>
          <w:rFonts w:ascii="Times New Roman" w:hAnsi="Times New Roman"/>
          <w:sz w:val="24"/>
        </w:rPr>
        <w:t xml:space="preserve"> </w:t>
      </w:r>
      <w:r w:rsidRPr="00D01163">
        <w:rPr>
          <w:rFonts w:ascii="Times New Roman" w:hAnsi="Times New Roman"/>
          <w:sz w:val="24"/>
        </w:rPr>
        <w:tab/>
      </w:r>
      <w:r w:rsidRPr="00D01163">
        <w:rPr>
          <w:rFonts w:ascii="Times New Roman" w:hAnsi="Times New Roman"/>
          <w:i/>
          <w:iCs/>
          <w:sz w:val="24"/>
        </w:rPr>
        <w:t>Associated Newspapers Ltd v Wavish</w:t>
      </w:r>
      <w:r w:rsidRPr="00D01163">
        <w:rPr>
          <w:rFonts w:ascii="Times New Roman" w:hAnsi="Times New Roman"/>
          <w:sz w:val="24"/>
        </w:rPr>
        <w:t xml:space="preserve"> (1956) 96 CLR 526 at 528; </w:t>
      </w:r>
      <w:r w:rsidRPr="00D01163">
        <w:rPr>
          <w:rFonts w:ascii="Times New Roman" w:hAnsi="Times New Roman"/>
          <w:i/>
          <w:iCs/>
          <w:sz w:val="24"/>
        </w:rPr>
        <w:t xml:space="preserve">Director of Public Prosecutions (Nauru) v Fowler </w:t>
      </w:r>
      <w:r w:rsidRPr="00D01163">
        <w:rPr>
          <w:rFonts w:ascii="Times New Roman" w:hAnsi="Times New Roman"/>
          <w:sz w:val="24"/>
        </w:rPr>
        <w:t xml:space="preserve">(1984) 154 CLR 627 at 630; </w:t>
      </w:r>
      <w:r w:rsidRPr="00D01163">
        <w:rPr>
          <w:rFonts w:ascii="Times New Roman" w:hAnsi="Times New Roman"/>
          <w:i/>
          <w:iCs/>
          <w:sz w:val="24"/>
        </w:rPr>
        <w:t>Burragubba v Queensland</w:t>
      </w:r>
      <w:r w:rsidRPr="00D01163">
        <w:rPr>
          <w:rFonts w:ascii="Times New Roman" w:hAnsi="Times New Roman"/>
          <w:sz w:val="24"/>
        </w:rPr>
        <w:t xml:space="preserve"> (2015) 236 FCR 160 at 164 [18]. </w:t>
      </w:r>
    </w:p>
  </w:footnote>
  <w:footnote w:id="133">
    <w:p w14:paraId="7F44EB8A" w14:textId="77777777" w:rsidR="00BB2DE8" w:rsidRPr="00D01163" w:rsidRDefault="00BB2DE8" w:rsidP="00D01163">
      <w:pPr>
        <w:pStyle w:val="FootnoteText"/>
        <w:spacing w:line="280" w:lineRule="exact"/>
        <w:ind w:right="0"/>
        <w:jc w:val="both"/>
        <w:rPr>
          <w:rFonts w:ascii="Times New Roman" w:hAnsi="Times New Roman"/>
          <w:sz w:val="24"/>
        </w:rPr>
      </w:pPr>
      <w:r w:rsidRPr="00D01163">
        <w:rPr>
          <w:rStyle w:val="FootnoteReference"/>
          <w:rFonts w:ascii="Times New Roman" w:hAnsi="Times New Roman"/>
          <w:sz w:val="22"/>
          <w:vertAlign w:val="baseline"/>
        </w:rPr>
        <w:footnoteRef/>
      </w:r>
      <w:r w:rsidRPr="00D01163">
        <w:rPr>
          <w:rFonts w:ascii="Times New Roman" w:hAnsi="Times New Roman"/>
          <w:sz w:val="24"/>
        </w:rPr>
        <w:t xml:space="preserve"> </w:t>
      </w:r>
      <w:r w:rsidRPr="00D01163">
        <w:rPr>
          <w:rFonts w:ascii="Times New Roman" w:hAnsi="Times New Roman"/>
          <w:sz w:val="24"/>
        </w:rPr>
        <w:tab/>
      </w:r>
      <w:r w:rsidRPr="00D01163">
        <w:rPr>
          <w:rFonts w:ascii="Times New Roman" w:hAnsi="Times New Roman"/>
          <w:i/>
          <w:iCs/>
          <w:sz w:val="24"/>
        </w:rPr>
        <w:t xml:space="preserve">Esso Australia Pty Ltd v Australian Workers' Union </w:t>
      </w:r>
      <w:r w:rsidRPr="00D01163">
        <w:rPr>
          <w:rFonts w:ascii="Times New Roman" w:hAnsi="Times New Roman"/>
          <w:sz w:val="24"/>
        </w:rPr>
        <w:t>(2017) 263 CLR 551 at 582 [52].</w:t>
      </w:r>
    </w:p>
  </w:footnote>
  <w:footnote w:id="134">
    <w:p w14:paraId="120D0A0B" w14:textId="77777777" w:rsidR="00BB2DE8" w:rsidRPr="00D01163" w:rsidRDefault="00BB2DE8" w:rsidP="00D01163">
      <w:pPr>
        <w:pStyle w:val="FootnoteText"/>
        <w:spacing w:line="280" w:lineRule="exact"/>
        <w:ind w:right="0"/>
        <w:jc w:val="both"/>
        <w:rPr>
          <w:rFonts w:ascii="Times New Roman" w:hAnsi="Times New Roman"/>
          <w:sz w:val="24"/>
        </w:rPr>
      </w:pPr>
      <w:r w:rsidRPr="00D01163">
        <w:rPr>
          <w:rStyle w:val="FootnoteReference"/>
          <w:rFonts w:ascii="Times New Roman" w:hAnsi="Times New Roman"/>
          <w:sz w:val="22"/>
          <w:vertAlign w:val="baseline"/>
        </w:rPr>
        <w:footnoteRef/>
      </w:r>
      <w:r w:rsidRPr="00D01163">
        <w:rPr>
          <w:rFonts w:ascii="Times New Roman" w:hAnsi="Times New Roman"/>
          <w:sz w:val="24"/>
        </w:rPr>
        <w:t xml:space="preserve"> </w:t>
      </w:r>
      <w:r w:rsidRPr="00D01163">
        <w:rPr>
          <w:rFonts w:ascii="Times New Roman" w:hAnsi="Times New Roman"/>
          <w:sz w:val="24"/>
        </w:rPr>
        <w:tab/>
      </w:r>
      <w:r w:rsidRPr="00D01163">
        <w:rPr>
          <w:rFonts w:ascii="Times New Roman" w:hAnsi="Times New Roman"/>
          <w:i/>
          <w:iCs/>
          <w:sz w:val="24"/>
        </w:rPr>
        <w:t>Taylor v Owners – Strata Plan No 11564</w:t>
      </w:r>
      <w:r w:rsidRPr="00D01163">
        <w:rPr>
          <w:rFonts w:ascii="Times New Roman" w:hAnsi="Times New Roman"/>
          <w:sz w:val="24"/>
        </w:rPr>
        <w:t xml:space="preserve"> (2014) 253 CLR 531 at 548 [38], citing </w:t>
      </w:r>
      <w:r w:rsidRPr="00D01163">
        <w:rPr>
          <w:rFonts w:ascii="Times New Roman" w:hAnsi="Times New Roman"/>
          <w:i/>
          <w:iCs/>
          <w:sz w:val="24"/>
        </w:rPr>
        <w:t>Western Bank Ltd v Schindle</w:t>
      </w:r>
      <w:r w:rsidRPr="00D01163">
        <w:rPr>
          <w:rFonts w:ascii="Times New Roman" w:hAnsi="Times New Roman"/>
          <w:i/>
          <w:sz w:val="24"/>
        </w:rPr>
        <w:t>r</w:t>
      </w:r>
      <w:r w:rsidRPr="00D01163">
        <w:rPr>
          <w:rFonts w:ascii="Times New Roman" w:hAnsi="Times New Roman"/>
          <w:iCs/>
          <w:sz w:val="24"/>
        </w:rPr>
        <w:t xml:space="preserve"> </w:t>
      </w:r>
      <w:r w:rsidRPr="00D01163">
        <w:rPr>
          <w:rFonts w:ascii="Times New Roman" w:hAnsi="Times New Roman"/>
          <w:sz w:val="24"/>
        </w:rPr>
        <w:t xml:space="preserve">[1977] Ch 1 at 18 and </w:t>
      </w:r>
      <w:r w:rsidRPr="00D01163">
        <w:rPr>
          <w:rFonts w:ascii="Times New Roman" w:hAnsi="Times New Roman"/>
          <w:i/>
          <w:iCs/>
          <w:sz w:val="24"/>
        </w:rPr>
        <w:t xml:space="preserve">Inco Europe Ltd v First Choice Distribution </w:t>
      </w:r>
      <w:r w:rsidRPr="00D01163">
        <w:rPr>
          <w:rFonts w:ascii="Times New Roman" w:hAnsi="Times New Roman"/>
          <w:sz w:val="24"/>
        </w:rPr>
        <w:t>[2000] 1 WLR 586 at 592; [2000] 2 All ER 109 at 115.</w:t>
      </w:r>
    </w:p>
  </w:footnote>
  <w:footnote w:id="135">
    <w:p w14:paraId="1946F3AF" w14:textId="77777777" w:rsidR="00BB2DE8" w:rsidRPr="00D01163" w:rsidRDefault="00BB2DE8" w:rsidP="00D01163">
      <w:pPr>
        <w:pStyle w:val="FootnoteText"/>
        <w:spacing w:line="280" w:lineRule="exact"/>
        <w:ind w:right="0"/>
        <w:jc w:val="both"/>
        <w:rPr>
          <w:rFonts w:ascii="Times New Roman" w:hAnsi="Times New Roman"/>
          <w:sz w:val="24"/>
        </w:rPr>
      </w:pPr>
      <w:r w:rsidRPr="00D01163">
        <w:rPr>
          <w:rStyle w:val="FootnoteReference"/>
          <w:rFonts w:ascii="Times New Roman" w:hAnsi="Times New Roman"/>
          <w:sz w:val="22"/>
          <w:vertAlign w:val="baseline"/>
        </w:rPr>
        <w:footnoteRef/>
      </w:r>
      <w:r w:rsidRPr="00D01163">
        <w:rPr>
          <w:rFonts w:ascii="Times New Roman" w:hAnsi="Times New Roman"/>
          <w:sz w:val="24"/>
        </w:rPr>
        <w:t xml:space="preserve"> </w:t>
      </w:r>
      <w:r w:rsidRPr="00D01163">
        <w:rPr>
          <w:rFonts w:ascii="Times New Roman" w:hAnsi="Times New Roman"/>
          <w:sz w:val="24"/>
        </w:rPr>
        <w:tab/>
      </w:r>
      <w:r w:rsidRPr="00D01163">
        <w:rPr>
          <w:rFonts w:ascii="Times New Roman" w:hAnsi="Times New Roman"/>
          <w:i/>
          <w:iCs/>
          <w:sz w:val="24"/>
        </w:rPr>
        <w:t xml:space="preserve">Sandoz Pty Ltd v H Lundbeck A/S </w:t>
      </w:r>
      <w:r w:rsidRPr="00D01163">
        <w:rPr>
          <w:rFonts w:ascii="Times New Roman" w:hAnsi="Times New Roman"/>
          <w:sz w:val="24"/>
        </w:rPr>
        <w:t>(2020) 384 ALR 35 at 62</w:t>
      </w:r>
      <w:r w:rsidRPr="00D01163">
        <w:rPr>
          <w:rFonts w:ascii="Times New Roman" w:hAnsi="Times New Roman"/>
          <w:sz w:val="24"/>
        </w:rPr>
        <w:noBreakHyphen/>
        <w:t>63 [109]</w:t>
      </w:r>
      <w:r w:rsidRPr="00D01163">
        <w:rPr>
          <w:rFonts w:ascii="Times New Roman" w:hAnsi="Times New Roman"/>
          <w:sz w:val="24"/>
        </w:rPr>
        <w:noBreakHyphen/>
        <w:t>[110].</w:t>
      </w:r>
    </w:p>
  </w:footnote>
  <w:footnote w:id="136">
    <w:p w14:paraId="51FF3014" w14:textId="77777777" w:rsidR="00BB2DE8" w:rsidRPr="00D01163" w:rsidRDefault="00BB2DE8" w:rsidP="00D01163">
      <w:pPr>
        <w:pStyle w:val="FootnoteText"/>
        <w:spacing w:line="280" w:lineRule="exact"/>
        <w:ind w:right="0"/>
        <w:jc w:val="both"/>
        <w:rPr>
          <w:rFonts w:ascii="Times New Roman" w:hAnsi="Times New Roman"/>
          <w:sz w:val="24"/>
        </w:rPr>
      </w:pPr>
      <w:r w:rsidRPr="00D01163">
        <w:rPr>
          <w:rStyle w:val="FootnoteReference"/>
          <w:rFonts w:ascii="Times New Roman" w:hAnsi="Times New Roman"/>
          <w:sz w:val="22"/>
          <w:vertAlign w:val="baseline"/>
        </w:rPr>
        <w:footnoteRef/>
      </w:r>
      <w:r w:rsidRPr="00D01163">
        <w:rPr>
          <w:rFonts w:ascii="Times New Roman" w:hAnsi="Times New Roman"/>
          <w:sz w:val="24"/>
        </w:rPr>
        <w:t xml:space="preserve"> </w:t>
      </w:r>
      <w:r w:rsidRPr="00D01163">
        <w:rPr>
          <w:rFonts w:ascii="Times New Roman" w:hAnsi="Times New Roman"/>
          <w:sz w:val="24"/>
        </w:rPr>
        <w:tab/>
        <w:t xml:space="preserve">See, especially, </w:t>
      </w:r>
      <w:r w:rsidRPr="00D01163">
        <w:rPr>
          <w:rFonts w:ascii="Times New Roman" w:hAnsi="Times New Roman"/>
          <w:i/>
          <w:iCs/>
          <w:sz w:val="24"/>
        </w:rPr>
        <w:t>Patents Act</w:t>
      </w:r>
      <w:r w:rsidRPr="00D01163">
        <w:rPr>
          <w:rFonts w:ascii="Times New Roman" w:hAnsi="Times New Roman"/>
          <w:sz w:val="24"/>
        </w:rPr>
        <w:t xml:space="preserve">, s 120(2). </w:t>
      </w:r>
    </w:p>
  </w:footnote>
  <w:footnote w:id="137">
    <w:p w14:paraId="45E44F40" w14:textId="77777777" w:rsidR="00BB2DE8" w:rsidRPr="00D01163" w:rsidRDefault="00BB2DE8" w:rsidP="00D01163">
      <w:pPr>
        <w:pStyle w:val="FootnoteText"/>
        <w:spacing w:line="280" w:lineRule="exact"/>
        <w:ind w:right="0"/>
        <w:jc w:val="both"/>
        <w:rPr>
          <w:rFonts w:ascii="Times New Roman" w:hAnsi="Times New Roman"/>
          <w:sz w:val="24"/>
        </w:rPr>
      </w:pPr>
      <w:r w:rsidRPr="00D01163">
        <w:rPr>
          <w:rStyle w:val="FootnoteReference"/>
          <w:rFonts w:ascii="Times New Roman" w:hAnsi="Times New Roman"/>
          <w:sz w:val="22"/>
          <w:vertAlign w:val="baseline"/>
        </w:rPr>
        <w:footnoteRef/>
      </w:r>
      <w:r w:rsidRPr="00D01163">
        <w:rPr>
          <w:rFonts w:ascii="Times New Roman" w:hAnsi="Times New Roman"/>
          <w:sz w:val="24"/>
        </w:rPr>
        <w:t xml:space="preserve"> </w:t>
      </w:r>
      <w:r w:rsidRPr="00D01163">
        <w:rPr>
          <w:rFonts w:ascii="Times New Roman" w:hAnsi="Times New Roman"/>
          <w:sz w:val="24"/>
        </w:rPr>
        <w:tab/>
        <w:t xml:space="preserve">See </w:t>
      </w:r>
      <w:r w:rsidRPr="00D01163">
        <w:rPr>
          <w:rFonts w:ascii="Times New Roman" w:hAnsi="Times New Roman"/>
          <w:i/>
          <w:iCs/>
          <w:sz w:val="24"/>
        </w:rPr>
        <w:t xml:space="preserve">Port of Melbourne Authority v Anshun Pty Ltd </w:t>
      </w:r>
      <w:r w:rsidRPr="00D01163">
        <w:rPr>
          <w:rFonts w:ascii="Times New Roman" w:hAnsi="Times New Roman"/>
          <w:sz w:val="24"/>
        </w:rPr>
        <w:t>(1981) 147 CLR 589 at 611.</w:t>
      </w:r>
    </w:p>
  </w:footnote>
  <w:footnote w:id="138">
    <w:p w14:paraId="62C117E0" w14:textId="77777777" w:rsidR="00BB2DE8" w:rsidRPr="00D01163" w:rsidRDefault="00BB2DE8" w:rsidP="00D01163">
      <w:pPr>
        <w:pStyle w:val="FootnoteText"/>
        <w:spacing w:line="280" w:lineRule="exact"/>
        <w:ind w:right="0"/>
        <w:jc w:val="both"/>
        <w:rPr>
          <w:rFonts w:ascii="Times New Roman" w:hAnsi="Times New Roman"/>
          <w:sz w:val="24"/>
        </w:rPr>
      </w:pPr>
      <w:r w:rsidRPr="00D01163">
        <w:rPr>
          <w:rStyle w:val="FootnoteReference"/>
          <w:rFonts w:ascii="Times New Roman" w:hAnsi="Times New Roman"/>
          <w:sz w:val="22"/>
          <w:vertAlign w:val="baseline"/>
        </w:rPr>
        <w:footnoteRef/>
      </w:r>
      <w:r w:rsidRPr="00D01163">
        <w:rPr>
          <w:rFonts w:ascii="Times New Roman" w:hAnsi="Times New Roman"/>
          <w:sz w:val="24"/>
        </w:rPr>
        <w:t xml:space="preserve"> </w:t>
      </w:r>
      <w:r w:rsidRPr="00D01163">
        <w:rPr>
          <w:rFonts w:ascii="Times New Roman" w:hAnsi="Times New Roman"/>
          <w:sz w:val="24"/>
        </w:rPr>
        <w:tab/>
        <w:t>[1965] 1 QB 232 at 242</w:t>
      </w:r>
      <w:r w:rsidRPr="00D01163">
        <w:rPr>
          <w:rFonts w:ascii="Times New Roman" w:hAnsi="Times New Roman"/>
          <w:sz w:val="24"/>
        </w:rPr>
        <w:noBreakHyphen/>
        <w:t xml:space="preserve">243. See also the similar expositions in </w:t>
      </w:r>
      <w:r w:rsidRPr="00D01163">
        <w:rPr>
          <w:rFonts w:ascii="Times New Roman" w:hAnsi="Times New Roman"/>
          <w:i/>
          <w:iCs/>
          <w:sz w:val="24"/>
        </w:rPr>
        <w:t>Carter v Egg and Egg Pulp Marketing Board (Vic)</w:t>
      </w:r>
      <w:r w:rsidRPr="00D01163">
        <w:rPr>
          <w:rFonts w:ascii="Times New Roman" w:hAnsi="Times New Roman"/>
          <w:iCs/>
          <w:sz w:val="24"/>
        </w:rPr>
        <w:t xml:space="preserve"> </w:t>
      </w:r>
      <w:r w:rsidRPr="00D01163">
        <w:rPr>
          <w:rFonts w:ascii="Times New Roman" w:hAnsi="Times New Roman"/>
          <w:sz w:val="24"/>
        </w:rPr>
        <w:t xml:space="preserve">(1942) 66 CLR 557 at 600; </w:t>
      </w:r>
      <w:r w:rsidRPr="00D01163">
        <w:rPr>
          <w:rFonts w:ascii="Times New Roman" w:hAnsi="Times New Roman"/>
          <w:i/>
          <w:iCs/>
          <w:sz w:val="24"/>
        </w:rPr>
        <w:t xml:space="preserve">Port of Melbourne Authority v Anshun Pty Ltd </w:t>
      </w:r>
      <w:r w:rsidRPr="00D01163">
        <w:rPr>
          <w:rFonts w:ascii="Times New Roman" w:hAnsi="Times New Roman"/>
          <w:sz w:val="24"/>
        </w:rPr>
        <w:t>(1981) 147 CLR 589 at 611.</w:t>
      </w:r>
    </w:p>
  </w:footnote>
  <w:footnote w:id="139">
    <w:p w14:paraId="24BDCD1C" w14:textId="77777777" w:rsidR="00BB2DE8" w:rsidRPr="00D01163" w:rsidRDefault="00BB2DE8" w:rsidP="00D01163">
      <w:pPr>
        <w:pStyle w:val="FootnoteText"/>
        <w:spacing w:line="280" w:lineRule="exact"/>
        <w:ind w:right="0"/>
        <w:jc w:val="both"/>
        <w:rPr>
          <w:rFonts w:ascii="Times New Roman" w:hAnsi="Times New Roman"/>
          <w:sz w:val="24"/>
        </w:rPr>
      </w:pPr>
      <w:r w:rsidRPr="00D01163">
        <w:rPr>
          <w:rStyle w:val="FootnoteReference"/>
          <w:rFonts w:ascii="Times New Roman" w:hAnsi="Times New Roman"/>
          <w:sz w:val="22"/>
          <w:vertAlign w:val="baseline"/>
        </w:rPr>
        <w:footnoteRef/>
      </w:r>
      <w:r w:rsidRPr="00D01163">
        <w:rPr>
          <w:rFonts w:ascii="Times New Roman" w:hAnsi="Times New Roman"/>
          <w:sz w:val="24"/>
        </w:rPr>
        <w:t xml:space="preserve"> </w:t>
      </w:r>
      <w:r w:rsidRPr="00D01163">
        <w:rPr>
          <w:rFonts w:ascii="Times New Roman" w:hAnsi="Times New Roman"/>
          <w:sz w:val="24"/>
        </w:rPr>
        <w:tab/>
        <w:t xml:space="preserve">See, eg, </w:t>
      </w:r>
      <w:r w:rsidRPr="00D01163">
        <w:rPr>
          <w:rFonts w:ascii="Times New Roman" w:hAnsi="Times New Roman"/>
          <w:i/>
          <w:iCs/>
          <w:sz w:val="24"/>
        </w:rPr>
        <w:t xml:space="preserve">Wardley Australia Ltd v Western Australia </w:t>
      </w:r>
      <w:r w:rsidRPr="00D01163">
        <w:rPr>
          <w:rFonts w:ascii="Times New Roman" w:hAnsi="Times New Roman"/>
          <w:sz w:val="24"/>
        </w:rPr>
        <w:t xml:space="preserve">(1992) 175 CLR 514 at 539; </w:t>
      </w:r>
      <w:r w:rsidRPr="00D01163">
        <w:rPr>
          <w:rFonts w:ascii="Times New Roman" w:hAnsi="Times New Roman"/>
          <w:i/>
          <w:iCs/>
          <w:sz w:val="24"/>
        </w:rPr>
        <w:t xml:space="preserve">Permanent Building Society v Wheeler [No 2] </w:t>
      </w:r>
      <w:r w:rsidRPr="00D01163">
        <w:rPr>
          <w:rFonts w:ascii="Times New Roman" w:hAnsi="Times New Roman"/>
          <w:sz w:val="24"/>
        </w:rPr>
        <w:t xml:space="preserve">(1993) 10 WAR 569 at 572; </w:t>
      </w:r>
      <w:r w:rsidRPr="00D01163">
        <w:rPr>
          <w:rFonts w:ascii="Times New Roman" w:hAnsi="Times New Roman"/>
          <w:i/>
          <w:iCs/>
          <w:sz w:val="24"/>
        </w:rPr>
        <w:t xml:space="preserve">Macquarie Bank Ltd v National Mutual Life Association of Australia Ltd </w:t>
      </w:r>
      <w:r w:rsidRPr="00D01163">
        <w:rPr>
          <w:rFonts w:ascii="Times New Roman" w:hAnsi="Times New Roman"/>
          <w:sz w:val="24"/>
        </w:rPr>
        <w:t xml:space="preserve">(1996) 40 NSWLR 543 at 558; </w:t>
      </w:r>
      <w:r w:rsidRPr="00D01163">
        <w:rPr>
          <w:rFonts w:ascii="Times New Roman" w:hAnsi="Times New Roman"/>
          <w:i/>
          <w:iCs/>
          <w:sz w:val="24"/>
        </w:rPr>
        <w:t xml:space="preserve">Keet v Ward </w:t>
      </w:r>
      <w:r w:rsidRPr="00D01163">
        <w:rPr>
          <w:rFonts w:ascii="Times New Roman" w:hAnsi="Times New Roman"/>
          <w:sz w:val="24"/>
        </w:rPr>
        <w:t>[2011] WASCA 139 at [24].</w:t>
      </w:r>
    </w:p>
  </w:footnote>
  <w:footnote w:id="140">
    <w:p w14:paraId="207271C2" w14:textId="77777777" w:rsidR="00BB2DE8" w:rsidRPr="00D01163" w:rsidRDefault="00BB2DE8" w:rsidP="00D01163">
      <w:pPr>
        <w:pStyle w:val="FootnoteText"/>
        <w:spacing w:line="280" w:lineRule="exact"/>
        <w:ind w:right="0"/>
        <w:jc w:val="both"/>
        <w:rPr>
          <w:rFonts w:ascii="Times New Roman" w:hAnsi="Times New Roman"/>
          <w:sz w:val="24"/>
        </w:rPr>
      </w:pPr>
      <w:r w:rsidRPr="00D01163">
        <w:rPr>
          <w:rStyle w:val="FootnoteReference"/>
          <w:rFonts w:ascii="Times New Roman" w:hAnsi="Times New Roman"/>
          <w:sz w:val="22"/>
          <w:vertAlign w:val="baseline"/>
        </w:rPr>
        <w:footnoteRef/>
      </w:r>
      <w:r w:rsidRPr="00D01163">
        <w:rPr>
          <w:rFonts w:ascii="Times New Roman" w:hAnsi="Times New Roman"/>
          <w:sz w:val="24"/>
        </w:rPr>
        <w:t xml:space="preserve"> </w:t>
      </w:r>
      <w:r w:rsidRPr="00D01163">
        <w:rPr>
          <w:rFonts w:ascii="Times New Roman" w:hAnsi="Times New Roman"/>
          <w:sz w:val="24"/>
        </w:rPr>
        <w:tab/>
        <w:t>(1998) 192 CLR 285 at 303 [35].</w:t>
      </w:r>
    </w:p>
  </w:footnote>
  <w:footnote w:id="141">
    <w:p w14:paraId="6182D6FF" w14:textId="77777777" w:rsidR="00BB2DE8" w:rsidRPr="00D01163" w:rsidRDefault="00BB2DE8" w:rsidP="00D01163">
      <w:pPr>
        <w:pStyle w:val="FootnoteText"/>
        <w:spacing w:line="280" w:lineRule="exact"/>
        <w:ind w:right="0"/>
        <w:jc w:val="both"/>
        <w:rPr>
          <w:rFonts w:ascii="Times New Roman" w:hAnsi="Times New Roman"/>
          <w:sz w:val="24"/>
        </w:rPr>
      </w:pPr>
      <w:r w:rsidRPr="00D01163">
        <w:rPr>
          <w:rStyle w:val="FootnoteReference"/>
          <w:rFonts w:ascii="Times New Roman" w:hAnsi="Times New Roman"/>
          <w:sz w:val="22"/>
          <w:vertAlign w:val="baseline"/>
        </w:rPr>
        <w:footnoteRef/>
      </w:r>
      <w:r w:rsidRPr="00D01163">
        <w:rPr>
          <w:rFonts w:ascii="Times New Roman" w:hAnsi="Times New Roman"/>
          <w:sz w:val="24"/>
        </w:rPr>
        <w:t xml:space="preserve"> </w:t>
      </w:r>
      <w:r w:rsidRPr="00D01163">
        <w:rPr>
          <w:rFonts w:ascii="Times New Roman" w:hAnsi="Times New Roman"/>
          <w:sz w:val="24"/>
        </w:rPr>
        <w:tab/>
      </w:r>
      <w:r w:rsidRPr="00D01163">
        <w:rPr>
          <w:rFonts w:ascii="Times New Roman" w:hAnsi="Times New Roman"/>
          <w:i/>
          <w:iCs/>
          <w:sz w:val="24"/>
        </w:rPr>
        <w:t>Suhr v Crofts (Engineers) Ltd</w:t>
      </w:r>
      <w:r w:rsidRPr="00D01163">
        <w:rPr>
          <w:rFonts w:ascii="Times New Roman" w:hAnsi="Times New Roman"/>
          <w:sz w:val="24"/>
        </w:rPr>
        <w:t xml:space="preserve"> (1932) 49 RPC 359 at 366. See also Johnson, Roughton and Cook, </w:t>
      </w:r>
      <w:r w:rsidRPr="00D01163">
        <w:rPr>
          <w:rFonts w:ascii="Times New Roman" w:hAnsi="Times New Roman"/>
          <w:i/>
          <w:iCs/>
          <w:sz w:val="24"/>
        </w:rPr>
        <w:t>The Modern Law of Patents</w:t>
      </w:r>
      <w:r w:rsidRPr="00D01163">
        <w:rPr>
          <w:rFonts w:ascii="Times New Roman" w:hAnsi="Times New Roman"/>
          <w:sz w:val="24"/>
        </w:rPr>
        <w:t xml:space="preserve">, 3rd ed (2014) at 568 [10.79]; </w:t>
      </w:r>
      <w:r w:rsidRPr="00D01163">
        <w:rPr>
          <w:rFonts w:ascii="Times New Roman" w:hAnsi="Times New Roman"/>
          <w:i/>
          <w:iCs/>
          <w:sz w:val="24"/>
        </w:rPr>
        <w:t>Terrell on the Law of Patents</w:t>
      </w:r>
      <w:r w:rsidRPr="00D01163">
        <w:rPr>
          <w:rFonts w:ascii="Times New Roman" w:hAnsi="Times New Roman"/>
          <w:sz w:val="24"/>
        </w:rPr>
        <w:t>, 19th ed (2020) at 564 [16</w:t>
      </w:r>
      <w:r w:rsidRPr="00D01163">
        <w:rPr>
          <w:rFonts w:ascii="Times New Roman" w:hAnsi="Times New Roman"/>
          <w:sz w:val="24"/>
        </w:rPr>
        <w:noBreakHyphen/>
        <w:t>82].</w:t>
      </w:r>
    </w:p>
  </w:footnote>
  <w:footnote w:id="142">
    <w:p w14:paraId="737EE553" w14:textId="77777777" w:rsidR="00BB2DE8" w:rsidRPr="00D01163" w:rsidRDefault="00BB2DE8" w:rsidP="00D01163">
      <w:pPr>
        <w:pStyle w:val="FootnoteText"/>
        <w:spacing w:line="280" w:lineRule="exact"/>
        <w:ind w:right="0"/>
        <w:jc w:val="both"/>
        <w:rPr>
          <w:rFonts w:ascii="Times New Roman" w:hAnsi="Times New Roman"/>
          <w:sz w:val="24"/>
        </w:rPr>
      </w:pPr>
      <w:r w:rsidRPr="00D01163">
        <w:rPr>
          <w:rStyle w:val="FootnoteReference"/>
          <w:rFonts w:ascii="Times New Roman" w:hAnsi="Times New Roman"/>
          <w:sz w:val="22"/>
          <w:vertAlign w:val="baseline"/>
        </w:rPr>
        <w:footnoteRef/>
      </w:r>
      <w:r w:rsidRPr="00D01163">
        <w:rPr>
          <w:rFonts w:ascii="Times New Roman" w:hAnsi="Times New Roman"/>
          <w:sz w:val="24"/>
        </w:rPr>
        <w:t xml:space="preserve"> </w:t>
      </w:r>
      <w:r w:rsidRPr="00D01163">
        <w:rPr>
          <w:rFonts w:ascii="Times New Roman" w:hAnsi="Times New Roman"/>
          <w:sz w:val="24"/>
        </w:rPr>
        <w:tab/>
      </w:r>
      <w:r w:rsidRPr="00D01163">
        <w:rPr>
          <w:rFonts w:ascii="Times New Roman" w:hAnsi="Times New Roman"/>
          <w:i/>
          <w:iCs/>
          <w:sz w:val="24"/>
        </w:rPr>
        <w:t>Miller &amp; Associates Insurance Broking Pty Ltd v BMW Australia Finance Ltd</w:t>
      </w:r>
      <w:r w:rsidRPr="00D01163">
        <w:rPr>
          <w:rFonts w:ascii="Times New Roman" w:hAnsi="Times New Roman"/>
          <w:iCs/>
          <w:sz w:val="24"/>
        </w:rPr>
        <w:t xml:space="preserve"> </w:t>
      </w:r>
      <w:r w:rsidRPr="00D01163">
        <w:rPr>
          <w:rFonts w:ascii="Times New Roman" w:hAnsi="Times New Roman"/>
          <w:sz w:val="24"/>
        </w:rPr>
        <w:t>(2010) 241 CLR 357 at 371 [23].</w:t>
      </w:r>
    </w:p>
  </w:footnote>
  <w:footnote w:id="143">
    <w:p w14:paraId="6630A88C" w14:textId="77777777" w:rsidR="00BB2DE8" w:rsidRPr="00D01163" w:rsidRDefault="00BB2DE8" w:rsidP="00D01163">
      <w:pPr>
        <w:pStyle w:val="FootnoteText"/>
        <w:spacing w:line="280" w:lineRule="exact"/>
        <w:ind w:right="0"/>
        <w:jc w:val="both"/>
        <w:rPr>
          <w:rFonts w:ascii="Times New Roman" w:hAnsi="Times New Roman"/>
          <w:sz w:val="24"/>
        </w:rPr>
      </w:pPr>
      <w:r w:rsidRPr="00D01163">
        <w:rPr>
          <w:rStyle w:val="FootnoteReference"/>
          <w:rFonts w:ascii="Times New Roman" w:hAnsi="Times New Roman"/>
          <w:sz w:val="22"/>
          <w:vertAlign w:val="baseline"/>
        </w:rPr>
        <w:footnoteRef/>
      </w:r>
      <w:r w:rsidRPr="00D01163">
        <w:rPr>
          <w:rFonts w:ascii="Times New Roman" w:hAnsi="Times New Roman"/>
          <w:sz w:val="24"/>
        </w:rPr>
        <w:t xml:space="preserve"> </w:t>
      </w:r>
      <w:r w:rsidRPr="00D01163">
        <w:rPr>
          <w:rFonts w:ascii="Times New Roman" w:hAnsi="Times New Roman"/>
          <w:sz w:val="24"/>
        </w:rPr>
        <w:tab/>
      </w:r>
      <w:r w:rsidRPr="00D01163">
        <w:rPr>
          <w:rFonts w:ascii="Times New Roman" w:hAnsi="Times New Roman"/>
          <w:i/>
          <w:sz w:val="24"/>
        </w:rPr>
        <w:t>H Lundbeck A/S v Sandoz Pty Ltd</w:t>
      </w:r>
      <w:r w:rsidRPr="00D01163">
        <w:rPr>
          <w:rFonts w:ascii="Times New Roman" w:hAnsi="Times New Roman"/>
          <w:sz w:val="24"/>
        </w:rPr>
        <w:t xml:space="preserve"> (2018) 137 IPR 408 at 483 [290]</w:t>
      </w:r>
      <w:r w:rsidRPr="00D01163">
        <w:rPr>
          <w:rFonts w:ascii="Times New Roman" w:hAnsi="Times New Roman"/>
          <w:sz w:val="24"/>
        </w:rPr>
        <w:noBreakHyphen/>
        <w:t>[291].</w:t>
      </w:r>
    </w:p>
  </w:footnote>
  <w:footnote w:id="144">
    <w:p w14:paraId="73BEE563" w14:textId="77777777" w:rsidR="00BB2DE8" w:rsidRPr="00D01163" w:rsidRDefault="00BB2DE8" w:rsidP="00D01163">
      <w:pPr>
        <w:pStyle w:val="FootnoteText"/>
        <w:spacing w:line="280" w:lineRule="exact"/>
        <w:ind w:right="0"/>
        <w:jc w:val="both"/>
        <w:rPr>
          <w:rFonts w:ascii="Times New Roman" w:hAnsi="Times New Roman"/>
          <w:sz w:val="24"/>
        </w:rPr>
      </w:pPr>
      <w:r w:rsidRPr="00D01163">
        <w:rPr>
          <w:rStyle w:val="FootnoteReference"/>
          <w:rFonts w:ascii="Times New Roman" w:hAnsi="Times New Roman"/>
          <w:sz w:val="22"/>
          <w:vertAlign w:val="baseline"/>
        </w:rPr>
        <w:footnoteRef/>
      </w:r>
      <w:r w:rsidRPr="00D01163">
        <w:rPr>
          <w:rFonts w:ascii="Times New Roman" w:hAnsi="Times New Roman"/>
          <w:sz w:val="24"/>
        </w:rPr>
        <w:t xml:space="preserve"> </w:t>
      </w:r>
      <w:r w:rsidRPr="00D01163">
        <w:rPr>
          <w:rFonts w:ascii="Times New Roman" w:hAnsi="Times New Roman"/>
          <w:sz w:val="24"/>
        </w:rPr>
        <w:tab/>
        <w:t xml:space="preserve">See, eg, </w:t>
      </w:r>
      <w:r w:rsidRPr="00D01163">
        <w:rPr>
          <w:rFonts w:ascii="Times New Roman" w:hAnsi="Times New Roman"/>
          <w:i/>
          <w:iCs/>
          <w:sz w:val="24"/>
        </w:rPr>
        <w:t xml:space="preserve">Sanofi-Aventis Australia Pty Ltd v Apotex Pty Ltd </w:t>
      </w:r>
      <w:r w:rsidRPr="00D01163">
        <w:rPr>
          <w:rFonts w:ascii="Times New Roman" w:hAnsi="Times New Roman"/>
          <w:i/>
          <w:sz w:val="24"/>
        </w:rPr>
        <w:t xml:space="preserve">[No 3] </w:t>
      </w:r>
      <w:r w:rsidRPr="00D01163">
        <w:rPr>
          <w:rFonts w:ascii="Times New Roman" w:hAnsi="Times New Roman"/>
          <w:sz w:val="24"/>
        </w:rPr>
        <w:t>(2011) 196 FCR 1 at 81 [276], 83 [281].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0B122" w14:textId="77777777" w:rsidR="00091C8C" w:rsidRPr="000F7375" w:rsidRDefault="00091C8C" w:rsidP="000F73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5A05A" w14:textId="3285C4BA" w:rsidR="00091C8C" w:rsidRPr="000F7375" w:rsidRDefault="000F7375" w:rsidP="000F7375">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sidR="003A1A7B">
      <w:rPr>
        <w:rFonts w:ascii="Times New Roman" w:hAnsi="Times New Roman"/>
        <w:noProof/>
        <w:sz w:val="22"/>
      </w:rPr>
      <w:instrText>5</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sidR="003A1A7B">
      <w:rPr>
        <w:rFonts w:ascii="Times New Roman" w:hAnsi="Times New Roman"/>
        <w:noProof/>
        <w:sz w:val="22"/>
      </w:rPr>
      <w:t>3</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959BF" w14:textId="7C4FD0D5" w:rsidR="00DD3BBB" w:rsidRPr="000F7375" w:rsidRDefault="00DD3BBB" w:rsidP="000F737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7FE13" w14:textId="77777777" w:rsidR="000F7375" w:rsidRPr="00091C8C" w:rsidRDefault="000F7375" w:rsidP="00091C8C">
    <w:pPr>
      <w:pStyle w:val="Header"/>
      <w:tabs>
        <w:tab w:val="clear" w:pos="4153"/>
        <w:tab w:val="clear" w:pos="8306"/>
        <w:tab w:val="right" w:pos="1304"/>
      </w:tabs>
      <w:spacing w:line="280" w:lineRule="exact"/>
      <w:ind w:firstLine="0"/>
      <w:rPr>
        <w:rFonts w:ascii="Times New Roman" w:hAnsi="Times New Roman"/>
        <w:i/>
        <w:sz w:val="22"/>
      </w:rPr>
    </w:pPr>
    <w:r w:rsidRPr="00091C8C">
      <w:rPr>
        <w:rFonts w:ascii="Times New Roman" w:hAnsi="Times New Roman"/>
        <w:i/>
        <w:sz w:val="22"/>
      </w:rPr>
      <w:t>Kiefel</w:t>
    </w:r>
    <w:r w:rsidRPr="00091C8C">
      <w:rPr>
        <w:rFonts w:ascii="Times New Roman" w:hAnsi="Times New Roman"/>
        <w:i/>
        <w:sz w:val="22"/>
      </w:rPr>
      <w:tab/>
      <w:t>CJ</w:t>
    </w:r>
  </w:p>
  <w:p w14:paraId="39BAEEA1" w14:textId="77777777" w:rsidR="000F7375" w:rsidRPr="00091C8C" w:rsidRDefault="000F7375" w:rsidP="00091C8C">
    <w:pPr>
      <w:pStyle w:val="Header"/>
      <w:tabs>
        <w:tab w:val="clear" w:pos="4153"/>
        <w:tab w:val="clear" w:pos="8306"/>
        <w:tab w:val="right" w:pos="1304"/>
      </w:tabs>
      <w:spacing w:line="280" w:lineRule="exact"/>
      <w:ind w:firstLine="0"/>
      <w:rPr>
        <w:rFonts w:ascii="Times New Roman" w:hAnsi="Times New Roman"/>
        <w:i/>
        <w:sz w:val="22"/>
      </w:rPr>
    </w:pPr>
    <w:r w:rsidRPr="00091C8C">
      <w:rPr>
        <w:rFonts w:ascii="Times New Roman" w:hAnsi="Times New Roman"/>
        <w:i/>
        <w:sz w:val="22"/>
      </w:rPr>
      <w:t>Gageler</w:t>
    </w:r>
    <w:r w:rsidRPr="00091C8C">
      <w:rPr>
        <w:rFonts w:ascii="Times New Roman" w:hAnsi="Times New Roman"/>
        <w:i/>
        <w:sz w:val="22"/>
      </w:rPr>
      <w:tab/>
      <w:t>J</w:t>
    </w:r>
  </w:p>
  <w:p w14:paraId="53615F9E" w14:textId="77777777" w:rsidR="000F7375" w:rsidRPr="00091C8C" w:rsidRDefault="000F7375" w:rsidP="00091C8C">
    <w:pPr>
      <w:pStyle w:val="Header"/>
      <w:tabs>
        <w:tab w:val="clear" w:pos="4153"/>
        <w:tab w:val="clear" w:pos="8306"/>
        <w:tab w:val="right" w:pos="1304"/>
      </w:tabs>
      <w:spacing w:line="280" w:lineRule="exact"/>
      <w:ind w:firstLine="0"/>
      <w:rPr>
        <w:rFonts w:ascii="Times New Roman" w:hAnsi="Times New Roman"/>
        <w:i/>
        <w:sz w:val="22"/>
      </w:rPr>
    </w:pPr>
    <w:r w:rsidRPr="00091C8C">
      <w:rPr>
        <w:rFonts w:ascii="Times New Roman" w:hAnsi="Times New Roman"/>
        <w:i/>
        <w:sz w:val="22"/>
      </w:rPr>
      <w:t>Steward</w:t>
    </w:r>
    <w:r w:rsidRPr="00091C8C">
      <w:rPr>
        <w:rFonts w:ascii="Times New Roman" w:hAnsi="Times New Roman"/>
        <w:i/>
        <w:sz w:val="22"/>
      </w:rPr>
      <w:tab/>
      <w:t>J</w:t>
    </w:r>
  </w:p>
  <w:p w14:paraId="599E1507" w14:textId="77777777" w:rsidR="000F7375" w:rsidRDefault="000F7375" w:rsidP="00091C8C">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Gleeson</w:t>
    </w:r>
    <w:r>
      <w:rPr>
        <w:rFonts w:ascii="Times New Roman" w:hAnsi="Times New Roman"/>
        <w:i/>
        <w:sz w:val="22"/>
      </w:rPr>
      <w:tab/>
      <w:t>J</w:t>
    </w:r>
  </w:p>
  <w:p w14:paraId="20998536" w14:textId="77777777" w:rsidR="000F7375" w:rsidRDefault="000F7375" w:rsidP="00091C8C">
    <w:pPr>
      <w:pStyle w:val="Header"/>
      <w:tabs>
        <w:tab w:val="clear" w:pos="4153"/>
        <w:tab w:val="clear" w:pos="8306"/>
        <w:tab w:val="right" w:pos="1304"/>
      </w:tabs>
      <w:spacing w:line="280" w:lineRule="exact"/>
      <w:ind w:firstLine="0"/>
      <w:rPr>
        <w:rFonts w:ascii="Times New Roman" w:hAnsi="Times New Roman"/>
        <w:i/>
        <w:sz w:val="22"/>
      </w:rPr>
    </w:pPr>
  </w:p>
  <w:p w14:paraId="3C983006" w14:textId="77777777" w:rsidR="000F7375" w:rsidRDefault="000F7375" w:rsidP="00091C8C">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357733FE" w14:textId="77777777" w:rsidR="000F7375" w:rsidRPr="00091C8C" w:rsidRDefault="000F7375" w:rsidP="00091C8C">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C1451" w14:textId="77777777" w:rsidR="000F7375" w:rsidRPr="00091C8C" w:rsidRDefault="000F7375" w:rsidP="00091C8C">
    <w:pPr>
      <w:pStyle w:val="Header"/>
      <w:tabs>
        <w:tab w:val="clear" w:pos="4153"/>
        <w:tab w:val="clear" w:pos="8306"/>
        <w:tab w:val="left" w:pos="7200"/>
        <w:tab w:val="right" w:pos="8504"/>
      </w:tabs>
      <w:spacing w:line="280" w:lineRule="exact"/>
      <w:jc w:val="right"/>
      <w:rPr>
        <w:rFonts w:ascii="Times New Roman" w:hAnsi="Times New Roman"/>
        <w:i/>
        <w:sz w:val="22"/>
      </w:rPr>
    </w:pPr>
    <w:r w:rsidRPr="00091C8C">
      <w:rPr>
        <w:rFonts w:ascii="Times New Roman" w:hAnsi="Times New Roman"/>
        <w:i/>
        <w:sz w:val="22"/>
      </w:rPr>
      <w:tab/>
      <w:t>Kiefel</w:t>
    </w:r>
    <w:r w:rsidRPr="00091C8C">
      <w:rPr>
        <w:rFonts w:ascii="Times New Roman" w:hAnsi="Times New Roman"/>
        <w:i/>
        <w:sz w:val="22"/>
      </w:rPr>
      <w:tab/>
      <w:t>CJ</w:t>
    </w:r>
  </w:p>
  <w:p w14:paraId="20B4294A" w14:textId="77777777" w:rsidR="000F7375" w:rsidRPr="00091C8C" w:rsidRDefault="000F7375" w:rsidP="00091C8C">
    <w:pPr>
      <w:pStyle w:val="Header"/>
      <w:tabs>
        <w:tab w:val="clear" w:pos="4153"/>
        <w:tab w:val="clear" w:pos="8306"/>
        <w:tab w:val="left" w:pos="7200"/>
        <w:tab w:val="right" w:pos="8504"/>
      </w:tabs>
      <w:spacing w:line="280" w:lineRule="exact"/>
      <w:jc w:val="right"/>
      <w:rPr>
        <w:rFonts w:ascii="Times New Roman" w:hAnsi="Times New Roman"/>
        <w:i/>
        <w:sz w:val="22"/>
      </w:rPr>
    </w:pPr>
    <w:r w:rsidRPr="00091C8C">
      <w:rPr>
        <w:rFonts w:ascii="Times New Roman" w:hAnsi="Times New Roman"/>
        <w:i/>
        <w:sz w:val="22"/>
      </w:rPr>
      <w:tab/>
      <w:t>Gageler</w:t>
    </w:r>
    <w:r w:rsidRPr="00091C8C">
      <w:rPr>
        <w:rFonts w:ascii="Times New Roman" w:hAnsi="Times New Roman"/>
        <w:i/>
        <w:sz w:val="22"/>
      </w:rPr>
      <w:tab/>
      <w:t>J</w:t>
    </w:r>
  </w:p>
  <w:p w14:paraId="3AA0C8C3" w14:textId="77777777" w:rsidR="000F7375" w:rsidRPr="00091C8C" w:rsidRDefault="000F7375" w:rsidP="00091C8C">
    <w:pPr>
      <w:pStyle w:val="Header"/>
      <w:tabs>
        <w:tab w:val="clear" w:pos="4153"/>
        <w:tab w:val="clear" w:pos="8306"/>
        <w:tab w:val="left" w:pos="7200"/>
        <w:tab w:val="right" w:pos="8504"/>
      </w:tabs>
      <w:spacing w:line="280" w:lineRule="exact"/>
      <w:jc w:val="right"/>
      <w:rPr>
        <w:rFonts w:ascii="Times New Roman" w:hAnsi="Times New Roman"/>
        <w:i/>
        <w:sz w:val="22"/>
      </w:rPr>
    </w:pPr>
    <w:r w:rsidRPr="00091C8C">
      <w:rPr>
        <w:rFonts w:ascii="Times New Roman" w:hAnsi="Times New Roman"/>
        <w:i/>
        <w:sz w:val="22"/>
      </w:rPr>
      <w:tab/>
      <w:t>Steward</w:t>
    </w:r>
    <w:r w:rsidRPr="00091C8C">
      <w:rPr>
        <w:rFonts w:ascii="Times New Roman" w:hAnsi="Times New Roman"/>
        <w:i/>
        <w:sz w:val="22"/>
      </w:rPr>
      <w:tab/>
      <w:t>J</w:t>
    </w:r>
  </w:p>
  <w:p w14:paraId="4542A241" w14:textId="77777777" w:rsidR="000F7375" w:rsidRDefault="000F7375" w:rsidP="00091C8C">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Gleeson</w:t>
    </w:r>
    <w:r>
      <w:rPr>
        <w:rFonts w:ascii="Times New Roman" w:hAnsi="Times New Roman"/>
        <w:i/>
        <w:sz w:val="22"/>
      </w:rPr>
      <w:tab/>
      <w:t>J</w:t>
    </w:r>
  </w:p>
  <w:p w14:paraId="2857610B" w14:textId="77777777" w:rsidR="000F7375" w:rsidRDefault="000F7375" w:rsidP="00091C8C">
    <w:pPr>
      <w:pStyle w:val="Header"/>
      <w:tabs>
        <w:tab w:val="clear" w:pos="4153"/>
        <w:tab w:val="clear" w:pos="8306"/>
        <w:tab w:val="left" w:pos="7200"/>
        <w:tab w:val="right" w:pos="8504"/>
      </w:tabs>
      <w:spacing w:line="280" w:lineRule="exact"/>
      <w:jc w:val="right"/>
      <w:rPr>
        <w:rFonts w:ascii="Times New Roman" w:hAnsi="Times New Roman"/>
        <w:i/>
        <w:sz w:val="22"/>
      </w:rPr>
    </w:pPr>
  </w:p>
  <w:p w14:paraId="3B32BD23" w14:textId="77777777" w:rsidR="000F7375" w:rsidRDefault="000F7375" w:rsidP="00091C8C">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248EAEE6" w14:textId="77777777" w:rsidR="000F7375" w:rsidRPr="00091C8C" w:rsidRDefault="000F7375" w:rsidP="00091C8C">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F44A3" w14:textId="77777777" w:rsidR="000F7375" w:rsidRDefault="000F7375" w:rsidP="00091C8C">
    <w:pPr>
      <w:pStyle w:val="Header"/>
      <w:tabs>
        <w:tab w:val="clear" w:pos="4153"/>
        <w:tab w:val="clear" w:pos="8306"/>
        <w:tab w:val="center" w:pos="1134"/>
      </w:tabs>
      <w:spacing w:line="280" w:lineRule="exact"/>
      <w:ind w:firstLine="0"/>
      <w:rPr>
        <w:rFonts w:ascii="Times New Roman" w:hAnsi="Times New Roman"/>
        <w:i/>
        <w:sz w:val="22"/>
      </w:rPr>
    </w:pPr>
  </w:p>
  <w:p w14:paraId="2A48E58D" w14:textId="77777777" w:rsidR="000F7375" w:rsidRDefault="000F7375" w:rsidP="00091C8C">
    <w:pPr>
      <w:pStyle w:val="Header"/>
      <w:tabs>
        <w:tab w:val="clear" w:pos="4153"/>
        <w:tab w:val="clear" w:pos="8306"/>
        <w:tab w:val="center" w:pos="1134"/>
      </w:tabs>
      <w:spacing w:line="280" w:lineRule="exact"/>
      <w:ind w:firstLine="0"/>
      <w:rPr>
        <w:rFonts w:ascii="Times New Roman" w:hAnsi="Times New Roman"/>
        <w:i/>
        <w:sz w:val="22"/>
      </w:rPr>
    </w:pPr>
  </w:p>
  <w:p w14:paraId="499B1EE0" w14:textId="77777777" w:rsidR="000F7375" w:rsidRDefault="000F7375" w:rsidP="00091C8C">
    <w:pPr>
      <w:pStyle w:val="Header"/>
      <w:tabs>
        <w:tab w:val="clear" w:pos="4153"/>
        <w:tab w:val="clear" w:pos="8306"/>
        <w:tab w:val="center" w:pos="1134"/>
      </w:tabs>
      <w:spacing w:line="280" w:lineRule="exact"/>
      <w:ind w:firstLine="0"/>
      <w:rPr>
        <w:rFonts w:ascii="Times New Roman" w:hAnsi="Times New Roman"/>
        <w:i/>
        <w:sz w:val="22"/>
      </w:rPr>
    </w:pPr>
  </w:p>
  <w:p w14:paraId="5EFC4A3E" w14:textId="77777777" w:rsidR="000F7375" w:rsidRDefault="000F7375" w:rsidP="00091C8C">
    <w:pPr>
      <w:pStyle w:val="Header"/>
      <w:tabs>
        <w:tab w:val="clear" w:pos="4153"/>
        <w:tab w:val="clear" w:pos="8306"/>
        <w:tab w:val="center" w:pos="1134"/>
      </w:tabs>
      <w:spacing w:line="280" w:lineRule="exact"/>
      <w:ind w:firstLine="0"/>
      <w:rPr>
        <w:rFonts w:ascii="Times New Roman" w:hAnsi="Times New Roman"/>
        <w:i/>
        <w:sz w:val="22"/>
      </w:rPr>
    </w:pPr>
  </w:p>
  <w:p w14:paraId="0FB928AF" w14:textId="77777777" w:rsidR="000F7375" w:rsidRDefault="000F7375" w:rsidP="00091C8C">
    <w:pPr>
      <w:pStyle w:val="Header"/>
      <w:tabs>
        <w:tab w:val="clear" w:pos="4153"/>
        <w:tab w:val="clear" w:pos="8306"/>
        <w:tab w:val="center" w:pos="1134"/>
      </w:tabs>
      <w:spacing w:line="280" w:lineRule="exact"/>
      <w:ind w:firstLine="0"/>
      <w:rPr>
        <w:rFonts w:ascii="Times New Roman" w:hAnsi="Times New Roman"/>
        <w:i/>
        <w:sz w:val="22"/>
      </w:rPr>
    </w:pPr>
  </w:p>
  <w:p w14:paraId="4D5A743A" w14:textId="77777777" w:rsidR="000F7375" w:rsidRDefault="000F7375" w:rsidP="00091C8C">
    <w:pPr>
      <w:pStyle w:val="Header"/>
      <w:tabs>
        <w:tab w:val="clear" w:pos="4153"/>
        <w:tab w:val="clear" w:pos="8306"/>
        <w:tab w:val="center" w:pos="1134"/>
      </w:tabs>
      <w:spacing w:line="280" w:lineRule="exact"/>
      <w:ind w:firstLine="0"/>
      <w:rPr>
        <w:rFonts w:ascii="Times New Roman" w:hAnsi="Times New Roman"/>
        <w:i/>
        <w:sz w:val="22"/>
      </w:rPr>
    </w:pPr>
  </w:p>
  <w:p w14:paraId="2229A6D2" w14:textId="77777777" w:rsidR="000F7375" w:rsidRPr="00091C8C" w:rsidRDefault="000F7375" w:rsidP="00091C8C">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301B2" w14:textId="77777777" w:rsidR="00D01163" w:rsidRDefault="00E40FAA" w:rsidP="00D01163">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Edelman</w:t>
    </w:r>
    <w:r>
      <w:rPr>
        <w:rFonts w:ascii="Times New Roman" w:hAnsi="Times New Roman"/>
        <w:i/>
        <w:sz w:val="22"/>
      </w:rPr>
      <w:tab/>
      <w:t>J</w:t>
    </w:r>
  </w:p>
  <w:p w14:paraId="4014F7E2" w14:textId="77777777" w:rsidR="00D01163" w:rsidRDefault="00F85929" w:rsidP="00D01163">
    <w:pPr>
      <w:pStyle w:val="Header"/>
      <w:tabs>
        <w:tab w:val="clear" w:pos="4153"/>
        <w:tab w:val="clear" w:pos="8306"/>
        <w:tab w:val="right" w:pos="1304"/>
      </w:tabs>
      <w:spacing w:line="280" w:lineRule="exact"/>
      <w:ind w:firstLine="0"/>
      <w:rPr>
        <w:rFonts w:ascii="Times New Roman" w:hAnsi="Times New Roman"/>
        <w:i/>
        <w:sz w:val="22"/>
      </w:rPr>
    </w:pPr>
  </w:p>
  <w:p w14:paraId="7F767A6E" w14:textId="77777777" w:rsidR="00D01163" w:rsidRDefault="00E40FAA" w:rsidP="00D01163">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p w14:paraId="7F43CC49" w14:textId="77777777" w:rsidR="00D01163" w:rsidRPr="00D01163" w:rsidRDefault="00F85929" w:rsidP="00D01163">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1D667" w14:textId="77777777" w:rsidR="00D01163" w:rsidRDefault="00E40FAA" w:rsidP="00D01163">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Edelman</w:t>
    </w:r>
    <w:r>
      <w:rPr>
        <w:rFonts w:ascii="Times New Roman" w:hAnsi="Times New Roman"/>
        <w:i/>
        <w:sz w:val="22"/>
      </w:rPr>
      <w:tab/>
      <w:t>J</w:t>
    </w:r>
  </w:p>
  <w:p w14:paraId="3A4AF101" w14:textId="77777777" w:rsidR="00D01163" w:rsidRDefault="00F85929" w:rsidP="00D01163">
    <w:pPr>
      <w:pStyle w:val="Header"/>
      <w:tabs>
        <w:tab w:val="clear" w:pos="4153"/>
        <w:tab w:val="clear" w:pos="8306"/>
        <w:tab w:val="left" w:pos="7200"/>
        <w:tab w:val="right" w:pos="8504"/>
      </w:tabs>
      <w:spacing w:line="280" w:lineRule="exact"/>
      <w:jc w:val="right"/>
      <w:rPr>
        <w:rFonts w:ascii="Times New Roman" w:hAnsi="Times New Roman"/>
        <w:i/>
        <w:sz w:val="22"/>
      </w:rPr>
    </w:pPr>
  </w:p>
  <w:p w14:paraId="680C870E" w14:textId="77777777" w:rsidR="00D01163" w:rsidRDefault="00E40FAA" w:rsidP="00D01163">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p w14:paraId="43A6202B" w14:textId="77777777" w:rsidR="00D01163" w:rsidRPr="00D01163" w:rsidRDefault="00F85929" w:rsidP="00D01163">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BD4DF" w14:textId="77777777" w:rsidR="00D01163" w:rsidRDefault="00F85929" w:rsidP="00D01163">
    <w:pPr>
      <w:pStyle w:val="Header"/>
      <w:tabs>
        <w:tab w:val="clear" w:pos="4153"/>
        <w:tab w:val="clear" w:pos="8306"/>
        <w:tab w:val="center" w:pos="1134"/>
      </w:tabs>
      <w:spacing w:line="280" w:lineRule="exact"/>
      <w:ind w:firstLine="0"/>
      <w:rPr>
        <w:rFonts w:ascii="Times New Roman" w:hAnsi="Times New Roman"/>
        <w:i/>
        <w:sz w:val="22"/>
      </w:rPr>
    </w:pPr>
  </w:p>
  <w:p w14:paraId="0DB226E9" w14:textId="77777777" w:rsidR="00D01163" w:rsidRDefault="00F85929" w:rsidP="00D01163">
    <w:pPr>
      <w:pStyle w:val="Header"/>
      <w:tabs>
        <w:tab w:val="clear" w:pos="4153"/>
        <w:tab w:val="clear" w:pos="8306"/>
        <w:tab w:val="center" w:pos="1134"/>
      </w:tabs>
      <w:spacing w:line="280" w:lineRule="exact"/>
      <w:ind w:firstLine="0"/>
      <w:rPr>
        <w:rFonts w:ascii="Times New Roman" w:hAnsi="Times New Roman"/>
        <w:i/>
        <w:sz w:val="22"/>
      </w:rPr>
    </w:pPr>
  </w:p>
  <w:p w14:paraId="068B7F75" w14:textId="77777777" w:rsidR="00D01163" w:rsidRDefault="00F85929" w:rsidP="00D01163">
    <w:pPr>
      <w:pStyle w:val="Header"/>
      <w:tabs>
        <w:tab w:val="clear" w:pos="4153"/>
        <w:tab w:val="clear" w:pos="8306"/>
        <w:tab w:val="center" w:pos="1134"/>
      </w:tabs>
      <w:spacing w:line="280" w:lineRule="exact"/>
      <w:ind w:firstLine="0"/>
      <w:rPr>
        <w:rFonts w:ascii="Times New Roman" w:hAnsi="Times New Roman"/>
        <w:i/>
        <w:sz w:val="22"/>
      </w:rPr>
    </w:pPr>
  </w:p>
  <w:p w14:paraId="30A55192" w14:textId="77777777" w:rsidR="00BD235B" w:rsidRPr="00D01163" w:rsidRDefault="00F85929" w:rsidP="00D01163">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0CD21087"/>
    <w:multiLevelType w:val="hybridMultilevel"/>
    <w:tmpl w:val="830C001C"/>
    <w:lvl w:ilvl="0" w:tplc="84FC1CCA">
      <w:start w:val="1"/>
      <w:numFmt w:val="decimal"/>
      <w:pStyle w:val="Numberedpara"/>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6"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5"/>
  </w:num>
  <w:num w:numId="3">
    <w:abstractNumId w:val="18"/>
  </w:num>
  <w:num w:numId="4">
    <w:abstractNumId w:val="14"/>
  </w:num>
  <w:num w:numId="5">
    <w:abstractNumId w:val="17"/>
  </w:num>
  <w:num w:numId="6">
    <w:abstractNumId w:val="6"/>
  </w:num>
  <w:num w:numId="7">
    <w:abstractNumId w:val="9"/>
  </w:num>
  <w:num w:numId="8">
    <w:abstractNumId w:val="7"/>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 w:numId="17">
    <w:abstractNumId w:val="16"/>
  </w:num>
  <w:num w:numId="18">
    <w:abstractNumId w:val="11"/>
  </w:num>
  <w:num w:numId="19">
    <w:abstractNumId w:val="11"/>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ttachedTemplate r:id="rId1"/>
  <w:linkStyles/>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841"/>
    <w:rsid w:val="00000750"/>
    <w:rsid w:val="00000AB6"/>
    <w:rsid w:val="00000B03"/>
    <w:rsid w:val="00000C19"/>
    <w:rsid w:val="00000C47"/>
    <w:rsid w:val="00000C70"/>
    <w:rsid w:val="00000F57"/>
    <w:rsid w:val="00001DAB"/>
    <w:rsid w:val="00002069"/>
    <w:rsid w:val="000020D1"/>
    <w:rsid w:val="00002437"/>
    <w:rsid w:val="00002CE6"/>
    <w:rsid w:val="0000316A"/>
    <w:rsid w:val="00003305"/>
    <w:rsid w:val="000036B1"/>
    <w:rsid w:val="00003EDE"/>
    <w:rsid w:val="00004748"/>
    <w:rsid w:val="000049B7"/>
    <w:rsid w:val="00004AC8"/>
    <w:rsid w:val="00004DE3"/>
    <w:rsid w:val="00005143"/>
    <w:rsid w:val="0000657B"/>
    <w:rsid w:val="000066B4"/>
    <w:rsid w:val="00006D2F"/>
    <w:rsid w:val="00007E6E"/>
    <w:rsid w:val="00010933"/>
    <w:rsid w:val="00010C3A"/>
    <w:rsid w:val="0001148E"/>
    <w:rsid w:val="000119BD"/>
    <w:rsid w:val="000123DD"/>
    <w:rsid w:val="00012961"/>
    <w:rsid w:val="00012A8B"/>
    <w:rsid w:val="00012EA3"/>
    <w:rsid w:val="000134E5"/>
    <w:rsid w:val="00013521"/>
    <w:rsid w:val="000137A5"/>
    <w:rsid w:val="000138C7"/>
    <w:rsid w:val="00013AB6"/>
    <w:rsid w:val="0001423E"/>
    <w:rsid w:val="00014B34"/>
    <w:rsid w:val="000151A7"/>
    <w:rsid w:val="0001569D"/>
    <w:rsid w:val="000159F4"/>
    <w:rsid w:val="00015E36"/>
    <w:rsid w:val="00015F49"/>
    <w:rsid w:val="00015F72"/>
    <w:rsid w:val="00015FD9"/>
    <w:rsid w:val="000168C9"/>
    <w:rsid w:val="000169C1"/>
    <w:rsid w:val="00016C20"/>
    <w:rsid w:val="00016DBB"/>
    <w:rsid w:val="00016F7E"/>
    <w:rsid w:val="00017144"/>
    <w:rsid w:val="000175AB"/>
    <w:rsid w:val="000175E8"/>
    <w:rsid w:val="0002030E"/>
    <w:rsid w:val="000206C8"/>
    <w:rsid w:val="00020EC6"/>
    <w:rsid w:val="0002101D"/>
    <w:rsid w:val="000228D1"/>
    <w:rsid w:val="000233AD"/>
    <w:rsid w:val="000237CC"/>
    <w:rsid w:val="00023F9B"/>
    <w:rsid w:val="000243D8"/>
    <w:rsid w:val="00024A49"/>
    <w:rsid w:val="00024A82"/>
    <w:rsid w:val="00024CBE"/>
    <w:rsid w:val="000250AF"/>
    <w:rsid w:val="00025490"/>
    <w:rsid w:val="0002561E"/>
    <w:rsid w:val="000256C4"/>
    <w:rsid w:val="00026130"/>
    <w:rsid w:val="000268BA"/>
    <w:rsid w:val="000268E1"/>
    <w:rsid w:val="00026913"/>
    <w:rsid w:val="00027A32"/>
    <w:rsid w:val="0003061C"/>
    <w:rsid w:val="00030E7F"/>
    <w:rsid w:val="000311DA"/>
    <w:rsid w:val="00031541"/>
    <w:rsid w:val="00031BD7"/>
    <w:rsid w:val="00031DDB"/>
    <w:rsid w:val="000328BB"/>
    <w:rsid w:val="00032CC3"/>
    <w:rsid w:val="00032DE0"/>
    <w:rsid w:val="000339CF"/>
    <w:rsid w:val="00033C0E"/>
    <w:rsid w:val="00033CE7"/>
    <w:rsid w:val="00034D4F"/>
    <w:rsid w:val="0003575A"/>
    <w:rsid w:val="00035A7C"/>
    <w:rsid w:val="00035B74"/>
    <w:rsid w:val="0003606F"/>
    <w:rsid w:val="000360EB"/>
    <w:rsid w:val="00036418"/>
    <w:rsid w:val="00036B79"/>
    <w:rsid w:val="000371E8"/>
    <w:rsid w:val="00037498"/>
    <w:rsid w:val="00037A5F"/>
    <w:rsid w:val="00037B94"/>
    <w:rsid w:val="00037D87"/>
    <w:rsid w:val="00037EEF"/>
    <w:rsid w:val="000403DB"/>
    <w:rsid w:val="000405F0"/>
    <w:rsid w:val="00040DE7"/>
    <w:rsid w:val="000424C9"/>
    <w:rsid w:val="000424E3"/>
    <w:rsid w:val="000433A2"/>
    <w:rsid w:val="00043D2C"/>
    <w:rsid w:val="0004406A"/>
    <w:rsid w:val="0004453B"/>
    <w:rsid w:val="00044647"/>
    <w:rsid w:val="000456B3"/>
    <w:rsid w:val="00045B3E"/>
    <w:rsid w:val="0004630C"/>
    <w:rsid w:val="000466CB"/>
    <w:rsid w:val="00046812"/>
    <w:rsid w:val="00046E04"/>
    <w:rsid w:val="00047C0D"/>
    <w:rsid w:val="000505CF"/>
    <w:rsid w:val="000506B7"/>
    <w:rsid w:val="000522AB"/>
    <w:rsid w:val="0005279A"/>
    <w:rsid w:val="00052FA4"/>
    <w:rsid w:val="000534ED"/>
    <w:rsid w:val="000545BA"/>
    <w:rsid w:val="0005551D"/>
    <w:rsid w:val="00055610"/>
    <w:rsid w:val="00055ACD"/>
    <w:rsid w:val="000562DB"/>
    <w:rsid w:val="00056529"/>
    <w:rsid w:val="000568CF"/>
    <w:rsid w:val="00056F27"/>
    <w:rsid w:val="0005726E"/>
    <w:rsid w:val="000573AF"/>
    <w:rsid w:val="0005775A"/>
    <w:rsid w:val="00057859"/>
    <w:rsid w:val="00057928"/>
    <w:rsid w:val="00057A72"/>
    <w:rsid w:val="0006069F"/>
    <w:rsid w:val="00060C1F"/>
    <w:rsid w:val="00060DEA"/>
    <w:rsid w:val="00061033"/>
    <w:rsid w:val="0006169E"/>
    <w:rsid w:val="00061914"/>
    <w:rsid w:val="00061AE8"/>
    <w:rsid w:val="00061CE5"/>
    <w:rsid w:val="000624E0"/>
    <w:rsid w:val="000626FD"/>
    <w:rsid w:val="00062CEE"/>
    <w:rsid w:val="000632C4"/>
    <w:rsid w:val="0006365F"/>
    <w:rsid w:val="0006432B"/>
    <w:rsid w:val="0006495E"/>
    <w:rsid w:val="00064B8F"/>
    <w:rsid w:val="00065266"/>
    <w:rsid w:val="000653D4"/>
    <w:rsid w:val="0006590F"/>
    <w:rsid w:val="00065B8D"/>
    <w:rsid w:val="00065D1B"/>
    <w:rsid w:val="000665DF"/>
    <w:rsid w:val="00067B83"/>
    <w:rsid w:val="000702CF"/>
    <w:rsid w:val="00070425"/>
    <w:rsid w:val="00070562"/>
    <w:rsid w:val="00070B7B"/>
    <w:rsid w:val="0007129C"/>
    <w:rsid w:val="0007158B"/>
    <w:rsid w:val="00071C35"/>
    <w:rsid w:val="00071D5B"/>
    <w:rsid w:val="00071FE4"/>
    <w:rsid w:val="0007420F"/>
    <w:rsid w:val="00074220"/>
    <w:rsid w:val="00074321"/>
    <w:rsid w:val="00074511"/>
    <w:rsid w:val="00074A45"/>
    <w:rsid w:val="00074C27"/>
    <w:rsid w:val="00074CB1"/>
    <w:rsid w:val="00075222"/>
    <w:rsid w:val="0007568E"/>
    <w:rsid w:val="00075C05"/>
    <w:rsid w:val="00075F50"/>
    <w:rsid w:val="00076D43"/>
    <w:rsid w:val="00076E10"/>
    <w:rsid w:val="000774B4"/>
    <w:rsid w:val="00077641"/>
    <w:rsid w:val="00077732"/>
    <w:rsid w:val="00077F96"/>
    <w:rsid w:val="000808D8"/>
    <w:rsid w:val="00080D77"/>
    <w:rsid w:val="00080E15"/>
    <w:rsid w:val="00080EB5"/>
    <w:rsid w:val="00081647"/>
    <w:rsid w:val="00082DD4"/>
    <w:rsid w:val="00083C53"/>
    <w:rsid w:val="00083F3C"/>
    <w:rsid w:val="0008418F"/>
    <w:rsid w:val="0008435D"/>
    <w:rsid w:val="00084375"/>
    <w:rsid w:val="00085385"/>
    <w:rsid w:val="000853CF"/>
    <w:rsid w:val="00085400"/>
    <w:rsid w:val="0008558C"/>
    <w:rsid w:val="00085F13"/>
    <w:rsid w:val="00087469"/>
    <w:rsid w:val="000875E7"/>
    <w:rsid w:val="0008786E"/>
    <w:rsid w:val="00090663"/>
    <w:rsid w:val="00090AF2"/>
    <w:rsid w:val="00091A20"/>
    <w:rsid w:val="00091C8C"/>
    <w:rsid w:val="00091CBC"/>
    <w:rsid w:val="00092AC4"/>
    <w:rsid w:val="000937C6"/>
    <w:rsid w:val="000939F9"/>
    <w:rsid w:val="00093A74"/>
    <w:rsid w:val="000945A6"/>
    <w:rsid w:val="00096228"/>
    <w:rsid w:val="00096963"/>
    <w:rsid w:val="00096D0E"/>
    <w:rsid w:val="00097004"/>
    <w:rsid w:val="000A00F8"/>
    <w:rsid w:val="000A05B1"/>
    <w:rsid w:val="000A0996"/>
    <w:rsid w:val="000A1022"/>
    <w:rsid w:val="000A1449"/>
    <w:rsid w:val="000A2675"/>
    <w:rsid w:val="000A28D4"/>
    <w:rsid w:val="000A2A2A"/>
    <w:rsid w:val="000A2EB4"/>
    <w:rsid w:val="000A2FF7"/>
    <w:rsid w:val="000A322C"/>
    <w:rsid w:val="000A355F"/>
    <w:rsid w:val="000A3977"/>
    <w:rsid w:val="000A3DA3"/>
    <w:rsid w:val="000A3EA0"/>
    <w:rsid w:val="000A4EE8"/>
    <w:rsid w:val="000A5069"/>
    <w:rsid w:val="000A51B9"/>
    <w:rsid w:val="000A54E6"/>
    <w:rsid w:val="000A5B13"/>
    <w:rsid w:val="000A5E90"/>
    <w:rsid w:val="000A5EB7"/>
    <w:rsid w:val="000A5FCE"/>
    <w:rsid w:val="000A63C6"/>
    <w:rsid w:val="000A6451"/>
    <w:rsid w:val="000A7143"/>
    <w:rsid w:val="000B1A2A"/>
    <w:rsid w:val="000B1F17"/>
    <w:rsid w:val="000B20F7"/>
    <w:rsid w:val="000B2DB5"/>
    <w:rsid w:val="000B38D2"/>
    <w:rsid w:val="000B3E35"/>
    <w:rsid w:val="000B4630"/>
    <w:rsid w:val="000B497F"/>
    <w:rsid w:val="000B5BA6"/>
    <w:rsid w:val="000B61A0"/>
    <w:rsid w:val="000B6397"/>
    <w:rsid w:val="000B63E4"/>
    <w:rsid w:val="000B68A8"/>
    <w:rsid w:val="000B6B8A"/>
    <w:rsid w:val="000B70B3"/>
    <w:rsid w:val="000B710D"/>
    <w:rsid w:val="000B751E"/>
    <w:rsid w:val="000B7558"/>
    <w:rsid w:val="000B7841"/>
    <w:rsid w:val="000C04DC"/>
    <w:rsid w:val="000C08BA"/>
    <w:rsid w:val="000C0C84"/>
    <w:rsid w:val="000C0D98"/>
    <w:rsid w:val="000C1683"/>
    <w:rsid w:val="000C1890"/>
    <w:rsid w:val="000C1BC2"/>
    <w:rsid w:val="000C2C9C"/>
    <w:rsid w:val="000C2E1E"/>
    <w:rsid w:val="000C30DC"/>
    <w:rsid w:val="000C3579"/>
    <w:rsid w:val="000C4D4D"/>
    <w:rsid w:val="000C55DC"/>
    <w:rsid w:val="000C63AF"/>
    <w:rsid w:val="000C72E0"/>
    <w:rsid w:val="000C735B"/>
    <w:rsid w:val="000C7A11"/>
    <w:rsid w:val="000C7C31"/>
    <w:rsid w:val="000C7F49"/>
    <w:rsid w:val="000D062D"/>
    <w:rsid w:val="000D09EA"/>
    <w:rsid w:val="000D0E61"/>
    <w:rsid w:val="000D0E62"/>
    <w:rsid w:val="000D15F4"/>
    <w:rsid w:val="000D25E6"/>
    <w:rsid w:val="000D27FF"/>
    <w:rsid w:val="000D3081"/>
    <w:rsid w:val="000D33A4"/>
    <w:rsid w:val="000D3C4C"/>
    <w:rsid w:val="000D3ED1"/>
    <w:rsid w:val="000D4378"/>
    <w:rsid w:val="000D440E"/>
    <w:rsid w:val="000D4918"/>
    <w:rsid w:val="000D5309"/>
    <w:rsid w:val="000D5AEB"/>
    <w:rsid w:val="000D5BB6"/>
    <w:rsid w:val="000D604A"/>
    <w:rsid w:val="000D647A"/>
    <w:rsid w:val="000D6970"/>
    <w:rsid w:val="000D71D6"/>
    <w:rsid w:val="000D7699"/>
    <w:rsid w:val="000E05BA"/>
    <w:rsid w:val="000E0647"/>
    <w:rsid w:val="000E0C20"/>
    <w:rsid w:val="000E10B9"/>
    <w:rsid w:val="000E10E0"/>
    <w:rsid w:val="000E16F2"/>
    <w:rsid w:val="000E1E5D"/>
    <w:rsid w:val="000E27F2"/>
    <w:rsid w:val="000E2A62"/>
    <w:rsid w:val="000E2B2B"/>
    <w:rsid w:val="000E2E63"/>
    <w:rsid w:val="000E3AD7"/>
    <w:rsid w:val="000E3C2D"/>
    <w:rsid w:val="000E4979"/>
    <w:rsid w:val="000E5CC4"/>
    <w:rsid w:val="000E5D8F"/>
    <w:rsid w:val="000E61C6"/>
    <w:rsid w:val="000E64FE"/>
    <w:rsid w:val="000E65F7"/>
    <w:rsid w:val="000E6648"/>
    <w:rsid w:val="000E6CB9"/>
    <w:rsid w:val="000F022F"/>
    <w:rsid w:val="000F1345"/>
    <w:rsid w:val="000F171E"/>
    <w:rsid w:val="000F267A"/>
    <w:rsid w:val="000F2994"/>
    <w:rsid w:val="000F3316"/>
    <w:rsid w:val="000F3591"/>
    <w:rsid w:val="000F3746"/>
    <w:rsid w:val="000F3D8E"/>
    <w:rsid w:val="000F3F7C"/>
    <w:rsid w:val="000F4462"/>
    <w:rsid w:val="000F4591"/>
    <w:rsid w:val="000F6420"/>
    <w:rsid w:val="000F7375"/>
    <w:rsid w:val="000F75B7"/>
    <w:rsid w:val="000F7AE8"/>
    <w:rsid w:val="000F7DCD"/>
    <w:rsid w:val="000F7E9B"/>
    <w:rsid w:val="0010013B"/>
    <w:rsid w:val="001001B9"/>
    <w:rsid w:val="00100231"/>
    <w:rsid w:val="00100264"/>
    <w:rsid w:val="00100466"/>
    <w:rsid w:val="001006FD"/>
    <w:rsid w:val="001010C4"/>
    <w:rsid w:val="00102254"/>
    <w:rsid w:val="00102835"/>
    <w:rsid w:val="00103DAE"/>
    <w:rsid w:val="00105015"/>
    <w:rsid w:val="0010521C"/>
    <w:rsid w:val="001052EF"/>
    <w:rsid w:val="0010610A"/>
    <w:rsid w:val="00106A7B"/>
    <w:rsid w:val="0010702C"/>
    <w:rsid w:val="001077D9"/>
    <w:rsid w:val="00110970"/>
    <w:rsid w:val="00110DC3"/>
    <w:rsid w:val="00111568"/>
    <w:rsid w:val="001120C0"/>
    <w:rsid w:val="00112696"/>
    <w:rsid w:val="00112703"/>
    <w:rsid w:val="001128B2"/>
    <w:rsid w:val="00113397"/>
    <w:rsid w:val="00113E0B"/>
    <w:rsid w:val="00113EAE"/>
    <w:rsid w:val="00114D31"/>
    <w:rsid w:val="001150BF"/>
    <w:rsid w:val="00115EB0"/>
    <w:rsid w:val="00116119"/>
    <w:rsid w:val="001166A8"/>
    <w:rsid w:val="001166FA"/>
    <w:rsid w:val="001168F2"/>
    <w:rsid w:val="001174C8"/>
    <w:rsid w:val="00117A82"/>
    <w:rsid w:val="00117D34"/>
    <w:rsid w:val="00117F57"/>
    <w:rsid w:val="00120207"/>
    <w:rsid w:val="00120B14"/>
    <w:rsid w:val="001210B4"/>
    <w:rsid w:val="00121D8A"/>
    <w:rsid w:val="00122798"/>
    <w:rsid w:val="00122984"/>
    <w:rsid w:val="00122C64"/>
    <w:rsid w:val="00123C1B"/>
    <w:rsid w:val="00123F41"/>
    <w:rsid w:val="0012459A"/>
    <w:rsid w:val="00124A38"/>
    <w:rsid w:val="001251B5"/>
    <w:rsid w:val="001252A6"/>
    <w:rsid w:val="00125733"/>
    <w:rsid w:val="00125E3C"/>
    <w:rsid w:val="00126A99"/>
    <w:rsid w:val="00127228"/>
    <w:rsid w:val="00127B46"/>
    <w:rsid w:val="00127C1A"/>
    <w:rsid w:val="0013009E"/>
    <w:rsid w:val="00130203"/>
    <w:rsid w:val="00130749"/>
    <w:rsid w:val="001312D0"/>
    <w:rsid w:val="001315C0"/>
    <w:rsid w:val="00131640"/>
    <w:rsid w:val="00131AA0"/>
    <w:rsid w:val="0013236D"/>
    <w:rsid w:val="00132800"/>
    <w:rsid w:val="00132A17"/>
    <w:rsid w:val="00133CE8"/>
    <w:rsid w:val="00133E7E"/>
    <w:rsid w:val="0013456F"/>
    <w:rsid w:val="00134D1D"/>
    <w:rsid w:val="00135652"/>
    <w:rsid w:val="001360A3"/>
    <w:rsid w:val="0013624B"/>
    <w:rsid w:val="00136A59"/>
    <w:rsid w:val="00137A52"/>
    <w:rsid w:val="00137CB9"/>
    <w:rsid w:val="00137D8B"/>
    <w:rsid w:val="00140229"/>
    <w:rsid w:val="001403C6"/>
    <w:rsid w:val="00140A7F"/>
    <w:rsid w:val="00141769"/>
    <w:rsid w:val="00141F72"/>
    <w:rsid w:val="00142072"/>
    <w:rsid w:val="001435C5"/>
    <w:rsid w:val="00143976"/>
    <w:rsid w:val="00143FCB"/>
    <w:rsid w:val="00144153"/>
    <w:rsid w:val="001441D1"/>
    <w:rsid w:val="0014482B"/>
    <w:rsid w:val="00144872"/>
    <w:rsid w:val="00144CE1"/>
    <w:rsid w:val="00145383"/>
    <w:rsid w:val="00145627"/>
    <w:rsid w:val="00145997"/>
    <w:rsid w:val="00145FA3"/>
    <w:rsid w:val="00146A41"/>
    <w:rsid w:val="00146B10"/>
    <w:rsid w:val="00147122"/>
    <w:rsid w:val="00147B1D"/>
    <w:rsid w:val="001501DD"/>
    <w:rsid w:val="0015062D"/>
    <w:rsid w:val="00150A73"/>
    <w:rsid w:val="00150B67"/>
    <w:rsid w:val="00151097"/>
    <w:rsid w:val="00151679"/>
    <w:rsid w:val="00152A84"/>
    <w:rsid w:val="00152ADF"/>
    <w:rsid w:val="00152B6B"/>
    <w:rsid w:val="00152CBD"/>
    <w:rsid w:val="0015318E"/>
    <w:rsid w:val="001546E4"/>
    <w:rsid w:val="00154CB5"/>
    <w:rsid w:val="00155842"/>
    <w:rsid w:val="00155B30"/>
    <w:rsid w:val="00155C6A"/>
    <w:rsid w:val="001560FC"/>
    <w:rsid w:val="00156170"/>
    <w:rsid w:val="00156426"/>
    <w:rsid w:val="00156BDB"/>
    <w:rsid w:val="00156FBE"/>
    <w:rsid w:val="00157022"/>
    <w:rsid w:val="0016086C"/>
    <w:rsid w:val="001609F9"/>
    <w:rsid w:val="00160B3F"/>
    <w:rsid w:val="00160C30"/>
    <w:rsid w:val="00160D6F"/>
    <w:rsid w:val="001619CA"/>
    <w:rsid w:val="001621B6"/>
    <w:rsid w:val="00163AA0"/>
    <w:rsid w:val="00163D92"/>
    <w:rsid w:val="00164062"/>
    <w:rsid w:val="00164144"/>
    <w:rsid w:val="00164F0D"/>
    <w:rsid w:val="001654C0"/>
    <w:rsid w:val="00165D24"/>
    <w:rsid w:val="00165FC1"/>
    <w:rsid w:val="001663C3"/>
    <w:rsid w:val="00166927"/>
    <w:rsid w:val="00166A5C"/>
    <w:rsid w:val="00167082"/>
    <w:rsid w:val="00167EA1"/>
    <w:rsid w:val="00167F87"/>
    <w:rsid w:val="00170589"/>
    <w:rsid w:val="00171700"/>
    <w:rsid w:val="00171A59"/>
    <w:rsid w:val="00171DA8"/>
    <w:rsid w:val="001725FD"/>
    <w:rsid w:val="00172ADE"/>
    <w:rsid w:val="00173148"/>
    <w:rsid w:val="001732BD"/>
    <w:rsid w:val="001732D2"/>
    <w:rsid w:val="001732EF"/>
    <w:rsid w:val="00173CA1"/>
    <w:rsid w:val="00174819"/>
    <w:rsid w:val="00174A50"/>
    <w:rsid w:val="00174E52"/>
    <w:rsid w:val="00174FBD"/>
    <w:rsid w:val="00175703"/>
    <w:rsid w:val="001757F7"/>
    <w:rsid w:val="001758DE"/>
    <w:rsid w:val="00175E12"/>
    <w:rsid w:val="0017621A"/>
    <w:rsid w:val="001767BB"/>
    <w:rsid w:val="00176AEE"/>
    <w:rsid w:val="00176D25"/>
    <w:rsid w:val="001776BD"/>
    <w:rsid w:val="00180139"/>
    <w:rsid w:val="001806B5"/>
    <w:rsid w:val="001813AC"/>
    <w:rsid w:val="00181B53"/>
    <w:rsid w:val="00182028"/>
    <w:rsid w:val="0018246C"/>
    <w:rsid w:val="00182C27"/>
    <w:rsid w:val="00182E6D"/>
    <w:rsid w:val="00182EC6"/>
    <w:rsid w:val="0018342E"/>
    <w:rsid w:val="001834B1"/>
    <w:rsid w:val="00183637"/>
    <w:rsid w:val="001837E6"/>
    <w:rsid w:val="001840C2"/>
    <w:rsid w:val="001842EE"/>
    <w:rsid w:val="001844CF"/>
    <w:rsid w:val="001845D1"/>
    <w:rsid w:val="0018490E"/>
    <w:rsid w:val="00184B46"/>
    <w:rsid w:val="0018525A"/>
    <w:rsid w:val="00185939"/>
    <w:rsid w:val="00186134"/>
    <w:rsid w:val="001876F6"/>
    <w:rsid w:val="00187FBA"/>
    <w:rsid w:val="001902EB"/>
    <w:rsid w:val="00190410"/>
    <w:rsid w:val="00190491"/>
    <w:rsid w:val="00190AAF"/>
    <w:rsid w:val="00190C7D"/>
    <w:rsid w:val="00191415"/>
    <w:rsid w:val="001915E1"/>
    <w:rsid w:val="00191E23"/>
    <w:rsid w:val="00192BB9"/>
    <w:rsid w:val="001930C9"/>
    <w:rsid w:val="00194B30"/>
    <w:rsid w:val="001953B1"/>
    <w:rsid w:val="00195F3B"/>
    <w:rsid w:val="0019636D"/>
    <w:rsid w:val="001963C0"/>
    <w:rsid w:val="001970E7"/>
    <w:rsid w:val="0019781F"/>
    <w:rsid w:val="00197956"/>
    <w:rsid w:val="00197EB5"/>
    <w:rsid w:val="001A0048"/>
    <w:rsid w:val="001A16B0"/>
    <w:rsid w:val="001A1707"/>
    <w:rsid w:val="001A1C02"/>
    <w:rsid w:val="001A25C2"/>
    <w:rsid w:val="001A2602"/>
    <w:rsid w:val="001A2868"/>
    <w:rsid w:val="001A2A9C"/>
    <w:rsid w:val="001A3113"/>
    <w:rsid w:val="001A32D7"/>
    <w:rsid w:val="001A368E"/>
    <w:rsid w:val="001A3C4E"/>
    <w:rsid w:val="001A446E"/>
    <w:rsid w:val="001A4869"/>
    <w:rsid w:val="001A4DD0"/>
    <w:rsid w:val="001A5C22"/>
    <w:rsid w:val="001A61E8"/>
    <w:rsid w:val="001A64DF"/>
    <w:rsid w:val="001A7222"/>
    <w:rsid w:val="001A7919"/>
    <w:rsid w:val="001B0139"/>
    <w:rsid w:val="001B0C24"/>
    <w:rsid w:val="001B11B6"/>
    <w:rsid w:val="001B1505"/>
    <w:rsid w:val="001B17A8"/>
    <w:rsid w:val="001B28EC"/>
    <w:rsid w:val="001B3364"/>
    <w:rsid w:val="001B3BD1"/>
    <w:rsid w:val="001B47F2"/>
    <w:rsid w:val="001B48EE"/>
    <w:rsid w:val="001B5040"/>
    <w:rsid w:val="001B5BCB"/>
    <w:rsid w:val="001B63C6"/>
    <w:rsid w:val="001B6534"/>
    <w:rsid w:val="001B7488"/>
    <w:rsid w:val="001C06BC"/>
    <w:rsid w:val="001C0775"/>
    <w:rsid w:val="001C0EAF"/>
    <w:rsid w:val="001C2CB0"/>
    <w:rsid w:val="001C337F"/>
    <w:rsid w:val="001C3483"/>
    <w:rsid w:val="001C3520"/>
    <w:rsid w:val="001C3745"/>
    <w:rsid w:val="001C3D03"/>
    <w:rsid w:val="001C3FF8"/>
    <w:rsid w:val="001C42D9"/>
    <w:rsid w:val="001C437C"/>
    <w:rsid w:val="001C4415"/>
    <w:rsid w:val="001C48D4"/>
    <w:rsid w:val="001C519C"/>
    <w:rsid w:val="001C53BF"/>
    <w:rsid w:val="001C5D96"/>
    <w:rsid w:val="001C6C39"/>
    <w:rsid w:val="001C74AA"/>
    <w:rsid w:val="001C7996"/>
    <w:rsid w:val="001C7C93"/>
    <w:rsid w:val="001D05C5"/>
    <w:rsid w:val="001D0843"/>
    <w:rsid w:val="001D0A4D"/>
    <w:rsid w:val="001D119E"/>
    <w:rsid w:val="001D1700"/>
    <w:rsid w:val="001D1785"/>
    <w:rsid w:val="001D1997"/>
    <w:rsid w:val="001D2331"/>
    <w:rsid w:val="001D27CE"/>
    <w:rsid w:val="001D2BD5"/>
    <w:rsid w:val="001D36CD"/>
    <w:rsid w:val="001D3E0A"/>
    <w:rsid w:val="001D421B"/>
    <w:rsid w:val="001D4E6B"/>
    <w:rsid w:val="001D4F49"/>
    <w:rsid w:val="001D64B6"/>
    <w:rsid w:val="001D72A5"/>
    <w:rsid w:val="001D7982"/>
    <w:rsid w:val="001D7D1D"/>
    <w:rsid w:val="001E0063"/>
    <w:rsid w:val="001E170C"/>
    <w:rsid w:val="001E1D3D"/>
    <w:rsid w:val="001E1E40"/>
    <w:rsid w:val="001E2710"/>
    <w:rsid w:val="001E295A"/>
    <w:rsid w:val="001E2DAD"/>
    <w:rsid w:val="001E31E1"/>
    <w:rsid w:val="001E3264"/>
    <w:rsid w:val="001E3402"/>
    <w:rsid w:val="001E3C77"/>
    <w:rsid w:val="001E3D2A"/>
    <w:rsid w:val="001E440D"/>
    <w:rsid w:val="001E46E8"/>
    <w:rsid w:val="001E47D1"/>
    <w:rsid w:val="001E4D81"/>
    <w:rsid w:val="001E507E"/>
    <w:rsid w:val="001E51C0"/>
    <w:rsid w:val="001E549C"/>
    <w:rsid w:val="001E5BCC"/>
    <w:rsid w:val="001E65F4"/>
    <w:rsid w:val="001E6A64"/>
    <w:rsid w:val="001E75C5"/>
    <w:rsid w:val="001E78B0"/>
    <w:rsid w:val="001E7B04"/>
    <w:rsid w:val="001E7D66"/>
    <w:rsid w:val="001F045E"/>
    <w:rsid w:val="001F1747"/>
    <w:rsid w:val="001F3F2A"/>
    <w:rsid w:val="001F4F33"/>
    <w:rsid w:val="001F514E"/>
    <w:rsid w:val="001F5406"/>
    <w:rsid w:val="001F56CB"/>
    <w:rsid w:val="001F6988"/>
    <w:rsid w:val="001F69C2"/>
    <w:rsid w:val="001F725E"/>
    <w:rsid w:val="001F7365"/>
    <w:rsid w:val="001F76A6"/>
    <w:rsid w:val="001F7C55"/>
    <w:rsid w:val="00200F90"/>
    <w:rsid w:val="00201442"/>
    <w:rsid w:val="00201624"/>
    <w:rsid w:val="00201B54"/>
    <w:rsid w:val="00202141"/>
    <w:rsid w:val="002021BA"/>
    <w:rsid w:val="002021C5"/>
    <w:rsid w:val="00202284"/>
    <w:rsid w:val="00202889"/>
    <w:rsid w:val="00202BB6"/>
    <w:rsid w:val="0020314F"/>
    <w:rsid w:val="002037C4"/>
    <w:rsid w:val="00203C9F"/>
    <w:rsid w:val="002048D1"/>
    <w:rsid w:val="00205CE6"/>
    <w:rsid w:val="00206598"/>
    <w:rsid w:val="00206B8D"/>
    <w:rsid w:val="00206E4D"/>
    <w:rsid w:val="002073A1"/>
    <w:rsid w:val="002075C1"/>
    <w:rsid w:val="002079CB"/>
    <w:rsid w:val="00207EB2"/>
    <w:rsid w:val="002106A7"/>
    <w:rsid w:val="0021096E"/>
    <w:rsid w:val="00210C77"/>
    <w:rsid w:val="00210DE8"/>
    <w:rsid w:val="00211561"/>
    <w:rsid w:val="002118CB"/>
    <w:rsid w:val="00211B1C"/>
    <w:rsid w:val="00211D73"/>
    <w:rsid w:val="00212468"/>
    <w:rsid w:val="00212A3E"/>
    <w:rsid w:val="00212FBB"/>
    <w:rsid w:val="00213319"/>
    <w:rsid w:val="00213990"/>
    <w:rsid w:val="00214187"/>
    <w:rsid w:val="002142AF"/>
    <w:rsid w:val="00214BF2"/>
    <w:rsid w:val="002151ED"/>
    <w:rsid w:val="00215385"/>
    <w:rsid w:val="002153FA"/>
    <w:rsid w:val="00215923"/>
    <w:rsid w:val="00215A7F"/>
    <w:rsid w:val="002161C9"/>
    <w:rsid w:val="00216522"/>
    <w:rsid w:val="00216B3A"/>
    <w:rsid w:val="002176A9"/>
    <w:rsid w:val="00217884"/>
    <w:rsid w:val="002203D0"/>
    <w:rsid w:val="0022087B"/>
    <w:rsid w:val="00221259"/>
    <w:rsid w:val="00221C77"/>
    <w:rsid w:val="00221CE2"/>
    <w:rsid w:val="00221D19"/>
    <w:rsid w:val="00222308"/>
    <w:rsid w:val="0022253F"/>
    <w:rsid w:val="00222A11"/>
    <w:rsid w:val="00223698"/>
    <w:rsid w:val="0022452F"/>
    <w:rsid w:val="00224C0A"/>
    <w:rsid w:val="002255EF"/>
    <w:rsid w:val="00225A8C"/>
    <w:rsid w:val="0022643E"/>
    <w:rsid w:val="0022666B"/>
    <w:rsid w:val="00227048"/>
    <w:rsid w:val="0022734D"/>
    <w:rsid w:val="002273E6"/>
    <w:rsid w:val="00227E02"/>
    <w:rsid w:val="0023097A"/>
    <w:rsid w:val="002318EE"/>
    <w:rsid w:val="002323A4"/>
    <w:rsid w:val="0023339A"/>
    <w:rsid w:val="0023447F"/>
    <w:rsid w:val="00234B26"/>
    <w:rsid w:val="00234EA7"/>
    <w:rsid w:val="002350B3"/>
    <w:rsid w:val="00235314"/>
    <w:rsid w:val="00235467"/>
    <w:rsid w:val="00235586"/>
    <w:rsid w:val="0023576E"/>
    <w:rsid w:val="002358D9"/>
    <w:rsid w:val="00235D5A"/>
    <w:rsid w:val="0023641F"/>
    <w:rsid w:val="0023798E"/>
    <w:rsid w:val="00237AF0"/>
    <w:rsid w:val="00240130"/>
    <w:rsid w:val="002401AD"/>
    <w:rsid w:val="00240234"/>
    <w:rsid w:val="00240C61"/>
    <w:rsid w:val="00242126"/>
    <w:rsid w:val="0024253C"/>
    <w:rsid w:val="00242CAB"/>
    <w:rsid w:val="00242EE4"/>
    <w:rsid w:val="00243478"/>
    <w:rsid w:val="002435B4"/>
    <w:rsid w:val="00243C27"/>
    <w:rsid w:val="00243EF4"/>
    <w:rsid w:val="0024462E"/>
    <w:rsid w:val="00245464"/>
    <w:rsid w:val="00245F5C"/>
    <w:rsid w:val="0024646B"/>
    <w:rsid w:val="0024660F"/>
    <w:rsid w:val="002472D3"/>
    <w:rsid w:val="00247344"/>
    <w:rsid w:val="002474FA"/>
    <w:rsid w:val="00247602"/>
    <w:rsid w:val="00247694"/>
    <w:rsid w:val="00247697"/>
    <w:rsid w:val="00250138"/>
    <w:rsid w:val="002509D2"/>
    <w:rsid w:val="00251B6F"/>
    <w:rsid w:val="00251C5B"/>
    <w:rsid w:val="00251FD4"/>
    <w:rsid w:val="00252090"/>
    <w:rsid w:val="00252CFC"/>
    <w:rsid w:val="00252DFB"/>
    <w:rsid w:val="00252E03"/>
    <w:rsid w:val="0025307E"/>
    <w:rsid w:val="002531D8"/>
    <w:rsid w:val="00253493"/>
    <w:rsid w:val="0025404E"/>
    <w:rsid w:val="00254DF3"/>
    <w:rsid w:val="00254F21"/>
    <w:rsid w:val="0025529B"/>
    <w:rsid w:val="00255619"/>
    <w:rsid w:val="00255D9C"/>
    <w:rsid w:val="00255E3D"/>
    <w:rsid w:val="00256C67"/>
    <w:rsid w:val="00257AFB"/>
    <w:rsid w:val="00257D8A"/>
    <w:rsid w:val="002604AB"/>
    <w:rsid w:val="002605B1"/>
    <w:rsid w:val="0026097B"/>
    <w:rsid w:val="002618AD"/>
    <w:rsid w:val="00261B6C"/>
    <w:rsid w:val="00261FBE"/>
    <w:rsid w:val="00262458"/>
    <w:rsid w:val="00262505"/>
    <w:rsid w:val="002626C8"/>
    <w:rsid w:val="0026293D"/>
    <w:rsid w:val="0026384E"/>
    <w:rsid w:val="00263E09"/>
    <w:rsid w:val="002644BA"/>
    <w:rsid w:val="002647FE"/>
    <w:rsid w:val="0026499E"/>
    <w:rsid w:val="002650CA"/>
    <w:rsid w:val="00265982"/>
    <w:rsid w:val="0026607A"/>
    <w:rsid w:val="0026663D"/>
    <w:rsid w:val="00266FF1"/>
    <w:rsid w:val="0026707B"/>
    <w:rsid w:val="0026751F"/>
    <w:rsid w:val="002675D0"/>
    <w:rsid w:val="0026761D"/>
    <w:rsid w:val="0027001F"/>
    <w:rsid w:val="00270056"/>
    <w:rsid w:val="00270154"/>
    <w:rsid w:val="00270282"/>
    <w:rsid w:val="0027072B"/>
    <w:rsid w:val="00270A2E"/>
    <w:rsid w:val="00270AF7"/>
    <w:rsid w:val="00271A68"/>
    <w:rsid w:val="00271F70"/>
    <w:rsid w:val="00273548"/>
    <w:rsid w:val="00273DD5"/>
    <w:rsid w:val="0027408B"/>
    <w:rsid w:val="00274128"/>
    <w:rsid w:val="00274290"/>
    <w:rsid w:val="0027497E"/>
    <w:rsid w:val="0027529C"/>
    <w:rsid w:val="00275A3D"/>
    <w:rsid w:val="00276579"/>
    <w:rsid w:val="002766EC"/>
    <w:rsid w:val="00276B56"/>
    <w:rsid w:val="00280628"/>
    <w:rsid w:val="00280F46"/>
    <w:rsid w:val="00280F83"/>
    <w:rsid w:val="002819FD"/>
    <w:rsid w:val="0028322A"/>
    <w:rsid w:val="0028350D"/>
    <w:rsid w:val="0028431F"/>
    <w:rsid w:val="0028472A"/>
    <w:rsid w:val="00284F94"/>
    <w:rsid w:val="0028583A"/>
    <w:rsid w:val="00285BD5"/>
    <w:rsid w:val="00285EBF"/>
    <w:rsid w:val="00286299"/>
    <w:rsid w:val="002869D2"/>
    <w:rsid w:val="00286F6F"/>
    <w:rsid w:val="00287368"/>
    <w:rsid w:val="0028757D"/>
    <w:rsid w:val="00287802"/>
    <w:rsid w:val="00287873"/>
    <w:rsid w:val="002878B9"/>
    <w:rsid w:val="002879EE"/>
    <w:rsid w:val="00287AF9"/>
    <w:rsid w:val="002916CC"/>
    <w:rsid w:val="002918EA"/>
    <w:rsid w:val="0029278C"/>
    <w:rsid w:val="00292B44"/>
    <w:rsid w:val="00292D98"/>
    <w:rsid w:val="00292E65"/>
    <w:rsid w:val="00293389"/>
    <w:rsid w:val="00293D37"/>
    <w:rsid w:val="00295490"/>
    <w:rsid w:val="0029563B"/>
    <w:rsid w:val="00295702"/>
    <w:rsid w:val="00295856"/>
    <w:rsid w:val="002958E9"/>
    <w:rsid w:val="00295F4B"/>
    <w:rsid w:val="0029697C"/>
    <w:rsid w:val="00296D26"/>
    <w:rsid w:val="00297533"/>
    <w:rsid w:val="002979F1"/>
    <w:rsid w:val="00297BE5"/>
    <w:rsid w:val="00297D9F"/>
    <w:rsid w:val="002A00FE"/>
    <w:rsid w:val="002A02D5"/>
    <w:rsid w:val="002A13E1"/>
    <w:rsid w:val="002A1491"/>
    <w:rsid w:val="002A19E9"/>
    <w:rsid w:val="002A3248"/>
    <w:rsid w:val="002A38F4"/>
    <w:rsid w:val="002A4C65"/>
    <w:rsid w:val="002A4DCA"/>
    <w:rsid w:val="002A52C2"/>
    <w:rsid w:val="002A53EB"/>
    <w:rsid w:val="002A5CB2"/>
    <w:rsid w:val="002A5D18"/>
    <w:rsid w:val="002A6334"/>
    <w:rsid w:val="002A6BD2"/>
    <w:rsid w:val="002A7450"/>
    <w:rsid w:val="002A7568"/>
    <w:rsid w:val="002B04D4"/>
    <w:rsid w:val="002B0846"/>
    <w:rsid w:val="002B1304"/>
    <w:rsid w:val="002B153F"/>
    <w:rsid w:val="002B3011"/>
    <w:rsid w:val="002B3556"/>
    <w:rsid w:val="002B40C4"/>
    <w:rsid w:val="002B439A"/>
    <w:rsid w:val="002B535C"/>
    <w:rsid w:val="002B607B"/>
    <w:rsid w:val="002B63F0"/>
    <w:rsid w:val="002B6E0B"/>
    <w:rsid w:val="002B7511"/>
    <w:rsid w:val="002B7F21"/>
    <w:rsid w:val="002C009E"/>
    <w:rsid w:val="002C017F"/>
    <w:rsid w:val="002C08B4"/>
    <w:rsid w:val="002C0CC5"/>
    <w:rsid w:val="002C1170"/>
    <w:rsid w:val="002C2668"/>
    <w:rsid w:val="002C2DB1"/>
    <w:rsid w:val="002C3704"/>
    <w:rsid w:val="002C548C"/>
    <w:rsid w:val="002C5678"/>
    <w:rsid w:val="002C5981"/>
    <w:rsid w:val="002C5ABE"/>
    <w:rsid w:val="002C61D8"/>
    <w:rsid w:val="002C64E6"/>
    <w:rsid w:val="002D0410"/>
    <w:rsid w:val="002D0855"/>
    <w:rsid w:val="002D0899"/>
    <w:rsid w:val="002D16C5"/>
    <w:rsid w:val="002D1707"/>
    <w:rsid w:val="002D17E2"/>
    <w:rsid w:val="002D1B00"/>
    <w:rsid w:val="002D365B"/>
    <w:rsid w:val="002D3B1E"/>
    <w:rsid w:val="002D3F5B"/>
    <w:rsid w:val="002D4334"/>
    <w:rsid w:val="002D49D5"/>
    <w:rsid w:val="002D50BD"/>
    <w:rsid w:val="002D552B"/>
    <w:rsid w:val="002D64A0"/>
    <w:rsid w:val="002D6837"/>
    <w:rsid w:val="002D69FE"/>
    <w:rsid w:val="002D70E9"/>
    <w:rsid w:val="002D729D"/>
    <w:rsid w:val="002D79EF"/>
    <w:rsid w:val="002E0697"/>
    <w:rsid w:val="002E0EC8"/>
    <w:rsid w:val="002E109E"/>
    <w:rsid w:val="002E1533"/>
    <w:rsid w:val="002E161F"/>
    <w:rsid w:val="002E2443"/>
    <w:rsid w:val="002E2449"/>
    <w:rsid w:val="002E278F"/>
    <w:rsid w:val="002E2F3B"/>
    <w:rsid w:val="002E325A"/>
    <w:rsid w:val="002E381A"/>
    <w:rsid w:val="002E3B4D"/>
    <w:rsid w:val="002E44EA"/>
    <w:rsid w:val="002E463C"/>
    <w:rsid w:val="002E49E0"/>
    <w:rsid w:val="002E4C15"/>
    <w:rsid w:val="002E4D23"/>
    <w:rsid w:val="002E4D3E"/>
    <w:rsid w:val="002E52B1"/>
    <w:rsid w:val="002E5558"/>
    <w:rsid w:val="002E5DBB"/>
    <w:rsid w:val="002E5F92"/>
    <w:rsid w:val="002E621A"/>
    <w:rsid w:val="002E6417"/>
    <w:rsid w:val="002E67C8"/>
    <w:rsid w:val="002E6B48"/>
    <w:rsid w:val="002E6CAA"/>
    <w:rsid w:val="002E7695"/>
    <w:rsid w:val="002F0288"/>
    <w:rsid w:val="002F03D1"/>
    <w:rsid w:val="002F0522"/>
    <w:rsid w:val="002F0616"/>
    <w:rsid w:val="002F0734"/>
    <w:rsid w:val="002F0A46"/>
    <w:rsid w:val="002F0BE3"/>
    <w:rsid w:val="002F205B"/>
    <w:rsid w:val="002F2C0E"/>
    <w:rsid w:val="002F2EE2"/>
    <w:rsid w:val="002F2F5B"/>
    <w:rsid w:val="002F32C6"/>
    <w:rsid w:val="002F3C0B"/>
    <w:rsid w:val="002F4938"/>
    <w:rsid w:val="002F5B3A"/>
    <w:rsid w:val="002F638C"/>
    <w:rsid w:val="002F7029"/>
    <w:rsid w:val="002F7224"/>
    <w:rsid w:val="002F76B1"/>
    <w:rsid w:val="002F7AFE"/>
    <w:rsid w:val="0030033F"/>
    <w:rsid w:val="003004AF"/>
    <w:rsid w:val="00301975"/>
    <w:rsid w:val="00302D74"/>
    <w:rsid w:val="003033DE"/>
    <w:rsid w:val="003033F2"/>
    <w:rsid w:val="003036F6"/>
    <w:rsid w:val="0030440C"/>
    <w:rsid w:val="00304672"/>
    <w:rsid w:val="0030542C"/>
    <w:rsid w:val="003056BC"/>
    <w:rsid w:val="00306779"/>
    <w:rsid w:val="00306DEB"/>
    <w:rsid w:val="00310418"/>
    <w:rsid w:val="00310B5B"/>
    <w:rsid w:val="003111E5"/>
    <w:rsid w:val="00311503"/>
    <w:rsid w:val="00311CB4"/>
    <w:rsid w:val="00311FFB"/>
    <w:rsid w:val="00312908"/>
    <w:rsid w:val="00312FFC"/>
    <w:rsid w:val="0031329C"/>
    <w:rsid w:val="00313461"/>
    <w:rsid w:val="00313ECF"/>
    <w:rsid w:val="0031454E"/>
    <w:rsid w:val="00314A4B"/>
    <w:rsid w:val="00314D1D"/>
    <w:rsid w:val="003150BF"/>
    <w:rsid w:val="003150CE"/>
    <w:rsid w:val="00315D6C"/>
    <w:rsid w:val="00315E92"/>
    <w:rsid w:val="0031620E"/>
    <w:rsid w:val="00316801"/>
    <w:rsid w:val="00317F70"/>
    <w:rsid w:val="003207D9"/>
    <w:rsid w:val="003208F6"/>
    <w:rsid w:val="00320F30"/>
    <w:rsid w:val="0032155A"/>
    <w:rsid w:val="00321B92"/>
    <w:rsid w:val="00321F3E"/>
    <w:rsid w:val="0032227B"/>
    <w:rsid w:val="003228E6"/>
    <w:rsid w:val="00323B9E"/>
    <w:rsid w:val="00323E02"/>
    <w:rsid w:val="00323E90"/>
    <w:rsid w:val="00324124"/>
    <w:rsid w:val="00325A24"/>
    <w:rsid w:val="00325E8C"/>
    <w:rsid w:val="00326161"/>
    <w:rsid w:val="00326498"/>
    <w:rsid w:val="003267BE"/>
    <w:rsid w:val="0032722A"/>
    <w:rsid w:val="003276FA"/>
    <w:rsid w:val="00330651"/>
    <w:rsid w:val="00330804"/>
    <w:rsid w:val="00330894"/>
    <w:rsid w:val="00330BCE"/>
    <w:rsid w:val="00330E8E"/>
    <w:rsid w:val="00330E99"/>
    <w:rsid w:val="003318E9"/>
    <w:rsid w:val="003327EF"/>
    <w:rsid w:val="00332FAC"/>
    <w:rsid w:val="00333E44"/>
    <w:rsid w:val="00334622"/>
    <w:rsid w:val="003346B9"/>
    <w:rsid w:val="00334A6B"/>
    <w:rsid w:val="00334FBB"/>
    <w:rsid w:val="00335384"/>
    <w:rsid w:val="0033592D"/>
    <w:rsid w:val="00335C4C"/>
    <w:rsid w:val="0033625F"/>
    <w:rsid w:val="003366B2"/>
    <w:rsid w:val="00336D17"/>
    <w:rsid w:val="00340066"/>
    <w:rsid w:val="00340381"/>
    <w:rsid w:val="003412D6"/>
    <w:rsid w:val="0034183D"/>
    <w:rsid w:val="0034234D"/>
    <w:rsid w:val="00342447"/>
    <w:rsid w:val="003424EF"/>
    <w:rsid w:val="00342543"/>
    <w:rsid w:val="0034288B"/>
    <w:rsid w:val="003430ED"/>
    <w:rsid w:val="0034332B"/>
    <w:rsid w:val="0034448A"/>
    <w:rsid w:val="003446B5"/>
    <w:rsid w:val="00344D5D"/>
    <w:rsid w:val="0034681C"/>
    <w:rsid w:val="00347ABB"/>
    <w:rsid w:val="00347F56"/>
    <w:rsid w:val="00350207"/>
    <w:rsid w:val="00350F6C"/>
    <w:rsid w:val="0035151A"/>
    <w:rsid w:val="0035167E"/>
    <w:rsid w:val="00351D76"/>
    <w:rsid w:val="00351F14"/>
    <w:rsid w:val="0035396E"/>
    <w:rsid w:val="00353D90"/>
    <w:rsid w:val="00353F93"/>
    <w:rsid w:val="0035455F"/>
    <w:rsid w:val="0035467A"/>
    <w:rsid w:val="0035470F"/>
    <w:rsid w:val="00355F0D"/>
    <w:rsid w:val="0035610C"/>
    <w:rsid w:val="0035624A"/>
    <w:rsid w:val="00356A21"/>
    <w:rsid w:val="00357BE1"/>
    <w:rsid w:val="003600A8"/>
    <w:rsid w:val="003603F2"/>
    <w:rsid w:val="00360A32"/>
    <w:rsid w:val="00360B23"/>
    <w:rsid w:val="00361336"/>
    <w:rsid w:val="00362211"/>
    <w:rsid w:val="003625FE"/>
    <w:rsid w:val="00363053"/>
    <w:rsid w:val="00363B3B"/>
    <w:rsid w:val="00364A72"/>
    <w:rsid w:val="00366524"/>
    <w:rsid w:val="003667CA"/>
    <w:rsid w:val="00367374"/>
    <w:rsid w:val="0036743D"/>
    <w:rsid w:val="003676D3"/>
    <w:rsid w:val="00367787"/>
    <w:rsid w:val="00370717"/>
    <w:rsid w:val="00370F57"/>
    <w:rsid w:val="00371265"/>
    <w:rsid w:val="00371517"/>
    <w:rsid w:val="0037203B"/>
    <w:rsid w:val="00372A40"/>
    <w:rsid w:val="00373BFB"/>
    <w:rsid w:val="00373E58"/>
    <w:rsid w:val="0037402C"/>
    <w:rsid w:val="00374127"/>
    <w:rsid w:val="003744F7"/>
    <w:rsid w:val="00374EB0"/>
    <w:rsid w:val="00375716"/>
    <w:rsid w:val="00375B4A"/>
    <w:rsid w:val="00376073"/>
    <w:rsid w:val="00376448"/>
    <w:rsid w:val="00376AB9"/>
    <w:rsid w:val="00376EFA"/>
    <w:rsid w:val="00377452"/>
    <w:rsid w:val="00380486"/>
    <w:rsid w:val="00380DCB"/>
    <w:rsid w:val="00381223"/>
    <w:rsid w:val="00381849"/>
    <w:rsid w:val="00381AB4"/>
    <w:rsid w:val="00381ADD"/>
    <w:rsid w:val="00382161"/>
    <w:rsid w:val="00382300"/>
    <w:rsid w:val="003823A0"/>
    <w:rsid w:val="0038256B"/>
    <w:rsid w:val="00383053"/>
    <w:rsid w:val="00383C4E"/>
    <w:rsid w:val="00383DDF"/>
    <w:rsid w:val="00383F69"/>
    <w:rsid w:val="0038402C"/>
    <w:rsid w:val="00384203"/>
    <w:rsid w:val="00384AE5"/>
    <w:rsid w:val="00384F36"/>
    <w:rsid w:val="00385271"/>
    <w:rsid w:val="003854BA"/>
    <w:rsid w:val="003855CE"/>
    <w:rsid w:val="003857EB"/>
    <w:rsid w:val="00386241"/>
    <w:rsid w:val="00386783"/>
    <w:rsid w:val="003867A0"/>
    <w:rsid w:val="00386B7D"/>
    <w:rsid w:val="00386FF9"/>
    <w:rsid w:val="0038770C"/>
    <w:rsid w:val="00387772"/>
    <w:rsid w:val="00390379"/>
    <w:rsid w:val="00390A64"/>
    <w:rsid w:val="00390E83"/>
    <w:rsid w:val="0039129A"/>
    <w:rsid w:val="00391BAE"/>
    <w:rsid w:val="00391E3C"/>
    <w:rsid w:val="0039226E"/>
    <w:rsid w:val="00392CC8"/>
    <w:rsid w:val="00392D0A"/>
    <w:rsid w:val="00393542"/>
    <w:rsid w:val="00394314"/>
    <w:rsid w:val="00394638"/>
    <w:rsid w:val="0039558A"/>
    <w:rsid w:val="00395C4C"/>
    <w:rsid w:val="00396C60"/>
    <w:rsid w:val="00396D12"/>
    <w:rsid w:val="003A0BF7"/>
    <w:rsid w:val="003A1A7B"/>
    <w:rsid w:val="003A2017"/>
    <w:rsid w:val="003A2062"/>
    <w:rsid w:val="003A28B2"/>
    <w:rsid w:val="003A28F7"/>
    <w:rsid w:val="003A383C"/>
    <w:rsid w:val="003A40C4"/>
    <w:rsid w:val="003A4166"/>
    <w:rsid w:val="003A48CC"/>
    <w:rsid w:val="003A49B5"/>
    <w:rsid w:val="003A4DC1"/>
    <w:rsid w:val="003A520A"/>
    <w:rsid w:val="003A5289"/>
    <w:rsid w:val="003A562A"/>
    <w:rsid w:val="003A571C"/>
    <w:rsid w:val="003A5972"/>
    <w:rsid w:val="003A5B7E"/>
    <w:rsid w:val="003A5E18"/>
    <w:rsid w:val="003A5FF9"/>
    <w:rsid w:val="003A60C6"/>
    <w:rsid w:val="003A6175"/>
    <w:rsid w:val="003A620C"/>
    <w:rsid w:val="003A6462"/>
    <w:rsid w:val="003A72EF"/>
    <w:rsid w:val="003A751C"/>
    <w:rsid w:val="003A7F16"/>
    <w:rsid w:val="003B11FE"/>
    <w:rsid w:val="003B1303"/>
    <w:rsid w:val="003B16E5"/>
    <w:rsid w:val="003B1D56"/>
    <w:rsid w:val="003B2F2C"/>
    <w:rsid w:val="003B3277"/>
    <w:rsid w:val="003B36EA"/>
    <w:rsid w:val="003B3BDD"/>
    <w:rsid w:val="003B45B6"/>
    <w:rsid w:val="003B47D1"/>
    <w:rsid w:val="003B4EED"/>
    <w:rsid w:val="003B520E"/>
    <w:rsid w:val="003B54F3"/>
    <w:rsid w:val="003B574B"/>
    <w:rsid w:val="003B5E72"/>
    <w:rsid w:val="003B6462"/>
    <w:rsid w:val="003B6660"/>
    <w:rsid w:val="003B6B2C"/>
    <w:rsid w:val="003B6E3E"/>
    <w:rsid w:val="003B7425"/>
    <w:rsid w:val="003B7C9F"/>
    <w:rsid w:val="003C05E6"/>
    <w:rsid w:val="003C266A"/>
    <w:rsid w:val="003C3C6C"/>
    <w:rsid w:val="003C4A16"/>
    <w:rsid w:val="003C4AEF"/>
    <w:rsid w:val="003C4B32"/>
    <w:rsid w:val="003C5178"/>
    <w:rsid w:val="003C5D46"/>
    <w:rsid w:val="003C5D8D"/>
    <w:rsid w:val="003C5DD6"/>
    <w:rsid w:val="003C602A"/>
    <w:rsid w:val="003C6084"/>
    <w:rsid w:val="003C61A5"/>
    <w:rsid w:val="003C6DDD"/>
    <w:rsid w:val="003C7445"/>
    <w:rsid w:val="003D056B"/>
    <w:rsid w:val="003D1759"/>
    <w:rsid w:val="003D1896"/>
    <w:rsid w:val="003D22FD"/>
    <w:rsid w:val="003D2502"/>
    <w:rsid w:val="003D2580"/>
    <w:rsid w:val="003D2A03"/>
    <w:rsid w:val="003D2F78"/>
    <w:rsid w:val="003D3676"/>
    <w:rsid w:val="003D3AA7"/>
    <w:rsid w:val="003D3B14"/>
    <w:rsid w:val="003D4CFA"/>
    <w:rsid w:val="003D5705"/>
    <w:rsid w:val="003D5E64"/>
    <w:rsid w:val="003D62F7"/>
    <w:rsid w:val="003D6915"/>
    <w:rsid w:val="003D7601"/>
    <w:rsid w:val="003D7B2E"/>
    <w:rsid w:val="003D7B99"/>
    <w:rsid w:val="003D7F37"/>
    <w:rsid w:val="003E1035"/>
    <w:rsid w:val="003E17F2"/>
    <w:rsid w:val="003E1970"/>
    <w:rsid w:val="003E19F7"/>
    <w:rsid w:val="003E1EB2"/>
    <w:rsid w:val="003E3080"/>
    <w:rsid w:val="003E3FB3"/>
    <w:rsid w:val="003E46D0"/>
    <w:rsid w:val="003E492C"/>
    <w:rsid w:val="003E4DA6"/>
    <w:rsid w:val="003E5346"/>
    <w:rsid w:val="003E63E2"/>
    <w:rsid w:val="003E6C7C"/>
    <w:rsid w:val="003E708C"/>
    <w:rsid w:val="003E710D"/>
    <w:rsid w:val="003E7A9C"/>
    <w:rsid w:val="003E7C8F"/>
    <w:rsid w:val="003F0529"/>
    <w:rsid w:val="003F1042"/>
    <w:rsid w:val="003F1812"/>
    <w:rsid w:val="003F1EFB"/>
    <w:rsid w:val="003F20C5"/>
    <w:rsid w:val="003F328F"/>
    <w:rsid w:val="003F44DA"/>
    <w:rsid w:val="003F4A4A"/>
    <w:rsid w:val="003F531A"/>
    <w:rsid w:val="003F556D"/>
    <w:rsid w:val="003F585A"/>
    <w:rsid w:val="003F6541"/>
    <w:rsid w:val="003F6567"/>
    <w:rsid w:val="003F747A"/>
    <w:rsid w:val="003F79D2"/>
    <w:rsid w:val="003F7C9E"/>
    <w:rsid w:val="003F7F43"/>
    <w:rsid w:val="00400954"/>
    <w:rsid w:val="00400B7A"/>
    <w:rsid w:val="00400D61"/>
    <w:rsid w:val="004013D1"/>
    <w:rsid w:val="004019E9"/>
    <w:rsid w:val="00402334"/>
    <w:rsid w:val="00402338"/>
    <w:rsid w:val="00402499"/>
    <w:rsid w:val="004024A7"/>
    <w:rsid w:val="004025E8"/>
    <w:rsid w:val="00402768"/>
    <w:rsid w:val="00402C75"/>
    <w:rsid w:val="00403913"/>
    <w:rsid w:val="00403B8D"/>
    <w:rsid w:val="00403BC4"/>
    <w:rsid w:val="00404519"/>
    <w:rsid w:val="00404C36"/>
    <w:rsid w:val="00404E1E"/>
    <w:rsid w:val="0040534B"/>
    <w:rsid w:val="00405EC1"/>
    <w:rsid w:val="0040634E"/>
    <w:rsid w:val="004069DA"/>
    <w:rsid w:val="00406A69"/>
    <w:rsid w:val="00406D98"/>
    <w:rsid w:val="00406F38"/>
    <w:rsid w:val="00407915"/>
    <w:rsid w:val="00407AAB"/>
    <w:rsid w:val="00407F47"/>
    <w:rsid w:val="0041036B"/>
    <w:rsid w:val="004107CA"/>
    <w:rsid w:val="004109E2"/>
    <w:rsid w:val="00410E5F"/>
    <w:rsid w:val="00410F7D"/>
    <w:rsid w:val="004111BC"/>
    <w:rsid w:val="004114CB"/>
    <w:rsid w:val="0041151A"/>
    <w:rsid w:val="00411B26"/>
    <w:rsid w:val="00411C5F"/>
    <w:rsid w:val="00412107"/>
    <w:rsid w:val="004125F4"/>
    <w:rsid w:val="004126D4"/>
    <w:rsid w:val="004137C3"/>
    <w:rsid w:val="00413B77"/>
    <w:rsid w:val="00413C47"/>
    <w:rsid w:val="004143E0"/>
    <w:rsid w:val="00414479"/>
    <w:rsid w:val="00414703"/>
    <w:rsid w:val="00415D2B"/>
    <w:rsid w:val="0041631C"/>
    <w:rsid w:val="00416437"/>
    <w:rsid w:val="00416970"/>
    <w:rsid w:val="00416A90"/>
    <w:rsid w:val="00416C0A"/>
    <w:rsid w:val="00417604"/>
    <w:rsid w:val="004177FD"/>
    <w:rsid w:val="00417863"/>
    <w:rsid w:val="00417DC6"/>
    <w:rsid w:val="00417DCA"/>
    <w:rsid w:val="004203A4"/>
    <w:rsid w:val="00421941"/>
    <w:rsid w:val="00421DA6"/>
    <w:rsid w:val="004245F3"/>
    <w:rsid w:val="004248FD"/>
    <w:rsid w:val="00424D53"/>
    <w:rsid w:val="00424DE2"/>
    <w:rsid w:val="0042558C"/>
    <w:rsid w:val="004256F6"/>
    <w:rsid w:val="004258B2"/>
    <w:rsid w:val="00430324"/>
    <w:rsid w:val="00430592"/>
    <w:rsid w:val="0043069B"/>
    <w:rsid w:val="00431A1F"/>
    <w:rsid w:val="00431EB9"/>
    <w:rsid w:val="00432528"/>
    <w:rsid w:val="00432653"/>
    <w:rsid w:val="00432836"/>
    <w:rsid w:val="00433BE8"/>
    <w:rsid w:val="00433E1D"/>
    <w:rsid w:val="00434C17"/>
    <w:rsid w:val="00435BAE"/>
    <w:rsid w:val="00436937"/>
    <w:rsid w:val="004369FD"/>
    <w:rsid w:val="0043711D"/>
    <w:rsid w:val="0043737F"/>
    <w:rsid w:val="00437396"/>
    <w:rsid w:val="004373D1"/>
    <w:rsid w:val="0043778D"/>
    <w:rsid w:val="004407D7"/>
    <w:rsid w:val="00440914"/>
    <w:rsid w:val="00440B9B"/>
    <w:rsid w:val="00440CC2"/>
    <w:rsid w:val="00440FC9"/>
    <w:rsid w:val="004411ED"/>
    <w:rsid w:val="004414C8"/>
    <w:rsid w:val="00441DD0"/>
    <w:rsid w:val="00442E41"/>
    <w:rsid w:val="00442F79"/>
    <w:rsid w:val="00443894"/>
    <w:rsid w:val="00443EDE"/>
    <w:rsid w:val="00444112"/>
    <w:rsid w:val="004443A3"/>
    <w:rsid w:val="004443C1"/>
    <w:rsid w:val="0044456B"/>
    <w:rsid w:val="00444C79"/>
    <w:rsid w:val="004454C2"/>
    <w:rsid w:val="004454DE"/>
    <w:rsid w:val="0044559D"/>
    <w:rsid w:val="00445C2C"/>
    <w:rsid w:val="00445DE3"/>
    <w:rsid w:val="004463DF"/>
    <w:rsid w:val="004469DB"/>
    <w:rsid w:val="00446D2B"/>
    <w:rsid w:val="0044713F"/>
    <w:rsid w:val="00447347"/>
    <w:rsid w:val="00447B0F"/>
    <w:rsid w:val="00447F33"/>
    <w:rsid w:val="00450134"/>
    <w:rsid w:val="0045021E"/>
    <w:rsid w:val="00450A27"/>
    <w:rsid w:val="00450DFE"/>
    <w:rsid w:val="00450EAD"/>
    <w:rsid w:val="00451EC2"/>
    <w:rsid w:val="0045238C"/>
    <w:rsid w:val="004536E0"/>
    <w:rsid w:val="004549D3"/>
    <w:rsid w:val="00454AA8"/>
    <w:rsid w:val="00455388"/>
    <w:rsid w:val="00455A32"/>
    <w:rsid w:val="00456072"/>
    <w:rsid w:val="00456223"/>
    <w:rsid w:val="00456C56"/>
    <w:rsid w:val="0045711C"/>
    <w:rsid w:val="0045784D"/>
    <w:rsid w:val="00460506"/>
    <w:rsid w:val="0046067C"/>
    <w:rsid w:val="00460752"/>
    <w:rsid w:val="00460F75"/>
    <w:rsid w:val="00461B25"/>
    <w:rsid w:val="00461FD5"/>
    <w:rsid w:val="00463000"/>
    <w:rsid w:val="00463357"/>
    <w:rsid w:val="00463508"/>
    <w:rsid w:val="00463A04"/>
    <w:rsid w:val="00463B71"/>
    <w:rsid w:val="00463C15"/>
    <w:rsid w:val="004643BB"/>
    <w:rsid w:val="00464472"/>
    <w:rsid w:val="00464621"/>
    <w:rsid w:val="00464E95"/>
    <w:rsid w:val="00465255"/>
    <w:rsid w:val="00465856"/>
    <w:rsid w:val="00465935"/>
    <w:rsid w:val="00466DDF"/>
    <w:rsid w:val="00466F8E"/>
    <w:rsid w:val="00467390"/>
    <w:rsid w:val="004674FA"/>
    <w:rsid w:val="0047047D"/>
    <w:rsid w:val="004704CD"/>
    <w:rsid w:val="00470D38"/>
    <w:rsid w:val="00472F3C"/>
    <w:rsid w:val="00473389"/>
    <w:rsid w:val="00473718"/>
    <w:rsid w:val="00473869"/>
    <w:rsid w:val="0047410E"/>
    <w:rsid w:val="0047537D"/>
    <w:rsid w:val="004767CB"/>
    <w:rsid w:val="00476940"/>
    <w:rsid w:val="004769AE"/>
    <w:rsid w:val="00476AE3"/>
    <w:rsid w:val="0047729F"/>
    <w:rsid w:val="00477873"/>
    <w:rsid w:val="0047790F"/>
    <w:rsid w:val="00477A4D"/>
    <w:rsid w:val="00477A68"/>
    <w:rsid w:val="00477D9C"/>
    <w:rsid w:val="0048054A"/>
    <w:rsid w:val="004805DF"/>
    <w:rsid w:val="0048132F"/>
    <w:rsid w:val="004816BC"/>
    <w:rsid w:val="004818E8"/>
    <w:rsid w:val="00481D3E"/>
    <w:rsid w:val="00482D52"/>
    <w:rsid w:val="00482F67"/>
    <w:rsid w:val="00483006"/>
    <w:rsid w:val="004831FA"/>
    <w:rsid w:val="00483259"/>
    <w:rsid w:val="004838CD"/>
    <w:rsid w:val="0048397B"/>
    <w:rsid w:val="00483C56"/>
    <w:rsid w:val="00484915"/>
    <w:rsid w:val="004849B5"/>
    <w:rsid w:val="00484B5A"/>
    <w:rsid w:val="00484F97"/>
    <w:rsid w:val="00485330"/>
    <w:rsid w:val="00485961"/>
    <w:rsid w:val="00485A5F"/>
    <w:rsid w:val="00486199"/>
    <w:rsid w:val="004862BB"/>
    <w:rsid w:val="00487369"/>
    <w:rsid w:val="00487387"/>
    <w:rsid w:val="0048743C"/>
    <w:rsid w:val="00487456"/>
    <w:rsid w:val="0048774B"/>
    <w:rsid w:val="004879E2"/>
    <w:rsid w:val="00487A81"/>
    <w:rsid w:val="00487FF6"/>
    <w:rsid w:val="0049022B"/>
    <w:rsid w:val="0049041B"/>
    <w:rsid w:val="0049156D"/>
    <w:rsid w:val="004919FD"/>
    <w:rsid w:val="004925F6"/>
    <w:rsid w:val="0049298E"/>
    <w:rsid w:val="00492DF5"/>
    <w:rsid w:val="004930CB"/>
    <w:rsid w:val="0049327E"/>
    <w:rsid w:val="004941BE"/>
    <w:rsid w:val="004942AE"/>
    <w:rsid w:val="004946F3"/>
    <w:rsid w:val="004951EA"/>
    <w:rsid w:val="00495B85"/>
    <w:rsid w:val="00496649"/>
    <w:rsid w:val="00496BC2"/>
    <w:rsid w:val="004978C2"/>
    <w:rsid w:val="00497B2B"/>
    <w:rsid w:val="00497CBE"/>
    <w:rsid w:val="004A0515"/>
    <w:rsid w:val="004A132C"/>
    <w:rsid w:val="004A2F18"/>
    <w:rsid w:val="004A3BCB"/>
    <w:rsid w:val="004A43C9"/>
    <w:rsid w:val="004A54D4"/>
    <w:rsid w:val="004A55A0"/>
    <w:rsid w:val="004A60AA"/>
    <w:rsid w:val="004A651A"/>
    <w:rsid w:val="004A7173"/>
    <w:rsid w:val="004A7D19"/>
    <w:rsid w:val="004A7DDC"/>
    <w:rsid w:val="004B0637"/>
    <w:rsid w:val="004B089E"/>
    <w:rsid w:val="004B0ADC"/>
    <w:rsid w:val="004B1445"/>
    <w:rsid w:val="004B18EA"/>
    <w:rsid w:val="004B19A8"/>
    <w:rsid w:val="004B1A74"/>
    <w:rsid w:val="004B22FE"/>
    <w:rsid w:val="004B26D9"/>
    <w:rsid w:val="004B2701"/>
    <w:rsid w:val="004B289F"/>
    <w:rsid w:val="004B28B6"/>
    <w:rsid w:val="004B2C5E"/>
    <w:rsid w:val="004B3522"/>
    <w:rsid w:val="004B3830"/>
    <w:rsid w:val="004B3A8C"/>
    <w:rsid w:val="004B3CA8"/>
    <w:rsid w:val="004B4080"/>
    <w:rsid w:val="004B4177"/>
    <w:rsid w:val="004B4722"/>
    <w:rsid w:val="004B4F79"/>
    <w:rsid w:val="004B67BE"/>
    <w:rsid w:val="004B713A"/>
    <w:rsid w:val="004B71DC"/>
    <w:rsid w:val="004B754E"/>
    <w:rsid w:val="004B7662"/>
    <w:rsid w:val="004B774B"/>
    <w:rsid w:val="004C0529"/>
    <w:rsid w:val="004C08C8"/>
    <w:rsid w:val="004C0F94"/>
    <w:rsid w:val="004C130B"/>
    <w:rsid w:val="004C185C"/>
    <w:rsid w:val="004C1A87"/>
    <w:rsid w:val="004C27A4"/>
    <w:rsid w:val="004C38DA"/>
    <w:rsid w:val="004C3C32"/>
    <w:rsid w:val="004C4205"/>
    <w:rsid w:val="004C452E"/>
    <w:rsid w:val="004C4629"/>
    <w:rsid w:val="004C467C"/>
    <w:rsid w:val="004C49DA"/>
    <w:rsid w:val="004C4B71"/>
    <w:rsid w:val="004C4C07"/>
    <w:rsid w:val="004C56EE"/>
    <w:rsid w:val="004C579C"/>
    <w:rsid w:val="004C5DF2"/>
    <w:rsid w:val="004C72ED"/>
    <w:rsid w:val="004C793A"/>
    <w:rsid w:val="004C7FF5"/>
    <w:rsid w:val="004D05BE"/>
    <w:rsid w:val="004D087E"/>
    <w:rsid w:val="004D0A3C"/>
    <w:rsid w:val="004D106F"/>
    <w:rsid w:val="004D18C1"/>
    <w:rsid w:val="004D19A3"/>
    <w:rsid w:val="004D19DB"/>
    <w:rsid w:val="004D1E88"/>
    <w:rsid w:val="004D3CD7"/>
    <w:rsid w:val="004D3D5A"/>
    <w:rsid w:val="004D3EE9"/>
    <w:rsid w:val="004D44D3"/>
    <w:rsid w:val="004D45AC"/>
    <w:rsid w:val="004D51A4"/>
    <w:rsid w:val="004D58DE"/>
    <w:rsid w:val="004D60A7"/>
    <w:rsid w:val="004D63E2"/>
    <w:rsid w:val="004D6C0B"/>
    <w:rsid w:val="004D7765"/>
    <w:rsid w:val="004D7A62"/>
    <w:rsid w:val="004D7ECF"/>
    <w:rsid w:val="004E0431"/>
    <w:rsid w:val="004E0560"/>
    <w:rsid w:val="004E0811"/>
    <w:rsid w:val="004E0BFE"/>
    <w:rsid w:val="004E134E"/>
    <w:rsid w:val="004E1A18"/>
    <w:rsid w:val="004E1DB0"/>
    <w:rsid w:val="004E397A"/>
    <w:rsid w:val="004E3F30"/>
    <w:rsid w:val="004E46F8"/>
    <w:rsid w:val="004E5016"/>
    <w:rsid w:val="004E50C8"/>
    <w:rsid w:val="004E548A"/>
    <w:rsid w:val="004E5937"/>
    <w:rsid w:val="004E59A1"/>
    <w:rsid w:val="004E5ABF"/>
    <w:rsid w:val="004E653E"/>
    <w:rsid w:val="004E65F5"/>
    <w:rsid w:val="004E67E1"/>
    <w:rsid w:val="004E715C"/>
    <w:rsid w:val="004F12CC"/>
    <w:rsid w:val="004F1628"/>
    <w:rsid w:val="004F1AB5"/>
    <w:rsid w:val="004F1E92"/>
    <w:rsid w:val="004F2356"/>
    <w:rsid w:val="004F2B4D"/>
    <w:rsid w:val="004F2D77"/>
    <w:rsid w:val="004F3471"/>
    <w:rsid w:val="004F3E28"/>
    <w:rsid w:val="004F4EE7"/>
    <w:rsid w:val="004F621F"/>
    <w:rsid w:val="004F6B50"/>
    <w:rsid w:val="004F6D4A"/>
    <w:rsid w:val="004F78D0"/>
    <w:rsid w:val="004F79BF"/>
    <w:rsid w:val="004F7BB9"/>
    <w:rsid w:val="004F7F63"/>
    <w:rsid w:val="0050005F"/>
    <w:rsid w:val="0050058C"/>
    <w:rsid w:val="00500B56"/>
    <w:rsid w:val="00500DE9"/>
    <w:rsid w:val="00501225"/>
    <w:rsid w:val="005018D8"/>
    <w:rsid w:val="00501926"/>
    <w:rsid w:val="0050213A"/>
    <w:rsid w:val="005029F0"/>
    <w:rsid w:val="00502E3A"/>
    <w:rsid w:val="00502EAE"/>
    <w:rsid w:val="005036C8"/>
    <w:rsid w:val="00503A1B"/>
    <w:rsid w:val="00503CF6"/>
    <w:rsid w:val="00503F50"/>
    <w:rsid w:val="0050500F"/>
    <w:rsid w:val="00505279"/>
    <w:rsid w:val="00505404"/>
    <w:rsid w:val="00505535"/>
    <w:rsid w:val="00505536"/>
    <w:rsid w:val="00505543"/>
    <w:rsid w:val="0050598C"/>
    <w:rsid w:val="00505A73"/>
    <w:rsid w:val="00505BE5"/>
    <w:rsid w:val="00506100"/>
    <w:rsid w:val="005063E1"/>
    <w:rsid w:val="00506F72"/>
    <w:rsid w:val="00507CB4"/>
    <w:rsid w:val="00507CC5"/>
    <w:rsid w:val="00510004"/>
    <w:rsid w:val="00510112"/>
    <w:rsid w:val="0051013D"/>
    <w:rsid w:val="005103F6"/>
    <w:rsid w:val="0051177C"/>
    <w:rsid w:val="005119FB"/>
    <w:rsid w:val="00512073"/>
    <w:rsid w:val="00512421"/>
    <w:rsid w:val="0051360C"/>
    <w:rsid w:val="00513CE6"/>
    <w:rsid w:val="00516339"/>
    <w:rsid w:val="00516762"/>
    <w:rsid w:val="00516A0D"/>
    <w:rsid w:val="00516BBB"/>
    <w:rsid w:val="00516C3F"/>
    <w:rsid w:val="0051751E"/>
    <w:rsid w:val="00517CC8"/>
    <w:rsid w:val="00521414"/>
    <w:rsid w:val="00521440"/>
    <w:rsid w:val="00522023"/>
    <w:rsid w:val="0052255E"/>
    <w:rsid w:val="00523533"/>
    <w:rsid w:val="00523E83"/>
    <w:rsid w:val="0052400C"/>
    <w:rsid w:val="005248BB"/>
    <w:rsid w:val="005249F5"/>
    <w:rsid w:val="00524D92"/>
    <w:rsid w:val="00525ACA"/>
    <w:rsid w:val="00526137"/>
    <w:rsid w:val="00526582"/>
    <w:rsid w:val="00526933"/>
    <w:rsid w:val="005274E7"/>
    <w:rsid w:val="0052798C"/>
    <w:rsid w:val="00530001"/>
    <w:rsid w:val="00530740"/>
    <w:rsid w:val="005308A5"/>
    <w:rsid w:val="00530E40"/>
    <w:rsid w:val="00531108"/>
    <w:rsid w:val="0053115C"/>
    <w:rsid w:val="005311EC"/>
    <w:rsid w:val="0053126F"/>
    <w:rsid w:val="005314E9"/>
    <w:rsid w:val="00531659"/>
    <w:rsid w:val="00531723"/>
    <w:rsid w:val="00531DA1"/>
    <w:rsid w:val="00531E63"/>
    <w:rsid w:val="00532362"/>
    <w:rsid w:val="0053275E"/>
    <w:rsid w:val="00532AA5"/>
    <w:rsid w:val="0053324F"/>
    <w:rsid w:val="00534618"/>
    <w:rsid w:val="005347EF"/>
    <w:rsid w:val="0053480B"/>
    <w:rsid w:val="00535990"/>
    <w:rsid w:val="00537738"/>
    <w:rsid w:val="00537EEC"/>
    <w:rsid w:val="005404BA"/>
    <w:rsid w:val="0054125D"/>
    <w:rsid w:val="005413F1"/>
    <w:rsid w:val="00541BD4"/>
    <w:rsid w:val="00541EF9"/>
    <w:rsid w:val="005420E8"/>
    <w:rsid w:val="0054224C"/>
    <w:rsid w:val="0054227E"/>
    <w:rsid w:val="005431CF"/>
    <w:rsid w:val="0054355A"/>
    <w:rsid w:val="00543D0A"/>
    <w:rsid w:val="005445F0"/>
    <w:rsid w:val="00544BC9"/>
    <w:rsid w:val="005454F3"/>
    <w:rsid w:val="005455E5"/>
    <w:rsid w:val="00545608"/>
    <w:rsid w:val="00545916"/>
    <w:rsid w:val="00546195"/>
    <w:rsid w:val="00546615"/>
    <w:rsid w:val="0054681B"/>
    <w:rsid w:val="00546894"/>
    <w:rsid w:val="00546C15"/>
    <w:rsid w:val="00546D25"/>
    <w:rsid w:val="0054779A"/>
    <w:rsid w:val="00547BA1"/>
    <w:rsid w:val="00547C28"/>
    <w:rsid w:val="00547CF4"/>
    <w:rsid w:val="005501B8"/>
    <w:rsid w:val="00550F28"/>
    <w:rsid w:val="00550F2C"/>
    <w:rsid w:val="0055131D"/>
    <w:rsid w:val="00551ACE"/>
    <w:rsid w:val="00551B5F"/>
    <w:rsid w:val="00551C1D"/>
    <w:rsid w:val="00553F72"/>
    <w:rsid w:val="00554036"/>
    <w:rsid w:val="00554580"/>
    <w:rsid w:val="00554D99"/>
    <w:rsid w:val="00556101"/>
    <w:rsid w:val="0055647F"/>
    <w:rsid w:val="00556DE2"/>
    <w:rsid w:val="00557CB1"/>
    <w:rsid w:val="0056067A"/>
    <w:rsid w:val="0056091E"/>
    <w:rsid w:val="00560DE2"/>
    <w:rsid w:val="00561371"/>
    <w:rsid w:val="0056172D"/>
    <w:rsid w:val="005619E6"/>
    <w:rsid w:val="005622C2"/>
    <w:rsid w:val="00562AC9"/>
    <w:rsid w:val="00562E08"/>
    <w:rsid w:val="0056304E"/>
    <w:rsid w:val="005632D8"/>
    <w:rsid w:val="005633D1"/>
    <w:rsid w:val="005635F3"/>
    <w:rsid w:val="005637BA"/>
    <w:rsid w:val="0056411C"/>
    <w:rsid w:val="00564934"/>
    <w:rsid w:val="00565B4C"/>
    <w:rsid w:val="00566053"/>
    <w:rsid w:val="00566078"/>
    <w:rsid w:val="00566301"/>
    <w:rsid w:val="005663FF"/>
    <w:rsid w:val="00567489"/>
    <w:rsid w:val="005677E5"/>
    <w:rsid w:val="0056795D"/>
    <w:rsid w:val="00567B14"/>
    <w:rsid w:val="00567C00"/>
    <w:rsid w:val="00567CA3"/>
    <w:rsid w:val="00567EF7"/>
    <w:rsid w:val="00570D24"/>
    <w:rsid w:val="00571557"/>
    <w:rsid w:val="0057167F"/>
    <w:rsid w:val="005718EE"/>
    <w:rsid w:val="00571EF3"/>
    <w:rsid w:val="0057274F"/>
    <w:rsid w:val="00572B82"/>
    <w:rsid w:val="00572D7C"/>
    <w:rsid w:val="00573C18"/>
    <w:rsid w:val="005745B0"/>
    <w:rsid w:val="0057473A"/>
    <w:rsid w:val="005749D6"/>
    <w:rsid w:val="00574BA0"/>
    <w:rsid w:val="00574C1A"/>
    <w:rsid w:val="0057515D"/>
    <w:rsid w:val="00575193"/>
    <w:rsid w:val="00575921"/>
    <w:rsid w:val="00575B89"/>
    <w:rsid w:val="00575F22"/>
    <w:rsid w:val="00576067"/>
    <w:rsid w:val="005765F1"/>
    <w:rsid w:val="00576F79"/>
    <w:rsid w:val="005773CD"/>
    <w:rsid w:val="00577709"/>
    <w:rsid w:val="005803D2"/>
    <w:rsid w:val="00580AF2"/>
    <w:rsid w:val="00580EEB"/>
    <w:rsid w:val="00580FCF"/>
    <w:rsid w:val="00583673"/>
    <w:rsid w:val="00583D08"/>
    <w:rsid w:val="00583D9D"/>
    <w:rsid w:val="00583F42"/>
    <w:rsid w:val="005853A8"/>
    <w:rsid w:val="005857DD"/>
    <w:rsid w:val="005857EB"/>
    <w:rsid w:val="00585C8B"/>
    <w:rsid w:val="0058614C"/>
    <w:rsid w:val="0058646F"/>
    <w:rsid w:val="00586878"/>
    <w:rsid w:val="00586BC0"/>
    <w:rsid w:val="0058764D"/>
    <w:rsid w:val="005877B2"/>
    <w:rsid w:val="00587BE7"/>
    <w:rsid w:val="00587CBC"/>
    <w:rsid w:val="00587E34"/>
    <w:rsid w:val="00590486"/>
    <w:rsid w:val="00590BF9"/>
    <w:rsid w:val="00590E4E"/>
    <w:rsid w:val="005914DB"/>
    <w:rsid w:val="00591E9F"/>
    <w:rsid w:val="005926E0"/>
    <w:rsid w:val="00592E4E"/>
    <w:rsid w:val="00593140"/>
    <w:rsid w:val="005945CF"/>
    <w:rsid w:val="00594CBF"/>
    <w:rsid w:val="005950F7"/>
    <w:rsid w:val="00595DF1"/>
    <w:rsid w:val="00595FA5"/>
    <w:rsid w:val="00596524"/>
    <w:rsid w:val="00596731"/>
    <w:rsid w:val="00597C14"/>
    <w:rsid w:val="00597D35"/>
    <w:rsid w:val="005A0668"/>
    <w:rsid w:val="005A0CB6"/>
    <w:rsid w:val="005A0F49"/>
    <w:rsid w:val="005A1522"/>
    <w:rsid w:val="005A2C03"/>
    <w:rsid w:val="005A2D11"/>
    <w:rsid w:val="005A2DE8"/>
    <w:rsid w:val="005A3204"/>
    <w:rsid w:val="005A3568"/>
    <w:rsid w:val="005A356A"/>
    <w:rsid w:val="005A3978"/>
    <w:rsid w:val="005A3FFF"/>
    <w:rsid w:val="005A4574"/>
    <w:rsid w:val="005A48EA"/>
    <w:rsid w:val="005A4A36"/>
    <w:rsid w:val="005A515B"/>
    <w:rsid w:val="005A5F23"/>
    <w:rsid w:val="005A60B2"/>
    <w:rsid w:val="005A613F"/>
    <w:rsid w:val="005A656B"/>
    <w:rsid w:val="005A667A"/>
    <w:rsid w:val="005A6D6D"/>
    <w:rsid w:val="005A71CF"/>
    <w:rsid w:val="005A7264"/>
    <w:rsid w:val="005A7669"/>
    <w:rsid w:val="005A7B24"/>
    <w:rsid w:val="005B0484"/>
    <w:rsid w:val="005B095A"/>
    <w:rsid w:val="005B13BB"/>
    <w:rsid w:val="005B1601"/>
    <w:rsid w:val="005B1BCF"/>
    <w:rsid w:val="005B2224"/>
    <w:rsid w:val="005B2563"/>
    <w:rsid w:val="005B25C3"/>
    <w:rsid w:val="005B281E"/>
    <w:rsid w:val="005B2F44"/>
    <w:rsid w:val="005B388B"/>
    <w:rsid w:val="005B3F23"/>
    <w:rsid w:val="005B46E9"/>
    <w:rsid w:val="005B4CFC"/>
    <w:rsid w:val="005B58B0"/>
    <w:rsid w:val="005B5C4D"/>
    <w:rsid w:val="005B5D87"/>
    <w:rsid w:val="005B641E"/>
    <w:rsid w:val="005B6422"/>
    <w:rsid w:val="005B71DB"/>
    <w:rsid w:val="005B764E"/>
    <w:rsid w:val="005B78A8"/>
    <w:rsid w:val="005B7A20"/>
    <w:rsid w:val="005C0298"/>
    <w:rsid w:val="005C02FC"/>
    <w:rsid w:val="005C0769"/>
    <w:rsid w:val="005C0B02"/>
    <w:rsid w:val="005C0EB3"/>
    <w:rsid w:val="005C10D0"/>
    <w:rsid w:val="005C2467"/>
    <w:rsid w:val="005C360A"/>
    <w:rsid w:val="005C3A04"/>
    <w:rsid w:val="005C4972"/>
    <w:rsid w:val="005C5457"/>
    <w:rsid w:val="005C5502"/>
    <w:rsid w:val="005C5BBE"/>
    <w:rsid w:val="005C6FDA"/>
    <w:rsid w:val="005D0D2F"/>
    <w:rsid w:val="005D0F59"/>
    <w:rsid w:val="005D1152"/>
    <w:rsid w:val="005D160E"/>
    <w:rsid w:val="005D1C15"/>
    <w:rsid w:val="005D20C2"/>
    <w:rsid w:val="005D221C"/>
    <w:rsid w:val="005D2537"/>
    <w:rsid w:val="005D2591"/>
    <w:rsid w:val="005D2628"/>
    <w:rsid w:val="005D2A43"/>
    <w:rsid w:val="005D3020"/>
    <w:rsid w:val="005D3202"/>
    <w:rsid w:val="005D3521"/>
    <w:rsid w:val="005D4331"/>
    <w:rsid w:val="005D44FB"/>
    <w:rsid w:val="005D47F4"/>
    <w:rsid w:val="005D4A5A"/>
    <w:rsid w:val="005D4DAE"/>
    <w:rsid w:val="005D4ECF"/>
    <w:rsid w:val="005D519B"/>
    <w:rsid w:val="005D59FA"/>
    <w:rsid w:val="005D5AB6"/>
    <w:rsid w:val="005D5BD4"/>
    <w:rsid w:val="005D5EC1"/>
    <w:rsid w:val="005D6EA0"/>
    <w:rsid w:val="005D7124"/>
    <w:rsid w:val="005D7E8F"/>
    <w:rsid w:val="005E0372"/>
    <w:rsid w:val="005E0496"/>
    <w:rsid w:val="005E069A"/>
    <w:rsid w:val="005E0884"/>
    <w:rsid w:val="005E0DCA"/>
    <w:rsid w:val="005E10F5"/>
    <w:rsid w:val="005E12F2"/>
    <w:rsid w:val="005E1501"/>
    <w:rsid w:val="005E1CC4"/>
    <w:rsid w:val="005E2B3B"/>
    <w:rsid w:val="005E2FBA"/>
    <w:rsid w:val="005E311F"/>
    <w:rsid w:val="005E3D97"/>
    <w:rsid w:val="005E450D"/>
    <w:rsid w:val="005E5279"/>
    <w:rsid w:val="005E5829"/>
    <w:rsid w:val="005E5A67"/>
    <w:rsid w:val="005E5EE2"/>
    <w:rsid w:val="005E67E7"/>
    <w:rsid w:val="005E7567"/>
    <w:rsid w:val="005E7AE7"/>
    <w:rsid w:val="005E7B36"/>
    <w:rsid w:val="005E7F9F"/>
    <w:rsid w:val="005F02E6"/>
    <w:rsid w:val="005F055D"/>
    <w:rsid w:val="005F08C4"/>
    <w:rsid w:val="005F0E70"/>
    <w:rsid w:val="005F10F1"/>
    <w:rsid w:val="005F14F8"/>
    <w:rsid w:val="005F1911"/>
    <w:rsid w:val="005F1B7A"/>
    <w:rsid w:val="005F25C2"/>
    <w:rsid w:val="005F2CBA"/>
    <w:rsid w:val="005F3216"/>
    <w:rsid w:val="005F328F"/>
    <w:rsid w:val="005F357E"/>
    <w:rsid w:val="005F39F1"/>
    <w:rsid w:val="005F4DFE"/>
    <w:rsid w:val="005F4EF9"/>
    <w:rsid w:val="005F640A"/>
    <w:rsid w:val="005F667F"/>
    <w:rsid w:val="005F7243"/>
    <w:rsid w:val="005F72A6"/>
    <w:rsid w:val="005F7511"/>
    <w:rsid w:val="005F7957"/>
    <w:rsid w:val="006004EC"/>
    <w:rsid w:val="00600664"/>
    <w:rsid w:val="00600748"/>
    <w:rsid w:val="0060099B"/>
    <w:rsid w:val="00600AE7"/>
    <w:rsid w:val="006015AE"/>
    <w:rsid w:val="006017B1"/>
    <w:rsid w:val="00601AAC"/>
    <w:rsid w:val="00601BA0"/>
    <w:rsid w:val="0060238A"/>
    <w:rsid w:val="006025D2"/>
    <w:rsid w:val="00602C7F"/>
    <w:rsid w:val="00602E7B"/>
    <w:rsid w:val="00602ECE"/>
    <w:rsid w:val="00603698"/>
    <w:rsid w:val="00603B92"/>
    <w:rsid w:val="006042A4"/>
    <w:rsid w:val="006047DE"/>
    <w:rsid w:val="006053D3"/>
    <w:rsid w:val="00605FB6"/>
    <w:rsid w:val="006062DE"/>
    <w:rsid w:val="0060685F"/>
    <w:rsid w:val="00606BC4"/>
    <w:rsid w:val="00606D2C"/>
    <w:rsid w:val="00606F96"/>
    <w:rsid w:val="00607066"/>
    <w:rsid w:val="00607197"/>
    <w:rsid w:val="00607A16"/>
    <w:rsid w:val="00607CCA"/>
    <w:rsid w:val="006109F8"/>
    <w:rsid w:val="00610DFB"/>
    <w:rsid w:val="00611826"/>
    <w:rsid w:val="00611F79"/>
    <w:rsid w:val="006121F1"/>
    <w:rsid w:val="00612C9B"/>
    <w:rsid w:val="006135F5"/>
    <w:rsid w:val="006137BB"/>
    <w:rsid w:val="00613AB6"/>
    <w:rsid w:val="006147EA"/>
    <w:rsid w:val="00614A97"/>
    <w:rsid w:val="00615597"/>
    <w:rsid w:val="00615EBA"/>
    <w:rsid w:val="006161CB"/>
    <w:rsid w:val="00616B6F"/>
    <w:rsid w:val="006177CE"/>
    <w:rsid w:val="00617DF7"/>
    <w:rsid w:val="00617E54"/>
    <w:rsid w:val="00620034"/>
    <w:rsid w:val="0062004C"/>
    <w:rsid w:val="00621596"/>
    <w:rsid w:val="00621993"/>
    <w:rsid w:val="0062296E"/>
    <w:rsid w:val="00623075"/>
    <w:rsid w:val="006231D1"/>
    <w:rsid w:val="00623232"/>
    <w:rsid w:val="006234C8"/>
    <w:rsid w:val="006236A3"/>
    <w:rsid w:val="006236B7"/>
    <w:rsid w:val="006236E3"/>
    <w:rsid w:val="00623910"/>
    <w:rsid w:val="00624A27"/>
    <w:rsid w:val="00624A9B"/>
    <w:rsid w:val="00624D74"/>
    <w:rsid w:val="0062716D"/>
    <w:rsid w:val="00627AF2"/>
    <w:rsid w:val="00627CF3"/>
    <w:rsid w:val="006303BA"/>
    <w:rsid w:val="006304FF"/>
    <w:rsid w:val="00630977"/>
    <w:rsid w:val="006317FF"/>
    <w:rsid w:val="006319F7"/>
    <w:rsid w:val="00631C79"/>
    <w:rsid w:val="00631E8C"/>
    <w:rsid w:val="00632D54"/>
    <w:rsid w:val="00632F94"/>
    <w:rsid w:val="00633EF3"/>
    <w:rsid w:val="00634745"/>
    <w:rsid w:val="00635008"/>
    <w:rsid w:val="006354B7"/>
    <w:rsid w:val="00635815"/>
    <w:rsid w:val="006359D8"/>
    <w:rsid w:val="00635B18"/>
    <w:rsid w:val="00635DDC"/>
    <w:rsid w:val="006360C3"/>
    <w:rsid w:val="0063632F"/>
    <w:rsid w:val="0063654C"/>
    <w:rsid w:val="0063685F"/>
    <w:rsid w:val="00636FC1"/>
    <w:rsid w:val="00637CDA"/>
    <w:rsid w:val="00640A0B"/>
    <w:rsid w:val="00640EE8"/>
    <w:rsid w:val="00640FBD"/>
    <w:rsid w:val="0064112A"/>
    <w:rsid w:val="00641364"/>
    <w:rsid w:val="00641815"/>
    <w:rsid w:val="00641FFA"/>
    <w:rsid w:val="00642CD2"/>
    <w:rsid w:val="0064305D"/>
    <w:rsid w:val="0064325D"/>
    <w:rsid w:val="00643DE3"/>
    <w:rsid w:val="00644575"/>
    <w:rsid w:val="006454B8"/>
    <w:rsid w:val="00645C06"/>
    <w:rsid w:val="00645D0E"/>
    <w:rsid w:val="006461B1"/>
    <w:rsid w:val="0064633E"/>
    <w:rsid w:val="006463C3"/>
    <w:rsid w:val="006463D7"/>
    <w:rsid w:val="00647425"/>
    <w:rsid w:val="006503A9"/>
    <w:rsid w:val="00650C56"/>
    <w:rsid w:val="00650D00"/>
    <w:rsid w:val="006517DD"/>
    <w:rsid w:val="00651841"/>
    <w:rsid w:val="006518F0"/>
    <w:rsid w:val="00651E63"/>
    <w:rsid w:val="0065275C"/>
    <w:rsid w:val="00652858"/>
    <w:rsid w:val="00652BAB"/>
    <w:rsid w:val="00653212"/>
    <w:rsid w:val="00653390"/>
    <w:rsid w:val="00654133"/>
    <w:rsid w:val="006542C6"/>
    <w:rsid w:val="006555BA"/>
    <w:rsid w:val="006558DC"/>
    <w:rsid w:val="00655BD7"/>
    <w:rsid w:val="00656546"/>
    <w:rsid w:val="00656B27"/>
    <w:rsid w:val="006575D9"/>
    <w:rsid w:val="00657AA0"/>
    <w:rsid w:val="00657F8B"/>
    <w:rsid w:val="00660401"/>
    <w:rsid w:val="0066050B"/>
    <w:rsid w:val="0066090B"/>
    <w:rsid w:val="00660DEC"/>
    <w:rsid w:val="0066108B"/>
    <w:rsid w:val="006612E0"/>
    <w:rsid w:val="006614ED"/>
    <w:rsid w:val="006618FC"/>
    <w:rsid w:val="006623A2"/>
    <w:rsid w:val="00662928"/>
    <w:rsid w:val="00663747"/>
    <w:rsid w:val="00663D00"/>
    <w:rsid w:val="00663E86"/>
    <w:rsid w:val="00663E9A"/>
    <w:rsid w:val="00664853"/>
    <w:rsid w:val="00666496"/>
    <w:rsid w:val="00666DFF"/>
    <w:rsid w:val="00666E90"/>
    <w:rsid w:val="006677FC"/>
    <w:rsid w:val="00670C62"/>
    <w:rsid w:val="00671B7E"/>
    <w:rsid w:val="00671C67"/>
    <w:rsid w:val="00671EA1"/>
    <w:rsid w:val="0067249D"/>
    <w:rsid w:val="00672694"/>
    <w:rsid w:val="00673773"/>
    <w:rsid w:val="00673BB0"/>
    <w:rsid w:val="00673CB1"/>
    <w:rsid w:val="00674196"/>
    <w:rsid w:val="00674373"/>
    <w:rsid w:val="00674BC9"/>
    <w:rsid w:val="006759DF"/>
    <w:rsid w:val="00675CE3"/>
    <w:rsid w:val="00676178"/>
    <w:rsid w:val="006762D3"/>
    <w:rsid w:val="00676304"/>
    <w:rsid w:val="006767BC"/>
    <w:rsid w:val="00676A48"/>
    <w:rsid w:val="00676F60"/>
    <w:rsid w:val="0067753D"/>
    <w:rsid w:val="0067777A"/>
    <w:rsid w:val="00677849"/>
    <w:rsid w:val="00680D05"/>
    <w:rsid w:val="00681393"/>
    <w:rsid w:val="0068160C"/>
    <w:rsid w:val="00681D75"/>
    <w:rsid w:val="00681EE1"/>
    <w:rsid w:val="0068242E"/>
    <w:rsid w:val="0068243F"/>
    <w:rsid w:val="00682EC0"/>
    <w:rsid w:val="0068337A"/>
    <w:rsid w:val="00683795"/>
    <w:rsid w:val="00684BAF"/>
    <w:rsid w:val="0068520B"/>
    <w:rsid w:val="00685431"/>
    <w:rsid w:val="00685AAA"/>
    <w:rsid w:val="00685B8A"/>
    <w:rsid w:val="00685EB4"/>
    <w:rsid w:val="00686728"/>
    <w:rsid w:val="0068681E"/>
    <w:rsid w:val="00686B71"/>
    <w:rsid w:val="00686DB7"/>
    <w:rsid w:val="00687446"/>
    <w:rsid w:val="00687749"/>
    <w:rsid w:val="00687ED7"/>
    <w:rsid w:val="00690227"/>
    <w:rsid w:val="0069108D"/>
    <w:rsid w:val="00691E8E"/>
    <w:rsid w:val="00692078"/>
    <w:rsid w:val="006928DF"/>
    <w:rsid w:val="0069404F"/>
    <w:rsid w:val="00694327"/>
    <w:rsid w:val="00694448"/>
    <w:rsid w:val="0069445F"/>
    <w:rsid w:val="00694AA4"/>
    <w:rsid w:val="006950AF"/>
    <w:rsid w:val="00695431"/>
    <w:rsid w:val="00695513"/>
    <w:rsid w:val="00695E74"/>
    <w:rsid w:val="00696486"/>
    <w:rsid w:val="00696688"/>
    <w:rsid w:val="00696EBB"/>
    <w:rsid w:val="006970A2"/>
    <w:rsid w:val="006A06C6"/>
    <w:rsid w:val="006A0807"/>
    <w:rsid w:val="006A1F10"/>
    <w:rsid w:val="006A2091"/>
    <w:rsid w:val="006A2E3C"/>
    <w:rsid w:val="006A34F6"/>
    <w:rsid w:val="006A3C97"/>
    <w:rsid w:val="006A3F83"/>
    <w:rsid w:val="006A3F8D"/>
    <w:rsid w:val="006A401F"/>
    <w:rsid w:val="006A436B"/>
    <w:rsid w:val="006A4D4E"/>
    <w:rsid w:val="006A4D5D"/>
    <w:rsid w:val="006A5B12"/>
    <w:rsid w:val="006A5BC5"/>
    <w:rsid w:val="006A64A2"/>
    <w:rsid w:val="006A674D"/>
    <w:rsid w:val="006A6981"/>
    <w:rsid w:val="006A78F0"/>
    <w:rsid w:val="006A7EBD"/>
    <w:rsid w:val="006B1271"/>
    <w:rsid w:val="006B20A0"/>
    <w:rsid w:val="006B3C38"/>
    <w:rsid w:val="006B449D"/>
    <w:rsid w:val="006B451B"/>
    <w:rsid w:val="006B52DD"/>
    <w:rsid w:val="006B5680"/>
    <w:rsid w:val="006B630A"/>
    <w:rsid w:val="006B6A6F"/>
    <w:rsid w:val="006C1050"/>
    <w:rsid w:val="006C10E9"/>
    <w:rsid w:val="006C1577"/>
    <w:rsid w:val="006C15CC"/>
    <w:rsid w:val="006C1F57"/>
    <w:rsid w:val="006C300C"/>
    <w:rsid w:val="006C31F2"/>
    <w:rsid w:val="006C3267"/>
    <w:rsid w:val="006C338E"/>
    <w:rsid w:val="006C3650"/>
    <w:rsid w:val="006C3A68"/>
    <w:rsid w:val="006C3E0F"/>
    <w:rsid w:val="006C47CB"/>
    <w:rsid w:val="006C51DA"/>
    <w:rsid w:val="006C5ACD"/>
    <w:rsid w:val="006C5E5C"/>
    <w:rsid w:val="006C620F"/>
    <w:rsid w:val="006C6300"/>
    <w:rsid w:val="006C640C"/>
    <w:rsid w:val="006C7158"/>
    <w:rsid w:val="006C7368"/>
    <w:rsid w:val="006D0FAF"/>
    <w:rsid w:val="006D1544"/>
    <w:rsid w:val="006D15A4"/>
    <w:rsid w:val="006D1B8C"/>
    <w:rsid w:val="006D36B7"/>
    <w:rsid w:val="006D3A49"/>
    <w:rsid w:val="006D3BF8"/>
    <w:rsid w:val="006D44B6"/>
    <w:rsid w:val="006D4A0D"/>
    <w:rsid w:val="006D5E09"/>
    <w:rsid w:val="006D71B2"/>
    <w:rsid w:val="006D7573"/>
    <w:rsid w:val="006E03E4"/>
    <w:rsid w:val="006E08B4"/>
    <w:rsid w:val="006E092F"/>
    <w:rsid w:val="006E099F"/>
    <w:rsid w:val="006E16F1"/>
    <w:rsid w:val="006E25E9"/>
    <w:rsid w:val="006E27F1"/>
    <w:rsid w:val="006E2E00"/>
    <w:rsid w:val="006E321E"/>
    <w:rsid w:val="006E346D"/>
    <w:rsid w:val="006E359B"/>
    <w:rsid w:val="006E37FC"/>
    <w:rsid w:val="006E53C2"/>
    <w:rsid w:val="006E5560"/>
    <w:rsid w:val="006E5852"/>
    <w:rsid w:val="006E6104"/>
    <w:rsid w:val="006E61E0"/>
    <w:rsid w:val="006E63CA"/>
    <w:rsid w:val="006E6E90"/>
    <w:rsid w:val="006E75BF"/>
    <w:rsid w:val="006E7752"/>
    <w:rsid w:val="006F0100"/>
    <w:rsid w:val="006F01F5"/>
    <w:rsid w:val="006F09B5"/>
    <w:rsid w:val="006F0A01"/>
    <w:rsid w:val="006F112F"/>
    <w:rsid w:val="006F1349"/>
    <w:rsid w:val="006F141B"/>
    <w:rsid w:val="006F201F"/>
    <w:rsid w:val="006F24D4"/>
    <w:rsid w:val="006F2C03"/>
    <w:rsid w:val="006F2F5E"/>
    <w:rsid w:val="006F3B16"/>
    <w:rsid w:val="006F3D29"/>
    <w:rsid w:val="006F4418"/>
    <w:rsid w:val="006F48B3"/>
    <w:rsid w:val="006F48B8"/>
    <w:rsid w:val="006F529F"/>
    <w:rsid w:val="006F5302"/>
    <w:rsid w:val="006F553C"/>
    <w:rsid w:val="006F55B0"/>
    <w:rsid w:val="006F5924"/>
    <w:rsid w:val="006F5A3D"/>
    <w:rsid w:val="006F6258"/>
    <w:rsid w:val="006F65E1"/>
    <w:rsid w:val="006F6B7C"/>
    <w:rsid w:val="006F6DB8"/>
    <w:rsid w:val="006F6E3D"/>
    <w:rsid w:val="006F6F26"/>
    <w:rsid w:val="006F73D9"/>
    <w:rsid w:val="006F7E77"/>
    <w:rsid w:val="006F7F8E"/>
    <w:rsid w:val="007007B9"/>
    <w:rsid w:val="00700AD8"/>
    <w:rsid w:val="00700DF2"/>
    <w:rsid w:val="00701552"/>
    <w:rsid w:val="00701A66"/>
    <w:rsid w:val="00701A86"/>
    <w:rsid w:val="007036F3"/>
    <w:rsid w:val="00703849"/>
    <w:rsid w:val="00703BE7"/>
    <w:rsid w:val="00704775"/>
    <w:rsid w:val="00704B70"/>
    <w:rsid w:val="00704FDE"/>
    <w:rsid w:val="00705448"/>
    <w:rsid w:val="00706B6B"/>
    <w:rsid w:val="007071F8"/>
    <w:rsid w:val="00707C21"/>
    <w:rsid w:val="00707D73"/>
    <w:rsid w:val="00707E48"/>
    <w:rsid w:val="00707F74"/>
    <w:rsid w:val="00711B67"/>
    <w:rsid w:val="00711E86"/>
    <w:rsid w:val="007121BC"/>
    <w:rsid w:val="00712279"/>
    <w:rsid w:val="007122EC"/>
    <w:rsid w:val="00712547"/>
    <w:rsid w:val="0071281C"/>
    <w:rsid w:val="00712902"/>
    <w:rsid w:val="007134FD"/>
    <w:rsid w:val="00713E05"/>
    <w:rsid w:val="00713F58"/>
    <w:rsid w:val="00714504"/>
    <w:rsid w:val="0071466A"/>
    <w:rsid w:val="00714CAF"/>
    <w:rsid w:val="00716C82"/>
    <w:rsid w:val="0071742A"/>
    <w:rsid w:val="00720010"/>
    <w:rsid w:val="00720160"/>
    <w:rsid w:val="0072017E"/>
    <w:rsid w:val="00720E5C"/>
    <w:rsid w:val="007218FB"/>
    <w:rsid w:val="0072233F"/>
    <w:rsid w:val="007223CC"/>
    <w:rsid w:val="00722BE6"/>
    <w:rsid w:val="00723826"/>
    <w:rsid w:val="007240B3"/>
    <w:rsid w:val="007262C8"/>
    <w:rsid w:val="00726449"/>
    <w:rsid w:val="007264AE"/>
    <w:rsid w:val="00726B1B"/>
    <w:rsid w:val="00726EB7"/>
    <w:rsid w:val="0073060C"/>
    <w:rsid w:val="00730E8F"/>
    <w:rsid w:val="007312A9"/>
    <w:rsid w:val="007313DD"/>
    <w:rsid w:val="00731CF7"/>
    <w:rsid w:val="00731D48"/>
    <w:rsid w:val="00732D1B"/>
    <w:rsid w:val="00732E15"/>
    <w:rsid w:val="007336FB"/>
    <w:rsid w:val="00734484"/>
    <w:rsid w:val="0073456A"/>
    <w:rsid w:val="007347C1"/>
    <w:rsid w:val="00734E17"/>
    <w:rsid w:val="007352F1"/>
    <w:rsid w:val="007358C3"/>
    <w:rsid w:val="0073609A"/>
    <w:rsid w:val="00736FBD"/>
    <w:rsid w:val="00737ED7"/>
    <w:rsid w:val="00740346"/>
    <w:rsid w:val="007403A6"/>
    <w:rsid w:val="00740635"/>
    <w:rsid w:val="00740718"/>
    <w:rsid w:val="007412FD"/>
    <w:rsid w:val="007417CC"/>
    <w:rsid w:val="00741BEF"/>
    <w:rsid w:val="00742076"/>
    <w:rsid w:val="00742437"/>
    <w:rsid w:val="0074264A"/>
    <w:rsid w:val="00742AD9"/>
    <w:rsid w:val="00742CD4"/>
    <w:rsid w:val="00743167"/>
    <w:rsid w:val="00743658"/>
    <w:rsid w:val="00743879"/>
    <w:rsid w:val="00744329"/>
    <w:rsid w:val="007444B4"/>
    <w:rsid w:val="00744567"/>
    <w:rsid w:val="00744670"/>
    <w:rsid w:val="0074468D"/>
    <w:rsid w:val="00744899"/>
    <w:rsid w:val="00744D29"/>
    <w:rsid w:val="00745097"/>
    <w:rsid w:val="00745136"/>
    <w:rsid w:val="0074585D"/>
    <w:rsid w:val="00745A15"/>
    <w:rsid w:val="00745A37"/>
    <w:rsid w:val="00745D11"/>
    <w:rsid w:val="00745DD2"/>
    <w:rsid w:val="00745DED"/>
    <w:rsid w:val="007465C4"/>
    <w:rsid w:val="007466AC"/>
    <w:rsid w:val="00746BDF"/>
    <w:rsid w:val="00746D3E"/>
    <w:rsid w:val="00746FF8"/>
    <w:rsid w:val="0074707E"/>
    <w:rsid w:val="007477E8"/>
    <w:rsid w:val="00747E39"/>
    <w:rsid w:val="00750110"/>
    <w:rsid w:val="0075067D"/>
    <w:rsid w:val="007508FC"/>
    <w:rsid w:val="00750A41"/>
    <w:rsid w:val="00750D3C"/>
    <w:rsid w:val="00751354"/>
    <w:rsid w:val="0075143B"/>
    <w:rsid w:val="00751D25"/>
    <w:rsid w:val="00751FD9"/>
    <w:rsid w:val="007525D9"/>
    <w:rsid w:val="0075283B"/>
    <w:rsid w:val="0075296A"/>
    <w:rsid w:val="00752CB3"/>
    <w:rsid w:val="00753C67"/>
    <w:rsid w:val="0075412E"/>
    <w:rsid w:val="007546FF"/>
    <w:rsid w:val="00754E49"/>
    <w:rsid w:val="0075515D"/>
    <w:rsid w:val="0075520E"/>
    <w:rsid w:val="00756550"/>
    <w:rsid w:val="00756899"/>
    <w:rsid w:val="00756909"/>
    <w:rsid w:val="007569BD"/>
    <w:rsid w:val="00756BFE"/>
    <w:rsid w:val="00756DBE"/>
    <w:rsid w:val="00756DCE"/>
    <w:rsid w:val="0075743E"/>
    <w:rsid w:val="00757F26"/>
    <w:rsid w:val="00760D10"/>
    <w:rsid w:val="00761AFB"/>
    <w:rsid w:val="00762108"/>
    <w:rsid w:val="0076284D"/>
    <w:rsid w:val="00762C09"/>
    <w:rsid w:val="0076347C"/>
    <w:rsid w:val="00763B8F"/>
    <w:rsid w:val="00763E22"/>
    <w:rsid w:val="00764808"/>
    <w:rsid w:val="00765FCF"/>
    <w:rsid w:val="007666C1"/>
    <w:rsid w:val="00766C3B"/>
    <w:rsid w:val="00767943"/>
    <w:rsid w:val="007701D3"/>
    <w:rsid w:val="007703CD"/>
    <w:rsid w:val="00770911"/>
    <w:rsid w:val="00770D93"/>
    <w:rsid w:val="00770E38"/>
    <w:rsid w:val="007722E6"/>
    <w:rsid w:val="00772479"/>
    <w:rsid w:val="00772800"/>
    <w:rsid w:val="00772B16"/>
    <w:rsid w:val="00772D9D"/>
    <w:rsid w:val="00772E1B"/>
    <w:rsid w:val="007733D7"/>
    <w:rsid w:val="00773631"/>
    <w:rsid w:val="007736C7"/>
    <w:rsid w:val="00774222"/>
    <w:rsid w:val="00774B2D"/>
    <w:rsid w:val="007751DE"/>
    <w:rsid w:val="007764B4"/>
    <w:rsid w:val="0077697A"/>
    <w:rsid w:val="00776F59"/>
    <w:rsid w:val="007774D7"/>
    <w:rsid w:val="00777CA3"/>
    <w:rsid w:val="0078133D"/>
    <w:rsid w:val="007817E9"/>
    <w:rsid w:val="00781B2C"/>
    <w:rsid w:val="00781E34"/>
    <w:rsid w:val="007826D2"/>
    <w:rsid w:val="00782AC5"/>
    <w:rsid w:val="00782C96"/>
    <w:rsid w:val="007832F7"/>
    <w:rsid w:val="00784A7C"/>
    <w:rsid w:val="0078549B"/>
    <w:rsid w:val="00785685"/>
    <w:rsid w:val="00785785"/>
    <w:rsid w:val="00785FCC"/>
    <w:rsid w:val="00786256"/>
    <w:rsid w:val="007862F5"/>
    <w:rsid w:val="007875E6"/>
    <w:rsid w:val="00787B0A"/>
    <w:rsid w:val="007905A5"/>
    <w:rsid w:val="00790878"/>
    <w:rsid w:val="007909BD"/>
    <w:rsid w:val="00791722"/>
    <w:rsid w:val="00791DED"/>
    <w:rsid w:val="0079276C"/>
    <w:rsid w:val="00792AA8"/>
    <w:rsid w:val="00792AC7"/>
    <w:rsid w:val="00792F68"/>
    <w:rsid w:val="007931AE"/>
    <w:rsid w:val="00793512"/>
    <w:rsid w:val="00793794"/>
    <w:rsid w:val="00793AAE"/>
    <w:rsid w:val="00794577"/>
    <w:rsid w:val="0079477F"/>
    <w:rsid w:val="00794972"/>
    <w:rsid w:val="007951BE"/>
    <w:rsid w:val="00795737"/>
    <w:rsid w:val="007967F0"/>
    <w:rsid w:val="00796AED"/>
    <w:rsid w:val="00796EE7"/>
    <w:rsid w:val="00797022"/>
    <w:rsid w:val="007971DA"/>
    <w:rsid w:val="00797404"/>
    <w:rsid w:val="00797C62"/>
    <w:rsid w:val="00797E33"/>
    <w:rsid w:val="007A00BB"/>
    <w:rsid w:val="007A00E6"/>
    <w:rsid w:val="007A0984"/>
    <w:rsid w:val="007A0C40"/>
    <w:rsid w:val="007A18AD"/>
    <w:rsid w:val="007A3018"/>
    <w:rsid w:val="007A3ABE"/>
    <w:rsid w:val="007A3D53"/>
    <w:rsid w:val="007A3FA5"/>
    <w:rsid w:val="007A4A43"/>
    <w:rsid w:val="007A4CB0"/>
    <w:rsid w:val="007A59B0"/>
    <w:rsid w:val="007A5A4B"/>
    <w:rsid w:val="007A5B52"/>
    <w:rsid w:val="007A5EEC"/>
    <w:rsid w:val="007A61F5"/>
    <w:rsid w:val="007A620C"/>
    <w:rsid w:val="007A62C3"/>
    <w:rsid w:val="007A6629"/>
    <w:rsid w:val="007A6C11"/>
    <w:rsid w:val="007A6F2E"/>
    <w:rsid w:val="007A7598"/>
    <w:rsid w:val="007B0350"/>
    <w:rsid w:val="007B0EB5"/>
    <w:rsid w:val="007B1861"/>
    <w:rsid w:val="007B1FA6"/>
    <w:rsid w:val="007B2986"/>
    <w:rsid w:val="007B3B33"/>
    <w:rsid w:val="007B409B"/>
    <w:rsid w:val="007B4102"/>
    <w:rsid w:val="007B4F94"/>
    <w:rsid w:val="007B5099"/>
    <w:rsid w:val="007B5D59"/>
    <w:rsid w:val="007B5FC1"/>
    <w:rsid w:val="007B651A"/>
    <w:rsid w:val="007B6648"/>
    <w:rsid w:val="007B6669"/>
    <w:rsid w:val="007B76DF"/>
    <w:rsid w:val="007C0B22"/>
    <w:rsid w:val="007C1297"/>
    <w:rsid w:val="007C14F8"/>
    <w:rsid w:val="007C1DE4"/>
    <w:rsid w:val="007C2830"/>
    <w:rsid w:val="007C2878"/>
    <w:rsid w:val="007C30C5"/>
    <w:rsid w:val="007C311B"/>
    <w:rsid w:val="007C3D5A"/>
    <w:rsid w:val="007C3DFE"/>
    <w:rsid w:val="007C4812"/>
    <w:rsid w:val="007C506B"/>
    <w:rsid w:val="007C582F"/>
    <w:rsid w:val="007C59D7"/>
    <w:rsid w:val="007C5C4D"/>
    <w:rsid w:val="007C72A1"/>
    <w:rsid w:val="007C7E5C"/>
    <w:rsid w:val="007D0060"/>
    <w:rsid w:val="007D0986"/>
    <w:rsid w:val="007D0C74"/>
    <w:rsid w:val="007D12CB"/>
    <w:rsid w:val="007D1CE3"/>
    <w:rsid w:val="007D26B5"/>
    <w:rsid w:val="007D4F0E"/>
    <w:rsid w:val="007D4F4A"/>
    <w:rsid w:val="007D59A7"/>
    <w:rsid w:val="007D6491"/>
    <w:rsid w:val="007D698B"/>
    <w:rsid w:val="007D6ABE"/>
    <w:rsid w:val="007D6D8F"/>
    <w:rsid w:val="007D71E0"/>
    <w:rsid w:val="007D72BD"/>
    <w:rsid w:val="007D73E3"/>
    <w:rsid w:val="007D7BB6"/>
    <w:rsid w:val="007E0B60"/>
    <w:rsid w:val="007E0CE3"/>
    <w:rsid w:val="007E0ED0"/>
    <w:rsid w:val="007E0F35"/>
    <w:rsid w:val="007E25D4"/>
    <w:rsid w:val="007E2AA7"/>
    <w:rsid w:val="007E2F66"/>
    <w:rsid w:val="007E3001"/>
    <w:rsid w:val="007E364C"/>
    <w:rsid w:val="007E5D35"/>
    <w:rsid w:val="007E61DE"/>
    <w:rsid w:val="007E66E8"/>
    <w:rsid w:val="007E7D15"/>
    <w:rsid w:val="007F00CE"/>
    <w:rsid w:val="007F0409"/>
    <w:rsid w:val="007F0F6D"/>
    <w:rsid w:val="007F1026"/>
    <w:rsid w:val="007F170D"/>
    <w:rsid w:val="007F23D1"/>
    <w:rsid w:val="007F25E8"/>
    <w:rsid w:val="007F2610"/>
    <w:rsid w:val="007F27E4"/>
    <w:rsid w:val="007F2B73"/>
    <w:rsid w:val="007F2BE4"/>
    <w:rsid w:val="007F2C4D"/>
    <w:rsid w:val="007F3289"/>
    <w:rsid w:val="007F3380"/>
    <w:rsid w:val="007F3389"/>
    <w:rsid w:val="007F360C"/>
    <w:rsid w:val="007F37EC"/>
    <w:rsid w:val="007F3CC1"/>
    <w:rsid w:val="007F443F"/>
    <w:rsid w:val="007F44F6"/>
    <w:rsid w:val="007F4FE4"/>
    <w:rsid w:val="007F52A6"/>
    <w:rsid w:val="007F5789"/>
    <w:rsid w:val="007F5A2A"/>
    <w:rsid w:val="007F68DA"/>
    <w:rsid w:val="007F6C43"/>
    <w:rsid w:val="007F6FB2"/>
    <w:rsid w:val="0080021F"/>
    <w:rsid w:val="00800243"/>
    <w:rsid w:val="008004E7"/>
    <w:rsid w:val="00800A90"/>
    <w:rsid w:val="00800C68"/>
    <w:rsid w:val="00801910"/>
    <w:rsid w:val="00801A4A"/>
    <w:rsid w:val="008026B7"/>
    <w:rsid w:val="0080276C"/>
    <w:rsid w:val="00803188"/>
    <w:rsid w:val="008036FC"/>
    <w:rsid w:val="00803ACC"/>
    <w:rsid w:val="00803B67"/>
    <w:rsid w:val="00805B88"/>
    <w:rsid w:val="008060C8"/>
    <w:rsid w:val="00807185"/>
    <w:rsid w:val="008073B4"/>
    <w:rsid w:val="00807A35"/>
    <w:rsid w:val="00807BDA"/>
    <w:rsid w:val="0081057A"/>
    <w:rsid w:val="00810F5C"/>
    <w:rsid w:val="00811310"/>
    <w:rsid w:val="00812723"/>
    <w:rsid w:val="00812B1E"/>
    <w:rsid w:val="00812BE8"/>
    <w:rsid w:val="0081358A"/>
    <w:rsid w:val="008139B6"/>
    <w:rsid w:val="00813B67"/>
    <w:rsid w:val="00813D78"/>
    <w:rsid w:val="0081404B"/>
    <w:rsid w:val="0081443F"/>
    <w:rsid w:val="0081467B"/>
    <w:rsid w:val="00814A6A"/>
    <w:rsid w:val="00814D18"/>
    <w:rsid w:val="00814E70"/>
    <w:rsid w:val="00814ED4"/>
    <w:rsid w:val="0081528A"/>
    <w:rsid w:val="008152E3"/>
    <w:rsid w:val="00815300"/>
    <w:rsid w:val="0081557C"/>
    <w:rsid w:val="008157C8"/>
    <w:rsid w:val="008159B1"/>
    <w:rsid w:val="008159D7"/>
    <w:rsid w:val="00815E09"/>
    <w:rsid w:val="008162C7"/>
    <w:rsid w:val="00816CE3"/>
    <w:rsid w:val="00816EED"/>
    <w:rsid w:val="0081729B"/>
    <w:rsid w:val="00817B11"/>
    <w:rsid w:val="00820282"/>
    <w:rsid w:val="0082040B"/>
    <w:rsid w:val="0082062A"/>
    <w:rsid w:val="0082117F"/>
    <w:rsid w:val="0082138D"/>
    <w:rsid w:val="00821C53"/>
    <w:rsid w:val="00821DFE"/>
    <w:rsid w:val="0082225B"/>
    <w:rsid w:val="00822726"/>
    <w:rsid w:val="00823D36"/>
    <w:rsid w:val="008240A4"/>
    <w:rsid w:val="008242EB"/>
    <w:rsid w:val="00825920"/>
    <w:rsid w:val="00825EF4"/>
    <w:rsid w:val="0082619C"/>
    <w:rsid w:val="00826240"/>
    <w:rsid w:val="00826E62"/>
    <w:rsid w:val="0082746F"/>
    <w:rsid w:val="00827699"/>
    <w:rsid w:val="008278F6"/>
    <w:rsid w:val="00827FE9"/>
    <w:rsid w:val="008305F0"/>
    <w:rsid w:val="008306DD"/>
    <w:rsid w:val="0083074E"/>
    <w:rsid w:val="00830C75"/>
    <w:rsid w:val="0083150F"/>
    <w:rsid w:val="00831A0D"/>
    <w:rsid w:val="00831B4F"/>
    <w:rsid w:val="00831C05"/>
    <w:rsid w:val="00832483"/>
    <w:rsid w:val="00832ABF"/>
    <w:rsid w:val="00832B1F"/>
    <w:rsid w:val="00832EC3"/>
    <w:rsid w:val="008331F3"/>
    <w:rsid w:val="0083457E"/>
    <w:rsid w:val="0083463C"/>
    <w:rsid w:val="00834767"/>
    <w:rsid w:val="008351E9"/>
    <w:rsid w:val="0083641A"/>
    <w:rsid w:val="008365EC"/>
    <w:rsid w:val="008368D3"/>
    <w:rsid w:val="00836AD2"/>
    <w:rsid w:val="00837509"/>
    <w:rsid w:val="008375CC"/>
    <w:rsid w:val="00837731"/>
    <w:rsid w:val="008415CC"/>
    <w:rsid w:val="0084179A"/>
    <w:rsid w:val="00842862"/>
    <w:rsid w:val="00842DCB"/>
    <w:rsid w:val="00843774"/>
    <w:rsid w:val="00844570"/>
    <w:rsid w:val="008446A9"/>
    <w:rsid w:val="00844F27"/>
    <w:rsid w:val="00845199"/>
    <w:rsid w:val="008451FE"/>
    <w:rsid w:val="00845BAB"/>
    <w:rsid w:val="00846413"/>
    <w:rsid w:val="0084672F"/>
    <w:rsid w:val="00846A10"/>
    <w:rsid w:val="00846C27"/>
    <w:rsid w:val="00846CE2"/>
    <w:rsid w:val="00847843"/>
    <w:rsid w:val="00847A63"/>
    <w:rsid w:val="00847DFE"/>
    <w:rsid w:val="008504B8"/>
    <w:rsid w:val="00850C62"/>
    <w:rsid w:val="00850E5B"/>
    <w:rsid w:val="00851007"/>
    <w:rsid w:val="00851111"/>
    <w:rsid w:val="008512C8"/>
    <w:rsid w:val="008514AC"/>
    <w:rsid w:val="0085234E"/>
    <w:rsid w:val="008525CF"/>
    <w:rsid w:val="00853615"/>
    <w:rsid w:val="008542CC"/>
    <w:rsid w:val="008546B0"/>
    <w:rsid w:val="00854899"/>
    <w:rsid w:val="00854C29"/>
    <w:rsid w:val="008558E3"/>
    <w:rsid w:val="00855E7C"/>
    <w:rsid w:val="008561A1"/>
    <w:rsid w:val="00856368"/>
    <w:rsid w:val="00857014"/>
    <w:rsid w:val="0085729E"/>
    <w:rsid w:val="00857718"/>
    <w:rsid w:val="00860973"/>
    <w:rsid w:val="00860B77"/>
    <w:rsid w:val="00861140"/>
    <w:rsid w:val="00861613"/>
    <w:rsid w:val="0086183E"/>
    <w:rsid w:val="008621F8"/>
    <w:rsid w:val="00862533"/>
    <w:rsid w:val="008628EB"/>
    <w:rsid w:val="00862E56"/>
    <w:rsid w:val="008648B5"/>
    <w:rsid w:val="008648DD"/>
    <w:rsid w:val="00865BC8"/>
    <w:rsid w:val="00865CD7"/>
    <w:rsid w:val="0086641A"/>
    <w:rsid w:val="00866CE6"/>
    <w:rsid w:val="008671D5"/>
    <w:rsid w:val="008677FB"/>
    <w:rsid w:val="00867F68"/>
    <w:rsid w:val="00871FBF"/>
    <w:rsid w:val="00872620"/>
    <w:rsid w:val="00872CC3"/>
    <w:rsid w:val="008730F0"/>
    <w:rsid w:val="008737D3"/>
    <w:rsid w:val="0087399E"/>
    <w:rsid w:val="008739BE"/>
    <w:rsid w:val="008744A7"/>
    <w:rsid w:val="00874B1B"/>
    <w:rsid w:val="008755EE"/>
    <w:rsid w:val="008757EB"/>
    <w:rsid w:val="00875861"/>
    <w:rsid w:val="00875ECD"/>
    <w:rsid w:val="00875FFC"/>
    <w:rsid w:val="0087613C"/>
    <w:rsid w:val="00877736"/>
    <w:rsid w:val="00877BD1"/>
    <w:rsid w:val="00877CBF"/>
    <w:rsid w:val="0088042E"/>
    <w:rsid w:val="00881227"/>
    <w:rsid w:val="00882BF3"/>
    <w:rsid w:val="00882D53"/>
    <w:rsid w:val="00882DC9"/>
    <w:rsid w:val="00883435"/>
    <w:rsid w:val="00883437"/>
    <w:rsid w:val="008834C5"/>
    <w:rsid w:val="00883BEB"/>
    <w:rsid w:val="00883C24"/>
    <w:rsid w:val="00884792"/>
    <w:rsid w:val="00884964"/>
    <w:rsid w:val="008853F8"/>
    <w:rsid w:val="00885A3C"/>
    <w:rsid w:val="00886D1F"/>
    <w:rsid w:val="00887A5D"/>
    <w:rsid w:val="00890042"/>
    <w:rsid w:val="00890789"/>
    <w:rsid w:val="00890DB4"/>
    <w:rsid w:val="008910E8"/>
    <w:rsid w:val="0089177D"/>
    <w:rsid w:val="0089224A"/>
    <w:rsid w:val="00892E03"/>
    <w:rsid w:val="00893509"/>
    <w:rsid w:val="0089362B"/>
    <w:rsid w:val="00893947"/>
    <w:rsid w:val="008942CE"/>
    <w:rsid w:val="00894A05"/>
    <w:rsid w:val="008952FF"/>
    <w:rsid w:val="008953BD"/>
    <w:rsid w:val="008959F3"/>
    <w:rsid w:val="00895A37"/>
    <w:rsid w:val="0089610E"/>
    <w:rsid w:val="008962ED"/>
    <w:rsid w:val="00896401"/>
    <w:rsid w:val="008973C1"/>
    <w:rsid w:val="008974D4"/>
    <w:rsid w:val="008975BE"/>
    <w:rsid w:val="00897717"/>
    <w:rsid w:val="008A068E"/>
    <w:rsid w:val="008A15A3"/>
    <w:rsid w:val="008A24FC"/>
    <w:rsid w:val="008A287D"/>
    <w:rsid w:val="008A2F77"/>
    <w:rsid w:val="008A3730"/>
    <w:rsid w:val="008A3A3B"/>
    <w:rsid w:val="008A3F59"/>
    <w:rsid w:val="008A42F7"/>
    <w:rsid w:val="008A43E8"/>
    <w:rsid w:val="008A4628"/>
    <w:rsid w:val="008A56D5"/>
    <w:rsid w:val="008A5918"/>
    <w:rsid w:val="008A679E"/>
    <w:rsid w:val="008A7413"/>
    <w:rsid w:val="008A7436"/>
    <w:rsid w:val="008A7A8F"/>
    <w:rsid w:val="008B0E91"/>
    <w:rsid w:val="008B1074"/>
    <w:rsid w:val="008B1585"/>
    <w:rsid w:val="008B1AE6"/>
    <w:rsid w:val="008B1F2C"/>
    <w:rsid w:val="008B3148"/>
    <w:rsid w:val="008B3CD1"/>
    <w:rsid w:val="008B43A4"/>
    <w:rsid w:val="008B47CB"/>
    <w:rsid w:val="008B6056"/>
    <w:rsid w:val="008B6646"/>
    <w:rsid w:val="008B67C8"/>
    <w:rsid w:val="008B6A6C"/>
    <w:rsid w:val="008B6BF8"/>
    <w:rsid w:val="008B7420"/>
    <w:rsid w:val="008B7CBE"/>
    <w:rsid w:val="008C0061"/>
    <w:rsid w:val="008C04C0"/>
    <w:rsid w:val="008C0727"/>
    <w:rsid w:val="008C0F51"/>
    <w:rsid w:val="008C1059"/>
    <w:rsid w:val="008C1547"/>
    <w:rsid w:val="008C15BB"/>
    <w:rsid w:val="008C28E5"/>
    <w:rsid w:val="008C2F8E"/>
    <w:rsid w:val="008C3A2E"/>
    <w:rsid w:val="008C4449"/>
    <w:rsid w:val="008C4E5F"/>
    <w:rsid w:val="008C564D"/>
    <w:rsid w:val="008C5754"/>
    <w:rsid w:val="008C6762"/>
    <w:rsid w:val="008C6ACE"/>
    <w:rsid w:val="008C6C82"/>
    <w:rsid w:val="008C6CDE"/>
    <w:rsid w:val="008C6DDC"/>
    <w:rsid w:val="008C6DEF"/>
    <w:rsid w:val="008C768D"/>
    <w:rsid w:val="008C7D94"/>
    <w:rsid w:val="008D0BF4"/>
    <w:rsid w:val="008D0DD5"/>
    <w:rsid w:val="008D13F8"/>
    <w:rsid w:val="008D15F7"/>
    <w:rsid w:val="008D1AB0"/>
    <w:rsid w:val="008D1FDE"/>
    <w:rsid w:val="008D27E6"/>
    <w:rsid w:val="008D2B7A"/>
    <w:rsid w:val="008D351D"/>
    <w:rsid w:val="008D38CD"/>
    <w:rsid w:val="008D3D03"/>
    <w:rsid w:val="008D40C6"/>
    <w:rsid w:val="008D4432"/>
    <w:rsid w:val="008D4F42"/>
    <w:rsid w:val="008D649F"/>
    <w:rsid w:val="008D66D9"/>
    <w:rsid w:val="008D6744"/>
    <w:rsid w:val="008D6A47"/>
    <w:rsid w:val="008D6D0F"/>
    <w:rsid w:val="008D743D"/>
    <w:rsid w:val="008D7FDC"/>
    <w:rsid w:val="008E1C45"/>
    <w:rsid w:val="008E2127"/>
    <w:rsid w:val="008E242E"/>
    <w:rsid w:val="008E24E3"/>
    <w:rsid w:val="008E3D77"/>
    <w:rsid w:val="008E42D5"/>
    <w:rsid w:val="008E485A"/>
    <w:rsid w:val="008E4A44"/>
    <w:rsid w:val="008E547E"/>
    <w:rsid w:val="008E6085"/>
    <w:rsid w:val="008E60E2"/>
    <w:rsid w:val="008E647B"/>
    <w:rsid w:val="008E68B7"/>
    <w:rsid w:val="008E6961"/>
    <w:rsid w:val="008E6F46"/>
    <w:rsid w:val="008E77F0"/>
    <w:rsid w:val="008E78A6"/>
    <w:rsid w:val="008E7B61"/>
    <w:rsid w:val="008F131E"/>
    <w:rsid w:val="008F19FD"/>
    <w:rsid w:val="008F1B2D"/>
    <w:rsid w:val="008F2189"/>
    <w:rsid w:val="008F31B9"/>
    <w:rsid w:val="008F3446"/>
    <w:rsid w:val="008F3AE2"/>
    <w:rsid w:val="008F4675"/>
    <w:rsid w:val="008F46D2"/>
    <w:rsid w:val="008F4AAB"/>
    <w:rsid w:val="008F4AFC"/>
    <w:rsid w:val="008F4F05"/>
    <w:rsid w:val="008F50F5"/>
    <w:rsid w:val="008F5155"/>
    <w:rsid w:val="008F5327"/>
    <w:rsid w:val="008F5387"/>
    <w:rsid w:val="008F6221"/>
    <w:rsid w:val="008F622A"/>
    <w:rsid w:val="008F6746"/>
    <w:rsid w:val="008F6F77"/>
    <w:rsid w:val="008F722B"/>
    <w:rsid w:val="008F747F"/>
    <w:rsid w:val="008F777B"/>
    <w:rsid w:val="008F7A35"/>
    <w:rsid w:val="008F7CCE"/>
    <w:rsid w:val="00900188"/>
    <w:rsid w:val="0090083B"/>
    <w:rsid w:val="00900CAA"/>
    <w:rsid w:val="00900D2B"/>
    <w:rsid w:val="009015DE"/>
    <w:rsid w:val="009017CB"/>
    <w:rsid w:val="00901DAB"/>
    <w:rsid w:val="00903901"/>
    <w:rsid w:val="0090393B"/>
    <w:rsid w:val="00903BAE"/>
    <w:rsid w:val="009043D7"/>
    <w:rsid w:val="00904AD7"/>
    <w:rsid w:val="00905134"/>
    <w:rsid w:val="0090635A"/>
    <w:rsid w:val="009064E2"/>
    <w:rsid w:val="009069E2"/>
    <w:rsid w:val="00906AA7"/>
    <w:rsid w:val="00907729"/>
    <w:rsid w:val="009077C7"/>
    <w:rsid w:val="00907835"/>
    <w:rsid w:val="00910DE2"/>
    <w:rsid w:val="00911DCC"/>
    <w:rsid w:val="0091203E"/>
    <w:rsid w:val="0091220E"/>
    <w:rsid w:val="00912941"/>
    <w:rsid w:val="009130B4"/>
    <w:rsid w:val="0091352E"/>
    <w:rsid w:val="00913B06"/>
    <w:rsid w:val="00913FB2"/>
    <w:rsid w:val="00914219"/>
    <w:rsid w:val="0091426B"/>
    <w:rsid w:val="0091465A"/>
    <w:rsid w:val="009149C2"/>
    <w:rsid w:val="00915423"/>
    <w:rsid w:val="00915490"/>
    <w:rsid w:val="00915C6E"/>
    <w:rsid w:val="0091671F"/>
    <w:rsid w:val="0091734F"/>
    <w:rsid w:val="009179DB"/>
    <w:rsid w:val="00917E19"/>
    <w:rsid w:val="00920216"/>
    <w:rsid w:val="0092035C"/>
    <w:rsid w:val="00920463"/>
    <w:rsid w:val="00920494"/>
    <w:rsid w:val="00920E53"/>
    <w:rsid w:val="0092118D"/>
    <w:rsid w:val="0092182A"/>
    <w:rsid w:val="009221C2"/>
    <w:rsid w:val="009231E5"/>
    <w:rsid w:val="009238C7"/>
    <w:rsid w:val="00923D68"/>
    <w:rsid w:val="00923F7E"/>
    <w:rsid w:val="009241BA"/>
    <w:rsid w:val="009245CA"/>
    <w:rsid w:val="00924CCB"/>
    <w:rsid w:val="0092551E"/>
    <w:rsid w:val="00925673"/>
    <w:rsid w:val="0092590E"/>
    <w:rsid w:val="009263D1"/>
    <w:rsid w:val="00926E4D"/>
    <w:rsid w:val="00926ECF"/>
    <w:rsid w:val="00927296"/>
    <w:rsid w:val="0093088C"/>
    <w:rsid w:val="0093186A"/>
    <w:rsid w:val="00931C6D"/>
    <w:rsid w:val="00931FDF"/>
    <w:rsid w:val="00932DF3"/>
    <w:rsid w:val="00933287"/>
    <w:rsid w:val="0093352D"/>
    <w:rsid w:val="009335E3"/>
    <w:rsid w:val="009335F8"/>
    <w:rsid w:val="009339AF"/>
    <w:rsid w:val="00933D76"/>
    <w:rsid w:val="00934DC8"/>
    <w:rsid w:val="00936140"/>
    <w:rsid w:val="00936F99"/>
    <w:rsid w:val="00937575"/>
    <w:rsid w:val="0093763C"/>
    <w:rsid w:val="009376FF"/>
    <w:rsid w:val="00937F30"/>
    <w:rsid w:val="00940018"/>
    <w:rsid w:val="00940185"/>
    <w:rsid w:val="0094019E"/>
    <w:rsid w:val="009402EA"/>
    <w:rsid w:val="00940447"/>
    <w:rsid w:val="009408B9"/>
    <w:rsid w:val="00940BCD"/>
    <w:rsid w:val="00940E84"/>
    <w:rsid w:val="00941279"/>
    <w:rsid w:val="00941AD1"/>
    <w:rsid w:val="00941C55"/>
    <w:rsid w:val="0094267F"/>
    <w:rsid w:val="00942FEE"/>
    <w:rsid w:val="00943510"/>
    <w:rsid w:val="00944423"/>
    <w:rsid w:val="00944FA5"/>
    <w:rsid w:val="00945335"/>
    <w:rsid w:val="009456C2"/>
    <w:rsid w:val="00945CA9"/>
    <w:rsid w:val="009462D5"/>
    <w:rsid w:val="0094695E"/>
    <w:rsid w:val="00947377"/>
    <w:rsid w:val="009507C6"/>
    <w:rsid w:val="00950DE6"/>
    <w:rsid w:val="00950F14"/>
    <w:rsid w:val="00950F69"/>
    <w:rsid w:val="009515D2"/>
    <w:rsid w:val="00951AA6"/>
    <w:rsid w:val="009526D7"/>
    <w:rsid w:val="0095282E"/>
    <w:rsid w:val="00952A74"/>
    <w:rsid w:val="00952A8F"/>
    <w:rsid w:val="0095341E"/>
    <w:rsid w:val="00953536"/>
    <w:rsid w:val="0095393E"/>
    <w:rsid w:val="009539FD"/>
    <w:rsid w:val="009544C7"/>
    <w:rsid w:val="0095456C"/>
    <w:rsid w:val="009547B3"/>
    <w:rsid w:val="00954BC6"/>
    <w:rsid w:val="00955414"/>
    <w:rsid w:val="0095545C"/>
    <w:rsid w:val="0095599C"/>
    <w:rsid w:val="00956905"/>
    <w:rsid w:val="00957909"/>
    <w:rsid w:val="00957E1F"/>
    <w:rsid w:val="00960DC7"/>
    <w:rsid w:val="009614C6"/>
    <w:rsid w:val="009620F5"/>
    <w:rsid w:val="00962AEA"/>
    <w:rsid w:val="00962BFB"/>
    <w:rsid w:val="00962E1C"/>
    <w:rsid w:val="00962F07"/>
    <w:rsid w:val="00963214"/>
    <w:rsid w:val="0096349D"/>
    <w:rsid w:val="0096355B"/>
    <w:rsid w:val="009645F4"/>
    <w:rsid w:val="009647AE"/>
    <w:rsid w:val="00964954"/>
    <w:rsid w:val="009656A1"/>
    <w:rsid w:val="009663A0"/>
    <w:rsid w:val="00966488"/>
    <w:rsid w:val="009666C2"/>
    <w:rsid w:val="00966B3F"/>
    <w:rsid w:val="00966DEC"/>
    <w:rsid w:val="009674FA"/>
    <w:rsid w:val="00967501"/>
    <w:rsid w:val="00967986"/>
    <w:rsid w:val="009709B5"/>
    <w:rsid w:val="00971452"/>
    <w:rsid w:val="00971916"/>
    <w:rsid w:val="00972524"/>
    <w:rsid w:val="009726A9"/>
    <w:rsid w:val="00972751"/>
    <w:rsid w:val="009739DF"/>
    <w:rsid w:val="00974147"/>
    <w:rsid w:val="00974891"/>
    <w:rsid w:val="00974EBB"/>
    <w:rsid w:val="00975A99"/>
    <w:rsid w:val="009761C0"/>
    <w:rsid w:val="0097673B"/>
    <w:rsid w:val="00976E32"/>
    <w:rsid w:val="00977752"/>
    <w:rsid w:val="00977D35"/>
    <w:rsid w:val="00980664"/>
    <w:rsid w:val="00980725"/>
    <w:rsid w:val="00982876"/>
    <w:rsid w:val="00982ECE"/>
    <w:rsid w:val="00983744"/>
    <w:rsid w:val="00983E7B"/>
    <w:rsid w:val="00985576"/>
    <w:rsid w:val="00985C50"/>
    <w:rsid w:val="00985FB4"/>
    <w:rsid w:val="0098731F"/>
    <w:rsid w:val="00987C7D"/>
    <w:rsid w:val="00990380"/>
    <w:rsid w:val="009905C7"/>
    <w:rsid w:val="00990E06"/>
    <w:rsid w:val="009921DB"/>
    <w:rsid w:val="00992AEA"/>
    <w:rsid w:val="00992C67"/>
    <w:rsid w:val="00993C26"/>
    <w:rsid w:val="009940EF"/>
    <w:rsid w:val="0099444C"/>
    <w:rsid w:val="00994A8D"/>
    <w:rsid w:val="00994C6F"/>
    <w:rsid w:val="00994D06"/>
    <w:rsid w:val="00995480"/>
    <w:rsid w:val="00996027"/>
    <w:rsid w:val="009965FC"/>
    <w:rsid w:val="0099675D"/>
    <w:rsid w:val="00996E9A"/>
    <w:rsid w:val="009977F8"/>
    <w:rsid w:val="00997CF0"/>
    <w:rsid w:val="009A05F3"/>
    <w:rsid w:val="009A0BBC"/>
    <w:rsid w:val="009A0C2B"/>
    <w:rsid w:val="009A0D81"/>
    <w:rsid w:val="009A1E14"/>
    <w:rsid w:val="009A2AD6"/>
    <w:rsid w:val="009A4055"/>
    <w:rsid w:val="009A44B5"/>
    <w:rsid w:val="009A5238"/>
    <w:rsid w:val="009A572C"/>
    <w:rsid w:val="009A59ED"/>
    <w:rsid w:val="009A5AFD"/>
    <w:rsid w:val="009A5BD6"/>
    <w:rsid w:val="009A6A4F"/>
    <w:rsid w:val="009A6EFD"/>
    <w:rsid w:val="009A7756"/>
    <w:rsid w:val="009B04BB"/>
    <w:rsid w:val="009B0A30"/>
    <w:rsid w:val="009B1187"/>
    <w:rsid w:val="009B11E3"/>
    <w:rsid w:val="009B18C4"/>
    <w:rsid w:val="009B18D2"/>
    <w:rsid w:val="009B19DB"/>
    <w:rsid w:val="009B1B74"/>
    <w:rsid w:val="009B1E6E"/>
    <w:rsid w:val="009B2103"/>
    <w:rsid w:val="009B23CA"/>
    <w:rsid w:val="009B27AC"/>
    <w:rsid w:val="009B2A05"/>
    <w:rsid w:val="009B34DF"/>
    <w:rsid w:val="009B36F8"/>
    <w:rsid w:val="009B3861"/>
    <w:rsid w:val="009B39DC"/>
    <w:rsid w:val="009B457C"/>
    <w:rsid w:val="009B4CBB"/>
    <w:rsid w:val="009B53BF"/>
    <w:rsid w:val="009B61E7"/>
    <w:rsid w:val="009B626B"/>
    <w:rsid w:val="009B7973"/>
    <w:rsid w:val="009C0392"/>
    <w:rsid w:val="009C0554"/>
    <w:rsid w:val="009C07FC"/>
    <w:rsid w:val="009C0AA7"/>
    <w:rsid w:val="009C18CC"/>
    <w:rsid w:val="009C21C6"/>
    <w:rsid w:val="009C2DC8"/>
    <w:rsid w:val="009C2FFE"/>
    <w:rsid w:val="009C3832"/>
    <w:rsid w:val="009C38F3"/>
    <w:rsid w:val="009C3EB8"/>
    <w:rsid w:val="009C46FC"/>
    <w:rsid w:val="009C4A9A"/>
    <w:rsid w:val="009C54C6"/>
    <w:rsid w:val="009C6AE1"/>
    <w:rsid w:val="009C6B95"/>
    <w:rsid w:val="009C6D34"/>
    <w:rsid w:val="009C6DC6"/>
    <w:rsid w:val="009C6E72"/>
    <w:rsid w:val="009C6F3D"/>
    <w:rsid w:val="009C718C"/>
    <w:rsid w:val="009C72FB"/>
    <w:rsid w:val="009C7837"/>
    <w:rsid w:val="009C7F20"/>
    <w:rsid w:val="009C7F9E"/>
    <w:rsid w:val="009D0F09"/>
    <w:rsid w:val="009D1BD7"/>
    <w:rsid w:val="009D2E1D"/>
    <w:rsid w:val="009D2F21"/>
    <w:rsid w:val="009D3584"/>
    <w:rsid w:val="009D3C3F"/>
    <w:rsid w:val="009D3DCD"/>
    <w:rsid w:val="009D3EA3"/>
    <w:rsid w:val="009D49C6"/>
    <w:rsid w:val="009D4D67"/>
    <w:rsid w:val="009D5115"/>
    <w:rsid w:val="009D53B9"/>
    <w:rsid w:val="009D5F79"/>
    <w:rsid w:val="009D635B"/>
    <w:rsid w:val="009D66DC"/>
    <w:rsid w:val="009D696A"/>
    <w:rsid w:val="009D74D3"/>
    <w:rsid w:val="009D7854"/>
    <w:rsid w:val="009D7F6F"/>
    <w:rsid w:val="009E0393"/>
    <w:rsid w:val="009E045E"/>
    <w:rsid w:val="009E0664"/>
    <w:rsid w:val="009E07D3"/>
    <w:rsid w:val="009E0972"/>
    <w:rsid w:val="009E13DD"/>
    <w:rsid w:val="009E1473"/>
    <w:rsid w:val="009E1A62"/>
    <w:rsid w:val="009E1EED"/>
    <w:rsid w:val="009E2A71"/>
    <w:rsid w:val="009E2AC6"/>
    <w:rsid w:val="009E3258"/>
    <w:rsid w:val="009E39CA"/>
    <w:rsid w:val="009E3D4B"/>
    <w:rsid w:val="009E44FF"/>
    <w:rsid w:val="009E51CF"/>
    <w:rsid w:val="009E5477"/>
    <w:rsid w:val="009E598B"/>
    <w:rsid w:val="009E5DFC"/>
    <w:rsid w:val="009E5DFD"/>
    <w:rsid w:val="009E6AAD"/>
    <w:rsid w:val="009E6D42"/>
    <w:rsid w:val="009E7121"/>
    <w:rsid w:val="009E72E5"/>
    <w:rsid w:val="009E7679"/>
    <w:rsid w:val="009E77CD"/>
    <w:rsid w:val="009E7A6E"/>
    <w:rsid w:val="009F025D"/>
    <w:rsid w:val="009F06F2"/>
    <w:rsid w:val="009F1E6F"/>
    <w:rsid w:val="009F2B7D"/>
    <w:rsid w:val="009F4200"/>
    <w:rsid w:val="009F4940"/>
    <w:rsid w:val="009F4AAE"/>
    <w:rsid w:val="009F4FA6"/>
    <w:rsid w:val="009F635E"/>
    <w:rsid w:val="009F63E9"/>
    <w:rsid w:val="009F6A1B"/>
    <w:rsid w:val="009F6A3C"/>
    <w:rsid w:val="009F6E8E"/>
    <w:rsid w:val="009F704B"/>
    <w:rsid w:val="009F7171"/>
    <w:rsid w:val="00A0035F"/>
    <w:rsid w:val="00A01623"/>
    <w:rsid w:val="00A01C91"/>
    <w:rsid w:val="00A02C2F"/>
    <w:rsid w:val="00A02C5D"/>
    <w:rsid w:val="00A02CE2"/>
    <w:rsid w:val="00A03215"/>
    <w:rsid w:val="00A0324B"/>
    <w:rsid w:val="00A0364A"/>
    <w:rsid w:val="00A03D56"/>
    <w:rsid w:val="00A03EFB"/>
    <w:rsid w:val="00A0434B"/>
    <w:rsid w:val="00A04753"/>
    <w:rsid w:val="00A04AE1"/>
    <w:rsid w:val="00A05083"/>
    <w:rsid w:val="00A0576E"/>
    <w:rsid w:val="00A06C68"/>
    <w:rsid w:val="00A07A37"/>
    <w:rsid w:val="00A07EDA"/>
    <w:rsid w:val="00A10024"/>
    <w:rsid w:val="00A10F6D"/>
    <w:rsid w:val="00A1138A"/>
    <w:rsid w:val="00A11859"/>
    <w:rsid w:val="00A11CB0"/>
    <w:rsid w:val="00A11D0F"/>
    <w:rsid w:val="00A12BF9"/>
    <w:rsid w:val="00A130E4"/>
    <w:rsid w:val="00A137B1"/>
    <w:rsid w:val="00A13DB9"/>
    <w:rsid w:val="00A140D3"/>
    <w:rsid w:val="00A1446B"/>
    <w:rsid w:val="00A14CA8"/>
    <w:rsid w:val="00A1506C"/>
    <w:rsid w:val="00A1512B"/>
    <w:rsid w:val="00A15853"/>
    <w:rsid w:val="00A15C02"/>
    <w:rsid w:val="00A167F2"/>
    <w:rsid w:val="00A17EFE"/>
    <w:rsid w:val="00A2075C"/>
    <w:rsid w:val="00A20BCD"/>
    <w:rsid w:val="00A20C78"/>
    <w:rsid w:val="00A20C79"/>
    <w:rsid w:val="00A20F8E"/>
    <w:rsid w:val="00A211F1"/>
    <w:rsid w:val="00A2176B"/>
    <w:rsid w:val="00A22309"/>
    <w:rsid w:val="00A22BE6"/>
    <w:rsid w:val="00A2312E"/>
    <w:rsid w:val="00A235A1"/>
    <w:rsid w:val="00A238B3"/>
    <w:rsid w:val="00A23D4C"/>
    <w:rsid w:val="00A24323"/>
    <w:rsid w:val="00A243F1"/>
    <w:rsid w:val="00A245E8"/>
    <w:rsid w:val="00A24D37"/>
    <w:rsid w:val="00A24D76"/>
    <w:rsid w:val="00A2512C"/>
    <w:rsid w:val="00A2515B"/>
    <w:rsid w:val="00A2588E"/>
    <w:rsid w:val="00A25A0E"/>
    <w:rsid w:val="00A25AE7"/>
    <w:rsid w:val="00A26048"/>
    <w:rsid w:val="00A2691E"/>
    <w:rsid w:val="00A26DF3"/>
    <w:rsid w:val="00A26EDF"/>
    <w:rsid w:val="00A2761A"/>
    <w:rsid w:val="00A27AF7"/>
    <w:rsid w:val="00A3006D"/>
    <w:rsid w:val="00A30A01"/>
    <w:rsid w:val="00A31C3F"/>
    <w:rsid w:val="00A3260B"/>
    <w:rsid w:val="00A32AD4"/>
    <w:rsid w:val="00A3347B"/>
    <w:rsid w:val="00A33549"/>
    <w:rsid w:val="00A339AA"/>
    <w:rsid w:val="00A33F3E"/>
    <w:rsid w:val="00A34647"/>
    <w:rsid w:val="00A3470C"/>
    <w:rsid w:val="00A34789"/>
    <w:rsid w:val="00A3605F"/>
    <w:rsid w:val="00A36094"/>
    <w:rsid w:val="00A3630E"/>
    <w:rsid w:val="00A36994"/>
    <w:rsid w:val="00A37BB8"/>
    <w:rsid w:val="00A37F2A"/>
    <w:rsid w:val="00A403F8"/>
    <w:rsid w:val="00A40EF1"/>
    <w:rsid w:val="00A411CD"/>
    <w:rsid w:val="00A4121C"/>
    <w:rsid w:val="00A4136A"/>
    <w:rsid w:val="00A41548"/>
    <w:rsid w:val="00A41FF8"/>
    <w:rsid w:val="00A42D87"/>
    <w:rsid w:val="00A42DE5"/>
    <w:rsid w:val="00A43002"/>
    <w:rsid w:val="00A430F4"/>
    <w:rsid w:val="00A435B4"/>
    <w:rsid w:val="00A43C42"/>
    <w:rsid w:val="00A43F33"/>
    <w:rsid w:val="00A44BD3"/>
    <w:rsid w:val="00A4521D"/>
    <w:rsid w:val="00A452DF"/>
    <w:rsid w:val="00A45591"/>
    <w:rsid w:val="00A45E9D"/>
    <w:rsid w:val="00A46D6F"/>
    <w:rsid w:val="00A50008"/>
    <w:rsid w:val="00A501CE"/>
    <w:rsid w:val="00A513AA"/>
    <w:rsid w:val="00A51CA0"/>
    <w:rsid w:val="00A51F0A"/>
    <w:rsid w:val="00A536C5"/>
    <w:rsid w:val="00A53903"/>
    <w:rsid w:val="00A53C57"/>
    <w:rsid w:val="00A54A7C"/>
    <w:rsid w:val="00A54EF2"/>
    <w:rsid w:val="00A55658"/>
    <w:rsid w:val="00A55D48"/>
    <w:rsid w:val="00A55E68"/>
    <w:rsid w:val="00A55F17"/>
    <w:rsid w:val="00A5648F"/>
    <w:rsid w:val="00A56858"/>
    <w:rsid w:val="00A56E2B"/>
    <w:rsid w:val="00A5769F"/>
    <w:rsid w:val="00A577D8"/>
    <w:rsid w:val="00A57BEB"/>
    <w:rsid w:val="00A57D00"/>
    <w:rsid w:val="00A60023"/>
    <w:rsid w:val="00A605A6"/>
    <w:rsid w:val="00A60A93"/>
    <w:rsid w:val="00A61673"/>
    <w:rsid w:val="00A61947"/>
    <w:rsid w:val="00A62509"/>
    <w:rsid w:val="00A62F01"/>
    <w:rsid w:val="00A62F0A"/>
    <w:rsid w:val="00A6316F"/>
    <w:rsid w:val="00A635BA"/>
    <w:rsid w:val="00A63D9D"/>
    <w:rsid w:val="00A64926"/>
    <w:rsid w:val="00A66416"/>
    <w:rsid w:val="00A6657F"/>
    <w:rsid w:val="00A665CF"/>
    <w:rsid w:val="00A668B2"/>
    <w:rsid w:val="00A66AB1"/>
    <w:rsid w:val="00A6799D"/>
    <w:rsid w:val="00A67CA7"/>
    <w:rsid w:val="00A7039E"/>
    <w:rsid w:val="00A71339"/>
    <w:rsid w:val="00A713C9"/>
    <w:rsid w:val="00A71B52"/>
    <w:rsid w:val="00A71F65"/>
    <w:rsid w:val="00A72329"/>
    <w:rsid w:val="00A724C3"/>
    <w:rsid w:val="00A72D04"/>
    <w:rsid w:val="00A738CC"/>
    <w:rsid w:val="00A73989"/>
    <w:rsid w:val="00A73A43"/>
    <w:rsid w:val="00A746FF"/>
    <w:rsid w:val="00A749D1"/>
    <w:rsid w:val="00A756D2"/>
    <w:rsid w:val="00A7752F"/>
    <w:rsid w:val="00A77760"/>
    <w:rsid w:val="00A80460"/>
    <w:rsid w:val="00A806CC"/>
    <w:rsid w:val="00A806FC"/>
    <w:rsid w:val="00A80D5C"/>
    <w:rsid w:val="00A82A2E"/>
    <w:rsid w:val="00A82F0E"/>
    <w:rsid w:val="00A8312E"/>
    <w:rsid w:val="00A834A3"/>
    <w:rsid w:val="00A835CE"/>
    <w:rsid w:val="00A83ABF"/>
    <w:rsid w:val="00A84799"/>
    <w:rsid w:val="00A84C31"/>
    <w:rsid w:val="00A85B74"/>
    <w:rsid w:val="00A85C35"/>
    <w:rsid w:val="00A87043"/>
    <w:rsid w:val="00A871F7"/>
    <w:rsid w:val="00A875D8"/>
    <w:rsid w:val="00A900D5"/>
    <w:rsid w:val="00A90796"/>
    <w:rsid w:val="00A90F73"/>
    <w:rsid w:val="00A91506"/>
    <w:rsid w:val="00A92061"/>
    <w:rsid w:val="00A92174"/>
    <w:rsid w:val="00A92423"/>
    <w:rsid w:val="00A9291A"/>
    <w:rsid w:val="00A92DDC"/>
    <w:rsid w:val="00A936EE"/>
    <w:rsid w:val="00A941CB"/>
    <w:rsid w:val="00A941DD"/>
    <w:rsid w:val="00A94249"/>
    <w:rsid w:val="00A94BC9"/>
    <w:rsid w:val="00A94CA2"/>
    <w:rsid w:val="00A94E85"/>
    <w:rsid w:val="00A958E8"/>
    <w:rsid w:val="00A959BC"/>
    <w:rsid w:val="00A95A10"/>
    <w:rsid w:val="00A966EE"/>
    <w:rsid w:val="00A96A5C"/>
    <w:rsid w:val="00A96C8E"/>
    <w:rsid w:val="00A97686"/>
    <w:rsid w:val="00AA126E"/>
    <w:rsid w:val="00AA163A"/>
    <w:rsid w:val="00AA1AC3"/>
    <w:rsid w:val="00AA1B36"/>
    <w:rsid w:val="00AA1CDA"/>
    <w:rsid w:val="00AA2308"/>
    <w:rsid w:val="00AA36F6"/>
    <w:rsid w:val="00AA3C60"/>
    <w:rsid w:val="00AA3F96"/>
    <w:rsid w:val="00AA4820"/>
    <w:rsid w:val="00AA51B3"/>
    <w:rsid w:val="00AA58C2"/>
    <w:rsid w:val="00AA5A4E"/>
    <w:rsid w:val="00AA6139"/>
    <w:rsid w:val="00AA61B7"/>
    <w:rsid w:val="00AA6DD8"/>
    <w:rsid w:val="00AA719E"/>
    <w:rsid w:val="00AA7B1C"/>
    <w:rsid w:val="00AB033C"/>
    <w:rsid w:val="00AB0CA1"/>
    <w:rsid w:val="00AB1AEC"/>
    <w:rsid w:val="00AB1CAA"/>
    <w:rsid w:val="00AB1F30"/>
    <w:rsid w:val="00AB1FB9"/>
    <w:rsid w:val="00AB260B"/>
    <w:rsid w:val="00AB2FEC"/>
    <w:rsid w:val="00AB2FF4"/>
    <w:rsid w:val="00AB301A"/>
    <w:rsid w:val="00AB3558"/>
    <w:rsid w:val="00AB3687"/>
    <w:rsid w:val="00AB3984"/>
    <w:rsid w:val="00AB39CE"/>
    <w:rsid w:val="00AB3CAC"/>
    <w:rsid w:val="00AB3ECA"/>
    <w:rsid w:val="00AB40EE"/>
    <w:rsid w:val="00AB4121"/>
    <w:rsid w:val="00AB43CA"/>
    <w:rsid w:val="00AB4CF6"/>
    <w:rsid w:val="00AB5902"/>
    <w:rsid w:val="00AB5E8A"/>
    <w:rsid w:val="00AB5F9C"/>
    <w:rsid w:val="00AB622E"/>
    <w:rsid w:val="00AB6C94"/>
    <w:rsid w:val="00AB6F8E"/>
    <w:rsid w:val="00AB72CA"/>
    <w:rsid w:val="00AB7972"/>
    <w:rsid w:val="00AB79CC"/>
    <w:rsid w:val="00AC0A08"/>
    <w:rsid w:val="00AC0C11"/>
    <w:rsid w:val="00AC136E"/>
    <w:rsid w:val="00AC148A"/>
    <w:rsid w:val="00AC1AD6"/>
    <w:rsid w:val="00AC2473"/>
    <w:rsid w:val="00AC2A03"/>
    <w:rsid w:val="00AC2A3C"/>
    <w:rsid w:val="00AC2EF3"/>
    <w:rsid w:val="00AC36AC"/>
    <w:rsid w:val="00AC3BDA"/>
    <w:rsid w:val="00AC3F55"/>
    <w:rsid w:val="00AC4099"/>
    <w:rsid w:val="00AC45A0"/>
    <w:rsid w:val="00AC4A19"/>
    <w:rsid w:val="00AC4B31"/>
    <w:rsid w:val="00AC568E"/>
    <w:rsid w:val="00AC5EE1"/>
    <w:rsid w:val="00AC6880"/>
    <w:rsid w:val="00AC6955"/>
    <w:rsid w:val="00AC6BEC"/>
    <w:rsid w:val="00AC70AC"/>
    <w:rsid w:val="00AC725C"/>
    <w:rsid w:val="00AC7329"/>
    <w:rsid w:val="00AC759C"/>
    <w:rsid w:val="00AD022B"/>
    <w:rsid w:val="00AD0C35"/>
    <w:rsid w:val="00AD0D16"/>
    <w:rsid w:val="00AD0E9F"/>
    <w:rsid w:val="00AD19B7"/>
    <w:rsid w:val="00AD1CCA"/>
    <w:rsid w:val="00AD24EC"/>
    <w:rsid w:val="00AD27C2"/>
    <w:rsid w:val="00AD2903"/>
    <w:rsid w:val="00AD3424"/>
    <w:rsid w:val="00AD395F"/>
    <w:rsid w:val="00AD39D8"/>
    <w:rsid w:val="00AD3D26"/>
    <w:rsid w:val="00AD4E12"/>
    <w:rsid w:val="00AD631E"/>
    <w:rsid w:val="00AD64DF"/>
    <w:rsid w:val="00AD652F"/>
    <w:rsid w:val="00AD75EF"/>
    <w:rsid w:val="00AE1025"/>
    <w:rsid w:val="00AE146A"/>
    <w:rsid w:val="00AE1A8E"/>
    <w:rsid w:val="00AE1BE8"/>
    <w:rsid w:val="00AE26F6"/>
    <w:rsid w:val="00AE29A0"/>
    <w:rsid w:val="00AE32B2"/>
    <w:rsid w:val="00AE367C"/>
    <w:rsid w:val="00AE3E5A"/>
    <w:rsid w:val="00AE3EDF"/>
    <w:rsid w:val="00AE3F03"/>
    <w:rsid w:val="00AE3F7D"/>
    <w:rsid w:val="00AE47B6"/>
    <w:rsid w:val="00AE4DB6"/>
    <w:rsid w:val="00AE4FEC"/>
    <w:rsid w:val="00AE51CD"/>
    <w:rsid w:val="00AE60A8"/>
    <w:rsid w:val="00AE64F0"/>
    <w:rsid w:val="00AE6D9C"/>
    <w:rsid w:val="00AE738F"/>
    <w:rsid w:val="00AF014A"/>
    <w:rsid w:val="00AF09D7"/>
    <w:rsid w:val="00AF13AB"/>
    <w:rsid w:val="00AF1557"/>
    <w:rsid w:val="00AF1AE9"/>
    <w:rsid w:val="00AF1C66"/>
    <w:rsid w:val="00AF23C8"/>
    <w:rsid w:val="00AF2AE2"/>
    <w:rsid w:val="00AF344B"/>
    <w:rsid w:val="00AF3B15"/>
    <w:rsid w:val="00AF3F8F"/>
    <w:rsid w:val="00AF57F4"/>
    <w:rsid w:val="00AF64FB"/>
    <w:rsid w:val="00AF748B"/>
    <w:rsid w:val="00AF785F"/>
    <w:rsid w:val="00B005B1"/>
    <w:rsid w:val="00B00743"/>
    <w:rsid w:val="00B00943"/>
    <w:rsid w:val="00B00E2F"/>
    <w:rsid w:val="00B010D4"/>
    <w:rsid w:val="00B01142"/>
    <w:rsid w:val="00B01760"/>
    <w:rsid w:val="00B021DD"/>
    <w:rsid w:val="00B033ED"/>
    <w:rsid w:val="00B0377E"/>
    <w:rsid w:val="00B03946"/>
    <w:rsid w:val="00B03FD1"/>
    <w:rsid w:val="00B043F2"/>
    <w:rsid w:val="00B04425"/>
    <w:rsid w:val="00B04852"/>
    <w:rsid w:val="00B05276"/>
    <w:rsid w:val="00B05346"/>
    <w:rsid w:val="00B0545A"/>
    <w:rsid w:val="00B05ACC"/>
    <w:rsid w:val="00B05CBA"/>
    <w:rsid w:val="00B05E26"/>
    <w:rsid w:val="00B0607E"/>
    <w:rsid w:val="00B065CE"/>
    <w:rsid w:val="00B0713C"/>
    <w:rsid w:val="00B0727A"/>
    <w:rsid w:val="00B073C9"/>
    <w:rsid w:val="00B07BA9"/>
    <w:rsid w:val="00B07DCA"/>
    <w:rsid w:val="00B10055"/>
    <w:rsid w:val="00B102C4"/>
    <w:rsid w:val="00B10699"/>
    <w:rsid w:val="00B10B4E"/>
    <w:rsid w:val="00B1141E"/>
    <w:rsid w:val="00B11D96"/>
    <w:rsid w:val="00B11DEB"/>
    <w:rsid w:val="00B11E2F"/>
    <w:rsid w:val="00B11F1B"/>
    <w:rsid w:val="00B1278B"/>
    <w:rsid w:val="00B12E56"/>
    <w:rsid w:val="00B131F7"/>
    <w:rsid w:val="00B14D02"/>
    <w:rsid w:val="00B16B63"/>
    <w:rsid w:val="00B16EC7"/>
    <w:rsid w:val="00B16F55"/>
    <w:rsid w:val="00B17178"/>
    <w:rsid w:val="00B17295"/>
    <w:rsid w:val="00B178D2"/>
    <w:rsid w:val="00B17F34"/>
    <w:rsid w:val="00B2012E"/>
    <w:rsid w:val="00B208B8"/>
    <w:rsid w:val="00B2143C"/>
    <w:rsid w:val="00B215F5"/>
    <w:rsid w:val="00B21C36"/>
    <w:rsid w:val="00B21F3A"/>
    <w:rsid w:val="00B2241C"/>
    <w:rsid w:val="00B22452"/>
    <w:rsid w:val="00B22877"/>
    <w:rsid w:val="00B235E3"/>
    <w:rsid w:val="00B23ECA"/>
    <w:rsid w:val="00B24D26"/>
    <w:rsid w:val="00B24F5B"/>
    <w:rsid w:val="00B25C54"/>
    <w:rsid w:val="00B26984"/>
    <w:rsid w:val="00B27050"/>
    <w:rsid w:val="00B2752B"/>
    <w:rsid w:val="00B27A54"/>
    <w:rsid w:val="00B27E04"/>
    <w:rsid w:val="00B30783"/>
    <w:rsid w:val="00B32104"/>
    <w:rsid w:val="00B3286D"/>
    <w:rsid w:val="00B32C82"/>
    <w:rsid w:val="00B3323D"/>
    <w:rsid w:val="00B33268"/>
    <w:rsid w:val="00B337BA"/>
    <w:rsid w:val="00B34421"/>
    <w:rsid w:val="00B34D8A"/>
    <w:rsid w:val="00B34EC1"/>
    <w:rsid w:val="00B3532E"/>
    <w:rsid w:val="00B35FE2"/>
    <w:rsid w:val="00B3617D"/>
    <w:rsid w:val="00B3674A"/>
    <w:rsid w:val="00B37373"/>
    <w:rsid w:val="00B375A5"/>
    <w:rsid w:val="00B402D9"/>
    <w:rsid w:val="00B409FD"/>
    <w:rsid w:val="00B40C8C"/>
    <w:rsid w:val="00B4136F"/>
    <w:rsid w:val="00B4171E"/>
    <w:rsid w:val="00B41F0F"/>
    <w:rsid w:val="00B41F62"/>
    <w:rsid w:val="00B423A1"/>
    <w:rsid w:val="00B423DD"/>
    <w:rsid w:val="00B42560"/>
    <w:rsid w:val="00B4265E"/>
    <w:rsid w:val="00B42B19"/>
    <w:rsid w:val="00B42B96"/>
    <w:rsid w:val="00B43136"/>
    <w:rsid w:val="00B43D02"/>
    <w:rsid w:val="00B43F2E"/>
    <w:rsid w:val="00B447FE"/>
    <w:rsid w:val="00B455AA"/>
    <w:rsid w:val="00B45778"/>
    <w:rsid w:val="00B457A1"/>
    <w:rsid w:val="00B4630F"/>
    <w:rsid w:val="00B464B1"/>
    <w:rsid w:val="00B467F3"/>
    <w:rsid w:val="00B468BA"/>
    <w:rsid w:val="00B468E1"/>
    <w:rsid w:val="00B46F77"/>
    <w:rsid w:val="00B47667"/>
    <w:rsid w:val="00B47A4A"/>
    <w:rsid w:val="00B47B99"/>
    <w:rsid w:val="00B50462"/>
    <w:rsid w:val="00B506F2"/>
    <w:rsid w:val="00B510E3"/>
    <w:rsid w:val="00B513F8"/>
    <w:rsid w:val="00B51807"/>
    <w:rsid w:val="00B51D32"/>
    <w:rsid w:val="00B51F9A"/>
    <w:rsid w:val="00B52135"/>
    <w:rsid w:val="00B521AC"/>
    <w:rsid w:val="00B525CD"/>
    <w:rsid w:val="00B52702"/>
    <w:rsid w:val="00B527E4"/>
    <w:rsid w:val="00B52ECE"/>
    <w:rsid w:val="00B53DA6"/>
    <w:rsid w:val="00B53F41"/>
    <w:rsid w:val="00B548AD"/>
    <w:rsid w:val="00B5498D"/>
    <w:rsid w:val="00B5501D"/>
    <w:rsid w:val="00B555E4"/>
    <w:rsid w:val="00B5573D"/>
    <w:rsid w:val="00B55E98"/>
    <w:rsid w:val="00B566A6"/>
    <w:rsid w:val="00B566C3"/>
    <w:rsid w:val="00B56977"/>
    <w:rsid w:val="00B57D1B"/>
    <w:rsid w:val="00B57F6A"/>
    <w:rsid w:val="00B57FFC"/>
    <w:rsid w:val="00B601F8"/>
    <w:rsid w:val="00B60DFE"/>
    <w:rsid w:val="00B6151E"/>
    <w:rsid w:val="00B619CB"/>
    <w:rsid w:val="00B61BA3"/>
    <w:rsid w:val="00B61BB1"/>
    <w:rsid w:val="00B61CA1"/>
    <w:rsid w:val="00B625A4"/>
    <w:rsid w:val="00B62618"/>
    <w:rsid w:val="00B63220"/>
    <w:rsid w:val="00B63B4F"/>
    <w:rsid w:val="00B64675"/>
    <w:rsid w:val="00B64962"/>
    <w:rsid w:val="00B66815"/>
    <w:rsid w:val="00B67303"/>
    <w:rsid w:val="00B6746C"/>
    <w:rsid w:val="00B676EC"/>
    <w:rsid w:val="00B67C17"/>
    <w:rsid w:val="00B7016C"/>
    <w:rsid w:val="00B7039B"/>
    <w:rsid w:val="00B72169"/>
    <w:rsid w:val="00B728EC"/>
    <w:rsid w:val="00B72FEC"/>
    <w:rsid w:val="00B747A8"/>
    <w:rsid w:val="00B74D1E"/>
    <w:rsid w:val="00B75159"/>
    <w:rsid w:val="00B7532D"/>
    <w:rsid w:val="00B76A18"/>
    <w:rsid w:val="00B77A4B"/>
    <w:rsid w:val="00B8045B"/>
    <w:rsid w:val="00B807F7"/>
    <w:rsid w:val="00B80988"/>
    <w:rsid w:val="00B81BE9"/>
    <w:rsid w:val="00B81DAD"/>
    <w:rsid w:val="00B81E19"/>
    <w:rsid w:val="00B81F32"/>
    <w:rsid w:val="00B83890"/>
    <w:rsid w:val="00B839DF"/>
    <w:rsid w:val="00B83AB0"/>
    <w:rsid w:val="00B84C6C"/>
    <w:rsid w:val="00B84E34"/>
    <w:rsid w:val="00B85039"/>
    <w:rsid w:val="00B85095"/>
    <w:rsid w:val="00B851DF"/>
    <w:rsid w:val="00B8558D"/>
    <w:rsid w:val="00B85F8C"/>
    <w:rsid w:val="00B861F7"/>
    <w:rsid w:val="00B86CAB"/>
    <w:rsid w:val="00B8705C"/>
    <w:rsid w:val="00B87695"/>
    <w:rsid w:val="00B87C12"/>
    <w:rsid w:val="00B92667"/>
    <w:rsid w:val="00B92687"/>
    <w:rsid w:val="00B93252"/>
    <w:rsid w:val="00B934AC"/>
    <w:rsid w:val="00B9404A"/>
    <w:rsid w:val="00B94248"/>
    <w:rsid w:val="00B942A1"/>
    <w:rsid w:val="00B9445D"/>
    <w:rsid w:val="00B94B4F"/>
    <w:rsid w:val="00B94BB7"/>
    <w:rsid w:val="00B94BC9"/>
    <w:rsid w:val="00B94C0F"/>
    <w:rsid w:val="00B9599B"/>
    <w:rsid w:val="00B976F6"/>
    <w:rsid w:val="00BA0699"/>
    <w:rsid w:val="00BA1246"/>
    <w:rsid w:val="00BA2C7A"/>
    <w:rsid w:val="00BA324B"/>
    <w:rsid w:val="00BA3CA3"/>
    <w:rsid w:val="00BA3DAA"/>
    <w:rsid w:val="00BA3F22"/>
    <w:rsid w:val="00BA3F7D"/>
    <w:rsid w:val="00BA50E1"/>
    <w:rsid w:val="00BA5215"/>
    <w:rsid w:val="00BA5C08"/>
    <w:rsid w:val="00BA5F41"/>
    <w:rsid w:val="00BA5F55"/>
    <w:rsid w:val="00BA6004"/>
    <w:rsid w:val="00BA67B4"/>
    <w:rsid w:val="00BA68E4"/>
    <w:rsid w:val="00BA69DD"/>
    <w:rsid w:val="00BA7385"/>
    <w:rsid w:val="00BB007E"/>
    <w:rsid w:val="00BB0650"/>
    <w:rsid w:val="00BB0BAA"/>
    <w:rsid w:val="00BB1235"/>
    <w:rsid w:val="00BB17C3"/>
    <w:rsid w:val="00BB187C"/>
    <w:rsid w:val="00BB18C6"/>
    <w:rsid w:val="00BB19F0"/>
    <w:rsid w:val="00BB1DCD"/>
    <w:rsid w:val="00BB2184"/>
    <w:rsid w:val="00BB296B"/>
    <w:rsid w:val="00BB2DE8"/>
    <w:rsid w:val="00BB2F25"/>
    <w:rsid w:val="00BB3622"/>
    <w:rsid w:val="00BB3730"/>
    <w:rsid w:val="00BB38A9"/>
    <w:rsid w:val="00BB3999"/>
    <w:rsid w:val="00BB3C5F"/>
    <w:rsid w:val="00BB41B2"/>
    <w:rsid w:val="00BB5109"/>
    <w:rsid w:val="00BB5132"/>
    <w:rsid w:val="00BB5ABE"/>
    <w:rsid w:val="00BB5DA1"/>
    <w:rsid w:val="00BB5E2A"/>
    <w:rsid w:val="00BB6047"/>
    <w:rsid w:val="00BB62BE"/>
    <w:rsid w:val="00BB682C"/>
    <w:rsid w:val="00BB7599"/>
    <w:rsid w:val="00BB79DD"/>
    <w:rsid w:val="00BB7CA9"/>
    <w:rsid w:val="00BC0468"/>
    <w:rsid w:val="00BC0E1E"/>
    <w:rsid w:val="00BC236B"/>
    <w:rsid w:val="00BC2828"/>
    <w:rsid w:val="00BC2BB4"/>
    <w:rsid w:val="00BC3152"/>
    <w:rsid w:val="00BC3DE5"/>
    <w:rsid w:val="00BC3F46"/>
    <w:rsid w:val="00BC3F8C"/>
    <w:rsid w:val="00BC40EE"/>
    <w:rsid w:val="00BC42AE"/>
    <w:rsid w:val="00BC4ED8"/>
    <w:rsid w:val="00BC50C7"/>
    <w:rsid w:val="00BC5102"/>
    <w:rsid w:val="00BC5396"/>
    <w:rsid w:val="00BC5984"/>
    <w:rsid w:val="00BC5B7B"/>
    <w:rsid w:val="00BC65D9"/>
    <w:rsid w:val="00BC6CE3"/>
    <w:rsid w:val="00BC7C52"/>
    <w:rsid w:val="00BD0674"/>
    <w:rsid w:val="00BD0755"/>
    <w:rsid w:val="00BD089B"/>
    <w:rsid w:val="00BD0CF6"/>
    <w:rsid w:val="00BD1471"/>
    <w:rsid w:val="00BD14C5"/>
    <w:rsid w:val="00BD196A"/>
    <w:rsid w:val="00BD1A3C"/>
    <w:rsid w:val="00BD2081"/>
    <w:rsid w:val="00BD213D"/>
    <w:rsid w:val="00BD2311"/>
    <w:rsid w:val="00BD237A"/>
    <w:rsid w:val="00BD2E39"/>
    <w:rsid w:val="00BD30AA"/>
    <w:rsid w:val="00BD34D4"/>
    <w:rsid w:val="00BD37ED"/>
    <w:rsid w:val="00BD3CE9"/>
    <w:rsid w:val="00BD3F1D"/>
    <w:rsid w:val="00BD50DF"/>
    <w:rsid w:val="00BD573E"/>
    <w:rsid w:val="00BD5770"/>
    <w:rsid w:val="00BD6048"/>
    <w:rsid w:val="00BD6248"/>
    <w:rsid w:val="00BD6262"/>
    <w:rsid w:val="00BD67C9"/>
    <w:rsid w:val="00BD6906"/>
    <w:rsid w:val="00BD6E39"/>
    <w:rsid w:val="00BD7553"/>
    <w:rsid w:val="00BD7AF1"/>
    <w:rsid w:val="00BD7AFA"/>
    <w:rsid w:val="00BE0A50"/>
    <w:rsid w:val="00BE0BC6"/>
    <w:rsid w:val="00BE0F86"/>
    <w:rsid w:val="00BE1414"/>
    <w:rsid w:val="00BE1BBE"/>
    <w:rsid w:val="00BE1F0C"/>
    <w:rsid w:val="00BE28F2"/>
    <w:rsid w:val="00BE2924"/>
    <w:rsid w:val="00BE331C"/>
    <w:rsid w:val="00BE3F59"/>
    <w:rsid w:val="00BE4493"/>
    <w:rsid w:val="00BE46F6"/>
    <w:rsid w:val="00BE47FA"/>
    <w:rsid w:val="00BE4865"/>
    <w:rsid w:val="00BE4B8F"/>
    <w:rsid w:val="00BE4C48"/>
    <w:rsid w:val="00BE4E98"/>
    <w:rsid w:val="00BE57D2"/>
    <w:rsid w:val="00BE5988"/>
    <w:rsid w:val="00BE600D"/>
    <w:rsid w:val="00BE608C"/>
    <w:rsid w:val="00BE61C1"/>
    <w:rsid w:val="00BE64AF"/>
    <w:rsid w:val="00BE6517"/>
    <w:rsid w:val="00BE652E"/>
    <w:rsid w:val="00BE6717"/>
    <w:rsid w:val="00BE747B"/>
    <w:rsid w:val="00BE760D"/>
    <w:rsid w:val="00BE78F5"/>
    <w:rsid w:val="00BE7B6E"/>
    <w:rsid w:val="00BE7FA1"/>
    <w:rsid w:val="00BF0381"/>
    <w:rsid w:val="00BF0479"/>
    <w:rsid w:val="00BF089E"/>
    <w:rsid w:val="00BF0984"/>
    <w:rsid w:val="00BF0D05"/>
    <w:rsid w:val="00BF1B73"/>
    <w:rsid w:val="00BF1FE5"/>
    <w:rsid w:val="00BF26D1"/>
    <w:rsid w:val="00BF2D6D"/>
    <w:rsid w:val="00BF335A"/>
    <w:rsid w:val="00BF3841"/>
    <w:rsid w:val="00BF3A9D"/>
    <w:rsid w:val="00BF4C29"/>
    <w:rsid w:val="00BF5DBC"/>
    <w:rsid w:val="00BF61F9"/>
    <w:rsid w:val="00BF6281"/>
    <w:rsid w:val="00BF639E"/>
    <w:rsid w:val="00BF66FF"/>
    <w:rsid w:val="00BF6C16"/>
    <w:rsid w:val="00BF6E7B"/>
    <w:rsid w:val="00BF71E3"/>
    <w:rsid w:val="00C006E7"/>
    <w:rsid w:val="00C01021"/>
    <w:rsid w:val="00C0127E"/>
    <w:rsid w:val="00C0141F"/>
    <w:rsid w:val="00C014DD"/>
    <w:rsid w:val="00C017C6"/>
    <w:rsid w:val="00C0241C"/>
    <w:rsid w:val="00C037D6"/>
    <w:rsid w:val="00C039C0"/>
    <w:rsid w:val="00C03EEA"/>
    <w:rsid w:val="00C03F0D"/>
    <w:rsid w:val="00C04276"/>
    <w:rsid w:val="00C045D2"/>
    <w:rsid w:val="00C04772"/>
    <w:rsid w:val="00C048AF"/>
    <w:rsid w:val="00C04C09"/>
    <w:rsid w:val="00C05E57"/>
    <w:rsid w:val="00C05EE3"/>
    <w:rsid w:val="00C07168"/>
    <w:rsid w:val="00C077E0"/>
    <w:rsid w:val="00C07806"/>
    <w:rsid w:val="00C07DE6"/>
    <w:rsid w:val="00C10B90"/>
    <w:rsid w:val="00C11628"/>
    <w:rsid w:val="00C11A05"/>
    <w:rsid w:val="00C12045"/>
    <w:rsid w:val="00C123BE"/>
    <w:rsid w:val="00C12D6C"/>
    <w:rsid w:val="00C12FBA"/>
    <w:rsid w:val="00C14F4C"/>
    <w:rsid w:val="00C154B5"/>
    <w:rsid w:val="00C155A6"/>
    <w:rsid w:val="00C15866"/>
    <w:rsid w:val="00C17872"/>
    <w:rsid w:val="00C204B6"/>
    <w:rsid w:val="00C205E9"/>
    <w:rsid w:val="00C20E1A"/>
    <w:rsid w:val="00C212FC"/>
    <w:rsid w:val="00C21565"/>
    <w:rsid w:val="00C21737"/>
    <w:rsid w:val="00C21FD7"/>
    <w:rsid w:val="00C21FEE"/>
    <w:rsid w:val="00C2223E"/>
    <w:rsid w:val="00C2254F"/>
    <w:rsid w:val="00C2336A"/>
    <w:rsid w:val="00C23CBC"/>
    <w:rsid w:val="00C23F48"/>
    <w:rsid w:val="00C24249"/>
    <w:rsid w:val="00C2459D"/>
    <w:rsid w:val="00C24D20"/>
    <w:rsid w:val="00C24FDD"/>
    <w:rsid w:val="00C2540B"/>
    <w:rsid w:val="00C256D8"/>
    <w:rsid w:val="00C260CA"/>
    <w:rsid w:val="00C262BD"/>
    <w:rsid w:val="00C26868"/>
    <w:rsid w:val="00C26AC5"/>
    <w:rsid w:val="00C26E07"/>
    <w:rsid w:val="00C2736E"/>
    <w:rsid w:val="00C30244"/>
    <w:rsid w:val="00C303AE"/>
    <w:rsid w:val="00C304DA"/>
    <w:rsid w:val="00C310C2"/>
    <w:rsid w:val="00C312FE"/>
    <w:rsid w:val="00C315B9"/>
    <w:rsid w:val="00C31743"/>
    <w:rsid w:val="00C31C51"/>
    <w:rsid w:val="00C31D1E"/>
    <w:rsid w:val="00C31DCD"/>
    <w:rsid w:val="00C3322C"/>
    <w:rsid w:val="00C3392E"/>
    <w:rsid w:val="00C33979"/>
    <w:rsid w:val="00C344A5"/>
    <w:rsid w:val="00C34A45"/>
    <w:rsid w:val="00C34FE1"/>
    <w:rsid w:val="00C352E7"/>
    <w:rsid w:val="00C35821"/>
    <w:rsid w:val="00C36168"/>
    <w:rsid w:val="00C36525"/>
    <w:rsid w:val="00C37055"/>
    <w:rsid w:val="00C375C3"/>
    <w:rsid w:val="00C37B03"/>
    <w:rsid w:val="00C40EB3"/>
    <w:rsid w:val="00C40FF9"/>
    <w:rsid w:val="00C416BB"/>
    <w:rsid w:val="00C41948"/>
    <w:rsid w:val="00C41988"/>
    <w:rsid w:val="00C41BD9"/>
    <w:rsid w:val="00C41E1C"/>
    <w:rsid w:val="00C42750"/>
    <w:rsid w:val="00C43061"/>
    <w:rsid w:val="00C434FD"/>
    <w:rsid w:val="00C43E76"/>
    <w:rsid w:val="00C4434B"/>
    <w:rsid w:val="00C457F6"/>
    <w:rsid w:val="00C45A1D"/>
    <w:rsid w:val="00C46617"/>
    <w:rsid w:val="00C46E68"/>
    <w:rsid w:val="00C47AC7"/>
    <w:rsid w:val="00C47BCC"/>
    <w:rsid w:val="00C506F4"/>
    <w:rsid w:val="00C50C0A"/>
    <w:rsid w:val="00C51522"/>
    <w:rsid w:val="00C5192E"/>
    <w:rsid w:val="00C5286B"/>
    <w:rsid w:val="00C52DE6"/>
    <w:rsid w:val="00C54150"/>
    <w:rsid w:val="00C545D0"/>
    <w:rsid w:val="00C5468D"/>
    <w:rsid w:val="00C54EFE"/>
    <w:rsid w:val="00C557BC"/>
    <w:rsid w:val="00C55B55"/>
    <w:rsid w:val="00C55B82"/>
    <w:rsid w:val="00C55BC1"/>
    <w:rsid w:val="00C56006"/>
    <w:rsid w:val="00C562B4"/>
    <w:rsid w:val="00C56474"/>
    <w:rsid w:val="00C5769E"/>
    <w:rsid w:val="00C6016B"/>
    <w:rsid w:val="00C60751"/>
    <w:rsid w:val="00C60BF2"/>
    <w:rsid w:val="00C621B6"/>
    <w:rsid w:val="00C621FE"/>
    <w:rsid w:val="00C62C4D"/>
    <w:rsid w:val="00C634A7"/>
    <w:rsid w:val="00C63604"/>
    <w:rsid w:val="00C637BB"/>
    <w:rsid w:val="00C638D7"/>
    <w:rsid w:val="00C638DF"/>
    <w:rsid w:val="00C646AE"/>
    <w:rsid w:val="00C64720"/>
    <w:rsid w:val="00C6517F"/>
    <w:rsid w:val="00C65788"/>
    <w:rsid w:val="00C657F6"/>
    <w:rsid w:val="00C65D00"/>
    <w:rsid w:val="00C65F87"/>
    <w:rsid w:val="00C6682C"/>
    <w:rsid w:val="00C66909"/>
    <w:rsid w:val="00C6693F"/>
    <w:rsid w:val="00C66FA4"/>
    <w:rsid w:val="00C671DA"/>
    <w:rsid w:val="00C67542"/>
    <w:rsid w:val="00C67BA6"/>
    <w:rsid w:val="00C7009E"/>
    <w:rsid w:val="00C705C7"/>
    <w:rsid w:val="00C70693"/>
    <w:rsid w:val="00C707B2"/>
    <w:rsid w:val="00C7085E"/>
    <w:rsid w:val="00C708BE"/>
    <w:rsid w:val="00C70A23"/>
    <w:rsid w:val="00C70C7A"/>
    <w:rsid w:val="00C70DA3"/>
    <w:rsid w:val="00C71716"/>
    <w:rsid w:val="00C71920"/>
    <w:rsid w:val="00C72A63"/>
    <w:rsid w:val="00C72BF5"/>
    <w:rsid w:val="00C73177"/>
    <w:rsid w:val="00C73205"/>
    <w:rsid w:val="00C74244"/>
    <w:rsid w:val="00C75043"/>
    <w:rsid w:val="00C75CDE"/>
    <w:rsid w:val="00C761CB"/>
    <w:rsid w:val="00C77BFF"/>
    <w:rsid w:val="00C77D56"/>
    <w:rsid w:val="00C80AE4"/>
    <w:rsid w:val="00C818AB"/>
    <w:rsid w:val="00C8201C"/>
    <w:rsid w:val="00C822DD"/>
    <w:rsid w:val="00C8238F"/>
    <w:rsid w:val="00C82DE3"/>
    <w:rsid w:val="00C83F8C"/>
    <w:rsid w:val="00C85712"/>
    <w:rsid w:val="00C857F1"/>
    <w:rsid w:val="00C8679B"/>
    <w:rsid w:val="00C87187"/>
    <w:rsid w:val="00C871C4"/>
    <w:rsid w:val="00C87203"/>
    <w:rsid w:val="00C9008E"/>
    <w:rsid w:val="00C90256"/>
    <w:rsid w:val="00C90902"/>
    <w:rsid w:val="00C90E37"/>
    <w:rsid w:val="00C91053"/>
    <w:rsid w:val="00C91302"/>
    <w:rsid w:val="00C9141F"/>
    <w:rsid w:val="00C91683"/>
    <w:rsid w:val="00C91BB2"/>
    <w:rsid w:val="00C91DEF"/>
    <w:rsid w:val="00C929B4"/>
    <w:rsid w:val="00C9313A"/>
    <w:rsid w:val="00C93A65"/>
    <w:rsid w:val="00C93C04"/>
    <w:rsid w:val="00C940F0"/>
    <w:rsid w:val="00C9436A"/>
    <w:rsid w:val="00C94998"/>
    <w:rsid w:val="00C95596"/>
    <w:rsid w:val="00C958AE"/>
    <w:rsid w:val="00C96481"/>
    <w:rsid w:val="00C96762"/>
    <w:rsid w:val="00C9720A"/>
    <w:rsid w:val="00C97238"/>
    <w:rsid w:val="00C97686"/>
    <w:rsid w:val="00C97FC0"/>
    <w:rsid w:val="00CA0D17"/>
    <w:rsid w:val="00CA1130"/>
    <w:rsid w:val="00CA1259"/>
    <w:rsid w:val="00CA163F"/>
    <w:rsid w:val="00CA1777"/>
    <w:rsid w:val="00CA19E9"/>
    <w:rsid w:val="00CA1EE2"/>
    <w:rsid w:val="00CA2CE1"/>
    <w:rsid w:val="00CA3523"/>
    <w:rsid w:val="00CA3FAA"/>
    <w:rsid w:val="00CA415F"/>
    <w:rsid w:val="00CA44D7"/>
    <w:rsid w:val="00CA4AC4"/>
    <w:rsid w:val="00CA4B7E"/>
    <w:rsid w:val="00CA4DE2"/>
    <w:rsid w:val="00CA5063"/>
    <w:rsid w:val="00CA50F4"/>
    <w:rsid w:val="00CA5EA7"/>
    <w:rsid w:val="00CA6EA4"/>
    <w:rsid w:val="00CA772F"/>
    <w:rsid w:val="00CA7CB9"/>
    <w:rsid w:val="00CA7FAC"/>
    <w:rsid w:val="00CB026C"/>
    <w:rsid w:val="00CB05F6"/>
    <w:rsid w:val="00CB0FAD"/>
    <w:rsid w:val="00CB1BE7"/>
    <w:rsid w:val="00CB2450"/>
    <w:rsid w:val="00CB28CC"/>
    <w:rsid w:val="00CB2AB7"/>
    <w:rsid w:val="00CB2C14"/>
    <w:rsid w:val="00CB3201"/>
    <w:rsid w:val="00CB32A4"/>
    <w:rsid w:val="00CB36C9"/>
    <w:rsid w:val="00CB4479"/>
    <w:rsid w:val="00CB523A"/>
    <w:rsid w:val="00CB599F"/>
    <w:rsid w:val="00CB5A49"/>
    <w:rsid w:val="00CB5C15"/>
    <w:rsid w:val="00CB678B"/>
    <w:rsid w:val="00CB7330"/>
    <w:rsid w:val="00CB79B5"/>
    <w:rsid w:val="00CB7EE3"/>
    <w:rsid w:val="00CC00F7"/>
    <w:rsid w:val="00CC0375"/>
    <w:rsid w:val="00CC0831"/>
    <w:rsid w:val="00CC0919"/>
    <w:rsid w:val="00CC0C2F"/>
    <w:rsid w:val="00CC1228"/>
    <w:rsid w:val="00CC125C"/>
    <w:rsid w:val="00CC182F"/>
    <w:rsid w:val="00CC1A21"/>
    <w:rsid w:val="00CC1E58"/>
    <w:rsid w:val="00CC21F1"/>
    <w:rsid w:val="00CC221F"/>
    <w:rsid w:val="00CC2557"/>
    <w:rsid w:val="00CC3373"/>
    <w:rsid w:val="00CC33C7"/>
    <w:rsid w:val="00CC4DD3"/>
    <w:rsid w:val="00CC5339"/>
    <w:rsid w:val="00CC58D5"/>
    <w:rsid w:val="00CC5B86"/>
    <w:rsid w:val="00CC65A3"/>
    <w:rsid w:val="00CC66DE"/>
    <w:rsid w:val="00CC6A60"/>
    <w:rsid w:val="00CC6BF2"/>
    <w:rsid w:val="00CC6CBA"/>
    <w:rsid w:val="00CC6D6B"/>
    <w:rsid w:val="00CC6E47"/>
    <w:rsid w:val="00CC7088"/>
    <w:rsid w:val="00CC76A1"/>
    <w:rsid w:val="00CC77D1"/>
    <w:rsid w:val="00CC7954"/>
    <w:rsid w:val="00CC7C0C"/>
    <w:rsid w:val="00CD01A1"/>
    <w:rsid w:val="00CD1320"/>
    <w:rsid w:val="00CD17FD"/>
    <w:rsid w:val="00CD1871"/>
    <w:rsid w:val="00CD1DD2"/>
    <w:rsid w:val="00CD22FB"/>
    <w:rsid w:val="00CD2474"/>
    <w:rsid w:val="00CD27BE"/>
    <w:rsid w:val="00CD2878"/>
    <w:rsid w:val="00CD2B55"/>
    <w:rsid w:val="00CD36DB"/>
    <w:rsid w:val="00CD50CE"/>
    <w:rsid w:val="00CD52E2"/>
    <w:rsid w:val="00CD5E83"/>
    <w:rsid w:val="00CD71E6"/>
    <w:rsid w:val="00CD7369"/>
    <w:rsid w:val="00CD75E3"/>
    <w:rsid w:val="00CD77A6"/>
    <w:rsid w:val="00CE0E3B"/>
    <w:rsid w:val="00CE1093"/>
    <w:rsid w:val="00CE11B2"/>
    <w:rsid w:val="00CE13B3"/>
    <w:rsid w:val="00CE1768"/>
    <w:rsid w:val="00CE2627"/>
    <w:rsid w:val="00CE2711"/>
    <w:rsid w:val="00CE2A83"/>
    <w:rsid w:val="00CE2EB2"/>
    <w:rsid w:val="00CE2FB3"/>
    <w:rsid w:val="00CE32E5"/>
    <w:rsid w:val="00CE525D"/>
    <w:rsid w:val="00CE52EE"/>
    <w:rsid w:val="00CE5C99"/>
    <w:rsid w:val="00CE6209"/>
    <w:rsid w:val="00CE6592"/>
    <w:rsid w:val="00CE6737"/>
    <w:rsid w:val="00CE6C34"/>
    <w:rsid w:val="00CE6DF7"/>
    <w:rsid w:val="00CE6E78"/>
    <w:rsid w:val="00CE7910"/>
    <w:rsid w:val="00CE7E17"/>
    <w:rsid w:val="00CF05D1"/>
    <w:rsid w:val="00CF11BB"/>
    <w:rsid w:val="00CF15D4"/>
    <w:rsid w:val="00CF192C"/>
    <w:rsid w:val="00CF23EE"/>
    <w:rsid w:val="00CF282A"/>
    <w:rsid w:val="00CF2F9E"/>
    <w:rsid w:val="00CF379B"/>
    <w:rsid w:val="00CF38DE"/>
    <w:rsid w:val="00CF3EF0"/>
    <w:rsid w:val="00CF4302"/>
    <w:rsid w:val="00CF45BE"/>
    <w:rsid w:val="00CF5106"/>
    <w:rsid w:val="00CF5500"/>
    <w:rsid w:val="00CF5C57"/>
    <w:rsid w:val="00CF6C57"/>
    <w:rsid w:val="00CF7121"/>
    <w:rsid w:val="00D00026"/>
    <w:rsid w:val="00D00112"/>
    <w:rsid w:val="00D006B6"/>
    <w:rsid w:val="00D008BA"/>
    <w:rsid w:val="00D00F39"/>
    <w:rsid w:val="00D00F7F"/>
    <w:rsid w:val="00D0137C"/>
    <w:rsid w:val="00D01BA5"/>
    <w:rsid w:val="00D02DA8"/>
    <w:rsid w:val="00D0370C"/>
    <w:rsid w:val="00D03BF1"/>
    <w:rsid w:val="00D041D5"/>
    <w:rsid w:val="00D056C6"/>
    <w:rsid w:val="00D06151"/>
    <w:rsid w:val="00D06D23"/>
    <w:rsid w:val="00D074E9"/>
    <w:rsid w:val="00D07E7E"/>
    <w:rsid w:val="00D10010"/>
    <w:rsid w:val="00D106D4"/>
    <w:rsid w:val="00D1121A"/>
    <w:rsid w:val="00D11357"/>
    <w:rsid w:val="00D11A81"/>
    <w:rsid w:val="00D11B3C"/>
    <w:rsid w:val="00D11B54"/>
    <w:rsid w:val="00D1255F"/>
    <w:rsid w:val="00D126F7"/>
    <w:rsid w:val="00D128E0"/>
    <w:rsid w:val="00D129F5"/>
    <w:rsid w:val="00D12E0B"/>
    <w:rsid w:val="00D12ED9"/>
    <w:rsid w:val="00D131B4"/>
    <w:rsid w:val="00D136F6"/>
    <w:rsid w:val="00D13C37"/>
    <w:rsid w:val="00D13C5C"/>
    <w:rsid w:val="00D13E20"/>
    <w:rsid w:val="00D141DD"/>
    <w:rsid w:val="00D1461B"/>
    <w:rsid w:val="00D1494A"/>
    <w:rsid w:val="00D149D2"/>
    <w:rsid w:val="00D14CBE"/>
    <w:rsid w:val="00D15666"/>
    <w:rsid w:val="00D15870"/>
    <w:rsid w:val="00D1593A"/>
    <w:rsid w:val="00D16A07"/>
    <w:rsid w:val="00D16E0A"/>
    <w:rsid w:val="00D16E42"/>
    <w:rsid w:val="00D178D3"/>
    <w:rsid w:val="00D206B2"/>
    <w:rsid w:val="00D2087D"/>
    <w:rsid w:val="00D21229"/>
    <w:rsid w:val="00D21421"/>
    <w:rsid w:val="00D21887"/>
    <w:rsid w:val="00D219E1"/>
    <w:rsid w:val="00D242C6"/>
    <w:rsid w:val="00D247DB"/>
    <w:rsid w:val="00D251FF"/>
    <w:rsid w:val="00D25326"/>
    <w:rsid w:val="00D266DE"/>
    <w:rsid w:val="00D27082"/>
    <w:rsid w:val="00D27197"/>
    <w:rsid w:val="00D27DC0"/>
    <w:rsid w:val="00D27F89"/>
    <w:rsid w:val="00D304F3"/>
    <w:rsid w:val="00D306DF"/>
    <w:rsid w:val="00D30CD6"/>
    <w:rsid w:val="00D31054"/>
    <w:rsid w:val="00D31321"/>
    <w:rsid w:val="00D31689"/>
    <w:rsid w:val="00D339B5"/>
    <w:rsid w:val="00D33E6B"/>
    <w:rsid w:val="00D33EF9"/>
    <w:rsid w:val="00D34BFE"/>
    <w:rsid w:val="00D34C8C"/>
    <w:rsid w:val="00D35240"/>
    <w:rsid w:val="00D355E8"/>
    <w:rsid w:val="00D35B23"/>
    <w:rsid w:val="00D36098"/>
    <w:rsid w:val="00D360F5"/>
    <w:rsid w:val="00D36296"/>
    <w:rsid w:val="00D37002"/>
    <w:rsid w:val="00D374A0"/>
    <w:rsid w:val="00D37CA3"/>
    <w:rsid w:val="00D4006B"/>
    <w:rsid w:val="00D40153"/>
    <w:rsid w:val="00D40225"/>
    <w:rsid w:val="00D40F32"/>
    <w:rsid w:val="00D41CCD"/>
    <w:rsid w:val="00D41FBA"/>
    <w:rsid w:val="00D42116"/>
    <w:rsid w:val="00D434A1"/>
    <w:rsid w:val="00D434B9"/>
    <w:rsid w:val="00D43D8F"/>
    <w:rsid w:val="00D43DD6"/>
    <w:rsid w:val="00D43EFE"/>
    <w:rsid w:val="00D44224"/>
    <w:rsid w:val="00D44341"/>
    <w:rsid w:val="00D445CE"/>
    <w:rsid w:val="00D44DA3"/>
    <w:rsid w:val="00D4501D"/>
    <w:rsid w:val="00D45B16"/>
    <w:rsid w:val="00D45C43"/>
    <w:rsid w:val="00D462EF"/>
    <w:rsid w:val="00D46F07"/>
    <w:rsid w:val="00D47271"/>
    <w:rsid w:val="00D47285"/>
    <w:rsid w:val="00D47C34"/>
    <w:rsid w:val="00D50713"/>
    <w:rsid w:val="00D50D1F"/>
    <w:rsid w:val="00D516C2"/>
    <w:rsid w:val="00D51C2C"/>
    <w:rsid w:val="00D52797"/>
    <w:rsid w:val="00D53580"/>
    <w:rsid w:val="00D53CE3"/>
    <w:rsid w:val="00D55A36"/>
    <w:rsid w:val="00D5642B"/>
    <w:rsid w:val="00D56890"/>
    <w:rsid w:val="00D5689A"/>
    <w:rsid w:val="00D56B52"/>
    <w:rsid w:val="00D56C4B"/>
    <w:rsid w:val="00D57072"/>
    <w:rsid w:val="00D57413"/>
    <w:rsid w:val="00D5773D"/>
    <w:rsid w:val="00D5784D"/>
    <w:rsid w:val="00D57FEB"/>
    <w:rsid w:val="00D60157"/>
    <w:rsid w:val="00D60A32"/>
    <w:rsid w:val="00D60BBC"/>
    <w:rsid w:val="00D60FEB"/>
    <w:rsid w:val="00D61249"/>
    <w:rsid w:val="00D61AE5"/>
    <w:rsid w:val="00D61D81"/>
    <w:rsid w:val="00D622E5"/>
    <w:rsid w:val="00D626E8"/>
    <w:rsid w:val="00D62F11"/>
    <w:rsid w:val="00D63396"/>
    <w:rsid w:val="00D63645"/>
    <w:rsid w:val="00D636A6"/>
    <w:rsid w:val="00D637CB"/>
    <w:rsid w:val="00D63801"/>
    <w:rsid w:val="00D63CBC"/>
    <w:rsid w:val="00D6410D"/>
    <w:rsid w:val="00D64636"/>
    <w:rsid w:val="00D648F9"/>
    <w:rsid w:val="00D649B8"/>
    <w:rsid w:val="00D64A13"/>
    <w:rsid w:val="00D64CF1"/>
    <w:rsid w:val="00D64E36"/>
    <w:rsid w:val="00D65478"/>
    <w:rsid w:val="00D65872"/>
    <w:rsid w:val="00D665F2"/>
    <w:rsid w:val="00D668C3"/>
    <w:rsid w:val="00D668E4"/>
    <w:rsid w:val="00D669B1"/>
    <w:rsid w:val="00D66E9B"/>
    <w:rsid w:val="00D67466"/>
    <w:rsid w:val="00D67D25"/>
    <w:rsid w:val="00D70296"/>
    <w:rsid w:val="00D7047B"/>
    <w:rsid w:val="00D705E1"/>
    <w:rsid w:val="00D706E6"/>
    <w:rsid w:val="00D709DA"/>
    <w:rsid w:val="00D7116B"/>
    <w:rsid w:val="00D7142D"/>
    <w:rsid w:val="00D71ECE"/>
    <w:rsid w:val="00D7253E"/>
    <w:rsid w:val="00D726D9"/>
    <w:rsid w:val="00D7284C"/>
    <w:rsid w:val="00D729A9"/>
    <w:rsid w:val="00D729ED"/>
    <w:rsid w:val="00D72ABA"/>
    <w:rsid w:val="00D73C6C"/>
    <w:rsid w:val="00D741F4"/>
    <w:rsid w:val="00D7429B"/>
    <w:rsid w:val="00D747E6"/>
    <w:rsid w:val="00D747F2"/>
    <w:rsid w:val="00D74847"/>
    <w:rsid w:val="00D74C57"/>
    <w:rsid w:val="00D74DF3"/>
    <w:rsid w:val="00D74FEC"/>
    <w:rsid w:val="00D75505"/>
    <w:rsid w:val="00D75622"/>
    <w:rsid w:val="00D76695"/>
    <w:rsid w:val="00D7673D"/>
    <w:rsid w:val="00D76A24"/>
    <w:rsid w:val="00D76C4A"/>
    <w:rsid w:val="00D76F11"/>
    <w:rsid w:val="00D77BC7"/>
    <w:rsid w:val="00D77DAB"/>
    <w:rsid w:val="00D80099"/>
    <w:rsid w:val="00D813F8"/>
    <w:rsid w:val="00D81724"/>
    <w:rsid w:val="00D8228F"/>
    <w:rsid w:val="00D832D5"/>
    <w:rsid w:val="00D83789"/>
    <w:rsid w:val="00D837CD"/>
    <w:rsid w:val="00D83CB1"/>
    <w:rsid w:val="00D84056"/>
    <w:rsid w:val="00D840DC"/>
    <w:rsid w:val="00D84E4C"/>
    <w:rsid w:val="00D855DE"/>
    <w:rsid w:val="00D859A5"/>
    <w:rsid w:val="00D862DA"/>
    <w:rsid w:val="00D8640C"/>
    <w:rsid w:val="00D86456"/>
    <w:rsid w:val="00D870BD"/>
    <w:rsid w:val="00D870D3"/>
    <w:rsid w:val="00D8711F"/>
    <w:rsid w:val="00D87465"/>
    <w:rsid w:val="00D87682"/>
    <w:rsid w:val="00D879C6"/>
    <w:rsid w:val="00D90DFE"/>
    <w:rsid w:val="00D90ED8"/>
    <w:rsid w:val="00D90EEC"/>
    <w:rsid w:val="00D91440"/>
    <w:rsid w:val="00D91676"/>
    <w:rsid w:val="00D918F5"/>
    <w:rsid w:val="00D927E8"/>
    <w:rsid w:val="00D92E9F"/>
    <w:rsid w:val="00D92EC6"/>
    <w:rsid w:val="00D933ED"/>
    <w:rsid w:val="00D93BB5"/>
    <w:rsid w:val="00D93EB7"/>
    <w:rsid w:val="00D9511D"/>
    <w:rsid w:val="00D959EE"/>
    <w:rsid w:val="00D9652C"/>
    <w:rsid w:val="00D96B22"/>
    <w:rsid w:val="00D96EB6"/>
    <w:rsid w:val="00D97C80"/>
    <w:rsid w:val="00D97E60"/>
    <w:rsid w:val="00DA013E"/>
    <w:rsid w:val="00DA0510"/>
    <w:rsid w:val="00DA0E7C"/>
    <w:rsid w:val="00DA188C"/>
    <w:rsid w:val="00DA1B0D"/>
    <w:rsid w:val="00DA1DF6"/>
    <w:rsid w:val="00DA2351"/>
    <w:rsid w:val="00DA3094"/>
    <w:rsid w:val="00DA30EE"/>
    <w:rsid w:val="00DA3574"/>
    <w:rsid w:val="00DA3B84"/>
    <w:rsid w:val="00DA3D7B"/>
    <w:rsid w:val="00DA4CEB"/>
    <w:rsid w:val="00DA4EEC"/>
    <w:rsid w:val="00DA50AD"/>
    <w:rsid w:val="00DA5107"/>
    <w:rsid w:val="00DA518B"/>
    <w:rsid w:val="00DA566A"/>
    <w:rsid w:val="00DA597B"/>
    <w:rsid w:val="00DA6721"/>
    <w:rsid w:val="00DA7189"/>
    <w:rsid w:val="00DA7370"/>
    <w:rsid w:val="00DB0050"/>
    <w:rsid w:val="00DB06E7"/>
    <w:rsid w:val="00DB0C6B"/>
    <w:rsid w:val="00DB1190"/>
    <w:rsid w:val="00DB1AB0"/>
    <w:rsid w:val="00DB1E12"/>
    <w:rsid w:val="00DB200F"/>
    <w:rsid w:val="00DB2A83"/>
    <w:rsid w:val="00DB3322"/>
    <w:rsid w:val="00DB3802"/>
    <w:rsid w:val="00DB4594"/>
    <w:rsid w:val="00DB4AA3"/>
    <w:rsid w:val="00DB4ABD"/>
    <w:rsid w:val="00DB4B60"/>
    <w:rsid w:val="00DB55A0"/>
    <w:rsid w:val="00DB5BEC"/>
    <w:rsid w:val="00DB68FF"/>
    <w:rsid w:val="00DB7225"/>
    <w:rsid w:val="00DB7230"/>
    <w:rsid w:val="00DB74DD"/>
    <w:rsid w:val="00DB7D1B"/>
    <w:rsid w:val="00DC0212"/>
    <w:rsid w:val="00DC037D"/>
    <w:rsid w:val="00DC077E"/>
    <w:rsid w:val="00DC1029"/>
    <w:rsid w:val="00DC109C"/>
    <w:rsid w:val="00DC28CA"/>
    <w:rsid w:val="00DC2EF6"/>
    <w:rsid w:val="00DC30BA"/>
    <w:rsid w:val="00DC32BA"/>
    <w:rsid w:val="00DC35DF"/>
    <w:rsid w:val="00DC49B0"/>
    <w:rsid w:val="00DC4A8E"/>
    <w:rsid w:val="00DC4FAB"/>
    <w:rsid w:val="00DC537E"/>
    <w:rsid w:val="00DC553E"/>
    <w:rsid w:val="00DC5869"/>
    <w:rsid w:val="00DC5948"/>
    <w:rsid w:val="00DC5FD8"/>
    <w:rsid w:val="00DC627D"/>
    <w:rsid w:val="00DC64DA"/>
    <w:rsid w:val="00DC6987"/>
    <w:rsid w:val="00DC69FF"/>
    <w:rsid w:val="00DC74C4"/>
    <w:rsid w:val="00DC74EE"/>
    <w:rsid w:val="00DC7EE4"/>
    <w:rsid w:val="00DD085C"/>
    <w:rsid w:val="00DD1181"/>
    <w:rsid w:val="00DD1ECA"/>
    <w:rsid w:val="00DD2609"/>
    <w:rsid w:val="00DD2BDA"/>
    <w:rsid w:val="00DD3008"/>
    <w:rsid w:val="00DD3603"/>
    <w:rsid w:val="00DD3BBB"/>
    <w:rsid w:val="00DD4865"/>
    <w:rsid w:val="00DD5164"/>
    <w:rsid w:val="00DD5D2C"/>
    <w:rsid w:val="00DD5D7B"/>
    <w:rsid w:val="00DD640F"/>
    <w:rsid w:val="00DD6537"/>
    <w:rsid w:val="00DD6667"/>
    <w:rsid w:val="00DD68C4"/>
    <w:rsid w:val="00DD6F4D"/>
    <w:rsid w:val="00DD71CC"/>
    <w:rsid w:val="00DD73CB"/>
    <w:rsid w:val="00DD74A2"/>
    <w:rsid w:val="00DD765F"/>
    <w:rsid w:val="00DD766D"/>
    <w:rsid w:val="00DD7861"/>
    <w:rsid w:val="00DE00D0"/>
    <w:rsid w:val="00DE026F"/>
    <w:rsid w:val="00DE0D5B"/>
    <w:rsid w:val="00DE18ED"/>
    <w:rsid w:val="00DE383B"/>
    <w:rsid w:val="00DE49BE"/>
    <w:rsid w:val="00DE529D"/>
    <w:rsid w:val="00DE55BD"/>
    <w:rsid w:val="00DE5BE2"/>
    <w:rsid w:val="00DE608A"/>
    <w:rsid w:val="00DE60A7"/>
    <w:rsid w:val="00DE6136"/>
    <w:rsid w:val="00DE6145"/>
    <w:rsid w:val="00DE6460"/>
    <w:rsid w:val="00DE6576"/>
    <w:rsid w:val="00DE6791"/>
    <w:rsid w:val="00DE7342"/>
    <w:rsid w:val="00DE78CA"/>
    <w:rsid w:val="00DE7A93"/>
    <w:rsid w:val="00DE7B42"/>
    <w:rsid w:val="00DE7B58"/>
    <w:rsid w:val="00DE7BB4"/>
    <w:rsid w:val="00DE7CB4"/>
    <w:rsid w:val="00DF06DC"/>
    <w:rsid w:val="00DF0767"/>
    <w:rsid w:val="00DF0C41"/>
    <w:rsid w:val="00DF0F46"/>
    <w:rsid w:val="00DF15F9"/>
    <w:rsid w:val="00DF205C"/>
    <w:rsid w:val="00DF2076"/>
    <w:rsid w:val="00DF2D30"/>
    <w:rsid w:val="00DF3778"/>
    <w:rsid w:val="00DF3E5F"/>
    <w:rsid w:val="00DF3F0A"/>
    <w:rsid w:val="00DF4120"/>
    <w:rsid w:val="00DF425D"/>
    <w:rsid w:val="00DF4614"/>
    <w:rsid w:val="00DF4BB3"/>
    <w:rsid w:val="00DF4BB4"/>
    <w:rsid w:val="00DF5808"/>
    <w:rsid w:val="00DF6215"/>
    <w:rsid w:val="00DF636C"/>
    <w:rsid w:val="00DF6D10"/>
    <w:rsid w:val="00DF75E7"/>
    <w:rsid w:val="00DF78F2"/>
    <w:rsid w:val="00DF7B25"/>
    <w:rsid w:val="00DF7E3B"/>
    <w:rsid w:val="00E00020"/>
    <w:rsid w:val="00E00B67"/>
    <w:rsid w:val="00E01542"/>
    <w:rsid w:val="00E0195E"/>
    <w:rsid w:val="00E0209D"/>
    <w:rsid w:val="00E027C5"/>
    <w:rsid w:val="00E0292E"/>
    <w:rsid w:val="00E02FFF"/>
    <w:rsid w:val="00E04186"/>
    <w:rsid w:val="00E0441A"/>
    <w:rsid w:val="00E04F1E"/>
    <w:rsid w:val="00E072CA"/>
    <w:rsid w:val="00E07A55"/>
    <w:rsid w:val="00E101D4"/>
    <w:rsid w:val="00E1138C"/>
    <w:rsid w:val="00E113A8"/>
    <w:rsid w:val="00E114F5"/>
    <w:rsid w:val="00E11661"/>
    <w:rsid w:val="00E1192A"/>
    <w:rsid w:val="00E11D61"/>
    <w:rsid w:val="00E12D37"/>
    <w:rsid w:val="00E12FC4"/>
    <w:rsid w:val="00E135A1"/>
    <w:rsid w:val="00E13B37"/>
    <w:rsid w:val="00E1496E"/>
    <w:rsid w:val="00E1522C"/>
    <w:rsid w:val="00E154F3"/>
    <w:rsid w:val="00E15C95"/>
    <w:rsid w:val="00E16C30"/>
    <w:rsid w:val="00E16C9D"/>
    <w:rsid w:val="00E16D74"/>
    <w:rsid w:val="00E16E4E"/>
    <w:rsid w:val="00E16EF1"/>
    <w:rsid w:val="00E16FAB"/>
    <w:rsid w:val="00E177A0"/>
    <w:rsid w:val="00E17F63"/>
    <w:rsid w:val="00E20CA9"/>
    <w:rsid w:val="00E21323"/>
    <w:rsid w:val="00E218C9"/>
    <w:rsid w:val="00E21914"/>
    <w:rsid w:val="00E21A0E"/>
    <w:rsid w:val="00E2448C"/>
    <w:rsid w:val="00E24935"/>
    <w:rsid w:val="00E25A50"/>
    <w:rsid w:val="00E25F93"/>
    <w:rsid w:val="00E303A5"/>
    <w:rsid w:val="00E30523"/>
    <w:rsid w:val="00E31D04"/>
    <w:rsid w:val="00E31E97"/>
    <w:rsid w:val="00E32DDB"/>
    <w:rsid w:val="00E33D61"/>
    <w:rsid w:val="00E33F4D"/>
    <w:rsid w:val="00E344B0"/>
    <w:rsid w:val="00E34865"/>
    <w:rsid w:val="00E34ABC"/>
    <w:rsid w:val="00E34AF3"/>
    <w:rsid w:val="00E35470"/>
    <w:rsid w:val="00E35579"/>
    <w:rsid w:val="00E35C2A"/>
    <w:rsid w:val="00E35F28"/>
    <w:rsid w:val="00E36129"/>
    <w:rsid w:val="00E37794"/>
    <w:rsid w:val="00E40681"/>
    <w:rsid w:val="00E40FAA"/>
    <w:rsid w:val="00E41284"/>
    <w:rsid w:val="00E4180E"/>
    <w:rsid w:val="00E419EE"/>
    <w:rsid w:val="00E41A7C"/>
    <w:rsid w:val="00E41D4B"/>
    <w:rsid w:val="00E41FFF"/>
    <w:rsid w:val="00E42274"/>
    <w:rsid w:val="00E425B6"/>
    <w:rsid w:val="00E4292A"/>
    <w:rsid w:val="00E43BC4"/>
    <w:rsid w:val="00E43C06"/>
    <w:rsid w:val="00E43F88"/>
    <w:rsid w:val="00E449B1"/>
    <w:rsid w:val="00E44D48"/>
    <w:rsid w:val="00E44EFA"/>
    <w:rsid w:val="00E45654"/>
    <w:rsid w:val="00E46254"/>
    <w:rsid w:val="00E4634C"/>
    <w:rsid w:val="00E464E1"/>
    <w:rsid w:val="00E46F03"/>
    <w:rsid w:val="00E470E2"/>
    <w:rsid w:val="00E47893"/>
    <w:rsid w:val="00E47B31"/>
    <w:rsid w:val="00E501F7"/>
    <w:rsid w:val="00E5082D"/>
    <w:rsid w:val="00E510B2"/>
    <w:rsid w:val="00E51159"/>
    <w:rsid w:val="00E51177"/>
    <w:rsid w:val="00E52FF3"/>
    <w:rsid w:val="00E5355D"/>
    <w:rsid w:val="00E53FFE"/>
    <w:rsid w:val="00E54C0B"/>
    <w:rsid w:val="00E54DD6"/>
    <w:rsid w:val="00E55842"/>
    <w:rsid w:val="00E55C97"/>
    <w:rsid w:val="00E55F2D"/>
    <w:rsid w:val="00E560D2"/>
    <w:rsid w:val="00E565D1"/>
    <w:rsid w:val="00E573E9"/>
    <w:rsid w:val="00E574A9"/>
    <w:rsid w:val="00E57A3F"/>
    <w:rsid w:val="00E57A8B"/>
    <w:rsid w:val="00E600BF"/>
    <w:rsid w:val="00E60BBF"/>
    <w:rsid w:val="00E61355"/>
    <w:rsid w:val="00E613BC"/>
    <w:rsid w:val="00E619B1"/>
    <w:rsid w:val="00E61E40"/>
    <w:rsid w:val="00E61F1E"/>
    <w:rsid w:val="00E61F45"/>
    <w:rsid w:val="00E6278F"/>
    <w:rsid w:val="00E629BC"/>
    <w:rsid w:val="00E633BA"/>
    <w:rsid w:val="00E64AC7"/>
    <w:rsid w:val="00E6589F"/>
    <w:rsid w:val="00E66109"/>
    <w:rsid w:val="00E6684C"/>
    <w:rsid w:val="00E66861"/>
    <w:rsid w:val="00E66D92"/>
    <w:rsid w:val="00E66E21"/>
    <w:rsid w:val="00E67063"/>
    <w:rsid w:val="00E671CB"/>
    <w:rsid w:val="00E67728"/>
    <w:rsid w:val="00E67AEF"/>
    <w:rsid w:val="00E70F38"/>
    <w:rsid w:val="00E710FC"/>
    <w:rsid w:val="00E7163A"/>
    <w:rsid w:val="00E717F5"/>
    <w:rsid w:val="00E71915"/>
    <w:rsid w:val="00E72C8B"/>
    <w:rsid w:val="00E72F46"/>
    <w:rsid w:val="00E732B6"/>
    <w:rsid w:val="00E73916"/>
    <w:rsid w:val="00E747A9"/>
    <w:rsid w:val="00E7499E"/>
    <w:rsid w:val="00E74D5A"/>
    <w:rsid w:val="00E7548E"/>
    <w:rsid w:val="00E759DE"/>
    <w:rsid w:val="00E7602F"/>
    <w:rsid w:val="00E7636C"/>
    <w:rsid w:val="00E775F9"/>
    <w:rsid w:val="00E77CC4"/>
    <w:rsid w:val="00E77DE3"/>
    <w:rsid w:val="00E77E3C"/>
    <w:rsid w:val="00E80916"/>
    <w:rsid w:val="00E8188E"/>
    <w:rsid w:val="00E818E6"/>
    <w:rsid w:val="00E81B96"/>
    <w:rsid w:val="00E83DCA"/>
    <w:rsid w:val="00E83E44"/>
    <w:rsid w:val="00E840DF"/>
    <w:rsid w:val="00E849FA"/>
    <w:rsid w:val="00E8560F"/>
    <w:rsid w:val="00E8780A"/>
    <w:rsid w:val="00E87E1A"/>
    <w:rsid w:val="00E87FD4"/>
    <w:rsid w:val="00E90B94"/>
    <w:rsid w:val="00E91207"/>
    <w:rsid w:val="00E914FD"/>
    <w:rsid w:val="00E9186F"/>
    <w:rsid w:val="00E92108"/>
    <w:rsid w:val="00E92318"/>
    <w:rsid w:val="00E92C14"/>
    <w:rsid w:val="00E9352D"/>
    <w:rsid w:val="00E93AAC"/>
    <w:rsid w:val="00E947F8"/>
    <w:rsid w:val="00E94E99"/>
    <w:rsid w:val="00E94F1C"/>
    <w:rsid w:val="00E957FC"/>
    <w:rsid w:val="00E959F9"/>
    <w:rsid w:val="00E95CE3"/>
    <w:rsid w:val="00E96089"/>
    <w:rsid w:val="00E960D5"/>
    <w:rsid w:val="00E96205"/>
    <w:rsid w:val="00E965FF"/>
    <w:rsid w:val="00E96B55"/>
    <w:rsid w:val="00E97196"/>
    <w:rsid w:val="00E9719D"/>
    <w:rsid w:val="00EA0175"/>
    <w:rsid w:val="00EA0289"/>
    <w:rsid w:val="00EA045A"/>
    <w:rsid w:val="00EA0D0E"/>
    <w:rsid w:val="00EA15DF"/>
    <w:rsid w:val="00EA18A4"/>
    <w:rsid w:val="00EA1F77"/>
    <w:rsid w:val="00EA2A20"/>
    <w:rsid w:val="00EA2E26"/>
    <w:rsid w:val="00EA39D8"/>
    <w:rsid w:val="00EA4DFF"/>
    <w:rsid w:val="00EA4EA6"/>
    <w:rsid w:val="00EA53F8"/>
    <w:rsid w:val="00EA599C"/>
    <w:rsid w:val="00EA5BBC"/>
    <w:rsid w:val="00EA5F85"/>
    <w:rsid w:val="00EA63DC"/>
    <w:rsid w:val="00EA675E"/>
    <w:rsid w:val="00EA6FA5"/>
    <w:rsid w:val="00EA703C"/>
    <w:rsid w:val="00EA721D"/>
    <w:rsid w:val="00EA74B3"/>
    <w:rsid w:val="00EA755F"/>
    <w:rsid w:val="00EA79E8"/>
    <w:rsid w:val="00EA7F07"/>
    <w:rsid w:val="00EB0234"/>
    <w:rsid w:val="00EB051A"/>
    <w:rsid w:val="00EB11D1"/>
    <w:rsid w:val="00EB1219"/>
    <w:rsid w:val="00EB1556"/>
    <w:rsid w:val="00EB181B"/>
    <w:rsid w:val="00EB1867"/>
    <w:rsid w:val="00EB1CA4"/>
    <w:rsid w:val="00EB1F2C"/>
    <w:rsid w:val="00EB2DEA"/>
    <w:rsid w:val="00EB3215"/>
    <w:rsid w:val="00EB33A6"/>
    <w:rsid w:val="00EB3C34"/>
    <w:rsid w:val="00EB3F80"/>
    <w:rsid w:val="00EB4D42"/>
    <w:rsid w:val="00EB551E"/>
    <w:rsid w:val="00EB60BD"/>
    <w:rsid w:val="00EB7320"/>
    <w:rsid w:val="00EB7415"/>
    <w:rsid w:val="00EB789D"/>
    <w:rsid w:val="00EC17BC"/>
    <w:rsid w:val="00EC2782"/>
    <w:rsid w:val="00EC3047"/>
    <w:rsid w:val="00EC31CD"/>
    <w:rsid w:val="00EC341C"/>
    <w:rsid w:val="00EC34C4"/>
    <w:rsid w:val="00EC4113"/>
    <w:rsid w:val="00EC426C"/>
    <w:rsid w:val="00EC4909"/>
    <w:rsid w:val="00EC642F"/>
    <w:rsid w:val="00EC65E7"/>
    <w:rsid w:val="00EC677D"/>
    <w:rsid w:val="00EC7844"/>
    <w:rsid w:val="00EC7DA1"/>
    <w:rsid w:val="00ED1657"/>
    <w:rsid w:val="00ED23E6"/>
    <w:rsid w:val="00ED26FC"/>
    <w:rsid w:val="00ED277B"/>
    <w:rsid w:val="00ED3CE0"/>
    <w:rsid w:val="00ED405A"/>
    <w:rsid w:val="00ED5637"/>
    <w:rsid w:val="00ED5DFB"/>
    <w:rsid w:val="00ED6618"/>
    <w:rsid w:val="00ED6713"/>
    <w:rsid w:val="00ED69E8"/>
    <w:rsid w:val="00ED7019"/>
    <w:rsid w:val="00ED720E"/>
    <w:rsid w:val="00ED7371"/>
    <w:rsid w:val="00ED7CEC"/>
    <w:rsid w:val="00EE0275"/>
    <w:rsid w:val="00EE0574"/>
    <w:rsid w:val="00EE17AE"/>
    <w:rsid w:val="00EE1C49"/>
    <w:rsid w:val="00EE24BF"/>
    <w:rsid w:val="00EE2DEF"/>
    <w:rsid w:val="00EE3328"/>
    <w:rsid w:val="00EE3645"/>
    <w:rsid w:val="00EE3E9E"/>
    <w:rsid w:val="00EE3EF6"/>
    <w:rsid w:val="00EE4031"/>
    <w:rsid w:val="00EE41EC"/>
    <w:rsid w:val="00EE4523"/>
    <w:rsid w:val="00EE46CB"/>
    <w:rsid w:val="00EE47B1"/>
    <w:rsid w:val="00EE49FC"/>
    <w:rsid w:val="00EE51A8"/>
    <w:rsid w:val="00EE52CC"/>
    <w:rsid w:val="00EE53DD"/>
    <w:rsid w:val="00EE6081"/>
    <w:rsid w:val="00EE71C9"/>
    <w:rsid w:val="00EE757E"/>
    <w:rsid w:val="00EF0960"/>
    <w:rsid w:val="00EF0B2B"/>
    <w:rsid w:val="00EF15F6"/>
    <w:rsid w:val="00EF2322"/>
    <w:rsid w:val="00EF32E0"/>
    <w:rsid w:val="00EF352D"/>
    <w:rsid w:val="00EF3F54"/>
    <w:rsid w:val="00EF47EB"/>
    <w:rsid w:val="00EF4AEE"/>
    <w:rsid w:val="00EF5970"/>
    <w:rsid w:val="00EF5D48"/>
    <w:rsid w:val="00EF6160"/>
    <w:rsid w:val="00EF61D6"/>
    <w:rsid w:val="00EF6645"/>
    <w:rsid w:val="00EF6E41"/>
    <w:rsid w:val="00EF6E49"/>
    <w:rsid w:val="00EF6FFF"/>
    <w:rsid w:val="00EF78AC"/>
    <w:rsid w:val="00EF7F78"/>
    <w:rsid w:val="00F0118F"/>
    <w:rsid w:val="00F01471"/>
    <w:rsid w:val="00F025F4"/>
    <w:rsid w:val="00F02937"/>
    <w:rsid w:val="00F02C36"/>
    <w:rsid w:val="00F03CE0"/>
    <w:rsid w:val="00F03F3B"/>
    <w:rsid w:val="00F05153"/>
    <w:rsid w:val="00F05258"/>
    <w:rsid w:val="00F06BE7"/>
    <w:rsid w:val="00F06BF7"/>
    <w:rsid w:val="00F072DA"/>
    <w:rsid w:val="00F07468"/>
    <w:rsid w:val="00F10CC3"/>
    <w:rsid w:val="00F10E6F"/>
    <w:rsid w:val="00F11924"/>
    <w:rsid w:val="00F11AF9"/>
    <w:rsid w:val="00F11DDC"/>
    <w:rsid w:val="00F1249F"/>
    <w:rsid w:val="00F1266E"/>
    <w:rsid w:val="00F12FCF"/>
    <w:rsid w:val="00F1302B"/>
    <w:rsid w:val="00F13036"/>
    <w:rsid w:val="00F13CF2"/>
    <w:rsid w:val="00F13F76"/>
    <w:rsid w:val="00F1510D"/>
    <w:rsid w:val="00F154E4"/>
    <w:rsid w:val="00F15A43"/>
    <w:rsid w:val="00F1794C"/>
    <w:rsid w:val="00F17C6A"/>
    <w:rsid w:val="00F20076"/>
    <w:rsid w:val="00F20AD4"/>
    <w:rsid w:val="00F20D92"/>
    <w:rsid w:val="00F21380"/>
    <w:rsid w:val="00F2176B"/>
    <w:rsid w:val="00F22132"/>
    <w:rsid w:val="00F22D82"/>
    <w:rsid w:val="00F23183"/>
    <w:rsid w:val="00F2369F"/>
    <w:rsid w:val="00F23A8E"/>
    <w:rsid w:val="00F250AF"/>
    <w:rsid w:val="00F25513"/>
    <w:rsid w:val="00F25AA6"/>
    <w:rsid w:val="00F25F0B"/>
    <w:rsid w:val="00F26434"/>
    <w:rsid w:val="00F26707"/>
    <w:rsid w:val="00F26D40"/>
    <w:rsid w:val="00F27DDA"/>
    <w:rsid w:val="00F30512"/>
    <w:rsid w:val="00F310DA"/>
    <w:rsid w:val="00F31898"/>
    <w:rsid w:val="00F3335D"/>
    <w:rsid w:val="00F334F8"/>
    <w:rsid w:val="00F3384B"/>
    <w:rsid w:val="00F340B6"/>
    <w:rsid w:val="00F34235"/>
    <w:rsid w:val="00F34589"/>
    <w:rsid w:val="00F3484C"/>
    <w:rsid w:val="00F357E2"/>
    <w:rsid w:val="00F35E0A"/>
    <w:rsid w:val="00F36045"/>
    <w:rsid w:val="00F361B7"/>
    <w:rsid w:val="00F36A2B"/>
    <w:rsid w:val="00F371A1"/>
    <w:rsid w:val="00F376DC"/>
    <w:rsid w:val="00F37A5C"/>
    <w:rsid w:val="00F409E0"/>
    <w:rsid w:val="00F40BAE"/>
    <w:rsid w:val="00F4144F"/>
    <w:rsid w:val="00F41C79"/>
    <w:rsid w:val="00F423AE"/>
    <w:rsid w:val="00F427C5"/>
    <w:rsid w:val="00F4294A"/>
    <w:rsid w:val="00F43150"/>
    <w:rsid w:val="00F43741"/>
    <w:rsid w:val="00F439FE"/>
    <w:rsid w:val="00F43F72"/>
    <w:rsid w:val="00F44246"/>
    <w:rsid w:val="00F445FA"/>
    <w:rsid w:val="00F44948"/>
    <w:rsid w:val="00F457ED"/>
    <w:rsid w:val="00F462B3"/>
    <w:rsid w:val="00F463B9"/>
    <w:rsid w:val="00F46545"/>
    <w:rsid w:val="00F46797"/>
    <w:rsid w:val="00F469C5"/>
    <w:rsid w:val="00F46EE9"/>
    <w:rsid w:val="00F471E7"/>
    <w:rsid w:val="00F478CF"/>
    <w:rsid w:val="00F47C5A"/>
    <w:rsid w:val="00F5087B"/>
    <w:rsid w:val="00F51AEA"/>
    <w:rsid w:val="00F51BD7"/>
    <w:rsid w:val="00F51C21"/>
    <w:rsid w:val="00F52DA4"/>
    <w:rsid w:val="00F52F93"/>
    <w:rsid w:val="00F531ED"/>
    <w:rsid w:val="00F5402A"/>
    <w:rsid w:val="00F54232"/>
    <w:rsid w:val="00F54608"/>
    <w:rsid w:val="00F552F2"/>
    <w:rsid w:val="00F558D1"/>
    <w:rsid w:val="00F55E52"/>
    <w:rsid w:val="00F56139"/>
    <w:rsid w:val="00F56607"/>
    <w:rsid w:val="00F57DC9"/>
    <w:rsid w:val="00F57EF0"/>
    <w:rsid w:val="00F60655"/>
    <w:rsid w:val="00F60837"/>
    <w:rsid w:val="00F60D44"/>
    <w:rsid w:val="00F610AA"/>
    <w:rsid w:val="00F61963"/>
    <w:rsid w:val="00F61A3C"/>
    <w:rsid w:val="00F627E2"/>
    <w:rsid w:val="00F62895"/>
    <w:rsid w:val="00F62C98"/>
    <w:rsid w:val="00F62D4B"/>
    <w:rsid w:val="00F637FE"/>
    <w:rsid w:val="00F638AC"/>
    <w:rsid w:val="00F63C96"/>
    <w:rsid w:val="00F64D7C"/>
    <w:rsid w:val="00F64E87"/>
    <w:rsid w:val="00F66123"/>
    <w:rsid w:val="00F66971"/>
    <w:rsid w:val="00F66DFC"/>
    <w:rsid w:val="00F71520"/>
    <w:rsid w:val="00F7201F"/>
    <w:rsid w:val="00F7206E"/>
    <w:rsid w:val="00F726C5"/>
    <w:rsid w:val="00F72F59"/>
    <w:rsid w:val="00F73DA4"/>
    <w:rsid w:val="00F7435E"/>
    <w:rsid w:val="00F74DF2"/>
    <w:rsid w:val="00F74FED"/>
    <w:rsid w:val="00F751FB"/>
    <w:rsid w:val="00F75361"/>
    <w:rsid w:val="00F75619"/>
    <w:rsid w:val="00F7590F"/>
    <w:rsid w:val="00F75F81"/>
    <w:rsid w:val="00F75FE2"/>
    <w:rsid w:val="00F7645F"/>
    <w:rsid w:val="00F765ED"/>
    <w:rsid w:val="00F76ABB"/>
    <w:rsid w:val="00F77088"/>
    <w:rsid w:val="00F772CC"/>
    <w:rsid w:val="00F775B5"/>
    <w:rsid w:val="00F77FB2"/>
    <w:rsid w:val="00F80EBE"/>
    <w:rsid w:val="00F80F90"/>
    <w:rsid w:val="00F81F05"/>
    <w:rsid w:val="00F825B5"/>
    <w:rsid w:val="00F828FC"/>
    <w:rsid w:val="00F82B36"/>
    <w:rsid w:val="00F830E4"/>
    <w:rsid w:val="00F84CB8"/>
    <w:rsid w:val="00F85329"/>
    <w:rsid w:val="00F8555B"/>
    <w:rsid w:val="00F8569E"/>
    <w:rsid w:val="00F8583E"/>
    <w:rsid w:val="00F85929"/>
    <w:rsid w:val="00F859C0"/>
    <w:rsid w:val="00F85A14"/>
    <w:rsid w:val="00F86F31"/>
    <w:rsid w:val="00F875A3"/>
    <w:rsid w:val="00F879F7"/>
    <w:rsid w:val="00F87BB3"/>
    <w:rsid w:val="00F906FD"/>
    <w:rsid w:val="00F90AF8"/>
    <w:rsid w:val="00F90EB0"/>
    <w:rsid w:val="00F91337"/>
    <w:rsid w:val="00F913C6"/>
    <w:rsid w:val="00F919EA"/>
    <w:rsid w:val="00F9259F"/>
    <w:rsid w:val="00F9477C"/>
    <w:rsid w:val="00F94864"/>
    <w:rsid w:val="00F94935"/>
    <w:rsid w:val="00F94A96"/>
    <w:rsid w:val="00F95292"/>
    <w:rsid w:val="00F956CE"/>
    <w:rsid w:val="00F95AAB"/>
    <w:rsid w:val="00F95BDD"/>
    <w:rsid w:val="00FA02EE"/>
    <w:rsid w:val="00FA0C65"/>
    <w:rsid w:val="00FA0D88"/>
    <w:rsid w:val="00FA1520"/>
    <w:rsid w:val="00FA15E7"/>
    <w:rsid w:val="00FA1A64"/>
    <w:rsid w:val="00FA1BBC"/>
    <w:rsid w:val="00FA1ED9"/>
    <w:rsid w:val="00FA2083"/>
    <w:rsid w:val="00FA2228"/>
    <w:rsid w:val="00FA33A6"/>
    <w:rsid w:val="00FA4202"/>
    <w:rsid w:val="00FA4823"/>
    <w:rsid w:val="00FA5286"/>
    <w:rsid w:val="00FA649E"/>
    <w:rsid w:val="00FA7B80"/>
    <w:rsid w:val="00FB0902"/>
    <w:rsid w:val="00FB0B18"/>
    <w:rsid w:val="00FB1961"/>
    <w:rsid w:val="00FB221B"/>
    <w:rsid w:val="00FB22DD"/>
    <w:rsid w:val="00FB27C9"/>
    <w:rsid w:val="00FB2A83"/>
    <w:rsid w:val="00FB2ACA"/>
    <w:rsid w:val="00FB2DBF"/>
    <w:rsid w:val="00FB31C9"/>
    <w:rsid w:val="00FB32A6"/>
    <w:rsid w:val="00FB3900"/>
    <w:rsid w:val="00FB4916"/>
    <w:rsid w:val="00FB591A"/>
    <w:rsid w:val="00FB61D4"/>
    <w:rsid w:val="00FB673E"/>
    <w:rsid w:val="00FB6B64"/>
    <w:rsid w:val="00FB6CEE"/>
    <w:rsid w:val="00FB6EAD"/>
    <w:rsid w:val="00FB7434"/>
    <w:rsid w:val="00FB753B"/>
    <w:rsid w:val="00FB76CA"/>
    <w:rsid w:val="00FC00AC"/>
    <w:rsid w:val="00FC029C"/>
    <w:rsid w:val="00FC0846"/>
    <w:rsid w:val="00FC08D8"/>
    <w:rsid w:val="00FC10E3"/>
    <w:rsid w:val="00FC1321"/>
    <w:rsid w:val="00FC1F3C"/>
    <w:rsid w:val="00FC22E7"/>
    <w:rsid w:val="00FC301E"/>
    <w:rsid w:val="00FC30D9"/>
    <w:rsid w:val="00FC3C08"/>
    <w:rsid w:val="00FC3D57"/>
    <w:rsid w:val="00FC3DBB"/>
    <w:rsid w:val="00FC3EB4"/>
    <w:rsid w:val="00FC4BCB"/>
    <w:rsid w:val="00FC4DE1"/>
    <w:rsid w:val="00FC4FF1"/>
    <w:rsid w:val="00FC51B8"/>
    <w:rsid w:val="00FC5A3A"/>
    <w:rsid w:val="00FC5EC0"/>
    <w:rsid w:val="00FC5FD1"/>
    <w:rsid w:val="00FC6160"/>
    <w:rsid w:val="00FC6C2D"/>
    <w:rsid w:val="00FC6C54"/>
    <w:rsid w:val="00FC6F8C"/>
    <w:rsid w:val="00FC7675"/>
    <w:rsid w:val="00FC7F73"/>
    <w:rsid w:val="00FD02DF"/>
    <w:rsid w:val="00FD1069"/>
    <w:rsid w:val="00FD151D"/>
    <w:rsid w:val="00FD16AB"/>
    <w:rsid w:val="00FD2774"/>
    <w:rsid w:val="00FD2E3A"/>
    <w:rsid w:val="00FD2F2B"/>
    <w:rsid w:val="00FD3600"/>
    <w:rsid w:val="00FD38DC"/>
    <w:rsid w:val="00FD3BF7"/>
    <w:rsid w:val="00FD50F2"/>
    <w:rsid w:val="00FD5C03"/>
    <w:rsid w:val="00FD6457"/>
    <w:rsid w:val="00FD685F"/>
    <w:rsid w:val="00FD6D18"/>
    <w:rsid w:val="00FD7227"/>
    <w:rsid w:val="00FD74E5"/>
    <w:rsid w:val="00FD755E"/>
    <w:rsid w:val="00FD77F3"/>
    <w:rsid w:val="00FD7C3D"/>
    <w:rsid w:val="00FD7CD3"/>
    <w:rsid w:val="00FD7F22"/>
    <w:rsid w:val="00FE03DE"/>
    <w:rsid w:val="00FE07B9"/>
    <w:rsid w:val="00FE09BA"/>
    <w:rsid w:val="00FE1519"/>
    <w:rsid w:val="00FE1E8F"/>
    <w:rsid w:val="00FE2291"/>
    <w:rsid w:val="00FE2FEC"/>
    <w:rsid w:val="00FE3BE6"/>
    <w:rsid w:val="00FE44C5"/>
    <w:rsid w:val="00FE486C"/>
    <w:rsid w:val="00FE4899"/>
    <w:rsid w:val="00FE5909"/>
    <w:rsid w:val="00FE61A7"/>
    <w:rsid w:val="00FE6469"/>
    <w:rsid w:val="00FE66B4"/>
    <w:rsid w:val="00FE6D9A"/>
    <w:rsid w:val="00FE6F74"/>
    <w:rsid w:val="00FE7A9E"/>
    <w:rsid w:val="00FF1021"/>
    <w:rsid w:val="00FF141F"/>
    <w:rsid w:val="00FF220F"/>
    <w:rsid w:val="00FF2B5F"/>
    <w:rsid w:val="00FF2C0F"/>
    <w:rsid w:val="00FF2C15"/>
    <w:rsid w:val="00FF2F9B"/>
    <w:rsid w:val="00FF3953"/>
    <w:rsid w:val="00FF406D"/>
    <w:rsid w:val="00FF569D"/>
    <w:rsid w:val="00FF5BD2"/>
    <w:rsid w:val="00FF5CE3"/>
    <w:rsid w:val="00FF7A20"/>
    <w:rsid w:val="00FF7B8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0CA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5">
    <w:lsdException w:name="Normal" w:locked="0" w:qFormat="1"/>
    <w:lsdException w:name="heading 1" w:qFormat="1"/>
    <w:lsdException w:name="heading 2" w:qFormat="1"/>
    <w:lsdException w:name="heading 3"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3" w:unhideWhenUsed="1" w:qFormat="1"/>
    <w:lsdException w:name="annotation text" w:semiHidden="1" w:unhideWhenUsed="1"/>
    <w:lsdException w:name="header" w:semiHidden="1" w:uiPriority="98" w:unhideWhenUsed="1"/>
    <w:lsdException w:name="footer" w:semiHidden="1" w:uiPriority="43"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1" w:unhideWhenUsed="1" w:qFormat="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uiPriority w:val="99"/>
    <w:semiHidden/>
    <w:qFormat/>
    <w:rsid w:val="003A1A7B"/>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3A1A7B"/>
    <w:pPr>
      <w:keepNext/>
      <w:numPr>
        <w:numId w:val="5"/>
      </w:numPr>
      <w:ind w:right="1296"/>
      <w:outlineLvl w:val="0"/>
    </w:pPr>
    <w:rPr>
      <w:u w:val="single"/>
    </w:rPr>
  </w:style>
  <w:style w:type="paragraph" w:styleId="Heading2">
    <w:name w:val="heading 2"/>
    <w:basedOn w:val="Normal"/>
    <w:next w:val="Normal"/>
    <w:uiPriority w:val="99"/>
    <w:semiHidden/>
    <w:qFormat/>
    <w:locked/>
    <w:rsid w:val="003A1A7B"/>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3A1A7B"/>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rsid w:val="003A1A7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A1A7B"/>
  </w:style>
  <w:style w:type="paragraph" w:styleId="Footer">
    <w:name w:val="footer"/>
    <w:basedOn w:val="Normal"/>
    <w:link w:val="FooterChar"/>
    <w:uiPriority w:val="43"/>
    <w:locked/>
    <w:rsid w:val="003A1A7B"/>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3A1A7B"/>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3A1A7B"/>
    <w:pPr>
      <w:spacing w:before="240" w:line="240" w:lineRule="exact"/>
      <w:ind w:left="720" w:right="794" w:firstLine="0"/>
    </w:pPr>
  </w:style>
  <w:style w:type="paragraph" w:styleId="FootnoteText">
    <w:name w:val="footnote text"/>
    <w:aliases w:val="ft,Footnote Text Char Char Char Char Char"/>
    <w:basedOn w:val="Normal"/>
    <w:link w:val="FootnoteTextChar"/>
    <w:uiPriority w:val="53"/>
    <w:locked/>
    <w:rsid w:val="003A1A7B"/>
    <w:pPr>
      <w:spacing w:after="240" w:line="240" w:lineRule="exact"/>
      <w:ind w:left="510" w:hanging="510"/>
    </w:pPr>
  </w:style>
  <w:style w:type="character" w:styleId="FootnoteReference">
    <w:name w:val="footnote reference"/>
    <w:uiPriority w:val="51"/>
    <w:locked/>
    <w:rsid w:val="003A1A7B"/>
    <w:rPr>
      <w:b/>
      <w:sz w:val="28"/>
      <w:vertAlign w:val="superscript"/>
    </w:rPr>
  </w:style>
  <w:style w:type="paragraph" w:customStyle="1" w:styleId="FootIndAgain">
    <w:name w:val="FootIndAgain"/>
    <w:basedOn w:val="FootnoteText"/>
    <w:uiPriority w:val="47"/>
    <w:qFormat/>
    <w:locked/>
    <w:rsid w:val="003A1A7B"/>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3A1A7B"/>
    <w:pPr>
      <w:ind w:firstLine="0"/>
    </w:pPr>
  </w:style>
  <w:style w:type="character" w:customStyle="1" w:styleId="Heading1Char">
    <w:name w:val="Heading 1 Char"/>
    <w:uiPriority w:val="99"/>
    <w:semiHidden/>
    <w:locked/>
    <w:rsid w:val="003A1A7B"/>
    <w:rPr>
      <w:rFonts w:ascii="Univers" w:hAnsi="Univers"/>
      <w:sz w:val="26"/>
      <w:u w:val="single"/>
      <w:lang w:val="en-AU"/>
    </w:rPr>
  </w:style>
  <w:style w:type="character" w:customStyle="1" w:styleId="Heading2Char">
    <w:name w:val="Heading 2 Char"/>
    <w:uiPriority w:val="99"/>
    <w:semiHidden/>
    <w:locked/>
    <w:rsid w:val="003A1A7B"/>
    <w:rPr>
      <w:rFonts w:ascii="Arial" w:hAnsi="Arial"/>
      <w:b/>
      <w:i/>
      <w:sz w:val="24"/>
      <w:lang w:val="en-AU"/>
    </w:rPr>
  </w:style>
  <w:style w:type="character" w:customStyle="1" w:styleId="Heading3Char">
    <w:name w:val="Heading 3 Char"/>
    <w:uiPriority w:val="99"/>
    <w:semiHidden/>
    <w:locked/>
    <w:rsid w:val="003A1A7B"/>
    <w:rPr>
      <w:rFonts w:ascii="Arial" w:hAnsi="Arial"/>
      <w:sz w:val="24"/>
      <w:lang w:val="en-AU"/>
    </w:rPr>
  </w:style>
  <w:style w:type="paragraph" w:customStyle="1" w:styleId="NormalHC">
    <w:name w:val="Normal HC"/>
    <w:basedOn w:val="Normal"/>
    <w:uiPriority w:val="27"/>
    <w:qFormat/>
    <w:locked/>
    <w:rsid w:val="003A1A7B"/>
    <w:pPr>
      <w:numPr>
        <w:numId w:val="16"/>
      </w:numPr>
      <w:spacing w:after="480"/>
      <w:ind w:left="0" w:hanging="720"/>
    </w:pPr>
  </w:style>
  <w:style w:type="paragraph" w:customStyle="1" w:styleId="HeadingFirst">
    <w:name w:val="Heading First"/>
    <w:basedOn w:val="NormalHC"/>
    <w:next w:val="HeadingV"/>
    <w:uiPriority w:val="15"/>
    <w:qFormat/>
    <w:locked/>
    <w:rsid w:val="003A1A7B"/>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3A1A7B"/>
    <w:pPr>
      <w:keepNext/>
      <w:numPr>
        <w:numId w:val="0"/>
      </w:numPr>
      <w:outlineLvl w:val="2"/>
    </w:pPr>
    <w:rPr>
      <w:b/>
      <w:szCs w:val="20"/>
    </w:rPr>
  </w:style>
  <w:style w:type="paragraph" w:customStyle="1" w:styleId="HeadingL2">
    <w:name w:val="Heading L2"/>
    <w:basedOn w:val="HeadingL1"/>
    <w:next w:val="NormalHC"/>
    <w:uiPriority w:val="23"/>
    <w:qFormat/>
    <w:locked/>
    <w:rsid w:val="003A1A7B"/>
    <w:pPr>
      <w:outlineLvl w:val="3"/>
    </w:pPr>
    <w:rPr>
      <w:b w:val="0"/>
      <w:i/>
    </w:rPr>
  </w:style>
  <w:style w:type="paragraph" w:customStyle="1" w:styleId="HeadingMatter">
    <w:name w:val="Heading Matter"/>
    <w:basedOn w:val="NormalHC"/>
    <w:next w:val="HeadingFirst"/>
    <w:uiPriority w:val="13"/>
    <w:qFormat/>
    <w:locked/>
    <w:rsid w:val="003A1A7B"/>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3A1A7B"/>
    <w:pPr>
      <w:keepNext w:val="0"/>
    </w:pPr>
  </w:style>
  <w:style w:type="paragraph" w:customStyle="1" w:styleId="HeadingV">
    <w:name w:val="Heading V"/>
    <w:basedOn w:val="HeadingFirst"/>
    <w:next w:val="HeadingSecond"/>
    <w:uiPriority w:val="17"/>
    <w:qFormat/>
    <w:locked/>
    <w:rsid w:val="003A1A7B"/>
    <w:rPr>
      <w:caps w:val="0"/>
      <w:u w:val="none"/>
    </w:rPr>
  </w:style>
  <w:style w:type="paragraph" w:customStyle="1" w:styleId="LeftrightafterHC">
    <w:name w:val="Leftright after HC"/>
    <w:basedOn w:val="Normal"/>
    <w:next w:val="leftright"/>
    <w:uiPriority w:val="31"/>
    <w:qFormat/>
    <w:locked/>
    <w:rsid w:val="003A1A7B"/>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3A1A7B"/>
    <w:pPr>
      <w:ind w:firstLine="720"/>
    </w:pPr>
  </w:style>
  <w:style w:type="paragraph" w:customStyle="1" w:styleId="LeftrightHanging">
    <w:name w:val="LeftrightHanging"/>
    <w:basedOn w:val="NormalHC"/>
    <w:uiPriority w:val="35"/>
    <w:qFormat/>
    <w:locked/>
    <w:rsid w:val="003A1A7B"/>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3A1A7B"/>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3A1A7B"/>
    <w:pPr>
      <w:spacing w:before="200"/>
      <w:ind w:left="2160"/>
    </w:pPr>
  </w:style>
  <w:style w:type="paragraph" w:customStyle="1" w:styleId="NormalafterHd2nd">
    <w:name w:val="Normal after Hd2nd"/>
    <w:basedOn w:val="NormalHC"/>
    <w:next w:val="NormalHC"/>
    <w:uiPriority w:val="29"/>
    <w:locked/>
    <w:rsid w:val="003A1A7B"/>
    <w:pPr>
      <w:numPr>
        <w:numId w:val="0"/>
      </w:numPr>
      <w:spacing w:before="1000"/>
    </w:pPr>
  </w:style>
  <w:style w:type="character" w:customStyle="1" w:styleId="NormalHCChar">
    <w:name w:val="Normal HC Char"/>
    <w:uiPriority w:val="99"/>
    <w:semiHidden/>
    <w:locked/>
    <w:rsid w:val="003A1A7B"/>
    <w:rPr>
      <w:rFonts w:ascii="Univers" w:hAnsi="Univers"/>
      <w:sz w:val="26"/>
      <w:szCs w:val="26"/>
    </w:rPr>
  </w:style>
  <w:style w:type="character" w:customStyle="1" w:styleId="StyleFootnoteReferenceChar">
    <w:name w:val="Style Footnote Reference Char"/>
    <w:uiPriority w:val="99"/>
    <w:semiHidden/>
    <w:locked/>
    <w:rsid w:val="003A1A7B"/>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3A1A7B"/>
  </w:style>
  <w:style w:type="paragraph" w:customStyle="1" w:styleId="HeadingJudgment">
    <w:name w:val="Heading Judgment"/>
    <w:basedOn w:val="Normal"/>
    <w:uiPriority w:val="59"/>
    <w:qFormat/>
    <w:locked/>
    <w:rsid w:val="003A1A7B"/>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3A1A7B"/>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3A1A7B"/>
    <w:pPr>
      <w:outlineLvl w:val="4"/>
    </w:pPr>
    <w:rPr>
      <w:b w:val="0"/>
    </w:rPr>
  </w:style>
  <w:style w:type="character" w:styleId="PageNumber">
    <w:name w:val="page number"/>
    <w:basedOn w:val="DefaultParagraphFont"/>
    <w:uiPriority w:val="57"/>
    <w:locked/>
    <w:rsid w:val="003A1A7B"/>
  </w:style>
  <w:style w:type="paragraph" w:styleId="BalloonText">
    <w:name w:val="Balloon Text"/>
    <w:basedOn w:val="Normal"/>
    <w:link w:val="BalloonTextChar"/>
    <w:semiHidden/>
    <w:locked/>
    <w:rsid w:val="003A1A7B"/>
    <w:rPr>
      <w:rFonts w:ascii="Tahoma" w:hAnsi="Tahoma" w:cs="Tahoma"/>
      <w:sz w:val="16"/>
      <w:szCs w:val="16"/>
      <w:lang w:eastAsia="en-US"/>
    </w:rPr>
  </w:style>
  <w:style w:type="character" w:customStyle="1" w:styleId="BalloonTextChar">
    <w:name w:val="Balloon Text Char"/>
    <w:basedOn w:val="DefaultParagraphFont"/>
    <w:link w:val="BalloonText"/>
    <w:semiHidden/>
    <w:rsid w:val="003A1A7B"/>
    <w:rPr>
      <w:rFonts w:ascii="Tahoma" w:hAnsi="Tahoma" w:cs="Tahoma"/>
      <w:sz w:val="16"/>
      <w:szCs w:val="16"/>
      <w:lang w:eastAsia="en-US"/>
    </w:rPr>
  </w:style>
  <w:style w:type="paragraph" w:customStyle="1" w:styleId="ClosingText">
    <w:name w:val="Closing Text"/>
    <w:basedOn w:val="Normal"/>
    <w:uiPriority w:val="98"/>
    <w:semiHidden/>
    <w:qFormat/>
    <w:locked/>
    <w:rsid w:val="003A1A7B"/>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3A1A7B"/>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3A1A7B"/>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3A1A7B"/>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3A1A7B"/>
    <w:rPr>
      <w:szCs w:val="20"/>
      <w:lang w:eastAsia="en-US"/>
    </w:rPr>
  </w:style>
  <w:style w:type="paragraph" w:customStyle="1" w:styleId="NormalBody">
    <w:name w:val="Normal Body"/>
    <w:basedOn w:val="NormalHC"/>
    <w:uiPriority w:val="28"/>
    <w:qFormat/>
    <w:locked/>
    <w:rsid w:val="003A1A7B"/>
    <w:pPr>
      <w:numPr>
        <w:numId w:val="0"/>
      </w:numPr>
    </w:pPr>
    <w:rPr>
      <w:lang w:eastAsia="en-US"/>
    </w:rPr>
  </w:style>
  <w:style w:type="paragraph" w:customStyle="1" w:styleId="StyleFootnoteReference">
    <w:name w:val="Style Footnote Reference"/>
    <w:basedOn w:val="Normal"/>
    <w:next w:val="Normal"/>
    <w:semiHidden/>
    <w:rsid w:val="003A1A7B"/>
    <w:rPr>
      <w:vertAlign w:val="superscript"/>
      <w:lang w:eastAsia="en-US"/>
    </w:rPr>
  </w:style>
  <w:style w:type="paragraph" w:styleId="ListNumber">
    <w:name w:val="List Number"/>
    <w:basedOn w:val="Normal"/>
    <w:uiPriority w:val="56"/>
    <w:locked/>
    <w:rsid w:val="003A1A7B"/>
    <w:pPr>
      <w:numPr>
        <w:numId w:val="11"/>
      </w:numPr>
      <w:contextualSpacing/>
    </w:pPr>
  </w:style>
  <w:style w:type="paragraph" w:customStyle="1" w:styleId="FixListStyle">
    <w:name w:val="FixListStyle"/>
    <w:basedOn w:val="Normal"/>
    <w:uiPriority w:val="99"/>
    <w:qFormat/>
    <w:rsid w:val="003A1A7B"/>
    <w:pPr>
      <w:numPr>
        <w:numId w:val="18"/>
      </w:numPr>
      <w:spacing w:after="480"/>
      <w:ind w:left="0" w:hanging="720"/>
    </w:pPr>
  </w:style>
  <w:style w:type="paragraph" w:customStyle="1" w:styleId="CatchwordsBold">
    <w:name w:val="Catchwords Bold"/>
    <w:basedOn w:val="Normal"/>
    <w:link w:val="CatchwordsBoldChar"/>
    <w:qFormat/>
    <w:rsid w:val="003A1A7B"/>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3A1A7B"/>
    <w:rPr>
      <w:rFonts w:ascii="Times New Roman" w:hAnsi="Times New Roman"/>
      <w:b/>
      <w:szCs w:val="20"/>
    </w:rPr>
  </w:style>
  <w:style w:type="paragraph" w:customStyle="1" w:styleId="CatchwordsRight">
    <w:name w:val="Catchwords Right"/>
    <w:basedOn w:val="Normal"/>
    <w:link w:val="CatchwordsRightChar"/>
    <w:qFormat/>
    <w:rsid w:val="003A1A7B"/>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3A1A7B"/>
    <w:rPr>
      <w:rFonts w:ascii="Times New Roman" w:hAnsi="Times New Roman"/>
      <w:szCs w:val="20"/>
    </w:rPr>
  </w:style>
  <w:style w:type="paragraph" w:customStyle="1" w:styleId="CatchwordsText">
    <w:name w:val="Catchwords Text"/>
    <w:basedOn w:val="Normal"/>
    <w:link w:val="CatchwordsTextChar"/>
    <w:qFormat/>
    <w:rsid w:val="003A1A7B"/>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3A1A7B"/>
    <w:rPr>
      <w:rFonts w:ascii="Times New Roman" w:hAnsi="Times New Roman"/>
      <w:szCs w:val="20"/>
    </w:rPr>
  </w:style>
  <w:style w:type="paragraph" w:customStyle="1" w:styleId="CenteredBorder">
    <w:name w:val="Centered Border"/>
    <w:qFormat/>
    <w:rsid w:val="003A1A7B"/>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3A1A7B"/>
    <w:pPr>
      <w:jc w:val="center"/>
    </w:pPr>
    <w:rPr>
      <w:rFonts w:ascii="Times New Roman" w:hAnsi="Times New Roman"/>
      <w:b/>
      <w:bCs/>
      <w:szCs w:val="20"/>
      <w:lang w:val="en-GB"/>
    </w:rPr>
  </w:style>
  <w:style w:type="character" w:customStyle="1" w:styleId="OrderCentred">
    <w:name w:val="Order Centred"/>
    <w:semiHidden/>
    <w:rsid w:val="003A1A7B"/>
    <w:rPr>
      <w:b/>
      <w:bCs/>
      <w:sz w:val="26"/>
    </w:rPr>
  </w:style>
  <w:style w:type="paragraph" w:customStyle="1" w:styleId="OrdersTopLine">
    <w:name w:val="Orders TopLine"/>
    <w:qFormat/>
    <w:rsid w:val="003A1A7B"/>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3A1A7B"/>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3A1A7B"/>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3A1A7B"/>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3A1A7B"/>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3A1A7B"/>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3A1A7B"/>
    <w:rPr>
      <w:rFonts w:ascii="Times New Roman" w:hAnsi="Times New Roman"/>
      <w:i/>
      <w:lang w:eastAsia="en-US"/>
    </w:rPr>
  </w:style>
  <w:style w:type="paragraph" w:customStyle="1" w:styleId="OrdersIndentLevel2i">
    <w:name w:val="Orders Indent Level 2 (i)"/>
    <w:basedOn w:val="Normal"/>
    <w:link w:val="OrdersIndentLevel2iChar"/>
    <w:qFormat/>
    <w:rsid w:val="003A1A7B"/>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3A1A7B"/>
    <w:rPr>
      <w:rFonts w:ascii="Times New Roman" w:hAnsi="Times New Roman"/>
      <w:i/>
      <w:lang w:eastAsia="en-US"/>
    </w:rPr>
  </w:style>
  <w:style w:type="paragraph" w:customStyle="1" w:styleId="OrdersMatter">
    <w:name w:val="Orders Matter"/>
    <w:basedOn w:val="OrderCentreBold"/>
    <w:link w:val="OrdersMatterChar"/>
    <w:qFormat/>
    <w:rsid w:val="003A1A7B"/>
  </w:style>
  <w:style w:type="character" w:customStyle="1" w:styleId="OrdersMatterChar">
    <w:name w:val="Orders Matter Char"/>
    <w:link w:val="OrdersMatter"/>
    <w:rsid w:val="003A1A7B"/>
    <w:rPr>
      <w:rFonts w:ascii="Times New Roman" w:hAnsi="Times New Roman"/>
      <w:b/>
      <w:bCs/>
      <w:szCs w:val="20"/>
      <w:lang w:val="en-GB"/>
    </w:rPr>
  </w:style>
  <w:style w:type="paragraph" w:customStyle="1" w:styleId="OrdersNotice">
    <w:name w:val="Orders Notice"/>
    <w:rsid w:val="003A1A7B"/>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3A1A7B"/>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3A1A7B"/>
    <w:rPr>
      <w:rFonts w:ascii="Times New Roman" w:hAnsi="Times New Roman"/>
      <w:szCs w:val="20"/>
      <w:lang w:eastAsia="en-US"/>
    </w:rPr>
  </w:style>
  <w:style w:type="paragraph" w:customStyle="1" w:styleId="OrdersText">
    <w:name w:val="Orders Text"/>
    <w:basedOn w:val="Normal"/>
    <w:link w:val="OrdersTextChar"/>
    <w:qFormat/>
    <w:rsid w:val="003A1A7B"/>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3A1A7B"/>
    <w:rPr>
      <w:rFonts w:ascii="Times New Roman" w:hAnsi="Times New Roman"/>
      <w:i/>
      <w:lang w:eastAsia="en-US"/>
    </w:rPr>
  </w:style>
  <w:style w:type="paragraph" w:customStyle="1" w:styleId="OrdersCenteredBorder">
    <w:name w:val="Orders Centered Border"/>
    <w:qFormat/>
    <w:rsid w:val="003A1A7B"/>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3A1A7B"/>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3A1A7B"/>
    <w:rPr>
      <w:rFonts w:ascii="Times New Roman" w:hAnsi="Times New Roman"/>
      <w:szCs w:val="20"/>
    </w:rPr>
  </w:style>
  <w:style w:type="paragraph" w:customStyle="1" w:styleId="LRHangingafterHC">
    <w:name w:val="LR Hanging after HC"/>
    <w:basedOn w:val="Normal"/>
    <w:next w:val="LeftrightHanging"/>
    <w:uiPriority w:val="99"/>
    <w:qFormat/>
    <w:rsid w:val="003A1A7B"/>
    <w:pPr>
      <w:spacing w:before="720" w:line="240" w:lineRule="exact"/>
      <w:ind w:left="1440" w:right="794" w:hanging="720"/>
    </w:pPr>
  </w:style>
  <w:style w:type="character" w:styleId="CommentReference">
    <w:name w:val="annotation reference"/>
    <w:basedOn w:val="DefaultParagraphFont"/>
    <w:uiPriority w:val="99"/>
    <w:semiHidden/>
    <w:unhideWhenUsed/>
    <w:locked/>
    <w:rsid w:val="004469DB"/>
    <w:rPr>
      <w:sz w:val="16"/>
      <w:szCs w:val="16"/>
    </w:rPr>
  </w:style>
  <w:style w:type="paragraph" w:styleId="CommentText">
    <w:name w:val="annotation text"/>
    <w:basedOn w:val="Normal"/>
    <w:link w:val="CommentTextChar"/>
    <w:uiPriority w:val="99"/>
    <w:unhideWhenUsed/>
    <w:locked/>
    <w:rsid w:val="004469DB"/>
    <w:pPr>
      <w:spacing w:line="240" w:lineRule="auto"/>
    </w:pPr>
    <w:rPr>
      <w:sz w:val="20"/>
      <w:szCs w:val="20"/>
    </w:rPr>
  </w:style>
  <w:style w:type="character" w:customStyle="1" w:styleId="CommentTextChar">
    <w:name w:val="Comment Text Char"/>
    <w:basedOn w:val="DefaultParagraphFont"/>
    <w:link w:val="CommentText"/>
    <w:uiPriority w:val="99"/>
    <w:rsid w:val="004469DB"/>
    <w:rPr>
      <w:sz w:val="20"/>
      <w:szCs w:val="20"/>
    </w:rPr>
  </w:style>
  <w:style w:type="paragraph" w:styleId="CommentSubject">
    <w:name w:val="annotation subject"/>
    <w:basedOn w:val="CommentText"/>
    <w:next w:val="CommentText"/>
    <w:link w:val="CommentSubjectChar"/>
    <w:uiPriority w:val="99"/>
    <w:semiHidden/>
    <w:unhideWhenUsed/>
    <w:locked/>
    <w:rsid w:val="004469DB"/>
    <w:rPr>
      <w:b/>
      <w:bCs/>
    </w:rPr>
  </w:style>
  <w:style w:type="character" w:customStyle="1" w:styleId="CommentSubjectChar">
    <w:name w:val="Comment Subject Char"/>
    <w:basedOn w:val="CommentTextChar"/>
    <w:link w:val="CommentSubject"/>
    <w:uiPriority w:val="99"/>
    <w:semiHidden/>
    <w:rsid w:val="004469DB"/>
    <w:rPr>
      <w:b/>
      <w:bCs/>
      <w:sz w:val="20"/>
      <w:szCs w:val="20"/>
    </w:rPr>
  </w:style>
  <w:style w:type="paragraph" w:styleId="Revision">
    <w:name w:val="Revision"/>
    <w:hidden/>
    <w:uiPriority w:val="99"/>
    <w:semiHidden/>
    <w:rsid w:val="007F3389"/>
  </w:style>
  <w:style w:type="character" w:customStyle="1" w:styleId="FootnoteTextChar">
    <w:name w:val="Footnote Text Char"/>
    <w:aliases w:val="ft Char,Footnote Text Char Char Char Char Char Char"/>
    <w:basedOn w:val="DefaultParagraphFont"/>
    <w:link w:val="FootnoteText"/>
    <w:uiPriority w:val="53"/>
    <w:rsid w:val="00BB2DE8"/>
  </w:style>
  <w:style w:type="character" w:styleId="Hyperlink">
    <w:name w:val="Hyperlink"/>
    <w:basedOn w:val="DefaultParagraphFont"/>
    <w:uiPriority w:val="99"/>
    <w:unhideWhenUsed/>
    <w:locked/>
    <w:rsid w:val="00BB2DE8"/>
    <w:rPr>
      <w:color w:val="0000FF"/>
      <w:u w:val="single"/>
    </w:rPr>
  </w:style>
  <w:style w:type="character" w:customStyle="1" w:styleId="highlight">
    <w:name w:val="highlight"/>
    <w:basedOn w:val="DefaultParagraphFont"/>
    <w:rsid w:val="00BB2DE8"/>
  </w:style>
  <w:style w:type="paragraph" w:customStyle="1" w:styleId="Quote1">
    <w:name w:val="Quote1"/>
    <w:basedOn w:val="Normal"/>
    <w:qFormat/>
    <w:rsid w:val="00BB2DE8"/>
    <w:pPr>
      <w:tabs>
        <w:tab w:val="clear" w:pos="720"/>
        <w:tab w:val="clear" w:pos="1440"/>
        <w:tab w:val="clear" w:pos="2160"/>
        <w:tab w:val="clear" w:pos="2880"/>
        <w:tab w:val="clear" w:pos="3600"/>
        <w:tab w:val="clear" w:pos="4320"/>
        <w:tab w:val="clear" w:pos="5040"/>
        <w:tab w:val="clear" w:pos="5760"/>
        <w:tab w:val="clear" w:pos="6480"/>
        <w:tab w:val="clear" w:pos="7200"/>
      </w:tabs>
      <w:spacing w:before="100" w:beforeAutospacing="1" w:after="100" w:afterAutospacing="1" w:line="259" w:lineRule="auto"/>
      <w:ind w:left="720" w:right="0" w:firstLine="0"/>
    </w:pPr>
    <w:rPr>
      <w:rFonts w:ascii="Times New Roman" w:eastAsiaTheme="minorHAnsi" w:hAnsi="Times New Roman"/>
      <w:sz w:val="23"/>
      <w:szCs w:val="24"/>
      <w:lang w:eastAsia="en-US"/>
    </w:rPr>
  </w:style>
  <w:style w:type="paragraph" w:customStyle="1" w:styleId="Numberedpara">
    <w:name w:val="Numbered para"/>
    <w:basedOn w:val="ListParagraph"/>
    <w:qFormat/>
    <w:rsid w:val="00BB2DE8"/>
    <w:pPr>
      <w:numPr>
        <w:numId w:val="20"/>
      </w:numPr>
      <w:tabs>
        <w:tab w:val="clear" w:pos="720"/>
        <w:tab w:val="clear" w:pos="1440"/>
        <w:tab w:val="clear" w:pos="2160"/>
        <w:tab w:val="clear" w:pos="2880"/>
        <w:tab w:val="clear" w:pos="3600"/>
        <w:tab w:val="clear" w:pos="4320"/>
        <w:tab w:val="clear" w:pos="5040"/>
        <w:tab w:val="clear" w:pos="5760"/>
        <w:tab w:val="clear" w:pos="6480"/>
        <w:tab w:val="clear" w:pos="7200"/>
      </w:tabs>
      <w:spacing w:before="240" w:after="240" w:line="259" w:lineRule="auto"/>
      <w:ind w:left="2160" w:right="0" w:hanging="720"/>
      <w:contextualSpacing w:val="0"/>
    </w:pPr>
    <w:rPr>
      <w:rFonts w:ascii="Times New Roman" w:eastAsiaTheme="minorHAnsi" w:hAnsi="Times New Roman"/>
      <w:sz w:val="24"/>
      <w:szCs w:val="24"/>
      <w:lang w:eastAsia="en-US"/>
    </w:rPr>
  </w:style>
  <w:style w:type="paragraph" w:styleId="ListParagraph">
    <w:name w:val="List Paragraph"/>
    <w:basedOn w:val="Normal"/>
    <w:uiPriority w:val="55"/>
    <w:qFormat/>
    <w:locked/>
    <w:rsid w:val="00BB2DE8"/>
    <w:pPr>
      <w:ind w:left="720"/>
      <w:contextualSpacing/>
    </w:pPr>
  </w:style>
  <w:style w:type="character" w:styleId="UnresolvedMention">
    <w:name w:val="Unresolved Mention"/>
    <w:basedOn w:val="DefaultParagraphFont"/>
    <w:uiPriority w:val="99"/>
    <w:semiHidden/>
    <w:unhideWhenUsed/>
    <w:rsid w:val="00BB2DE8"/>
    <w:rPr>
      <w:color w:val="605E5C"/>
      <w:shd w:val="clear" w:color="auto" w:fill="E1DFDD"/>
    </w:rPr>
  </w:style>
  <w:style w:type="paragraph" w:customStyle="1" w:styleId="Body">
    <w:name w:val="Body"/>
    <w:basedOn w:val="Normal"/>
    <w:qFormat/>
    <w:rsid w:val="000F7375"/>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0F7375"/>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0F7375"/>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0F7375"/>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0F7375"/>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0F7375"/>
    <w:pPr>
      <w:jc w:val="center"/>
    </w:pPr>
    <w:rPr>
      <w:rFonts w:ascii="Times New Roman" w:hAnsi="Times New Roman"/>
      <w:bCs/>
      <w:szCs w:val="20"/>
      <w:lang w:val="en-GB"/>
    </w:rPr>
  </w:style>
  <w:style w:type="paragraph" w:customStyle="1" w:styleId="Default">
    <w:name w:val="Default"/>
    <w:rsid w:val="000F7375"/>
    <w:pPr>
      <w:autoSpaceDE w:val="0"/>
      <w:autoSpaceDN w:val="0"/>
      <w:adjustRightInd w:val="0"/>
    </w:pPr>
    <w:rPr>
      <w:rFonts w:ascii="Times New Roman" w:eastAsia="Calibr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V9.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0" ma:contentTypeDescription="Create a new document." ma:contentTypeScope="" ma:versionID="a90412def9bafa76efcfef1f9982d3bb">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01cf65b642e1e3bb5946e64602795b61"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A77CC83-6526-4B25-801D-5A4A9F32A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4.xml><?xml version="1.0" encoding="utf-8"?>
<ds:datastoreItem xmlns:ds="http://schemas.openxmlformats.org/officeDocument/2006/customXml" ds:itemID="{A0D206DB-1496-4C79-AE19-72C63EBB2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Chambers(V9.0).dotm</Template>
  <TotalTime>0</TotalTime>
  <Pages>49</Pages>
  <Words>12703</Words>
  <Characters>72412</Characters>
  <Application>Microsoft Office Word</Application>
  <DocSecurity>0</DocSecurity>
  <Lines>603</Lines>
  <Paragraphs>169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2022-03-07T00:45:00Z</dcterms:created>
  <dcterms:modified xsi:type="dcterms:W3CDTF">2022-03-08T05:11:00Z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e01">
    <vt:lpwstr>KIEFEL CJ 01</vt:lpwstr>
  </property>
  <property fmtid="{D5CDD505-2E9C-101B-9397-08002B2CF9AE}" pid="3" name="Judge02">
    <vt:lpwstr>GAGELER J 02</vt:lpwstr>
  </property>
  <property fmtid="{D5CDD505-2E9C-101B-9397-08002B2CF9AE}" pid="4" name="Judge03">
    <vt:lpwstr>KEANE J 03</vt:lpwstr>
  </property>
  <property fmtid="{D5CDD505-2E9C-101B-9397-08002B2CF9AE}" pid="5" name="Judge04">
    <vt:lpwstr>GORDON J 04</vt:lpwstr>
  </property>
  <property fmtid="{D5CDD505-2E9C-101B-9397-08002B2CF9AE}" pid="6" name="Judge05">
    <vt:lpwstr>EDELMAN J 05</vt:lpwstr>
  </property>
  <property fmtid="{D5CDD505-2E9C-101B-9397-08002B2CF9AE}" pid="7" name="Judge06">
    <vt:lpwstr>STEWARD J 06</vt:lpwstr>
  </property>
  <property fmtid="{D5CDD505-2E9C-101B-9397-08002B2CF9AE}" pid="8" name="Judge07">
    <vt:lpwstr>GLEESON J 07</vt:lpwstr>
  </property>
  <property fmtid="{D5CDD505-2E9C-101B-9397-08002B2CF9AE}" pid="9" name="ContentTypeId">
    <vt:lpwstr>0x0101001F32D2EC4F8DE44A8C0C478B82839881</vt:lpwstr>
  </property>
</Properties>
</file>