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7B0C" w14:textId="77777777" w:rsidR="00F055FC" w:rsidRPr="00704FF8" w:rsidRDefault="00F055FC" w:rsidP="00704FF8">
      <w:pPr>
        <w:pStyle w:val="OrdersTopLine"/>
      </w:pPr>
      <w:bookmarkStart w:id="0" w:name="_GoBack"/>
      <w:bookmarkEnd w:id="0"/>
      <w:r w:rsidRPr="00704FF8">
        <w:t>HIGH COURT OF AUSTRALIA</w:t>
      </w:r>
    </w:p>
    <w:p w14:paraId="77372F48" w14:textId="77777777" w:rsidR="00F055FC" w:rsidRPr="00C02D5B" w:rsidRDefault="00F055FC" w:rsidP="00704FF8">
      <w:pPr>
        <w:pStyle w:val="OrderCentre"/>
      </w:pPr>
    </w:p>
    <w:p w14:paraId="1B1DD8A4" w14:textId="77777777" w:rsidR="00F055FC" w:rsidRPr="00F36C1C" w:rsidRDefault="00F055FC" w:rsidP="00704FF8">
      <w:pPr>
        <w:pStyle w:val="OrderCentre"/>
        <w:rPr>
          <w:sz w:val="24"/>
          <w:szCs w:val="24"/>
        </w:rPr>
      </w:pPr>
      <w:r w:rsidRPr="00F36C1C">
        <w:rPr>
          <w:sz w:val="24"/>
          <w:szCs w:val="24"/>
        </w:rPr>
        <w:t>KIEFEL CJ,</w:t>
      </w:r>
    </w:p>
    <w:p w14:paraId="630CCC3D" w14:textId="77777777" w:rsidR="00F055FC" w:rsidRPr="00F36C1C" w:rsidRDefault="00F055FC" w:rsidP="00704FF8">
      <w:pPr>
        <w:pStyle w:val="OrderCentre"/>
        <w:rPr>
          <w:sz w:val="24"/>
          <w:szCs w:val="24"/>
        </w:rPr>
      </w:pPr>
      <w:r w:rsidRPr="00F36C1C">
        <w:rPr>
          <w:sz w:val="24"/>
          <w:szCs w:val="24"/>
        </w:rPr>
        <w:t>GAGELER, KEANE, GORDON, EDELMAN, STEWARD AND GLEESON JJ</w:t>
      </w:r>
    </w:p>
    <w:p w14:paraId="7D0436FE" w14:textId="77777777" w:rsidR="00F055FC" w:rsidRPr="00C02D5B" w:rsidRDefault="00F055FC" w:rsidP="00EE5374">
      <w:pPr>
        <w:pStyle w:val="Centre"/>
        <w:rPr>
          <w:lang w:val="en-AU"/>
        </w:rPr>
      </w:pPr>
    </w:p>
    <w:p w14:paraId="25BEB1A0" w14:textId="77777777" w:rsidR="00F055FC" w:rsidRPr="00704FF8" w:rsidRDefault="00F055FC" w:rsidP="00704FF8">
      <w:pPr>
        <w:pStyle w:val="OrdersCenteredBorder"/>
      </w:pPr>
    </w:p>
    <w:p w14:paraId="1FB10AA3" w14:textId="77777777" w:rsidR="00F055FC" w:rsidRPr="00C02D5B" w:rsidRDefault="00F055FC" w:rsidP="00C02D5B">
      <w:pPr>
        <w:pStyle w:val="OrdersBodyHeading"/>
      </w:pPr>
    </w:p>
    <w:p w14:paraId="65F1DBF0" w14:textId="77777777" w:rsidR="00F055FC" w:rsidRPr="00C02D5B" w:rsidRDefault="00F055FC" w:rsidP="00C02D5B">
      <w:pPr>
        <w:pStyle w:val="OrdersPartyName"/>
        <w:ind w:right="-1"/>
        <w:rPr>
          <w:b/>
        </w:rPr>
      </w:pPr>
      <w:r>
        <w:rPr>
          <w:b/>
        </w:rPr>
        <w:t xml:space="preserve">Matter No </w:t>
      </w:r>
      <w:r w:rsidRPr="00C02D5B">
        <w:rPr>
          <w:b/>
        </w:rPr>
        <w:t>H2/2021</w:t>
      </w:r>
    </w:p>
    <w:p w14:paraId="0A8F8665" w14:textId="77777777" w:rsidR="00F055FC" w:rsidRPr="00C02D5B" w:rsidRDefault="00F055FC" w:rsidP="00C02D5B">
      <w:pPr>
        <w:pStyle w:val="OrdersPartyName"/>
        <w:ind w:right="-1"/>
      </w:pPr>
    </w:p>
    <w:p w14:paraId="3F237C00" w14:textId="77777777" w:rsidR="00F055FC" w:rsidRPr="00C02D5B" w:rsidRDefault="00F055FC" w:rsidP="00C02D5B">
      <w:pPr>
        <w:pStyle w:val="OrdersPartyName"/>
        <w:ind w:right="-1"/>
      </w:pPr>
      <w:r w:rsidRPr="00C02D5B">
        <w:t>HOBART INTERNATIONAL AIRPORT PTY LTD</w:t>
      </w:r>
      <w:r w:rsidRPr="00C02D5B">
        <w:tab/>
        <w:t>APPELLANT</w:t>
      </w:r>
    </w:p>
    <w:p w14:paraId="4F58E564" w14:textId="77777777" w:rsidR="00F055FC" w:rsidRPr="00C02D5B" w:rsidRDefault="00F055FC" w:rsidP="00C02D5B">
      <w:pPr>
        <w:pStyle w:val="OrdersPartyName"/>
        <w:ind w:right="-1"/>
      </w:pPr>
    </w:p>
    <w:p w14:paraId="2064FB8E" w14:textId="77777777" w:rsidR="00F055FC" w:rsidRPr="00C02D5B" w:rsidRDefault="00F055FC" w:rsidP="00C02D5B">
      <w:pPr>
        <w:pStyle w:val="OrdersPartyName"/>
        <w:ind w:right="-1"/>
      </w:pPr>
      <w:r w:rsidRPr="00C02D5B">
        <w:t>AND</w:t>
      </w:r>
    </w:p>
    <w:p w14:paraId="5D134256" w14:textId="77777777" w:rsidR="00F055FC" w:rsidRPr="00C02D5B" w:rsidRDefault="00F055FC" w:rsidP="00C02D5B">
      <w:pPr>
        <w:pStyle w:val="OrdersPartyName"/>
        <w:ind w:right="-1"/>
      </w:pPr>
    </w:p>
    <w:p w14:paraId="46E4CF95" w14:textId="77777777" w:rsidR="00F055FC" w:rsidRPr="00C02D5B" w:rsidRDefault="00F055FC" w:rsidP="00C02D5B">
      <w:pPr>
        <w:pStyle w:val="OrdersPartyName"/>
        <w:ind w:right="-1"/>
      </w:pPr>
      <w:r w:rsidRPr="00C02D5B">
        <w:t>CLARENCE CITY COUNCIL &amp; ANOR</w:t>
      </w:r>
      <w:r w:rsidRPr="00C02D5B">
        <w:tab/>
        <w:t>RESPONDENTS</w:t>
      </w:r>
    </w:p>
    <w:p w14:paraId="52FC6803" w14:textId="77777777" w:rsidR="00F055FC" w:rsidRPr="00C02D5B" w:rsidRDefault="00F055FC" w:rsidP="00C02D5B">
      <w:pPr>
        <w:pStyle w:val="OrdersBodyHeading"/>
      </w:pPr>
    </w:p>
    <w:p w14:paraId="382F0F9C" w14:textId="77777777" w:rsidR="00F055FC" w:rsidRPr="00C02D5B" w:rsidRDefault="00F055FC" w:rsidP="00C02D5B">
      <w:pPr>
        <w:pStyle w:val="OrdersPartyName"/>
        <w:ind w:right="-1"/>
        <w:rPr>
          <w:b/>
        </w:rPr>
      </w:pPr>
      <w:r>
        <w:rPr>
          <w:b/>
        </w:rPr>
        <w:t xml:space="preserve">Matter No </w:t>
      </w:r>
      <w:r w:rsidRPr="00C02D5B">
        <w:rPr>
          <w:b/>
        </w:rPr>
        <w:t>H3/2021</w:t>
      </w:r>
    </w:p>
    <w:p w14:paraId="0076A952" w14:textId="77777777" w:rsidR="00F055FC" w:rsidRPr="00C02D5B" w:rsidRDefault="00F055FC" w:rsidP="00C02D5B">
      <w:pPr>
        <w:pStyle w:val="OrdersPartyName"/>
        <w:ind w:right="-1"/>
      </w:pPr>
    </w:p>
    <w:p w14:paraId="634A5381" w14:textId="77777777" w:rsidR="00F055FC" w:rsidRDefault="00F055FC" w:rsidP="00C02D5B">
      <w:pPr>
        <w:pStyle w:val="OrdersPartyName"/>
        <w:ind w:right="-1"/>
        <w:jc w:val="left"/>
      </w:pPr>
      <w:r w:rsidRPr="00C02D5B">
        <w:t xml:space="preserve">AUSTRALIA PACIFIC AIRPORTS (LAUNCESTON) </w:t>
      </w:r>
    </w:p>
    <w:p w14:paraId="357255DB" w14:textId="77777777" w:rsidR="00F055FC" w:rsidRPr="00C02D5B" w:rsidRDefault="00F055FC" w:rsidP="00C02D5B">
      <w:pPr>
        <w:pStyle w:val="OrdersPartyName"/>
        <w:ind w:right="-1"/>
        <w:jc w:val="left"/>
      </w:pPr>
      <w:r w:rsidRPr="00C02D5B">
        <w:t>PTY LTD</w:t>
      </w:r>
      <w:r w:rsidRPr="00C02D5B">
        <w:tab/>
        <w:t>APPELLANT</w:t>
      </w:r>
    </w:p>
    <w:p w14:paraId="7E547744" w14:textId="77777777" w:rsidR="00F055FC" w:rsidRPr="00C02D5B" w:rsidRDefault="00F055FC" w:rsidP="00C02D5B">
      <w:pPr>
        <w:pStyle w:val="OrdersPartyName"/>
        <w:ind w:right="-1"/>
      </w:pPr>
    </w:p>
    <w:p w14:paraId="09705B33" w14:textId="77777777" w:rsidR="00F055FC" w:rsidRPr="00C02D5B" w:rsidRDefault="00F055FC" w:rsidP="00C02D5B">
      <w:pPr>
        <w:pStyle w:val="OrdersPartyName"/>
        <w:ind w:right="-1"/>
      </w:pPr>
      <w:r w:rsidRPr="00C02D5B">
        <w:t>AND</w:t>
      </w:r>
    </w:p>
    <w:p w14:paraId="366771CB" w14:textId="77777777" w:rsidR="00F055FC" w:rsidRPr="00C02D5B" w:rsidRDefault="00F055FC" w:rsidP="00C02D5B">
      <w:pPr>
        <w:pStyle w:val="OrdersPartyName"/>
        <w:ind w:right="-1"/>
      </w:pPr>
    </w:p>
    <w:p w14:paraId="3985506A" w14:textId="77777777" w:rsidR="00F055FC" w:rsidRPr="00C02D5B" w:rsidRDefault="00F055FC" w:rsidP="00C02D5B">
      <w:pPr>
        <w:pStyle w:val="OrdersPartyName"/>
        <w:ind w:right="-1"/>
      </w:pPr>
      <w:r w:rsidRPr="00C02D5B">
        <w:t>NORTHERN MIDLANDS COUNCIL &amp; ANOR</w:t>
      </w:r>
      <w:r w:rsidRPr="00C02D5B">
        <w:tab/>
        <w:t>RESPONDENTS</w:t>
      </w:r>
    </w:p>
    <w:p w14:paraId="4A6AB9EA" w14:textId="77777777" w:rsidR="00F055FC" w:rsidRPr="00C02D5B" w:rsidRDefault="00F055FC" w:rsidP="00C02D5B">
      <w:pPr>
        <w:pStyle w:val="BodyHeading"/>
      </w:pPr>
    </w:p>
    <w:p w14:paraId="7B6B23D1" w14:textId="77777777" w:rsidR="00F055FC" w:rsidRPr="00C02D5B" w:rsidRDefault="00F055FC" w:rsidP="00C02D5B">
      <w:pPr>
        <w:pStyle w:val="BodyHeading"/>
      </w:pPr>
    </w:p>
    <w:p w14:paraId="5849F2A6" w14:textId="77777777" w:rsidR="00F055FC" w:rsidRDefault="00F055FC" w:rsidP="00EE5374">
      <w:pPr>
        <w:pStyle w:val="CentreItalics"/>
      </w:pPr>
      <w:bookmarkStart w:id="1" w:name="_Hlk85463434"/>
      <w:r w:rsidRPr="00C02D5B">
        <w:t xml:space="preserve">Hobart International Airport Pty Ltd </w:t>
      </w:r>
      <w:bookmarkEnd w:id="1"/>
      <w:r w:rsidRPr="00C02D5B">
        <w:t>v Clarence City Council</w:t>
      </w:r>
    </w:p>
    <w:p w14:paraId="27EEAF89" w14:textId="77777777" w:rsidR="00F055FC" w:rsidRPr="00427F3A" w:rsidRDefault="00F055FC" w:rsidP="00EE5374">
      <w:pPr>
        <w:pStyle w:val="CentreItalics"/>
      </w:pPr>
      <w:r w:rsidRPr="00C02D5B">
        <w:t>Australia Pacific Airports (Launceston) Pty Ltd v Northern Midlands Council</w:t>
      </w:r>
    </w:p>
    <w:p w14:paraId="0AD0DD76" w14:textId="77777777" w:rsidR="00F055FC" w:rsidRPr="00427F3A" w:rsidRDefault="00F055FC" w:rsidP="00E90E4F">
      <w:pPr>
        <w:pStyle w:val="OrdersCentre"/>
      </w:pPr>
      <w:r>
        <w:t>[2022</w:t>
      </w:r>
      <w:r w:rsidRPr="00427F3A">
        <w:t xml:space="preserve">] HCA </w:t>
      </w:r>
      <w:r>
        <w:t>5</w:t>
      </w:r>
    </w:p>
    <w:p w14:paraId="09CC9E4F" w14:textId="77777777" w:rsidR="00F055FC" w:rsidRDefault="00F055FC" w:rsidP="00E90E4F">
      <w:pPr>
        <w:pStyle w:val="OrdersCentreItalics"/>
      </w:pPr>
      <w:r>
        <w:t xml:space="preserve">Date of Hearing: </w:t>
      </w:r>
      <w:r w:rsidRPr="00C02D5B">
        <w:t>12 October 2021</w:t>
      </w:r>
    </w:p>
    <w:p w14:paraId="09E1F726" w14:textId="77777777" w:rsidR="00F055FC" w:rsidRPr="00427F3A" w:rsidRDefault="00F055FC" w:rsidP="00E90E4F">
      <w:pPr>
        <w:pStyle w:val="OrdersCentreItalics"/>
      </w:pPr>
      <w:r>
        <w:t>Date of Judgment: 9 March 2022</w:t>
      </w:r>
    </w:p>
    <w:p w14:paraId="3CD313FE" w14:textId="77777777" w:rsidR="00F055FC" w:rsidRDefault="00F055FC" w:rsidP="00E90E4F">
      <w:pPr>
        <w:pStyle w:val="OrdersCentre"/>
      </w:pPr>
      <w:r w:rsidRPr="00C02D5B">
        <w:t>H</w:t>
      </w:r>
      <w:r>
        <w:t>2</w:t>
      </w:r>
      <w:r w:rsidRPr="00C02D5B">
        <w:t>/2021</w:t>
      </w:r>
      <w:r>
        <w:t xml:space="preserve"> &amp; H3/2021</w:t>
      </w:r>
    </w:p>
    <w:p w14:paraId="08B2D10B" w14:textId="77777777" w:rsidR="00F055FC" w:rsidRPr="00427F3A" w:rsidRDefault="00F055FC" w:rsidP="00E90E4F">
      <w:pPr>
        <w:pStyle w:val="OrdersCentre"/>
      </w:pPr>
    </w:p>
    <w:p w14:paraId="4F0A3756" w14:textId="77777777" w:rsidR="00F055FC" w:rsidRPr="00BE0A6C" w:rsidRDefault="00F055FC" w:rsidP="00E90E4F">
      <w:pPr>
        <w:pStyle w:val="OrderCentreBold"/>
      </w:pPr>
      <w:r w:rsidRPr="00BE0A6C">
        <w:t>ORDER</w:t>
      </w:r>
    </w:p>
    <w:p w14:paraId="55F9BBC0" w14:textId="77777777" w:rsidR="00F055FC" w:rsidRPr="00427F3A" w:rsidRDefault="00F055FC" w:rsidP="00736C52">
      <w:pPr>
        <w:pStyle w:val="Centre"/>
        <w:rPr>
          <w:lang w:val="en-AU"/>
        </w:rPr>
      </w:pPr>
    </w:p>
    <w:p w14:paraId="68A4A8F6" w14:textId="77777777" w:rsidR="00F055FC" w:rsidRDefault="00F055FC" w:rsidP="00F31B1C">
      <w:pPr>
        <w:pStyle w:val="OrdersText"/>
      </w:pPr>
      <w:r>
        <w:t>In each matter:</w:t>
      </w:r>
    </w:p>
    <w:p w14:paraId="0FF2DB02" w14:textId="77777777" w:rsidR="00F055FC" w:rsidRDefault="00F055FC" w:rsidP="00F31B1C">
      <w:pPr>
        <w:pStyle w:val="OrdersText"/>
      </w:pPr>
    </w:p>
    <w:p w14:paraId="72C895F1" w14:textId="77777777" w:rsidR="00F055FC" w:rsidRDefault="00F055FC" w:rsidP="00F31B1C">
      <w:pPr>
        <w:pStyle w:val="OrdersText"/>
      </w:pPr>
      <w:r>
        <w:t xml:space="preserve">Appeal dismissed with costs. </w:t>
      </w:r>
    </w:p>
    <w:p w14:paraId="142D43ED" w14:textId="77777777" w:rsidR="00F055FC" w:rsidRDefault="00F055FC" w:rsidP="00EE5374">
      <w:pPr>
        <w:pStyle w:val="Body"/>
      </w:pPr>
    </w:p>
    <w:p w14:paraId="27939ADD" w14:textId="77777777" w:rsidR="00F055FC" w:rsidRPr="00427F3A" w:rsidRDefault="00F055FC" w:rsidP="00EE5374">
      <w:pPr>
        <w:pStyle w:val="Body"/>
      </w:pPr>
    </w:p>
    <w:p w14:paraId="64A8D9DD" w14:textId="77777777" w:rsidR="00F055FC" w:rsidRPr="00427F3A" w:rsidRDefault="00F055FC" w:rsidP="0032341F">
      <w:pPr>
        <w:pStyle w:val="OrdersBody"/>
      </w:pPr>
      <w:r w:rsidRPr="00427F3A">
        <w:t xml:space="preserve">On appeal from the </w:t>
      </w:r>
      <w:r w:rsidRPr="00C02D5B">
        <w:t>Federal Court of Australia</w:t>
      </w:r>
    </w:p>
    <w:p w14:paraId="3CBADB5C" w14:textId="77777777" w:rsidR="00F055FC" w:rsidRDefault="00F055FC" w:rsidP="00EE5374">
      <w:pPr>
        <w:pStyle w:val="Body"/>
      </w:pPr>
    </w:p>
    <w:p w14:paraId="677E3DB9" w14:textId="4C52372C"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91B7226" w14:textId="7CF6C323"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1A923C8" w14:textId="77777777" w:rsidR="00F055FC" w:rsidRPr="00427F3A" w:rsidRDefault="00F055FC" w:rsidP="00EE5374">
      <w:pPr>
        <w:pStyle w:val="Body"/>
      </w:pPr>
    </w:p>
    <w:p w14:paraId="7112D239" w14:textId="77777777" w:rsidR="00F055FC" w:rsidRPr="00427F3A" w:rsidRDefault="00F055FC" w:rsidP="00F36C1C">
      <w:pPr>
        <w:pStyle w:val="OrdersBodyHeading"/>
        <w:keepNext/>
      </w:pPr>
      <w:r w:rsidRPr="00427F3A">
        <w:t>Representation</w:t>
      </w:r>
    </w:p>
    <w:p w14:paraId="7A17C3BF" w14:textId="77777777" w:rsidR="00F055FC" w:rsidRPr="00A36592" w:rsidRDefault="00F055FC" w:rsidP="00F36C1C">
      <w:pPr>
        <w:pStyle w:val="Body"/>
        <w:keepNext/>
      </w:pPr>
    </w:p>
    <w:p w14:paraId="7CBD7E14" w14:textId="77777777" w:rsidR="00F055FC" w:rsidRPr="00A36592" w:rsidRDefault="00F055FC" w:rsidP="00C02D5B">
      <w:pPr>
        <w:pStyle w:val="OrdersBody"/>
      </w:pPr>
      <w:r w:rsidRPr="00A36592">
        <w:t xml:space="preserve">K A Stern SC with L </w:t>
      </w:r>
      <w:proofErr w:type="gramStart"/>
      <w:r w:rsidRPr="00A36592">
        <w:t>A</w:t>
      </w:r>
      <w:proofErr w:type="gramEnd"/>
      <w:r w:rsidRPr="00A36592">
        <w:t xml:space="preserve"> Coleman for the appellant in each </w:t>
      </w:r>
      <w:r>
        <w:t>matter</w:t>
      </w:r>
      <w:r w:rsidRPr="00A36592">
        <w:t xml:space="preserve"> (instructed by Corrs Chambers Westgarth, Tierney Law and King &amp; Wood Mallesons)</w:t>
      </w:r>
    </w:p>
    <w:p w14:paraId="0C9AC3AC" w14:textId="77777777" w:rsidR="00F055FC" w:rsidRPr="00A36592" w:rsidRDefault="00F055FC" w:rsidP="00EE5374">
      <w:pPr>
        <w:pStyle w:val="Body"/>
      </w:pPr>
    </w:p>
    <w:p w14:paraId="28516172" w14:textId="77777777" w:rsidR="00F055FC" w:rsidRPr="00A36592" w:rsidRDefault="00F055FC" w:rsidP="00E90E4F">
      <w:pPr>
        <w:pStyle w:val="OrdersBody"/>
      </w:pPr>
      <w:r w:rsidRPr="00A36592">
        <w:t xml:space="preserve">S B </w:t>
      </w:r>
      <w:proofErr w:type="spellStart"/>
      <w:r w:rsidRPr="00A36592">
        <w:t>McElwaine</w:t>
      </w:r>
      <w:proofErr w:type="spellEnd"/>
      <w:r w:rsidRPr="00A36592">
        <w:t xml:space="preserve"> SC </w:t>
      </w:r>
      <w:r>
        <w:t>and</w:t>
      </w:r>
      <w:r w:rsidRPr="00A36592">
        <w:t xml:space="preserve"> K Cuthbertson for the first respondent in each matter (instructed by </w:t>
      </w:r>
      <w:r w:rsidRPr="00ED05B9">
        <w:t xml:space="preserve">Simmons </w:t>
      </w:r>
      <w:proofErr w:type="spellStart"/>
      <w:r w:rsidRPr="00ED05B9">
        <w:t>Wolfhagen</w:t>
      </w:r>
      <w:proofErr w:type="spellEnd"/>
      <w:r w:rsidRPr="00A36592">
        <w:t>)</w:t>
      </w:r>
    </w:p>
    <w:p w14:paraId="55142296" w14:textId="77777777" w:rsidR="00F055FC" w:rsidRPr="00A36592" w:rsidRDefault="00F055FC" w:rsidP="001B3C97">
      <w:pPr>
        <w:pStyle w:val="Body"/>
      </w:pPr>
    </w:p>
    <w:p w14:paraId="007FBBF9" w14:textId="77777777" w:rsidR="00F055FC" w:rsidRPr="00A36592" w:rsidRDefault="00F055FC" w:rsidP="00E90E4F">
      <w:pPr>
        <w:pStyle w:val="OrdersBody"/>
      </w:pPr>
      <w:r w:rsidRPr="00A36592">
        <w:t xml:space="preserve">S P </w:t>
      </w:r>
      <w:proofErr w:type="spellStart"/>
      <w:r w:rsidRPr="00A36592">
        <w:t>Donaghue</w:t>
      </w:r>
      <w:proofErr w:type="spellEnd"/>
      <w:r w:rsidRPr="00A36592">
        <w:t xml:space="preserve"> QC, Solicitor</w:t>
      </w:r>
      <w:r>
        <w:t>-</w:t>
      </w:r>
      <w:r w:rsidRPr="00A36592">
        <w:t>General of the Commonwealth, with C</w:t>
      </w:r>
      <w:r>
        <w:t> </w:t>
      </w:r>
      <w:r w:rsidRPr="00A36592">
        <w:t>L</w:t>
      </w:r>
      <w:r>
        <w:t> </w:t>
      </w:r>
      <w:proofErr w:type="spellStart"/>
      <w:r w:rsidRPr="00A36592">
        <w:t>Lenehan</w:t>
      </w:r>
      <w:proofErr w:type="spellEnd"/>
      <w:r w:rsidRPr="00A36592">
        <w:t xml:space="preserve"> SC and K E Foley for the second respondent in each matter (instructed by Australian Government Solicitor)</w:t>
      </w:r>
    </w:p>
    <w:p w14:paraId="3F5AED04" w14:textId="77777777" w:rsidR="00F055FC" w:rsidRDefault="00F055FC" w:rsidP="00A01277">
      <w:pPr>
        <w:pStyle w:val="Body"/>
      </w:pPr>
    </w:p>
    <w:p w14:paraId="1E4376B7" w14:textId="77777777" w:rsidR="00F055FC" w:rsidRDefault="00F055FC" w:rsidP="00EE5374">
      <w:pPr>
        <w:pStyle w:val="Body"/>
      </w:pPr>
    </w:p>
    <w:p w14:paraId="1D2E1BA1" w14:textId="77777777" w:rsidR="00F055FC" w:rsidRDefault="00F055FC" w:rsidP="00EE5374">
      <w:pPr>
        <w:pStyle w:val="Body"/>
      </w:pPr>
    </w:p>
    <w:p w14:paraId="0CE6BE77" w14:textId="77777777" w:rsidR="00F055FC" w:rsidRDefault="00F055FC" w:rsidP="00EE5374">
      <w:pPr>
        <w:pStyle w:val="Body"/>
      </w:pPr>
    </w:p>
    <w:p w14:paraId="0B259FF1" w14:textId="77777777" w:rsidR="00F055FC" w:rsidRDefault="00F055FC" w:rsidP="00EE5374">
      <w:pPr>
        <w:pStyle w:val="Body"/>
      </w:pPr>
    </w:p>
    <w:p w14:paraId="3D75A9AE" w14:textId="77777777" w:rsidR="00F055FC" w:rsidRDefault="00F055FC" w:rsidP="00EE5374">
      <w:pPr>
        <w:pStyle w:val="Body"/>
      </w:pPr>
    </w:p>
    <w:p w14:paraId="65FB5CD6" w14:textId="77777777" w:rsidR="00F055FC" w:rsidRDefault="00F055FC" w:rsidP="00EE5374">
      <w:pPr>
        <w:pStyle w:val="Body"/>
      </w:pPr>
    </w:p>
    <w:p w14:paraId="77257BC5" w14:textId="77777777" w:rsidR="00F055FC" w:rsidRDefault="00F055FC" w:rsidP="00EE5374">
      <w:pPr>
        <w:pStyle w:val="Body"/>
      </w:pPr>
    </w:p>
    <w:p w14:paraId="740A2255" w14:textId="77777777" w:rsidR="00F055FC" w:rsidRDefault="00F055FC" w:rsidP="00EE5374">
      <w:pPr>
        <w:pStyle w:val="Body"/>
      </w:pPr>
    </w:p>
    <w:p w14:paraId="43D41B21" w14:textId="77777777" w:rsidR="00F055FC" w:rsidRDefault="00F055FC" w:rsidP="00EE5374">
      <w:pPr>
        <w:pStyle w:val="Body"/>
      </w:pPr>
    </w:p>
    <w:p w14:paraId="3B218B65" w14:textId="77777777" w:rsidR="00F055FC" w:rsidRDefault="00F055FC" w:rsidP="00EE5374">
      <w:pPr>
        <w:pStyle w:val="Body"/>
      </w:pPr>
    </w:p>
    <w:p w14:paraId="10ED6355" w14:textId="77777777" w:rsidR="00F055FC" w:rsidRDefault="00F055FC" w:rsidP="00EE5374">
      <w:pPr>
        <w:pStyle w:val="Body"/>
      </w:pPr>
    </w:p>
    <w:p w14:paraId="7E086BD9" w14:textId="77777777" w:rsidR="00F055FC" w:rsidRDefault="00F055FC" w:rsidP="00EE5374">
      <w:pPr>
        <w:pStyle w:val="Body"/>
      </w:pPr>
    </w:p>
    <w:p w14:paraId="241E57F9" w14:textId="77777777" w:rsidR="00F055FC" w:rsidRDefault="00F055FC" w:rsidP="00EE5374">
      <w:pPr>
        <w:pStyle w:val="Body"/>
      </w:pPr>
    </w:p>
    <w:p w14:paraId="3B21B3EA" w14:textId="77777777" w:rsidR="00F055FC" w:rsidRDefault="00F055FC" w:rsidP="00EE5374">
      <w:pPr>
        <w:pStyle w:val="Body"/>
      </w:pPr>
    </w:p>
    <w:p w14:paraId="16FFE44A" w14:textId="77777777" w:rsidR="00F055FC" w:rsidRDefault="00F055FC" w:rsidP="00EE5374">
      <w:pPr>
        <w:pStyle w:val="Body"/>
      </w:pPr>
    </w:p>
    <w:p w14:paraId="71E59AE9" w14:textId="77777777" w:rsidR="00F055FC" w:rsidRDefault="00F055FC" w:rsidP="00EE5374">
      <w:pPr>
        <w:pStyle w:val="Body"/>
      </w:pPr>
    </w:p>
    <w:p w14:paraId="1074C70C" w14:textId="77777777" w:rsidR="00F055FC" w:rsidRDefault="00F055FC" w:rsidP="00EE5374">
      <w:pPr>
        <w:pStyle w:val="Body"/>
      </w:pPr>
    </w:p>
    <w:p w14:paraId="6B04C823" w14:textId="77777777" w:rsidR="00F055FC" w:rsidRDefault="00F055FC" w:rsidP="00EE5374">
      <w:pPr>
        <w:pStyle w:val="Body"/>
      </w:pPr>
    </w:p>
    <w:p w14:paraId="317ECA12" w14:textId="77777777" w:rsidR="00F055FC" w:rsidRDefault="00F055FC" w:rsidP="00EE5374">
      <w:pPr>
        <w:pStyle w:val="Body"/>
      </w:pPr>
    </w:p>
    <w:p w14:paraId="681AE8FB" w14:textId="77777777" w:rsidR="00F055FC" w:rsidRDefault="00F055FC" w:rsidP="00EE5374">
      <w:pPr>
        <w:pStyle w:val="Body"/>
      </w:pPr>
    </w:p>
    <w:p w14:paraId="6B68DA38" w14:textId="77777777" w:rsidR="00F055FC" w:rsidRDefault="00F055FC" w:rsidP="00EE5374">
      <w:pPr>
        <w:pStyle w:val="Body"/>
      </w:pPr>
    </w:p>
    <w:p w14:paraId="30888BE8" w14:textId="77777777" w:rsidR="00F055FC" w:rsidRDefault="00F055FC" w:rsidP="00EE5374">
      <w:pPr>
        <w:pStyle w:val="Body"/>
      </w:pPr>
    </w:p>
    <w:p w14:paraId="016C1CF9" w14:textId="77777777" w:rsidR="00F055FC" w:rsidRDefault="00F055FC" w:rsidP="00EE5374">
      <w:pPr>
        <w:pStyle w:val="Body"/>
      </w:pPr>
    </w:p>
    <w:p w14:paraId="2BA04032" w14:textId="77777777" w:rsidR="00F055FC" w:rsidRDefault="00F055FC" w:rsidP="00EE5374">
      <w:pPr>
        <w:pStyle w:val="Body"/>
      </w:pPr>
    </w:p>
    <w:p w14:paraId="3DCB796F" w14:textId="77777777" w:rsidR="00F055FC" w:rsidRDefault="00F055FC" w:rsidP="00EE5374">
      <w:pPr>
        <w:pStyle w:val="Body"/>
      </w:pPr>
    </w:p>
    <w:p w14:paraId="41FE704D" w14:textId="77777777" w:rsidR="00F055FC" w:rsidRPr="00427F3A" w:rsidRDefault="00F055FC" w:rsidP="00EE5374">
      <w:pPr>
        <w:pStyle w:val="Body"/>
      </w:pPr>
    </w:p>
    <w:p w14:paraId="59271B61" w14:textId="77777777" w:rsidR="00F055FC" w:rsidRPr="00427F3A" w:rsidRDefault="00F055FC" w:rsidP="00F9713B">
      <w:pPr>
        <w:pStyle w:val="Notice"/>
        <w:rPr>
          <w:lang w:val="en-AU"/>
        </w:rPr>
      </w:pPr>
      <w:r w:rsidRPr="00427F3A">
        <w:rPr>
          <w:lang w:val="en-AU"/>
        </w:rPr>
        <w:t>Notice:  This copy of the Court's Reasons for Judgment is subject to formal revision prior to publication in the Commonwealth Law Reports.</w:t>
      </w:r>
    </w:p>
    <w:p w14:paraId="4CE1373A" w14:textId="722B0109"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1082638" w14:textId="77777777"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055FC" w:rsidSect="00F055F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C530935" w14:textId="77777777" w:rsidR="00F055FC" w:rsidRPr="00054C14" w:rsidRDefault="00F055FC" w:rsidP="00F055FC">
      <w:pPr>
        <w:pStyle w:val="CatchwordsBold"/>
      </w:pPr>
      <w:r w:rsidRPr="00054C14">
        <w:lastRenderedPageBreak/>
        <w:t>CATCHWORDS</w:t>
      </w:r>
    </w:p>
    <w:p w14:paraId="48951770" w14:textId="77777777" w:rsidR="00F055FC" w:rsidRPr="00054C14" w:rsidRDefault="00F055FC" w:rsidP="00F055FC">
      <w:pPr>
        <w:pStyle w:val="CatchwordsBold"/>
      </w:pPr>
    </w:p>
    <w:p w14:paraId="1AB0EDCB" w14:textId="77777777" w:rsidR="00F055FC" w:rsidRDefault="00F055FC" w:rsidP="00F055FC">
      <w:pPr>
        <w:pStyle w:val="CatchwordsBold"/>
      </w:pPr>
      <w:r>
        <w:t xml:space="preserve">Hobart International Airport Pty Ltd v Clarence City Council </w:t>
      </w:r>
    </w:p>
    <w:p w14:paraId="109F50E0" w14:textId="77777777" w:rsidR="00F055FC" w:rsidRDefault="00F055FC" w:rsidP="00F055FC">
      <w:pPr>
        <w:pStyle w:val="CatchwordsBold"/>
      </w:pPr>
      <w:r>
        <w:t>Australia Pacific Airports (Launceston) Pty Ltd v Northern Midlands Council</w:t>
      </w:r>
    </w:p>
    <w:p w14:paraId="4AEE69D5" w14:textId="77777777" w:rsidR="00F055FC" w:rsidRDefault="00F055FC" w:rsidP="00F055FC">
      <w:pPr>
        <w:pStyle w:val="CatchwordsBold"/>
      </w:pPr>
    </w:p>
    <w:p w14:paraId="375EDCA8" w14:textId="1AB913AA" w:rsidR="00F055FC" w:rsidRPr="00774AD1" w:rsidRDefault="00F055FC" w:rsidP="00F055FC">
      <w:pPr>
        <w:pStyle w:val="CatchwordsText"/>
      </w:pPr>
      <w:r>
        <w:t>Constitutional Law (</w:t>
      </w:r>
      <w:proofErr w:type="spellStart"/>
      <w:r>
        <w:t>Cth</w:t>
      </w:r>
      <w:proofErr w:type="spellEnd"/>
      <w:r>
        <w:t>)</w:t>
      </w:r>
      <w:r w:rsidRPr="007318A6">
        <w:t xml:space="preserve"> –</w:t>
      </w:r>
      <w:r>
        <w:t xml:space="preserve"> Judicial power of Commonwealth </w:t>
      </w:r>
      <w:r w:rsidRPr="007318A6">
        <w:t>–</w:t>
      </w:r>
      <w:r>
        <w:t xml:space="preserve"> Meaning of "matter" – Where Commonwealth entered leases ("Leases") with operators of Hobart Airport and Launceston Airport ("Lessees") for Hobart Airport site and Launceston Airport site ("Airports") – Where Clarence City Council and Northern Midlands Council ("Councils") administer municipal area covering Airports – Where Airports not amenable to council rates or State land tax because located on Commonwealth land – Where cl 26.2(a) of Leases requires that, in lieu of rates, Lessees pay Councils amount that would have been payable if Airports not on Commonwealth land, but relevantly only in respect of parts of Airports on which "trading or financial operations are undertaken" – Where Lessees required to use "all reasonable endeavours" to enter agreements with Councils to make such payments – Where Commonwealth and Lessees not in dispute about meaning of cl 26.2(a) or Lessees' compliance with it – Where Councils not parties to Leases – Where Councils sought declaratory relief regarding proper construction of cl 26.2(a) and Lessees' obligations to make payments – Whether dispute involves "matter" for purposes of Ch III of </w:t>
      </w:r>
      <w:r>
        <w:rPr>
          <w:i/>
        </w:rPr>
        <w:t>Constitution</w:t>
      </w:r>
      <w:r>
        <w:t xml:space="preserve"> – Whether dispute involves justiciable controversy – Whether Councils have standing to have dispute determined.</w:t>
      </w:r>
    </w:p>
    <w:p w14:paraId="4D43EF6C" w14:textId="77777777" w:rsidR="00F055FC" w:rsidRDefault="00F055FC" w:rsidP="00F055FC">
      <w:pPr>
        <w:pStyle w:val="CatchwordsText"/>
      </w:pPr>
    </w:p>
    <w:p w14:paraId="4244ECA2" w14:textId="5FF4CC9B" w:rsidR="00F055FC" w:rsidRDefault="00F055FC" w:rsidP="00F055FC">
      <w:pPr>
        <w:pStyle w:val="CatchwordsText"/>
      </w:pPr>
      <w:r w:rsidRPr="00294DEA">
        <w:t>Words and phrases –</w:t>
      </w:r>
      <w:r>
        <w:t xml:space="preserve"> "all reasonable endeavours", "declaratory relief", "doctrine of privity", "federal jurisdiction", "heads of jurisdiction", "immediate right, duty or liability to be established", "judicial power of the Commonwealth", "justiciable controversy", "legally enforceable remedy", "material interest", "matter", "outsider to a contract", "private rights", "public rights", "real commercial interest", "real interest", "real practical importance", "special interest", "standing", "subject matter requirement", "sufficient interest", "third party", "trading or financial operations".</w:t>
      </w:r>
    </w:p>
    <w:p w14:paraId="6936D9FE" w14:textId="77777777" w:rsidR="00F055FC" w:rsidRDefault="00F055FC" w:rsidP="00F055FC">
      <w:pPr>
        <w:pStyle w:val="CatchwordsText"/>
        <w:rPr>
          <w:i/>
        </w:rPr>
      </w:pPr>
    </w:p>
    <w:p w14:paraId="7855C8A0" w14:textId="77777777" w:rsidR="00F055FC" w:rsidRDefault="00F055FC" w:rsidP="00F055FC">
      <w:pPr>
        <w:pStyle w:val="CatchwordsText"/>
      </w:pPr>
      <w:r>
        <w:rPr>
          <w:i/>
        </w:rPr>
        <w:t>Constitution</w:t>
      </w:r>
      <w:r>
        <w:t>, Ch III.</w:t>
      </w:r>
    </w:p>
    <w:p w14:paraId="0DFE9CC9" w14:textId="77777777" w:rsidR="00F055FC" w:rsidRPr="00B221E9" w:rsidRDefault="00F055FC" w:rsidP="00F055FC">
      <w:pPr>
        <w:pStyle w:val="CatchwordsText"/>
      </w:pPr>
      <w:r>
        <w:rPr>
          <w:i/>
        </w:rPr>
        <w:t xml:space="preserve">Airports (Transitional) Act 1996 </w:t>
      </w:r>
      <w:r>
        <w:t>(</w:t>
      </w:r>
      <w:proofErr w:type="spellStart"/>
      <w:r>
        <w:t>Cth</w:t>
      </w:r>
      <w:proofErr w:type="spellEnd"/>
      <w:r>
        <w:t>), s 22.</w:t>
      </w:r>
    </w:p>
    <w:p w14:paraId="7BD18BD4" w14:textId="77777777" w:rsidR="00F055FC" w:rsidRDefault="00F055FC" w:rsidP="00F055FC">
      <w:pPr>
        <w:spacing w:line="240" w:lineRule="auto"/>
        <w:ind w:right="0" w:firstLine="0"/>
        <w:jc w:val="both"/>
        <w:rPr>
          <w:rFonts w:ascii="Times New Roman" w:hAnsi="Times New Roman"/>
        </w:rPr>
      </w:pPr>
    </w:p>
    <w:p w14:paraId="30EE48CA" w14:textId="77777777" w:rsidR="00F055FC" w:rsidRDefault="00F055FC" w:rsidP="00F055FC">
      <w:pPr>
        <w:spacing w:line="240" w:lineRule="auto"/>
        <w:ind w:right="0" w:firstLine="0"/>
        <w:jc w:val="both"/>
        <w:rPr>
          <w:rFonts w:ascii="Times New Roman" w:hAnsi="Times New Roman"/>
          <w:i/>
        </w:rPr>
      </w:pPr>
    </w:p>
    <w:p w14:paraId="406B4221" w14:textId="77777777" w:rsidR="00F055FC" w:rsidRDefault="00F055FC" w:rsidP="00F055FC">
      <w:pPr>
        <w:spacing w:line="240" w:lineRule="auto"/>
        <w:ind w:right="0" w:firstLine="0"/>
        <w:jc w:val="both"/>
        <w:rPr>
          <w:rFonts w:ascii="Times New Roman" w:hAnsi="Times New Roman"/>
        </w:rPr>
      </w:pPr>
    </w:p>
    <w:p w14:paraId="6DD4B02C" w14:textId="77777777" w:rsidR="00F055FC" w:rsidRDefault="00F055FC" w:rsidP="00F055FC">
      <w:pPr>
        <w:spacing w:line="240" w:lineRule="auto"/>
        <w:ind w:right="0" w:firstLine="0"/>
        <w:jc w:val="both"/>
        <w:rPr>
          <w:rFonts w:ascii="Times New Roman" w:hAnsi="Times New Roman"/>
        </w:rPr>
      </w:pPr>
    </w:p>
    <w:p w14:paraId="76D3992C" w14:textId="0ACC7744" w:rsidR="00F055FC" w:rsidRDefault="00F055FC" w:rsidP="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D8E850B" w14:textId="220A0C0A"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67CA8CE" w14:textId="2764EA7D" w:rsidR="00F055FC" w:rsidRDefault="00F055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584766E" w14:textId="77777777" w:rsidR="00F055FC" w:rsidRDefault="00F055FC" w:rsidP="002849F1">
      <w:pPr>
        <w:pStyle w:val="FixListStyle"/>
        <w:tabs>
          <w:tab w:val="clear" w:pos="720"/>
          <w:tab w:val="left" w:pos="0"/>
        </w:tabs>
        <w:spacing w:after="260" w:line="280" w:lineRule="exact"/>
        <w:ind w:right="0"/>
        <w:jc w:val="both"/>
        <w:rPr>
          <w:rFonts w:ascii="Times New Roman" w:hAnsi="Times New Roman"/>
        </w:rPr>
        <w:sectPr w:rsidR="00F055FC" w:rsidSect="00F055FC">
          <w:pgSz w:w="11907" w:h="16839" w:code="9"/>
          <w:pgMar w:top="1440" w:right="1701" w:bottom="1984" w:left="1701" w:header="720" w:footer="720" w:gutter="0"/>
          <w:pgNumType w:start="1"/>
          <w:cols w:space="720"/>
          <w:titlePg/>
          <w:docGrid w:linePitch="354"/>
        </w:sectPr>
      </w:pPr>
    </w:p>
    <w:p w14:paraId="7DD93B5A" w14:textId="5ABAD744" w:rsidR="00B91B83" w:rsidRPr="002849F1" w:rsidRDefault="002849F1" w:rsidP="002849F1">
      <w:pPr>
        <w:pStyle w:val="FixListStyle"/>
        <w:tabs>
          <w:tab w:val="clear" w:pos="720"/>
          <w:tab w:val="left" w:pos="0"/>
        </w:tabs>
        <w:spacing w:after="260" w:line="280" w:lineRule="exact"/>
        <w:ind w:right="0"/>
        <w:jc w:val="both"/>
        <w:rPr>
          <w:rFonts w:ascii="Times New Roman" w:hAnsi="Times New Roman"/>
        </w:rPr>
      </w:pPr>
      <w:r w:rsidRPr="002849F1">
        <w:rPr>
          <w:rFonts w:ascii="Times New Roman" w:hAnsi="Times New Roman"/>
        </w:rPr>
        <w:lastRenderedPageBreak/>
        <w:t xml:space="preserve">KIEFEL CJ, KEANE AND GORDON JJ.   </w:t>
      </w:r>
      <w:r w:rsidR="0020056C" w:rsidRPr="002849F1">
        <w:rPr>
          <w:rFonts w:ascii="Times New Roman" w:hAnsi="Times New Roman"/>
        </w:rPr>
        <w:t xml:space="preserve">The Hobart Airport </w:t>
      </w:r>
      <w:r w:rsidR="00D119F8" w:rsidRPr="002849F1">
        <w:rPr>
          <w:rFonts w:ascii="Times New Roman" w:hAnsi="Times New Roman"/>
        </w:rPr>
        <w:t>s</w:t>
      </w:r>
      <w:r w:rsidR="0020056C" w:rsidRPr="002849F1">
        <w:rPr>
          <w:rFonts w:ascii="Times New Roman" w:hAnsi="Times New Roman"/>
        </w:rPr>
        <w:t xml:space="preserve">ite and the Launceston Airport </w:t>
      </w:r>
      <w:r w:rsidR="00D119F8" w:rsidRPr="002849F1">
        <w:rPr>
          <w:rFonts w:ascii="Times New Roman" w:hAnsi="Times New Roman"/>
        </w:rPr>
        <w:t>s</w:t>
      </w:r>
      <w:r w:rsidR="0020056C" w:rsidRPr="002849F1">
        <w:rPr>
          <w:rFonts w:ascii="Times New Roman" w:hAnsi="Times New Roman"/>
        </w:rPr>
        <w:t>ite ("the</w:t>
      </w:r>
      <w:r w:rsidR="009B498D" w:rsidRPr="002849F1">
        <w:rPr>
          <w:rFonts w:ascii="Times New Roman" w:hAnsi="Times New Roman"/>
        </w:rPr>
        <w:t> </w:t>
      </w:r>
      <w:r w:rsidR="0020056C" w:rsidRPr="002849F1">
        <w:rPr>
          <w:rFonts w:ascii="Times New Roman" w:hAnsi="Times New Roman"/>
        </w:rPr>
        <w:t xml:space="preserve">Airports") </w:t>
      </w:r>
      <w:r w:rsidR="00C65CF2" w:rsidRPr="002849F1">
        <w:rPr>
          <w:rFonts w:ascii="Times New Roman" w:hAnsi="Times New Roman"/>
        </w:rPr>
        <w:t>are</w:t>
      </w:r>
      <w:r w:rsidR="00C65CF2" w:rsidRPr="002849F1">
        <w:rPr>
          <w:rFonts w:ascii="Times New Roman" w:hAnsi="Times New Roman"/>
          <w:b/>
        </w:rPr>
        <w:t xml:space="preserve"> </w:t>
      </w:r>
      <w:r w:rsidR="0020056C" w:rsidRPr="002849F1">
        <w:rPr>
          <w:rFonts w:ascii="Times New Roman" w:hAnsi="Times New Roman"/>
        </w:rPr>
        <w:t>on Commonwealth land</w:t>
      </w:r>
      <w:r w:rsidR="00C65CF2" w:rsidRPr="002849F1">
        <w:rPr>
          <w:rFonts w:ascii="Times New Roman" w:hAnsi="Times New Roman"/>
        </w:rPr>
        <w:t>.</w:t>
      </w:r>
      <w:r w:rsidR="002E6C93" w:rsidRPr="002849F1">
        <w:rPr>
          <w:rFonts w:ascii="Times New Roman" w:hAnsi="Times New Roman"/>
        </w:rPr>
        <w:t xml:space="preserve"> </w:t>
      </w:r>
      <w:r w:rsidR="00C65CF2" w:rsidRPr="002849F1">
        <w:rPr>
          <w:rFonts w:ascii="Times New Roman" w:hAnsi="Times New Roman"/>
        </w:rPr>
        <w:t xml:space="preserve">They </w:t>
      </w:r>
      <w:r w:rsidR="0020056C" w:rsidRPr="002849F1">
        <w:rPr>
          <w:rFonts w:ascii="Times New Roman" w:hAnsi="Times New Roman"/>
        </w:rPr>
        <w:t xml:space="preserve">are not amenable to council rates or State land tax because s 114 of the </w:t>
      </w:r>
      <w:r w:rsidR="0020056C" w:rsidRPr="002849F1">
        <w:rPr>
          <w:rFonts w:ascii="Times New Roman" w:hAnsi="Times New Roman"/>
          <w:i/>
        </w:rPr>
        <w:t>Constitution</w:t>
      </w:r>
      <w:r w:rsidR="0020056C" w:rsidRPr="002849F1">
        <w:rPr>
          <w:rFonts w:ascii="Times New Roman" w:hAnsi="Times New Roman"/>
        </w:rPr>
        <w:t xml:space="preserve"> prohibits States (without the consent of the Commonwealth</w:t>
      </w:r>
      <w:r w:rsidR="00CD5DB3" w:rsidRPr="002849F1">
        <w:rPr>
          <w:rFonts w:ascii="Times New Roman" w:hAnsi="Times New Roman"/>
        </w:rPr>
        <w:t xml:space="preserve"> Parliament</w:t>
      </w:r>
      <w:r w:rsidR="0020056C" w:rsidRPr="002849F1">
        <w:rPr>
          <w:rFonts w:ascii="Times New Roman" w:hAnsi="Times New Roman"/>
        </w:rPr>
        <w:t>) from</w:t>
      </w:r>
      <w:r w:rsidR="00D24376">
        <w:rPr>
          <w:rFonts w:ascii="Times New Roman" w:hAnsi="Times New Roman"/>
        </w:rPr>
        <w:t> </w:t>
      </w:r>
      <w:r w:rsidR="0020056C" w:rsidRPr="002849F1">
        <w:rPr>
          <w:rFonts w:ascii="Times New Roman" w:hAnsi="Times New Roman"/>
        </w:rPr>
        <w:t>imposing "any tax on property of any kind belonging to the Commonwealth"</w:t>
      </w:r>
      <w:r w:rsidR="0020056C" w:rsidRPr="002849F1">
        <w:rPr>
          <w:rStyle w:val="FootnoteReference"/>
          <w:rFonts w:ascii="Times New Roman" w:hAnsi="Times New Roman"/>
          <w:sz w:val="24"/>
        </w:rPr>
        <w:footnoteReference w:id="2"/>
      </w:r>
      <w:r w:rsidR="0020056C" w:rsidRPr="002849F1">
        <w:rPr>
          <w:rFonts w:ascii="Times New Roman" w:hAnsi="Times New Roman"/>
        </w:rPr>
        <w:t>.</w:t>
      </w:r>
    </w:p>
    <w:p w14:paraId="00A5DBDF" w14:textId="79AB8111" w:rsidR="00B91B83" w:rsidRPr="002849F1" w:rsidRDefault="00B91B83"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 xml:space="preserve">The Clarence City Council administers the municipal area covering the eastern suburbs of Hobart and surrounding localities, including the Hobart Airport </w:t>
      </w:r>
      <w:r w:rsidR="000E090C" w:rsidRPr="002849F1">
        <w:rPr>
          <w:rFonts w:ascii="Times New Roman" w:hAnsi="Times New Roman"/>
        </w:rPr>
        <w:t>s</w:t>
      </w:r>
      <w:r w:rsidR="0020056C" w:rsidRPr="002849F1">
        <w:rPr>
          <w:rFonts w:ascii="Times New Roman" w:hAnsi="Times New Roman"/>
        </w:rPr>
        <w:t>ite.</w:t>
      </w:r>
      <w:r w:rsidR="002E6C93" w:rsidRPr="002849F1">
        <w:rPr>
          <w:rFonts w:ascii="Times New Roman" w:hAnsi="Times New Roman"/>
        </w:rPr>
        <w:t xml:space="preserve"> </w:t>
      </w:r>
      <w:r w:rsidR="0020056C" w:rsidRPr="002849F1">
        <w:rPr>
          <w:rFonts w:ascii="Times New Roman" w:hAnsi="Times New Roman"/>
        </w:rPr>
        <w:t>The Northern Midlands Council administers the municipal area extending from the south of Launceston to the Tasmanian central midlands, including</w:t>
      </w:r>
      <w:r w:rsidR="00595F69" w:rsidRPr="002849F1">
        <w:rPr>
          <w:rFonts w:ascii="Times New Roman" w:hAnsi="Times New Roman"/>
        </w:rPr>
        <w:t> </w:t>
      </w:r>
      <w:r w:rsidR="0020056C" w:rsidRPr="002849F1">
        <w:rPr>
          <w:rFonts w:ascii="Times New Roman" w:hAnsi="Times New Roman"/>
        </w:rPr>
        <w:t xml:space="preserve">the Launceston Airport </w:t>
      </w:r>
      <w:r w:rsidR="00F733AB" w:rsidRPr="002849F1">
        <w:rPr>
          <w:rFonts w:ascii="Times New Roman" w:hAnsi="Times New Roman"/>
        </w:rPr>
        <w:t>s</w:t>
      </w:r>
      <w:r w:rsidR="0020056C" w:rsidRPr="002849F1">
        <w:rPr>
          <w:rFonts w:ascii="Times New Roman" w:hAnsi="Times New Roman"/>
        </w:rPr>
        <w:t>ite.</w:t>
      </w:r>
      <w:r w:rsidRPr="002849F1">
        <w:rPr>
          <w:rFonts w:ascii="Times New Roman" w:hAnsi="Times New Roman"/>
        </w:rPr>
        <w:t xml:space="preserve"> </w:t>
      </w:r>
    </w:p>
    <w:p w14:paraId="32A6CA3E" w14:textId="4A723BB7" w:rsidR="00F847A5" w:rsidRPr="002849F1" w:rsidRDefault="00B91B83"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During the 1980s, most significant federal airports were operated by the Federal Airports Corporation ("the FAC") as government business enterprises</w:t>
      </w:r>
      <w:r w:rsidR="0020056C" w:rsidRPr="002849F1">
        <w:rPr>
          <w:rStyle w:val="FootnoteReference"/>
          <w:rFonts w:ascii="Times New Roman" w:hAnsi="Times New Roman"/>
          <w:sz w:val="24"/>
        </w:rPr>
        <w:footnoteReference w:id="3"/>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There was "a </w:t>
      </w:r>
      <w:proofErr w:type="gramStart"/>
      <w:r w:rsidR="0020056C" w:rsidRPr="002849F1">
        <w:rPr>
          <w:rFonts w:ascii="Times New Roman" w:hAnsi="Times New Roman"/>
        </w:rPr>
        <w:t>long</w:t>
      </w:r>
      <w:r w:rsidR="003233FC" w:rsidRPr="002849F1">
        <w:rPr>
          <w:rFonts w:ascii="Times New Roman" w:hAnsi="Times New Roman"/>
        </w:rPr>
        <w:t xml:space="preserve"> </w:t>
      </w:r>
      <w:r w:rsidR="0020056C" w:rsidRPr="002849F1">
        <w:rPr>
          <w:rFonts w:ascii="Times New Roman" w:hAnsi="Times New Roman"/>
        </w:rPr>
        <w:t>standing</w:t>
      </w:r>
      <w:proofErr w:type="gramEnd"/>
      <w:r w:rsidR="0020056C" w:rsidRPr="002849F1">
        <w:rPr>
          <w:rFonts w:ascii="Times New Roman" w:hAnsi="Times New Roman"/>
        </w:rPr>
        <w:t xml:space="preserve"> Government policy that the Commonwealth [would]</w:t>
      </w:r>
      <w:r w:rsidR="00D24376">
        <w:rPr>
          <w:rFonts w:ascii="Times New Roman" w:hAnsi="Times New Roman"/>
        </w:rPr>
        <w:t> </w:t>
      </w:r>
      <w:r w:rsidR="0020056C" w:rsidRPr="002849F1">
        <w:rPr>
          <w:rFonts w:ascii="Times New Roman" w:hAnsi="Times New Roman"/>
        </w:rPr>
        <w:t>make payments equivalent to rates to local authorities in certain circumstances"</w:t>
      </w:r>
      <w:r w:rsidR="0020056C" w:rsidRPr="002849F1">
        <w:rPr>
          <w:rStyle w:val="FootnoteReference"/>
          <w:rFonts w:ascii="Times New Roman" w:hAnsi="Times New Roman"/>
          <w:sz w:val="24"/>
        </w:rPr>
        <w:footnoteReference w:id="4"/>
      </w:r>
      <w:r w:rsidR="00586C41"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Notwithstanding that the FAC was exempt from paying taxes under any Commonwealth, State or Territory law</w:t>
      </w:r>
      <w:r w:rsidR="0020056C" w:rsidRPr="002849F1">
        <w:rPr>
          <w:rStyle w:val="FootnoteReference"/>
          <w:rFonts w:ascii="Times New Roman" w:hAnsi="Times New Roman"/>
          <w:sz w:val="24"/>
        </w:rPr>
        <w:footnoteReference w:id="5"/>
      </w:r>
      <w:r w:rsidR="0020056C" w:rsidRPr="002849F1">
        <w:rPr>
          <w:rFonts w:ascii="Times New Roman" w:hAnsi="Times New Roman"/>
        </w:rPr>
        <w:t xml:space="preserve">, the FAC agreed to maintain the </w:t>
      </w:r>
      <w:r w:rsidR="00482E09" w:rsidRPr="002849F1">
        <w:rPr>
          <w:rFonts w:ascii="Times New Roman" w:hAnsi="Times New Roman"/>
        </w:rPr>
        <w:t xml:space="preserve">Commonwealth </w:t>
      </w:r>
      <w:r w:rsidR="0020056C" w:rsidRPr="002849F1">
        <w:rPr>
          <w:rFonts w:ascii="Times New Roman" w:hAnsi="Times New Roman"/>
        </w:rPr>
        <w:t xml:space="preserve">Government's policy by "making payments in lieu of rates for areas </w:t>
      </w:r>
      <w:r w:rsidR="00B80217" w:rsidRPr="002849F1">
        <w:rPr>
          <w:rFonts w:ascii="Times New Roman" w:hAnsi="Times New Roman"/>
        </w:rPr>
        <w:t>[</w:t>
      </w:r>
      <w:r w:rsidR="0020056C" w:rsidRPr="002849F1">
        <w:rPr>
          <w:rFonts w:ascii="Times New Roman" w:hAnsi="Times New Roman"/>
        </w:rPr>
        <w:t xml:space="preserve">of federal airports] which were used for commercial activities and for which the </w:t>
      </w:r>
      <w:r w:rsidR="00BC7609" w:rsidRPr="002849F1">
        <w:rPr>
          <w:rFonts w:ascii="Times New Roman" w:hAnsi="Times New Roman"/>
        </w:rPr>
        <w:t xml:space="preserve">[FAC] </w:t>
      </w:r>
      <w:r w:rsidR="0020056C" w:rsidRPr="002849F1">
        <w:rPr>
          <w:rFonts w:ascii="Times New Roman" w:hAnsi="Times New Roman"/>
        </w:rPr>
        <w:t>received an annual rent"</w:t>
      </w:r>
      <w:r w:rsidR="0020056C" w:rsidRPr="002849F1">
        <w:rPr>
          <w:rStyle w:val="FootnoteReference"/>
          <w:rFonts w:ascii="Times New Roman" w:hAnsi="Times New Roman"/>
          <w:sz w:val="24"/>
        </w:rPr>
        <w:footnoteReference w:id="6"/>
      </w:r>
      <w:r w:rsidR="00586C41"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 xml:space="preserve">The FAC paid the Clarence City Council </w:t>
      </w:r>
      <w:r w:rsidR="0020056C" w:rsidRPr="002849F1">
        <w:rPr>
          <w:rFonts w:ascii="Times New Roman" w:hAnsi="Times New Roman"/>
        </w:rPr>
        <w:lastRenderedPageBreak/>
        <w:t>"rates on an ex</w:t>
      </w:r>
      <w:r w:rsidR="0020056C" w:rsidRPr="002849F1">
        <w:rPr>
          <w:rFonts w:ascii="Times New Roman" w:hAnsi="Times New Roman"/>
        </w:rPr>
        <w:noBreakHyphen/>
        <w:t>gratia basis" in respect of the Hobart Airport</w:t>
      </w:r>
      <w:r w:rsidR="0020056C" w:rsidRPr="002849F1">
        <w:rPr>
          <w:rStyle w:val="FootnoteReference"/>
          <w:rFonts w:ascii="Times New Roman" w:hAnsi="Times New Roman"/>
          <w:sz w:val="24"/>
        </w:rPr>
        <w:footnoteReference w:id="7"/>
      </w:r>
      <w:r w:rsidR="00322C0A" w:rsidRPr="002849F1">
        <w:rPr>
          <w:rFonts w:ascii="Times New Roman" w:hAnsi="Times New Roman"/>
        </w:rPr>
        <w:t xml:space="preserve"> </w:t>
      </w:r>
      <w:r w:rsidR="0020056C" w:rsidRPr="002849F1">
        <w:rPr>
          <w:rFonts w:ascii="Times New Roman" w:hAnsi="Times New Roman"/>
        </w:rPr>
        <w:t>and tenants at</w:t>
      </w:r>
      <w:r w:rsidR="006345B6" w:rsidRPr="002849F1">
        <w:rPr>
          <w:rFonts w:ascii="Times New Roman" w:hAnsi="Times New Roman"/>
        </w:rPr>
        <w:t xml:space="preserve"> the</w:t>
      </w:r>
      <w:r w:rsidR="0020056C" w:rsidRPr="002849F1">
        <w:rPr>
          <w:rFonts w:ascii="Times New Roman" w:hAnsi="Times New Roman"/>
        </w:rPr>
        <w:t xml:space="preserve"> Launceston Airport paid "rates directly to </w:t>
      </w:r>
      <w:r w:rsidR="00AE6AA6" w:rsidRPr="002849F1">
        <w:rPr>
          <w:rFonts w:ascii="Times New Roman" w:hAnsi="Times New Roman"/>
        </w:rPr>
        <w:t xml:space="preserve">[the] </w:t>
      </w:r>
      <w:r w:rsidR="0020056C" w:rsidRPr="002849F1">
        <w:rPr>
          <w:rFonts w:ascii="Times New Roman" w:hAnsi="Times New Roman"/>
        </w:rPr>
        <w:t>Northern Midlands Council"</w:t>
      </w:r>
      <w:r w:rsidR="0020056C" w:rsidRPr="002849F1">
        <w:rPr>
          <w:rStyle w:val="FootnoteReference"/>
          <w:rFonts w:ascii="Times New Roman" w:hAnsi="Times New Roman"/>
          <w:sz w:val="24"/>
        </w:rPr>
        <w:footnoteReference w:id="8"/>
      </w:r>
      <w:r w:rsidR="0020056C" w:rsidRPr="002849F1">
        <w:rPr>
          <w:rFonts w:ascii="Times New Roman" w:hAnsi="Times New Roman"/>
        </w:rPr>
        <w:t>.</w:t>
      </w:r>
    </w:p>
    <w:p w14:paraId="033333C7" w14:textId="2512E3AE" w:rsidR="0061468A" w:rsidRPr="002849F1" w:rsidRDefault="00F847A5"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On 11 April 1995, the Commonwealth and the States and Territories entered into the "Competition Principles Agreement"</w:t>
      </w:r>
      <w:r w:rsidR="0020056C" w:rsidRPr="002849F1">
        <w:rPr>
          <w:rStyle w:val="FootnoteReference"/>
          <w:rFonts w:ascii="Times New Roman" w:hAnsi="Times New Roman"/>
          <w:sz w:val="24"/>
        </w:rPr>
        <w:footnoteReference w:id="9"/>
      </w:r>
      <w:r w:rsidR="0020056C" w:rsidRPr="002849F1">
        <w:rPr>
          <w:rFonts w:ascii="Times New Roman" w:hAnsi="Times New Roman"/>
        </w:rPr>
        <w:t xml:space="preserve"> ("the CPA")</w:t>
      </w:r>
      <w:r w:rsidR="001309BF" w:rsidRPr="002849F1">
        <w:rPr>
          <w:rFonts w:ascii="Times New Roman" w:hAnsi="Times New Roman"/>
        </w:rPr>
        <w:t>,</w:t>
      </w:r>
      <w:r w:rsidR="0020056C" w:rsidRPr="002849F1">
        <w:rPr>
          <w:rFonts w:ascii="Times New Roman" w:hAnsi="Times New Roman"/>
        </w:rPr>
        <w:t xml:space="preserve"> by which they recorded the agreement of the Council of Australian Governments to adopt certain principles of competition policy and to apply competition laws across the public sector</w:t>
      </w:r>
      <w:r w:rsidR="0020056C" w:rsidRPr="002849F1">
        <w:rPr>
          <w:rStyle w:val="FootnoteReference"/>
          <w:rFonts w:ascii="Times New Roman" w:hAnsi="Times New Roman"/>
          <w:sz w:val="24"/>
        </w:rPr>
        <w:footnoteReference w:id="10"/>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One</w:t>
      </w:r>
      <w:r w:rsidR="0061468A" w:rsidRPr="002849F1">
        <w:rPr>
          <w:rFonts w:ascii="Times New Roman" w:hAnsi="Times New Roman"/>
        </w:rPr>
        <w:t> </w:t>
      </w:r>
      <w:r w:rsidR="0020056C" w:rsidRPr="002849F1">
        <w:rPr>
          <w:rFonts w:ascii="Times New Roman" w:hAnsi="Times New Roman"/>
        </w:rPr>
        <w:t xml:space="preserve">of the overarching purposes of the CPA was "to achieve and maintain consistent and complementary competition laws and policies which [would] apply to all businesses </w:t>
      </w:r>
      <w:r w:rsidR="007E3B33" w:rsidRPr="002849F1">
        <w:rPr>
          <w:rFonts w:ascii="Times New Roman" w:hAnsi="Times New Roman"/>
        </w:rPr>
        <w:t xml:space="preserve">in Australia </w:t>
      </w:r>
      <w:r w:rsidR="0020056C" w:rsidRPr="002849F1">
        <w:rPr>
          <w:rFonts w:ascii="Times New Roman" w:hAnsi="Times New Roman"/>
        </w:rPr>
        <w:t>regardless of ownership"</w:t>
      </w:r>
      <w:r w:rsidR="0020056C" w:rsidRPr="002849F1">
        <w:rPr>
          <w:rStyle w:val="FootnoteReference"/>
          <w:rFonts w:ascii="Times New Roman" w:hAnsi="Times New Roman"/>
          <w:sz w:val="24"/>
        </w:rPr>
        <w:footnoteReference w:id="11"/>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One of the principles agreed to in the CPA was the principle of "competitive neutrality", which</w:t>
      </w:r>
      <w:r w:rsidR="0051641B" w:rsidRPr="002849F1">
        <w:rPr>
          <w:rFonts w:ascii="Times New Roman" w:hAnsi="Times New Roman"/>
        </w:rPr>
        <w:t> </w:t>
      </w:r>
      <w:r w:rsidR="0020056C" w:rsidRPr="002849F1">
        <w:rPr>
          <w:rFonts w:ascii="Times New Roman" w:hAnsi="Times New Roman"/>
        </w:rPr>
        <w:t>cl</w:t>
      </w:r>
      <w:r w:rsidR="00C65CF2" w:rsidRPr="002849F1">
        <w:rPr>
          <w:rFonts w:ascii="Times New Roman" w:hAnsi="Times New Roman"/>
        </w:rPr>
        <w:t> </w:t>
      </w:r>
      <w:r w:rsidR="0020056C" w:rsidRPr="002849F1">
        <w:rPr>
          <w:rFonts w:ascii="Times New Roman" w:hAnsi="Times New Roman"/>
        </w:rPr>
        <w:t>3 of the CPA described as "the elimination of resource allocation distortions arising out of the public ownership of entities engaged in significant business activities"</w:t>
      </w:r>
      <w:r w:rsidR="0020056C" w:rsidRPr="002849F1">
        <w:rPr>
          <w:rStyle w:val="FootnoteReference"/>
          <w:rFonts w:ascii="Times New Roman" w:hAnsi="Times New Roman"/>
          <w:sz w:val="24"/>
        </w:rPr>
        <w:footnoteReference w:id="12"/>
      </w:r>
      <w:r w:rsidR="0020056C" w:rsidRPr="002849F1">
        <w:rPr>
          <w:rFonts w:ascii="Times New Roman" w:hAnsi="Times New Roman"/>
        </w:rPr>
        <w:t>.</w:t>
      </w:r>
    </w:p>
    <w:p w14:paraId="2155893A" w14:textId="51D6A7EA" w:rsidR="0020056C" w:rsidRPr="002849F1" w:rsidRDefault="0061468A"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During the late 1990s</w:t>
      </w:r>
      <w:r w:rsidR="008147DF" w:rsidRPr="002849F1">
        <w:rPr>
          <w:rFonts w:ascii="Times New Roman" w:hAnsi="Times New Roman"/>
        </w:rPr>
        <w:t xml:space="preserve"> and early 2000s</w:t>
      </w:r>
      <w:r w:rsidRPr="002849F1">
        <w:rPr>
          <w:rFonts w:ascii="Times New Roman" w:hAnsi="Times New Roman"/>
        </w:rPr>
        <w:t>,</w:t>
      </w:r>
      <w:r w:rsidR="0020056C" w:rsidRPr="002849F1">
        <w:rPr>
          <w:rFonts w:ascii="Times New Roman" w:hAnsi="Times New Roman"/>
        </w:rPr>
        <w:t xml:space="preserve"> the Commonwealth </w:t>
      </w:r>
      <w:proofErr w:type="gramStart"/>
      <w:r w:rsidR="0020056C" w:rsidRPr="002849F1">
        <w:rPr>
          <w:rFonts w:ascii="Times New Roman" w:hAnsi="Times New Roman"/>
        </w:rPr>
        <w:t>entered into</w:t>
      </w:r>
      <w:proofErr w:type="gramEnd"/>
      <w:r w:rsidR="0020056C" w:rsidRPr="002849F1">
        <w:rPr>
          <w:rFonts w:ascii="Times New Roman" w:hAnsi="Times New Roman"/>
        </w:rPr>
        <w:t xml:space="preserve"> a number of long-term leases with airport operators as part of a project to privatise Australia's federal airports</w:t>
      </w:r>
      <w:r w:rsidR="0020056C" w:rsidRPr="002849F1">
        <w:rPr>
          <w:rStyle w:val="FootnoteReference"/>
          <w:rFonts w:ascii="Times New Roman" w:hAnsi="Times New Roman"/>
          <w:sz w:val="24"/>
        </w:rPr>
        <w:footnoteReference w:id="13"/>
      </w:r>
      <w:r w:rsidR="0020056C" w:rsidRPr="002849F1">
        <w:rPr>
          <w:rFonts w:ascii="Times New Roman" w:hAnsi="Times New Roman"/>
        </w:rPr>
        <w:t xml:space="preserve"> ("the privatisation project").</w:t>
      </w:r>
      <w:r w:rsidR="002E6C93" w:rsidRPr="002849F1">
        <w:rPr>
          <w:rFonts w:ascii="Times New Roman" w:hAnsi="Times New Roman"/>
        </w:rPr>
        <w:t xml:space="preserve"> </w:t>
      </w:r>
      <w:r w:rsidR="0020056C" w:rsidRPr="002849F1">
        <w:rPr>
          <w:rFonts w:ascii="Times New Roman" w:hAnsi="Times New Roman"/>
        </w:rPr>
        <w:t xml:space="preserve">Legislation to </w:t>
      </w:r>
      <w:r w:rsidR="0020056C" w:rsidRPr="002849F1">
        <w:rPr>
          <w:rFonts w:ascii="Times New Roman" w:hAnsi="Times New Roman"/>
        </w:rPr>
        <w:lastRenderedPageBreak/>
        <w:t>facilitate</w:t>
      </w:r>
      <w:r w:rsidR="0024626F">
        <w:rPr>
          <w:rFonts w:ascii="Times New Roman" w:hAnsi="Times New Roman"/>
        </w:rPr>
        <w:t> </w:t>
      </w:r>
      <w:r w:rsidR="0020056C" w:rsidRPr="002849F1">
        <w:rPr>
          <w:rFonts w:ascii="Times New Roman" w:hAnsi="Times New Roman"/>
        </w:rPr>
        <w:t>the privatisation project</w:t>
      </w:r>
      <w:r w:rsidR="00C65CF2" w:rsidRPr="002849F1">
        <w:rPr>
          <w:rFonts w:ascii="Times New Roman" w:hAnsi="Times New Roman"/>
        </w:rPr>
        <w:t xml:space="preserve"> </w:t>
      </w:r>
      <w:r w:rsidR="00082744" w:rsidRPr="002849F1">
        <w:rPr>
          <w:rFonts w:ascii="Times New Roman" w:hAnsi="Times New Roman"/>
        </w:rPr>
        <w:t>was enacted.</w:t>
      </w:r>
      <w:r w:rsidR="002E6C93" w:rsidRPr="002849F1">
        <w:rPr>
          <w:rFonts w:ascii="Times New Roman" w:hAnsi="Times New Roman"/>
        </w:rPr>
        <w:t xml:space="preserve"> </w:t>
      </w:r>
      <w:r w:rsidR="008F267D" w:rsidRPr="002849F1">
        <w:rPr>
          <w:rFonts w:ascii="Times New Roman" w:hAnsi="Times New Roman"/>
        </w:rPr>
        <w:t>The</w:t>
      </w:r>
      <w:r w:rsidR="00D02A02" w:rsidRPr="002849F1">
        <w:rPr>
          <w:rFonts w:ascii="Times New Roman" w:hAnsi="Times New Roman"/>
        </w:rPr>
        <w:t> </w:t>
      </w:r>
      <w:r w:rsidR="008F267D" w:rsidRPr="002849F1">
        <w:rPr>
          <w:rFonts w:ascii="Times New Roman" w:hAnsi="Times New Roman"/>
          <w:i/>
        </w:rPr>
        <w:t>Airports Act 1996</w:t>
      </w:r>
      <w:r w:rsidR="008F267D" w:rsidRPr="002849F1">
        <w:rPr>
          <w:rFonts w:ascii="Times New Roman" w:hAnsi="Times New Roman"/>
        </w:rPr>
        <w:t xml:space="preserve"> (</w:t>
      </w:r>
      <w:proofErr w:type="spellStart"/>
      <w:r w:rsidR="008F267D" w:rsidRPr="002849F1">
        <w:rPr>
          <w:rFonts w:ascii="Times New Roman" w:hAnsi="Times New Roman"/>
        </w:rPr>
        <w:t>Cth</w:t>
      </w:r>
      <w:proofErr w:type="spellEnd"/>
      <w:r w:rsidR="008F267D" w:rsidRPr="002849F1">
        <w:rPr>
          <w:rFonts w:ascii="Times New Roman" w:hAnsi="Times New Roman"/>
        </w:rPr>
        <w:t>)</w:t>
      </w:r>
      <w:r w:rsidR="00082744" w:rsidRPr="002849F1">
        <w:rPr>
          <w:rFonts w:ascii="Times New Roman" w:hAnsi="Times New Roman"/>
        </w:rPr>
        <w:t xml:space="preserve"> </w:t>
      </w:r>
      <w:r w:rsidR="0020056C" w:rsidRPr="002849F1">
        <w:rPr>
          <w:rFonts w:ascii="Times New Roman" w:hAnsi="Times New Roman"/>
        </w:rPr>
        <w:t>"establish[ed]</w:t>
      </w:r>
      <w:r w:rsidR="002400C3">
        <w:rPr>
          <w:rFonts w:ascii="Times New Roman" w:hAnsi="Times New Roman"/>
        </w:rPr>
        <w:t> </w:t>
      </w:r>
      <w:r w:rsidR="0020056C" w:rsidRPr="002849F1">
        <w:rPr>
          <w:rFonts w:ascii="Times New Roman" w:hAnsi="Times New Roman"/>
        </w:rPr>
        <w:t xml:space="preserve">the regulatory arrangements to apply to the airports </w:t>
      </w:r>
      <w:r w:rsidR="00263A5E" w:rsidRPr="002849F1">
        <w:rPr>
          <w:rFonts w:ascii="Times New Roman" w:hAnsi="Times New Roman"/>
        </w:rPr>
        <w:t>[then]</w:t>
      </w:r>
      <w:r w:rsidR="0024626F">
        <w:rPr>
          <w:rFonts w:ascii="Times New Roman" w:hAnsi="Times New Roman"/>
        </w:rPr>
        <w:t> </w:t>
      </w:r>
      <w:r w:rsidR="0020056C" w:rsidRPr="002849F1">
        <w:rPr>
          <w:rFonts w:ascii="Times New Roman" w:hAnsi="Times New Roman"/>
        </w:rPr>
        <w:t>owned</w:t>
      </w:r>
      <w:r w:rsidR="0024626F">
        <w:rPr>
          <w:rFonts w:ascii="Times New Roman" w:hAnsi="Times New Roman"/>
        </w:rPr>
        <w:t> </w:t>
      </w:r>
      <w:r w:rsidR="0020056C" w:rsidRPr="002849F1">
        <w:rPr>
          <w:rFonts w:ascii="Times New Roman" w:hAnsi="Times New Roman"/>
        </w:rPr>
        <w:t xml:space="preserve">and operated on behalf of the Commonwealth by the </w:t>
      </w:r>
      <w:r w:rsidR="000D30BF" w:rsidRPr="002849F1">
        <w:rPr>
          <w:rFonts w:ascii="Times New Roman" w:hAnsi="Times New Roman"/>
        </w:rPr>
        <w:t>[FAC]</w:t>
      </w:r>
      <w:r w:rsidR="0020056C" w:rsidRPr="002849F1">
        <w:rPr>
          <w:rFonts w:ascii="Times New Roman" w:hAnsi="Times New Roman"/>
        </w:rPr>
        <w:t xml:space="preserve"> ... following the leasing of those airports"</w:t>
      </w:r>
      <w:r w:rsidR="0020056C" w:rsidRPr="002849F1">
        <w:rPr>
          <w:rStyle w:val="FootnoteReference"/>
          <w:rFonts w:ascii="Times New Roman" w:hAnsi="Times New Roman"/>
          <w:sz w:val="24"/>
        </w:rPr>
        <w:footnoteReference w:id="14"/>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The</w:t>
      </w:r>
      <w:r w:rsidR="00082744" w:rsidRPr="002849F1">
        <w:rPr>
          <w:rFonts w:ascii="Times New Roman" w:hAnsi="Times New Roman"/>
        </w:rPr>
        <w:t> </w:t>
      </w:r>
      <w:r w:rsidR="0020056C" w:rsidRPr="002849F1">
        <w:rPr>
          <w:rFonts w:ascii="Times New Roman" w:hAnsi="Times New Roman"/>
          <w:i/>
        </w:rPr>
        <w:t>Airports (Transitional) Act 1996</w:t>
      </w:r>
      <w:r w:rsidR="0020056C" w:rsidRPr="002849F1">
        <w:rPr>
          <w:rFonts w:ascii="Times New Roman" w:hAnsi="Times New Roman"/>
        </w:rPr>
        <w:t xml:space="preserve"> (</w:t>
      </w:r>
      <w:proofErr w:type="spellStart"/>
      <w:r w:rsidR="0020056C" w:rsidRPr="002849F1">
        <w:rPr>
          <w:rFonts w:ascii="Times New Roman" w:hAnsi="Times New Roman"/>
        </w:rPr>
        <w:t>Cth</w:t>
      </w:r>
      <w:proofErr w:type="spellEnd"/>
      <w:r w:rsidR="0020056C" w:rsidRPr="002849F1">
        <w:rPr>
          <w:rFonts w:ascii="Times New Roman" w:hAnsi="Times New Roman"/>
        </w:rPr>
        <w:t>) ("</w:t>
      </w:r>
      <w:r w:rsidR="008F267D" w:rsidRPr="002849F1">
        <w:rPr>
          <w:rFonts w:ascii="Times New Roman" w:hAnsi="Times New Roman"/>
        </w:rPr>
        <w:t>the</w:t>
      </w:r>
      <w:r w:rsidR="00A97F60" w:rsidRPr="002849F1">
        <w:rPr>
          <w:rFonts w:ascii="Times New Roman" w:hAnsi="Times New Roman"/>
        </w:rPr>
        <w:t> </w:t>
      </w:r>
      <w:r w:rsidR="0020056C" w:rsidRPr="002849F1">
        <w:rPr>
          <w:rFonts w:ascii="Times New Roman" w:hAnsi="Times New Roman"/>
          <w:i/>
        </w:rPr>
        <w:t>Transitional Act</w:t>
      </w:r>
      <w:r w:rsidR="0020056C" w:rsidRPr="002849F1">
        <w:rPr>
          <w:rFonts w:ascii="Times New Roman" w:hAnsi="Times New Roman"/>
        </w:rPr>
        <w:t>") established "a framework [to give] effect to the Government's decision to lease all the Federal airports effectively as ongoing businesses with staff and management in p</w:t>
      </w:r>
      <w:r w:rsidR="00A32F67" w:rsidRPr="002849F1">
        <w:rPr>
          <w:rFonts w:ascii="Times New Roman" w:hAnsi="Times New Roman"/>
        </w:rPr>
        <w:t>l</w:t>
      </w:r>
      <w:r w:rsidR="0020056C" w:rsidRPr="002849F1">
        <w:rPr>
          <w:rFonts w:ascii="Times New Roman" w:hAnsi="Times New Roman"/>
        </w:rPr>
        <w:t>ace"</w:t>
      </w:r>
      <w:r w:rsidR="0020056C" w:rsidRPr="002849F1">
        <w:rPr>
          <w:rStyle w:val="FootnoteReference"/>
          <w:rFonts w:ascii="Times New Roman" w:hAnsi="Times New Roman"/>
          <w:sz w:val="24"/>
        </w:rPr>
        <w:footnoteReference w:id="15"/>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The</w:t>
      </w:r>
      <w:r w:rsidR="00195FFD" w:rsidRPr="002849F1">
        <w:rPr>
          <w:rFonts w:ascii="Times New Roman" w:hAnsi="Times New Roman"/>
        </w:rPr>
        <w:t> </w:t>
      </w:r>
      <w:r w:rsidR="0020056C" w:rsidRPr="002849F1">
        <w:rPr>
          <w:rFonts w:ascii="Times New Roman" w:hAnsi="Times New Roman"/>
        </w:rPr>
        <w:t xml:space="preserve">simplified outline </w:t>
      </w:r>
      <w:r w:rsidR="00AE087B" w:rsidRPr="002849F1">
        <w:rPr>
          <w:rFonts w:ascii="Times New Roman" w:hAnsi="Times New Roman"/>
        </w:rPr>
        <w:t xml:space="preserve">of the </w:t>
      </w:r>
      <w:r w:rsidR="00AE087B" w:rsidRPr="002849F1">
        <w:rPr>
          <w:rFonts w:ascii="Times New Roman" w:hAnsi="Times New Roman"/>
          <w:i/>
        </w:rPr>
        <w:t>Transitional Act</w:t>
      </w:r>
      <w:r w:rsidR="00AE087B" w:rsidRPr="002849F1">
        <w:rPr>
          <w:rFonts w:ascii="Times New Roman" w:hAnsi="Times New Roman"/>
        </w:rPr>
        <w:t xml:space="preserve"> </w:t>
      </w:r>
      <w:r w:rsidR="0020056C" w:rsidRPr="002849F1">
        <w:rPr>
          <w:rFonts w:ascii="Times New Roman" w:hAnsi="Times New Roman"/>
        </w:rPr>
        <w:t>provided</w:t>
      </w:r>
      <w:r w:rsidR="00AE087B" w:rsidRPr="002849F1">
        <w:rPr>
          <w:rStyle w:val="FootnoteReference"/>
          <w:rFonts w:ascii="Times New Roman" w:hAnsi="Times New Roman"/>
          <w:sz w:val="24"/>
        </w:rPr>
        <w:footnoteReference w:id="16"/>
      </w:r>
      <w:r w:rsidR="0020056C" w:rsidRPr="002849F1">
        <w:rPr>
          <w:rFonts w:ascii="Times New Roman" w:hAnsi="Times New Roman"/>
        </w:rPr>
        <w:t>:</w:t>
      </w:r>
    </w:p>
    <w:p w14:paraId="697E438B" w14:textId="080CA9B6" w:rsidR="0020056C" w:rsidRPr="002849F1" w:rsidRDefault="0020056C" w:rsidP="002849F1">
      <w:pPr>
        <w:pStyle w:val="leftright"/>
        <w:spacing w:before="0" w:after="260" w:line="280" w:lineRule="exact"/>
        <w:ind w:left="1440" w:right="0" w:hanging="720"/>
        <w:jc w:val="both"/>
        <w:rPr>
          <w:rFonts w:ascii="Times New Roman" w:hAnsi="Times New Roman"/>
        </w:rPr>
      </w:pPr>
      <w:r w:rsidRPr="002849F1">
        <w:rPr>
          <w:rFonts w:ascii="Times New Roman" w:hAnsi="Times New Roman"/>
        </w:rPr>
        <w:t>"</w:t>
      </w:r>
      <w:r w:rsidR="008952BB">
        <w:rPr>
          <w:rFonts w:ascii="Times New Roman" w:hAnsi="Times New Roman"/>
        </w:rPr>
        <w:t>●</w:t>
      </w:r>
      <w:r w:rsidRPr="002849F1">
        <w:rPr>
          <w:rFonts w:ascii="Times New Roman" w:hAnsi="Times New Roman"/>
        </w:rPr>
        <w:tab/>
        <w:t>This Act provides for the leasing of certain airports.</w:t>
      </w:r>
    </w:p>
    <w:p w14:paraId="2BF224A8" w14:textId="0A435A32" w:rsidR="0020056C" w:rsidRPr="002849F1" w:rsidRDefault="008952BB" w:rsidP="002849F1">
      <w:pPr>
        <w:pStyle w:val="leftright"/>
        <w:spacing w:before="0" w:after="260" w:line="280" w:lineRule="exact"/>
        <w:ind w:left="1440" w:right="0" w:hanging="720"/>
        <w:jc w:val="both"/>
        <w:rPr>
          <w:rFonts w:ascii="Times New Roman" w:hAnsi="Times New Roman"/>
        </w:rPr>
      </w:pPr>
      <w:r>
        <w:rPr>
          <w:rFonts w:ascii="Times New Roman" w:hAnsi="Times New Roman"/>
        </w:rPr>
        <w:t>●</w:t>
      </w:r>
      <w:r w:rsidR="0020056C" w:rsidRPr="002849F1">
        <w:rPr>
          <w:rFonts w:ascii="Times New Roman" w:hAnsi="Times New Roman"/>
        </w:rPr>
        <w:tab/>
        <w:t xml:space="preserve">Airport land and other airport assets will be transferred from the </w:t>
      </w:r>
      <w:r w:rsidR="0015267C" w:rsidRPr="002849F1">
        <w:rPr>
          <w:rFonts w:ascii="Times New Roman" w:hAnsi="Times New Roman"/>
        </w:rPr>
        <w:t>[</w:t>
      </w:r>
      <w:r w:rsidR="0020056C" w:rsidRPr="002849F1">
        <w:rPr>
          <w:rFonts w:ascii="Times New Roman" w:hAnsi="Times New Roman"/>
        </w:rPr>
        <w:t>FAC</w:t>
      </w:r>
      <w:r w:rsidR="0015267C" w:rsidRPr="002849F1">
        <w:rPr>
          <w:rFonts w:ascii="Times New Roman" w:hAnsi="Times New Roman"/>
        </w:rPr>
        <w:t>]</w:t>
      </w:r>
      <w:r w:rsidR="0020056C" w:rsidRPr="002849F1">
        <w:rPr>
          <w:rFonts w:ascii="Times New Roman" w:hAnsi="Times New Roman"/>
        </w:rPr>
        <w:t xml:space="preserve"> to the Commonwealth.</w:t>
      </w:r>
    </w:p>
    <w:p w14:paraId="03750FDC" w14:textId="5E098847" w:rsidR="0020056C" w:rsidRPr="002849F1" w:rsidRDefault="008952BB" w:rsidP="002849F1">
      <w:pPr>
        <w:pStyle w:val="leftright"/>
        <w:spacing w:before="0" w:after="260" w:line="280" w:lineRule="exact"/>
        <w:ind w:left="1440" w:right="0" w:hanging="720"/>
        <w:jc w:val="both"/>
        <w:rPr>
          <w:rFonts w:ascii="Times New Roman" w:hAnsi="Times New Roman"/>
        </w:rPr>
      </w:pPr>
      <w:r>
        <w:rPr>
          <w:rFonts w:ascii="Times New Roman" w:hAnsi="Times New Roman"/>
        </w:rPr>
        <w:t>●</w:t>
      </w:r>
      <w:r w:rsidR="0020056C" w:rsidRPr="002849F1">
        <w:rPr>
          <w:rFonts w:ascii="Times New Roman" w:hAnsi="Times New Roman"/>
        </w:rPr>
        <w:tab/>
        <w:t>The Commonwealth will grant an airport lease to a company. The</w:t>
      </w:r>
      <w:r w:rsidR="00566B79">
        <w:rPr>
          <w:rFonts w:ascii="Times New Roman" w:hAnsi="Times New Roman"/>
        </w:rPr>
        <w:t> </w:t>
      </w:r>
      <w:r w:rsidR="0020056C" w:rsidRPr="002849F1">
        <w:rPr>
          <w:rFonts w:ascii="Times New Roman" w:hAnsi="Times New Roman"/>
        </w:rPr>
        <w:t xml:space="preserve">company is called an </w:t>
      </w:r>
      <w:r w:rsidR="0020056C" w:rsidRPr="002849F1">
        <w:rPr>
          <w:rFonts w:ascii="Times New Roman" w:hAnsi="Times New Roman"/>
          <w:b/>
          <w:i/>
        </w:rPr>
        <w:t>airport-lessee company</w:t>
      </w:r>
      <w:r w:rsidR="0020056C" w:rsidRPr="002849F1">
        <w:rPr>
          <w:rFonts w:ascii="Times New Roman" w:hAnsi="Times New Roman"/>
        </w:rPr>
        <w:t>.</w:t>
      </w:r>
    </w:p>
    <w:p w14:paraId="3CEE21B2" w14:textId="45FFAAF2" w:rsidR="0020056C" w:rsidRPr="002849F1" w:rsidRDefault="008952BB" w:rsidP="002849F1">
      <w:pPr>
        <w:pStyle w:val="leftright"/>
        <w:spacing w:before="0" w:after="260" w:line="280" w:lineRule="exact"/>
        <w:ind w:left="1440" w:right="0" w:hanging="720"/>
        <w:jc w:val="both"/>
        <w:rPr>
          <w:rFonts w:ascii="Times New Roman" w:hAnsi="Times New Roman"/>
        </w:rPr>
      </w:pPr>
      <w:r>
        <w:rPr>
          <w:rFonts w:ascii="Times New Roman" w:hAnsi="Times New Roman"/>
        </w:rPr>
        <w:t>●</w:t>
      </w:r>
      <w:r w:rsidR="0020056C" w:rsidRPr="002849F1">
        <w:rPr>
          <w:rFonts w:ascii="Times New Roman" w:hAnsi="Times New Roman"/>
        </w:rPr>
        <w:tab/>
        <w:t>Immediately after the grant of the airport lease, the</w:t>
      </w:r>
      <w:r w:rsidR="00FC3988" w:rsidRPr="002849F1">
        <w:rPr>
          <w:rFonts w:ascii="Times New Roman" w:hAnsi="Times New Roman"/>
        </w:rPr>
        <w:t> </w:t>
      </w:r>
      <w:r w:rsidR="0020056C" w:rsidRPr="002849F1">
        <w:rPr>
          <w:rFonts w:ascii="Times New Roman" w:hAnsi="Times New Roman"/>
        </w:rPr>
        <w:t>Commonwealth may transfer or lease certain assets to the airport-lessee company.</w:t>
      </w:r>
    </w:p>
    <w:p w14:paraId="2A8A3128" w14:textId="5387D588" w:rsidR="002849F1" w:rsidRDefault="008952BB" w:rsidP="002849F1">
      <w:pPr>
        <w:pStyle w:val="leftright"/>
        <w:spacing w:before="0" w:after="260" w:line="280" w:lineRule="exact"/>
        <w:ind w:left="1440" w:right="0" w:hanging="720"/>
        <w:jc w:val="both"/>
        <w:rPr>
          <w:rFonts w:ascii="Times New Roman" w:hAnsi="Times New Roman"/>
        </w:rPr>
      </w:pPr>
      <w:r>
        <w:rPr>
          <w:rFonts w:ascii="Times New Roman" w:hAnsi="Times New Roman"/>
        </w:rPr>
        <w:t>●</w:t>
      </w:r>
      <w:r w:rsidR="0020056C" w:rsidRPr="002849F1">
        <w:rPr>
          <w:rFonts w:ascii="Times New Roman" w:hAnsi="Times New Roman"/>
        </w:rPr>
        <w:tab/>
        <w:t>Certain employees, assets, contracts and liabilities of the FAC will be transferred to the airport-lessee company."</w:t>
      </w:r>
    </w:p>
    <w:p w14:paraId="44F26637" w14:textId="49B3D45B" w:rsidR="004B1447" w:rsidRPr="002849F1" w:rsidRDefault="00B467B2"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At the time of the privatisation project, the Commonwealth sought to create a "level playing field" between the operators of newly privatised airports and their actual or potential competitors.</w:t>
      </w:r>
      <w:r w:rsidR="002E6C93" w:rsidRPr="002849F1">
        <w:rPr>
          <w:rFonts w:ascii="Times New Roman" w:hAnsi="Times New Roman"/>
        </w:rPr>
        <w:t xml:space="preserve"> </w:t>
      </w:r>
      <w:r w:rsidR="0020056C" w:rsidRPr="002849F1">
        <w:rPr>
          <w:rFonts w:ascii="Times New Roman" w:hAnsi="Times New Roman"/>
        </w:rPr>
        <w:t>The Commonwealth recognised that a competitive imbalance arose from the fact that the newly privatised airports were situated on Commonwealth land and, therefore, were not amenable to council rates or State land tax.</w:t>
      </w:r>
      <w:r w:rsidR="002E6C93" w:rsidRPr="002849F1">
        <w:rPr>
          <w:rFonts w:ascii="Times New Roman" w:hAnsi="Times New Roman"/>
        </w:rPr>
        <w:t xml:space="preserve"> </w:t>
      </w:r>
      <w:r w:rsidR="0020056C" w:rsidRPr="002849F1">
        <w:rPr>
          <w:rFonts w:ascii="Times New Roman" w:hAnsi="Times New Roman"/>
        </w:rPr>
        <w:t>Consistent</w:t>
      </w:r>
      <w:r w:rsidR="00033D4A" w:rsidRPr="002849F1">
        <w:rPr>
          <w:rFonts w:ascii="Times New Roman" w:hAnsi="Times New Roman"/>
        </w:rPr>
        <w:t>ly</w:t>
      </w:r>
      <w:r w:rsidR="0020056C" w:rsidRPr="002849F1">
        <w:rPr>
          <w:rFonts w:ascii="Times New Roman" w:hAnsi="Times New Roman"/>
        </w:rPr>
        <w:t xml:space="preserve"> with the Commonwealth's long-standing policy of making payments equivalent to rates in respect of federal airports, and in order to implement the principle of competitive neutrality agreed to in the CPA, </w:t>
      </w:r>
      <w:r w:rsidR="0020056C" w:rsidRPr="002849F1">
        <w:rPr>
          <w:rFonts w:ascii="Times New Roman" w:hAnsi="Times New Roman"/>
        </w:rPr>
        <w:lastRenderedPageBreak/>
        <w:t>the</w:t>
      </w:r>
      <w:r w:rsidR="00566B79">
        <w:rPr>
          <w:rFonts w:ascii="Times New Roman" w:hAnsi="Times New Roman"/>
        </w:rPr>
        <w:t> </w:t>
      </w:r>
      <w:r w:rsidR="0020056C" w:rsidRPr="002849F1">
        <w:rPr>
          <w:rFonts w:ascii="Times New Roman" w:hAnsi="Times New Roman"/>
        </w:rPr>
        <w:t>Commonwealth include</w:t>
      </w:r>
      <w:r w:rsidRPr="002849F1">
        <w:rPr>
          <w:rFonts w:ascii="Times New Roman" w:hAnsi="Times New Roman"/>
        </w:rPr>
        <w:t>d</w:t>
      </w:r>
      <w:r w:rsidR="0020056C" w:rsidRPr="002849F1">
        <w:rPr>
          <w:rFonts w:ascii="Times New Roman" w:hAnsi="Times New Roman"/>
        </w:rPr>
        <w:t xml:space="preserve"> in federal airport leases </w:t>
      </w:r>
      <w:r w:rsidR="002F3921" w:rsidRPr="002849F1">
        <w:rPr>
          <w:rFonts w:ascii="Times New Roman" w:hAnsi="Times New Roman"/>
        </w:rPr>
        <w:t xml:space="preserve">a term </w:t>
      </w:r>
      <w:r w:rsidR="0020056C" w:rsidRPr="002849F1">
        <w:rPr>
          <w:rFonts w:ascii="Times New Roman" w:hAnsi="Times New Roman"/>
        </w:rPr>
        <w:t>requiring lessees to pay to the relevant council a "fictional" or "notional" equivalent to the rates that would have been payable if the airport sites were not on Commonwealth land.</w:t>
      </w:r>
      <w:r w:rsidR="004B1447" w:rsidRPr="002849F1">
        <w:rPr>
          <w:rFonts w:ascii="Times New Roman" w:hAnsi="Times New Roman"/>
        </w:rPr>
        <w:t xml:space="preserve"> </w:t>
      </w:r>
    </w:p>
    <w:p w14:paraId="51B9B8C4" w14:textId="2AD2B456" w:rsidR="0020056C" w:rsidRPr="002849F1" w:rsidRDefault="004B1447"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 xml:space="preserve">These appeals are concerned with </w:t>
      </w:r>
      <w:r w:rsidR="00252885" w:rsidRPr="002849F1">
        <w:rPr>
          <w:rFonts w:ascii="Times New Roman" w:hAnsi="Times New Roman"/>
        </w:rPr>
        <w:t xml:space="preserve">the following </w:t>
      </w:r>
      <w:r w:rsidR="0020056C" w:rsidRPr="002849F1">
        <w:rPr>
          <w:rFonts w:ascii="Times New Roman" w:hAnsi="Times New Roman"/>
        </w:rPr>
        <w:t>leases ("the</w:t>
      </w:r>
      <w:r w:rsidR="007D02DC" w:rsidRPr="002849F1">
        <w:rPr>
          <w:rFonts w:ascii="Times New Roman" w:hAnsi="Times New Roman"/>
        </w:rPr>
        <w:t> </w:t>
      </w:r>
      <w:r w:rsidR="0020056C" w:rsidRPr="002849F1">
        <w:rPr>
          <w:rFonts w:ascii="Times New Roman" w:hAnsi="Times New Roman"/>
        </w:rPr>
        <w:t xml:space="preserve">Leases") granted by the Commonwealth pursuant to s 22 of the </w:t>
      </w:r>
      <w:r w:rsidR="0020056C" w:rsidRPr="002849F1">
        <w:rPr>
          <w:rFonts w:ascii="Times New Roman" w:hAnsi="Times New Roman"/>
          <w:i/>
        </w:rPr>
        <w:t>Transitional Act</w:t>
      </w:r>
      <w:r w:rsidR="00566744" w:rsidRPr="002849F1">
        <w:rPr>
          <w:rStyle w:val="FootnoteReference"/>
          <w:rFonts w:ascii="Times New Roman" w:hAnsi="Times New Roman"/>
          <w:sz w:val="24"/>
        </w:rPr>
        <w:footnoteReference w:id="17"/>
      </w:r>
      <w:r w:rsidR="0020056C" w:rsidRPr="002849F1">
        <w:rPr>
          <w:rFonts w:ascii="Times New Roman" w:hAnsi="Times New Roman"/>
        </w:rPr>
        <w:t>:</w:t>
      </w:r>
    </w:p>
    <w:p w14:paraId="50562435" w14:textId="3C21DE76" w:rsidR="0020056C" w:rsidRPr="002849F1" w:rsidRDefault="004B1447" w:rsidP="002849F1">
      <w:pPr>
        <w:pStyle w:val="NormalBody"/>
        <w:spacing w:after="260" w:line="280" w:lineRule="exact"/>
        <w:ind w:left="720" w:right="0" w:hanging="720"/>
        <w:jc w:val="both"/>
        <w:rPr>
          <w:rFonts w:ascii="Times New Roman" w:hAnsi="Times New Roman"/>
        </w:rPr>
      </w:pPr>
      <w:r w:rsidRPr="002849F1">
        <w:rPr>
          <w:rFonts w:ascii="Times New Roman" w:hAnsi="Times New Roman"/>
        </w:rPr>
        <w:t>(1)</w:t>
      </w:r>
      <w:r w:rsidRPr="002849F1">
        <w:rPr>
          <w:rFonts w:ascii="Times New Roman" w:hAnsi="Times New Roman"/>
        </w:rPr>
        <w:tab/>
      </w:r>
      <w:r w:rsidR="004D7A22" w:rsidRPr="002849F1">
        <w:rPr>
          <w:rFonts w:ascii="Times New Roman" w:hAnsi="Times New Roman"/>
        </w:rPr>
        <w:t>a</w:t>
      </w:r>
      <w:r w:rsidR="0020056C" w:rsidRPr="002849F1">
        <w:rPr>
          <w:rFonts w:ascii="Times New Roman" w:hAnsi="Times New Roman"/>
        </w:rPr>
        <w:t xml:space="preserve"> lease between the Commonwealth and Hobart International Airport Pty Ltd ("HIAPL") (the operator of the Hobart Airport)</w:t>
      </w:r>
      <w:r w:rsidR="00725CA7" w:rsidRPr="002849F1">
        <w:rPr>
          <w:rFonts w:ascii="Times New Roman" w:hAnsi="Times New Roman"/>
        </w:rPr>
        <w:t xml:space="preserve"> </w:t>
      </w:r>
      <w:r w:rsidR="0020056C" w:rsidRPr="002849F1">
        <w:rPr>
          <w:rFonts w:ascii="Times New Roman" w:hAnsi="Times New Roman"/>
        </w:rPr>
        <w:t xml:space="preserve">for the Hobart Airport </w:t>
      </w:r>
      <w:r w:rsidR="000E090C" w:rsidRPr="002849F1">
        <w:rPr>
          <w:rFonts w:ascii="Times New Roman" w:hAnsi="Times New Roman"/>
        </w:rPr>
        <w:t>s</w:t>
      </w:r>
      <w:r w:rsidR="0020056C" w:rsidRPr="002849F1">
        <w:rPr>
          <w:rFonts w:ascii="Times New Roman" w:hAnsi="Times New Roman"/>
        </w:rPr>
        <w:t xml:space="preserve">ite </w:t>
      </w:r>
      <w:r w:rsidR="008C18FA" w:rsidRPr="002849F1">
        <w:rPr>
          <w:rFonts w:ascii="Times New Roman" w:hAnsi="Times New Roman"/>
        </w:rPr>
        <w:t>dated</w:t>
      </w:r>
      <w:r w:rsidR="0020056C" w:rsidRPr="002849F1">
        <w:rPr>
          <w:rFonts w:ascii="Times New Roman" w:hAnsi="Times New Roman"/>
        </w:rPr>
        <w:t xml:space="preserve"> 10 June 1998, which commenced on 11 June 1998, for a term of 50 years, with a 49</w:t>
      </w:r>
      <w:r w:rsidR="0020056C" w:rsidRPr="002849F1">
        <w:rPr>
          <w:rFonts w:ascii="Times New Roman" w:hAnsi="Times New Roman"/>
        </w:rPr>
        <w:noBreakHyphen/>
        <w:t>year option to renew</w:t>
      </w:r>
      <w:r w:rsidR="002D4C1F" w:rsidRPr="002849F1">
        <w:rPr>
          <w:rFonts w:ascii="Times New Roman" w:hAnsi="Times New Roman"/>
        </w:rPr>
        <w:t>; and</w:t>
      </w:r>
    </w:p>
    <w:p w14:paraId="556041CC" w14:textId="56F826E8" w:rsidR="002D4C1F" w:rsidRPr="002849F1" w:rsidRDefault="002D4C1F" w:rsidP="002849F1">
      <w:pPr>
        <w:pStyle w:val="NormalBody"/>
        <w:spacing w:after="260" w:line="280" w:lineRule="exact"/>
        <w:ind w:left="720" w:right="0" w:hanging="720"/>
        <w:jc w:val="both"/>
        <w:rPr>
          <w:rFonts w:ascii="Times New Roman" w:hAnsi="Times New Roman"/>
        </w:rPr>
      </w:pPr>
      <w:r w:rsidRPr="002849F1">
        <w:rPr>
          <w:rFonts w:ascii="Times New Roman" w:hAnsi="Times New Roman"/>
        </w:rPr>
        <w:t>(2)</w:t>
      </w:r>
      <w:r w:rsidRPr="002849F1">
        <w:rPr>
          <w:rFonts w:ascii="Times New Roman" w:hAnsi="Times New Roman"/>
        </w:rPr>
        <w:tab/>
      </w:r>
      <w:r w:rsidR="004D7A22" w:rsidRPr="002849F1">
        <w:rPr>
          <w:rFonts w:ascii="Times New Roman" w:hAnsi="Times New Roman"/>
        </w:rPr>
        <w:t>a</w:t>
      </w:r>
      <w:r w:rsidRPr="002849F1">
        <w:rPr>
          <w:rFonts w:ascii="Times New Roman" w:hAnsi="Times New Roman"/>
        </w:rPr>
        <w:t xml:space="preserve"> lease between the Commonwealth and Australia Pacific Airports (Launceston) Pty Ltd ("APAL") (the operator of the Launceston Airport)</w:t>
      </w:r>
      <w:r w:rsidR="00725CA7" w:rsidRPr="002849F1">
        <w:rPr>
          <w:rFonts w:ascii="Times New Roman" w:hAnsi="Times New Roman"/>
          <w:b/>
        </w:rPr>
        <w:t xml:space="preserve"> </w:t>
      </w:r>
      <w:r w:rsidR="00942541" w:rsidRPr="002849F1">
        <w:rPr>
          <w:rFonts w:ascii="Times New Roman" w:hAnsi="Times New Roman"/>
        </w:rPr>
        <w:t>for</w:t>
      </w:r>
      <w:r w:rsidRPr="002849F1">
        <w:rPr>
          <w:rFonts w:ascii="Times New Roman" w:hAnsi="Times New Roman"/>
        </w:rPr>
        <w:t xml:space="preserve"> the Launceston Airport </w:t>
      </w:r>
      <w:r w:rsidR="000E090C" w:rsidRPr="002849F1">
        <w:rPr>
          <w:rFonts w:ascii="Times New Roman" w:hAnsi="Times New Roman"/>
        </w:rPr>
        <w:t>s</w:t>
      </w:r>
      <w:r w:rsidRPr="002849F1">
        <w:rPr>
          <w:rFonts w:ascii="Times New Roman" w:hAnsi="Times New Roman"/>
        </w:rPr>
        <w:t>ite dated 28 May 1998, which commenced on 29</w:t>
      </w:r>
      <w:r w:rsidR="000A5AEC" w:rsidRPr="002849F1">
        <w:rPr>
          <w:rFonts w:ascii="Times New Roman" w:hAnsi="Times New Roman"/>
        </w:rPr>
        <w:t> </w:t>
      </w:r>
      <w:r w:rsidRPr="002849F1">
        <w:rPr>
          <w:rFonts w:ascii="Times New Roman" w:hAnsi="Times New Roman"/>
        </w:rPr>
        <w:t>May 1998, also for a term of 50 years, with a 49</w:t>
      </w:r>
      <w:r w:rsidRPr="002849F1">
        <w:rPr>
          <w:rFonts w:ascii="Times New Roman" w:hAnsi="Times New Roman"/>
        </w:rPr>
        <w:noBreakHyphen/>
        <w:t>year option to renew.</w:t>
      </w:r>
    </w:p>
    <w:p w14:paraId="7B0F7829" w14:textId="6AD5F671" w:rsidR="00E46E2D" w:rsidRPr="002849F1" w:rsidRDefault="002D4C1F"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The Leases contain materially similar terms.</w:t>
      </w:r>
      <w:r w:rsidR="002E6C93" w:rsidRPr="002849F1">
        <w:rPr>
          <w:rFonts w:ascii="Times New Roman" w:hAnsi="Times New Roman"/>
        </w:rPr>
        <w:t xml:space="preserve"> </w:t>
      </w:r>
      <w:r w:rsidR="0020056C" w:rsidRPr="002849F1">
        <w:rPr>
          <w:rFonts w:ascii="Times New Roman" w:hAnsi="Times New Roman"/>
        </w:rPr>
        <w:t>The dispute giving rise to these appeals concerns cl</w:t>
      </w:r>
      <w:r w:rsidR="000D4F29" w:rsidRPr="002849F1">
        <w:rPr>
          <w:rFonts w:ascii="Times New Roman" w:hAnsi="Times New Roman"/>
        </w:rPr>
        <w:t> </w:t>
      </w:r>
      <w:r w:rsidR="0020056C" w:rsidRPr="002849F1">
        <w:rPr>
          <w:rFonts w:ascii="Times New Roman" w:hAnsi="Times New Roman"/>
        </w:rPr>
        <w:t>26, headed</w:t>
      </w:r>
      <w:r w:rsidR="00A8660F" w:rsidRPr="002849F1">
        <w:rPr>
          <w:rFonts w:ascii="Times New Roman" w:hAnsi="Times New Roman"/>
        </w:rPr>
        <w:t> </w:t>
      </w:r>
      <w:r w:rsidR="0020056C" w:rsidRPr="002849F1">
        <w:rPr>
          <w:rFonts w:ascii="Times New Roman" w:hAnsi="Times New Roman"/>
        </w:rPr>
        <w:t>"Rates and Land Tax and Taxes".</w:t>
      </w:r>
      <w:r w:rsidR="002E6C93" w:rsidRPr="002849F1">
        <w:rPr>
          <w:rFonts w:ascii="Times New Roman" w:hAnsi="Times New Roman"/>
        </w:rPr>
        <w:t xml:space="preserve"> </w:t>
      </w:r>
      <w:r w:rsidR="0020056C" w:rsidRPr="002849F1">
        <w:rPr>
          <w:rFonts w:ascii="Times New Roman" w:hAnsi="Times New Roman"/>
        </w:rPr>
        <w:t>Clause</w:t>
      </w:r>
      <w:r w:rsidR="00566B79">
        <w:rPr>
          <w:rFonts w:ascii="Times New Roman" w:hAnsi="Times New Roman"/>
        </w:rPr>
        <w:t> </w:t>
      </w:r>
      <w:r w:rsidR="0020056C" w:rsidRPr="002849F1">
        <w:rPr>
          <w:rFonts w:ascii="Times New Roman" w:hAnsi="Times New Roman"/>
        </w:rPr>
        <w:t>26.1</w:t>
      </w:r>
      <w:r w:rsidR="00566B79">
        <w:rPr>
          <w:rFonts w:ascii="Times New Roman" w:hAnsi="Times New Roman"/>
        </w:rPr>
        <w:t> </w:t>
      </w:r>
      <w:r w:rsidR="0020056C" w:rsidRPr="002849F1">
        <w:rPr>
          <w:rFonts w:ascii="Times New Roman" w:hAnsi="Times New Roman"/>
        </w:rPr>
        <w:t>provides that "[t]he Lessee must pay, on or before the due date, all</w:t>
      </w:r>
      <w:r w:rsidR="00566B79">
        <w:rPr>
          <w:rFonts w:ascii="Times New Roman" w:hAnsi="Times New Roman"/>
        </w:rPr>
        <w:t> </w:t>
      </w:r>
      <w:r w:rsidR="0020056C" w:rsidRPr="002849F1">
        <w:rPr>
          <w:rFonts w:ascii="Times New Roman" w:hAnsi="Times New Roman"/>
        </w:rPr>
        <w:t>Rates, Land</w:t>
      </w:r>
      <w:r w:rsidR="009F7BE1" w:rsidRPr="002849F1">
        <w:rPr>
          <w:rFonts w:ascii="Times New Roman" w:hAnsi="Times New Roman"/>
        </w:rPr>
        <w:t> </w:t>
      </w:r>
      <w:r w:rsidR="0020056C" w:rsidRPr="002849F1">
        <w:rPr>
          <w:rFonts w:ascii="Times New Roman" w:hAnsi="Times New Roman"/>
        </w:rPr>
        <w:t>Tax and Taxes without contribution from the Lessor".</w:t>
      </w:r>
      <w:r w:rsidR="002E6C93" w:rsidRPr="002849F1">
        <w:rPr>
          <w:rFonts w:ascii="Times New Roman" w:hAnsi="Times New Roman"/>
        </w:rPr>
        <w:t xml:space="preserve"> </w:t>
      </w:r>
      <w:r w:rsidR="0020056C" w:rsidRPr="002849F1">
        <w:rPr>
          <w:rFonts w:ascii="Times New Roman" w:hAnsi="Times New Roman"/>
        </w:rPr>
        <w:t>Clause 26.2,</w:t>
      </w:r>
      <w:r w:rsidR="00566B79">
        <w:rPr>
          <w:rFonts w:ascii="Times New Roman" w:hAnsi="Times New Roman"/>
        </w:rPr>
        <w:t> </w:t>
      </w:r>
      <w:r w:rsidR="0020056C" w:rsidRPr="002849F1">
        <w:rPr>
          <w:rFonts w:ascii="Times New Roman" w:hAnsi="Times New Roman"/>
        </w:rPr>
        <w:t>headed "Ex Gratia Payment in Lieu of Rates and Land Tax", creates</w:t>
      </w:r>
      <w:r w:rsidR="00566B79">
        <w:rPr>
          <w:rFonts w:ascii="Times New Roman" w:hAnsi="Times New Roman"/>
        </w:rPr>
        <w:t> </w:t>
      </w:r>
      <w:r w:rsidR="0020056C" w:rsidRPr="002849F1">
        <w:rPr>
          <w:rFonts w:ascii="Times New Roman" w:hAnsi="Times New Roman"/>
        </w:rPr>
        <w:t>a</w:t>
      </w:r>
      <w:r w:rsidR="00566B79">
        <w:rPr>
          <w:rFonts w:ascii="Times New Roman" w:hAnsi="Times New Roman"/>
        </w:rPr>
        <w:t> </w:t>
      </w:r>
      <w:r w:rsidR="0020056C" w:rsidRPr="002849F1">
        <w:rPr>
          <w:rFonts w:ascii="Times New Roman" w:hAnsi="Times New Roman"/>
        </w:rPr>
        <w:t xml:space="preserve">mechanism whereby, if council rates and taxes are not payable by </w:t>
      </w:r>
      <w:r w:rsidR="000E539D" w:rsidRPr="002849F1">
        <w:rPr>
          <w:rFonts w:ascii="Times New Roman" w:hAnsi="Times New Roman"/>
        </w:rPr>
        <w:t>HIAPL and APAL ("</w:t>
      </w:r>
      <w:r w:rsidR="0020056C" w:rsidRPr="002849F1">
        <w:rPr>
          <w:rFonts w:ascii="Times New Roman" w:hAnsi="Times New Roman"/>
        </w:rPr>
        <w:t>the Lessees</w:t>
      </w:r>
      <w:r w:rsidR="000E539D" w:rsidRPr="002849F1">
        <w:rPr>
          <w:rFonts w:ascii="Times New Roman" w:hAnsi="Times New Roman"/>
        </w:rPr>
        <w:t>")</w:t>
      </w:r>
      <w:r w:rsidR="0020056C" w:rsidRPr="002849F1">
        <w:rPr>
          <w:rFonts w:ascii="Times New Roman" w:hAnsi="Times New Roman"/>
        </w:rPr>
        <w:t xml:space="preserve"> because the Airports are situated on land owned by the Commonwealth, the</w:t>
      </w:r>
      <w:r w:rsidR="00913DEC" w:rsidRPr="002849F1">
        <w:rPr>
          <w:rFonts w:ascii="Times New Roman" w:hAnsi="Times New Roman"/>
        </w:rPr>
        <w:t> </w:t>
      </w:r>
      <w:r w:rsidR="0020056C" w:rsidRPr="002849F1">
        <w:rPr>
          <w:rFonts w:ascii="Times New Roman" w:hAnsi="Times New Roman"/>
        </w:rPr>
        <w:t xml:space="preserve">Lessees must pay </w:t>
      </w:r>
      <w:r w:rsidR="00E2128A" w:rsidRPr="002849F1">
        <w:rPr>
          <w:rFonts w:ascii="Times New Roman" w:hAnsi="Times New Roman"/>
        </w:rPr>
        <w:t xml:space="preserve">certain amounts </w:t>
      </w:r>
      <w:r w:rsidR="0020056C" w:rsidRPr="002849F1">
        <w:rPr>
          <w:rFonts w:ascii="Times New Roman" w:hAnsi="Times New Roman"/>
        </w:rPr>
        <w:t>to the relevant "Governmental Authority"</w:t>
      </w:r>
      <w:r w:rsidR="00AE445F" w:rsidRPr="002849F1">
        <w:rPr>
          <w:rFonts w:ascii="Times New Roman" w:hAnsi="Times New Roman"/>
        </w:rPr>
        <w:t xml:space="preserve"> or the Commonwealth</w:t>
      </w:r>
      <w:r w:rsidR="009C7C11" w:rsidRPr="002849F1">
        <w:rPr>
          <w:rFonts w:ascii="Times New Roman" w:hAnsi="Times New Roman"/>
        </w:rPr>
        <w:t>, as the case may be</w:t>
      </w:r>
      <w:r w:rsidR="0020056C" w:rsidRPr="002849F1">
        <w:rPr>
          <w:rFonts w:ascii="Times New Roman" w:hAnsi="Times New Roman"/>
        </w:rPr>
        <w:t>.</w:t>
      </w:r>
    </w:p>
    <w:p w14:paraId="45911399" w14:textId="22F590BC" w:rsidR="0020056C" w:rsidRPr="002849F1" w:rsidRDefault="00E46E2D"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Most relevantly for present purposes, cl</w:t>
      </w:r>
      <w:r w:rsidR="005F5CA3" w:rsidRPr="002849F1">
        <w:rPr>
          <w:rFonts w:ascii="Times New Roman" w:hAnsi="Times New Roman"/>
        </w:rPr>
        <w:t> </w:t>
      </w:r>
      <w:r w:rsidR="0020056C" w:rsidRPr="002849F1">
        <w:rPr>
          <w:rFonts w:ascii="Times New Roman" w:hAnsi="Times New Roman"/>
        </w:rPr>
        <w:t>26.2(a) provides:</w:t>
      </w:r>
    </w:p>
    <w:p w14:paraId="69A9AA5F" w14:textId="3E3CB43C" w:rsidR="0020056C" w:rsidRPr="002849F1" w:rsidRDefault="0020056C" w:rsidP="002849F1">
      <w:pPr>
        <w:pStyle w:val="leftright"/>
        <w:spacing w:before="0" w:after="260" w:line="280" w:lineRule="exact"/>
        <w:ind w:right="0"/>
        <w:jc w:val="both"/>
        <w:rPr>
          <w:rFonts w:ascii="Times New Roman" w:hAnsi="Times New Roman"/>
        </w:rPr>
      </w:pPr>
      <w:r w:rsidRPr="002849F1">
        <w:rPr>
          <w:rFonts w:ascii="Times New Roman" w:hAnsi="Times New Roman"/>
        </w:rPr>
        <w:t xml:space="preserve">"Where </w:t>
      </w:r>
      <w:r w:rsidRPr="002849F1">
        <w:rPr>
          <w:rFonts w:ascii="Times New Roman" w:hAnsi="Times New Roman"/>
          <w:i/>
        </w:rPr>
        <w:t>Rates</w:t>
      </w:r>
      <w:r w:rsidR="00D96CE4" w:rsidRPr="002849F1">
        <w:rPr>
          <w:rFonts w:ascii="Times New Roman" w:hAnsi="Times New Roman"/>
          <w:sz w:val="24"/>
          <w:vertAlign w:val="superscript"/>
        </w:rPr>
        <w:t>[</w:t>
      </w:r>
      <w:r w:rsidR="006C461E" w:rsidRPr="002849F1">
        <w:rPr>
          <w:rStyle w:val="FootnoteReference"/>
          <w:rFonts w:ascii="Times New Roman" w:hAnsi="Times New Roman"/>
          <w:sz w:val="24"/>
        </w:rPr>
        <w:footnoteReference w:id="18"/>
      </w:r>
      <w:r w:rsidR="00D96CE4" w:rsidRPr="002849F1">
        <w:rPr>
          <w:rFonts w:ascii="Times New Roman" w:hAnsi="Times New Roman"/>
          <w:sz w:val="24"/>
          <w:vertAlign w:val="superscript"/>
        </w:rPr>
        <w:t>]</w:t>
      </w:r>
      <w:r w:rsidRPr="002849F1">
        <w:rPr>
          <w:rFonts w:ascii="Times New Roman" w:hAnsi="Times New Roman"/>
        </w:rPr>
        <w:t xml:space="preserve"> are not payable under sub-clause 26.1 because the Airport Site is owned by the Commonwealth, the Lessee must promptly pay to the </w:t>
      </w:r>
      <w:r w:rsidRPr="002849F1">
        <w:rPr>
          <w:rFonts w:ascii="Times New Roman" w:hAnsi="Times New Roman"/>
          <w:i/>
        </w:rPr>
        <w:lastRenderedPageBreak/>
        <w:t>relevant Governmental Authority</w:t>
      </w:r>
      <w:r w:rsidR="003E5478" w:rsidRPr="002849F1">
        <w:rPr>
          <w:rFonts w:ascii="Times New Roman" w:hAnsi="Times New Roman"/>
          <w:sz w:val="24"/>
          <w:vertAlign w:val="superscript"/>
        </w:rPr>
        <w:t>[</w:t>
      </w:r>
      <w:r w:rsidR="006C461E" w:rsidRPr="002849F1">
        <w:rPr>
          <w:rStyle w:val="FootnoteReference"/>
          <w:rFonts w:ascii="Times New Roman" w:hAnsi="Times New Roman"/>
          <w:sz w:val="24"/>
        </w:rPr>
        <w:footnoteReference w:id="19"/>
      </w:r>
      <w:r w:rsidR="003E5478" w:rsidRPr="002849F1">
        <w:rPr>
          <w:rFonts w:ascii="Times New Roman" w:hAnsi="Times New Roman"/>
          <w:sz w:val="24"/>
          <w:vertAlign w:val="superscript"/>
        </w:rPr>
        <w:t>]</w:t>
      </w:r>
      <w:r w:rsidRPr="002849F1">
        <w:rPr>
          <w:rFonts w:ascii="Times New Roman" w:hAnsi="Times New Roman"/>
        </w:rPr>
        <w:t xml:space="preserve"> such amount as may be notified to the Lessee by such Governmental Authority as being equivalent to the amount which would be payable for rates as if such rates were leviable or payable in respect of those parts of the Airport Site:</w:t>
      </w:r>
    </w:p>
    <w:p w14:paraId="2CF9FDE4" w14:textId="6016E608" w:rsidR="0020056C" w:rsidRPr="002849F1" w:rsidRDefault="0020056C" w:rsidP="002849F1">
      <w:pPr>
        <w:pStyle w:val="leftright"/>
        <w:spacing w:before="0" w:after="260" w:line="280" w:lineRule="exact"/>
        <w:ind w:right="0"/>
        <w:jc w:val="both"/>
        <w:rPr>
          <w:rFonts w:ascii="Times New Roman" w:hAnsi="Times New Roman"/>
        </w:rPr>
      </w:pPr>
      <w:r w:rsidRPr="002849F1">
        <w:rPr>
          <w:rFonts w:ascii="Times New Roman" w:hAnsi="Times New Roman"/>
        </w:rPr>
        <w:t>(</w:t>
      </w:r>
      <w:proofErr w:type="spellStart"/>
      <w:r w:rsidRPr="002849F1">
        <w:rPr>
          <w:rFonts w:ascii="Times New Roman" w:hAnsi="Times New Roman"/>
        </w:rPr>
        <w:t>i</w:t>
      </w:r>
      <w:proofErr w:type="spellEnd"/>
      <w:r w:rsidRPr="002849F1">
        <w:rPr>
          <w:rFonts w:ascii="Times New Roman" w:hAnsi="Times New Roman"/>
        </w:rPr>
        <w:t>)</w:t>
      </w:r>
      <w:r w:rsidRPr="002849F1">
        <w:rPr>
          <w:rFonts w:ascii="Times New Roman" w:hAnsi="Times New Roman"/>
        </w:rPr>
        <w:tab/>
        <w:t>which are sub-</w:t>
      </w:r>
      <w:r w:rsidR="000D25E8" w:rsidRPr="002849F1">
        <w:rPr>
          <w:rFonts w:ascii="Times New Roman" w:hAnsi="Times New Roman"/>
        </w:rPr>
        <w:t>l</w:t>
      </w:r>
      <w:r w:rsidRPr="002849F1">
        <w:rPr>
          <w:rFonts w:ascii="Times New Roman" w:hAnsi="Times New Roman"/>
        </w:rPr>
        <w:t>eased to tenants; or</w:t>
      </w:r>
    </w:p>
    <w:p w14:paraId="0D8DE594" w14:textId="07A6CD2E" w:rsidR="0020056C" w:rsidRPr="002849F1" w:rsidRDefault="0020056C" w:rsidP="002849F1">
      <w:pPr>
        <w:pStyle w:val="leftright"/>
        <w:spacing w:before="0" w:after="260" w:line="280" w:lineRule="exact"/>
        <w:ind w:left="1440" w:right="0" w:hanging="720"/>
        <w:jc w:val="both"/>
        <w:rPr>
          <w:rFonts w:ascii="Times New Roman" w:hAnsi="Times New Roman"/>
        </w:rPr>
      </w:pPr>
      <w:r w:rsidRPr="002849F1">
        <w:rPr>
          <w:rFonts w:ascii="Times New Roman" w:hAnsi="Times New Roman"/>
        </w:rPr>
        <w:t>(ii)</w:t>
      </w:r>
      <w:r w:rsidRPr="002849F1">
        <w:rPr>
          <w:rFonts w:ascii="Times New Roman" w:hAnsi="Times New Roman"/>
        </w:rPr>
        <w:tab/>
        <w:t xml:space="preserve">on which </w:t>
      </w:r>
      <w:r w:rsidRPr="002849F1">
        <w:rPr>
          <w:rFonts w:ascii="Times New Roman" w:hAnsi="Times New Roman"/>
          <w:i/>
        </w:rPr>
        <w:t>trading or financial operations</w:t>
      </w:r>
      <w:r w:rsidRPr="002849F1">
        <w:rPr>
          <w:rFonts w:ascii="Times New Roman" w:hAnsi="Times New Roman"/>
        </w:rPr>
        <w:t xml:space="preserve"> are undertaken including but not limited to retail outlets and concessions, car parks and valet car parks, golf</w:t>
      </w:r>
      <w:r w:rsidR="00644CA1" w:rsidRPr="002849F1">
        <w:rPr>
          <w:rFonts w:ascii="Times New Roman" w:hAnsi="Times New Roman"/>
        </w:rPr>
        <w:t> </w:t>
      </w:r>
      <w:r w:rsidRPr="002849F1">
        <w:rPr>
          <w:rFonts w:ascii="Times New Roman" w:hAnsi="Times New Roman"/>
        </w:rPr>
        <w:t xml:space="preserve">courses and turf farms, but excluding runways, taxiways, aprons, roads, vacant land, buffer zones and grass verges, and land identified in the airport Master Plan for these purposes, </w:t>
      </w:r>
    </w:p>
    <w:p w14:paraId="37E9C698" w14:textId="77777777" w:rsidR="002849F1" w:rsidRDefault="0020056C" w:rsidP="002849F1">
      <w:pPr>
        <w:pStyle w:val="leftright"/>
        <w:spacing w:before="0" w:after="260" w:line="280" w:lineRule="exact"/>
        <w:ind w:right="0"/>
        <w:jc w:val="both"/>
        <w:rPr>
          <w:rFonts w:ascii="Times New Roman" w:hAnsi="Times New Roman"/>
        </w:rPr>
      </w:pPr>
      <w:r w:rsidRPr="002849F1">
        <w:rPr>
          <w:rFonts w:ascii="Times New Roman" w:hAnsi="Times New Roman"/>
        </w:rPr>
        <w:t xml:space="preserve">unless these areas are occupied by the Commonwealth or an authority constituted under Commonwealth law which is excluded from paying rates by Commonwealth policy or law. </w:t>
      </w:r>
      <w:r w:rsidRPr="002849F1">
        <w:rPr>
          <w:rFonts w:ascii="Times New Roman" w:hAnsi="Times New Roman"/>
          <w:i/>
        </w:rPr>
        <w:t>The Lessee must use all reasonable endeavours to enter into an agreement with the relevant Governmental Authority, body or person to make such payments</w:t>
      </w:r>
      <w:r w:rsidRPr="002849F1">
        <w:rPr>
          <w:rFonts w:ascii="Times New Roman" w:hAnsi="Times New Roman"/>
        </w:rPr>
        <w:t>." (emphasis added)</w:t>
      </w:r>
    </w:p>
    <w:p w14:paraId="4107D77E" w14:textId="7E3E633C" w:rsidR="00B94172" w:rsidRPr="002849F1" w:rsidRDefault="00B94172"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 xml:space="preserve">The </w:t>
      </w:r>
      <w:r w:rsidR="00485B9C" w:rsidRPr="002849F1">
        <w:rPr>
          <w:rFonts w:ascii="Times New Roman" w:hAnsi="Times New Roman"/>
        </w:rPr>
        <w:t>Clarence City Council and the Northern Midlands Council ("the</w:t>
      </w:r>
      <w:r w:rsidR="006A2325">
        <w:rPr>
          <w:rFonts w:ascii="Times New Roman" w:hAnsi="Times New Roman"/>
        </w:rPr>
        <w:t> </w:t>
      </w:r>
      <w:r w:rsidR="0020056C" w:rsidRPr="002849F1">
        <w:rPr>
          <w:rFonts w:ascii="Times New Roman" w:hAnsi="Times New Roman"/>
        </w:rPr>
        <w:t>Councils</w:t>
      </w:r>
      <w:r w:rsidR="00485B9C" w:rsidRPr="002849F1">
        <w:rPr>
          <w:rFonts w:ascii="Times New Roman" w:hAnsi="Times New Roman"/>
        </w:rPr>
        <w:t>")</w:t>
      </w:r>
      <w:r w:rsidR="0020056C" w:rsidRPr="002849F1">
        <w:rPr>
          <w:rFonts w:ascii="Times New Roman" w:hAnsi="Times New Roman"/>
        </w:rPr>
        <w:t xml:space="preserve">, established under the </w:t>
      </w:r>
      <w:r w:rsidR="0020056C" w:rsidRPr="002849F1">
        <w:rPr>
          <w:rFonts w:ascii="Times New Roman" w:hAnsi="Times New Roman"/>
          <w:i/>
        </w:rPr>
        <w:t>Local Government Act 1993</w:t>
      </w:r>
      <w:r w:rsidR="0020056C" w:rsidRPr="002849F1">
        <w:rPr>
          <w:rFonts w:ascii="Times New Roman" w:hAnsi="Times New Roman"/>
        </w:rPr>
        <w:t xml:space="preserve"> (Tas)</w:t>
      </w:r>
      <w:r w:rsidR="00224847" w:rsidRPr="002849F1">
        <w:rPr>
          <w:rStyle w:val="FootnoteReference"/>
          <w:rFonts w:ascii="Times New Roman" w:hAnsi="Times New Roman"/>
          <w:sz w:val="24"/>
        </w:rPr>
        <w:footnoteReference w:id="20"/>
      </w:r>
      <w:r w:rsidR="0020056C" w:rsidRPr="002849F1">
        <w:rPr>
          <w:rFonts w:ascii="Times New Roman" w:hAnsi="Times New Roman"/>
        </w:rPr>
        <w:t>, are</w:t>
      </w:r>
      <w:r w:rsidR="006A2325">
        <w:rPr>
          <w:rFonts w:ascii="Times New Roman" w:hAnsi="Times New Roman"/>
        </w:rPr>
        <w:t> </w:t>
      </w:r>
      <w:r w:rsidR="0020056C" w:rsidRPr="002849F1">
        <w:rPr>
          <w:rFonts w:ascii="Times New Roman" w:hAnsi="Times New Roman"/>
        </w:rPr>
        <w:t xml:space="preserve">respectively the relevant </w:t>
      </w:r>
      <w:r w:rsidR="000C6A69" w:rsidRPr="002849F1">
        <w:rPr>
          <w:rFonts w:ascii="Times New Roman" w:hAnsi="Times New Roman"/>
        </w:rPr>
        <w:t>"</w:t>
      </w:r>
      <w:r w:rsidR="0020056C" w:rsidRPr="002849F1">
        <w:rPr>
          <w:rFonts w:ascii="Times New Roman" w:hAnsi="Times New Roman"/>
        </w:rPr>
        <w:t>Governmental Authority" for</w:t>
      </w:r>
      <w:r w:rsidR="00B36568" w:rsidRPr="002849F1">
        <w:rPr>
          <w:rFonts w:ascii="Times New Roman" w:hAnsi="Times New Roman"/>
        </w:rPr>
        <w:t> </w:t>
      </w:r>
      <w:r w:rsidR="0020056C" w:rsidRPr="002849F1">
        <w:rPr>
          <w:rFonts w:ascii="Times New Roman" w:hAnsi="Times New Roman"/>
        </w:rPr>
        <w:t xml:space="preserve">the </w:t>
      </w:r>
      <w:r w:rsidR="00815B26" w:rsidRPr="002849F1">
        <w:rPr>
          <w:rFonts w:ascii="Times New Roman" w:hAnsi="Times New Roman"/>
        </w:rPr>
        <w:t xml:space="preserve">Hobart Airport and </w:t>
      </w:r>
      <w:r w:rsidR="003738AF" w:rsidRPr="002849F1">
        <w:rPr>
          <w:rFonts w:ascii="Times New Roman" w:hAnsi="Times New Roman"/>
        </w:rPr>
        <w:t xml:space="preserve">the </w:t>
      </w:r>
      <w:r w:rsidR="00815B26" w:rsidRPr="002849F1">
        <w:rPr>
          <w:rFonts w:ascii="Times New Roman" w:hAnsi="Times New Roman"/>
        </w:rPr>
        <w:t>Launceston Airport</w:t>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The Councils are not, and have never been, parties to the Leases.</w:t>
      </w:r>
      <w:r w:rsidR="002E6C93" w:rsidRPr="002849F1">
        <w:rPr>
          <w:rFonts w:ascii="Times New Roman" w:hAnsi="Times New Roman"/>
        </w:rPr>
        <w:t xml:space="preserve"> </w:t>
      </w:r>
    </w:p>
    <w:p w14:paraId="0BAEDCFC" w14:textId="3F8FABCA" w:rsidR="00B562B4" w:rsidRPr="002849F1" w:rsidRDefault="00B94172"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Between 1998 and 2013, there was no issue about the operation of cl</w:t>
      </w:r>
      <w:r w:rsidR="00B02DFE" w:rsidRPr="002849F1">
        <w:rPr>
          <w:rFonts w:ascii="Times New Roman" w:hAnsi="Times New Roman"/>
        </w:rPr>
        <w:t> </w:t>
      </w:r>
      <w:r w:rsidR="0020056C" w:rsidRPr="002849F1">
        <w:rPr>
          <w:rFonts w:ascii="Times New Roman" w:hAnsi="Times New Roman"/>
        </w:rPr>
        <w:t>26.2</w:t>
      </w:r>
      <w:r w:rsidR="00C11ED1" w:rsidRPr="002849F1">
        <w:rPr>
          <w:rFonts w:ascii="Times New Roman" w:hAnsi="Times New Roman"/>
        </w:rPr>
        <w:t>(a)</w:t>
      </w:r>
      <w:r w:rsidR="0020056C" w:rsidRPr="002849F1">
        <w:rPr>
          <w:rFonts w:ascii="Times New Roman" w:hAnsi="Times New Roman"/>
        </w:rPr>
        <w:t>.</w:t>
      </w:r>
      <w:r w:rsidR="002E6C93" w:rsidRPr="002849F1">
        <w:rPr>
          <w:rFonts w:ascii="Times New Roman" w:hAnsi="Times New Roman"/>
        </w:rPr>
        <w:t xml:space="preserve"> </w:t>
      </w:r>
      <w:r w:rsidR="0020056C" w:rsidRPr="002849F1">
        <w:rPr>
          <w:rFonts w:ascii="Times New Roman" w:hAnsi="Times New Roman"/>
        </w:rPr>
        <w:t>The Lessees made payments to the Councils in accordance with independent valuations of the Airports in each financial year.</w:t>
      </w:r>
      <w:r w:rsidR="002E6C93" w:rsidRPr="002849F1">
        <w:rPr>
          <w:rFonts w:ascii="Times New Roman" w:hAnsi="Times New Roman"/>
        </w:rPr>
        <w:t xml:space="preserve"> </w:t>
      </w:r>
      <w:r w:rsidR="0020056C" w:rsidRPr="002849F1">
        <w:rPr>
          <w:rFonts w:ascii="Times New Roman" w:hAnsi="Times New Roman"/>
        </w:rPr>
        <w:t xml:space="preserve">In the 2014 financial year, the Valuer-General for Tasmania </w:t>
      </w:r>
      <w:r w:rsidR="00AC0FDF" w:rsidRPr="002849F1">
        <w:rPr>
          <w:rFonts w:ascii="Times New Roman" w:hAnsi="Times New Roman"/>
        </w:rPr>
        <w:t>("the</w:t>
      </w:r>
      <w:r w:rsidR="00C23D21" w:rsidRPr="002849F1">
        <w:rPr>
          <w:rFonts w:ascii="Times New Roman" w:hAnsi="Times New Roman"/>
        </w:rPr>
        <w:t> </w:t>
      </w:r>
      <w:r w:rsidR="00AC0FDF" w:rsidRPr="002849F1">
        <w:rPr>
          <w:rFonts w:ascii="Times New Roman" w:hAnsi="Times New Roman"/>
        </w:rPr>
        <w:t>Valuer</w:t>
      </w:r>
      <w:r w:rsidR="00AC0FDF" w:rsidRPr="002849F1">
        <w:rPr>
          <w:rFonts w:ascii="Times New Roman" w:hAnsi="Times New Roman"/>
        </w:rPr>
        <w:noBreakHyphen/>
        <w:t xml:space="preserve">General") </w:t>
      </w:r>
      <w:r w:rsidR="0020056C" w:rsidRPr="002849F1">
        <w:rPr>
          <w:rFonts w:ascii="Times New Roman" w:hAnsi="Times New Roman"/>
        </w:rPr>
        <w:t>undertook a re</w:t>
      </w:r>
      <w:r w:rsidR="00E35386" w:rsidRPr="002849F1">
        <w:rPr>
          <w:rFonts w:ascii="Times New Roman" w:hAnsi="Times New Roman"/>
        </w:rPr>
        <w:noBreakHyphen/>
      </w:r>
      <w:r w:rsidR="0020056C" w:rsidRPr="002849F1">
        <w:rPr>
          <w:rFonts w:ascii="Times New Roman" w:hAnsi="Times New Roman"/>
        </w:rPr>
        <w:t>valuation of the Airports.</w:t>
      </w:r>
      <w:r w:rsidR="002E6C93" w:rsidRPr="002849F1">
        <w:rPr>
          <w:rFonts w:ascii="Times New Roman" w:hAnsi="Times New Roman"/>
        </w:rPr>
        <w:t xml:space="preserve"> </w:t>
      </w:r>
      <w:r w:rsidR="0020056C" w:rsidRPr="002849F1">
        <w:rPr>
          <w:rFonts w:ascii="Times New Roman" w:hAnsi="Times New Roman"/>
        </w:rPr>
        <w:t>The</w:t>
      </w:r>
      <w:r w:rsidR="00195FFD" w:rsidRPr="002849F1">
        <w:rPr>
          <w:rFonts w:ascii="Times New Roman" w:hAnsi="Times New Roman"/>
        </w:rPr>
        <w:t> </w:t>
      </w:r>
      <w:r w:rsidR="0020056C" w:rsidRPr="002849F1">
        <w:rPr>
          <w:rFonts w:ascii="Times New Roman" w:hAnsi="Times New Roman"/>
        </w:rPr>
        <w:t xml:space="preserve">outcome was a significant increase in the quantum of the equivalent amount payable by the Lessees to the Councils under </w:t>
      </w:r>
      <w:r w:rsidR="00985DEB" w:rsidRPr="002849F1">
        <w:rPr>
          <w:rFonts w:ascii="Times New Roman" w:hAnsi="Times New Roman"/>
        </w:rPr>
        <w:t xml:space="preserve">cl 26.2(a) of </w:t>
      </w:r>
      <w:r w:rsidR="0020056C" w:rsidRPr="002849F1">
        <w:rPr>
          <w:rFonts w:ascii="Times New Roman" w:hAnsi="Times New Roman"/>
        </w:rPr>
        <w:t>the Leases.</w:t>
      </w:r>
      <w:r w:rsidR="002E6C93" w:rsidRPr="002849F1">
        <w:rPr>
          <w:rFonts w:ascii="Times New Roman" w:hAnsi="Times New Roman"/>
        </w:rPr>
        <w:t xml:space="preserve"> </w:t>
      </w:r>
      <w:r w:rsidR="0020056C" w:rsidRPr="002849F1">
        <w:rPr>
          <w:rFonts w:ascii="Times New Roman" w:hAnsi="Times New Roman"/>
        </w:rPr>
        <w:t xml:space="preserve">The Lessees objected to the valuation on the bases that the Valuer-General incorrectly identified the portions of </w:t>
      </w:r>
      <w:r w:rsidR="00457B49" w:rsidRPr="002849F1">
        <w:rPr>
          <w:rFonts w:ascii="Times New Roman" w:hAnsi="Times New Roman"/>
        </w:rPr>
        <w:t xml:space="preserve">the </w:t>
      </w:r>
      <w:r w:rsidR="0020056C" w:rsidRPr="002849F1">
        <w:rPr>
          <w:rFonts w:ascii="Times New Roman" w:hAnsi="Times New Roman"/>
        </w:rPr>
        <w:t>Airport</w:t>
      </w:r>
      <w:r w:rsidR="00457B49" w:rsidRPr="002849F1">
        <w:rPr>
          <w:rFonts w:ascii="Times New Roman" w:hAnsi="Times New Roman"/>
        </w:rPr>
        <w:t>s</w:t>
      </w:r>
      <w:r w:rsidR="0020056C" w:rsidRPr="002849F1">
        <w:rPr>
          <w:rFonts w:ascii="Times New Roman" w:hAnsi="Times New Roman"/>
        </w:rPr>
        <w:t xml:space="preserve"> </w:t>
      </w:r>
      <w:r w:rsidR="001A3031" w:rsidRPr="002849F1">
        <w:rPr>
          <w:rFonts w:ascii="Times New Roman" w:hAnsi="Times New Roman"/>
        </w:rPr>
        <w:t xml:space="preserve">on which trading or financial operations were undertaken </w:t>
      </w:r>
      <w:r w:rsidR="0020056C" w:rsidRPr="002849F1">
        <w:rPr>
          <w:rFonts w:ascii="Times New Roman" w:hAnsi="Times New Roman"/>
        </w:rPr>
        <w:t xml:space="preserve">to be included for calculating the </w:t>
      </w:r>
      <w:r w:rsidR="008820CC" w:rsidRPr="002849F1">
        <w:rPr>
          <w:rFonts w:ascii="Times New Roman" w:hAnsi="Times New Roman"/>
        </w:rPr>
        <w:t xml:space="preserve">amount payable </w:t>
      </w:r>
      <w:r w:rsidR="0020056C" w:rsidRPr="002849F1">
        <w:rPr>
          <w:rFonts w:ascii="Times New Roman" w:hAnsi="Times New Roman"/>
        </w:rPr>
        <w:t xml:space="preserve">under </w:t>
      </w:r>
      <w:r w:rsidR="00BF657D" w:rsidRPr="002849F1">
        <w:rPr>
          <w:rFonts w:ascii="Times New Roman" w:hAnsi="Times New Roman"/>
        </w:rPr>
        <w:t>cl</w:t>
      </w:r>
      <w:r w:rsidR="009F4A96" w:rsidRPr="002849F1">
        <w:rPr>
          <w:rFonts w:ascii="Times New Roman" w:hAnsi="Times New Roman"/>
        </w:rPr>
        <w:t> </w:t>
      </w:r>
      <w:r w:rsidR="0020056C" w:rsidRPr="002849F1">
        <w:rPr>
          <w:rFonts w:ascii="Times New Roman" w:hAnsi="Times New Roman"/>
        </w:rPr>
        <w:t xml:space="preserve">26.2(a) </w:t>
      </w:r>
      <w:r w:rsidR="0025773F" w:rsidRPr="002849F1">
        <w:rPr>
          <w:rFonts w:ascii="Times New Roman" w:hAnsi="Times New Roman"/>
        </w:rPr>
        <w:t xml:space="preserve">(for example, by including common user areas of </w:t>
      </w:r>
      <w:r w:rsidR="0025773F" w:rsidRPr="002849F1">
        <w:rPr>
          <w:rFonts w:ascii="Times New Roman" w:hAnsi="Times New Roman"/>
        </w:rPr>
        <w:lastRenderedPageBreak/>
        <w:t xml:space="preserve">the Airports, such as the check-in areas and departure lounges) </w:t>
      </w:r>
      <w:r w:rsidR="0020056C" w:rsidRPr="002849F1">
        <w:rPr>
          <w:rFonts w:ascii="Times New Roman" w:hAnsi="Times New Roman"/>
        </w:rPr>
        <w:t>and that the wrong methodology had been applied.</w:t>
      </w:r>
    </w:p>
    <w:p w14:paraId="2516EB50" w14:textId="1A6B37A6" w:rsidR="002B0746" w:rsidRPr="002849F1" w:rsidRDefault="00B562B4"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 xml:space="preserve">Protracted correspondence and meetings subsequently ensued between the Lessees, the Councils and the Commonwealth </w:t>
      </w:r>
      <w:proofErr w:type="gramStart"/>
      <w:r w:rsidR="0020056C" w:rsidRPr="002849F1">
        <w:rPr>
          <w:rFonts w:ascii="Times New Roman" w:hAnsi="Times New Roman"/>
        </w:rPr>
        <w:t>in an effort to</w:t>
      </w:r>
      <w:proofErr w:type="gramEnd"/>
      <w:r w:rsidR="0020056C" w:rsidRPr="002849F1">
        <w:rPr>
          <w:rFonts w:ascii="Times New Roman" w:hAnsi="Times New Roman"/>
        </w:rPr>
        <w:t xml:space="preserve"> resolve the disagreement.</w:t>
      </w:r>
      <w:r w:rsidR="002E6C93" w:rsidRPr="002849F1">
        <w:rPr>
          <w:rFonts w:ascii="Times New Roman" w:hAnsi="Times New Roman"/>
        </w:rPr>
        <w:t xml:space="preserve"> </w:t>
      </w:r>
      <w:r w:rsidR="0020056C" w:rsidRPr="002849F1">
        <w:rPr>
          <w:rFonts w:ascii="Times New Roman" w:hAnsi="Times New Roman"/>
        </w:rPr>
        <w:t>The</w:t>
      </w:r>
      <w:r w:rsidR="002638FF" w:rsidRPr="002849F1">
        <w:rPr>
          <w:rFonts w:ascii="Times New Roman" w:hAnsi="Times New Roman"/>
        </w:rPr>
        <w:t> </w:t>
      </w:r>
      <w:r w:rsidR="0020056C" w:rsidRPr="002849F1">
        <w:rPr>
          <w:rFonts w:ascii="Times New Roman" w:hAnsi="Times New Roman"/>
        </w:rPr>
        <w:t>Commonwealth engaged an independent valuer, Herron Todd White ("HTW").</w:t>
      </w:r>
      <w:r w:rsidR="002E6C93" w:rsidRPr="002849F1">
        <w:rPr>
          <w:rFonts w:ascii="Times New Roman" w:hAnsi="Times New Roman"/>
        </w:rPr>
        <w:t xml:space="preserve"> </w:t>
      </w:r>
      <w:r w:rsidR="00631092" w:rsidRPr="002849F1">
        <w:rPr>
          <w:rFonts w:ascii="Times New Roman" w:hAnsi="Times New Roman"/>
        </w:rPr>
        <w:t xml:space="preserve">In 2016, </w:t>
      </w:r>
      <w:r w:rsidR="009B2536" w:rsidRPr="002849F1">
        <w:rPr>
          <w:rFonts w:ascii="Times New Roman" w:hAnsi="Times New Roman"/>
        </w:rPr>
        <w:t>HTW provided a</w:t>
      </w:r>
      <w:r w:rsidR="004D27B3" w:rsidRPr="002849F1">
        <w:rPr>
          <w:rFonts w:ascii="Times New Roman" w:hAnsi="Times New Roman"/>
        </w:rPr>
        <w:t xml:space="preserve"> valuation report</w:t>
      </w:r>
      <w:r w:rsidR="004B0F44" w:rsidRPr="002849F1">
        <w:rPr>
          <w:rFonts w:ascii="Times New Roman" w:hAnsi="Times New Roman"/>
        </w:rPr>
        <w:t>, which</w:t>
      </w:r>
      <w:r w:rsidR="007345CE" w:rsidRPr="002849F1">
        <w:rPr>
          <w:rFonts w:ascii="Times New Roman" w:hAnsi="Times New Roman"/>
        </w:rPr>
        <w:t> </w:t>
      </w:r>
      <w:r w:rsidR="004B0F44" w:rsidRPr="002849F1">
        <w:rPr>
          <w:rFonts w:ascii="Times New Roman" w:hAnsi="Times New Roman"/>
        </w:rPr>
        <w:t>the</w:t>
      </w:r>
      <w:r w:rsidR="006A2325">
        <w:rPr>
          <w:rFonts w:ascii="Times New Roman" w:hAnsi="Times New Roman"/>
        </w:rPr>
        <w:t> </w:t>
      </w:r>
      <w:r w:rsidR="004B0F44" w:rsidRPr="002849F1">
        <w:rPr>
          <w:rFonts w:ascii="Times New Roman" w:hAnsi="Times New Roman"/>
        </w:rPr>
        <w:t xml:space="preserve">Commonwealth considered </w:t>
      </w:r>
      <w:r w:rsidR="009972A6" w:rsidRPr="002849F1">
        <w:rPr>
          <w:rFonts w:ascii="Times New Roman" w:hAnsi="Times New Roman"/>
        </w:rPr>
        <w:t>accurately reflected the Lessees</w:t>
      </w:r>
      <w:r w:rsidR="009F0D94" w:rsidRPr="002849F1">
        <w:rPr>
          <w:rFonts w:ascii="Times New Roman" w:hAnsi="Times New Roman"/>
        </w:rPr>
        <w:t>'</w:t>
      </w:r>
      <w:r w:rsidR="009972A6" w:rsidRPr="002849F1">
        <w:rPr>
          <w:rFonts w:ascii="Times New Roman" w:hAnsi="Times New Roman"/>
        </w:rPr>
        <w:t xml:space="preserve"> obligations under cl</w:t>
      </w:r>
      <w:r w:rsidR="006A2325">
        <w:rPr>
          <w:rFonts w:ascii="Times New Roman" w:hAnsi="Times New Roman"/>
        </w:rPr>
        <w:t> </w:t>
      </w:r>
      <w:r w:rsidR="009972A6" w:rsidRPr="002849F1">
        <w:rPr>
          <w:rFonts w:ascii="Times New Roman" w:hAnsi="Times New Roman"/>
        </w:rPr>
        <w:t>26.2(a)</w:t>
      </w:r>
      <w:r w:rsidR="00FF080F" w:rsidRPr="002849F1">
        <w:rPr>
          <w:rFonts w:ascii="Times New Roman" w:hAnsi="Times New Roman"/>
        </w:rPr>
        <w:t>.</w:t>
      </w:r>
      <w:r w:rsidR="002E6C93" w:rsidRPr="002849F1">
        <w:rPr>
          <w:rFonts w:ascii="Times New Roman" w:hAnsi="Times New Roman"/>
        </w:rPr>
        <w:t xml:space="preserve"> </w:t>
      </w:r>
      <w:r w:rsidR="008C1A8E" w:rsidRPr="002849F1">
        <w:rPr>
          <w:rFonts w:ascii="Times New Roman" w:hAnsi="Times New Roman"/>
        </w:rPr>
        <w:t>The</w:t>
      </w:r>
      <w:r w:rsidR="009972A6" w:rsidRPr="002849F1">
        <w:rPr>
          <w:rFonts w:ascii="Times New Roman" w:hAnsi="Times New Roman"/>
        </w:rPr>
        <w:t> </w:t>
      </w:r>
      <w:r w:rsidR="00CD30F0" w:rsidRPr="002849F1">
        <w:rPr>
          <w:rFonts w:ascii="Times New Roman" w:hAnsi="Times New Roman"/>
        </w:rPr>
        <w:t xml:space="preserve">Commonwealth told </w:t>
      </w:r>
      <w:r w:rsidR="008C1A8E" w:rsidRPr="002849F1">
        <w:rPr>
          <w:rFonts w:ascii="Times New Roman" w:hAnsi="Times New Roman"/>
        </w:rPr>
        <w:t xml:space="preserve">HIAPL </w:t>
      </w:r>
      <w:r w:rsidR="006A6850" w:rsidRPr="002849F1">
        <w:rPr>
          <w:rFonts w:ascii="Times New Roman" w:hAnsi="Times New Roman"/>
        </w:rPr>
        <w:t xml:space="preserve">that, because </w:t>
      </w:r>
      <w:r w:rsidR="008C1A8E" w:rsidRPr="002849F1">
        <w:rPr>
          <w:rFonts w:ascii="Times New Roman" w:hAnsi="Times New Roman"/>
        </w:rPr>
        <w:t>it</w:t>
      </w:r>
      <w:r w:rsidR="006A6850" w:rsidRPr="002849F1">
        <w:rPr>
          <w:rFonts w:ascii="Times New Roman" w:hAnsi="Times New Roman"/>
        </w:rPr>
        <w:t xml:space="preserve"> had made payments to the </w:t>
      </w:r>
      <w:r w:rsidR="008C1A8E" w:rsidRPr="002849F1">
        <w:rPr>
          <w:rFonts w:ascii="Times New Roman" w:hAnsi="Times New Roman"/>
        </w:rPr>
        <w:t xml:space="preserve">Clarence City </w:t>
      </w:r>
      <w:r w:rsidR="006A6850" w:rsidRPr="002849F1">
        <w:rPr>
          <w:rFonts w:ascii="Times New Roman" w:hAnsi="Times New Roman"/>
        </w:rPr>
        <w:t xml:space="preserve">Council exceeding the amounts determined in the valuation report, it considered </w:t>
      </w:r>
      <w:r w:rsidR="00C153F7" w:rsidRPr="002849F1">
        <w:rPr>
          <w:rFonts w:ascii="Times New Roman" w:hAnsi="Times New Roman"/>
        </w:rPr>
        <w:t>HIAPL</w:t>
      </w:r>
      <w:r w:rsidR="006A6850" w:rsidRPr="002849F1">
        <w:rPr>
          <w:rFonts w:ascii="Times New Roman" w:hAnsi="Times New Roman"/>
        </w:rPr>
        <w:t xml:space="preserve"> had met </w:t>
      </w:r>
      <w:r w:rsidR="00C153F7" w:rsidRPr="002849F1">
        <w:rPr>
          <w:rFonts w:ascii="Times New Roman" w:hAnsi="Times New Roman"/>
        </w:rPr>
        <w:t>its</w:t>
      </w:r>
      <w:r w:rsidR="006A6850" w:rsidRPr="002849F1">
        <w:rPr>
          <w:rFonts w:ascii="Times New Roman" w:hAnsi="Times New Roman"/>
        </w:rPr>
        <w:t xml:space="preserve"> obligations under cl</w:t>
      </w:r>
      <w:r w:rsidR="00D83D97" w:rsidRPr="002849F1">
        <w:rPr>
          <w:rFonts w:ascii="Times New Roman" w:hAnsi="Times New Roman"/>
        </w:rPr>
        <w:t> </w:t>
      </w:r>
      <w:r w:rsidR="006A6850" w:rsidRPr="002849F1">
        <w:rPr>
          <w:rFonts w:ascii="Times New Roman" w:hAnsi="Times New Roman"/>
        </w:rPr>
        <w:t>26.2(a) for</w:t>
      </w:r>
      <w:r w:rsidR="006A2325">
        <w:rPr>
          <w:rFonts w:ascii="Times New Roman" w:hAnsi="Times New Roman"/>
        </w:rPr>
        <w:t> </w:t>
      </w:r>
      <w:r w:rsidR="006A6850" w:rsidRPr="002849F1">
        <w:rPr>
          <w:rFonts w:ascii="Times New Roman" w:hAnsi="Times New Roman"/>
        </w:rPr>
        <w:t>the years addressed by the valuation (namely, the 2014, 2015 and 2016 financial years)</w:t>
      </w:r>
      <w:r w:rsidR="004D27B3" w:rsidRPr="002849F1">
        <w:rPr>
          <w:rFonts w:ascii="Times New Roman" w:hAnsi="Times New Roman"/>
        </w:rPr>
        <w:t>.</w:t>
      </w:r>
      <w:r w:rsidR="002E6C93" w:rsidRPr="002849F1">
        <w:rPr>
          <w:rFonts w:ascii="Times New Roman" w:hAnsi="Times New Roman"/>
        </w:rPr>
        <w:t xml:space="preserve"> </w:t>
      </w:r>
      <w:r w:rsidR="00250D3D" w:rsidRPr="002849F1">
        <w:rPr>
          <w:rFonts w:ascii="Times New Roman" w:hAnsi="Times New Roman"/>
        </w:rPr>
        <w:t>The Commonwealth told APAL that if it made payments to the Northern Midlands Council in line with the valuation report, it</w:t>
      </w:r>
      <w:r w:rsidR="0096515C" w:rsidRPr="002849F1">
        <w:rPr>
          <w:rFonts w:ascii="Times New Roman" w:hAnsi="Times New Roman"/>
        </w:rPr>
        <w:t> </w:t>
      </w:r>
      <w:r w:rsidR="00250D3D" w:rsidRPr="002849F1">
        <w:rPr>
          <w:rFonts w:ascii="Times New Roman" w:hAnsi="Times New Roman"/>
        </w:rPr>
        <w:t xml:space="preserve">would consider APAL to have met its obligations under cl 26.2(a) for the 2014, 2015 and 2016 financial years, and </w:t>
      </w:r>
      <w:r w:rsidR="00C153F7" w:rsidRPr="002849F1">
        <w:rPr>
          <w:rFonts w:ascii="Times New Roman" w:hAnsi="Times New Roman"/>
        </w:rPr>
        <w:t>APAL</w:t>
      </w:r>
      <w:r w:rsidR="0027208B" w:rsidRPr="002849F1">
        <w:rPr>
          <w:rFonts w:ascii="Times New Roman" w:hAnsi="Times New Roman"/>
        </w:rPr>
        <w:t xml:space="preserve"> subsequently</w:t>
      </w:r>
      <w:r w:rsidR="00250D3D" w:rsidRPr="002849F1">
        <w:rPr>
          <w:rFonts w:ascii="Times New Roman" w:hAnsi="Times New Roman"/>
        </w:rPr>
        <w:t xml:space="preserve"> made payments accordingly</w:t>
      </w:r>
      <w:r w:rsidR="00C153F7" w:rsidRPr="002849F1">
        <w:rPr>
          <w:rFonts w:ascii="Times New Roman" w:hAnsi="Times New Roman"/>
        </w:rPr>
        <w:t>.</w:t>
      </w:r>
      <w:r w:rsidR="002E6C93" w:rsidRPr="002849F1">
        <w:rPr>
          <w:rFonts w:ascii="Times New Roman" w:hAnsi="Times New Roman"/>
        </w:rPr>
        <w:t xml:space="preserve"> </w:t>
      </w:r>
    </w:p>
    <w:p w14:paraId="23B7266E" w14:textId="7E8E30BC" w:rsidR="00ED406B" w:rsidRPr="002849F1" w:rsidRDefault="002B0746"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9B2536" w:rsidRPr="002849F1">
        <w:rPr>
          <w:rFonts w:ascii="Times New Roman" w:hAnsi="Times New Roman"/>
        </w:rPr>
        <w:t xml:space="preserve">In 2017, </w:t>
      </w:r>
      <w:r w:rsidR="0020056C" w:rsidRPr="002849F1">
        <w:rPr>
          <w:rFonts w:ascii="Times New Roman" w:hAnsi="Times New Roman"/>
        </w:rPr>
        <w:t>HTW provided a revised valuation report.</w:t>
      </w:r>
      <w:r w:rsidR="002E6C93" w:rsidRPr="002849F1">
        <w:rPr>
          <w:rFonts w:ascii="Times New Roman" w:hAnsi="Times New Roman"/>
        </w:rPr>
        <w:t xml:space="preserve"> </w:t>
      </w:r>
      <w:r w:rsidR="0020056C" w:rsidRPr="002849F1">
        <w:rPr>
          <w:rFonts w:ascii="Times New Roman" w:hAnsi="Times New Roman"/>
        </w:rPr>
        <w:t>HTW did not apply a value to the common user areas in the revised valuation.</w:t>
      </w:r>
      <w:r w:rsidR="002E6C93" w:rsidRPr="002849F1">
        <w:rPr>
          <w:rFonts w:ascii="Times New Roman" w:hAnsi="Times New Roman"/>
        </w:rPr>
        <w:t xml:space="preserve"> </w:t>
      </w:r>
      <w:r w:rsidR="0020056C" w:rsidRPr="002849F1">
        <w:rPr>
          <w:rFonts w:ascii="Times New Roman" w:hAnsi="Times New Roman"/>
        </w:rPr>
        <w:t>The</w:t>
      </w:r>
      <w:r w:rsidR="00693686" w:rsidRPr="002849F1">
        <w:rPr>
          <w:rFonts w:ascii="Times New Roman" w:hAnsi="Times New Roman"/>
        </w:rPr>
        <w:t> </w:t>
      </w:r>
      <w:r w:rsidR="0020056C" w:rsidRPr="002849F1">
        <w:rPr>
          <w:rFonts w:ascii="Times New Roman" w:hAnsi="Times New Roman"/>
        </w:rPr>
        <w:t>Commonwealth</w:t>
      </w:r>
      <w:r w:rsidR="002638FF" w:rsidRPr="002849F1" w:rsidDel="003A3400">
        <w:rPr>
          <w:rFonts w:ascii="Times New Roman" w:hAnsi="Times New Roman"/>
        </w:rPr>
        <w:t xml:space="preserve"> </w:t>
      </w:r>
      <w:r w:rsidR="0020056C" w:rsidRPr="002849F1">
        <w:rPr>
          <w:rFonts w:ascii="Times New Roman" w:hAnsi="Times New Roman"/>
        </w:rPr>
        <w:t>informed the Lessees that "[g]</w:t>
      </w:r>
      <w:proofErr w:type="spellStart"/>
      <w:r w:rsidR="0020056C" w:rsidRPr="002849F1">
        <w:rPr>
          <w:rFonts w:ascii="Times New Roman" w:hAnsi="Times New Roman"/>
        </w:rPr>
        <w:t>oing</w:t>
      </w:r>
      <w:proofErr w:type="spellEnd"/>
      <w:r w:rsidR="0020056C" w:rsidRPr="002849F1">
        <w:rPr>
          <w:rFonts w:ascii="Times New Roman" w:hAnsi="Times New Roman"/>
        </w:rPr>
        <w:t xml:space="preserve"> forward", absent any formal agreement between the Councils and the Lessees, it would consider the Lessees compliant with the</w:t>
      </w:r>
      <w:r w:rsidR="001817BA" w:rsidRPr="002849F1">
        <w:rPr>
          <w:rFonts w:ascii="Times New Roman" w:hAnsi="Times New Roman"/>
        </w:rPr>
        <w:t>ir</w:t>
      </w:r>
      <w:r w:rsidR="0020056C" w:rsidRPr="002849F1">
        <w:rPr>
          <w:rFonts w:ascii="Times New Roman" w:hAnsi="Times New Roman"/>
        </w:rPr>
        <w:t xml:space="preserve"> obligation</w:t>
      </w:r>
      <w:r w:rsidR="001817BA" w:rsidRPr="002849F1">
        <w:rPr>
          <w:rFonts w:ascii="Times New Roman" w:hAnsi="Times New Roman"/>
        </w:rPr>
        <w:t>s</w:t>
      </w:r>
      <w:r w:rsidR="0020056C" w:rsidRPr="002849F1">
        <w:rPr>
          <w:rFonts w:ascii="Times New Roman" w:hAnsi="Times New Roman"/>
        </w:rPr>
        <w:t xml:space="preserve"> </w:t>
      </w:r>
      <w:r w:rsidR="001817BA" w:rsidRPr="002849F1">
        <w:rPr>
          <w:rFonts w:ascii="Times New Roman" w:hAnsi="Times New Roman"/>
        </w:rPr>
        <w:t>under</w:t>
      </w:r>
      <w:r w:rsidR="0020056C" w:rsidRPr="002849F1">
        <w:rPr>
          <w:rFonts w:ascii="Times New Roman" w:hAnsi="Times New Roman"/>
        </w:rPr>
        <w:t xml:space="preserve"> cl 26.2(a) if they made "payments in lieu of rates to [the</w:t>
      </w:r>
      <w:r w:rsidR="006A2325">
        <w:rPr>
          <w:rFonts w:ascii="Times New Roman" w:hAnsi="Times New Roman"/>
        </w:rPr>
        <w:t> </w:t>
      </w:r>
      <w:r w:rsidR="0020056C" w:rsidRPr="002849F1">
        <w:rPr>
          <w:rFonts w:ascii="Times New Roman" w:hAnsi="Times New Roman"/>
        </w:rPr>
        <w:t>Councils] on the basis of a valuation and methodology consistent with" the revised HTW valuation.</w:t>
      </w:r>
      <w:r w:rsidR="002E6C93" w:rsidRPr="002849F1">
        <w:rPr>
          <w:rFonts w:ascii="Times New Roman" w:hAnsi="Times New Roman"/>
        </w:rPr>
        <w:t xml:space="preserve"> </w:t>
      </w:r>
      <w:r w:rsidR="007E6763" w:rsidRPr="002849F1">
        <w:rPr>
          <w:rFonts w:ascii="Times New Roman" w:hAnsi="Times New Roman"/>
        </w:rPr>
        <w:t>The Commonwealth encouraged the Lessees to enter into negotiations with the Councils, "with a view to reaching mutually agreed arrangements around the payment of ex</w:t>
      </w:r>
      <w:r w:rsidR="000B2302" w:rsidRPr="002849F1">
        <w:rPr>
          <w:rFonts w:ascii="Times New Roman" w:hAnsi="Times New Roman"/>
        </w:rPr>
        <w:noBreakHyphen/>
      </w:r>
      <w:r w:rsidR="007E6763" w:rsidRPr="002849F1">
        <w:rPr>
          <w:rFonts w:ascii="Times New Roman" w:hAnsi="Times New Roman"/>
        </w:rPr>
        <w:t>gratia rates for future years".</w:t>
      </w:r>
      <w:r w:rsidR="002E6C93" w:rsidRPr="002849F1">
        <w:rPr>
          <w:rFonts w:ascii="Times New Roman" w:hAnsi="Times New Roman"/>
        </w:rPr>
        <w:t xml:space="preserve"> </w:t>
      </w:r>
      <w:r w:rsidR="00DB14E7" w:rsidRPr="002849F1">
        <w:rPr>
          <w:rFonts w:ascii="Times New Roman" w:hAnsi="Times New Roman"/>
        </w:rPr>
        <w:t>S</w:t>
      </w:r>
      <w:r w:rsidR="0020056C" w:rsidRPr="002849F1">
        <w:rPr>
          <w:rFonts w:ascii="Times New Roman" w:hAnsi="Times New Roman"/>
        </w:rPr>
        <w:t>ubsequently</w:t>
      </w:r>
      <w:r w:rsidR="00DB14E7" w:rsidRPr="002849F1">
        <w:rPr>
          <w:rFonts w:ascii="Times New Roman" w:hAnsi="Times New Roman"/>
        </w:rPr>
        <w:t>,</w:t>
      </w:r>
      <w:r w:rsidR="0020056C" w:rsidRPr="002849F1">
        <w:rPr>
          <w:rFonts w:ascii="Times New Roman" w:hAnsi="Times New Roman"/>
        </w:rPr>
        <w:t xml:space="preserve"> for the purposes of cl</w:t>
      </w:r>
      <w:r w:rsidR="00D572CF" w:rsidRPr="002849F1">
        <w:rPr>
          <w:rFonts w:ascii="Times New Roman" w:hAnsi="Times New Roman"/>
        </w:rPr>
        <w:t> </w:t>
      </w:r>
      <w:r w:rsidR="0020056C" w:rsidRPr="002849F1">
        <w:rPr>
          <w:rFonts w:ascii="Times New Roman" w:hAnsi="Times New Roman"/>
        </w:rPr>
        <w:t>26.2(a)</w:t>
      </w:r>
      <w:r w:rsidR="00DB14E7" w:rsidRPr="002849F1">
        <w:rPr>
          <w:rFonts w:ascii="Times New Roman" w:hAnsi="Times New Roman"/>
        </w:rPr>
        <w:t>, the Lessees</w:t>
      </w:r>
      <w:r w:rsidR="0020056C" w:rsidRPr="002849F1">
        <w:rPr>
          <w:rFonts w:ascii="Times New Roman" w:hAnsi="Times New Roman"/>
        </w:rPr>
        <w:t xml:space="preserve"> </w:t>
      </w:r>
      <w:r w:rsidR="00DB14E7" w:rsidRPr="002849F1">
        <w:rPr>
          <w:rFonts w:ascii="Times New Roman" w:hAnsi="Times New Roman"/>
        </w:rPr>
        <w:t>paid the Council</w:t>
      </w:r>
      <w:r w:rsidR="0035261D" w:rsidRPr="002849F1">
        <w:rPr>
          <w:rFonts w:ascii="Times New Roman" w:hAnsi="Times New Roman"/>
        </w:rPr>
        <w:t>s</w:t>
      </w:r>
      <w:r w:rsidR="00DB14E7" w:rsidRPr="002849F1">
        <w:rPr>
          <w:rFonts w:ascii="Times New Roman" w:hAnsi="Times New Roman"/>
        </w:rPr>
        <w:t xml:space="preserve"> </w:t>
      </w:r>
      <w:proofErr w:type="gramStart"/>
      <w:r w:rsidR="0020056C" w:rsidRPr="002849F1">
        <w:rPr>
          <w:rFonts w:ascii="Times New Roman" w:hAnsi="Times New Roman"/>
        </w:rPr>
        <w:t>on the basis of</w:t>
      </w:r>
      <w:proofErr w:type="gramEnd"/>
      <w:r w:rsidR="0020056C" w:rsidRPr="002849F1">
        <w:rPr>
          <w:rFonts w:ascii="Times New Roman" w:hAnsi="Times New Roman"/>
        </w:rPr>
        <w:t xml:space="preserve"> the valuations and methodology set out in HTW's revised valuation for the 2017 and 2018 financial years.</w:t>
      </w:r>
      <w:r w:rsidR="002E6C93" w:rsidRPr="002849F1">
        <w:rPr>
          <w:rFonts w:ascii="Times New Roman" w:hAnsi="Times New Roman"/>
        </w:rPr>
        <w:t xml:space="preserve"> </w:t>
      </w:r>
    </w:p>
    <w:p w14:paraId="5A118EBF" w14:textId="39919033" w:rsidR="007F2BBD" w:rsidRPr="002849F1" w:rsidRDefault="00ED406B"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20056C" w:rsidRPr="002849F1">
        <w:rPr>
          <w:rFonts w:ascii="Times New Roman" w:hAnsi="Times New Roman"/>
        </w:rPr>
        <w:t xml:space="preserve">There </w:t>
      </w:r>
      <w:r w:rsidR="008F2948" w:rsidRPr="002849F1">
        <w:rPr>
          <w:rFonts w:ascii="Times New Roman" w:hAnsi="Times New Roman"/>
        </w:rPr>
        <w:t>was therefore</w:t>
      </w:r>
      <w:r w:rsidR="0020056C" w:rsidRPr="002849F1">
        <w:rPr>
          <w:rFonts w:ascii="Times New Roman" w:hAnsi="Times New Roman"/>
        </w:rPr>
        <w:t xml:space="preserve"> no dispute between the parties to the Leases </w:t>
      </w:r>
      <w:r w:rsidR="002A65CE" w:rsidRPr="002849F1">
        <w:rPr>
          <w:rFonts w:ascii="Times New Roman" w:hAnsi="Times New Roman"/>
        </w:rPr>
        <w:t>–</w:t>
      </w:r>
      <w:r w:rsidR="007F2BBD" w:rsidRPr="002849F1">
        <w:rPr>
          <w:rFonts w:ascii="Times New Roman" w:hAnsi="Times New Roman"/>
        </w:rPr>
        <w:t xml:space="preserve"> the</w:t>
      </w:r>
      <w:r w:rsidR="006A2325">
        <w:rPr>
          <w:rFonts w:ascii="Times New Roman" w:hAnsi="Times New Roman"/>
        </w:rPr>
        <w:t> </w:t>
      </w:r>
      <w:r w:rsidR="007F2BBD" w:rsidRPr="002849F1">
        <w:rPr>
          <w:rFonts w:ascii="Times New Roman" w:hAnsi="Times New Roman"/>
        </w:rPr>
        <w:t xml:space="preserve">Commonwealth and the Lessees </w:t>
      </w:r>
      <w:r w:rsidR="002A65CE" w:rsidRPr="002849F1">
        <w:rPr>
          <w:rFonts w:ascii="Times New Roman" w:hAnsi="Times New Roman"/>
        </w:rPr>
        <w:t>–</w:t>
      </w:r>
      <w:r w:rsidR="007F2BBD" w:rsidRPr="002849F1">
        <w:rPr>
          <w:rFonts w:ascii="Times New Roman" w:hAnsi="Times New Roman"/>
        </w:rPr>
        <w:t xml:space="preserve"> </w:t>
      </w:r>
      <w:r w:rsidR="0020056C" w:rsidRPr="002849F1">
        <w:rPr>
          <w:rFonts w:ascii="Times New Roman" w:hAnsi="Times New Roman"/>
        </w:rPr>
        <w:t>about the operation of cl 26.2(a) or the Lessees' compliance with it.</w:t>
      </w:r>
      <w:r w:rsidR="002E6C93" w:rsidRPr="002849F1">
        <w:rPr>
          <w:rFonts w:ascii="Times New Roman" w:hAnsi="Times New Roman"/>
        </w:rPr>
        <w:t xml:space="preserve"> </w:t>
      </w:r>
      <w:r w:rsidR="005E0F30" w:rsidRPr="002849F1">
        <w:rPr>
          <w:rFonts w:ascii="Times New Roman" w:hAnsi="Times New Roman"/>
        </w:rPr>
        <w:t>The</w:t>
      </w:r>
      <w:r w:rsidR="00944CFE" w:rsidRPr="002849F1">
        <w:rPr>
          <w:rFonts w:ascii="Times New Roman" w:hAnsi="Times New Roman"/>
        </w:rPr>
        <w:t> </w:t>
      </w:r>
      <w:r w:rsidR="005E0F30" w:rsidRPr="002849F1">
        <w:rPr>
          <w:rFonts w:ascii="Times New Roman" w:hAnsi="Times New Roman"/>
        </w:rPr>
        <w:t xml:space="preserve">Lessees and the Councils have not relevantly entered into any agreements </w:t>
      </w:r>
      <w:r w:rsidR="00471840" w:rsidRPr="002849F1">
        <w:rPr>
          <w:rFonts w:ascii="Times New Roman" w:hAnsi="Times New Roman"/>
        </w:rPr>
        <w:t>about ex-gratia payments as contemplated by</w:t>
      </w:r>
      <w:r w:rsidR="00D41AE1" w:rsidRPr="002849F1">
        <w:rPr>
          <w:rFonts w:ascii="Times New Roman" w:hAnsi="Times New Roman"/>
        </w:rPr>
        <w:t xml:space="preserve"> the final sentence of</w:t>
      </w:r>
      <w:r w:rsidR="00471840" w:rsidRPr="002849F1">
        <w:rPr>
          <w:rFonts w:ascii="Times New Roman" w:hAnsi="Times New Roman"/>
        </w:rPr>
        <w:t xml:space="preserve"> cl 26.2(a)</w:t>
      </w:r>
      <w:r w:rsidR="00471840" w:rsidRPr="002849F1">
        <w:rPr>
          <w:rStyle w:val="FootnoteReference"/>
          <w:rFonts w:ascii="Times New Roman" w:hAnsi="Times New Roman"/>
          <w:sz w:val="24"/>
        </w:rPr>
        <w:footnoteReference w:id="21"/>
      </w:r>
      <w:r w:rsidR="00471840" w:rsidRPr="002849F1">
        <w:rPr>
          <w:rFonts w:ascii="Times New Roman" w:hAnsi="Times New Roman"/>
        </w:rPr>
        <w:t>.</w:t>
      </w:r>
    </w:p>
    <w:p w14:paraId="1E8A30E2" w14:textId="66F1127E" w:rsidR="005A5234" w:rsidRPr="002849F1" w:rsidRDefault="007F2BBD"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854367" w:rsidRPr="002849F1">
        <w:rPr>
          <w:rFonts w:ascii="Times New Roman" w:hAnsi="Times New Roman"/>
        </w:rPr>
        <w:t>The Councils</w:t>
      </w:r>
      <w:r w:rsidR="00424080" w:rsidRPr="002849F1">
        <w:rPr>
          <w:rFonts w:ascii="Times New Roman" w:hAnsi="Times New Roman"/>
        </w:rPr>
        <w:t>, however, contended that the Valuer</w:t>
      </w:r>
      <w:r w:rsidR="00AB10A8" w:rsidRPr="002849F1">
        <w:rPr>
          <w:rFonts w:ascii="Times New Roman" w:hAnsi="Times New Roman"/>
        </w:rPr>
        <w:noBreakHyphen/>
      </w:r>
      <w:r w:rsidR="00424080" w:rsidRPr="002849F1">
        <w:rPr>
          <w:rFonts w:ascii="Times New Roman" w:hAnsi="Times New Roman"/>
        </w:rPr>
        <w:t xml:space="preserve">General had correctly identified the portions of each Airport </w:t>
      </w:r>
      <w:r w:rsidR="00BC37B4" w:rsidRPr="002849F1">
        <w:rPr>
          <w:rFonts w:ascii="Times New Roman" w:hAnsi="Times New Roman"/>
        </w:rPr>
        <w:t xml:space="preserve">on which trading or financial operations </w:t>
      </w:r>
      <w:r w:rsidR="00BC37B4" w:rsidRPr="002849F1">
        <w:rPr>
          <w:rFonts w:ascii="Times New Roman" w:hAnsi="Times New Roman"/>
        </w:rPr>
        <w:lastRenderedPageBreak/>
        <w:t xml:space="preserve">were undertaken in </w:t>
      </w:r>
      <w:r w:rsidR="00424080" w:rsidRPr="002849F1">
        <w:rPr>
          <w:rFonts w:ascii="Times New Roman" w:hAnsi="Times New Roman"/>
        </w:rPr>
        <w:t xml:space="preserve">calculating the </w:t>
      </w:r>
      <w:r w:rsidR="00BC37B4" w:rsidRPr="002849F1">
        <w:rPr>
          <w:rFonts w:ascii="Times New Roman" w:hAnsi="Times New Roman"/>
        </w:rPr>
        <w:t xml:space="preserve">equivalent </w:t>
      </w:r>
      <w:r w:rsidR="00424080" w:rsidRPr="002849F1">
        <w:rPr>
          <w:rFonts w:ascii="Times New Roman" w:hAnsi="Times New Roman"/>
        </w:rPr>
        <w:t>quantum under</w:t>
      </w:r>
      <w:r w:rsidR="00744EC0" w:rsidRPr="002849F1">
        <w:rPr>
          <w:rFonts w:ascii="Times New Roman" w:hAnsi="Times New Roman"/>
        </w:rPr>
        <w:t xml:space="preserve"> cl</w:t>
      </w:r>
      <w:r w:rsidR="00424080" w:rsidRPr="002849F1">
        <w:rPr>
          <w:rFonts w:ascii="Times New Roman" w:hAnsi="Times New Roman"/>
        </w:rPr>
        <w:t xml:space="preserve"> 26.2(a)</w:t>
      </w:r>
      <w:r w:rsidR="006460C1" w:rsidRPr="002849F1">
        <w:rPr>
          <w:rFonts w:ascii="Times New Roman" w:hAnsi="Times New Roman"/>
        </w:rPr>
        <w:t xml:space="preserve"> and</w:t>
      </w:r>
      <w:r w:rsidR="00B368F9">
        <w:rPr>
          <w:rFonts w:ascii="Times New Roman" w:hAnsi="Times New Roman"/>
        </w:rPr>
        <w:t> </w:t>
      </w:r>
      <w:r w:rsidR="006460C1" w:rsidRPr="002849F1">
        <w:rPr>
          <w:rFonts w:ascii="Times New Roman" w:hAnsi="Times New Roman"/>
        </w:rPr>
        <w:t>applied the correct methodology</w:t>
      </w:r>
      <w:r w:rsidR="00353A46" w:rsidRPr="002849F1">
        <w:rPr>
          <w:rFonts w:ascii="Times New Roman" w:hAnsi="Times New Roman"/>
        </w:rPr>
        <w:t>.</w:t>
      </w:r>
      <w:r w:rsidR="002E6C93" w:rsidRPr="002849F1">
        <w:rPr>
          <w:rFonts w:ascii="Times New Roman" w:hAnsi="Times New Roman"/>
        </w:rPr>
        <w:t xml:space="preserve"> </w:t>
      </w:r>
      <w:r w:rsidR="00F33F4F" w:rsidRPr="002849F1">
        <w:rPr>
          <w:rFonts w:ascii="Times New Roman" w:hAnsi="Times New Roman"/>
        </w:rPr>
        <w:t>T</w:t>
      </w:r>
      <w:r w:rsidR="0020056C" w:rsidRPr="002849F1">
        <w:rPr>
          <w:rFonts w:ascii="Times New Roman" w:hAnsi="Times New Roman"/>
        </w:rPr>
        <w:t>he</w:t>
      </w:r>
      <w:r w:rsidR="00353A46" w:rsidRPr="002849F1">
        <w:rPr>
          <w:rFonts w:ascii="Times New Roman" w:hAnsi="Times New Roman"/>
        </w:rPr>
        <w:t> </w:t>
      </w:r>
      <w:r w:rsidR="0020056C" w:rsidRPr="002849F1">
        <w:rPr>
          <w:rFonts w:ascii="Times New Roman" w:hAnsi="Times New Roman"/>
        </w:rPr>
        <w:t>Councils</w:t>
      </w:r>
      <w:r w:rsidR="00F33F4F" w:rsidRPr="002849F1">
        <w:rPr>
          <w:rFonts w:ascii="Times New Roman" w:hAnsi="Times New Roman"/>
        </w:rPr>
        <w:t xml:space="preserve">, </w:t>
      </w:r>
      <w:r w:rsidR="00854367" w:rsidRPr="002849F1">
        <w:rPr>
          <w:rFonts w:ascii="Times New Roman" w:hAnsi="Times New Roman"/>
        </w:rPr>
        <w:t>therefore</w:t>
      </w:r>
      <w:r w:rsidR="00F33F4F" w:rsidRPr="002849F1">
        <w:rPr>
          <w:rFonts w:ascii="Times New Roman" w:hAnsi="Times New Roman"/>
        </w:rPr>
        <w:t>, did</w:t>
      </w:r>
      <w:r w:rsidR="00BF19BB" w:rsidRPr="002849F1">
        <w:rPr>
          <w:rFonts w:ascii="Times New Roman" w:hAnsi="Times New Roman"/>
        </w:rPr>
        <w:t> </w:t>
      </w:r>
      <w:r w:rsidR="00F33F4F" w:rsidRPr="002849F1">
        <w:rPr>
          <w:rFonts w:ascii="Times New Roman" w:hAnsi="Times New Roman"/>
        </w:rPr>
        <w:t xml:space="preserve">not accept </w:t>
      </w:r>
      <w:r w:rsidR="0020056C" w:rsidRPr="002849F1">
        <w:rPr>
          <w:rFonts w:ascii="Times New Roman" w:hAnsi="Times New Roman"/>
        </w:rPr>
        <w:t>that the Lessees</w:t>
      </w:r>
      <w:r w:rsidR="00F33F4F" w:rsidRPr="002849F1">
        <w:rPr>
          <w:rFonts w:ascii="Times New Roman" w:hAnsi="Times New Roman"/>
        </w:rPr>
        <w:t>'</w:t>
      </w:r>
      <w:r w:rsidR="0020056C" w:rsidRPr="002849F1">
        <w:rPr>
          <w:rFonts w:ascii="Times New Roman" w:hAnsi="Times New Roman"/>
        </w:rPr>
        <w:t xml:space="preserve"> payments to </w:t>
      </w:r>
      <w:r w:rsidR="00F33F4F" w:rsidRPr="002849F1">
        <w:rPr>
          <w:rFonts w:ascii="Times New Roman" w:hAnsi="Times New Roman"/>
        </w:rPr>
        <w:t>them</w:t>
      </w:r>
      <w:r w:rsidR="0020056C" w:rsidRPr="002849F1">
        <w:rPr>
          <w:rFonts w:ascii="Times New Roman" w:hAnsi="Times New Roman"/>
        </w:rPr>
        <w:t xml:space="preserve"> of amounts calculated in accordance with HTW's valuations (and not the higher amounts based on </w:t>
      </w:r>
      <w:r w:rsidR="00353A46" w:rsidRPr="002849F1">
        <w:rPr>
          <w:rFonts w:ascii="Times New Roman" w:hAnsi="Times New Roman"/>
        </w:rPr>
        <w:t xml:space="preserve">the </w:t>
      </w:r>
      <w:r w:rsidR="0020056C" w:rsidRPr="002849F1">
        <w:rPr>
          <w:rFonts w:ascii="Times New Roman" w:hAnsi="Times New Roman"/>
        </w:rPr>
        <w:t>Valuer-General's valuation) satisfied the Lessees</w:t>
      </w:r>
      <w:r w:rsidR="00F33F4F" w:rsidRPr="002849F1">
        <w:rPr>
          <w:rFonts w:ascii="Times New Roman" w:hAnsi="Times New Roman"/>
        </w:rPr>
        <w:t>'</w:t>
      </w:r>
      <w:r w:rsidR="0020056C" w:rsidRPr="002849F1">
        <w:rPr>
          <w:rFonts w:ascii="Times New Roman" w:hAnsi="Times New Roman"/>
        </w:rPr>
        <w:t xml:space="preserve"> obligations under cl</w:t>
      </w:r>
      <w:r w:rsidR="0038019B" w:rsidRPr="002849F1">
        <w:rPr>
          <w:rFonts w:ascii="Times New Roman" w:hAnsi="Times New Roman"/>
        </w:rPr>
        <w:t> </w:t>
      </w:r>
      <w:r w:rsidR="0020056C" w:rsidRPr="002849F1">
        <w:rPr>
          <w:rFonts w:ascii="Times New Roman" w:hAnsi="Times New Roman"/>
        </w:rPr>
        <w:t>26.2(a).</w:t>
      </w:r>
      <w:r w:rsidR="0020056C" w:rsidRPr="002849F1" w:rsidDel="007038AE">
        <w:rPr>
          <w:rFonts w:ascii="Times New Roman" w:hAnsi="Times New Roman"/>
        </w:rPr>
        <w:t xml:space="preserve"> </w:t>
      </w:r>
    </w:p>
    <w:p w14:paraId="765B1350" w14:textId="618B7504" w:rsidR="00A24DD2" w:rsidRPr="002849F1" w:rsidRDefault="005A5234"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D64B3A" w:rsidRPr="002849F1">
        <w:rPr>
          <w:rFonts w:ascii="Times New Roman" w:hAnsi="Times New Roman"/>
        </w:rPr>
        <w:t xml:space="preserve">The Councils </w:t>
      </w:r>
      <w:r w:rsidR="00487627" w:rsidRPr="002849F1">
        <w:rPr>
          <w:rFonts w:ascii="Times New Roman" w:hAnsi="Times New Roman"/>
        </w:rPr>
        <w:t xml:space="preserve">then </w:t>
      </w:r>
      <w:r w:rsidR="00C87B0C" w:rsidRPr="002849F1">
        <w:rPr>
          <w:rFonts w:ascii="Times New Roman" w:hAnsi="Times New Roman"/>
        </w:rPr>
        <w:t xml:space="preserve">commenced proceedings </w:t>
      </w:r>
      <w:r w:rsidR="002A50F2" w:rsidRPr="002849F1">
        <w:rPr>
          <w:rFonts w:ascii="Times New Roman" w:hAnsi="Times New Roman"/>
        </w:rPr>
        <w:t>in</w:t>
      </w:r>
      <w:r w:rsidR="00C87B0C" w:rsidRPr="002849F1">
        <w:rPr>
          <w:rFonts w:ascii="Times New Roman" w:hAnsi="Times New Roman"/>
        </w:rPr>
        <w:t xml:space="preserve"> the Federal Court of Australia </w:t>
      </w:r>
      <w:r w:rsidR="00EE378D" w:rsidRPr="002849F1">
        <w:rPr>
          <w:rFonts w:ascii="Times New Roman" w:hAnsi="Times New Roman"/>
        </w:rPr>
        <w:t>against t</w:t>
      </w:r>
      <w:r w:rsidR="00BE4A67" w:rsidRPr="002849F1">
        <w:rPr>
          <w:rFonts w:ascii="Times New Roman" w:hAnsi="Times New Roman"/>
        </w:rPr>
        <w:t xml:space="preserve">he Commonwealth and the Lessees </w:t>
      </w:r>
      <w:r w:rsidR="00C87B0C" w:rsidRPr="002849F1">
        <w:rPr>
          <w:rFonts w:ascii="Times New Roman" w:hAnsi="Times New Roman"/>
        </w:rPr>
        <w:t>seeking</w:t>
      </w:r>
      <w:r w:rsidR="00EE07BC" w:rsidRPr="002849F1">
        <w:rPr>
          <w:rFonts w:ascii="Times New Roman" w:hAnsi="Times New Roman"/>
        </w:rPr>
        <w:t>, among other things,</w:t>
      </w:r>
      <w:r w:rsidR="00C87B0C" w:rsidRPr="002849F1">
        <w:rPr>
          <w:rFonts w:ascii="Times New Roman" w:hAnsi="Times New Roman"/>
        </w:rPr>
        <w:t xml:space="preserve"> declaratory relief pursuant to s 21 of the </w:t>
      </w:r>
      <w:r w:rsidR="00C87B0C" w:rsidRPr="002849F1">
        <w:rPr>
          <w:rFonts w:ascii="Times New Roman" w:hAnsi="Times New Roman"/>
          <w:i/>
        </w:rPr>
        <w:t xml:space="preserve">Federal Court of Australia Act 1976 </w:t>
      </w:r>
      <w:r w:rsidR="00C87B0C" w:rsidRPr="002849F1">
        <w:rPr>
          <w:rFonts w:ascii="Times New Roman" w:hAnsi="Times New Roman"/>
        </w:rPr>
        <w:t>(</w:t>
      </w:r>
      <w:proofErr w:type="spellStart"/>
      <w:r w:rsidR="00C87B0C" w:rsidRPr="002849F1">
        <w:rPr>
          <w:rFonts w:ascii="Times New Roman" w:hAnsi="Times New Roman"/>
        </w:rPr>
        <w:t>Cth</w:t>
      </w:r>
      <w:proofErr w:type="spellEnd"/>
      <w:r w:rsidR="00C87B0C" w:rsidRPr="002849F1">
        <w:rPr>
          <w:rFonts w:ascii="Times New Roman" w:hAnsi="Times New Roman"/>
        </w:rPr>
        <w:t>)</w:t>
      </w:r>
      <w:r w:rsidR="004F76FE" w:rsidRPr="002849F1">
        <w:rPr>
          <w:rFonts w:ascii="Times New Roman" w:hAnsi="Times New Roman"/>
        </w:rPr>
        <w:t xml:space="preserve"> </w:t>
      </w:r>
      <w:r w:rsidR="00415345" w:rsidRPr="002849F1">
        <w:rPr>
          <w:rFonts w:ascii="Times New Roman" w:hAnsi="Times New Roman"/>
        </w:rPr>
        <w:t>with respect to the proper construction of cl 26.2(a) of the Leases and the Lessees</w:t>
      </w:r>
      <w:r w:rsidR="0033159B" w:rsidRPr="002849F1">
        <w:rPr>
          <w:rFonts w:ascii="Times New Roman" w:hAnsi="Times New Roman"/>
        </w:rPr>
        <w:t>' obligations</w:t>
      </w:r>
      <w:r w:rsidR="00415345" w:rsidRPr="002849F1">
        <w:rPr>
          <w:rFonts w:ascii="Times New Roman" w:hAnsi="Times New Roman"/>
        </w:rPr>
        <w:t xml:space="preserve"> to make payments</w:t>
      </w:r>
      <w:r w:rsidR="003236F2" w:rsidRPr="002849F1">
        <w:rPr>
          <w:rFonts w:ascii="Times New Roman" w:hAnsi="Times New Roman"/>
        </w:rPr>
        <w:t xml:space="preserve"> pursuant to the Leases</w:t>
      </w:r>
      <w:r w:rsidR="006A1D37" w:rsidRPr="002849F1">
        <w:rPr>
          <w:rFonts w:ascii="Times New Roman" w:hAnsi="Times New Roman"/>
        </w:rPr>
        <w:t xml:space="preserve"> for the financial years for 2014/2015 to 2017/2018 inclusive</w:t>
      </w:r>
      <w:r w:rsidR="003E2CD5" w:rsidRPr="002849F1">
        <w:rPr>
          <w:rFonts w:ascii="Times New Roman" w:hAnsi="Times New Roman"/>
          <w:bCs/>
        </w:rPr>
        <w:t>.</w:t>
      </w:r>
      <w:r w:rsidR="002E6C93" w:rsidRPr="002849F1">
        <w:rPr>
          <w:rFonts w:ascii="Times New Roman" w:hAnsi="Times New Roman"/>
          <w:b/>
        </w:rPr>
        <w:t xml:space="preserve"> </w:t>
      </w:r>
    </w:p>
    <w:p w14:paraId="0B7D0403" w14:textId="18D137AC" w:rsidR="002F0883" w:rsidRPr="002849F1" w:rsidRDefault="004F76FE"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31166E" w:rsidRPr="002849F1">
        <w:rPr>
          <w:rFonts w:ascii="Times New Roman" w:hAnsi="Times New Roman"/>
        </w:rPr>
        <w:t>In substance</w:t>
      </w:r>
      <w:r w:rsidR="006B240C" w:rsidRPr="002849F1">
        <w:rPr>
          <w:rFonts w:ascii="Times New Roman" w:hAnsi="Times New Roman"/>
        </w:rPr>
        <w:t>, t</w:t>
      </w:r>
      <w:r w:rsidR="00CD41FD" w:rsidRPr="002849F1">
        <w:rPr>
          <w:rFonts w:ascii="Times New Roman" w:hAnsi="Times New Roman"/>
        </w:rPr>
        <w:t>he</w:t>
      </w:r>
      <w:r w:rsidR="005A5234" w:rsidRPr="002849F1">
        <w:rPr>
          <w:rFonts w:ascii="Times New Roman" w:hAnsi="Times New Roman"/>
        </w:rPr>
        <w:t xml:space="preserve"> Councils </w:t>
      </w:r>
      <w:r w:rsidR="00F43014" w:rsidRPr="002849F1">
        <w:rPr>
          <w:rFonts w:ascii="Times New Roman" w:hAnsi="Times New Roman"/>
        </w:rPr>
        <w:t>contended</w:t>
      </w:r>
      <w:r w:rsidR="005A5234" w:rsidRPr="002849F1">
        <w:rPr>
          <w:rFonts w:ascii="Times New Roman" w:hAnsi="Times New Roman"/>
        </w:rPr>
        <w:t xml:space="preserve"> that the whole of each of the </w:t>
      </w:r>
      <w:r w:rsidR="00854416" w:rsidRPr="002849F1">
        <w:rPr>
          <w:rFonts w:ascii="Times New Roman" w:hAnsi="Times New Roman"/>
        </w:rPr>
        <w:t>Airports</w:t>
      </w:r>
      <w:r w:rsidR="005A5234" w:rsidRPr="002849F1">
        <w:rPr>
          <w:rFonts w:ascii="Times New Roman" w:hAnsi="Times New Roman"/>
        </w:rPr>
        <w:t xml:space="preserve"> is "rateable", except for the areas occupied by the Commonwealth or a Commonwealth authority or which comprise runways, taxiways, aprons, roads, vacant land, buffer zones and grassed verges</w:t>
      </w:r>
      <w:r w:rsidR="0031166E" w:rsidRPr="002849F1">
        <w:rPr>
          <w:rFonts w:ascii="Times New Roman" w:hAnsi="Times New Roman"/>
        </w:rPr>
        <w:t>,</w:t>
      </w:r>
      <w:r w:rsidR="005A5234" w:rsidRPr="002849F1">
        <w:rPr>
          <w:rFonts w:ascii="Times New Roman" w:hAnsi="Times New Roman"/>
        </w:rPr>
        <w:t xml:space="preserve"> because "trading or financial operations" (within the meaning of cl</w:t>
      </w:r>
      <w:r w:rsidR="00512EC8" w:rsidRPr="002849F1">
        <w:rPr>
          <w:rFonts w:ascii="Times New Roman" w:hAnsi="Times New Roman"/>
        </w:rPr>
        <w:t> </w:t>
      </w:r>
      <w:r w:rsidR="005A5234" w:rsidRPr="002849F1">
        <w:rPr>
          <w:rFonts w:ascii="Times New Roman" w:hAnsi="Times New Roman"/>
        </w:rPr>
        <w:t xml:space="preserve">26.2(a)) are undertaken on all other areas of the </w:t>
      </w:r>
      <w:r w:rsidR="005A57C8" w:rsidRPr="002849F1">
        <w:rPr>
          <w:rFonts w:ascii="Times New Roman" w:hAnsi="Times New Roman"/>
        </w:rPr>
        <w:t>Airports</w:t>
      </w:r>
      <w:r w:rsidR="005A5234" w:rsidRPr="002849F1">
        <w:rPr>
          <w:rFonts w:ascii="Times New Roman" w:hAnsi="Times New Roman"/>
        </w:rPr>
        <w:t>.</w:t>
      </w:r>
      <w:r w:rsidR="002E6C93" w:rsidRPr="002849F1">
        <w:rPr>
          <w:rFonts w:ascii="Times New Roman" w:hAnsi="Times New Roman"/>
        </w:rPr>
        <w:t xml:space="preserve"> </w:t>
      </w:r>
      <w:r w:rsidR="005A5234" w:rsidRPr="002849F1">
        <w:rPr>
          <w:rFonts w:ascii="Times New Roman" w:hAnsi="Times New Roman"/>
        </w:rPr>
        <w:t>The Lessees and the Commonwealth</w:t>
      </w:r>
      <w:r w:rsidR="00A7748F" w:rsidRPr="002849F1">
        <w:rPr>
          <w:rFonts w:ascii="Times New Roman" w:hAnsi="Times New Roman"/>
        </w:rPr>
        <w:t xml:space="preserve"> </w:t>
      </w:r>
      <w:r w:rsidR="009A6CA4" w:rsidRPr="002849F1">
        <w:rPr>
          <w:rFonts w:ascii="Times New Roman" w:hAnsi="Times New Roman"/>
        </w:rPr>
        <w:t>disagree</w:t>
      </w:r>
      <w:r w:rsidR="00652F64" w:rsidRPr="002849F1">
        <w:rPr>
          <w:rFonts w:ascii="Times New Roman" w:hAnsi="Times New Roman"/>
        </w:rPr>
        <w:t>d</w:t>
      </w:r>
      <w:r w:rsidR="009A6CA4" w:rsidRPr="002849F1">
        <w:rPr>
          <w:rFonts w:ascii="Times New Roman" w:hAnsi="Times New Roman"/>
        </w:rPr>
        <w:t xml:space="preserve"> with </w:t>
      </w:r>
      <w:r w:rsidR="00652F64" w:rsidRPr="002849F1">
        <w:rPr>
          <w:rFonts w:ascii="Times New Roman" w:hAnsi="Times New Roman"/>
        </w:rPr>
        <w:t>the Councils' construction of the phrase "trading or financial operations".</w:t>
      </w:r>
      <w:r w:rsidR="002E6C93" w:rsidRPr="002849F1">
        <w:rPr>
          <w:rFonts w:ascii="Times New Roman" w:hAnsi="Times New Roman"/>
        </w:rPr>
        <w:t xml:space="preserve"> </w:t>
      </w:r>
      <w:r w:rsidR="00652F64" w:rsidRPr="002849F1">
        <w:rPr>
          <w:rFonts w:ascii="Times New Roman" w:hAnsi="Times New Roman"/>
        </w:rPr>
        <w:t xml:space="preserve">They </w:t>
      </w:r>
      <w:r w:rsidR="005A5234" w:rsidRPr="002849F1">
        <w:rPr>
          <w:rFonts w:ascii="Times New Roman" w:hAnsi="Times New Roman"/>
        </w:rPr>
        <w:t>contended</w:t>
      </w:r>
      <w:r w:rsidR="00652F64" w:rsidRPr="002849F1">
        <w:rPr>
          <w:rFonts w:ascii="Times New Roman" w:hAnsi="Times New Roman"/>
        </w:rPr>
        <w:t>, among other things,</w:t>
      </w:r>
      <w:r w:rsidR="005A5234" w:rsidRPr="002849F1">
        <w:rPr>
          <w:rFonts w:ascii="Times New Roman" w:hAnsi="Times New Roman"/>
        </w:rPr>
        <w:t xml:space="preserve"> that</w:t>
      </w:r>
      <w:r w:rsidR="00A958EB" w:rsidRPr="002849F1">
        <w:rPr>
          <w:rFonts w:ascii="Times New Roman" w:hAnsi="Times New Roman"/>
        </w:rPr>
        <w:t> </w:t>
      </w:r>
      <w:r w:rsidR="005A5234" w:rsidRPr="002849F1">
        <w:rPr>
          <w:rFonts w:ascii="Times New Roman" w:hAnsi="Times New Roman"/>
        </w:rPr>
        <w:t>when regard is had to the principle of competitive neutrality which was the rationale for cl</w:t>
      </w:r>
      <w:r w:rsidR="009B1C7B" w:rsidRPr="002849F1">
        <w:rPr>
          <w:rFonts w:ascii="Times New Roman" w:hAnsi="Times New Roman"/>
        </w:rPr>
        <w:t> </w:t>
      </w:r>
      <w:r w:rsidR="005A5234" w:rsidRPr="002849F1">
        <w:rPr>
          <w:rFonts w:ascii="Times New Roman" w:hAnsi="Times New Roman"/>
        </w:rPr>
        <w:t>26.2(a), it is evident that "trading or financial operations" was not intended to apply to "aeronautical services and facilities"</w:t>
      </w:r>
      <w:r w:rsidR="008C787A" w:rsidRPr="002849F1">
        <w:rPr>
          <w:rFonts w:ascii="Times New Roman" w:hAnsi="Times New Roman"/>
        </w:rPr>
        <w:t xml:space="preserve"> (which the Councils said we</w:t>
      </w:r>
      <w:r w:rsidR="006C3A5B" w:rsidRPr="002849F1">
        <w:rPr>
          <w:rFonts w:ascii="Times New Roman" w:hAnsi="Times New Roman"/>
        </w:rPr>
        <w:t>re</w:t>
      </w:r>
      <w:r w:rsidR="008C787A" w:rsidRPr="002849F1">
        <w:rPr>
          <w:rFonts w:ascii="Times New Roman" w:hAnsi="Times New Roman"/>
        </w:rPr>
        <w:t xml:space="preserve"> included in the rateable areas)</w:t>
      </w:r>
      <w:r w:rsidR="00BA2AAA" w:rsidRPr="002849F1">
        <w:rPr>
          <w:rFonts w:ascii="Times New Roman" w:hAnsi="Times New Roman"/>
        </w:rPr>
        <w:t xml:space="preserve"> on the bas</w:t>
      </w:r>
      <w:r w:rsidR="00EB6F9F" w:rsidRPr="002849F1">
        <w:rPr>
          <w:rFonts w:ascii="Times New Roman" w:hAnsi="Times New Roman"/>
        </w:rPr>
        <w:t>i</w:t>
      </w:r>
      <w:r w:rsidR="00BA2AAA" w:rsidRPr="002849F1">
        <w:rPr>
          <w:rFonts w:ascii="Times New Roman" w:hAnsi="Times New Roman"/>
        </w:rPr>
        <w:t xml:space="preserve">s that </w:t>
      </w:r>
      <w:r w:rsidR="005A5234" w:rsidRPr="002849F1">
        <w:rPr>
          <w:rFonts w:ascii="Times New Roman" w:hAnsi="Times New Roman"/>
        </w:rPr>
        <w:t xml:space="preserve">the </w:t>
      </w:r>
      <w:r w:rsidR="00BA2AAA" w:rsidRPr="002849F1">
        <w:rPr>
          <w:rFonts w:ascii="Times New Roman" w:hAnsi="Times New Roman"/>
        </w:rPr>
        <w:t>L</w:t>
      </w:r>
      <w:r w:rsidR="005A5234" w:rsidRPr="002849F1">
        <w:rPr>
          <w:rFonts w:ascii="Times New Roman" w:hAnsi="Times New Roman"/>
        </w:rPr>
        <w:t xml:space="preserve">essees could not enjoy a competitive advantage over such services and facilities </w:t>
      </w:r>
      <w:r w:rsidR="00FE4D3C" w:rsidRPr="002849F1">
        <w:rPr>
          <w:rFonts w:ascii="Times New Roman" w:hAnsi="Times New Roman"/>
        </w:rPr>
        <w:t>where</w:t>
      </w:r>
      <w:r w:rsidR="005A5234" w:rsidRPr="002849F1">
        <w:rPr>
          <w:rFonts w:ascii="Times New Roman" w:hAnsi="Times New Roman"/>
        </w:rPr>
        <w:t xml:space="preserve"> there was no comparable business.</w:t>
      </w:r>
      <w:r w:rsidR="002E6C93" w:rsidRPr="002849F1">
        <w:rPr>
          <w:rFonts w:ascii="Times New Roman" w:hAnsi="Times New Roman"/>
        </w:rPr>
        <w:t xml:space="preserve"> </w:t>
      </w:r>
    </w:p>
    <w:p w14:paraId="2EF283DD" w14:textId="2B40C684" w:rsidR="00081852" w:rsidRPr="002849F1" w:rsidRDefault="002F0883"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31166E" w:rsidRPr="002849F1">
        <w:rPr>
          <w:rFonts w:ascii="Times New Roman" w:hAnsi="Times New Roman"/>
        </w:rPr>
        <w:t xml:space="preserve">Throughout the </w:t>
      </w:r>
      <w:r w:rsidR="00363277" w:rsidRPr="002849F1">
        <w:rPr>
          <w:rFonts w:ascii="Times New Roman" w:hAnsi="Times New Roman"/>
        </w:rPr>
        <w:t>proceedings, it</w:t>
      </w:r>
      <w:r w:rsidR="00CB6E82" w:rsidRPr="002849F1">
        <w:rPr>
          <w:rFonts w:ascii="Times New Roman" w:hAnsi="Times New Roman"/>
        </w:rPr>
        <w:t> </w:t>
      </w:r>
      <w:r w:rsidR="0031166E" w:rsidRPr="002849F1">
        <w:rPr>
          <w:rFonts w:ascii="Times New Roman" w:hAnsi="Times New Roman"/>
        </w:rPr>
        <w:t xml:space="preserve">has </w:t>
      </w:r>
      <w:r w:rsidR="00363277" w:rsidRPr="002849F1">
        <w:rPr>
          <w:rFonts w:ascii="Times New Roman" w:hAnsi="Times New Roman"/>
        </w:rPr>
        <w:t xml:space="preserve">remained the position </w:t>
      </w:r>
      <w:r w:rsidR="00CD41FD" w:rsidRPr="002849F1">
        <w:rPr>
          <w:rFonts w:ascii="Times New Roman" w:hAnsi="Times New Roman"/>
        </w:rPr>
        <w:t xml:space="preserve">that </w:t>
      </w:r>
      <w:r w:rsidR="00A7748F" w:rsidRPr="002849F1">
        <w:rPr>
          <w:rFonts w:ascii="Times New Roman" w:hAnsi="Times New Roman"/>
        </w:rPr>
        <w:t>the</w:t>
      </w:r>
      <w:r w:rsidR="005A5234" w:rsidRPr="002849F1">
        <w:rPr>
          <w:rFonts w:ascii="Times New Roman" w:hAnsi="Times New Roman"/>
        </w:rPr>
        <w:t xml:space="preserve"> Commonwealth </w:t>
      </w:r>
      <w:r w:rsidR="00A7748F" w:rsidRPr="002849F1">
        <w:rPr>
          <w:rFonts w:ascii="Times New Roman" w:hAnsi="Times New Roman"/>
        </w:rPr>
        <w:t xml:space="preserve">and the Lessees </w:t>
      </w:r>
      <w:r w:rsidR="0031166E" w:rsidRPr="002849F1">
        <w:rPr>
          <w:rFonts w:ascii="Times New Roman" w:hAnsi="Times New Roman"/>
        </w:rPr>
        <w:t xml:space="preserve">are </w:t>
      </w:r>
      <w:r w:rsidR="005A5234" w:rsidRPr="002849F1">
        <w:rPr>
          <w:rFonts w:ascii="Times New Roman" w:hAnsi="Times New Roman"/>
        </w:rPr>
        <w:t>not in dispute about the operation of cl</w:t>
      </w:r>
      <w:r w:rsidR="00A7748F" w:rsidRPr="002849F1">
        <w:rPr>
          <w:rFonts w:ascii="Times New Roman" w:hAnsi="Times New Roman"/>
        </w:rPr>
        <w:t> </w:t>
      </w:r>
      <w:r w:rsidR="005A5234" w:rsidRPr="002849F1">
        <w:rPr>
          <w:rFonts w:ascii="Times New Roman" w:hAnsi="Times New Roman"/>
        </w:rPr>
        <w:t>26.2(a) or the Lessees</w:t>
      </w:r>
      <w:r w:rsidR="00777D1D" w:rsidRPr="002849F1">
        <w:rPr>
          <w:rFonts w:ascii="Times New Roman" w:hAnsi="Times New Roman"/>
        </w:rPr>
        <w:t>'</w:t>
      </w:r>
      <w:r w:rsidR="005A5234" w:rsidRPr="002849F1">
        <w:rPr>
          <w:rFonts w:ascii="Times New Roman" w:hAnsi="Times New Roman"/>
        </w:rPr>
        <w:t xml:space="preserve"> compliance with that clause.</w:t>
      </w:r>
    </w:p>
    <w:p w14:paraId="4B0E5E7E" w14:textId="0396DAA0" w:rsidR="00081852" w:rsidRPr="002849F1" w:rsidRDefault="00081852" w:rsidP="002849F1">
      <w:pPr>
        <w:pStyle w:val="HeadingL1"/>
        <w:spacing w:after="260" w:line="280" w:lineRule="exact"/>
        <w:ind w:right="0"/>
        <w:jc w:val="both"/>
        <w:rPr>
          <w:rFonts w:ascii="Times New Roman" w:hAnsi="Times New Roman"/>
        </w:rPr>
      </w:pPr>
      <w:r w:rsidRPr="002849F1">
        <w:rPr>
          <w:rFonts w:ascii="Times New Roman" w:hAnsi="Times New Roman"/>
        </w:rPr>
        <w:t>Decisions below</w:t>
      </w:r>
    </w:p>
    <w:p w14:paraId="668AD7E9" w14:textId="2923517D" w:rsidR="00F03106" w:rsidRPr="002849F1" w:rsidRDefault="00081852"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5A5234" w:rsidRPr="002849F1">
        <w:rPr>
          <w:rFonts w:ascii="Times New Roman" w:hAnsi="Times New Roman"/>
        </w:rPr>
        <w:t>The primary judge dismissed the Councils' applications</w:t>
      </w:r>
      <w:r w:rsidR="005A5234" w:rsidRPr="002849F1">
        <w:rPr>
          <w:rFonts w:ascii="Times New Roman" w:hAnsi="Times New Roman"/>
          <w:b/>
        </w:rPr>
        <w:t xml:space="preserve"> </w:t>
      </w:r>
      <w:r w:rsidR="005A5234" w:rsidRPr="002849F1">
        <w:rPr>
          <w:rFonts w:ascii="Times New Roman" w:hAnsi="Times New Roman"/>
        </w:rPr>
        <w:t>on the basis that the</w:t>
      </w:r>
      <w:r w:rsidR="00245A68" w:rsidRPr="002849F1">
        <w:rPr>
          <w:rFonts w:ascii="Times New Roman" w:hAnsi="Times New Roman"/>
        </w:rPr>
        <w:t xml:space="preserve"> Councils</w:t>
      </w:r>
      <w:r w:rsidR="005A5234" w:rsidRPr="002849F1">
        <w:rPr>
          <w:rFonts w:ascii="Times New Roman" w:hAnsi="Times New Roman"/>
        </w:rPr>
        <w:t xml:space="preserve"> lacked standing to obtain the declaratory relief sought.</w:t>
      </w:r>
      <w:r w:rsidR="002E6C93" w:rsidRPr="002849F1">
        <w:rPr>
          <w:rFonts w:ascii="Times New Roman" w:hAnsi="Times New Roman"/>
        </w:rPr>
        <w:t xml:space="preserve"> </w:t>
      </w:r>
    </w:p>
    <w:p w14:paraId="0E2C82F1" w14:textId="7DA907B2" w:rsidR="00C76B48" w:rsidRPr="002849F1" w:rsidRDefault="00F03106"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081852" w:rsidRPr="002849F1">
        <w:rPr>
          <w:rFonts w:ascii="Times New Roman" w:hAnsi="Times New Roman"/>
        </w:rPr>
        <w:t xml:space="preserve">The Councils appealed </w:t>
      </w:r>
      <w:r w:rsidRPr="002849F1">
        <w:rPr>
          <w:rFonts w:ascii="Times New Roman" w:hAnsi="Times New Roman"/>
        </w:rPr>
        <w:t xml:space="preserve">to </w:t>
      </w:r>
      <w:r w:rsidR="00626111" w:rsidRPr="002849F1">
        <w:rPr>
          <w:rFonts w:ascii="Times New Roman" w:hAnsi="Times New Roman"/>
        </w:rPr>
        <w:t xml:space="preserve">a </w:t>
      </w:r>
      <w:r w:rsidR="00081852" w:rsidRPr="002849F1">
        <w:rPr>
          <w:rFonts w:ascii="Times New Roman" w:hAnsi="Times New Roman"/>
        </w:rPr>
        <w:t xml:space="preserve">Full Court of the Federal Court </w:t>
      </w:r>
      <w:r w:rsidR="00626111" w:rsidRPr="002849F1">
        <w:rPr>
          <w:rFonts w:ascii="Times New Roman" w:hAnsi="Times New Roman"/>
        </w:rPr>
        <w:t>(</w:t>
      </w:r>
      <w:proofErr w:type="spellStart"/>
      <w:r w:rsidR="00E3350B" w:rsidRPr="002849F1">
        <w:rPr>
          <w:rFonts w:ascii="Times New Roman" w:hAnsi="Times New Roman"/>
        </w:rPr>
        <w:t>Jagot</w:t>
      </w:r>
      <w:proofErr w:type="spellEnd"/>
      <w:r w:rsidR="00E3350B" w:rsidRPr="002849F1">
        <w:rPr>
          <w:rFonts w:ascii="Times New Roman" w:hAnsi="Times New Roman"/>
        </w:rPr>
        <w:t>, Kerr and Anderson JJ</w:t>
      </w:r>
      <w:r w:rsidR="00626111" w:rsidRPr="002849F1">
        <w:rPr>
          <w:rFonts w:ascii="Times New Roman" w:hAnsi="Times New Roman"/>
        </w:rPr>
        <w:t xml:space="preserve">) </w:t>
      </w:r>
      <w:r w:rsidR="00081852" w:rsidRPr="002849F1">
        <w:rPr>
          <w:rFonts w:ascii="Times New Roman" w:hAnsi="Times New Roman"/>
        </w:rPr>
        <w:t xml:space="preserve">on various grounds essentially directed to arguing that the Councils had standing to seek the declaratory relief in respect of the interpretation and application of the </w:t>
      </w:r>
      <w:r w:rsidR="009E545C" w:rsidRPr="002849F1">
        <w:rPr>
          <w:rFonts w:ascii="Times New Roman" w:hAnsi="Times New Roman"/>
        </w:rPr>
        <w:t>L</w:t>
      </w:r>
      <w:r w:rsidR="00081852" w:rsidRPr="002849F1">
        <w:rPr>
          <w:rFonts w:ascii="Times New Roman" w:hAnsi="Times New Roman"/>
        </w:rPr>
        <w:t>eases.</w:t>
      </w:r>
      <w:r w:rsidR="002E6C93" w:rsidRPr="002849F1">
        <w:rPr>
          <w:rFonts w:ascii="Times New Roman" w:hAnsi="Times New Roman"/>
        </w:rPr>
        <w:t xml:space="preserve"> </w:t>
      </w:r>
      <w:r w:rsidR="00081852" w:rsidRPr="002849F1">
        <w:rPr>
          <w:rFonts w:ascii="Times New Roman" w:hAnsi="Times New Roman"/>
        </w:rPr>
        <w:t>The Commonwealth</w:t>
      </w:r>
      <w:r w:rsidR="00C76B48" w:rsidRPr="002849F1">
        <w:rPr>
          <w:rFonts w:ascii="Times New Roman" w:hAnsi="Times New Roman"/>
        </w:rPr>
        <w:t>'s position was not materially different to that adopted by the Councils</w:t>
      </w:r>
      <w:r w:rsidR="00081852" w:rsidRPr="002849F1">
        <w:rPr>
          <w:rFonts w:ascii="Times New Roman" w:hAnsi="Times New Roman"/>
        </w:rPr>
        <w:t>.</w:t>
      </w:r>
      <w:r w:rsidR="002E6C93" w:rsidRPr="002849F1">
        <w:rPr>
          <w:rFonts w:ascii="Times New Roman" w:hAnsi="Times New Roman"/>
        </w:rPr>
        <w:t xml:space="preserve"> </w:t>
      </w:r>
    </w:p>
    <w:p w14:paraId="6D1B7E4F" w14:textId="08F1A6D5" w:rsidR="00081852" w:rsidRPr="002849F1" w:rsidRDefault="00072203"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081852" w:rsidRPr="002849F1">
        <w:rPr>
          <w:rFonts w:ascii="Times New Roman" w:hAnsi="Times New Roman"/>
        </w:rPr>
        <w:t>The Lessees contended that the primary judge correctly found that the Councils did not have standing.</w:t>
      </w:r>
      <w:r w:rsidR="002E6C93" w:rsidRPr="002849F1">
        <w:rPr>
          <w:rFonts w:ascii="Times New Roman" w:hAnsi="Times New Roman"/>
        </w:rPr>
        <w:t xml:space="preserve"> </w:t>
      </w:r>
      <w:r w:rsidR="00081852" w:rsidRPr="002849F1">
        <w:rPr>
          <w:rFonts w:ascii="Times New Roman" w:hAnsi="Times New Roman"/>
        </w:rPr>
        <w:t>They</w:t>
      </w:r>
      <w:r w:rsidR="00494BD9" w:rsidRPr="002849F1">
        <w:rPr>
          <w:rFonts w:ascii="Times New Roman" w:hAnsi="Times New Roman"/>
        </w:rPr>
        <w:t> </w:t>
      </w:r>
      <w:r w:rsidRPr="002849F1">
        <w:rPr>
          <w:rFonts w:ascii="Times New Roman" w:hAnsi="Times New Roman"/>
        </w:rPr>
        <w:t xml:space="preserve">also </w:t>
      </w:r>
      <w:r w:rsidR="00081852" w:rsidRPr="002849F1">
        <w:rPr>
          <w:rFonts w:ascii="Times New Roman" w:hAnsi="Times New Roman"/>
        </w:rPr>
        <w:t>filed notices of contention</w:t>
      </w:r>
      <w:r w:rsidR="00081852" w:rsidRPr="002849F1">
        <w:rPr>
          <w:rFonts w:ascii="Times New Roman" w:hAnsi="Times New Roman"/>
          <w:b/>
        </w:rPr>
        <w:t xml:space="preserve"> </w:t>
      </w:r>
      <w:r w:rsidR="00081852" w:rsidRPr="002849F1">
        <w:rPr>
          <w:rFonts w:ascii="Times New Roman" w:hAnsi="Times New Roman"/>
        </w:rPr>
        <w:t xml:space="preserve">arguing, in </w:t>
      </w:r>
      <w:r w:rsidR="00081852" w:rsidRPr="002849F1">
        <w:rPr>
          <w:rFonts w:ascii="Times New Roman" w:hAnsi="Times New Roman"/>
        </w:rPr>
        <w:lastRenderedPageBreak/>
        <w:t xml:space="preserve">the alternative, that the primary judge's decision should be affirmed on </w:t>
      </w:r>
      <w:r w:rsidR="00876075" w:rsidRPr="002849F1">
        <w:rPr>
          <w:rFonts w:ascii="Times New Roman" w:hAnsi="Times New Roman"/>
        </w:rPr>
        <w:t xml:space="preserve">three </w:t>
      </w:r>
      <w:r w:rsidR="00081852" w:rsidRPr="002849F1">
        <w:rPr>
          <w:rFonts w:ascii="Times New Roman" w:hAnsi="Times New Roman"/>
        </w:rPr>
        <w:t>grounds</w:t>
      </w:r>
      <w:r w:rsidR="00876075" w:rsidRPr="002849F1">
        <w:rPr>
          <w:rFonts w:ascii="Times New Roman" w:hAnsi="Times New Roman"/>
        </w:rPr>
        <w:t>:</w:t>
      </w:r>
      <w:r w:rsidR="002E6C93" w:rsidRPr="002849F1">
        <w:rPr>
          <w:rFonts w:ascii="Times New Roman" w:hAnsi="Times New Roman"/>
        </w:rPr>
        <w:t xml:space="preserve"> </w:t>
      </w:r>
      <w:r w:rsidR="00876075" w:rsidRPr="002849F1">
        <w:rPr>
          <w:rFonts w:ascii="Times New Roman" w:hAnsi="Times New Roman"/>
        </w:rPr>
        <w:t>(1)</w:t>
      </w:r>
      <w:r w:rsidRPr="002849F1">
        <w:rPr>
          <w:rFonts w:ascii="Times New Roman" w:hAnsi="Times New Roman"/>
        </w:rPr>
        <w:t> </w:t>
      </w:r>
      <w:r w:rsidR="00081852" w:rsidRPr="002849F1">
        <w:rPr>
          <w:rFonts w:ascii="Times New Roman" w:hAnsi="Times New Roman"/>
        </w:rPr>
        <w:t xml:space="preserve">the Councils' claims </w:t>
      </w:r>
      <w:r w:rsidR="00876075" w:rsidRPr="002849F1">
        <w:rPr>
          <w:rFonts w:ascii="Times New Roman" w:hAnsi="Times New Roman"/>
        </w:rPr>
        <w:t xml:space="preserve">did </w:t>
      </w:r>
      <w:r w:rsidR="00081852" w:rsidRPr="002849F1">
        <w:rPr>
          <w:rFonts w:ascii="Times New Roman" w:hAnsi="Times New Roman"/>
        </w:rPr>
        <w:t xml:space="preserve">not involve a justiciable controversy so as to constitute a "matter" </w:t>
      </w:r>
      <w:r w:rsidR="008877DA" w:rsidRPr="002849F1">
        <w:rPr>
          <w:rFonts w:ascii="Times New Roman" w:hAnsi="Times New Roman"/>
        </w:rPr>
        <w:t xml:space="preserve">for the purposes of Ch III of the </w:t>
      </w:r>
      <w:r w:rsidR="008877DA" w:rsidRPr="002849F1">
        <w:rPr>
          <w:rFonts w:ascii="Times New Roman" w:hAnsi="Times New Roman"/>
          <w:i/>
        </w:rPr>
        <w:t>Constitution</w:t>
      </w:r>
      <w:r w:rsidR="008877DA" w:rsidRPr="002849F1">
        <w:rPr>
          <w:rFonts w:ascii="Times New Roman" w:hAnsi="Times New Roman"/>
        </w:rPr>
        <w:t xml:space="preserve"> </w:t>
      </w:r>
      <w:r w:rsidR="00081852" w:rsidRPr="002849F1">
        <w:rPr>
          <w:rFonts w:ascii="Times New Roman" w:hAnsi="Times New Roman"/>
        </w:rPr>
        <w:t>in respect of which the Federal Court ha</w:t>
      </w:r>
      <w:r w:rsidR="008A290A" w:rsidRPr="002849F1">
        <w:rPr>
          <w:rFonts w:ascii="Times New Roman" w:hAnsi="Times New Roman"/>
        </w:rPr>
        <w:t>d</w:t>
      </w:r>
      <w:r w:rsidR="00081852" w:rsidRPr="002849F1">
        <w:rPr>
          <w:rFonts w:ascii="Times New Roman" w:hAnsi="Times New Roman"/>
        </w:rPr>
        <w:t xml:space="preserve"> jurisdiction;</w:t>
      </w:r>
      <w:r w:rsidR="00876075" w:rsidRPr="002849F1">
        <w:rPr>
          <w:rFonts w:ascii="Times New Roman" w:hAnsi="Times New Roman"/>
        </w:rPr>
        <w:t xml:space="preserve"> </w:t>
      </w:r>
      <w:r w:rsidR="00FB7186" w:rsidRPr="002849F1">
        <w:rPr>
          <w:rFonts w:ascii="Times New Roman" w:hAnsi="Times New Roman"/>
        </w:rPr>
        <w:t>(2)</w:t>
      </w:r>
      <w:r w:rsidR="00876075" w:rsidRPr="002849F1">
        <w:rPr>
          <w:rFonts w:ascii="Times New Roman" w:hAnsi="Times New Roman"/>
        </w:rPr>
        <w:t xml:space="preserve"> </w:t>
      </w:r>
      <w:r w:rsidR="00081852" w:rsidRPr="002849F1">
        <w:rPr>
          <w:rFonts w:ascii="Times New Roman" w:hAnsi="Times New Roman"/>
        </w:rPr>
        <w:t xml:space="preserve">the Federal Court </w:t>
      </w:r>
      <w:r w:rsidR="003B5C5F" w:rsidRPr="002849F1">
        <w:rPr>
          <w:rFonts w:ascii="Times New Roman" w:hAnsi="Times New Roman"/>
        </w:rPr>
        <w:t xml:space="preserve">did </w:t>
      </w:r>
      <w:r w:rsidR="00081852" w:rsidRPr="002849F1">
        <w:rPr>
          <w:rFonts w:ascii="Times New Roman" w:hAnsi="Times New Roman"/>
        </w:rPr>
        <w:t xml:space="preserve">not have original jurisdiction as any "matter" </w:t>
      </w:r>
      <w:r w:rsidR="003B5C5F" w:rsidRPr="002849F1">
        <w:rPr>
          <w:rFonts w:ascii="Times New Roman" w:hAnsi="Times New Roman"/>
        </w:rPr>
        <w:t xml:space="preserve">did </w:t>
      </w:r>
      <w:r w:rsidR="00081852" w:rsidRPr="002849F1">
        <w:rPr>
          <w:rFonts w:ascii="Times New Roman" w:hAnsi="Times New Roman"/>
        </w:rPr>
        <w:t xml:space="preserve">not arise under any law made by the </w:t>
      </w:r>
      <w:r w:rsidR="003B5C5F" w:rsidRPr="002849F1">
        <w:rPr>
          <w:rFonts w:ascii="Times New Roman" w:hAnsi="Times New Roman"/>
        </w:rPr>
        <w:t xml:space="preserve">Commonwealth </w:t>
      </w:r>
      <w:r w:rsidR="00081852" w:rsidRPr="002849F1">
        <w:rPr>
          <w:rFonts w:ascii="Times New Roman" w:hAnsi="Times New Roman"/>
        </w:rPr>
        <w:t xml:space="preserve">Parliament within the meaning of s 39B(1A)(c) of the </w:t>
      </w:r>
      <w:r w:rsidR="00081852" w:rsidRPr="002849F1">
        <w:rPr>
          <w:rFonts w:ascii="Times New Roman" w:hAnsi="Times New Roman"/>
          <w:i/>
        </w:rPr>
        <w:t>Judiciary</w:t>
      </w:r>
      <w:r w:rsidR="00EA47F8">
        <w:rPr>
          <w:rFonts w:ascii="Times New Roman" w:hAnsi="Times New Roman"/>
          <w:i/>
        </w:rPr>
        <w:t> </w:t>
      </w:r>
      <w:r w:rsidR="00081852" w:rsidRPr="002849F1">
        <w:rPr>
          <w:rFonts w:ascii="Times New Roman" w:hAnsi="Times New Roman"/>
          <w:i/>
        </w:rPr>
        <w:t>Act</w:t>
      </w:r>
      <w:r w:rsidR="00FB7186" w:rsidRPr="002849F1">
        <w:rPr>
          <w:rFonts w:ascii="Times New Roman" w:hAnsi="Times New Roman"/>
          <w:i/>
        </w:rPr>
        <w:t xml:space="preserve"> 190</w:t>
      </w:r>
      <w:r w:rsidR="00222FE2" w:rsidRPr="002849F1">
        <w:rPr>
          <w:rFonts w:ascii="Times New Roman" w:hAnsi="Times New Roman"/>
          <w:i/>
        </w:rPr>
        <w:t>3</w:t>
      </w:r>
      <w:r w:rsidR="00FB7186" w:rsidRPr="002849F1">
        <w:rPr>
          <w:rFonts w:ascii="Times New Roman" w:hAnsi="Times New Roman"/>
          <w:i/>
        </w:rPr>
        <w:t xml:space="preserve"> </w:t>
      </w:r>
      <w:r w:rsidR="00FB7186" w:rsidRPr="002849F1">
        <w:rPr>
          <w:rFonts w:ascii="Times New Roman" w:hAnsi="Times New Roman"/>
        </w:rPr>
        <w:t>(</w:t>
      </w:r>
      <w:proofErr w:type="spellStart"/>
      <w:r w:rsidR="00FB7186" w:rsidRPr="002849F1">
        <w:rPr>
          <w:rFonts w:ascii="Times New Roman" w:hAnsi="Times New Roman"/>
        </w:rPr>
        <w:t>Cth</w:t>
      </w:r>
      <w:proofErr w:type="spellEnd"/>
      <w:r w:rsidR="00FB7186" w:rsidRPr="002849F1">
        <w:rPr>
          <w:rFonts w:ascii="Times New Roman" w:hAnsi="Times New Roman"/>
        </w:rPr>
        <w:t>)</w:t>
      </w:r>
      <w:r w:rsidR="00081852" w:rsidRPr="002849F1">
        <w:rPr>
          <w:rFonts w:ascii="Times New Roman" w:hAnsi="Times New Roman"/>
        </w:rPr>
        <w:t>; or</w:t>
      </w:r>
      <w:r w:rsidR="00876075" w:rsidRPr="002849F1">
        <w:rPr>
          <w:rFonts w:ascii="Times New Roman" w:hAnsi="Times New Roman"/>
        </w:rPr>
        <w:t xml:space="preserve"> </w:t>
      </w:r>
      <w:r w:rsidR="00FB7186" w:rsidRPr="002849F1">
        <w:rPr>
          <w:rFonts w:ascii="Times New Roman" w:hAnsi="Times New Roman"/>
        </w:rPr>
        <w:t>(3)</w:t>
      </w:r>
      <w:r w:rsidR="00876075" w:rsidRPr="002849F1">
        <w:rPr>
          <w:rFonts w:ascii="Times New Roman" w:hAnsi="Times New Roman"/>
        </w:rPr>
        <w:t xml:space="preserve"> </w:t>
      </w:r>
      <w:r w:rsidR="00081852" w:rsidRPr="002849F1">
        <w:rPr>
          <w:rFonts w:ascii="Times New Roman" w:hAnsi="Times New Roman"/>
        </w:rPr>
        <w:t xml:space="preserve">the </w:t>
      </w:r>
      <w:r w:rsidR="00876075" w:rsidRPr="002849F1">
        <w:rPr>
          <w:rFonts w:ascii="Times New Roman" w:hAnsi="Times New Roman"/>
        </w:rPr>
        <w:t xml:space="preserve">Federal </w:t>
      </w:r>
      <w:r w:rsidR="00081852" w:rsidRPr="002849F1">
        <w:rPr>
          <w:rFonts w:ascii="Times New Roman" w:hAnsi="Times New Roman"/>
        </w:rPr>
        <w:t>Court should decline to exercise its discretion to grant the relief sought by the Councils.</w:t>
      </w:r>
      <w:r w:rsidR="002E6C93" w:rsidRPr="002849F1">
        <w:rPr>
          <w:rFonts w:ascii="Times New Roman" w:hAnsi="Times New Roman"/>
        </w:rPr>
        <w:t xml:space="preserve"> </w:t>
      </w:r>
      <w:r w:rsidR="00081852" w:rsidRPr="002849F1">
        <w:rPr>
          <w:rFonts w:ascii="Times New Roman" w:hAnsi="Times New Roman"/>
        </w:rPr>
        <w:t xml:space="preserve">The Full Court unanimously allowed the </w:t>
      </w:r>
      <w:r w:rsidR="00B976E1" w:rsidRPr="002849F1">
        <w:rPr>
          <w:rFonts w:ascii="Times New Roman" w:hAnsi="Times New Roman"/>
        </w:rPr>
        <w:t xml:space="preserve">Councils' </w:t>
      </w:r>
      <w:r w:rsidR="00081852" w:rsidRPr="002849F1">
        <w:rPr>
          <w:rFonts w:ascii="Times New Roman" w:hAnsi="Times New Roman"/>
        </w:rPr>
        <w:t>appeals, dismissed</w:t>
      </w:r>
      <w:r w:rsidR="00E2599A" w:rsidRPr="002849F1">
        <w:rPr>
          <w:rFonts w:ascii="Times New Roman" w:hAnsi="Times New Roman"/>
        </w:rPr>
        <w:t> </w:t>
      </w:r>
      <w:r w:rsidR="00081852" w:rsidRPr="002849F1">
        <w:rPr>
          <w:rFonts w:ascii="Times New Roman" w:hAnsi="Times New Roman"/>
        </w:rPr>
        <w:t>the Lessees' notices of contention and remitted the proceedings to the primary judge to determine whether the Councils should be granted the declaratory relief sought.</w:t>
      </w:r>
      <w:r w:rsidR="002E6C93" w:rsidRPr="002849F1">
        <w:rPr>
          <w:rFonts w:ascii="Times New Roman" w:hAnsi="Times New Roman"/>
        </w:rPr>
        <w:t xml:space="preserve"> </w:t>
      </w:r>
    </w:p>
    <w:p w14:paraId="54D2147B" w14:textId="2269E164" w:rsidR="00743DAD" w:rsidRPr="002849F1" w:rsidRDefault="00FB7186"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876075" w:rsidRPr="002849F1">
        <w:rPr>
          <w:rFonts w:ascii="Times New Roman" w:hAnsi="Times New Roman"/>
        </w:rPr>
        <w:t>By grant of special leave, the Lessees appealed to this Court</w:t>
      </w:r>
      <w:r w:rsidR="00524969" w:rsidRPr="002849F1">
        <w:rPr>
          <w:rFonts w:ascii="Times New Roman" w:hAnsi="Times New Roman"/>
        </w:rPr>
        <w:t>.</w:t>
      </w:r>
      <w:r w:rsidR="002E6C93" w:rsidRPr="002849F1">
        <w:rPr>
          <w:rFonts w:ascii="Times New Roman" w:hAnsi="Times New Roman"/>
        </w:rPr>
        <w:t xml:space="preserve"> </w:t>
      </w:r>
      <w:r w:rsidR="00136B6B" w:rsidRPr="002849F1">
        <w:rPr>
          <w:rFonts w:ascii="Times New Roman" w:hAnsi="Times New Roman"/>
        </w:rPr>
        <w:t xml:space="preserve">Each </w:t>
      </w:r>
      <w:r w:rsidR="00E21A67" w:rsidRPr="002849F1">
        <w:rPr>
          <w:rFonts w:ascii="Times New Roman" w:hAnsi="Times New Roman"/>
        </w:rPr>
        <w:t xml:space="preserve">of the </w:t>
      </w:r>
      <w:r w:rsidR="00136B6B" w:rsidRPr="002849F1">
        <w:rPr>
          <w:rFonts w:ascii="Times New Roman" w:hAnsi="Times New Roman"/>
        </w:rPr>
        <w:t>Lessee</w:t>
      </w:r>
      <w:r w:rsidR="00E21A67" w:rsidRPr="002849F1">
        <w:rPr>
          <w:rFonts w:ascii="Times New Roman" w:hAnsi="Times New Roman"/>
        </w:rPr>
        <w:t>s</w:t>
      </w:r>
      <w:r w:rsidR="00136B6B" w:rsidRPr="002849F1">
        <w:rPr>
          <w:rFonts w:ascii="Times New Roman" w:hAnsi="Times New Roman"/>
        </w:rPr>
        <w:t xml:space="preserve"> </w:t>
      </w:r>
      <w:r w:rsidR="005664A3" w:rsidRPr="002849F1">
        <w:rPr>
          <w:rFonts w:ascii="Times New Roman" w:hAnsi="Times New Roman"/>
        </w:rPr>
        <w:t>contend</w:t>
      </w:r>
      <w:r w:rsidR="00D54856" w:rsidRPr="002849F1">
        <w:rPr>
          <w:rFonts w:ascii="Times New Roman" w:hAnsi="Times New Roman"/>
        </w:rPr>
        <w:t>ed</w:t>
      </w:r>
      <w:r w:rsidR="005664A3" w:rsidRPr="002849F1">
        <w:rPr>
          <w:rFonts w:ascii="Times New Roman" w:hAnsi="Times New Roman"/>
        </w:rPr>
        <w:t xml:space="preserve"> that the proceeding to which it is a party does not involve a </w:t>
      </w:r>
      <w:r w:rsidR="00E56A1B" w:rsidRPr="002849F1">
        <w:rPr>
          <w:rFonts w:ascii="Times New Roman" w:hAnsi="Times New Roman"/>
        </w:rPr>
        <w:t>"</w:t>
      </w:r>
      <w:r w:rsidR="005664A3" w:rsidRPr="002849F1">
        <w:rPr>
          <w:rFonts w:ascii="Times New Roman" w:hAnsi="Times New Roman"/>
        </w:rPr>
        <w:t>matter</w:t>
      </w:r>
      <w:r w:rsidR="00E56A1B" w:rsidRPr="002849F1">
        <w:rPr>
          <w:rFonts w:ascii="Times New Roman" w:hAnsi="Times New Roman"/>
        </w:rPr>
        <w:t xml:space="preserve">" for the purposes of Ch III of the </w:t>
      </w:r>
      <w:r w:rsidR="00E56A1B" w:rsidRPr="002849F1">
        <w:rPr>
          <w:rFonts w:ascii="Times New Roman" w:hAnsi="Times New Roman"/>
          <w:i/>
        </w:rPr>
        <w:t>Constitution</w:t>
      </w:r>
      <w:r w:rsidR="005664A3" w:rsidRPr="002849F1">
        <w:rPr>
          <w:rFonts w:ascii="Times New Roman" w:hAnsi="Times New Roman"/>
        </w:rPr>
        <w:t xml:space="preserve"> </w:t>
      </w:r>
      <w:r w:rsidR="00E30441" w:rsidRPr="002849F1">
        <w:rPr>
          <w:rFonts w:ascii="Times New Roman" w:hAnsi="Times New Roman"/>
        </w:rPr>
        <w:t>as there is no justiciable controversy to be quelled</w:t>
      </w:r>
      <w:r w:rsidR="00395A23" w:rsidRPr="002849F1">
        <w:rPr>
          <w:rFonts w:ascii="Times New Roman" w:hAnsi="Times New Roman"/>
          <w:b/>
        </w:rPr>
        <w:t xml:space="preserve"> </w:t>
      </w:r>
      <w:r w:rsidR="00E30441" w:rsidRPr="002849F1">
        <w:rPr>
          <w:rFonts w:ascii="Times New Roman" w:hAnsi="Times New Roman"/>
        </w:rPr>
        <w:t xml:space="preserve">and the only rights, duties </w:t>
      </w:r>
      <w:r w:rsidR="0023421A" w:rsidRPr="002849F1">
        <w:rPr>
          <w:rFonts w:ascii="Times New Roman" w:hAnsi="Times New Roman"/>
        </w:rPr>
        <w:t>or liabilities to be established are the contractual rights, duties or liabilities</w:t>
      </w:r>
      <w:r w:rsidR="00423DF9" w:rsidRPr="002849F1">
        <w:rPr>
          <w:rFonts w:ascii="Times New Roman" w:hAnsi="Times New Roman"/>
        </w:rPr>
        <w:t xml:space="preserve"> of two contracting parties </w:t>
      </w:r>
      <w:r w:rsidR="00423DF9" w:rsidRPr="002849F1">
        <w:rPr>
          <w:rFonts w:ascii="Times New Roman" w:hAnsi="Times New Roman"/>
          <w:iCs/>
        </w:rPr>
        <w:t>inter</w:t>
      </w:r>
      <w:r w:rsidR="00B76040" w:rsidRPr="002849F1">
        <w:rPr>
          <w:rFonts w:ascii="Times New Roman" w:hAnsi="Times New Roman"/>
          <w:iCs/>
        </w:rPr>
        <w:t> </w:t>
      </w:r>
      <w:r w:rsidR="00423DF9" w:rsidRPr="002849F1">
        <w:rPr>
          <w:rFonts w:ascii="Times New Roman" w:hAnsi="Times New Roman"/>
          <w:iCs/>
        </w:rPr>
        <w:t>se</w:t>
      </w:r>
      <w:r w:rsidR="00423DF9" w:rsidRPr="002849F1">
        <w:rPr>
          <w:rFonts w:ascii="Times New Roman" w:hAnsi="Times New Roman"/>
        </w:rPr>
        <w:t xml:space="preserve"> between whom there is no dispute about the meaning or effect of the </w:t>
      </w:r>
      <w:r w:rsidR="00E80545" w:rsidRPr="002849F1">
        <w:rPr>
          <w:rFonts w:ascii="Times New Roman" w:hAnsi="Times New Roman"/>
        </w:rPr>
        <w:t>relevant lease</w:t>
      </w:r>
      <w:r w:rsidR="00507B7C" w:rsidRPr="002849F1">
        <w:rPr>
          <w:rFonts w:ascii="Times New Roman" w:hAnsi="Times New Roman"/>
        </w:rPr>
        <w:t>.</w:t>
      </w:r>
      <w:r w:rsidR="002E6C93" w:rsidRPr="002849F1">
        <w:rPr>
          <w:rFonts w:ascii="Times New Roman" w:hAnsi="Times New Roman"/>
        </w:rPr>
        <w:t xml:space="preserve"> </w:t>
      </w:r>
      <w:r w:rsidR="00F11BC2" w:rsidRPr="002849F1">
        <w:rPr>
          <w:rFonts w:ascii="Times New Roman" w:hAnsi="Times New Roman"/>
        </w:rPr>
        <w:t xml:space="preserve">The Lessees also </w:t>
      </w:r>
      <w:r w:rsidR="00494BD9" w:rsidRPr="002849F1">
        <w:rPr>
          <w:rFonts w:ascii="Times New Roman" w:hAnsi="Times New Roman"/>
        </w:rPr>
        <w:t>contended</w:t>
      </w:r>
      <w:r w:rsidR="00F11BC2" w:rsidRPr="002849F1">
        <w:rPr>
          <w:rFonts w:ascii="Times New Roman" w:hAnsi="Times New Roman"/>
        </w:rPr>
        <w:t xml:space="preserve"> that the doctrine of privity of contract prevented the Councils from seeking declaratory relief regarding the interpretation or application of the Leases and that </w:t>
      </w:r>
      <w:r w:rsidR="00436D84" w:rsidRPr="002849F1">
        <w:rPr>
          <w:rFonts w:ascii="Times New Roman" w:hAnsi="Times New Roman"/>
        </w:rPr>
        <w:t>the Councils lacked standing.</w:t>
      </w:r>
    </w:p>
    <w:p w14:paraId="30351D46" w14:textId="6045E90F" w:rsidR="00863173" w:rsidRPr="002849F1" w:rsidRDefault="00863173" w:rsidP="002849F1">
      <w:pPr>
        <w:pStyle w:val="FixListStyle"/>
        <w:spacing w:after="260" w:line="280" w:lineRule="exact"/>
        <w:ind w:right="0"/>
        <w:jc w:val="both"/>
        <w:rPr>
          <w:rFonts w:ascii="Times New Roman" w:hAnsi="Times New Roman"/>
        </w:rPr>
      </w:pPr>
      <w:r w:rsidRPr="002849F1">
        <w:rPr>
          <w:rFonts w:ascii="Times New Roman" w:hAnsi="Times New Roman"/>
        </w:rPr>
        <w:tab/>
        <w:t xml:space="preserve">The Councils filed notices of contention </w:t>
      </w:r>
      <w:r w:rsidR="00F43014" w:rsidRPr="002849F1">
        <w:rPr>
          <w:rFonts w:ascii="Times New Roman" w:hAnsi="Times New Roman"/>
        </w:rPr>
        <w:t>contending</w:t>
      </w:r>
      <w:r w:rsidR="00D40493" w:rsidRPr="002849F1">
        <w:rPr>
          <w:rFonts w:ascii="Times New Roman" w:hAnsi="Times New Roman"/>
        </w:rPr>
        <w:t xml:space="preserve"> that</w:t>
      </w:r>
      <w:r w:rsidR="00A85BE7" w:rsidRPr="002849F1">
        <w:rPr>
          <w:rFonts w:ascii="Times New Roman" w:hAnsi="Times New Roman"/>
        </w:rPr>
        <w:t xml:space="preserve"> if the doctrine of privity of contract </w:t>
      </w:r>
      <w:r w:rsidR="00F82263" w:rsidRPr="002849F1">
        <w:rPr>
          <w:rFonts w:ascii="Times New Roman" w:hAnsi="Times New Roman"/>
        </w:rPr>
        <w:t>ordinarily</w:t>
      </w:r>
      <w:r w:rsidR="00A85BE7" w:rsidRPr="002849F1">
        <w:rPr>
          <w:rFonts w:ascii="Times New Roman" w:hAnsi="Times New Roman"/>
        </w:rPr>
        <w:t xml:space="preserve"> </w:t>
      </w:r>
      <w:r w:rsidR="00F82263" w:rsidRPr="002849F1">
        <w:rPr>
          <w:rFonts w:ascii="Times New Roman" w:hAnsi="Times New Roman"/>
        </w:rPr>
        <w:t xml:space="preserve">prevents a third party from </w:t>
      </w:r>
      <w:r w:rsidR="00A85BE7" w:rsidRPr="002849F1">
        <w:rPr>
          <w:rFonts w:ascii="Times New Roman" w:hAnsi="Times New Roman"/>
        </w:rPr>
        <w:t>seeking declaratory relief</w:t>
      </w:r>
      <w:r w:rsidR="00F82263" w:rsidRPr="002849F1">
        <w:rPr>
          <w:rFonts w:ascii="Times New Roman" w:hAnsi="Times New Roman"/>
        </w:rPr>
        <w:t xml:space="preserve"> about the meaning or effect of a contract</w:t>
      </w:r>
      <w:r w:rsidR="00A85BE7" w:rsidRPr="002849F1">
        <w:rPr>
          <w:rFonts w:ascii="Times New Roman" w:hAnsi="Times New Roman"/>
        </w:rPr>
        <w:t xml:space="preserve">, </w:t>
      </w:r>
      <w:r w:rsidR="00CC4931" w:rsidRPr="002849F1">
        <w:rPr>
          <w:rFonts w:ascii="Times New Roman" w:hAnsi="Times New Roman"/>
        </w:rPr>
        <w:t>then this case i</w:t>
      </w:r>
      <w:r w:rsidR="001557AB" w:rsidRPr="002849F1">
        <w:rPr>
          <w:rFonts w:ascii="Times New Roman" w:hAnsi="Times New Roman"/>
        </w:rPr>
        <w:t>nvolves "exceptional</w:t>
      </w:r>
      <w:r w:rsidR="00EA47F8">
        <w:rPr>
          <w:rFonts w:ascii="Times New Roman" w:hAnsi="Times New Roman"/>
        </w:rPr>
        <w:t> </w:t>
      </w:r>
      <w:r w:rsidR="001557AB" w:rsidRPr="002849F1">
        <w:rPr>
          <w:rFonts w:ascii="Times New Roman" w:hAnsi="Times New Roman"/>
        </w:rPr>
        <w:t xml:space="preserve">circumstances" </w:t>
      </w:r>
      <w:r w:rsidR="003F3FB6" w:rsidRPr="002849F1">
        <w:rPr>
          <w:rFonts w:ascii="Times New Roman" w:hAnsi="Times New Roman"/>
        </w:rPr>
        <w:t>sufficient to establish standing</w:t>
      </w:r>
      <w:r w:rsidR="002B39BC" w:rsidRPr="002849F1">
        <w:rPr>
          <w:rFonts w:ascii="Times New Roman" w:hAnsi="Times New Roman"/>
        </w:rPr>
        <w:t xml:space="preserve"> or the Court should confine the doctrine so that it does not deny standing where the third party is a participant</w:t>
      </w:r>
      <w:r w:rsidR="001A7022" w:rsidRPr="002849F1">
        <w:rPr>
          <w:rFonts w:ascii="Times New Roman" w:hAnsi="Times New Roman"/>
        </w:rPr>
        <w:t xml:space="preserve"> in respect of the contract</w:t>
      </w:r>
      <w:r w:rsidR="00CC4931" w:rsidRPr="002849F1">
        <w:rPr>
          <w:rFonts w:ascii="Times New Roman" w:hAnsi="Times New Roman"/>
        </w:rPr>
        <w:t>.</w:t>
      </w:r>
      <w:r w:rsidR="002E6C93" w:rsidRPr="002849F1">
        <w:rPr>
          <w:rFonts w:ascii="Times New Roman" w:hAnsi="Times New Roman"/>
        </w:rPr>
        <w:t xml:space="preserve"> </w:t>
      </w:r>
    </w:p>
    <w:p w14:paraId="42E71B53" w14:textId="1142B8EA" w:rsidR="00272119" w:rsidRPr="002849F1" w:rsidRDefault="00544678" w:rsidP="002849F1">
      <w:pPr>
        <w:pStyle w:val="HeadingL1"/>
        <w:spacing w:after="260" w:line="280" w:lineRule="exact"/>
        <w:ind w:right="0"/>
        <w:jc w:val="both"/>
        <w:rPr>
          <w:rFonts w:ascii="Times New Roman" w:hAnsi="Times New Roman"/>
        </w:rPr>
      </w:pPr>
      <w:r w:rsidRPr="002849F1">
        <w:rPr>
          <w:rFonts w:ascii="Times New Roman" w:hAnsi="Times New Roman"/>
        </w:rPr>
        <w:t>Issue</w:t>
      </w:r>
      <w:r w:rsidR="007A6E21" w:rsidRPr="002849F1">
        <w:rPr>
          <w:rFonts w:ascii="Times New Roman" w:hAnsi="Times New Roman"/>
        </w:rPr>
        <w:t xml:space="preserve"> </w:t>
      </w:r>
    </w:p>
    <w:p w14:paraId="47BC9165" w14:textId="5BFBB17E" w:rsidR="00544678" w:rsidRPr="002849F1" w:rsidRDefault="00F03AC8"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544678" w:rsidRPr="002849F1">
        <w:rPr>
          <w:rFonts w:ascii="Times New Roman" w:hAnsi="Times New Roman"/>
        </w:rPr>
        <w:t>The dispute sought to be agitated by the Councils</w:t>
      </w:r>
      <w:r w:rsidR="00DD580B" w:rsidRPr="002849F1">
        <w:rPr>
          <w:rFonts w:ascii="Times New Roman" w:hAnsi="Times New Roman"/>
        </w:rPr>
        <w:t>,</w:t>
      </w:r>
      <w:r w:rsidR="00544678" w:rsidRPr="002849F1">
        <w:rPr>
          <w:rFonts w:ascii="Times New Roman" w:hAnsi="Times New Roman"/>
        </w:rPr>
        <w:t xml:space="preserve"> </w:t>
      </w:r>
      <w:r w:rsidR="001B3E6E" w:rsidRPr="002849F1">
        <w:rPr>
          <w:rFonts w:ascii="Times New Roman" w:hAnsi="Times New Roman"/>
        </w:rPr>
        <w:t>which was the subject of the declaratory relief sought by the Councils</w:t>
      </w:r>
      <w:r w:rsidR="00DD580B" w:rsidRPr="002849F1">
        <w:rPr>
          <w:rFonts w:ascii="Times New Roman" w:hAnsi="Times New Roman"/>
        </w:rPr>
        <w:t>,</w:t>
      </w:r>
      <w:r w:rsidR="00544678" w:rsidRPr="002849F1">
        <w:rPr>
          <w:rFonts w:ascii="Times New Roman" w:hAnsi="Times New Roman"/>
        </w:rPr>
        <w:t xml:space="preserve"> </w:t>
      </w:r>
      <w:r w:rsidR="005E1236" w:rsidRPr="002849F1">
        <w:rPr>
          <w:rFonts w:ascii="Times New Roman" w:hAnsi="Times New Roman"/>
        </w:rPr>
        <w:t xml:space="preserve">concerned </w:t>
      </w:r>
      <w:r w:rsidR="00544678" w:rsidRPr="002849F1">
        <w:rPr>
          <w:rFonts w:ascii="Times New Roman" w:hAnsi="Times New Roman"/>
        </w:rPr>
        <w:t xml:space="preserve">the meaning of a contractual term </w:t>
      </w:r>
      <w:r w:rsidR="00E2599A" w:rsidRPr="002849F1">
        <w:rPr>
          <w:rFonts w:ascii="Times New Roman" w:hAnsi="Times New Roman"/>
        </w:rPr>
        <w:t>–</w:t>
      </w:r>
      <w:r w:rsidR="00544678" w:rsidRPr="002849F1">
        <w:rPr>
          <w:rFonts w:ascii="Times New Roman" w:hAnsi="Times New Roman"/>
        </w:rPr>
        <w:t xml:space="preserve"> cl 26.2(a) of the Leases </w:t>
      </w:r>
      <w:r w:rsidR="00E2599A" w:rsidRPr="002849F1">
        <w:rPr>
          <w:rFonts w:ascii="Times New Roman" w:hAnsi="Times New Roman"/>
        </w:rPr>
        <w:t>–</w:t>
      </w:r>
      <w:r w:rsidR="00544678" w:rsidRPr="002849F1">
        <w:rPr>
          <w:rFonts w:ascii="Times New Roman" w:hAnsi="Times New Roman"/>
        </w:rPr>
        <w:t xml:space="preserve"> and</w:t>
      </w:r>
      <w:r w:rsidR="00A761A9" w:rsidRPr="002849F1">
        <w:rPr>
          <w:rFonts w:ascii="Times New Roman" w:hAnsi="Times New Roman"/>
        </w:rPr>
        <w:t>,</w:t>
      </w:r>
      <w:r w:rsidR="00544678" w:rsidRPr="002849F1">
        <w:rPr>
          <w:rFonts w:ascii="Times New Roman" w:hAnsi="Times New Roman"/>
        </w:rPr>
        <w:t xml:space="preserve"> specifically, the </w:t>
      </w:r>
      <w:r w:rsidR="005E1236" w:rsidRPr="002849F1">
        <w:rPr>
          <w:rFonts w:ascii="Times New Roman" w:hAnsi="Times New Roman"/>
        </w:rPr>
        <w:t xml:space="preserve">meaning of the </w:t>
      </w:r>
      <w:r w:rsidR="00544678" w:rsidRPr="002849F1">
        <w:rPr>
          <w:rFonts w:ascii="Times New Roman" w:hAnsi="Times New Roman"/>
        </w:rPr>
        <w:t>phrase "trading or financial operations"</w:t>
      </w:r>
      <w:r w:rsidR="00DD229C" w:rsidRPr="002849F1">
        <w:rPr>
          <w:rFonts w:ascii="Times New Roman" w:hAnsi="Times New Roman"/>
        </w:rPr>
        <w:t xml:space="preserve"> ("the</w:t>
      </w:r>
      <w:r w:rsidR="00956C95" w:rsidRPr="002849F1">
        <w:rPr>
          <w:rFonts w:ascii="Times New Roman" w:hAnsi="Times New Roman"/>
        </w:rPr>
        <w:t> </w:t>
      </w:r>
      <w:r w:rsidR="00DD229C" w:rsidRPr="002849F1">
        <w:rPr>
          <w:rFonts w:ascii="Times New Roman" w:hAnsi="Times New Roman"/>
        </w:rPr>
        <w:t>dispute")</w:t>
      </w:r>
      <w:r w:rsidR="00544678" w:rsidRPr="002849F1">
        <w:rPr>
          <w:rFonts w:ascii="Times New Roman" w:hAnsi="Times New Roman"/>
        </w:rPr>
        <w:t>.</w:t>
      </w:r>
      <w:r w:rsidR="002E6C93" w:rsidRPr="002849F1">
        <w:rPr>
          <w:rFonts w:ascii="Times New Roman" w:hAnsi="Times New Roman"/>
        </w:rPr>
        <w:t xml:space="preserve"> </w:t>
      </w:r>
      <w:r w:rsidR="00544678" w:rsidRPr="002849F1">
        <w:rPr>
          <w:rFonts w:ascii="Times New Roman" w:hAnsi="Times New Roman"/>
        </w:rPr>
        <w:t>The rights, duties and liabilities of the Commonwealth and the Lessees under cl 26.2(a) of the Leases lay at the heart of the dispute</w:t>
      </w:r>
      <w:r w:rsidR="00544678" w:rsidRPr="002849F1">
        <w:rPr>
          <w:rStyle w:val="FootnoteReference"/>
          <w:rFonts w:ascii="Times New Roman" w:hAnsi="Times New Roman"/>
          <w:sz w:val="24"/>
        </w:rPr>
        <w:footnoteReference w:id="22"/>
      </w:r>
      <w:r w:rsidR="00544678" w:rsidRPr="002849F1">
        <w:rPr>
          <w:rFonts w:ascii="Times New Roman" w:hAnsi="Times New Roman"/>
        </w:rPr>
        <w:t>.</w:t>
      </w:r>
      <w:r w:rsidR="002E6C93" w:rsidRPr="002849F1">
        <w:rPr>
          <w:rFonts w:ascii="Times New Roman" w:hAnsi="Times New Roman"/>
        </w:rPr>
        <w:t xml:space="preserve"> </w:t>
      </w:r>
      <w:r w:rsidR="00D921BD" w:rsidRPr="002849F1">
        <w:rPr>
          <w:rFonts w:ascii="Times New Roman" w:hAnsi="Times New Roman"/>
        </w:rPr>
        <w:t>Although</w:t>
      </w:r>
      <w:r w:rsidR="006F41B3" w:rsidRPr="002849F1">
        <w:rPr>
          <w:rFonts w:ascii="Times New Roman" w:hAnsi="Times New Roman"/>
        </w:rPr>
        <w:t> </w:t>
      </w:r>
      <w:r w:rsidR="009E3AF4" w:rsidRPr="002849F1">
        <w:rPr>
          <w:rFonts w:ascii="Times New Roman" w:hAnsi="Times New Roman"/>
        </w:rPr>
        <w:t>the</w:t>
      </w:r>
      <w:r w:rsidR="00F33E09" w:rsidRPr="002849F1">
        <w:rPr>
          <w:rFonts w:ascii="Times New Roman" w:hAnsi="Times New Roman"/>
        </w:rPr>
        <w:t xml:space="preserve"> rights</w:t>
      </w:r>
      <w:r w:rsidR="00994827" w:rsidRPr="002849F1">
        <w:rPr>
          <w:rFonts w:ascii="Times New Roman" w:hAnsi="Times New Roman"/>
        </w:rPr>
        <w:t>,</w:t>
      </w:r>
      <w:r w:rsidR="00F33E09" w:rsidRPr="002849F1">
        <w:rPr>
          <w:rFonts w:ascii="Times New Roman" w:hAnsi="Times New Roman"/>
        </w:rPr>
        <w:t xml:space="preserve"> duties and liabilities </w:t>
      </w:r>
      <w:r w:rsidR="00994827" w:rsidRPr="002849F1">
        <w:rPr>
          <w:rFonts w:ascii="Times New Roman" w:hAnsi="Times New Roman"/>
        </w:rPr>
        <w:t>in issue</w:t>
      </w:r>
      <w:r w:rsidR="009E3AF4" w:rsidRPr="002849F1">
        <w:rPr>
          <w:rFonts w:ascii="Times New Roman" w:hAnsi="Times New Roman"/>
        </w:rPr>
        <w:t xml:space="preserve"> </w:t>
      </w:r>
      <w:r w:rsidR="006459C4" w:rsidRPr="002849F1">
        <w:rPr>
          <w:rFonts w:ascii="Times New Roman" w:hAnsi="Times New Roman"/>
        </w:rPr>
        <w:t>might</w:t>
      </w:r>
      <w:r w:rsidR="00805175" w:rsidRPr="002849F1">
        <w:rPr>
          <w:rFonts w:ascii="Times New Roman" w:hAnsi="Times New Roman"/>
        </w:rPr>
        <w:t xml:space="preserve"> be described as having a "public" dimension or complexion</w:t>
      </w:r>
      <w:r w:rsidR="00994827" w:rsidRPr="002849F1">
        <w:rPr>
          <w:rFonts w:ascii="Times New Roman" w:hAnsi="Times New Roman"/>
        </w:rPr>
        <w:t xml:space="preserve"> at least</w:t>
      </w:r>
      <w:r w:rsidR="00805175" w:rsidRPr="002849F1">
        <w:rPr>
          <w:rFonts w:ascii="Times New Roman" w:hAnsi="Times New Roman"/>
        </w:rPr>
        <w:t xml:space="preserve"> insofar as the </w:t>
      </w:r>
      <w:r w:rsidR="00811665" w:rsidRPr="002849F1">
        <w:rPr>
          <w:rFonts w:ascii="Times New Roman" w:hAnsi="Times New Roman"/>
        </w:rPr>
        <w:lastRenderedPageBreak/>
        <w:t>L</w:t>
      </w:r>
      <w:r w:rsidR="00805175" w:rsidRPr="002849F1">
        <w:rPr>
          <w:rFonts w:ascii="Times New Roman" w:hAnsi="Times New Roman"/>
        </w:rPr>
        <w:t xml:space="preserve">eases were granted pursuant to statute and cl 26.2(a) gave effect to a governmental policy, </w:t>
      </w:r>
      <w:r w:rsidR="006F41B3" w:rsidRPr="002849F1">
        <w:rPr>
          <w:rFonts w:ascii="Times New Roman" w:hAnsi="Times New Roman"/>
        </w:rPr>
        <w:t>they are nonetheless</w:t>
      </w:r>
      <w:r w:rsidR="009E3AF4" w:rsidRPr="002849F1">
        <w:rPr>
          <w:rFonts w:ascii="Times New Roman" w:hAnsi="Times New Roman"/>
        </w:rPr>
        <w:t xml:space="preserve"> private law rights, duties and liabilities</w:t>
      </w:r>
      <w:r w:rsidR="009E056D" w:rsidRPr="002849F1">
        <w:rPr>
          <w:rFonts w:ascii="Times New Roman" w:hAnsi="Times New Roman"/>
        </w:rPr>
        <w:t>.</w:t>
      </w:r>
      <w:r w:rsidR="00632C53" w:rsidRPr="002849F1">
        <w:rPr>
          <w:rFonts w:ascii="Times New Roman" w:hAnsi="Times New Roman"/>
        </w:rPr>
        <w:t xml:space="preserve"> </w:t>
      </w:r>
    </w:p>
    <w:p w14:paraId="6210B584" w14:textId="27F137AC" w:rsidR="00C31B11" w:rsidRPr="002849F1" w:rsidRDefault="00544678"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E7438" w:rsidRPr="002849F1">
        <w:rPr>
          <w:rFonts w:ascii="Times New Roman" w:hAnsi="Times New Roman"/>
        </w:rPr>
        <w:t xml:space="preserve">The question </w:t>
      </w:r>
      <w:r w:rsidR="002714C8" w:rsidRPr="002849F1">
        <w:rPr>
          <w:rFonts w:ascii="Times New Roman" w:hAnsi="Times New Roman"/>
        </w:rPr>
        <w:t xml:space="preserve">in these appeals </w:t>
      </w:r>
      <w:r w:rsidR="00BE7438" w:rsidRPr="002849F1">
        <w:rPr>
          <w:rFonts w:ascii="Times New Roman" w:hAnsi="Times New Roman"/>
        </w:rPr>
        <w:t>is whether th</w:t>
      </w:r>
      <w:r w:rsidR="008627EF" w:rsidRPr="002849F1">
        <w:rPr>
          <w:rFonts w:ascii="Times New Roman" w:hAnsi="Times New Roman"/>
        </w:rPr>
        <w:t>e</w:t>
      </w:r>
      <w:r w:rsidR="00BE7438" w:rsidRPr="002849F1">
        <w:rPr>
          <w:rFonts w:ascii="Times New Roman" w:hAnsi="Times New Roman"/>
        </w:rPr>
        <w:t xml:space="preserve"> dispute </w:t>
      </w:r>
      <w:r w:rsidR="00E1661C" w:rsidRPr="002849F1">
        <w:rPr>
          <w:rFonts w:ascii="Times New Roman" w:hAnsi="Times New Roman"/>
        </w:rPr>
        <w:t xml:space="preserve">involves </w:t>
      </w:r>
      <w:r w:rsidR="00BE7438" w:rsidRPr="002849F1">
        <w:rPr>
          <w:rFonts w:ascii="Times New Roman" w:hAnsi="Times New Roman"/>
        </w:rPr>
        <w:t xml:space="preserve">a </w:t>
      </w:r>
      <w:r w:rsidR="00803C90" w:rsidRPr="002849F1">
        <w:rPr>
          <w:rFonts w:ascii="Times New Roman" w:hAnsi="Times New Roman"/>
        </w:rPr>
        <w:t>"</w:t>
      </w:r>
      <w:r w:rsidR="00687D1B" w:rsidRPr="002849F1">
        <w:rPr>
          <w:rFonts w:ascii="Times New Roman" w:hAnsi="Times New Roman"/>
        </w:rPr>
        <w:t>matter</w:t>
      </w:r>
      <w:r w:rsidR="00803C90" w:rsidRPr="002849F1">
        <w:rPr>
          <w:rFonts w:ascii="Times New Roman" w:hAnsi="Times New Roman"/>
        </w:rPr>
        <w:t>"</w:t>
      </w:r>
      <w:r w:rsidR="005008C1" w:rsidRPr="002849F1">
        <w:rPr>
          <w:rFonts w:ascii="Times New Roman" w:hAnsi="Times New Roman"/>
        </w:rPr>
        <w:t xml:space="preserve"> </w:t>
      </w:r>
      <w:r w:rsidR="009A2B68" w:rsidRPr="002849F1">
        <w:rPr>
          <w:rFonts w:ascii="Times New Roman" w:hAnsi="Times New Roman"/>
        </w:rPr>
        <w:t>for</w:t>
      </w:r>
      <w:r w:rsidR="00512462">
        <w:rPr>
          <w:rFonts w:ascii="Times New Roman" w:hAnsi="Times New Roman"/>
        </w:rPr>
        <w:t> </w:t>
      </w:r>
      <w:r w:rsidR="009A2B68" w:rsidRPr="002849F1">
        <w:rPr>
          <w:rFonts w:ascii="Times New Roman" w:hAnsi="Times New Roman"/>
        </w:rPr>
        <w:t xml:space="preserve">the purposes of Ch III of the </w:t>
      </w:r>
      <w:r w:rsidR="009A2B68" w:rsidRPr="002849F1">
        <w:rPr>
          <w:rFonts w:ascii="Times New Roman" w:hAnsi="Times New Roman"/>
          <w:i/>
        </w:rPr>
        <w:t>Constitution</w:t>
      </w:r>
      <w:r w:rsidR="009A2B68" w:rsidRPr="002849F1">
        <w:rPr>
          <w:rFonts w:ascii="Times New Roman" w:hAnsi="Times New Roman"/>
        </w:rPr>
        <w:t xml:space="preserve"> </w:t>
      </w:r>
      <w:r w:rsidR="00EC159A" w:rsidRPr="002849F1">
        <w:rPr>
          <w:rFonts w:ascii="Times New Roman" w:hAnsi="Times New Roman"/>
        </w:rPr>
        <w:t xml:space="preserve">capable of determination by </w:t>
      </w:r>
      <w:r w:rsidR="00D96B1C" w:rsidRPr="002849F1">
        <w:rPr>
          <w:rFonts w:ascii="Times New Roman" w:hAnsi="Times New Roman"/>
        </w:rPr>
        <w:t xml:space="preserve">a </w:t>
      </w:r>
      <w:r w:rsidR="00A11D8F" w:rsidRPr="002849F1">
        <w:rPr>
          <w:rFonts w:ascii="Times New Roman" w:hAnsi="Times New Roman"/>
        </w:rPr>
        <w:t>c</w:t>
      </w:r>
      <w:r w:rsidR="00EC159A" w:rsidRPr="002849F1">
        <w:rPr>
          <w:rFonts w:ascii="Times New Roman" w:hAnsi="Times New Roman"/>
        </w:rPr>
        <w:t>ourt</w:t>
      </w:r>
      <w:r w:rsidR="006D1A88">
        <w:rPr>
          <w:rFonts w:ascii="Times New Roman" w:hAnsi="Times New Roman"/>
        </w:rPr>
        <w:t xml:space="preserve"> </w:t>
      </w:r>
      <w:r w:rsidR="00C953DD" w:rsidRPr="002849F1">
        <w:rPr>
          <w:rFonts w:ascii="Times New Roman" w:hAnsi="Times New Roman"/>
        </w:rPr>
        <w:t>exercising the judicial power of the Commonwealth</w:t>
      </w:r>
      <w:r w:rsidR="009A2B68" w:rsidRPr="002849F1">
        <w:rPr>
          <w:rFonts w:ascii="Times New Roman" w:hAnsi="Times New Roman"/>
        </w:rPr>
        <w:t xml:space="preserve"> </w:t>
      </w:r>
      <w:r w:rsidR="002714C8" w:rsidRPr="002849F1">
        <w:rPr>
          <w:rFonts w:ascii="Times New Roman" w:hAnsi="Times New Roman"/>
        </w:rPr>
        <w:t>when the parties to the Lease</w:t>
      </w:r>
      <w:r w:rsidR="00D87CD5">
        <w:rPr>
          <w:rFonts w:ascii="Times New Roman" w:hAnsi="Times New Roman"/>
        </w:rPr>
        <w:t>s </w:t>
      </w:r>
      <w:r w:rsidR="00783CB3" w:rsidRPr="002849F1">
        <w:rPr>
          <w:rFonts w:ascii="Times New Roman" w:hAnsi="Times New Roman"/>
        </w:rPr>
        <w:t>–</w:t>
      </w:r>
      <w:r w:rsidR="006D1A88">
        <w:rPr>
          <w:rFonts w:ascii="Times New Roman" w:hAnsi="Times New Roman"/>
        </w:rPr>
        <w:t xml:space="preserve"> </w:t>
      </w:r>
      <w:r w:rsidR="002714C8" w:rsidRPr="002849F1">
        <w:rPr>
          <w:rFonts w:ascii="Times New Roman" w:hAnsi="Times New Roman"/>
        </w:rPr>
        <w:t>the</w:t>
      </w:r>
      <w:r w:rsidR="00A9262F" w:rsidRPr="002849F1">
        <w:rPr>
          <w:rFonts w:ascii="Times New Roman" w:hAnsi="Times New Roman"/>
        </w:rPr>
        <w:t> </w:t>
      </w:r>
      <w:r w:rsidR="002714C8" w:rsidRPr="002849F1">
        <w:rPr>
          <w:rFonts w:ascii="Times New Roman" w:hAnsi="Times New Roman"/>
        </w:rPr>
        <w:t xml:space="preserve">Commonwealth and the Lessees </w:t>
      </w:r>
      <w:r w:rsidR="00783CB3" w:rsidRPr="002849F1">
        <w:rPr>
          <w:rFonts w:ascii="Times New Roman" w:hAnsi="Times New Roman"/>
        </w:rPr>
        <w:t>–</w:t>
      </w:r>
      <w:r w:rsidR="00EC159A" w:rsidRPr="002849F1">
        <w:rPr>
          <w:rFonts w:ascii="Times New Roman" w:hAnsi="Times New Roman"/>
        </w:rPr>
        <w:t xml:space="preserve"> are </w:t>
      </w:r>
      <w:r w:rsidR="002714C8" w:rsidRPr="002849F1">
        <w:rPr>
          <w:rFonts w:ascii="Times New Roman" w:hAnsi="Times New Roman"/>
        </w:rPr>
        <w:t>not in dispute about</w:t>
      </w:r>
      <w:r w:rsidR="00EC159A" w:rsidRPr="002849F1">
        <w:rPr>
          <w:rFonts w:ascii="Times New Roman" w:hAnsi="Times New Roman"/>
        </w:rPr>
        <w:t xml:space="preserve"> </w:t>
      </w:r>
      <w:r w:rsidR="00D96B1C" w:rsidRPr="002849F1">
        <w:rPr>
          <w:rFonts w:ascii="Times New Roman" w:hAnsi="Times New Roman"/>
        </w:rPr>
        <w:t>the operation of cl 26.2(a) of the Leases or about the Lessees</w:t>
      </w:r>
      <w:r w:rsidR="00E4120E" w:rsidRPr="002849F1">
        <w:rPr>
          <w:rFonts w:ascii="Times New Roman" w:hAnsi="Times New Roman"/>
        </w:rPr>
        <w:t>'</w:t>
      </w:r>
      <w:r w:rsidR="00D96B1C" w:rsidRPr="002849F1">
        <w:rPr>
          <w:rFonts w:ascii="Times New Roman" w:hAnsi="Times New Roman"/>
        </w:rPr>
        <w:t xml:space="preserve"> compliance with that clause.</w:t>
      </w:r>
      <w:r w:rsidR="002E6C93" w:rsidRPr="002849F1">
        <w:rPr>
          <w:rFonts w:ascii="Times New Roman" w:hAnsi="Times New Roman"/>
        </w:rPr>
        <w:t xml:space="preserve"> </w:t>
      </w:r>
    </w:p>
    <w:p w14:paraId="3A59DE2F" w14:textId="1F058CE2" w:rsidR="00803C90" w:rsidRPr="002849F1" w:rsidRDefault="00803C90" w:rsidP="002849F1">
      <w:pPr>
        <w:pStyle w:val="HeadingL1"/>
        <w:spacing w:after="260" w:line="280" w:lineRule="exact"/>
        <w:ind w:right="0"/>
        <w:jc w:val="both"/>
        <w:rPr>
          <w:rFonts w:ascii="Times New Roman" w:hAnsi="Times New Roman"/>
        </w:rPr>
      </w:pPr>
      <w:r w:rsidRPr="002849F1">
        <w:rPr>
          <w:rFonts w:ascii="Times New Roman" w:hAnsi="Times New Roman"/>
        </w:rPr>
        <w:t>Matter</w:t>
      </w:r>
    </w:p>
    <w:p w14:paraId="31FC9336" w14:textId="4578FF17" w:rsidR="00D66788" w:rsidRPr="002849F1" w:rsidRDefault="00C31B11"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4F69BC" w:rsidRPr="002849F1">
        <w:rPr>
          <w:rFonts w:ascii="Times New Roman" w:hAnsi="Times New Roman"/>
        </w:rPr>
        <w:t xml:space="preserve">"Matter" </w:t>
      </w:r>
      <w:r w:rsidR="004E5D19" w:rsidRPr="002849F1">
        <w:rPr>
          <w:rFonts w:ascii="Times New Roman" w:hAnsi="Times New Roman"/>
        </w:rPr>
        <w:t>h</w:t>
      </w:r>
      <w:r w:rsidR="004F69BC" w:rsidRPr="002849F1">
        <w:rPr>
          <w:rFonts w:ascii="Times New Roman" w:hAnsi="Times New Roman"/>
        </w:rPr>
        <w:t>as two elements</w:t>
      </w:r>
      <w:r w:rsidR="003B0C41" w:rsidRPr="002849F1">
        <w:rPr>
          <w:rFonts w:ascii="Times New Roman" w:hAnsi="Times New Roman"/>
        </w:rPr>
        <w:t>:</w:t>
      </w:r>
      <w:r w:rsidR="002E6C93" w:rsidRPr="002849F1">
        <w:rPr>
          <w:rFonts w:ascii="Times New Roman" w:hAnsi="Times New Roman"/>
        </w:rPr>
        <w:t xml:space="preserve"> </w:t>
      </w:r>
      <w:r w:rsidR="003B0C41" w:rsidRPr="002849F1">
        <w:rPr>
          <w:rFonts w:ascii="Times New Roman" w:hAnsi="Times New Roman"/>
        </w:rPr>
        <w:t xml:space="preserve">"the subject matter itself as defined by reference to the heads of jurisdiction set out in </w:t>
      </w:r>
      <w:r w:rsidR="001613C3" w:rsidRPr="002849F1">
        <w:rPr>
          <w:rFonts w:ascii="Times New Roman" w:hAnsi="Times New Roman"/>
        </w:rPr>
        <w:t>[</w:t>
      </w:r>
      <w:r w:rsidR="003B0C41" w:rsidRPr="002849F1">
        <w:rPr>
          <w:rFonts w:ascii="Times New Roman" w:hAnsi="Times New Roman"/>
        </w:rPr>
        <w:t>Ch</w:t>
      </w:r>
      <w:r w:rsidR="001613C3" w:rsidRPr="002849F1">
        <w:rPr>
          <w:rFonts w:ascii="Times New Roman" w:hAnsi="Times New Roman"/>
        </w:rPr>
        <w:t>]</w:t>
      </w:r>
      <w:r w:rsidR="002429FD" w:rsidRPr="002849F1">
        <w:rPr>
          <w:rFonts w:ascii="Times New Roman" w:hAnsi="Times New Roman"/>
        </w:rPr>
        <w:t> </w:t>
      </w:r>
      <w:r w:rsidR="003B0C41" w:rsidRPr="002849F1">
        <w:rPr>
          <w:rFonts w:ascii="Times New Roman" w:hAnsi="Times New Roman"/>
        </w:rPr>
        <w:t>III</w:t>
      </w:r>
      <w:r w:rsidR="009140AD" w:rsidRPr="002849F1">
        <w:rPr>
          <w:rFonts w:ascii="Times New Roman" w:hAnsi="Times New Roman"/>
        </w:rPr>
        <w:t xml:space="preserve"> </w:t>
      </w:r>
      <w:r w:rsidR="001613C3" w:rsidRPr="002849F1">
        <w:rPr>
          <w:rFonts w:ascii="Times New Roman" w:hAnsi="Times New Roman"/>
        </w:rPr>
        <w:t>[</w:t>
      </w:r>
      <w:r w:rsidR="009140AD" w:rsidRPr="002849F1">
        <w:rPr>
          <w:rFonts w:ascii="Times New Roman" w:hAnsi="Times New Roman"/>
        </w:rPr>
        <w:t xml:space="preserve">of the </w:t>
      </w:r>
      <w:r w:rsidR="00803C90" w:rsidRPr="002849F1">
        <w:rPr>
          <w:rFonts w:ascii="Times New Roman" w:hAnsi="Times New Roman"/>
          <w:i/>
        </w:rPr>
        <w:t>Constitution</w:t>
      </w:r>
      <w:r w:rsidR="001613C3" w:rsidRPr="002849F1">
        <w:rPr>
          <w:rFonts w:ascii="Times New Roman" w:hAnsi="Times New Roman"/>
        </w:rPr>
        <w:t>]</w:t>
      </w:r>
      <w:r w:rsidR="003B0C41" w:rsidRPr="002849F1">
        <w:rPr>
          <w:rFonts w:ascii="Times New Roman" w:hAnsi="Times New Roman"/>
        </w:rPr>
        <w:t>, and the concrete or adequate adversarial nature of the dispute sufficient to give rise to a justiciable controversy"</w:t>
      </w:r>
      <w:r w:rsidR="003B0C41" w:rsidRPr="002849F1">
        <w:rPr>
          <w:rStyle w:val="FootnoteReference"/>
          <w:rFonts w:ascii="Times New Roman" w:hAnsi="Times New Roman"/>
          <w:sz w:val="24"/>
        </w:rPr>
        <w:footnoteReference w:id="23"/>
      </w:r>
      <w:r w:rsidR="004E5D19" w:rsidRPr="002849F1">
        <w:rPr>
          <w:rFonts w:ascii="Times New Roman" w:hAnsi="Times New Roman"/>
        </w:rPr>
        <w:t>.</w:t>
      </w:r>
      <w:r w:rsidR="002E6C93" w:rsidRPr="002849F1">
        <w:rPr>
          <w:rFonts w:ascii="Times New Roman" w:hAnsi="Times New Roman"/>
        </w:rPr>
        <w:t xml:space="preserve"> </w:t>
      </w:r>
    </w:p>
    <w:p w14:paraId="7900C8A9" w14:textId="4A0F7248" w:rsidR="00293D1E" w:rsidRPr="002849F1" w:rsidRDefault="00293D1E" w:rsidP="002849F1">
      <w:pPr>
        <w:pStyle w:val="HeadingL2"/>
        <w:spacing w:after="260" w:line="280" w:lineRule="exact"/>
        <w:ind w:right="0"/>
        <w:jc w:val="both"/>
        <w:rPr>
          <w:rFonts w:ascii="Times New Roman" w:hAnsi="Times New Roman"/>
        </w:rPr>
      </w:pPr>
      <w:r w:rsidRPr="002849F1">
        <w:rPr>
          <w:rFonts w:ascii="Times New Roman" w:hAnsi="Times New Roman"/>
        </w:rPr>
        <w:t>Subject matter</w:t>
      </w:r>
    </w:p>
    <w:p w14:paraId="61F00747" w14:textId="3C661393" w:rsidR="00D96B1C" w:rsidRPr="002849F1" w:rsidRDefault="00D96B1C"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DD229C" w:rsidRPr="002849F1">
        <w:rPr>
          <w:rFonts w:ascii="Times New Roman" w:hAnsi="Times New Roman"/>
        </w:rPr>
        <w:t>T</w:t>
      </w:r>
      <w:r w:rsidRPr="002849F1">
        <w:rPr>
          <w:rFonts w:ascii="Times New Roman" w:hAnsi="Times New Roman"/>
        </w:rPr>
        <w:t xml:space="preserve">he Councils' claims for declaratory relief </w:t>
      </w:r>
      <w:r w:rsidR="00B24DFA" w:rsidRPr="002849F1">
        <w:rPr>
          <w:rFonts w:ascii="Times New Roman" w:hAnsi="Times New Roman"/>
        </w:rPr>
        <w:t xml:space="preserve">satisfy the </w:t>
      </w:r>
      <w:r w:rsidR="00C01DCA" w:rsidRPr="002849F1">
        <w:rPr>
          <w:rFonts w:ascii="Times New Roman" w:hAnsi="Times New Roman"/>
        </w:rPr>
        <w:t xml:space="preserve">first element </w:t>
      </w:r>
      <w:r w:rsidR="009F4766" w:rsidRPr="002849F1">
        <w:rPr>
          <w:rFonts w:ascii="Times New Roman" w:hAnsi="Times New Roman"/>
        </w:rPr>
        <w:t>–</w:t>
      </w:r>
      <w:r w:rsidR="00C01DCA" w:rsidRPr="002849F1">
        <w:rPr>
          <w:rFonts w:ascii="Times New Roman" w:hAnsi="Times New Roman"/>
        </w:rPr>
        <w:t xml:space="preserve"> the</w:t>
      </w:r>
      <w:r w:rsidR="00512462">
        <w:rPr>
          <w:rFonts w:ascii="Times New Roman" w:hAnsi="Times New Roman"/>
        </w:rPr>
        <w:t> </w:t>
      </w:r>
      <w:r w:rsidR="00B24DFA" w:rsidRPr="002849F1">
        <w:rPr>
          <w:rFonts w:ascii="Times New Roman" w:hAnsi="Times New Roman"/>
        </w:rPr>
        <w:t>subject matter requirement</w:t>
      </w:r>
      <w:r w:rsidRPr="002849F1">
        <w:rPr>
          <w:rFonts w:ascii="Times New Roman" w:hAnsi="Times New Roman"/>
        </w:rPr>
        <w:t>.</w:t>
      </w:r>
      <w:r w:rsidR="002E6C93" w:rsidRPr="002849F1">
        <w:rPr>
          <w:rFonts w:ascii="Times New Roman" w:hAnsi="Times New Roman"/>
        </w:rPr>
        <w:t xml:space="preserve"> </w:t>
      </w:r>
      <w:r w:rsidR="00C01DCA" w:rsidRPr="002849F1">
        <w:rPr>
          <w:rFonts w:ascii="Times New Roman" w:hAnsi="Times New Roman"/>
        </w:rPr>
        <w:t>The </w:t>
      </w:r>
      <w:r w:rsidRPr="002849F1">
        <w:rPr>
          <w:rFonts w:ascii="Times New Roman" w:hAnsi="Times New Roman"/>
        </w:rPr>
        <w:t xml:space="preserve">rights and obligations of the Commonwealth and the </w:t>
      </w:r>
      <w:r w:rsidR="00A00A0A" w:rsidRPr="002849F1">
        <w:rPr>
          <w:rFonts w:ascii="Times New Roman" w:hAnsi="Times New Roman"/>
        </w:rPr>
        <w:t xml:space="preserve">Lessees </w:t>
      </w:r>
      <w:r w:rsidRPr="002849F1">
        <w:rPr>
          <w:rFonts w:ascii="Times New Roman" w:hAnsi="Times New Roman"/>
        </w:rPr>
        <w:t>under the Leases owe their existence to a Commonwealth law, the</w:t>
      </w:r>
      <w:r w:rsidR="00293D1E" w:rsidRPr="002849F1">
        <w:rPr>
          <w:rFonts w:ascii="Times New Roman" w:hAnsi="Times New Roman"/>
        </w:rPr>
        <w:t> </w:t>
      </w:r>
      <w:r w:rsidRPr="002849F1" w:rsidDel="00A00A0A">
        <w:rPr>
          <w:rFonts w:ascii="Times New Roman" w:hAnsi="Times New Roman"/>
          <w:i/>
        </w:rPr>
        <w:t>Transitional Act</w:t>
      </w:r>
      <w:r w:rsidRPr="002849F1">
        <w:rPr>
          <w:rFonts w:ascii="Times New Roman" w:hAnsi="Times New Roman"/>
        </w:rPr>
        <w:t>, such that the claims "</w:t>
      </w:r>
      <w:proofErr w:type="spellStart"/>
      <w:r w:rsidRPr="002849F1">
        <w:rPr>
          <w:rFonts w:ascii="Times New Roman" w:hAnsi="Times New Roman"/>
        </w:rPr>
        <w:t>aris</w:t>
      </w:r>
      <w:proofErr w:type="spellEnd"/>
      <w:r w:rsidRPr="002849F1">
        <w:rPr>
          <w:rFonts w:ascii="Times New Roman" w:hAnsi="Times New Roman"/>
        </w:rPr>
        <w:t xml:space="preserve">[e] under" a Commonwealth law within s 76(ii) of the </w:t>
      </w:r>
      <w:r w:rsidRPr="002849F1">
        <w:rPr>
          <w:rFonts w:ascii="Times New Roman" w:hAnsi="Times New Roman"/>
          <w:i/>
        </w:rPr>
        <w:t>Constitution</w:t>
      </w:r>
      <w:r w:rsidRPr="002849F1">
        <w:rPr>
          <w:rStyle w:val="FootnoteReference"/>
          <w:rFonts w:ascii="Times New Roman" w:hAnsi="Times New Roman"/>
          <w:sz w:val="24"/>
        </w:rPr>
        <w:footnoteReference w:id="24"/>
      </w:r>
      <w:r w:rsidRPr="002849F1">
        <w:rPr>
          <w:rFonts w:ascii="Times New Roman" w:hAnsi="Times New Roman"/>
        </w:rPr>
        <w:t>.</w:t>
      </w:r>
    </w:p>
    <w:p w14:paraId="64E0E89B" w14:textId="1A173B67" w:rsidR="00D96B1C" w:rsidRPr="002849F1" w:rsidRDefault="00D96B1C" w:rsidP="002849F1">
      <w:pPr>
        <w:pStyle w:val="FixListStyle"/>
        <w:spacing w:after="260" w:line="280" w:lineRule="exact"/>
        <w:ind w:right="0"/>
        <w:jc w:val="both"/>
        <w:rPr>
          <w:rFonts w:ascii="Times New Roman" w:hAnsi="Times New Roman"/>
        </w:rPr>
      </w:pPr>
      <w:r w:rsidRPr="002849F1">
        <w:rPr>
          <w:rFonts w:ascii="Times New Roman" w:hAnsi="Times New Roman"/>
        </w:rPr>
        <w:tab/>
        <w:t xml:space="preserve">The </w:t>
      </w:r>
      <w:r w:rsidR="003479E9" w:rsidRPr="002849F1">
        <w:rPr>
          <w:rFonts w:ascii="Times New Roman" w:hAnsi="Times New Roman"/>
        </w:rPr>
        <w:t xml:space="preserve">fact that the </w:t>
      </w:r>
      <w:r w:rsidRPr="002849F1">
        <w:rPr>
          <w:rFonts w:ascii="Times New Roman" w:hAnsi="Times New Roman"/>
        </w:rPr>
        <w:t>Commonwealth is</w:t>
      </w:r>
      <w:r w:rsidRPr="002849F1" w:rsidDel="005874B8">
        <w:rPr>
          <w:rFonts w:ascii="Times New Roman" w:hAnsi="Times New Roman"/>
        </w:rPr>
        <w:t xml:space="preserve"> </w:t>
      </w:r>
      <w:r w:rsidRPr="002849F1">
        <w:rPr>
          <w:rFonts w:ascii="Times New Roman" w:hAnsi="Times New Roman"/>
        </w:rPr>
        <w:t>a party</w:t>
      </w:r>
      <w:r w:rsidR="005874B8" w:rsidRPr="002849F1">
        <w:rPr>
          <w:rFonts w:ascii="Times New Roman" w:hAnsi="Times New Roman"/>
        </w:rPr>
        <w:t xml:space="preserve"> to the proceedings</w:t>
      </w:r>
      <w:r w:rsidRPr="002849F1">
        <w:rPr>
          <w:rFonts w:ascii="Times New Roman" w:hAnsi="Times New Roman"/>
        </w:rPr>
        <w:t>, within</w:t>
      </w:r>
      <w:r w:rsidR="00512462">
        <w:rPr>
          <w:rFonts w:ascii="Times New Roman" w:hAnsi="Times New Roman"/>
        </w:rPr>
        <w:t> </w:t>
      </w:r>
      <w:r w:rsidRPr="002849F1">
        <w:rPr>
          <w:rFonts w:ascii="Times New Roman" w:hAnsi="Times New Roman"/>
        </w:rPr>
        <w:t xml:space="preserve">s 75(iii) of the </w:t>
      </w:r>
      <w:r w:rsidRPr="002849F1">
        <w:rPr>
          <w:rFonts w:ascii="Times New Roman" w:hAnsi="Times New Roman"/>
          <w:i/>
        </w:rPr>
        <w:t>Constitution</w:t>
      </w:r>
      <w:r w:rsidR="00293D1E" w:rsidRPr="002849F1">
        <w:rPr>
          <w:rFonts w:ascii="Times New Roman" w:hAnsi="Times New Roman"/>
        </w:rPr>
        <w:t>,</w:t>
      </w:r>
      <w:r w:rsidR="009140AD" w:rsidRPr="002849F1">
        <w:rPr>
          <w:rFonts w:ascii="Times New Roman" w:hAnsi="Times New Roman"/>
        </w:rPr>
        <w:t xml:space="preserve"> </w:t>
      </w:r>
      <w:r w:rsidR="003479E9" w:rsidRPr="002849F1">
        <w:rPr>
          <w:rFonts w:ascii="Times New Roman" w:hAnsi="Times New Roman"/>
        </w:rPr>
        <w:t>does not</w:t>
      </w:r>
      <w:r w:rsidR="00D37866" w:rsidRPr="002849F1">
        <w:rPr>
          <w:rFonts w:ascii="Times New Roman" w:hAnsi="Times New Roman"/>
        </w:rPr>
        <w:t xml:space="preserve"> provide a separate basis for</w:t>
      </w:r>
      <w:r w:rsidR="00D145D6" w:rsidRPr="002849F1">
        <w:rPr>
          <w:rFonts w:ascii="Times New Roman" w:hAnsi="Times New Roman"/>
        </w:rPr>
        <w:t xml:space="preserve"> satisfying the subject matter requirement</w:t>
      </w:r>
      <w:r w:rsidRPr="002849F1">
        <w:rPr>
          <w:rFonts w:ascii="Times New Roman" w:hAnsi="Times New Roman"/>
        </w:rPr>
        <w:t>.</w:t>
      </w:r>
      <w:r w:rsidR="002E6C93" w:rsidRPr="002849F1">
        <w:rPr>
          <w:rFonts w:ascii="Times New Roman" w:hAnsi="Times New Roman"/>
        </w:rPr>
        <w:t xml:space="preserve"> </w:t>
      </w:r>
      <w:r w:rsidR="00E938D3" w:rsidRPr="002849F1">
        <w:rPr>
          <w:rFonts w:ascii="Times New Roman" w:hAnsi="Times New Roman"/>
        </w:rPr>
        <w:t>Section</w:t>
      </w:r>
      <w:r w:rsidR="005874B8" w:rsidRPr="002849F1">
        <w:rPr>
          <w:rFonts w:ascii="Times New Roman" w:hAnsi="Times New Roman"/>
        </w:rPr>
        <w:t> </w:t>
      </w:r>
      <w:r w:rsidRPr="002849F1">
        <w:rPr>
          <w:rFonts w:ascii="Times New Roman" w:hAnsi="Times New Roman"/>
        </w:rPr>
        <w:t xml:space="preserve">39B(1A) of the </w:t>
      </w:r>
      <w:r w:rsidRPr="002849F1">
        <w:rPr>
          <w:rFonts w:ascii="Times New Roman" w:hAnsi="Times New Roman"/>
          <w:i/>
        </w:rPr>
        <w:t>Judiciary Act</w:t>
      </w:r>
      <w:r w:rsidRPr="002849F1">
        <w:rPr>
          <w:rFonts w:ascii="Times New Roman" w:hAnsi="Times New Roman"/>
        </w:rPr>
        <w:t xml:space="preserve"> </w:t>
      </w:r>
      <w:r w:rsidRPr="002849F1">
        <w:rPr>
          <w:rFonts w:ascii="Times New Roman" w:hAnsi="Times New Roman"/>
          <w:i/>
        </w:rPr>
        <w:t>does not</w:t>
      </w:r>
      <w:r w:rsidRPr="002849F1">
        <w:rPr>
          <w:rFonts w:ascii="Times New Roman" w:hAnsi="Times New Roman"/>
        </w:rPr>
        <w:t xml:space="preserve"> invest federal jurisdiction in the Federal Court in relation to </w:t>
      </w:r>
      <w:r w:rsidRPr="002849F1">
        <w:rPr>
          <w:rFonts w:ascii="Times New Roman" w:hAnsi="Times New Roman"/>
          <w:i/>
        </w:rPr>
        <w:t xml:space="preserve">all matters </w:t>
      </w:r>
      <w:r w:rsidRPr="002849F1">
        <w:rPr>
          <w:rFonts w:ascii="Times New Roman" w:hAnsi="Times New Roman"/>
        </w:rPr>
        <w:t xml:space="preserve">within s 75(iii), only those in which "the Commonwealth is seeking an injunction or a </w:t>
      </w:r>
      <w:r w:rsidRPr="002849F1">
        <w:rPr>
          <w:rFonts w:ascii="Times New Roman" w:hAnsi="Times New Roman"/>
        </w:rPr>
        <w:lastRenderedPageBreak/>
        <w:t>declaration"</w:t>
      </w:r>
      <w:r w:rsidRPr="002849F1">
        <w:rPr>
          <w:rStyle w:val="FootnoteReference"/>
          <w:rFonts w:ascii="Times New Roman" w:hAnsi="Times New Roman"/>
          <w:sz w:val="24"/>
        </w:rPr>
        <w:footnoteReference w:id="25"/>
      </w:r>
      <w:r w:rsidRPr="002849F1">
        <w:rPr>
          <w:rFonts w:ascii="Times New Roman" w:hAnsi="Times New Roman"/>
        </w:rPr>
        <w:t>.</w:t>
      </w:r>
      <w:r w:rsidR="002E6C93" w:rsidRPr="002849F1">
        <w:rPr>
          <w:rFonts w:ascii="Times New Roman" w:hAnsi="Times New Roman"/>
        </w:rPr>
        <w:t xml:space="preserve"> </w:t>
      </w:r>
      <w:r w:rsidR="00E938D3" w:rsidRPr="002849F1">
        <w:rPr>
          <w:rFonts w:ascii="Times New Roman" w:hAnsi="Times New Roman"/>
        </w:rPr>
        <w:t>I</w:t>
      </w:r>
      <w:r w:rsidRPr="002849F1">
        <w:rPr>
          <w:rFonts w:ascii="Times New Roman" w:hAnsi="Times New Roman"/>
        </w:rPr>
        <w:t>n</w:t>
      </w:r>
      <w:r w:rsidR="00A867BB" w:rsidRPr="002849F1">
        <w:rPr>
          <w:rFonts w:ascii="Times New Roman" w:hAnsi="Times New Roman"/>
        </w:rPr>
        <w:t> </w:t>
      </w:r>
      <w:r w:rsidRPr="002849F1">
        <w:rPr>
          <w:rFonts w:ascii="Times New Roman" w:hAnsi="Times New Roman"/>
        </w:rPr>
        <w:t xml:space="preserve">these proceedings, the Commonwealth does </w:t>
      </w:r>
      <w:r w:rsidR="000A1133" w:rsidRPr="002849F1">
        <w:rPr>
          <w:rFonts w:ascii="Times New Roman" w:hAnsi="Times New Roman"/>
        </w:rPr>
        <w:t xml:space="preserve">not </w:t>
      </w:r>
      <w:r w:rsidRPr="002849F1">
        <w:rPr>
          <w:rFonts w:ascii="Times New Roman" w:hAnsi="Times New Roman"/>
        </w:rPr>
        <w:t xml:space="preserve">seek </w:t>
      </w:r>
      <w:r w:rsidR="000A1133" w:rsidRPr="002849F1">
        <w:rPr>
          <w:rFonts w:ascii="Times New Roman" w:hAnsi="Times New Roman"/>
        </w:rPr>
        <w:t>such relief</w:t>
      </w:r>
      <w:r w:rsidRPr="002849F1">
        <w:rPr>
          <w:rFonts w:ascii="Times New Roman" w:hAnsi="Times New Roman"/>
        </w:rPr>
        <w:t>.</w:t>
      </w:r>
      <w:r w:rsidR="002E6C93" w:rsidRPr="002849F1">
        <w:rPr>
          <w:rFonts w:ascii="Times New Roman" w:hAnsi="Times New Roman"/>
        </w:rPr>
        <w:t xml:space="preserve"> </w:t>
      </w:r>
      <w:r w:rsidRPr="002849F1">
        <w:rPr>
          <w:rFonts w:ascii="Times New Roman" w:hAnsi="Times New Roman"/>
        </w:rPr>
        <w:t>The Commonwealth</w:t>
      </w:r>
      <w:r w:rsidR="005E2F68" w:rsidRPr="002849F1">
        <w:rPr>
          <w:rFonts w:ascii="Times New Roman" w:hAnsi="Times New Roman"/>
        </w:rPr>
        <w:t>'s</w:t>
      </w:r>
      <w:r w:rsidRPr="002849F1">
        <w:rPr>
          <w:rFonts w:ascii="Times New Roman" w:hAnsi="Times New Roman"/>
        </w:rPr>
        <w:t xml:space="preserve"> submission to the contrary </w:t>
      </w:r>
      <w:r w:rsidR="005E2F68" w:rsidRPr="002849F1">
        <w:rPr>
          <w:rFonts w:ascii="Times New Roman" w:hAnsi="Times New Roman"/>
        </w:rPr>
        <w:t xml:space="preserve">is </w:t>
      </w:r>
      <w:r w:rsidRPr="002849F1">
        <w:rPr>
          <w:rFonts w:ascii="Times New Roman" w:hAnsi="Times New Roman"/>
        </w:rPr>
        <w:t>rejected.</w:t>
      </w:r>
      <w:r w:rsidR="002E6C93" w:rsidRPr="002849F1">
        <w:rPr>
          <w:rFonts w:ascii="Times New Roman" w:hAnsi="Times New Roman"/>
        </w:rPr>
        <w:t xml:space="preserve"> </w:t>
      </w:r>
    </w:p>
    <w:p w14:paraId="2B2FA81C" w14:textId="294F8BEC" w:rsidR="00E938D3" w:rsidRPr="002849F1" w:rsidRDefault="00E938D3" w:rsidP="002849F1">
      <w:pPr>
        <w:pStyle w:val="HeadingL2"/>
        <w:spacing w:after="260" w:line="280" w:lineRule="exact"/>
        <w:ind w:right="0"/>
        <w:jc w:val="both"/>
        <w:rPr>
          <w:rFonts w:ascii="Times New Roman" w:hAnsi="Times New Roman"/>
        </w:rPr>
      </w:pPr>
      <w:r w:rsidRPr="002849F1">
        <w:rPr>
          <w:rFonts w:ascii="Times New Roman" w:hAnsi="Times New Roman"/>
        </w:rPr>
        <w:t>Justiciable controversy</w:t>
      </w:r>
    </w:p>
    <w:p w14:paraId="1A7E5EB0" w14:textId="000B3575" w:rsidR="00F81EC9" w:rsidRPr="002849F1" w:rsidRDefault="002714C8"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091E74" w:rsidRPr="002849F1">
        <w:rPr>
          <w:rFonts w:ascii="Times New Roman" w:hAnsi="Times New Roman"/>
        </w:rPr>
        <w:t xml:space="preserve">Central to </w:t>
      </w:r>
      <w:r w:rsidR="00A6059D" w:rsidRPr="002849F1">
        <w:rPr>
          <w:rFonts w:ascii="Times New Roman" w:hAnsi="Times New Roman"/>
        </w:rPr>
        <w:t xml:space="preserve">both </w:t>
      </w:r>
      <w:r w:rsidR="00091E74" w:rsidRPr="002849F1">
        <w:rPr>
          <w:rFonts w:ascii="Times New Roman" w:hAnsi="Times New Roman"/>
        </w:rPr>
        <w:t>the n</w:t>
      </w:r>
      <w:r w:rsidR="00746AEB" w:rsidRPr="002849F1">
        <w:rPr>
          <w:rFonts w:ascii="Times New Roman" w:hAnsi="Times New Roman"/>
        </w:rPr>
        <w:t>otion</w:t>
      </w:r>
      <w:r w:rsidR="00A6059D" w:rsidRPr="002849F1">
        <w:rPr>
          <w:rFonts w:ascii="Times New Roman" w:hAnsi="Times New Roman"/>
        </w:rPr>
        <w:t>s</w:t>
      </w:r>
      <w:r w:rsidR="00746AEB" w:rsidRPr="002849F1">
        <w:rPr>
          <w:rFonts w:ascii="Times New Roman" w:hAnsi="Times New Roman"/>
        </w:rPr>
        <w:t xml:space="preserve"> of judicial power and </w:t>
      </w:r>
      <w:r w:rsidR="00BE7438" w:rsidRPr="002849F1">
        <w:rPr>
          <w:rFonts w:ascii="Times New Roman" w:hAnsi="Times New Roman"/>
        </w:rPr>
        <w:t>"matter"</w:t>
      </w:r>
      <w:r w:rsidR="001979E3" w:rsidRPr="002849F1">
        <w:rPr>
          <w:rFonts w:ascii="Times New Roman" w:hAnsi="Times New Roman"/>
        </w:rPr>
        <w:t xml:space="preserve"> </w:t>
      </w:r>
      <w:r w:rsidR="00A6059D" w:rsidRPr="002849F1">
        <w:rPr>
          <w:rFonts w:ascii="Times New Roman" w:hAnsi="Times New Roman"/>
        </w:rPr>
        <w:t>within</w:t>
      </w:r>
      <w:r w:rsidR="00DE1B8D" w:rsidRPr="002849F1">
        <w:rPr>
          <w:rFonts w:ascii="Times New Roman" w:hAnsi="Times New Roman"/>
        </w:rPr>
        <w:t xml:space="preserve"> Ch III of the </w:t>
      </w:r>
      <w:r w:rsidR="00DE1B8D" w:rsidRPr="002849F1">
        <w:rPr>
          <w:rFonts w:ascii="Times New Roman" w:hAnsi="Times New Roman"/>
          <w:i/>
        </w:rPr>
        <w:t>Constitution</w:t>
      </w:r>
      <w:r w:rsidR="00746AEB" w:rsidRPr="002849F1">
        <w:rPr>
          <w:rFonts w:ascii="Times New Roman" w:hAnsi="Times New Roman"/>
        </w:rPr>
        <w:t xml:space="preserve"> is </w:t>
      </w:r>
      <w:r w:rsidR="001B60E2" w:rsidRPr="002849F1">
        <w:rPr>
          <w:rFonts w:ascii="Times New Roman" w:hAnsi="Times New Roman"/>
        </w:rPr>
        <w:t xml:space="preserve">the second element </w:t>
      </w:r>
      <w:r w:rsidR="004F1CCB" w:rsidRPr="002849F1">
        <w:rPr>
          <w:rFonts w:ascii="Times New Roman" w:hAnsi="Times New Roman"/>
        </w:rPr>
        <w:t>–</w:t>
      </w:r>
      <w:r w:rsidR="001B60E2" w:rsidRPr="002849F1">
        <w:rPr>
          <w:rFonts w:ascii="Times New Roman" w:hAnsi="Times New Roman"/>
        </w:rPr>
        <w:t xml:space="preserve"> </w:t>
      </w:r>
      <w:r w:rsidR="00A6059D" w:rsidRPr="002849F1">
        <w:rPr>
          <w:rFonts w:ascii="Times New Roman" w:hAnsi="Times New Roman"/>
        </w:rPr>
        <w:t>the</w:t>
      </w:r>
      <w:r w:rsidR="00E20E02" w:rsidRPr="002849F1">
        <w:rPr>
          <w:rFonts w:ascii="Times New Roman" w:hAnsi="Times New Roman"/>
        </w:rPr>
        <w:t> </w:t>
      </w:r>
      <w:r w:rsidR="001B60E2" w:rsidRPr="002849F1">
        <w:rPr>
          <w:rFonts w:ascii="Times New Roman" w:hAnsi="Times New Roman"/>
        </w:rPr>
        <w:t>requirement that the dispute involve</w:t>
      </w:r>
      <w:r w:rsidR="00594B31" w:rsidRPr="002849F1">
        <w:rPr>
          <w:rFonts w:ascii="Times New Roman" w:hAnsi="Times New Roman"/>
        </w:rPr>
        <w:t>s</w:t>
      </w:r>
      <w:r w:rsidR="001B60E2" w:rsidRPr="002849F1">
        <w:rPr>
          <w:rFonts w:ascii="Times New Roman" w:hAnsi="Times New Roman"/>
        </w:rPr>
        <w:t xml:space="preserve"> a "justiciable controversy"</w:t>
      </w:r>
      <w:r w:rsidR="009C140F" w:rsidRPr="002849F1">
        <w:rPr>
          <w:rStyle w:val="FootnoteReference"/>
          <w:rFonts w:ascii="Times New Roman" w:hAnsi="Times New Roman"/>
          <w:sz w:val="24"/>
        </w:rPr>
        <w:footnoteReference w:id="26"/>
      </w:r>
      <w:r w:rsidR="001B60E2" w:rsidRPr="002849F1">
        <w:rPr>
          <w:rFonts w:ascii="Times New Roman" w:hAnsi="Times New Roman"/>
        </w:rPr>
        <w:t>.</w:t>
      </w:r>
      <w:r w:rsidR="002E6C93" w:rsidRPr="002849F1">
        <w:rPr>
          <w:rFonts w:ascii="Times New Roman" w:hAnsi="Times New Roman"/>
        </w:rPr>
        <w:t xml:space="preserve"> </w:t>
      </w:r>
      <w:r w:rsidR="00681DDD" w:rsidRPr="002849F1">
        <w:rPr>
          <w:rFonts w:ascii="Times New Roman" w:hAnsi="Times New Roman"/>
        </w:rPr>
        <w:t>The established position remains</w:t>
      </w:r>
      <w:r w:rsidR="00D86355" w:rsidRPr="002849F1">
        <w:rPr>
          <w:rFonts w:ascii="Times New Roman" w:hAnsi="Times New Roman"/>
        </w:rPr>
        <w:t xml:space="preserve"> that</w:t>
      </w:r>
      <w:r w:rsidR="00427B0B" w:rsidRPr="002849F1">
        <w:rPr>
          <w:rFonts w:ascii="Times New Roman" w:hAnsi="Times New Roman"/>
        </w:rPr>
        <w:t xml:space="preserve"> </w:t>
      </w:r>
      <w:r w:rsidR="00BE7438" w:rsidRPr="002849F1">
        <w:rPr>
          <w:rFonts w:ascii="Times New Roman" w:hAnsi="Times New Roman"/>
        </w:rPr>
        <w:t>"</w:t>
      </w:r>
      <w:r w:rsidR="00F81EC9" w:rsidRPr="002849F1">
        <w:rPr>
          <w:rFonts w:ascii="Times New Roman" w:hAnsi="Times New Roman"/>
        </w:rPr>
        <w:t>t</w:t>
      </w:r>
      <w:r w:rsidR="00BE7438" w:rsidRPr="002849F1">
        <w:rPr>
          <w:rFonts w:ascii="Times New Roman" w:hAnsi="Times New Roman"/>
        </w:rPr>
        <w:t xml:space="preserve">here can be no matter </w:t>
      </w:r>
      <w:r w:rsidR="00922A2F" w:rsidRPr="002849F1">
        <w:rPr>
          <w:rFonts w:ascii="Times New Roman" w:hAnsi="Times New Roman"/>
        </w:rPr>
        <w:t xml:space="preserve">within the meaning of </w:t>
      </w:r>
      <w:r w:rsidR="00B07904" w:rsidRPr="002849F1">
        <w:rPr>
          <w:rFonts w:ascii="Times New Roman" w:hAnsi="Times New Roman"/>
        </w:rPr>
        <w:t>[</w:t>
      </w:r>
      <w:r w:rsidR="00922A2F" w:rsidRPr="002849F1">
        <w:rPr>
          <w:rFonts w:ascii="Times New Roman" w:hAnsi="Times New Roman"/>
        </w:rPr>
        <w:t>s</w:t>
      </w:r>
      <w:r w:rsidR="00786041" w:rsidRPr="002849F1">
        <w:rPr>
          <w:rFonts w:ascii="Times New Roman" w:hAnsi="Times New Roman"/>
        </w:rPr>
        <w:t>s</w:t>
      </w:r>
      <w:r w:rsidR="00922A2F" w:rsidRPr="002849F1">
        <w:rPr>
          <w:rFonts w:ascii="Times New Roman" w:hAnsi="Times New Roman"/>
        </w:rPr>
        <w:t> </w:t>
      </w:r>
      <w:r w:rsidR="00786041" w:rsidRPr="002849F1">
        <w:rPr>
          <w:rFonts w:ascii="Times New Roman" w:hAnsi="Times New Roman"/>
        </w:rPr>
        <w:t xml:space="preserve">75 and </w:t>
      </w:r>
      <w:r w:rsidR="00922A2F" w:rsidRPr="002849F1">
        <w:rPr>
          <w:rFonts w:ascii="Times New Roman" w:hAnsi="Times New Roman"/>
        </w:rPr>
        <w:t xml:space="preserve">76 of the </w:t>
      </w:r>
      <w:r w:rsidR="00922A2F" w:rsidRPr="002849F1">
        <w:rPr>
          <w:rFonts w:ascii="Times New Roman" w:hAnsi="Times New Roman"/>
          <w:i/>
        </w:rPr>
        <w:t>Constitution</w:t>
      </w:r>
      <w:r w:rsidR="00B07904" w:rsidRPr="002849F1">
        <w:rPr>
          <w:rFonts w:ascii="Times New Roman" w:hAnsi="Times New Roman"/>
        </w:rPr>
        <w:t>]</w:t>
      </w:r>
      <w:r w:rsidR="00BE7438" w:rsidRPr="002849F1">
        <w:rPr>
          <w:rFonts w:ascii="Times New Roman" w:hAnsi="Times New Roman"/>
        </w:rPr>
        <w:t xml:space="preserve"> unless there is some immediate right, duty or liability to be established by the determination of the Court"</w:t>
      </w:r>
      <w:r w:rsidR="00F81EC9" w:rsidRPr="002849F1">
        <w:rPr>
          <w:rStyle w:val="FootnoteReference"/>
          <w:rFonts w:ascii="Times New Roman" w:hAnsi="Times New Roman"/>
          <w:sz w:val="24"/>
        </w:rPr>
        <w:footnoteReference w:id="27"/>
      </w:r>
      <w:r w:rsidR="00F81EC9" w:rsidRPr="002849F1">
        <w:rPr>
          <w:rFonts w:ascii="Times New Roman" w:hAnsi="Times New Roman"/>
        </w:rPr>
        <w:t>.</w:t>
      </w:r>
      <w:r w:rsidR="00BE7438" w:rsidRPr="002849F1">
        <w:rPr>
          <w:rFonts w:ascii="Times New Roman" w:hAnsi="Times New Roman"/>
        </w:rPr>
        <w:t xml:space="preserve"> </w:t>
      </w:r>
    </w:p>
    <w:p w14:paraId="6515FF15" w14:textId="4DEB8331" w:rsidR="00F81EC9" w:rsidRPr="002849F1" w:rsidRDefault="00A972C0"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E7438" w:rsidRPr="002849F1">
        <w:rPr>
          <w:rFonts w:ascii="Times New Roman" w:hAnsi="Times New Roman"/>
        </w:rPr>
        <w:t xml:space="preserve">In these appeals, </w:t>
      </w:r>
      <w:r w:rsidR="00B044FE" w:rsidRPr="002849F1">
        <w:rPr>
          <w:rFonts w:ascii="Times New Roman" w:hAnsi="Times New Roman"/>
        </w:rPr>
        <w:t>whether there</w:t>
      </w:r>
      <w:r w:rsidR="00BE7438" w:rsidRPr="002849F1">
        <w:rPr>
          <w:rFonts w:ascii="Times New Roman" w:hAnsi="Times New Roman"/>
        </w:rPr>
        <w:t xml:space="preserve"> is a justiciable controversy </w:t>
      </w:r>
      <w:r w:rsidR="00B044FE" w:rsidRPr="002849F1">
        <w:rPr>
          <w:rFonts w:ascii="Times New Roman" w:hAnsi="Times New Roman"/>
        </w:rPr>
        <w:t xml:space="preserve">may be addressed by asking </w:t>
      </w:r>
      <w:r w:rsidR="00F81EC9" w:rsidRPr="002849F1">
        <w:rPr>
          <w:rFonts w:ascii="Times New Roman" w:hAnsi="Times New Roman"/>
        </w:rPr>
        <w:t>if</w:t>
      </w:r>
      <w:r w:rsidR="00F70987" w:rsidRPr="002849F1">
        <w:rPr>
          <w:rFonts w:ascii="Times New Roman" w:hAnsi="Times New Roman"/>
        </w:rPr>
        <w:t xml:space="preserve"> </w:t>
      </w:r>
      <w:r w:rsidR="00BE7438" w:rsidRPr="002849F1">
        <w:rPr>
          <w:rFonts w:ascii="Times New Roman" w:hAnsi="Times New Roman"/>
        </w:rPr>
        <w:t xml:space="preserve">the </w:t>
      </w:r>
      <w:r w:rsidR="00D7166A" w:rsidRPr="002849F1">
        <w:rPr>
          <w:rFonts w:ascii="Times New Roman" w:hAnsi="Times New Roman"/>
        </w:rPr>
        <w:t xml:space="preserve">applicable principles </w:t>
      </w:r>
      <w:r w:rsidR="00B044FE" w:rsidRPr="002849F1">
        <w:rPr>
          <w:rFonts w:ascii="Times New Roman" w:hAnsi="Times New Roman"/>
        </w:rPr>
        <w:t>permit</w:t>
      </w:r>
      <w:r w:rsidR="00BE7438" w:rsidRPr="002849F1">
        <w:rPr>
          <w:rFonts w:ascii="Times New Roman" w:hAnsi="Times New Roman"/>
        </w:rPr>
        <w:t xml:space="preserve"> the Councils to seek </w:t>
      </w:r>
      <w:r w:rsidR="00B044FE" w:rsidRPr="002849F1">
        <w:rPr>
          <w:rFonts w:ascii="Times New Roman" w:hAnsi="Times New Roman"/>
        </w:rPr>
        <w:t xml:space="preserve">declaratory </w:t>
      </w:r>
      <w:r w:rsidR="00BE7438" w:rsidRPr="002849F1">
        <w:rPr>
          <w:rFonts w:ascii="Times New Roman" w:hAnsi="Times New Roman"/>
        </w:rPr>
        <w:t>relief</w:t>
      </w:r>
      <w:r w:rsidR="00F70987" w:rsidRPr="002849F1">
        <w:rPr>
          <w:rFonts w:ascii="Times New Roman" w:hAnsi="Times New Roman"/>
        </w:rPr>
        <w:t xml:space="preserve"> in relation </w:t>
      </w:r>
      <w:r w:rsidR="0091111E" w:rsidRPr="002849F1">
        <w:rPr>
          <w:rFonts w:ascii="Times New Roman" w:hAnsi="Times New Roman"/>
        </w:rPr>
        <w:t xml:space="preserve">to </w:t>
      </w:r>
      <w:r w:rsidR="00F70987" w:rsidRPr="002849F1">
        <w:rPr>
          <w:rFonts w:ascii="Times New Roman" w:hAnsi="Times New Roman"/>
        </w:rPr>
        <w:t>the dispute</w:t>
      </w:r>
      <w:r w:rsidR="00BE7438" w:rsidRPr="002849F1">
        <w:rPr>
          <w:rFonts w:ascii="Times New Roman" w:hAnsi="Times New Roman"/>
        </w:rPr>
        <w:t>.</w:t>
      </w:r>
      <w:r w:rsidR="002E6C93" w:rsidRPr="002849F1">
        <w:rPr>
          <w:rFonts w:ascii="Times New Roman" w:hAnsi="Times New Roman"/>
        </w:rPr>
        <w:t xml:space="preserve"> </w:t>
      </w:r>
      <w:r w:rsidR="00BE7438" w:rsidRPr="002849F1">
        <w:rPr>
          <w:rFonts w:ascii="Times New Roman" w:hAnsi="Times New Roman"/>
        </w:rPr>
        <w:t xml:space="preserve">That is, in these appeals (but not in all cases), the answer to the question </w:t>
      </w:r>
      <w:r w:rsidR="00F81EC9" w:rsidRPr="002849F1">
        <w:rPr>
          <w:rFonts w:ascii="Times New Roman" w:hAnsi="Times New Roman"/>
        </w:rPr>
        <w:t xml:space="preserve">of whether there is a justiciable controversy </w:t>
      </w:r>
      <w:r w:rsidR="00BE7438" w:rsidRPr="002849F1">
        <w:rPr>
          <w:rFonts w:ascii="Times New Roman" w:hAnsi="Times New Roman"/>
        </w:rPr>
        <w:t>turns on whether the Councils have standing to have the dispute determined and to seek the declaratory relief sought.</w:t>
      </w:r>
    </w:p>
    <w:p w14:paraId="287AEF17" w14:textId="5FC5A40A" w:rsidR="00F81EC9" w:rsidRPr="002849F1" w:rsidRDefault="00F81EC9" w:rsidP="002849F1">
      <w:pPr>
        <w:pStyle w:val="FixListStyle"/>
        <w:spacing w:after="260" w:line="280" w:lineRule="exact"/>
        <w:ind w:right="0"/>
        <w:jc w:val="both"/>
        <w:rPr>
          <w:rFonts w:ascii="Times New Roman" w:hAnsi="Times New Roman"/>
        </w:rPr>
      </w:pPr>
      <w:r w:rsidRPr="002849F1">
        <w:rPr>
          <w:rFonts w:ascii="Times New Roman" w:hAnsi="Times New Roman"/>
        </w:rPr>
        <w:tab/>
        <w:t>The question in these appeals can be approached in this way because</w:t>
      </w:r>
      <w:r w:rsidR="001403A0" w:rsidRPr="002849F1">
        <w:rPr>
          <w:rFonts w:ascii="Times New Roman" w:hAnsi="Times New Roman"/>
        </w:rPr>
        <w:t>,</w:t>
      </w:r>
      <w:r w:rsidRPr="002849F1">
        <w:rPr>
          <w:rFonts w:ascii="Times New Roman" w:hAnsi="Times New Roman"/>
        </w:rPr>
        <w:t xml:space="preserve"> </w:t>
      </w:r>
      <w:r w:rsidR="009C7334" w:rsidRPr="002849F1">
        <w:rPr>
          <w:rFonts w:ascii="Times New Roman" w:hAnsi="Times New Roman"/>
        </w:rPr>
        <w:t>in</w:t>
      </w:r>
      <w:r w:rsidR="00512462">
        <w:rPr>
          <w:rFonts w:ascii="Times New Roman" w:hAnsi="Times New Roman"/>
        </w:rPr>
        <w:t> </w:t>
      </w:r>
      <w:r w:rsidR="009C7334" w:rsidRPr="002849F1">
        <w:rPr>
          <w:rFonts w:ascii="Times New Roman" w:hAnsi="Times New Roman"/>
        </w:rPr>
        <w:t>federal jurisdiction</w:t>
      </w:r>
      <w:r w:rsidR="001403A0" w:rsidRPr="002849F1">
        <w:rPr>
          <w:rFonts w:ascii="Times New Roman" w:hAnsi="Times New Roman"/>
        </w:rPr>
        <w:t>,</w:t>
      </w:r>
      <w:r w:rsidR="009C7334" w:rsidRPr="002849F1">
        <w:rPr>
          <w:rFonts w:ascii="Times New Roman" w:hAnsi="Times New Roman"/>
        </w:rPr>
        <w:t xml:space="preserve"> </w:t>
      </w:r>
      <w:r w:rsidR="00BE7438" w:rsidRPr="002849F1">
        <w:rPr>
          <w:rFonts w:ascii="Times New Roman" w:hAnsi="Times New Roman"/>
        </w:rPr>
        <w:t>"</w:t>
      </w:r>
      <w:r w:rsidRPr="002849F1">
        <w:rPr>
          <w:rFonts w:ascii="Times New Roman" w:hAnsi="Times New Roman"/>
        </w:rPr>
        <w:t>q</w:t>
      </w:r>
      <w:r w:rsidR="00BE7438" w:rsidRPr="002849F1">
        <w:rPr>
          <w:rFonts w:ascii="Times New Roman" w:hAnsi="Times New Roman"/>
        </w:rPr>
        <w:t>uestions of 'standing' to seek equitable remedies such as those of declaration and injunction</w:t>
      </w:r>
      <w:r w:rsidR="006937C2" w:rsidRPr="002849F1">
        <w:rPr>
          <w:rFonts w:ascii="Times New Roman" w:hAnsi="Times New Roman"/>
        </w:rPr>
        <w:t xml:space="preserve">, </w:t>
      </w:r>
      <w:r w:rsidR="004E775D" w:rsidRPr="002849F1">
        <w:rPr>
          <w:rFonts w:ascii="Times New Roman" w:hAnsi="Times New Roman"/>
        </w:rPr>
        <w:t>[</w:t>
      </w:r>
      <w:r w:rsidR="006937C2" w:rsidRPr="002849F1">
        <w:rPr>
          <w:rFonts w:ascii="Times New Roman" w:hAnsi="Times New Roman"/>
        </w:rPr>
        <w:t>when they arise,</w:t>
      </w:r>
      <w:r w:rsidR="002C6AA7" w:rsidRPr="002849F1">
        <w:rPr>
          <w:rFonts w:ascii="Times New Roman" w:hAnsi="Times New Roman"/>
        </w:rPr>
        <w:t>]</w:t>
      </w:r>
      <w:r w:rsidR="00BE7438" w:rsidRPr="002849F1">
        <w:rPr>
          <w:rFonts w:ascii="Times New Roman" w:hAnsi="Times New Roman"/>
        </w:rPr>
        <w:t xml:space="preserve"> are subsumed within the constitutional requirement of a 'matter'"</w:t>
      </w:r>
      <w:r w:rsidRPr="002849F1">
        <w:rPr>
          <w:rStyle w:val="FootnoteReference"/>
          <w:rFonts w:ascii="Times New Roman" w:hAnsi="Times New Roman"/>
          <w:sz w:val="24"/>
        </w:rPr>
        <w:footnoteReference w:id="28"/>
      </w:r>
      <w:r w:rsidRPr="002849F1">
        <w:rPr>
          <w:rFonts w:ascii="Times New Roman" w:hAnsi="Times New Roman"/>
        </w:rPr>
        <w:t>.</w:t>
      </w:r>
      <w:r w:rsidR="002E6C93" w:rsidRPr="002849F1">
        <w:rPr>
          <w:rFonts w:ascii="Times New Roman" w:hAnsi="Times New Roman"/>
        </w:rPr>
        <w:t xml:space="preserve"> </w:t>
      </w:r>
      <w:r w:rsidR="00BE7438" w:rsidRPr="002849F1">
        <w:rPr>
          <w:rFonts w:ascii="Times New Roman" w:hAnsi="Times New Roman"/>
        </w:rPr>
        <w:t xml:space="preserve">The "significance of standing to the </w:t>
      </w:r>
      <w:r w:rsidR="00BE7438" w:rsidRPr="002849F1">
        <w:rPr>
          <w:rFonts w:ascii="Times New Roman" w:hAnsi="Times New Roman"/>
        </w:rPr>
        <w:lastRenderedPageBreak/>
        <w:t>existence of a matter for the purposes of Ch III"</w:t>
      </w:r>
      <w:r w:rsidR="00F9692A" w:rsidRPr="002849F1">
        <w:rPr>
          <w:rStyle w:val="FootnoteReference"/>
          <w:rFonts w:ascii="Times New Roman" w:hAnsi="Times New Roman"/>
          <w:sz w:val="24"/>
        </w:rPr>
        <w:footnoteReference w:id="29"/>
      </w:r>
      <w:r w:rsidR="00BE7438" w:rsidRPr="002849F1">
        <w:rPr>
          <w:rFonts w:ascii="Times New Roman" w:hAnsi="Times New Roman"/>
        </w:rPr>
        <w:t xml:space="preserve"> is</w:t>
      </w:r>
      <w:proofErr w:type="gramStart"/>
      <w:r w:rsidR="00BE7438" w:rsidRPr="002849F1">
        <w:rPr>
          <w:rFonts w:ascii="Times New Roman" w:hAnsi="Times New Roman"/>
        </w:rPr>
        <w:t>, in essence, that</w:t>
      </w:r>
      <w:proofErr w:type="gramEnd"/>
      <w:r w:rsidR="00BE7438" w:rsidRPr="002849F1">
        <w:rPr>
          <w:rFonts w:ascii="Times New Roman" w:hAnsi="Times New Roman"/>
        </w:rPr>
        <w:t xml:space="preserve"> there is no "matter" "unless</w:t>
      </w:r>
      <w:r w:rsidR="00406589" w:rsidRPr="002849F1">
        <w:rPr>
          <w:rFonts w:ascii="Times New Roman" w:hAnsi="Times New Roman"/>
        </w:rPr>
        <w:t> </w:t>
      </w:r>
      <w:r w:rsidR="00BE7438" w:rsidRPr="002849F1">
        <w:rPr>
          <w:rFonts w:ascii="Times New Roman" w:hAnsi="Times New Roman"/>
        </w:rPr>
        <w:t>there is a remedy available at the suit of the person instituting the proceedings in question"</w:t>
      </w:r>
      <w:r w:rsidRPr="002849F1">
        <w:rPr>
          <w:rStyle w:val="FootnoteReference"/>
          <w:rFonts w:ascii="Times New Roman" w:hAnsi="Times New Roman"/>
          <w:sz w:val="24"/>
        </w:rPr>
        <w:footnoteReference w:id="30"/>
      </w:r>
      <w:r w:rsidRPr="002849F1">
        <w:rPr>
          <w:rFonts w:ascii="Times New Roman" w:hAnsi="Times New Roman"/>
        </w:rPr>
        <w:t>.</w:t>
      </w:r>
      <w:r w:rsidR="002E6C93" w:rsidRPr="002849F1">
        <w:rPr>
          <w:rFonts w:ascii="Times New Roman" w:hAnsi="Times New Roman"/>
        </w:rPr>
        <w:t xml:space="preserve"> </w:t>
      </w:r>
      <w:r w:rsidR="00BE7438" w:rsidRPr="002849F1">
        <w:rPr>
          <w:rFonts w:ascii="Times New Roman" w:hAnsi="Times New Roman"/>
        </w:rPr>
        <w:t>While</w:t>
      </w:r>
      <w:r w:rsidR="00992109" w:rsidRPr="002849F1">
        <w:rPr>
          <w:rFonts w:ascii="Times New Roman" w:hAnsi="Times New Roman"/>
        </w:rPr>
        <w:t> </w:t>
      </w:r>
      <w:r w:rsidR="00BE7438" w:rsidRPr="002849F1">
        <w:rPr>
          <w:rFonts w:ascii="Times New Roman" w:hAnsi="Times New Roman"/>
        </w:rPr>
        <w:t xml:space="preserve">"[a] negative answer to the question – is there a matter before the Court in which it has federal jurisdiction? – would render the question of </w:t>
      </w:r>
      <w:r w:rsidR="00057030" w:rsidRPr="002849F1">
        <w:rPr>
          <w:rFonts w:ascii="Times New Roman" w:hAnsi="Times New Roman"/>
        </w:rPr>
        <w:t xml:space="preserve">the plaintiff's </w:t>
      </w:r>
      <w:r w:rsidR="00BE7438" w:rsidRPr="002849F1">
        <w:rPr>
          <w:rFonts w:ascii="Times New Roman" w:hAnsi="Times New Roman"/>
        </w:rPr>
        <w:t>standing moot", "an</w:t>
      </w:r>
      <w:r w:rsidR="00724E78" w:rsidRPr="002849F1">
        <w:rPr>
          <w:rFonts w:ascii="Times New Roman" w:hAnsi="Times New Roman"/>
        </w:rPr>
        <w:t> </w:t>
      </w:r>
      <w:r w:rsidR="00BE7438" w:rsidRPr="002849F1">
        <w:rPr>
          <w:rFonts w:ascii="Times New Roman" w:hAnsi="Times New Roman"/>
        </w:rPr>
        <w:t>affirmative answer to the question – is there a matter? – may</w:t>
      </w:r>
      <w:r w:rsidR="00724E78" w:rsidRPr="002849F1">
        <w:rPr>
          <w:rFonts w:ascii="Times New Roman" w:hAnsi="Times New Roman"/>
        </w:rPr>
        <w:t> </w:t>
      </w:r>
      <w:r w:rsidR="00BE7438" w:rsidRPr="002849F1">
        <w:rPr>
          <w:rFonts w:ascii="Times New Roman" w:hAnsi="Times New Roman"/>
        </w:rPr>
        <w:t>not be sufficient to answer the question whether the plaintiff has standing"</w:t>
      </w:r>
      <w:r w:rsidRPr="002849F1">
        <w:rPr>
          <w:rStyle w:val="FootnoteReference"/>
          <w:rFonts w:ascii="Times New Roman" w:hAnsi="Times New Roman"/>
          <w:sz w:val="24"/>
        </w:rPr>
        <w:footnoteReference w:id="31"/>
      </w:r>
      <w:r w:rsidRPr="002849F1">
        <w:rPr>
          <w:rFonts w:ascii="Times New Roman" w:hAnsi="Times New Roman"/>
        </w:rPr>
        <w:t>.</w:t>
      </w:r>
      <w:r w:rsidR="002E6C93" w:rsidRPr="002849F1">
        <w:rPr>
          <w:rFonts w:ascii="Times New Roman" w:hAnsi="Times New Roman"/>
        </w:rPr>
        <w:t xml:space="preserve"> </w:t>
      </w:r>
      <w:r w:rsidR="00B338D3" w:rsidRPr="002849F1">
        <w:rPr>
          <w:rFonts w:ascii="Times New Roman" w:hAnsi="Times New Roman"/>
        </w:rPr>
        <w:t>I</w:t>
      </w:r>
      <w:r w:rsidR="00BE7438" w:rsidRPr="002849F1">
        <w:rPr>
          <w:rFonts w:ascii="Times New Roman" w:hAnsi="Times New Roman"/>
        </w:rPr>
        <w:t xml:space="preserve">t may be that standing to seek relief ordinarily provides the "justiciable" </w:t>
      </w:r>
      <w:r w:rsidR="0002799D" w:rsidRPr="002849F1">
        <w:rPr>
          <w:rFonts w:ascii="Times New Roman" w:hAnsi="Times New Roman"/>
        </w:rPr>
        <w:t>aspect</w:t>
      </w:r>
      <w:r w:rsidR="00BE7438" w:rsidRPr="002849F1">
        <w:rPr>
          <w:rFonts w:ascii="Times New Roman" w:hAnsi="Times New Roman"/>
        </w:rPr>
        <w:t xml:space="preserve"> of the controversy, but it is unnecessary to determine whether, in every case where an applicant has "standing", there is necessarily a "justiciable</w:t>
      </w:r>
      <w:r w:rsidR="00294C21" w:rsidRPr="002849F1">
        <w:rPr>
          <w:rFonts w:ascii="Times New Roman" w:hAnsi="Times New Roman"/>
        </w:rPr>
        <w:t> </w:t>
      </w:r>
      <w:r w:rsidR="00BE7438" w:rsidRPr="002849F1">
        <w:rPr>
          <w:rFonts w:ascii="Times New Roman" w:hAnsi="Times New Roman"/>
        </w:rPr>
        <w:t>controversy".</w:t>
      </w:r>
    </w:p>
    <w:p w14:paraId="65F6FDCF" w14:textId="7D18D656" w:rsidR="0077156C" w:rsidRPr="002849F1" w:rsidRDefault="00F81EC9" w:rsidP="002849F1">
      <w:pPr>
        <w:pStyle w:val="FixListStyle"/>
        <w:spacing w:after="260" w:line="280" w:lineRule="exact"/>
        <w:ind w:right="0"/>
        <w:jc w:val="both"/>
        <w:rPr>
          <w:rFonts w:ascii="Times New Roman" w:hAnsi="Times New Roman"/>
        </w:rPr>
      </w:pPr>
      <w:r w:rsidRPr="002849F1">
        <w:rPr>
          <w:rFonts w:ascii="Times New Roman" w:hAnsi="Times New Roman"/>
        </w:rPr>
        <w:tab/>
        <w:t xml:space="preserve">It is for those reasons that the </w:t>
      </w:r>
      <w:proofErr w:type="gramStart"/>
      <w:r w:rsidR="00CD5365" w:rsidRPr="002849F1">
        <w:rPr>
          <w:rFonts w:ascii="Times New Roman" w:hAnsi="Times New Roman"/>
        </w:rPr>
        <w:t xml:space="preserve">particular </w:t>
      </w:r>
      <w:r w:rsidRPr="002849F1">
        <w:rPr>
          <w:rFonts w:ascii="Times New Roman" w:hAnsi="Times New Roman"/>
        </w:rPr>
        <w:t>question</w:t>
      </w:r>
      <w:proofErr w:type="gramEnd"/>
      <w:r w:rsidRPr="002849F1">
        <w:rPr>
          <w:rFonts w:ascii="Times New Roman" w:hAnsi="Times New Roman"/>
        </w:rPr>
        <w:t xml:space="preserve"> in these appeals </w:t>
      </w:r>
      <w:r w:rsidR="006F1AAC" w:rsidRPr="002849F1">
        <w:rPr>
          <w:rFonts w:ascii="Times New Roman" w:hAnsi="Times New Roman"/>
        </w:rPr>
        <w:t xml:space="preserve">is </w:t>
      </w:r>
      <w:r w:rsidRPr="002849F1">
        <w:rPr>
          <w:rFonts w:ascii="Times New Roman" w:hAnsi="Times New Roman"/>
        </w:rPr>
        <w:t>whether the Councils have standing.</w:t>
      </w:r>
      <w:r w:rsidR="002E6C93" w:rsidRPr="002849F1">
        <w:rPr>
          <w:rFonts w:ascii="Times New Roman" w:hAnsi="Times New Roman"/>
        </w:rPr>
        <w:t xml:space="preserve"> </w:t>
      </w:r>
      <w:r w:rsidR="00EF6E8B" w:rsidRPr="002849F1">
        <w:rPr>
          <w:rFonts w:ascii="Times New Roman" w:hAnsi="Times New Roman"/>
        </w:rPr>
        <w:t>What is required to establish "standing" varies</w:t>
      </w:r>
      <w:r w:rsidR="007802CA">
        <w:rPr>
          <w:rFonts w:ascii="Times New Roman" w:hAnsi="Times New Roman"/>
        </w:rPr>
        <w:t> </w:t>
      </w:r>
      <w:r w:rsidR="00EF6E8B" w:rsidRPr="002849F1">
        <w:rPr>
          <w:rFonts w:ascii="Times New Roman" w:hAnsi="Times New Roman"/>
        </w:rPr>
        <w:t>depending on the relief sought</w:t>
      </w:r>
      <w:r w:rsidR="00EF6E8B" w:rsidRPr="002849F1">
        <w:rPr>
          <w:rStyle w:val="FootnoteReference"/>
          <w:rFonts w:ascii="Times New Roman" w:hAnsi="Times New Roman"/>
          <w:sz w:val="24"/>
        </w:rPr>
        <w:footnoteReference w:id="32"/>
      </w:r>
      <w:r w:rsidR="00EF6E8B" w:rsidRPr="002849F1">
        <w:rPr>
          <w:rFonts w:ascii="Times New Roman" w:hAnsi="Times New Roman"/>
        </w:rPr>
        <w:t>.</w:t>
      </w:r>
      <w:r w:rsidR="002E6C93" w:rsidRPr="002849F1">
        <w:rPr>
          <w:rFonts w:ascii="Times New Roman" w:hAnsi="Times New Roman"/>
        </w:rPr>
        <w:t xml:space="preserve"> </w:t>
      </w:r>
      <w:r w:rsidR="00EF6E8B" w:rsidRPr="002849F1">
        <w:rPr>
          <w:rFonts w:ascii="Times New Roman" w:hAnsi="Times New Roman"/>
        </w:rPr>
        <w:t>Here, the Councils seek declaratory relief.</w:t>
      </w:r>
      <w:r w:rsidR="002E6C93" w:rsidRPr="002849F1">
        <w:rPr>
          <w:rFonts w:ascii="Times New Roman" w:hAnsi="Times New Roman"/>
        </w:rPr>
        <w:t xml:space="preserve"> </w:t>
      </w:r>
      <w:r w:rsidR="00E87B93" w:rsidRPr="002849F1">
        <w:rPr>
          <w:rFonts w:ascii="Times New Roman" w:hAnsi="Times New Roman"/>
        </w:rPr>
        <w:t xml:space="preserve">The breadth of the jurisdiction to grant </w:t>
      </w:r>
      <w:r w:rsidR="008427C0" w:rsidRPr="002849F1">
        <w:rPr>
          <w:rFonts w:ascii="Times New Roman" w:hAnsi="Times New Roman"/>
        </w:rPr>
        <w:t xml:space="preserve">declaratory relief </w:t>
      </w:r>
      <w:r w:rsidR="004062B7" w:rsidRPr="002849F1">
        <w:rPr>
          <w:rFonts w:ascii="Times New Roman" w:hAnsi="Times New Roman"/>
        </w:rPr>
        <w:t xml:space="preserve">was </w:t>
      </w:r>
      <w:r w:rsidR="003614CE" w:rsidRPr="002849F1">
        <w:rPr>
          <w:rFonts w:ascii="Times New Roman" w:hAnsi="Times New Roman"/>
        </w:rPr>
        <w:t xml:space="preserve">considered by </w:t>
      </w:r>
      <w:r w:rsidR="008427C0" w:rsidRPr="002849F1">
        <w:rPr>
          <w:rFonts w:ascii="Times New Roman" w:hAnsi="Times New Roman"/>
        </w:rPr>
        <w:t>Gibbs</w:t>
      </w:r>
      <w:r w:rsidR="005B35E3">
        <w:rPr>
          <w:rFonts w:ascii="Times New Roman" w:hAnsi="Times New Roman"/>
        </w:rPr>
        <w:t> </w:t>
      </w:r>
      <w:r w:rsidR="008427C0" w:rsidRPr="002849F1">
        <w:rPr>
          <w:rFonts w:ascii="Times New Roman" w:hAnsi="Times New Roman"/>
        </w:rPr>
        <w:t>J</w:t>
      </w:r>
      <w:r w:rsidR="003614CE" w:rsidRPr="002849F1">
        <w:rPr>
          <w:rFonts w:ascii="Times New Roman" w:hAnsi="Times New Roman"/>
        </w:rPr>
        <w:t xml:space="preserve"> in </w:t>
      </w:r>
      <w:r w:rsidR="003614CE" w:rsidRPr="002849F1">
        <w:rPr>
          <w:rFonts w:ascii="Times New Roman" w:hAnsi="Times New Roman"/>
          <w:i/>
        </w:rPr>
        <w:t xml:space="preserve">Forster v </w:t>
      </w:r>
      <w:proofErr w:type="spellStart"/>
      <w:r w:rsidR="003614CE" w:rsidRPr="002849F1">
        <w:rPr>
          <w:rFonts w:ascii="Times New Roman" w:hAnsi="Times New Roman"/>
          <w:i/>
        </w:rPr>
        <w:t>Jododex</w:t>
      </w:r>
      <w:proofErr w:type="spellEnd"/>
      <w:r w:rsidR="003614CE" w:rsidRPr="002849F1">
        <w:rPr>
          <w:rFonts w:ascii="Times New Roman" w:hAnsi="Times New Roman"/>
          <w:i/>
        </w:rPr>
        <w:t xml:space="preserve"> Aust Pty Ltd</w:t>
      </w:r>
      <w:r w:rsidR="003614CE" w:rsidRPr="002849F1">
        <w:rPr>
          <w:rStyle w:val="FootnoteReference"/>
          <w:rFonts w:ascii="Times New Roman" w:hAnsi="Times New Roman"/>
          <w:sz w:val="24"/>
        </w:rPr>
        <w:footnoteReference w:id="33"/>
      </w:r>
      <w:r w:rsidR="00F009C6" w:rsidRPr="002849F1">
        <w:rPr>
          <w:rFonts w:ascii="Times New Roman" w:hAnsi="Times New Roman"/>
        </w:rPr>
        <w:t>.</w:t>
      </w:r>
      <w:r w:rsidR="002E6C93" w:rsidRPr="002849F1">
        <w:rPr>
          <w:rFonts w:ascii="Times New Roman" w:hAnsi="Times New Roman"/>
        </w:rPr>
        <w:t xml:space="preserve"> </w:t>
      </w:r>
      <w:r w:rsidR="00211A7D" w:rsidRPr="002849F1">
        <w:rPr>
          <w:rFonts w:ascii="Times New Roman" w:hAnsi="Times New Roman"/>
        </w:rPr>
        <w:t>The</w:t>
      </w:r>
      <w:r w:rsidR="00406589" w:rsidRPr="002849F1">
        <w:rPr>
          <w:rFonts w:ascii="Times New Roman" w:hAnsi="Times New Roman"/>
        </w:rPr>
        <w:t> </w:t>
      </w:r>
      <w:r w:rsidR="00211A7D" w:rsidRPr="002849F1">
        <w:rPr>
          <w:rFonts w:ascii="Times New Roman" w:hAnsi="Times New Roman"/>
        </w:rPr>
        <w:t>question must be real, not</w:t>
      </w:r>
      <w:r w:rsidR="00AE0A58" w:rsidRPr="002849F1">
        <w:rPr>
          <w:rFonts w:ascii="Times New Roman" w:hAnsi="Times New Roman"/>
        </w:rPr>
        <w:t> </w:t>
      </w:r>
      <w:r w:rsidR="00211A7D" w:rsidRPr="002849F1">
        <w:rPr>
          <w:rFonts w:ascii="Times New Roman" w:hAnsi="Times New Roman"/>
        </w:rPr>
        <w:t>theoretical.</w:t>
      </w:r>
      <w:r w:rsidR="002E6C93" w:rsidRPr="002849F1">
        <w:rPr>
          <w:rFonts w:ascii="Times New Roman" w:hAnsi="Times New Roman"/>
        </w:rPr>
        <w:t xml:space="preserve"> </w:t>
      </w:r>
      <w:r w:rsidR="00E12636" w:rsidRPr="002849F1">
        <w:rPr>
          <w:rFonts w:ascii="Times New Roman" w:hAnsi="Times New Roman"/>
        </w:rPr>
        <w:t xml:space="preserve">There must be a proper contradictor </w:t>
      </w:r>
      <w:r w:rsidR="002274BD" w:rsidRPr="002849F1">
        <w:rPr>
          <w:rFonts w:ascii="Times New Roman" w:hAnsi="Times New Roman"/>
        </w:rPr>
        <w:t>–</w:t>
      </w:r>
      <w:r w:rsidR="00E12636" w:rsidRPr="002849F1">
        <w:rPr>
          <w:rFonts w:ascii="Times New Roman" w:hAnsi="Times New Roman"/>
        </w:rPr>
        <w:t xml:space="preserve"> someone</w:t>
      </w:r>
      <w:r w:rsidR="00AE0A58" w:rsidRPr="002849F1">
        <w:rPr>
          <w:rFonts w:ascii="Times New Roman" w:hAnsi="Times New Roman"/>
        </w:rPr>
        <w:t> </w:t>
      </w:r>
      <w:r w:rsidR="00240DCF" w:rsidRPr="002849F1">
        <w:rPr>
          <w:rFonts w:ascii="Times New Roman" w:hAnsi="Times New Roman"/>
        </w:rPr>
        <w:t>presently existing who has a true interest to oppose the declaration sought.</w:t>
      </w:r>
      <w:r w:rsidR="002E6C93" w:rsidRPr="002849F1">
        <w:rPr>
          <w:rFonts w:ascii="Times New Roman" w:hAnsi="Times New Roman"/>
        </w:rPr>
        <w:t xml:space="preserve"> </w:t>
      </w:r>
      <w:r w:rsidR="00F87751" w:rsidRPr="002849F1">
        <w:rPr>
          <w:rFonts w:ascii="Times New Roman" w:hAnsi="Times New Roman"/>
        </w:rPr>
        <w:t xml:space="preserve">And </w:t>
      </w:r>
      <w:r w:rsidR="00BE7438" w:rsidRPr="002849F1">
        <w:rPr>
          <w:rFonts w:ascii="Times New Roman" w:hAnsi="Times New Roman"/>
        </w:rPr>
        <w:t xml:space="preserve">the applicant </w:t>
      </w:r>
      <w:r w:rsidR="00793148" w:rsidRPr="002849F1">
        <w:rPr>
          <w:rFonts w:ascii="Times New Roman" w:hAnsi="Times New Roman"/>
        </w:rPr>
        <w:t xml:space="preserve">must </w:t>
      </w:r>
      <w:r w:rsidR="00793148" w:rsidRPr="002849F1">
        <w:rPr>
          <w:rFonts w:ascii="Times New Roman" w:hAnsi="Times New Roman"/>
        </w:rPr>
        <w:lastRenderedPageBreak/>
        <w:t>have</w:t>
      </w:r>
      <w:r w:rsidR="00BE7438" w:rsidRPr="002849F1">
        <w:rPr>
          <w:rFonts w:ascii="Times New Roman" w:hAnsi="Times New Roman"/>
        </w:rPr>
        <w:t xml:space="preserve"> a "sufficient" or</w:t>
      </w:r>
      <w:r w:rsidR="00AE0A58" w:rsidRPr="002849F1">
        <w:rPr>
          <w:rFonts w:ascii="Times New Roman" w:hAnsi="Times New Roman"/>
        </w:rPr>
        <w:t> </w:t>
      </w:r>
      <w:r w:rsidR="00BE7438" w:rsidRPr="002849F1">
        <w:rPr>
          <w:rFonts w:ascii="Times New Roman" w:hAnsi="Times New Roman"/>
        </w:rPr>
        <w:t>"real" interest in obtaining the relief</w:t>
      </w:r>
      <w:r w:rsidR="0077156C" w:rsidRPr="002849F1">
        <w:rPr>
          <w:rStyle w:val="FootnoteReference"/>
          <w:rFonts w:ascii="Times New Roman" w:hAnsi="Times New Roman"/>
          <w:sz w:val="24"/>
        </w:rPr>
        <w:footnoteReference w:id="34"/>
      </w:r>
      <w:r w:rsidR="0077156C" w:rsidRPr="002849F1">
        <w:rPr>
          <w:rFonts w:ascii="Times New Roman" w:hAnsi="Times New Roman"/>
        </w:rPr>
        <w:t>.</w:t>
      </w:r>
      <w:r w:rsidR="002E6C93" w:rsidRPr="002849F1">
        <w:rPr>
          <w:rFonts w:ascii="Times New Roman" w:hAnsi="Times New Roman"/>
        </w:rPr>
        <w:t xml:space="preserve"> </w:t>
      </w:r>
      <w:r w:rsidR="00A377A3" w:rsidRPr="002849F1">
        <w:rPr>
          <w:rFonts w:ascii="Times New Roman" w:hAnsi="Times New Roman"/>
        </w:rPr>
        <w:t xml:space="preserve">There is no requirement that an applicant for declaratory relief </w:t>
      </w:r>
      <w:r w:rsidR="004C592E" w:rsidRPr="002849F1">
        <w:rPr>
          <w:rFonts w:ascii="Times New Roman" w:hAnsi="Times New Roman"/>
        </w:rPr>
        <w:t>have a cause of action in order to obtain it</w:t>
      </w:r>
      <w:r w:rsidR="007E3FD4" w:rsidRPr="002849F1">
        <w:rPr>
          <w:rStyle w:val="FootnoteReference"/>
          <w:rFonts w:ascii="Times New Roman" w:hAnsi="Times New Roman"/>
          <w:sz w:val="24"/>
        </w:rPr>
        <w:footnoteReference w:id="35"/>
      </w:r>
      <w:r w:rsidR="004C592E" w:rsidRPr="002849F1">
        <w:rPr>
          <w:rFonts w:ascii="Times New Roman" w:hAnsi="Times New Roman"/>
        </w:rPr>
        <w:t>.</w:t>
      </w:r>
      <w:r w:rsidR="002E6C93" w:rsidRPr="002849F1">
        <w:rPr>
          <w:rFonts w:ascii="Times New Roman" w:hAnsi="Times New Roman"/>
        </w:rPr>
        <w:t xml:space="preserve"> </w:t>
      </w:r>
      <w:r w:rsidR="00D95CD7" w:rsidRPr="002849F1">
        <w:rPr>
          <w:rFonts w:ascii="Times New Roman" w:hAnsi="Times New Roman"/>
        </w:rPr>
        <w:t>Those</w:t>
      </w:r>
      <w:r w:rsidR="0053060C" w:rsidRPr="002849F1">
        <w:rPr>
          <w:rFonts w:ascii="Times New Roman" w:hAnsi="Times New Roman"/>
        </w:rPr>
        <w:t> </w:t>
      </w:r>
      <w:r w:rsidR="00D95CD7" w:rsidRPr="002849F1">
        <w:rPr>
          <w:rFonts w:ascii="Times New Roman" w:hAnsi="Times New Roman"/>
        </w:rPr>
        <w:t>principles are not exhaustive</w:t>
      </w:r>
      <w:r w:rsidR="00D95CD7" w:rsidRPr="002849F1">
        <w:rPr>
          <w:rStyle w:val="FootnoteReference"/>
          <w:rFonts w:ascii="Times New Roman" w:hAnsi="Times New Roman"/>
          <w:sz w:val="24"/>
        </w:rPr>
        <w:footnoteReference w:id="36"/>
      </w:r>
      <w:r w:rsidR="00D95CD7" w:rsidRPr="002849F1">
        <w:rPr>
          <w:rFonts w:ascii="Times New Roman" w:hAnsi="Times New Roman"/>
        </w:rPr>
        <w:t>.</w:t>
      </w:r>
      <w:r w:rsidR="002E6C93" w:rsidRPr="002849F1">
        <w:rPr>
          <w:rFonts w:ascii="Times New Roman" w:hAnsi="Times New Roman"/>
        </w:rPr>
        <w:t xml:space="preserve"> </w:t>
      </w:r>
      <w:r w:rsidR="00270103" w:rsidRPr="002849F1">
        <w:rPr>
          <w:rFonts w:ascii="Times New Roman" w:hAnsi="Times New Roman"/>
        </w:rPr>
        <w:t>These appeals turn on the nature and adequacy of the Councils' interest in the resolution of the dispute.</w:t>
      </w:r>
    </w:p>
    <w:p w14:paraId="3A73E892" w14:textId="3AD44118" w:rsidR="006F2B7C" w:rsidRPr="002849F1" w:rsidRDefault="000C74F7" w:rsidP="002849F1">
      <w:pPr>
        <w:pStyle w:val="HeadingL3"/>
        <w:spacing w:after="260" w:line="280" w:lineRule="exact"/>
        <w:ind w:right="0"/>
        <w:jc w:val="both"/>
        <w:rPr>
          <w:rFonts w:ascii="Times New Roman" w:hAnsi="Times New Roman"/>
        </w:rPr>
      </w:pPr>
      <w:proofErr w:type="gramStart"/>
      <w:r w:rsidRPr="002849F1">
        <w:rPr>
          <w:rFonts w:ascii="Times New Roman" w:hAnsi="Times New Roman"/>
        </w:rPr>
        <w:t>Sufficient</w:t>
      </w:r>
      <w:proofErr w:type="gramEnd"/>
      <w:r w:rsidRPr="002849F1">
        <w:rPr>
          <w:rFonts w:ascii="Times New Roman" w:hAnsi="Times New Roman"/>
        </w:rPr>
        <w:t xml:space="preserve"> or real </w:t>
      </w:r>
      <w:r w:rsidR="00984D3B" w:rsidRPr="002849F1">
        <w:rPr>
          <w:rFonts w:ascii="Times New Roman" w:hAnsi="Times New Roman"/>
        </w:rPr>
        <w:t>interest</w:t>
      </w:r>
    </w:p>
    <w:p w14:paraId="61BBC488" w14:textId="769FD21F" w:rsidR="000F4654" w:rsidRPr="002849F1" w:rsidRDefault="006F2B7C"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94283A" w:rsidRPr="002849F1">
        <w:rPr>
          <w:rFonts w:ascii="Times New Roman" w:hAnsi="Times New Roman"/>
        </w:rPr>
        <w:t xml:space="preserve">The requirement that an applicant for declaratory relief have a "sufficient" or "real" interest </w:t>
      </w:r>
      <w:r w:rsidR="00BE6C3F" w:rsidRPr="002849F1">
        <w:rPr>
          <w:rFonts w:ascii="Times New Roman" w:hAnsi="Times New Roman"/>
        </w:rPr>
        <w:t>in obtaining the relief has work to do in both public and private law contexts.</w:t>
      </w:r>
      <w:r w:rsidR="002E6C93" w:rsidRPr="002849F1">
        <w:rPr>
          <w:rFonts w:ascii="Times New Roman" w:hAnsi="Times New Roman"/>
        </w:rPr>
        <w:t xml:space="preserve"> </w:t>
      </w:r>
      <w:r w:rsidR="00BE6C3F" w:rsidRPr="002849F1">
        <w:rPr>
          <w:rFonts w:ascii="Times New Roman" w:hAnsi="Times New Roman"/>
        </w:rPr>
        <w:t>"However, the requirement applies differently to different sorts of controversies"</w:t>
      </w:r>
      <w:r w:rsidR="00BE6C3F" w:rsidRPr="002849F1">
        <w:rPr>
          <w:rStyle w:val="FootnoteReference"/>
          <w:rFonts w:ascii="Times New Roman" w:hAnsi="Times New Roman"/>
          <w:sz w:val="24"/>
        </w:rPr>
        <w:footnoteReference w:id="37"/>
      </w:r>
      <w:r w:rsidR="00BE6C3F" w:rsidRPr="002849F1">
        <w:rPr>
          <w:rFonts w:ascii="Times New Roman" w:hAnsi="Times New Roman"/>
        </w:rPr>
        <w:t>.</w:t>
      </w:r>
    </w:p>
    <w:p w14:paraId="6CEC9AF8" w14:textId="0A2C839D" w:rsidR="00F86789" w:rsidRPr="002849F1" w:rsidRDefault="000F4654"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D68B1" w:rsidRPr="002849F1">
        <w:rPr>
          <w:rFonts w:ascii="Times New Roman" w:hAnsi="Times New Roman"/>
        </w:rPr>
        <w:t>In respect of private rights, t</w:t>
      </w:r>
      <w:r w:rsidR="009E4C16" w:rsidRPr="002849F1">
        <w:rPr>
          <w:rFonts w:ascii="Times New Roman" w:hAnsi="Times New Roman"/>
        </w:rPr>
        <w:t>he general principle is clear:</w:t>
      </w:r>
      <w:r w:rsidR="002E6C93" w:rsidRPr="002849F1">
        <w:rPr>
          <w:rFonts w:ascii="Times New Roman" w:hAnsi="Times New Roman"/>
        </w:rPr>
        <w:t xml:space="preserve"> </w:t>
      </w:r>
      <w:r w:rsidR="009E4C16" w:rsidRPr="002849F1">
        <w:rPr>
          <w:rFonts w:ascii="Times New Roman" w:hAnsi="Times New Roman"/>
        </w:rPr>
        <w:t>a</w:t>
      </w:r>
      <w:r w:rsidR="00C11881" w:rsidRPr="002849F1">
        <w:rPr>
          <w:rFonts w:ascii="Times New Roman" w:hAnsi="Times New Roman"/>
        </w:rPr>
        <w:t>n</w:t>
      </w:r>
      <w:r w:rsidR="003C7CE6" w:rsidRPr="002849F1">
        <w:rPr>
          <w:rFonts w:ascii="Times New Roman" w:hAnsi="Times New Roman"/>
        </w:rPr>
        <w:t> </w:t>
      </w:r>
      <w:r w:rsidR="00BE7438" w:rsidRPr="002849F1">
        <w:rPr>
          <w:rFonts w:ascii="Times New Roman" w:hAnsi="Times New Roman"/>
        </w:rPr>
        <w:t>applicant for declaratory relief will have a "sufficient" or "real" interest i</w:t>
      </w:r>
      <w:r w:rsidR="00DB5992" w:rsidRPr="002849F1">
        <w:rPr>
          <w:rFonts w:ascii="Times New Roman" w:hAnsi="Times New Roman"/>
        </w:rPr>
        <w:t>n</w:t>
      </w:r>
      <w:r w:rsidR="00BE7438" w:rsidRPr="002849F1">
        <w:rPr>
          <w:rFonts w:ascii="Times New Roman" w:hAnsi="Times New Roman"/>
        </w:rPr>
        <w:t xml:space="preserve"> obtaining relief </w:t>
      </w:r>
      <w:r w:rsidR="00DE0876" w:rsidRPr="002849F1">
        <w:rPr>
          <w:rFonts w:ascii="Times New Roman" w:hAnsi="Times New Roman"/>
        </w:rPr>
        <w:t xml:space="preserve">where </w:t>
      </w:r>
      <w:r w:rsidR="00BE7438" w:rsidRPr="002849F1">
        <w:rPr>
          <w:rFonts w:ascii="Times New Roman" w:hAnsi="Times New Roman"/>
        </w:rPr>
        <w:t>it pertains to declaring the existence of legally enforceable rights or liabilities of the applicant</w:t>
      </w:r>
      <w:r w:rsidR="00C03D62" w:rsidRPr="002849F1">
        <w:rPr>
          <w:rFonts w:ascii="Times New Roman" w:hAnsi="Times New Roman"/>
        </w:rPr>
        <w:t>,</w:t>
      </w:r>
      <w:r w:rsidR="00BE7438" w:rsidRPr="002849F1">
        <w:rPr>
          <w:rFonts w:ascii="Times New Roman" w:hAnsi="Times New Roman"/>
        </w:rPr>
        <w:t xml:space="preserve"> </w:t>
      </w:r>
      <w:r w:rsidR="00DE0876" w:rsidRPr="002849F1">
        <w:rPr>
          <w:rFonts w:ascii="Times New Roman" w:hAnsi="Times New Roman"/>
        </w:rPr>
        <w:t>including statutory rights</w:t>
      </w:r>
      <w:r w:rsidR="00F9658E" w:rsidRPr="002849F1">
        <w:rPr>
          <w:rStyle w:val="FootnoteReference"/>
          <w:rFonts w:ascii="Times New Roman" w:hAnsi="Times New Roman"/>
          <w:sz w:val="24"/>
        </w:rPr>
        <w:footnoteReference w:id="38"/>
      </w:r>
      <w:r w:rsidR="00BE7438" w:rsidRPr="002849F1">
        <w:rPr>
          <w:rFonts w:ascii="Times New Roman" w:hAnsi="Times New Roman"/>
        </w:rPr>
        <w:t>.</w:t>
      </w:r>
      <w:r w:rsidR="002E6C93" w:rsidRPr="002849F1">
        <w:rPr>
          <w:rFonts w:ascii="Times New Roman" w:hAnsi="Times New Roman"/>
        </w:rPr>
        <w:t xml:space="preserve"> </w:t>
      </w:r>
      <w:r w:rsidR="00FE7E8C" w:rsidRPr="002849F1">
        <w:rPr>
          <w:rFonts w:ascii="Times New Roman" w:hAnsi="Times New Roman"/>
        </w:rPr>
        <w:t>H</w:t>
      </w:r>
      <w:r w:rsidR="006E7105" w:rsidRPr="002849F1">
        <w:rPr>
          <w:rFonts w:ascii="Times New Roman" w:hAnsi="Times New Roman"/>
        </w:rPr>
        <w:t>ere</w:t>
      </w:r>
      <w:r w:rsidR="00D34AE5" w:rsidRPr="002849F1">
        <w:rPr>
          <w:rFonts w:ascii="Times New Roman" w:hAnsi="Times New Roman"/>
        </w:rPr>
        <w:t>,</w:t>
      </w:r>
      <w:r w:rsidR="00AE0A58" w:rsidRPr="002849F1">
        <w:rPr>
          <w:rFonts w:ascii="Times New Roman" w:hAnsi="Times New Roman"/>
        </w:rPr>
        <w:t> </w:t>
      </w:r>
      <w:r w:rsidR="00D34AE5" w:rsidRPr="002849F1">
        <w:rPr>
          <w:rFonts w:ascii="Times New Roman" w:hAnsi="Times New Roman"/>
        </w:rPr>
        <w:t>t</w:t>
      </w:r>
      <w:r w:rsidR="00BE7438" w:rsidRPr="002849F1">
        <w:rPr>
          <w:rFonts w:ascii="Times New Roman" w:hAnsi="Times New Roman"/>
        </w:rPr>
        <w:t>he</w:t>
      </w:r>
      <w:r w:rsidR="00AE0A58" w:rsidRPr="002849F1">
        <w:rPr>
          <w:rFonts w:ascii="Times New Roman" w:hAnsi="Times New Roman"/>
        </w:rPr>
        <w:t> </w:t>
      </w:r>
      <w:r w:rsidR="00BE7438" w:rsidRPr="002849F1">
        <w:rPr>
          <w:rFonts w:ascii="Times New Roman" w:hAnsi="Times New Roman"/>
        </w:rPr>
        <w:t xml:space="preserve">Councils did not assert that they had any legally enforceable </w:t>
      </w:r>
      <w:r w:rsidR="00AE22B7" w:rsidRPr="002849F1">
        <w:rPr>
          <w:rFonts w:ascii="Times New Roman" w:hAnsi="Times New Roman"/>
        </w:rPr>
        <w:t xml:space="preserve">contractual </w:t>
      </w:r>
      <w:r w:rsidR="00BE7438" w:rsidRPr="002849F1">
        <w:rPr>
          <w:rFonts w:ascii="Times New Roman" w:hAnsi="Times New Roman"/>
        </w:rPr>
        <w:t xml:space="preserve">rights under the </w:t>
      </w:r>
      <w:r w:rsidR="0077156C" w:rsidRPr="002849F1">
        <w:rPr>
          <w:rFonts w:ascii="Times New Roman" w:hAnsi="Times New Roman"/>
        </w:rPr>
        <w:t>L</w:t>
      </w:r>
      <w:r w:rsidR="00BE7438" w:rsidRPr="002849F1">
        <w:rPr>
          <w:rFonts w:ascii="Times New Roman" w:hAnsi="Times New Roman"/>
        </w:rPr>
        <w:t xml:space="preserve">eases </w:t>
      </w:r>
      <w:r w:rsidR="00870E33" w:rsidRPr="002849F1">
        <w:rPr>
          <w:rFonts w:ascii="Times New Roman" w:hAnsi="Times New Roman"/>
        </w:rPr>
        <w:t xml:space="preserve">or any </w:t>
      </w:r>
      <w:r w:rsidR="00870E33" w:rsidRPr="002849F1">
        <w:rPr>
          <w:rFonts w:ascii="Times New Roman" w:hAnsi="Times New Roman"/>
        </w:rPr>
        <w:lastRenderedPageBreak/>
        <w:t xml:space="preserve">statutory right which they could enforce </w:t>
      </w:r>
      <w:r w:rsidR="00BE7438" w:rsidRPr="002849F1">
        <w:rPr>
          <w:rFonts w:ascii="Times New Roman" w:hAnsi="Times New Roman"/>
        </w:rPr>
        <w:t xml:space="preserve">and, at least in the proceedings below, </w:t>
      </w:r>
      <w:r w:rsidR="00701945" w:rsidRPr="002849F1">
        <w:rPr>
          <w:rFonts w:ascii="Times New Roman" w:hAnsi="Times New Roman"/>
        </w:rPr>
        <w:t xml:space="preserve">they </w:t>
      </w:r>
      <w:r w:rsidR="00BE7438" w:rsidRPr="002849F1">
        <w:rPr>
          <w:rFonts w:ascii="Times New Roman" w:hAnsi="Times New Roman"/>
        </w:rPr>
        <w:t>disavowed that they enjoy</w:t>
      </w:r>
      <w:r w:rsidR="0077156C" w:rsidRPr="002849F1">
        <w:rPr>
          <w:rFonts w:ascii="Times New Roman" w:hAnsi="Times New Roman"/>
        </w:rPr>
        <w:t>ed</w:t>
      </w:r>
      <w:r w:rsidR="00BE7438" w:rsidRPr="002849F1">
        <w:rPr>
          <w:rFonts w:ascii="Times New Roman" w:hAnsi="Times New Roman"/>
        </w:rPr>
        <w:t xml:space="preserve"> the benefit of a contractual promise held on trust</w:t>
      </w:r>
      <w:r w:rsidR="0077156C" w:rsidRPr="002849F1">
        <w:rPr>
          <w:rFonts w:ascii="Times New Roman" w:hAnsi="Times New Roman"/>
          <w:bCs/>
        </w:rPr>
        <w:t>.</w:t>
      </w:r>
      <w:r w:rsidR="002E6C93" w:rsidRPr="002849F1">
        <w:rPr>
          <w:rFonts w:ascii="Times New Roman" w:hAnsi="Times New Roman"/>
        </w:rPr>
        <w:t xml:space="preserve"> </w:t>
      </w:r>
    </w:p>
    <w:p w14:paraId="1F2E16EE" w14:textId="1C7A7FB7" w:rsidR="00171C7A" w:rsidRPr="002849F1" w:rsidRDefault="00C50E27"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646FB9" w:rsidRPr="002849F1">
        <w:rPr>
          <w:rFonts w:ascii="Times New Roman" w:hAnsi="Times New Roman"/>
        </w:rPr>
        <w:t xml:space="preserve">Although lack of privity is a factor relevant to standing and a reason for a court approaching the question of the standing of an outsider with </w:t>
      </w:r>
      <w:r w:rsidR="00EC5DB1" w:rsidRPr="002849F1">
        <w:rPr>
          <w:rFonts w:ascii="Times New Roman" w:hAnsi="Times New Roman"/>
        </w:rPr>
        <w:t xml:space="preserve">considerable </w:t>
      </w:r>
      <w:r w:rsidR="00646FB9" w:rsidRPr="002849F1">
        <w:rPr>
          <w:rFonts w:ascii="Times New Roman" w:hAnsi="Times New Roman"/>
        </w:rPr>
        <w:t>caution</w:t>
      </w:r>
      <w:r w:rsidR="00646FB9" w:rsidRPr="002849F1">
        <w:rPr>
          <w:rStyle w:val="FootnoteReference"/>
          <w:rFonts w:ascii="Times New Roman" w:hAnsi="Times New Roman"/>
          <w:sz w:val="24"/>
        </w:rPr>
        <w:footnoteReference w:id="39"/>
      </w:r>
      <w:r w:rsidR="00602749" w:rsidRPr="002849F1">
        <w:rPr>
          <w:rFonts w:ascii="Times New Roman" w:hAnsi="Times New Roman"/>
        </w:rPr>
        <w:t>,</w:t>
      </w:r>
      <w:r w:rsidR="004B1F37">
        <w:rPr>
          <w:rFonts w:ascii="Times New Roman" w:hAnsi="Times New Roman"/>
        </w:rPr>
        <w:t> </w:t>
      </w:r>
      <w:r w:rsidR="000B4EE8" w:rsidRPr="002849F1">
        <w:rPr>
          <w:rFonts w:ascii="Times New Roman" w:hAnsi="Times New Roman"/>
        </w:rPr>
        <w:t>an</w:t>
      </w:r>
      <w:r w:rsidR="004B1F37">
        <w:rPr>
          <w:rFonts w:ascii="Times New Roman" w:hAnsi="Times New Roman"/>
        </w:rPr>
        <w:t> </w:t>
      </w:r>
      <w:r w:rsidR="000B4EE8" w:rsidRPr="002849F1">
        <w:rPr>
          <w:rFonts w:ascii="Times New Roman" w:hAnsi="Times New Roman"/>
        </w:rPr>
        <w:t>outsider to a contract may, "for</w:t>
      </w:r>
      <w:r w:rsidR="000F4654" w:rsidRPr="002849F1">
        <w:rPr>
          <w:rFonts w:ascii="Times New Roman" w:hAnsi="Times New Roman"/>
        </w:rPr>
        <w:t> </w:t>
      </w:r>
      <w:r w:rsidR="000B4EE8" w:rsidRPr="002849F1">
        <w:rPr>
          <w:rFonts w:ascii="Times New Roman" w:hAnsi="Times New Roman"/>
        </w:rPr>
        <w:t>other reasons"</w:t>
      </w:r>
      <w:r w:rsidR="000B4EE8" w:rsidRPr="002849F1">
        <w:rPr>
          <w:rStyle w:val="FootnoteReference"/>
          <w:rFonts w:ascii="Times New Roman" w:hAnsi="Times New Roman"/>
          <w:sz w:val="24"/>
        </w:rPr>
        <w:footnoteReference w:id="40"/>
      </w:r>
      <w:r w:rsidR="007B170B" w:rsidRPr="002849F1">
        <w:rPr>
          <w:rFonts w:ascii="Times New Roman" w:hAnsi="Times New Roman"/>
        </w:rPr>
        <w:t xml:space="preserve"> – </w:t>
      </w:r>
      <w:r w:rsidR="001A2C46" w:rsidRPr="002849F1">
        <w:rPr>
          <w:rFonts w:ascii="Times New Roman" w:hAnsi="Times New Roman"/>
        </w:rPr>
        <w:t>what might be</w:t>
      </w:r>
      <w:r w:rsidR="007B170B" w:rsidRPr="002849F1">
        <w:rPr>
          <w:rFonts w:ascii="Times New Roman" w:hAnsi="Times New Roman"/>
        </w:rPr>
        <w:t xml:space="preserve"> described as "exceptional circumstances</w:t>
      </w:r>
      <w:r w:rsidR="00E32017" w:rsidRPr="002849F1">
        <w:rPr>
          <w:rFonts w:ascii="Times New Roman" w:hAnsi="Times New Roman"/>
        </w:rPr>
        <w:t>"</w:t>
      </w:r>
      <w:r w:rsidR="007B170B" w:rsidRPr="002849F1">
        <w:rPr>
          <w:rStyle w:val="FootnoteReference"/>
          <w:rFonts w:ascii="Times New Roman" w:hAnsi="Times New Roman"/>
          <w:sz w:val="24"/>
        </w:rPr>
        <w:footnoteReference w:id="41"/>
      </w:r>
      <w:r w:rsidR="007B170B" w:rsidRPr="002849F1">
        <w:rPr>
          <w:rFonts w:ascii="Times New Roman" w:hAnsi="Times New Roman"/>
        </w:rPr>
        <w:t xml:space="preserve"> –</w:t>
      </w:r>
      <w:r w:rsidR="000B4EE8" w:rsidRPr="002849F1">
        <w:rPr>
          <w:rFonts w:ascii="Times New Roman" w:hAnsi="Times New Roman"/>
        </w:rPr>
        <w:t xml:space="preserve"> </w:t>
      </w:r>
      <w:r w:rsidR="00B32BCD" w:rsidRPr="002849F1">
        <w:rPr>
          <w:rFonts w:ascii="Times New Roman" w:hAnsi="Times New Roman"/>
        </w:rPr>
        <w:t>ha</w:t>
      </w:r>
      <w:r w:rsidR="000B4EE8" w:rsidRPr="002849F1">
        <w:rPr>
          <w:rFonts w:ascii="Times New Roman" w:hAnsi="Times New Roman"/>
        </w:rPr>
        <w:t>ve</w:t>
      </w:r>
      <w:r w:rsidR="00171C7A" w:rsidRPr="002849F1">
        <w:rPr>
          <w:rFonts w:ascii="Times New Roman" w:hAnsi="Times New Roman"/>
        </w:rPr>
        <w:t xml:space="preserve"> a </w:t>
      </w:r>
      <w:r w:rsidR="00D360C9" w:rsidRPr="002849F1">
        <w:rPr>
          <w:rFonts w:ascii="Times New Roman" w:hAnsi="Times New Roman"/>
        </w:rPr>
        <w:t xml:space="preserve">"sufficient" or "real" </w:t>
      </w:r>
      <w:r w:rsidR="00171C7A" w:rsidRPr="002849F1">
        <w:rPr>
          <w:rFonts w:ascii="Times New Roman" w:hAnsi="Times New Roman"/>
        </w:rPr>
        <w:t>interest</w:t>
      </w:r>
      <w:r w:rsidR="000F4B5C" w:rsidRPr="002849F1">
        <w:rPr>
          <w:rFonts w:ascii="Times New Roman" w:hAnsi="Times New Roman"/>
        </w:rPr>
        <w:t xml:space="preserve"> </w:t>
      </w:r>
      <w:r w:rsidR="00880C37" w:rsidRPr="002849F1">
        <w:rPr>
          <w:rFonts w:ascii="Times New Roman" w:hAnsi="Times New Roman"/>
        </w:rPr>
        <w:t>to seek declaratory relief as to the meaning and effect of a contract between contracting parties</w:t>
      </w:r>
      <w:r w:rsidR="00171C7A" w:rsidRPr="002849F1">
        <w:rPr>
          <w:rFonts w:ascii="Times New Roman" w:hAnsi="Times New Roman"/>
        </w:rPr>
        <w:t>.</w:t>
      </w:r>
      <w:r w:rsidR="002E6C93" w:rsidRPr="002849F1">
        <w:rPr>
          <w:rFonts w:ascii="Times New Roman" w:hAnsi="Times New Roman"/>
        </w:rPr>
        <w:t xml:space="preserve"> </w:t>
      </w:r>
      <w:r w:rsidR="00171C7A" w:rsidRPr="002849F1">
        <w:rPr>
          <w:rFonts w:ascii="Times New Roman" w:hAnsi="Times New Roman"/>
        </w:rPr>
        <w:t>As the Full Court put it below, "there</w:t>
      </w:r>
      <w:r w:rsidR="00365703" w:rsidRPr="002849F1">
        <w:rPr>
          <w:rFonts w:ascii="Times New Roman" w:hAnsi="Times New Roman"/>
        </w:rPr>
        <w:t> </w:t>
      </w:r>
      <w:r w:rsidR="00171C7A" w:rsidRPr="002849F1">
        <w:rPr>
          <w:rFonts w:ascii="Times New Roman" w:hAnsi="Times New Roman"/>
        </w:rPr>
        <w:t>is reason to be concerned as to the potential for what might be described as unfounded intermeddling by a third party to a contract.</w:t>
      </w:r>
      <w:r w:rsidR="002E6C93" w:rsidRPr="002849F1">
        <w:rPr>
          <w:rFonts w:ascii="Times New Roman" w:hAnsi="Times New Roman"/>
        </w:rPr>
        <w:t xml:space="preserve"> </w:t>
      </w:r>
      <w:r w:rsidR="00171C7A" w:rsidRPr="002849F1">
        <w:rPr>
          <w:rFonts w:ascii="Times New Roman" w:hAnsi="Times New Roman"/>
        </w:rPr>
        <w:t>But, in the context of declaratory relief, the solution to that concern is not the doctrine of privity of contract"</w:t>
      </w:r>
      <w:r w:rsidR="005E2FD4" w:rsidRPr="002849F1">
        <w:rPr>
          <w:rStyle w:val="FootnoteReference"/>
          <w:rFonts w:ascii="Times New Roman" w:hAnsi="Times New Roman"/>
          <w:sz w:val="24"/>
        </w:rPr>
        <w:footnoteReference w:id="42"/>
      </w:r>
      <w:r w:rsidR="00171C7A" w:rsidRPr="002849F1">
        <w:rPr>
          <w:rFonts w:ascii="Times New Roman" w:hAnsi="Times New Roman"/>
        </w:rPr>
        <w:t>.</w:t>
      </w:r>
      <w:r w:rsidR="002E6C93" w:rsidRPr="002849F1">
        <w:rPr>
          <w:rFonts w:ascii="Times New Roman" w:hAnsi="Times New Roman"/>
        </w:rPr>
        <w:t xml:space="preserve"> </w:t>
      </w:r>
    </w:p>
    <w:p w14:paraId="68FEF0A4" w14:textId="02C6239B" w:rsidR="00C90587" w:rsidRPr="002849F1" w:rsidRDefault="0077156C" w:rsidP="002849F1">
      <w:pPr>
        <w:pStyle w:val="FixListStyle"/>
        <w:spacing w:after="260" w:line="280" w:lineRule="exact"/>
        <w:ind w:right="0"/>
        <w:jc w:val="both"/>
        <w:rPr>
          <w:rFonts w:ascii="Times New Roman" w:hAnsi="Times New Roman"/>
        </w:rPr>
      </w:pPr>
      <w:r w:rsidRPr="002849F1">
        <w:rPr>
          <w:rFonts w:ascii="Times New Roman" w:hAnsi="Times New Roman"/>
        </w:rPr>
        <w:lastRenderedPageBreak/>
        <w:tab/>
      </w:r>
      <w:r w:rsidR="0022219A" w:rsidRPr="002849F1">
        <w:rPr>
          <w:rFonts w:ascii="Times New Roman" w:hAnsi="Times New Roman"/>
        </w:rPr>
        <w:t xml:space="preserve">In </w:t>
      </w:r>
      <w:r w:rsidR="0022219A" w:rsidRPr="002849F1">
        <w:rPr>
          <w:rFonts w:ascii="Times New Roman" w:hAnsi="Times New Roman"/>
          <w:i/>
        </w:rPr>
        <w:t>Edwards v Santos Ltd</w:t>
      </w:r>
      <w:r w:rsidR="0022219A" w:rsidRPr="002849F1">
        <w:rPr>
          <w:rStyle w:val="FootnoteReference"/>
          <w:rFonts w:ascii="Times New Roman" w:hAnsi="Times New Roman"/>
          <w:sz w:val="24"/>
        </w:rPr>
        <w:footnoteReference w:id="43"/>
      </w:r>
      <w:r w:rsidR="0022219A" w:rsidRPr="002849F1">
        <w:rPr>
          <w:rFonts w:ascii="Times New Roman" w:hAnsi="Times New Roman"/>
        </w:rPr>
        <w:t xml:space="preserve">, </w:t>
      </w:r>
      <w:proofErr w:type="spellStart"/>
      <w:r w:rsidR="00207E2D" w:rsidRPr="002849F1">
        <w:rPr>
          <w:rFonts w:ascii="Times New Roman" w:hAnsi="Times New Roman"/>
        </w:rPr>
        <w:t>Heydon</w:t>
      </w:r>
      <w:proofErr w:type="spellEnd"/>
      <w:r w:rsidR="00207E2D" w:rsidRPr="002849F1">
        <w:rPr>
          <w:rFonts w:ascii="Times New Roman" w:hAnsi="Times New Roman"/>
        </w:rPr>
        <w:t xml:space="preserve"> J </w:t>
      </w:r>
      <w:r w:rsidR="00827E75" w:rsidRPr="002849F1">
        <w:rPr>
          <w:rFonts w:ascii="Times New Roman" w:hAnsi="Times New Roman"/>
        </w:rPr>
        <w:t xml:space="preserve">referred to the decision of </w:t>
      </w:r>
      <w:r w:rsidR="0000379D" w:rsidRPr="002849F1">
        <w:rPr>
          <w:rFonts w:ascii="Times New Roman" w:hAnsi="Times New Roman"/>
        </w:rPr>
        <w:t xml:space="preserve">the Full Court of the Federal Court </w:t>
      </w:r>
      <w:r w:rsidR="00827E75" w:rsidRPr="002849F1">
        <w:rPr>
          <w:rFonts w:ascii="Times New Roman" w:hAnsi="Times New Roman"/>
        </w:rPr>
        <w:t>i</w:t>
      </w:r>
      <w:r w:rsidR="00BE7438" w:rsidRPr="002849F1">
        <w:rPr>
          <w:rFonts w:ascii="Times New Roman" w:hAnsi="Times New Roman"/>
        </w:rPr>
        <w:t xml:space="preserve">n </w:t>
      </w:r>
      <w:r w:rsidR="00BE7438" w:rsidRPr="002849F1">
        <w:rPr>
          <w:rFonts w:ascii="Times New Roman" w:hAnsi="Times New Roman"/>
          <w:i/>
        </w:rPr>
        <w:t>Aussie Airlines</w:t>
      </w:r>
      <w:r w:rsidR="00B76856" w:rsidRPr="002849F1">
        <w:rPr>
          <w:rFonts w:ascii="Times New Roman" w:hAnsi="Times New Roman"/>
          <w:i/>
        </w:rPr>
        <w:t xml:space="preserve"> Pty Ltd v Australian Airlines Ltd</w:t>
      </w:r>
      <w:r w:rsidR="00B76856" w:rsidRPr="002849F1">
        <w:rPr>
          <w:rStyle w:val="FootnoteReference"/>
          <w:rFonts w:ascii="Times New Roman" w:hAnsi="Times New Roman"/>
          <w:sz w:val="24"/>
        </w:rPr>
        <w:footnoteReference w:id="44"/>
      </w:r>
      <w:r w:rsidR="00827E75" w:rsidRPr="002849F1">
        <w:rPr>
          <w:rFonts w:ascii="Times New Roman" w:hAnsi="Times New Roman"/>
        </w:rPr>
        <w:t xml:space="preserve"> as an example of </w:t>
      </w:r>
      <w:r w:rsidR="008B71C6" w:rsidRPr="002849F1">
        <w:rPr>
          <w:rFonts w:ascii="Times New Roman" w:hAnsi="Times New Roman"/>
        </w:rPr>
        <w:t xml:space="preserve">how a person (in that case, an outsider to a contract) </w:t>
      </w:r>
      <w:r w:rsidR="001B0FA3" w:rsidRPr="002849F1">
        <w:rPr>
          <w:rFonts w:ascii="Times New Roman" w:hAnsi="Times New Roman"/>
        </w:rPr>
        <w:t xml:space="preserve">can have standing to obtain a declaration and how a court can have jurisdiction to grant a </w:t>
      </w:r>
      <w:r w:rsidR="00DE1307" w:rsidRPr="002849F1">
        <w:rPr>
          <w:rFonts w:ascii="Times New Roman" w:hAnsi="Times New Roman"/>
        </w:rPr>
        <w:t>declaration</w:t>
      </w:r>
      <w:r w:rsidR="001678DA" w:rsidRPr="002849F1">
        <w:rPr>
          <w:rFonts w:ascii="Times New Roman" w:hAnsi="Times New Roman"/>
        </w:rPr>
        <w:t xml:space="preserve"> </w:t>
      </w:r>
      <w:r w:rsidR="008B71C6" w:rsidRPr="002849F1">
        <w:rPr>
          <w:rFonts w:ascii="Times New Roman" w:hAnsi="Times New Roman"/>
        </w:rPr>
        <w:t>(</w:t>
      </w:r>
      <w:r w:rsidR="00A9463D" w:rsidRPr="002849F1">
        <w:rPr>
          <w:rFonts w:ascii="Times New Roman" w:hAnsi="Times New Roman"/>
        </w:rPr>
        <w:t xml:space="preserve">relevantly, </w:t>
      </w:r>
      <w:r w:rsidR="001678DA" w:rsidRPr="002849F1">
        <w:rPr>
          <w:rFonts w:ascii="Times New Roman" w:hAnsi="Times New Roman"/>
        </w:rPr>
        <w:t>in relation to the contract</w:t>
      </w:r>
      <w:r w:rsidR="008B71C6" w:rsidRPr="002849F1">
        <w:rPr>
          <w:rFonts w:ascii="Times New Roman" w:hAnsi="Times New Roman"/>
        </w:rPr>
        <w:t>)</w:t>
      </w:r>
      <w:r w:rsidR="00DE1307" w:rsidRPr="002849F1">
        <w:rPr>
          <w:rFonts w:ascii="Times New Roman" w:hAnsi="Times New Roman"/>
        </w:rPr>
        <w:t>.</w:t>
      </w:r>
      <w:r w:rsidR="002E6C93" w:rsidRPr="002849F1">
        <w:rPr>
          <w:rFonts w:ascii="Times New Roman" w:hAnsi="Times New Roman"/>
        </w:rPr>
        <w:t xml:space="preserve"> </w:t>
      </w:r>
      <w:r w:rsidR="00F55272" w:rsidRPr="002849F1">
        <w:rPr>
          <w:rFonts w:ascii="Times New Roman" w:hAnsi="Times New Roman"/>
        </w:rPr>
        <w:t>In</w:t>
      </w:r>
      <w:r w:rsidR="00B82A48" w:rsidRPr="002849F1">
        <w:rPr>
          <w:rFonts w:ascii="Times New Roman" w:hAnsi="Times New Roman"/>
        </w:rPr>
        <w:t xml:space="preserve"> </w:t>
      </w:r>
      <w:r w:rsidR="00B82A48" w:rsidRPr="002849F1">
        <w:rPr>
          <w:rFonts w:ascii="Times New Roman" w:hAnsi="Times New Roman"/>
          <w:i/>
        </w:rPr>
        <w:t>Aussie Airlines</w:t>
      </w:r>
      <w:r w:rsidR="00F55272" w:rsidRPr="002849F1">
        <w:rPr>
          <w:rFonts w:ascii="Times New Roman" w:hAnsi="Times New Roman"/>
        </w:rPr>
        <w:t>, head leases of airport facilities required the head lessee to grant a sublease to any "new entrant</w:t>
      </w:r>
      <w:r w:rsidR="00D304B5" w:rsidRPr="002849F1">
        <w:rPr>
          <w:rFonts w:ascii="Times New Roman" w:hAnsi="Times New Roman"/>
        </w:rPr>
        <w:t xml:space="preserve"> to the domestic aviation industry"</w:t>
      </w:r>
      <w:r w:rsidR="006C0FBF" w:rsidRPr="002849F1">
        <w:rPr>
          <w:rStyle w:val="FootnoteReference"/>
          <w:rFonts w:ascii="Times New Roman" w:hAnsi="Times New Roman"/>
          <w:sz w:val="24"/>
        </w:rPr>
        <w:footnoteReference w:id="45"/>
      </w:r>
      <w:r w:rsidR="00D304B5" w:rsidRPr="002849F1">
        <w:rPr>
          <w:rFonts w:ascii="Times New Roman" w:hAnsi="Times New Roman"/>
        </w:rPr>
        <w:t>.</w:t>
      </w:r>
      <w:r w:rsidR="002E6C93" w:rsidRPr="002849F1">
        <w:rPr>
          <w:rFonts w:ascii="Times New Roman" w:hAnsi="Times New Roman"/>
        </w:rPr>
        <w:t xml:space="preserve"> </w:t>
      </w:r>
      <w:r w:rsidR="00D304B5" w:rsidRPr="002849F1">
        <w:rPr>
          <w:rFonts w:ascii="Times New Roman" w:hAnsi="Times New Roman"/>
        </w:rPr>
        <w:t xml:space="preserve">Aussie Airlines </w:t>
      </w:r>
      <w:r w:rsidR="005B539A" w:rsidRPr="002849F1">
        <w:rPr>
          <w:rFonts w:ascii="Times New Roman" w:hAnsi="Times New Roman"/>
        </w:rPr>
        <w:t xml:space="preserve">Pty Ltd </w:t>
      </w:r>
      <w:r w:rsidR="00D304B5" w:rsidRPr="002849F1">
        <w:rPr>
          <w:rFonts w:ascii="Times New Roman" w:hAnsi="Times New Roman"/>
        </w:rPr>
        <w:t>claimed to be a "new</w:t>
      </w:r>
      <w:r w:rsidR="00353C21" w:rsidRPr="002849F1">
        <w:rPr>
          <w:rFonts w:ascii="Times New Roman" w:hAnsi="Times New Roman"/>
        </w:rPr>
        <w:t> </w:t>
      </w:r>
      <w:r w:rsidR="00D304B5" w:rsidRPr="002849F1">
        <w:rPr>
          <w:rFonts w:ascii="Times New Roman" w:hAnsi="Times New Roman"/>
        </w:rPr>
        <w:t>entrant</w:t>
      </w:r>
      <w:r w:rsidR="00284C8B" w:rsidRPr="002849F1">
        <w:rPr>
          <w:rFonts w:ascii="Times New Roman" w:hAnsi="Times New Roman"/>
        </w:rPr>
        <w:t xml:space="preserve"> to the domestic aviation industry</w:t>
      </w:r>
      <w:r w:rsidR="00D304B5" w:rsidRPr="002849F1">
        <w:rPr>
          <w:rFonts w:ascii="Times New Roman" w:hAnsi="Times New Roman"/>
        </w:rPr>
        <w:t>"</w:t>
      </w:r>
      <w:r w:rsidR="00284C8B" w:rsidRPr="002849F1">
        <w:rPr>
          <w:rStyle w:val="FootnoteReference"/>
          <w:rFonts w:ascii="Times New Roman" w:hAnsi="Times New Roman"/>
          <w:sz w:val="24"/>
        </w:rPr>
        <w:footnoteReference w:id="46"/>
      </w:r>
      <w:r w:rsidR="00183D15" w:rsidRPr="002849F1">
        <w:rPr>
          <w:rFonts w:ascii="Times New Roman" w:hAnsi="Times New Roman"/>
        </w:rPr>
        <w:t>.</w:t>
      </w:r>
      <w:r w:rsidR="002E6C93" w:rsidRPr="002849F1">
        <w:rPr>
          <w:rFonts w:ascii="Times New Roman" w:hAnsi="Times New Roman"/>
        </w:rPr>
        <w:t xml:space="preserve"> </w:t>
      </w:r>
      <w:r w:rsidR="00183D15" w:rsidRPr="002849F1">
        <w:rPr>
          <w:rFonts w:ascii="Times New Roman" w:hAnsi="Times New Roman"/>
        </w:rPr>
        <w:t xml:space="preserve">The </w:t>
      </w:r>
      <w:r w:rsidR="00207E2D" w:rsidRPr="002849F1">
        <w:rPr>
          <w:rFonts w:ascii="Times New Roman" w:hAnsi="Times New Roman"/>
        </w:rPr>
        <w:t xml:space="preserve">Full </w:t>
      </w:r>
      <w:r w:rsidR="00183D15" w:rsidRPr="002849F1">
        <w:rPr>
          <w:rFonts w:ascii="Times New Roman" w:hAnsi="Times New Roman"/>
        </w:rPr>
        <w:t>Court</w:t>
      </w:r>
      <w:r w:rsidR="00513576" w:rsidRPr="002849F1">
        <w:rPr>
          <w:rFonts w:ascii="Times New Roman" w:hAnsi="Times New Roman"/>
        </w:rPr>
        <w:t xml:space="preserve"> </w:t>
      </w:r>
      <w:r w:rsidR="00207E2D" w:rsidRPr="002849F1">
        <w:rPr>
          <w:rFonts w:ascii="Times New Roman" w:hAnsi="Times New Roman"/>
        </w:rPr>
        <w:t xml:space="preserve">of the Federal Court </w:t>
      </w:r>
      <w:r w:rsidR="00D304B5" w:rsidRPr="002849F1">
        <w:rPr>
          <w:rFonts w:ascii="Times New Roman" w:hAnsi="Times New Roman"/>
        </w:rPr>
        <w:t xml:space="preserve">held </w:t>
      </w:r>
      <w:r w:rsidR="0020217A" w:rsidRPr="002849F1">
        <w:rPr>
          <w:rFonts w:ascii="Times New Roman" w:hAnsi="Times New Roman"/>
        </w:rPr>
        <w:t xml:space="preserve">that </w:t>
      </w:r>
      <w:r w:rsidR="00513576" w:rsidRPr="002849F1">
        <w:rPr>
          <w:rFonts w:ascii="Times New Roman" w:hAnsi="Times New Roman"/>
        </w:rPr>
        <w:t xml:space="preserve">Aussie Airlines had </w:t>
      </w:r>
      <w:r w:rsidR="00D304B5" w:rsidRPr="002849F1">
        <w:rPr>
          <w:rFonts w:ascii="Times New Roman" w:hAnsi="Times New Roman"/>
        </w:rPr>
        <w:t>standing</w:t>
      </w:r>
      <w:r w:rsidR="001E4381" w:rsidRPr="002849F1">
        <w:rPr>
          <w:rFonts w:ascii="Times New Roman" w:hAnsi="Times New Roman"/>
        </w:rPr>
        <w:t xml:space="preserve"> to obtain a declaration that it was a "new entrant</w:t>
      </w:r>
      <w:r w:rsidR="00EC7A6B" w:rsidRPr="002849F1">
        <w:rPr>
          <w:rFonts w:ascii="Times New Roman" w:hAnsi="Times New Roman"/>
        </w:rPr>
        <w:t xml:space="preserve"> to the domestic aviation industry</w:t>
      </w:r>
      <w:r w:rsidR="001E4381" w:rsidRPr="002849F1">
        <w:rPr>
          <w:rFonts w:ascii="Times New Roman" w:hAnsi="Times New Roman"/>
        </w:rPr>
        <w:t xml:space="preserve">" even </w:t>
      </w:r>
      <w:r w:rsidR="001E4381" w:rsidRPr="002849F1" w:rsidDel="0027104E">
        <w:rPr>
          <w:rFonts w:ascii="Times New Roman" w:hAnsi="Times New Roman"/>
        </w:rPr>
        <w:t xml:space="preserve">though it </w:t>
      </w:r>
      <w:r w:rsidR="00C72730" w:rsidRPr="002849F1">
        <w:rPr>
          <w:rFonts w:ascii="Times New Roman" w:hAnsi="Times New Roman"/>
        </w:rPr>
        <w:t xml:space="preserve">was not found to have </w:t>
      </w:r>
      <w:r w:rsidR="00A4504A" w:rsidRPr="002849F1">
        <w:rPr>
          <w:rFonts w:ascii="Times New Roman" w:hAnsi="Times New Roman"/>
        </w:rPr>
        <w:t>rights under the head lease enforceable against the head lessee</w:t>
      </w:r>
      <w:r w:rsidR="001353E2" w:rsidRPr="002849F1">
        <w:rPr>
          <w:rStyle w:val="FootnoteReference"/>
          <w:rFonts w:ascii="Times New Roman" w:hAnsi="Times New Roman"/>
          <w:sz w:val="24"/>
        </w:rPr>
        <w:footnoteReference w:id="47"/>
      </w:r>
      <w:r w:rsidR="00A4504A" w:rsidRPr="002849F1">
        <w:rPr>
          <w:rFonts w:ascii="Times New Roman" w:hAnsi="Times New Roman"/>
        </w:rPr>
        <w:t>.</w:t>
      </w:r>
      <w:r w:rsidR="002E6C93" w:rsidRPr="002849F1">
        <w:rPr>
          <w:rFonts w:ascii="Times New Roman" w:hAnsi="Times New Roman"/>
        </w:rPr>
        <w:t xml:space="preserve"> </w:t>
      </w:r>
      <w:r w:rsidR="00087488" w:rsidRPr="002849F1">
        <w:rPr>
          <w:rFonts w:ascii="Times New Roman" w:hAnsi="Times New Roman"/>
        </w:rPr>
        <w:t>The</w:t>
      </w:r>
      <w:r w:rsidR="00651ABD">
        <w:rPr>
          <w:rFonts w:ascii="Times New Roman" w:hAnsi="Times New Roman"/>
        </w:rPr>
        <w:t> </w:t>
      </w:r>
      <w:r w:rsidR="00087488" w:rsidRPr="002849F1">
        <w:rPr>
          <w:rFonts w:ascii="Times New Roman" w:hAnsi="Times New Roman"/>
        </w:rPr>
        <w:t>Court</w:t>
      </w:r>
      <w:r w:rsidR="00651ABD">
        <w:rPr>
          <w:rFonts w:ascii="Times New Roman" w:hAnsi="Times New Roman"/>
        </w:rPr>
        <w:t> </w:t>
      </w:r>
      <w:r w:rsidR="00C92456" w:rsidRPr="002849F1">
        <w:rPr>
          <w:rFonts w:ascii="Times New Roman" w:hAnsi="Times New Roman"/>
        </w:rPr>
        <w:t xml:space="preserve">held </w:t>
      </w:r>
      <w:r w:rsidR="00A4504A" w:rsidRPr="002849F1">
        <w:rPr>
          <w:rFonts w:ascii="Times New Roman" w:hAnsi="Times New Roman"/>
        </w:rPr>
        <w:t xml:space="preserve">that the question </w:t>
      </w:r>
      <w:r w:rsidR="002C3E6F" w:rsidRPr="002849F1">
        <w:rPr>
          <w:rFonts w:ascii="Times New Roman" w:hAnsi="Times New Roman"/>
        </w:rPr>
        <w:t xml:space="preserve">of whether Aussie Airlines was a "new entrant to the domestic aviation industry" </w:t>
      </w:r>
      <w:r w:rsidR="00A4504A" w:rsidRPr="002849F1">
        <w:rPr>
          <w:rFonts w:ascii="Times New Roman" w:hAnsi="Times New Roman"/>
        </w:rPr>
        <w:t xml:space="preserve">was not </w:t>
      </w:r>
      <w:r w:rsidR="009E5300" w:rsidRPr="002849F1">
        <w:rPr>
          <w:rFonts w:ascii="Times New Roman" w:hAnsi="Times New Roman"/>
        </w:rPr>
        <w:t>"hypothetical"</w:t>
      </w:r>
      <w:r w:rsidR="00F5172B" w:rsidRPr="002849F1">
        <w:rPr>
          <w:rFonts w:ascii="Times New Roman" w:hAnsi="Times New Roman"/>
        </w:rPr>
        <w:t>;</w:t>
      </w:r>
      <w:r w:rsidR="002260B7" w:rsidRPr="002849F1">
        <w:rPr>
          <w:rFonts w:ascii="Times New Roman" w:hAnsi="Times New Roman"/>
        </w:rPr>
        <w:t xml:space="preserve"> </w:t>
      </w:r>
      <w:r w:rsidR="009915AF" w:rsidRPr="002849F1">
        <w:rPr>
          <w:rFonts w:ascii="Times New Roman" w:hAnsi="Times New Roman"/>
        </w:rPr>
        <w:t>the</w:t>
      </w:r>
      <w:r w:rsidR="00236859" w:rsidRPr="002849F1">
        <w:rPr>
          <w:rFonts w:ascii="Times New Roman" w:hAnsi="Times New Roman"/>
        </w:rPr>
        <w:t> </w:t>
      </w:r>
      <w:r w:rsidR="009915AF" w:rsidRPr="002849F1">
        <w:rPr>
          <w:rFonts w:ascii="Times New Roman" w:hAnsi="Times New Roman"/>
        </w:rPr>
        <w:t>resolution of the question</w:t>
      </w:r>
      <w:r w:rsidR="00CE1AE5" w:rsidRPr="002849F1">
        <w:rPr>
          <w:rFonts w:ascii="Times New Roman" w:hAnsi="Times New Roman"/>
        </w:rPr>
        <w:t> </w:t>
      </w:r>
      <w:r w:rsidR="002260B7" w:rsidRPr="002849F1">
        <w:rPr>
          <w:rFonts w:ascii="Times New Roman" w:hAnsi="Times New Roman"/>
        </w:rPr>
        <w:t xml:space="preserve">was of </w:t>
      </w:r>
      <w:r w:rsidR="00CE1AE5" w:rsidRPr="002849F1">
        <w:rPr>
          <w:rFonts w:ascii="Times New Roman" w:hAnsi="Times New Roman"/>
        </w:rPr>
        <w:t>"</w:t>
      </w:r>
      <w:r w:rsidR="002260B7" w:rsidRPr="002849F1">
        <w:rPr>
          <w:rFonts w:ascii="Times New Roman" w:hAnsi="Times New Roman"/>
        </w:rPr>
        <w:t>real practical importance</w:t>
      </w:r>
      <w:r w:rsidR="00CE1AE5" w:rsidRPr="002849F1">
        <w:rPr>
          <w:rFonts w:ascii="Times New Roman" w:hAnsi="Times New Roman"/>
        </w:rPr>
        <w:t xml:space="preserve">" </w:t>
      </w:r>
      <w:r w:rsidR="002260B7" w:rsidRPr="002849F1">
        <w:rPr>
          <w:rFonts w:ascii="Times New Roman" w:hAnsi="Times New Roman"/>
        </w:rPr>
        <w:t>to</w:t>
      </w:r>
      <w:r w:rsidR="00236859" w:rsidRPr="002849F1">
        <w:rPr>
          <w:rFonts w:ascii="Times New Roman" w:hAnsi="Times New Roman"/>
        </w:rPr>
        <w:t> </w:t>
      </w:r>
      <w:r w:rsidR="00087488" w:rsidRPr="002849F1">
        <w:rPr>
          <w:rFonts w:ascii="Times New Roman" w:hAnsi="Times New Roman"/>
        </w:rPr>
        <w:t>Aussie Airlines</w:t>
      </w:r>
      <w:r w:rsidR="00F5172B" w:rsidRPr="002849F1">
        <w:rPr>
          <w:rFonts w:ascii="Times New Roman" w:hAnsi="Times New Roman"/>
        </w:rPr>
        <w:t>;</w:t>
      </w:r>
      <w:r w:rsidR="00087488" w:rsidRPr="002849F1" w:rsidDel="0082203C">
        <w:rPr>
          <w:rFonts w:ascii="Times New Roman" w:hAnsi="Times New Roman"/>
        </w:rPr>
        <w:t xml:space="preserve"> </w:t>
      </w:r>
      <w:r w:rsidR="00087488" w:rsidRPr="002849F1">
        <w:rPr>
          <w:rFonts w:ascii="Times New Roman" w:hAnsi="Times New Roman"/>
        </w:rPr>
        <w:t xml:space="preserve">Aussie Airlines </w:t>
      </w:r>
      <w:r w:rsidR="002260B7" w:rsidRPr="002849F1">
        <w:rPr>
          <w:rFonts w:ascii="Times New Roman" w:hAnsi="Times New Roman"/>
        </w:rPr>
        <w:t xml:space="preserve">had a </w:t>
      </w:r>
      <w:r w:rsidR="00601D3B" w:rsidRPr="002849F1">
        <w:rPr>
          <w:rFonts w:ascii="Times New Roman" w:hAnsi="Times New Roman"/>
        </w:rPr>
        <w:t>"</w:t>
      </w:r>
      <w:r w:rsidR="002260B7" w:rsidRPr="002849F1">
        <w:rPr>
          <w:rFonts w:ascii="Times New Roman" w:hAnsi="Times New Roman"/>
        </w:rPr>
        <w:t>real commercial interest</w:t>
      </w:r>
      <w:r w:rsidR="00601D3B" w:rsidRPr="002849F1">
        <w:rPr>
          <w:rFonts w:ascii="Times New Roman" w:hAnsi="Times New Roman"/>
        </w:rPr>
        <w:t>"</w:t>
      </w:r>
      <w:r w:rsidR="002260B7" w:rsidRPr="002849F1">
        <w:rPr>
          <w:rFonts w:ascii="Times New Roman" w:hAnsi="Times New Roman"/>
        </w:rPr>
        <w:t xml:space="preserve"> in the</w:t>
      </w:r>
      <w:r w:rsidR="00CE1AE5" w:rsidRPr="002849F1">
        <w:rPr>
          <w:rFonts w:ascii="Times New Roman" w:hAnsi="Times New Roman"/>
        </w:rPr>
        <w:t xml:space="preserve"> </w:t>
      </w:r>
      <w:r w:rsidR="002260B7" w:rsidRPr="002849F1">
        <w:rPr>
          <w:rFonts w:ascii="Times New Roman" w:hAnsi="Times New Roman"/>
        </w:rPr>
        <w:t>relief</w:t>
      </w:r>
      <w:r w:rsidR="00F5172B" w:rsidRPr="002849F1">
        <w:rPr>
          <w:rFonts w:ascii="Times New Roman" w:hAnsi="Times New Roman"/>
        </w:rPr>
        <w:t>;</w:t>
      </w:r>
      <w:r w:rsidR="002260B7" w:rsidRPr="002849F1">
        <w:rPr>
          <w:rFonts w:ascii="Times New Roman" w:hAnsi="Times New Roman"/>
        </w:rPr>
        <w:t xml:space="preserve"> the</w:t>
      </w:r>
      <w:r w:rsidR="003E1558" w:rsidRPr="002849F1">
        <w:rPr>
          <w:rFonts w:ascii="Times New Roman" w:hAnsi="Times New Roman"/>
        </w:rPr>
        <w:t> </w:t>
      </w:r>
      <w:r w:rsidR="002260B7" w:rsidRPr="002849F1">
        <w:rPr>
          <w:rFonts w:ascii="Times New Roman" w:hAnsi="Times New Roman"/>
        </w:rPr>
        <w:t xml:space="preserve">head lessee was </w:t>
      </w:r>
      <w:r w:rsidR="00601D3B" w:rsidRPr="002849F1">
        <w:rPr>
          <w:rFonts w:ascii="Times New Roman" w:hAnsi="Times New Roman"/>
        </w:rPr>
        <w:t>"</w:t>
      </w:r>
      <w:r w:rsidR="002260B7" w:rsidRPr="002849F1">
        <w:rPr>
          <w:rFonts w:ascii="Times New Roman" w:hAnsi="Times New Roman"/>
        </w:rPr>
        <w:t>plainly a contradictor</w:t>
      </w:r>
      <w:r w:rsidR="00601D3B" w:rsidRPr="002849F1">
        <w:rPr>
          <w:rFonts w:ascii="Times New Roman" w:hAnsi="Times New Roman"/>
        </w:rPr>
        <w:t>"</w:t>
      </w:r>
      <w:r w:rsidR="0082203C" w:rsidRPr="002849F1">
        <w:rPr>
          <w:rFonts w:ascii="Times New Roman" w:hAnsi="Times New Roman"/>
        </w:rPr>
        <w:t>;</w:t>
      </w:r>
      <w:r w:rsidR="002260B7" w:rsidRPr="002849F1">
        <w:rPr>
          <w:rFonts w:ascii="Times New Roman" w:hAnsi="Times New Roman"/>
        </w:rPr>
        <w:t xml:space="preserve"> and there was</w:t>
      </w:r>
      <w:r w:rsidR="00CE1AE5" w:rsidRPr="002849F1">
        <w:rPr>
          <w:rFonts w:ascii="Times New Roman" w:hAnsi="Times New Roman"/>
        </w:rPr>
        <w:t xml:space="preserve"> </w:t>
      </w:r>
      <w:r w:rsidR="00601D3B" w:rsidRPr="002849F1">
        <w:rPr>
          <w:rFonts w:ascii="Times New Roman" w:hAnsi="Times New Roman"/>
        </w:rPr>
        <w:t>"</w:t>
      </w:r>
      <w:r w:rsidR="002260B7" w:rsidRPr="002849F1">
        <w:rPr>
          <w:rFonts w:ascii="Times New Roman" w:hAnsi="Times New Roman"/>
        </w:rPr>
        <w:t>obviously a real controversy</w:t>
      </w:r>
      <w:r w:rsidR="00601D3B" w:rsidRPr="002849F1">
        <w:rPr>
          <w:rFonts w:ascii="Times New Roman" w:hAnsi="Times New Roman"/>
        </w:rPr>
        <w:t>"</w:t>
      </w:r>
      <w:r w:rsidR="0082203C" w:rsidRPr="002849F1">
        <w:rPr>
          <w:rStyle w:val="FootnoteReference"/>
          <w:rFonts w:ascii="Times New Roman" w:hAnsi="Times New Roman"/>
          <w:sz w:val="24"/>
        </w:rPr>
        <w:footnoteReference w:id="48"/>
      </w:r>
      <w:r w:rsidR="002260B7" w:rsidRPr="002849F1">
        <w:rPr>
          <w:rFonts w:ascii="Times New Roman" w:hAnsi="Times New Roman"/>
        </w:rPr>
        <w:t>.</w:t>
      </w:r>
    </w:p>
    <w:p w14:paraId="6741026F" w14:textId="00F3C037" w:rsidR="0077156C" w:rsidRPr="002849F1" w:rsidRDefault="00C90587"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135034" w:rsidRPr="002849F1">
        <w:rPr>
          <w:rFonts w:ascii="Times New Roman" w:hAnsi="Times New Roman"/>
        </w:rPr>
        <w:t>T</w:t>
      </w:r>
      <w:r w:rsidR="00BE7438" w:rsidRPr="002849F1">
        <w:rPr>
          <w:rFonts w:ascii="Times New Roman" w:hAnsi="Times New Roman"/>
        </w:rPr>
        <w:t>he declaratory relief sought (as to whether Aussie Airlines was a "new</w:t>
      </w:r>
      <w:r w:rsidR="00BC3578">
        <w:rPr>
          <w:rFonts w:ascii="Times New Roman" w:hAnsi="Times New Roman"/>
        </w:rPr>
        <w:t> </w:t>
      </w:r>
      <w:r w:rsidR="00BE7438" w:rsidRPr="002849F1">
        <w:rPr>
          <w:rFonts w:ascii="Times New Roman" w:hAnsi="Times New Roman"/>
        </w:rPr>
        <w:t>entrant</w:t>
      </w:r>
      <w:r w:rsidR="00D8579B" w:rsidRPr="002849F1">
        <w:rPr>
          <w:rFonts w:ascii="Times New Roman" w:hAnsi="Times New Roman"/>
        </w:rPr>
        <w:t xml:space="preserve"> to the domestic aviation industry</w:t>
      </w:r>
      <w:r w:rsidR="00BE7438" w:rsidRPr="002849F1">
        <w:rPr>
          <w:rFonts w:ascii="Times New Roman" w:hAnsi="Times New Roman"/>
        </w:rPr>
        <w:t>" within the meaning of head leases to which it was not a party) was</w:t>
      </w:r>
      <w:r w:rsidR="00EC7A6B" w:rsidRPr="002849F1">
        <w:rPr>
          <w:rFonts w:ascii="Times New Roman" w:hAnsi="Times New Roman"/>
        </w:rPr>
        <w:t> </w:t>
      </w:r>
      <w:r w:rsidR="00BE7438" w:rsidRPr="002849F1">
        <w:rPr>
          <w:rFonts w:ascii="Times New Roman" w:hAnsi="Times New Roman"/>
        </w:rPr>
        <w:t>"of real practical importance"</w:t>
      </w:r>
      <w:r w:rsidR="00EF778D" w:rsidRPr="002849F1">
        <w:rPr>
          <w:rFonts w:ascii="Times New Roman" w:hAnsi="Times New Roman"/>
        </w:rPr>
        <w:t xml:space="preserve"> </w:t>
      </w:r>
      <w:r w:rsidR="006D0250" w:rsidRPr="002849F1">
        <w:rPr>
          <w:rFonts w:ascii="Times New Roman" w:hAnsi="Times New Roman"/>
        </w:rPr>
        <w:t xml:space="preserve">to Aussie Airlines </w:t>
      </w:r>
      <w:r w:rsidR="00EF778D" w:rsidRPr="002849F1">
        <w:rPr>
          <w:rFonts w:ascii="Times New Roman" w:hAnsi="Times New Roman"/>
        </w:rPr>
        <w:t>because</w:t>
      </w:r>
      <w:r w:rsidR="00BE7438" w:rsidRPr="002849F1">
        <w:rPr>
          <w:rFonts w:ascii="Times New Roman" w:hAnsi="Times New Roman"/>
        </w:rPr>
        <w:t xml:space="preserve"> "[</w:t>
      </w:r>
      <w:proofErr w:type="spellStart"/>
      <w:r w:rsidR="00BE7438" w:rsidRPr="002849F1">
        <w:rPr>
          <w:rFonts w:ascii="Times New Roman" w:hAnsi="Times New Roman"/>
        </w:rPr>
        <w:t>i</w:t>
      </w:r>
      <w:proofErr w:type="spellEnd"/>
      <w:r w:rsidR="00BE7438" w:rsidRPr="002849F1">
        <w:rPr>
          <w:rFonts w:ascii="Times New Roman" w:hAnsi="Times New Roman"/>
        </w:rPr>
        <w:t xml:space="preserve">]f negotiations commence[d] and result[ed] in the grant of subleases" there would be "far-reaching ramifications for the prospective business activities </w:t>
      </w:r>
      <w:r w:rsidR="00BE7438" w:rsidRPr="002849F1">
        <w:rPr>
          <w:rFonts w:ascii="Times New Roman" w:hAnsi="Times New Roman"/>
        </w:rPr>
        <w:lastRenderedPageBreak/>
        <w:t>of Aussie Airlines"</w:t>
      </w:r>
      <w:r w:rsidR="00ED2B72" w:rsidRPr="002849F1">
        <w:rPr>
          <w:rStyle w:val="FootnoteReference"/>
          <w:rFonts w:ascii="Times New Roman" w:hAnsi="Times New Roman"/>
          <w:sz w:val="24"/>
        </w:rPr>
        <w:footnoteReference w:id="49"/>
      </w:r>
      <w:r w:rsidR="00FF2391" w:rsidRPr="002849F1">
        <w:rPr>
          <w:rFonts w:ascii="Times New Roman" w:hAnsi="Times New Roman"/>
        </w:rPr>
        <w:t>.</w:t>
      </w:r>
      <w:r w:rsidR="002E6C93" w:rsidRPr="002849F1">
        <w:rPr>
          <w:rFonts w:ascii="Times New Roman" w:hAnsi="Times New Roman"/>
        </w:rPr>
        <w:t xml:space="preserve"> </w:t>
      </w:r>
      <w:r w:rsidR="00BE7438" w:rsidRPr="002849F1">
        <w:rPr>
          <w:rFonts w:ascii="Times New Roman" w:hAnsi="Times New Roman"/>
        </w:rPr>
        <w:t xml:space="preserve">Aussie Airlines </w:t>
      </w:r>
      <w:r w:rsidR="00FA5227" w:rsidRPr="002849F1">
        <w:rPr>
          <w:rFonts w:ascii="Times New Roman" w:hAnsi="Times New Roman"/>
        </w:rPr>
        <w:t xml:space="preserve">also </w:t>
      </w:r>
      <w:r w:rsidR="00BE7438" w:rsidRPr="002849F1">
        <w:rPr>
          <w:rFonts w:ascii="Times New Roman" w:hAnsi="Times New Roman"/>
        </w:rPr>
        <w:t xml:space="preserve">had "a real commercial interest in obtaining or being refused the declaration" because its future business activities depended upon </w:t>
      </w:r>
      <w:r w:rsidR="00DF2F42" w:rsidRPr="002849F1">
        <w:rPr>
          <w:rFonts w:ascii="Times New Roman" w:hAnsi="Times New Roman"/>
        </w:rPr>
        <w:t xml:space="preserve">it </w:t>
      </w:r>
      <w:r w:rsidR="00BE7438" w:rsidRPr="002849F1">
        <w:rPr>
          <w:rFonts w:ascii="Times New Roman" w:hAnsi="Times New Roman"/>
        </w:rPr>
        <w:t>obtaining subleases and becoming a new entrant</w:t>
      </w:r>
      <w:r w:rsidR="000962D9" w:rsidRPr="002849F1">
        <w:rPr>
          <w:rStyle w:val="FootnoteReference"/>
          <w:rFonts w:ascii="Times New Roman" w:hAnsi="Times New Roman"/>
          <w:sz w:val="24"/>
        </w:rPr>
        <w:footnoteReference w:id="50"/>
      </w:r>
      <w:r w:rsidR="00BE7438" w:rsidRPr="002849F1">
        <w:rPr>
          <w:rFonts w:ascii="Times New Roman" w:hAnsi="Times New Roman"/>
        </w:rPr>
        <w:t xml:space="preserve">. </w:t>
      </w:r>
    </w:p>
    <w:p w14:paraId="6F57B7A3" w14:textId="6D008A50" w:rsidR="00082868" w:rsidRPr="002849F1" w:rsidRDefault="0077156C"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0C4952" w:rsidRPr="002849F1">
        <w:rPr>
          <w:rFonts w:ascii="Times New Roman" w:hAnsi="Times New Roman"/>
        </w:rPr>
        <w:t>Similarly</w:t>
      </w:r>
      <w:r w:rsidR="0095438D" w:rsidRPr="002849F1">
        <w:rPr>
          <w:rFonts w:ascii="Times New Roman" w:hAnsi="Times New Roman"/>
        </w:rPr>
        <w:t>,</w:t>
      </w:r>
      <w:r w:rsidR="000C4952" w:rsidRPr="002849F1">
        <w:rPr>
          <w:rFonts w:ascii="Times New Roman" w:hAnsi="Times New Roman"/>
        </w:rPr>
        <w:t xml:space="preserve"> </w:t>
      </w:r>
      <w:r w:rsidR="00BE7438" w:rsidRPr="002849F1">
        <w:rPr>
          <w:rFonts w:ascii="Times New Roman" w:hAnsi="Times New Roman"/>
        </w:rPr>
        <w:t xml:space="preserve">the Councils have a </w:t>
      </w:r>
      <w:r w:rsidR="00D27254" w:rsidRPr="002849F1">
        <w:rPr>
          <w:rFonts w:ascii="Times New Roman" w:hAnsi="Times New Roman"/>
        </w:rPr>
        <w:t>"</w:t>
      </w:r>
      <w:r w:rsidR="00BE7438" w:rsidRPr="002849F1">
        <w:rPr>
          <w:rFonts w:ascii="Times New Roman" w:hAnsi="Times New Roman"/>
        </w:rPr>
        <w:t>sufficient</w:t>
      </w:r>
      <w:r w:rsidR="00D27254" w:rsidRPr="002849F1">
        <w:rPr>
          <w:rFonts w:ascii="Times New Roman" w:hAnsi="Times New Roman"/>
        </w:rPr>
        <w:t>"</w:t>
      </w:r>
      <w:r w:rsidR="00BE7438" w:rsidRPr="002849F1">
        <w:rPr>
          <w:rFonts w:ascii="Times New Roman" w:hAnsi="Times New Roman"/>
        </w:rPr>
        <w:t xml:space="preserve"> </w:t>
      </w:r>
      <w:r w:rsidR="000C4952" w:rsidRPr="002849F1">
        <w:rPr>
          <w:rFonts w:ascii="Times New Roman" w:hAnsi="Times New Roman"/>
        </w:rPr>
        <w:t xml:space="preserve">and </w:t>
      </w:r>
      <w:r w:rsidR="00D27254" w:rsidRPr="002849F1">
        <w:rPr>
          <w:rFonts w:ascii="Times New Roman" w:hAnsi="Times New Roman"/>
        </w:rPr>
        <w:t>"</w:t>
      </w:r>
      <w:r w:rsidR="000C4952" w:rsidRPr="002849F1">
        <w:rPr>
          <w:rFonts w:ascii="Times New Roman" w:hAnsi="Times New Roman"/>
        </w:rPr>
        <w:t>real</w:t>
      </w:r>
      <w:r w:rsidR="00D27254" w:rsidRPr="002849F1">
        <w:rPr>
          <w:rFonts w:ascii="Times New Roman" w:hAnsi="Times New Roman"/>
        </w:rPr>
        <w:t>"</w:t>
      </w:r>
      <w:r w:rsidR="000C4952" w:rsidRPr="002849F1">
        <w:rPr>
          <w:rFonts w:ascii="Times New Roman" w:hAnsi="Times New Roman"/>
        </w:rPr>
        <w:t xml:space="preserve"> </w:t>
      </w:r>
      <w:r w:rsidR="00BE7438" w:rsidRPr="002849F1">
        <w:rPr>
          <w:rFonts w:ascii="Times New Roman" w:hAnsi="Times New Roman"/>
        </w:rPr>
        <w:t xml:space="preserve">interest in seeking declaratory relief about the proper construction of cl 26.2(a) of the </w:t>
      </w:r>
      <w:r w:rsidR="000C4952" w:rsidRPr="002849F1">
        <w:rPr>
          <w:rFonts w:ascii="Times New Roman" w:hAnsi="Times New Roman"/>
        </w:rPr>
        <w:t>L</w:t>
      </w:r>
      <w:r w:rsidR="00BE7438" w:rsidRPr="002849F1">
        <w:rPr>
          <w:rFonts w:ascii="Times New Roman" w:hAnsi="Times New Roman"/>
        </w:rPr>
        <w:t>eases</w:t>
      </w:r>
      <w:r w:rsidR="00082868" w:rsidRPr="002849F1">
        <w:rPr>
          <w:rFonts w:ascii="Times New Roman" w:hAnsi="Times New Roman"/>
        </w:rPr>
        <w:t>.</w:t>
      </w:r>
      <w:r w:rsidR="002E6C93" w:rsidRPr="002849F1">
        <w:rPr>
          <w:rFonts w:ascii="Times New Roman" w:hAnsi="Times New Roman"/>
        </w:rPr>
        <w:t xml:space="preserve"> </w:t>
      </w:r>
      <w:r w:rsidR="002B4877" w:rsidRPr="002849F1">
        <w:rPr>
          <w:rFonts w:ascii="Times New Roman" w:hAnsi="Times New Roman"/>
        </w:rPr>
        <w:t>U</w:t>
      </w:r>
      <w:r w:rsidR="00BE7438" w:rsidRPr="002849F1">
        <w:rPr>
          <w:rFonts w:ascii="Times New Roman" w:hAnsi="Times New Roman"/>
        </w:rPr>
        <w:t>nder</w:t>
      </w:r>
      <w:r w:rsidR="008A4F90">
        <w:rPr>
          <w:rFonts w:ascii="Times New Roman" w:hAnsi="Times New Roman"/>
        </w:rPr>
        <w:t> </w:t>
      </w:r>
      <w:r w:rsidR="00BE7438" w:rsidRPr="002849F1">
        <w:rPr>
          <w:rFonts w:ascii="Times New Roman" w:hAnsi="Times New Roman"/>
        </w:rPr>
        <w:t>cl</w:t>
      </w:r>
      <w:r w:rsidR="00014560" w:rsidRPr="002849F1">
        <w:rPr>
          <w:rFonts w:ascii="Times New Roman" w:hAnsi="Times New Roman"/>
        </w:rPr>
        <w:t> </w:t>
      </w:r>
      <w:r w:rsidR="00BE7438" w:rsidRPr="002849F1">
        <w:rPr>
          <w:rFonts w:ascii="Times New Roman" w:hAnsi="Times New Roman"/>
        </w:rPr>
        <w:t>26.2(a)</w:t>
      </w:r>
      <w:r w:rsidR="002B4877" w:rsidRPr="002849F1">
        <w:rPr>
          <w:rFonts w:ascii="Times New Roman" w:hAnsi="Times New Roman"/>
        </w:rPr>
        <w:t>,</w:t>
      </w:r>
      <w:r w:rsidR="00BE7438" w:rsidRPr="002849F1" w:rsidDel="00A75F3F">
        <w:rPr>
          <w:rFonts w:ascii="Times New Roman" w:hAnsi="Times New Roman"/>
        </w:rPr>
        <w:t xml:space="preserve"> the</w:t>
      </w:r>
      <w:r w:rsidR="00A75F3F" w:rsidRPr="002849F1">
        <w:rPr>
          <w:rFonts w:ascii="Times New Roman" w:hAnsi="Times New Roman"/>
        </w:rPr>
        <w:t> </w:t>
      </w:r>
      <w:r w:rsidR="002B4877" w:rsidRPr="002849F1">
        <w:rPr>
          <w:rFonts w:ascii="Times New Roman" w:hAnsi="Times New Roman"/>
        </w:rPr>
        <w:t xml:space="preserve">Councils are </w:t>
      </w:r>
      <w:r w:rsidR="00915C49" w:rsidRPr="002849F1">
        <w:rPr>
          <w:rFonts w:ascii="Times New Roman" w:hAnsi="Times New Roman"/>
        </w:rPr>
        <w:t>made active participants in the process established under that clause for the making of ex</w:t>
      </w:r>
      <w:r w:rsidR="00915C49" w:rsidRPr="002849F1">
        <w:rPr>
          <w:rFonts w:ascii="Times New Roman" w:hAnsi="Times New Roman"/>
        </w:rPr>
        <w:noBreakHyphen/>
        <w:t>gratia payments</w:t>
      </w:r>
      <w:r w:rsidR="00BE7438" w:rsidRPr="002849F1">
        <w:rPr>
          <w:rFonts w:ascii="Times New Roman" w:hAnsi="Times New Roman"/>
        </w:rPr>
        <w:t xml:space="preserve"> </w:t>
      </w:r>
      <w:r w:rsidR="00507E13" w:rsidRPr="002849F1">
        <w:rPr>
          <w:rFonts w:ascii="Times New Roman" w:hAnsi="Times New Roman"/>
        </w:rPr>
        <w:t>by the Lessees to the Councils</w:t>
      </w:r>
      <w:r w:rsidR="00BE7438" w:rsidRPr="002849F1">
        <w:rPr>
          <w:rFonts w:ascii="Times New Roman" w:hAnsi="Times New Roman"/>
        </w:rPr>
        <w:t>.</w:t>
      </w:r>
      <w:r w:rsidR="002E6C93" w:rsidRPr="002849F1">
        <w:rPr>
          <w:rFonts w:ascii="Times New Roman" w:hAnsi="Times New Roman"/>
        </w:rPr>
        <w:t xml:space="preserve"> </w:t>
      </w:r>
      <w:r w:rsidR="00014560" w:rsidRPr="002849F1">
        <w:rPr>
          <w:rFonts w:ascii="Times New Roman" w:hAnsi="Times New Roman"/>
        </w:rPr>
        <w:t>That</w:t>
      </w:r>
      <w:r w:rsidR="00CF23B4" w:rsidRPr="002849F1">
        <w:rPr>
          <w:rFonts w:ascii="Times New Roman" w:hAnsi="Times New Roman"/>
        </w:rPr>
        <w:t> </w:t>
      </w:r>
      <w:r w:rsidR="00BE7438" w:rsidRPr="002849F1">
        <w:rPr>
          <w:rFonts w:ascii="Times New Roman" w:hAnsi="Times New Roman"/>
        </w:rPr>
        <w:t xml:space="preserve">process contemplates that the Councils will </w:t>
      </w:r>
      <w:r w:rsidR="009B6319" w:rsidRPr="002849F1">
        <w:rPr>
          <w:rFonts w:ascii="Times New Roman" w:hAnsi="Times New Roman"/>
        </w:rPr>
        <w:t xml:space="preserve">notify </w:t>
      </w:r>
      <w:r w:rsidR="00BE7438" w:rsidRPr="002849F1">
        <w:rPr>
          <w:rFonts w:ascii="Times New Roman" w:hAnsi="Times New Roman"/>
        </w:rPr>
        <w:t xml:space="preserve">the Lessees </w:t>
      </w:r>
      <w:r w:rsidR="003D6037" w:rsidRPr="002849F1">
        <w:rPr>
          <w:rFonts w:ascii="Times New Roman" w:hAnsi="Times New Roman"/>
        </w:rPr>
        <w:t>of the</w:t>
      </w:r>
      <w:r w:rsidR="00587754" w:rsidRPr="002849F1">
        <w:rPr>
          <w:rFonts w:ascii="Times New Roman" w:hAnsi="Times New Roman"/>
        </w:rPr>
        <w:t xml:space="preserve"> </w:t>
      </w:r>
      <w:r w:rsidR="00BE7438" w:rsidRPr="002849F1">
        <w:rPr>
          <w:rFonts w:ascii="Times New Roman" w:hAnsi="Times New Roman"/>
        </w:rPr>
        <w:t xml:space="preserve">amount </w:t>
      </w:r>
      <w:r w:rsidR="003D6037" w:rsidRPr="002849F1">
        <w:rPr>
          <w:rFonts w:ascii="Times New Roman" w:hAnsi="Times New Roman"/>
        </w:rPr>
        <w:t xml:space="preserve">which is </w:t>
      </w:r>
      <w:r w:rsidR="00587754" w:rsidRPr="002849F1">
        <w:rPr>
          <w:rFonts w:ascii="Times New Roman" w:hAnsi="Times New Roman"/>
        </w:rPr>
        <w:t>"</w:t>
      </w:r>
      <w:r w:rsidR="00BE7438" w:rsidRPr="002849F1">
        <w:rPr>
          <w:rFonts w:ascii="Times New Roman" w:hAnsi="Times New Roman"/>
        </w:rPr>
        <w:t xml:space="preserve">equivalent to </w:t>
      </w:r>
      <w:r w:rsidR="00587754" w:rsidRPr="002849F1">
        <w:rPr>
          <w:rFonts w:ascii="Times New Roman" w:hAnsi="Times New Roman"/>
        </w:rPr>
        <w:t xml:space="preserve">the amount which would be payable for </w:t>
      </w:r>
      <w:r w:rsidR="00BE7438" w:rsidRPr="002849F1">
        <w:rPr>
          <w:rFonts w:ascii="Times New Roman" w:hAnsi="Times New Roman"/>
        </w:rPr>
        <w:t xml:space="preserve">rates </w:t>
      </w:r>
      <w:r w:rsidR="00587754" w:rsidRPr="002849F1">
        <w:rPr>
          <w:rFonts w:ascii="Times New Roman" w:hAnsi="Times New Roman"/>
        </w:rPr>
        <w:t xml:space="preserve">as if such rates were leviable or payable" in respect of </w:t>
      </w:r>
      <w:r w:rsidR="005773C6" w:rsidRPr="002849F1">
        <w:rPr>
          <w:rFonts w:ascii="Times New Roman" w:hAnsi="Times New Roman"/>
        </w:rPr>
        <w:t>particular parts of the Airports</w:t>
      </w:r>
      <w:r w:rsidR="000962D9" w:rsidRPr="002849F1">
        <w:rPr>
          <w:rFonts w:ascii="Times New Roman" w:hAnsi="Times New Roman"/>
        </w:rPr>
        <w:t>,</w:t>
      </w:r>
      <w:r w:rsidR="006222B0" w:rsidRPr="002849F1">
        <w:rPr>
          <w:rFonts w:ascii="Times New Roman" w:hAnsi="Times New Roman"/>
        </w:rPr>
        <w:t xml:space="preserve"> </w:t>
      </w:r>
      <w:r w:rsidR="00494D6F" w:rsidRPr="002849F1">
        <w:rPr>
          <w:rFonts w:ascii="Times New Roman" w:hAnsi="Times New Roman"/>
        </w:rPr>
        <w:t>with</w:t>
      </w:r>
      <w:r w:rsidR="00BE7438" w:rsidRPr="002849F1">
        <w:rPr>
          <w:rFonts w:ascii="Times New Roman" w:hAnsi="Times New Roman"/>
        </w:rPr>
        <w:t xml:space="preserve"> the Lessees </w:t>
      </w:r>
      <w:r w:rsidR="00494D6F" w:rsidRPr="002849F1">
        <w:rPr>
          <w:rFonts w:ascii="Times New Roman" w:hAnsi="Times New Roman"/>
        </w:rPr>
        <w:t xml:space="preserve">being </w:t>
      </w:r>
      <w:r w:rsidR="00BE7438" w:rsidRPr="002849F1">
        <w:rPr>
          <w:rFonts w:ascii="Times New Roman" w:hAnsi="Times New Roman"/>
        </w:rPr>
        <w:t>obliged to use "all reasonable endeavours" to</w:t>
      </w:r>
      <w:r w:rsidR="002F6EBE" w:rsidRPr="002849F1">
        <w:rPr>
          <w:rFonts w:ascii="Times New Roman" w:hAnsi="Times New Roman"/>
        </w:rPr>
        <w:t> </w:t>
      </w:r>
      <w:r w:rsidR="00BE7438" w:rsidRPr="002849F1">
        <w:rPr>
          <w:rFonts w:ascii="Times New Roman" w:hAnsi="Times New Roman"/>
        </w:rPr>
        <w:t xml:space="preserve">enter into an agreement with the Councils "to make" </w:t>
      </w:r>
      <w:r w:rsidR="008F42D0" w:rsidRPr="002849F1">
        <w:rPr>
          <w:rFonts w:ascii="Times New Roman" w:hAnsi="Times New Roman"/>
        </w:rPr>
        <w:t>th</w:t>
      </w:r>
      <w:r w:rsidR="006222B0" w:rsidRPr="002849F1">
        <w:rPr>
          <w:rFonts w:ascii="Times New Roman" w:hAnsi="Times New Roman"/>
        </w:rPr>
        <w:t>os</w:t>
      </w:r>
      <w:r w:rsidR="008F42D0" w:rsidRPr="002849F1">
        <w:rPr>
          <w:rFonts w:ascii="Times New Roman" w:hAnsi="Times New Roman"/>
        </w:rPr>
        <w:t xml:space="preserve">e </w:t>
      </w:r>
      <w:r w:rsidR="00BE7438" w:rsidRPr="002849F1">
        <w:rPr>
          <w:rFonts w:ascii="Times New Roman" w:hAnsi="Times New Roman"/>
        </w:rPr>
        <w:t>ex</w:t>
      </w:r>
      <w:r w:rsidR="00DD2A6E" w:rsidRPr="002849F1">
        <w:rPr>
          <w:rFonts w:ascii="Times New Roman" w:hAnsi="Times New Roman"/>
        </w:rPr>
        <w:noBreakHyphen/>
      </w:r>
      <w:r w:rsidR="00BE7438" w:rsidRPr="002849F1">
        <w:rPr>
          <w:rFonts w:ascii="Times New Roman" w:hAnsi="Times New Roman"/>
        </w:rPr>
        <w:t>gratia payments.</w:t>
      </w:r>
      <w:r w:rsidR="002E6C93" w:rsidRPr="002849F1">
        <w:rPr>
          <w:rFonts w:ascii="Times New Roman" w:hAnsi="Times New Roman"/>
        </w:rPr>
        <w:t xml:space="preserve"> </w:t>
      </w:r>
      <w:r w:rsidR="00F3694D" w:rsidRPr="002849F1">
        <w:rPr>
          <w:rFonts w:ascii="Times New Roman" w:hAnsi="Times New Roman"/>
        </w:rPr>
        <w:t>In</w:t>
      </w:r>
      <w:r w:rsidR="005E3E19" w:rsidRPr="002849F1">
        <w:rPr>
          <w:rFonts w:ascii="Times New Roman" w:hAnsi="Times New Roman"/>
        </w:rPr>
        <w:t> </w:t>
      </w:r>
      <w:r w:rsidR="00F3694D" w:rsidRPr="002849F1">
        <w:rPr>
          <w:rFonts w:ascii="Times New Roman" w:hAnsi="Times New Roman"/>
        </w:rPr>
        <w:t>that sense,</w:t>
      </w:r>
      <w:r w:rsidR="00854555" w:rsidRPr="002849F1">
        <w:rPr>
          <w:rFonts w:ascii="Times New Roman" w:hAnsi="Times New Roman"/>
        </w:rPr>
        <w:t xml:space="preserve"> and to that extent, the Councils could not be described as "outsider[s]" to the Leases</w:t>
      </w:r>
      <w:r w:rsidR="003A6ADE" w:rsidRPr="002849F1">
        <w:rPr>
          <w:rStyle w:val="FootnoteReference"/>
          <w:rFonts w:ascii="Times New Roman" w:hAnsi="Times New Roman"/>
          <w:sz w:val="24"/>
        </w:rPr>
        <w:footnoteReference w:id="51"/>
      </w:r>
      <w:r w:rsidR="003A6ADE" w:rsidRPr="002849F1">
        <w:rPr>
          <w:rFonts w:ascii="Times New Roman" w:hAnsi="Times New Roman"/>
        </w:rPr>
        <w:t>.</w:t>
      </w:r>
      <w:r w:rsidR="002E6C93" w:rsidRPr="002849F1">
        <w:rPr>
          <w:rFonts w:ascii="Times New Roman" w:hAnsi="Times New Roman"/>
        </w:rPr>
        <w:t xml:space="preserve"> </w:t>
      </w:r>
      <w:r w:rsidR="00E0385D" w:rsidRPr="002849F1">
        <w:rPr>
          <w:rFonts w:ascii="Times New Roman" w:hAnsi="Times New Roman"/>
        </w:rPr>
        <w:t>The proper construction of the words "trading</w:t>
      </w:r>
      <w:r w:rsidR="008A4F90">
        <w:rPr>
          <w:rFonts w:ascii="Times New Roman" w:hAnsi="Times New Roman"/>
        </w:rPr>
        <w:t> </w:t>
      </w:r>
      <w:r w:rsidR="00E0385D" w:rsidRPr="002849F1">
        <w:rPr>
          <w:rFonts w:ascii="Times New Roman" w:hAnsi="Times New Roman"/>
        </w:rPr>
        <w:t>or</w:t>
      </w:r>
      <w:r w:rsidR="008A4F90">
        <w:rPr>
          <w:rFonts w:ascii="Times New Roman" w:hAnsi="Times New Roman"/>
        </w:rPr>
        <w:t> </w:t>
      </w:r>
      <w:r w:rsidR="00E0385D" w:rsidRPr="002849F1">
        <w:rPr>
          <w:rFonts w:ascii="Times New Roman" w:hAnsi="Times New Roman"/>
        </w:rPr>
        <w:t>financial operations" in cl 26.2(a) is of real practical importance to the Councils</w:t>
      </w:r>
      <w:r w:rsidR="008E5BD6" w:rsidRPr="002849F1">
        <w:rPr>
          <w:rFonts w:ascii="Times New Roman" w:hAnsi="Times New Roman"/>
        </w:rPr>
        <w:t>,</w:t>
      </w:r>
      <w:r w:rsidR="007B46C1" w:rsidRPr="002849F1">
        <w:rPr>
          <w:rFonts w:ascii="Times New Roman" w:hAnsi="Times New Roman"/>
        </w:rPr>
        <w:t xml:space="preserve"> given their contemplated role under the </w:t>
      </w:r>
      <w:r w:rsidR="00827E33" w:rsidRPr="002849F1">
        <w:rPr>
          <w:rFonts w:ascii="Times New Roman" w:hAnsi="Times New Roman"/>
        </w:rPr>
        <w:t>Leases</w:t>
      </w:r>
      <w:r w:rsidR="00E0385D" w:rsidRPr="002849F1">
        <w:rPr>
          <w:rFonts w:ascii="Times New Roman" w:hAnsi="Times New Roman"/>
        </w:rPr>
        <w:t>.</w:t>
      </w:r>
      <w:r w:rsidR="002E6C93" w:rsidRPr="002849F1">
        <w:rPr>
          <w:rFonts w:ascii="Times New Roman" w:hAnsi="Times New Roman"/>
        </w:rPr>
        <w:t xml:space="preserve"> </w:t>
      </w:r>
    </w:p>
    <w:p w14:paraId="6E4A6B86" w14:textId="629BE5CF" w:rsidR="001939EB" w:rsidRPr="002849F1" w:rsidRDefault="00082868"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56950" w:rsidRPr="002849F1">
        <w:rPr>
          <w:rFonts w:ascii="Times New Roman" w:hAnsi="Times New Roman"/>
        </w:rPr>
        <w:t>T</w:t>
      </w:r>
      <w:r w:rsidR="00A4794A" w:rsidRPr="002849F1">
        <w:rPr>
          <w:rFonts w:ascii="Times New Roman" w:hAnsi="Times New Roman"/>
        </w:rPr>
        <w:t xml:space="preserve">he Councils </w:t>
      </w:r>
      <w:r w:rsidR="00BB1577" w:rsidRPr="002849F1">
        <w:rPr>
          <w:rFonts w:ascii="Times New Roman" w:hAnsi="Times New Roman"/>
        </w:rPr>
        <w:t>also</w:t>
      </w:r>
      <w:r w:rsidR="00A4794A" w:rsidRPr="002849F1">
        <w:rPr>
          <w:rFonts w:ascii="Times New Roman" w:hAnsi="Times New Roman"/>
        </w:rPr>
        <w:t xml:space="preserve"> </w:t>
      </w:r>
      <w:r w:rsidR="00B56950" w:rsidRPr="002849F1">
        <w:rPr>
          <w:rFonts w:ascii="Times New Roman" w:hAnsi="Times New Roman"/>
        </w:rPr>
        <w:t xml:space="preserve">have </w:t>
      </w:r>
      <w:r w:rsidR="00A4794A" w:rsidRPr="002849F1">
        <w:rPr>
          <w:rFonts w:ascii="Times New Roman" w:hAnsi="Times New Roman"/>
        </w:rPr>
        <w:t xml:space="preserve">a </w:t>
      </w:r>
      <w:r w:rsidR="003A377F" w:rsidRPr="002849F1">
        <w:rPr>
          <w:rFonts w:ascii="Times New Roman" w:hAnsi="Times New Roman"/>
        </w:rPr>
        <w:t xml:space="preserve">real </w:t>
      </w:r>
      <w:r w:rsidR="00BE7438" w:rsidRPr="002849F1">
        <w:rPr>
          <w:rFonts w:ascii="Times New Roman" w:hAnsi="Times New Roman"/>
        </w:rPr>
        <w:t xml:space="preserve">commercial </w:t>
      </w:r>
      <w:r w:rsidR="003A377F" w:rsidRPr="002849F1">
        <w:rPr>
          <w:rFonts w:ascii="Times New Roman" w:hAnsi="Times New Roman"/>
        </w:rPr>
        <w:t>interest</w:t>
      </w:r>
      <w:r w:rsidR="00A4794A" w:rsidRPr="002849F1">
        <w:rPr>
          <w:rFonts w:ascii="Times New Roman" w:hAnsi="Times New Roman"/>
        </w:rPr>
        <w:t xml:space="preserve"> in the relief</w:t>
      </w:r>
      <w:r w:rsidR="006561E7" w:rsidRPr="002849F1">
        <w:rPr>
          <w:rFonts w:ascii="Times New Roman" w:hAnsi="Times New Roman"/>
        </w:rPr>
        <w:t>.</w:t>
      </w:r>
      <w:r w:rsidR="002E6C93" w:rsidRPr="002849F1">
        <w:rPr>
          <w:rFonts w:ascii="Times New Roman" w:hAnsi="Times New Roman"/>
        </w:rPr>
        <w:t xml:space="preserve"> </w:t>
      </w:r>
      <w:r w:rsidR="006561E7" w:rsidRPr="002849F1">
        <w:rPr>
          <w:rFonts w:ascii="Times New Roman" w:hAnsi="Times New Roman"/>
        </w:rPr>
        <w:t>The</w:t>
      </w:r>
      <w:r w:rsidR="00872B84">
        <w:rPr>
          <w:rFonts w:ascii="Times New Roman" w:hAnsi="Times New Roman"/>
        </w:rPr>
        <w:t> </w:t>
      </w:r>
      <w:r w:rsidR="00BE7438" w:rsidRPr="002849F1">
        <w:rPr>
          <w:rFonts w:ascii="Times New Roman" w:hAnsi="Times New Roman"/>
        </w:rPr>
        <w:t>meaning</w:t>
      </w:r>
      <w:r w:rsidR="00872B84">
        <w:rPr>
          <w:rFonts w:ascii="Times New Roman" w:hAnsi="Times New Roman"/>
        </w:rPr>
        <w:t> </w:t>
      </w:r>
      <w:r w:rsidR="00BE7438" w:rsidRPr="002849F1">
        <w:rPr>
          <w:rFonts w:ascii="Times New Roman" w:hAnsi="Times New Roman"/>
        </w:rPr>
        <w:t xml:space="preserve">of </w:t>
      </w:r>
      <w:r w:rsidR="006561E7" w:rsidRPr="002849F1">
        <w:rPr>
          <w:rFonts w:ascii="Times New Roman" w:hAnsi="Times New Roman"/>
        </w:rPr>
        <w:t>the</w:t>
      </w:r>
      <w:r w:rsidR="00BE7438" w:rsidRPr="002849F1">
        <w:rPr>
          <w:rFonts w:ascii="Times New Roman" w:hAnsi="Times New Roman"/>
        </w:rPr>
        <w:t xml:space="preserve"> words </w:t>
      </w:r>
      <w:r w:rsidR="00161A33" w:rsidRPr="002849F1">
        <w:rPr>
          <w:rFonts w:ascii="Times New Roman" w:hAnsi="Times New Roman"/>
        </w:rPr>
        <w:t>"trading or financial operations" in</w:t>
      </w:r>
      <w:r w:rsidR="00B935E1" w:rsidRPr="002849F1">
        <w:rPr>
          <w:rFonts w:ascii="Times New Roman" w:hAnsi="Times New Roman"/>
        </w:rPr>
        <w:t> </w:t>
      </w:r>
      <w:r w:rsidR="00161A33" w:rsidRPr="002849F1">
        <w:rPr>
          <w:rFonts w:ascii="Times New Roman" w:hAnsi="Times New Roman"/>
        </w:rPr>
        <w:t xml:space="preserve">cl 26.2(a) </w:t>
      </w:r>
      <w:r w:rsidR="00BE7438" w:rsidRPr="002849F1">
        <w:rPr>
          <w:rFonts w:ascii="Times New Roman" w:hAnsi="Times New Roman"/>
        </w:rPr>
        <w:t xml:space="preserve">will bear upon </w:t>
      </w:r>
      <w:r w:rsidR="002F1718" w:rsidRPr="002849F1">
        <w:rPr>
          <w:rFonts w:ascii="Times New Roman" w:hAnsi="Times New Roman"/>
        </w:rPr>
        <w:t>the</w:t>
      </w:r>
      <w:r w:rsidR="00BE7438" w:rsidRPr="002849F1">
        <w:rPr>
          <w:rFonts w:ascii="Times New Roman" w:hAnsi="Times New Roman"/>
        </w:rPr>
        <w:t xml:space="preserve"> calculations </w:t>
      </w:r>
      <w:r w:rsidR="002F1718" w:rsidRPr="002849F1">
        <w:rPr>
          <w:rFonts w:ascii="Times New Roman" w:hAnsi="Times New Roman"/>
        </w:rPr>
        <w:t xml:space="preserve">made by </w:t>
      </w:r>
      <w:r w:rsidR="00AF0792" w:rsidRPr="002849F1">
        <w:rPr>
          <w:rFonts w:ascii="Times New Roman" w:hAnsi="Times New Roman"/>
        </w:rPr>
        <w:t xml:space="preserve">the </w:t>
      </w:r>
      <w:r w:rsidR="002F1718" w:rsidRPr="002849F1">
        <w:rPr>
          <w:rFonts w:ascii="Times New Roman" w:hAnsi="Times New Roman"/>
        </w:rPr>
        <w:t xml:space="preserve">Councils </w:t>
      </w:r>
      <w:r w:rsidR="00BE7438" w:rsidRPr="002849F1">
        <w:rPr>
          <w:rFonts w:ascii="Times New Roman" w:hAnsi="Times New Roman"/>
        </w:rPr>
        <w:t>as to the quantum of the amount</w:t>
      </w:r>
      <w:r w:rsidR="008F42D0" w:rsidRPr="002849F1">
        <w:rPr>
          <w:rFonts w:ascii="Times New Roman" w:hAnsi="Times New Roman"/>
        </w:rPr>
        <w:t xml:space="preserve"> </w:t>
      </w:r>
      <w:r w:rsidR="008B0064" w:rsidRPr="002849F1">
        <w:rPr>
          <w:rFonts w:ascii="Times New Roman" w:hAnsi="Times New Roman"/>
        </w:rPr>
        <w:t>notified by the Councils.</w:t>
      </w:r>
      <w:r w:rsidR="002E6C93" w:rsidRPr="002849F1">
        <w:rPr>
          <w:rFonts w:ascii="Times New Roman" w:hAnsi="Times New Roman"/>
        </w:rPr>
        <w:t xml:space="preserve"> </w:t>
      </w:r>
      <w:r w:rsidR="008B0064" w:rsidRPr="002849F1">
        <w:rPr>
          <w:rFonts w:ascii="Times New Roman" w:hAnsi="Times New Roman"/>
        </w:rPr>
        <w:t xml:space="preserve">That will </w:t>
      </w:r>
      <w:r w:rsidR="00765EA3" w:rsidRPr="002849F1">
        <w:rPr>
          <w:rFonts w:ascii="Times New Roman" w:hAnsi="Times New Roman"/>
        </w:rPr>
        <w:t xml:space="preserve">have </w:t>
      </w:r>
      <w:r w:rsidR="006561E7" w:rsidRPr="002849F1">
        <w:rPr>
          <w:rFonts w:ascii="Times New Roman" w:hAnsi="Times New Roman"/>
        </w:rPr>
        <w:t>direct</w:t>
      </w:r>
      <w:r w:rsidR="00BE7438" w:rsidRPr="002849F1">
        <w:rPr>
          <w:rFonts w:ascii="Times New Roman" w:hAnsi="Times New Roman"/>
        </w:rPr>
        <w:t xml:space="preserve"> </w:t>
      </w:r>
      <w:r w:rsidR="002F1718" w:rsidRPr="002849F1">
        <w:rPr>
          <w:rFonts w:ascii="Times New Roman" w:hAnsi="Times New Roman"/>
        </w:rPr>
        <w:t>and far</w:t>
      </w:r>
      <w:r w:rsidR="002F1718" w:rsidRPr="002849F1">
        <w:rPr>
          <w:rFonts w:ascii="Times New Roman" w:hAnsi="Times New Roman"/>
        </w:rPr>
        <w:noBreakHyphen/>
        <w:t>reaching ramifications</w:t>
      </w:r>
      <w:r w:rsidR="003A0588" w:rsidRPr="002849F1">
        <w:rPr>
          <w:rStyle w:val="FootnoteReference"/>
          <w:rFonts w:ascii="Times New Roman" w:hAnsi="Times New Roman"/>
          <w:sz w:val="24"/>
        </w:rPr>
        <w:footnoteReference w:id="52"/>
      </w:r>
      <w:r w:rsidR="002F1718" w:rsidRPr="002849F1">
        <w:rPr>
          <w:rFonts w:ascii="Times New Roman" w:hAnsi="Times New Roman"/>
        </w:rPr>
        <w:t xml:space="preserve"> </w:t>
      </w:r>
      <w:r w:rsidR="003A0588" w:rsidRPr="002849F1">
        <w:rPr>
          <w:rFonts w:ascii="Times New Roman" w:hAnsi="Times New Roman"/>
        </w:rPr>
        <w:t>for</w:t>
      </w:r>
      <w:r w:rsidR="006907C7" w:rsidRPr="002849F1">
        <w:rPr>
          <w:rFonts w:ascii="Times New Roman" w:hAnsi="Times New Roman"/>
        </w:rPr>
        <w:t> </w:t>
      </w:r>
      <w:r w:rsidR="003A0588" w:rsidRPr="002849F1">
        <w:rPr>
          <w:rFonts w:ascii="Times New Roman" w:hAnsi="Times New Roman"/>
        </w:rPr>
        <w:t xml:space="preserve">the </w:t>
      </w:r>
      <w:r w:rsidR="00BE7438" w:rsidRPr="002849F1">
        <w:rPr>
          <w:rFonts w:ascii="Times New Roman" w:hAnsi="Times New Roman"/>
        </w:rPr>
        <w:t xml:space="preserve">financial </w:t>
      </w:r>
      <w:r w:rsidR="003A0588" w:rsidRPr="002849F1">
        <w:rPr>
          <w:rFonts w:ascii="Times New Roman" w:hAnsi="Times New Roman"/>
        </w:rPr>
        <w:t xml:space="preserve">position of </w:t>
      </w:r>
      <w:r w:rsidR="00BE7438" w:rsidRPr="002849F1">
        <w:rPr>
          <w:rFonts w:ascii="Times New Roman" w:hAnsi="Times New Roman"/>
        </w:rPr>
        <w:t>the Councils</w:t>
      </w:r>
      <w:r w:rsidR="008B0064" w:rsidRPr="002849F1">
        <w:rPr>
          <w:rFonts w:ascii="Times New Roman" w:hAnsi="Times New Roman"/>
        </w:rPr>
        <w:t>.</w:t>
      </w:r>
      <w:r w:rsidR="002E6C93" w:rsidRPr="002849F1">
        <w:rPr>
          <w:rFonts w:ascii="Times New Roman" w:hAnsi="Times New Roman"/>
        </w:rPr>
        <w:t xml:space="preserve"> </w:t>
      </w:r>
    </w:p>
    <w:p w14:paraId="7F5496C7" w14:textId="3CE39874" w:rsidR="00E418B1" w:rsidRPr="002849F1" w:rsidRDefault="001939EB"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45D9D" w:rsidRPr="002849F1">
        <w:rPr>
          <w:rFonts w:ascii="Times New Roman" w:hAnsi="Times New Roman"/>
        </w:rPr>
        <w:t>In</w:t>
      </w:r>
      <w:r w:rsidR="00667DBF" w:rsidRPr="002849F1">
        <w:rPr>
          <w:rFonts w:ascii="Times New Roman" w:hAnsi="Times New Roman"/>
        </w:rPr>
        <w:t xml:space="preserve"> </w:t>
      </w:r>
      <w:r w:rsidR="00667DBF" w:rsidRPr="002849F1">
        <w:rPr>
          <w:rFonts w:ascii="Times New Roman" w:hAnsi="Times New Roman"/>
          <w:i/>
        </w:rPr>
        <w:t>Santos</w:t>
      </w:r>
      <w:r w:rsidR="00667DBF" w:rsidRPr="002849F1">
        <w:rPr>
          <w:rStyle w:val="FootnoteReference"/>
          <w:rFonts w:ascii="Times New Roman" w:hAnsi="Times New Roman"/>
          <w:sz w:val="24"/>
        </w:rPr>
        <w:footnoteReference w:id="53"/>
      </w:r>
      <w:r w:rsidR="00667DBF" w:rsidRPr="002849F1">
        <w:rPr>
          <w:rFonts w:ascii="Times New Roman" w:hAnsi="Times New Roman"/>
        </w:rPr>
        <w:t xml:space="preserve">, </w:t>
      </w:r>
      <w:proofErr w:type="spellStart"/>
      <w:r w:rsidR="00667DBF" w:rsidRPr="002849F1">
        <w:rPr>
          <w:rFonts w:ascii="Times New Roman" w:hAnsi="Times New Roman"/>
        </w:rPr>
        <w:t>Heydon</w:t>
      </w:r>
      <w:proofErr w:type="spellEnd"/>
      <w:r w:rsidR="00667DBF" w:rsidRPr="002849F1">
        <w:rPr>
          <w:rFonts w:ascii="Times New Roman" w:hAnsi="Times New Roman"/>
        </w:rPr>
        <w:t xml:space="preserve"> J regarded it as significant that the plaintiffs</w:t>
      </w:r>
      <w:r w:rsidR="00311AE2" w:rsidRPr="002849F1">
        <w:rPr>
          <w:rFonts w:ascii="Times New Roman" w:hAnsi="Times New Roman"/>
        </w:rPr>
        <w:t>'</w:t>
      </w:r>
      <w:r w:rsidR="00667DBF" w:rsidRPr="002849F1">
        <w:rPr>
          <w:rFonts w:ascii="Times New Roman" w:hAnsi="Times New Roman"/>
        </w:rPr>
        <w:t xml:space="preserve"> success in </w:t>
      </w:r>
      <w:r w:rsidR="00311AE2" w:rsidRPr="002849F1">
        <w:rPr>
          <w:rFonts w:ascii="Times New Roman" w:hAnsi="Times New Roman"/>
        </w:rPr>
        <w:t xml:space="preserve">obtaining the </w:t>
      </w:r>
      <w:r w:rsidR="00667DBF" w:rsidRPr="002849F1">
        <w:rPr>
          <w:rFonts w:ascii="Times New Roman" w:hAnsi="Times New Roman"/>
        </w:rPr>
        <w:t xml:space="preserve">declaratory relief </w:t>
      </w:r>
      <w:r w:rsidR="00311AE2" w:rsidRPr="002849F1">
        <w:rPr>
          <w:rFonts w:ascii="Times New Roman" w:hAnsi="Times New Roman"/>
        </w:rPr>
        <w:t xml:space="preserve">sought in that case </w:t>
      </w:r>
      <w:r w:rsidR="00667DBF" w:rsidRPr="002849F1">
        <w:rPr>
          <w:rFonts w:ascii="Times New Roman" w:hAnsi="Times New Roman"/>
        </w:rPr>
        <w:t>"would advance their interests in the negotiations which the parties were contractually obliged to conduct".</w:t>
      </w:r>
      <w:r w:rsidR="002E6C93" w:rsidRPr="002849F1">
        <w:rPr>
          <w:rFonts w:ascii="Times New Roman" w:hAnsi="Times New Roman"/>
        </w:rPr>
        <w:t xml:space="preserve"> </w:t>
      </w:r>
      <w:r w:rsidR="00667DBF" w:rsidRPr="002849F1">
        <w:rPr>
          <w:rFonts w:ascii="Times New Roman" w:hAnsi="Times New Roman"/>
        </w:rPr>
        <w:t>The</w:t>
      </w:r>
      <w:r w:rsidR="00872B84">
        <w:rPr>
          <w:rFonts w:ascii="Times New Roman" w:hAnsi="Times New Roman"/>
        </w:rPr>
        <w:t> </w:t>
      </w:r>
      <w:r w:rsidR="00667DBF" w:rsidRPr="002849F1">
        <w:rPr>
          <w:rFonts w:ascii="Times New Roman" w:hAnsi="Times New Roman"/>
        </w:rPr>
        <w:t>same is true here.</w:t>
      </w:r>
      <w:r w:rsidR="002E6C93" w:rsidRPr="002849F1">
        <w:rPr>
          <w:rFonts w:ascii="Times New Roman" w:hAnsi="Times New Roman"/>
        </w:rPr>
        <w:t xml:space="preserve"> </w:t>
      </w:r>
      <w:r w:rsidR="00667DBF" w:rsidRPr="002849F1">
        <w:rPr>
          <w:rFonts w:ascii="Times New Roman" w:hAnsi="Times New Roman"/>
        </w:rPr>
        <w:t>I</w:t>
      </w:r>
      <w:r w:rsidR="00B45D9D" w:rsidRPr="002849F1">
        <w:rPr>
          <w:rFonts w:ascii="Times New Roman" w:hAnsi="Times New Roman"/>
        </w:rPr>
        <w:t xml:space="preserve">f </w:t>
      </w:r>
      <w:r w:rsidR="00BE7438" w:rsidRPr="002849F1">
        <w:rPr>
          <w:rFonts w:ascii="Times New Roman" w:hAnsi="Times New Roman"/>
        </w:rPr>
        <w:t>the construction of cl</w:t>
      </w:r>
      <w:r w:rsidR="00B45D9D" w:rsidRPr="002849F1">
        <w:rPr>
          <w:rFonts w:ascii="Times New Roman" w:hAnsi="Times New Roman"/>
        </w:rPr>
        <w:t> </w:t>
      </w:r>
      <w:r w:rsidR="00BE7438" w:rsidRPr="002849F1">
        <w:rPr>
          <w:rFonts w:ascii="Times New Roman" w:hAnsi="Times New Roman"/>
        </w:rPr>
        <w:t xml:space="preserve">26.2(a) is determined in favour of the Councils, that would advance their interests for the purposes of future </w:t>
      </w:r>
      <w:r w:rsidR="00BE7438" w:rsidRPr="002849F1">
        <w:rPr>
          <w:rFonts w:ascii="Times New Roman" w:hAnsi="Times New Roman"/>
        </w:rPr>
        <w:lastRenderedPageBreak/>
        <w:t>negotiations contemplated and required by cl 26.2(a)</w:t>
      </w:r>
      <w:r w:rsidR="005579D2" w:rsidRPr="002849F1">
        <w:rPr>
          <w:rStyle w:val="FootnoteReference"/>
          <w:rFonts w:ascii="Times New Roman" w:hAnsi="Times New Roman"/>
          <w:sz w:val="24"/>
        </w:rPr>
        <w:footnoteReference w:id="54"/>
      </w:r>
      <w:r w:rsidR="0016447F" w:rsidRPr="002849F1">
        <w:rPr>
          <w:rFonts w:ascii="Times New Roman" w:hAnsi="Times New Roman"/>
        </w:rPr>
        <w:t>.</w:t>
      </w:r>
      <w:r w:rsidR="002E6C93" w:rsidRPr="002849F1">
        <w:rPr>
          <w:rFonts w:ascii="Times New Roman" w:hAnsi="Times New Roman"/>
        </w:rPr>
        <w:t xml:space="preserve"> </w:t>
      </w:r>
      <w:r w:rsidR="0016447F" w:rsidRPr="002849F1">
        <w:rPr>
          <w:rFonts w:ascii="Times New Roman" w:hAnsi="Times New Roman"/>
        </w:rPr>
        <w:t>The</w:t>
      </w:r>
      <w:r w:rsidR="008971EB" w:rsidRPr="002849F1">
        <w:rPr>
          <w:rFonts w:ascii="Times New Roman" w:hAnsi="Times New Roman"/>
        </w:rPr>
        <w:t> </w:t>
      </w:r>
      <w:r w:rsidR="0016447F" w:rsidRPr="002849F1">
        <w:rPr>
          <w:rFonts w:ascii="Times New Roman" w:hAnsi="Times New Roman"/>
        </w:rPr>
        <w:t xml:space="preserve">Leases still have </w:t>
      </w:r>
      <w:r w:rsidR="009C3F0F" w:rsidRPr="002849F1">
        <w:rPr>
          <w:rFonts w:ascii="Times New Roman" w:hAnsi="Times New Roman"/>
        </w:rPr>
        <w:t>26</w:t>
      </w:r>
      <w:r w:rsidR="005B35E3">
        <w:rPr>
          <w:rFonts w:ascii="Times New Roman" w:hAnsi="Times New Roman"/>
        </w:rPr>
        <w:t> </w:t>
      </w:r>
      <w:r w:rsidR="0016447F" w:rsidRPr="002849F1">
        <w:rPr>
          <w:rFonts w:ascii="Times New Roman" w:hAnsi="Times New Roman"/>
        </w:rPr>
        <w:t>years</w:t>
      </w:r>
      <w:r w:rsidR="005579D2" w:rsidRPr="002849F1">
        <w:rPr>
          <w:rFonts w:ascii="Times New Roman" w:hAnsi="Times New Roman"/>
        </w:rPr>
        <w:t xml:space="preserve"> to run</w:t>
      </w:r>
      <w:r w:rsidR="00760A71" w:rsidRPr="002849F1">
        <w:rPr>
          <w:rFonts w:ascii="Times New Roman" w:hAnsi="Times New Roman"/>
        </w:rPr>
        <w:t>, with an option to renew</w:t>
      </w:r>
      <w:r w:rsidR="005579D2" w:rsidRPr="002849F1">
        <w:rPr>
          <w:rFonts w:ascii="Times New Roman" w:hAnsi="Times New Roman"/>
        </w:rPr>
        <w:t>.</w:t>
      </w:r>
      <w:r w:rsidR="002E6C93" w:rsidRPr="002849F1">
        <w:rPr>
          <w:rFonts w:ascii="Times New Roman" w:hAnsi="Times New Roman"/>
        </w:rPr>
        <w:t xml:space="preserve"> </w:t>
      </w:r>
    </w:p>
    <w:p w14:paraId="3CA306A2" w14:textId="5508DBD5" w:rsidR="00BE1197" w:rsidRPr="002849F1" w:rsidRDefault="0070773A"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E1197" w:rsidRPr="002849F1">
        <w:rPr>
          <w:rFonts w:ascii="Times New Roman" w:hAnsi="Times New Roman"/>
        </w:rPr>
        <w:t>These reasons</w:t>
      </w:r>
      <w:r w:rsidR="00346059" w:rsidRPr="002849F1">
        <w:rPr>
          <w:rFonts w:ascii="Times New Roman" w:hAnsi="Times New Roman"/>
        </w:rPr>
        <w:t xml:space="preserve"> </w:t>
      </w:r>
      <w:r w:rsidR="004D413D" w:rsidRPr="002849F1">
        <w:rPr>
          <w:rFonts w:ascii="Times New Roman" w:hAnsi="Times New Roman"/>
        </w:rPr>
        <w:t xml:space="preserve">should not be read as suggesting that </w:t>
      </w:r>
      <w:r w:rsidR="00B847BD" w:rsidRPr="002849F1">
        <w:rPr>
          <w:rFonts w:ascii="Times New Roman" w:hAnsi="Times New Roman"/>
        </w:rPr>
        <w:t xml:space="preserve">possessing a </w:t>
      </w:r>
      <w:r w:rsidR="00EC1100" w:rsidRPr="002849F1">
        <w:rPr>
          <w:rFonts w:ascii="Times New Roman" w:hAnsi="Times New Roman"/>
        </w:rPr>
        <w:t>mere</w:t>
      </w:r>
      <w:r w:rsidR="00B847BD" w:rsidRPr="002849F1">
        <w:rPr>
          <w:rFonts w:ascii="Times New Roman" w:hAnsi="Times New Roman"/>
        </w:rPr>
        <w:t xml:space="preserve"> commercial interest in obtaining declaratory relief about the meaning and effect of a contract to which an applicant for declaratory relief is not a party, on its own, would give rise to a "sufficient" or "real" interest.</w:t>
      </w:r>
      <w:r w:rsidR="002E6C93" w:rsidRPr="002849F1">
        <w:rPr>
          <w:rFonts w:ascii="Times New Roman" w:hAnsi="Times New Roman"/>
        </w:rPr>
        <w:t xml:space="preserve"> </w:t>
      </w:r>
      <w:r w:rsidR="00C02848" w:rsidRPr="002849F1">
        <w:rPr>
          <w:rFonts w:ascii="Times New Roman" w:hAnsi="Times New Roman"/>
        </w:rPr>
        <w:t>What makes this case exceptional is the combination of circumstances ide</w:t>
      </w:r>
      <w:r w:rsidR="0020592D" w:rsidRPr="002849F1">
        <w:rPr>
          <w:rFonts w:ascii="Times New Roman" w:hAnsi="Times New Roman"/>
        </w:rPr>
        <w:t xml:space="preserve">ntified </w:t>
      </w:r>
      <w:r w:rsidR="008E5BD6" w:rsidRPr="002849F1">
        <w:rPr>
          <w:rFonts w:ascii="Times New Roman" w:hAnsi="Times New Roman"/>
        </w:rPr>
        <w:t>at</w:t>
      </w:r>
      <w:r w:rsidR="0020592D" w:rsidRPr="002849F1">
        <w:rPr>
          <w:rFonts w:ascii="Times New Roman" w:hAnsi="Times New Roman"/>
        </w:rPr>
        <w:t xml:space="preserve"> [</w:t>
      </w:r>
      <w:proofErr w:type="gramStart"/>
      <w:r w:rsidR="0020592D" w:rsidRPr="002849F1">
        <w:rPr>
          <w:rFonts w:ascii="Times New Roman" w:hAnsi="Times New Roman"/>
        </w:rPr>
        <w:t>38]</w:t>
      </w:r>
      <w:r w:rsidR="0020592D" w:rsidRPr="002849F1">
        <w:rPr>
          <w:rFonts w:ascii="Times New Roman" w:hAnsi="Times New Roman"/>
        </w:rPr>
        <w:noBreakHyphen/>
      </w:r>
      <w:proofErr w:type="gramEnd"/>
      <w:r w:rsidR="0020592D" w:rsidRPr="002849F1">
        <w:rPr>
          <w:rFonts w:ascii="Times New Roman" w:hAnsi="Times New Roman"/>
        </w:rPr>
        <w:t>[40]</w:t>
      </w:r>
      <w:r w:rsidR="008E5BD6" w:rsidRPr="002849F1">
        <w:rPr>
          <w:rFonts w:ascii="Times New Roman" w:hAnsi="Times New Roman"/>
        </w:rPr>
        <w:t xml:space="preserve"> above</w:t>
      </w:r>
      <w:r w:rsidR="0020592D" w:rsidRPr="002849F1">
        <w:rPr>
          <w:rFonts w:ascii="Times New Roman" w:hAnsi="Times New Roman"/>
        </w:rPr>
        <w:t>.</w:t>
      </w:r>
      <w:r w:rsidR="002E6C93" w:rsidRPr="002849F1">
        <w:rPr>
          <w:rFonts w:ascii="Times New Roman" w:hAnsi="Times New Roman"/>
        </w:rPr>
        <w:t xml:space="preserve"> </w:t>
      </w:r>
      <w:r w:rsidR="004D413D" w:rsidRPr="002849F1">
        <w:rPr>
          <w:rFonts w:ascii="Times New Roman" w:hAnsi="Times New Roman"/>
        </w:rPr>
        <w:t>Moreover, t</w:t>
      </w:r>
      <w:r w:rsidR="00BE1197" w:rsidRPr="002849F1">
        <w:rPr>
          <w:rFonts w:ascii="Times New Roman" w:hAnsi="Times New Roman"/>
        </w:rPr>
        <w:t>hese reasons</w:t>
      </w:r>
      <w:r w:rsidR="008339FD" w:rsidRPr="002849F1">
        <w:rPr>
          <w:rFonts w:ascii="Times New Roman" w:hAnsi="Times New Roman"/>
        </w:rPr>
        <w:t xml:space="preserve"> are only concerned with the Councils' claims for declaratory relief.</w:t>
      </w:r>
      <w:r w:rsidR="002E6C93" w:rsidRPr="002849F1">
        <w:rPr>
          <w:rFonts w:ascii="Times New Roman" w:hAnsi="Times New Roman"/>
        </w:rPr>
        <w:t xml:space="preserve"> </w:t>
      </w:r>
      <w:r w:rsidR="008339FD" w:rsidRPr="002849F1">
        <w:rPr>
          <w:rFonts w:ascii="Times New Roman" w:hAnsi="Times New Roman"/>
        </w:rPr>
        <w:t>The</w:t>
      </w:r>
      <w:r w:rsidR="00677E95" w:rsidRPr="002849F1">
        <w:rPr>
          <w:rFonts w:ascii="Times New Roman" w:hAnsi="Times New Roman"/>
        </w:rPr>
        <w:t> </w:t>
      </w:r>
      <w:r w:rsidR="00346059" w:rsidRPr="002849F1">
        <w:rPr>
          <w:rFonts w:ascii="Times New Roman" w:hAnsi="Times New Roman"/>
        </w:rPr>
        <w:t xml:space="preserve">sufficiency of interest that might be required for a non-party to a contract to establish standing to obtain </w:t>
      </w:r>
      <w:r w:rsidR="008339FD" w:rsidRPr="002849F1">
        <w:rPr>
          <w:rFonts w:ascii="Times New Roman" w:hAnsi="Times New Roman"/>
        </w:rPr>
        <w:t xml:space="preserve">other forms of relief (for example, </w:t>
      </w:r>
      <w:r w:rsidR="00A77CAB" w:rsidRPr="002849F1">
        <w:rPr>
          <w:rFonts w:ascii="Times New Roman" w:hAnsi="Times New Roman"/>
        </w:rPr>
        <w:t>an</w:t>
      </w:r>
      <w:r w:rsidR="00872B84">
        <w:rPr>
          <w:rFonts w:ascii="Times New Roman" w:hAnsi="Times New Roman"/>
        </w:rPr>
        <w:t> </w:t>
      </w:r>
      <w:r w:rsidR="008339FD" w:rsidRPr="002849F1">
        <w:rPr>
          <w:rFonts w:ascii="Times New Roman" w:hAnsi="Times New Roman"/>
        </w:rPr>
        <w:t>injuncti</w:t>
      </w:r>
      <w:r w:rsidR="00A77CAB" w:rsidRPr="002849F1">
        <w:rPr>
          <w:rFonts w:ascii="Times New Roman" w:hAnsi="Times New Roman"/>
        </w:rPr>
        <w:t>on</w:t>
      </w:r>
      <w:r w:rsidR="008339FD" w:rsidRPr="002849F1">
        <w:rPr>
          <w:rFonts w:ascii="Times New Roman" w:hAnsi="Times New Roman"/>
        </w:rPr>
        <w:t xml:space="preserve">, damages or specific performance) does not arise </w:t>
      </w:r>
      <w:r w:rsidR="00E93939" w:rsidRPr="002849F1">
        <w:rPr>
          <w:rFonts w:ascii="Times New Roman" w:hAnsi="Times New Roman"/>
        </w:rPr>
        <w:t>in these appeals</w:t>
      </w:r>
      <w:r w:rsidR="008339FD" w:rsidRPr="002849F1">
        <w:rPr>
          <w:rFonts w:ascii="Times New Roman" w:hAnsi="Times New Roman"/>
        </w:rPr>
        <w:t>.</w:t>
      </w:r>
      <w:r w:rsidR="00346059" w:rsidRPr="002849F1">
        <w:rPr>
          <w:rFonts w:ascii="Times New Roman" w:hAnsi="Times New Roman"/>
        </w:rPr>
        <w:t xml:space="preserve"> </w:t>
      </w:r>
    </w:p>
    <w:p w14:paraId="292FD1F5" w14:textId="71560D07" w:rsidR="0070773A" w:rsidRPr="002849F1" w:rsidRDefault="0070773A" w:rsidP="002849F1">
      <w:pPr>
        <w:pStyle w:val="FixListStyle"/>
        <w:spacing w:after="260" w:line="280" w:lineRule="exact"/>
        <w:ind w:right="0"/>
        <w:jc w:val="both"/>
        <w:rPr>
          <w:rFonts w:ascii="Times New Roman" w:hAnsi="Times New Roman"/>
        </w:rPr>
      </w:pPr>
      <w:r w:rsidRPr="002849F1">
        <w:rPr>
          <w:rFonts w:ascii="Times New Roman" w:hAnsi="Times New Roman"/>
        </w:rPr>
        <w:tab/>
        <w:t>After the hearing, the Councils filed written submissions seeking to contend, for the first time, that they had standing to seek the declaratory relief sought because they enjoyed the benefit of a contractual promise under the Leases which was held on trust for them.</w:t>
      </w:r>
      <w:r w:rsidR="002E6C93" w:rsidRPr="002849F1">
        <w:rPr>
          <w:rFonts w:ascii="Times New Roman" w:hAnsi="Times New Roman"/>
        </w:rPr>
        <w:t xml:space="preserve"> </w:t>
      </w:r>
      <w:r w:rsidRPr="002849F1">
        <w:rPr>
          <w:rFonts w:ascii="Times New Roman" w:hAnsi="Times New Roman"/>
        </w:rPr>
        <w:t>As the Councils have standing to seek the declaratory relief for the reasons set out above, it is unnecessary to address that contention.</w:t>
      </w:r>
      <w:r w:rsidR="002E6C93" w:rsidRPr="002849F1">
        <w:rPr>
          <w:rFonts w:ascii="Times New Roman" w:hAnsi="Times New Roman"/>
        </w:rPr>
        <w:t xml:space="preserve"> </w:t>
      </w:r>
      <w:r w:rsidRPr="002849F1">
        <w:rPr>
          <w:rFonts w:ascii="Times New Roman" w:hAnsi="Times New Roman"/>
        </w:rPr>
        <w:t xml:space="preserve">The issues raised by the Councils' notices of contention </w:t>
      </w:r>
      <w:r w:rsidR="002C28E9" w:rsidRPr="002849F1">
        <w:rPr>
          <w:rFonts w:ascii="Times New Roman" w:hAnsi="Times New Roman"/>
        </w:rPr>
        <w:t xml:space="preserve">also </w:t>
      </w:r>
      <w:r w:rsidRPr="002849F1">
        <w:rPr>
          <w:rFonts w:ascii="Times New Roman" w:hAnsi="Times New Roman"/>
        </w:rPr>
        <w:t>do not arise.</w:t>
      </w:r>
    </w:p>
    <w:p w14:paraId="5B70777C" w14:textId="6034BD6D" w:rsidR="00692634" w:rsidRPr="002849F1" w:rsidRDefault="00692634" w:rsidP="002849F1">
      <w:pPr>
        <w:pStyle w:val="HeadingL3"/>
        <w:spacing w:after="260" w:line="280" w:lineRule="exact"/>
        <w:ind w:right="0"/>
        <w:jc w:val="both"/>
        <w:rPr>
          <w:rFonts w:ascii="Times New Roman" w:hAnsi="Times New Roman"/>
        </w:rPr>
      </w:pPr>
      <w:r w:rsidRPr="002849F1">
        <w:rPr>
          <w:rFonts w:ascii="Times New Roman" w:hAnsi="Times New Roman"/>
        </w:rPr>
        <w:t>Contradictor</w:t>
      </w:r>
    </w:p>
    <w:p w14:paraId="59D7E945" w14:textId="2FEF55BA" w:rsidR="00B00ADA" w:rsidRPr="002849F1" w:rsidRDefault="00E418B1"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B00ADA" w:rsidRPr="002849F1">
        <w:rPr>
          <w:rFonts w:ascii="Times New Roman" w:hAnsi="Times New Roman"/>
        </w:rPr>
        <w:t xml:space="preserve">Finally, </w:t>
      </w:r>
      <w:r w:rsidR="000C7CEC" w:rsidRPr="002849F1">
        <w:rPr>
          <w:rFonts w:ascii="Times New Roman" w:hAnsi="Times New Roman"/>
        </w:rPr>
        <w:t xml:space="preserve">the </w:t>
      </w:r>
      <w:r w:rsidR="00FC3199" w:rsidRPr="002849F1">
        <w:rPr>
          <w:rFonts w:ascii="Times New Roman" w:hAnsi="Times New Roman"/>
        </w:rPr>
        <w:t xml:space="preserve">fact </w:t>
      </w:r>
      <w:r w:rsidR="002D7E8E" w:rsidRPr="002849F1">
        <w:rPr>
          <w:rFonts w:ascii="Times New Roman" w:hAnsi="Times New Roman"/>
        </w:rPr>
        <w:t xml:space="preserve">that </w:t>
      </w:r>
      <w:r w:rsidR="00FC3199" w:rsidRPr="002849F1">
        <w:rPr>
          <w:rFonts w:ascii="Times New Roman" w:hAnsi="Times New Roman"/>
        </w:rPr>
        <w:t xml:space="preserve">the </w:t>
      </w:r>
      <w:r w:rsidR="00B00ADA" w:rsidRPr="002849F1">
        <w:rPr>
          <w:rFonts w:ascii="Times New Roman" w:hAnsi="Times New Roman"/>
        </w:rPr>
        <w:t xml:space="preserve">Lessees </w:t>
      </w:r>
      <w:r w:rsidR="000C7CEC" w:rsidRPr="002849F1">
        <w:rPr>
          <w:rFonts w:ascii="Times New Roman" w:hAnsi="Times New Roman"/>
        </w:rPr>
        <w:t xml:space="preserve">are obliged under </w:t>
      </w:r>
      <w:r w:rsidR="00FC3199" w:rsidRPr="002849F1">
        <w:rPr>
          <w:rFonts w:ascii="Times New Roman" w:hAnsi="Times New Roman"/>
        </w:rPr>
        <w:t xml:space="preserve">cl 26.2(a) of </w:t>
      </w:r>
      <w:r w:rsidR="000C7CEC" w:rsidRPr="002849F1">
        <w:rPr>
          <w:rFonts w:ascii="Times New Roman" w:hAnsi="Times New Roman"/>
        </w:rPr>
        <w:t xml:space="preserve">the Leases to </w:t>
      </w:r>
      <w:r w:rsidR="0094713F" w:rsidRPr="002849F1">
        <w:rPr>
          <w:rFonts w:ascii="Times New Roman" w:hAnsi="Times New Roman"/>
        </w:rPr>
        <w:t xml:space="preserve">use all </w:t>
      </w:r>
      <w:r w:rsidR="000C7CEC" w:rsidRPr="002849F1">
        <w:rPr>
          <w:rFonts w:ascii="Times New Roman" w:hAnsi="Times New Roman"/>
        </w:rPr>
        <w:t xml:space="preserve">reasonable endeavours to </w:t>
      </w:r>
      <w:r w:rsidR="0094713F" w:rsidRPr="002849F1">
        <w:rPr>
          <w:rFonts w:ascii="Times New Roman" w:hAnsi="Times New Roman"/>
        </w:rPr>
        <w:t xml:space="preserve">enter into an agreement with the Councils to </w:t>
      </w:r>
      <w:r w:rsidR="00B00ADA" w:rsidRPr="002849F1">
        <w:rPr>
          <w:rFonts w:ascii="Times New Roman" w:hAnsi="Times New Roman"/>
        </w:rPr>
        <w:t>make the ex</w:t>
      </w:r>
      <w:r w:rsidR="00B00ADA" w:rsidRPr="002849F1">
        <w:rPr>
          <w:rFonts w:ascii="Times New Roman" w:hAnsi="Times New Roman"/>
        </w:rPr>
        <w:noBreakHyphen/>
        <w:t>gratia payments</w:t>
      </w:r>
      <w:r w:rsidR="0094713F" w:rsidRPr="002849F1">
        <w:rPr>
          <w:rFonts w:ascii="Times New Roman" w:hAnsi="Times New Roman"/>
        </w:rPr>
        <w:t xml:space="preserve"> </w:t>
      </w:r>
      <w:r w:rsidR="00230EFF" w:rsidRPr="002849F1">
        <w:rPr>
          <w:rFonts w:ascii="Times New Roman" w:hAnsi="Times New Roman"/>
        </w:rPr>
        <w:t xml:space="preserve">and ultimately are obliged to pay </w:t>
      </w:r>
      <w:r w:rsidR="00ED5243" w:rsidRPr="002849F1">
        <w:rPr>
          <w:rFonts w:ascii="Times New Roman" w:hAnsi="Times New Roman"/>
        </w:rPr>
        <w:t>amounts to</w:t>
      </w:r>
      <w:r w:rsidR="00230EFF" w:rsidRPr="002849F1">
        <w:rPr>
          <w:rFonts w:ascii="Times New Roman" w:hAnsi="Times New Roman"/>
        </w:rPr>
        <w:t xml:space="preserve"> the Councils </w:t>
      </w:r>
      <w:r w:rsidR="006770F6" w:rsidRPr="002849F1">
        <w:rPr>
          <w:rFonts w:ascii="Times New Roman" w:hAnsi="Times New Roman"/>
        </w:rPr>
        <w:t xml:space="preserve">means that each Lessee </w:t>
      </w:r>
      <w:r w:rsidR="0094713F" w:rsidRPr="002849F1">
        <w:rPr>
          <w:rFonts w:ascii="Times New Roman" w:hAnsi="Times New Roman"/>
        </w:rPr>
        <w:t xml:space="preserve">is </w:t>
      </w:r>
      <w:r w:rsidR="00B00ADA" w:rsidRPr="002849F1">
        <w:rPr>
          <w:rFonts w:ascii="Times New Roman" w:hAnsi="Times New Roman"/>
        </w:rPr>
        <w:t>plainly a contradictor</w:t>
      </w:r>
      <w:r w:rsidR="0094713F" w:rsidRPr="002849F1">
        <w:rPr>
          <w:rFonts w:ascii="Times New Roman" w:hAnsi="Times New Roman"/>
        </w:rPr>
        <w:t>.</w:t>
      </w:r>
      <w:r w:rsidR="002E6C93" w:rsidRPr="002849F1">
        <w:rPr>
          <w:rFonts w:ascii="Times New Roman" w:hAnsi="Times New Roman"/>
        </w:rPr>
        <w:t xml:space="preserve"> </w:t>
      </w:r>
      <w:r w:rsidR="006770F6" w:rsidRPr="002849F1">
        <w:rPr>
          <w:rFonts w:ascii="Times New Roman" w:hAnsi="Times New Roman"/>
        </w:rPr>
        <w:t>The</w:t>
      </w:r>
      <w:r w:rsidRPr="002849F1">
        <w:rPr>
          <w:rFonts w:ascii="Times New Roman" w:hAnsi="Times New Roman"/>
        </w:rPr>
        <w:t> </w:t>
      </w:r>
      <w:r w:rsidR="006770F6" w:rsidRPr="002849F1">
        <w:rPr>
          <w:rFonts w:ascii="Times New Roman" w:hAnsi="Times New Roman"/>
        </w:rPr>
        <w:t xml:space="preserve">Lessees certainly do not wish to pay more </w:t>
      </w:r>
      <w:r w:rsidR="001A3EE9" w:rsidRPr="002849F1">
        <w:rPr>
          <w:rFonts w:ascii="Times New Roman" w:hAnsi="Times New Roman"/>
        </w:rPr>
        <w:t>than they are contractually bound to pay under cl 26.2</w:t>
      </w:r>
      <w:r w:rsidR="001B0FB5" w:rsidRPr="002849F1">
        <w:rPr>
          <w:rFonts w:ascii="Times New Roman" w:hAnsi="Times New Roman"/>
        </w:rPr>
        <w:t>(a)</w:t>
      </w:r>
      <w:r w:rsidR="001A3EE9" w:rsidRPr="002849F1">
        <w:rPr>
          <w:rFonts w:ascii="Times New Roman" w:hAnsi="Times New Roman"/>
        </w:rPr>
        <w:t xml:space="preserve"> of the Leases</w:t>
      </w:r>
      <w:r w:rsidR="00EC2092" w:rsidRPr="002849F1">
        <w:rPr>
          <w:rFonts w:ascii="Times New Roman" w:hAnsi="Times New Roman"/>
        </w:rPr>
        <w:t xml:space="preserve"> – they each have a real interest in opposing the declaratory relief sought</w:t>
      </w:r>
      <w:r w:rsidR="00937C40" w:rsidRPr="002849F1">
        <w:rPr>
          <w:rStyle w:val="FootnoteReference"/>
          <w:rFonts w:ascii="Times New Roman" w:hAnsi="Times New Roman"/>
          <w:sz w:val="24"/>
        </w:rPr>
        <w:footnoteReference w:id="55"/>
      </w:r>
      <w:r w:rsidR="00EC2092" w:rsidRPr="002849F1">
        <w:rPr>
          <w:rFonts w:ascii="Times New Roman" w:hAnsi="Times New Roman"/>
        </w:rPr>
        <w:t>, indeed they opposed the Councils' construction of cl 26.2(a) before the primary judge</w:t>
      </w:r>
      <w:r w:rsidR="001A3EE9" w:rsidRPr="002849F1">
        <w:rPr>
          <w:rFonts w:ascii="Times New Roman" w:hAnsi="Times New Roman"/>
        </w:rPr>
        <w:t>.</w:t>
      </w:r>
      <w:r w:rsidR="002E6C93" w:rsidRPr="002849F1">
        <w:rPr>
          <w:rFonts w:ascii="Times New Roman" w:hAnsi="Times New Roman"/>
        </w:rPr>
        <w:t xml:space="preserve"> </w:t>
      </w:r>
    </w:p>
    <w:p w14:paraId="01C57DEB" w14:textId="39E48913" w:rsidR="00A73989" w:rsidRPr="002849F1" w:rsidRDefault="00B31260" w:rsidP="002849F1">
      <w:pPr>
        <w:pStyle w:val="HeadingL1"/>
        <w:spacing w:after="260" w:line="280" w:lineRule="exact"/>
        <w:ind w:right="0"/>
        <w:jc w:val="both"/>
        <w:rPr>
          <w:rFonts w:ascii="Times New Roman" w:hAnsi="Times New Roman"/>
        </w:rPr>
      </w:pPr>
      <w:r w:rsidRPr="002849F1">
        <w:rPr>
          <w:rFonts w:ascii="Times New Roman" w:hAnsi="Times New Roman"/>
        </w:rPr>
        <w:t>Conclusion and orders</w:t>
      </w:r>
    </w:p>
    <w:p w14:paraId="53A026F5" w14:textId="77777777" w:rsidR="00744668" w:rsidRDefault="00B31260" w:rsidP="002849F1">
      <w:pPr>
        <w:pStyle w:val="FixListStyle"/>
        <w:spacing w:after="260" w:line="280" w:lineRule="exact"/>
        <w:ind w:right="0"/>
        <w:jc w:val="both"/>
        <w:rPr>
          <w:rFonts w:ascii="Times New Roman" w:hAnsi="Times New Roman"/>
        </w:rPr>
      </w:pPr>
      <w:r w:rsidRPr="002849F1">
        <w:rPr>
          <w:rFonts w:ascii="Times New Roman" w:hAnsi="Times New Roman"/>
        </w:rPr>
        <w:tab/>
      </w:r>
      <w:r w:rsidR="00082868" w:rsidRPr="002849F1">
        <w:rPr>
          <w:rFonts w:ascii="Times New Roman" w:hAnsi="Times New Roman"/>
        </w:rPr>
        <w:t>For those reasons, each proceeding involves a "matter"</w:t>
      </w:r>
      <w:r w:rsidR="0094713F" w:rsidRPr="002849F1">
        <w:rPr>
          <w:rFonts w:ascii="Times New Roman" w:hAnsi="Times New Roman"/>
        </w:rPr>
        <w:t>.</w:t>
      </w:r>
      <w:r w:rsidR="002E6C93" w:rsidRPr="002849F1">
        <w:rPr>
          <w:rFonts w:ascii="Times New Roman" w:hAnsi="Times New Roman"/>
        </w:rPr>
        <w:t xml:space="preserve"> </w:t>
      </w:r>
      <w:r w:rsidR="0094713F" w:rsidRPr="002849F1">
        <w:rPr>
          <w:rFonts w:ascii="Times New Roman" w:hAnsi="Times New Roman"/>
        </w:rPr>
        <w:t>The </w:t>
      </w:r>
      <w:r w:rsidRPr="002849F1">
        <w:rPr>
          <w:rFonts w:ascii="Times New Roman" w:hAnsi="Times New Roman"/>
        </w:rPr>
        <w:t xml:space="preserve">appeals are </w:t>
      </w:r>
      <w:r w:rsidR="00743DAD" w:rsidRPr="002849F1">
        <w:rPr>
          <w:rFonts w:ascii="Times New Roman" w:hAnsi="Times New Roman"/>
        </w:rPr>
        <w:t>dismissed with costs.</w:t>
      </w:r>
      <w:r w:rsidRPr="002849F1">
        <w:rPr>
          <w:rFonts w:ascii="Times New Roman" w:hAnsi="Times New Roman"/>
        </w:rPr>
        <w:t xml:space="preserve"> </w:t>
      </w:r>
    </w:p>
    <w:p w14:paraId="6787D3BB" w14:textId="77777777" w:rsidR="00744668" w:rsidRDefault="00744668" w:rsidP="002849F1">
      <w:pPr>
        <w:pStyle w:val="FixListStyle"/>
        <w:spacing w:after="260" w:line="280" w:lineRule="exact"/>
        <w:ind w:right="0"/>
        <w:jc w:val="both"/>
        <w:rPr>
          <w:rFonts w:ascii="Times New Roman" w:hAnsi="Times New Roman"/>
        </w:rPr>
        <w:sectPr w:rsidR="00744668" w:rsidSect="00F055F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72A3953" w14:textId="77777777" w:rsidR="00744668" w:rsidRPr="00857FFC" w:rsidRDefault="00744668" w:rsidP="00857FFC">
      <w:pPr>
        <w:pStyle w:val="FixListStyle"/>
        <w:tabs>
          <w:tab w:val="clear" w:pos="720"/>
          <w:tab w:val="left" w:pos="0"/>
        </w:tabs>
        <w:spacing w:after="260" w:line="280" w:lineRule="exact"/>
        <w:ind w:right="0"/>
        <w:jc w:val="both"/>
        <w:rPr>
          <w:rFonts w:ascii="Times New Roman" w:hAnsi="Times New Roman"/>
        </w:rPr>
      </w:pPr>
      <w:r w:rsidRPr="00857FFC">
        <w:rPr>
          <w:rFonts w:ascii="Times New Roman" w:hAnsi="Times New Roman"/>
        </w:rPr>
        <w:lastRenderedPageBreak/>
        <w:t xml:space="preserve">GAGELER AND GLEESON JJ.   The Federal Court of Australia has, and can only have, such jurisdiction as is vested in it by the Commonwealth Parliament. The jurisdiction of the Federal Court is defined by the </w:t>
      </w:r>
      <w:r w:rsidRPr="00857FFC">
        <w:rPr>
          <w:rFonts w:ascii="Times New Roman" w:hAnsi="Times New Roman"/>
          <w:i/>
        </w:rPr>
        <w:t>Judiciary Act 1903</w:t>
      </w:r>
      <w:r w:rsidRPr="00857FFC">
        <w:rPr>
          <w:rFonts w:ascii="Times New Roman" w:hAnsi="Times New Roman"/>
        </w:rPr>
        <w:t xml:space="preserve"> (</w:t>
      </w:r>
      <w:proofErr w:type="spellStart"/>
      <w:r w:rsidRPr="00857FFC">
        <w:rPr>
          <w:rFonts w:ascii="Times New Roman" w:hAnsi="Times New Roman"/>
        </w:rPr>
        <w:t>Cth</w:t>
      </w:r>
      <w:proofErr w:type="spellEnd"/>
      <w:r w:rsidRPr="00857FFC">
        <w:rPr>
          <w:rFonts w:ascii="Times New Roman" w:hAnsi="Times New Roman"/>
        </w:rPr>
        <w:t>) to include original jurisdiction in any civil matter arising under any law made by the Parliament</w:t>
      </w:r>
      <w:r w:rsidRPr="00857FFC">
        <w:rPr>
          <w:rStyle w:val="FootnoteReference"/>
          <w:rFonts w:ascii="Times New Roman" w:hAnsi="Times New Roman"/>
          <w:sz w:val="24"/>
        </w:rPr>
        <w:footnoteReference w:id="56"/>
      </w:r>
      <w:r w:rsidRPr="00857FFC">
        <w:rPr>
          <w:rFonts w:ascii="Times New Roman" w:hAnsi="Times New Roman"/>
        </w:rPr>
        <w:t xml:space="preserve">. </w:t>
      </w:r>
    </w:p>
    <w:p w14:paraId="19E5E465"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term "matter" connotes "everything which can possibly arise within the ambit" of the federal jurisdiction that is capable of being vested by the Commonwealth Parliament in a court under Ch III of the </w:t>
      </w:r>
      <w:r w:rsidRPr="00857FFC">
        <w:rPr>
          <w:rFonts w:ascii="Times New Roman" w:hAnsi="Times New Roman"/>
          <w:i/>
        </w:rPr>
        <w:t>Constitution</w:t>
      </w:r>
      <w:r w:rsidRPr="00857FFC">
        <w:rPr>
          <w:rStyle w:val="FootnoteReference"/>
          <w:rFonts w:ascii="Times New Roman" w:hAnsi="Times New Roman"/>
          <w:sz w:val="24"/>
        </w:rPr>
        <w:footnoteReference w:id="57"/>
      </w:r>
      <w:r w:rsidRPr="00857FFC">
        <w:rPr>
          <w:rFonts w:ascii="Times New Roman" w:hAnsi="Times New Roman"/>
        </w:rPr>
        <w:t>. These two appeals do not call for an exploration of the limits of the term</w:t>
      </w:r>
      <w:r w:rsidRPr="00857FFC">
        <w:rPr>
          <w:rStyle w:val="FootnoteReference"/>
          <w:rFonts w:ascii="Times New Roman" w:hAnsi="Times New Roman"/>
          <w:sz w:val="24"/>
        </w:rPr>
        <w:footnoteReference w:id="58"/>
      </w:r>
      <w:r w:rsidRPr="00857FFC">
        <w:rPr>
          <w:rFonts w:ascii="Times New Roman" w:hAnsi="Times New Roman"/>
        </w:rPr>
        <w:t xml:space="preserve">. </w:t>
      </w:r>
    </w:p>
    <w:p w14:paraId="2377B5DC"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Each appeal is concerned rather with determining whether there exists a matter within the central conception of the term. The central conception of a matter is of a justiciable controversy between defined persons or classes of persons about an existing legal right or legal obligation</w:t>
      </w:r>
      <w:r w:rsidRPr="00857FFC">
        <w:rPr>
          <w:rStyle w:val="FootnoteReference"/>
          <w:rFonts w:ascii="Times New Roman" w:hAnsi="Times New Roman"/>
          <w:sz w:val="24"/>
        </w:rPr>
        <w:footnoteReference w:id="59"/>
      </w:r>
      <w:r w:rsidRPr="00857FFC">
        <w:rPr>
          <w:rFonts w:ascii="Times New Roman" w:hAnsi="Times New Roman"/>
        </w:rPr>
        <w:t>. The controversy is justiciable if it is capable of being resolved in the exercise of judicial power by an order of a court which, if made, would operate to put an end to the question in controversy through the creation of "a new charter by reference to which that question is in future to be decided as between those persons or classes of persons"</w:t>
      </w:r>
      <w:r w:rsidRPr="00857FFC">
        <w:rPr>
          <w:rStyle w:val="FootnoteReference"/>
          <w:rFonts w:ascii="Times New Roman" w:hAnsi="Times New Roman"/>
          <w:sz w:val="24"/>
        </w:rPr>
        <w:footnoteReference w:id="60"/>
      </w:r>
      <w:r w:rsidRPr="00857FFC">
        <w:rPr>
          <w:rFonts w:ascii="Times New Roman" w:hAnsi="Times New Roman"/>
        </w:rPr>
        <w:t>. Conversely, a controversy between defined persons or classes of persons about an existing legal right or legal obligation which is not capable of being resolved in the exercise of judicial power by an order of a court is not justiciable and is not a matter.</w:t>
      </w:r>
    </w:p>
    <w:p w14:paraId="4288711E"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That was the point made by Gleeson CJ and McHugh J when they said in </w:t>
      </w:r>
      <w:r w:rsidRPr="00857FFC">
        <w:rPr>
          <w:rFonts w:ascii="Times New Roman" w:hAnsi="Times New Roman"/>
          <w:i/>
        </w:rPr>
        <w:t>Abebe v The Commonwealth</w:t>
      </w:r>
      <w:r w:rsidRPr="00857FFC">
        <w:rPr>
          <w:rStyle w:val="FootnoteReference"/>
          <w:rFonts w:ascii="Times New Roman" w:hAnsi="Times New Roman"/>
          <w:sz w:val="24"/>
        </w:rPr>
        <w:footnoteReference w:id="61"/>
      </w:r>
      <w:r w:rsidRPr="00857FFC">
        <w:rPr>
          <w:rFonts w:ascii="Times New Roman" w:hAnsi="Times New Roman"/>
        </w:rPr>
        <w:t>:</w:t>
      </w:r>
    </w:p>
    <w:p w14:paraId="07686E95" w14:textId="77777777" w:rsidR="00744668" w:rsidRDefault="00744668" w:rsidP="00857FFC">
      <w:pPr>
        <w:pStyle w:val="leftright"/>
        <w:spacing w:before="0" w:after="260" w:line="280" w:lineRule="exact"/>
        <w:ind w:right="0"/>
        <w:jc w:val="both"/>
        <w:rPr>
          <w:rFonts w:ascii="Times New Roman" w:hAnsi="Times New Roman"/>
        </w:rPr>
      </w:pPr>
      <w:r w:rsidRPr="00857FFC">
        <w:rPr>
          <w:rFonts w:ascii="Times New Roman" w:hAnsi="Times New Roman"/>
        </w:rPr>
        <w:lastRenderedPageBreak/>
        <w:t>"A matter cannot exist in the abstract. If there is no legal remedy for a wrong, there can be no matter. A legally enforceable remedy is as essential to the existence of a matter as the right, duty or liability which gives rise to the remedy. Without the right to bring a curial proceeding, there can be no matter."</w:t>
      </w:r>
    </w:p>
    <w:p w14:paraId="4C670612" w14:textId="77777777" w:rsidR="00744668" w:rsidRPr="00857FFC" w:rsidRDefault="00744668" w:rsidP="00857FFC">
      <w:pPr>
        <w:pStyle w:val="NormalBody"/>
        <w:spacing w:after="260" w:line="280" w:lineRule="exact"/>
        <w:ind w:right="0"/>
        <w:jc w:val="both"/>
        <w:rPr>
          <w:rFonts w:ascii="Times New Roman" w:hAnsi="Times New Roman"/>
        </w:rPr>
      </w:pPr>
      <w:r w:rsidRPr="00857FFC">
        <w:rPr>
          <w:rFonts w:ascii="Times New Roman" w:hAnsi="Times New Roman"/>
        </w:rPr>
        <w:t>Their Honours spelt out the implications of the relationship between the availability of a remedy and the existence of a matter</w:t>
      </w:r>
      <w:r w:rsidRPr="00857FFC">
        <w:rPr>
          <w:rStyle w:val="FootnoteReference"/>
          <w:rFonts w:ascii="Times New Roman" w:hAnsi="Times New Roman"/>
          <w:sz w:val="24"/>
        </w:rPr>
        <w:footnoteReference w:id="62"/>
      </w:r>
      <w:r w:rsidRPr="00857FFC">
        <w:rPr>
          <w:rFonts w:ascii="Times New Roman" w:hAnsi="Times New Roman"/>
        </w:rPr>
        <w:t>:</w:t>
      </w:r>
    </w:p>
    <w:p w14:paraId="2760C65E" w14:textId="77777777" w:rsidR="00744668" w:rsidRDefault="00744668" w:rsidP="00857FFC">
      <w:pPr>
        <w:pStyle w:val="leftright"/>
        <w:spacing w:before="0" w:after="260" w:line="280" w:lineRule="exact"/>
        <w:ind w:right="0"/>
        <w:jc w:val="both"/>
        <w:rPr>
          <w:rFonts w:ascii="Times New Roman" w:hAnsi="Times New Roman"/>
        </w:rPr>
      </w:pPr>
      <w:r w:rsidRPr="00857FFC">
        <w:rPr>
          <w:rFonts w:ascii="Times New Roman" w:hAnsi="Times New Roman"/>
        </w:rPr>
        <w:t xml:space="preserve">"That does not mean that there can be no matter unless the existence of a right, duty or liability is established. It is </w:t>
      </w:r>
      <w:proofErr w:type="gramStart"/>
      <w:r w:rsidRPr="00857FFC">
        <w:rPr>
          <w:rFonts w:ascii="Times New Roman" w:hAnsi="Times New Roman"/>
        </w:rPr>
        <w:t>sufficient</w:t>
      </w:r>
      <w:proofErr w:type="gramEnd"/>
      <w:r w:rsidRPr="00857FFC">
        <w:rPr>
          <w:rFonts w:ascii="Times New Roman" w:hAnsi="Times New Roman"/>
        </w:rPr>
        <w:t xml:space="preserve"> that the moving party claims that he or she has a legal remedy in the court where the proceedings have been commenced to enforce the right, duty or liability in question. It does mean, however, that there must be a remedy enforceable in a court of justice, that it must be enforceable in the court in which the proceedings are commenced and that the person claiming the remedy must have </w:t>
      </w:r>
      <w:proofErr w:type="gramStart"/>
      <w:r w:rsidRPr="00857FFC">
        <w:rPr>
          <w:rFonts w:ascii="Times New Roman" w:hAnsi="Times New Roman"/>
        </w:rPr>
        <w:t>sufficient</w:t>
      </w:r>
      <w:proofErr w:type="gramEnd"/>
      <w:r w:rsidRPr="00857FFC">
        <w:rPr>
          <w:rFonts w:ascii="Times New Roman" w:hAnsi="Times New Roman"/>
        </w:rPr>
        <w:t xml:space="preserve"> interest in enforcing the right, duty or liability to make the controversy justiciable. Questions of standing cannot be divorced from the notion of a matter."</w:t>
      </w:r>
    </w:p>
    <w:p w14:paraId="46A6D838" w14:textId="77777777" w:rsidR="00744668" w:rsidRPr="00857FFC" w:rsidRDefault="00744668" w:rsidP="00857FFC">
      <w:pPr>
        <w:pStyle w:val="NormalBody"/>
        <w:spacing w:after="260" w:line="280" w:lineRule="exact"/>
        <w:ind w:right="0"/>
        <w:jc w:val="both"/>
        <w:rPr>
          <w:rFonts w:ascii="Times New Roman" w:hAnsi="Times New Roman"/>
        </w:rPr>
      </w:pPr>
      <w:r w:rsidRPr="00857FFC">
        <w:rPr>
          <w:rFonts w:ascii="Times New Roman" w:hAnsi="Times New Roman"/>
        </w:rPr>
        <w:t>Their Honours' reference to a "legally enforceable remedy" must be understood as a reference to an order capable of being made by a court in the exercise of coercive judicial power which, subject to appeal, authoritatively determines the question about the right, duty or liability in controversy</w:t>
      </w:r>
      <w:r w:rsidRPr="00857FFC">
        <w:rPr>
          <w:rStyle w:val="FootnoteReference"/>
          <w:rFonts w:ascii="Times New Roman" w:hAnsi="Times New Roman"/>
          <w:sz w:val="24"/>
        </w:rPr>
        <w:footnoteReference w:id="63"/>
      </w:r>
      <w:r w:rsidRPr="00857FFC">
        <w:rPr>
          <w:rFonts w:ascii="Times New Roman" w:hAnsi="Times New Roman"/>
        </w:rPr>
        <w:t>. There is no added need for the order to be capable of being enforced by execution</w:t>
      </w:r>
      <w:r w:rsidRPr="00857FFC">
        <w:rPr>
          <w:rStyle w:val="FootnoteReference"/>
          <w:rFonts w:ascii="Times New Roman" w:hAnsi="Times New Roman"/>
          <w:sz w:val="24"/>
        </w:rPr>
        <w:footnoteReference w:id="64"/>
      </w:r>
      <w:r w:rsidRPr="00857FFC">
        <w:rPr>
          <w:rFonts w:ascii="Times New Roman" w:hAnsi="Times New Roman"/>
        </w:rPr>
        <w:t xml:space="preserve">. </w:t>
      </w:r>
    </w:p>
    <w:p w14:paraId="09C1AE8B"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Taking up the point made by Gleeson CJ and McHugh J, the justiciability of a controversy between defined persons or classes of persons about the content of an existing legal right or obligation depends on: (1) the power of a court to make an order that would operate to resolve the controversy between those persons; and (2) the right of one or more of those persons to seek that order from that court. Standing, in the sense of a right to seek from a court an order that would operate to resolve the controversy, is in that way inseparable from justiciability and, therefore, is intrinsic to the existence of the matter without which the federal </w:t>
      </w:r>
      <w:r w:rsidRPr="00857FFC">
        <w:rPr>
          <w:rFonts w:ascii="Times New Roman" w:hAnsi="Times New Roman"/>
        </w:rPr>
        <w:lastRenderedPageBreak/>
        <w:t>jurisdiction of the court to make the order cannot exist. That is what has been meant when it has often been said that standing is "subsumed within the constitutional requirement of a matter"</w:t>
      </w:r>
      <w:r w:rsidRPr="00857FFC">
        <w:rPr>
          <w:rStyle w:val="FootnoteReference"/>
          <w:rFonts w:ascii="Times New Roman" w:hAnsi="Times New Roman"/>
          <w:sz w:val="24"/>
        </w:rPr>
        <w:footnoteReference w:id="65"/>
      </w:r>
      <w:r w:rsidRPr="00857FFC">
        <w:rPr>
          <w:rFonts w:ascii="Times New Roman" w:hAnsi="Times New Roman"/>
        </w:rPr>
        <w:t>.</w:t>
      </w:r>
    </w:p>
    <w:p w14:paraId="6651C7EF"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A matter can be characterised as one "arising under any laws made by the Parliament" in a range of circumstances</w:t>
      </w:r>
      <w:r w:rsidRPr="00857FFC">
        <w:rPr>
          <w:rStyle w:val="FootnoteReference"/>
          <w:rFonts w:ascii="Times New Roman" w:hAnsi="Times New Roman"/>
          <w:sz w:val="24"/>
        </w:rPr>
        <w:footnoteReference w:id="66"/>
      </w:r>
      <w:r w:rsidRPr="00857FFC">
        <w:rPr>
          <w:rFonts w:ascii="Times New Roman" w:hAnsi="Times New Roman"/>
        </w:rPr>
        <w:t>. Once again, these appeals do not call for an exploration of the limits of that range. Each appeal is concerned with a controversy about an existing contractual obligation. If that controversy is justiciable, so as to constitute a matter within the central conception of that term, then that justiciable controversy is properly characterised as a matter arising under a law made by the Parliament on the basis that the contract imposing the obligation came into existence as an incident of the exercise of a capacity to "grant an airport lease" conferred on the Commonwealth by a law made by the Parliament</w:t>
      </w:r>
      <w:r w:rsidRPr="00857FFC">
        <w:rPr>
          <w:rStyle w:val="FootnoteReference"/>
          <w:rFonts w:ascii="Times New Roman" w:hAnsi="Times New Roman"/>
          <w:sz w:val="24"/>
        </w:rPr>
        <w:footnoteReference w:id="67"/>
      </w:r>
      <w:r w:rsidRPr="00857FFC">
        <w:rPr>
          <w:rFonts w:ascii="Times New Roman" w:hAnsi="Times New Roman"/>
        </w:rPr>
        <w:t>.</w:t>
      </w:r>
    </w:p>
    <w:p w14:paraId="6A7019ED"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In circumstances recounted by Kiefel CJ, Keane and Gordon JJ, each appeal turns on the justiciability of the controversy which has been brewing for some time between a Council (on the one hand) and the Commonwealth as lessor and a Lessee (on the other hand) about the content of the contractual obligation owed by the Lessee to the Commonwealth under cl 26.2 of its Lease. In the proceeding giving rise to each appeal, a Council sought to resolve that controversy by asking the Federal Court to make a declaration about the content of the contractual obligation. The Council asked the Federal Court to make that declaration in a proceeding to which it joined both the Lessee and the Commonwealth as parties. The Council sought no other substantive order.</w:t>
      </w:r>
    </w:p>
    <w:p w14:paraId="699F8DD5"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There is no doubt as to the power of the Federal Court to make a declaration of the kind sought by each Council in a proceeding to which the Lessee and the Commonwealth, being </w:t>
      </w:r>
      <w:proofErr w:type="gramStart"/>
      <w:r w:rsidRPr="00857FFC">
        <w:rPr>
          <w:rFonts w:ascii="Times New Roman" w:hAnsi="Times New Roman"/>
        </w:rPr>
        <w:t>the persons</w:t>
      </w:r>
      <w:proofErr w:type="gramEnd"/>
      <w:r w:rsidRPr="00857FFC">
        <w:rPr>
          <w:rFonts w:ascii="Times New Roman" w:hAnsi="Times New Roman"/>
        </w:rPr>
        <w:t xml:space="preserve"> whose rights and obligations would be directly </w:t>
      </w:r>
      <w:r w:rsidRPr="00857FFC">
        <w:rPr>
          <w:rFonts w:ascii="Times New Roman" w:hAnsi="Times New Roman"/>
        </w:rPr>
        <w:lastRenderedPageBreak/>
        <w:t>affected by the declaration</w:t>
      </w:r>
      <w:r w:rsidRPr="00857FFC">
        <w:rPr>
          <w:rStyle w:val="FootnoteReference"/>
          <w:rFonts w:ascii="Times New Roman" w:hAnsi="Times New Roman"/>
          <w:sz w:val="24"/>
        </w:rPr>
        <w:footnoteReference w:id="68"/>
      </w:r>
      <w:r w:rsidRPr="00857FFC">
        <w:rPr>
          <w:rFonts w:ascii="Times New Roman" w:hAnsi="Times New Roman"/>
        </w:rPr>
        <w:t xml:space="preserve">, are parties. The </w:t>
      </w:r>
      <w:r w:rsidRPr="00857FFC">
        <w:rPr>
          <w:rFonts w:ascii="Times New Roman" w:hAnsi="Times New Roman"/>
          <w:i/>
        </w:rPr>
        <w:t>Federal Court of Australia Act 1976</w:t>
      </w:r>
      <w:r w:rsidRPr="00857FFC">
        <w:rPr>
          <w:rFonts w:ascii="Times New Roman" w:hAnsi="Times New Roman"/>
        </w:rPr>
        <w:t xml:space="preserve"> (</w:t>
      </w:r>
      <w:proofErr w:type="spellStart"/>
      <w:r w:rsidRPr="00857FFC">
        <w:rPr>
          <w:rFonts w:ascii="Times New Roman" w:hAnsi="Times New Roman"/>
        </w:rPr>
        <w:t>Cth</w:t>
      </w:r>
      <w:proofErr w:type="spellEnd"/>
      <w:r w:rsidRPr="00857FFC">
        <w:rPr>
          <w:rFonts w:ascii="Times New Roman" w:hAnsi="Times New Roman"/>
        </w:rPr>
        <w:t>) specifically empowers the Federal Court to make a binding declaration of right in any civil proceeding in relation to a matter in which it has original jurisdiction, whether or not any consequential relief is or could be claimed</w:t>
      </w:r>
      <w:r w:rsidRPr="00857FFC">
        <w:rPr>
          <w:rStyle w:val="FootnoteReference"/>
          <w:rFonts w:ascii="Times New Roman" w:hAnsi="Times New Roman"/>
          <w:sz w:val="24"/>
        </w:rPr>
        <w:footnoteReference w:id="69"/>
      </w:r>
      <w:r w:rsidRPr="00857FFC">
        <w:rPr>
          <w:rFonts w:ascii="Times New Roman" w:hAnsi="Times New Roman"/>
        </w:rPr>
        <w:t>, and goes on to spell out that a civil proceeding brought by one party against another is not open to objection on the ground that the only order sought is such a declaration</w:t>
      </w:r>
      <w:r w:rsidRPr="00857FFC">
        <w:rPr>
          <w:rStyle w:val="FootnoteReference"/>
          <w:rFonts w:ascii="Times New Roman" w:hAnsi="Times New Roman"/>
          <w:sz w:val="24"/>
        </w:rPr>
        <w:footnoteReference w:id="70"/>
      </w:r>
      <w:r w:rsidRPr="00857FFC">
        <w:rPr>
          <w:rFonts w:ascii="Times New Roman" w:hAnsi="Times New Roman"/>
        </w:rPr>
        <w:t>.</w:t>
      </w:r>
    </w:p>
    <w:p w14:paraId="2911246F"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There is also no doubt that a declaration of the kind sought by each Council would determine conclusively as between the Lessee and the Commonwealth (and their successors in title) the legal and factual content of the contractual obligation owed by the Lessee to the Commonwealth to the extent that the content of the obligation is in issue between the Council (on the one hand) and the Commonwealth and a Lessee (on the other hand) in the proceeding and to the extent that the resolution of the issue is addressed in the terms of the declaration. The declaration would amount to a "judicial determination directly involving an issue of fact or of law" the legal effect of which would be that the declaration "disposes once for all of the issue, so that it cannot afterwards be raised between the same parties or their privies"</w:t>
      </w:r>
      <w:r w:rsidRPr="00857FFC">
        <w:rPr>
          <w:rStyle w:val="FootnoteReference"/>
          <w:rFonts w:ascii="Times New Roman" w:hAnsi="Times New Roman"/>
          <w:sz w:val="24"/>
        </w:rPr>
        <w:footnoteReference w:id="71"/>
      </w:r>
      <w:r w:rsidRPr="00857FFC">
        <w:rPr>
          <w:rFonts w:ascii="Times New Roman" w:hAnsi="Times New Roman"/>
        </w:rPr>
        <w:t>. The notion floated in argument that the efficacy of a declaration would in some way depend on the Commonwealth, as a "model litigant"</w:t>
      </w:r>
      <w:r w:rsidRPr="00857FFC">
        <w:rPr>
          <w:rStyle w:val="FootnoteReference"/>
          <w:rFonts w:ascii="Times New Roman" w:hAnsi="Times New Roman"/>
          <w:sz w:val="24"/>
        </w:rPr>
        <w:footnoteReference w:id="72"/>
      </w:r>
      <w:r w:rsidRPr="00857FFC">
        <w:rPr>
          <w:rFonts w:ascii="Times New Roman" w:hAnsi="Times New Roman"/>
        </w:rPr>
        <w:t xml:space="preserve">, choosing to abide by the declaration in dealing with the Lessee overlooked that final and preclusive legal effect. </w:t>
      </w:r>
    </w:p>
    <w:p w14:paraId="11AF7A10"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question as to the justiciability of the controversy between each Council (on the one hand) and the Commonwealth and a Lessee (on the other hand) </w:t>
      </w:r>
      <w:r w:rsidRPr="00857FFC">
        <w:rPr>
          <w:rFonts w:ascii="Times New Roman" w:hAnsi="Times New Roman"/>
        </w:rPr>
        <w:lastRenderedPageBreak/>
        <w:t>therefore comes down to a question of the standing of the Council to seek the declaratory relief which it claimed before the Federal Court.</w:t>
      </w:r>
    </w:p>
    <w:p w14:paraId="13EA7315"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Within our constitutional system, standing to seek an order from a court is not conceived of as an exogenous and antecedent fact which must be found as a precondition to jurisdiction. </w:t>
      </w:r>
      <w:proofErr w:type="gramStart"/>
      <w:r w:rsidRPr="00857FFC">
        <w:rPr>
          <w:rFonts w:ascii="Times New Roman" w:hAnsi="Times New Roman"/>
        </w:rPr>
        <w:t>That is to say, we</w:t>
      </w:r>
      <w:proofErr w:type="gramEnd"/>
      <w:r w:rsidRPr="00857FFC">
        <w:rPr>
          <w:rFonts w:ascii="Times New Roman" w:hAnsi="Times New Roman"/>
        </w:rPr>
        <w:t xml:space="preserve"> do not conceive of standing as necessarily depending on the person being able to establish some "injury in fact"</w:t>
      </w:r>
      <w:r w:rsidRPr="00857FFC">
        <w:rPr>
          <w:rStyle w:val="FootnoteReference"/>
          <w:rFonts w:ascii="Times New Roman" w:hAnsi="Times New Roman"/>
          <w:sz w:val="24"/>
        </w:rPr>
        <w:footnoteReference w:id="73"/>
      </w:r>
      <w:r w:rsidRPr="00857FFC">
        <w:rPr>
          <w:rFonts w:ascii="Times New Roman" w:hAnsi="Times New Roman"/>
        </w:rPr>
        <w:t xml:space="preserve"> to a legally cognisable interest which the order is apt to redress. </w:t>
      </w:r>
    </w:p>
    <w:p w14:paraId="244DBA1B"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Instead, we conceive of standing to seek an order from a court as an aspect of the positive law that defines the jurisdiction of the court to hear and determine the proceeding in which the order is sought. What, if anything, a person must establish to have a right to seek a </w:t>
      </w:r>
      <w:proofErr w:type="gramStart"/>
      <w:r w:rsidRPr="00857FFC">
        <w:rPr>
          <w:rFonts w:ascii="Times New Roman" w:hAnsi="Times New Roman"/>
        </w:rPr>
        <w:t>particular order</w:t>
      </w:r>
      <w:proofErr w:type="gramEnd"/>
      <w:r w:rsidRPr="00857FFC">
        <w:rPr>
          <w:rFonts w:ascii="Times New Roman" w:hAnsi="Times New Roman"/>
        </w:rPr>
        <w:t xml:space="preserve"> from a particular court in the exercise of a jurisdiction vested in it by a Commonwealth law depends on what, if anything, the Commonwealth law vesting that jurisdiction in that court expressly or implicitly requires to be established</w:t>
      </w:r>
      <w:r w:rsidRPr="00857FFC">
        <w:rPr>
          <w:rStyle w:val="FootnoteReference"/>
          <w:rFonts w:ascii="Times New Roman" w:hAnsi="Times New Roman"/>
          <w:sz w:val="24"/>
        </w:rPr>
        <w:footnoteReference w:id="74"/>
      </w:r>
      <w:r w:rsidRPr="00857FFC">
        <w:rPr>
          <w:rFonts w:ascii="Times New Roman" w:hAnsi="Times New Roman"/>
        </w:rPr>
        <w:t xml:space="preserve">. </w:t>
      </w:r>
    </w:p>
    <w:p w14:paraId="54E9709A"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To the extent that the jurisdiction vested in a court is to grant a common law remedy on a common law cause of action, standing to seek the remedy is implicit in the definition of the elements of the cause of action</w:t>
      </w:r>
      <w:r w:rsidRPr="00857FFC">
        <w:rPr>
          <w:rStyle w:val="FootnoteReference"/>
          <w:rFonts w:ascii="Times New Roman" w:hAnsi="Times New Roman"/>
          <w:sz w:val="24"/>
        </w:rPr>
        <w:footnoteReference w:id="75"/>
      </w:r>
      <w:r w:rsidRPr="00857FFC">
        <w:rPr>
          <w:rFonts w:ascii="Times New Roman" w:hAnsi="Times New Roman"/>
        </w:rPr>
        <w:t>. In respect of a claim to an entitlement to judgment at common law founded on a cause of action based on contract, standing is limited through the operation of the substantive common law doctrines of privity and consideration. Their combined operation means that, subject to exceptions of no present moment, "at common law no one can sue on a contract except those who are contracting parties and (if the contract is not under seal) from and between whom consideration proceeds"</w:t>
      </w:r>
      <w:r w:rsidRPr="00857FFC">
        <w:rPr>
          <w:rStyle w:val="FootnoteReference"/>
          <w:rFonts w:ascii="Times New Roman" w:hAnsi="Times New Roman"/>
          <w:sz w:val="24"/>
        </w:rPr>
        <w:footnoteReference w:id="76"/>
      </w:r>
      <w:r w:rsidRPr="00857FFC">
        <w:rPr>
          <w:rFonts w:ascii="Times New Roman" w:hAnsi="Times New Roman"/>
        </w:rPr>
        <w:t xml:space="preserve">. </w:t>
      </w:r>
    </w:p>
    <w:p w14:paraId="1A91B923"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To the extent that the jurisdiction vested in a court is to grant equitable relief, the position is and always has been more complex. Traditionally, standing </w:t>
      </w:r>
      <w:r w:rsidRPr="00857FFC">
        <w:rPr>
          <w:rFonts w:ascii="Times New Roman" w:hAnsi="Times New Roman"/>
        </w:rPr>
        <w:lastRenderedPageBreak/>
        <w:t>to seek equitable relief was expressed in terms of the plaintiff needing to establish an "equity"</w:t>
      </w:r>
      <w:r w:rsidRPr="00857FFC">
        <w:rPr>
          <w:rStyle w:val="FootnoteReference"/>
          <w:rFonts w:ascii="Times New Roman" w:hAnsi="Times New Roman"/>
          <w:sz w:val="24"/>
        </w:rPr>
        <w:footnoteReference w:id="77"/>
      </w:r>
      <w:r w:rsidRPr="00857FFC">
        <w:rPr>
          <w:rFonts w:ascii="Times New Roman" w:hAnsi="Times New Roman"/>
        </w:rPr>
        <w:t>. That expression has been said to be "somewhat protean in character"</w:t>
      </w:r>
      <w:r w:rsidRPr="00857FFC">
        <w:rPr>
          <w:rStyle w:val="FootnoteReference"/>
          <w:rFonts w:ascii="Times New Roman" w:hAnsi="Times New Roman"/>
          <w:sz w:val="24"/>
        </w:rPr>
        <w:footnoteReference w:id="78"/>
      </w:r>
      <w:r w:rsidRPr="00857FFC">
        <w:rPr>
          <w:rFonts w:ascii="Times New Roman" w:hAnsi="Times New Roman"/>
        </w:rPr>
        <w:t xml:space="preserve">, but has never been doubted to include an equitable interest in property and in </w:t>
      </w:r>
      <w:proofErr w:type="gramStart"/>
      <w:r w:rsidRPr="00857FFC">
        <w:rPr>
          <w:rFonts w:ascii="Times New Roman" w:hAnsi="Times New Roman"/>
        </w:rPr>
        <w:t>particular the</w:t>
      </w:r>
      <w:proofErr w:type="gramEnd"/>
      <w:r w:rsidRPr="00857FFC">
        <w:rPr>
          <w:rFonts w:ascii="Times New Roman" w:hAnsi="Times New Roman"/>
        </w:rPr>
        <w:t xml:space="preserve"> interest of a beneficiary under a trust. </w:t>
      </w:r>
    </w:p>
    <w:p w14:paraId="63782A7C"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 </w:t>
      </w:r>
      <w:r w:rsidRPr="00857FFC">
        <w:rPr>
          <w:rFonts w:ascii="Times New Roman" w:hAnsi="Times New Roman"/>
          <w:i/>
        </w:rPr>
        <w:t>Wilson v Darling Island Stevedoring and Lighterage Co Ltd</w:t>
      </w:r>
      <w:r w:rsidRPr="00857FFC">
        <w:rPr>
          <w:rStyle w:val="FootnoteReference"/>
          <w:rFonts w:ascii="Times New Roman" w:hAnsi="Times New Roman"/>
          <w:sz w:val="24"/>
        </w:rPr>
        <w:footnoteReference w:id="79"/>
      </w:r>
      <w:r w:rsidRPr="00857FFC">
        <w:rPr>
          <w:rFonts w:ascii="Times New Roman" w:hAnsi="Times New Roman"/>
        </w:rPr>
        <w:t xml:space="preserve">, in a passage to which attention was drawn in </w:t>
      </w:r>
      <w:r w:rsidRPr="00857FFC">
        <w:rPr>
          <w:rFonts w:ascii="Times New Roman" w:hAnsi="Times New Roman"/>
          <w:i/>
        </w:rPr>
        <w:t>Bahr v Nicolay [No 2]</w:t>
      </w:r>
      <w:r w:rsidRPr="00857FFC">
        <w:rPr>
          <w:rStyle w:val="FootnoteReference"/>
          <w:rFonts w:ascii="Times New Roman" w:hAnsi="Times New Roman"/>
          <w:sz w:val="24"/>
        </w:rPr>
        <w:footnoteReference w:id="80"/>
      </w:r>
      <w:r w:rsidRPr="00857FFC">
        <w:rPr>
          <w:rFonts w:ascii="Times New Roman" w:hAnsi="Times New Roman"/>
          <w:i/>
        </w:rPr>
        <w:t xml:space="preserve"> </w:t>
      </w:r>
      <w:r w:rsidRPr="00857FFC">
        <w:rPr>
          <w:rFonts w:ascii="Times New Roman" w:hAnsi="Times New Roman"/>
        </w:rPr>
        <w:t xml:space="preserve">and in </w:t>
      </w:r>
      <w:r w:rsidRPr="00857FFC">
        <w:rPr>
          <w:rFonts w:ascii="Times New Roman" w:hAnsi="Times New Roman"/>
          <w:i/>
        </w:rPr>
        <w:t xml:space="preserve">Trident General Insurance Co Ltd v </w:t>
      </w:r>
      <w:proofErr w:type="spellStart"/>
      <w:r w:rsidRPr="00857FFC">
        <w:rPr>
          <w:rFonts w:ascii="Times New Roman" w:hAnsi="Times New Roman"/>
          <w:i/>
        </w:rPr>
        <w:t>McNiece</w:t>
      </w:r>
      <w:proofErr w:type="spellEnd"/>
      <w:r w:rsidRPr="00857FFC">
        <w:rPr>
          <w:rFonts w:ascii="Times New Roman" w:hAnsi="Times New Roman"/>
          <w:i/>
        </w:rPr>
        <w:t xml:space="preserve"> Bros Pty Ltd</w:t>
      </w:r>
      <w:r w:rsidRPr="00857FFC">
        <w:rPr>
          <w:rStyle w:val="FootnoteReference"/>
          <w:rFonts w:ascii="Times New Roman" w:hAnsi="Times New Roman"/>
          <w:sz w:val="24"/>
        </w:rPr>
        <w:footnoteReference w:id="81"/>
      </w:r>
      <w:r w:rsidRPr="00857FFC">
        <w:rPr>
          <w:rFonts w:ascii="Times New Roman" w:hAnsi="Times New Roman"/>
        </w:rPr>
        <w:t xml:space="preserve">, it was pointed out that a person not party to a contract for whose benefit a contractual obligation has been entered into can enforce the contractual obligation in equity, in a proceeding to which the contractual obligor and contractual </w:t>
      </w:r>
      <w:proofErr w:type="spellStart"/>
      <w:r w:rsidRPr="00857FFC">
        <w:rPr>
          <w:rFonts w:ascii="Times New Roman" w:hAnsi="Times New Roman"/>
        </w:rPr>
        <w:t>obligee</w:t>
      </w:r>
      <w:proofErr w:type="spellEnd"/>
      <w:r w:rsidRPr="00857FFC">
        <w:rPr>
          <w:rFonts w:ascii="Times New Roman" w:hAnsi="Times New Roman"/>
        </w:rPr>
        <w:t xml:space="preserve"> are joined, if an intention to hold the obligation on trust for the person can be imputed to the contractual </w:t>
      </w:r>
      <w:proofErr w:type="spellStart"/>
      <w:r w:rsidRPr="00857FFC">
        <w:rPr>
          <w:rFonts w:ascii="Times New Roman" w:hAnsi="Times New Roman"/>
        </w:rPr>
        <w:t>obligee</w:t>
      </w:r>
      <w:proofErr w:type="spellEnd"/>
      <w:r w:rsidRPr="00857FFC">
        <w:rPr>
          <w:rFonts w:ascii="Times New Roman" w:hAnsi="Times New Roman"/>
        </w:rPr>
        <w:t xml:space="preserve">. Subsequently, in </w:t>
      </w:r>
      <w:proofErr w:type="spellStart"/>
      <w:r w:rsidRPr="00857FFC">
        <w:rPr>
          <w:rFonts w:ascii="Times New Roman" w:hAnsi="Times New Roman"/>
          <w:i/>
        </w:rPr>
        <w:t>Korda</w:t>
      </w:r>
      <w:proofErr w:type="spellEnd"/>
      <w:r w:rsidRPr="00857FFC">
        <w:rPr>
          <w:rFonts w:ascii="Times New Roman" w:hAnsi="Times New Roman"/>
          <w:i/>
        </w:rPr>
        <w:t xml:space="preserve"> v Australian Executor Trustees (SA) Ltd</w:t>
      </w:r>
      <w:r w:rsidRPr="00857FFC">
        <w:rPr>
          <w:rStyle w:val="FootnoteReference"/>
          <w:rFonts w:ascii="Times New Roman" w:hAnsi="Times New Roman"/>
          <w:sz w:val="24"/>
        </w:rPr>
        <w:footnoteReference w:id="82"/>
      </w:r>
      <w:r w:rsidRPr="00857FFC">
        <w:rPr>
          <w:rFonts w:ascii="Times New Roman" w:hAnsi="Times New Roman"/>
        </w:rPr>
        <w:t xml:space="preserve">, it was explained that "where parties to a contract have refrained from contractual use of the terminology of trust, an intention to create a trust will be imputed to them only if, and to the extent that, a trust is the legal mechanism which is appropriate to give legal effect to the relationship ... between a party and a third party, as established or acknowledged by the express or implied terms of the contract". The inquiry into whether a trust of the contractual obligation is the mechanism appropriate to give effect to the relationship between the contracting party and a third party established or acknowledged by the terms of the contract does not turn simply on whether the contractual obligation was entered into or operates for the benefit of the third party but on whether the relationship between the contractual </w:t>
      </w:r>
      <w:proofErr w:type="spellStart"/>
      <w:r w:rsidRPr="00857FFC">
        <w:rPr>
          <w:rFonts w:ascii="Times New Roman" w:hAnsi="Times New Roman"/>
        </w:rPr>
        <w:t>obligee</w:t>
      </w:r>
      <w:proofErr w:type="spellEnd"/>
      <w:r w:rsidRPr="00857FFC">
        <w:rPr>
          <w:rFonts w:ascii="Times New Roman" w:hAnsi="Times New Roman"/>
        </w:rPr>
        <w:t xml:space="preserve"> and the third party is such that the contractual </w:t>
      </w:r>
      <w:proofErr w:type="spellStart"/>
      <w:r w:rsidRPr="00857FFC">
        <w:rPr>
          <w:rFonts w:ascii="Times New Roman" w:hAnsi="Times New Roman"/>
        </w:rPr>
        <w:t>obligee</w:t>
      </w:r>
      <w:proofErr w:type="spellEnd"/>
      <w:r w:rsidRPr="00857FFC">
        <w:rPr>
          <w:rFonts w:ascii="Times New Roman" w:hAnsi="Times New Roman"/>
        </w:rPr>
        <w:t xml:space="preserve"> holds the custody and administration of the </w:t>
      </w:r>
      <w:r w:rsidRPr="00857FFC">
        <w:rPr>
          <w:rFonts w:ascii="Times New Roman" w:hAnsi="Times New Roman"/>
        </w:rPr>
        <w:lastRenderedPageBreak/>
        <w:t>contractual obligation on behalf of the third party so as to be accountable to the third party for that custody and administration</w:t>
      </w:r>
      <w:r w:rsidRPr="00857FFC">
        <w:rPr>
          <w:rStyle w:val="FootnoteReference"/>
          <w:rFonts w:ascii="Times New Roman" w:hAnsi="Times New Roman"/>
          <w:sz w:val="24"/>
        </w:rPr>
        <w:footnoteReference w:id="83"/>
      </w:r>
      <w:r w:rsidRPr="00857FFC">
        <w:rPr>
          <w:rFonts w:ascii="Times New Roman" w:hAnsi="Times New Roman"/>
        </w:rPr>
        <w:t xml:space="preserve">. </w:t>
      </w:r>
    </w:p>
    <w:p w14:paraId="1402CEC9"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The possibility that each Council might be able to take advantage of an imputed trust to establish an equitable interest in the performance of the whole or some part of the obligation owed by the Lessee to the Commonwealth under cl 26.2 of the Lease was raised in argument on the appeals. The possibility should be rejected. The absence of the terminology of trust in cl 26.2 of the Lease is significant, as is the consequence that holding the contractual obligation of the Lessee on trust would necessarily entail the Commonwealth being accountable to the Council for the administration of the obligation. In the absence of clear contractual language, no intention is to be imputed to the Commonwealth either to subject itself to a duty of trust enforceable in a court administering equity</w:t>
      </w:r>
      <w:r w:rsidRPr="00857FFC">
        <w:rPr>
          <w:rStyle w:val="FootnoteReference"/>
          <w:rFonts w:ascii="Times New Roman" w:hAnsi="Times New Roman"/>
          <w:sz w:val="24"/>
        </w:rPr>
        <w:footnoteReference w:id="84"/>
      </w:r>
      <w:r w:rsidRPr="00857FFC">
        <w:rPr>
          <w:rFonts w:ascii="Times New Roman" w:hAnsi="Times New Roman"/>
        </w:rPr>
        <w:t xml:space="preserve"> or to subject itself to any duty enforceable at the suit of a State</w:t>
      </w:r>
      <w:r w:rsidRPr="00857FFC">
        <w:rPr>
          <w:rStyle w:val="FootnoteReference"/>
          <w:rFonts w:ascii="Times New Roman" w:hAnsi="Times New Roman"/>
          <w:sz w:val="24"/>
        </w:rPr>
        <w:footnoteReference w:id="85"/>
      </w:r>
      <w:r w:rsidRPr="00857FFC">
        <w:rPr>
          <w:rFonts w:ascii="Times New Roman" w:hAnsi="Times New Roman"/>
        </w:rPr>
        <w:t xml:space="preserve"> or of a local government body</w:t>
      </w:r>
      <w:r>
        <w:rPr>
          <w:rFonts w:ascii="Times New Roman" w:hAnsi="Times New Roman"/>
        </w:rPr>
        <w:t>,</w:t>
      </w:r>
      <w:r w:rsidRPr="00857FFC">
        <w:rPr>
          <w:rFonts w:ascii="Times New Roman" w:hAnsi="Times New Roman"/>
        </w:rPr>
        <w:t xml:space="preserve"> which is a creation and instrumentality of a State</w:t>
      </w:r>
      <w:r w:rsidRPr="00857FFC">
        <w:rPr>
          <w:rStyle w:val="FootnoteReference"/>
          <w:rFonts w:ascii="Times New Roman" w:hAnsi="Times New Roman"/>
          <w:sz w:val="24"/>
        </w:rPr>
        <w:footnoteReference w:id="86"/>
      </w:r>
      <w:r w:rsidRPr="00857FFC">
        <w:rPr>
          <w:rFonts w:ascii="Times New Roman" w:hAnsi="Times New Roman"/>
        </w:rPr>
        <w:t>.</w:t>
      </w:r>
    </w:p>
    <w:p w14:paraId="4AC3B289"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Each Council's lack of ability to sue on a common law cause of action or to enforce a beneficial interest in a trust cannot be determinative of its standing to seek a declaration, however, given that the declaratory order sought by each Council is neither a common law judgment nor an equitable remedy. The relatively recent observation that a superior court has "inherent power" to make a declaratory order</w:t>
      </w:r>
      <w:r w:rsidRPr="00857FFC">
        <w:rPr>
          <w:rStyle w:val="FootnoteReference"/>
          <w:rFonts w:ascii="Times New Roman" w:hAnsi="Times New Roman"/>
          <w:sz w:val="24"/>
        </w:rPr>
        <w:footnoteReference w:id="87"/>
      </w:r>
      <w:r w:rsidRPr="00857FFC">
        <w:rPr>
          <w:rFonts w:ascii="Times New Roman" w:hAnsi="Times New Roman"/>
        </w:rPr>
        <w:t xml:space="preserve"> cannot be taken to contradict the historical fact that the power to declare the existence or non-existence of a legal right or obligation is statutory in origin. The power was unknown to a common law court. The power was also unknown to a court administering equity other than as prefatory to the making of another order </w:t>
      </w:r>
      <w:r w:rsidRPr="00857FFC">
        <w:rPr>
          <w:rFonts w:ascii="Times New Roman" w:hAnsi="Times New Roman"/>
        </w:rPr>
        <w:lastRenderedPageBreak/>
        <w:t>capable of enforcement by execution</w:t>
      </w:r>
      <w:r w:rsidRPr="00857FFC">
        <w:rPr>
          <w:rStyle w:val="FootnoteReference"/>
          <w:rFonts w:ascii="Times New Roman" w:hAnsi="Times New Roman"/>
          <w:sz w:val="24"/>
        </w:rPr>
        <w:footnoteReference w:id="88"/>
      </w:r>
      <w:r w:rsidRPr="00857FFC">
        <w:rPr>
          <w:rFonts w:ascii="Times New Roman" w:hAnsi="Times New Roman"/>
        </w:rPr>
        <w:t xml:space="preserve"> or in certain proceedings against the Crown</w:t>
      </w:r>
      <w:r w:rsidRPr="00857FFC">
        <w:rPr>
          <w:rStyle w:val="FootnoteReference"/>
          <w:rFonts w:ascii="Times New Roman" w:hAnsi="Times New Roman"/>
          <w:sz w:val="24"/>
        </w:rPr>
        <w:footnoteReference w:id="89"/>
      </w:r>
      <w:r w:rsidRPr="00857FFC">
        <w:rPr>
          <w:rFonts w:ascii="Times New Roman" w:hAnsi="Times New Roman"/>
        </w:rPr>
        <w:t>. The power came to be conferred incrementally by statute on the English Court of Chancery in the 1850s and on the English High Court of Justice in the 1870s</w:t>
      </w:r>
      <w:r w:rsidRPr="00857FFC">
        <w:rPr>
          <w:rStyle w:val="FootnoteReference"/>
          <w:rFonts w:ascii="Times New Roman" w:hAnsi="Times New Roman"/>
          <w:sz w:val="24"/>
        </w:rPr>
        <w:footnoteReference w:id="90"/>
      </w:r>
      <w:r w:rsidRPr="00857FFC">
        <w:rPr>
          <w:rFonts w:ascii="Times New Roman" w:hAnsi="Times New Roman"/>
        </w:rPr>
        <w:t>. The Supreme Court of New South Wales lacked general power to declare the existence or non-existence of a legal right or obligation before that power was conferred by statute in 1965</w:t>
      </w:r>
      <w:r w:rsidRPr="00857FFC">
        <w:rPr>
          <w:rStyle w:val="FootnoteReference"/>
          <w:rFonts w:ascii="Times New Roman" w:hAnsi="Times New Roman"/>
          <w:sz w:val="24"/>
        </w:rPr>
        <w:footnoteReference w:id="91"/>
      </w:r>
      <w:r w:rsidRPr="00857FFC">
        <w:rPr>
          <w:rFonts w:ascii="Times New Roman" w:hAnsi="Times New Roman"/>
        </w:rPr>
        <w:t>. Together with this Court, that Court was then instrumental in pioneering the expansion of the practice of entertaining proceedings for declaratory orders that occurred soon afterwards in Australia</w:t>
      </w:r>
      <w:r w:rsidRPr="00857FFC">
        <w:rPr>
          <w:rStyle w:val="FootnoteReference"/>
          <w:rFonts w:ascii="Times New Roman" w:hAnsi="Times New Roman"/>
          <w:sz w:val="24"/>
        </w:rPr>
        <w:footnoteReference w:id="92"/>
      </w:r>
      <w:r w:rsidRPr="00857FFC">
        <w:rPr>
          <w:rFonts w:ascii="Times New Roman" w:hAnsi="Times New Roman"/>
        </w:rPr>
        <w:t>.</w:t>
      </w:r>
    </w:p>
    <w:p w14:paraId="50A5107A"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incidents of a general power to make a binding declaration of right in a civil proceeding, including as to the standing of a person to seek its exercise, came to be expounded in a series of cases in this Court in the final three decades of the last century. The first was </w:t>
      </w:r>
      <w:r w:rsidRPr="00857FFC">
        <w:rPr>
          <w:rFonts w:ascii="Times New Roman" w:hAnsi="Times New Roman"/>
          <w:i/>
        </w:rPr>
        <w:t xml:space="preserve">Forster v </w:t>
      </w:r>
      <w:proofErr w:type="spellStart"/>
      <w:r w:rsidRPr="00857FFC">
        <w:rPr>
          <w:rFonts w:ascii="Times New Roman" w:hAnsi="Times New Roman"/>
          <w:i/>
        </w:rPr>
        <w:t>Jododex</w:t>
      </w:r>
      <w:proofErr w:type="spellEnd"/>
      <w:r w:rsidRPr="00857FFC">
        <w:rPr>
          <w:rFonts w:ascii="Times New Roman" w:hAnsi="Times New Roman"/>
          <w:i/>
        </w:rPr>
        <w:t xml:space="preserve"> Australia Pty Ltd</w:t>
      </w:r>
      <w:r w:rsidRPr="00857FFC">
        <w:rPr>
          <w:rStyle w:val="FootnoteReference"/>
          <w:rFonts w:ascii="Times New Roman" w:hAnsi="Times New Roman"/>
          <w:sz w:val="24"/>
        </w:rPr>
        <w:footnoteReference w:id="93"/>
      </w:r>
      <w:r w:rsidRPr="00857FFC">
        <w:rPr>
          <w:rFonts w:ascii="Times New Roman" w:hAnsi="Times New Roman"/>
        </w:rPr>
        <w:t xml:space="preserve">. There, as later in </w:t>
      </w:r>
      <w:r w:rsidRPr="00857FFC">
        <w:rPr>
          <w:rFonts w:ascii="Times New Roman" w:hAnsi="Times New Roman"/>
          <w:i/>
        </w:rPr>
        <w:t>Ainsworth v Criminal Justice Commission</w:t>
      </w:r>
      <w:r w:rsidRPr="00857FFC">
        <w:rPr>
          <w:rStyle w:val="FootnoteReference"/>
          <w:rFonts w:ascii="Times New Roman" w:hAnsi="Times New Roman"/>
          <w:sz w:val="24"/>
        </w:rPr>
        <w:footnoteReference w:id="94"/>
      </w:r>
      <w:r w:rsidRPr="00857FFC">
        <w:rPr>
          <w:rFonts w:ascii="Times New Roman" w:hAnsi="Times New Roman"/>
          <w:i/>
        </w:rPr>
        <w:t xml:space="preserve"> </w:t>
      </w:r>
      <w:r w:rsidRPr="00857FFC">
        <w:rPr>
          <w:rFonts w:ascii="Times New Roman" w:hAnsi="Times New Roman"/>
        </w:rPr>
        <w:t xml:space="preserve">and </w:t>
      </w:r>
      <w:r w:rsidRPr="00857FFC">
        <w:rPr>
          <w:rFonts w:ascii="Times New Roman" w:hAnsi="Times New Roman"/>
          <w:i/>
        </w:rPr>
        <w:t>Oil Basins Ltd v The Commonwealth</w:t>
      </w:r>
      <w:r w:rsidRPr="00857FFC">
        <w:rPr>
          <w:rStyle w:val="FootnoteReference"/>
          <w:rFonts w:ascii="Times New Roman" w:hAnsi="Times New Roman"/>
          <w:sz w:val="24"/>
        </w:rPr>
        <w:footnoteReference w:id="95"/>
      </w:r>
      <w:r w:rsidRPr="00857FFC">
        <w:rPr>
          <w:rFonts w:ascii="Times New Roman" w:hAnsi="Times New Roman"/>
        </w:rPr>
        <w:t xml:space="preserve">, the Court adopted language of Lord Dunedin in </w:t>
      </w:r>
      <w:r w:rsidRPr="00857FFC">
        <w:rPr>
          <w:rFonts w:ascii="Times New Roman" w:hAnsi="Times New Roman"/>
          <w:i/>
        </w:rPr>
        <w:t>Russian Commercial and Industrial Bank v British Bank for Foreign Trade Ltd</w:t>
      </w:r>
      <w:r w:rsidRPr="00857FFC">
        <w:rPr>
          <w:rStyle w:val="FootnoteReference"/>
          <w:rFonts w:ascii="Times New Roman" w:hAnsi="Times New Roman"/>
          <w:sz w:val="24"/>
        </w:rPr>
        <w:footnoteReference w:id="96"/>
      </w:r>
      <w:r w:rsidRPr="00857FFC">
        <w:rPr>
          <w:rFonts w:ascii="Times New Roman" w:hAnsi="Times New Roman"/>
        </w:rPr>
        <w:t xml:space="preserve"> in </w:t>
      </w:r>
      <w:r w:rsidRPr="00857FFC">
        <w:rPr>
          <w:rFonts w:ascii="Times New Roman" w:hAnsi="Times New Roman"/>
        </w:rPr>
        <w:lastRenderedPageBreak/>
        <w:t xml:space="preserve">couching standing to seek a declaration in terms of a person having a "real interest" in seeking it. </w:t>
      </w:r>
    </w:p>
    <w:p w14:paraId="677608EF"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 the meantime, in other cases, standing to seek a declaration was equated with standing to seek an injunction and expressed in language derived from that of Buckley J in </w:t>
      </w:r>
      <w:r w:rsidRPr="00857FFC">
        <w:rPr>
          <w:rFonts w:ascii="Times New Roman" w:hAnsi="Times New Roman"/>
          <w:i/>
        </w:rPr>
        <w:t>Boyce v Paddington Borough Council</w:t>
      </w:r>
      <w:r w:rsidRPr="00857FFC">
        <w:rPr>
          <w:rStyle w:val="FootnoteReference"/>
          <w:rFonts w:ascii="Times New Roman" w:hAnsi="Times New Roman"/>
          <w:sz w:val="24"/>
        </w:rPr>
        <w:footnoteReference w:id="97"/>
      </w:r>
      <w:r w:rsidRPr="00857FFC">
        <w:rPr>
          <w:rFonts w:ascii="Times New Roman" w:hAnsi="Times New Roman"/>
        </w:rPr>
        <w:t xml:space="preserve"> in terms of a person needing to have a "sufficient interest" or a "special interest" in seeking it beyond the interest of an ordinary member of the public. The Court approached the question of standing using that language in a disparate range of controversies – in </w:t>
      </w:r>
      <w:r w:rsidRPr="00857FFC">
        <w:rPr>
          <w:rFonts w:ascii="Times New Roman" w:hAnsi="Times New Roman"/>
          <w:i/>
        </w:rPr>
        <w:t>Robinson v Western Australian Museum</w:t>
      </w:r>
      <w:r w:rsidRPr="00857FFC">
        <w:rPr>
          <w:rStyle w:val="FootnoteReference"/>
          <w:rFonts w:ascii="Times New Roman" w:hAnsi="Times New Roman"/>
          <w:sz w:val="24"/>
        </w:rPr>
        <w:footnoteReference w:id="98"/>
      </w:r>
      <w:r w:rsidRPr="00857FFC">
        <w:rPr>
          <w:rFonts w:ascii="Times New Roman" w:hAnsi="Times New Roman"/>
        </w:rPr>
        <w:t xml:space="preserve"> (where the controversy was about the validity of legislation), in </w:t>
      </w:r>
      <w:r w:rsidRPr="00857FFC">
        <w:rPr>
          <w:rFonts w:ascii="Times New Roman" w:hAnsi="Times New Roman"/>
          <w:i/>
        </w:rPr>
        <w:t>Australian Conservation Foundation v The Commonwealth</w:t>
      </w:r>
      <w:r w:rsidRPr="00857FFC">
        <w:rPr>
          <w:rStyle w:val="FootnoteReference"/>
          <w:rFonts w:ascii="Times New Roman" w:hAnsi="Times New Roman"/>
          <w:sz w:val="24"/>
        </w:rPr>
        <w:footnoteReference w:id="99"/>
      </w:r>
      <w:r w:rsidRPr="00857FFC">
        <w:rPr>
          <w:rFonts w:ascii="Times New Roman" w:hAnsi="Times New Roman"/>
        </w:rPr>
        <w:t xml:space="preserve">, </w:t>
      </w:r>
      <w:r w:rsidRPr="00857FFC">
        <w:rPr>
          <w:rFonts w:ascii="Times New Roman" w:hAnsi="Times New Roman"/>
          <w:i/>
        </w:rPr>
        <w:t>Air Express Ltd v Ansett Transport Industries (Operations) Pty Ltd</w:t>
      </w:r>
      <w:r w:rsidRPr="00857FFC">
        <w:rPr>
          <w:rStyle w:val="FootnoteReference"/>
          <w:rFonts w:ascii="Times New Roman" w:hAnsi="Times New Roman"/>
          <w:sz w:val="24"/>
        </w:rPr>
        <w:footnoteReference w:id="100"/>
      </w:r>
      <w:r w:rsidRPr="00857FFC">
        <w:rPr>
          <w:rFonts w:ascii="Times New Roman" w:hAnsi="Times New Roman"/>
          <w:i/>
        </w:rPr>
        <w:t xml:space="preserve"> </w:t>
      </w:r>
      <w:r w:rsidRPr="00857FFC">
        <w:rPr>
          <w:rFonts w:ascii="Times New Roman" w:hAnsi="Times New Roman"/>
        </w:rPr>
        <w:t>and</w:t>
      </w:r>
      <w:r w:rsidRPr="00857FFC">
        <w:rPr>
          <w:rFonts w:ascii="Times New Roman" w:hAnsi="Times New Roman"/>
          <w:i/>
        </w:rPr>
        <w:t xml:space="preserve"> Shop Distributive and Allied Employees Association v Minister for Industrial Affairs (SA)</w:t>
      </w:r>
      <w:r w:rsidRPr="00857FFC">
        <w:rPr>
          <w:rStyle w:val="FootnoteReference"/>
          <w:rFonts w:ascii="Times New Roman" w:hAnsi="Times New Roman"/>
          <w:sz w:val="24"/>
        </w:rPr>
        <w:footnoteReference w:id="101"/>
      </w:r>
      <w:r w:rsidRPr="00857FFC">
        <w:rPr>
          <w:rFonts w:ascii="Times New Roman" w:hAnsi="Times New Roman"/>
        </w:rPr>
        <w:t xml:space="preserve"> (where the controversy in each case was about the lawfulness of executive action), in </w:t>
      </w:r>
      <w:r w:rsidRPr="00857FFC">
        <w:rPr>
          <w:rFonts w:ascii="Times New Roman" w:hAnsi="Times New Roman"/>
          <w:i/>
        </w:rPr>
        <w:t xml:space="preserve">Day v </w:t>
      </w:r>
      <w:proofErr w:type="spellStart"/>
      <w:r w:rsidRPr="00857FFC">
        <w:rPr>
          <w:rFonts w:ascii="Times New Roman" w:hAnsi="Times New Roman"/>
          <w:i/>
        </w:rPr>
        <w:t>Pinglen</w:t>
      </w:r>
      <w:proofErr w:type="spellEnd"/>
      <w:r w:rsidRPr="00857FFC">
        <w:rPr>
          <w:rFonts w:ascii="Times New Roman" w:hAnsi="Times New Roman"/>
          <w:i/>
        </w:rPr>
        <w:t xml:space="preserve"> Pty Ltd</w:t>
      </w:r>
      <w:r w:rsidRPr="00857FFC">
        <w:rPr>
          <w:rStyle w:val="FootnoteReference"/>
          <w:rFonts w:ascii="Times New Roman" w:hAnsi="Times New Roman"/>
          <w:sz w:val="24"/>
        </w:rPr>
        <w:footnoteReference w:id="102"/>
      </w:r>
      <w:r w:rsidRPr="00857FFC">
        <w:rPr>
          <w:rFonts w:ascii="Times New Roman" w:hAnsi="Times New Roman"/>
          <w:i/>
        </w:rPr>
        <w:t xml:space="preserve"> </w:t>
      </w:r>
      <w:r w:rsidRPr="00857FFC">
        <w:rPr>
          <w:rFonts w:ascii="Times New Roman" w:hAnsi="Times New Roman"/>
        </w:rPr>
        <w:t xml:space="preserve">and </w:t>
      </w:r>
      <w:r w:rsidRPr="00857FFC">
        <w:rPr>
          <w:rFonts w:ascii="Times New Roman" w:hAnsi="Times New Roman"/>
          <w:i/>
        </w:rPr>
        <w:t>Wentworth v Woollahra Municipal Council</w:t>
      </w:r>
      <w:r w:rsidRPr="00857FFC">
        <w:rPr>
          <w:rStyle w:val="FootnoteReference"/>
          <w:rFonts w:ascii="Times New Roman" w:hAnsi="Times New Roman"/>
          <w:sz w:val="24"/>
        </w:rPr>
        <w:footnoteReference w:id="103"/>
      </w:r>
      <w:r w:rsidRPr="00857FFC">
        <w:rPr>
          <w:rFonts w:ascii="Times New Roman" w:hAnsi="Times New Roman"/>
        </w:rPr>
        <w:t xml:space="preserve"> (where the controversy in each case was about whether a building was erected in compliance with planning restrictions), in </w:t>
      </w:r>
      <w:r w:rsidRPr="00857FFC">
        <w:rPr>
          <w:rFonts w:ascii="Times New Roman" w:hAnsi="Times New Roman"/>
          <w:i/>
        </w:rPr>
        <w:t>Onus v Alcoa of Australia Ltd</w:t>
      </w:r>
      <w:r w:rsidRPr="00857FFC">
        <w:rPr>
          <w:rStyle w:val="FootnoteReference"/>
          <w:rFonts w:ascii="Times New Roman" w:hAnsi="Times New Roman"/>
          <w:sz w:val="24"/>
        </w:rPr>
        <w:footnoteReference w:id="104"/>
      </w:r>
      <w:r w:rsidRPr="00857FFC">
        <w:rPr>
          <w:rFonts w:ascii="Times New Roman" w:hAnsi="Times New Roman"/>
        </w:rPr>
        <w:t xml:space="preserve"> (where the controversy was about whether a mining company was in breach of a statutory prohibition) and in </w:t>
      </w:r>
      <w:r w:rsidRPr="00857FFC">
        <w:rPr>
          <w:rFonts w:ascii="Times New Roman" w:hAnsi="Times New Roman"/>
          <w:i/>
        </w:rPr>
        <w:t>Bateman's Bay Local Aboriginal Land Council v Aboriginal Community Benefit Fund Pty Ltd</w:t>
      </w:r>
      <w:r w:rsidRPr="00857FFC">
        <w:rPr>
          <w:rStyle w:val="FootnoteReference"/>
          <w:rFonts w:ascii="Times New Roman" w:hAnsi="Times New Roman"/>
          <w:sz w:val="24"/>
        </w:rPr>
        <w:footnoteReference w:id="105"/>
      </w:r>
      <w:r w:rsidRPr="00857FFC">
        <w:rPr>
          <w:rFonts w:ascii="Times New Roman" w:hAnsi="Times New Roman"/>
        </w:rPr>
        <w:t xml:space="preserve"> (where the controversy was about whether the conduct of a business by bodies corporate was permitted by statute).</w:t>
      </w:r>
      <w:r w:rsidRPr="00857FFC" w:rsidDel="00E42588">
        <w:rPr>
          <w:rFonts w:ascii="Times New Roman" w:hAnsi="Times New Roman"/>
        </w:rPr>
        <w:t xml:space="preserve"> </w:t>
      </w:r>
      <w:r w:rsidRPr="00857FFC">
        <w:rPr>
          <w:rFonts w:ascii="Times New Roman" w:hAnsi="Times New Roman"/>
        </w:rPr>
        <w:t xml:space="preserve"> </w:t>
      </w:r>
    </w:p>
    <w:p w14:paraId="3641B941"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lastRenderedPageBreak/>
        <w:tab/>
        <w:t xml:space="preserve">In </w:t>
      </w:r>
      <w:proofErr w:type="spellStart"/>
      <w:r w:rsidRPr="00857FFC">
        <w:rPr>
          <w:rFonts w:ascii="Times New Roman" w:hAnsi="Times New Roman"/>
          <w:i/>
        </w:rPr>
        <w:t>Croome</w:t>
      </w:r>
      <w:proofErr w:type="spellEnd"/>
      <w:r w:rsidRPr="00857FFC">
        <w:rPr>
          <w:rFonts w:ascii="Times New Roman" w:hAnsi="Times New Roman"/>
          <w:i/>
        </w:rPr>
        <w:t xml:space="preserve"> v Tasmania</w:t>
      </w:r>
      <w:r w:rsidRPr="00857FFC">
        <w:rPr>
          <w:rStyle w:val="FootnoteReference"/>
          <w:rFonts w:ascii="Times New Roman" w:hAnsi="Times New Roman"/>
          <w:sz w:val="24"/>
        </w:rPr>
        <w:footnoteReference w:id="106"/>
      </w:r>
      <w:r w:rsidRPr="00857FFC">
        <w:rPr>
          <w:rFonts w:ascii="Times New Roman" w:hAnsi="Times New Roman"/>
        </w:rPr>
        <w:t xml:space="preserve">, standing to seek a declaration was expressed in language drawn from that of Dixon J in </w:t>
      </w:r>
      <w:r w:rsidRPr="00857FFC">
        <w:rPr>
          <w:rFonts w:ascii="Times New Roman" w:hAnsi="Times New Roman"/>
          <w:i/>
        </w:rPr>
        <w:t>British Medical Association v The Commonwealth</w:t>
      </w:r>
      <w:r w:rsidRPr="00857FFC">
        <w:rPr>
          <w:rStyle w:val="FootnoteReference"/>
          <w:rFonts w:ascii="Times New Roman" w:hAnsi="Times New Roman"/>
          <w:sz w:val="24"/>
        </w:rPr>
        <w:footnoteReference w:id="107"/>
      </w:r>
      <w:r w:rsidRPr="00857FFC">
        <w:rPr>
          <w:rFonts w:ascii="Times New Roman" w:hAnsi="Times New Roman"/>
        </w:rPr>
        <w:t xml:space="preserve">, in terms of a person needing to have a "sufficient material interest" in seeking it, as well as in terms of a person needing to have a "real interest" in seeking it. And in </w:t>
      </w:r>
      <w:r w:rsidRPr="00857FFC">
        <w:rPr>
          <w:rFonts w:ascii="Times New Roman" w:hAnsi="Times New Roman"/>
          <w:i/>
        </w:rPr>
        <w:t>Plaintiff M61/2010E v The Commonwealth</w:t>
      </w:r>
      <w:r w:rsidRPr="00857FFC">
        <w:rPr>
          <w:rStyle w:val="FootnoteReference"/>
          <w:rFonts w:ascii="Times New Roman" w:hAnsi="Times New Roman"/>
          <w:sz w:val="24"/>
        </w:rPr>
        <w:footnoteReference w:id="108"/>
      </w:r>
      <w:r w:rsidRPr="00857FFC">
        <w:rPr>
          <w:rFonts w:ascii="Times New Roman" w:hAnsi="Times New Roman"/>
        </w:rPr>
        <w:t>, standing was expressed in terms of a person having "a 'real interest' in raising the question to which the declaration would go".</w:t>
      </w:r>
    </w:p>
    <w:p w14:paraId="126CB2D4"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Though the expression of standing has been variously in terms of a "sufficient interest", a "sufficient material interest", a "special interest" or a "real interest", the conception of standing developed through that body of case law has been consistent. That conception of standing has involved recognition that a person who does not claim to have a legal right or equitable interest to be vindicated by a declaration or other order that would resolve a controversy about a right or obligation may yet have a material interest in seeking the order. In this context, an interest will be "material" if the person "is likely to gain some advantage, other than the satisfaction of righting a wrong, upholding a principle or winning a contest, if [the order is made] or to suffer some disadvantage, other than a sense of grievance or a debt for costs, if [the order is not made]"</w:t>
      </w:r>
      <w:r w:rsidRPr="00857FFC">
        <w:rPr>
          <w:rStyle w:val="FootnoteReference"/>
          <w:rFonts w:ascii="Times New Roman" w:hAnsi="Times New Roman"/>
          <w:sz w:val="24"/>
        </w:rPr>
        <w:footnoteReference w:id="109"/>
      </w:r>
      <w:r w:rsidRPr="00857FFC">
        <w:rPr>
          <w:rFonts w:ascii="Times New Roman" w:hAnsi="Times New Roman"/>
        </w:rPr>
        <w:t xml:space="preserve">. Depending on the totality of the circumstances, the material interest that the person has in seeking the order may be </w:t>
      </w:r>
      <w:proofErr w:type="gramStart"/>
      <w:r w:rsidRPr="00857FFC">
        <w:rPr>
          <w:rFonts w:ascii="Times New Roman" w:hAnsi="Times New Roman"/>
        </w:rPr>
        <w:t>sufficient</w:t>
      </w:r>
      <w:proofErr w:type="gramEnd"/>
      <w:r w:rsidRPr="00857FFC">
        <w:rPr>
          <w:rFonts w:ascii="Times New Roman" w:hAnsi="Times New Roman"/>
        </w:rPr>
        <w:t xml:space="preserve"> to justify a court entertaining the proceeding in which the order is sought. </w:t>
      </w:r>
    </w:p>
    <w:p w14:paraId="6F153C0A"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 </w:t>
      </w:r>
      <w:r w:rsidRPr="00857FFC">
        <w:rPr>
          <w:rFonts w:ascii="Times New Roman" w:hAnsi="Times New Roman"/>
          <w:i/>
        </w:rPr>
        <w:t>Robinson</w:t>
      </w:r>
      <w:r w:rsidRPr="00857FFC">
        <w:rPr>
          <w:rStyle w:val="FootnoteReference"/>
          <w:rFonts w:ascii="Times New Roman" w:hAnsi="Times New Roman"/>
          <w:sz w:val="24"/>
        </w:rPr>
        <w:footnoteReference w:id="110"/>
      </w:r>
      <w:r w:rsidRPr="00857FFC">
        <w:rPr>
          <w:rFonts w:ascii="Times New Roman" w:hAnsi="Times New Roman"/>
        </w:rPr>
        <w:t xml:space="preserve">, Mason J observed that "cases are infinitely various" and that "what is a sufficient interest in one case may be less than sufficient in another". In </w:t>
      </w:r>
      <w:r w:rsidRPr="00857FFC">
        <w:rPr>
          <w:rFonts w:ascii="Times New Roman" w:hAnsi="Times New Roman"/>
          <w:i/>
        </w:rPr>
        <w:t>Onus</w:t>
      </w:r>
      <w:r w:rsidRPr="00857FFC">
        <w:rPr>
          <w:rStyle w:val="FootnoteReference"/>
          <w:rFonts w:ascii="Times New Roman" w:hAnsi="Times New Roman"/>
          <w:sz w:val="24"/>
        </w:rPr>
        <w:footnoteReference w:id="111"/>
      </w:r>
      <w:r w:rsidRPr="00857FFC">
        <w:rPr>
          <w:rFonts w:ascii="Times New Roman" w:hAnsi="Times New Roman"/>
        </w:rPr>
        <w:t xml:space="preserve">, Brennan J added to that observation that the sufficiency of the interest of a person in a particular case "must be a question of degree, but not a question of </w:t>
      </w:r>
      <w:r w:rsidRPr="00857FFC">
        <w:rPr>
          <w:rFonts w:ascii="Times New Roman" w:hAnsi="Times New Roman"/>
        </w:rPr>
        <w:lastRenderedPageBreak/>
        <w:t xml:space="preserve">discretion" and that in answering that question of degree it is appropriate to consider both whether the interest is "sufficient to assure that 'concrete adverseness which sharpens the presentation of issues' falling for determination" and whether the interest is "so distinctive" as to avoid a multiplicity of proceedings. </w:t>
      </w:r>
    </w:p>
    <w:p w14:paraId="1CAD4159"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course of authority in this Court did not follow developments in the United Kingdom in the 1970s and early 1980s, in cases such as </w:t>
      </w:r>
      <w:proofErr w:type="spellStart"/>
      <w:r w:rsidRPr="00857FFC">
        <w:rPr>
          <w:rFonts w:ascii="Times New Roman" w:hAnsi="Times New Roman"/>
          <w:i/>
        </w:rPr>
        <w:t>Gouriet</w:t>
      </w:r>
      <w:proofErr w:type="spellEnd"/>
      <w:r w:rsidRPr="00857FFC">
        <w:rPr>
          <w:rFonts w:ascii="Times New Roman" w:hAnsi="Times New Roman"/>
          <w:i/>
        </w:rPr>
        <w:t xml:space="preserve"> v Union of Post Office Workers</w:t>
      </w:r>
      <w:r w:rsidRPr="00857FFC">
        <w:rPr>
          <w:rStyle w:val="FootnoteReference"/>
          <w:rFonts w:ascii="Times New Roman" w:hAnsi="Times New Roman"/>
          <w:sz w:val="24"/>
        </w:rPr>
        <w:footnoteReference w:id="112"/>
      </w:r>
      <w:r w:rsidRPr="00857FFC">
        <w:rPr>
          <w:rFonts w:ascii="Times New Roman" w:hAnsi="Times New Roman"/>
        </w:rPr>
        <w:t xml:space="preserve"> and </w:t>
      </w:r>
      <w:r w:rsidRPr="00857FFC">
        <w:rPr>
          <w:rFonts w:ascii="Times New Roman" w:hAnsi="Times New Roman"/>
          <w:i/>
        </w:rPr>
        <w:t xml:space="preserve">O'Reilly v </w:t>
      </w:r>
      <w:proofErr w:type="spellStart"/>
      <w:r w:rsidRPr="00857FFC">
        <w:rPr>
          <w:rFonts w:ascii="Times New Roman" w:hAnsi="Times New Roman"/>
          <w:i/>
        </w:rPr>
        <w:t>Mackman</w:t>
      </w:r>
      <w:proofErr w:type="spellEnd"/>
      <w:r w:rsidRPr="00857FFC">
        <w:rPr>
          <w:rStyle w:val="FootnoteReference"/>
          <w:rFonts w:ascii="Times New Roman" w:hAnsi="Times New Roman"/>
          <w:sz w:val="24"/>
        </w:rPr>
        <w:footnoteReference w:id="113"/>
      </w:r>
      <w:r w:rsidRPr="00857FFC">
        <w:rPr>
          <w:rFonts w:ascii="Times New Roman" w:hAnsi="Times New Roman"/>
        </w:rPr>
        <w:t>, which introduced a substantive and procedural distinction for doctrinal purposes between standing in "private law" contexts and standing in "public law" contexts</w:t>
      </w:r>
      <w:r w:rsidRPr="00857FFC">
        <w:rPr>
          <w:rStyle w:val="FootnoteReference"/>
          <w:rFonts w:ascii="Times New Roman" w:hAnsi="Times New Roman"/>
          <w:sz w:val="24"/>
        </w:rPr>
        <w:footnoteReference w:id="114"/>
      </w:r>
      <w:r w:rsidRPr="00857FFC">
        <w:rPr>
          <w:rFonts w:ascii="Times New Roman" w:hAnsi="Times New Roman"/>
        </w:rPr>
        <w:t>. No distinction between "private law" and "public law" could ever be clear cut</w:t>
      </w:r>
      <w:r w:rsidRPr="00857FFC">
        <w:rPr>
          <w:rStyle w:val="FootnoteReference"/>
          <w:rFonts w:ascii="Times New Roman" w:hAnsi="Times New Roman"/>
          <w:sz w:val="24"/>
        </w:rPr>
        <w:footnoteReference w:id="115"/>
      </w:r>
      <w:r w:rsidRPr="00857FFC">
        <w:rPr>
          <w:rFonts w:ascii="Times New Roman" w:hAnsi="Times New Roman"/>
        </w:rPr>
        <w:t>. The distinction has been said in Australia to be "so imprecise that it has contributed little to the construction of legal theory or to the formulation of rules applied by the courts"</w:t>
      </w:r>
      <w:r w:rsidRPr="00857FFC">
        <w:rPr>
          <w:rStyle w:val="FootnoteReference"/>
          <w:rFonts w:ascii="Times New Roman" w:hAnsi="Times New Roman"/>
          <w:sz w:val="24"/>
        </w:rPr>
        <w:footnoteReference w:id="116"/>
      </w:r>
      <w:r w:rsidRPr="00857FFC">
        <w:rPr>
          <w:rFonts w:ascii="Times New Roman" w:hAnsi="Times New Roman"/>
        </w:rPr>
        <w:t>.</w:t>
      </w:r>
    </w:p>
    <w:p w14:paraId="3DB0B498"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Nor has the course of authority in this Court followed that in the United Kingdom in the </w:t>
      </w:r>
      <w:proofErr w:type="gramStart"/>
      <w:r w:rsidRPr="00857FFC">
        <w:rPr>
          <w:rFonts w:ascii="Times New Roman" w:hAnsi="Times New Roman"/>
        </w:rPr>
        <w:t>manner in which</w:t>
      </w:r>
      <w:proofErr w:type="gramEnd"/>
      <w:r w:rsidRPr="00857FFC">
        <w:rPr>
          <w:rFonts w:ascii="Times New Roman" w:hAnsi="Times New Roman"/>
        </w:rPr>
        <w:t xml:space="preserve"> it has accommodated considerations of public interest. The plurality in </w:t>
      </w:r>
      <w:r w:rsidRPr="00857FFC">
        <w:rPr>
          <w:rFonts w:ascii="Times New Roman" w:hAnsi="Times New Roman"/>
          <w:i/>
        </w:rPr>
        <w:t>Bateman's Bay</w:t>
      </w:r>
      <w:r w:rsidRPr="00857FFC">
        <w:rPr>
          <w:rStyle w:val="FootnoteReference"/>
          <w:rFonts w:ascii="Times New Roman" w:hAnsi="Times New Roman"/>
          <w:sz w:val="24"/>
        </w:rPr>
        <w:footnoteReference w:id="117"/>
      </w:r>
      <w:r w:rsidRPr="00857FFC">
        <w:rPr>
          <w:rFonts w:ascii="Times New Roman" w:hAnsi="Times New Roman"/>
        </w:rPr>
        <w:t xml:space="preserve"> specifically rejected, as inconsistent with Australian conditions, the view expressed in </w:t>
      </w:r>
      <w:proofErr w:type="spellStart"/>
      <w:r w:rsidRPr="00857FFC">
        <w:rPr>
          <w:rFonts w:ascii="Times New Roman" w:hAnsi="Times New Roman"/>
          <w:i/>
        </w:rPr>
        <w:t>Gouriet</w:t>
      </w:r>
      <w:proofErr w:type="spellEnd"/>
      <w:r w:rsidRPr="00857FFC">
        <w:rPr>
          <w:rFonts w:ascii="Times New Roman" w:hAnsi="Times New Roman"/>
          <w:i/>
        </w:rPr>
        <w:t xml:space="preserve"> </w:t>
      </w:r>
      <w:r w:rsidRPr="00857FFC">
        <w:rPr>
          <w:rFonts w:ascii="Times New Roman" w:hAnsi="Times New Roman"/>
        </w:rPr>
        <w:t>that an Attorney-General has an "exclusive right ... to represent the public interest"</w:t>
      </w:r>
      <w:r w:rsidRPr="00857FFC">
        <w:rPr>
          <w:rStyle w:val="FootnoteReference"/>
          <w:rFonts w:ascii="Times New Roman" w:hAnsi="Times New Roman"/>
          <w:sz w:val="24"/>
        </w:rPr>
        <w:footnoteReference w:id="118"/>
      </w:r>
      <w:r w:rsidRPr="00857FFC">
        <w:rPr>
          <w:rFonts w:ascii="Times New Roman" w:hAnsi="Times New Roman"/>
        </w:rPr>
        <w:t>. True it remains that, within our system of government, "[</w:t>
      </w:r>
      <w:proofErr w:type="spellStart"/>
      <w:r w:rsidRPr="00857FFC">
        <w:rPr>
          <w:rFonts w:ascii="Times New Roman" w:hAnsi="Times New Roman"/>
        </w:rPr>
        <w:t>i</w:t>
      </w:r>
      <w:proofErr w:type="spellEnd"/>
      <w:r w:rsidRPr="00857FFC">
        <w:rPr>
          <w:rFonts w:ascii="Times New Roman" w:hAnsi="Times New Roman"/>
        </w:rPr>
        <w:t xml:space="preserve">]t is an ordinary function of the Attorney-General, whose office it is to represent the Crown in Courts of Justice, to sue for the protection of any public advantage enjoyed under the law as of </w:t>
      </w:r>
      <w:r w:rsidRPr="00857FFC">
        <w:rPr>
          <w:rFonts w:ascii="Times New Roman" w:hAnsi="Times New Roman"/>
        </w:rPr>
        <w:lastRenderedPageBreak/>
        <w:t>common right"</w:t>
      </w:r>
      <w:r w:rsidRPr="00857FFC">
        <w:rPr>
          <w:rStyle w:val="FootnoteReference"/>
          <w:rFonts w:ascii="Times New Roman" w:hAnsi="Times New Roman"/>
          <w:sz w:val="24"/>
        </w:rPr>
        <w:footnoteReference w:id="119"/>
      </w:r>
      <w:r w:rsidRPr="00857FFC">
        <w:rPr>
          <w:rFonts w:ascii="Times New Roman" w:hAnsi="Times New Roman"/>
        </w:rPr>
        <w:t>. But it would defy our experience of government</w:t>
      </w:r>
      <w:r w:rsidRPr="00857FFC">
        <w:rPr>
          <w:rStyle w:val="FootnoteReference"/>
          <w:rFonts w:ascii="Times New Roman" w:hAnsi="Times New Roman"/>
          <w:sz w:val="24"/>
        </w:rPr>
        <w:footnoteReference w:id="120"/>
      </w:r>
      <w:r w:rsidRPr="00857FFC">
        <w:rPr>
          <w:rFonts w:ascii="Times New Roman" w:hAnsi="Times New Roman"/>
        </w:rPr>
        <w:t xml:space="preserve"> to expect an Attorney-General to act as an apolitical "guardian of the public interest"</w:t>
      </w:r>
      <w:r w:rsidRPr="00857FFC">
        <w:rPr>
          <w:rStyle w:val="FootnoteReference"/>
          <w:rFonts w:ascii="Times New Roman" w:hAnsi="Times New Roman"/>
          <w:sz w:val="24"/>
        </w:rPr>
        <w:footnoteReference w:id="121"/>
      </w:r>
      <w:r w:rsidRPr="00857FFC">
        <w:rPr>
          <w:rFonts w:ascii="Times New Roman" w:hAnsi="Times New Roman"/>
        </w:rPr>
        <w:t xml:space="preserve"> in all cases of granting to, or withholding from, some other person a "fiat" ("simply a contraction of the expression fiat </w:t>
      </w:r>
      <w:proofErr w:type="spellStart"/>
      <w:r w:rsidRPr="00857FFC">
        <w:rPr>
          <w:rFonts w:ascii="Times New Roman" w:hAnsi="Times New Roman"/>
        </w:rPr>
        <w:t>justitia</w:t>
      </w:r>
      <w:proofErr w:type="spellEnd"/>
      <w:r w:rsidRPr="00857FFC">
        <w:rPr>
          <w:rFonts w:ascii="Times New Roman" w:hAnsi="Times New Roman"/>
        </w:rPr>
        <w:t>, meaning 'let justice be done'"</w:t>
      </w:r>
      <w:r w:rsidRPr="00857FFC">
        <w:rPr>
          <w:rStyle w:val="FootnoteReference"/>
          <w:rFonts w:ascii="Times New Roman" w:hAnsi="Times New Roman"/>
          <w:sz w:val="24"/>
        </w:rPr>
        <w:footnoteReference w:id="122"/>
      </w:r>
      <w:r w:rsidRPr="00857FFC">
        <w:rPr>
          <w:rFonts w:ascii="Times New Roman" w:hAnsi="Times New Roman"/>
        </w:rPr>
        <w:t>) authorising that other person to sue in a "relator action" in the name of the Attorney-General</w:t>
      </w:r>
      <w:r w:rsidRPr="00857FFC">
        <w:rPr>
          <w:rStyle w:val="FootnoteReference"/>
          <w:rFonts w:ascii="Times New Roman" w:hAnsi="Times New Roman"/>
          <w:sz w:val="24"/>
        </w:rPr>
        <w:footnoteReference w:id="123"/>
      </w:r>
      <w:r w:rsidRPr="00857FFC">
        <w:rPr>
          <w:rFonts w:ascii="Times New Roman" w:hAnsi="Times New Roman"/>
        </w:rPr>
        <w:t xml:space="preserve">. As the plurality observed in </w:t>
      </w:r>
      <w:r w:rsidRPr="00857FFC">
        <w:rPr>
          <w:rFonts w:ascii="Times New Roman" w:hAnsi="Times New Roman"/>
          <w:i/>
        </w:rPr>
        <w:t>Bateman's Bay</w:t>
      </w:r>
      <w:r w:rsidRPr="00857FFC">
        <w:rPr>
          <w:rFonts w:ascii="Times New Roman" w:hAnsi="Times New Roman"/>
        </w:rPr>
        <w:t>, given that an Attorney-General is commonly here a member of Cabinet, "it may be 'somewhat visionary' for citizens in this country to suppose that they may rely upon the grant of the Attorney-General's fiat for protection against ultra vires action of statutory bodies for the administration of which a ministerial colleague is responsible"</w:t>
      </w:r>
      <w:r w:rsidRPr="00857FFC">
        <w:rPr>
          <w:rStyle w:val="FootnoteReference"/>
          <w:rFonts w:ascii="Times New Roman" w:hAnsi="Times New Roman"/>
          <w:sz w:val="24"/>
        </w:rPr>
        <w:footnoteReference w:id="124"/>
      </w:r>
      <w:r w:rsidRPr="00857FFC">
        <w:rPr>
          <w:rFonts w:ascii="Times New Roman" w:hAnsi="Times New Roman"/>
        </w:rPr>
        <w:t>. The plurality emphasised that the approach to standing that has developed in Australia recognises "that the public interest may be vindicated at the suit of a party with a sufficient material interest in the subject matter"</w:t>
      </w:r>
      <w:r w:rsidRPr="00857FFC">
        <w:rPr>
          <w:rStyle w:val="FootnoteReference"/>
          <w:rFonts w:ascii="Times New Roman" w:hAnsi="Times New Roman"/>
          <w:sz w:val="24"/>
        </w:rPr>
        <w:footnoteReference w:id="125"/>
      </w:r>
      <w:r w:rsidRPr="00857FFC">
        <w:rPr>
          <w:rFonts w:ascii="Times New Roman" w:hAnsi="Times New Roman"/>
        </w:rPr>
        <w:t>.</w:t>
      </w:r>
    </w:p>
    <w:p w14:paraId="3F0D0D13"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Where a person is shown to have a material interest in seeking a declaration or other order, considerations bearing on the public interest can contribute to the sufficiency of that material interest to justify a court entertaining the proceeding in which the order is sought. A weighty public interest consideration, where it is applicable, is that the person's interest is within the scope of interests sought to be protected or advanced by the exercise of a statutory power or executive authority through which the right or obligation in controversy has come into existence</w:t>
      </w:r>
      <w:r w:rsidRPr="00857FFC">
        <w:rPr>
          <w:rStyle w:val="FootnoteReference"/>
          <w:rFonts w:ascii="Times New Roman" w:hAnsi="Times New Roman"/>
          <w:sz w:val="24"/>
        </w:rPr>
        <w:footnoteReference w:id="126"/>
      </w:r>
      <w:r w:rsidRPr="00857FFC">
        <w:rPr>
          <w:rFonts w:ascii="Times New Roman" w:hAnsi="Times New Roman"/>
        </w:rPr>
        <w:t xml:space="preserve">. Another weighty consideration, where it is applicable, is that a party by or against </w:t>
      </w:r>
      <w:r w:rsidRPr="00857FFC">
        <w:rPr>
          <w:rFonts w:ascii="Times New Roman" w:hAnsi="Times New Roman"/>
        </w:rPr>
        <w:lastRenderedPageBreak/>
        <w:t>whom the right or obligation is held and against whom the declaration is sought is a public authority or an executive government, which "acts, or is supposed to act, not according to standards of private interest, but in the public interest"</w:t>
      </w:r>
      <w:r w:rsidRPr="00857FFC">
        <w:rPr>
          <w:rStyle w:val="FootnoteReference"/>
          <w:rFonts w:ascii="Times New Roman" w:hAnsi="Times New Roman"/>
          <w:sz w:val="24"/>
        </w:rPr>
        <w:footnoteReference w:id="127"/>
      </w:r>
      <w:r w:rsidRPr="00857FFC">
        <w:rPr>
          <w:rFonts w:ascii="Times New Roman" w:hAnsi="Times New Roman"/>
        </w:rPr>
        <w:t>.</w:t>
      </w:r>
    </w:p>
    <w:p w14:paraId="72BB7448"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 </w:t>
      </w:r>
      <w:r w:rsidRPr="00857FFC">
        <w:rPr>
          <w:rFonts w:ascii="Times New Roman" w:hAnsi="Times New Roman"/>
          <w:i/>
        </w:rPr>
        <w:t>CGU Insurance Ltd v Blakeley</w:t>
      </w:r>
      <w:r w:rsidRPr="00857FFC">
        <w:rPr>
          <w:rStyle w:val="FootnoteReference"/>
          <w:rFonts w:ascii="Times New Roman" w:hAnsi="Times New Roman"/>
          <w:sz w:val="24"/>
        </w:rPr>
        <w:footnoteReference w:id="128"/>
      </w:r>
      <w:r w:rsidRPr="00857FFC">
        <w:rPr>
          <w:rFonts w:ascii="Times New Roman" w:hAnsi="Times New Roman"/>
        </w:rPr>
        <w:t>, Nettle J referred to the proposition "that a person not a party to a contract has no [standing], save perhaps in exceptional circumstances, to obtain a declaration in respect of the rights of other parties to that particular contract"</w:t>
      </w:r>
      <w:r w:rsidRPr="00857FFC">
        <w:rPr>
          <w:rStyle w:val="FootnoteReference"/>
          <w:rFonts w:ascii="Times New Roman" w:hAnsi="Times New Roman"/>
          <w:sz w:val="24"/>
        </w:rPr>
        <w:footnoteReference w:id="129"/>
      </w:r>
      <w:r w:rsidRPr="00857FFC">
        <w:rPr>
          <w:rFonts w:ascii="Times New Roman" w:hAnsi="Times New Roman"/>
        </w:rPr>
        <w:t xml:space="preserve"> as "largely" according with Australian authority. His Honour went on to explain that "[g]</w:t>
      </w:r>
      <w:proofErr w:type="spellStart"/>
      <w:r w:rsidRPr="00857FFC">
        <w:rPr>
          <w:rFonts w:ascii="Times New Roman" w:hAnsi="Times New Roman"/>
        </w:rPr>
        <w:t>enerally</w:t>
      </w:r>
      <w:proofErr w:type="spellEnd"/>
      <w:r w:rsidRPr="00857FFC">
        <w:rPr>
          <w:rFonts w:ascii="Times New Roman" w:hAnsi="Times New Roman"/>
        </w:rPr>
        <w:t xml:space="preserve"> speaking it may be correct to say that an outsider has no standing to seek a declaration about the meaning and effect of a contract to which the outsider is not party". His Honour immediately added this qualification: "that depends on what is meant by an 'outsider' and upon the circumstances in which the parties to the contract have chosen, or been influenced, not to raise an issue". His Honour's observation emphasises the absence of any bright-line rule governing when a person who is not a party to a contract has standing to seek a declaration about its meaning and effect. </w:t>
      </w:r>
    </w:p>
    <w:p w14:paraId="1C68DAF4"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doctrines of privity and consideration will ordinarily prevent a person who is not a party to a contract being able to establish standing to seek a declaration about the content of a contractual obligation </w:t>
      </w:r>
      <w:proofErr w:type="gramStart"/>
      <w:r w:rsidRPr="00857FFC">
        <w:rPr>
          <w:rFonts w:ascii="Times New Roman" w:hAnsi="Times New Roman"/>
        </w:rPr>
        <w:t>on the basis of</w:t>
      </w:r>
      <w:proofErr w:type="gramEnd"/>
      <w:r w:rsidRPr="00857FFC">
        <w:rPr>
          <w:rFonts w:ascii="Times New Roman" w:hAnsi="Times New Roman"/>
        </w:rPr>
        <w:t xml:space="preserve"> a legal interest. There will be cases in which a person who is not a party to a contract will be able to establish standing </w:t>
      </w:r>
      <w:proofErr w:type="gramStart"/>
      <w:r w:rsidRPr="00857FFC">
        <w:rPr>
          <w:rFonts w:ascii="Times New Roman" w:hAnsi="Times New Roman"/>
        </w:rPr>
        <w:t>on the basis of</w:t>
      </w:r>
      <w:proofErr w:type="gramEnd"/>
      <w:r w:rsidRPr="00857FFC">
        <w:rPr>
          <w:rFonts w:ascii="Times New Roman" w:hAnsi="Times New Roman"/>
        </w:rPr>
        <w:t xml:space="preserve"> an equitable interest, one category of which will be where the contractual obligation can be established to be held on trust. But neither a legal interest nor an equitable interest exhausts the category of interests capable of amounting to a </w:t>
      </w:r>
      <w:proofErr w:type="gramStart"/>
      <w:r w:rsidRPr="00857FFC">
        <w:rPr>
          <w:rFonts w:ascii="Times New Roman" w:hAnsi="Times New Roman"/>
        </w:rPr>
        <w:t>sufficient</w:t>
      </w:r>
      <w:proofErr w:type="gramEnd"/>
      <w:r w:rsidRPr="00857FFC">
        <w:rPr>
          <w:rFonts w:ascii="Times New Roman" w:hAnsi="Times New Roman"/>
        </w:rPr>
        <w:t xml:space="preserve"> interest to seek a declaration about the content of a contractual obligation.</w:t>
      </w:r>
    </w:p>
    <w:p w14:paraId="7DA49296"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For a person to have standing to seek a declaration about the content of a contractual obligation, it is not always necessary for the person to establish an entitlement at common law or in equity to enforce that obligation. </w:t>
      </w:r>
      <w:r w:rsidRPr="00857FFC">
        <w:rPr>
          <w:rFonts w:ascii="Times New Roman" w:hAnsi="Times New Roman"/>
          <w:i/>
        </w:rPr>
        <w:t>Aussie Airlines Pty Ltd v Australian Airlines Ltd</w:t>
      </w:r>
      <w:r w:rsidRPr="00857FFC">
        <w:rPr>
          <w:rStyle w:val="FootnoteReference"/>
          <w:rFonts w:ascii="Times New Roman" w:hAnsi="Times New Roman"/>
          <w:sz w:val="24"/>
        </w:rPr>
        <w:footnoteReference w:id="130"/>
      </w:r>
      <w:r w:rsidRPr="00857FFC">
        <w:rPr>
          <w:rFonts w:ascii="Times New Roman" w:hAnsi="Times New Roman"/>
        </w:rPr>
        <w:t xml:space="preserve">, to which attention was drawn by Nettle J in </w:t>
      </w:r>
      <w:r w:rsidRPr="00857FFC">
        <w:rPr>
          <w:rFonts w:ascii="Times New Roman" w:hAnsi="Times New Roman"/>
          <w:i/>
        </w:rPr>
        <w:lastRenderedPageBreak/>
        <w:t>CGU</w:t>
      </w:r>
      <w:r w:rsidRPr="00857FFC">
        <w:rPr>
          <w:rStyle w:val="FootnoteReference"/>
          <w:rFonts w:ascii="Times New Roman" w:hAnsi="Times New Roman"/>
          <w:sz w:val="24"/>
        </w:rPr>
        <w:footnoteReference w:id="131"/>
      </w:r>
      <w:r w:rsidRPr="00857FFC">
        <w:rPr>
          <w:rFonts w:ascii="Times New Roman" w:hAnsi="Times New Roman"/>
        </w:rPr>
        <w:t xml:space="preserve"> and earlier by </w:t>
      </w:r>
      <w:proofErr w:type="spellStart"/>
      <w:r w:rsidRPr="00857FFC">
        <w:rPr>
          <w:rFonts w:ascii="Times New Roman" w:hAnsi="Times New Roman"/>
        </w:rPr>
        <w:t>Heydon</w:t>
      </w:r>
      <w:proofErr w:type="spellEnd"/>
      <w:r w:rsidRPr="00857FFC">
        <w:rPr>
          <w:rFonts w:ascii="Times New Roman" w:hAnsi="Times New Roman"/>
        </w:rPr>
        <w:t xml:space="preserve"> J in </w:t>
      </w:r>
      <w:r w:rsidRPr="00857FFC">
        <w:rPr>
          <w:rFonts w:ascii="Times New Roman" w:hAnsi="Times New Roman"/>
          <w:i/>
        </w:rPr>
        <w:t>Edwards v Santos Ltd</w:t>
      </w:r>
      <w:r w:rsidRPr="00857FFC">
        <w:rPr>
          <w:rStyle w:val="FootnoteReference"/>
          <w:rFonts w:ascii="Times New Roman" w:hAnsi="Times New Roman"/>
          <w:sz w:val="24"/>
        </w:rPr>
        <w:footnoteReference w:id="132"/>
      </w:r>
      <w:r w:rsidRPr="00857FFC">
        <w:rPr>
          <w:rFonts w:ascii="Times New Roman" w:hAnsi="Times New Roman"/>
        </w:rPr>
        <w:t>, is a pertinent illustration of that proposition.</w:t>
      </w:r>
    </w:p>
    <w:p w14:paraId="2D987D6E"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In </w:t>
      </w:r>
      <w:r w:rsidRPr="00857FFC">
        <w:rPr>
          <w:rFonts w:ascii="Times New Roman" w:hAnsi="Times New Roman"/>
          <w:i/>
        </w:rPr>
        <w:t>Aussie Airlines</w:t>
      </w:r>
      <w:r w:rsidRPr="00857FFC">
        <w:rPr>
          <w:rFonts w:ascii="Times New Roman" w:hAnsi="Times New Roman"/>
        </w:rPr>
        <w:t>, standard provisions of leases granted by a Commonwealth statutory authority, the Federal Airports Corporation, to Australian Airlines Ltd ("Qantas") obliged Qantas to grant a sublease to any "new entrant to the domestic aviation industry". Aussie Airlines Ltd was held to have standing to seek a declaration that it answered the contractual description of a "new entrant to the domestic aviation industry". Lockhart J, with whom Spender and Cooper JJ agreed, expressly reached that result without needing to determine a submission that Aussie Airlines had an entitlement in equity to enforce the contractual obligation against Qantas. The sufficiency of the interest of Aussie Airlines was explained by Lockhart J as follows</w:t>
      </w:r>
      <w:r w:rsidRPr="00857FFC">
        <w:rPr>
          <w:rStyle w:val="FootnoteReference"/>
          <w:rFonts w:ascii="Times New Roman" w:hAnsi="Times New Roman"/>
          <w:sz w:val="24"/>
        </w:rPr>
        <w:footnoteReference w:id="133"/>
      </w:r>
      <w:r w:rsidRPr="00857FFC">
        <w:rPr>
          <w:rFonts w:ascii="Times New Roman" w:hAnsi="Times New Roman"/>
        </w:rPr>
        <w:t>:</w:t>
      </w:r>
    </w:p>
    <w:p w14:paraId="4E109F08" w14:textId="77777777" w:rsidR="00744668" w:rsidRPr="00857FFC" w:rsidRDefault="00744668" w:rsidP="00857FFC">
      <w:pPr>
        <w:pStyle w:val="leftright"/>
        <w:spacing w:before="0" w:after="260" w:line="280" w:lineRule="exact"/>
        <w:ind w:right="0"/>
        <w:jc w:val="both"/>
        <w:rPr>
          <w:rFonts w:ascii="Times New Roman" w:hAnsi="Times New Roman"/>
        </w:rPr>
      </w:pPr>
      <w:r w:rsidRPr="00857FFC">
        <w:rPr>
          <w:rFonts w:ascii="Times New Roman" w:hAnsi="Times New Roman"/>
        </w:rPr>
        <w:tab/>
        <w:t xml:space="preserve">"The resolution of the question whether Aussie Airlines is 'a new entrant to the domestic aviation industry', when making the request to Qantas for subleases, is of real practical importance to Aussie Airlines. ... Without subleases, Aussie Airlines will be denied a right to carry on the business which it seeks to carry on. </w:t>
      </w:r>
    </w:p>
    <w:p w14:paraId="6EB1C6FA" w14:textId="77777777" w:rsidR="00744668" w:rsidRDefault="00744668" w:rsidP="00857FFC">
      <w:pPr>
        <w:pStyle w:val="leftright"/>
        <w:spacing w:before="0" w:after="260" w:line="280" w:lineRule="exact"/>
        <w:ind w:right="0"/>
        <w:jc w:val="both"/>
        <w:rPr>
          <w:rFonts w:ascii="Times New Roman" w:hAnsi="Times New Roman"/>
        </w:rPr>
      </w:pPr>
      <w:r w:rsidRPr="00857FFC">
        <w:rPr>
          <w:rFonts w:ascii="Times New Roman" w:hAnsi="Times New Roman"/>
        </w:rPr>
        <w:tab/>
        <w:t xml:space="preserve">Further, Aussie Airlines has a real commercial interest in obtaining or being refused the declaration. Aussie Airlines was incorporated for the express purpose of operating a domestic airline business. Its future business activities, </w:t>
      </w:r>
      <w:proofErr w:type="gramStart"/>
      <w:r w:rsidRPr="00857FFC">
        <w:rPr>
          <w:rFonts w:ascii="Times New Roman" w:hAnsi="Times New Roman"/>
        </w:rPr>
        <w:t>in particular its</w:t>
      </w:r>
      <w:proofErr w:type="gramEnd"/>
      <w:r w:rsidRPr="00857FFC">
        <w:rPr>
          <w:rFonts w:ascii="Times New Roman" w:hAnsi="Times New Roman"/>
        </w:rPr>
        <w:t xml:space="preserve"> airline operation, depend entirely upon obtaining subleases of the relevant airport terminal facilities and becoming a new entrant to the domestic aviation industry."</w:t>
      </w:r>
    </w:p>
    <w:p w14:paraId="352B5331"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interest of each Council in obtaining a declaration about the content of the contractual obligation owed by that Lessee to the Commonwealth under cl 26.2 of each Lease might be described more as "governmental" than "practical" and more as "fiscal" than "commercial". Otherwise </w:t>
      </w:r>
      <w:r w:rsidRPr="00857FFC">
        <w:rPr>
          <w:rFonts w:ascii="Times New Roman" w:hAnsi="Times New Roman"/>
          <w:i/>
        </w:rPr>
        <w:t xml:space="preserve">Aussie Airlines </w:t>
      </w:r>
      <w:r w:rsidRPr="00857FFC">
        <w:rPr>
          <w:rFonts w:ascii="Times New Roman" w:hAnsi="Times New Roman"/>
        </w:rPr>
        <w:t xml:space="preserve">is on all fours with the present cases. Like the interest of Aussie Airlines, the interest of each Council in obtaining or being refused the declaration it seeks is distinctive, substantial and squarely within the scope of those </w:t>
      </w:r>
      <w:proofErr w:type="gramStart"/>
      <w:r w:rsidRPr="00857FFC">
        <w:rPr>
          <w:rFonts w:ascii="Times New Roman" w:hAnsi="Times New Roman"/>
        </w:rPr>
        <w:t>third party</w:t>
      </w:r>
      <w:proofErr w:type="gramEnd"/>
      <w:r w:rsidRPr="00857FFC">
        <w:rPr>
          <w:rFonts w:ascii="Times New Roman" w:hAnsi="Times New Roman"/>
        </w:rPr>
        <w:t xml:space="preserve"> interests that were sought in the public interest to be advanced through entering into the contractual obligation in the exercise of statutory authority. And like the interest of Aussie Airlines, the interest of each Council in obtaining or being refused the declaration aligns to the </w:t>
      </w:r>
      <w:r w:rsidRPr="00857FFC">
        <w:rPr>
          <w:rFonts w:ascii="Times New Roman" w:hAnsi="Times New Roman"/>
        </w:rPr>
        <w:lastRenderedPageBreak/>
        <w:t>public interest evidently sought to be advanced by cl 26.2, recognised by the Commonwealth Government and all State and Territory Governments, in "the elimination of resource allocation distortions arising out of the public ownership of entities engaged in significant business activities"</w:t>
      </w:r>
      <w:r w:rsidRPr="00857FFC">
        <w:rPr>
          <w:rStyle w:val="FootnoteReference"/>
          <w:rFonts w:ascii="Times New Roman" w:hAnsi="Times New Roman"/>
          <w:sz w:val="24"/>
        </w:rPr>
        <w:footnoteReference w:id="134"/>
      </w:r>
      <w:r w:rsidRPr="00857FFC">
        <w:rPr>
          <w:rFonts w:ascii="Times New Roman" w:hAnsi="Times New Roman"/>
        </w:rPr>
        <w:t>.</w:t>
      </w:r>
    </w:p>
    <w:p w14:paraId="5A2347B4"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only distinction from </w:t>
      </w:r>
      <w:r w:rsidRPr="00857FFC">
        <w:rPr>
          <w:rFonts w:ascii="Times New Roman" w:hAnsi="Times New Roman"/>
          <w:i/>
        </w:rPr>
        <w:t>Aussie Airlines</w:t>
      </w:r>
      <w:r w:rsidRPr="00857FFC">
        <w:rPr>
          <w:rFonts w:ascii="Times New Roman" w:hAnsi="Times New Roman"/>
        </w:rPr>
        <w:t xml:space="preserve"> sought to be drawn by the Lessees in argument on the appeals is that Qantas was in dispute with the Federal Airports Corporation, whereas each of them is not in dispute with the Commonwealth about the content of the contractual obligation sought to be made the subject of a declaration. The distinction is not one that amounts to a legal difference. There </w:t>
      </w:r>
      <w:proofErr w:type="gramStart"/>
      <w:r w:rsidRPr="00857FFC">
        <w:rPr>
          <w:rFonts w:ascii="Times New Roman" w:hAnsi="Times New Roman"/>
        </w:rPr>
        <w:t>is</w:t>
      </w:r>
      <w:proofErr w:type="gramEnd"/>
      <w:r w:rsidRPr="00857FFC">
        <w:rPr>
          <w:rFonts w:ascii="Times New Roman" w:hAnsi="Times New Roman"/>
        </w:rPr>
        <w:t xml:space="preserve"> no reason why contracting parties must be in dispute in order to be bound by a declaration about the content of a contractual obligation obtained at the instance of a non-contracting party who has a sufficient interest to seek the declaration in a proceeding to which all are party. And there is no reason why the non-existence of a dispute between the contracting parties should operate to reduce the sufficiency of an otherwise </w:t>
      </w:r>
      <w:proofErr w:type="gramStart"/>
      <w:r w:rsidRPr="00857FFC">
        <w:rPr>
          <w:rFonts w:ascii="Times New Roman" w:hAnsi="Times New Roman"/>
        </w:rPr>
        <w:t>sufficient</w:t>
      </w:r>
      <w:proofErr w:type="gramEnd"/>
      <w:r w:rsidRPr="00857FFC">
        <w:rPr>
          <w:rFonts w:ascii="Times New Roman" w:hAnsi="Times New Roman"/>
        </w:rPr>
        <w:t xml:space="preserve"> interest of the non-contracting party in seeking the declaration.</w:t>
      </w:r>
    </w:p>
    <w:p w14:paraId="1682BA7B"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 xml:space="preserve">The controversy between each Council (on the one hand) and the Commonwealth and a Lessee (on the other hand) about the content of the contractual obligation owed by that Lessee to the Commonwealth under cl 26.2 of its Lease is justiciable at the instance of the Council in each proceeding in the Federal Court for a declaration binding on the Commonwealth and the Lessee. The fiscal or governmental interest of each Council in obtaining or being refused the declaration is a </w:t>
      </w:r>
      <w:proofErr w:type="gramStart"/>
      <w:r w:rsidRPr="00857FFC">
        <w:rPr>
          <w:rFonts w:ascii="Times New Roman" w:hAnsi="Times New Roman"/>
        </w:rPr>
        <w:t>sufficient</w:t>
      </w:r>
      <w:proofErr w:type="gramEnd"/>
      <w:r w:rsidRPr="00857FFC">
        <w:rPr>
          <w:rFonts w:ascii="Times New Roman" w:hAnsi="Times New Roman"/>
        </w:rPr>
        <w:t xml:space="preserve"> interest to establish standing to seek the declaration.</w:t>
      </w:r>
    </w:p>
    <w:p w14:paraId="3038BE5A" w14:textId="77777777" w:rsidR="00744668" w:rsidRPr="00857FFC" w:rsidRDefault="00744668" w:rsidP="00857FFC">
      <w:pPr>
        <w:pStyle w:val="FixListStyle"/>
        <w:spacing w:after="260" w:line="280" w:lineRule="exact"/>
        <w:ind w:right="0"/>
        <w:jc w:val="both"/>
        <w:rPr>
          <w:rFonts w:ascii="Times New Roman" w:hAnsi="Times New Roman"/>
        </w:rPr>
      </w:pPr>
      <w:r w:rsidRPr="00857FFC">
        <w:rPr>
          <w:rFonts w:ascii="Times New Roman" w:hAnsi="Times New Roman"/>
        </w:rPr>
        <w:tab/>
        <w:t>Perhaps it should go without saying that to accept that the controversy about the content of the contractual obligation owed by the Lessee to the Commonwealth is justiciable at the instance of each Council is to say nothing about whether the declarations sought will ultimately be considered appropriate to be made in the form sought or in some other form. Where jurisdiction exists, the making of a declaratory order is discretionary</w:t>
      </w:r>
      <w:r w:rsidRPr="00857FFC">
        <w:rPr>
          <w:rStyle w:val="FootnoteReference"/>
          <w:rFonts w:ascii="Times New Roman" w:hAnsi="Times New Roman"/>
          <w:sz w:val="24"/>
        </w:rPr>
        <w:footnoteReference w:id="135"/>
      </w:r>
      <w:r w:rsidRPr="00857FFC">
        <w:rPr>
          <w:rFonts w:ascii="Times New Roman" w:hAnsi="Times New Roman"/>
        </w:rPr>
        <w:t>:</w:t>
      </w:r>
    </w:p>
    <w:p w14:paraId="0BEB48FB" w14:textId="77777777" w:rsidR="00744668" w:rsidRDefault="00744668" w:rsidP="00857FFC">
      <w:pPr>
        <w:pStyle w:val="leftright"/>
        <w:spacing w:before="0" w:after="260" w:line="280" w:lineRule="exact"/>
        <w:ind w:right="0"/>
        <w:jc w:val="both"/>
        <w:rPr>
          <w:rFonts w:ascii="Times New Roman" w:hAnsi="Times New Roman"/>
        </w:rPr>
      </w:pPr>
      <w:r w:rsidRPr="00857FFC">
        <w:rPr>
          <w:rFonts w:ascii="Times New Roman" w:hAnsi="Times New Roman"/>
        </w:rPr>
        <w:t xml:space="preserve">"[I]t is thus important to distinguish between the jurisdiction of the court to entertain the [proceeding] at all, </w:t>
      </w:r>
      <w:proofErr w:type="spellStart"/>
      <w:r w:rsidRPr="00857FFC">
        <w:rPr>
          <w:rFonts w:ascii="Times New Roman" w:hAnsi="Times New Roman"/>
        </w:rPr>
        <w:t>ie</w:t>
      </w:r>
      <w:proofErr w:type="spellEnd"/>
      <w:r w:rsidRPr="00857FFC">
        <w:rPr>
          <w:rFonts w:ascii="Times New Roman" w:hAnsi="Times New Roman"/>
        </w:rPr>
        <w:t xml:space="preserve">, to embark upon the inquiry whether facts exist which would entitle the court to grant the relief claimed, and a settled practice of the court to exercise its discretion by withholding the relief if the facts found to exist disclose a particular kind of factual situation. </w:t>
      </w:r>
      <w:r w:rsidRPr="00857FFC">
        <w:rPr>
          <w:rFonts w:ascii="Times New Roman" w:hAnsi="Times New Roman"/>
        </w:rPr>
        <w:lastRenderedPageBreak/>
        <w:t>The application of a discretion to refuse relief even though this may be pursuant to a settled practice is an exercise of jurisdiction, not a denial of it."</w:t>
      </w:r>
    </w:p>
    <w:p w14:paraId="657DA334" w14:textId="77777777" w:rsidR="00744668" w:rsidRDefault="00744668" w:rsidP="00744668">
      <w:pPr>
        <w:pStyle w:val="FixListStyle"/>
        <w:spacing w:after="260" w:line="280" w:lineRule="exact"/>
        <w:ind w:right="0"/>
        <w:jc w:val="both"/>
        <w:rPr>
          <w:rFonts w:ascii="Times New Roman" w:hAnsi="Times New Roman"/>
        </w:rPr>
      </w:pPr>
      <w:r w:rsidRPr="00857FFC">
        <w:rPr>
          <w:rFonts w:ascii="Times New Roman" w:hAnsi="Times New Roman"/>
        </w:rPr>
        <w:tab/>
        <w:t>The appeals must be dismissed with costs.</w:t>
      </w:r>
    </w:p>
    <w:p w14:paraId="14E76DF7" w14:textId="77777777" w:rsidR="00744668" w:rsidRDefault="00744668" w:rsidP="00744668">
      <w:pPr>
        <w:pStyle w:val="FixListStyle"/>
        <w:spacing w:after="260" w:line="280" w:lineRule="exact"/>
        <w:ind w:right="0"/>
        <w:jc w:val="both"/>
        <w:rPr>
          <w:rFonts w:ascii="Times New Roman" w:hAnsi="Times New Roman"/>
        </w:rPr>
        <w:sectPr w:rsidR="00744668" w:rsidSect="003B099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B87DA08" w14:textId="77777777" w:rsidR="00744668" w:rsidRPr="00EA38BE" w:rsidRDefault="00744668" w:rsidP="00EA38BE">
      <w:pPr>
        <w:pStyle w:val="NormalBody"/>
        <w:tabs>
          <w:tab w:val="clear" w:pos="720"/>
          <w:tab w:val="left" w:pos="0"/>
        </w:tabs>
        <w:spacing w:after="260" w:line="280" w:lineRule="exact"/>
        <w:ind w:right="0"/>
        <w:jc w:val="both"/>
        <w:rPr>
          <w:rFonts w:ascii="Times New Roman" w:hAnsi="Times New Roman"/>
        </w:rPr>
      </w:pPr>
      <w:r w:rsidRPr="00EA38BE">
        <w:rPr>
          <w:rFonts w:ascii="Times New Roman" w:hAnsi="Times New Roman"/>
        </w:rPr>
        <w:lastRenderedPageBreak/>
        <w:t xml:space="preserve">EDELMAN AND STEWARD JJ.   </w:t>
      </w:r>
    </w:p>
    <w:p w14:paraId="35C4383A"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Rights, standing, and matters</w:t>
      </w:r>
    </w:p>
    <w:p w14:paraId="43ADE24F"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These appeals concern</w:t>
      </w:r>
      <w:r w:rsidRPr="00EA38BE" w:rsidDel="002436C2">
        <w:rPr>
          <w:rFonts w:ascii="Times New Roman" w:hAnsi="Times New Roman"/>
        </w:rPr>
        <w:t>ed</w:t>
      </w:r>
      <w:r w:rsidRPr="00EA38BE">
        <w:rPr>
          <w:rFonts w:ascii="Times New Roman" w:hAnsi="Times New Roman"/>
        </w:rPr>
        <w:t xml:space="preserve"> three separate but related concepts: "cause of action", "standing", and "matter". Each concept is concerned with the existence of a legal controversy but at different level</w:t>
      </w:r>
      <w:r w:rsidRPr="00EA38BE" w:rsidDel="005220EA">
        <w:rPr>
          <w:rFonts w:ascii="Times New Roman" w:hAnsi="Times New Roman"/>
        </w:rPr>
        <w:t>s</w:t>
      </w:r>
      <w:r w:rsidRPr="00EA38BE">
        <w:rPr>
          <w:rFonts w:ascii="Times New Roman" w:hAnsi="Times New Roman"/>
        </w:rPr>
        <w:t xml:space="preserve"> of generality. In these appeals, the expression "cause of action" was used in its less common connotation to mean the existence of an </w:t>
      </w:r>
      <w:proofErr w:type="spellStart"/>
      <w:r w:rsidRPr="00EA38BE">
        <w:rPr>
          <w:rFonts w:ascii="Times New Roman" w:hAnsi="Times New Roman"/>
        </w:rPr>
        <w:t>exigible</w:t>
      </w:r>
      <w:proofErr w:type="spellEnd"/>
      <w:r w:rsidRPr="00EA38BE">
        <w:rPr>
          <w:rFonts w:ascii="Times New Roman" w:hAnsi="Times New Roman"/>
        </w:rPr>
        <w:t xml:space="preserve"> legal right</w:t>
      </w:r>
      <w:r w:rsidRPr="00EA38BE">
        <w:rPr>
          <w:rStyle w:val="FootnoteReference"/>
          <w:rFonts w:ascii="Times New Roman" w:hAnsi="Times New Roman"/>
          <w:sz w:val="24"/>
        </w:rPr>
        <w:footnoteReference w:id="136"/>
      </w:r>
      <w:r w:rsidRPr="00EA38BE">
        <w:rPr>
          <w:rFonts w:ascii="Times New Roman" w:hAnsi="Times New Roman"/>
        </w:rPr>
        <w:t xml:space="preserve">. A legal right in this sense means a claim right, privilege, power, or immunity, or their correlative concepts. In turn, a legal right is necessary, but not </w:t>
      </w:r>
      <w:proofErr w:type="gramStart"/>
      <w:r w:rsidRPr="00EA38BE">
        <w:rPr>
          <w:rFonts w:ascii="Times New Roman" w:hAnsi="Times New Roman"/>
        </w:rPr>
        <w:t>sufficient</w:t>
      </w:r>
      <w:proofErr w:type="gramEnd"/>
      <w:r w:rsidRPr="00EA38BE">
        <w:rPr>
          <w:rFonts w:ascii="Times New Roman" w:hAnsi="Times New Roman"/>
        </w:rPr>
        <w:t xml:space="preserve">, before any party can have "standing" to bring a claim, in the sense of a liberty of access to the court. A person will usually only have standing if they have a private right or a special interest in enforcing a public right. And, in turn, if a person has standing – in relation to either a public or private right – to have enforced or recognised a legal right against another in relation to particular subject matter, then there will be a "matter" within ss 75 and 76 of the </w:t>
      </w:r>
      <w:r w:rsidRPr="00EA38BE">
        <w:rPr>
          <w:rFonts w:ascii="Times New Roman" w:hAnsi="Times New Roman"/>
          <w:i/>
          <w:iCs/>
        </w:rPr>
        <w:t>Constitution</w:t>
      </w:r>
      <w:r w:rsidRPr="00EA38BE">
        <w:rPr>
          <w:rFonts w:ascii="Times New Roman" w:hAnsi="Times New Roman"/>
        </w:rPr>
        <w:t xml:space="preserve"> because there will be "some immediate right, duty or liability to be established by the determination of the Court"</w:t>
      </w:r>
      <w:r w:rsidRPr="00EA38BE">
        <w:rPr>
          <w:rStyle w:val="FootnoteReference"/>
          <w:rFonts w:ascii="Times New Roman" w:hAnsi="Times New Roman"/>
          <w:sz w:val="24"/>
        </w:rPr>
        <w:footnoteReference w:id="137"/>
      </w:r>
      <w:r w:rsidRPr="00EA38BE">
        <w:rPr>
          <w:rFonts w:ascii="Times New Roman" w:hAnsi="Times New Roman"/>
        </w:rPr>
        <w:t>. For that reason, standing to enforce private and public rights is "subsumed within the constitutional requirement of a 'matter'"</w:t>
      </w:r>
      <w:r w:rsidRPr="00EA38BE">
        <w:rPr>
          <w:rStyle w:val="FootnoteReference"/>
          <w:rFonts w:ascii="Times New Roman" w:hAnsi="Times New Roman"/>
          <w:sz w:val="24"/>
        </w:rPr>
        <w:footnoteReference w:id="138"/>
      </w:r>
      <w:r w:rsidRPr="00EA38BE">
        <w:rPr>
          <w:rFonts w:ascii="Times New Roman" w:hAnsi="Times New Roman"/>
        </w:rPr>
        <w:t xml:space="preserve">. </w:t>
      </w:r>
    </w:p>
    <w:p w14:paraId="00CFD75B"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starting point for any analysis in these appeals therefore requires, first, identification of the nature of the rights involved and, secondly, consideration of whether the first respondents have standing to seek declarations in relation to those rights. If they do not have standing, then there is no matter.</w:t>
      </w:r>
    </w:p>
    <w:p w14:paraId="40856BB1"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We gratefully adopt the facts set out in the reasons of Kiefel CJ, Keane and Gordon JJ. As those reasons also demonstrate, there are plainly rights involved in this case between the Commonwealth and the counterparties to the leases described below ("the Leases"). The relevant clauses in the lease between the </w:t>
      </w:r>
      <w:r w:rsidRPr="00EA38BE">
        <w:rPr>
          <w:rFonts w:ascii="Times New Roman" w:hAnsi="Times New Roman"/>
        </w:rPr>
        <w:lastRenderedPageBreak/>
        <w:t>Commonwealth and Hobart International Airport Pty Ltd ("HIAPL") concerning the land comprising Hobart Airport are the same as the clauses found in the lease between the Commonwealth and Australia Pacific Airports (Launceston) Pty Ltd ("APAL") concerning the land comprising Launceston Airport (together, "the Airport Sites"). The issues raised by the Clarence City Council in relation to the HIAPL lease are the same as the issues raised by the Northern Midlands Council in relation to the APAL lease. Therefore, resolution of the issues in the HIAPL appeal will also resolve the issues in the APAL appeal.</w:t>
      </w:r>
    </w:p>
    <w:p w14:paraId="5981308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parties with rights arising under the Leases, the Commonwealth and each of HIAPL and APAL ("the Lessees"), are not in dispute about the existence or content of their rights. Rather, third parties, the Clarence City Council and the Northern Midlands Council ("the Councils"), seek declarations concerning rights in the Leases, which have been treated throughout this proceeding as, in effect, contractual rights</w:t>
      </w:r>
      <w:r w:rsidRPr="00EA38BE">
        <w:rPr>
          <w:rStyle w:val="FootnoteReference"/>
          <w:rFonts w:ascii="Times New Roman" w:hAnsi="Times New Roman"/>
          <w:sz w:val="24"/>
        </w:rPr>
        <w:footnoteReference w:id="139"/>
      </w:r>
      <w:r w:rsidRPr="00EA38BE">
        <w:rPr>
          <w:rFonts w:ascii="Times New Roman" w:hAnsi="Times New Roman"/>
        </w:rPr>
        <w:t>. Some of the submissions in support of the Councils' standing to seek declarations sought to abolish the distinction between standing in respect of public rights and private rights with the effect that, as with public rights, a person should be able to obtain a remedy in relation to the private rights of another if the person has a commercial interest in doing so. The distinction between public and private rights is principled, well established, and of fundamental importance. It is one that has been drawn consistently for more than 120 years and that has been repeated almost ad nauseam in this Court. The distinction should not be abolished.</w:t>
      </w:r>
    </w:p>
    <w:p w14:paraId="4C2F9E6F"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For the reasons below, we agree with Kiefel CJ, Keane and Gordon JJ that the rights between the parties to the Leases are purely private rights. We differ from Kiefel CJ, Keane and Gordon JJ only in the respect that we do not consider that the Councils have standing in these proceedings to seek declarations concerning the private contractual rights of the Commonwealth and the Lessees. That is not a difference of principle but only of application, concerning exceptional circumstances. Whatever might be any limited scope for exceptional circumstances in which one party could obtain a declaration as to the private rights of others, the circumstances of these appeals are not exceptional. And since the rights involved are not public rights, it does not avail the Councils to point to the special interest they have in relation to those rights beyond the interest of an ordinary member of the public.</w:t>
      </w:r>
    </w:p>
    <w:p w14:paraId="59DDD7AC"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lastRenderedPageBreak/>
        <w:t>The fundamental divide between public and private rights</w:t>
      </w:r>
    </w:p>
    <w:p w14:paraId="2EA7C90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power to make a declaration in the circumstances of these appeals is expressed, in terms that have been common since the </w:t>
      </w:r>
      <w:r w:rsidRPr="00EA38BE">
        <w:rPr>
          <w:rFonts w:ascii="Times New Roman" w:hAnsi="Times New Roman"/>
          <w:i/>
        </w:rPr>
        <w:t xml:space="preserve">Court of </w:t>
      </w:r>
      <w:r w:rsidRPr="00EA38BE">
        <w:rPr>
          <w:rFonts w:ascii="Times New Roman" w:hAnsi="Times New Roman"/>
          <w:i/>
          <w:iCs/>
        </w:rPr>
        <w:t>Chancery Procedure Act 1852</w:t>
      </w:r>
      <w:r w:rsidRPr="00EA38BE">
        <w:rPr>
          <w:rStyle w:val="FootnoteReference"/>
          <w:rFonts w:ascii="Times New Roman" w:hAnsi="Times New Roman"/>
          <w:sz w:val="24"/>
        </w:rPr>
        <w:footnoteReference w:id="140"/>
      </w:r>
      <w:r w:rsidRPr="00EA38BE">
        <w:rPr>
          <w:rFonts w:ascii="Times New Roman" w:hAnsi="Times New Roman"/>
          <w:iCs/>
        </w:rPr>
        <w:t>,</w:t>
      </w:r>
      <w:r w:rsidRPr="00EA38BE">
        <w:rPr>
          <w:rFonts w:ascii="Times New Roman" w:hAnsi="Times New Roman"/>
        </w:rPr>
        <w:t xml:space="preserve"> as a power to "make binding declarations of right, whether or not any consequential relief is or could be claimed"</w:t>
      </w:r>
      <w:r w:rsidRPr="00EA38BE">
        <w:rPr>
          <w:rStyle w:val="FootnoteReference"/>
          <w:rFonts w:ascii="Times New Roman" w:hAnsi="Times New Roman"/>
          <w:sz w:val="24"/>
        </w:rPr>
        <w:footnoteReference w:id="141"/>
      </w:r>
      <w:r w:rsidRPr="00EA38BE">
        <w:rPr>
          <w:rFonts w:ascii="Times New Roman" w:hAnsi="Times New Roman"/>
        </w:rPr>
        <w:t>. There is, however, a "fundamental"</w:t>
      </w:r>
      <w:r w:rsidRPr="00EA38BE">
        <w:rPr>
          <w:rStyle w:val="FootnoteReference"/>
          <w:rFonts w:ascii="Times New Roman" w:hAnsi="Times New Roman"/>
          <w:sz w:val="24"/>
        </w:rPr>
        <w:footnoteReference w:id="142"/>
      </w:r>
      <w:r w:rsidRPr="00EA38BE">
        <w:rPr>
          <w:rFonts w:ascii="Times New Roman" w:hAnsi="Times New Roman"/>
        </w:rPr>
        <w:t xml:space="preserve"> distinction, affirmed many times in this Court in this area of law, between public rights and private rights. </w:t>
      </w:r>
    </w:p>
    <w:p w14:paraId="75D83928"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As to private rights, these are the rights that are distinctly owed to a </w:t>
      </w:r>
      <w:proofErr w:type="gramStart"/>
      <w:r w:rsidRPr="00EA38BE">
        <w:rPr>
          <w:rFonts w:ascii="Times New Roman" w:hAnsi="Times New Roman"/>
        </w:rPr>
        <w:t>particular legal</w:t>
      </w:r>
      <w:proofErr w:type="gramEnd"/>
      <w:r w:rsidRPr="00EA38BE">
        <w:rPr>
          <w:rFonts w:ascii="Times New Roman" w:hAnsi="Times New Roman"/>
        </w:rPr>
        <w:t xml:space="preserve"> person or persons, separately from the public at large. The concept of "right" is used loosely and broadly. As Professor </w:t>
      </w:r>
      <w:proofErr w:type="spellStart"/>
      <w:r w:rsidRPr="00EA38BE">
        <w:rPr>
          <w:rFonts w:ascii="Times New Roman" w:hAnsi="Times New Roman"/>
        </w:rPr>
        <w:t>Borchard</w:t>
      </w:r>
      <w:proofErr w:type="spellEnd"/>
      <w:r w:rsidRPr="00EA38BE">
        <w:rPr>
          <w:rFonts w:ascii="Times New Roman" w:hAnsi="Times New Roman"/>
        </w:rPr>
        <w:t xml:space="preserve"> observed of the expression "declarations of right", it is one that "must be found to cover [a claim] right, privilege, power, immunity, duty, no</w:t>
      </w:r>
      <w:r w:rsidRPr="00EA38BE">
        <w:rPr>
          <w:rFonts w:ascii="Times New Roman" w:hAnsi="Times New Roman"/>
        </w:rPr>
        <w:noBreakHyphen/>
        <w:t>right, liability, disability"</w:t>
      </w:r>
      <w:r w:rsidRPr="00EA38BE">
        <w:rPr>
          <w:rStyle w:val="FootnoteReference"/>
          <w:rFonts w:ascii="Times New Roman" w:hAnsi="Times New Roman"/>
          <w:sz w:val="24"/>
        </w:rPr>
        <w:footnoteReference w:id="143"/>
      </w:r>
      <w:r w:rsidRPr="00EA38BE">
        <w:rPr>
          <w:rFonts w:ascii="Times New Roman" w:hAnsi="Times New Roman"/>
        </w:rPr>
        <w:t>. It also extends to circumstances where it is asserted that those "legal relations have been thrown into doubt ... by the unfounded claim of a defendant"</w:t>
      </w:r>
      <w:r w:rsidRPr="00EA38BE">
        <w:rPr>
          <w:rStyle w:val="FootnoteReference"/>
          <w:rFonts w:ascii="Times New Roman" w:hAnsi="Times New Roman"/>
          <w:sz w:val="24"/>
        </w:rPr>
        <w:footnoteReference w:id="144"/>
      </w:r>
      <w:r w:rsidRPr="00EA38BE">
        <w:rPr>
          <w:rFonts w:ascii="Times New Roman" w:hAnsi="Times New Roman"/>
        </w:rPr>
        <w:t xml:space="preserve">. Examples of private rights include claim rights, powers, or privileges of a private person against others that are recognised by the law of contract, torts, or equity. They also include statutory rights that apply to an individual, or individuals, </w:t>
      </w:r>
      <w:proofErr w:type="gramStart"/>
      <w:r w:rsidRPr="00EA38BE">
        <w:rPr>
          <w:rFonts w:ascii="Times New Roman" w:hAnsi="Times New Roman"/>
        </w:rPr>
        <w:t>in particular circumstances</w:t>
      </w:r>
      <w:proofErr w:type="gramEnd"/>
      <w:r w:rsidRPr="00EA38BE">
        <w:rPr>
          <w:rFonts w:ascii="Times New Roman" w:hAnsi="Times New Roman"/>
        </w:rPr>
        <w:t xml:space="preserve"> such as a right to be treated with procedural fairness</w:t>
      </w:r>
      <w:r w:rsidRPr="00EA38BE">
        <w:rPr>
          <w:rStyle w:val="FootnoteReference"/>
          <w:rFonts w:ascii="Times New Roman" w:hAnsi="Times New Roman"/>
          <w:sz w:val="24"/>
        </w:rPr>
        <w:footnoteReference w:id="145"/>
      </w:r>
      <w:r w:rsidRPr="00EA38BE">
        <w:rPr>
          <w:rFonts w:ascii="Times New Roman" w:hAnsi="Times New Roman"/>
        </w:rPr>
        <w:t>.</w:t>
      </w:r>
    </w:p>
    <w:p w14:paraId="03159A0A"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Where private rights are concerned, the general rule is that only a person whose private rights are infringed or threatened has standing to seek legal remedies in relation to those private rights. Those remedies include injunctions and declarations. The general rule has been long established. The liberty of access to the courts – standing – for recognition or enforcement of a person's own legal rights or obligations has been said to be "deeply rooted in constitutional principle"</w:t>
      </w:r>
      <w:r w:rsidRPr="00EA38BE">
        <w:rPr>
          <w:rStyle w:val="FootnoteReference"/>
          <w:rFonts w:ascii="Times New Roman" w:hAnsi="Times New Roman"/>
          <w:sz w:val="24"/>
        </w:rPr>
        <w:footnoteReference w:id="146"/>
      </w:r>
      <w:r w:rsidRPr="00EA38BE">
        <w:rPr>
          <w:rFonts w:ascii="Times New Roman" w:hAnsi="Times New Roman"/>
        </w:rPr>
        <w:t xml:space="preserve">. </w:t>
      </w:r>
      <w:r w:rsidRPr="00EA38BE">
        <w:rPr>
          <w:rFonts w:ascii="Times New Roman" w:hAnsi="Times New Roman"/>
        </w:rPr>
        <w:lastRenderedPageBreak/>
        <w:t>Conversely, a person generally has no standing where the claim concerns another person's private legal rights or obligations</w:t>
      </w:r>
      <w:r w:rsidRPr="00EA38BE">
        <w:rPr>
          <w:rStyle w:val="FootnoteReference"/>
          <w:rFonts w:ascii="Times New Roman" w:hAnsi="Times New Roman"/>
          <w:sz w:val="24"/>
        </w:rPr>
        <w:footnoteReference w:id="147"/>
      </w:r>
      <w:r w:rsidRPr="00EA38BE">
        <w:rPr>
          <w:rFonts w:ascii="Times New Roman" w:hAnsi="Times New Roman"/>
        </w:rPr>
        <w:t xml:space="preserve">. Hence, for more than a century, the general rule has been that a person who is not a party to a contract is unable to obtain an injunction to enforce contractual obligations merely by showing a "material interest" in relation to those obligations, no matter how substantial, commercial, or important that interest may be. To the argument that such an interest is </w:t>
      </w:r>
      <w:proofErr w:type="gramStart"/>
      <w:r w:rsidRPr="00EA38BE">
        <w:rPr>
          <w:rFonts w:ascii="Times New Roman" w:hAnsi="Times New Roman"/>
        </w:rPr>
        <w:t>sufficient</w:t>
      </w:r>
      <w:proofErr w:type="gramEnd"/>
      <w:r w:rsidRPr="00EA38BE">
        <w:rPr>
          <w:rFonts w:ascii="Times New Roman" w:hAnsi="Times New Roman"/>
        </w:rPr>
        <w:t>, the "obvious answer", which "has been applied in many cases", is that a person who is not a party to a contract "can neither sue nor be sued on that contract"</w:t>
      </w:r>
      <w:r w:rsidRPr="00EA38BE">
        <w:rPr>
          <w:rStyle w:val="FootnoteReference"/>
          <w:rFonts w:ascii="Times New Roman" w:hAnsi="Times New Roman"/>
          <w:sz w:val="24"/>
        </w:rPr>
        <w:footnoteReference w:id="148"/>
      </w:r>
      <w:r w:rsidRPr="00EA38BE">
        <w:rPr>
          <w:rFonts w:ascii="Times New Roman" w:hAnsi="Times New Roman"/>
        </w:rPr>
        <w:t>.</w:t>
      </w:r>
    </w:p>
    <w:p w14:paraId="6EC31153"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In contrast with private rights and other rights of action conferred by statute, the enforcement of public rights, owed to the public at large, was usually by the Attorney</w:t>
      </w:r>
      <w:r w:rsidRPr="00EA38BE">
        <w:rPr>
          <w:rFonts w:ascii="Times New Roman" w:hAnsi="Times New Roman"/>
        </w:rPr>
        <w:noBreakHyphen/>
        <w:t>General as the representative of the public, either ex officio or on the relation of a private person</w:t>
      </w:r>
      <w:r w:rsidRPr="00EA38BE">
        <w:rPr>
          <w:rStyle w:val="FootnoteReference"/>
          <w:rFonts w:ascii="Times New Roman" w:hAnsi="Times New Roman"/>
          <w:sz w:val="24"/>
        </w:rPr>
        <w:footnoteReference w:id="149"/>
      </w:r>
      <w:r w:rsidRPr="00EA38BE">
        <w:rPr>
          <w:rFonts w:ascii="Times New Roman" w:hAnsi="Times New Roman"/>
        </w:rPr>
        <w:t>. The relator action existed because the relator "cannot be said to have the ordinary private right to a remedy"</w:t>
      </w:r>
      <w:r w:rsidRPr="00EA38BE">
        <w:rPr>
          <w:rStyle w:val="FootnoteReference"/>
          <w:rFonts w:ascii="Times New Roman" w:hAnsi="Times New Roman"/>
          <w:sz w:val="24"/>
        </w:rPr>
        <w:footnoteReference w:id="150"/>
      </w:r>
      <w:r w:rsidRPr="00EA38BE">
        <w:rPr>
          <w:rFonts w:ascii="Times New Roman" w:hAnsi="Times New Roman"/>
        </w:rPr>
        <w:t>. In the absence of a statutory right of action, a plaintiff will only be able to bring a legal action to enforce a purely public right if the rules of standing permit the plaintiff to enforce that public right. This fundamental distinction between public rights and private rights has been relied upon in many cases in this Court in the development of the rules of standing in relation to public rights, particularly where a plaintiff seeks relief in the form of declarations or injunctions.</w:t>
      </w:r>
    </w:p>
    <w:p w14:paraId="4C7C96FD"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 public right is an expression that describes legal relations involving the public generally rather than any specific person or persons. The best examples are persons who have statutory powers in relation to the public or sections of the public. The general public have rights and liabilities corresponding to the duties owed by those persons in the exercise of the powers, and the extent of the powers. In early decisions of this Court, a restrictive approach was taken to the standing of private persons to seek recognition or enforcement of public rights. In the absence of a statutory power to sue, standing to seek relief in relation to public rights was </w:t>
      </w:r>
      <w:r w:rsidRPr="00EA38BE">
        <w:rPr>
          <w:rFonts w:ascii="Times New Roman" w:hAnsi="Times New Roman"/>
        </w:rPr>
        <w:lastRenderedPageBreak/>
        <w:t>generally limited to the relevant Attorney</w:t>
      </w:r>
      <w:r w:rsidRPr="00EA38BE">
        <w:rPr>
          <w:rFonts w:ascii="Times New Roman" w:hAnsi="Times New Roman"/>
        </w:rPr>
        <w:noBreakHyphen/>
        <w:t>General, including on the relation of a member of the public, since the Attorney</w:t>
      </w:r>
      <w:r w:rsidRPr="00EA38BE">
        <w:rPr>
          <w:rFonts w:ascii="Times New Roman" w:hAnsi="Times New Roman"/>
        </w:rPr>
        <w:noBreakHyphen/>
        <w:t>General was the representative of the relevant public</w:t>
      </w:r>
      <w:r w:rsidRPr="00EA38BE">
        <w:rPr>
          <w:rStyle w:val="FootnoteReference"/>
          <w:rFonts w:ascii="Times New Roman" w:hAnsi="Times New Roman"/>
          <w:sz w:val="24"/>
        </w:rPr>
        <w:footnoteReference w:id="151"/>
      </w:r>
      <w:r w:rsidRPr="00EA38BE">
        <w:rPr>
          <w:rFonts w:ascii="Times New Roman" w:hAnsi="Times New Roman"/>
        </w:rPr>
        <w:t>. As will be seen, although that approach to standing has been liberalised, it has never been suggested that this liberalisation has stripped the Attorney</w:t>
      </w:r>
      <w:r w:rsidRPr="00EA38BE">
        <w:rPr>
          <w:rFonts w:ascii="Times New Roman" w:hAnsi="Times New Roman"/>
        </w:rPr>
        <w:noBreakHyphen/>
        <w:t>General of their power to bring a relator action or that the fundamental distinction in this field between public rights and private rights has been collapsed.</w:t>
      </w:r>
    </w:p>
    <w:p w14:paraId="62B93FCD"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An early example of this Court drawing a distinction between public rights and private rights is </w:t>
      </w:r>
      <w:r w:rsidRPr="00EA38BE">
        <w:rPr>
          <w:rFonts w:ascii="Times New Roman" w:hAnsi="Times New Roman"/>
          <w:i/>
          <w:iCs/>
        </w:rPr>
        <w:t>Anderson v The Commonwealth</w:t>
      </w:r>
      <w:r w:rsidRPr="00EA38BE">
        <w:rPr>
          <w:rStyle w:val="FootnoteReference"/>
          <w:rFonts w:ascii="Times New Roman" w:hAnsi="Times New Roman"/>
          <w:sz w:val="24"/>
        </w:rPr>
        <w:footnoteReference w:id="152"/>
      </w:r>
      <w:r w:rsidRPr="00EA38BE">
        <w:rPr>
          <w:rFonts w:ascii="Times New Roman" w:hAnsi="Times New Roman"/>
          <w:i/>
          <w:iCs/>
        </w:rPr>
        <w:t xml:space="preserve">. </w:t>
      </w:r>
      <w:r w:rsidRPr="00EA38BE">
        <w:rPr>
          <w:rFonts w:ascii="Times New Roman" w:hAnsi="Times New Roman"/>
        </w:rPr>
        <w:t>In that case, the plaintiff, who paid taxes and consumed sugar, sought a declaration as to the invalidity of an agreement between the Commonwealth and the State of Queensland which prohibited the importation of sugar. This Court held that the plaintiff had no private rights since he was not a party to the agreement. And, although the agreement gave rise to public rights enforceable by the relevant Attorney</w:t>
      </w:r>
      <w:r w:rsidRPr="00EA38BE">
        <w:rPr>
          <w:rFonts w:ascii="Times New Roman" w:hAnsi="Times New Roman"/>
        </w:rPr>
        <w:noBreakHyphen/>
        <w:t>General, "[g]</w:t>
      </w:r>
      <w:proofErr w:type="spellStart"/>
      <w:r w:rsidRPr="00EA38BE">
        <w:rPr>
          <w:rFonts w:ascii="Times New Roman" w:hAnsi="Times New Roman"/>
        </w:rPr>
        <w:t>reat</w:t>
      </w:r>
      <w:proofErr w:type="spellEnd"/>
      <w:r w:rsidRPr="00EA38BE">
        <w:rPr>
          <w:rFonts w:ascii="Times New Roman" w:hAnsi="Times New Roman"/>
        </w:rPr>
        <w:t xml:space="preserve"> evils would arise if every member of the Commonwealth could attack the validity of the acts of the Commonwealth whenever [they] thought fit; and it is clear in law that the right of an individual to bring such an action does not exist unless [they] establish[] that [they are] 'more particularly affected than other people'"</w:t>
      </w:r>
      <w:r w:rsidRPr="00EA38BE">
        <w:rPr>
          <w:rStyle w:val="FootnoteReference"/>
          <w:rFonts w:ascii="Times New Roman" w:hAnsi="Times New Roman"/>
          <w:sz w:val="24"/>
        </w:rPr>
        <w:footnoteReference w:id="153"/>
      </w:r>
      <w:r w:rsidRPr="00EA38BE">
        <w:rPr>
          <w:rFonts w:ascii="Times New Roman" w:hAnsi="Times New Roman"/>
        </w:rPr>
        <w:t>.</w:t>
      </w:r>
    </w:p>
    <w:p w14:paraId="77D177C8"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Many cases have reiterated this distinction between, on the one hand, a person having a private right, and therefore standing to bring an action, and, on the other hand, a person seeking to enforce a public right. In the latter case, the general proposition, subject to exceptions where the person is specially or sufficiently affected, is that "a person not affected in [their] private rights may not sue for declaratory relief"</w:t>
      </w:r>
      <w:r w:rsidRPr="00EA38BE">
        <w:rPr>
          <w:rStyle w:val="FootnoteReference"/>
          <w:rFonts w:ascii="Times New Roman" w:hAnsi="Times New Roman"/>
          <w:sz w:val="24"/>
        </w:rPr>
        <w:footnoteReference w:id="154"/>
      </w:r>
      <w:r w:rsidRPr="00EA38BE">
        <w:rPr>
          <w:rFonts w:ascii="Times New Roman" w:hAnsi="Times New Roman"/>
        </w:rPr>
        <w:t>.</w:t>
      </w:r>
    </w:p>
    <w:p w14:paraId="39ED2B78"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Over time, there have been developments in the approach to determining the circumstances in which a person is sufficiently affected </w:t>
      </w:r>
      <w:proofErr w:type="gramStart"/>
      <w:r w:rsidRPr="00EA38BE">
        <w:rPr>
          <w:rFonts w:ascii="Times New Roman" w:hAnsi="Times New Roman"/>
        </w:rPr>
        <w:t>so as to</w:t>
      </w:r>
      <w:proofErr w:type="gramEnd"/>
      <w:r w:rsidRPr="00EA38BE">
        <w:rPr>
          <w:rFonts w:ascii="Times New Roman" w:hAnsi="Times New Roman"/>
        </w:rPr>
        <w:t xml:space="preserve"> have standing </w:t>
      </w:r>
      <w:r w:rsidRPr="00EA38BE">
        <w:rPr>
          <w:rFonts w:ascii="Times New Roman" w:hAnsi="Times New Roman"/>
        </w:rPr>
        <w:lastRenderedPageBreak/>
        <w:t xml:space="preserve">to bring an action to enforce or recognise a public right. On the appeal to the Full Court of this Court in </w:t>
      </w:r>
      <w:r w:rsidRPr="00EA38BE">
        <w:rPr>
          <w:rFonts w:ascii="Times New Roman" w:hAnsi="Times New Roman"/>
          <w:i/>
          <w:iCs/>
        </w:rPr>
        <w:t>Australian Conservation Foundation v The Commonwealth</w:t>
      </w:r>
      <w:r w:rsidRPr="00EA38BE">
        <w:rPr>
          <w:rStyle w:val="FootnoteReference"/>
          <w:rFonts w:ascii="Times New Roman" w:hAnsi="Times New Roman"/>
          <w:sz w:val="24"/>
        </w:rPr>
        <w:footnoteReference w:id="155"/>
      </w:r>
      <w:r w:rsidRPr="00EA38BE">
        <w:rPr>
          <w:rFonts w:ascii="Times New Roman" w:hAnsi="Times New Roman"/>
        </w:rPr>
        <w:t xml:space="preserve">, Gibbs J referred to the approach of Buckley J in </w:t>
      </w:r>
      <w:r w:rsidRPr="00EA38BE">
        <w:rPr>
          <w:rFonts w:ascii="Times New Roman" w:hAnsi="Times New Roman"/>
          <w:i/>
        </w:rPr>
        <w:t>Boyce v Paddington Borough Council</w:t>
      </w:r>
      <w:r w:rsidRPr="00EA38BE">
        <w:rPr>
          <w:rStyle w:val="FootnoteReference"/>
          <w:rFonts w:ascii="Times New Roman" w:hAnsi="Times New Roman"/>
          <w:sz w:val="24"/>
        </w:rPr>
        <w:footnoteReference w:id="156"/>
      </w:r>
      <w:r w:rsidRPr="00EA38BE">
        <w:rPr>
          <w:rFonts w:ascii="Times New Roman" w:hAnsi="Times New Roman"/>
        </w:rPr>
        <w:t xml:space="preserve"> that a plaintiff can sue either where there is an interference with the plaintiff's private rights or "where no private right is interfered with, but the plaintiff, in respect of [a] public right, suffers special damage" – that is, damage peculiar to </w:t>
      </w:r>
      <w:proofErr w:type="spellStart"/>
      <w:r w:rsidRPr="00EA38BE">
        <w:rPr>
          <w:rFonts w:ascii="Times New Roman" w:hAnsi="Times New Roman"/>
        </w:rPr>
        <w:t>themself</w:t>
      </w:r>
      <w:proofErr w:type="spellEnd"/>
      <w:r w:rsidRPr="00EA38BE">
        <w:rPr>
          <w:rFonts w:ascii="Times New Roman" w:hAnsi="Times New Roman"/>
        </w:rPr>
        <w:t xml:space="preserve"> – "from the interference with the public right". Gibbs J, with whom Mason J agreed</w:t>
      </w:r>
      <w:r w:rsidRPr="00EA38BE">
        <w:rPr>
          <w:rStyle w:val="FootnoteReference"/>
          <w:rFonts w:ascii="Times New Roman" w:hAnsi="Times New Roman"/>
          <w:sz w:val="24"/>
        </w:rPr>
        <w:footnoteReference w:id="157"/>
      </w:r>
      <w:r w:rsidRPr="00EA38BE">
        <w:rPr>
          <w:rFonts w:ascii="Times New Roman" w:hAnsi="Times New Roman"/>
        </w:rPr>
        <w:t>, described the language of Buckley J as "not altogether satisfactory" and liberalised the test for when a plaintiff can enforce a public right from one of "special damage", which connoted a requirement for damage, to one of having a special interest in the subject matter of the action</w:t>
      </w:r>
      <w:r w:rsidRPr="00EA38BE">
        <w:rPr>
          <w:rStyle w:val="FootnoteReference"/>
          <w:rFonts w:ascii="Times New Roman" w:hAnsi="Times New Roman"/>
          <w:sz w:val="24"/>
        </w:rPr>
        <w:footnoteReference w:id="158"/>
      </w:r>
      <w:r w:rsidRPr="00EA38BE">
        <w:rPr>
          <w:rFonts w:ascii="Times New Roman" w:hAnsi="Times New Roman"/>
        </w:rPr>
        <w:t>. Nevertheless, the reasoning of each member of the Court, except Murphy J, emphasised the distinction between public rights and private rights</w:t>
      </w:r>
      <w:r w:rsidRPr="00EA38BE">
        <w:rPr>
          <w:rStyle w:val="FootnoteReference"/>
          <w:rFonts w:ascii="Times New Roman" w:hAnsi="Times New Roman"/>
          <w:sz w:val="24"/>
        </w:rPr>
        <w:footnoteReference w:id="159"/>
      </w:r>
      <w:r w:rsidRPr="00EA38BE">
        <w:rPr>
          <w:rFonts w:ascii="Times New Roman" w:hAnsi="Times New Roman"/>
        </w:rPr>
        <w:t>.</w:t>
      </w:r>
    </w:p>
    <w:p w14:paraId="5AA95F2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w:t>
      </w:r>
      <w:r w:rsidRPr="00EA38BE">
        <w:rPr>
          <w:rFonts w:ascii="Times New Roman" w:hAnsi="Times New Roman"/>
          <w:i/>
          <w:iCs/>
        </w:rPr>
        <w:t xml:space="preserve">Onus v Alcoa </w:t>
      </w:r>
      <w:r w:rsidRPr="00EA38BE">
        <w:rPr>
          <w:rFonts w:ascii="Times New Roman" w:hAnsi="Times New Roman"/>
          <w:i/>
        </w:rPr>
        <w:t>of Australia Ltd</w:t>
      </w:r>
      <w:r w:rsidRPr="00EA38BE">
        <w:rPr>
          <w:rStyle w:val="FootnoteReference"/>
          <w:rFonts w:ascii="Times New Roman" w:hAnsi="Times New Roman"/>
          <w:sz w:val="24"/>
        </w:rPr>
        <w:footnoteReference w:id="160"/>
      </w:r>
      <w:r w:rsidRPr="00EA38BE">
        <w:rPr>
          <w:rFonts w:ascii="Times New Roman" w:hAnsi="Times New Roman"/>
        </w:rPr>
        <w:t>,</w:t>
      </w:r>
      <w:r w:rsidRPr="00EA38BE">
        <w:rPr>
          <w:rFonts w:ascii="Times New Roman" w:hAnsi="Times New Roman"/>
          <w:i/>
          <w:iCs/>
        </w:rPr>
        <w:t xml:space="preserve"> </w:t>
      </w:r>
      <w:r w:rsidRPr="00EA38BE">
        <w:rPr>
          <w:rFonts w:ascii="Times New Roman" w:hAnsi="Times New Roman"/>
        </w:rPr>
        <w:t xml:space="preserve">the plaintiffs were Aboriginal people who sought to restrain Alcoa of Australia Ltd from carrying out construction works that were said to interfere with Aboriginal relics in contravention of s 21 of the </w:t>
      </w:r>
      <w:r w:rsidRPr="00EA38BE">
        <w:rPr>
          <w:rFonts w:ascii="Times New Roman" w:hAnsi="Times New Roman"/>
          <w:i/>
          <w:iCs/>
        </w:rPr>
        <w:t>Archaeological and Aboriginal Relics Preservation Act 1972</w:t>
      </w:r>
      <w:r w:rsidRPr="00EA38BE">
        <w:rPr>
          <w:rFonts w:ascii="Times New Roman" w:hAnsi="Times New Roman"/>
          <w:iCs/>
        </w:rPr>
        <w:t> </w:t>
      </w:r>
      <w:r w:rsidRPr="00EA38BE">
        <w:rPr>
          <w:rFonts w:ascii="Times New Roman" w:hAnsi="Times New Roman"/>
        </w:rPr>
        <w:t xml:space="preserve">(Vic). The primary judge held that the plaintiffs had no standing </w:t>
      </w:r>
      <w:proofErr w:type="gramStart"/>
      <w:r w:rsidRPr="00EA38BE">
        <w:rPr>
          <w:rFonts w:ascii="Times New Roman" w:hAnsi="Times New Roman"/>
        </w:rPr>
        <w:t>on the basis of</w:t>
      </w:r>
      <w:proofErr w:type="gramEnd"/>
      <w:r w:rsidRPr="00EA38BE">
        <w:rPr>
          <w:rFonts w:ascii="Times New Roman" w:hAnsi="Times New Roman"/>
        </w:rPr>
        <w:t xml:space="preserve"> either private rights or an interest to enforce the Act. An appeal to the Full Court of the Supreme Court of Victoria was dismissed. Every member of this Court held that the Act conferred no private rights upon the plaintiffs</w:t>
      </w:r>
      <w:r w:rsidRPr="00EA38BE">
        <w:rPr>
          <w:rStyle w:val="FootnoteReference"/>
          <w:rFonts w:ascii="Times New Roman" w:hAnsi="Times New Roman"/>
          <w:sz w:val="24"/>
        </w:rPr>
        <w:footnoteReference w:id="161"/>
      </w:r>
      <w:r w:rsidRPr="00EA38BE">
        <w:rPr>
          <w:rFonts w:ascii="Times New Roman" w:hAnsi="Times New Roman"/>
        </w:rPr>
        <w:t>. Therefore, as Brennan J explained, the plaintiffs were "constrained to establish standing by bringing themselves within the exception to the rule that a private citizen cannot bring proceedings to prevent public wrongs"</w:t>
      </w:r>
      <w:r w:rsidRPr="00EA38BE">
        <w:rPr>
          <w:rStyle w:val="FootnoteReference"/>
          <w:rFonts w:ascii="Times New Roman" w:hAnsi="Times New Roman"/>
          <w:sz w:val="24"/>
        </w:rPr>
        <w:footnoteReference w:id="162"/>
      </w:r>
      <w:r w:rsidRPr="00EA38BE">
        <w:rPr>
          <w:rFonts w:ascii="Times New Roman" w:hAnsi="Times New Roman"/>
        </w:rPr>
        <w:t xml:space="preserve">. Every member of this Court allowed the appeal, accepting the appellants' alternative submission that the appellants had standing to "prevent the </w:t>
      </w:r>
      <w:r w:rsidRPr="00EA38BE">
        <w:rPr>
          <w:rFonts w:ascii="Times New Roman" w:hAnsi="Times New Roman"/>
        </w:rPr>
        <w:lastRenderedPageBreak/>
        <w:t>violation of a public right"</w:t>
      </w:r>
      <w:r w:rsidRPr="00EA38BE">
        <w:rPr>
          <w:rStyle w:val="FootnoteReference"/>
          <w:rFonts w:ascii="Times New Roman" w:hAnsi="Times New Roman"/>
          <w:sz w:val="24"/>
        </w:rPr>
        <w:footnoteReference w:id="163"/>
      </w:r>
      <w:r w:rsidRPr="00EA38BE">
        <w:rPr>
          <w:rFonts w:ascii="Times New Roman" w:hAnsi="Times New Roman"/>
        </w:rPr>
        <w:t xml:space="preserve"> where their cultural and historical interest was, or might be</w:t>
      </w:r>
      <w:r w:rsidRPr="00EA38BE">
        <w:rPr>
          <w:rStyle w:val="FootnoteReference"/>
          <w:rFonts w:ascii="Times New Roman" w:hAnsi="Times New Roman"/>
          <w:sz w:val="24"/>
        </w:rPr>
        <w:footnoteReference w:id="164"/>
      </w:r>
      <w:r w:rsidRPr="00EA38BE">
        <w:rPr>
          <w:rFonts w:ascii="Times New Roman" w:hAnsi="Times New Roman"/>
        </w:rPr>
        <w:t xml:space="preserve">, a special interest </w:t>
      </w:r>
      <w:proofErr w:type="gramStart"/>
      <w:r w:rsidRPr="00EA38BE">
        <w:rPr>
          <w:rFonts w:ascii="Times New Roman" w:hAnsi="Times New Roman"/>
        </w:rPr>
        <w:t>sufficient</w:t>
      </w:r>
      <w:proofErr w:type="gramEnd"/>
      <w:r w:rsidRPr="00EA38BE">
        <w:rPr>
          <w:rFonts w:ascii="Times New Roman" w:hAnsi="Times New Roman"/>
        </w:rPr>
        <w:t xml:space="preserve"> to support standing</w:t>
      </w:r>
      <w:r w:rsidRPr="00EA38BE">
        <w:rPr>
          <w:rStyle w:val="FootnoteReference"/>
          <w:rFonts w:ascii="Times New Roman" w:hAnsi="Times New Roman"/>
          <w:sz w:val="24"/>
        </w:rPr>
        <w:footnoteReference w:id="165"/>
      </w:r>
      <w:r w:rsidRPr="00EA38BE">
        <w:rPr>
          <w:rFonts w:ascii="Times New Roman" w:hAnsi="Times New Roman"/>
        </w:rPr>
        <w:t>.</w:t>
      </w:r>
    </w:p>
    <w:p w14:paraId="2EB43CBA"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same principle was applied in the unanimous joint judgment of this Court in </w:t>
      </w:r>
      <w:r w:rsidRPr="00EA38BE">
        <w:rPr>
          <w:rFonts w:ascii="Times New Roman" w:hAnsi="Times New Roman"/>
          <w:i/>
          <w:iCs/>
        </w:rPr>
        <w:t xml:space="preserve">Shop Distributive and Allied Employees Association v Minister for Industrial Affairs </w:t>
      </w:r>
      <w:r w:rsidRPr="00EA38BE">
        <w:rPr>
          <w:rFonts w:ascii="Times New Roman" w:hAnsi="Times New Roman"/>
          <w:i/>
        </w:rPr>
        <w:t>(SA)</w:t>
      </w:r>
      <w:r w:rsidRPr="00EA38BE">
        <w:rPr>
          <w:rStyle w:val="FootnoteReference"/>
          <w:rFonts w:ascii="Times New Roman" w:hAnsi="Times New Roman"/>
          <w:sz w:val="24"/>
        </w:rPr>
        <w:footnoteReference w:id="166"/>
      </w:r>
      <w:r w:rsidRPr="00EA38BE">
        <w:rPr>
          <w:rFonts w:ascii="Times New Roman" w:hAnsi="Times New Roman"/>
        </w:rPr>
        <w:t>.</w:t>
      </w:r>
      <w:r w:rsidRPr="00EA38BE">
        <w:rPr>
          <w:rFonts w:ascii="Times New Roman" w:hAnsi="Times New Roman"/>
          <w:i/>
          <w:iCs/>
        </w:rPr>
        <w:t xml:space="preserve"> </w:t>
      </w:r>
      <w:r w:rsidRPr="00EA38BE">
        <w:rPr>
          <w:rFonts w:ascii="Times New Roman" w:hAnsi="Times New Roman"/>
        </w:rPr>
        <w:t xml:space="preserve">One question for this Court was whether a union with members who were shop assistants had standing to seek an injunction and a declaration as to the invalidity of exemption certificates that were proposed to be issued by the respondent Minister under the </w:t>
      </w:r>
      <w:r w:rsidRPr="00EA38BE">
        <w:rPr>
          <w:rFonts w:ascii="Times New Roman" w:hAnsi="Times New Roman"/>
          <w:i/>
          <w:iCs/>
        </w:rPr>
        <w:t>Shop Trading Hours Act 1977</w:t>
      </w:r>
      <w:r w:rsidRPr="00EA38BE">
        <w:rPr>
          <w:rFonts w:ascii="Times New Roman" w:hAnsi="Times New Roman"/>
          <w:iCs/>
        </w:rPr>
        <w:t> </w:t>
      </w:r>
      <w:r w:rsidRPr="00EA38BE">
        <w:rPr>
          <w:rFonts w:ascii="Times New Roman" w:hAnsi="Times New Roman"/>
        </w:rPr>
        <w:t xml:space="preserve">(SA). The joint judgment approached the question of standing in the orthodox way by first considering separately whether the rights to be enforced were private or public rights. The Court held that the </w:t>
      </w:r>
      <w:r w:rsidRPr="00EA38BE">
        <w:rPr>
          <w:rFonts w:ascii="Times New Roman" w:hAnsi="Times New Roman"/>
          <w:i/>
          <w:iCs/>
        </w:rPr>
        <w:t xml:space="preserve">Shop Trading Hours Act </w:t>
      </w:r>
      <w:r w:rsidRPr="00EA38BE">
        <w:rPr>
          <w:rFonts w:ascii="Times New Roman" w:hAnsi="Times New Roman"/>
        </w:rPr>
        <w:t>conferred no private rights but that the union could bring an action to compel observance of the Act – "to prevent the violation of a public right"</w:t>
      </w:r>
      <w:r w:rsidRPr="00EA38BE">
        <w:rPr>
          <w:rStyle w:val="FootnoteReference"/>
          <w:rFonts w:ascii="Times New Roman" w:hAnsi="Times New Roman"/>
          <w:sz w:val="24"/>
        </w:rPr>
        <w:footnoteReference w:id="167"/>
      </w:r>
      <w:r w:rsidRPr="00EA38BE">
        <w:rPr>
          <w:rFonts w:ascii="Times New Roman" w:hAnsi="Times New Roman"/>
        </w:rPr>
        <w:t xml:space="preserve"> – because the shop assistants, and therefore the union, had a "special interest in the subject matter of the litigation"</w:t>
      </w:r>
      <w:r w:rsidRPr="00EA38BE">
        <w:rPr>
          <w:rStyle w:val="FootnoteReference"/>
          <w:rFonts w:ascii="Times New Roman" w:hAnsi="Times New Roman"/>
          <w:sz w:val="24"/>
        </w:rPr>
        <w:footnoteReference w:id="168"/>
      </w:r>
      <w:r w:rsidRPr="00EA38BE">
        <w:rPr>
          <w:rFonts w:ascii="Times New Roman" w:hAnsi="Times New Roman"/>
        </w:rPr>
        <w:t xml:space="preserve">. The Court then applied the approach of Gibbs CJ in </w:t>
      </w:r>
      <w:r w:rsidRPr="00EA38BE">
        <w:rPr>
          <w:rFonts w:ascii="Times New Roman" w:hAnsi="Times New Roman"/>
          <w:i/>
          <w:iCs/>
        </w:rPr>
        <w:t>Onus v Alcoa</w:t>
      </w:r>
      <w:r w:rsidRPr="00EA38BE">
        <w:rPr>
          <w:rStyle w:val="FootnoteReference"/>
          <w:rFonts w:ascii="Times New Roman" w:hAnsi="Times New Roman"/>
          <w:sz w:val="24"/>
        </w:rPr>
        <w:footnoteReference w:id="169"/>
      </w:r>
      <w:r w:rsidRPr="00EA38BE">
        <w:rPr>
          <w:rFonts w:ascii="Times New Roman" w:hAnsi="Times New Roman"/>
        </w:rPr>
        <w:t xml:space="preserve"> requiring a special interest in the subject matter of the litigation in order to enforce a public right.</w:t>
      </w:r>
    </w:p>
    <w:p w14:paraId="538A721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w:t>
      </w:r>
      <w:r w:rsidRPr="00EA38BE">
        <w:rPr>
          <w:rFonts w:ascii="Times New Roman" w:hAnsi="Times New Roman"/>
          <w:i/>
          <w:iCs/>
        </w:rPr>
        <w:t>Bateman's Bay Local Aboriginal Land Council v Aboriginal Community Benefit Fund Pty Ltd</w:t>
      </w:r>
      <w:r w:rsidRPr="00EA38BE">
        <w:rPr>
          <w:rStyle w:val="FootnoteReference"/>
          <w:rFonts w:ascii="Times New Roman" w:hAnsi="Times New Roman"/>
          <w:sz w:val="24"/>
        </w:rPr>
        <w:footnoteReference w:id="170"/>
      </w:r>
      <w:r w:rsidRPr="00EA38BE">
        <w:rPr>
          <w:rFonts w:ascii="Times New Roman" w:hAnsi="Times New Roman"/>
        </w:rPr>
        <w:t>,</w:t>
      </w:r>
      <w:r w:rsidRPr="00EA38BE">
        <w:rPr>
          <w:rFonts w:ascii="Times New Roman" w:hAnsi="Times New Roman"/>
          <w:i/>
          <w:iCs/>
        </w:rPr>
        <w:t xml:space="preserve"> </w:t>
      </w:r>
      <w:r w:rsidRPr="00EA38BE">
        <w:rPr>
          <w:rFonts w:ascii="Times New Roman" w:hAnsi="Times New Roman"/>
        </w:rPr>
        <w:t xml:space="preserve">the question again concerned the enforcement of a public right. The question was whether the respondents, a contributory funeral benefit fund and a contributory life insurance fund catering for members of the Aboriginal community in New South Wales, had standing to seek an injunction to restrain the appellants from setting up a rival business. The injunction was sought on the basis </w:t>
      </w:r>
      <w:r w:rsidRPr="00EA38BE">
        <w:rPr>
          <w:rFonts w:ascii="Times New Roman" w:hAnsi="Times New Roman"/>
        </w:rPr>
        <w:lastRenderedPageBreak/>
        <w:t>that the conduct of such a business was beyond the appellants' statutory powers. This Court held that the potential damage to the business of the respondents was a sufficiently special interest for the respondents to have standing to seek the injunction to enforce the public rights.</w:t>
      </w:r>
    </w:p>
    <w:p w14:paraId="01474030"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a joint judgment, </w:t>
      </w:r>
      <w:proofErr w:type="spellStart"/>
      <w:r w:rsidRPr="00EA38BE">
        <w:rPr>
          <w:rFonts w:ascii="Times New Roman" w:hAnsi="Times New Roman"/>
        </w:rPr>
        <w:t>Gaudron</w:t>
      </w:r>
      <w:proofErr w:type="spellEnd"/>
      <w:r w:rsidRPr="00EA38BE">
        <w:rPr>
          <w:rFonts w:ascii="Times New Roman" w:hAnsi="Times New Roman"/>
        </w:rPr>
        <w:t xml:space="preserve">, </w:t>
      </w:r>
      <w:proofErr w:type="spellStart"/>
      <w:r w:rsidRPr="00EA38BE">
        <w:rPr>
          <w:rFonts w:ascii="Times New Roman" w:hAnsi="Times New Roman"/>
        </w:rPr>
        <w:t>Gummow</w:t>
      </w:r>
      <w:proofErr w:type="spellEnd"/>
      <w:r w:rsidRPr="00EA38BE">
        <w:rPr>
          <w:rFonts w:ascii="Times New Roman" w:hAnsi="Times New Roman"/>
        </w:rPr>
        <w:t xml:space="preserve"> and Kirby JJ cast doubt upon the restrictive attitude that had been taken in cases from </w:t>
      </w:r>
      <w:proofErr w:type="spellStart"/>
      <w:r w:rsidRPr="00EA38BE">
        <w:rPr>
          <w:rFonts w:ascii="Times New Roman" w:hAnsi="Times New Roman"/>
          <w:i/>
          <w:iCs/>
        </w:rPr>
        <w:t>Gouriet</w:t>
      </w:r>
      <w:proofErr w:type="spellEnd"/>
      <w:r w:rsidRPr="00EA38BE">
        <w:rPr>
          <w:rFonts w:ascii="Times New Roman" w:hAnsi="Times New Roman"/>
          <w:i/>
          <w:iCs/>
        </w:rPr>
        <w:t xml:space="preserve"> v Union of Post Office Workers</w:t>
      </w:r>
      <w:r w:rsidRPr="00EA38BE">
        <w:rPr>
          <w:rStyle w:val="FootnoteReference"/>
          <w:rFonts w:ascii="Times New Roman" w:hAnsi="Times New Roman"/>
          <w:iCs/>
          <w:sz w:val="24"/>
        </w:rPr>
        <w:footnoteReference w:id="171"/>
      </w:r>
      <w:r w:rsidRPr="00EA38BE">
        <w:rPr>
          <w:rFonts w:ascii="Times New Roman" w:hAnsi="Times New Roman"/>
          <w:i/>
          <w:iCs/>
        </w:rPr>
        <w:t xml:space="preserve"> </w:t>
      </w:r>
      <w:r w:rsidRPr="00EA38BE">
        <w:rPr>
          <w:rFonts w:ascii="Times New Roman" w:hAnsi="Times New Roman"/>
        </w:rPr>
        <w:t>onwards as to whether a party's interest was sufficiently special for standing to exist in cases involving public rights. They concluded that the respondents had an "immediate, significant and peculiar" interest in the observance by the appellants of the statutory limitations upon the appellants' powers</w:t>
      </w:r>
      <w:r w:rsidRPr="00EA38BE">
        <w:rPr>
          <w:rStyle w:val="FootnoteReference"/>
          <w:rFonts w:ascii="Times New Roman" w:hAnsi="Times New Roman"/>
          <w:sz w:val="24"/>
        </w:rPr>
        <w:footnoteReference w:id="172"/>
      </w:r>
      <w:r w:rsidRPr="00EA38BE">
        <w:rPr>
          <w:rFonts w:ascii="Times New Roman" w:hAnsi="Times New Roman"/>
        </w:rPr>
        <w:t>. Nothing said by their Honours cast any doubt upon the fundamental distinction between private rights and public rights. To the contrary, their Honours emphasised</w:t>
      </w:r>
      <w:r w:rsidRPr="00EA38BE">
        <w:rPr>
          <w:rStyle w:val="FootnoteReference"/>
          <w:rFonts w:ascii="Times New Roman" w:hAnsi="Times New Roman"/>
          <w:sz w:val="24"/>
        </w:rPr>
        <w:footnoteReference w:id="173"/>
      </w:r>
      <w:r w:rsidRPr="00EA38BE">
        <w:rPr>
          <w:rFonts w:ascii="Times New Roman" w:hAnsi="Times New Roman"/>
        </w:rPr>
        <w:t>:</w:t>
      </w:r>
    </w:p>
    <w:p w14:paraId="25761987" w14:textId="77777777" w:rsidR="00744668" w:rsidRDefault="00744668" w:rsidP="00EA38BE">
      <w:pPr>
        <w:pStyle w:val="LRIndentafterHC"/>
        <w:spacing w:before="0" w:after="260" w:line="280" w:lineRule="exact"/>
        <w:ind w:right="0"/>
        <w:jc w:val="both"/>
        <w:rPr>
          <w:rFonts w:ascii="Times New Roman" w:hAnsi="Times New Roman"/>
        </w:rPr>
      </w:pPr>
      <w:r w:rsidRPr="00EA38BE">
        <w:rPr>
          <w:rFonts w:ascii="Times New Roman" w:hAnsi="Times New Roman"/>
        </w:rPr>
        <w:t>"In private law there is, in general, no separation of standing from the elements in a cause of action. Further, the requirement of a legal right determines the availability of injunctive relief and there is no separate requirement which determines entitlement to approach a court of equity."</w:t>
      </w:r>
    </w:p>
    <w:p w14:paraId="3EBE0A5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In a separate judgment, McHugh J took a more traditional approach to the requirement of a special interest to enforce public rights. But, like the joint judgment, his Honour emphasised the "private rights and public rights dichotomy"</w:t>
      </w:r>
      <w:r w:rsidRPr="00EA38BE">
        <w:rPr>
          <w:rStyle w:val="FootnoteReference"/>
          <w:rFonts w:ascii="Times New Roman" w:hAnsi="Times New Roman"/>
          <w:sz w:val="24"/>
        </w:rPr>
        <w:footnoteReference w:id="174"/>
      </w:r>
      <w:r w:rsidRPr="00EA38BE">
        <w:rPr>
          <w:rFonts w:ascii="Times New Roman" w:hAnsi="Times New Roman"/>
        </w:rPr>
        <w:t>. The language of a "dichotomy" between public rights and private rights must, however, be used carefully. Simply because a public right exists and is perhaps enforceable by a plaintiff against a defendant does not mean that, on the facts before a court, a plaintiff cannot also have a private right. The co</w:t>
      </w:r>
      <w:r w:rsidRPr="00EA38BE">
        <w:rPr>
          <w:rFonts w:ascii="Times New Roman" w:hAnsi="Times New Roman"/>
        </w:rPr>
        <w:noBreakHyphen/>
        <w:t>existence in some cases of a plaintiff's claim for public and private nuisance at common law is an exemplar of that phenomenon.</w:t>
      </w:r>
    </w:p>
    <w:p w14:paraId="1B9F76B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Unsurprisingly, given the conjunction of principle concerning standing to obtain injunctions and declarations, the distinction between public rights and private rights has been repeated constantly in this Court in cases involving </w:t>
      </w:r>
      <w:r w:rsidRPr="00EA38BE">
        <w:rPr>
          <w:rFonts w:ascii="Times New Roman" w:hAnsi="Times New Roman"/>
        </w:rPr>
        <w:lastRenderedPageBreak/>
        <w:t>injunctions</w:t>
      </w:r>
      <w:r w:rsidRPr="00EA38BE">
        <w:rPr>
          <w:rStyle w:val="FootnoteReference"/>
          <w:rFonts w:ascii="Times New Roman" w:hAnsi="Times New Roman"/>
          <w:sz w:val="24"/>
        </w:rPr>
        <w:footnoteReference w:id="175"/>
      </w:r>
      <w:r w:rsidRPr="00EA38BE">
        <w:rPr>
          <w:rFonts w:ascii="Times New Roman" w:hAnsi="Times New Roman"/>
        </w:rPr>
        <w:t xml:space="preserve">. For instance, in </w:t>
      </w:r>
      <w:proofErr w:type="spellStart"/>
      <w:r w:rsidRPr="00EA38BE">
        <w:rPr>
          <w:rFonts w:ascii="Times New Roman" w:hAnsi="Times New Roman"/>
          <w:i/>
          <w:iCs/>
        </w:rPr>
        <w:t>Cardile</w:t>
      </w:r>
      <w:proofErr w:type="spellEnd"/>
      <w:r w:rsidRPr="00EA38BE">
        <w:rPr>
          <w:rFonts w:ascii="Times New Roman" w:hAnsi="Times New Roman"/>
          <w:i/>
          <w:iCs/>
        </w:rPr>
        <w:t xml:space="preserve"> v LED Builders Pty Ltd</w:t>
      </w:r>
      <w:r w:rsidRPr="00EA38BE">
        <w:rPr>
          <w:rStyle w:val="FootnoteReference"/>
          <w:rFonts w:ascii="Times New Roman" w:hAnsi="Times New Roman"/>
          <w:sz w:val="24"/>
        </w:rPr>
        <w:footnoteReference w:id="176"/>
      </w:r>
      <w:r w:rsidRPr="00EA38BE">
        <w:rPr>
          <w:rFonts w:ascii="Times New Roman" w:hAnsi="Times New Roman"/>
        </w:rPr>
        <w:t>, it was said that an injunction is only available "to protect the legal (including statutory) or equitable rights of the plaintiff"; otherwise, the injunction can only be sought in respect of public rights, including for "the administration of a trust for charitable purposes, or the observance of public law at the suit of the Attorney</w:t>
      </w:r>
      <w:r w:rsidRPr="00EA38BE">
        <w:rPr>
          <w:rFonts w:ascii="Times New Roman" w:hAnsi="Times New Roman"/>
        </w:rPr>
        <w:noBreakHyphen/>
        <w:t>General, with or without a relator, or at the suit of a person with a sufficient interest".</w:t>
      </w:r>
    </w:p>
    <w:p w14:paraId="4F9A618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distinction between public rights and private rights is also the very reason that for more than a century courts have considered whether legislation creates private rights to enable a claim for an injunction or damages for breach of statutory duty. A person who has no special interest to enforce public rights created by statute must establish that Parliament intended to create a "private right" in order to bring a claim based on contravention of the statute</w:t>
      </w:r>
      <w:r w:rsidRPr="00EA38BE">
        <w:rPr>
          <w:rStyle w:val="FootnoteReference"/>
          <w:rFonts w:ascii="Times New Roman" w:hAnsi="Times New Roman"/>
          <w:sz w:val="24"/>
        </w:rPr>
        <w:footnoteReference w:id="177"/>
      </w:r>
      <w:r w:rsidRPr="00EA38BE">
        <w:rPr>
          <w:rFonts w:ascii="Times New Roman" w:hAnsi="Times New Roman"/>
        </w:rPr>
        <w:t xml:space="preserve">. That intention must be found as a matter of statutory interpretation, usually by implication. As </w:t>
      </w:r>
      <w:proofErr w:type="spellStart"/>
      <w:r w:rsidRPr="00EA38BE">
        <w:rPr>
          <w:rFonts w:ascii="Times New Roman" w:hAnsi="Times New Roman"/>
        </w:rPr>
        <w:t>Kitto</w:t>
      </w:r>
      <w:proofErr w:type="spellEnd"/>
      <w:r w:rsidRPr="00EA38BE">
        <w:rPr>
          <w:rFonts w:ascii="Times New Roman" w:hAnsi="Times New Roman"/>
        </w:rPr>
        <w:t xml:space="preserve"> J remarked in </w:t>
      </w:r>
      <w:proofErr w:type="spellStart"/>
      <w:r w:rsidRPr="00EA38BE">
        <w:rPr>
          <w:rFonts w:ascii="Times New Roman" w:hAnsi="Times New Roman"/>
          <w:i/>
        </w:rPr>
        <w:t>Sovar</w:t>
      </w:r>
      <w:proofErr w:type="spellEnd"/>
      <w:r w:rsidRPr="00EA38BE">
        <w:rPr>
          <w:rFonts w:ascii="Times New Roman" w:hAnsi="Times New Roman"/>
          <w:i/>
        </w:rPr>
        <w:t xml:space="preserve"> v Henry Lane Pty Ltd</w:t>
      </w:r>
      <w:r w:rsidRPr="00EA38BE">
        <w:rPr>
          <w:rStyle w:val="FootnoteReference"/>
          <w:rFonts w:ascii="Times New Roman" w:hAnsi="Times New Roman"/>
          <w:sz w:val="24"/>
        </w:rPr>
        <w:footnoteReference w:id="178"/>
      </w:r>
      <w:r w:rsidRPr="00EA38BE">
        <w:rPr>
          <w:rFonts w:ascii="Times New Roman" w:hAnsi="Times New Roman"/>
        </w:rPr>
        <w:t>, the intention of Parliament "that such a private right shall exist is not ... conjured up by judges to give effect to their own ideas of policy".</w:t>
      </w:r>
    </w:p>
    <w:p w14:paraId="709CA5CD"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For these reasons, the distinction between public and private rights should not be collapsed. To do so would require rejection of more than a century of established case law. That case law is based upon the fundamental and correct distinction between a duty that is owed to, and a right that is held by, </w:t>
      </w:r>
      <w:proofErr w:type="gramStart"/>
      <w:r w:rsidRPr="00EA38BE">
        <w:rPr>
          <w:rFonts w:ascii="Times New Roman" w:hAnsi="Times New Roman"/>
        </w:rPr>
        <w:t>particular persons</w:t>
      </w:r>
      <w:proofErr w:type="gramEnd"/>
      <w:r w:rsidRPr="00EA38BE">
        <w:rPr>
          <w:rFonts w:ascii="Times New Roman" w:hAnsi="Times New Roman"/>
        </w:rPr>
        <w:t xml:space="preserve">, and a duty that is owed to, and a right that is held by, the public, or a section of the public, at large. The relator action is one example of a doctrine that has developed around this distinction. Rules of standing are another. Some cases </w:t>
      </w:r>
      <w:r w:rsidRPr="00EA38BE">
        <w:rPr>
          <w:rFonts w:ascii="Times New Roman" w:hAnsi="Times New Roman"/>
        </w:rPr>
        <w:lastRenderedPageBreak/>
        <w:t>might involve both public and private rights. Some might be at the boundaries between public and private. But, just as the existence of twilight or shades of grey does not invalidate the distinction between night and day or black and white</w:t>
      </w:r>
      <w:r w:rsidRPr="00EA38BE">
        <w:rPr>
          <w:rStyle w:val="FootnoteReference"/>
          <w:rFonts w:ascii="Times New Roman" w:hAnsi="Times New Roman"/>
          <w:sz w:val="24"/>
        </w:rPr>
        <w:footnoteReference w:id="179"/>
      </w:r>
      <w:r w:rsidRPr="00EA38BE">
        <w:rPr>
          <w:rFonts w:ascii="Times New Roman" w:hAnsi="Times New Roman"/>
        </w:rPr>
        <w:t xml:space="preserve">, these boundary cases cannot invalidate the difference between public and private rights. </w:t>
      </w:r>
    </w:p>
    <w:p w14:paraId="44918BEE"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Interpretation issues concerning cl 26.2(a) of the Leases</w:t>
      </w:r>
    </w:p>
    <w:p w14:paraId="1EB1F70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Councils argued that cl 26.2(a) of the Leases constituted the Commonwealth as a trustee of the benefit of rights contained in cl 26.2(a) for the Councils. That argument turns upon the interpretation of cl 26.2(a). The Councils also argued that, even if the Councils were strangers to the rights in cl 26.2(a), the nature of those rights and the circumstances in which they arose were sufficiently exceptional to permit the Councils to obtain declarations as to the meaning of cl 26.2(a). It is necessary, therefore, to interpret cl 26.2(a) in order to determine whether the Commonwealth is a trustee of any rights for the benefit of the Councils and whether any rights of the Councils under cl 26.2(a) are public rights or private rights, or both.</w:t>
      </w:r>
    </w:p>
    <w:p w14:paraId="2C5E07DB"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Apart from the submissions, addressed later in these reasons, concerning whether cl 26.2(a) created a trust, the parties to these proceedings made few submissions about the proper interpretation of cl 26.2(a). The parties generally assumed that cl 26.2(a) imposed a duty upon the Lessees to make payments in lieu of rates to the Councils in accordance with the formula in cl 26.2(a). This assumption by the parties concerns an issue of interpretation of cl 26.2(a) that is related to those above. It suffices for the purpose of these reasons to explain at the outset that the parties' assumption might not be correct.</w:t>
      </w:r>
    </w:p>
    <w:p w14:paraId="2E602743"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Clause 26.2(a) provides:</w:t>
      </w:r>
    </w:p>
    <w:p w14:paraId="39CF12DA" w14:textId="77777777" w:rsidR="00744668" w:rsidRPr="00EA38BE" w:rsidRDefault="00744668" w:rsidP="00EA38BE">
      <w:pPr>
        <w:pStyle w:val="LeftrightafterHC"/>
        <w:spacing w:before="0" w:after="260" w:line="280" w:lineRule="exact"/>
        <w:ind w:right="0"/>
        <w:jc w:val="both"/>
        <w:rPr>
          <w:rFonts w:ascii="Times New Roman" w:hAnsi="Times New Roman"/>
          <w:b/>
        </w:rPr>
      </w:pPr>
      <w:r w:rsidRPr="00EA38BE">
        <w:rPr>
          <w:rFonts w:ascii="Times New Roman" w:hAnsi="Times New Roman"/>
          <w:b/>
        </w:rPr>
        <w:t>"EX GRATIA PAYMENT IN LIEU OF RATES AND LAND TAX</w:t>
      </w:r>
    </w:p>
    <w:p w14:paraId="5813030B"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(a)</w:t>
      </w:r>
      <w:r w:rsidRPr="00EA38BE">
        <w:rPr>
          <w:rFonts w:ascii="Times New Roman" w:hAnsi="Times New Roman"/>
        </w:rPr>
        <w:tab/>
        <w:t>Where Rates are not payable under sub</w:t>
      </w:r>
      <w:r w:rsidRPr="00EA38BE">
        <w:rPr>
          <w:rFonts w:ascii="Times New Roman" w:hAnsi="Times New Roman"/>
        </w:rPr>
        <w:noBreakHyphen/>
        <w:t>clause 26.1 because the Airport Site is owned by the Commonwealth, the Lessee must promptly pay to the relevant Governmental Authority such amount as may be notified to the Lessee by such Governmental Authority as being equivalent to the amount which would be payable for rates as if such rates were leviable or payable in respect of those parts of the Airport Site:</w:t>
      </w:r>
    </w:p>
    <w:p w14:paraId="6C68B2A2"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w:t>
      </w:r>
      <w:proofErr w:type="spellStart"/>
      <w:r w:rsidRPr="00EA38BE">
        <w:rPr>
          <w:rFonts w:ascii="Times New Roman" w:hAnsi="Times New Roman"/>
        </w:rPr>
        <w:t>i</w:t>
      </w:r>
      <w:proofErr w:type="spellEnd"/>
      <w:r w:rsidRPr="00EA38BE">
        <w:rPr>
          <w:rFonts w:ascii="Times New Roman" w:hAnsi="Times New Roman"/>
        </w:rPr>
        <w:t>)</w:t>
      </w:r>
      <w:r w:rsidRPr="00EA38BE">
        <w:rPr>
          <w:rFonts w:ascii="Times New Roman" w:hAnsi="Times New Roman"/>
        </w:rPr>
        <w:tab/>
        <w:t xml:space="preserve">which </w:t>
      </w:r>
      <w:proofErr w:type="gramStart"/>
      <w:r w:rsidRPr="00EA38BE">
        <w:rPr>
          <w:rFonts w:ascii="Times New Roman" w:hAnsi="Times New Roman"/>
        </w:rPr>
        <w:t>are</w:t>
      </w:r>
      <w:proofErr w:type="gramEnd"/>
      <w:r w:rsidRPr="00EA38BE">
        <w:rPr>
          <w:rFonts w:ascii="Times New Roman" w:hAnsi="Times New Roman"/>
        </w:rPr>
        <w:t xml:space="preserve"> sub</w:t>
      </w:r>
      <w:r w:rsidRPr="00EA38BE">
        <w:rPr>
          <w:rFonts w:ascii="Times New Roman" w:hAnsi="Times New Roman"/>
        </w:rPr>
        <w:noBreakHyphen/>
        <w:t>leased to tenants; or</w:t>
      </w:r>
    </w:p>
    <w:p w14:paraId="0799D170"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lastRenderedPageBreak/>
        <w:t>(ii)</w:t>
      </w:r>
      <w:r w:rsidRPr="00EA38BE">
        <w:rPr>
          <w:rFonts w:ascii="Times New Roman" w:hAnsi="Times New Roman"/>
        </w:rPr>
        <w:tab/>
        <w:t>on which trading or financial operations are undertaken including but not limited to retail outlets and concessions, car parks and valet car parks, golf courses and turf farms, but excluding runways, taxiways, aprons, roads, vacant land, buffer zones and grass verges, and land identified in the airport Master Plan for these purposes,</w:t>
      </w:r>
    </w:p>
    <w:p w14:paraId="33046E69" w14:textId="77777777" w:rsidR="00744668"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ab/>
        <w:t>unless these areas are occupied by the Commonwealth or an authority constituted under Commonwealth law which is excluded from paying rates by Commonwealth policy or law. The Lessee must use all reasonable endeavours to enter into an agreement with the relevant Governmental Authority, body or person to make such payments."</w:t>
      </w:r>
    </w:p>
    <w:p w14:paraId="4C0C78E0"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immediate contractual context of cl 26.2(a) includes cl 26.1, which is in these terms:</w:t>
      </w:r>
    </w:p>
    <w:p w14:paraId="15861533" w14:textId="77777777" w:rsidR="00744668" w:rsidRPr="00EA38BE" w:rsidRDefault="00744668" w:rsidP="00EA38BE">
      <w:pPr>
        <w:pStyle w:val="LeftrightafterHC"/>
        <w:spacing w:before="0" w:after="260" w:line="280" w:lineRule="exact"/>
        <w:ind w:right="0"/>
        <w:jc w:val="both"/>
        <w:rPr>
          <w:rFonts w:ascii="Times New Roman" w:hAnsi="Times New Roman"/>
          <w:b/>
        </w:rPr>
      </w:pPr>
      <w:r w:rsidRPr="00EA38BE">
        <w:rPr>
          <w:rFonts w:ascii="Times New Roman" w:hAnsi="Times New Roman"/>
        </w:rPr>
        <w:t>"</w:t>
      </w:r>
      <w:r w:rsidRPr="00EA38BE">
        <w:rPr>
          <w:rFonts w:ascii="Times New Roman" w:hAnsi="Times New Roman"/>
          <w:b/>
        </w:rPr>
        <w:t>PAYMENT OF RATES AND LAND TAX AND TAXES</w:t>
      </w:r>
    </w:p>
    <w:p w14:paraId="53E8079D" w14:textId="77777777" w:rsidR="00744668" w:rsidRDefault="00744668" w:rsidP="00EA38BE">
      <w:pPr>
        <w:pStyle w:val="leftright"/>
        <w:spacing w:before="0" w:after="260" w:line="280" w:lineRule="exact"/>
        <w:ind w:right="0"/>
        <w:jc w:val="both"/>
        <w:rPr>
          <w:rFonts w:ascii="Times New Roman" w:hAnsi="Times New Roman"/>
        </w:rPr>
      </w:pPr>
      <w:r w:rsidRPr="00EA38BE">
        <w:rPr>
          <w:rFonts w:ascii="Times New Roman" w:hAnsi="Times New Roman"/>
        </w:rPr>
        <w:t>The Lessee must pay, on or before the due date, all Rates, Land Tax and Taxes without contribution from the Lessor."</w:t>
      </w:r>
    </w:p>
    <w:p w14:paraId="0778F3D2"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contractual context also includes cl 26.2(b), which imposes a different obligation to pay amounts in lieu of land tax. It provides:</w:t>
      </w:r>
    </w:p>
    <w:p w14:paraId="462E7457" w14:textId="77777777" w:rsidR="00744668" w:rsidRPr="00EA38BE" w:rsidRDefault="00744668" w:rsidP="00EA38BE">
      <w:pPr>
        <w:pStyle w:val="LRHangingafterHC"/>
        <w:spacing w:before="0" w:after="260" w:line="280" w:lineRule="exact"/>
        <w:ind w:right="0"/>
        <w:jc w:val="both"/>
        <w:rPr>
          <w:rFonts w:ascii="Times New Roman" w:hAnsi="Times New Roman"/>
        </w:rPr>
      </w:pPr>
      <w:r w:rsidRPr="00EA38BE">
        <w:rPr>
          <w:rFonts w:ascii="Times New Roman" w:hAnsi="Times New Roman"/>
        </w:rPr>
        <w:t>"(b)</w:t>
      </w:r>
      <w:r w:rsidRPr="00EA38BE">
        <w:rPr>
          <w:rFonts w:ascii="Times New Roman" w:hAnsi="Times New Roman"/>
        </w:rPr>
        <w:tab/>
        <w:t>Where Land Tax is not payable under sub</w:t>
      </w:r>
      <w:r w:rsidRPr="00EA38BE">
        <w:rPr>
          <w:rFonts w:ascii="Times New Roman" w:hAnsi="Times New Roman"/>
        </w:rPr>
        <w:noBreakHyphen/>
        <w:t>clause 26.1 because the Airport Site is owned by the Commonwealth, payments in lieu of Land Tax must be made by the Lessee in respect of those parts of the Airport Site:</w:t>
      </w:r>
    </w:p>
    <w:p w14:paraId="7F31F828"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w:t>
      </w:r>
      <w:proofErr w:type="spellStart"/>
      <w:r w:rsidRPr="00EA38BE">
        <w:rPr>
          <w:rFonts w:ascii="Times New Roman" w:hAnsi="Times New Roman"/>
        </w:rPr>
        <w:t>i</w:t>
      </w:r>
      <w:proofErr w:type="spellEnd"/>
      <w:r w:rsidRPr="00EA38BE">
        <w:rPr>
          <w:rFonts w:ascii="Times New Roman" w:hAnsi="Times New Roman"/>
        </w:rPr>
        <w:t>)</w:t>
      </w:r>
      <w:r w:rsidRPr="00EA38BE">
        <w:rPr>
          <w:rFonts w:ascii="Times New Roman" w:hAnsi="Times New Roman"/>
        </w:rPr>
        <w:tab/>
        <w:t xml:space="preserve">which </w:t>
      </w:r>
      <w:proofErr w:type="gramStart"/>
      <w:r w:rsidRPr="00EA38BE">
        <w:rPr>
          <w:rFonts w:ascii="Times New Roman" w:hAnsi="Times New Roman"/>
        </w:rPr>
        <w:t>are</w:t>
      </w:r>
      <w:proofErr w:type="gramEnd"/>
      <w:r w:rsidRPr="00EA38BE">
        <w:rPr>
          <w:rFonts w:ascii="Times New Roman" w:hAnsi="Times New Roman"/>
        </w:rPr>
        <w:t xml:space="preserve"> sub</w:t>
      </w:r>
      <w:r w:rsidRPr="00EA38BE">
        <w:rPr>
          <w:rFonts w:ascii="Times New Roman" w:hAnsi="Times New Roman"/>
        </w:rPr>
        <w:noBreakHyphen/>
        <w:t>leased to tenants; or</w:t>
      </w:r>
    </w:p>
    <w:p w14:paraId="3B0A0C78"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(ii)</w:t>
      </w:r>
      <w:r w:rsidRPr="00EA38BE">
        <w:rPr>
          <w:rFonts w:ascii="Times New Roman" w:hAnsi="Times New Roman"/>
        </w:rPr>
        <w:tab/>
        <w:t>on which trading or financial operations are undertaken including, but not limited to, retail outlets and concessions, car parks and valet car parks, golf courses and turf farms, but excluding runways, taxiways, aprons, roads, vacant land, buffer zones and grass verges, and land identified in the airport Master Plan for these purposes,</w:t>
      </w:r>
    </w:p>
    <w:p w14:paraId="0B8D2DD7"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ab/>
        <w:t>unless these areas are occupied by the Commonwealth or an authority constituted under Commonwealth law which is excluded from making payments by Commonwealth policy or law. Unless otherwise directed by the Lessor, the Lessee will make payments promptly in lieu of land tax at the relevant State rate to the Commonwealth addressed as provided for in sub</w:t>
      </w:r>
      <w:r w:rsidRPr="00EA38BE">
        <w:rPr>
          <w:rFonts w:ascii="Times New Roman" w:hAnsi="Times New Roman"/>
        </w:rPr>
        <w:noBreakHyphen/>
        <w:t>clause 24.1.</w:t>
      </w:r>
    </w:p>
    <w:p w14:paraId="42244734" w14:textId="77777777" w:rsidR="00744668"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lastRenderedPageBreak/>
        <w:tab/>
        <w:t xml:space="preserve">These payments in lieu of Land Tax will be levied on a financial year basis. The Lessee must submit an assessment of the payment in lieu of land tax to the Commonwealth on 31 August of the current financial year with this payment due 30 days later. Land value assessment for the purposes of making payments in lieu of land tax </w:t>
      </w:r>
      <w:proofErr w:type="gramStart"/>
      <w:r w:rsidRPr="00EA38BE">
        <w:rPr>
          <w:rFonts w:ascii="Times New Roman" w:hAnsi="Times New Roman"/>
        </w:rPr>
        <w:t>are</w:t>
      </w:r>
      <w:proofErr w:type="gramEnd"/>
      <w:r w:rsidRPr="00EA38BE">
        <w:rPr>
          <w:rFonts w:ascii="Times New Roman" w:hAnsi="Times New Roman"/>
        </w:rPr>
        <w:t xml:space="preserve"> required at least every three years."</w:t>
      </w:r>
    </w:p>
    <w:p w14:paraId="04CC754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Finally, there is cl 26.2(c), which addresses stamp duty, payroll tax and the like. It is similar in effect to cl 26.2(b). It provides:</w:t>
      </w:r>
    </w:p>
    <w:p w14:paraId="32BBE109" w14:textId="77777777" w:rsidR="00744668" w:rsidRDefault="00744668" w:rsidP="00EA38BE">
      <w:pPr>
        <w:pStyle w:val="LRHangingafterHC"/>
        <w:spacing w:before="0" w:after="260" w:line="280" w:lineRule="exact"/>
        <w:ind w:right="0"/>
        <w:jc w:val="both"/>
        <w:rPr>
          <w:rFonts w:ascii="Times New Roman" w:hAnsi="Times New Roman"/>
        </w:rPr>
      </w:pPr>
      <w:r w:rsidRPr="00EA38BE">
        <w:rPr>
          <w:rFonts w:ascii="Times New Roman" w:hAnsi="Times New Roman"/>
        </w:rPr>
        <w:t>"(c)</w:t>
      </w:r>
      <w:r w:rsidRPr="00EA38BE">
        <w:rPr>
          <w:rFonts w:ascii="Times New Roman" w:hAnsi="Times New Roman"/>
        </w:rPr>
        <w:tab/>
        <w:t>Where Taxes such as stamp duty, payroll tax, financial institutions duty and debits tax imposed by a Governmental Authority are not payable by the Lessee because they are Taxes on transactions, instruments or activities on or related to the Airport Site owned by the Commonwealth, the Lessee must pay to the relevant Governmental Authority such amount as is equivalent to the amount which would be payable for such Taxes if such Taxes were leviable or payable."</w:t>
      </w:r>
    </w:p>
    <w:p w14:paraId="6CB4F19B"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It is unnecessary to reach any </w:t>
      </w:r>
      <w:proofErr w:type="gramStart"/>
      <w:r w:rsidRPr="00EA38BE">
        <w:rPr>
          <w:rFonts w:ascii="Times New Roman" w:hAnsi="Times New Roman"/>
        </w:rPr>
        <w:t>final conclusion</w:t>
      </w:r>
      <w:proofErr w:type="gramEnd"/>
      <w:r w:rsidRPr="00EA38BE">
        <w:rPr>
          <w:rFonts w:ascii="Times New Roman" w:hAnsi="Times New Roman"/>
        </w:rPr>
        <w:t xml:space="preserve"> as to the meaning of cl 26.2(a), which may be the subject of full argument on the remittal of these proceedings. It suffices to say, however, that it is arguable that the assumption concerning the meaning of cl 26.2(a) upon which the Councils proceeded in their submissions in this Court is incorrect. That assumption was that, in the absence of any agreement between the Lessees and the Councils, the Lessees were obliged to make payments in lieu of rates to the Councils.</w:t>
      </w:r>
    </w:p>
    <w:p w14:paraId="74A5B141"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An appreciation of why the assumption may be incorrect commences with cl 26.2(b). That subclause is premised on a state of affairs in which land tax is not payable because the "Airport Site[s]", being Hobart Airport and Launceston Airport, are "owned by the Commonwealth". Clause 26.2(b), by its terms, creates a liability to pay to the Commonwealth (and not to the State of Tasmania) payments "in lieu of" land tax on a "financial year basis". Such payments "must be made". The Lessees "must submit an assessment of the payment" to the Commonwealth on 31 August every financial year, with the resulting payment being "due 30 days later". And, at least every three years, a "Land value assessment" must be completed. Clause 26.2(b) does not refer to the need for the parties to enter into any agreement for payments of money in lieu of land tax. Nor does it require any notification by the Commonwealth of the amount of the payments to be made. That is because the terms of cl 26.2(b) create the liability in question.</w:t>
      </w:r>
    </w:p>
    <w:p w14:paraId="138E04D3"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reference in cl 26.2(b)(ii) to those parts of the Airport Sites "on which trading or financial operations are undertaken", and the examples of such operations that follow in the paragraph, use precisely the same language as that </w:t>
      </w:r>
      <w:r w:rsidRPr="00EA38BE">
        <w:rPr>
          <w:rFonts w:ascii="Times New Roman" w:hAnsi="Times New Roman"/>
        </w:rPr>
        <w:lastRenderedPageBreak/>
        <w:t>found in cl 26.2(a)(ii). That language operates as part of the positive criteria to be applied objectively to determine the quantum payable in lieu of land tax. As such, a dispute between the parties about the meaning of that language may conformably be resolved by declaratory orders made by a court. So, for example, a dispute between the Commonwealth and Essendon Airport Pty Ltd concerning a clause in the same terms as cl 26.2(b) was resolved by the grant of declaratory relief</w:t>
      </w:r>
      <w:r w:rsidRPr="00EA38BE">
        <w:rPr>
          <w:rStyle w:val="FootnoteReference"/>
          <w:rFonts w:ascii="Times New Roman" w:hAnsi="Times New Roman"/>
          <w:sz w:val="24"/>
        </w:rPr>
        <w:footnoteReference w:id="180"/>
      </w:r>
      <w:r w:rsidRPr="00EA38BE">
        <w:rPr>
          <w:rFonts w:ascii="Times New Roman" w:hAnsi="Times New Roman"/>
        </w:rPr>
        <w:t>.</w:t>
      </w:r>
    </w:p>
    <w:p w14:paraId="4A5BD005"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Clause 26.2(c) is </w:t>
      </w:r>
      <w:proofErr w:type="gramStart"/>
      <w:r w:rsidRPr="00EA38BE">
        <w:rPr>
          <w:rFonts w:ascii="Times New Roman" w:hAnsi="Times New Roman"/>
        </w:rPr>
        <w:t>similar to</w:t>
      </w:r>
      <w:proofErr w:type="gramEnd"/>
      <w:r w:rsidRPr="00EA38BE">
        <w:rPr>
          <w:rFonts w:ascii="Times New Roman" w:hAnsi="Times New Roman"/>
        </w:rPr>
        <w:t xml:space="preserve"> cl 26.2(b). It concerns the making of payments which are equivalent to the amount that would have been payable by the Lessees, had the Airport Sites not been owned by the Commonwealth, on account of "stamp duty, payroll tax, financial institutions duty and debits tax". Like cl 26.2(b), cl 26.2(c) does not refer to the need for the parties to enter into any further agreements with the Governmental Authorities for payments of money in lieu of these taxes and duties. Nor does it require any notification by those authorities of the amount of the payments to be made. This is because, like cl 26.2(b), cl 26.2(c) creates a positive obligation to make such payments to the relevant Governmental Authority.</w:t>
      </w:r>
    </w:p>
    <w:p w14:paraId="3F48209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Clause 26.2(a) operates in a notably different manner from </w:t>
      </w:r>
      <w:proofErr w:type="spellStart"/>
      <w:r w:rsidRPr="00EA38BE">
        <w:rPr>
          <w:rFonts w:ascii="Times New Roman" w:hAnsi="Times New Roman"/>
        </w:rPr>
        <w:t>cll</w:t>
      </w:r>
      <w:proofErr w:type="spellEnd"/>
      <w:r w:rsidRPr="00EA38BE">
        <w:rPr>
          <w:rFonts w:ascii="Times New Roman" w:hAnsi="Times New Roman"/>
        </w:rPr>
        <w:t> 26.1, 26.2(b), and 26.2(c). Several observations may be made in relation to these differences. First, cl 26.2(a) operates by requiring the Lessees to "use all reasonable endeavours to enter into an agreement" with the Councils. The agreement is not expressed as a matter of the mechanics or formula for payments that are already required. Rather, the agreement is "to make such payments". A contrast with the other three liability</w:t>
      </w:r>
      <w:r w:rsidRPr="00EA38BE">
        <w:rPr>
          <w:rFonts w:ascii="Times New Roman" w:hAnsi="Times New Roman"/>
        </w:rPr>
        <w:noBreakHyphen/>
        <w:t xml:space="preserve">creating clauses might arguably be that the only liability under cl 26.2(a) is created by an agreement, under the power contained in s 134 of the </w:t>
      </w:r>
      <w:r w:rsidRPr="00EA38BE">
        <w:rPr>
          <w:rFonts w:ascii="Times New Roman" w:hAnsi="Times New Roman"/>
          <w:i/>
        </w:rPr>
        <w:t>Local Government Act 1993</w:t>
      </w:r>
      <w:r w:rsidRPr="00EA38BE">
        <w:rPr>
          <w:rFonts w:ascii="Times New Roman" w:hAnsi="Times New Roman"/>
        </w:rPr>
        <w:t> (Tas).</w:t>
      </w:r>
    </w:p>
    <w:p w14:paraId="4D17135A"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Secondly, the heading to cl 26.2 suggests that there may be no obligation to make payments in lieu of rates. The heading describes the "payment in lieu of rates" as "ex gratia" (meaning by favour, or without obligation). In other words, until an agreement is reached, there is no obligation to make the payments.</w:t>
      </w:r>
    </w:p>
    <w:p w14:paraId="094E3D03"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As Gibbs CJ observed in </w:t>
      </w:r>
      <w:r w:rsidRPr="00EA38BE">
        <w:rPr>
          <w:rFonts w:ascii="Times New Roman" w:hAnsi="Times New Roman"/>
          <w:i/>
        </w:rPr>
        <w:t>Hospital Products Ltd v United States Surgical Corporation</w:t>
      </w:r>
      <w:r w:rsidRPr="00EA38BE">
        <w:rPr>
          <w:rStyle w:val="FootnoteReference"/>
          <w:rFonts w:ascii="Times New Roman" w:hAnsi="Times New Roman"/>
          <w:sz w:val="24"/>
        </w:rPr>
        <w:footnoteReference w:id="181"/>
      </w:r>
      <w:r w:rsidRPr="00EA38BE">
        <w:rPr>
          <w:rFonts w:ascii="Times New Roman" w:hAnsi="Times New Roman"/>
        </w:rPr>
        <w:t xml:space="preserve">, an obligation to use "best endeavours" does not require the person "to go beyond the bounds of reason"; the person is required to do all that they "reasonably can in the circumstances to achieve the contractual object, but no more". It follows that the obligation on the Lessees, conformably with their duty to do all that they reasonably can do, may or may not result in the entry into an </w:t>
      </w:r>
      <w:r w:rsidRPr="00EA38BE">
        <w:rPr>
          <w:rFonts w:ascii="Times New Roman" w:hAnsi="Times New Roman"/>
        </w:rPr>
        <w:lastRenderedPageBreak/>
        <w:t>agreement to make payments in lieu of rates to the Councils. Unless and until such an agreement is struck, however, any payments by the Lessees to the Councils are ex gratia, and the Councils have no more than a hope or expectancy of payments.</w:t>
      </w:r>
    </w:p>
    <w:p w14:paraId="1987635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Thirdly, unlike cl 26.2(b) or 26.2(c), the obligation in cl 26.2(a) to pay to the Councils an amount equivalent to rates is conditioned upon "such amount as may be notified to [the Lessees] by [the Councils]". It may be that the notification to which reference is made is properly understood as concerning the amount that is due under any agreement reached. On that approach, because an agreement may never be reached, cl 26.2(a) refers only to the amount which "may be notified" by the Councils. The conditional reference, "may be notified", implicitly acknowledges that an agreement might not be reached. In any event, "may be notified" contrasts with the imperatives of "must" or "will" which </w:t>
      </w:r>
      <w:proofErr w:type="gramStart"/>
      <w:r w:rsidRPr="00EA38BE">
        <w:rPr>
          <w:rFonts w:ascii="Times New Roman" w:hAnsi="Times New Roman"/>
        </w:rPr>
        <w:t>are</w:t>
      </w:r>
      <w:proofErr w:type="gramEnd"/>
      <w:r w:rsidRPr="00EA38BE">
        <w:rPr>
          <w:rFonts w:ascii="Times New Roman" w:hAnsi="Times New Roman"/>
        </w:rPr>
        <w:t xml:space="preserve"> deployed in </w:t>
      </w:r>
      <w:proofErr w:type="spellStart"/>
      <w:r w:rsidRPr="00EA38BE">
        <w:rPr>
          <w:rFonts w:ascii="Times New Roman" w:hAnsi="Times New Roman"/>
        </w:rPr>
        <w:t>cll</w:t>
      </w:r>
      <w:proofErr w:type="spellEnd"/>
      <w:r w:rsidRPr="00EA38BE">
        <w:rPr>
          <w:rFonts w:ascii="Times New Roman" w:hAnsi="Times New Roman"/>
        </w:rPr>
        <w:t> 26.1, 26.2(b) and 26.2(c).</w:t>
      </w:r>
    </w:p>
    <w:p w14:paraId="79FB1D3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Fourthly, and again unlike cl 26.2(b), the Commonwealth's role is not prominent in cl 26.2(a). The Commonwealth is not the administrator of cl 26.2(a) until an agreement is reached between the Lessees and the Councils. That is, save for enforcing, if necessary, the Lessees' promise to use reasonable endeavours under cl 26.2(a), the Commonwealth has nothing to do.</w:t>
      </w:r>
    </w:p>
    <w:p w14:paraId="319C45DC"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Fifthly, it may be that the phrases in dispute between the Lessees and the Councils in cl 26.2(a)(ii) as to the parts of the Airport Sites required to be included in the calculation and the valuation methodology of the payments pursuant to cl 26.2(a) give content to the duty on the Lessees to use reasonable endeavours to negotiate and enter into such an agreement. That would be because the subject matter of the agreement is the making of "such payments", namely the payments earlier described. Thus, to illustrate, the Lessees have promised, by cl 26.2(a), to use reasonable endeavours to negotiate an agreement which obliges the Lessees to make payments that are "equivalent to the amount which would be payable for rates as if such rates were leviable". The obligation to use reasonable endeavours is owed to the Commonwealth, who may enforce it, and not to the Councils.</w:t>
      </w:r>
    </w:p>
    <w:p w14:paraId="5330C70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If the obligation on each of the Lessees – owed to the Commonwealth – is only to use reasonable endeavours to negotiate an agreement with each of the Councils, it is relevant that, with the parameters of that negotiation informed by the general words used in cl 26.2(a), including the parts of the Airport Sites required to be included in the calculation and the valuation methodology of the payment, the Councils are not so confined. The Councils are free to make whatever offers they consider are consistent with their own duties and interests. However, knowing the constraints to which the Lessees are subject, there would be a natural incentive for the Councils also to tailor any negotiation with the Lessees to conform to cl 26.2(a).</w:t>
      </w:r>
    </w:p>
    <w:p w14:paraId="1150945E"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lastRenderedPageBreak/>
        <w:tab/>
        <w:t xml:space="preserve">Ultimately, and on any view, whether the Lessees and the Councils </w:t>
      </w:r>
      <w:proofErr w:type="gramStart"/>
      <w:r w:rsidRPr="00EA38BE">
        <w:rPr>
          <w:rFonts w:ascii="Times New Roman" w:hAnsi="Times New Roman"/>
        </w:rPr>
        <w:t>are able to</w:t>
      </w:r>
      <w:proofErr w:type="gramEnd"/>
      <w:r w:rsidRPr="00EA38BE">
        <w:rPr>
          <w:rFonts w:ascii="Times New Roman" w:hAnsi="Times New Roman"/>
        </w:rPr>
        <w:t xml:space="preserve"> reach such an agreement is a matter for them. They will, in that respect, be free to negotiate about which parts of the Airport Sites are to be treated as parts on which trading or financial operations are undertaken and about what type of valuation methodology should be used to determine the Lessees' liability. It does not matter whether such an agreement would or would not conform to an objective application of the words employed by cl 26.2(a) or to their correct judicial interpretation. The scope of the negotiation to be had is necessarily broader than that. That is not only because the words of cl 26.2(a) do not bind the Councils, but also because those words do not operate as the actual criteria for liability. Rather, the criteria for the liability to make payments in lieu of rates will be that which may be agreed as between the Lessees and the Councils.</w:t>
      </w:r>
    </w:p>
    <w:p w14:paraId="5B58836F"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For these reasons, it is at least arguable that, unlike cl 26.2(b) or 26.2(c), the words used in cl 26.2(a) do not constitute the criteria for liability to make payments but instead contemplate only the entry into an entirely separate agreement which would establish that liability.</w:t>
      </w:r>
    </w:p>
    <w:p w14:paraId="6DB71662"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Does cl 26.2(a) confer private rights enforceable by the Councils?</w:t>
      </w:r>
    </w:p>
    <w:p w14:paraId="23E29E5F"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Privity of contract is an "elementary"</w:t>
      </w:r>
      <w:r w:rsidRPr="00EA38BE">
        <w:rPr>
          <w:rStyle w:val="FootnoteReference"/>
          <w:rFonts w:ascii="Times New Roman" w:hAnsi="Times New Roman"/>
          <w:sz w:val="24"/>
        </w:rPr>
        <w:footnoteReference w:id="182"/>
      </w:r>
      <w:r w:rsidRPr="00EA38BE">
        <w:rPr>
          <w:rFonts w:ascii="Times New Roman" w:hAnsi="Times New Roman"/>
        </w:rPr>
        <w:t xml:space="preserve"> doctrine "which is both settled and fundamental"</w:t>
      </w:r>
      <w:r w:rsidRPr="00EA38BE">
        <w:rPr>
          <w:rStyle w:val="FootnoteReference"/>
          <w:rFonts w:ascii="Times New Roman" w:hAnsi="Times New Roman"/>
          <w:sz w:val="24"/>
        </w:rPr>
        <w:footnoteReference w:id="183"/>
      </w:r>
      <w:r w:rsidRPr="00EA38BE">
        <w:rPr>
          <w:rFonts w:ascii="Times New Roman" w:hAnsi="Times New Roman"/>
        </w:rPr>
        <w:t xml:space="preserve"> and is "as well established as any [principle] in our law"</w:t>
      </w:r>
      <w:r w:rsidRPr="00EA38BE">
        <w:rPr>
          <w:rStyle w:val="FootnoteReference"/>
          <w:rFonts w:ascii="Times New Roman" w:hAnsi="Times New Roman"/>
          <w:sz w:val="24"/>
        </w:rPr>
        <w:footnoteReference w:id="184"/>
      </w:r>
      <w:r w:rsidRPr="00EA38BE">
        <w:rPr>
          <w:rFonts w:ascii="Times New Roman" w:hAnsi="Times New Roman"/>
        </w:rPr>
        <w:t xml:space="preserve">. In </w:t>
      </w:r>
      <w:proofErr w:type="spellStart"/>
      <w:r w:rsidRPr="00EA38BE">
        <w:rPr>
          <w:rFonts w:ascii="Times New Roman" w:hAnsi="Times New Roman"/>
          <w:i/>
          <w:iCs/>
        </w:rPr>
        <w:t>Coulls</w:t>
      </w:r>
      <w:proofErr w:type="spellEnd"/>
      <w:r w:rsidRPr="00EA38BE">
        <w:rPr>
          <w:rFonts w:ascii="Times New Roman" w:hAnsi="Times New Roman"/>
          <w:i/>
          <w:iCs/>
        </w:rPr>
        <w:t xml:space="preserve"> v Bagot's Executor and Trustee Co Ltd</w:t>
      </w:r>
      <w:r w:rsidRPr="00EA38BE">
        <w:rPr>
          <w:rStyle w:val="FootnoteReference"/>
          <w:rFonts w:ascii="Times New Roman" w:hAnsi="Times New Roman"/>
          <w:sz w:val="24"/>
        </w:rPr>
        <w:footnoteReference w:id="185"/>
      </w:r>
      <w:r w:rsidRPr="00EA38BE">
        <w:rPr>
          <w:rFonts w:ascii="Times New Roman" w:hAnsi="Times New Roman"/>
        </w:rPr>
        <w:t>, Barwick CJ said that "according to our law, a person not a party to a contract may not ... sue upon it so as directly to enforce its obligations". Most so</w:t>
      </w:r>
      <w:r w:rsidRPr="00EA38BE">
        <w:rPr>
          <w:rFonts w:ascii="Times New Roman" w:hAnsi="Times New Roman"/>
        </w:rPr>
        <w:noBreakHyphen/>
        <w:t>called common law "exceptions" to privity are not exceptions at all</w:t>
      </w:r>
      <w:r w:rsidRPr="00EA38BE">
        <w:rPr>
          <w:rStyle w:val="FootnoteReference"/>
          <w:rFonts w:ascii="Times New Roman" w:hAnsi="Times New Roman"/>
          <w:sz w:val="24"/>
        </w:rPr>
        <w:footnoteReference w:id="186"/>
      </w:r>
      <w:r w:rsidRPr="00EA38BE">
        <w:rPr>
          <w:rFonts w:ascii="Times New Roman" w:hAnsi="Times New Roman"/>
        </w:rPr>
        <w:t xml:space="preserve">. For instance, "third parties" who claim as principal of a </w:t>
      </w:r>
      <w:r w:rsidRPr="00EA38BE">
        <w:rPr>
          <w:rFonts w:ascii="Times New Roman" w:hAnsi="Times New Roman"/>
        </w:rPr>
        <w:lastRenderedPageBreak/>
        <w:t>contracting party will generally be a party to the contract and persons who claim as a beneficiary under a trust of contractual rights held by the contracting party, or as an equitable assignee, generally do so by joinder of the party to the contract in order to assert the trustee's or assignor's rights</w:t>
      </w:r>
      <w:r w:rsidRPr="00EA38BE">
        <w:rPr>
          <w:rStyle w:val="FootnoteReference"/>
          <w:rFonts w:ascii="Times New Roman" w:hAnsi="Times New Roman"/>
          <w:sz w:val="24"/>
        </w:rPr>
        <w:footnoteReference w:id="187"/>
      </w:r>
      <w:r w:rsidRPr="00EA38BE">
        <w:rPr>
          <w:rFonts w:ascii="Times New Roman" w:hAnsi="Times New Roman"/>
        </w:rPr>
        <w:t>.</w:t>
      </w:r>
    </w:p>
    <w:p w14:paraId="47E2643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Councils did not make sweeping, radical submissions in support of their ability to obtain declarations concerning the rights of parties to contracts to which they were strangers. Their position was much more modest. In carefully drawn submissions, they sought only to expand the ability of a stranger to obtain relief in relation to a contract in the form of a declaration and, even then, by notice of contention, they alleged that this was only possible in exceptional circumstances, of which the present were said to be an example.</w:t>
      </w:r>
    </w:p>
    <w:p w14:paraId="532BC402"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w:t>
      </w:r>
      <w:r w:rsidRPr="00EA38BE">
        <w:rPr>
          <w:rFonts w:ascii="Times New Roman" w:hAnsi="Times New Roman"/>
          <w:i/>
          <w:iCs/>
        </w:rPr>
        <w:t xml:space="preserve">Meadows Indemnity Co Ltd </w:t>
      </w:r>
      <w:proofErr w:type="gramStart"/>
      <w:r w:rsidRPr="00EA38BE">
        <w:rPr>
          <w:rFonts w:ascii="Times New Roman" w:hAnsi="Times New Roman"/>
          <w:i/>
          <w:iCs/>
        </w:rPr>
        <w:t>v</w:t>
      </w:r>
      <w:proofErr w:type="gramEnd"/>
      <w:r w:rsidRPr="00EA38BE">
        <w:rPr>
          <w:rFonts w:ascii="Times New Roman" w:hAnsi="Times New Roman"/>
          <w:i/>
          <w:iCs/>
        </w:rPr>
        <w:t xml:space="preserve"> The Insurance Corporation of Ireland Plc</w:t>
      </w:r>
      <w:r w:rsidRPr="00EA38BE">
        <w:rPr>
          <w:rStyle w:val="FootnoteReference"/>
          <w:rFonts w:ascii="Times New Roman" w:hAnsi="Times New Roman"/>
          <w:sz w:val="24"/>
        </w:rPr>
        <w:footnoteReference w:id="188"/>
      </w:r>
      <w:r w:rsidRPr="00EA38BE">
        <w:rPr>
          <w:rFonts w:ascii="Times New Roman" w:hAnsi="Times New Roman"/>
        </w:rPr>
        <w:t>, May LJ said that:</w:t>
      </w:r>
    </w:p>
    <w:p w14:paraId="510B70BE" w14:textId="77777777" w:rsidR="00744668" w:rsidRDefault="00744668" w:rsidP="00EA38BE">
      <w:pPr>
        <w:pStyle w:val="LeftrightafterHC"/>
        <w:spacing w:before="0" w:after="260" w:line="280" w:lineRule="exact"/>
        <w:ind w:right="0"/>
        <w:jc w:val="both"/>
        <w:rPr>
          <w:rFonts w:ascii="Times New Roman" w:hAnsi="Times New Roman"/>
        </w:rPr>
      </w:pPr>
      <w:r w:rsidRPr="00EA38BE">
        <w:rPr>
          <w:rFonts w:ascii="Times New Roman" w:hAnsi="Times New Roman"/>
        </w:rPr>
        <w:t>"a person not a party to a contract has no locus, save perhaps in exceptional circumstances, to obtain a declaration in respect of the rights of other parties to that particular contract. It would be contrary to the whole principle of privity to allow such a person to obtain such a declaration. [That person] has no 'rights' in respect of that contract and has no claim for relief under it."</w:t>
      </w:r>
    </w:p>
    <w:p w14:paraId="3EF11811" w14:textId="77777777" w:rsidR="00744668" w:rsidRPr="00EA38BE" w:rsidRDefault="00744668" w:rsidP="00EA38BE">
      <w:pPr>
        <w:pStyle w:val="NormalBody"/>
        <w:spacing w:after="260" w:line="280" w:lineRule="exact"/>
        <w:ind w:right="0"/>
        <w:jc w:val="both"/>
        <w:rPr>
          <w:rFonts w:ascii="Times New Roman" w:hAnsi="Times New Roman"/>
        </w:rPr>
      </w:pPr>
      <w:r w:rsidRPr="00EA38BE">
        <w:rPr>
          <w:rFonts w:ascii="Times New Roman" w:hAnsi="Times New Roman"/>
        </w:rPr>
        <w:t xml:space="preserve">This statement is correct. It is based on the foundational principle that a declaration of right must be concerned with the "right" of the party seeking the declaration, separate from any rights created by the declaration. The statutory conferral by the </w:t>
      </w:r>
      <w:r w:rsidRPr="00EA38BE">
        <w:rPr>
          <w:rFonts w:ascii="Times New Roman" w:hAnsi="Times New Roman"/>
          <w:i/>
        </w:rPr>
        <w:t xml:space="preserve">Court of </w:t>
      </w:r>
      <w:r w:rsidRPr="00EA38BE">
        <w:rPr>
          <w:rFonts w:ascii="Times New Roman" w:hAnsi="Times New Roman"/>
          <w:i/>
          <w:iCs/>
        </w:rPr>
        <w:t>Chancery Procedure Act</w:t>
      </w:r>
      <w:r w:rsidRPr="00EA38BE">
        <w:rPr>
          <w:rFonts w:ascii="Times New Roman" w:hAnsi="Times New Roman"/>
        </w:rPr>
        <w:t> </w:t>
      </w:r>
      <w:r w:rsidRPr="00EA38BE">
        <w:rPr>
          <w:rFonts w:ascii="Times New Roman" w:hAnsi="Times New Roman"/>
          <w:i/>
          <w:iCs/>
        </w:rPr>
        <w:t>1852</w:t>
      </w:r>
      <w:r w:rsidRPr="00EA38BE">
        <w:rPr>
          <w:rStyle w:val="FootnoteReference"/>
          <w:rFonts w:ascii="Times New Roman" w:hAnsi="Times New Roman"/>
          <w:sz w:val="24"/>
        </w:rPr>
        <w:footnoteReference w:id="189"/>
      </w:r>
      <w:r w:rsidRPr="00EA38BE">
        <w:rPr>
          <w:rFonts w:ascii="Times New Roman" w:hAnsi="Times New Roman"/>
        </w:rPr>
        <w:t xml:space="preserve"> of a power to make declarations of right was not a </w:t>
      </w:r>
      <w:proofErr w:type="spellStart"/>
      <w:r w:rsidRPr="00EA38BE">
        <w:rPr>
          <w:rFonts w:ascii="Times New Roman" w:hAnsi="Times New Roman"/>
        </w:rPr>
        <w:t>Frankensteinian</w:t>
      </w:r>
      <w:proofErr w:type="spellEnd"/>
      <w:r w:rsidRPr="00EA38BE">
        <w:rPr>
          <w:rFonts w:ascii="Times New Roman" w:hAnsi="Times New Roman"/>
        </w:rPr>
        <w:t xml:space="preserve"> creation of almost unlimited jurisdiction for a court to declare a right and then claim authority for that declaration based on the new right that was just declared. Nor did the authority to declare private rights generally extend to the declaration of private rights of others merely because a plaintiff might have an interest in how others exercise their rights. That remains the case in this </w:t>
      </w:r>
      <w:r w:rsidRPr="00EA38BE">
        <w:rPr>
          <w:rFonts w:ascii="Times New Roman" w:hAnsi="Times New Roman"/>
        </w:rPr>
        <w:lastRenderedPageBreak/>
        <w:t xml:space="preserve">country, </w:t>
      </w:r>
      <w:proofErr w:type="gramStart"/>
      <w:r w:rsidRPr="00EA38BE">
        <w:rPr>
          <w:rFonts w:ascii="Times New Roman" w:hAnsi="Times New Roman"/>
        </w:rPr>
        <w:t>whether or not</w:t>
      </w:r>
      <w:proofErr w:type="gramEnd"/>
      <w:r w:rsidRPr="00EA38BE">
        <w:rPr>
          <w:rFonts w:ascii="Times New Roman" w:hAnsi="Times New Roman"/>
        </w:rPr>
        <w:t xml:space="preserve"> English law has "moved on"</w:t>
      </w:r>
      <w:r w:rsidRPr="00EA38BE">
        <w:rPr>
          <w:rStyle w:val="FootnoteReference"/>
          <w:rFonts w:ascii="Times New Roman" w:hAnsi="Times New Roman"/>
          <w:sz w:val="24"/>
        </w:rPr>
        <w:footnoteReference w:id="190"/>
      </w:r>
      <w:r w:rsidRPr="00EA38BE">
        <w:rPr>
          <w:rFonts w:ascii="Times New Roman" w:hAnsi="Times New Roman"/>
        </w:rPr>
        <w:t xml:space="preserve"> as a result of the expansion of the power to order a "declaration of right" to a power to "make binding declarations" without an established right, including on an interim basis</w:t>
      </w:r>
      <w:r w:rsidRPr="00EA38BE">
        <w:rPr>
          <w:rStyle w:val="FootnoteReference"/>
          <w:rFonts w:ascii="Times New Roman" w:hAnsi="Times New Roman"/>
          <w:sz w:val="24"/>
        </w:rPr>
        <w:footnoteReference w:id="191"/>
      </w:r>
      <w:r w:rsidRPr="00EA38BE">
        <w:rPr>
          <w:rFonts w:ascii="Times New Roman" w:hAnsi="Times New Roman"/>
        </w:rPr>
        <w:t>.</w:t>
      </w:r>
    </w:p>
    <w:p w14:paraId="4235255C"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w:t>
      </w:r>
      <w:r w:rsidRPr="00EA38BE">
        <w:rPr>
          <w:rFonts w:ascii="Times New Roman" w:hAnsi="Times New Roman"/>
          <w:i/>
          <w:iCs/>
        </w:rPr>
        <w:t>CGU Insurance Ltd v Blakeley</w:t>
      </w:r>
      <w:r w:rsidRPr="00EA38BE">
        <w:rPr>
          <w:rStyle w:val="FootnoteReference"/>
          <w:rFonts w:ascii="Times New Roman" w:hAnsi="Times New Roman"/>
          <w:sz w:val="24"/>
        </w:rPr>
        <w:footnoteReference w:id="192"/>
      </w:r>
      <w:r w:rsidRPr="00EA38BE">
        <w:rPr>
          <w:rFonts w:ascii="Times New Roman" w:hAnsi="Times New Roman"/>
        </w:rPr>
        <w:t>, in the context of a contract of insurance,</w:t>
      </w:r>
      <w:r w:rsidRPr="00EA38BE">
        <w:rPr>
          <w:rFonts w:ascii="Times New Roman" w:hAnsi="Times New Roman"/>
          <w:i/>
          <w:iCs/>
        </w:rPr>
        <w:t xml:space="preserve"> </w:t>
      </w:r>
      <w:r w:rsidRPr="00EA38BE">
        <w:rPr>
          <w:rFonts w:ascii="Times New Roman" w:hAnsi="Times New Roman"/>
        </w:rPr>
        <w:t>Nettle J endorsed the above</w:t>
      </w:r>
      <w:r w:rsidRPr="00EA38BE">
        <w:rPr>
          <w:rFonts w:ascii="Times New Roman" w:hAnsi="Times New Roman"/>
        </w:rPr>
        <w:noBreakHyphen/>
        <w:t xml:space="preserve">quoted statement of May LJ from </w:t>
      </w:r>
      <w:r w:rsidRPr="00EA38BE">
        <w:rPr>
          <w:rFonts w:ascii="Times New Roman" w:hAnsi="Times New Roman"/>
          <w:i/>
          <w:iCs/>
        </w:rPr>
        <w:t>Meadows</w:t>
      </w:r>
      <w:r w:rsidRPr="00EA38BE">
        <w:rPr>
          <w:rFonts w:ascii="Times New Roman" w:hAnsi="Times New Roman"/>
        </w:rPr>
        <w:t xml:space="preserve">, whilst also elevating the possibility of exceptional circumstances where a third party may have standing to obtain a declaration to an actuality. The approach of the other members of this Court in </w:t>
      </w:r>
      <w:r w:rsidRPr="00EA38BE">
        <w:rPr>
          <w:rFonts w:ascii="Times New Roman" w:hAnsi="Times New Roman"/>
          <w:i/>
          <w:iCs/>
        </w:rPr>
        <w:t xml:space="preserve">CGU Insurance </w:t>
      </w:r>
      <w:r w:rsidRPr="00EA38BE">
        <w:rPr>
          <w:rFonts w:ascii="Times New Roman" w:hAnsi="Times New Roman"/>
        </w:rPr>
        <w:t>may be understood as recognising standing to enforce a private right due to implied statutory authority rather than relying upon exceptional circumstances in its context of insurance</w:t>
      </w:r>
      <w:r w:rsidRPr="00EA38BE">
        <w:rPr>
          <w:rStyle w:val="FootnoteReference"/>
          <w:rFonts w:ascii="Times New Roman" w:hAnsi="Times New Roman"/>
          <w:sz w:val="24"/>
        </w:rPr>
        <w:footnoteReference w:id="193"/>
      </w:r>
      <w:r w:rsidRPr="00EA38BE">
        <w:rPr>
          <w:rFonts w:ascii="Times New Roman" w:hAnsi="Times New Roman"/>
        </w:rPr>
        <w:t>. But it must be accepted that it was not wholly novel for rights in insurance contracts to be treated as exceptional</w:t>
      </w:r>
      <w:r w:rsidRPr="00EA38BE">
        <w:rPr>
          <w:rStyle w:val="FootnoteReference"/>
          <w:rFonts w:ascii="Times New Roman" w:hAnsi="Times New Roman"/>
          <w:sz w:val="24"/>
        </w:rPr>
        <w:footnoteReference w:id="194"/>
      </w:r>
      <w:r w:rsidRPr="00EA38BE">
        <w:rPr>
          <w:rFonts w:ascii="Times New Roman" w:hAnsi="Times New Roman"/>
        </w:rPr>
        <w:t xml:space="preserve">. Indeed, in </w:t>
      </w:r>
      <w:r w:rsidRPr="00EA38BE">
        <w:rPr>
          <w:rFonts w:ascii="Times New Roman" w:hAnsi="Times New Roman"/>
          <w:i/>
          <w:iCs/>
        </w:rPr>
        <w:t xml:space="preserve">Trident General Insurance Co Ltd v </w:t>
      </w:r>
      <w:proofErr w:type="spellStart"/>
      <w:r w:rsidRPr="00EA38BE">
        <w:rPr>
          <w:rFonts w:ascii="Times New Roman" w:hAnsi="Times New Roman"/>
          <w:i/>
          <w:iCs/>
        </w:rPr>
        <w:t>McNiece</w:t>
      </w:r>
      <w:proofErr w:type="spellEnd"/>
      <w:r w:rsidRPr="00EA38BE">
        <w:rPr>
          <w:rFonts w:ascii="Times New Roman" w:hAnsi="Times New Roman"/>
          <w:i/>
          <w:iCs/>
        </w:rPr>
        <w:t xml:space="preserve"> Bros Pty Ltd</w:t>
      </w:r>
      <w:r w:rsidRPr="00EA38BE">
        <w:rPr>
          <w:rStyle w:val="FootnoteReference"/>
          <w:rFonts w:ascii="Times New Roman" w:hAnsi="Times New Roman"/>
          <w:sz w:val="24"/>
        </w:rPr>
        <w:footnoteReference w:id="195"/>
      </w:r>
      <w:r w:rsidRPr="00EA38BE">
        <w:rPr>
          <w:rFonts w:ascii="Times New Roman" w:hAnsi="Times New Roman"/>
        </w:rPr>
        <w:t>, three members of this Court treated the entire doctrine of privity of contract as subject to an exception in relation to insurance contracts. Insurance contracts have also been treated by statute as a special case</w:t>
      </w:r>
      <w:r w:rsidRPr="00EA38BE">
        <w:rPr>
          <w:rStyle w:val="FootnoteReference"/>
          <w:rFonts w:ascii="Times New Roman" w:hAnsi="Times New Roman"/>
          <w:sz w:val="24"/>
        </w:rPr>
        <w:footnoteReference w:id="196"/>
      </w:r>
      <w:r w:rsidRPr="00EA38BE">
        <w:rPr>
          <w:rFonts w:ascii="Times New Roman" w:hAnsi="Times New Roman"/>
        </w:rPr>
        <w:t>.</w:t>
      </w:r>
    </w:p>
    <w:p w14:paraId="0BE7047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danger with exceptions, however, is that unless they "prove the rule" – that is, unless they fall outside the rationale for the rule – then, without great care being taken, the growth of exceptions without an underlying rationale can overwhelm a coherent rule. Whatever the merit of an "insurance" exception, the instruments in these appeals, the Leases, were not insurance contracts. Neither the Councils nor the Commonwealth were able to point to any </w:t>
      </w:r>
      <w:proofErr w:type="gramStart"/>
      <w:r w:rsidRPr="00EA38BE">
        <w:rPr>
          <w:rFonts w:ascii="Times New Roman" w:hAnsi="Times New Roman"/>
        </w:rPr>
        <w:t>sufficient</w:t>
      </w:r>
      <w:proofErr w:type="gramEnd"/>
      <w:r w:rsidRPr="00EA38BE">
        <w:rPr>
          <w:rFonts w:ascii="Times New Roman" w:hAnsi="Times New Roman"/>
        </w:rPr>
        <w:t xml:space="preserve"> reason to undermine the basic rule that, without statutory authority, the Councils have no </w:t>
      </w:r>
      <w:r w:rsidRPr="00EA38BE">
        <w:rPr>
          <w:rFonts w:ascii="Times New Roman" w:hAnsi="Times New Roman"/>
        </w:rPr>
        <w:lastRenderedPageBreak/>
        <w:t xml:space="preserve">standing to seek the recognition or enforcement of the rights of others. The Councils unquestionably have a real commercial interest in seeking declarations as to the meaning of the Leases. But to recognise their interests as </w:t>
      </w:r>
      <w:proofErr w:type="gramStart"/>
      <w:r w:rsidRPr="00EA38BE">
        <w:rPr>
          <w:rFonts w:ascii="Times New Roman" w:hAnsi="Times New Roman"/>
        </w:rPr>
        <w:t>sufficient</w:t>
      </w:r>
      <w:proofErr w:type="gramEnd"/>
      <w:r w:rsidRPr="00EA38BE">
        <w:rPr>
          <w:rFonts w:ascii="Times New Roman" w:hAnsi="Times New Roman"/>
        </w:rPr>
        <w:t xml:space="preserve"> for a declaration would be to undermine the very basis of the rule by which courts granting a declaration of a private right do so at the instance of a person who is a party to that </w:t>
      </w:r>
      <w:proofErr w:type="spellStart"/>
      <w:r w:rsidRPr="00EA38BE">
        <w:rPr>
          <w:rFonts w:ascii="Times New Roman" w:hAnsi="Times New Roman"/>
        </w:rPr>
        <w:t>jural</w:t>
      </w:r>
      <w:proofErr w:type="spellEnd"/>
      <w:r w:rsidRPr="00EA38BE">
        <w:rPr>
          <w:rFonts w:ascii="Times New Roman" w:hAnsi="Times New Roman"/>
        </w:rPr>
        <w:t xml:space="preserve"> relationship, not a stranger to it.</w:t>
      </w:r>
    </w:p>
    <w:p w14:paraId="38A29B4D"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alternative submissions of the Councils, raised in oral submissions and in supplementary written submissions following questions from this Court, were that the Councils have rights in relation to the Leases as beneficiaries of a trust created by the Commonwealth of the promise contained in the Leases. If such a trust had been created then there is no doubt that the Councils would have standing to obtain declarations as to their legal rights under the Leases by joining the Commonwealth, in its capacity as trustee, as a defendant, and thus compelling the Commonwealth to exercise its standing to obtain the declarations</w:t>
      </w:r>
      <w:r w:rsidRPr="00EA38BE">
        <w:rPr>
          <w:rStyle w:val="FootnoteReference"/>
          <w:rFonts w:ascii="Times New Roman" w:hAnsi="Times New Roman"/>
          <w:sz w:val="24"/>
        </w:rPr>
        <w:footnoteReference w:id="197"/>
      </w:r>
      <w:r w:rsidRPr="00EA38BE">
        <w:rPr>
          <w:rFonts w:ascii="Times New Roman" w:hAnsi="Times New Roman"/>
        </w:rPr>
        <w:t>.</w:t>
      </w:r>
    </w:p>
    <w:p w14:paraId="512CA58C"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In the absence of a declaration of trust separately from the terms of the contract, the existence of a trust of promised contractual rights will depend upon identifying from the terms of the contract an expression of intention to create a trust</w:t>
      </w:r>
      <w:r w:rsidRPr="00EA38BE">
        <w:rPr>
          <w:rStyle w:val="FootnoteReference"/>
          <w:rFonts w:ascii="Times New Roman" w:hAnsi="Times New Roman"/>
          <w:sz w:val="24"/>
        </w:rPr>
        <w:footnoteReference w:id="198"/>
      </w:r>
      <w:r w:rsidRPr="00EA38BE">
        <w:rPr>
          <w:rFonts w:ascii="Times New Roman" w:hAnsi="Times New Roman"/>
        </w:rPr>
        <w:t>. The approach to the terms of the contract to identify any intention to create a trust is the objective approach which considers whether the meaning of the words used in all the circumstances would demonstrate an intention to create a trust by a reasonable person in the position of the parties, and an intention to undertake the duties of a trustee by a reasonable person in the position of the potential trustee</w:t>
      </w:r>
      <w:r w:rsidRPr="00EA38BE">
        <w:rPr>
          <w:rStyle w:val="FootnoteReference"/>
          <w:rFonts w:ascii="Times New Roman" w:hAnsi="Times New Roman"/>
          <w:sz w:val="24"/>
        </w:rPr>
        <w:footnoteReference w:id="199"/>
      </w:r>
      <w:r w:rsidRPr="00EA38BE">
        <w:rPr>
          <w:rFonts w:ascii="Times New Roman" w:hAnsi="Times New Roman"/>
        </w:rPr>
        <w:t>.</w:t>
      </w:r>
    </w:p>
    <w:p w14:paraId="38D7DE20"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Commonwealth sought to rely, as a "starting point" for interpretation, upon English cases which had suggested that clear words are required "before an obligation on the part of the Crown or a servant or agent of the Crown, even if described as a trust obligation, will be treated as a trust according to ordinary principles"</w:t>
      </w:r>
      <w:r w:rsidRPr="00EA38BE">
        <w:rPr>
          <w:rStyle w:val="FootnoteReference"/>
          <w:rFonts w:ascii="Times New Roman" w:hAnsi="Times New Roman"/>
          <w:sz w:val="24"/>
        </w:rPr>
        <w:footnoteReference w:id="200"/>
      </w:r>
      <w:r w:rsidRPr="00EA38BE">
        <w:rPr>
          <w:rFonts w:ascii="Times New Roman" w:hAnsi="Times New Roman"/>
        </w:rPr>
        <w:t xml:space="preserve">. Those cases were based upon a separation between "governmental" </w:t>
      </w:r>
      <w:r w:rsidRPr="00EA38BE">
        <w:rPr>
          <w:rFonts w:ascii="Times New Roman" w:hAnsi="Times New Roman"/>
        </w:rPr>
        <w:lastRenderedPageBreak/>
        <w:t>obligations of the Crown involving "the duties or functions belonging to the prerogative and the authority of the Crown" in a relationship "not enforceable by the courts" in which expressions like "trust" were used in a "higher sense" and non</w:t>
      </w:r>
      <w:r w:rsidRPr="00EA38BE">
        <w:rPr>
          <w:rFonts w:ascii="Times New Roman" w:hAnsi="Times New Roman"/>
        </w:rPr>
        <w:noBreakHyphen/>
        <w:t>governmental obligations in which the same expression was used in a "lower sense" of the creation of a trust</w:t>
      </w:r>
      <w:r w:rsidRPr="00EA38BE">
        <w:rPr>
          <w:rStyle w:val="FootnoteReference"/>
          <w:rFonts w:ascii="Times New Roman" w:hAnsi="Times New Roman"/>
          <w:sz w:val="24"/>
        </w:rPr>
        <w:footnoteReference w:id="201"/>
      </w:r>
      <w:r w:rsidRPr="00EA38BE">
        <w:rPr>
          <w:rFonts w:ascii="Times New Roman" w:hAnsi="Times New Roman"/>
        </w:rPr>
        <w:t>. Such an interpretative principle was clearly rejected by this Court in circumstances where the putative trustee "has a number of functions, not all of which are necessarily governmental in nature"</w:t>
      </w:r>
      <w:r w:rsidRPr="00EA38BE">
        <w:rPr>
          <w:rStyle w:val="FootnoteReference"/>
          <w:rFonts w:ascii="Times New Roman" w:hAnsi="Times New Roman"/>
          <w:sz w:val="24"/>
        </w:rPr>
        <w:footnoteReference w:id="202"/>
      </w:r>
      <w:r w:rsidRPr="00EA38BE">
        <w:rPr>
          <w:rFonts w:ascii="Times New Roman" w:hAnsi="Times New Roman"/>
        </w:rPr>
        <w:t>. This reasoning applies a fortiori where, as in the Leases, none of the rights or obligations of the Commonwealth are governmental in nature in the prerogative sense described in the English cases.</w:t>
      </w:r>
    </w:p>
    <w:p w14:paraId="4C714B8A"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In many cases, the requirement that one party to the contract confer a benefit upon a third party may be an indicator that the other party manifested an intention to hold the benefit of the first party's promise on trust</w:t>
      </w:r>
      <w:r w:rsidRPr="00EA38BE">
        <w:rPr>
          <w:rStyle w:val="FootnoteReference"/>
          <w:rFonts w:ascii="Times New Roman" w:hAnsi="Times New Roman"/>
          <w:sz w:val="24"/>
        </w:rPr>
        <w:footnoteReference w:id="203"/>
      </w:r>
      <w:r w:rsidRPr="00EA38BE">
        <w:rPr>
          <w:rFonts w:ascii="Times New Roman" w:hAnsi="Times New Roman"/>
        </w:rPr>
        <w:t xml:space="preserve">. But it is only one indicium. All other indicia in these appeals point against any manifested intention by the Commonwealth to create a trust. </w:t>
      </w:r>
      <w:proofErr w:type="gramStart"/>
      <w:r w:rsidRPr="00EA38BE">
        <w:rPr>
          <w:rFonts w:ascii="Times New Roman" w:hAnsi="Times New Roman"/>
        </w:rPr>
        <w:t>In particular, as</w:t>
      </w:r>
      <w:proofErr w:type="gramEnd"/>
      <w:r w:rsidRPr="00EA38BE">
        <w:rPr>
          <w:rFonts w:ascii="Times New Roman" w:hAnsi="Times New Roman"/>
        </w:rPr>
        <w:t xml:space="preserve"> the Lessees submitted, cl 26.2(a) does not use the language of "trust" or holding the benefit of rights for another despite that language being used elsewhere in the Leases.</w:t>
      </w:r>
    </w:p>
    <w:p w14:paraId="316BC5C6"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Much can depend upon the nature of the right that is said to be held on trust. Unlike cl 26.2(c), where the Commonwealth could have a substantial role in administering the enforcement of the obligation upon the Lessees to make payments of the taxes to the relevant Governmental Authorities, the Commonwealth, on the arguable interpretation above, would have little role in administering or supervising the open</w:t>
      </w:r>
      <w:r w:rsidRPr="00EA38BE">
        <w:rPr>
          <w:rFonts w:ascii="Times New Roman" w:hAnsi="Times New Roman"/>
        </w:rPr>
        <w:noBreakHyphen/>
        <w:t>textured duty of the Lessees to use all reasonable endeavours to enter into an agreement with the Councils.</w:t>
      </w:r>
    </w:p>
    <w:p w14:paraId="0E8F123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Even if, on its proper interpretation, cl 26.2(a) imposed a duty upon the Lessees, without agreement, to make payments in lieu of rates to the Councils, if the Commonwealth were to hold that promise on trust for the Councils then, as the Lessees submitted, it would have the curious effect that a trust would be created, superseded, and recreated each time an agreement with the Councils was </w:t>
      </w:r>
      <w:r w:rsidRPr="00EA38BE">
        <w:rPr>
          <w:rFonts w:ascii="Times New Roman" w:hAnsi="Times New Roman"/>
        </w:rPr>
        <w:lastRenderedPageBreak/>
        <w:t>concluded or terminated. That surprising and uncertain result is a strong basis for a conclusion that the words of cl 26.2(a) do not reveal that a reasonable person in the position of the parties would have intended to create a trust and that a reasonable person in the position of the Commonwealth would have intended to accept the responsibilities of a trustee.</w:t>
      </w:r>
    </w:p>
    <w:p w14:paraId="21B9FD21"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Does cl 26.2(a) create public rights enforceable by the Councils?</w:t>
      </w:r>
    </w:p>
    <w:p w14:paraId="7730A33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Councils relied on the decision of this Court in </w:t>
      </w:r>
      <w:r w:rsidRPr="00EA38BE">
        <w:rPr>
          <w:rFonts w:ascii="Times New Roman" w:hAnsi="Times New Roman"/>
          <w:i/>
          <w:iCs/>
        </w:rPr>
        <w:t>Edwards v Santos Ltd</w:t>
      </w:r>
      <w:r w:rsidRPr="00EA38BE">
        <w:rPr>
          <w:rStyle w:val="FootnoteReference"/>
          <w:rFonts w:ascii="Times New Roman" w:hAnsi="Times New Roman"/>
          <w:sz w:val="24"/>
        </w:rPr>
        <w:footnoteReference w:id="204"/>
      </w:r>
      <w:r w:rsidRPr="00EA38BE">
        <w:rPr>
          <w:rFonts w:ascii="Times New Roman" w:hAnsi="Times New Roman"/>
        </w:rPr>
        <w:t xml:space="preserve"> as founding their standing to seek declarations concerning the meaning of cl 26.2(a). In that case, this Court considered the question of standing to enforce a public right. One claim was that the first and third defendants, described as the "petroleum defendants", had "no right to apply to the Minister under s 40 of the </w:t>
      </w:r>
      <w:r w:rsidRPr="00EA38BE">
        <w:rPr>
          <w:rFonts w:ascii="Times New Roman" w:hAnsi="Times New Roman"/>
          <w:i/>
          <w:iCs/>
        </w:rPr>
        <w:t xml:space="preserve">Petroleum Act </w:t>
      </w:r>
      <w:r w:rsidRPr="00EA38BE">
        <w:rPr>
          <w:rFonts w:ascii="Times New Roman" w:hAnsi="Times New Roman"/>
        </w:rPr>
        <w:t>[</w:t>
      </w:r>
      <w:r w:rsidRPr="00EA38BE">
        <w:rPr>
          <w:rFonts w:ascii="Times New Roman" w:hAnsi="Times New Roman"/>
          <w:i/>
          <w:iCs/>
        </w:rPr>
        <w:t>1923</w:t>
      </w:r>
      <w:r w:rsidRPr="00EA38BE">
        <w:rPr>
          <w:rFonts w:ascii="Times New Roman" w:hAnsi="Times New Roman"/>
          <w:iCs/>
        </w:rPr>
        <w:t> </w:t>
      </w:r>
      <w:r w:rsidRPr="00EA38BE">
        <w:rPr>
          <w:rFonts w:ascii="Times New Roman" w:hAnsi="Times New Roman"/>
        </w:rPr>
        <w:t xml:space="preserve">(Qld)] because the [Authority to Prospect] had ceased to be valid" and there was no power under s 40 of the </w:t>
      </w:r>
      <w:r w:rsidRPr="00EA38BE">
        <w:rPr>
          <w:rFonts w:ascii="Times New Roman" w:hAnsi="Times New Roman"/>
          <w:i/>
          <w:iCs/>
        </w:rPr>
        <w:t xml:space="preserve">Petroleum Act </w:t>
      </w:r>
      <w:r w:rsidRPr="00EA38BE">
        <w:rPr>
          <w:rFonts w:ascii="Times New Roman" w:hAnsi="Times New Roman"/>
        </w:rPr>
        <w:t>for the Minister to grant a "production licence"</w:t>
      </w:r>
      <w:r w:rsidRPr="00EA38BE">
        <w:rPr>
          <w:rStyle w:val="FootnoteReference"/>
          <w:rFonts w:ascii="Times New Roman" w:hAnsi="Times New Roman"/>
          <w:sz w:val="24"/>
        </w:rPr>
        <w:footnoteReference w:id="205"/>
      </w:r>
      <w:r w:rsidRPr="00EA38BE">
        <w:rPr>
          <w:rFonts w:ascii="Times New Roman" w:hAnsi="Times New Roman"/>
        </w:rPr>
        <w:t xml:space="preserve">. </w:t>
      </w:r>
      <w:proofErr w:type="spellStart"/>
      <w:r w:rsidRPr="00EA38BE">
        <w:rPr>
          <w:rFonts w:ascii="Times New Roman" w:hAnsi="Times New Roman"/>
        </w:rPr>
        <w:t>Heydon</w:t>
      </w:r>
      <w:proofErr w:type="spellEnd"/>
      <w:r w:rsidRPr="00EA38BE">
        <w:rPr>
          <w:rFonts w:ascii="Times New Roman" w:hAnsi="Times New Roman"/>
        </w:rPr>
        <w:t> J</w:t>
      </w:r>
      <w:r w:rsidRPr="00EA38BE">
        <w:rPr>
          <w:rStyle w:val="FootnoteReference"/>
          <w:rFonts w:ascii="Times New Roman" w:hAnsi="Times New Roman"/>
          <w:sz w:val="24"/>
        </w:rPr>
        <w:footnoteReference w:id="206"/>
      </w:r>
      <w:r w:rsidRPr="00EA38BE">
        <w:rPr>
          <w:rFonts w:ascii="Times New Roman" w:hAnsi="Times New Roman"/>
        </w:rPr>
        <w:t xml:space="preserve"> (with whom five other members of the Court agreed</w:t>
      </w:r>
      <w:r w:rsidRPr="00EA38BE">
        <w:rPr>
          <w:rStyle w:val="FootnoteReference"/>
          <w:rFonts w:ascii="Times New Roman" w:hAnsi="Times New Roman"/>
          <w:sz w:val="24"/>
        </w:rPr>
        <w:footnoteReference w:id="207"/>
      </w:r>
      <w:r w:rsidRPr="00EA38BE">
        <w:rPr>
          <w:rFonts w:ascii="Times New Roman" w:hAnsi="Times New Roman"/>
        </w:rPr>
        <w:t xml:space="preserve">) held, citing </w:t>
      </w:r>
      <w:r w:rsidRPr="00EA38BE">
        <w:rPr>
          <w:rFonts w:ascii="Times New Roman" w:hAnsi="Times New Roman"/>
          <w:i/>
        </w:rPr>
        <w:t>Onus v Alcoa</w:t>
      </w:r>
      <w:r w:rsidRPr="00EA38BE">
        <w:rPr>
          <w:rFonts w:ascii="Times New Roman" w:hAnsi="Times New Roman"/>
        </w:rPr>
        <w:t>, that the plaintiffs had standing because they had an interest "which [was] greater than that of other members of the public".</w:t>
      </w:r>
    </w:p>
    <w:p w14:paraId="1FF27915"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It is beyond argument from the issue that was involved, the test that was posed, and his reference to </w:t>
      </w:r>
      <w:r w:rsidRPr="00EA38BE">
        <w:rPr>
          <w:rFonts w:ascii="Times New Roman" w:hAnsi="Times New Roman"/>
          <w:i/>
          <w:iCs/>
        </w:rPr>
        <w:t>Onus v Alcoa</w:t>
      </w:r>
      <w:r w:rsidRPr="00EA38BE">
        <w:rPr>
          <w:rFonts w:ascii="Times New Roman" w:hAnsi="Times New Roman"/>
        </w:rPr>
        <w:t xml:space="preserve"> that </w:t>
      </w:r>
      <w:proofErr w:type="spellStart"/>
      <w:r w:rsidRPr="00EA38BE">
        <w:rPr>
          <w:rFonts w:ascii="Times New Roman" w:hAnsi="Times New Roman"/>
        </w:rPr>
        <w:t>Heydon</w:t>
      </w:r>
      <w:proofErr w:type="spellEnd"/>
      <w:r w:rsidRPr="00EA38BE">
        <w:rPr>
          <w:rFonts w:ascii="Times New Roman" w:hAnsi="Times New Roman"/>
        </w:rPr>
        <w:t xml:space="preserve"> J was describing the test for standing to enforce a public right. </w:t>
      </w:r>
      <w:proofErr w:type="spellStart"/>
      <w:r w:rsidRPr="00EA38BE">
        <w:rPr>
          <w:rFonts w:ascii="Times New Roman" w:hAnsi="Times New Roman"/>
        </w:rPr>
        <w:t>Heydon</w:t>
      </w:r>
      <w:proofErr w:type="spellEnd"/>
      <w:r w:rsidRPr="00EA38BE">
        <w:rPr>
          <w:rFonts w:ascii="Times New Roman" w:hAnsi="Times New Roman"/>
        </w:rPr>
        <w:t xml:space="preserve"> J then continued, citing the decision of the Full Court of the Federal Court of Australia in </w:t>
      </w:r>
      <w:r w:rsidRPr="00EA38BE">
        <w:rPr>
          <w:rFonts w:ascii="Times New Roman" w:hAnsi="Times New Roman"/>
          <w:i/>
          <w:iCs/>
        </w:rPr>
        <w:t>Aussie Airlines Pty Ltd v Australian Airlines Ltd</w:t>
      </w:r>
      <w:r w:rsidRPr="00EA38BE">
        <w:rPr>
          <w:rStyle w:val="FootnoteReference"/>
          <w:rFonts w:ascii="Times New Roman" w:hAnsi="Times New Roman"/>
          <w:sz w:val="24"/>
        </w:rPr>
        <w:footnoteReference w:id="208"/>
      </w:r>
      <w:r w:rsidRPr="00EA38BE">
        <w:rPr>
          <w:rFonts w:ascii="Times New Roman" w:hAnsi="Times New Roman"/>
        </w:rPr>
        <w:t xml:space="preserve"> as "[a]n example of how a person can have standing to obtain a declaration"</w:t>
      </w:r>
      <w:r w:rsidRPr="00EA38BE">
        <w:rPr>
          <w:rStyle w:val="FootnoteReference"/>
          <w:rFonts w:ascii="Times New Roman" w:hAnsi="Times New Roman"/>
          <w:sz w:val="24"/>
        </w:rPr>
        <w:footnoteReference w:id="209"/>
      </w:r>
      <w:r w:rsidRPr="00EA38BE">
        <w:rPr>
          <w:rFonts w:ascii="Times New Roman" w:hAnsi="Times New Roman"/>
        </w:rPr>
        <w:t xml:space="preserve">. That decision, and its endorsement by </w:t>
      </w:r>
      <w:proofErr w:type="spellStart"/>
      <w:r w:rsidRPr="00EA38BE">
        <w:rPr>
          <w:rFonts w:ascii="Times New Roman" w:hAnsi="Times New Roman"/>
        </w:rPr>
        <w:t>Heydon</w:t>
      </w:r>
      <w:proofErr w:type="spellEnd"/>
      <w:r w:rsidRPr="00EA38BE">
        <w:rPr>
          <w:rFonts w:ascii="Times New Roman" w:hAnsi="Times New Roman"/>
        </w:rPr>
        <w:t> J in the context of the enforcement of a public right, was the subject of much confusion in submissions in these appeals.</w:t>
      </w:r>
    </w:p>
    <w:p w14:paraId="341BD71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In </w:t>
      </w:r>
      <w:r w:rsidRPr="00EA38BE">
        <w:rPr>
          <w:rFonts w:ascii="Times New Roman" w:hAnsi="Times New Roman"/>
          <w:i/>
          <w:iCs/>
        </w:rPr>
        <w:t>Aussie Airlines</w:t>
      </w:r>
      <w:r w:rsidRPr="00EA38BE">
        <w:rPr>
          <w:rFonts w:ascii="Times New Roman" w:hAnsi="Times New Roman"/>
        </w:rPr>
        <w:t>,</w:t>
      </w:r>
      <w:r w:rsidRPr="00EA38BE">
        <w:rPr>
          <w:rFonts w:ascii="Times New Roman" w:hAnsi="Times New Roman"/>
          <w:i/>
          <w:iCs/>
        </w:rPr>
        <w:t xml:space="preserve"> </w:t>
      </w:r>
      <w:r w:rsidRPr="00EA38BE">
        <w:rPr>
          <w:rFonts w:ascii="Times New Roman" w:hAnsi="Times New Roman"/>
        </w:rPr>
        <w:t>Aussie Airlines sought to become an airline carrier in the Australian domestic airline industry. The two airlines in the industry at that time, Qantas and Ansett, had been granted long</w:t>
      </w:r>
      <w:r w:rsidRPr="00EA38BE">
        <w:rPr>
          <w:rFonts w:ascii="Times New Roman" w:hAnsi="Times New Roman"/>
        </w:rPr>
        <w:noBreakHyphen/>
        <w:t xml:space="preserve">term head leases for airport </w:t>
      </w:r>
      <w:r w:rsidRPr="00EA38BE">
        <w:rPr>
          <w:rFonts w:ascii="Times New Roman" w:hAnsi="Times New Roman"/>
        </w:rPr>
        <w:lastRenderedPageBreak/>
        <w:t>facilities by a head lessor. The head leases contained provisions that compelled Qantas and Ansett to provide subleases to any "new entrant to the domestic aviation industry". Aussie Airlines alleged that it was a new entrant within the meaning of the head leases and sought a sublease from Qantas. Qantas denied that Aussie Airlines was a new entrant and refused to grant a sublease. One question which arose for the consideration of the Full Court of the Federal Court was whether Aussie Airlines had standing to seek a declaration as to whether it was a new entrant within the meaning of the head leases.</w:t>
      </w:r>
    </w:p>
    <w:p w14:paraId="2B17A3F7"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reasons of Lockhart J (with whom Spender and Cooper JJ agreed) commenced by considering whether Aussie Airlines had a private right. His Honour observed that, if Aussie Airlines had "enforceable rights under the head leases, there would be no doubt that it had standing to seek declaratory relief"</w:t>
      </w:r>
      <w:r w:rsidRPr="00EA38BE">
        <w:rPr>
          <w:rStyle w:val="FootnoteReference"/>
          <w:rFonts w:ascii="Times New Roman" w:hAnsi="Times New Roman"/>
          <w:sz w:val="24"/>
        </w:rPr>
        <w:footnoteReference w:id="210"/>
      </w:r>
      <w:r w:rsidRPr="00EA38BE">
        <w:rPr>
          <w:rFonts w:ascii="Times New Roman" w:hAnsi="Times New Roman"/>
        </w:rPr>
        <w:t>. But, since Aussie Airlines was not a party to the head leases, it could only have enforceable rights, by joinder of Qantas as a defendant, if the benefits of the promise concerning the grant of a sublease to any new entrant to the domestic aviation industry were held by Qantas on trust for Aussie Airlines</w:t>
      </w:r>
      <w:r w:rsidRPr="00EA38BE">
        <w:rPr>
          <w:rStyle w:val="FootnoteReference"/>
          <w:rFonts w:ascii="Times New Roman" w:hAnsi="Times New Roman"/>
          <w:sz w:val="24"/>
        </w:rPr>
        <w:footnoteReference w:id="211"/>
      </w:r>
      <w:r w:rsidRPr="00EA38BE">
        <w:rPr>
          <w:rFonts w:ascii="Times New Roman" w:hAnsi="Times New Roman"/>
        </w:rPr>
        <w:t>. That reasoning was entirely orthodox. However, Lockhart J went on to say that it was unnecessary to determine whether Aussie Airlines had any enforceable rights under the head leases because Aussie Airlines had "the requisite interest" to support its standing to obtain a declaration due to the "real practical importance" of the subleases to Aussie Airlines</w:t>
      </w:r>
      <w:r w:rsidRPr="00EA38BE">
        <w:rPr>
          <w:rStyle w:val="FootnoteReference"/>
          <w:rFonts w:ascii="Times New Roman" w:hAnsi="Times New Roman"/>
          <w:sz w:val="24"/>
        </w:rPr>
        <w:footnoteReference w:id="212"/>
      </w:r>
      <w:r w:rsidRPr="00EA38BE">
        <w:rPr>
          <w:rFonts w:ascii="Times New Roman" w:hAnsi="Times New Roman"/>
        </w:rPr>
        <w:t xml:space="preserve">. What was missing from this reasoning, although apparent from the context in which the case was considered in </w:t>
      </w:r>
      <w:r w:rsidRPr="00EA38BE">
        <w:rPr>
          <w:rFonts w:ascii="Times New Roman" w:hAnsi="Times New Roman"/>
          <w:i/>
          <w:iCs/>
        </w:rPr>
        <w:t>Edwards v Santos</w:t>
      </w:r>
      <w:r w:rsidRPr="00EA38BE">
        <w:rPr>
          <w:rFonts w:ascii="Times New Roman" w:hAnsi="Times New Roman"/>
        </w:rPr>
        <w:t>, was an explanation of why the right was a public right and not a purely private right.</w:t>
      </w:r>
    </w:p>
    <w:p w14:paraId="44F9F1F4"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Although there was no argument on the point in </w:t>
      </w:r>
      <w:r w:rsidRPr="00EA38BE">
        <w:rPr>
          <w:rFonts w:ascii="Times New Roman" w:hAnsi="Times New Roman"/>
          <w:i/>
          <w:iCs/>
        </w:rPr>
        <w:t>Aussie Airlines</w:t>
      </w:r>
      <w:r w:rsidRPr="00EA38BE">
        <w:rPr>
          <w:rFonts w:ascii="Times New Roman" w:hAnsi="Times New Roman"/>
        </w:rPr>
        <w:t>,</w:t>
      </w:r>
      <w:r w:rsidRPr="00EA38BE">
        <w:rPr>
          <w:rFonts w:ascii="Times New Roman" w:hAnsi="Times New Roman"/>
          <w:i/>
          <w:iCs/>
        </w:rPr>
        <w:t xml:space="preserve"> </w:t>
      </w:r>
      <w:r w:rsidRPr="00EA38BE">
        <w:rPr>
          <w:rFonts w:ascii="Times New Roman" w:hAnsi="Times New Roman"/>
        </w:rPr>
        <w:t xml:space="preserve">and no reasoning on the issue, there may be a basis for treating the rights under the head leases in </w:t>
      </w:r>
      <w:r w:rsidRPr="00EA38BE">
        <w:rPr>
          <w:rFonts w:ascii="Times New Roman" w:hAnsi="Times New Roman"/>
          <w:i/>
        </w:rPr>
        <w:t>Aussie Airlines</w:t>
      </w:r>
      <w:r w:rsidRPr="00EA38BE">
        <w:rPr>
          <w:rFonts w:ascii="Times New Roman" w:hAnsi="Times New Roman"/>
        </w:rPr>
        <w:t xml:space="preserve"> as public rights as well as private rights. The relevant head lessee, Qantas, was not operating as a purely private party, nor was it assuming duties under the head leases in a purely private capacity. As Lockhart J observed, Qantas had acquired the whole of the issued share capital of Australian Airlines and was carrying on its business under the </w:t>
      </w:r>
      <w:r w:rsidRPr="00EA38BE">
        <w:rPr>
          <w:rFonts w:ascii="Times New Roman" w:hAnsi="Times New Roman"/>
          <w:i/>
          <w:iCs/>
        </w:rPr>
        <w:t xml:space="preserve">Australian Airlines (Conversion to </w:t>
      </w:r>
      <w:r w:rsidRPr="00EA38BE">
        <w:rPr>
          <w:rFonts w:ascii="Times New Roman" w:hAnsi="Times New Roman"/>
          <w:i/>
          <w:iCs/>
        </w:rPr>
        <w:lastRenderedPageBreak/>
        <w:t>Public Company) Act 1988</w:t>
      </w:r>
      <w:r w:rsidRPr="00EA38BE">
        <w:rPr>
          <w:rFonts w:ascii="Times New Roman" w:hAnsi="Times New Roman"/>
          <w:iCs/>
        </w:rPr>
        <w:t> </w:t>
      </w:r>
      <w:r w:rsidRPr="00EA38BE">
        <w:rPr>
          <w:rFonts w:ascii="Times New Roman" w:hAnsi="Times New Roman"/>
        </w:rPr>
        <w:t>(</w:t>
      </w:r>
      <w:proofErr w:type="spellStart"/>
      <w:r w:rsidRPr="00EA38BE">
        <w:rPr>
          <w:rFonts w:ascii="Times New Roman" w:hAnsi="Times New Roman"/>
        </w:rPr>
        <w:t>Cth</w:t>
      </w:r>
      <w:proofErr w:type="spellEnd"/>
      <w:r w:rsidRPr="00EA38BE">
        <w:rPr>
          <w:rFonts w:ascii="Times New Roman" w:hAnsi="Times New Roman"/>
        </w:rPr>
        <w:t>)</w:t>
      </w:r>
      <w:r w:rsidRPr="00EA38BE">
        <w:rPr>
          <w:rStyle w:val="FootnoteReference"/>
          <w:rFonts w:ascii="Times New Roman" w:hAnsi="Times New Roman"/>
          <w:sz w:val="24"/>
        </w:rPr>
        <w:footnoteReference w:id="213"/>
      </w:r>
      <w:r w:rsidRPr="00EA38BE">
        <w:rPr>
          <w:rFonts w:ascii="Times New Roman" w:hAnsi="Times New Roman"/>
        </w:rPr>
        <w:t>. Further, as the primary judge explained</w:t>
      </w:r>
      <w:r w:rsidRPr="00EA38BE">
        <w:rPr>
          <w:rStyle w:val="FootnoteReference"/>
          <w:rFonts w:ascii="Times New Roman" w:hAnsi="Times New Roman"/>
          <w:sz w:val="24"/>
        </w:rPr>
        <w:footnoteReference w:id="214"/>
      </w:r>
      <w:r w:rsidRPr="00EA38BE">
        <w:rPr>
          <w:rFonts w:ascii="Times New Roman" w:hAnsi="Times New Roman"/>
        </w:rPr>
        <w:t xml:space="preserve">, the head leases were granted as part of a public policy of deregulation of the domestic aviation industry and a competition concern to enable new entrants into the domestic aviation industry by permitting them access to public infrastructure. The terms of the head leases required any sublessee to hold or have applied for licences under the </w:t>
      </w:r>
      <w:r w:rsidRPr="00EA38BE">
        <w:rPr>
          <w:rFonts w:ascii="Times New Roman" w:hAnsi="Times New Roman"/>
          <w:i/>
          <w:iCs/>
        </w:rPr>
        <w:t>Air Navigation Act 1920</w:t>
      </w:r>
      <w:r w:rsidRPr="00EA38BE">
        <w:rPr>
          <w:rFonts w:ascii="Times New Roman" w:hAnsi="Times New Roman"/>
          <w:iCs/>
        </w:rPr>
        <w:t> </w:t>
      </w:r>
      <w:r w:rsidRPr="00EA38BE">
        <w:rPr>
          <w:rFonts w:ascii="Times New Roman" w:hAnsi="Times New Roman"/>
        </w:rPr>
        <w:t>(</w:t>
      </w:r>
      <w:proofErr w:type="spellStart"/>
      <w:r w:rsidRPr="00EA38BE">
        <w:rPr>
          <w:rFonts w:ascii="Times New Roman" w:hAnsi="Times New Roman"/>
        </w:rPr>
        <w:t>Cth</w:t>
      </w:r>
      <w:proofErr w:type="spellEnd"/>
      <w:r w:rsidRPr="00EA38BE">
        <w:rPr>
          <w:rFonts w:ascii="Times New Roman" w:hAnsi="Times New Roman"/>
        </w:rPr>
        <w:t xml:space="preserve">) and the </w:t>
      </w:r>
      <w:r w:rsidRPr="00EA38BE">
        <w:rPr>
          <w:rFonts w:ascii="Times New Roman" w:hAnsi="Times New Roman"/>
          <w:i/>
        </w:rPr>
        <w:t>Air Navigation Regulations</w:t>
      </w:r>
      <w:r w:rsidRPr="00EA38BE">
        <w:rPr>
          <w:rFonts w:ascii="Times New Roman" w:hAnsi="Times New Roman"/>
        </w:rPr>
        <w:t>. The question whether Qantas was required to treat Aussie Airlines as a "new entrant to the domestic aviation industry" can thus be seen not merely as a matter of a private right between the head lessor and the head lessee but also as a duty that Qantas had assumed to the public generally.</w:t>
      </w:r>
    </w:p>
    <w:p w14:paraId="43C3F276"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For these reasons, the decisions of </w:t>
      </w:r>
      <w:r w:rsidRPr="00EA38BE">
        <w:rPr>
          <w:rFonts w:ascii="Times New Roman" w:hAnsi="Times New Roman"/>
          <w:i/>
          <w:iCs/>
        </w:rPr>
        <w:t xml:space="preserve">Edwards v Santos </w:t>
      </w:r>
      <w:r w:rsidRPr="00EA38BE">
        <w:rPr>
          <w:rFonts w:ascii="Times New Roman" w:hAnsi="Times New Roman"/>
        </w:rPr>
        <w:t xml:space="preserve">and </w:t>
      </w:r>
      <w:r w:rsidRPr="00EA38BE">
        <w:rPr>
          <w:rFonts w:ascii="Times New Roman" w:hAnsi="Times New Roman"/>
          <w:i/>
          <w:iCs/>
        </w:rPr>
        <w:t xml:space="preserve">Aussie Airlines </w:t>
      </w:r>
      <w:r w:rsidRPr="00EA38BE">
        <w:rPr>
          <w:rFonts w:ascii="Times New Roman" w:hAnsi="Times New Roman"/>
        </w:rPr>
        <w:t xml:space="preserve">should be understood as concerned with standing to enforce public rights </w:t>
      </w:r>
      <w:proofErr w:type="gramStart"/>
      <w:r w:rsidRPr="00EA38BE">
        <w:rPr>
          <w:rFonts w:ascii="Times New Roman" w:hAnsi="Times New Roman"/>
        </w:rPr>
        <w:t>on the basis of</w:t>
      </w:r>
      <w:proofErr w:type="gramEnd"/>
      <w:r w:rsidRPr="00EA38BE">
        <w:rPr>
          <w:rFonts w:ascii="Times New Roman" w:hAnsi="Times New Roman"/>
        </w:rPr>
        <w:t xml:space="preserve"> a special interest above that of the general public rather than as exceptions to the rule that private rights are enforceable only by those who hold the relevant right.</w:t>
      </w:r>
    </w:p>
    <w:p w14:paraId="4F396405"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The Commonwealth submitted that the Lessees were in the same position as Qantas in </w:t>
      </w:r>
      <w:r w:rsidRPr="00EA38BE">
        <w:rPr>
          <w:rFonts w:ascii="Times New Roman" w:hAnsi="Times New Roman"/>
          <w:i/>
          <w:iCs/>
        </w:rPr>
        <w:t xml:space="preserve">Aussie Airlines </w:t>
      </w:r>
      <w:r w:rsidRPr="00EA38BE">
        <w:rPr>
          <w:rFonts w:ascii="Times New Roman" w:hAnsi="Times New Roman"/>
        </w:rPr>
        <w:t xml:space="preserve">and that these proceedings are not accurately described as involving purely private rights. It is true that the Leases were granted pursuant to legislation, namely s 22 of the </w:t>
      </w:r>
      <w:r w:rsidRPr="00EA38BE">
        <w:rPr>
          <w:rFonts w:ascii="Times New Roman" w:hAnsi="Times New Roman"/>
          <w:i/>
          <w:iCs/>
        </w:rPr>
        <w:t>Airports (Transitional) Act 1996</w:t>
      </w:r>
      <w:r w:rsidRPr="00EA38BE">
        <w:rPr>
          <w:rFonts w:ascii="Times New Roman" w:hAnsi="Times New Roman"/>
          <w:iCs/>
        </w:rPr>
        <w:t> </w:t>
      </w:r>
      <w:r w:rsidRPr="00EA38BE">
        <w:rPr>
          <w:rFonts w:ascii="Times New Roman" w:hAnsi="Times New Roman"/>
        </w:rPr>
        <w:t>(</w:t>
      </w:r>
      <w:proofErr w:type="spellStart"/>
      <w:r w:rsidRPr="00EA38BE">
        <w:rPr>
          <w:rFonts w:ascii="Times New Roman" w:hAnsi="Times New Roman"/>
        </w:rPr>
        <w:t>Cth</w:t>
      </w:r>
      <w:proofErr w:type="spellEnd"/>
      <w:r w:rsidRPr="00EA38BE">
        <w:rPr>
          <w:rFonts w:ascii="Times New Roman" w:hAnsi="Times New Roman"/>
        </w:rPr>
        <w:t>), and that cl 26.2(a), in relation to which the declarations are sought, was consistent with a government policy concerning competition. And the relevant undertaking by the Lessees in cl 26.2(a) concerned public bodies, the Councils. But cl 26.2(a) did not create any public rights. The undertaking by the Lessees as to their obligations in relation to the Councils was made only to the Commonwealth. The Lessees, as private parties, had no interest in making such undertakings to the public at large and had no duty to do so. They did not make any public undertaking.</w:t>
      </w:r>
    </w:p>
    <w:p w14:paraId="67BEF4C6"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Further, if the proper interpretation of cl 26.2(a) of the Leases is that the Lessees have undertaken to the Commonwealth an obligation only to use reasonable endeavours to enter into an agreement with the Councils, then the suggestion that the Lessees made this undertaking to the public at large becomes even more far</w:t>
      </w:r>
      <w:r w:rsidRPr="00EA38BE">
        <w:rPr>
          <w:rFonts w:ascii="Times New Roman" w:hAnsi="Times New Roman"/>
        </w:rPr>
        <w:noBreakHyphen/>
        <w:t>fetched.</w:t>
      </w:r>
    </w:p>
    <w:p w14:paraId="23C12B6B"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The declarations sought</w:t>
      </w:r>
    </w:p>
    <w:p w14:paraId="44AB7965"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Apart from their lack of standing, there may be further problems with the declaratory relief sought by the Councils. The relief sought assumed that the </w:t>
      </w:r>
      <w:r w:rsidRPr="00EA38BE">
        <w:rPr>
          <w:rFonts w:ascii="Times New Roman" w:hAnsi="Times New Roman"/>
        </w:rPr>
        <w:lastRenderedPageBreak/>
        <w:t>Leases created a liability to make payments to the Councils in lieu of rates in accordance with criteria said to be set out in the applicable clause, namely cl 26.2(a). The Councils thus sought declarations in relevantly identical terms. The Clarence City Council sought declarations in the following terms:</w:t>
      </w:r>
    </w:p>
    <w:p w14:paraId="015CE326" w14:textId="77777777" w:rsidR="00744668" w:rsidRPr="00EA38BE" w:rsidRDefault="00744668" w:rsidP="00EA38BE">
      <w:pPr>
        <w:pStyle w:val="LRHangingafterHC"/>
        <w:spacing w:before="0" w:after="260" w:line="280" w:lineRule="exact"/>
        <w:ind w:right="0"/>
        <w:jc w:val="both"/>
        <w:rPr>
          <w:rFonts w:ascii="Times New Roman" w:hAnsi="Times New Roman"/>
        </w:rPr>
      </w:pPr>
      <w:r w:rsidRPr="00EA38BE">
        <w:rPr>
          <w:rFonts w:ascii="Times New Roman" w:hAnsi="Times New Roman"/>
        </w:rPr>
        <w:t>"(a)</w:t>
      </w:r>
      <w:r w:rsidRPr="00EA38BE">
        <w:rPr>
          <w:rFonts w:ascii="Times New Roman" w:hAnsi="Times New Roman"/>
        </w:rPr>
        <w:tab/>
        <w:t>Upon a proper construction of clause 26.2 of [the HIAPL lease] entered into between the [Commonwealth] as Lessor, and [HIAPL] as Lessee, dated 10 June 1998 and granted in respect of the land known as the Hobart Airport (the Lease) the areas that must be included in the calculation of the ex</w:t>
      </w:r>
      <w:r w:rsidRPr="00EA38BE">
        <w:rPr>
          <w:rFonts w:ascii="Times New Roman" w:hAnsi="Times New Roman"/>
        </w:rPr>
        <w:noBreakHyphen/>
        <w:t>gratia rates equivalent payment includes each of the areas specified in attachment 'A' to the amended statement of claim;</w:t>
      </w:r>
    </w:p>
    <w:p w14:paraId="6382D8E8"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(b)</w:t>
      </w:r>
      <w:r w:rsidRPr="00EA38BE">
        <w:rPr>
          <w:rFonts w:ascii="Times New Roman" w:hAnsi="Times New Roman"/>
        </w:rPr>
        <w:tab/>
        <w:t>A declaration that [HIAPL] is obliged to make payments to the applicant pursuant to clause 26.2 of the [L]ease:</w:t>
      </w:r>
    </w:p>
    <w:p w14:paraId="2DC82DA6"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(a)</w:t>
      </w:r>
      <w:r w:rsidRPr="00EA38BE">
        <w:rPr>
          <w:rFonts w:ascii="Times New Roman" w:hAnsi="Times New Roman"/>
        </w:rPr>
        <w:tab/>
        <w:t>calculated in accordance with valuations made by the Valuer</w:t>
      </w:r>
      <w:r w:rsidRPr="00EA38BE">
        <w:rPr>
          <w:rFonts w:ascii="Times New Roman" w:hAnsi="Times New Roman"/>
        </w:rPr>
        <w:noBreakHyphen/>
        <w:t>General pursuant to the Valuation of Land Act 2001 and as set out in the valuation list; and</w:t>
      </w:r>
    </w:p>
    <w:p w14:paraId="738C17C9"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(b)</w:t>
      </w:r>
      <w:r w:rsidRPr="00EA38BE">
        <w:rPr>
          <w:rFonts w:ascii="Times New Roman" w:hAnsi="Times New Roman"/>
        </w:rPr>
        <w:tab/>
        <w:t xml:space="preserve">as notified by the applicant in each </w:t>
      </w:r>
      <w:proofErr w:type="gramStart"/>
      <w:r w:rsidRPr="00EA38BE">
        <w:rPr>
          <w:rFonts w:ascii="Times New Roman" w:hAnsi="Times New Roman"/>
        </w:rPr>
        <w:t>rates</w:t>
      </w:r>
      <w:proofErr w:type="gramEnd"/>
      <w:r w:rsidRPr="00EA38BE">
        <w:rPr>
          <w:rFonts w:ascii="Times New Roman" w:hAnsi="Times New Roman"/>
        </w:rPr>
        <w:t xml:space="preserve"> notice issued by it to [HIAPL].</w:t>
      </w:r>
    </w:p>
    <w:p w14:paraId="60797C18"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(c)</w:t>
      </w:r>
      <w:r w:rsidRPr="00EA38BE">
        <w:rPr>
          <w:rFonts w:ascii="Times New Roman" w:hAnsi="Times New Roman"/>
        </w:rPr>
        <w:tab/>
        <w:t>A declaration that [HIAPL] has not correctly calculated the amount of each of the ex</w:t>
      </w:r>
      <w:r w:rsidRPr="00EA38BE">
        <w:rPr>
          <w:rFonts w:ascii="Times New Roman" w:hAnsi="Times New Roman"/>
        </w:rPr>
        <w:noBreakHyphen/>
        <w:t>gratia payments that it has made to the applicant in each of the financial years 2014/2015–2017/2018 inclusive pursuant to the Lease; and</w:t>
      </w:r>
    </w:p>
    <w:p w14:paraId="2F9A8B26" w14:textId="77777777" w:rsidR="00744668"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(d)</w:t>
      </w:r>
      <w:r w:rsidRPr="00EA38BE">
        <w:rPr>
          <w:rFonts w:ascii="Times New Roman" w:hAnsi="Times New Roman"/>
        </w:rPr>
        <w:tab/>
        <w:t>Alternatively, a declaration as to how the ex</w:t>
      </w:r>
      <w:r w:rsidRPr="00EA38BE">
        <w:rPr>
          <w:rFonts w:ascii="Times New Roman" w:hAnsi="Times New Roman"/>
        </w:rPr>
        <w:noBreakHyphen/>
        <w:t xml:space="preserve">gratia payment in lieu of rates </w:t>
      </w:r>
      <w:proofErr w:type="gramStart"/>
      <w:r w:rsidRPr="00EA38BE">
        <w:rPr>
          <w:rFonts w:ascii="Times New Roman" w:hAnsi="Times New Roman"/>
        </w:rPr>
        <w:t>is</w:t>
      </w:r>
      <w:proofErr w:type="gramEnd"/>
      <w:r w:rsidRPr="00EA38BE">
        <w:rPr>
          <w:rFonts w:ascii="Times New Roman" w:hAnsi="Times New Roman"/>
        </w:rPr>
        <w:t xml:space="preserve"> to be calculated in accordance with clause 26.2 of the Lease."</w:t>
      </w:r>
    </w:p>
    <w:p w14:paraId="56D8EFE5"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foregoing relief reflects the substance of two disputes between the Lessees and the Councils</w:t>
      </w:r>
      <w:r w:rsidRPr="00EA38BE">
        <w:rPr>
          <w:rStyle w:val="FootnoteReference"/>
          <w:rFonts w:ascii="Times New Roman" w:hAnsi="Times New Roman"/>
          <w:sz w:val="24"/>
        </w:rPr>
        <w:footnoteReference w:id="215"/>
      </w:r>
      <w:r w:rsidRPr="00EA38BE">
        <w:rPr>
          <w:rFonts w:ascii="Times New Roman" w:hAnsi="Times New Roman"/>
        </w:rPr>
        <w:t xml:space="preserve">. The first dispute concerns the identification of those parts of the Airport Sites for which payments in lieu of rates are to be made. For that purpose, the meaning of the phrase "trading or financial operations" as used in cl 26.2(a) is in dispute. The second dispute concerns the correct valuation methodology to apply to determine the Lessees' liability. It engages with the following phrase used in cl 26.2(a): "being equivalent to the amount which would be payable for rates as if such rates were leviable or payable". The parties assumed </w:t>
      </w:r>
      <w:r w:rsidRPr="00EA38BE">
        <w:rPr>
          <w:rFonts w:ascii="Times New Roman" w:hAnsi="Times New Roman"/>
        </w:rPr>
        <w:lastRenderedPageBreak/>
        <w:t>that the correct meaning of each phrase of cl 26.2(a) is a matter about which a court may make declarations.</w:t>
      </w:r>
    </w:p>
    <w:p w14:paraId="5B77FBC8"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 xml:space="preserve">For the reasons already given, that assumption may be mistaken. Even if the Councils had standing to seek the declarations on remittal of this matter, if the only obligation to which the Lessees are subject in cl 26.2(a) is to use reasonable endeavours to enter into an agreement with the Councils, then declarations </w:t>
      </w:r>
      <w:proofErr w:type="gramStart"/>
      <w:r w:rsidRPr="00EA38BE">
        <w:rPr>
          <w:rFonts w:ascii="Times New Roman" w:hAnsi="Times New Roman"/>
        </w:rPr>
        <w:t>in the nature of those</w:t>
      </w:r>
      <w:proofErr w:type="gramEnd"/>
      <w:r w:rsidRPr="00EA38BE">
        <w:rPr>
          <w:rFonts w:ascii="Times New Roman" w:hAnsi="Times New Roman"/>
        </w:rPr>
        <w:t xml:space="preserve"> sought by the Councils could not be made. The only declaration that the Councils could seek, as informed by the language of cl 26.2(a), would be about the content of the Lessees' promise to use "reasonable endeavours".</w:t>
      </w:r>
    </w:p>
    <w:p w14:paraId="25030E76"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Furthermore, a court should not make declarations that might inhibit the negotiations to be had between the Lessees and the Councils. Nor should a court make declarations that, in effect, write critical terms into a contract for the parties</w:t>
      </w:r>
      <w:r w:rsidRPr="00EA38BE">
        <w:rPr>
          <w:rStyle w:val="FootnoteReference"/>
          <w:rFonts w:ascii="Times New Roman" w:hAnsi="Times New Roman"/>
          <w:sz w:val="24"/>
        </w:rPr>
        <w:footnoteReference w:id="216"/>
      </w:r>
      <w:r w:rsidRPr="00EA38BE">
        <w:rPr>
          <w:rFonts w:ascii="Times New Roman" w:hAnsi="Times New Roman"/>
        </w:rPr>
        <w:t>. It follows that, even if the Councils had standing, on the interpretation of cl 26.2(a) that confines the Lessees' obligation to using reasonable endeavours to enter into an agreement with the Councils, the Councils would be in no position to seek declarations as if the words in cl 26.2(a) created criteria for liability that may be the subject of judicial determination. Rather, the Councils may only legitimately seek a declaration about the content of the Lessees' promise in cl 26.2(a) to use reasonable endeavours. On that interpretation, it will be a matter for the trial judge on remittal of this matter to determine what declarations, if any, may be made about the content of that promise. It may even be the case that the Lessees and the Councils ultimately find that they are not in disagreement about the content of that promise.</w:t>
      </w:r>
    </w:p>
    <w:p w14:paraId="014E8070"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The reference in the foregoing paragraph to what declarations "if any" might be made is a reference to the discretion retained by the court as to whether declarations should be ordered. In that respect, much will depend upon the content of the declarations that might be made. The Councils assert that declaratory relief will assist them in their negotiations with the Lessees. That statement warrants some scrutiny. That is because the Councils concede, properly, that they cannot enforce any declarations they might obtain against the Lessees. Because of this, practically speaking, as between the Councils and the Lessees, the parties will have obtained no more than non</w:t>
      </w:r>
      <w:r w:rsidRPr="00EA38BE">
        <w:rPr>
          <w:rFonts w:ascii="Times New Roman" w:hAnsi="Times New Roman"/>
        </w:rPr>
        <w:noBreakHyphen/>
        <w:t xml:space="preserve">binding relief, and the orders of a court will have no more substantive effect than an early neutral evaluation. Thus, if the Lessees were to state in negotiations that they did not accept the correctness of any relief obtained by the Councils, the most the Councils could then do would be to call upon the Commonwealth to intervene. In other words, declaratory relief will not </w:t>
      </w:r>
      <w:r w:rsidRPr="00EA38BE">
        <w:rPr>
          <w:rFonts w:ascii="Times New Roman" w:hAnsi="Times New Roman"/>
        </w:rPr>
        <w:lastRenderedPageBreak/>
        <w:t>arm the Councils with any legal rights they might deploy; the Councils will still only have what they presently retain, being a moral right to seek the assistance of the Commonwealth. In such circumstances, the granting of declaratory relief may be inutile.</w:t>
      </w:r>
    </w:p>
    <w:p w14:paraId="3BA20BAD" w14:textId="77777777" w:rsidR="00744668" w:rsidRPr="00EA38BE" w:rsidRDefault="00744668" w:rsidP="00EA38BE">
      <w:pPr>
        <w:pStyle w:val="HeadingL1"/>
        <w:spacing w:after="260" w:line="280" w:lineRule="exact"/>
        <w:ind w:right="0"/>
        <w:jc w:val="both"/>
        <w:rPr>
          <w:rFonts w:ascii="Times New Roman" w:hAnsi="Times New Roman"/>
        </w:rPr>
      </w:pPr>
      <w:r w:rsidRPr="00EA38BE">
        <w:rPr>
          <w:rFonts w:ascii="Times New Roman" w:hAnsi="Times New Roman"/>
        </w:rPr>
        <w:t>Conclusion</w:t>
      </w:r>
    </w:p>
    <w:p w14:paraId="52A6AE29" w14:textId="77777777" w:rsidR="00744668" w:rsidRPr="00EA38BE" w:rsidRDefault="00744668" w:rsidP="00EA38BE">
      <w:pPr>
        <w:pStyle w:val="FixListStyle"/>
        <w:spacing w:after="260" w:line="280" w:lineRule="exact"/>
        <w:ind w:right="0"/>
        <w:jc w:val="both"/>
        <w:rPr>
          <w:rFonts w:ascii="Times New Roman" w:hAnsi="Times New Roman"/>
        </w:rPr>
      </w:pPr>
      <w:r w:rsidRPr="00EA38BE">
        <w:rPr>
          <w:rFonts w:ascii="Times New Roman" w:hAnsi="Times New Roman"/>
        </w:rPr>
        <w:tab/>
        <w:t>In each appeal, orders should be made as follows:</w:t>
      </w:r>
    </w:p>
    <w:p w14:paraId="5F7436AE"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(1)</w:t>
      </w:r>
      <w:r w:rsidRPr="00EA38BE">
        <w:rPr>
          <w:rFonts w:ascii="Times New Roman" w:hAnsi="Times New Roman"/>
        </w:rPr>
        <w:tab/>
        <w:t>The appeal be allowed.</w:t>
      </w:r>
    </w:p>
    <w:p w14:paraId="08629E9C" w14:textId="77777777" w:rsidR="00744668" w:rsidRPr="00EA38BE" w:rsidRDefault="00744668" w:rsidP="00EA38BE">
      <w:pPr>
        <w:pStyle w:val="LeftrightHanging"/>
        <w:spacing w:before="0" w:after="260" w:line="280" w:lineRule="exact"/>
        <w:ind w:right="0"/>
        <w:jc w:val="both"/>
        <w:rPr>
          <w:rFonts w:ascii="Times New Roman" w:hAnsi="Times New Roman"/>
        </w:rPr>
      </w:pPr>
      <w:r w:rsidRPr="00EA38BE">
        <w:rPr>
          <w:rFonts w:ascii="Times New Roman" w:hAnsi="Times New Roman"/>
        </w:rPr>
        <w:t>(2)</w:t>
      </w:r>
      <w:r w:rsidRPr="00EA38BE">
        <w:rPr>
          <w:rFonts w:ascii="Times New Roman" w:hAnsi="Times New Roman"/>
        </w:rPr>
        <w:tab/>
        <w:t>Of the orders made by the Full Court of the Federal Court of Australia, set aside orders 1 to 4 made on 6 August 2020 and orders 1 to 3 made on 11 September 2020 and, in lieu thereof, order that:</w:t>
      </w:r>
    </w:p>
    <w:p w14:paraId="4A6B81A4"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(a)</w:t>
      </w:r>
      <w:r w:rsidRPr="00EA38BE">
        <w:rPr>
          <w:rFonts w:ascii="Times New Roman" w:hAnsi="Times New Roman"/>
        </w:rPr>
        <w:tab/>
      </w:r>
      <w:r>
        <w:rPr>
          <w:rFonts w:ascii="Times New Roman" w:hAnsi="Times New Roman"/>
        </w:rPr>
        <w:t>t</w:t>
      </w:r>
      <w:r w:rsidRPr="00EA38BE">
        <w:rPr>
          <w:rFonts w:ascii="Times New Roman" w:hAnsi="Times New Roman"/>
        </w:rPr>
        <w:t>he appeal be dismissed; and</w:t>
      </w:r>
    </w:p>
    <w:p w14:paraId="1959488C" w14:textId="77777777" w:rsidR="00744668" w:rsidRPr="00EA38BE" w:rsidRDefault="00744668" w:rsidP="00EA38BE">
      <w:pPr>
        <w:pStyle w:val="LRHangingMore"/>
        <w:spacing w:before="0" w:after="260" w:line="280" w:lineRule="exact"/>
        <w:ind w:right="0"/>
        <w:jc w:val="both"/>
        <w:rPr>
          <w:rFonts w:ascii="Times New Roman" w:hAnsi="Times New Roman"/>
        </w:rPr>
      </w:pPr>
      <w:r w:rsidRPr="00EA38BE">
        <w:rPr>
          <w:rFonts w:ascii="Times New Roman" w:hAnsi="Times New Roman"/>
        </w:rPr>
        <w:t>(b)</w:t>
      </w:r>
      <w:r w:rsidRPr="00EA38BE">
        <w:rPr>
          <w:rFonts w:ascii="Times New Roman" w:hAnsi="Times New Roman"/>
        </w:rPr>
        <w:tab/>
        <w:t>the appellant [each Council] pay the costs of the second respondent [HIAPL and APAL respectively].</w:t>
      </w:r>
    </w:p>
    <w:p w14:paraId="31DE259D" w14:textId="3FDFD030" w:rsidR="00B31260" w:rsidRPr="00744668" w:rsidRDefault="00744668" w:rsidP="003B0993">
      <w:pPr>
        <w:pStyle w:val="LeftrightHanging"/>
        <w:spacing w:before="0" w:after="260" w:line="280" w:lineRule="exact"/>
        <w:ind w:right="0"/>
        <w:jc w:val="both"/>
        <w:rPr>
          <w:rFonts w:ascii="Times New Roman" w:hAnsi="Times New Roman"/>
        </w:rPr>
      </w:pPr>
      <w:r w:rsidRPr="00EA38BE">
        <w:rPr>
          <w:rFonts w:ascii="Times New Roman" w:hAnsi="Times New Roman"/>
        </w:rPr>
        <w:t>(3)</w:t>
      </w:r>
      <w:r w:rsidRPr="00EA38BE">
        <w:rPr>
          <w:rFonts w:ascii="Times New Roman" w:hAnsi="Times New Roman"/>
        </w:rPr>
        <w:tab/>
        <w:t>The first respondent [each Council] pay the costs of the appellant [HIAPL and APAL respectively] in this Court.</w:t>
      </w:r>
    </w:p>
    <w:sectPr w:rsidR="00B31260" w:rsidRPr="00744668" w:rsidSect="003B0993">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948D" w14:textId="77777777" w:rsidR="00E60D6D" w:rsidRDefault="00E60D6D">
      <w:pPr>
        <w:spacing w:line="240" w:lineRule="auto"/>
      </w:pPr>
      <w:r>
        <w:separator/>
      </w:r>
    </w:p>
  </w:endnote>
  <w:endnote w:type="continuationSeparator" w:id="0">
    <w:p w14:paraId="61804BA0" w14:textId="77777777" w:rsidR="00E60D6D" w:rsidRDefault="00E60D6D">
      <w:pPr>
        <w:spacing w:line="240" w:lineRule="auto"/>
      </w:pPr>
      <w:r>
        <w:continuationSeparator/>
      </w:r>
    </w:p>
  </w:endnote>
  <w:endnote w:type="continuationNotice" w:id="1">
    <w:p w14:paraId="2DA469DD" w14:textId="77777777" w:rsidR="00E60D6D" w:rsidRDefault="00E60D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4435" w14:textId="77777777" w:rsidR="00F055FC" w:rsidRDefault="00F05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4D23" w14:textId="77777777" w:rsidR="00F055FC" w:rsidRDefault="00F05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779" w14:textId="77777777" w:rsidR="00F055FC" w:rsidRDefault="00F055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7464" w14:textId="77777777" w:rsidR="00F055FC" w:rsidRDefault="00F055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C0D6" w14:textId="77777777" w:rsidR="00F055FC" w:rsidRDefault="00F055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FEC6" w14:textId="77777777" w:rsidR="00F055FC" w:rsidRDefault="00F055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428D" w14:textId="77777777" w:rsidR="00EA38BE" w:rsidRDefault="00E60D6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DB42" w14:textId="77777777" w:rsidR="00EA38BE" w:rsidRDefault="00E60D6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2894" w14:textId="77777777" w:rsidR="00EA38BE" w:rsidRDefault="00E6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F1E7" w14:textId="77777777" w:rsidR="00E60D6D" w:rsidRPr="002849F1" w:rsidRDefault="00E60D6D" w:rsidP="002849F1">
      <w:pPr>
        <w:pStyle w:val="Footer"/>
        <w:spacing w:before="120" w:after="20"/>
        <w:ind w:right="0"/>
        <w:rPr>
          <w:rFonts w:ascii="Times New Roman" w:hAnsi="Times New Roman"/>
        </w:rPr>
      </w:pPr>
      <w:r>
        <w:continuationSeparator/>
      </w:r>
    </w:p>
  </w:footnote>
  <w:footnote w:type="continuationSeparator" w:id="0">
    <w:p w14:paraId="2599954E" w14:textId="77777777" w:rsidR="00E60D6D" w:rsidRPr="002849F1" w:rsidRDefault="00E60D6D" w:rsidP="002849F1">
      <w:pPr>
        <w:pStyle w:val="Footer"/>
        <w:spacing w:before="120" w:after="20"/>
        <w:ind w:right="0"/>
        <w:rPr>
          <w:rFonts w:ascii="Times New Roman" w:hAnsi="Times New Roman"/>
        </w:rPr>
      </w:pPr>
      <w:r w:rsidRPr="002849F1">
        <w:rPr>
          <w:rFonts w:ascii="Times New Roman" w:hAnsi="Times New Roman"/>
        </w:rPr>
        <w:continuationSeparator/>
      </w:r>
    </w:p>
  </w:footnote>
  <w:footnote w:type="continuationNotice" w:id="1">
    <w:p w14:paraId="28E8C7DA" w14:textId="77777777" w:rsidR="00E60D6D" w:rsidRPr="003B0993" w:rsidRDefault="00E60D6D">
      <w:pPr>
        <w:jc w:val="right"/>
        <w:rPr>
          <w:rFonts w:ascii="Times New Roman" w:hAnsi="Times New Roman"/>
          <w:sz w:val="24"/>
        </w:rPr>
      </w:pPr>
    </w:p>
  </w:footnote>
  <w:footnote w:id="2">
    <w:p w14:paraId="20F43805" w14:textId="37580321"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See also s</w:t>
      </w:r>
      <w:r w:rsidR="009E0A75" w:rsidRPr="002849F1">
        <w:rPr>
          <w:rFonts w:ascii="Times New Roman" w:hAnsi="Times New Roman"/>
          <w:sz w:val="24"/>
        </w:rPr>
        <w:t> </w:t>
      </w:r>
      <w:r w:rsidRPr="002849F1">
        <w:rPr>
          <w:rFonts w:ascii="Times New Roman" w:hAnsi="Times New Roman"/>
          <w:sz w:val="24"/>
        </w:rPr>
        <w:t xml:space="preserve">52(i) of the </w:t>
      </w:r>
      <w:r w:rsidRPr="002849F1">
        <w:rPr>
          <w:rFonts w:ascii="Times New Roman" w:hAnsi="Times New Roman"/>
          <w:i/>
          <w:sz w:val="24"/>
        </w:rPr>
        <w:t>Constitution</w:t>
      </w:r>
      <w:r w:rsidRPr="002849F1">
        <w:rPr>
          <w:rFonts w:ascii="Times New Roman" w:hAnsi="Times New Roman"/>
          <w:sz w:val="24"/>
        </w:rPr>
        <w:t xml:space="preserve">, which </w:t>
      </w:r>
      <w:r w:rsidR="001C6796" w:rsidRPr="002849F1">
        <w:rPr>
          <w:rFonts w:ascii="Times New Roman" w:hAnsi="Times New Roman"/>
          <w:sz w:val="24"/>
        </w:rPr>
        <w:t xml:space="preserve">relevantly </w:t>
      </w:r>
      <w:r w:rsidRPr="002849F1">
        <w:rPr>
          <w:rFonts w:ascii="Times New Roman" w:hAnsi="Times New Roman"/>
          <w:sz w:val="24"/>
        </w:rPr>
        <w:t>confers exclusive power on the Commonwealth Parliament to make laws with respect to "all places acquired by the Commonwealth for public purposes".</w:t>
      </w:r>
    </w:p>
  </w:footnote>
  <w:footnote w:id="3">
    <w:p w14:paraId="5415E72A" w14:textId="173F5E5B"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Bartsch, </w:t>
      </w:r>
      <w:r w:rsidRPr="002849F1">
        <w:rPr>
          <w:rFonts w:ascii="Times New Roman" w:hAnsi="Times New Roman"/>
          <w:i/>
          <w:sz w:val="24"/>
        </w:rPr>
        <w:t>Aviation Law in Australia</w:t>
      </w:r>
      <w:r w:rsidR="00BF315B" w:rsidRPr="002849F1">
        <w:rPr>
          <w:rFonts w:ascii="Times New Roman" w:hAnsi="Times New Roman"/>
          <w:sz w:val="24"/>
        </w:rPr>
        <w:t>,</w:t>
      </w:r>
      <w:r w:rsidR="00BF315B" w:rsidRPr="002849F1">
        <w:rPr>
          <w:rFonts w:ascii="Times New Roman" w:hAnsi="Times New Roman"/>
          <w:i/>
          <w:sz w:val="24"/>
        </w:rPr>
        <w:t xml:space="preserve"> </w:t>
      </w:r>
      <w:r w:rsidR="00BF315B" w:rsidRPr="002849F1">
        <w:rPr>
          <w:rFonts w:ascii="Times New Roman" w:hAnsi="Times New Roman"/>
          <w:sz w:val="24"/>
        </w:rPr>
        <w:t>5th ed</w:t>
      </w:r>
      <w:r w:rsidRPr="002849F1">
        <w:rPr>
          <w:rFonts w:ascii="Times New Roman" w:hAnsi="Times New Roman"/>
          <w:sz w:val="24"/>
        </w:rPr>
        <w:t xml:space="preserve"> (2019) at 596</w:t>
      </w:r>
      <w:r w:rsidR="004E4008" w:rsidRPr="002849F1">
        <w:rPr>
          <w:rFonts w:ascii="Times New Roman" w:hAnsi="Times New Roman"/>
          <w:sz w:val="24"/>
        </w:rPr>
        <w:t xml:space="preserve"> [13.10]</w:t>
      </w:r>
      <w:r w:rsidRPr="002849F1">
        <w:rPr>
          <w:rFonts w:ascii="Times New Roman" w:hAnsi="Times New Roman"/>
          <w:sz w:val="24"/>
        </w:rPr>
        <w:t xml:space="preserve">; </w:t>
      </w:r>
      <w:r w:rsidR="002413D1" w:rsidRPr="002849F1">
        <w:rPr>
          <w:rFonts w:ascii="Times New Roman" w:hAnsi="Times New Roman"/>
          <w:sz w:val="24"/>
        </w:rPr>
        <w:t xml:space="preserve">Commonwealth, </w:t>
      </w:r>
      <w:r w:rsidR="0055756B" w:rsidRPr="002849F1">
        <w:rPr>
          <w:rFonts w:ascii="Times New Roman" w:hAnsi="Times New Roman"/>
          <w:sz w:val="24"/>
        </w:rPr>
        <w:t>Auditor-General</w:t>
      </w:r>
      <w:r w:rsidRPr="002849F1">
        <w:rPr>
          <w:rFonts w:ascii="Times New Roman" w:hAnsi="Times New Roman"/>
          <w:sz w:val="24"/>
        </w:rPr>
        <w:t>,</w:t>
      </w:r>
      <w:r w:rsidRPr="002849F1">
        <w:rPr>
          <w:rFonts w:ascii="Times New Roman" w:hAnsi="Times New Roman"/>
          <w:i/>
          <w:sz w:val="24"/>
        </w:rPr>
        <w:t xml:space="preserve"> Management of Airport Leases: Follow</w:t>
      </w:r>
      <w:r w:rsidR="00B26676" w:rsidRPr="002849F1">
        <w:rPr>
          <w:rFonts w:ascii="Times New Roman" w:hAnsi="Times New Roman"/>
          <w:i/>
          <w:sz w:val="24"/>
        </w:rPr>
        <w:t xml:space="preserve"> </w:t>
      </w:r>
      <w:r w:rsidRPr="002849F1">
        <w:rPr>
          <w:rFonts w:ascii="Times New Roman" w:hAnsi="Times New Roman"/>
          <w:i/>
          <w:sz w:val="24"/>
        </w:rPr>
        <w:t>up</w:t>
      </w:r>
      <w:r w:rsidR="00DE4C3B" w:rsidRPr="002849F1">
        <w:rPr>
          <w:rFonts w:ascii="Times New Roman" w:hAnsi="Times New Roman"/>
          <w:sz w:val="24"/>
        </w:rPr>
        <w:t xml:space="preserve">, </w:t>
      </w:r>
      <w:r w:rsidR="000E043B" w:rsidRPr="002849F1">
        <w:rPr>
          <w:rFonts w:ascii="Times New Roman" w:hAnsi="Times New Roman"/>
          <w:sz w:val="24"/>
        </w:rPr>
        <w:t xml:space="preserve">Audit </w:t>
      </w:r>
      <w:r w:rsidR="00DE4C3B" w:rsidRPr="002849F1">
        <w:rPr>
          <w:rFonts w:ascii="Times New Roman" w:hAnsi="Times New Roman"/>
          <w:sz w:val="24"/>
        </w:rPr>
        <w:t xml:space="preserve">Report No 25 </w:t>
      </w:r>
      <w:r w:rsidR="007118D5" w:rsidRPr="002849F1">
        <w:rPr>
          <w:rFonts w:ascii="Times New Roman" w:hAnsi="Times New Roman"/>
          <w:sz w:val="24"/>
        </w:rPr>
        <w:t>2006</w:t>
      </w:r>
      <w:r w:rsidR="00CE6C3B" w:rsidRPr="002849F1">
        <w:rPr>
          <w:rFonts w:ascii="Times New Roman" w:hAnsi="Times New Roman"/>
          <w:sz w:val="24"/>
        </w:rPr>
        <w:t>-</w:t>
      </w:r>
      <w:r w:rsidR="00887F5C" w:rsidRPr="002849F1">
        <w:rPr>
          <w:rFonts w:ascii="Times New Roman" w:hAnsi="Times New Roman"/>
          <w:sz w:val="24"/>
        </w:rPr>
        <w:t>07</w:t>
      </w:r>
      <w:r w:rsidRPr="002849F1">
        <w:rPr>
          <w:rFonts w:ascii="Times New Roman" w:hAnsi="Times New Roman"/>
          <w:sz w:val="24"/>
        </w:rPr>
        <w:t xml:space="preserve"> (2007) at 21</w:t>
      </w:r>
      <w:r w:rsidR="00D81992" w:rsidRPr="002849F1">
        <w:rPr>
          <w:rFonts w:ascii="Times New Roman" w:hAnsi="Times New Roman"/>
          <w:sz w:val="24"/>
        </w:rPr>
        <w:t xml:space="preserve"> [1.1]</w:t>
      </w:r>
      <w:r w:rsidRPr="002849F1">
        <w:rPr>
          <w:rFonts w:ascii="Times New Roman" w:hAnsi="Times New Roman"/>
          <w:sz w:val="24"/>
        </w:rPr>
        <w:t>.</w:t>
      </w:r>
    </w:p>
  </w:footnote>
  <w:footnote w:id="4">
    <w:p w14:paraId="67521DCE" w14:textId="75137D5B"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Federal Airports Corporation</w:t>
      </w:r>
      <w:r w:rsidR="00AE76EE" w:rsidRPr="002849F1">
        <w:rPr>
          <w:rFonts w:ascii="Times New Roman" w:hAnsi="Times New Roman"/>
          <w:sz w:val="24"/>
        </w:rPr>
        <w:t>,</w:t>
      </w:r>
      <w:r w:rsidRPr="002849F1">
        <w:rPr>
          <w:rFonts w:ascii="Times New Roman" w:hAnsi="Times New Roman"/>
          <w:sz w:val="24"/>
        </w:rPr>
        <w:t xml:space="preserve"> </w:t>
      </w:r>
      <w:r w:rsidRPr="002849F1">
        <w:rPr>
          <w:rFonts w:ascii="Times New Roman" w:hAnsi="Times New Roman"/>
          <w:i/>
          <w:sz w:val="24"/>
        </w:rPr>
        <w:t>Policy Manual</w:t>
      </w:r>
      <w:r w:rsidR="000A3951" w:rsidRPr="002849F1">
        <w:rPr>
          <w:rFonts w:ascii="Times New Roman" w:hAnsi="Times New Roman"/>
          <w:i/>
          <w:sz w:val="24"/>
        </w:rPr>
        <w:t>,</w:t>
      </w:r>
      <w:r w:rsidRPr="002849F1">
        <w:rPr>
          <w:rFonts w:ascii="Times New Roman" w:hAnsi="Times New Roman"/>
          <w:i/>
          <w:sz w:val="24"/>
        </w:rPr>
        <w:t xml:space="preserve"> Volume 8: Property Policy</w:t>
      </w:r>
      <w:r w:rsidR="00E75D88" w:rsidRPr="002849F1">
        <w:rPr>
          <w:rFonts w:ascii="Times New Roman" w:hAnsi="Times New Roman"/>
          <w:sz w:val="24"/>
        </w:rPr>
        <w:t xml:space="preserve">, </w:t>
      </w:r>
      <w:r w:rsidR="00F90C03" w:rsidRPr="002849F1">
        <w:rPr>
          <w:rFonts w:ascii="Times New Roman" w:hAnsi="Times New Roman"/>
          <w:sz w:val="24"/>
        </w:rPr>
        <w:t>R</w:t>
      </w:r>
      <w:r w:rsidR="00FE5610" w:rsidRPr="002849F1">
        <w:rPr>
          <w:rFonts w:ascii="Times New Roman" w:hAnsi="Times New Roman"/>
          <w:sz w:val="24"/>
        </w:rPr>
        <w:t>evis</w:t>
      </w:r>
      <w:r w:rsidR="00F90C03" w:rsidRPr="002849F1">
        <w:rPr>
          <w:rFonts w:ascii="Times New Roman" w:hAnsi="Times New Roman"/>
          <w:sz w:val="24"/>
        </w:rPr>
        <w:t>ion</w:t>
      </w:r>
      <w:r w:rsidR="002400C3">
        <w:rPr>
          <w:rFonts w:ascii="Times New Roman" w:hAnsi="Times New Roman"/>
          <w:sz w:val="24"/>
        </w:rPr>
        <w:t> </w:t>
      </w:r>
      <w:r w:rsidR="00F90C03" w:rsidRPr="002849F1">
        <w:rPr>
          <w:rFonts w:ascii="Times New Roman" w:hAnsi="Times New Roman"/>
          <w:sz w:val="24"/>
        </w:rPr>
        <w:t>1</w:t>
      </w:r>
      <w:r w:rsidR="00FE5610" w:rsidRPr="002849F1">
        <w:rPr>
          <w:rFonts w:ascii="Times New Roman" w:hAnsi="Times New Roman"/>
          <w:sz w:val="24"/>
        </w:rPr>
        <w:t xml:space="preserve"> </w:t>
      </w:r>
      <w:r w:rsidRPr="002849F1">
        <w:rPr>
          <w:rFonts w:ascii="Times New Roman" w:hAnsi="Times New Roman"/>
          <w:sz w:val="24"/>
        </w:rPr>
        <w:t>(</w:t>
      </w:r>
      <w:r w:rsidR="00F90C03" w:rsidRPr="002849F1">
        <w:rPr>
          <w:rFonts w:ascii="Times New Roman" w:hAnsi="Times New Roman"/>
          <w:sz w:val="24"/>
        </w:rPr>
        <w:t xml:space="preserve">November </w:t>
      </w:r>
      <w:r w:rsidR="00362624" w:rsidRPr="002849F1">
        <w:rPr>
          <w:rFonts w:ascii="Times New Roman" w:hAnsi="Times New Roman"/>
          <w:sz w:val="24"/>
        </w:rPr>
        <w:t>1995</w:t>
      </w:r>
      <w:r w:rsidRPr="002849F1">
        <w:rPr>
          <w:rFonts w:ascii="Times New Roman" w:hAnsi="Times New Roman"/>
          <w:sz w:val="24"/>
        </w:rPr>
        <w:t xml:space="preserve">) </w:t>
      </w:r>
      <w:r w:rsidR="00A461A3" w:rsidRPr="002849F1">
        <w:rPr>
          <w:rFonts w:ascii="Times New Roman" w:hAnsi="Times New Roman"/>
          <w:sz w:val="24"/>
        </w:rPr>
        <w:t>at</w:t>
      </w:r>
      <w:r w:rsidR="00D0420E" w:rsidRPr="002849F1">
        <w:rPr>
          <w:rFonts w:ascii="Times New Roman" w:hAnsi="Times New Roman"/>
          <w:sz w:val="24"/>
        </w:rPr>
        <w:t xml:space="preserve"> </w:t>
      </w:r>
      <w:r w:rsidR="00A461A3" w:rsidRPr="002849F1">
        <w:rPr>
          <w:rFonts w:ascii="Times New Roman" w:hAnsi="Times New Roman"/>
          <w:sz w:val="24"/>
        </w:rPr>
        <w:t>[4.6</w:t>
      </w:r>
      <w:r w:rsidR="00D0420E" w:rsidRPr="002849F1">
        <w:rPr>
          <w:rFonts w:ascii="Times New Roman" w:hAnsi="Times New Roman"/>
          <w:sz w:val="24"/>
        </w:rPr>
        <w:t>.1</w:t>
      </w:r>
      <w:r w:rsidR="00A461A3" w:rsidRPr="002849F1">
        <w:rPr>
          <w:rFonts w:ascii="Times New Roman" w:hAnsi="Times New Roman"/>
          <w:sz w:val="24"/>
        </w:rPr>
        <w:t>]</w:t>
      </w:r>
      <w:r w:rsidRPr="002849F1">
        <w:rPr>
          <w:rFonts w:ascii="Times New Roman" w:hAnsi="Times New Roman"/>
          <w:sz w:val="24"/>
        </w:rPr>
        <w:t>.</w:t>
      </w:r>
    </w:p>
  </w:footnote>
  <w:footnote w:id="5">
    <w:p w14:paraId="544E6916" w14:textId="317CE4BB"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Federal Airports Corporation Act 1986</w:t>
      </w:r>
      <w:r w:rsidRPr="002849F1">
        <w:rPr>
          <w:rFonts w:ascii="Times New Roman" w:hAnsi="Times New Roman"/>
          <w:sz w:val="24"/>
        </w:rPr>
        <w:t xml:space="preserve"> (Cth), s</w:t>
      </w:r>
      <w:r w:rsidR="009E0A75" w:rsidRPr="002849F1">
        <w:rPr>
          <w:rFonts w:ascii="Times New Roman" w:hAnsi="Times New Roman"/>
          <w:sz w:val="24"/>
        </w:rPr>
        <w:t> </w:t>
      </w:r>
      <w:r w:rsidRPr="002849F1">
        <w:rPr>
          <w:rFonts w:ascii="Times New Roman" w:hAnsi="Times New Roman"/>
          <w:sz w:val="24"/>
        </w:rPr>
        <w:t>45</w:t>
      </w:r>
      <w:r w:rsidR="007756B3" w:rsidRPr="002849F1">
        <w:rPr>
          <w:rFonts w:ascii="Times New Roman" w:hAnsi="Times New Roman"/>
          <w:sz w:val="24"/>
        </w:rPr>
        <w:t>(1)</w:t>
      </w:r>
      <w:r w:rsidRPr="002849F1">
        <w:rPr>
          <w:rFonts w:ascii="Times New Roman" w:hAnsi="Times New Roman"/>
          <w:sz w:val="24"/>
        </w:rPr>
        <w:t>.</w:t>
      </w:r>
    </w:p>
  </w:footnote>
  <w:footnote w:id="6">
    <w:p w14:paraId="5F22577E" w14:textId="07BD0406"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Federal Airports Corporation</w:t>
      </w:r>
      <w:r w:rsidR="00A9723E" w:rsidRPr="002849F1">
        <w:rPr>
          <w:rFonts w:ascii="Times New Roman" w:hAnsi="Times New Roman"/>
          <w:sz w:val="24"/>
        </w:rPr>
        <w:t>,</w:t>
      </w:r>
      <w:r w:rsidRPr="002849F1">
        <w:rPr>
          <w:rFonts w:ascii="Times New Roman" w:hAnsi="Times New Roman"/>
          <w:sz w:val="24"/>
        </w:rPr>
        <w:t xml:space="preserve"> </w:t>
      </w:r>
      <w:r w:rsidRPr="002849F1">
        <w:rPr>
          <w:rFonts w:ascii="Times New Roman" w:hAnsi="Times New Roman"/>
          <w:i/>
          <w:sz w:val="24"/>
        </w:rPr>
        <w:t>Policy Manual</w:t>
      </w:r>
      <w:r w:rsidR="000A3951" w:rsidRPr="002849F1">
        <w:rPr>
          <w:rFonts w:ascii="Times New Roman" w:hAnsi="Times New Roman"/>
          <w:i/>
          <w:sz w:val="24"/>
        </w:rPr>
        <w:t>,</w:t>
      </w:r>
      <w:r w:rsidRPr="002849F1">
        <w:rPr>
          <w:rFonts w:ascii="Times New Roman" w:hAnsi="Times New Roman"/>
          <w:i/>
          <w:sz w:val="24"/>
        </w:rPr>
        <w:t xml:space="preserve"> Volume 8: Property Policy</w:t>
      </w:r>
      <w:r w:rsidR="00A9723E" w:rsidRPr="002849F1">
        <w:rPr>
          <w:rFonts w:ascii="Times New Roman" w:hAnsi="Times New Roman"/>
          <w:sz w:val="24"/>
        </w:rPr>
        <w:t xml:space="preserve">, </w:t>
      </w:r>
      <w:r w:rsidR="0022725C" w:rsidRPr="002849F1">
        <w:rPr>
          <w:rFonts w:ascii="Times New Roman" w:hAnsi="Times New Roman"/>
          <w:sz w:val="24"/>
        </w:rPr>
        <w:t>R</w:t>
      </w:r>
      <w:r w:rsidR="00A9723E" w:rsidRPr="002849F1">
        <w:rPr>
          <w:rFonts w:ascii="Times New Roman" w:hAnsi="Times New Roman"/>
          <w:sz w:val="24"/>
        </w:rPr>
        <w:t>evis</w:t>
      </w:r>
      <w:r w:rsidR="0022725C" w:rsidRPr="002849F1">
        <w:rPr>
          <w:rFonts w:ascii="Times New Roman" w:hAnsi="Times New Roman"/>
          <w:sz w:val="24"/>
        </w:rPr>
        <w:t>ion</w:t>
      </w:r>
      <w:r w:rsidR="002400C3">
        <w:rPr>
          <w:rFonts w:ascii="Times New Roman" w:hAnsi="Times New Roman"/>
          <w:sz w:val="24"/>
        </w:rPr>
        <w:t> </w:t>
      </w:r>
      <w:r w:rsidR="0022725C" w:rsidRPr="002849F1">
        <w:rPr>
          <w:rFonts w:ascii="Times New Roman" w:hAnsi="Times New Roman"/>
          <w:sz w:val="24"/>
        </w:rPr>
        <w:t>1</w:t>
      </w:r>
      <w:r w:rsidR="00A9723E" w:rsidRPr="002849F1">
        <w:rPr>
          <w:rFonts w:ascii="Times New Roman" w:hAnsi="Times New Roman"/>
          <w:sz w:val="24"/>
        </w:rPr>
        <w:t xml:space="preserve"> </w:t>
      </w:r>
      <w:r w:rsidRPr="002849F1">
        <w:rPr>
          <w:rFonts w:ascii="Times New Roman" w:hAnsi="Times New Roman"/>
          <w:sz w:val="24"/>
        </w:rPr>
        <w:t>(</w:t>
      </w:r>
      <w:r w:rsidR="0022725C" w:rsidRPr="002849F1">
        <w:rPr>
          <w:rFonts w:ascii="Times New Roman" w:hAnsi="Times New Roman"/>
          <w:sz w:val="24"/>
        </w:rPr>
        <w:t xml:space="preserve">November </w:t>
      </w:r>
      <w:r w:rsidR="00A9723E" w:rsidRPr="002849F1">
        <w:rPr>
          <w:rFonts w:ascii="Times New Roman" w:hAnsi="Times New Roman"/>
          <w:sz w:val="24"/>
        </w:rPr>
        <w:t>1995</w:t>
      </w:r>
      <w:r w:rsidRPr="002849F1">
        <w:rPr>
          <w:rFonts w:ascii="Times New Roman" w:hAnsi="Times New Roman"/>
          <w:sz w:val="24"/>
        </w:rPr>
        <w:t xml:space="preserve">) </w:t>
      </w:r>
      <w:r w:rsidR="008D011D" w:rsidRPr="002849F1">
        <w:rPr>
          <w:rFonts w:ascii="Times New Roman" w:hAnsi="Times New Roman"/>
          <w:sz w:val="24"/>
        </w:rPr>
        <w:t>at [4.6.1]</w:t>
      </w:r>
      <w:r w:rsidRPr="002849F1">
        <w:rPr>
          <w:rFonts w:ascii="Times New Roman" w:hAnsi="Times New Roman"/>
          <w:sz w:val="24"/>
        </w:rPr>
        <w:t>.</w:t>
      </w:r>
    </w:p>
  </w:footnote>
  <w:footnote w:id="7">
    <w:p w14:paraId="43836932" w14:textId="0E0F0461"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5C1A23" w:rsidRPr="002849F1">
        <w:rPr>
          <w:rFonts w:ascii="Times New Roman" w:hAnsi="Times New Roman"/>
          <w:sz w:val="24"/>
        </w:rPr>
        <w:t xml:space="preserve">Commonwealth, </w:t>
      </w:r>
      <w:r w:rsidRPr="002849F1">
        <w:rPr>
          <w:rFonts w:ascii="Times New Roman" w:hAnsi="Times New Roman"/>
          <w:i/>
          <w:sz w:val="24"/>
        </w:rPr>
        <w:t>Phase 2 Federal Airports</w:t>
      </w:r>
      <w:r w:rsidR="00213EA3" w:rsidRPr="002849F1">
        <w:rPr>
          <w:rFonts w:ascii="Times New Roman" w:hAnsi="Times New Roman"/>
          <w:i/>
          <w:sz w:val="24"/>
        </w:rPr>
        <w:t>:</w:t>
      </w:r>
      <w:r w:rsidRPr="002849F1">
        <w:rPr>
          <w:rFonts w:ascii="Times New Roman" w:hAnsi="Times New Roman"/>
          <w:i/>
          <w:sz w:val="24"/>
        </w:rPr>
        <w:t xml:space="preserve"> Hobart Airport Information Memorandum</w:t>
      </w:r>
      <w:r w:rsidRPr="002849F1">
        <w:rPr>
          <w:rFonts w:ascii="Times New Roman" w:hAnsi="Times New Roman"/>
          <w:sz w:val="24"/>
        </w:rPr>
        <w:t xml:space="preserve"> (November 1997)</w:t>
      </w:r>
      <w:r w:rsidR="002E45E8" w:rsidRPr="002849F1">
        <w:rPr>
          <w:rFonts w:ascii="Times New Roman" w:hAnsi="Times New Roman"/>
          <w:sz w:val="24"/>
        </w:rPr>
        <w:t xml:space="preserve"> </w:t>
      </w:r>
      <w:r w:rsidR="0074304A" w:rsidRPr="002849F1">
        <w:rPr>
          <w:rFonts w:ascii="Times New Roman" w:hAnsi="Times New Roman"/>
          <w:sz w:val="24"/>
        </w:rPr>
        <w:t>at 56</w:t>
      </w:r>
      <w:r w:rsidR="00F717E7" w:rsidRPr="002849F1">
        <w:rPr>
          <w:rFonts w:ascii="Times New Roman" w:hAnsi="Times New Roman"/>
          <w:sz w:val="24"/>
        </w:rPr>
        <w:t xml:space="preserve"> [8.3.2]</w:t>
      </w:r>
      <w:r w:rsidR="002E45E8" w:rsidRPr="002849F1">
        <w:rPr>
          <w:rFonts w:ascii="Times New Roman" w:hAnsi="Times New Roman"/>
          <w:sz w:val="24"/>
        </w:rPr>
        <w:t>; see</w:t>
      </w:r>
      <w:r w:rsidR="00785545" w:rsidRPr="002849F1">
        <w:rPr>
          <w:rFonts w:ascii="Times New Roman" w:hAnsi="Times New Roman"/>
          <w:sz w:val="24"/>
        </w:rPr>
        <w:t> </w:t>
      </w:r>
      <w:r w:rsidR="002E45E8" w:rsidRPr="002849F1">
        <w:rPr>
          <w:rFonts w:ascii="Times New Roman" w:hAnsi="Times New Roman"/>
          <w:sz w:val="24"/>
        </w:rPr>
        <w:t>also 4</w:t>
      </w:r>
      <w:r w:rsidRPr="002849F1">
        <w:rPr>
          <w:rFonts w:ascii="Times New Roman" w:hAnsi="Times New Roman"/>
          <w:sz w:val="24"/>
        </w:rPr>
        <w:t>. It</w:t>
      </w:r>
      <w:r w:rsidR="00F401FD" w:rsidRPr="002849F1">
        <w:rPr>
          <w:rFonts w:ascii="Times New Roman" w:hAnsi="Times New Roman"/>
          <w:sz w:val="24"/>
        </w:rPr>
        <w:t> </w:t>
      </w:r>
      <w:r w:rsidRPr="002849F1">
        <w:rPr>
          <w:rFonts w:ascii="Times New Roman" w:hAnsi="Times New Roman"/>
          <w:sz w:val="24"/>
        </w:rPr>
        <w:t>seems that, after making ex</w:t>
      </w:r>
      <w:r w:rsidR="009D7183" w:rsidRPr="002849F1">
        <w:rPr>
          <w:rFonts w:ascii="Times New Roman" w:hAnsi="Times New Roman"/>
          <w:sz w:val="24"/>
        </w:rPr>
        <w:noBreakHyphen/>
      </w:r>
      <w:r w:rsidRPr="002849F1">
        <w:rPr>
          <w:rFonts w:ascii="Times New Roman" w:hAnsi="Times New Roman"/>
          <w:sz w:val="24"/>
        </w:rPr>
        <w:t>gratia payments in lieu of rates, the FAC passed on the rate notices to tenant</w:t>
      </w:r>
      <w:r w:rsidR="003707DA" w:rsidRPr="002849F1">
        <w:rPr>
          <w:rFonts w:ascii="Times New Roman" w:hAnsi="Times New Roman"/>
          <w:sz w:val="24"/>
        </w:rPr>
        <w:t>s of</w:t>
      </w:r>
      <w:r w:rsidRPr="002849F1">
        <w:rPr>
          <w:rFonts w:ascii="Times New Roman" w:hAnsi="Times New Roman"/>
          <w:sz w:val="24"/>
        </w:rPr>
        <w:t xml:space="preserve"> properties </w:t>
      </w:r>
      <w:r w:rsidR="00517A83" w:rsidRPr="002849F1">
        <w:rPr>
          <w:rFonts w:ascii="Times New Roman" w:hAnsi="Times New Roman"/>
          <w:sz w:val="24"/>
        </w:rPr>
        <w:t xml:space="preserve">at </w:t>
      </w:r>
      <w:r w:rsidRPr="002849F1">
        <w:rPr>
          <w:rFonts w:ascii="Times New Roman" w:hAnsi="Times New Roman"/>
          <w:sz w:val="24"/>
        </w:rPr>
        <w:t xml:space="preserve">the </w:t>
      </w:r>
      <w:r w:rsidR="00517A83" w:rsidRPr="002849F1">
        <w:rPr>
          <w:rFonts w:ascii="Times New Roman" w:hAnsi="Times New Roman"/>
          <w:sz w:val="24"/>
        </w:rPr>
        <w:t>Hobart A</w:t>
      </w:r>
      <w:r w:rsidRPr="002849F1">
        <w:rPr>
          <w:rFonts w:ascii="Times New Roman" w:hAnsi="Times New Roman"/>
          <w:sz w:val="24"/>
        </w:rPr>
        <w:t>irport to charge them for the amounts under the outgoing</w:t>
      </w:r>
      <w:r w:rsidR="002168E2" w:rsidRPr="002849F1">
        <w:rPr>
          <w:rFonts w:ascii="Times New Roman" w:hAnsi="Times New Roman"/>
          <w:sz w:val="24"/>
        </w:rPr>
        <w:t>s</w:t>
      </w:r>
      <w:r w:rsidRPr="002849F1">
        <w:rPr>
          <w:rFonts w:ascii="Times New Roman" w:hAnsi="Times New Roman"/>
          <w:sz w:val="24"/>
        </w:rPr>
        <w:t xml:space="preserve"> terms of their leases.</w:t>
      </w:r>
    </w:p>
  </w:footnote>
  <w:footnote w:id="8">
    <w:p w14:paraId="236776A3" w14:textId="7127C47E"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213EA3" w:rsidRPr="002849F1">
        <w:rPr>
          <w:rFonts w:ascii="Times New Roman" w:hAnsi="Times New Roman"/>
          <w:sz w:val="24"/>
        </w:rPr>
        <w:t xml:space="preserve">Commonwealth, </w:t>
      </w:r>
      <w:r w:rsidRPr="002849F1">
        <w:rPr>
          <w:rFonts w:ascii="Times New Roman" w:hAnsi="Times New Roman"/>
          <w:i/>
          <w:sz w:val="24"/>
        </w:rPr>
        <w:t>Phase 2 Federal Airports</w:t>
      </w:r>
      <w:r w:rsidR="00213EA3" w:rsidRPr="002849F1">
        <w:rPr>
          <w:rFonts w:ascii="Times New Roman" w:hAnsi="Times New Roman"/>
          <w:i/>
          <w:sz w:val="24"/>
        </w:rPr>
        <w:t xml:space="preserve">: </w:t>
      </w:r>
      <w:r w:rsidRPr="002849F1">
        <w:rPr>
          <w:rFonts w:ascii="Times New Roman" w:hAnsi="Times New Roman"/>
          <w:i/>
          <w:sz w:val="24"/>
        </w:rPr>
        <w:t>Launceston Airport Information Memorandum</w:t>
      </w:r>
      <w:r w:rsidRPr="002849F1">
        <w:rPr>
          <w:rFonts w:ascii="Times New Roman" w:hAnsi="Times New Roman"/>
          <w:sz w:val="24"/>
        </w:rPr>
        <w:t xml:space="preserve"> (November 1997)</w:t>
      </w:r>
      <w:r w:rsidR="0070341C" w:rsidRPr="002849F1">
        <w:rPr>
          <w:rFonts w:ascii="Times New Roman" w:hAnsi="Times New Roman"/>
          <w:sz w:val="24"/>
        </w:rPr>
        <w:t xml:space="preserve"> at 50 [8.3.2].</w:t>
      </w:r>
    </w:p>
  </w:footnote>
  <w:footnote w:id="9">
    <w:p w14:paraId="533F0C07" w14:textId="2E67BAB0"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8170E0" w:rsidRPr="002849F1">
        <w:rPr>
          <w:rFonts w:ascii="Times New Roman" w:hAnsi="Times New Roman"/>
          <w:sz w:val="24"/>
        </w:rPr>
        <w:t xml:space="preserve">See </w:t>
      </w:r>
      <w:r w:rsidRPr="002849F1">
        <w:rPr>
          <w:rFonts w:ascii="Times New Roman" w:hAnsi="Times New Roman"/>
          <w:sz w:val="24"/>
        </w:rPr>
        <w:t xml:space="preserve">Miller, </w:t>
      </w:r>
      <w:r w:rsidRPr="002849F1">
        <w:rPr>
          <w:rFonts w:ascii="Times New Roman" w:hAnsi="Times New Roman"/>
          <w:i/>
          <w:sz w:val="24"/>
        </w:rPr>
        <w:t>Miller's Australian Competition Law and Policy</w:t>
      </w:r>
      <w:r w:rsidR="001A7828" w:rsidRPr="002849F1">
        <w:rPr>
          <w:rFonts w:ascii="Times New Roman" w:hAnsi="Times New Roman"/>
          <w:sz w:val="24"/>
        </w:rPr>
        <w:t>, 3rd</w:t>
      </w:r>
      <w:r w:rsidR="00F23884" w:rsidRPr="002849F1">
        <w:rPr>
          <w:rFonts w:ascii="Times New Roman" w:hAnsi="Times New Roman"/>
          <w:sz w:val="24"/>
        </w:rPr>
        <w:t> </w:t>
      </w:r>
      <w:r w:rsidR="001A7828" w:rsidRPr="002849F1">
        <w:rPr>
          <w:rFonts w:ascii="Times New Roman" w:hAnsi="Times New Roman"/>
          <w:sz w:val="24"/>
        </w:rPr>
        <w:t>ed</w:t>
      </w:r>
      <w:r w:rsidRPr="002849F1">
        <w:rPr>
          <w:rFonts w:ascii="Times New Roman" w:hAnsi="Times New Roman"/>
          <w:sz w:val="24"/>
        </w:rPr>
        <w:t xml:space="preserve"> (2018) at</w:t>
      </w:r>
      <w:r w:rsidR="00566B79">
        <w:rPr>
          <w:rFonts w:ascii="Times New Roman" w:hAnsi="Times New Roman"/>
          <w:sz w:val="24"/>
        </w:rPr>
        <w:t> </w:t>
      </w:r>
      <w:r w:rsidRPr="002849F1">
        <w:rPr>
          <w:rFonts w:ascii="Times New Roman" w:hAnsi="Times New Roman"/>
          <w:sz w:val="24"/>
        </w:rPr>
        <w:t>501</w:t>
      </w:r>
      <w:r w:rsidR="00AB2D93">
        <w:rPr>
          <w:rFonts w:ascii="Times New Roman" w:hAnsi="Times New Roman"/>
          <w:sz w:val="24"/>
        </w:rPr>
        <w:noBreakHyphen/>
      </w:r>
      <w:r w:rsidRPr="002849F1">
        <w:rPr>
          <w:rFonts w:ascii="Times New Roman" w:hAnsi="Times New Roman"/>
          <w:sz w:val="24"/>
        </w:rPr>
        <w:t>512.</w:t>
      </w:r>
    </w:p>
  </w:footnote>
  <w:footnote w:id="10">
    <w:p w14:paraId="34BD46F4" w14:textId="118236F3"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See </w:t>
      </w:r>
      <w:r w:rsidR="0025724D" w:rsidRPr="002849F1">
        <w:rPr>
          <w:rFonts w:ascii="Times New Roman" w:hAnsi="Times New Roman"/>
          <w:i/>
          <w:sz w:val="24"/>
        </w:rPr>
        <w:t>Rail Access Corporation v New South Wales Minerals Council Ltd</w:t>
      </w:r>
      <w:r w:rsidR="0025724D" w:rsidRPr="002849F1">
        <w:rPr>
          <w:rFonts w:ascii="Times New Roman" w:hAnsi="Times New Roman"/>
          <w:sz w:val="24"/>
        </w:rPr>
        <w:t xml:space="preserve"> (1998) 87</w:t>
      </w:r>
      <w:r w:rsidR="00AB2D93">
        <w:rPr>
          <w:rFonts w:ascii="Times New Roman" w:hAnsi="Times New Roman"/>
          <w:sz w:val="24"/>
        </w:rPr>
        <w:t> </w:t>
      </w:r>
      <w:r w:rsidR="0025724D" w:rsidRPr="002849F1">
        <w:rPr>
          <w:rFonts w:ascii="Times New Roman" w:hAnsi="Times New Roman"/>
          <w:sz w:val="24"/>
        </w:rPr>
        <w:t xml:space="preserve">FCR 517 at 518; </w:t>
      </w:r>
      <w:r w:rsidRPr="002849F1">
        <w:rPr>
          <w:rFonts w:ascii="Times New Roman" w:hAnsi="Times New Roman"/>
          <w:i/>
          <w:sz w:val="24"/>
        </w:rPr>
        <w:t>Pilbara Infrastructure Pty Ltd v Australian Competition Tribunal</w:t>
      </w:r>
      <w:r w:rsidRPr="002849F1">
        <w:rPr>
          <w:rFonts w:ascii="Times New Roman" w:hAnsi="Times New Roman"/>
          <w:sz w:val="24"/>
        </w:rPr>
        <w:t xml:space="preserve"> (2012) 246 CLR 379 at 409 [71].</w:t>
      </w:r>
    </w:p>
  </w:footnote>
  <w:footnote w:id="11">
    <w:p w14:paraId="5C57D362" w14:textId="6D365D59"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3E4E96" w:rsidRPr="002849F1">
        <w:rPr>
          <w:rFonts w:ascii="Times New Roman" w:hAnsi="Times New Roman"/>
          <w:sz w:val="24"/>
        </w:rPr>
        <w:t xml:space="preserve">See </w:t>
      </w:r>
      <w:r w:rsidRPr="002849F1">
        <w:rPr>
          <w:rFonts w:ascii="Times New Roman" w:hAnsi="Times New Roman"/>
          <w:sz w:val="24"/>
        </w:rPr>
        <w:t xml:space="preserve">Miller, </w:t>
      </w:r>
      <w:r w:rsidRPr="002849F1">
        <w:rPr>
          <w:rFonts w:ascii="Times New Roman" w:hAnsi="Times New Roman"/>
          <w:i/>
          <w:sz w:val="24"/>
        </w:rPr>
        <w:t>Miller's Australian Competition Law and Policy</w:t>
      </w:r>
      <w:r w:rsidR="00960FD5" w:rsidRPr="002849F1">
        <w:rPr>
          <w:rFonts w:ascii="Times New Roman" w:hAnsi="Times New Roman"/>
          <w:sz w:val="24"/>
        </w:rPr>
        <w:t>, 3rd ed</w:t>
      </w:r>
      <w:r w:rsidRPr="002849F1">
        <w:rPr>
          <w:rFonts w:ascii="Times New Roman" w:hAnsi="Times New Roman"/>
          <w:sz w:val="24"/>
        </w:rPr>
        <w:t xml:space="preserve"> (2018) at 501. </w:t>
      </w:r>
    </w:p>
  </w:footnote>
  <w:footnote w:id="12">
    <w:p w14:paraId="30554127" w14:textId="416C2E4F"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D01C3F" w:rsidRPr="002849F1">
        <w:rPr>
          <w:rFonts w:ascii="Times New Roman" w:hAnsi="Times New Roman"/>
          <w:sz w:val="24"/>
        </w:rPr>
        <w:t xml:space="preserve">See </w:t>
      </w:r>
      <w:r w:rsidRPr="002849F1">
        <w:rPr>
          <w:rFonts w:ascii="Times New Roman" w:hAnsi="Times New Roman"/>
          <w:sz w:val="24"/>
        </w:rPr>
        <w:t xml:space="preserve">Miller, </w:t>
      </w:r>
      <w:r w:rsidRPr="002849F1">
        <w:rPr>
          <w:rFonts w:ascii="Times New Roman" w:hAnsi="Times New Roman"/>
          <w:i/>
          <w:sz w:val="24"/>
        </w:rPr>
        <w:t>Miller's Australian Competition Law and Policy</w:t>
      </w:r>
      <w:r w:rsidR="0034042B" w:rsidRPr="002849F1">
        <w:rPr>
          <w:rFonts w:ascii="Times New Roman" w:hAnsi="Times New Roman"/>
          <w:sz w:val="24"/>
        </w:rPr>
        <w:t>, 3rd ed</w:t>
      </w:r>
      <w:r w:rsidRPr="002849F1">
        <w:rPr>
          <w:rFonts w:ascii="Times New Roman" w:hAnsi="Times New Roman"/>
          <w:sz w:val="24"/>
        </w:rPr>
        <w:t xml:space="preserve"> (2018) at 503</w:t>
      </w:r>
      <w:r w:rsidR="0034042B" w:rsidRPr="002849F1">
        <w:rPr>
          <w:rFonts w:ascii="Times New Roman" w:hAnsi="Times New Roman"/>
          <w:sz w:val="24"/>
        </w:rPr>
        <w:t>.</w:t>
      </w:r>
    </w:p>
  </w:footnote>
  <w:footnote w:id="13">
    <w:p w14:paraId="51B133E2" w14:textId="1DAA0C03"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8E0782" w:rsidRPr="002849F1">
        <w:rPr>
          <w:rFonts w:ascii="Times New Roman" w:hAnsi="Times New Roman"/>
          <w:sz w:val="24"/>
        </w:rPr>
        <w:t xml:space="preserve">See </w:t>
      </w:r>
      <w:r w:rsidR="00623B03" w:rsidRPr="002849F1">
        <w:rPr>
          <w:rFonts w:ascii="Times New Roman" w:hAnsi="Times New Roman"/>
          <w:sz w:val="24"/>
        </w:rPr>
        <w:t>Commonwealth, Auditor-General</w:t>
      </w:r>
      <w:r w:rsidR="00E669BF" w:rsidRPr="002849F1">
        <w:rPr>
          <w:rFonts w:ascii="Times New Roman" w:hAnsi="Times New Roman"/>
          <w:sz w:val="24"/>
        </w:rPr>
        <w:t>,</w:t>
      </w:r>
      <w:r w:rsidR="00E669BF" w:rsidRPr="002849F1">
        <w:rPr>
          <w:rFonts w:ascii="Times New Roman" w:hAnsi="Times New Roman"/>
          <w:i/>
          <w:sz w:val="24"/>
        </w:rPr>
        <w:t xml:space="preserve"> Management of Federal Airport Leases</w:t>
      </w:r>
      <w:r w:rsidR="00E669BF" w:rsidRPr="002849F1">
        <w:rPr>
          <w:rFonts w:ascii="Times New Roman" w:hAnsi="Times New Roman"/>
          <w:sz w:val="24"/>
        </w:rPr>
        <w:t xml:space="preserve">, Audit Report No </w:t>
      </w:r>
      <w:r w:rsidR="00C71440" w:rsidRPr="002849F1">
        <w:rPr>
          <w:rFonts w:ascii="Times New Roman" w:hAnsi="Times New Roman"/>
          <w:sz w:val="24"/>
        </w:rPr>
        <w:t>50</w:t>
      </w:r>
      <w:r w:rsidR="00E669BF" w:rsidRPr="002849F1">
        <w:rPr>
          <w:rFonts w:ascii="Times New Roman" w:hAnsi="Times New Roman"/>
          <w:sz w:val="24"/>
        </w:rPr>
        <w:t xml:space="preserve"> 200</w:t>
      </w:r>
      <w:r w:rsidR="00C71440" w:rsidRPr="002849F1">
        <w:rPr>
          <w:rFonts w:ascii="Times New Roman" w:hAnsi="Times New Roman"/>
          <w:sz w:val="24"/>
        </w:rPr>
        <w:t>3</w:t>
      </w:r>
      <w:r w:rsidR="00CE6C3B" w:rsidRPr="002849F1">
        <w:rPr>
          <w:rFonts w:ascii="Times New Roman" w:hAnsi="Times New Roman"/>
          <w:sz w:val="24"/>
        </w:rPr>
        <w:t>-</w:t>
      </w:r>
      <w:r w:rsidR="00E669BF" w:rsidRPr="002849F1">
        <w:rPr>
          <w:rFonts w:ascii="Times New Roman" w:hAnsi="Times New Roman"/>
          <w:sz w:val="24"/>
        </w:rPr>
        <w:t>0</w:t>
      </w:r>
      <w:r w:rsidR="00C71440" w:rsidRPr="002849F1">
        <w:rPr>
          <w:rFonts w:ascii="Times New Roman" w:hAnsi="Times New Roman"/>
          <w:sz w:val="24"/>
        </w:rPr>
        <w:t>4</w:t>
      </w:r>
      <w:r w:rsidR="00E669BF" w:rsidRPr="002849F1">
        <w:rPr>
          <w:rFonts w:ascii="Times New Roman" w:hAnsi="Times New Roman"/>
          <w:sz w:val="24"/>
        </w:rPr>
        <w:t xml:space="preserve"> (200</w:t>
      </w:r>
      <w:r w:rsidR="00C71440" w:rsidRPr="002849F1">
        <w:rPr>
          <w:rFonts w:ascii="Times New Roman" w:hAnsi="Times New Roman"/>
          <w:sz w:val="24"/>
        </w:rPr>
        <w:t>4</w:t>
      </w:r>
      <w:r w:rsidR="00E669BF" w:rsidRPr="002849F1">
        <w:rPr>
          <w:rFonts w:ascii="Times New Roman" w:hAnsi="Times New Roman"/>
          <w:sz w:val="24"/>
        </w:rPr>
        <w:t>) at</w:t>
      </w:r>
      <w:r w:rsidR="00787F33" w:rsidRPr="002849F1">
        <w:rPr>
          <w:rFonts w:ascii="Times New Roman" w:hAnsi="Times New Roman"/>
          <w:sz w:val="24"/>
        </w:rPr>
        <w:t xml:space="preserve"> 9</w:t>
      </w:r>
      <w:r w:rsidR="00E1413A" w:rsidRPr="002849F1">
        <w:rPr>
          <w:rFonts w:ascii="Times New Roman" w:hAnsi="Times New Roman"/>
          <w:sz w:val="24"/>
        </w:rPr>
        <w:t xml:space="preserve"> [1]</w:t>
      </w:r>
      <w:r w:rsidR="00F4750F" w:rsidRPr="002849F1">
        <w:rPr>
          <w:rFonts w:ascii="Times New Roman" w:hAnsi="Times New Roman"/>
          <w:sz w:val="24"/>
        </w:rPr>
        <w:t>, [3]</w:t>
      </w:r>
      <w:r w:rsidR="00787F33" w:rsidRPr="002849F1">
        <w:rPr>
          <w:rFonts w:ascii="Times New Roman" w:hAnsi="Times New Roman"/>
          <w:sz w:val="24"/>
        </w:rPr>
        <w:t>, 27-2</w:t>
      </w:r>
      <w:r w:rsidR="00A24953" w:rsidRPr="002849F1">
        <w:rPr>
          <w:rFonts w:ascii="Times New Roman" w:hAnsi="Times New Roman"/>
          <w:sz w:val="24"/>
        </w:rPr>
        <w:t>9</w:t>
      </w:r>
      <w:r w:rsidR="00713E36" w:rsidRPr="002849F1">
        <w:rPr>
          <w:rFonts w:ascii="Times New Roman" w:hAnsi="Times New Roman"/>
          <w:sz w:val="24"/>
        </w:rPr>
        <w:t xml:space="preserve"> [1.1]-</w:t>
      </w:r>
      <w:r w:rsidR="00A24953" w:rsidRPr="002849F1">
        <w:rPr>
          <w:rFonts w:ascii="Times New Roman" w:hAnsi="Times New Roman"/>
          <w:sz w:val="24"/>
        </w:rPr>
        <w:t>[1.6]</w:t>
      </w:r>
      <w:r w:rsidR="00E669BF" w:rsidRPr="002849F1">
        <w:rPr>
          <w:rFonts w:ascii="Times New Roman" w:hAnsi="Times New Roman"/>
          <w:sz w:val="24"/>
        </w:rPr>
        <w:t xml:space="preserve">; </w:t>
      </w:r>
      <w:r w:rsidR="00623B03" w:rsidRPr="002849F1">
        <w:rPr>
          <w:rFonts w:ascii="Times New Roman" w:hAnsi="Times New Roman"/>
          <w:sz w:val="24"/>
        </w:rPr>
        <w:t>Commonwealth,</w:t>
      </w:r>
      <w:r w:rsidR="002400C3">
        <w:rPr>
          <w:rFonts w:ascii="Times New Roman" w:hAnsi="Times New Roman"/>
          <w:sz w:val="24"/>
        </w:rPr>
        <w:t> </w:t>
      </w:r>
      <w:r w:rsidR="00623B03" w:rsidRPr="002849F1">
        <w:rPr>
          <w:rFonts w:ascii="Times New Roman" w:hAnsi="Times New Roman"/>
          <w:sz w:val="24"/>
        </w:rPr>
        <w:t>Auditor-General</w:t>
      </w:r>
      <w:r w:rsidR="000E043B" w:rsidRPr="002849F1">
        <w:rPr>
          <w:rFonts w:ascii="Times New Roman" w:hAnsi="Times New Roman"/>
          <w:sz w:val="24"/>
        </w:rPr>
        <w:t>,</w:t>
      </w:r>
      <w:r w:rsidR="000E043B" w:rsidRPr="002849F1">
        <w:rPr>
          <w:rFonts w:ascii="Times New Roman" w:hAnsi="Times New Roman"/>
          <w:i/>
          <w:sz w:val="24"/>
        </w:rPr>
        <w:t xml:space="preserve"> Management of Airport Leases: Follow up</w:t>
      </w:r>
      <w:r w:rsidR="000E043B" w:rsidRPr="002849F1">
        <w:rPr>
          <w:rFonts w:ascii="Times New Roman" w:hAnsi="Times New Roman"/>
          <w:sz w:val="24"/>
        </w:rPr>
        <w:t>, Audit Report No 25 2006</w:t>
      </w:r>
      <w:r w:rsidR="00CE6C3B" w:rsidRPr="002849F1">
        <w:rPr>
          <w:rFonts w:ascii="Times New Roman" w:hAnsi="Times New Roman"/>
          <w:sz w:val="24"/>
        </w:rPr>
        <w:t>-</w:t>
      </w:r>
      <w:r w:rsidR="000E043B" w:rsidRPr="002849F1">
        <w:rPr>
          <w:rFonts w:ascii="Times New Roman" w:hAnsi="Times New Roman"/>
          <w:sz w:val="24"/>
        </w:rPr>
        <w:t xml:space="preserve">07 (2007) at </w:t>
      </w:r>
      <w:r w:rsidR="00E669BF" w:rsidRPr="002849F1">
        <w:rPr>
          <w:rFonts w:ascii="Times New Roman" w:hAnsi="Times New Roman"/>
          <w:sz w:val="24"/>
        </w:rPr>
        <w:t>11</w:t>
      </w:r>
      <w:r w:rsidR="00FC4C45" w:rsidRPr="002849F1">
        <w:rPr>
          <w:rFonts w:ascii="Times New Roman" w:hAnsi="Times New Roman"/>
          <w:sz w:val="24"/>
        </w:rPr>
        <w:t xml:space="preserve"> [1]</w:t>
      </w:r>
      <w:r w:rsidR="00E669BF" w:rsidRPr="002849F1">
        <w:rPr>
          <w:rFonts w:ascii="Times New Roman" w:hAnsi="Times New Roman"/>
          <w:sz w:val="24"/>
        </w:rPr>
        <w:t xml:space="preserve">, </w:t>
      </w:r>
      <w:r w:rsidR="000E043B" w:rsidRPr="002849F1">
        <w:rPr>
          <w:rFonts w:ascii="Times New Roman" w:hAnsi="Times New Roman"/>
          <w:sz w:val="24"/>
        </w:rPr>
        <w:t>21</w:t>
      </w:r>
      <w:r w:rsidR="00E669BF" w:rsidRPr="002849F1">
        <w:rPr>
          <w:rFonts w:ascii="Times New Roman" w:hAnsi="Times New Roman"/>
          <w:sz w:val="24"/>
        </w:rPr>
        <w:t>-23</w:t>
      </w:r>
      <w:r w:rsidR="00D345C8" w:rsidRPr="002849F1">
        <w:rPr>
          <w:rFonts w:ascii="Times New Roman" w:hAnsi="Times New Roman"/>
          <w:sz w:val="24"/>
        </w:rPr>
        <w:t xml:space="preserve"> [1.1]-</w:t>
      </w:r>
      <w:r w:rsidR="00E07686" w:rsidRPr="002849F1">
        <w:rPr>
          <w:rFonts w:ascii="Times New Roman" w:hAnsi="Times New Roman"/>
          <w:sz w:val="24"/>
        </w:rPr>
        <w:t>[1.5]</w:t>
      </w:r>
      <w:r w:rsidR="000E043B" w:rsidRPr="002849F1">
        <w:rPr>
          <w:rFonts w:ascii="Times New Roman" w:hAnsi="Times New Roman"/>
          <w:sz w:val="24"/>
        </w:rPr>
        <w:t xml:space="preserve">; </w:t>
      </w:r>
      <w:r w:rsidRPr="002849F1">
        <w:rPr>
          <w:rFonts w:ascii="Times New Roman" w:hAnsi="Times New Roman"/>
          <w:sz w:val="24"/>
        </w:rPr>
        <w:t>Bartsch,</w:t>
      </w:r>
      <w:r w:rsidR="002400C3">
        <w:rPr>
          <w:rFonts w:ascii="Times New Roman" w:hAnsi="Times New Roman"/>
          <w:sz w:val="24"/>
        </w:rPr>
        <w:t> </w:t>
      </w:r>
      <w:r w:rsidRPr="002849F1">
        <w:rPr>
          <w:rFonts w:ascii="Times New Roman" w:hAnsi="Times New Roman"/>
          <w:i/>
          <w:sz w:val="24"/>
        </w:rPr>
        <w:t>Aviation</w:t>
      </w:r>
      <w:r w:rsidR="002400C3">
        <w:rPr>
          <w:rFonts w:ascii="Times New Roman" w:hAnsi="Times New Roman"/>
          <w:i/>
          <w:sz w:val="24"/>
        </w:rPr>
        <w:t> </w:t>
      </w:r>
      <w:r w:rsidRPr="002849F1">
        <w:rPr>
          <w:rFonts w:ascii="Times New Roman" w:hAnsi="Times New Roman"/>
          <w:i/>
          <w:sz w:val="24"/>
        </w:rPr>
        <w:t>Law in Australia</w:t>
      </w:r>
      <w:r w:rsidR="0034042B" w:rsidRPr="002849F1">
        <w:rPr>
          <w:rFonts w:ascii="Times New Roman" w:hAnsi="Times New Roman"/>
          <w:sz w:val="24"/>
        </w:rPr>
        <w:t>, 5th ed</w:t>
      </w:r>
      <w:r w:rsidRPr="002849F1">
        <w:rPr>
          <w:rFonts w:ascii="Times New Roman" w:hAnsi="Times New Roman"/>
          <w:sz w:val="24"/>
        </w:rPr>
        <w:t xml:space="preserve"> (2019) at 598</w:t>
      </w:r>
      <w:r w:rsidR="00E746FC" w:rsidRPr="002849F1">
        <w:rPr>
          <w:rFonts w:ascii="Times New Roman" w:hAnsi="Times New Roman"/>
          <w:sz w:val="24"/>
        </w:rPr>
        <w:t xml:space="preserve"> [13.15]</w:t>
      </w:r>
      <w:r w:rsidRPr="002849F1">
        <w:rPr>
          <w:rFonts w:ascii="Times New Roman" w:hAnsi="Times New Roman"/>
          <w:sz w:val="24"/>
        </w:rPr>
        <w:t>.</w:t>
      </w:r>
    </w:p>
  </w:footnote>
  <w:footnote w:id="14">
    <w:p w14:paraId="16204038" w14:textId="2EF8DEC0"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E84D8C" w:rsidRPr="002849F1">
        <w:rPr>
          <w:rFonts w:ascii="Times New Roman" w:hAnsi="Times New Roman"/>
          <w:sz w:val="24"/>
        </w:rPr>
        <w:t xml:space="preserve">Australia, </w:t>
      </w:r>
      <w:r w:rsidR="00815656" w:rsidRPr="002849F1">
        <w:rPr>
          <w:rFonts w:ascii="Times New Roman" w:hAnsi="Times New Roman"/>
          <w:sz w:val="24"/>
        </w:rPr>
        <w:t>House of Representatives</w:t>
      </w:r>
      <w:r w:rsidRPr="002849F1">
        <w:rPr>
          <w:rFonts w:ascii="Times New Roman" w:hAnsi="Times New Roman"/>
          <w:sz w:val="24"/>
        </w:rPr>
        <w:t xml:space="preserve">, </w:t>
      </w:r>
      <w:r w:rsidRPr="002849F1">
        <w:rPr>
          <w:rFonts w:ascii="Times New Roman" w:hAnsi="Times New Roman"/>
          <w:i/>
          <w:sz w:val="24"/>
        </w:rPr>
        <w:t>Airports Bill 1996</w:t>
      </w:r>
      <w:r w:rsidR="00E9062C" w:rsidRPr="002849F1">
        <w:rPr>
          <w:rFonts w:ascii="Times New Roman" w:hAnsi="Times New Roman"/>
          <w:sz w:val="24"/>
        </w:rPr>
        <w:t>, Explanatory Memorandum</w:t>
      </w:r>
      <w:r w:rsidRPr="002849F1">
        <w:rPr>
          <w:rFonts w:ascii="Times New Roman" w:hAnsi="Times New Roman"/>
          <w:sz w:val="24"/>
        </w:rPr>
        <w:t xml:space="preserve"> at 1.</w:t>
      </w:r>
    </w:p>
  </w:footnote>
  <w:footnote w:id="15">
    <w:p w14:paraId="6E4C5306" w14:textId="4A75AADF" w:rsidR="0020056C" w:rsidRPr="002849F1" w:rsidRDefault="00200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1F3662" w:rsidRPr="002849F1">
        <w:rPr>
          <w:rFonts w:ascii="Times New Roman" w:hAnsi="Times New Roman"/>
          <w:sz w:val="24"/>
        </w:rPr>
        <w:t xml:space="preserve">Australia, </w:t>
      </w:r>
      <w:r w:rsidR="001645A9" w:rsidRPr="002849F1">
        <w:rPr>
          <w:rFonts w:ascii="Times New Roman" w:hAnsi="Times New Roman"/>
          <w:sz w:val="24"/>
        </w:rPr>
        <w:t>House of Representatives</w:t>
      </w:r>
      <w:r w:rsidRPr="002849F1">
        <w:rPr>
          <w:rFonts w:ascii="Times New Roman" w:hAnsi="Times New Roman"/>
          <w:sz w:val="24"/>
        </w:rPr>
        <w:t xml:space="preserve">, </w:t>
      </w:r>
      <w:r w:rsidRPr="002849F1">
        <w:rPr>
          <w:rFonts w:ascii="Times New Roman" w:hAnsi="Times New Roman"/>
          <w:i/>
          <w:sz w:val="24"/>
        </w:rPr>
        <w:t xml:space="preserve">Airports </w:t>
      </w:r>
      <w:r w:rsidR="004D42C3" w:rsidRPr="002849F1">
        <w:rPr>
          <w:rFonts w:ascii="Times New Roman" w:hAnsi="Times New Roman"/>
          <w:i/>
          <w:sz w:val="24"/>
        </w:rPr>
        <w:t>(</w:t>
      </w:r>
      <w:r w:rsidRPr="002849F1">
        <w:rPr>
          <w:rFonts w:ascii="Times New Roman" w:hAnsi="Times New Roman"/>
          <w:i/>
          <w:sz w:val="24"/>
        </w:rPr>
        <w:t>Transitional</w:t>
      </w:r>
      <w:r w:rsidR="004D42C3" w:rsidRPr="002849F1">
        <w:rPr>
          <w:rFonts w:ascii="Times New Roman" w:hAnsi="Times New Roman"/>
          <w:i/>
          <w:sz w:val="24"/>
        </w:rPr>
        <w:t>)</w:t>
      </w:r>
      <w:r w:rsidRPr="002849F1">
        <w:rPr>
          <w:rFonts w:ascii="Times New Roman" w:hAnsi="Times New Roman"/>
          <w:i/>
          <w:sz w:val="24"/>
        </w:rPr>
        <w:t xml:space="preserve"> Bill 1996</w:t>
      </w:r>
      <w:r w:rsidR="001F3662" w:rsidRPr="002849F1">
        <w:rPr>
          <w:rFonts w:ascii="Times New Roman" w:hAnsi="Times New Roman"/>
          <w:sz w:val="24"/>
        </w:rPr>
        <w:t>, Explanatory</w:t>
      </w:r>
      <w:r w:rsidR="0024626F">
        <w:rPr>
          <w:rFonts w:ascii="Times New Roman" w:hAnsi="Times New Roman"/>
          <w:sz w:val="24"/>
        </w:rPr>
        <w:t> </w:t>
      </w:r>
      <w:r w:rsidR="001F3662" w:rsidRPr="002849F1">
        <w:rPr>
          <w:rFonts w:ascii="Times New Roman" w:hAnsi="Times New Roman"/>
          <w:sz w:val="24"/>
        </w:rPr>
        <w:t>Memorandum</w:t>
      </w:r>
      <w:r w:rsidRPr="002849F1">
        <w:rPr>
          <w:rFonts w:ascii="Times New Roman" w:hAnsi="Times New Roman"/>
          <w:sz w:val="24"/>
        </w:rPr>
        <w:t xml:space="preserve"> at 9.</w:t>
      </w:r>
    </w:p>
  </w:footnote>
  <w:footnote w:id="16">
    <w:p w14:paraId="4B05F192" w14:textId="0F8C80C1" w:rsidR="00AE087B" w:rsidRPr="002849F1" w:rsidRDefault="00AE087B"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Transitional Act</w:t>
      </w:r>
      <w:r w:rsidRPr="002849F1">
        <w:rPr>
          <w:rFonts w:ascii="Times New Roman" w:hAnsi="Times New Roman"/>
          <w:sz w:val="24"/>
        </w:rPr>
        <w:t>, s 3.</w:t>
      </w:r>
    </w:p>
  </w:footnote>
  <w:footnote w:id="17">
    <w:p w14:paraId="228B4562" w14:textId="46A0224C" w:rsidR="00566744" w:rsidRPr="002849F1" w:rsidRDefault="00566744"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0B5CF5" w:rsidRPr="002849F1" w:rsidDel="002942EF">
        <w:rPr>
          <w:rFonts w:ascii="Times New Roman" w:hAnsi="Times New Roman"/>
          <w:sz w:val="24"/>
        </w:rPr>
        <w:t>T</w:t>
      </w:r>
      <w:r w:rsidR="000B5CF5" w:rsidRPr="002849F1">
        <w:rPr>
          <w:rFonts w:ascii="Times New Roman" w:hAnsi="Times New Roman"/>
          <w:sz w:val="24"/>
        </w:rPr>
        <w:t>he Leases are governed by and construed in accordance with the laws of Tasmania</w:t>
      </w:r>
      <w:r w:rsidR="00FB5DF4" w:rsidRPr="002849F1">
        <w:rPr>
          <w:rFonts w:ascii="Times New Roman" w:hAnsi="Times New Roman"/>
          <w:sz w:val="24"/>
        </w:rPr>
        <w:t>: cl 30 of the Leases</w:t>
      </w:r>
      <w:r w:rsidR="00D70E3E" w:rsidRPr="002849F1">
        <w:rPr>
          <w:rFonts w:ascii="Times New Roman" w:hAnsi="Times New Roman"/>
          <w:sz w:val="24"/>
        </w:rPr>
        <w:t>.</w:t>
      </w:r>
      <w:r w:rsidR="000B5CF5" w:rsidRPr="002849F1" w:rsidDel="009638FC">
        <w:rPr>
          <w:rFonts w:ascii="Times New Roman" w:hAnsi="Times New Roman"/>
          <w:sz w:val="24"/>
          <w:szCs w:val="2"/>
        </w:rPr>
        <w:t xml:space="preserve"> </w:t>
      </w:r>
      <w:r w:rsidR="000B5CF5" w:rsidRPr="002849F1">
        <w:rPr>
          <w:rFonts w:ascii="Times New Roman" w:hAnsi="Times New Roman"/>
          <w:sz w:val="24"/>
        </w:rPr>
        <w:t>In</w:t>
      </w:r>
      <w:r w:rsidR="00D70E3E" w:rsidRPr="002849F1">
        <w:rPr>
          <w:rFonts w:ascii="Times New Roman" w:hAnsi="Times New Roman"/>
          <w:sz w:val="24"/>
        </w:rPr>
        <w:t> </w:t>
      </w:r>
      <w:r w:rsidR="000B5CF5" w:rsidRPr="002849F1">
        <w:rPr>
          <w:rFonts w:ascii="Times New Roman" w:hAnsi="Times New Roman"/>
          <w:sz w:val="24"/>
        </w:rPr>
        <w:t xml:space="preserve">some Australian States and Territories, </w:t>
      </w:r>
      <w:r w:rsidR="00E4647A" w:rsidRPr="002849F1">
        <w:rPr>
          <w:rFonts w:ascii="Times New Roman" w:hAnsi="Times New Roman"/>
          <w:sz w:val="24"/>
        </w:rPr>
        <w:t xml:space="preserve">but not Tasmania, </w:t>
      </w:r>
      <w:r w:rsidR="000B5CF5" w:rsidRPr="002849F1">
        <w:rPr>
          <w:rFonts w:ascii="Times New Roman" w:hAnsi="Times New Roman"/>
          <w:sz w:val="24"/>
        </w:rPr>
        <w:t xml:space="preserve">third parties may, in compliance with statutory requirements, enforce contractual promises made for their benefit by direct action: see </w:t>
      </w:r>
      <w:r w:rsidR="000B5CF5" w:rsidRPr="002849F1">
        <w:rPr>
          <w:rFonts w:ascii="Times New Roman" w:hAnsi="Times New Roman"/>
          <w:i/>
          <w:sz w:val="24"/>
        </w:rPr>
        <w:t>Property Law Act 1974</w:t>
      </w:r>
      <w:r w:rsidR="000B5CF5" w:rsidRPr="002849F1">
        <w:rPr>
          <w:rFonts w:ascii="Times New Roman" w:hAnsi="Times New Roman"/>
          <w:sz w:val="24"/>
        </w:rPr>
        <w:t xml:space="preserve"> (Qld), s 55; </w:t>
      </w:r>
      <w:r w:rsidR="000B5CF5" w:rsidRPr="002849F1">
        <w:rPr>
          <w:rFonts w:ascii="Times New Roman" w:hAnsi="Times New Roman"/>
          <w:i/>
          <w:sz w:val="24"/>
        </w:rPr>
        <w:t>Property Law Act 1969</w:t>
      </w:r>
      <w:r w:rsidR="000B5CF5" w:rsidRPr="002849F1">
        <w:rPr>
          <w:rFonts w:ascii="Times New Roman" w:hAnsi="Times New Roman"/>
          <w:sz w:val="24"/>
        </w:rPr>
        <w:t xml:space="preserve"> (WA), s 11; </w:t>
      </w:r>
      <w:r w:rsidR="000B5CF5" w:rsidRPr="002849F1">
        <w:rPr>
          <w:rFonts w:ascii="Times New Roman" w:hAnsi="Times New Roman"/>
          <w:i/>
          <w:sz w:val="24"/>
        </w:rPr>
        <w:t>Law of Property Act 2000</w:t>
      </w:r>
      <w:r w:rsidR="000B5CF5" w:rsidRPr="002849F1">
        <w:rPr>
          <w:rFonts w:ascii="Times New Roman" w:hAnsi="Times New Roman"/>
          <w:sz w:val="24"/>
        </w:rPr>
        <w:t xml:space="preserve"> (NT), s 56.</w:t>
      </w:r>
    </w:p>
  </w:footnote>
  <w:footnote w:id="18">
    <w:p w14:paraId="20928D32" w14:textId="08509222" w:rsidR="006C461E" w:rsidRPr="002849F1" w:rsidRDefault="006C461E"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"Rates" is defined in cl 2.1 of the Leases to mean "all rates (including water rates and sewerage rates), and levies to defray expenses levied or imposed by a Governmental Authority on land or on owners or occupiers of land in relation to their ownership or occupation of that land</w:t>
      </w:r>
      <w:r w:rsidR="00AE05A4" w:rsidRPr="002849F1">
        <w:rPr>
          <w:rFonts w:ascii="Times New Roman" w:hAnsi="Times New Roman"/>
          <w:sz w:val="24"/>
        </w:rPr>
        <w:t>"</w:t>
      </w:r>
      <w:r w:rsidRPr="002849F1">
        <w:rPr>
          <w:rFonts w:ascii="Times New Roman" w:hAnsi="Times New Roman"/>
          <w:sz w:val="24"/>
        </w:rPr>
        <w:t xml:space="preserve">. </w:t>
      </w:r>
    </w:p>
  </w:footnote>
  <w:footnote w:id="19">
    <w:p w14:paraId="20EEA31E" w14:textId="1602D1A2" w:rsidR="006C461E" w:rsidRPr="002849F1" w:rsidRDefault="006C461E"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"Governmental Authority" is defined in cl 2.1 of the Leases to mean "the Commonwealth government or any government of any State or Territory of Australia, administrative body, governmental body, department or agency of any such government or local government </w:t>
      </w:r>
      <w:r w:rsidR="005866F4" w:rsidRPr="002849F1">
        <w:rPr>
          <w:rFonts w:ascii="Times New Roman" w:hAnsi="Times New Roman"/>
          <w:sz w:val="24"/>
        </w:rPr>
        <w:t>authority</w:t>
      </w:r>
      <w:r w:rsidRPr="002849F1">
        <w:rPr>
          <w:rFonts w:ascii="Times New Roman" w:hAnsi="Times New Roman"/>
          <w:sz w:val="24"/>
        </w:rPr>
        <w:t xml:space="preserve">". </w:t>
      </w:r>
    </w:p>
  </w:footnote>
  <w:footnote w:id="20">
    <w:p w14:paraId="44D39A8E" w14:textId="62835D13" w:rsidR="00224847" w:rsidRPr="002849F1" w:rsidRDefault="00224847"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Local Government Act</w:t>
      </w:r>
      <w:r w:rsidRPr="002849F1">
        <w:rPr>
          <w:rFonts w:ascii="Times New Roman" w:hAnsi="Times New Roman"/>
          <w:sz w:val="24"/>
        </w:rPr>
        <w:t>, s</w:t>
      </w:r>
      <w:r w:rsidR="008C380A" w:rsidRPr="002849F1">
        <w:rPr>
          <w:rFonts w:ascii="Times New Roman" w:hAnsi="Times New Roman"/>
          <w:sz w:val="24"/>
        </w:rPr>
        <w:t> </w:t>
      </w:r>
      <w:r w:rsidRPr="002849F1">
        <w:rPr>
          <w:rFonts w:ascii="Times New Roman" w:hAnsi="Times New Roman"/>
          <w:sz w:val="24"/>
        </w:rPr>
        <w:t xml:space="preserve">18, </w:t>
      </w:r>
      <w:r w:rsidR="00187F36" w:rsidRPr="002849F1">
        <w:rPr>
          <w:rFonts w:ascii="Times New Roman" w:hAnsi="Times New Roman"/>
          <w:sz w:val="24"/>
        </w:rPr>
        <w:t>S</w:t>
      </w:r>
      <w:r w:rsidRPr="002849F1">
        <w:rPr>
          <w:rFonts w:ascii="Times New Roman" w:hAnsi="Times New Roman"/>
          <w:sz w:val="24"/>
        </w:rPr>
        <w:t>ch 3.</w:t>
      </w:r>
    </w:p>
  </w:footnote>
  <w:footnote w:id="21">
    <w:p w14:paraId="78258054" w14:textId="0530FEEF" w:rsidR="00471840" w:rsidRPr="002849F1" w:rsidRDefault="00471840"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287D6E" w:rsidRPr="002849F1">
        <w:rPr>
          <w:rFonts w:ascii="Times New Roman" w:hAnsi="Times New Roman"/>
          <w:sz w:val="24"/>
        </w:rPr>
        <w:t>HIAPL and the Clarence City Council entered into an agreement dated 14 May 2004 which specified the basis upon which "Lease Compliance Payments" (as defined in that agreement) would be payable by HIAPL to the C</w:t>
      </w:r>
      <w:r w:rsidR="00E064C7" w:rsidRPr="002849F1">
        <w:rPr>
          <w:rFonts w:ascii="Times New Roman" w:hAnsi="Times New Roman"/>
          <w:sz w:val="24"/>
        </w:rPr>
        <w:t xml:space="preserve">larence City Council. </w:t>
      </w:r>
      <w:r w:rsidR="00944CFE" w:rsidRPr="002849F1">
        <w:rPr>
          <w:rFonts w:ascii="Times New Roman" w:hAnsi="Times New Roman"/>
          <w:sz w:val="24"/>
        </w:rPr>
        <w:t>That agreement had a term of five years and was not renewed.</w:t>
      </w:r>
    </w:p>
  </w:footnote>
  <w:footnote w:id="22">
    <w:p w14:paraId="2822A5DC" w14:textId="34DBE89A" w:rsidR="00544678" w:rsidRPr="002849F1" w:rsidRDefault="00544678"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7D70B1" w:rsidRPr="002849F1">
        <w:rPr>
          <w:rFonts w:ascii="Times New Roman" w:hAnsi="Times New Roman"/>
          <w:i/>
          <w:sz w:val="24"/>
        </w:rPr>
        <w:t xml:space="preserve">In </w:t>
      </w:r>
      <w:r w:rsidR="00D34AC1" w:rsidRPr="002849F1">
        <w:rPr>
          <w:rFonts w:ascii="Times New Roman" w:hAnsi="Times New Roman"/>
          <w:i/>
          <w:sz w:val="24"/>
        </w:rPr>
        <w:t>r</w:t>
      </w:r>
      <w:r w:rsidRPr="002849F1">
        <w:rPr>
          <w:rFonts w:ascii="Times New Roman" w:hAnsi="Times New Roman"/>
          <w:i/>
          <w:sz w:val="24"/>
        </w:rPr>
        <w:t>e Judiciary</w:t>
      </w:r>
      <w:r w:rsidR="007D70B1" w:rsidRPr="002849F1">
        <w:rPr>
          <w:rFonts w:ascii="Times New Roman" w:hAnsi="Times New Roman"/>
          <w:i/>
          <w:sz w:val="24"/>
        </w:rPr>
        <w:t xml:space="preserve"> and Navigation Acts</w:t>
      </w:r>
      <w:r w:rsidRPr="002849F1">
        <w:rPr>
          <w:rFonts w:ascii="Times New Roman" w:hAnsi="Times New Roman"/>
          <w:i/>
          <w:sz w:val="24"/>
        </w:rPr>
        <w:t xml:space="preserve"> </w:t>
      </w:r>
      <w:r w:rsidRPr="002849F1">
        <w:rPr>
          <w:rFonts w:ascii="Times New Roman" w:hAnsi="Times New Roman"/>
          <w:sz w:val="24"/>
        </w:rPr>
        <w:t xml:space="preserve">(1921) 29 CLR 257 at 265; </w:t>
      </w:r>
      <w:r w:rsidRPr="002849F1">
        <w:rPr>
          <w:rFonts w:ascii="Times New Roman" w:hAnsi="Times New Roman"/>
          <w:i/>
          <w:sz w:val="24"/>
        </w:rPr>
        <w:t>Re McBain</w:t>
      </w:r>
      <w:r w:rsidR="008C001D" w:rsidRPr="002849F1">
        <w:rPr>
          <w:rFonts w:ascii="Times New Roman" w:hAnsi="Times New Roman"/>
          <w:i/>
          <w:sz w:val="24"/>
        </w:rPr>
        <w:t>; Ex</w:t>
      </w:r>
      <w:r w:rsidR="00512462">
        <w:rPr>
          <w:rFonts w:ascii="Times New Roman" w:hAnsi="Times New Roman"/>
          <w:i/>
          <w:sz w:val="24"/>
        </w:rPr>
        <w:t> </w:t>
      </w:r>
      <w:r w:rsidR="008C001D" w:rsidRPr="002849F1">
        <w:rPr>
          <w:rFonts w:ascii="Times New Roman" w:hAnsi="Times New Roman"/>
          <w:i/>
          <w:sz w:val="24"/>
        </w:rPr>
        <w:t>parte Australian Catholic Bishops Conference</w:t>
      </w:r>
      <w:r w:rsidRPr="002849F1">
        <w:rPr>
          <w:rFonts w:ascii="Times New Roman" w:hAnsi="Times New Roman"/>
          <w:sz w:val="24"/>
        </w:rPr>
        <w:t xml:space="preserve"> (2002) 209 CLR 372 at 405-406 [62].</w:t>
      </w:r>
    </w:p>
  </w:footnote>
  <w:footnote w:id="23">
    <w:p w14:paraId="137C7365" w14:textId="4D2DE299" w:rsidR="003B0C41" w:rsidRPr="002849F1" w:rsidRDefault="003B0C41"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CGU</w:t>
      </w:r>
      <w:r w:rsidR="009C00A6" w:rsidRPr="002849F1">
        <w:rPr>
          <w:rFonts w:ascii="Times New Roman" w:hAnsi="Times New Roman"/>
          <w:i/>
          <w:sz w:val="24"/>
        </w:rPr>
        <w:t xml:space="preserve"> Insurance Ltd v Blakel</w:t>
      </w:r>
      <w:r w:rsidR="004C5AA1" w:rsidRPr="002849F1">
        <w:rPr>
          <w:rFonts w:ascii="Times New Roman" w:hAnsi="Times New Roman"/>
          <w:i/>
          <w:sz w:val="24"/>
        </w:rPr>
        <w:t>e</w:t>
      </w:r>
      <w:r w:rsidR="009C00A6" w:rsidRPr="002849F1">
        <w:rPr>
          <w:rFonts w:ascii="Times New Roman" w:hAnsi="Times New Roman"/>
          <w:i/>
          <w:sz w:val="24"/>
        </w:rPr>
        <w:t xml:space="preserve">y </w:t>
      </w:r>
      <w:r w:rsidR="009C00A6" w:rsidRPr="002849F1">
        <w:rPr>
          <w:rFonts w:ascii="Times New Roman" w:hAnsi="Times New Roman"/>
          <w:sz w:val="24"/>
        </w:rPr>
        <w:t>(</w:t>
      </w:r>
      <w:r w:rsidR="009B76B2" w:rsidRPr="002849F1">
        <w:rPr>
          <w:rFonts w:ascii="Times New Roman" w:hAnsi="Times New Roman"/>
          <w:sz w:val="24"/>
        </w:rPr>
        <w:t>2016) 259 CLR 339</w:t>
      </w:r>
      <w:r w:rsidRPr="002849F1">
        <w:rPr>
          <w:rFonts w:ascii="Times New Roman" w:hAnsi="Times New Roman"/>
          <w:sz w:val="24"/>
        </w:rPr>
        <w:t xml:space="preserve"> at 35</w:t>
      </w:r>
      <w:r w:rsidR="004C5AA1" w:rsidRPr="002849F1">
        <w:rPr>
          <w:rFonts w:ascii="Times New Roman" w:hAnsi="Times New Roman"/>
          <w:sz w:val="24"/>
        </w:rPr>
        <w:t>1</w:t>
      </w:r>
      <w:r w:rsidRPr="002849F1">
        <w:rPr>
          <w:rFonts w:ascii="Times New Roman" w:hAnsi="Times New Roman"/>
          <w:sz w:val="24"/>
        </w:rPr>
        <w:t xml:space="preserve"> [</w:t>
      </w:r>
      <w:r w:rsidR="004C5AA1" w:rsidRPr="002849F1">
        <w:rPr>
          <w:rFonts w:ascii="Times New Roman" w:hAnsi="Times New Roman"/>
          <w:sz w:val="24"/>
        </w:rPr>
        <w:t>27</w:t>
      </w:r>
      <w:r w:rsidRPr="002849F1">
        <w:rPr>
          <w:rFonts w:ascii="Times New Roman" w:hAnsi="Times New Roman"/>
          <w:sz w:val="24"/>
        </w:rPr>
        <w:t>]</w:t>
      </w:r>
      <w:r w:rsidR="001613C3" w:rsidRPr="002849F1">
        <w:rPr>
          <w:rFonts w:ascii="Times New Roman" w:hAnsi="Times New Roman"/>
          <w:sz w:val="24"/>
        </w:rPr>
        <w:t xml:space="preserve">, quoting </w:t>
      </w:r>
      <w:r w:rsidR="004444A5" w:rsidRPr="002849F1">
        <w:rPr>
          <w:rFonts w:ascii="Times New Roman" w:hAnsi="Times New Roman"/>
          <w:sz w:val="24"/>
        </w:rPr>
        <w:t xml:space="preserve">Burmester, "Limitations on Federal Adjudication", in Opeskin and Wheeler (eds), </w:t>
      </w:r>
      <w:r w:rsidR="004444A5" w:rsidRPr="002849F1">
        <w:rPr>
          <w:rFonts w:ascii="Times New Roman" w:hAnsi="Times New Roman"/>
          <w:i/>
          <w:sz w:val="24"/>
        </w:rPr>
        <w:t>The</w:t>
      </w:r>
      <w:r w:rsidR="00512462">
        <w:rPr>
          <w:rFonts w:ascii="Times New Roman" w:hAnsi="Times New Roman"/>
          <w:i/>
          <w:sz w:val="24"/>
        </w:rPr>
        <w:t> </w:t>
      </w:r>
      <w:r w:rsidR="004444A5" w:rsidRPr="002849F1">
        <w:rPr>
          <w:rFonts w:ascii="Times New Roman" w:hAnsi="Times New Roman"/>
          <w:i/>
          <w:sz w:val="24"/>
        </w:rPr>
        <w:t>Australian Federal Judicial System</w:t>
      </w:r>
      <w:r w:rsidR="004444A5" w:rsidRPr="002849F1">
        <w:rPr>
          <w:rFonts w:ascii="Times New Roman" w:hAnsi="Times New Roman"/>
          <w:sz w:val="24"/>
        </w:rPr>
        <w:t xml:space="preserve"> (2000) 227 at 232</w:t>
      </w:r>
      <w:r w:rsidRPr="002849F1">
        <w:rPr>
          <w:rFonts w:ascii="Times New Roman" w:hAnsi="Times New Roman"/>
          <w:sz w:val="24"/>
        </w:rPr>
        <w:t>.</w:t>
      </w:r>
    </w:p>
  </w:footnote>
  <w:footnote w:id="24">
    <w:p w14:paraId="465FB80B" w14:textId="10D6DFA4" w:rsidR="00D96B1C" w:rsidRPr="002849F1" w:rsidRDefault="00D96B1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D11B60" w:rsidRPr="002849F1">
        <w:rPr>
          <w:rFonts w:ascii="Times New Roman" w:hAnsi="Times New Roman"/>
          <w:sz w:val="24"/>
        </w:rPr>
        <w:t>S</w:t>
      </w:r>
      <w:r w:rsidRPr="002849F1">
        <w:rPr>
          <w:rFonts w:ascii="Times New Roman" w:hAnsi="Times New Roman"/>
          <w:sz w:val="24"/>
        </w:rPr>
        <w:t xml:space="preserve">ee </w:t>
      </w:r>
      <w:r w:rsidR="004B6B66" w:rsidRPr="002849F1">
        <w:rPr>
          <w:rFonts w:ascii="Times New Roman" w:hAnsi="Times New Roman"/>
          <w:i/>
          <w:sz w:val="24"/>
        </w:rPr>
        <w:t>Judiciary Act</w:t>
      </w:r>
      <w:r w:rsidR="004B6B66" w:rsidRPr="002849F1">
        <w:rPr>
          <w:rFonts w:ascii="Times New Roman" w:hAnsi="Times New Roman"/>
          <w:sz w:val="24"/>
        </w:rPr>
        <w:t>, s 39B(1</w:t>
      </w:r>
      <w:proofErr w:type="gramStart"/>
      <w:r w:rsidR="004B6B66" w:rsidRPr="002849F1">
        <w:rPr>
          <w:rFonts w:ascii="Times New Roman" w:hAnsi="Times New Roman"/>
          <w:sz w:val="24"/>
        </w:rPr>
        <w:t>A)(</w:t>
      </w:r>
      <w:proofErr w:type="gramEnd"/>
      <w:r w:rsidR="004B6B66" w:rsidRPr="002849F1">
        <w:rPr>
          <w:rFonts w:ascii="Times New Roman" w:hAnsi="Times New Roman"/>
          <w:sz w:val="24"/>
        </w:rPr>
        <w:t xml:space="preserve">c); </w:t>
      </w:r>
      <w:r w:rsidR="004D78BE" w:rsidRPr="002849F1">
        <w:rPr>
          <w:rFonts w:ascii="Times New Roman" w:hAnsi="Times New Roman"/>
          <w:i/>
          <w:sz w:val="24"/>
        </w:rPr>
        <w:t>R v Commonwealth Court of Conciliation and Arbitration; Ex</w:t>
      </w:r>
      <w:r w:rsidR="007E7555" w:rsidRPr="002849F1">
        <w:rPr>
          <w:rFonts w:ascii="Times New Roman" w:hAnsi="Times New Roman"/>
          <w:i/>
          <w:sz w:val="24"/>
        </w:rPr>
        <w:t> </w:t>
      </w:r>
      <w:r w:rsidR="004D78BE" w:rsidRPr="002849F1">
        <w:rPr>
          <w:rFonts w:ascii="Times New Roman" w:hAnsi="Times New Roman"/>
          <w:i/>
          <w:sz w:val="24"/>
        </w:rPr>
        <w:t xml:space="preserve">parte </w:t>
      </w:r>
      <w:r w:rsidRPr="002849F1">
        <w:rPr>
          <w:rFonts w:ascii="Times New Roman" w:hAnsi="Times New Roman"/>
          <w:i/>
          <w:sz w:val="24"/>
        </w:rPr>
        <w:t>Barrett</w:t>
      </w:r>
      <w:r w:rsidRPr="002849F1">
        <w:rPr>
          <w:rFonts w:ascii="Times New Roman" w:hAnsi="Times New Roman"/>
          <w:sz w:val="24"/>
        </w:rPr>
        <w:t xml:space="preserve"> (1945) 70 CLR 141 at 154; </w:t>
      </w:r>
      <w:r w:rsidRPr="002849F1">
        <w:rPr>
          <w:rFonts w:ascii="Times New Roman" w:hAnsi="Times New Roman"/>
          <w:i/>
          <w:sz w:val="24"/>
        </w:rPr>
        <w:t>LNC Industries Ltd</w:t>
      </w:r>
      <w:r w:rsidR="004311CF" w:rsidRPr="002849F1">
        <w:rPr>
          <w:rFonts w:ascii="Times New Roman" w:hAnsi="Times New Roman"/>
          <w:i/>
          <w:sz w:val="24"/>
        </w:rPr>
        <w:t xml:space="preserve"> v BMW (Australia) Ltd</w:t>
      </w:r>
      <w:r w:rsidRPr="002849F1">
        <w:rPr>
          <w:rFonts w:ascii="Times New Roman" w:hAnsi="Times New Roman"/>
          <w:i/>
          <w:sz w:val="24"/>
        </w:rPr>
        <w:t xml:space="preserve"> </w:t>
      </w:r>
      <w:r w:rsidRPr="002849F1">
        <w:rPr>
          <w:rFonts w:ascii="Times New Roman" w:hAnsi="Times New Roman"/>
          <w:sz w:val="24"/>
        </w:rPr>
        <w:t xml:space="preserve">(1983) 151 CLR 575 at 581; </w:t>
      </w:r>
      <w:r w:rsidR="002E21A4" w:rsidRPr="002849F1">
        <w:rPr>
          <w:rFonts w:ascii="Times New Roman" w:hAnsi="Times New Roman"/>
          <w:i/>
          <w:sz w:val="24"/>
        </w:rPr>
        <w:t xml:space="preserve">Edwards v </w:t>
      </w:r>
      <w:r w:rsidRPr="002849F1">
        <w:rPr>
          <w:rFonts w:ascii="Times New Roman" w:hAnsi="Times New Roman"/>
          <w:i/>
          <w:sz w:val="24"/>
        </w:rPr>
        <w:t>Santos</w:t>
      </w:r>
      <w:r w:rsidR="002E21A4" w:rsidRPr="002849F1">
        <w:rPr>
          <w:rFonts w:ascii="Times New Roman" w:hAnsi="Times New Roman"/>
          <w:i/>
          <w:sz w:val="24"/>
        </w:rPr>
        <w:t xml:space="preserve"> Ltd</w:t>
      </w:r>
      <w:r w:rsidRPr="002849F1">
        <w:rPr>
          <w:rFonts w:ascii="Times New Roman" w:hAnsi="Times New Roman"/>
          <w:i/>
          <w:sz w:val="24"/>
        </w:rPr>
        <w:t xml:space="preserve"> </w:t>
      </w:r>
      <w:r w:rsidRPr="002849F1">
        <w:rPr>
          <w:rFonts w:ascii="Times New Roman" w:hAnsi="Times New Roman"/>
          <w:sz w:val="24"/>
        </w:rPr>
        <w:t>(2011) 242 CLR 421 at 438 [45].</w:t>
      </w:r>
    </w:p>
  </w:footnote>
  <w:footnote w:id="25">
    <w:p w14:paraId="612465D8" w14:textId="32E95AF8" w:rsidR="00D96B1C" w:rsidRPr="002849F1" w:rsidRDefault="00D96B1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Judiciary Act</w:t>
      </w:r>
      <w:r w:rsidRPr="002849F1">
        <w:rPr>
          <w:rFonts w:ascii="Times New Roman" w:hAnsi="Times New Roman"/>
          <w:sz w:val="24"/>
        </w:rPr>
        <w:t>, s</w:t>
      </w:r>
      <w:r w:rsidR="006D2CDF" w:rsidRPr="002849F1">
        <w:rPr>
          <w:rFonts w:ascii="Times New Roman" w:hAnsi="Times New Roman"/>
          <w:sz w:val="24"/>
        </w:rPr>
        <w:t xml:space="preserve"> </w:t>
      </w:r>
      <w:r w:rsidRPr="002849F1">
        <w:rPr>
          <w:rFonts w:ascii="Times New Roman" w:hAnsi="Times New Roman"/>
          <w:sz w:val="24"/>
        </w:rPr>
        <w:t>39B(1</w:t>
      </w:r>
      <w:proofErr w:type="gramStart"/>
      <w:r w:rsidRPr="002849F1">
        <w:rPr>
          <w:rFonts w:ascii="Times New Roman" w:hAnsi="Times New Roman"/>
          <w:sz w:val="24"/>
        </w:rPr>
        <w:t>A)(</w:t>
      </w:r>
      <w:proofErr w:type="gramEnd"/>
      <w:r w:rsidRPr="002849F1">
        <w:rPr>
          <w:rFonts w:ascii="Times New Roman" w:hAnsi="Times New Roman"/>
          <w:sz w:val="24"/>
        </w:rPr>
        <w:t>a).</w:t>
      </w:r>
    </w:p>
  </w:footnote>
  <w:footnote w:id="26">
    <w:p w14:paraId="23241D96" w14:textId="43B0CA73" w:rsidR="009C140F" w:rsidRPr="002849F1" w:rsidRDefault="009C140F" w:rsidP="002849F1">
      <w:pPr>
        <w:pStyle w:val="FootnoteText"/>
        <w:spacing w:line="280" w:lineRule="exact"/>
        <w:ind w:right="0"/>
        <w:jc w:val="both"/>
        <w:rPr>
          <w:rFonts w:ascii="Times New Roman" w:hAnsi="Times New Roman"/>
          <w:sz w:val="24"/>
          <w:szCs w:val="20"/>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Re Judiciary</w:t>
      </w:r>
      <w:r w:rsidRPr="002849F1">
        <w:rPr>
          <w:rFonts w:ascii="Times New Roman" w:hAnsi="Times New Roman"/>
          <w:sz w:val="24"/>
        </w:rPr>
        <w:t xml:space="preserve"> (1921) 29 CLR 257 at 265</w:t>
      </w:r>
      <w:r w:rsidR="00EA43B9" w:rsidRPr="002849F1">
        <w:rPr>
          <w:rFonts w:ascii="Times New Roman" w:hAnsi="Times New Roman"/>
          <w:sz w:val="24"/>
        </w:rPr>
        <w:t>, 266-267</w:t>
      </w:r>
      <w:r w:rsidRPr="002849F1">
        <w:rPr>
          <w:rFonts w:ascii="Times New Roman" w:hAnsi="Times New Roman"/>
          <w:sz w:val="24"/>
        </w:rPr>
        <w:t xml:space="preserve">; </w:t>
      </w:r>
      <w:r w:rsidRPr="002849F1">
        <w:rPr>
          <w:rFonts w:ascii="Times New Roman" w:hAnsi="Times New Roman"/>
          <w:i/>
          <w:sz w:val="24"/>
        </w:rPr>
        <w:t>Fencott v Muller</w:t>
      </w:r>
      <w:r w:rsidRPr="002849F1">
        <w:rPr>
          <w:rFonts w:ascii="Times New Roman" w:hAnsi="Times New Roman"/>
          <w:sz w:val="24"/>
        </w:rPr>
        <w:t xml:space="preserve"> (1983) 152 CLR 570 at 603, 606</w:t>
      </w:r>
      <w:r w:rsidR="00306638" w:rsidRPr="002849F1">
        <w:rPr>
          <w:rFonts w:ascii="Times New Roman" w:hAnsi="Times New Roman"/>
          <w:sz w:val="24"/>
        </w:rPr>
        <w:t>, 608</w:t>
      </w:r>
      <w:r w:rsidRPr="002849F1">
        <w:rPr>
          <w:rFonts w:ascii="Times New Roman" w:hAnsi="Times New Roman"/>
          <w:sz w:val="24"/>
        </w:rPr>
        <w:t>;</w:t>
      </w:r>
      <w:r w:rsidR="00F16154" w:rsidRPr="002849F1">
        <w:rPr>
          <w:rFonts w:ascii="Times New Roman" w:hAnsi="Times New Roman"/>
          <w:sz w:val="24"/>
        </w:rPr>
        <w:t xml:space="preserve"> </w:t>
      </w:r>
      <w:r w:rsidR="00F16154" w:rsidRPr="002849F1">
        <w:rPr>
          <w:rFonts w:ascii="Times New Roman" w:hAnsi="Times New Roman"/>
          <w:i/>
          <w:sz w:val="24"/>
        </w:rPr>
        <w:t>Mellifont v Attorney-General (Qld)</w:t>
      </w:r>
      <w:r w:rsidR="00F16154" w:rsidRPr="002849F1">
        <w:rPr>
          <w:rFonts w:ascii="Times New Roman" w:hAnsi="Times New Roman"/>
          <w:sz w:val="24"/>
        </w:rPr>
        <w:t xml:space="preserve"> (1991) 173 CLR 289 at</w:t>
      </w:r>
      <w:r w:rsidR="00206085">
        <w:rPr>
          <w:rFonts w:ascii="Times New Roman" w:hAnsi="Times New Roman"/>
          <w:sz w:val="24"/>
        </w:rPr>
        <w:t> </w:t>
      </w:r>
      <w:r w:rsidR="00F16154" w:rsidRPr="002849F1">
        <w:rPr>
          <w:rFonts w:ascii="Times New Roman" w:hAnsi="Times New Roman"/>
          <w:sz w:val="24"/>
        </w:rPr>
        <w:t>303;</w:t>
      </w:r>
      <w:r w:rsidRPr="002849F1">
        <w:rPr>
          <w:rFonts w:ascii="Times New Roman" w:hAnsi="Times New Roman"/>
          <w:sz w:val="24"/>
        </w:rPr>
        <w:t xml:space="preserve"> </w:t>
      </w:r>
      <w:r w:rsidRPr="002849F1">
        <w:rPr>
          <w:rFonts w:ascii="Times New Roman" w:hAnsi="Times New Roman"/>
          <w:i/>
          <w:sz w:val="24"/>
        </w:rPr>
        <w:t>Abebe</w:t>
      </w:r>
      <w:r w:rsidR="005D2508" w:rsidRPr="002849F1">
        <w:rPr>
          <w:rFonts w:ascii="Times New Roman" w:hAnsi="Times New Roman"/>
          <w:i/>
          <w:sz w:val="24"/>
        </w:rPr>
        <w:t xml:space="preserve"> v The Commonwealth</w:t>
      </w:r>
      <w:r w:rsidRPr="002849F1">
        <w:rPr>
          <w:rFonts w:ascii="Times New Roman" w:hAnsi="Times New Roman"/>
          <w:sz w:val="24"/>
        </w:rPr>
        <w:t xml:space="preserve"> (1999) 197 CLR 510 at </w:t>
      </w:r>
      <w:r w:rsidR="00D31DF2" w:rsidRPr="002849F1">
        <w:rPr>
          <w:rFonts w:ascii="Times New Roman" w:hAnsi="Times New Roman"/>
          <w:sz w:val="24"/>
        </w:rPr>
        <w:t>523-524 [</w:t>
      </w:r>
      <w:r w:rsidRPr="002849F1">
        <w:rPr>
          <w:rFonts w:ascii="Times New Roman" w:hAnsi="Times New Roman"/>
          <w:sz w:val="24"/>
        </w:rPr>
        <w:t>22]</w:t>
      </w:r>
      <w:r w:rsidR="00D31DF2" w:rsidRPr="002849F1">
        <w:rPr>
          <w:rFonts w:ascii="Times New Roman" w:hAnsi="Times New Roman"/>
          <w:sz w:val="24"/>
        </w:rPr>
        <w:t>-[25], 5</w:t>
      </w:r>
      <w:r w:rsidR="006F758F" w:rsidRPr="002849F1">
        <w:rPr>
          <w:rFonts w:ascii="Times New Roman" w:hAnsi="Times New Roman"/>
          <w:sz w:val="24"/>
        </w:rPr>
        <w:t>6</w:t>
      </w:r>
      <w:r w:rsidR="00D31DF2" w:rsidRPr="002849F1">
        <w:rPr>
          <w:rFonts w:ascii="Times New Roman" w:hAnsi="Times New Roman"/>
          <w:sz w:val="24"/>
        </w:rPr>
        <w:t>1</w:t>
      </w:r>
      <w:r w:rsidR="00206085">
        <w:rPr>
          <w:rFonts w:ascii="Times New Roman" w:hAnsi="Times New Roman"/>
          <w:sz w:val="24"/>
        </w:rPr>
        <w:t> </w:t>
      </w:r>
      <w:r w:rsidR="00D31DF2" w:rsidRPr="002849F1">
        <w:rPr>
          <w:rFonts w:ascii="Times New Roman" w:hAnsi="Times New Roman"/>
          <w:sz w:val="24"/>
        </w:rPr>
        <w:t>[140]</w:t>
      </w:r>
      <w:r w:rsidR="00AC13D1" w:rsidRPr="002849F1">
        <w:rPr>
          <w:rFonts w:ascii="Times New Roman" w:hAnsi="Times New Roman"/>
          <w:sz w:val="24"/>
        </w:rPr>
        <w:t>, 585 [</w:t>
      </w:r>
      <w:r w:rsidR="006F758F" w:rsidRPr="002849F1">
        <w:rPr>
          <w:rFonts w:ascii="Times New Roman" w:hAnsi="Times New Roman"/>
          <w:sz w:val="24"/>
        </w:rPr>
        <w:t>215]</w:t>
      </w:r>
      <w:r w:rsidRPr="002849F1">
        <w:rPr>
          <w:rFonts w:ascii="Times New Roman" w:hAnsi="Times New Roman"/>
          <w:sz w:val="24"/>
        </w:rPr>
        <w:t xml:space="preserve">; </w:t>
      </w:r>
      <w:r w:rsidRPr="002849F1">
        <w:rPr>
          <w:rFonts w:ascii="Times New Roman" w:hAnsi="Times New Roman"/>
          <w:i/>
          <w:sz w:val="24"/>
        </w:rPr>
        <w:t>Truth About Motorways</w:t>
      </w:r>
      <w:r w:rsidR="009A3CE9" w:rsidRPr="002849F1">
        <w:rPr>
          <w:rFonts w:ascii="Times New Roman" w:hAnsi="Times New Roman"/>
          <w:i/>
          <w:sz w:val="24"/>
        </w:rPr>
        <w:t xml:space="preserve"> Pty Ltd</w:t>
      </w:r>
      <w:r w:rsidR="00B07BD5" w:rsidRPr="002849F1">
        <w:rPr>
          <w:rFonts w:ascii="Times New Roman" w:hAnsi="Times New Roman"/>
          <w:i/>
          <w:sz w:val="24"/>
        </w:rPr>
        <w:t xml:space="preserve"> v Macquarie Infrastructure Investment Management Ltd</w:t>
      </w:r>
      <w:r w:rsidRPr="002849F1">
        <w:rPr>
          <w:rFonts w:ascii="Times New Roman" w:hAnsi="Times New Roman"/>
          <w:sz w:val="24"/>
        </w:rPr>
        <w:t xml:space="preserve"> (2000) 200 CLR 591 at 606 [3</w:t>
      </w:r>
      <w:r w:rsidR="0061758B" w:rsidRPr="002849F1">
        <w:rPr>
          <w:rFonts w:ascii="Times New Roman" w:hAnsi="Times New Roman"/>
          <w:sz w:val="24"/>
        </w:rPr>
        <w:t>1</w:t>
      </w:r>
      <w:r w:rsidRPr="002849F1">
        <w:rPr>
          <w:rFonts w:ascii="Times New Roman" w:hAnsi="Times New Roman"/>
          <w:sz w:val="24"/>
        </w:rPr>
        <w:t xml:space="preserve">]; </w:t>
      </w:r>
      <w:r w:rsidRPr="002849F1">
        <w:rPr>
          <w:rFonts w:ascii="Times New Roman" w:hAnsi="Times New Roman"/>
          <w:i/>
          <w:sz w:val="24"/>
        </w:rPr>
        <w:t>PT Bayan</w:t>
      </w:r>
      <w:r w:rsidR="00FE1C1A" w:rsidRPr="002849F1">
        <w:rPr>
          <w:rFonts w:ascii="Times New Roman" w:hAnsi="Times New Roman"/>
          <w:i/>
          <w:sz w:val="24"/>
        </w:rPr>
        <w:t xml:space="preserve"> Resources TBK v BCBC Singapore Pte Ltd</w:t>
      </w:r>
      <w:r w:rsidRPr="002849F1">
        <w:rPr>
          <w:rFonts w:ascii="Times New Roman" w:hAnsi="Times New Roman"/>
          <w:sz w:val="24"/>
        </w:rPr>
        <w:t xml:space="preserve"> (2015) 258 CLR 1 at 21</w:t>
      </w:r>
      <w:r w:rsidR="00767DCF" w:rsidRPr="002849F1">
        <w:rPr>
          <w:rFonts w:ascii="Times New Roman" w:hAnsi="Times New Roman"/>
          <w:sz w:val="24"/>
        </w:rPr>
        <w:t>-22</w:t>
      </w:r>
      <w:r w:rsidRPr="002849F1">
        <w:rPr>
          <w:rFonts w:ascii="Times New Roman" w:hAnsi="Times New Roman"/>
          <w:sz w:val="24"/>
        </w:rPr>
        <w:t xml:space="preserve"> [54]; </w:t>
      </w:r>
      <w:r w:rsidRPr="002849F1">
        <w:rPr>
          <w:rFonts w:ascii="Times New Roman" w:hAnsi="Times New Roman"/>
          <w:i/>
          <w:sz w:val="24"/>
        </w:rPr>
        <w:t>CGU</w:t>
      </w:r>
      <w:r w:rsidR="003443A5" w:rsidRPr="002849F1">
        <w:rPr>
          <w:rFonts w:ascii="Times New Roman" w:hAnsi="Times New Roman"/>
          <w:i/>
          <w:sz w:val="24"/>
        </w:rPr>
        <w:t> </w:t>
      </w:r>
      <w:r w:rsidRPr="002849F1">
        <w:rPr>
          <w:rFonts w:ascii="Times New Roman" w:hAnsi="Times New Roman"/>
          <w:i/>
          <w:sz w:val="24"/>
        </w:rPr>
        <w:t>Insurance</w:t>
      </w:r>
      <w:r w:rsidRPr="002849F1">
        <w:rPr>
          <w:rFonts w:ascii="Times New Roman" w:hAnsi="Times New Roman"/>
          <w:sz w:val="24"/>
        </w:rPr>
        <w:t xml:space="preserve"> (2016) 259 CLR 339 at 350 [26], 351 [27], 352 [29]; </w:t>
      </w:r>
      <w:r w:rsidRPr="002849F1">
        <w:rPr>
          <w:rFonts w:ascii="Times New Roman" w:hAnsi="Times New Roman"/>
          <w:i/>
          <w:sz w:val="24"/>
        </w:rPr>
        <w:t>Palmer v Ayres</w:t>
      </w:r>
      <w:r w:rsidRPr="002849F1">
        <w:rPr>
          <w:rFonts w:ascii="Times New Roman" w:hAnsi="Times New Roman"/>
          <w:sz w:val="24"/>
        </w:rPr>
        <w:t xml:space="preserve"> (2017) 259</w:t>
      </w:r>
      <w:r w:rsidR="00206085">
        <w:rPr>
          <w:rFonts w:ascii="Times New Roman" w:hAnsi="Times New Roman"/>
          <w:sz w:val="24"/>
        </w:rPr>
        <w:t> </w:t>
      </w:r>
      <w:r w:rsidRPr="002849F1">
        <w:rPr>
          <w:rFonts w:ascii="Times New Roman" w:hAnsi="Times New Roman"/>
          <w:sz w:val="24"/>
        </w:rPr>
        <w:t>CLR</w:t>
      </w:r>
      <w:r w:rsidRPr="002849F1">
        <w:rPr>
          <w:rFonts w:ascii="Times New Roman" w:hAnsi="Times New Roman"/>
          <w:sz w:val="24"/>
          <w:szCs w:val="20"/>
        </w:rPr>
        <w:t xml:space="preserve"> </w:t>
      </w:r>
      <w:r w:rsidRPr="002849F1">
        <w:rPr>
          <w:rFonts w:ascii="Times New Roman" w:hAnsi="Times New Roman"/>
          <w:sz w:val="24"/>
        </w:rPr>
        <w:t>478 at 490</w:t>
      </w:r>
      <w:r w:rsidR="00382910" w:rsidRPr="002849F1">
        <w:rPr>
          <w:rFonts w:ascii="Times New Roman" w:hAnsi="Times New Roman"/>
          <w:sz w:val="24"/>
        </w:rPr>
        <w:t>-491</w:t>
      </w:r>
      <w:r w:rsidRPr="002849F1">
        <w:rPr>
          <w:rFonts w:ascii="Times New Roman" w:hAnsi="Times New Roman"/>
          <w:sz w:val="24"/>
        </w:rPr>
        <w:t xml:space="preserve"> [26]</w:t>
      </w:r>
      <w:r w:rsidR="003443A5" w:rsidRPr="002849F1">
        <w:rPr>
          <w:rFonts w:ascii="Times New Roman" w:hAnsi="Times New Roman"/>
          <w:sz w:val="24"/>
        </w:rPr>
        <w:noBreakHyphen/>
      </w:r>
      <w:r w:rsidR="00382910" w:rsidRPr="002849F1">
        <w:rPr>
          <w:rFonts w:ascii="Times New Roman" w:hAnsi="Times New Roman"/>
          <w:sz w:val="24"/>
        </w:rPr>
        <w:t>[27]</w:t>
      </w:r>
      <w:r w:rsidRPr="002849F1">
        <w:rPr>
          <w:rFonts w:ascii="Times New Roman" w:hAnsi="Times New Roman"/>
          <w:sz w:val="24"/>
        </w:rPr>
        <w:t>.</w:t>
      </w:r>
      <w:r w:rsidRPr="002849F1">
        <w:rPr>
          <w:rFonts w:ascii="Times New Roman" w:hAnsi="Times New Roman"/>
          <w:sz w:val="24"/>
          <w:szCs w:val="20"/>
        </w:rPr>
        <w:t xml:space="preserve"> </w:t>
      </w:r>
    </w:p>
  </w:footnote>
  <w:footnote w:id="27">
    <w:p w14:paraId="085B1304" w14:textId="11748EB7" w:rsidR="00F81EC9" w:rsidRPr="002849F1" w:rsidRDefault="00F81EC9"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 xml:space="preserve">Re Judiciary </w:t>
      </w:r>
      <w:r w:rsidRPr="002849F1">
        <w:rPr>
          <w:rFonts w:ascii="Times New Roman" w:hAnsi="Times New Roman"/>
          <w:sz w:val="24"/>
        </w:rPr>
        <w:t>(1921) 29 CLR 257 at 265.</w:t>
      </w:r>
    </w:p>
  </w:footnote>
  <w:footnote w:id="28">
    <w:p w14:paraId="54E72441" w14:textId="70537D62" w:rsidR="00F81EC9" w:rsidRPr="002849F1" w:rsidRDefault="00F81EC9"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ab/>
      </w:r>
      <w:r w:rsidR="008F29D2" w:rsidRPr="002849F1">
        <w:rPr>
          <w:rFonts w:ascii="Times New Roman" w:hAnsi="Times New Roman"/>
          <w:i/>
          <w:sz w:val="24"/>
        </w:rPr>
        <w:t xml:space="preserve">Pape v Federal Commissioner of Taxation </w:t>
      </w:r>
      <w:r w:rsidR="008F29D2" w:rsidRPr="002849F1">
        <w:rPr>
          <w:rFonts w:ascii="Times New Roman" w:hAnsi="Times New Roman"/>
          <w:sz w:val="24"/>
        </w:rPr>
        <w:t>(2009) 238 CLR 1 at 68 [152]</w:t>
      </w:r>
      <w:r w:rsidR="00E317AE" w:rsidRPr="002849F1">
        <w:rPr>
          <w:rFonts w:ascii="Times New Roman" w:hAnsi="Times New Roman"/>
          <w:sz w:val="24"/>
        </w:rPr>
        <w:t xml:space="preserve">. See also </w:t>
      </w:r>
      <w:r w:rsidR="00E317AE" w:rsidRPr="002849F1">
        <w:rPr>
          <w:rFonts w:ascii="Times New Roman" w:hAnsi="Times New Roman"/>
          <w:i/>
          <w:sz w:val="24"/>
        </w:rPr>
        <w:t>Australian Conservation Foundation v The Commonwealth</w:t>
      </w:r>
      <w:r w:rsidR="00E317AE" w:rsidRPr="002849F1">
        <w:rPr>
          <w:rFonts w:ascii="Times New Roman" w:hAnsi="Times New Roman"/>
          <w:sz w:val="24"/>
        </w:rPr>
        <w:t xml:space="preserve"> (1980) 146 CLR 493 at</w:t>
      </w:r>
      <w:r w:rsidR="00206085">
        <w:rPr>
          <w:rFonts w:ascii="Times New Roman" w:hAnsi="Times New Roman"/>
          <w:sz w:val="24"/>
        </w:rPr>
        <w:t> </w:t>
      </w:r>
      <w:r w:rsidR="00E317AE" w:rsidRPr="002849F1">
        <w:rPr>
          <w:rFonts w:ascii="Times New Roman" w:hAnsi="Times New Roman"/>
          <w:sz w:val="24"/>
        </w:rPr>
        <w:t xml:space="preserve">550-551; </w:t>
      </w:r>
      <w:r w:rsidR="00E317AE" w:rsidRPr="002849F1">
        <w:rPr>
          <w:rFonts w:ascii="Times New Roman" w:hAnsi="Times New Roman"/>
          <w:i/>
          <w:sz w:val="24"/>
        </w:rPr>
        <w:t>Croome</w:t>
      </w:r>
      <w:r w:rsidR="00B742E5" w:rsidRPr="002849F1">
        <w:rPr>
          <w:rFonts w:ascii="Times New Roman" w:hAnsi="Times New Roman"/>
          <w:i/>
          <w:sz w:val="24"/>
        </w:rPr>
        <w:t> </w:t>
      </w:r>
      <w:r w:rsidR="00E317AE" w:rsidRPr="002849F1">
        <w:rPr>
          <w:rFonts w:ascii="Times New Roman" w:hAnsi="Times New Roman"/>
          <w:i/>
          <w:sz w:val="24"/>
        </w:rPr>
        <w:t>v Tasmania</w:t>
      </w:r>
      <w:r w:rsidR="00E317AE" w:rsidRPr="002849F1">
        <w:rPr>
          <w:rFonts w:ascii="Times New Roman" w:hAnsi="Times New Roman"/>
          <w:sz w:val="24"/>
        </w:rPr>
        <w:t xml:space="preserve"> (1997) 191 CLR 119 at 124-126, 132-136; </w:t>
      </w:r>
      <w:r w:rsidR="008F29D2" w:rsidRPr="002849F1">
        <w:rPr>
          <w:rFonts w:ascii="Times New Roman" w:hAnsi="Times New Roman"/>
          <w:i/>
          <w:sz w:val="24"/>
        </w:rPr>
        <w:t>Bateman's Bay Local Aboriginal Land Council v Aboriginal Community Benefit Fund Pty Ltd</w:t>
      </w:r>
      <w:r w:rsidR="008F29D2" w:rsidRPr="002849F1">
        <w:rPr>
          <w:rFonts w:ascii="Times New Roman" w:hAnsi="Times New Roman"/>
          <w:sz w:val="24"/>
        </w:rPr>
        <w:t xml:space="preserve"> (1998) 194 CLR 247 at 262 [37]; </w:t>
      </w:r>
      <w:r w:rsidR="00D77B52" w:rsidRPr="002849F1">
        <w:rPr>
          <w:rFonts w:ascii="Times New Roman" w:hAnsi="Times New Roman"/>
          <w:i/>
          <w:sz w:val="24"/>
        </w:rPr>
        <w:t xml:space="preserve">Truth About Motorways </w:t>
      </w:r>
      <w:r w:rsidR="00D77B52" w:rsidRPr="002849F1">
        <w:rPr>
          <w:rFonts w:ascii="Times New Roman" w:hAnsi="Times New Roman"/>
          <w:sz w:val="24"/>
        </w:rPr>
        <w:t>(2000) 200 CLR 591 at 610-613 [42]</w:t>
      </w:r>
      <w:r w:rsidR="00D77B52" w:rsidRPr="002849F1">
        <w:rPr>
          <w:rFonts w:ascii="Times New Roman" w:hAnsi="Times New Roman"/>
          <w:sz w:val="24"/>
        </w:rPr>
        <w:noBreakHyphen/>
        <w:t>[50], 629</w:t>
      </w:r>
      <w:r w:rsidR="00D77B52" w:rsidRPr="002849F1">
        <w:rPr>
          <w:rFonts w:ascii="Times New Roman" w:hAnsi="Times New Roman"/>
          <w:sz w:val="24"/>
        </w:rPr>
        <w:noBreakHyphen/>
        <w:t>633 [101]</w:t>
      </w:r>
      <w:r w:rsidR="00D77B52" w:rsidRPr="002849F1">
        <w:rPr>
          <w:rFonts w:ascii="Times New Roman" w:hAnsi="Times New Roman"/>
          <w:sz w:val="24"/>
        </w:rPr>
        <w:noBreakHyphen/>
        <w:t>[109], 659</w:t>
      </w:r>
      <w:r w:rsidR="00D77B52" w:rsidRPr="002849F1">
        <w:rPr>
          <w:rFonts w:ascii="Times New Roman" w:hAnsi="Times New Roman"/>
          <w:sz w:val="24"/>
        </w:rPr>
        <w:noBreakHyphen/>
        <w:t>660</w:t>
      </w:r>
      <w:r w:rsidR="008E584E" w:rsidRPr="002849F1">
        <w:rPr>
          <w:rFonts w:ascii="Times New Roman" w:hAnsi="Times New Roman"/>
          <w:sz w:val="24"/>
        </w:rPr>
        <w:t xml:space="preserve"> </w:t>
      </w:r>
      <w:r w:rsidR="00D77B52" w:rsidRPr="002849F1">
        <w:rPr>
          <w:rFonts w:ascii="Times New Roman" w:hAnsi="Times New Roman"/>
          <w:sz w:val="24"/>
        </w:rPr>
        <w:t>[177]</w:t>
      </w:r>
      <w:r w:rsidR="00D77B52" w:rsidRPr="002849F1">
        <w:rPr>
          <w:rFonts w:ascii="Times New Roman" w:hAnsi="Times New Roman"/>
          <w:sz w:val="24"/>
        </w:rPr>
        <w:noBreakHyphen/>
        <w:t>[179];</w:t>
      </w:r>
      <w:r w:rsidR="00E317AE" w:rsidRPr="002849F1">
        <w:rPr>
          <w:rFonts w:ascii="Times New Roman" w:hAnsi="Times New Roman"/>
          <w:sz w:val="24"/>
        </w:rPr>
        <w:t xml:space="preserve"> </w:t>
      </w:r>
      <w:r w:rsidRPr="002849F1">
        <w:rPr>
          <w:rFonts w:ascii="Times New Roman" w:hAnsi="Times New Roman"/>
          <w:i/>
          <w:sz w:val="24"/>
        </w:rPr>
        <w:t>Kuczborski</w:t>
      </w:r>
      <w:r w:rsidR="00BB17A6" w:rsidRPr="002849F1">
        <w:rPr>
          <w:rFonts w:ascii="Times New Roman" w:hAnsi="Times New Roman"/>
          <w:i/>
          <w:sz w:val="24"/>
        </w:rPr>
        <w:t xml:space="preserve"> v Queensland</w:t>
      </w:r>
      <w:r w:rsidRPr="002849F1">
        <w:rPr>
          <w:rFonts w:ascii="Times New Roman" w:hAnsi="Times New Roman"/>
          <w:i/>
          <w:sz w:val="24"/>
        </w:rPr>
        <w:t xml:space="preserve"> </w:t>
      </w:r>
      <w:r w:rsidRPr="002849F1">
        <w:rPr>
          <w:rFonts w:ascii="Times New Roman" w:hAnsi="Times New Roman"/>
          <w:sz w:val="24"/>
        </w:rPr>
        <w:t xml:space="preserve">(2014) 254 CLR 51 at </w:t>
      </w:r>
      <w:r w:rsidR="00AC5D70" w:rsidRPr="002849F1">
        <w:rPr>
          <w:rFonts w:ascii="Times New Roman" w:hAnsi="Times New Roman"/>
          <w:sz w:val="24"/>
        </w:rPr>
        <w:t>60</w:t>
      </w:r>
      <w:r w:rsidR="009F01F8" w:rsidRPr="002849F1">
        <w:rPr>
          <w:rFonts w:ascii="Times New Roman" w:hAnsi="Times New Roman"/>
          <w:sz w:val="24"/>
        </w:rPr>
        <w:t>-61</w:t>
      </w:r>
      <w:r w:rsidR="00AC5D70" w:rsidRPr="002849F1">
        <w:rPr>
          <w:rFonts w:ascii="Times New Roman" w:hAnsi="Times New Roman"/>
          <w:sz w:val="24"/>
        </w:rPr>
        <w:t xml:space="preserve"> </w:t>
      </w:r>
      <w:r w:rsidRPr="002849F1">
        <w:rPr>
          <w:rFonts w:ascii="Times New Roman" w:hAnsi="Times New Roman"/>
          <w:sz w:val="24"/>
        </w:rPr>
        <w:t>[5]</w:t>
      </w:r>
      <w:r w:rsidR="0002057F" w:rsidRPr="002849F1">
        <w:rPr>
          <w:rFonts w:ascii="Times New Roman" w:hAnsi="Times New Roman"/>
          <w:sz w:val="24"/>
        </w:rPr>
        <w:t>, 87</w:t>
      </w:r>
      <w:r w:rsidR="001D56FB" w:rsidRPr="002849F1">
        <w:rPr>
          <w:rFonts w:ascii="Times New Roman" w:hAnsi="Times New Roman"/>
          <w:sz w:val="24"/>
        </w:rPr>
        <w:noBreakHyphen/>
      </w:r>
      <w:r w:rsidR="003368AC" w:rsidRPr="002849F1">
        <w:rPr>
          <w:rFonts w:ascii="Times New Roman" w:hAnsi="Times New Roman"/>
          <w:sz w:val="24"/>
        </w:rPr>
        <w:t>88</w:t>
      </w:r>
      <w:r w:rsidR="0002057F" w:rsidRPr="002849F1">
        <w:rPr>
          <w:rFonts w:ascii="Times New Roman" w:hAnsi="Times New Roman"/>
          <w:sz w:val="24"/>
        </w:rPr>
        <w:t xml:space="preserve"> [98]-</w:t>
      </w:r>
      <w:r w:rsidR="003368AC" w:rsidRPr="002849F1">
        <w:rPr>
          <w:rFonts w:ascii="Times New Roman" w:hAnsi="Times New Roman"/>
          <w:sz w:val="24"/>
        </w:rPr>
        <w:t>[100]</w:t>
      </w:r>
      <w:r w:rsidR="00303E4C" w:rsidRPr="002849F1">
        <w:rPr>
          <w:rFonts w:ascii="Times New Roman" w:hAnsi="Times New Roman"/>
          <w:sz w:val="24"/>
        </w:rPr>
        <w:t>, 130</w:t>
      </w:r>
      <w:r w:rsidR="00206085">
        <w:rPr>
          <w:rFonts w:ascii="Times New Roman" w:hAnsi="Times New Roman"/>
          <w:sz w:val="24"/>
        </w:rPr>
        <w:noBreakHyphen/>
      </w:r>
      <w:r w:rsidR="00303E4C" w:rsidRPr="002849F1">
        <w:rPr>
          <w:rFonts w:ascii="Times New Roman" w:hAnsi="Times New Roman"/>
          <w:sz w:val="24"/>
        </w:rPr>
        <w:t>132 [278]</w:t>
      </w:r>
      <w:r w:rsidRPr="002849F1">
        <w:rPr>
          <w:rFonts w:ascii="Times New Roman" w:hAnsi="Times New Roman"/>
          <w:sz w:val="24"/>
        </w:rPr>
        <w:t>.</w:t>
      </w:r>
    </w:p>
  </w:footnote>
  <w:footnote w:id="29">
    <w:p w14:paraId="4666E85B" w14:textId="475CB5EB" w:rsidR="00F9692A" w:rsidRPr="002849F1" w:rsidRDefault="00F9692A"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 xml:space="preserve">Truth About Motorways </w:t>
      </w:r>
      <w:r w:rsidRPr="002849F1">
        <w:rPr>
          <w:rFonts w:ascii="Times New Roman" w:hAnsi="Times New Roman"/>
          <w:sz w:val="24"/>
        </w:rPr>
        <w:t>(2000) 200 CLR 591 at 612 [47].</w:t>
      </w:r>
    </w:p>
  </w:footnote>
  <w:footnote w:id="30">
    <w:p w14:paraId="3E2483A9" w14:textId="1A3E2859" w:rsidR="00F81EC9" w:rsidRPr="002849F1" w:rsidRDefault="00F81EC9"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 xml:space="preserve">Truth About Motorways </w:t>
      </w:r>
      <w:r w:rsidRPr="002849F1">
        <w:rPr>
          <w:rFonts w:ascii="Times New Roman" w:hAnsi="Times New Roman"/>
          <w:sz w:val="24"/>
        </w:rPr>
        <w:t>(2000) 200 CLR 591 at 612 [48]</w:t>
      </w:r>
      <w:r w:rsidR="00D43B4D" w:rsidRPr="002849F1">
        <w:rPr>
          <w:rFonts w:ascii="Times New Roman" w:hAnsi="Times New Roman"/>
          <w:sz w:val="24"/>
        </w:rPr>
        <w:t>; see</w:t>
      </w:r>
      <w:r w:rsidR="00C43E16" w:rsidRPr="002849F1">
        <w:rPr>
          <w:rFonts w:ascii="Times New Roman" w:hAnsi="Times New Roman"/>
          <w:sz w:val="24"/>
        </w:rPr>
        <w:t> </w:t>
      </w:r>
      <w:r w:rsidR="00D43B4D" w:rsidRPr="002849F1">
        <w:rPr>
          <w:rFonts w:ascii="Times New Roman" w:hAnsi="Times New Roman"/>
          <w:sz w:val="24"/>
        </w:rPr>
        <w:t xml:space="preserve">also </w:t>
      </w:r>
      <w:r w:rsidR="007B1CFD" w:rsidRPr="002849F1">
        <w:rPr>
          <w:rFonts w:ascii="Times New Roman" w:hAnsi="Times New Roman"/>
          <w:sz w:val="24"/>
        </w:rPr>
        <w:t xml:space="preserve">612-613 </w:t>
      </w:r>
      <w:r w:rsidR="006C7D4A" w:rsidRPr="002849F1">
        <w:rPr>
          <w:rFonts w:ascii="Times New Roman" w:hAnsi="Times New Roman"/>
          <w:sz w:val="24"/>
        </w:rPr>
        <w:t>[</w:t>
      </w:r>
      <w:proofErr w:type="gramStart"/>
      <w:r w:rsidR="006C7D4A" w:rsidRPr="002849F1">
        <w:rPr>
          <w:rFonts w:ascii="Times New Roman" w:hAnsi="Times New Roman"/>
          <w:sz w:val="24"/>
        </w:rPr>
        <w:t>49]</w:t>
      </w:r>
      <w:r w:rsidR="007802CA">
        <w:rPr>
          <w:rFonts w:ascii="Times New Roman" w:hAnsi="Times New Roman"/>
          <w:sz w:val="24"/>
        </w:rPr>
        <w:noBreakHyphen/>
      </w:r>
      <w:proofErr w:type="gramEnd"/>
      <w:r w:rsidR="007B1CFD" w:rsidRPr="002849F1">
        <w:rPr>
          <w:rFonts w:ascii="Times New Roman" w:hAnsi="Times New Roman"/>
          <w:sz w:val="24"/>
        </w:rPr>
        <w:t>[50]</w:t>
      </w:r>
      <w:r w:rsidRPr="002849F1">
        <w:rPr>
          <w:rFonts w:ascii="Times New Roman" w:hAnsi="Times New Roman"/>
          <w:sz w:val="24"/>
        </w:rPr>
        <w:t>.</w:t>
      </w:r>
    </w:p>
  </w:footnote>
  <w:footnote w:id="31">
    <w:p w14:paraId="11969CFF" w14:textId="590A53D2" w:rsidR="00F81EC9" w:rsidRPr="002849F1" w:rsidRDefault="00F81EC9"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ab/>
      </w:r>
      <w:r w:rsidRPr="002849F1">
        <w:rPr>
          <w:rFonts w:ascii="Times New Roman" w:hAnsi="Times New Roman"/>
          <w:i/>
          <w:sz w:val="24"/>
        </w:rPr>
        <w:t>Kuczborski</w:t>
      </w:r>
      <w:r w:rsidR="00A825E6" w:rsidRPr="002849F1">
        <w:rPr>
          <w:rFonts w:ascii="Times New Roman" w:hAnsi="Times New Roman"/>
          <w:i/>
          <w:sz w:val="24"/>
        </w:rPr>
        <w:t xml:space="preserve"> </w:t>
      </w:r>
      <w:r w:rsidR="00A825E6" w:rsidRPr="002849F1">
        <w:rPr>
          <w:rFonts w:ascii="Times New Roman" w:hAnsi="Times New Roman"/>
          <w:sz w:val="24"/>
        </w:rPr>
        <w:t>(2014) 254 CLR 51</w:t>
      </w:r>
      <w:r w:rsidRPr="002849F1">
        <w:rPr>
          <w:rFonts w:ascii="Times New Roman" w:hAnsi="Times New Roman"/>
          <w:i/>
          <w:sz w:val="24"/>
        </w:rPr>
        <w:t xml:space="preserve"> </w:t>
      </w:r>
      <w:r w:rsidRPr="002849F1">
        <w:rPr>
          <w:rFonts w:ascii="Times New Roman" w:hAnsi="Times New Roman"/>
          <w:sz w:val="24"/>
        </w:rPr>
        <w:t>at 61 [5].</w:t>
      </w:r>
    </w:p>
  </w:footnote>
  <w:footnote w:id="32">
    <w:p w14:paraId="78190079" w14:textId="4DFE101D" w:rsidR="00EF6E8B" w:rsidRPr="002849F1" w:rsidRDefault="00EF6E8B"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 xml:space="preserve">Australian Conservation Foundation </w:t>
      </w:r>
      <w:r w:rsidRPr="002849F1">
        <w:rPr>
          <w:rFonts w:ascii="Times New Roman" w:hAnsi="Times New Roman"/>
          <w:sz w:val="24"/>
        </w:rPr>
        <w:t xml:space="preserve">(1980) 146 CLR 493 at 511, quoted with approval in </w:t>
      </w:r>
      <w:r w:rsidRPr="002849F1">
        <w:rPr>
          <w:rFonts w:ascii="Times New Roman" w:hAnsi="Times New Roman"/>
          <w:i/>
          <w:sz w:val="24"/>
        </w:rPr>
        <w:t xml:space="preserve">Bateman's Bay </w:t>
      </w:r>
      <w:r w:rsidRPr="002849F1">
        <w:rPr>
          <w:rFonts w:ascii="Times New Roman" w:hAnsi="Times New Roman"/>
          <w:sz w:val="24"/>
        </w:rPr>
        <w:t xml:space="preserve">(1998) 194 CLR 247 at 266 [47], 282 [97]; </w:t>
      </w:r>
      <w:r w:rsidRPr="002849F1">
        <w:rPr>
          <w:rFonts w:ascii="Times New Roman" w:hAnsi="Times New Roman"/>
          <w:i/>
          <w:sz w:val="24"/>
        </w:rPr>
        <w:t>Plaintiff</w:t>
      </w:r>
      <w:r w:rsidR="007802CA">
        <w:rPr>
          <w:rFonts w:ascii="Times New Roman" w:hAnsi="Times New Roman"/>
          <w:i/>
          <w:sz w:val="24"/>
        </w:rPr>
        <w:t> </w:t>
      </w:r>
      <w:r w:rsidRPr="002849F1">
        <w:rPr>
          <w:rFonts w:ascii="Times New Roman" w:hAnsi="Times New Roman"/>
          <w:i/>
          <w:sz w:val="24"/>
        </w:rPr>
        <w:t xml:space="preserve">S10/2011 v Minister for Immigration and Citizenship </w:t>
      </w:r>
      <w:r w:rsidRPr="002849F1">
        <w:rPr>
          <w:rFonts w:ascii="Times New Roman" w:hAnsi="Times New Roman"/>
          <w:sz w:val="24"/>
        </w:rPr>
        <w:t>(2012) 246 CLR 636 at 659 [68]</w:t>
      </w:r>
      <w:r w:rsidR="00450699" w:rsidRPr="002849F1">
        <w:rPr>
          <w:rFonts w:ascii="Times New Roman" w:hAnsi="Times New Roman"/>
          <w:sz w:val="24"/>
        </w:rPr>
        <w:t xml:space="preserve">, quoting </w:t>
      </w:r>
      <w:r w:rsidR="00450699" w:rsidRPr="002849F1">
        <w:rPr>
          <w:rFonts w:ascii="Times New Roman" w:hAnsi="Times New Roman"/>
          <w:i/>
          <w:sz w:val="24"/>
        </w:rPr>
        <w:t>Allan v Transurban City Link Ltd</w:t>
      </w:r>
      <w:r w:rsidR="00450699" w:rsidRPr="002849F1">
        <w:rPr>
          <w:rFonts w:ascii="Times New Roman" w:hAnsi="Times New Roman"/>
          <w:sz w:val="24"/>
        </w:rPr>
        <w:t xml:space="preserve"> (2001) 208 CLR 167 at</w:t>
      </w:r>
      <w:r w:rsidR="007802CA">
        <w:rPr>
          <w:rFonts w:ascii="Times New Roman" w:hAnsi="Times New Roman"/>
          <w:sz w:val="24"/>
        </w:rPr>
        <w:t> </w:t>
      </w:r>
      <w:r w:rsidR="00450699" w:rsidRPr="002849F1">
        <w:rPr>
          <w:rFonts w:ascii="Times New Roman" w:hAnsi="Times New Roman"/>
          <w:sz w:val="24"/>
        </w:rPr>
        <w:t>174</w:t>
      </w:r>
      <w:r w:rsidR="007802CA">
        <w:rPr>
          <w:rFonts w:ascii="Times New Roman" w:hAnsi="Times New Roman"/>
          <w:sz w:val="24"/>
        </w:rPr>
        <w:t> </w:t>
      </w:r>
      <w:r w:rsidR="00450699" w:rsidRPr="002849F1">
        <w:rPr>
          <w:rFonts w:ascii="Times New Roman" w:hAnsi="Times New Roman"/>
          <w:sz w:val="24"/>
        </w:rPr>
        <w:t>[15]</w:t>
      </w:r>
      <w:r w:rsidRPr="002849F1">
        <w:rPr>
          <w:rFonts w:ascii="Times New Roman" w:hAnsi="Times New Roman"/>
          <w:sz w:val="24"/>
        </w:rPr>
        <w:t xml:space="preserve">. </w:t>
      </w:r>
    </w:p>
  </w:footnote>
  <w:footnote w:id="33">
    <w:p w14:paraId="61994597" w14:textId="26BCF796" w:rsidR="003614CE" w:rsidRPr="002849F1" w:rsidRDefault="003614CE"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(1972) </w:t>
      </w:r>
      <w:r w:rsidR="00EC582B" w:rsidRPr="002849F1">
        <w:rPr>
          <w:rFonts w:ascii="Times New Roman" w:hAnsi="Times New Roman"/>
          <w:sz w:val="24"/>
        </w:rPr>
        <w:t>127 CLR 421 at 437</w:t>
      </w:r>
      <w:r w:rsidR="00EC582B" w:rsidRPr="002849F1">
        <w:rPr>
          <w:rFonts w:ascii="Times New Roman" w:hAnsi="Times New Roman"/>
          <w:sz w:val="24"/>
        </w:rPr>
        <w:noBreakHyphen/>
        <w:t>438</w:t>
      </w:r>
      <w:r w:rsidR="00262222" w:rsidRPr="002849F1">
        <w:rPr>
          <w:rFonts w:ascii="Times New Roman" w:hAnsi="Times New Roman"/>
          <w:sz w:val="24"/>
        </w:rPr>
        <w:t xml:space="preserve">, quoting with approval </w:t>
      </w:r>
      <w:r w:rsidR="00262222" w:rsidRPr="002849F1">
        <w:rPr>
          <w:rFonts w:ascii="Times New Roman" w:hAnsi="Times New Roman"/>
          <w:i/>
          <w:sz w:val="24"/>
        </w:rPr>
        <w:t xml:space="preserve">Russian Commercial and Industrial Bank v British Bank for Foreign Trade </w:t>
      </w:r>
      <w:r w:rsidR="00262222" w:rsidRPr="002849F1">
        <w:rPr>
          <w:rFonts w:ascii="Times New Roman" w:hAnsi="Times New Roman"/>
          <w:sz w:val="24"/>
        </w:rPr>
        <w:t>[1921] 2 AC 438 at 448</w:t>
      </w:r>
      <w:r w:rsidR="00EC582B" w:rsidRPr="002849F1">
        <w:rPr>
          <w:rFonts w:ascii="Times New Roman" w:hAnsi="Times New Roman"/>
          <w:sz w:val="24"/>
        </w:rPr>
        <w:t>.</w:t>
      </w:r>
      <w:r w:rsidR="008427C0" w:rsidRPr="002849F1">
        <w:rPr>
          <w:rFonts w:ascii="Times New Roman" w:hAnsi="Times New Roman"/>
          <w:sz w:val="24"/>
        </w:rPr>
        <w:t xml:space="preserve"> See also </w:t>
      </w:r>
      <w:r w:rsidR="008427C0" w:rsidRPr="002849F1">
        <w:rPr>
          <w:rFonts w:ascii="Times New Roman" w:hAnsi="Times New Roman"/>
          <w:i/>
          <w:sz w:val="24"/>
        </w:rPr>
        <w:t>Ainsworth v Criminal Justice Commission</w:t>
      </w:r>
      <w:r w:rsidR="008427C0" w:rsidRPr="002849F1">
        <w:rPr>
          <w:rFonts w:ascii="Times New Roman" w:hAnsi="Times New Roman"/>
          <w:sz w:val="24"/>
        </w:rPr>
        <w:t xml:space="preserve"> (1992) 175 CLR 564 at 582</w:t>
      </w:r>
      <w:r w:rsidR="00F011C4" w:rsidRPr="002849F1">
        <w:rPr>
          <w:rFonts w:ascii="Times New Roman" w:hAnsi="Times New Roman"/>
          <w:sz w:val="24"/>
        </w:rPr>
        <w:t>, 596</w:t>
      </w:r>
      <w:r w:rsidR="008427C0" w:rsidRPr="002849F1">
        <w:rPr>
          <w:rFonts w:ascii="Times New Roman" w:hAnsi="Times New Roman"/>
          <w:sz w:val="24"/>
        </w:rPr>
        <w:t>.</w:t>
      </w:r>
    </w:p>
  </w:footnote>
  <w:footnote w:id="34">
    <w:p w14:paraId="4668F80B" w14:textId="371F62B9" w:rsidR="0077156C" w:rsidRPr="002849F1" w:rsidRDefault="0077156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8427C0" w:rsidRPr="002849F1">
        <w:rPr>
          <w:rFonts w:ascii="Times New Roman" w:hAnsi="Times New Roman"/>
          <w:sz w:val="24"/>
        </w:rPr>
        <w:t xml:space="preserve">See </w:t>
      </w:r>
      <w:r w:rsidRPr="002849F1">
        <w:rPr>
          <w:rFonts w:ascii="Times New Roman" w:hAnsi="Times New Roman"/>
          <w:i/>
          <w:sz w:val="24"/>
        </w:rPr>
        <w:t>Aussie Airlines</w:t>
      </w:r>
      <w:r w:rsidR="000C7E2D" w:rsidRPr="002849F1">
        <w:rPr>
          <w:rFonts w:ascii="Times New Roman" w:hAnsi="Times New Roman"/>
          <w:i/>
          <w:sz w:val="24"/>
        </w:rPr>
        <w:t xml:space="preserve"> Pty Ltd v Australian Airlines Ltd</w:t>
      </w:r>
      <w:r w:rsidRPr="002849F1">
        <w:rPr>
          <w:rFonts w:ascii="Times New Roman" w:hAnsi="Times New Roman"/>
          <w:i/>
          <w:sz w:val="24"/>
        </w:rPr>
        <w:t xml:space="preserve"> </w:t>
      </w:r>
      <w:r w:rsidRPr="002849F1">
        <w:rPr>
          <w:rFonts w:ascii="Times New Roman" w:hAnsi="Times New Roman"/>
          <w:sz w:val="24"/>
        </w:rPr>
        <w:t xml:space="preserve">(1996) 68 FCR 406 at 414; </w:t>
      </w:r>
      <w:r w:rsidRPr="002849F1">
        <w:rPr>
          <w:rFonts w:ascii="Times New Roman" w:hAnsi="Times New Roman"/>
          <w:i/>
          <w:sz w:val="24"/>
        </w:rPr>
        <w:t>Plaintiff M61</w:t>
      </w:r>
      <w:r w:rsidR="001956BC" w:rsidRPr="002849F1">
        <w:rPr>
          <w:rFonts w:ascii="Times New Roman" w:hAnsi="Times New Roman"/>
          <w:i/>
          <w:sz w:val="24"/>
        </w:rPr>
        <w:t>/2010E v The Commonwealth</w:t>
      </w:r>
      <w:r w:rsidRPr="002849F1">
        <w:rPr>
          <w:rFonts w:ascii="Times New Roman" w:hAnsi="Times New Roman"/>
          <w:sz w:val="24"/>
        </w:rPr>
        <w:t xml:space="preserve"> (2010) 243 CLR 319 at 359 [103]; </w:t>
      </w:r>
      <w:r w:rsidRPr="002849F1">
        <w:rPr>
          <w:rFonts w:ascii="Times New Roman" w:hAnsi="Times New Roman"/>
          <w:i/>
          <w:sz w:val="24"/>
        </w:rPr>
        <w:t xml:space="preserve">Santos </w:t>
      </w:r>
      <w:r w:rsidR="00CC4ADC" w:rsidRPr="002849F1">
        <w:rPr>
          <w:rFonts w:ascii="Times New Roman" w:hAnsi="Times New Roman"/>
          <w:sz w:val="24"/>
        </w:rPr>
        <w:t xml:space="preserve">(2011) 242 CLR 421 </w:t>
      </w:r>
      <w:r w:rsidRPr="002849F1">
        <w:rPr>
          <w:rFonts w:ascii="Times New Roman" w:hAnsi="Times New Roman"/>
          <w:sz w:val="24"/>
        </w:rPr>
        <w:t xml:space="preserve">at 435 [36], 436 [37]-[38]; see also 425 [1]. </w:t>
      </w:r>
    </w:p>
  </w:footnote>
  <w:footnote w:id="35">
    <w:p w14:paraId="00F0EF30" w14:textId="6900B9FE" w:rsidR="007E3FD4" w:rsidRPr="002849F1" w:rsidRDefault="007E3FD4"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B703C3" w:rsidRPr="002849F1">
        <w:rPr>
          <w:rFonts w:ascii="Times New Roman" w:hAnsi="Times New Roman"/>
          <w:i/>
          <w:sz w:val="24"/>
        </w:rPr>
        <w:t xml:space="preserve">Plaintiff S10 </w:t>
      </w:r>
      <w:r w:rsidR="00B703C3" w:rsidRPr="002849F1">
        <w:rPr>
          <w:rFonts w:ascii="Times New Roman" w:hAnsi="Times New Roman"/>
          <w:sz w:val="24"/>
        </w:rPr>
        <w:t xml:space="preserve">(2012) 246 CLR 636 at 659 [68]. See also </w:t>
      </w:r>
      <w:r w:rsidRPr="002849F1">
        <w:rPr>
          <w:rFonts w:ascii="Times New Roman" w:hAnsi="Times New Roman"/>
          <w:i/>
          <w:sz w:val="24"/>
        </w:rPr>
        <w:t>Guaranty Trust Co of New York v Hannay &amp; Co</w:t>
      </w:r>
      <w:r w:rsidRPr="002849F1">
        <w:rPr>
          <w:rFonts w:ascii="Times New Roman" w:hAnsi="Times New Roman"/>
          <w:sz w:val="24"/>
        </w:rPr>
        <w:t xml:space="preserve"> [1915] 2 KB 536 at 572; </w:t>
      </w:r>
      <w:r w:rsidRPr="002849F1">
        <w:rPr>
          <w:rFonts w:ascii="Times New Roman" w:hAnsi="Times New Roman"/>
          <w:i/>
          <w:sz w:val="24"/>
        </w:rPr>
        <w:t>J N Taylor Holdings Ltd (In liq) v</w:t>
      </w:r>
      <w:r w:rsidR="007802CA">
        <w:rPr>
          <w:rFonts w:ascii="Times New Roman" w:hAnsi="Times New Roman"/>
          <w:i/>
          <w:sz w:val="24"/>
        </w:rPr>
        <w:t> </w:t>
      </w:r>
      <w:r w:rsidRPr="002849F1">
        <w:rPr>
          <w:rFonts w:ascii="Times New Roman" w:hAnsi="Times New Roman"/>
          <w:i/>
          <w:sz w:val="24"/>
        </w:rPr>
        <w:t xml:space="preserve">Bond </w:t>
      </w:r>
      <w:r w:rsidRPr="002849F1">
        <w:rPr>
          <w:rFonts w:ascii="Times New Roman" w:hAnsi="Times New Roman"/>
          <w:sz w:val="24"/>
        </w:rPr>
        <w:t xml:space="preserve">(1993) 59 SASR 432 at 435; </w:t>
      </w:r>
      <w:r w:rsidRPr="002849F1">
        <w:rPr>
          <w:rFonts w:ascii="Times New Roman" w:hAnsi="Times New Roman"/>
          <w:i/>
          <w:sz w:val="24"/>
        </w:rPr>
        <w:t>Martin v Taylor</w:t>
      </w:r>
      <w:r w:rsidRPr="002849F1">
        <w:rPr>
          <w:rFonts w:ascii="Times New Roman" w:hAnsi="Times New Roman"/>
          <w:sz w:val="24"/>
        </w:rPr>
        <w:t xml:space="preserve"> [2000] FCA 1002 at [27]</w:t>
      </w:r>
      <w:r w:rsidR="00D061B5" w:rsidRPr="002849F1">
        <w:rPr>
          <w:rFonts w:ascii="Times New Roman" w:hAnsi="Times New Roman"/>
          <w:sz w:val="24"/>
        </w:rPr>
        <w:t>;</w:t>
      </w:r>
      <w:r w:rsidRPr="002849F1">
        <w:rPr>
          <w:rFonts w:ascii="Times New Roman" w:hAnsi="Times New Roman"/>
          <w:sz w:val="24"/>
        </w:rPr>
        <w:t xml:space="preserve"> </w:t>
      </w:r>
      <w:r w:rsidR="000647D1" w:rsidRPr="002849F1">
        <w:rPr>
          <w:rFonts w:ascii="Times New Roman" w:hAnsi="Times New Roman"/>
          <w:sz w:val="24"/>
        </w:rPr>
        <w:t xml:space="preserve">Witzleb, Bant, Degeling and Barker, </w:t>
      </w:r>
      <w:r w:rsidR="000647D1" w:rsidRPr="002849F1">
        <w:rPr>
          <w:rFonts w:ascii="Times New Roman" w:hAnsi="Times New Roman"/>
          <w:i/>
          <w:sz w:val="24"/>
        </w:rPr>
        <w:t xml:space="preserve">Remedies: Commentary </w:t>
      </w:r>
      <w:r w:rsidR="00F6746D" w:rsidRPr="002849F1">
        <w:rPr>
          <w:rFonts w:ascii="Times New Roman" w:hAnsi="Times New Roman"/>
          <w:i/>
          <w:sz w:val="24"/>
        </w:rPr>
        <w:t>and Materials</w:t>
      </w:r>
      <w:r w:rsidR="00F6746D" w:rsidRPr="002849F1">
        <w:rPr>
          <w:rFonts w:ascii="Times New Roman" w:hAnsi="Times New Roman"/>
          <w:sz w:val="24"/>
        </w:rPr>
        <w:t>, 6th</w:t>
      </w:r>
      <w:r w:rsidR="007802CA">
        <w:rPr>
          <w:rFonts w:ascii="Times New Roman" w:hAnsi="Times New Roman"/>
          <w:sz w:val="24"/>
        </w:rPr>
        <w:t> </w:t>
      </w:r>
      <w:r w:rsidR="00F6746D" w:rsidRPr="002849F1">
        <w:rPr>
          <w:rFonts w:ascii="Times New Roman" w:hAnsi="Times New Roman"/>
          <w:sz w:val="24"/>
        </w:rPr>
        <w:t>ed</w:t>
      </w:r>
      <w:r w:rsidR="007802CA">
        <w:rPr>
          <w:rFonts w:ascii="Times New Roman" w:hAnsi="Times New Roman"/>
          <w:sz w:val="24"/>
        </w:rPr>
        <w:t> </w:t>
      </w:r>
      <w:r w:rsidR="00F6746D" w:rsidRPr="002849F1">
        <w:rPr>
          <w:rFonts w:ascii="Times New Roman" w:hAnsi="Times New Roman"/>
          <w:sz w:val="24"/>
        </w:rPr>
        <w:t xml:space="preserve">(2015) at </w:t>
      </w:r>
      <w:r w:rsidR="00444FA9" w:rsidRPr="002849F1">
        <w:rPr>
          <w:rFonts w:ascii="Times New Roman" w:hAnsi="Times New Roman"/>
          <w:sz w:val="24"/>
        </w:rPr>
        <w:t>1159.</w:t>
      </w:r>
      <w:r w:rsidRPr="002849F1">
        <w:rPr>
          <w:rFonts w:ascii="Times New Roman" w:hAnsi="Times New Roman"/>
          <w:sz w:val="24"/>
        </w:rPr>
        <w:t xml:space="preserve"> </w:t>
      </w:r>
    </w:p>
  </w:footnote>
  <w:footnote w:id="36">
    <w:p w14:paraId="74CCE6E6" w14:textId="72577A3D" w:rsidR="00D95CD7" w:rsidRPr="002849F1" w:rsidRDefault="00D95CD7"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See </w:t>
      </w:r>
      <w:r w:rsidR="003E21CC" w:rsidRPr="002849F1">
        <w:rPr>
          <w:rFonts w:ascii="Times New Roman" w:hAnsi="Times New Roman"/>
          <w:i/>
          <w:sz w:val="24"/>
        </w:rPr>
        <w:t>University of New South Wales v Moorhouse</w:t>
      </w:r>
      <w:r w:rsidR="003E21CC" w:rsidRPr="002849F1">
        <w:rPr>
          <w:rFonts w:ascii="Times New Roman" w:hAnsi="Times New Roman"/>
          <w:sz w:val="24"/>
        </w:rPr>
        <w:t xml:space="preserve"> (1975) 133 CLR 1 at 10; </w:t>
      </w:r>
      <w:r w:rsidR="003E21CC" w:rsidRPr="002849F1">
        <w:rPr>
          <w:rFonts w:ascii="Times New Roman" w:hAnsi="Times New Roman"/>
          <w:i/>
          <w:sz w:val="24"/>
        </w:rPr>
        <w:t>Gardner</w:t>
      </w:r>
      <w:r w:rsidR="007802CA">
        <w:rPr>
          <w:rFonts w:ascii="Times New Roman" w:hAnsi="Times New Roman"/>
          <w:i/>
          <w:sz w:val="24"/>
        </w:rPr>
        <w:t> </w:t>
      </w:r>
      <w:r w:rsidR="003E21CC" w:rsidRPr="002849F1">
        <w:rPr>
          <w:rFonts w:ascii="Times New Roman" w:hAnsi="Times New Roman"/>
          <w:i/>
          <w:sz w:val="24"/>
        </w:rPr>
        <w:t>v</w:t>
      </w:r>
      <w:r w:rsidR="007802CA">
        <w:rPr>
          <w:rFonts w:ascii="Times New Roman" w:hAnsi="Times New Roman"/>
          <w:i/>
          <w:sz w:val="24"/>
        </w:rPr>
        <w:t> </w:t>
      </w:r>
      <w:r w:rsidR="003E21CC" w:rsidRPr="002849F1">
        <w:rPr>
          <w:rFonts w:ascii="Times New Roman" w:hAnsi="Times New Roman"/>
          <w:i/>
          <w:sz w:val="24"/>
        </w:rPr>
        <w:t>Dairy Industry Authority (NSW)</w:t>
      </w:r>
      <w:r w:rsidR="003E21CC" w:rsidRPr="002849F1">
        <w:rPr>
          <w:rFonts w:ascii="Times New Roman" w:hAnsi="Times New Roman"/>
          <w:sz w:val="24"/>
        </w:rPr>
        <w:t xml:space="preserve"> (1977) 52 ALJR 180 at 188</w:t>
      </w:r>
      <w:r w:rsidR="00F96CCE" w:rsidRPr="002849F1">
        <w:rPr>
          <w:rFonts w:ascii="Times New Roman" w:hAnsi="Times New Roman"/>
          <w:sz w:val="24"/>
        </w:rPr>
        <w:t>, 189</w:t>
      </w:r>
      <w:r w:rsidR="003E21CC" w:rsidRPr="002849F1">
        <w:rPr>
          <w:rFonts w:ascii="Times New Roman" w:hAnsi="Times New Roman"/>
          <w:sz w:val="24"/>
        </w:rPr>
        <w:t>; 18</w:t>
      </w:r>
      <w:r w:rsidR="007802CA">
        <w:rPr>
          <w:rFonts w:ascii="Times New Roman" w:hAnsi="Times New Roman"/>
          <w:sz w:val="24"/>
        </w:rPr>
        <w:t> </w:t>
      </w:r>
      <w:r w:rsidR="003E21CC" w:rsidRPr="002849F1">
        <w:rPr>
          <w:rFonts w:ascii="Times New Roman" w:hAnsi="Times New Roman"/>
          <w:sz w:val="24"/>
        </w:rPr>
        <w:t>ALR 55 at 69</w:t>
      </w:r>
      <w:r w:rsidR="00F96CCE" w:rsidRPr="002849F1">
        <w:rPr>
          <w:rFonts w:ascii="Times New Roman" w:hAnsi="Times New Roman"/>
          <w:sz w:val="24"/>
        </w:rPr>
        <w:t xml:space="preserve">, </w:t>
      </w:r>
      <w:r w:rsidR="003E21CC" w:rsidRPr="002849F1">
        <w:rPr>
          <w:rFonts w:ascii="Times New Roman" w:hAnsi="Times New Roman"/>
          <w:sz w:val="24"/>
        </w:rPr>
        <w:t>71</w:t>
      </w:r>
      <w:r w:rsidR="003F09DA" w:rsidRPr="002849F1">
        <w:rPr>
          <w:rFonts w:ascii="Times New Roman" w:hAnsi="Times New Roman"/>
          <w:sz w:val="24"/>
        </w:rPr>
        <w:t xml:space="preserve">; </w:t>
      </w:r>
      <w:r w:rsidR="003F09DA" w:rsidRPr="002849F1">
        <w:rPr>
          <w:rFonts w:ascii="Times New Roman" w:hAnsi="Times New Roman"/>
          <w:i/>
          <w:sz w:val="24"/>
        </w:rPr>
        <w:t xml:space="preserve">Ainsworth </w:t>
      </w:r>
      <w:r w:rsidR="003F09DA" w:rsidRPr="002849F1">
        <w:rPr>
          <w:rFonts w:ascii="Times New Roman" w:hAnsi="Times New Roman"/>
          <w:sz w:val="24"/>
        </w:rPr>
        <w:t xml:space="preserve">(1992) 175 CLR 564 at </w:t>
      </w:r>
      <w:r w:rsidR="001A1E12" w:rsidRPr="002849F1">
        <w:rPr>
          <w:rFonts w:ascii="Times New Roman" w:hAnsi="Times New Roman"/>
          <w:sz w:val="24"/>
        </w:rPr>
        <w:t>581-</w:t>
      </w:r>
      <w:r w:rsidR="003F09DA" w:rsidRPr="002849F1">
        <w:rPr>
          <w:rFonts w:ascii="Times New Roman" w:hAnsi="Times New Roman"/>
          <w:sz w:val="24"/>
        </w:rPr>
        <w:t>582</w:t>
      </w:r>
      <w:r w:rsidR="005E1EC8" w:rsidRPr="002849F1">
        <w:rPr>
          <w:rFonts w:ascii="Times New Roman" w:hAnsi="Times New Roman"/>
          <w:sz w:val="24"/>
        </w:rPr>
        <w:t xml:space="preserve">; </w:t>
      </w:r>
      <w:r w:rsidR="005E1EC8" w:rsidRPr="002849F1">
        <w:rPr>
          <w:rFonts w:ascii="Times New Roman" w:hAnsi="Times New Roman"/>
          <w:i/>
          <w:sz w:val="24"/>
        </w:rPr>
        <w:t xml:space="preserve">Bass v Permanent Trustee </w:t>
      </w:r>
      <w:r w:rsidR="00A84595" w:rsidRPr="002849F1">
        <w:rPr>
          <w:rFonts w:ascii="Times New Roman" w:hAnsi="Times New Roman"/>
          <w:i/>
          <w:sz w:val="24"/>
        </w:rPr>
        <w:t>Co Ltd</w:t>
      </w:r>
      <w:r w:rsidR="00A84595" w:rsidRPr="002849F1">
        <w:rPr>
          <w:rFonts w:ascii="Times New Roman" w:hAnsi="Times New Roman"/>
          <w:sz w:val="24"/>
        </w:rPr>
        <w:t xml:space="preserve"> (1999) 198 CLR 334 at 359 [56]</w:t>
      </w:r>
      <w:r w:rsidR="00CC0E36" w:rsidRPr="002849F1">
        <w:rPr>
          <w:rFonts w:ascii="Times New Roman" w:hAnsi="Times New Roman"/>
          <w:sz w:val="24"/>
        </w:rPr>
        <w:t xml:space="preserve">; </w:t>
      </w:r>
      <w:r w:rsidR="00CC0E36" w:rsidRPr="002849F1">
        <w:rPr>
          <w:rFonts w:ascii="Times New Roman" w:hAnsi="Times New Roman"/>
          <w:i/>
          <w:sz w:val="24"/>
        </w:rPr>
        <w:t>Gedeon v</w:t>
      </w:r>
      <w:r w:rsidR="00AB0901" w:rsidRPr="002849F1">
        <w:rPr>
          <w:rFonts w:ascii="Times New Roman" w:hAnsi="Times New Roman"/>
          <w:i/>
          <w:sz w:val="24"/>
        </w:rPr>
        <w:t xml:space="preserve"> Commissioner of New South Wales Crime Commission</w:t>
      </w:r>
      <w:r w:rsidR="00CC0E36" w:rsidRPr="002849F1">
        <w:rPr>
          <w:rFonts w:ascii="Times New Roman" w:hAnsi="Times New Roman"/>
          <w:sz w:val="24"/>
        </w:rPr>
        <w:t xml:space="preserve"> </w:t>
      </w:r>
      <w:r w:rsidR="00DB48BC" w:rsidRPr="002849F1">
        <w:rPr>
          <w:rFonts w:ascii="Times New Roman" w:hAnsi="Times New Roman"/>
          <w:sz w:val="24"/>
        </w:rPr>
        <w:t>(2008) 236 CLR 120 at 133 [23]</w:t>
      </w:r>
      <w:r w:rsidR="00550B19" w:rsidRPr="002849F1">
        <w:rPr>
          <w:rFonts w:ascii="Times New Roman" w:hAnsi="Times New Roman"/>
          <w:sz w:val="24"/>
        </w:rPr>
        <w:t>.</w:t>
      </w:r>
    </w:p>
  </w:footnote>
  <w:footnote w:id="37">
    <w:p w14:paraId="24A9249F" w14:textId="5BEC2A47" w:rsidR="00BE6C3F" w:rsidRPr="002849F1" w:rsidRDefault="00BE6C3F"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DA78E6" w:rsidRPr="002849F1">
        <w:rPr>
          <w:rFonts w:ascii="Times New Roman" w:hAnsi="Times New Roman"/>
          <w:i/>
          <w:sz w:val="24"/>
        </w:rPr>
        <w:t>Meagher, Gummow and Lehane's Equity</w:t>
      </w:r>
      <w:r w:rsidR="00EF14D5" w:rsidRPr="002849F1">
        <w:rPr>
          <w:rFonts w:ascii="Times New Roman" w:hAnsi="Times New Roman"/>
          <w:i/>
          <w:sz w:val="24"/>
        </w:rPr>
        <w:t>:</w:t>
      </w:r>
      <w:r w:rsidR="00DA78E6" w:rsidRPr="002849F1">
        <w:rPr>
          <w:rFonts w:ascii="Times New Roman" w:hAnsi="Times New Roman"/>
          <w:i/>
          <w:sz w:val="24"/>
        </w:rPr>
        <w:t xml:space="preserve"> Doctrines and Remedies</w:t>
      </w:r>
      <w:r w:rsidR="00DA78E6" w:rsidRPr="002849F1">
        <w:rPr>
          <w:rFonts w:ascii="Times New Roman" w:hAnsi="Times New Roman"/>
          <w:sz w:val="24"/>
        </w:rPr>
        <w:t>, 5th ed</w:t>
      </w:r>
      <w:r w:rsidR="00DA78E6" w:rsidRPr="002849F1">
        <w:rPr>
          <w:rFonts w:ascii="Times New Roman" w:hAnsi="Times New Roman"/>
          <w:i/>
          <w:iCs/>
          <w:sz w:val="24"/>
          <w:szCs w:val="20"/>
        </w:rPr>
        <w:t xml:space="preserve"> </w:t>
      </w:r>
      <w:r w:rsidR="00DA78E6" w:rsidRPr="002849F1">
        <w:rPr>
          <w:rFonts w:ascii="Times New Roman" w:hAnsi="Times New Roman"/>
          <w:sz w:val="24"/>
        </w:rPr>
        <w:t>(2015) at</w:t>
      </w:r>
      <w:r w:rsidR="00673E28" w:rsidRPr="002849F1">
        <w:rPr>
          <w:rFonts w:ascii="Times New Roman" w:hAnsi="Times New Roman"/>
          <w:sz w:val="24"/>
        </w:rPr>
        <w:t xml:space="preserve"> 626 [19-175].</w:t>
      </w:r>
    </w:p>
  </w:footnote>
  <w:footnote w:id="38">
    <w:p w14:paraId="70F17F13" w14:textId="0E1EB9F1" w:rsidR="00F9658E" w:rsidRPr="002849F1" w:rsidRDefault="00F9658E"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B5549A" w:rsidRPr="002849F1">
        <w:rPr>
          <w:rFonts w:ascii="Times New Roman" w:hAnsi="Times New Roman"/>
          <w:sz w:val="24"/>
        </w:rPr>
        <w:t xml:space="preserve">See </w:t>
      </w:r>
      <w:r w:rsidR="006945E5" w:rsidRPr="002849F1">
        <w:rPr>
          <w:rFonts w:ascii="Times New Roman" w:hAnsi="Times New Roman"/>
          <w:i/>
          <w:sz w:val="24"/>
        </w:rPr>
        <w:t xml:space="preserve">Aussie Airlines </w:t>
      </w:r>
      <w:r w:rsidR="006945E5" w:rsidRPr="002849F1">
        <w:rPr>
          <w:rFonts w:ascii="Times New Roman" w:hAnsi="Times New Roman"/>
          <w:sz w:val="24"/>
        </w:rPr>
        <w:t xml:space="preserve">(1996) 68 FCR 406 at 414; </w:t>
      </w:r>
      <w:r w:rsidR="00B5549A" w:rsidRPr="002849F1">
        <w:rPr>
          <w:rFonts w:ascii="Times New Roman" w:hAnsi="Times New Roman"/>
          <w:i/>
          <w:sz w:val="24"/>
        </w:rPr>
        <w:t xml:space="preserve">Bateman's Bay </w:t>
      </w:r>
      <w:r w:rsidR="00B5549A" w:rsidRPr="002849F1">
        <w:rPr>
          <w:rFonts w:ascii="Times New Roman" w:hAnsi="Times New Roman"/>
          <w:sz w:val="24"/>
        </w:rPr>
        <w:t>(1998) 194 CLR 247 at 264 [43];</w:t>
      </w:r>
      <w:r w:rsidR="006945E5" w:rsidRPr="002849F1">
        <w:rPr>
          <w:rFonts w:ascii="Times New Roman" w:hAnsi="Times New Roman"/>
          <w:sz w:val="24"/>
        </w:rPr>
        <w:t xml:space="preserve"> </w:t>
      </w:r>
      <w:r w:rsidR="00365747" w:rsidRPr="002849F1">
        <w:rPr>
          <w:rFonts w:ascii="Times New Roman" w:hAnsi="Times New Roman"/>
          <w:i/>
          <w:sz w:val="24"/>
        </w:rPr>
        <w:t xml:space="preserve">Truth About Motorways </w:t>
      </w:r>
      <w:r w:rsidR="00365747" w:rsidRPr="002849F1">
        <w:rPr>
          <w:rFonts w:ascii="Times New Roman" w:hAnsi="Times New Roman"/>
          <w:sz w:val="24"/>
        </w:rPr>
        <w:t xml:space="preserve">(2000) 200 CLR 591 at 611-612 [46]; </w:t>
      </w:r>
      <w:r w:rsidR="00B56938" w:rsidRPr="002849F1">
        <w:rPr>
          <w:rFonts w:ascii="Times New Roman" w:hAnsi="Times New Roman"/>
          <w:i/>
          <w:sz w:val="24"/>
        </w:rPr>
        <w:t>Santos</w:t>
      </w:r>
      <w:r w:rsidR="007802CA">
        <w:rPr>
          <w:rFonts w:ascii="Times New Roman" w:hAnsi="Times New Roman"/>
          <w:i/>
          <w:sz w:val="24"/>
        </w:rPr>
        <w:t> </w:t>
      </w:r>
      <w:r w:rsidR="00B56938" w:rsidRPr="002849F1">
        <w:rPr>
          <w:rFonts w:ascii="Times New Roman" w:hAnsi="Times New Roman"/>
          <w:sz w:val="24"/>
        </w:rPr>
        <w:t>(2011) 242 CLR 421 at 434 [34]; see also 425 [1]</w:t>
      </w:r>
      <w:r w:rsidR="005C3D6A" w:rsidRPr="002849F1">
        <w:rPr>
          <w:rFonts w:ascii="Times New Roman" w:hAnsi="Times New Roman"/>
          <w:sz w:val="24"/>
        </w:rPr>
        <w:t xml:space="preserve">; </w:t>
      </w:r>
      <w:r w:rsidR="005C3D6A" w:rsidRPr="002849F1">
        <w:rPr>
          <w:rFonts w:ascii="Times New Roman" w:hAnsi="Times New Roman"/>
          <w:i/>
          <w:iCs/>
          <w:sz w:val="24"/>
        </w:rPr>
        <w:t>CGU</w:t>
      </w:r>
      <w:r w:rsidR="00EE0022" w:rsidRPr="002849F1">
        <w:rPr>
          <w:rFonts w:ascii="Times New Roman" w:hAnsi="Times New Roman"/>
          <w:i/>
          <w:iCs/>
          <w:sz w:val="24"/>
        </w:rPr>
        <w:t> </w:t>
      </w:r>
      <w:r w:rsidR="005C3D6A" w:rsidRPr="002849F1">
        <w:rPr>
          <w:rFonts w:ascii="Times New Roman" w:hAnsi="Times New Roman"/>
          <w:i/>
          <w:iCs/>
          <w:sz w:val="24"/>
        </w:rPr>
        <w:t xml:space="preserve">Insurance </w:t>
      </w:r>
      <w:r w:rsidR="005C3D6A" w:rsidRPr="002849F1">
        <w:rPr>
          <w:rFonts w:ascii="Times New Roman" w:hAnsi="Times New Roman"/>
          <w:sz w:val="24"/>
        </w:rPr>
        <w:t xml:space="preserve">(2016) 259 CLR 339 at </w:t>
      </w:r>
      <w:r w:rsidR="00EE0022" w:rsidRPr="002849F1">
        <w:rPr>
          <w:rFonts w:ascii="Times New Roman" w:hAnsi="Times New Roman"/>
          <w:sz w:val="24"/>
        </w:rPr>
        <w:t xml:space="preserve">357 [42], </w:t>
      </w:r>
      <w:r w:rsidR="00535672" w:rsidRPr="002849F1">
        <w:rPr>
          <w:rFonts w:ascii="Times New Roman" w:hAnsi="Times New Roman"/>
          <w:sz w:val="24"/>
        </w:rPr>
        <w:t xml:space="preserve">371 [96], </w:t>
      </w:r>
      <w:r w:rsidR="005C3D6A" w:rsidRPr="002849F1">
        <w:rPr>
          <w:rFonts w:ascii="Times New Roman" w:hAnsi="Times New Roman"/>
          <w:sz w:val="24"/>
        </w:rPr>
        <w:t>376 [109]</w:t>
      </w:r>
      <w:r w:rsidR="00E63DB8" w:rsidRPr="002849F1">
        <w:rPr>
          <w:rFonts w:ascii="Times New Roman" w:hAnsi="Times New Roman"/>
          <w:sz w:val="24"/>
        </w:rPr>
        <w:t>.</w:t>
      </w:r>
      <w:r w:rsidR="00B56938" w:rsidRPr="002849F1">
        <w:rPr>
          <w:rFonts w:ascii="Times New Roman" w:hAnsi="Times New Roman"/>
          <w:sz w:val="24"/>
        </w:rPr>
        <w:t xml:space="preserve"> </w:t>
      </w:r>
    </w:p>
  </w:footnote>
  <w:footnote w:id="39">
    <w:p w14:paraId="16CC77C2" w14:textId="066A2D62" w:rsidR="00646FB9" w:rsidRPr="002849F1" w:rsidRDefault="00646FB9" w:rsidP="002849F1">
      <w:pPr>
        <w:pStyle w:val="FootnoteText"/>
        <w:spacing w:line="280" w:lineRule="exact"/>
        <w:ind w:right="0"/>
        <w:jc w:val="both"/>
        <w:rPr>
          <w:rFonts w:ascii="Times New Roman" w:hAnsi="Times New Roman"/>
          <w:i/>
          <w:iCs/>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ab/>
        <w:t xml:space="preserve">See </w:t>
      </w:r>
      <w:r w:rsidRPr="002849F1">
        <w:rPr>
          <w:rFonts w:ascii="Times New Roman" w:hAnsi="Times New Roman"/>
          <w:i/>
          <w:iCs/>
          <w:sz w:val="24"/>
        </w:rPr>
        <w:t>Anderson v The</w:t>
      </w:r>
      <w:r w:rsidR="00F50696" w:rsidRPr="002849F1">
        <w:rPr>
          <w:rFonts w:ascii="Times New Roman" w:hAnsi="Times New Roman"/>
          <w:i/>
          <w:iCs/>
          <w:sz w:val="24"/>
        </w:rPr>
        <w:t> </w:t>
      </w:r>
      <w:r w:rsidRPr="002849F1">
        <w:rPr>
          <w:rFonts w:ascii="Times New Roman" w:hAnsi="Times New Roman"/>
          <w:i/>
          <w:iCs/>
          <w:sz w:val="24"/>
        </w:rPr>
        <w:t>Commonwealth</w:t>
      </w:r>
      <w:r w:rsidRPr="002849F1">
        <w:rPr>
          <w:rFonts w:ascii="Times New Roman" w:hAnsi="Times New Roman"/>
          <w:sz w:val="24"/>
        </w:rPr>
        <w:t xml:space="preserve"> (1932) 47 CLR 50 at 51; </w:t>
      </w:r>
      <w:r w:rsidRPr="002849F1">
        <w:rPr>
          <w:rFonts w:ascii="Times New Roman" w:hAnsi="Times New Roman"/>
          <w:i/>
          <w:iCs/>
          <w:sz w:val="24"/>
        </w:rPr>
        <w:t>Meadows Indemnity</w:t>
      </w:r>
      <w:r w:rsidR="00F50696" w:rsidRPr="002849F1">
        <w:rPr>
          <w:rFonts w:ascii="Times New Roman" w:hAnsi="Times New Roman"/>
          <w:i/>
          <w:iCs/>
          <w:sz w:val="24"/>
        </w:rPr>
        <w:t xml:space="preserve"> Co Ltd v Insurance Corporation of Ireland Plc</w:t>
      </w:r>
      <w:r w:rsidRPr="002849F1">
        <w:rPr>
          <w:rFonts w:ascii="Times New Roman" w:hAnsi="Times New Roman"/>
          <w:i/>
          <w:iCs/>
          <w:sz w:val="24"/>
        </w:rPr>
        <w:t xml:space="preserve"> </w:t>
      </w:r>
      <w:r w:rsidRPr="002849F1">
        <w:rPr>
          <w:rFonts w:ascii="Times New Roman" w:hAnsi="Times New Roman"/>
          <w:sz w:val="24"/>
        </w:rPr>
        <w:t>[1989] 2 Lloyd's Rep 2</w:t>
      </w:r>
      <w:r w:rsidR="00554868" w:rsidRPr="002849F1">
        <w:rPr>
          <w:rFonts w:ascii="Times New Roman" w:hAnsi="Times New Roman"/>
          <w:sz w:val="24"/>
        </w:rPr>
        <w:t>98</w:t>
      </w:r>
      <w:r w:rsidRPr="002849F1">
        <w:rPr>
          <w:rFonts w:ascii="Times New Roman" w:hAnsi="Times New Roman"/>
          <w:sz w:val="24"/>
        </w:rPr>
        <w:t xml:space="preserve"> at 309; </w:t>
      </w:r>
      <w:r w:rsidRPr="002849F1">
        <w:rPr>
          <w:rFonts w:ascii="Times New Roman" w:hAnsi="Times New Roman"/>
          <w:i/>
          <w:iCs/>
          <w:sz w:val="24"/>
        </w:rPr>
        <w:t>Employers Reinsurance Corporation v Ashmere Cove Pty Ltd</w:t>
      </w:r>
      <w:r w:rsidRPr="002849F1">
        <w:rPr>
          <w:rFonts w:ascii="Times New Roman" w:hAnsi="Times New Roman"/>
          <w:sz w:val="24"/>
        </w:rPr>
        <w:t xml:space="preserve"> (2008) 166 FCR 398 at 410-412 [49]-[62]; </w:t>
      </w:r>
      <w:r w:rsidRPr="002849F1">
        <w:rPr>
          <w:rFonts w:ascii="Times New Roman" w:hAnsi="Times New Roman"/>
          <w:i/>
          <w:sz w:val="24"/>
        </w:rPr>
        <w:t>Meagher, Gummow and Lehane's Equity</w:t>
      </w:r>
      <w:r w:rsidR="00702AEC" w:rsidRPr="002849F1">
        <w:rPr>
          <w:rFonts w:ascii="Times New Roman" w:hAnsi="Times New Roman"/>
          <w:i/>
          <w:sz w:val="24"/>
        </w:rPr>
        <w:t>:</w:t>
      </w:r>
      <w:r w:rsidRPr="002849F1">
        <w:rPr>
          <w:rFonts w:ascii="Times New Roman" w:hAnsi="Times New Roman"/>
          <w:i/>
          <w:sz w:val="24"/>
        </w:rPr>
        <w:t xml:space="preserve"> Doctrines and Remedies</w:t>
      </w:r>
      <w:r w:rsidRPr="002849F1">
        <w:rPr>
          <w:rFonts w:ascii="Times New Roman" w:hAnsi="Times New Roman"/>
          <w:sz w:val="24"/>
        </w:rPr>
        <w:t>, 5th ed</w:t>
      </w:r>
      <w:r w:rsidRPr="002849F1">
        <w:rPr>
          <w:rFonts w:ascii="Times New Roman" w:hAnsi="Times New Roman"/>
          <w:i/>
          <w:iCs/>
          <w:sz w:val="24"/>
          <w:szCs w:val="20"/>
        </w:rPr>
        <w:t xml:space="preserve"> </w:t>
      </w:r>
      <w:r w:rsidRPr="002849F1">
        <w:rPr>
          <w:rFonts w:ascii="Times New Roman" w:hAnsi="Times New Roman"/>
          <w:sz w:val="24"/>
        </w:rPr>
        <w:t>(2015) at 630-631 [19</w:t>
      </w:r>
      <w:r w:rsidRPr="002849F1">
        <w:rPr>
          <w:rFonts w:ascii="Times New Roman" w:hAnsi="Times New Roman"/>
          <w:sz w:val="24"/>
        </w:rPr>
        <w:noBreakHyphen/>
        <w:t>210]</w:t>
      </w:r>
      <w:r w:rsidRPr="002849F1">
        <w:rPr>
          <w:rFonts w:ascii="Times New Roman" w:hAnsi="Times New Roman"/>
          <w:sz w:val="24"/>
        </w:rPr>
        <w:noBreakHyphen/>
        <w:t>[19</w:t>
      </w:r>
      <w:r w:rsidRPr="002849F1">
        <w:rPr>
          <w:rFonts w:ascii="Times New Roman" w:hAnsi="Times New Roman"/>
          <w:sz w:val="24"/>
        </w:rPr>
        <w:noBreakHyphen/>
        <w:t xml:space="preserve">215]; </w:t>
      </w:r>
      <w:r w:rsidRPr="002849F1">
        <w:rPr>
          <w:rFonts w:ascii="Times New Roman" w:hAnsi="Times New Roman"/>
          <w:i/>
          <w:iCs/>
          <w:sz w:val="24"/>
        </w:rPr>
        <w:t>CGU</w:t>
      </w:r>
      <w:r w:rsidR="00F50696" w:rsidRPr="002849F1">
        <w:rPr>
          <w:rFonts w:ascii="Times New Roman" w:hAnsi="Times New Roman"/>
          <w:i/>
          <w:iCs/>
          <w:sz w:val="24"/>
        </w:rPr>
        <w:t> </w:t>
      </w:r>
      <w:r w:rsidRPr="002849F1">
        <w:rPr>
          <w:rFonts w:ascii="Times New Roman" w:hAnsi="Times New Roman"/>
          <w:i/>
          <w:iCs/>
          <w:sz w:val="24"/>
        </w:rPr>
        <w:t xml:space="preserve">Insurance </w:t>
      </w:r>
      <w:r w:rsidRPr="002849F1">
        <w:rPr>
          <w:rFonts w:ascii="Times New Roman" w:hAnsi="Times New Roman"/>
          <w:sz w:val="24"/>
        </w:rPr>
        <w:t xml:space="preserve">(2016) 259 CLR 339 at 371 [96]. See also </w:t>
      </w:r>
      <w:r w:rsidRPr="002849F1" w:rsidDel="00FB358F">
        <w:rPr>
          <w:rFonts w:ascii="Times New Roman" w:hAnsi="Times New Roman"/>
          <w:i/>
          <w:iCs/>
          <w:sz w:val="24"/>
        </w:rPr>
        <w:t>Wilson v Darling Island Stevedoring and Lighterage Co Ltd</w:t>
      </w:r>
      <w:r w:rsidRPr="002849F1" w:rsidDel="00FB358F">
        <w:rPr>
          <w:rFonts w:ascii="Times New Roman" w:hAnsi="Times New Roman"/>
          <w:sz w:val="24"/>
        </w:rPr>
        <w:t xml:space="preserve"> (1956) 95 CLR 43 at 67, 80; </w:t>
      </w:r>
      <w:r w:rsidRPr="002849F1" w:rsidDel="00FB358F">
        <w:rPr>
          <w:rFonts w:ascii="Times New Roman" w:hAnsi="Times New Roman"/>
          <w:i/>
          <w:iCs/>
          <w:sz w:val="24"/>
        </w:rPr>
        <w:t>Coulls v Bagot</w:t>
      </w:r>
      <w:r w:rsidR="0020217A" w:rsidRPr="002849F1">
        <w:rPr>
          <w:rFonts w:ascii="Times New Roman" w:hAnsi="Times New Roman"/>
          <w:i/>
          <w:iCs/>
          <w:sz w:val="24"/>
        </w:rPr>
        <w:t>'</w:t>
      </w:r>
      <w:r w:rsidRPr="002849F1" w:rsidDel="00FB358F">
        <w:rPr>
          <w:rFonts w:ascii="Times New Roman" w:hAnsi="Times New Roman"/>
          <w:i/>
          <w:iCs/>
          <w:sz w:val="24"/>
        </w:rPr>
        <w:t xml:space="preserve">s Executor </w:t>
      </w:r>
      <w:r w:rsidRPr="002849F1">
        <w:rPr>
          <w:rFonts w:ascii="Times New Roman" w:hAnsi="Times New Roman"/>
          <w:i/>
          <w:iCs/>
          <w:sz w:val="24"/>
        </w:rPr>
        <w:t>and Trustee Co Ltd</w:t>
      </w:r>
      <w:r w:rsidRPr="002849F1">
        <w:rPr>
          <w:rFonts w:ascii="Times New Roman" w:hAnsi="Times New Roman"/>
          <w:sz w:val="24"/>
        </w:rPr>
        <w:t xml:space="preserve"> (1967) 119 CLR 460 at 478, 494; </w:t>
      </w:r>
      <w:r w:rsidRPr="002849F1">
        <w:rPr>
          <w:rFonts w:ascii="Times New Roman" w:hAnsi="Times New Roman"/>
          <w:i/>
          <w:sz w:val="24"/>
        </w:rPr>
        <w:t xml:space="preserve">Trident General Insurance Co Ltd v McNiece Bros Pty Ltd </w:t>
      </w:r>
      <w:r w:rsidRPr="002849F1">
        <w:rPr>
          <w:rFonts w:ascii="Times New Roman" w:hAnsi="Times New Roman"/>
          <w:sz w:val="24"/>
        </w:rPr>
        <w:t>(1988) 165 CLR 107 at 128, 131, 141-142.</w:t>
      </w:r>
    </w:p>
  </w:footnote>
  <w:footnote w:id="40">
    <w:p w14:paraId="687A3504" w14:textId="325BBA5B" w:rsidR="000B4EE8" w:rsidRPr="002849F1" w:rsidRDefault="000B4EE8"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 xml:space="preserve">Aussie Airlines </w:t>
      </w:r>
      <w:r w:rsidRPr="002849F1">
        <w:rPr>
          <w:rFonts w:ascii="Times New Roman" w:hAnsi="Times New Roman"/>
          <w:sz w:val="24"/>
        </w:rPr>
        <w:t xml:space="preserve">(1996) 68 FCR 406 at 415. See also </w:t>
      </w:r>
      <w:r w:rsidRPr="002849F1">
        <w:rPr>
          <w:rFonts w:ascii="Times New Roman" w:hAnsi="Times New Roman"/>
          <w:i/>
          <w:sz w:val="24"/>
        </w:rPr>
        <w:t>Santos</w:t>
      </w:r>
      <w:r w:rsidRPr="002849F1">
        <w:rPr>
          <w:rFonts w:ascii="Times New Roman" w:hAnsi="Times New Roman"/>
          <w:sz w:val="24"/>
        </w:rPr>
        <w:t xml:space="preserve"> (2011) 242 CLR 421 at</w:t>
      </w:r>
      <w:r w:rsidR="00651ABD">
        <w:rPr>
          <w:rFonts w:ascii="Times New Roman" w:hAnsi="Times New Roman"/>
          <w:sz w:val="24"/>
        </w:rPr>
        <w:t> </w:t>
      </w:r>
      <w:r w:rsidRPr="002849F1">
        <w:rPr>
          <w:rFonts w:ascii="Times New Roman" w:hAnsi="Times New Roman"/>
          <w:sz w:val="24"/>
        </w:rPr>
        <w:t xml:space="preserve">436 [38]; see also 425 [1]; </w:t>
      </w:r>
      <w:r w:rsidRPr="002849F1">
        <w:rPr>
          <w:rFonts w:ascii="Times New Roman" w:hAnsi="Times New Roman"/>
          <w:i/>
          <w:iCs/>
          <w:sz w:val="24"/>
        </w:rPr>
        <w:t>CGU</w:t>
      </w:r>
      <w:r w:rsidR="00764136" w:rsidRPr="002849F1">
        <w:rPr>
          <w:rFonts w:ascii="Times New Roman" w:hAnsi="Times New Roman"/>
          <w:i/>
          <w:iCs/>
          <w:sz w:val="24"/>
        </w:rPr>
        <w:t> </w:t>
      </w:r>
      <w:r w:rsidRPr="002849F1">
        <w:rPr>
          <w:rFonts w:ascii="Times New Roman" w:hAnsi="Times New Roman"/>
          <w:i/>
          <w:iCs/>
          <w:sz w:val="24"/>
        </w:rPr>
        <w:t xml:space="preserve">Insurance </w:t>
      </w:r>
      <w:r w:rsidRPr="002849F1">
        <w:rPr>
          <w:rFonts w:ascii="Times New Roman" w:hAnsi="Times New Roman"/>
          <w:sz w:val="24"/>
        </w:rPr>
        <w:t>(2016) 259 CLR 339 at 357 [42], 363</w:t>
      </w:r>
      <w:r w:rsidR="00651ABD">
        <w:rPr>
          <w:rFonts w:ascii="Times New Roman" w:hAnsi="Times New Roman"/>
          <w:sz w:val="24"/>
        </w:rPr>
        <w:noBreakHyphen/>
      </w:r>
      <w:r w:rsidRPr="002849F1">
        <w:rPr>
          <w:rFonts w:ascii="Times New Roman" w:hAnsi="Times New Roman"/>
          <w:sz w:val="24"/>
        </w:rPr>
        <w:t>364 [67], 371 [96].</w:t>
      </w:r>
    </w:p>
  </w:footnote>
  <w:footnote w:id="41">
    <w:p w14:paraId="4FD3AA82" w14:textId="684E7917" w:rsidR="007B170B" w:rsidRPr="002849F1" w:rsidRDefault="007B170B"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See, eg, </w:t>
      </w:r>
      <w:r w:rsidRPr="002849F1">
        <w:rPr>
          <w:rFonts w:ascii="Times New Roman" w:hAnsi="Times New Roman"/>
          <w:i/>
          <w:iCs/>
          <w:sz w:val="24"/>
        </w:rPr>
        <w:t xml:space="preserve">CGU Insurance </w:t>
      </w:r>
      <w:r w:rsidRPr="002849F1">
        <w:rPr>
          <w:rFonts w:ascii="Times New Roman" w:hAnsi="Times New Roman"/>
          <w:sz w:val="24"/>
        </w:rPr>
        <w:t xml:space="preserve">(2016) 259 CLR 339 at 371 [95]-[96], citing </w:t>
      </w:r>
      <w:r w:rsidRPr="002849F1">
        <w:rPr>
          <w:rFonts w:ascii="Times New Roman" w:hAnsi="Times New Roman"/>
          <w:i/>
          <w:sz w:val="24"/>
        </w:rPr>
        <w:t xml:space="preserve">Meadows Indemnity </w:t>
      </w:r>
      <w:r w:rsidRPr="002849F1">
        <w:rPr>
          <w:rFonts w:ascii="Times New Roman" w:hAnsi="Times New Roman"/>
          <w:sz w:val="24"/>
        </w:rPr>
        <w:t>[1989] 2 Lloyd's Rep 298 at 309.</w:t>
      </w:r>
      <w:r w:rsidR="00DE4822" w:rsidRPr="002849F1">
        <w:rPr>
          <w:rFonts w:ascii="Times New Roman" w:hAnsi="Times New Roman"/>
          <w:sz w:val="24"/>
        </w:rPr>
        <w:t xml:space="preserve"> See also </w:t>
      </w:r>
      <w:r w:rsidR="00DE4822" w:rsidRPr="002849F1">
        <w:rPr>
          <w:rFonts w:ascii="Times New Roman" w:hAnsi="Times New Roman"/>
          <w:i/>
          <w:sz w:val="24"/>
        </w:rPr>
        <w:t>Meagher, Gummow and Lehane's Equity</w:t>
      </w:r>
      <w:r w:rsidR="00B13B37" w:rsidRPr="002849F1">
        <w:rPr>
          <w:rFonts w:ascii="Times New Roman" w:hAnsi="Times New Roman"/>
          <w:i/>
          <w:sz w:val="24"/>
        </w:rPr>
        <w:t>:</w:t>
      </w:r>
      <w:r w:rsidR="00DE4822" w:rsidRPr="002849F1">
        <w:rPr>
          <w:rFonts w:ascii="Times New Roman" w:hAnsi="Times New Roman"/>
          <w:i/>
          <w:sz w:val="24"/>
        </w:rPr>
        <w:t xml:space="preserve"> Doctrines and Remedies</w:t>
      </w:r>
      <w:r w:rsidR="00DE4822" w:rsidRPr="002849F1">
        <w:rPr>
          <w:rFonts w:ascii="Times New Roman" w:hAnsi="Times New Roman"/>
          <w:sz w:val="24"/>
        </w:rPr>
        <w:t>, 5th ed (2015)</w:t>
      </w:r>
      <w:r w:rsidR="004B02C9" w:rsidRPr="002849F1">
        <w:rPr>
          <w:rFonts w:ascii="Times New Roman" w:hAnsi="Times New Roman"/>
          <w:sz w:val="24"/>
        </w:rPr>
        <w:t xml:space="preserve"> at 631 [19.215]</w:t>
      </w:r>
      <w:r w:rsidR="00DE4822" w:rsidRPr="002849F1">
        <w:rPr>
          <w:rFonts w:ascii="Times New Roman" w:hAnsi="Times New Roman"/>
          <w:sz w:val="24"/>
        </w:rPr>
        <w:t>.</w:t>
      </w:r>
    </w:p>
  </w:footnote>
  <w:footnote w:id="42">
    <w:p w14:paraId="119CB3A9" w14:textId="31528442" w:rsidR="005E2FD4" w:rsidRPr="002849F1" w:rsidRDefault="005E2FD4"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3D0954" w:rsidRPr="002849F1">
        <w:rPr>
          <w:rFonts w:ascii="Times New Roman" w:hAnsi="Times New Roman"/>
          <w:i/>
          <w:sz w:val="24"/>
        </w:rPr>
        <w:t>Clarence City Council v The Commonwealth</w:t>
      </w:r>
      <w:r w:rsidR="003D0954" w:rsidRPr="002849F1">
        <w:rPr>
          <w:rFonts w:ascii="Times New Roman" w:hAnsi="Times New Roman"/>
          <w:sz w:val="24"/>
        </w:rPr>
        <w:t xml:space="preserve"> (2020) 280 FCR 265 at </w:t>
      </w:r>
      <w:r w:rsidR="00865A39" w:rsidRPr="002849F1">
        <w:rPr>
          <w:rFonts w:ascii="Times New Roman" w:hAnsi="Times New Roman"/>
          <w:sz w:val="24"/>
        </w:rPr>
        <w:t xml:space="preserve">309 </w:t>
      </w:r>
      <w:r w:rsidRPr="002849F1">
        <w:rPr>
          <w:rFonts w:ascii="Times New Roman" w:hAnsi="Times New Roman"/>
          <w:sz w:val="24"/>
        </w:rPr>
        <w:t>[129].</w:t>
      </w:r>
    </w:p>
  </w:footnote>
  <w:footnote w:id="43">
    <w:p w14:paraId="55E36F12" w14:textId="79F18D89" w:rsidR="0022219A" w:rsidRPr="002849F1" w:rsidRDefault="0022219A"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(2011) 242 CLR 421 at 436 [38]; see also 425 [1]. See also </w:t>
      </w:r>
      <w:r w:rsidRPr="002849F1">
        <w:rPr>
          <w:rFonts w:ascii="Times New Roman" w:hAnsi="Times New Roman"/>
          <w:i/>
          <w:sz w:val="24"/>
        </w:rPr>
        <w:t>Interchase Corporation Ltd (In liq) v FAI General Insurance Co Ltd</w:t>
      </w:r>
      <w:r w:rsidRPr="002849F1">
        <w:rPr>
          <w:rFonts w:ascii="Times New Roman" w:hAnsi="Times New Roman"/>
          <w:sz w:val="24"/>
        </w:rPr>
        <w:t xml:space="preserve"> [2000] 2 Qd R 301 at 311, endorsed in </w:t>
      </w:r>
      <w:r w:rsidRPr="002849F1">
        <w:rPr>
          <w:rFonts w:ascii="Times New Roman" w:hAnsi="Times New Roman"/>
          <w:i/>
          <w:sz w:val="24"/>
        </w:rPr>
        <w:t xml:space="preserve">CGU Insurance </w:t>
      </w:r>
      <w:r w:rsidRPr="002849F1">
        <w:rPr>
          <w:rFonts w:ascii="Times New Roman" w:hAnsi="Times New Roman"/>
          <w:sz w:val="24"/>
        </w:rPr>
        <w:t>(2016) 259 CLR 339 at 356</w:t>
      </w:r>
      <w:r w:rsidR="0014158B" w:rsidRPr="002849F1">
        <w:rPr>
          <w:rFonts w:ascii="Times New Roman" w:hAnsi="Times New Roman"/>
          <w:sz w:val="24"/>
        </w:rPr>
        <w:t>-357</w:t>
      </w:r>
      <w:r w:rsidRPr="002849F1">
        <w:rPr>
          <w:rFonts w:ascii="Times New Roman" w:hAnsi="Times New Roman"/>
          <w:sz w:val="24"/>
        </w:rPr>
        <w:t xml:space="preserve"> [41]-[42]; </w:t>
      </w:r>
      <w:r w:rsidRPr="002849F1">
        <w:rPr>
          <w:rFonts w:ascii="Times New Roman" w:hAnsi="Times New Roman"/>
          <w:i/>
          <w:sz w:val="24"/>
        </w:rPr>
        <w:t xml:space="preserve">Ashmere Cove </w:t>
      </w:r>
      <w:r w:rsidRPr="002849F1">
        <w:rPr>
          <w:rFonts w:ascii="Times New Roman" w:hAnsi="Times New Roman"/>
          <w:sz w:val="24"/>
        </w:rPr>
        <w:t xml:space="preserve">(2008) 166 FCR 398 at 410 [52]-[53]; </w:t>
      </w:r>
      <w:r w:rsidRPr="002849F1">
        <w:rPr>
          <w:rFonts w:ascii="Times New Roman" w:hAnsi="Times New Roman"/>
          <w:i/>
          <w:sz w:val="24"/>
        </w:rPr>
        <w:t xml:space="preserve">QBE Insurance (Australia) </w:t>
      </w:r>
      <w:r w:rsidR="008036DD" w:rsidRPr="002849F1">
        <w:rPr>
          <w:rFonts w:ascii="Times New Roman" w:hAnsi="Times New Roman"/>
          <w:i/>
          <w:sz w:val="24"/>
        </w:rPr>
        <w:t>L</w:t>
      </w:r>
      <w:r w:rsidRPr="002849F1">
        <w:rPr>
          <w:rFonts w:ascii="Times New Roman" w:hAnsi="Times New Roman"/>
          <w:i/>
          <w:sz w:val="24"/>
        </w:rPr>
        <w:t>td v Lois Nominees Pty Ltd</w:t>
      </w:r>
      <w:r w:rsidRPr="002849F1">
        <w:rPr>
          <w:rFonts w:ascii="Times New Roman" w:hAnsi="Times New Roman"/>
          <w:sz w:val="24"/>
        </w:rPr>
        <w:t xml:space="preserve"> (2013) 17 ANZ Insurance Cases ¶61-949 at </w:t>
      </w:r>
      <w:r w:rsidR="00312F07" w:rsidRPr="002849F1">
        <w:rPr>
          <w:rFonts w:ascii="Times New Roman" w:hAnsi="Times New Roman"/>
          <w:sz w:val="24"/>
        </w:rPr>
        <w:t>73,</w:t>
      </w:r>
      <w:r w:rsidR="004C59D5" w:rsidRPr="002849F1">
        <w:rPr>
          <w:rFonts w:ascii="Times New Roman" w:hAnsi="Times New Roman"/>
          <w:sz w:val="24"/>
        </w:rPr>
        <w:t>116</w:t>
      </w:r>
      <w:r w:rsidR="00312F07" w:rsidRPr="002849F1">
        <w:rPr>
          <w:rFonts w:ascii="Times New Roman" w:hAnsi="Times New Roman"/>
          <w:sz w:val="24"/>
        </w:rPr>
        <w:t xml:space="preserve"> </w:t>
      </w:r>
      <w:r w:rsidRPr="002849F1">
        <w:rPr>
          <w:rFonts w:ascii="Times New Roman" w:hAnsi="Times New Roman"/>
          <w:sz w:val="24"/>
        </w:rPr>
        <w:t>[</w:t>
      </w:r>
      <w:r w:rsidR="007E22E0" w:rsidRPr="002849F1">
        <w:rPr>
          <w:rFonts w:ascii="Times New Roman" w:hAnsi="Times New Roman"/>
          <w:sz w:val="24"/>
        </w:rPr>
        <w:t>1</w:t>
      </w:r>
      <w:r w:rsidRPr="002849F1">
        <w:rPr>
          <w:rFonts w:ascii="Times New Roman" w:hAnsi="Times New Roman"/>
          <w:sz w:val="24"/>
        </w:rPr>
        <w:t xml:space="preserve">32]; see also </w:t>
      </w:r>
      <w:r w:rsidR="00A20EB5" w:rsidRPr="002849F1">
        <w:rPr>
          <w:rFonts w:ascii="Times New Roman" w:hAnsi="Times New Roman"/>
          <w:sz w:val="24"/>
        </w:rPr>
        <w:t>73,100</w:t>
      </w:r>
      <w:r w:rsidR="00651ABD">
        <w:rPr>
          <w:rFonts w:ascii="Times New Roman" w:hAnsi="Times New Roman"/>
          <w:sz w:val="24"/>
        </w:rPr>
        <w:noBreakHyphen/>
      </w:r>
      <w:r w:rsidR="00A20EB5" w:rsidRPr="002849F1">
        <w:rPr>
          <w:rFonts w:ascii="Times New Roman" w:hAnsi="Times New Roman"/>
          <w:sz w:val="24"/>
        </w:rPr>
        <w:t xml:space="preserve">73,101 </w:t>
      </w:r>
      <w:r w:rsidRPr="002849F1">
        <w:rPr>
          <w:rFonts w:ascii="Times New Roman" w:hAnsi="Times New Roman"/>
          <w:sz w:val="24"/>
        </w:rPr>
        <w:t>[37]</w:t>
      </w:r>
      <w:r w:rsidR="00A20EB5" w:rsidRPr="002849F1">
        <w:rPr>
          <w:rFonts w:ascii="Times New Roman" w:hAnsi="Times New Roman"/>
          <w:sz w:val="24"/>
        </w:rPr>
        <w:noBreakHyphen/>
      </w:r>
      <w:r w:rsidRPr="002849F1">
        <w:rPr>
          <w:rFonts w:ascii="Times New Roman" w:hAnsi="Times New Roman"/>
          <w:sz w:val="24"/>
        </w:rPr>
        <w:t xml:space="preserve">[40]; </w:t>
      </w:r>
      <w:r w:rsidRPr="002849F1">
        <w:rPr>
          <w:rFonts w:ascii="Times New Roman" w:hAnsi="Times New Roman"/>
          <w:i/>
          <w:sz w:val="24"/>
        </w:rPr>
        <w:t>CGU</w:t>
      </w:r>
      <w:r w:rsidRPr="002849F1">
        <w:rPr>
          <w:rFonts w:ascii="Times New Roman" w:hAnsi="Times New Roman"/>
          <w:sz w:val="24"/>
        </w:rPr>
        <w:t xml:space="preserve"> </w:t>
      </w:r>
      <w:r w:rsidRPr="002849F1">
        <w:rPr>
          <w:rFonts w:ascii="Times New Roman" w:hAnsi="Times New Roman"/>
          <w:i/>
          <w:iCs/>
          <w:sz w:val="24"/>
        </w:rPr>
        <w:t xml:space="preserve">Insurance </w:t>
      </w:r>
      <w:r w:rsidRPr="002849F1">
        <w:rPr>
          <w:rFonts w:ascii="Times New Roman" w:hAnsi="Times New Roman"/>
          <w:sz w:val="24"/>
        </w:rPr>
        <w:t>(2016) 259 CLR 339 at 363-364 [67], 369</w:t>
      </w:r>
      <w:r w:rsidR="00651ABD">
        <w:rPr>
          <w:rFonts w:ascii="Times New Roman" w:hAnsi="Times New Roman"/>
          <w:sz w:val="24"/>
        </w:rPr>
        <w:t> </w:t>
      </w:r>
      <w:r w:rsidRPr="002849F1">
        <w:rPr>
          <w:rFonts w:ascii="Times New Roman" w:hAnsi="Times New Roman"/>
          <w:sz w:val="24"/>
        </w:rPr>
        <w:t xml:space="preserve">[90], 373 [102]. </w:t>
      </w:r>
    </w:p>
  </w:footnote>
  <w:footnote w:id="44">
    <w:p w14:paraId="11AB4833" w14:textId="1A9B57F2" w:rsidR="00B76856" w:rsidRPr="002849F1" w:rsidRDefault="00B76856"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(1996) 68 FCR 406.</w:t>
      </w:r>
    </w:p>
  </w:footnote>
  <w:footnote w:id="45">
    <w:p w14:paraId="0BC3D6D1" w14:textId="562D7683" w:rsidR="006C0FBF" w:rsidRPr="002849F1" w:rsidRDefault="006C0FBF"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551E5E" w:rsidRPr="002849F1">
        <w:rPr>
          <w:rFonts w:ascii="Times New Roman" w:hAnsi="Times New Roman"/>
          <w:sz w:val="24"/>
        </w:rPr>
        <w:t>(1996) 68 FCR 406 at</w:t>
      </w:r>
      <w:r w:rsidR="00E41C1E" w:rsidRPr="002849F1">
        <w:rPr>
          <w:rFonts w:ascii="Times New Roman" w:hAnsi="Times New Roman"/>
          <w:sz w:val="24"/>
        </w:rPr>
        <w:t xml:space="preserve"> 408</w:t>
      </w:r>
      <w:r w:rsidR="00420433" w:rsidRPr="002849F1">
        <w:rPr>
          <w:rFonts w:ascii="Times New Roman" w:hAnsi="Times New Roman"/>
          <w:sz w:val="24"/>
        </w:rPr>
        <w:t>-409</w:t>
      </w:r>
      <w:r w:rsidR="00551E5E" w:rsidRPr="002849F1">
        <w:rPr>
          <w:rFonts w:ascii="Times New Roman" w:hAnsi="Times New Roman"/>
          <w:sz w:val="24"/>
        </w:rPr>
        <w:t>.</w:t>
      </w:r>
    </w:p>
  </w:footnote>
  <w:footnote w:id="46">
    <w:p w14:paraId="116BF6CA" w14:textId="05D6A23D" w:rsidR="00284C8B" w:rsidRPr="002849F1" w:rsidRDefault="00284C8B"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FA474A" w:rsidRPr="002849F1">
        <w:rPr>
          <w:rFonts w:ascii="Times New Roman" w:hAnsi="Times New Roman"/>
          <w:i/>
          <w:sz w:val="24"/>
        </w:rPr>
        <w:t>Aussie Airlines</w:t>
      </w:r>
      <w:r w:rsidR="00FA474A" w:rsidRPr="002849F1">
        <w:rPr>
          <w:rFonts w:ascii="Times New Roman" w:hAnsi="Times New Roman"/>
          <w:sz w:val="24"/>
        </w:rPr>
        <w:t xml:space="preserve"> </w:t>
      </w:r>
      <w:r w:rsidRPr="002849F1">
        <w:rPr>
          <w:rFonts w:ascii="Times New Roman" w:hAnsi="Times New Roman"/>
          <w:sz w:val="24"/>
        </w:rPr>
        <w:t>(1996) 68 FCR 406 at</w:t>
      </w:r>
      <w:r w:rsidR="004267FA" w:rsidRPr="002849F1">
        <w:rPr>
          <w:rFonts w:ascii="Times New Roman" w:hAnsi="Times New Roman"/>
          <w:sz w:val="24"/>
        </w:rPr>
        <w:t xml:space="preserve"> 410</w:t>
      </w:r>
      <w:r w:rsidRPr="002849F1">
        <w:rPr>
          <w:rFonts w:ascii="Times New Roman" w:hAnsi="Times New Roman"/>
          <w:sz w:val="24"/>
        </w:rPr>
        <w:t>.</w:t>
      </w:r>
    </w:p>
  </w:footnote>
  <w:footnote w:id="47">
    <w:p w14:paraId="20CC2C07" w14:textId="1385C704" w:rsidR="001353E2" w:rsidRPr="002849F1" w:rsidRDefault="001353E2"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976B1A" w:rsidRPr="002849F1">
        <w:rPr>
          <w:rFonts w:ascii="Times New Roman" w:hAnsi="Times New Roman"/>
          <w:i/>
          <w:sz w:val="24"/>
        </w:rPr>
        <w:t>Aussie Airlines</w:t>
      </w:r>
      <w:r w:rsidR="00976B1A" w:rsidRPr="002849F1">
        <w:rPr>
          <w:rFonts w:ascii="Times New Roman" w:hAnsi="Times New Roman"/>
          <w:sz w:val="24"/>
        </w:rPr>
        <w:t xml:space="preserve"> </w:t>
      </w:r>
      <w:r w:rsidRPr="002849F1">
        <w:rPr>
          <w:rFonts w:ascii="Times New Roman" w:hAnsi="Times New Roman"/>
          <w:sz w:val="24"/>
        </w:rPr>
        <w:t>(1996) 68 FCR 406 at 415</w:t>
      </w:r>
      <w:r w:rsidR="0073021B" w:rsidRPr="002849F1">
        <w:rPr>
          <w:rFonts w:ascii="Times New Roman" w:hAnsi="Times New Roman"/>
          <w:sz w:val="24"/>
        </w:rPr>
        <w:t>, 420</w:t>
      </w:r>
      <w:r w:rsidRPr="002849F1">
        <w:rPr>
          <w:rFonts w:ascii="Times New Roman" w:hAnsi="Times New Roman"/>
          <w:sz w:val="24"/>
        </w:rPr>
        <w:t>.</w:t>
      </w:r>
    </w:p>
  </w:footnote>
  <w:footnote w:id="48">
    <w:p w14:paraId="3E01C01C" w14:textId="1E7E8B5E" w:rsidR="0082203C" w:rsidRPr="002849F1" w:rsidRDefault="0082203C"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003F37CB" w:rsidRPr="002849F1">
        <w:rPr>
          <w:rFonts w:ascii="Times New Roman" w:hAnsi="Times New Roman"/>
          <w:i/>
          <w:sz w:val="24"/>
        </w:rPr>
        <w:t>Aussie Airlines</w:t>
      </w:r>
      <w:r w:rsidR="003F37CB" w:rsidRPr="002849F1">
        <w:rPr>
          <w:rFonts w:ascii="Times New Roman" w:hAnsi="Times New Roman"/>
          <w:sz w:val="24"/>
        </w:rPr>
        <w:t xml:space="preserve"> </w:t>
      </w:r>
      <w:r w:rsidRPr="002849F1">
        <w:rPr>
          <w:rFonts w:ascii="Times New Roman" w:hAnsi="Times New Roman"/>
          <w:sz w:val="24"/>
        </w:rPr>
        <w:t>(1996) 68 FCR 406 at 415.</w:t>
      </w:r>
    </w:p>
  </w:footnote>
  <w:footnote w:id="49">
    <w:p w14:paraId="31ADF057" w14:textId="494F3062" w:rsidR="00ED2B72" w:rsidRPr="002849F1" w:rsidRDefault="00ED2B72"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Aussie Airlines</w:t>
      </w:r>
      <w:r w:rsidRPr="002849F1">
        <w:rPr>
          <w:rFonts w:ascii="Times New Roman" w:hAnsi="Times New Roman"/>
          <w:sz w:val="24"/>
        </w:rPr>
        <w:t xml:space="preserve"> (1996) 68 FCR 406 at 415.</w:t>
      </w:r>
    </w:p>
  </w:footnote>
  <w:footnote w:id="50">
    <w:p w14:paraId="3A3D7508" w14:textId="77777777" w:rsidR="000962D9" w:rsidRPr="002849F1" w:rsidRDefault="000962D9"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Aussie Airlines</w:t>
      </w:r>
      <w:r w:rsidRPr="002849F1">
        <w:rPr>
          <w:rFonts w:ascii="Times New Roman" w:hAnsi="Times New Roman"/>
          <w:sz w:val="24"/>
        </w:rPr>
        <w:t xml:space="preserve"> (1996) 68 FCR 406 at 415.</w:t>
      </w:r>
    </w:p>
  </w:footnote>
  <w:footnote w:id="51">
    <w:p w14:paraId="5AD05B17" w14:textId="5E5845CF" w:rsidR="003A6ADE" w:rsidRPr="002849F1" w:rsidRDefault="003A6ADE"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CGU Insurance</w:t>
      </w:r>
      <w:r w:rsidRPr="002849F1">
        <w:rPr>
          <w:rFonts w:ascii="Times New Roman" w:hAnsi="Times New Roman"/>
          <w:sz w:val="24"/>
        </w:rPr>
        <w:t xml:space="preserve"> (2016) 259 CLR 339 at 371 [96]. </w:t>
      </w:r>
    </w:p>
  </w:footnote>
  <w:footnote w:id="52">
    <w:p w14:paraId="0A3DA770" w14:textId="42CFC0AC" w:rsidR="003A0588" w:rsidRPr="002849F1" w:rsidRDefault="003A0588"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See, by analogy, </w:t>
      </w:r>
      <w:r w:rsidRPr="002849F1">
        <w:rPr>
          <w:rFonts w:ascii="Times New Roman" w:hAnsi="Times New Roman"/>
          <w:i/>
          <w:sz w:val="24"/>
        </w:rPr>
        <w:t>Aussie Airlines</w:t>
      </w:r>
      <w:r w:rsidR="00C85CE8" w:rsidRPr="002849F1">
        <w:rPr>
          <w:rFonts w:ascii="Times New Roman" w:hAnsi="Times New Roman"/>
          <w:sz w:val="24"/>
        </w:rPr>
        <w:t xml:space="preserve"> </w:t>
      </w:r>
      <w:r w:rsidR="000B3FBB" w:rsidRPr="002849F1">
        <w:rPr>
          <w:rFonts w:ascii="Times New Roman" w:hAnsi="Times New Roman"/>
          <w:sz w:val="24"/>
        </w:rPr>
        <w:t xml:space="preserve">(1996) 68 FCR 406 </w:t>
      </w:r>
      <w:r w:rsidR="00C85CE8" w:rsidRPr="002849F1">
        <w:rPr>
          <w:rFonts w:ascii="Times New Roman" w:hAnsi="Times New Roman"/>
          <w:sz w:val="24"/>
        </w:rPr>
        <w:t xml:space="preserve">at </w:t>
      </w:r>
      <w:r w:rsidR="00FA474A" w:rsidRPr="002849F1">
        <w:rPr>
          <w:rFonts w:ascii="Times New Roman" w:hAnsi="Times New Roman"/>
          <w:sz w:val="24"/>
        </w:rPr>
        <w:t xml:space="preserve">415; </w:t>
      </w:r>
      <w:r w:rsidRPr="002849F1">
        <w:rPr>
          <w:rFonts w:ascii="Times New Roman" w:hAnsi="Times New Roman"/>
          <w:i/>
          <w:sz w:val="24"/>
        </w:rPr>
        <w:t>CGU</w:t>
      </w:r>
      <w:r w:rsidR="00FA474A" w:rsidRPr="002849F1">
        <w:rPr>
          <w:rFonts w:ascii="Times New Roman" w:hAnsi="Times New Roman"/>
          <w:i/>
          <w:sz w:val="24"/>
        </w:rPr>
        <w:t xml:space="preserve"> Insurance</w:t>
      </w:r>
      <w:r w:rsidRPr="002849F1">
        <w:rPr>
          <w:rFonts w:ascii="Times New Roman" w:hAnsi="Times New Roman"/>
          <w:sz w:val="24"/>
        </w:rPr>
        <w:t xml:space="preserve"> </w:t>
      </w:r>
      <w:r w:rsidR="00FA474A" w:rsidRPr="002849F1">
        <w:rPr>
          <w:rFonts w:ascii="Times New Roman" w:hAnsi="Times New Roman"/>
          <w:sz w:val="24"/>
        </w:rPr>
        <w:t xml:space="preserve">(2016) 259 CLR 339 </w:t>
      </w:r>
      <w:r w:rsidRPr="002849F1">
        <w:rPr>
          <w:rFonts w:ascii="Times New Roman" w:hAnsi="Times New Roman"/>
          <w:sz w:val="24"/>
        </w:rPr>
        <w:t>at 373 [102]</w:t>
      </w:r>
      <w:r w:rsidR="009C1194" w:rsidRPr="002849F1">
        <w:rPr>
          <w:rFonts w:ascii="Times New Roman" w:hAnsi="Times New Roman"/>
          <w:sz w:val="24"/>
        </w:rPr>
        <w:t>, 376 [109]</w:t>
      </w:r>
      <w:r w:rsidR="00C85CE8" w:rsidRPr="002849F1">
        <w:rPr>
          <w:rFonts w:ascii="Times New Roman" w:hAnsi="Times New Roman"/>
          <w:sz w:val="24"/>
        </w:rPr>
        <w:t>.</w:t>
      </w:r>
      <w:r w:rsidRPr="002849F1">
        <w:rPr>
          <w:rFonts w:ascii="Times New Roman" w:hAnsi="Times New Roman"/>
          <w:sz w:val="24"/>
        </w:rPr>
        <w:t xml:space="preserve"> </w:t>
      </w:r>
    </w:p>
  </w:footnote>
  <w:footnote w:id="53">
    <w:p w14:paraId="5E03D147" w14:textId="6B937609" w:rsidR="00667DBF" w:rsidRPr="002849F1" w:rsidRDefault="00667DBF"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(2011) 242 CLR 421</w:t>
      </w:r>
      <w:r w:rsidRPr="002849F1">
        <w:rPr>
          <w:rFonts w:ascii="Times New Roman" w:hAnsi="Times New Roman"/>
          <w:i/>
          <w:sz w:val="24"/>
        </w:rPr>
        <w:t xml:space="preserve"> </w:t>
      </w:r>
      <w:r w:rsidRPr="002849F1">
        <w:rPr>
          <w:rFonts w:ascii="Times New Roman" w:hAnsi="Times New Roman"/>
          <w:sz w:val="24"/>
        </w:rPr>
        <w:t>at 436 [37].</w:t>
      </w:r>
    </w:p>
  </w:footnote>
  <w:footnote w:id="54">
    <w:p w14:paraId="0F059D0A" w14:textId="52F7717B" w:rsidR="005579D2" w:rsidRPr="002849F1" w:rsidRDefault="005579D2"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t xml:space="preserve">cf </w:t>
      </w:r>
      <w:r w:rsidRPr="002849F1">
        <w:rPr>
          <w:rFonts w:ascii="Times New Roman" w:hAnsi="Times New Roman"/>
          <w:i/>
          <w:sz w:val="24"/>
        </w:rPr>
        <w:t>Aussie Airlines</w:t>
      </w:r>
      <w:r w:rsidRPr="002849F1">
        <w:rPr>
          <w:rFonts w:ascii="Times New Roman" w:hAnsi="Times New Roman"/>
          <w:sz w:val="24"/>
        </w:rPr>
        <w:t xml:space="preserve"> </w:t>
      </w:r>
      <w:r w:rsidR="00F04F2C" w:rsidRPr="002849F1">
        <w:rPr>
          <w:rFonts w:ascii="Times New Roman" w:hAnsi="Times New Roman"/>
          <w:sz w:val="24"/>
        </w:rPr>
        <w:t xml:space="preserve">(1996) 68 FCR 406 </w:t>
      </w:r>
      <w:r w:rsidRPr="002849F1">
        <w:rPr>
          <w:rFonts w:ascii="Times New Roman" w:hAnsi="Times New Roman"/>
          <w:sz w:val="24"/>
        </w:rPr>
        <w:t xml:space="preserve">at 415; </w:t>
      </w:r>
      <w:r w:rsidRPr="002849F1">
        <w:rPr>
          <w:rFonts w:ascii="Times New Roman" w:hAnsi="Times New Roman"/>
          <w:i/>
          <w:sz w:val="24"/>
        </w:rPr>
        <w:t>Santos</w:t>
      </w:r>
      <w:r w:rsidR="00673CE1" w:rsidRPr="002849F1">
        <w:rPr>
          <w:rFonts w:ascii="Times New Roman" w:hAnsi="Times New Roman"/>
          <w:i/>
          <w:sz w:val="24"/>
        </w:rPr>
        <w:t xml:space="preserve"> </w:t>
      </w:r>
      <w:r w:rsidR="00673CE1" w:rsidRPr="002849F1">
        <w:rPr>
          <w:rFonts w:ascii="Times New Roman" w:hAnsi="Times New Roman"/>
          <w:sz w:val="24"/>
        </w:rPr>
        <w:t>(2011) 242 CLR 421</w:t>
      </w:r>
      <w:r w:rsidRPr="002849F1">
        <w:rPr>
          <w:rFonts w:ascii="Times New Roman" w:hAnsi="Times New Roman"/>
          <w:i/>
          <w:sz w:val="24"/>
        </w:rPr>
        <w:t xml:space="preserve"> </w:t>
      </w:r>
      <w:r w:rsidRPr="002849F1">
        <w:rPr>
          <w:rFonts w:ascii="Times New Roman" w:hAnsi="Times New Roman"/>
          <w:sz w:val="24"/>
        </w:rPr>
        <w:t>at 436</w:t>
      </w:r>
      <w:r w:rsidR="00872B84">
        <w:rPr>
          <w:rFonts w:ascii="Times New Roman" w:hAnsi="Times New Roman"/>
          <w:sz w:val="24"/>
        </w:rPr>
        <w:t> </w:t>
      </w:r>
      <w:r w:rsidRPr="002849F1">
        <w:rPr>
          <w:rFonts w:ascii="Times New Roman" w:hAnsi="Times New Roman"/>
          <w:sz w:val="24"/>
        </w:rPr>
        <w:t>[37].</w:t>
      </w:r>
    </w:p>
  </w:footnote>
  <w:footnote w:id="55">
    <w:p w14:paraId="1C7346B5" w14:textId="2169677E" w:rsidR="00937C40" w:rsidRPr="002849F1" w:rsidRDefault="00937C40" w:rsidP="002849F1">
      <w:pPr>
        <w:pStyle w:val="FootnoteText"/>
        <w:spacing w:line="280" w:lineRule="exact"/>
        <w:ind w:right="0"/>
        <w:jc w:val="both"/>
        <w:rPr>
          <w:rFonts w:ascii="Times New Roman" w:hAnsi="Times New Roman"/>
          <w:sz w:val="24"/>
        </w:rPr>
      </w:pPr>
      <w:r w:rsidRPr="002849F1">
        <w:rPr>
          <w:rStyle w:val="FootnoteReference"/>
          <w:rFonts w:ascii="Times New Roman" w:hAnsi="Times New Roman"/>
          <w:sz w:val="22"/>
          <w:vertAlign w:val="baseline"/>
        </w:rPr>
        <w:footnoteRef/>
      </w:r>
      <w:r w:rsidRPr="002849F1">
        <w:rPr>
          <w:rFonts w:ascii="Times New Roman" w:hAnsi="Times New Roman"/>
          <w:sz w:val="24"/>
        </w:rPr>
        <w:t xml:space="preserve"> </w:t>
      </w:r>
      <w:r w:rsidRPr="002849F1">
        <w:rPr>
          <w:rFonts w:ascii="Times New Roman" w:hAnsi="Times New Roman"/>
          <w:sz w:val="24"/>
        </w:rPr>
        <w:tab/>
      </w:r>
      <w:r w:rsidRPr="002849F1">
        <w:rPr>
          <w:rFonts w:ascii="Times New Roman" w:hAnsi="Times New Roman"/>
          <w:i/>
          <w:sz w:val="24"/>
        </w:rPr>
        <w:t>Forster</w:t>
      </w:r>
      <w:r w:rsidRPr="002849F1">
        <w:rPr>
          <w:rFonts w:ascii="Times New Roman" w:hAnsi="Times New Roman"/>
          <w:sz w:val="24"/>
        </w:rPr>
        <w:t xml:space="preserve"> (1972) 127 CLR 421 at 437-438, quoting </w:t>
      </w:r>
      <w:r w:rsidRPr="002849F1">
        <w:rPr>
          <w:rFonts w:ascii="Times New Roman" w:hAnsi="Times New Roman"/>
          <w:i/>
          <w:sz w:val="24"/>
        </w:rPr>
        <w:t xml:space="preserve">Russian Commercial </w:t>
      </w:r>
      <w:r w:rsidRPr="002849F1">
        <w:rPr>
          <w:rFonts w:ascii="Times New Roman" w:hAnsi="Times New Roman"/>
          <w:sz w:val="24"/>
        </w:rPr>
        <w:t>[1921] 2</w:t>
      </w:r>
      <w:r w:rsidR="00755EB5">
        <w:rPr>
          <w:rFonts w:ascii="Times New Roman" w:hAnsi="Times New Roman"/>
          <w:sz w:val="24"/>
        </w:rPr>
        <w:t> </w:t>
      </w:r>
      <w:r w:rsidRPr="002849F1">
        <w:rPr>
          <w:rFonts w:ascii="Times New Roman" w:hAnsi="Times New Roman"/>
          <w:sz w:val="24"/>
        </w:rPr>
        <w:t>AC</w:t>
      </w:r>
      <w:r w:rsidR="00755EB5">
        <w:rPr>
          <w:rFonts w:ascii="Times New Roman" w:hAnsi="Times New Roman"/>
          <w:sz w:val="24"/>
        </w:rPr>
        <w:t> </w:t>
      </w:r>
      <w:r w:rsidRPr="002849F1">
        <w:rPr>
          <w:rFonts w:ascii="Times New Roman" w:hAnsi="Times New Roman"/>
          <w:sz w:val="24"/>
        </w:rPr>
        <w:t>438 at 448.</w:t>
      </w:r>
    </w:p>
  </w:footnote>
  <w:footnote w:id="56">
    <w:p w14:paraId="3E5E63F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Section 39B(1</w:t>
      </w:r>
      <w:proofErr w:type="gramStart"/>
      <w:r w:rsidRPr="00857FFC">
        <w:rPr>
          <w:rFonts w:ascii="Times New Roman" w:hAnsi="Times New Roman"/>
          <w:sz w:val="24"/>
        </w:rPr>
        <w:t>A)(</w:t>
      </w:r>
      <w:proofErr w:type="gramEnd"/>
      <w:r w:rsidRPr="00857FFC">
        <w:rPr>
          <w:rFonts w:ascii="Times New Roman" w:hAnsi="Times New Roman"/>
          <w:sz w:val="24"/>
        </w:rPr>
        <w:t xml:space="preserve">c) of the </w:t>
      </w:r>
      <w:r w:rsidRPr="00857FFC">
        <w:rPr>
          <w:rFonts w:ascii="Times New Roman" w:hAnsi="Times New Roman"/>
          <w:i/>
          <w:sz w:val="24"/>
        </w:rPr>
        <w:t>Judiciary Act 1903</w:t>
      </w:r>
      <w:r w:rsidRPr="00857FFC">
        <w:rPr>
          <w:rFonts w:ascii="Times New Roman" w:hAnsi="Times New Roman"/>
          <w:sz w:val="24"/>
        </w:rPr>
        <w:t xml:space="preserve"> (Cth).</w:t>
      </w:r>
    </w:p>
  </w:footnote>
  <w:footnote w:id="57">
    <w:p w14:paraId="462E4D5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Official Record of the Debates of the Australasian Federal</w:t>
      </w:r>
      <w:r w:rsidRPr="00857FFC">
        <w:rPr>
          <w:rFonts w:ascii="Times New Roman" w:hAnsi="Times New Roman"/>
          <w:sz w:val="24"/>
        </w:rPr>
        <w:t xml:space="preserve"> </w:t>
      </w:r>
      <w:r w:rsidRPr="00857FFC">
        <w:rPr>
          <w:rFonts w:ascii="Times New Roman" w:hAnsi="Times New Roman"/>
          <w:i/>
          <w:sz w:val="24"/>
        </w:rPr>
        <w:t>Convention</w:t>
      </w:r>
      <w:r w:rsidRPr="00857FFC">
        <w:rPr>
          <w:rFonts w:ascii="Times New Roman" w:hAnsi="Times New Roman"/>
          <w:sz w:val="24"/>
        </w:rPr>
        <w:t xml:space="preserve"> (Melbourne), 31 January 1898 at 319. See also </w:t>
      </w:r>
      <w:r w:rsidRPr="00857FFC">
        <w:rPr>
          <w:rFonts w:ascii="Times New Roman" w:hAnsi="Times New Roman"/>
          <w:i/>
          <w:sz w:val="24"/>
        </w:rPr>
        <w:t>South Australia v Victoria</w:t>
      </w:r>
      <w:r w:rsidRPr="00857FFC">
        <w:rPr>
          <w:rFonts w:ascii="Times New Roman" w:hAnsi="Times New Roman"/>
          <w:sz w:val="24"/>
        </w:rPr>
        <w:t xml:space="preserve"> (1911) 12 CLR 667 at 675, 708; </w:t>
      </w:r>
      <w:r w:rsidRPr="00857FFC">
        <w:rPr>
          <w:rFonts w:ascii="Times New Roman" w:hAnsi="Times New Roman"/>
          <w:i/>
          <w:sz w:val="24"/>
        </w:rPr>
        <w:t>Crouch v Commissioner for Railways</w:t>
      </w:r>
      <w:r w:rsidRPr="00857FFC">
        <w:rPr>
          <w:rFonts w:ascii="Times New Roman" w:hAnsi="Times New Roman"/>
          <w:sz w:val="24"/>
        </w:rPr>
        <w:t xml:space="preserve"> </w:t>
      </w:r>
      <w:r w:rsidRPr="00857FFC">
        <w:rPr>
          <w:rFonts w:ascii="Times New Roman" w:hAnsi="Times New Roman"/>
          <w:i/>
          <w:sz w:val="24"/>
        </w:rPr>
        <w:t>(Q)</w:t>
      </w:r>
      <w:r w:rsidRPr="00857FFC">
        <w:rPr>
          <w:rFonts w:ascii="Times New Roman" w:hAnsi="Times New Roman"/>
          <w:sz w:val="24"/>
        </w:rPr>
        <w:t xml:space="preserve"> (1985) 159 CLR 22 at 37.</w:t>
      </w:r>
    </w:p>
  </w:footnote>
  <w:footnote w:id="58">
    <w:p w14:paraId="795A663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R v Davison</w:t>
      </w:r>
      <w:r w:rsidRPr="00857FFC">
        <w:rPr>
          <w:rFonts w:ascii="Times New Roman" w:hAnsi="Times New Roman"/>
          <w:sz w:val="24"/>
        </w:rPr>
        <w:t xml:space="preserve"> (1954) 90 CLR 353 at 368; </w:t>
      </w:r>
      <w:r w:rsidRPr="00857FFC">
        <w:rPr>
          <w:rFonts w:ascii="Times New Roman" w:hAnsi="Times New Roman"/>
          <w:i/>
          <w:sz w:val="24"/>
        </w:rPr>
        <w:t>Palmer v Ayres</w:t>
      </w:r>
      <w:r w:rsidRPr="00857FFC">
        <w:rPr>
          <w:rFonts w:ascii="Times New Roman" w:hAnsi="Times New Roman"/>
          <w:sz w:val="24"/>
        </w:rPr>
        <w:t xml:space="preserve"> (2017) 259 CLR 478 at 516 [102].</w:t>
      </w:r>
    </w:p>
  </w:footnote>
  <w:footnote w:id="59">
    <w:p w14:paraId="1C110542"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Fencott v Muller</w:t>
      </w:r>
      <w:r w:rsidRPr="00857FFC">
        <w:rPr>
          <w:rFonts w:ascii="Times New Roman" w:hAnsi="Times New Roman"/>
          <w:sz w:val="24"/>
        </w:rPr>
        <w:t xml:space="preserve"> (1983) 152 CLR 570 at 608.</w:t>
      </w:r>
    </w:p>
  </w:footnote>
  <w:footnote w:id="60">
    <w:p w14:paraId="54037963"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R v Trade Practices Tribunal</w:t>
      </w:r>
      <w:r w:rsidRPr="00857FFC">
        <w:rPr>
          <w:rFonts w:ascii="Times New Roman" w:hAnsi="Times New Roman"/>
          <w:sz w:val="24"/>
        </w:rPr>
        <w:t xml:space="preserve">; </w:t>
      </w:r>
      <w:r w:rsidRPr="00857FFC">
        <w:rPr>
          <w:rFonts w:ascii="Times New Roman" w:hAnsi="Times New Roman"/>
          <w:i/>
          <w:sz w:val="24"/>
        </w:rPr>
        <w:t>Ex parte Tasmanian Breweries Pty Ltd</w:t>
      </w:r>
      <w:r w:rsidRPr="00857FFC">
        <w:rPr>
          <w:rFonts w:ascii="Times New Roman" w:hAnsi="Times New Roman"/>
          <w:sz w:val="24"/>
        </w:rPr>
        <w:t xml:space="preserve"> (1970) 123 CLR 361 at 374.</w:t>
      </w:r>
    </w:p>
  </w:footnote>
  <w:footnote w:id="61">
    <w:p w14:paraId="24549E9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(1999) 197 CLR 510 at 527 [31] (cleaned up).</w:t>
      </w:r>
    </w:p>
  </w:footnote>
  <w:footnote w:id="62">
    <w:p w14:paraId="5D54AF3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ab/>
        <w:t>(1999) 197 CLR 510 at 528 [32] (cleaned up).</w:t>
      </w:r>
    </w:p>
  </w:footnote>
  <w:footnote w:id="63">
    <w:p w14:paraId="14D3B3B2"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TCL Air Conditioner (Zhongshan) Co Ltd v Judges of the Federal Court of Australia</w:t>
      </w:r>
      <w:r w:rsidRPr="00857FFC">
        <w:rPr>
          <w:rFonts w:ascii="Times New Roman" w:hAnsi="Times New Roman"/>
          <w:sz w:val="24"/>
        </w:rPr>
        <w:t xml:space="preserve"> (2013) 251 CLR 533 at 553-554 [28]-[29].</w:t>
      </w:r>
    </w:p>
  </w:footnote>
  <w:footnote w:id="64">
    <w:p w14:paraId="18A162C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EB 9 &amp; 10 Pty Ltd v The Owners of Strata Plan 934</w:t>
      </w:r>
      <w:r w:rsidRPr="00857FFC">
        <w:rPr>
          <w:rFonts w:ascii="Times New Roman" w:hAnsi="Times New Roman"/>
          <w:sz w:val="24"/>
        </w:rPr>
        <w:t xml:space="preserve"> (2018) 98 NSWLR 889 at 899 [35], explaining </w:t>
      </w:r>
      <w:r w:rsidRPr="00857FFC">
        <w:rPr>
          <w:rFonts w:ascii="Times New Roman" w:hAnsi="Times New Roman"/>
          <w:i/>
          <w:sz w:val="24"/>
        </w:rPr>
        <w:t>Australian Conservation Foundation Inc v The Commonwealth</w:t>
      </w:r>
      <w:r w:rsidRPr="00857FFC">
        <w:rPr>
          <w:rFonts w:ascii="Times New Roman" w:hAnsi="Times New Roman"/>
          <w:sz w:val="24"/>
        </w:rPr>
        <w:t xml:space="preserve"> (1980) 146 CLR 493 at 527-528.</w:t>
      </w:r>
    </w:p>
  </w:footnote>
  <w:footnote w:id="65">
    <w:p w14:paraId="0257E941"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w:t>
      </w:r>
      <w:r w:rsidRPr="00857FFC">
        <w:rPr>
          <w:rFonts w:ascii="Times New Roman" w:hAnsi="Times New Roman"/>
          <w:i/>
          <w:sz w:val="24"/>
        </w:rPr>
        <w:t xml:space="preserve">Pape v Federal Commissioner of Taxation </w:t>
      </w:r>
      <w:r w:rsidRPr="00857FFC">
        <w:rPr>
          <w:rFonts w:ascii="Times New Roman" w:hAnsi="Times New Roman"/>
          <w:sz w:val="24"/>
        </w:rPr>
        <w:t xml:space="preserve">(2009) 238 CLR 1 at 68 [152] (cleaned up) and the cases there cited. See also </w:t>
      </w:r>
      <w:r w:rsidRPr="00857FFC">
        <w:rPr>
          <w:rFonts w:ascii="Times New Roman" w:hAnsi="Times New Roman"/>
          <w:i/>
          <w:sz w:val="24"/>
        </w:rPr>
        <w:t xml:space="preserve">Attorney-General for NSW v Brewery Employes Union of NSW </w:t>
      </w:r>
      <w:r w:rsidRPr="00857FFC">
        <w:rPr>
          <w:rFonts w:ascii="Times New Roman" w:hAnsi="Times New Roman"/>
          <w:iCs/>
          <w:sz w:val="24"/>
        </w:rPr>
        <w:t>("the</w:t>
      </w:r>
      <w:r w:rsidRPr="00857FFC">
        <w:rPr>
          <w:rFonts w:ascii="Times New Roman" w:hAnsi="Times New Roman"/>
          <w:i/>
          <w:sz w:val="24"/>
        </w:rPr>
        <w:t xml:space="preserve"> Union Label Case</w:t>
      </w:r>
      <w:r w:rsidRPr="00857FFC">
        <w:rPr>
          <w:rFonts w:ascii="Times New Roman" w:hAnsi="Times New Roman"/>
          <w:iCs/>
          <w:sz w:val="24"/>
        </w:rPr>
        <w:t xml:space="preserve">") </w:t>
      </w:r>
      <w:r w:rsidRPr="00857FFC">
        <w:rPr>
          <w:rFonts w:ascii="Times New Roman" w:hAnsi="Times New Roman"/>
          <w:sz w:val="24"/>
        </w:rPr>
        <w:t>(1908) 6 CLR 469 at 491.</w:t>
      </w:r>
    </w:p>
  </w:footnote>
  <w:footnote w:id="66">
    <w:p w14:paraId="019C1E7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LNC Industries Ltd v BMW</w:t>
      </w:r>
      <w:r w:rsidRPr="00857FFC">
        <w:rPr>
          <w:rFonts w:ascii="Times New Roman" w:hAnsi="Times New Roman"/>
          <w:sz w:val="24"/>
        </w:rPr>
        <w:t xml:space="preserve"> </w:t>
      </w:r>
      <w:r w:rsidRPr="00857FFC">
        <w:rPr>
          <w:rFonts w:ascii="Times New Roman" w:hAnsi="Times New Roman"/>
          <w:i/>
          <w:iCs/>
          <w:sz w:val="24"/>
        </w:rPr>
        <w:t>(Australia)</w:t>
      </w:r>
      <w:r w:rsidRPr="00857FFC">
        <w:rPr>
          <w:rFonts w:ascii="Times New Roman" w:hAnsi="Times New Roman"/>
          <w:sz w:val="24"/>
        </w:rPr>
        <w:t xml:space="preserve"> </w:t>
      </w:r>
      <w:r w:rsidRPr="00857FFC">
        <w:rPr>
          <w:rFonts w:ascii="Times New Roman" w:hAnsi="Times New Roman"/>
          <w:i/>
          <w:sz w:val="24"/>
        </w:rPr>
        <w:t>Ltd</w:t>
      </w:r>
      <w:r w:rsidRPr="00857FFC">
        <w:rPr>
          <w:rFonts w:ascii="Times New Roman" w:hAnsi="Times New Roman"/>
          <w:sz w:val="24"/>
        </w:rPr>
        <w:t xml:space="preserve"> (1983) 151 CLR 575 at 581; </w:t>
      </w:r>
      <w:r w:rsidRPr="00857FFC">
        <w:rPr>
          <w:rFonts w:ascii="Times New Roman" w:hAnsi="Times New Roman"/>
          <w:i/>
          <w:sz w:val="24"/>
        </w:rPr>
        <w:t>Edwards v Santos Ltd</w:t>
      </w:r>
      <w:r w:rsidRPr="00857FFC">
        <w:rPr>
          <w:rFonts w:ascii="Times New Roman" w:hAnsi="Times New Roman"/>
          <w:sz w:val="24"/>
        </w:rPr>
        <w:t xml:space="preserve"> (2011) 242 CLR 421 at 438 [45]; </w:t>
      </w:r>
      <w:r w:rsidRPr="00857FFC">
        <w:rPr>
          <w:rFonts w:ascii="Times New Roman" w:hAnsi="Times New Roman"/>
          <w:i/>
          <w:sz w:val="24"/>
        </w:rPr>
        <w:t>CGU Insurance Ltd v Blakeley</w:t>
      </w:r>
      <w:r w:rsidRPr="00857FFC">
        <w:rPr>
          <w:rFonts w:ascii="Times New Roman" w:hAnsi="Times New Roman"/>
          <w:sz w:val="24"/>
        </w:rPr>
        <w:t xml:space="preserve"> (2016) 259 CLR 339 at 351-352 [28]-[29].</w:t>
      </w:r>
    </w:p>
  </w:footnote>
  <w:footnote w:id="67">
    <w:p w14:paraId="5D4A338B" w14:textId="15106751"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Section 22 of the </w:t>
      </w:r>
      <w:r w:rsidRPr="00857FFC">
        <w:rPr>
          <w:rFonts w:ascii="Times New Roman" w:hAnsi="Times New Roman"/>
          <w:i/>
          <w:sz w:val="24"/>
        </w:rPr>
        <w:t>Airports (Transitional) Act 1996</w:t>
      </w:r>
      <w:r w:rsidRPr="00857FFC">
        <w:rPr>
          <w:rFonts w:ascii="Times New Roman" w:hAnsi="Times New Roman"/>
          <w:sz w:val="24"/>
        </w:rPr>
        <w:t xml:space="preserve"> (Cth). See </w:t>
      </w:r>
      <w:r w:rsidRPr="00857FFC">
        <w:rPr>
          <w:rFonts w:ascii="Times New Roman" w:hAnsi="Times New Roman"/>
          <w:i/>
          <w:sz w:val="24"/>
        </w:rPr>
        <w:t>Chelsea Investments Pty Ltd v Federal Commissioner of Taxation</w:t>
      </w:r>
      <w:r w:rsidRPr="00857FFC">
        <w:rPr>
          <w:rFonts w:ascii="Times New Roman" w:hAnsi="Times New Roman"/>
          <w:sz w:val="24"/>
        </w:rPr>
        <w:t xml:space="preserve"> (1966) 115 CLR 1 at 7-8;</w:t>
      </w:r>
      <w:r w:rsidRPr="00857FFC">
        <w:rPr>
          <w:rFonts w:ascii="Times New Roman" w:hAnsi="Times New Roman"/>
          <w:i/>
          <w:sz w:val="24"/>
        </w:rPr>
        <w:t xml:space="preserve"> Wil</w:t>
      </w:r>
      <w:r w:rsidR="00F6292E">
        <w:rPr>
          <w:rFonts w:ascii="Times New Roman" w:hAnsi="Times New Roman"/>
          <w:i/>
          <w:sz w:val="24"/>
        </w:rPr>
        <w:t>l</w:t>
      </w:r>
      <w:r w:rsidRPr="00857FFC">
        <w:rPr>
          <w:rFonts w:ascii="Times New Roman" w:hAnsi="Times New Roman"/>
          <w:i/>
          <w:sz w:val="24"/>
        </w:rPr>
        <w:t>mott Growers Group Inc v Wil</w:t>
      </w:r>
      <w:r w:rsidR="00F6292E">
        <w:rPr>
          <w:rFonts w:ascii="Times New Roman" w:hAnsi="Times New Roman"/>
          <w:i/>
          <w:sz w:val="24"/>
        </w:rPr>
        <w:t>l</w:t>
      </w:r>
      <w:r w:rsidRPr="00857FFC">
        <w:rPr>
          <w:rFonts w:ascii="Times New Roman" w:hAnsi="Times New Roman"/>
          <w:i/>
          <w:sz w:val="24"/>
        </w:rPr>
        <w:t>mott Forests Ltd (Receivers and Managers Appointed) (In liq)</w:t>
      </w:r>
      <w:r w:rsidRPr="00857FFC">
        <w:rPr>
          <w:rFonts w:ascii="Times New Roman" w:hAnsi="Times New Roman"/>
          <w:sz w:val="24"/>
        </w:rPr>
        <w:t xml:space="preserve"> (2013) 251 CLR 592 at 610 [61].</w:t>
      </w:r>
    </w:p>
  </w:footnote>
  <w:footnote w:id="68">
    <w:p w14:paraId="02A84AB0"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John Alexander's Clubs Pty Ltd v White City Tennis Club Ltd</w:t>
      </w:r>
      <w:r w:rsidRPr="00857FFC">
        <w:rPr>
          <w:rFonts w:ascii="Times New Roman" w:hAnsi="Times New Roman"/>
          <w:sz w:val="24"/>
        </w:rPr>
        <w:t xml:space="preserve"> (2010) 241 CLR 1 at 46 [131]-[132], applying </w:t>
      </w:r>
      <w:r w:rsidRPr="00857FFC">
        <w:rPr>
          <w:rFonts w:ascii="Times New Roman" w:hAnsi="Times New Roman"/>
          <w:i/>
          <w:sz w:val="24"/>
        </w:rPr>
        <w:t>News Ltd v Australian Rugby Football League Ltd</w:t>
      </w:r>
      <w:r w:rsidRPr="00857FFC">
        <w:rPr>
          <w:rFonts w:ascii="Times New Roman" w:hAnsi="Times New Roman"/>
          <w:sz w:val="24"/>
        </w:rPr>
        <w:t xml:space="preserve"> (1996) 64 FCR 410 at 523-525.</w:t>
      </w:r>
    </w:p>
  </w:footnote>
  <w:footnote w:id="69">
    <w:p w14:paraId="0D45F797"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Section 21(1) of the </w:t>
      </w:r>
      <w:r w:rsidRPr="00857FFC">
        <w:rPr>
          <w:rFonts w:ascii="Times New Roman" w:hAnsi="Times New Roman"/>
          <w:i/>
          <w:sz w:val="24"/>
        </w:rPr>
        <w:t>Federal Court of Australia Act 1976</w:t>
      </w:r>
      <w:r w:rsidRPr="00857FFC">
        <w:rPr>
          <w:rFonts w:ascii="Times New Roman" w:hAnsi="Times New Roman"/>
          <w:sz w:val="24"/>
        </w:rPr>
        <w:t xml:space="preserve"> (Cth).</w:t>
      </w:r>
    </w:p>
  </w:footnote>
  <w:footnote w:id="70">
    <w:p w14:paraId="5038116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Section 21(2) of the </w:t>
      </w:r>
      <w:r w:rsidRPr="00857FFC">
        <w:rPr>
          <w:rFonts w:ascii="Times New Roman" w:hAnsi="Times New Roman"/>
          <w:i/>
          <w:sz w:val="24"/>
        </w:rPr>
        <w:t>Federal Court of Australia Act 1976</w:t>
      </w:r>
      <w:r w:rsidRPr="00857FFC">
        <w:rPr>
          <w:rFonts w:ascii="Times New Roman" w:hAnsi="Times New Roman"/>
          <w:sz w:val="24"/>
        </w:rPr>
        <w:t xml:space="preserve"> (Cth).</w:t>
      </w:r>
    </w:p>
  </w:footnote>
  <w:footnote w:id="71">
    <w:p w14:paraId="120194E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Blair v Curran</w:t>
      </w:r>
      <w:r w:rsidRPr="00857FFC">
        <w:rPr>
          <w:rFonts w:ascii="Times New Roman" w:hAnsi="Times New Roman"/>
          <w:sz w:val="24"/>
        </w:rPr>
        <w:t xml:space="preserve"> (1939) 62 CLR 464 at 531; </w:t>
      </w:r>
      <w:r w:rsidRPr="00857FFC">
        <w:rPr>
          <w:rFonts w:ascii="Times New Roman" w:hAnsi="Times New Roman"/>
          <w:i/>
          <w:sz w:val="24"/>
        </w:rPr>
        <w:t>Jackson v Goldsmith</w:t>
      </w:r>
      <w:r w:rsidRPr="00857FFC">
        <w:rPr>
          <w:rFonts w:ascii="Times New Roman" w:hAnsi="Times New Roman"/>
          <w:sz w:val="24"/>
        </w:rPr>
        <w:t xml:space="preserve"> (1950) 81 CLR 446 at 466. See also </w:t>
      </w:r>
      <w:r w:rsidRPr="00857FFC">
        <w:rPr>
          <w:rFonts w:ascii="Times New Roman" w:hAnsi="Times New Roman"/>
          <w:i/>
          <w:sz w:val="24"/>
        </w:rPr>
        <w:t>Attorney-General (NSW) v Quin</w:t>
      </w:r>
      <w:r w:rsidRPr="00857FFC">
        <w:rPr>
          <w:rFonts w:ascii="Times New Roman" w:hAnsi="Times New Roman"/>
          <w:sz w:val="24"/>
        </w:rPr>
        <w:t xml:space="preserve"> (1990) 170 CLR 1 at 42; </w:t>
      </w:r>
      <w:r w:rsidRPr="00857FFC">
        <w:rPr>
          <w:rFonts w:ascii="Times New Roman" w:hAnsi="Times New Roman"/>
          <w:i/>
          <w:sz w:val="24"/>
        </w:rPr>
        <w:t xml:space="preserve">Magman International Pty Ltd v Westpac Banking Corporation </w:t>
      </w:r>
      <w:r w:rsidRPr="00857FFC">
        <w:rPr>
          <w:rFonts w:ascii="Times New Roman" w:hAnsi="Times New Roman"/>
          <w:sz w:val="24"/>
        </w:rPr>
        <w:t xml:space="preserve">(1991) 32 FCR 1 at 15, quoting </w:t>
      </w:r>
      <w:r w:rsidRPr="00857FFC">
        <w:rPr>
          <w:rFonts w:ascii="Times New Roman" w:hAnsi="Times New Roman"/>
          <w:i/>
          <w:sz w:val="24"/>
        </w:rPr>
        <w:t>International General Electric Co of New York Ltd v Commissioners</w:t>
      </w:r>
      <w:r w:rsidRPr="00857FFC">
        <w:rPr>
          <w:rFonts w:ascii="Times New Roman" w:hAnsi="Times New Roman"/>
          <w:sz w:val="24"/>
        </w:rPr>
        <w:t xml:space="preserve"> </w:t>
      </w:r>
      <w:r w:rsidRPr="00857FFC">
        <w:rPr>
          <w:rFonts w:ascii="Times New Roman" w:hAnsi="Times New Roman"/>
          <w:i/>
          <w:sz w:val="24"/>
        </w:rPr>
        <w:t xml:space="preserve">of Customs and Excise </w:t>
      </w:r>
      <w:r w:rsidRPr="00857FFC">
        <w:rPr>
          <w:rFonts w:ascii="Times New Roman" w:hAnsi="Times New Roman"/>
          <w:sz w:val="24"/>
        </w:rPr>
        <w:t>[1962] Ch 784 at 789.</w:t>
      </w:r>
    </w:p>
  </w:footnote>
  <w:footnote w:id="72">
    <w:p w14:paraId="61BB08D5"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Australian Securities and Investments Commission v Hellicar</w:t>
      </w:r>
      <w:r w:rsidRPr="00857FFC">
        <w:rPr>
          <w:rFonts w:ascii="Times New Roman" w:hAnsi="Times New Roman"/>
          <w:sz w:val="24"/>
        </w:rPr>
        <w:t xml:space="preserve"> (2012) 247 CLR 345 at 434-435 [239]-[240].</w:t>
      </w:r>
    </w:p>
  </w:footnote>
  <w:footnote w:id="73">
    <w:p w14:paraId="5F4ED12F"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Lujan v Defenders of Wildlife</w:t>
      </w:r>
      <w:r w:rsidRPr="00857FFC">
        <w:rPr>
          <w:rFonts w:ascii="Times New Roman" w:hAnsi="Times New Roman"/>
          <w:sz w:val="24"/>
        </w:rPr>
        <w:t xml:space="preserve"> (1992) 504 US 555 at 560; </w:t>
      </w:r>
      <w:r w:rsidRPr="00857FFC">
        <w:rPr>
          <w:rFonts w:ascii="Times New Roman" w:hAnsi="Times New Roman"/>
          <w:i/>
          <w:sz w:val="24"/>
        </w:rPr>
        <w:t xml:space="preserve">Spokeo Inc v Robins </w:t>
      </w:r>
      <w:r w:rsidRPr="00857FFC">
        <w:rPr>
          <w:rFonts w:ascii="Times New Roman" w:hAnsi="Times New Roman"/>
          <w:sz w:val="24"/>
        </w:rPr>
        <w:t>(2016) 136 S Ct 1540 at 1547-1548.</w:t>
      </w:r>
    </w:p>
  </w:footnote>
  <w:footnote w:id="74">
    <w:p w14:paraId="6DBBD0F0"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w:t>
      </w:r>
      <w:r w:rsidRPr="00857FFC">
        <w:rPr>
          <w:rFonts w:ascii="Times New Roman" w:hAnsi="Times New Roman"/>
          <w:i/>
          <w:sz w:val="24"/>
        </w:rPr>
        <w:t>Truth About Motorways Pty Ltd v Macquarie Infrastructure Investment Management Ltd</w:t>
      </w:r>
      <w:r w:rsidRPr="00857FFC">
        <w:rPr>
          <w:rFonts w:ascii="Times New Roman" w:hAnsi="Times New Roman"/>
          <w:sz w:val="24"/>
        </w:rPr>
        <w:t xml:space="preserve"> (2000) 200 CLR 591.</w:t>
      </w:r>
    </w:p>
  </w:footnote>
  <w:footnote w:id="75">
    <w:p w14:paraId="594B715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Truth About Motorways Pty Ltd v Macquarie Infrastructure Investment Management Ltd</w:t>
      </w:r>
      <w:r w:rsidRPr="00857FFC">
        <w:rPr>
          <w:rFonts w:ascii="Times New Roman" w:hAnsi="Times New Roman"/>
          <w:sz w:val="24"/>
        </w:rPr>
        <w:t xml:space="preserve"> (2000) 200 CLR 591 at 626-627 [92].</w:t>
      </w:r>
    </w:p>
  </w:footnote>
  <w:footnote w:id="76">
    <w:p w14:paraId="3E48BF1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Coulls v Bagot's Executor and Trustee Co Ltd</w:t>
      </w:r>
      <w:r w:rsidRPr="00857FFC">
        <w:rPr>
          <w:rFonts w:ascii="Times New Roman" w:hAnsi="Times New Roman"/>
          <w:sz w:val="24"/>
        </w:rPr>
        <w:t xml:space="preserve"> (1967) 119 CLR 460 at 494, quoting </w:t>
      </w:r>
      <w:r w:rsidRPr="00857FFC">
        <w:rPr>
          <w:rFonts w:ascii="Times New Roman" w:hAnsi="Times New Roman"/>
          <w:i/>
          <w:sz w:val="24"/>
        </w:rPr>
        <w:t>Vandepitte v Preferred Accident Insurance Corporation of New York</w:t>
      </w:r>
      <w:r w:rsidRPr="00857FFC">
        <w:rPr>
          <w:rFonts w:ascii="Times New Roman" w:hAnsi="Times New Roman"/>
          <w:sz w:val="24"/>
        </w:rPr>
        <w:t xml:space="preserve"> [1933] AC 70 at 79. See </w:t>
      </w:r>
      <w:r w:rsidRPr="00857FFC">
        <w:rPr>
          <w:rFonts w:ascii="Times New Roman" w:hAnsi="Times New Roman"/>
          <w:i/>
          <w:sz w:val="24"/>
        </w:rPr>
        <w:t>Trident General Insurance Co Ltd v McNiece Bros Pty Ltd</w:t>
      </w:r>
      <w:r w:rsidRPr="00857FFC">
        <w:rPr>
          <w:rFonts w:ascii="Times New Roman" w:hAnsi="Times New Roman"/>
          <w:sz w:val="24"/>
        </w:rPr>
        <w:t xml:space="preserve"> (1988) 165 CLR 107 at 115-116, 128-143, 155-162, 173-174.</w:t>
      </w:r>
    </w:p>
  </w:footnote>
  <w:footnote w:id="77">
    <w:p w14:paraId="07D7F26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Bateman's Bay Local Aboriginal Land Council v Aboriginal Community Benefit Fund Pty Ltd</w:t>
      </w:r>
      <w:r w:rsidRPr="00857FFC">
        <w:rPr>
          <w:rFonts w:ascii="Times New Roman" w:hAnsi="Times New Roman"/>
          <w:sz w:val="24"/>
        </w:rPr>
        <w:t xml:space="preserve"> (1998) 194 CLR 247 at 257 [25].</w:t>
      </w:r>
    </w:p>
  </w:footnote>
  <w:footnote w:id="78">
    <w:p w14:paraId="027B4ED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Heydon, Leeming and Turner, </w:t>
      </w:r>
      <w:r w:rsidRPr="00857FFC">
        <w:rPr>
          <w:rFonts w:ascii="Times New Roman" w:hAnsi="Times New Roman"/>
          <w:i/>
          <w:sz w:val="24"/>
        </w:rPr>
        <w:t>Meagher, Gummow &amp; Lehane's Equity: Doctrines and Remedies</w:t>
      </w:r>
      <w:r w:rsidRPr="00857FFC">
        <w:rPr>
          <w:rFonts w:ascii="Times New Roman" w:hAnsi="Times New Roman"/>
          <w:sz w:val="24"/>
        </w:rPr>
        <w:t>, 5th ed (2015) at 124-125.</w:t>
      </w:r>
    </w:p>
  </w:footnote>
  <w:footnote w:id="79">
    <w:p w14:paraId="4F8C0D0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(1955) 95 CLR 43 at 67.</w:t>
      </w:r>
    </w:p>
  </w:footnote>
  <w:footnote w:id="80">
    <w:p w14:paraId="4ADDBD7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(1988) 164 CLR 604 at 618-619.</w:t>
      </w:r>
    </w:p>
  </w:footnote>
  <w:footnote w:id="81">
    <w:p w14:paraId="37BA2D83"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(1988) 165 CLR 107 at 146-148. See also (1988) 165 CLR 107 at 115, 138-139, 156-157, 167; </w:t>
      </w:r>
      <w:r w:rsidRPr="00857FFC">
        <w:rPr>
          <w:rFonts w:ascii="Times New Roman" w:hAnsi="Times New Roman"/>
          <w:i/>
          <w:sz w:val="24"/>
        </w:rPr>
        <w:t xml:space="preserve">Aussie Airlines Pty Ltd v Australian Airlines Ltd </w:t>
      </w:r>
      <w:r w:rsidRPr="00857FFC">
        <w:rPr>
          <w:rFonts w:ascii="Times New Roman" w:hAnsi="Times New Roman"/>
          <w:sz w:val="24"/>
        </w:rPr>
        <w:t>(1996) 68 FCR 406 at 414-415.</w:t>
      </w:r>
    </w:p>
  </w:footnote>
  <w:footnote w:id="82">
    <w:p w14:paraId="7C70C5A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(2015) 255 CLR 62 at 100 [109]. See also at 72-73 [10]-[11], 123-124 [204]-[208].</w:t>
      </w:r>
    </w:p>
  </w:footnote>
  <w:footnote w:id="83">
    <w:p w14:paraId="0D5C0B1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Korda v Australian Executor Trustees (SA) Ltd</w:t>
      </w:r>
      <w:r w:rsidRPr="00857FFC">
        <w:rPr>
          <w:rFonts w:ascii="Times New Roman" w:hAnsi="Times New Roman"/>
          <w:sz w:val="24"/>
        </w:rPr>
        <w:t xml:space="preserve"> (2015) 255 CLR 62 at 123-124 [206]-[208], applying </w:t>
      </w:r>
      <w:r w:rsidRPr="00857FFC">
        <w:rPr>
          <w:rFonts w:ascii="Times New Roman" w:hAnsi="Times New Roman"/>
          <w:i/>
          <w:sz w:val="24"/>
        </w:rPr>
        <w:t xml:space="preserve">Legal Services Board v Gillespie-Jones </w:t>
      </w:r>
      <w:r w:rsidRPr="00857FFC">
        <w:rPr>
          <w:rFonts w:ascii="Times New Roman" w:hAnsi="Times New Roman"/>
          <w:sz w:val="24"/>
        </w:rPr>
        <w:t>(2013) 249 CLR 493 at 523-524 [113].</w:t>
      </w:r>
    </w:p>
  </w:footnote>
  <w:footnote w:id="84">
    <w:p w14:paraId="1F2310D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Registrar of the Accident Compensation Tribunal v Federal Commissioner of Taxation</w:t>
      </w:r>
      <w:r w:rsidRPr="00857FFC">
        <w:rPr>
          <w:rFonts w:ascii="Times New Roman" w:hAnsi="Times New Roman"/>
          <w:sz w:val="24"/>
        </w:rPr>
        <w:t xml:space="preserve"> (1993) 178 CLR 145 at 162-163, 180-181, referring to </w:t>
      </w:r>
      <w:r w:rsidRPr="00857FFC">
        <w:rPr>
          <w:rFonts w:ascii="Times New Roman" w:hAnsi="Times New Roman"/>
          <w:i/>
          <w:sz w:val="24"/>
        </w:rPr>
        <w:t>Kinloch v Secretary of State for India</w:t>
      </w:r>
      <w:r w:rsidRPr="00857FFC">
        <w:rPr>
          <w:rFonts w:ascii="Times New Roman" w:hAnsi="Times New Roman"/>
          <w:sz w:val="24"/>
        </w:rPr>
        <w:t xml:space="preserve"> (1882) 7 App Cas 619.</w:t>
      </w:r>
    </w:p>
  </w:footnote>
  <w:footnote w:id="85">
    <w:p w14:paraId="1F4A79A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 xml:space="preserve">South Australia v The Commonwealth </w:t>
      </w:r>
      <w:r w:rsidRPr="00857FFC">
        <w:rPr>
          <w:rFonts w:ascii="Times New Roman" w:hAnsi="Times New Roman"/>
          <w:sz w:val="24"/>
        </w:rPr>
        <w:t xml:space="preserve">(1962) 108 CLR 130; </w:t>
      </w:r>
      <w:r w:rsidRPr="00857FFC">
        <w:rPr>
          <w:rFonts w:ascii="Times New Roman" w:hAnsi="Times New Roman"/>
          <w:i/>
          <w:sz w:val="24"/>
        </w:rPr>
        <w:t>Placer Development Ltd v The Commonwealth</w:t>
      </w:r>
      <w:r w:rsidRPr="00857FFC">
        <w:rPr>
          <w:rFonts w:ascii="Times New Roman" w:hAnsi="Times New Roman"/>
          <w:sz w:val="24"/>
        </w:rPr>
        <w:t xml:space="preserve"> (1969) 121 CLR 353.</w:t>
      </w:r>
    </w:p>
  </w:footnote>
  <w:footnote w:id="86">
    <w:p w14:paraId="072AACB4"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The Municipal Council of Sydney v The Commonwealth</w:t>
      </w:r>
      <w:r w:rsidRPr="00857FFC">
        <w:rPr>
          <w:rFonts w:ascii="Times New Roman" w:hAnsi="Times New Roman"/>
          <w:sz w:val="24"/>
        </w:rPr>
        <w:t xml:space="preserve"> (1904) 1 CLR 208 at 240.</w:t>
      </w:r>
    </w:p>
  </w:footnote>
  <w:footnote w:id="87">
    <w:p w14:paraId="0B303A7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Ainsworth v Criminal Justice Commission</w:t>
      </w:r>
      <w:r w:rsidRPr="00857FFC">
        <w:rPr>
          <w:rFonts w:ascii="Times New Roman" w:hAnsi="Times New Roman"/>
          <w:sz w:val="24"/>
        </w:rPr>
        <w:t xml:space="preserve"> (1992) 175 CLR 564 at 581; </w:t>
      </w:r>
      <w:r w:rsidRPr="00857FFC">
        <w:rPr>
          <w:rFonts w:ascii="Times New Roman" w:hAnsi="Times New Roman"/>
          <w:i/>
          <w:sz w:val="24"/>
        </w:rPr>
        <w:t>CGU Insurance Ltd v Blakeley</w:t>
      </w:r>
      <w:r w:rsidRPr="00857FFC">
        <w:rPr>
          <w:rFonts w:ascii="Times New Roman" w:hAnsi="Times New Roman"/>
          <w:sz w:val="24"/>
        </w:rPr>
        <w:t xml:space="preserve"> (2016) 259 CLR 339 at 346 [13].</w:t>
      </w:r>
    </w:p>
  </w:footnote>
  <w:footnote w:id="88">
    <w:p w14:paraId="54401FE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Heydon, Leeming and Turner, </w:t>
      </w:r>
      <w:r w:rsidRPr="00857FFC">
        <w:rPr>
          <w:rFonts w:ascii="Times New Roman" w:hAnsi="Times New Roman"/>
          <w:i/>
          <w:sz w:val="24"/>
        </w:rPr>
        <w:t>Meagher, Gummow &amp; Lehane's Equity: Doctrines and Remedies</w:t>
      </w:r>
      <w:r w:rsidRPr="00857FFC">
        <w:rPr>
          <w:rFonts w:ascii="Times New Roman" w:hAnsi="Times New Roman"/>
          <w:sz w:val="24"/>
        </w:rPr>
        <w:t>, 5th ed (2015) at 610-611.</w:t>
      </w:r>
    </w:p>
  </w:footnote>
  <w:footnote w:id="89">
    <w:p w14:paraId="3B15BD7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Heydon, Leeming and Turner, </w:t>
      </w:r>
      <w:r w:rsidRPr="00857FFC">
        <w:rPr>
          <w:rFonts w:ascii="Times New Roman" w:hAnsi="Times New Roman"/>
          <w:i/>
          <w:sz w:val="24"/>
        </w:rPr>
        <w:t>Meagher, Gummow &amp; Lehane's Equity: Doctrines and Remedies</w:t>
      </w:r>
      <w:r w:rsidRPr="00857FFC">
        <w:rPr>
          <w:rFonts w:ascii="Times New Roman" w:hAnsi="Times New Roman"/>
          <w:sz w:val="24"/>
        </w:rPr>
        <w:t>, 5th ed (2015) at 616-617.</w:t>
      </w:r>
    </w:p>
  </w:footnote>
  <w:footnote w:id="90">
    <w:p w14:paraId="4C13179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Woolf and Woolf, </w:t>
      </w:r>
      <w:r w:rsidRPr="00857FFC">
        <w:rPr>
          <w:rFonts w:ascii="Times New Roman" w:hAnsi="Times New Roman"/>
          <w:i/>
          <w:sz w:val="24"/>
        </w:rPr>
        <w:t>Zamir &amp; Woolf: The Declaratory Judgment</w:t>
      </w:r>
      <w:r w:rsidRPr="00857FFC">
        <w:rPr>
          <w:rFonts w:ascii="Times New Roman" w:hAnsi="Times New Roman"/>
          <w:sz w:val="24"/>
        </w:rPr>
        <w:t>,</w:t>
      </w:r>
      <w:r w:rsidRPr="00857FFC">
        <w:rPr>
          <w:rFonts w:ascii="Times New Roman" w:hAnsi="Times New Roman"/>
          <w:i/>
          <w:sz w:val="24"/>
        </w:rPr>
        <w:t xml:space="preserve"> </w:t>
      </w:r>
      <w:r w:rsidRPr="00857FFC">
        <w:rPr>
          <w:rFonts w:ascii="Times New Roman" w:hAnsi="Times New Roman"/>
          <w:sz w:val="24"/>
        </w:rPr>
        <w:t>4th ed (2011) at 11-12.</w:t>
      </w:r>
    </w:p>
  </w:footnote>
  <w:footnote w:id="91">
    <w:p w14:paraId="137CB1A8"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Section 10 of the </w:t>
      </w:r>
      <w:r w:rsidRPr="00857FFC">
        <w:rPr>
          <w:rFonts w:ascii="Times New Roman" w:hAnsi="Times New Roman"/>
          <w:i/>
          <w:sz w:val="24"/>
        </w:rPr>
        <w:t>Equity Act 1901</w:t>
      </w:r>
      <w:r w:rsidRPr="00857FFC">
        <w:rPr>
          <w:rFonts w:ascii="Times New Roman" w:hAnsi="Times New Roman"/>
          <w:sz w:val="24"/>
        </w:rPr>
        <w:t xml:space="preserve"> (NSW) as substituted by the </w:t>
      </w:r>
      <w:r w:rsidRPr="00857FFC">
        <w:rPr>
          <w:rFonts w:ascii="Times New Roman" w:hAnsi="Times New Roman"/>
          <w:i/>
          <w:sz w:val="24"/>
        </w:rPr>
        <w:t>Law Reform</w:t>
      </w:r>
      <w:r w:rsidRPr="00857FFC">
        <w:rPr>
          <w:rFonts w:ascii="Times New Roman" w:hAnsi="Times New Roman"/>
          <w:sz w:val="24"/>
        </w:rPr>
        <w:t xml:space="preserve"> </w:t>
      </w:r>
      <w:r w:rsidRPr="00857FFC">
        <w:rPr>
          <w:rFonts w:ascii="Times New Roman" w:hAnsi="Times New Roman"/>
          <w:i/>
          <w:iCs/>
          <w:sz w:val="24"/>
        </w:rPr>
        <w:t>(Miscellaneous Provisions)</w:t>
      </w:r>
      <w:r w:rsidRPr="00857FFC">
        <w:rPr>
          <w:rFonts w:ascii="Times New Roman" w:hAnsi="Times New Roman"/>
          <w:sz w:val="24"/>
        </w:rPr>
        <w:t xml:space="preserve"> </w:t>
      </w:r>
      <w:r w:rsidRPr="00857FFC">
        <w:rPr>
          <w:rFonts w:ascii="Times New Roman" w:hAnsi="Times New Roman"/>
          <w:i/>
          <w:sz w:val="24"/>
        </w:rPr>
        <w:t>Act 1965</w:t>
      </w:r>
      <w:r w:rsidRPr="00857FFC">
        <w:rPr>
          <w:rFonts w:ascii="Times New Roman" w:hAnsi="Times New Roman"/>
          <w:sz w:val="24"/>
        </w:rPr>
        <w:t xml:space="preserve"> (NSW). See Heydon, Leeming and Turner, </w:t>
      </w:r>
      <w:r w:rsidRPr="00857FFC">
        <w:rPr>
          <w:rFonts w:ascii="Times New Roman" w:hAnsi="Times New Roman"/>
          <w:i/>
          <w:sz w:val="24"/>
        </w:rPr>
        <w:t>Meagher, Gummow &amp; Lehane's Equity: Doctrines and Remedies</w:t>
      </w:r>
      <w:r w:rsidRPr="00857FFC">
        <w:rPr>
          <w:rFonts w:ascii="Times New Roman" w:hAnsi="Times New Roman"/>
          <w:sz w:val="24"/>
        </w:rPr>
        <w:t>, 5th ed (2015) at 612-614.</w:t>
      </w:r>
    </w:p>
  </w:footnote>
  <w:footnote w:id="92">
    <w:p w14:paraId="31B83D8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Sir Anthony Mason, "Declarations, Injunctions and Constructive Trusts: Divergent Developments in England and Australia" (1980) 11 </w:t>
      </w:r>
      <w:r w:rsidRPr="00857FFC">
        <w:rPr>
          <w:rFonts w:ascii="Times New Roman" w:hAnsi="Times New Roman"/>
          <w:i/>
          <w:sz w:val="24"/>
        </w:rPr>
        <w:t>University of Queensland Law Journal</w:t>
      </w:r>
      <w:r w:rsidRPr="00857FFC">
        <w:rPr>
          <w:rFonts w:ascii="Times New Roman" w:hAnsi="Times New Roman"/>
          <w:sz w:val="24"/>
        </w:rPr>
        <w:t xml:space="preserve"> 121 at 124. </w:t>
      </w:r>
    </w:p>
  </w:footnote>
  <w:footnote w:id="93">
    <w:p w14:paraId="041DCA3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(1972) 127 CLR 421 at 437-438.</w:t>
      </w:r>
    </w:p>
  </w:footnote>
  <w:footnote w:id="94">
    <w:p w14:paraId="05E3C68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(1992) 175 CLR 564 at 581-582, 595-597.</w:t>
      </w:r>
    </w:p>
  </w:footnote>
  <w:footnote w:id="95">
    <w:p w14:paraId="0E44BA8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(1993) 178 CLR 643 at 649.</w:t>
      </w:r>
    </w:p>
  </w:footnote>
  <w:footnote w:id="96">
    <w:p w14:paraId="7DB4CCC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[1921] 2 AC 438 at 448.</w:t>
      </w:r>
    </w:p>
  </w:footnote>
  <w:footnote w:id="97">
    <w:p w14:paraId="1C217C5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[1903] 1 Ch 109.</w:t>
      </w:r>
    </w:p>
  </w:footnote>
  <w:footnote w:id="98">
    <w:p w14:paraId="4BABBAFF"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(1977) 138 CLR 283 at 327-329.</w:t>
      </w:r>
    </w:p>
  </w:footnote>
  <w:footnote w:id="99">
    <w:p w14:paraId="1631949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ab/>
        <w:t xml:space="preserve">(1980) 146 CLR 493 at 526-528, 530-531, 547-548. </w:t>
      </w:r>
    </w:p>
  </w:footnote>
  <w:footnote w:id="100">
    <w:p w14:paraId="071F2BE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(1981) 146 CLR 249 at 256-257.</w:t>
      </w:r>
    </w:p>
  </w:footnote>
  <w:footnote w:id="101">
    <w:p w14:paraId="51E4AAE4"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(1995) 183 CLR 552 at 558-559.</w:t>
      </w:r>
    </w:p>
  </w:footnote>
  <w:footnote w:id="102">
    <w:p w14:paraId="4C7CC27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(1981) 148 CLR 289 at 299-300.</w:t>
      </w:r>
    </w:p>
  </w:footnote>
  <w:footnote w:id="103">
    <w:p w14:paraId="693D6708"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(1982) 149 CLR 672 at 680-681.</w:t>
      </w:r>
    </w:p>
  </w:footnote>
  <w:footnote w:id="104">
    <w:p w14:paraId="73A69E41"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(1981) 149 CLR 27 at 35-36, 75.</w:t>
      </w:r>
    </w:p>
  </w:footnote>
  <w:footnote w:id="105">
    <w:p w14:paraId="5A122995"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(1998) 194 CLR 247 at 264-265 [44]-[45], 267 [50], 280-284 [92]-[103].</w:t>
      </w:r>
    </w:p>
  </w:footnote>
  <w:footnote w:id="106">
    <w:p w14:paraId="05D230A5"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(1997) 191 CLR 119 at 126-127, 138.</w:t>
      </w:r>
    </w:p>
  </w:footnote>
  <w:footnote w:id="107">
    <w:p w14:paraId="6BA0D28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See (1949) 79 CLR 201 at 257.</w:t>
      </w:r>
    </w:p>
  </w:footnote>
  <w:footnote w:id="108">
    <w:p w14:paraId="13BA564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(2010) 243 CLR 319 at 359 [103] (footnote omitted).</w:t>
      </w:r>
    </w:p>
  </w:footnote>
  <w:footnote w:id="109">
    <w:p w14:paraId="6E8D6AD0"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 xml:space="preserve">Australian Conservation Foundation v The Commonwealth </w:t>
      </w:r>
      <w:r w:rsidRPr="00857FFC">
        <w:rPr>
          <w:rFonts w:ascii="Times New Roman" w:hAnsi="Times New Roman"/>
          <w:sz w:val="24"/>
        </w:rPr>
        <w:t>(1980) 146 CLR 493 at 530.</w:t>
      </w:r>
    </w:p>
  </w:footnote>
  <w:footnote w:id="110">
    <w:p w14:paraId="4247992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(1977) 138 CLR 283 at 327-328. See also </w:t>
      </w:r>
      <w:r w:rsidRPr="00857FFC">
        <w:rPr>
          <w:rFonts w:ascii="Times New Roman" w:hAnsi="Times New Roman"/>
          <w:i/>
          <w:sz w:val="24"/>
        </w:rPr>
        <w:t>Tobacco Institute of Australia Ltd v Australian Federation of Consumer Organisations Inc</w:t>
      </w:r>
      <w:r w:rsidRPr="00857FFC">
        <w:rPr>
          <w:rFonts w:ascii="Times New Roman" w:hAnsi="Times New Roman"/>
          <w:sz w:val="24"/>
        </w:rPr>
        <w:t xml:space="preserve"> </w:t>
      </w:r>
      <w:r w:rsidRPr="00857FFC">
        <w:rPr>
          <w:rFonts w:ascii="Times New Roman" w:hAnsi="Times New Roman"/>
          <w:i/>
          <w:sz w:val="24"/>
        </w:rPr>
        <w:t>[No 2]</w:t>
      </w:r>
      <w:r w:rsidRPr="00857FFC">
        <w:rPr>
          <w:rFonts w:ascii="Times New Roman" w:hAnsi="Times New Roman"/>
          <w:sz w:val="24"/>
        </w:rPr>
        <w:t xml:space="preserve"> (1993) 41 FCR 89 at 110.</w:t>
      </w:r>
    </w:p>
  </w:footnote>
  <w:footnote w:id="111">
    <w:p w14:paraId="4FCB8D70"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(1981) 149 CLR 27 at 75, quoting </w:t>
      </w:r>
      <w:r w:rsidRPr="00857FFC">
        <w:rPr>
          <w:rFonts w:ascii="Times New Roman" w:hAnsi="Times New Roman"/>
          <w:i/>
          <w:sz w:val="24"/>
        </w:rPr>
        <w:t xml:space="preserve">Baker v Carr </w:t>
      </w:r>
      <w:r w:rsidRPr="00857FFC">
        <w:rPr>
          <w:rFonts w:ascii="Times New Roman" w:hAnsi="Times New Roman"/>
          <w:sz w:val="24"/>
        </w:rPr>
        <w:t xml:space="preserve">(1962) 369 US 186 at 204. See also </w:t>
      </w:r>
      <w:r w:rsidRPr="00857FFC">
        <w:rPr>
          <w:rFonts w:ascii="Times New Roman" w:hAnsi="Times New Roman"/>
          <w:i/>
          <w:sz w:val="24"/>
        </w:rPr>
        <w:t>Kuczborski v Queensland</w:t>
      </w:r>
      <w:r w:rsidRPr="00857FFC">
        <w:rPr>
          <w:rFonts w:ascii="Times New Roman" w:hAnsi="Times New Roman"/>
          <w:sz w:val="24"/>
        </w:rPr>
        <w:t xml:space="preserve"> (2014) 254 CLR 51 at 109 [184]-[186].</w:t>
      </w:r>
    </w:p>
  </w:footnote>
  <w:footnote w:id="112">
    <w:p w14:paraId="4EFDEFD5"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[1978] AC 435.</w:t>
      </w:r>
    </w:p>
  </w:footnote>
  <w:footnote w:id="113">
    <w:p w14:paraId="7EE698A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[1983] 2 AC 237.</w:t>
      </w:r>
    </w:p>
  </w:footnote>
  <w:footnote w:id="114">
    <w:p w14:paraId="6F7BAD3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Allison, </w:t>
      </w:r>
      <w:r w:rsidRPr="00857FFC">
        <w:rPr>
          <w:rFonts w:ascii="Times New Roman" w:hAnsi="Times New Roman"/>
          <w:i/>
          <w:sz w:val="24"/>
        </w:rPr>
        <w:t>A Continental Distinction in the Common Law: A Historical and Comparative Perspective on English Public Law</w:t>
      </w:r>
      <w:r w:rsidRPr="00857FFC">
        <w:rPr>
          <w:rFonts w:ascii="Times New Roman" w:hAnsi="Times New Roman"/>
          <w:sz w:val="24"/>
        </w:rPr>
        <w:t xml:space="preserve"> (2000) at 4-12, 23-26. See also Jolowicz, "Civil Proceedings in the Public Interest" (1982) 13 </w:t>
      </w:r>
      <w:r w:rsidRPr="00857FFC">
        <w:rPr>
          <w:rFonts w:ascii="Times New Roman" w:hAnsi="Times New Roman"/>
          <w:i/>
          <w:sz w:val="24"/>
        </w:rPr>
        <w:t>Cambrian Law Review</w:t>
      </w:r>
      <w:r w:rsidRPr="00857FFC">
        <w:rPr>
          <w:rFonts w:ascii="Times New Roman" w:hAnsi="Times New Roman"/>
          <w:sz w:val="24"/>
        </w:rPr>
        <w:t xml:space="preserve"> 32 at 39 footnote 43.</w:t>
      </w:r>
    </w:p>
  </w:footnote>
  <w:footnote w:id="115">
    <w:p w14:paraId="76B1E42F"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w:t>
      </w:r>
      <w:r w:rsidRPr="00857FFC">
        <w:rPr>
          <w:rFonts w:ascii="Times New Roman" w:hAnsi="Times New Roman"/>
          <w:i/>
          <w:sz w:val="24"/>
        </w:rPr>
        <w:t>Australian Broadcasting Corporation v Lenah Game Meats Pty Ltd</w:t>
      </w:r>
      <w:r w:rsidRPr="00857FFC">
        <w:rPr>
          <w:rFonts w:ascii="Times New Roman" w:hAnsi="Times New Roman"/>
          <w:sz w:val="24"/>
        </w:rPr>
        <w:t xml:space="preserve"> (2001) 208 CLR 199 at 226 [42]. </w:t>
      </w:r>
    </w:p>
  </w:footnote>
  <w:footnote w:id="116">
    <w:p w14:paraId="218BD5FD"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Sir Anthony Mason, "Foreword" (2013) 36 </w:t>
      </w:r>
      <w:r w:rsidRPr="00857FFC">
        <w:rPr>
          <w:rFonts w:ascii="Times New Roman" w:hAnsi="Times New Roman"/>
          <w:i/>
          <w:sz w:val="24"/>
        </w:rPr>
        <w:t>University of New South Wales Law Journal</w:t>
      </w:r>
      <w:r w:rsidRPr="00857FFC">
        <w:rPr>
          <w:rFonts w:ascii="Times New Roman" w:hAnsi="Times New Roman"/>
          <w:sz w:val="24"/>
        </w:rPr>
        <w:t xml:space="preserve"> 170 at 170.</w:t>
      </w:r>
    </w:p>
  </w:footnote>
  <w:footnote w:id="117">
    <w:p w14:paraId="0C9D0894"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(1998) 194 CLR 247 at 261-263 [35]-[38].</w:t>
      </w:r>
    </w:p>
  </w:footnote>
  <w:footnote w:id="118">
    <w:p w14:paraId="7F5EDC0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[1978] AC 435 at 481.</w:t>
      </w:r>
    </w:p>
  </w:footnote>
  <w:footnote w:id="119">
    <w:p w14:paraId="752CA0BB" w14:textId="77777777" w:rsidR="00744668" w:rsidRPr="00857FFC" w:rsidRDefault="00744668" w:rsidP="00857FFC">
      <w:pPr>
        <w:pStyle w:val="FootnoteText"/>
        <w:spacing w:line="280" w:lineRule="exact"/>
        <w:ind w:right="0"/>
        <w:jc w:val="both"/>
        <w:rPr>
          <w:rFonts w:ascii="Times New Roman" w:hAnsi="Times New Roman"/>
          <w:i/>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Tasmania v Victoria</w:t>
      </w:r>
      <w:r w:rsidRPr="00857FFC">
        <w:rPr>
          <w:rFonts w:ascii="Times New Roman" w:hAnsi="Times New Roman"/>
          <w:sz w:val="24"/>
        </w:rPr>
        <w:t xml:space="preserve"> (1935) 52 CLR 157 at 186.</w:t>
      </w:r>
    </w:p>
  </w:footnote>
  <w:footnote w:id="120">
    <w:p w14:paraId="4C1F272F"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See Hanlon, "The Modern First Law Officer in Australia", in Appleby, Keyzer and Williams (eds), </w:t>
      </w:r>
      <w:r w:rsidRPr="00857FFC">
        <w:rPr>
          <w:rFonts w:ascii="Times New Roman" w:hAnsi="Times New Roman"/>
          <w:i/>
          <w:sz w:val="24"/>
        </w:rPr>
        <w:t>Public Sentinels: A Comparative Study of Australian Solicitors-General</w:t>
      </w:r>
      <w:r w:rsidRPr="00857FFC">
        <w:rPr>
          <w:rFonts w:ascii="Times New Roman" w:hAnsi="Times New Roman"/>
          <w:sz w:val="24"/>
        </w:rPr>
        <w:t xml:space="preserve"> (2014) 119 at 126-131.</w:t>
      </w:r>
    </w:p>
  </w:footnote>
  <w:footnote w:id="121">
    <w:p w14:paraId="622F1CA6"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Kyriakides, "The Law Officers of the Crown and the Rule of Law in the United Kingdom", in Appleby, Keyzer and Williams (eds), </w:t>
      </w:r>
      <w:r w:rsidRPr="00857FFC">
        <w:rPr>
          <w:rFonts w:ascii="Times New Roman" w:hAnsi="Times New Roman"/>
          <w:i/>
          <w:sz w:val="24"/>
        </w:rPr>
        <w:t>Public Sentinels: A Comparative Study of Australian Solicitors-General</w:t>
      </w:r>
      <w:r w:rsidRPr="00857FFC">
        <w:rPr>
          <w:rFonts w:ascii="Times New Roman" w:hAnsi="Times New Roman"/>
          <w:sz w:val="24"/>
        </w:rPr>
        <w:t xml:space="preserve"> (2014) 185 at 196.</w:t>
      </w:r>
    </w:p>
  </w:footnote>
  <w:footnote w:id="122">
    <w:p w14:paraId="446AFFB2"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Re Suncorp Insurance and Finance</w:t>
      </w:r>
      <w:r w:rsidRPr="00857FFC">
        <w:rPr>
          <w:rFonts w:ascii="Times New Roman" w:hAnsi="Times New Roman"/>
          <w:sz w:val="24"/>
        </w:rPr>
        <w:t xml:space="preserve"> [1991] 2 Qd R 704 at 711.</w:t>
      </w:r>
    </w:p>
  </w:footnote>
  <w:footnote w:id="123">
    <w:p w14:paraId="57E01F03"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Re McBain; Ex parte Australian Catholic Bishops Conference</w:t>
      </w:r>
      <w:r w:rsidRPr="00857FFC">
        <w:rPr>
          <w:rFonts w:ascii="Times New Roman" w:hAnsi="Times New Roman"/>
          <w:sz w:val="24"/>
        </w:rPr>
        <w:t xml:space="preserve"> (2002) 209 CLR 372 at 402-403 [53], 473-474 [287].</w:t>
      </w:r>
    </w:p>
  </w:footnote>
  <w:footnote w:id="124">
    <w:p w14:paraId="4C129DA4"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(1998) 194 CLR 247 at 262-263 [38].</w:t>
      </w:r>
    </w:p>
  </w:footnote>
  <w:footnote w:id="125">
    <w:p w14:paraId="01367778"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(1998) 194 CLR 247 at 267 [50].</w:t>
      </w:r>
    </w:p>
  </w:footnote>
  <w:footnote w:id="126">
    <w:p w14:paraId="2191F6BC"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 xml:space="preserve">cf </w:t>
      </w:r>
      <w:r w:rsidRPr="00857FFC">
        <w:rPr>
          <w:rFonts w:ascii="Times New Roman" w:hAnsi="Times New Roman"/>
          <w:i/>
          <w:sz w:val="24"/>
        </w:rPr>
        <w:t xml:space="preserve">Onus v Alcoa of Australia Ltd </w:t>
      </w:r>
      <w:r w:rsidRPr="00857FFC">
        <w:rPr>
          <w:rFonts w:ascii="Times New Roman" w:hAnsi="Times New Roman"/>
          <w:sz w:val="24"/>
        </w:rPr>
        <w:t>(1981) 149 CLR 27 at 73.</w:t>
      </w:r>
    </w:p>
  </w:footnote>
  <w:footnote w:id="127">
    <w:p w14:paraId="77B3505A"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The Commonwealth v John Fairfax &amp; Sons Ltd</w:t>
      </w:r>
      <w:r w:rsidRPr="00857FFC">
        <w:rPr>
          <w:rFonts w:ascii="Times New Roman" w:hAnsi="Times New Roman"/>
          <w:sz w:val="24"/>
        </w:rPr>
        <w:t xml:space="preserve"> (1980) 147 CLR 39 at 51.</w:t>
      </w:r>
    </w:p>
  </w:footnote>
  <w:footnote w:id="128">
    <w:p w14:paraId="351E9208"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(2016) 259 CLR 339 at 371 [96].</w:t>
      </w:r>
    </w:p>
  </w:footnote>
  <w:footnote w:id="129">
    <w:p w14:paraId="70D50C67"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 xml:space="preserve">Meadows Indemnity Co Ltd v Insurance Corporation of Ireland Plc </w:t>
      </w:r>
      <w:r w:rsidRPr="00857FFC">
        <w:rPr>
          <w:rFonts w:ascii="Times New Roman" w:hAnsi="Times New Roman"/>
          <w:sz w:val="24"/>
        </w:rPr>
        <w:t>[1989] 2 Lloyd's Rep 298 at 309.</w:t>
      </w:r>
    </w:p>
  </w:footnote>
  <w:footnote w:id="130">
    <w:p w14:paraId="3849C0E8"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(1996) 68 FCR 406.</w:t>
      </w:r>
    </w:p>
  </w:footnote>
  <w:footnote w:id="131">
    <w:p w14:paraId="007A56EE"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(2016) 259 CLR 339 at 373 [102].</w:t>
      </w:r>
    </w:p>
  </w:footnote>
  <w:footnote w:id="132">
    <w:p w14:paraId="7065A959"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(2011) 242 CLR 421 at 436 [38].</w:t>
      </w:r>
    </w:p>
  </w:footnote>
  <w:footnote w:id="133">
    <w:p w14:paraId="071EA0B7"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(1996) 68 FCR 406 at 415.</w:t>
      </w:r>
    </w:p>
  </w:footnote>
  <w:footnote w:id="134">
    <w:p w14:paraId="3D08425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t>Competition Principles Agreement, 11 April 1995, cl 3(1).</w:t>
      </w:r>
    </w:p>
  </w:footnote>
  <w:footnote w:id="135">
    <w:p w14:paraId="00E6678B" w14:textId="77777777" w:rsidR="00744668" w:rsidRPr="00857FFC" w:rsidRDefault="00744668" w:rsidP="00857FFC">
      <w:pPr>
        <w:pStyle w:val="FootnoteText"/>
        <w:spacing w:line="280" w:lineRule="exact"/>
        <w:ind w:right="0"/>
        <w:jc w:val="both"/>
        <w:rPr>
          <w:rFonts w:ascii="Times New Roman" w:hAnsi="Times New Roman"/>
          <w:sz w:val="24"/>
        </w:rPr>
      </w:pPr>
      <w:r w:rsidRPr="00857FFC">
        <w:rPr>
          <w:rStyle w:val="FootnoteReference"/>
          <w:rFonts w:ascii="Times New Roman" w:hAnsi="Times New Roman"/>
          <w:sz w:val="22"/>
          <w:vertAlign w:val="baseline"/>
        </w:rPr>
        <w:footnoteRef/>
      </w:r>
      <w:r w:rsidRPr="00857FFC">
        <w:rPr>
          <w:rFonts w:ascii="Times New Roman" w:hAnsi="Times New Roman"/>
          <w:sz w:val="24"/>
        </w:rPr>
        <w:t xml:space="preserve"> </w:t>
      </w:r>
      <w:r w:rsidRPr="00857FFC">
        <w:rPr>
          <w:rFonts w:ascii="Times New Roman" w:hAnsi="Times New Roman"/>
          <w:sz w:val="24"/>
        </w:rPr>
        <w:tab/>
      </w:r>
      <w:r w:rsidRPr="00857FFC">
        <w:rPr>
          <w:rFonts w:ascii="Times New Roman" w:hAnsi="Times New Roman"/>
          <w:i/>
          <w:sz w:val="24"/>
        </w:rPr>
        <w:t>Rediffusion</w:t>
      </w:r>
      <w:r w:rsidRPr="00857FFC">
        <w:rPr>
          <w:rFonts w:ascii="Times New Roman" w:hAnsi="Times New Roman"/>
          <w:sz w:val="24"/>
        </w:rPr>
        <w:t xml:space="preserve"> </w:t>
      </w:r>
      <w:r w:rsidRPr="00857FFC">
        <w:rPr>
          <w:rFonts w:ascii="Times New Roman" w:hAnsi="Times New Roman"/>
          <w:i/>
          <w:iCs/>
          <w:sz w:val="24"/>
        </w:rPr>
        <w:t xml:space="preserve">(Hong Kong) </w:t>
      </w:r>
      <w:r w:rsidRPr="00857FFC">
        <w:rPr>
          <w:rFonts w:ascii="Times New Roman" w:hAnsi="Times New Roman"/>
          <w:i/>
          <w:sz w:val="24"/>
        </w:rPr>
        <w:t>Ltd v Attorney-General of Hong Kong</w:t>
      </w:r>
      <w:r w:rsidRPr="00857FFC">
        <w:rPr>
          <w:rFonts w:ascii="Times New Roman" w:hAnsi="Times New Roman"/>
          <w:sz w:val="24"/>
        </w:rPr>
        <w:t xml:space="preserve"> [1970] AC 1136 at 1155, quoted in </w:t>
      </w:r>
      <w:r w:rsidRPr="00857FFC">
        <w:rPr>
          <w:rFonts w:ascii="Times New Roman" w:hAnsi="Times New Roman"/>
          <w:i/>
          <w:sz w:val="24"/>
        </w:rPr>
        <w:t>Johnco Nominees Pty Ltd v Albury-Wodonga</w:t>
      </w:r>
      <w:r w:rsidRPr="00857FFC">
        <w:rPr>
          <w:rFonts w:ascii="Times New Roman" w:hAnsi="Times New Roman"/>
          <w:sz w:val="24"/>
        </w:rPr>
        <w:t xml:space="preserve"> </w:t>
      </w:r>
      <w:r w:rsidRPr="00857FFC">
        <w:rPr>
          <w:rFonts w:ascii="Times New Roman" w:hAnsi="Times New Roman"/>
          <w:i/>
          <w:sz w:val="24"/>
        </w:rPr>
        <w:t>(New South Wales)</w:t>
      </w:r>
      <w:r w:rsidRPr="00857FFC">
        <w:rPr>
          <w:rFonts w:ascii="Times New Roman" w:hAnsi="Times New Roman"/>
          <w:sz w:val="24"/>
        </w:rPr>
        <w:t xml:space="preserve"> </w:t>
      </w:r>
      <w:r w:rsidRPr="00857FFC">
        <w:rPr>
          <w:rFonts w:ascii="Times New Roman" w:hAnsi="Times New Roman"/>
          <w:i/>
          <w:sz w:val="24"/>
        </w:rPr>
        <w:t>Corporation</w:t>
      </w:r>
      <w:r w:rsidRPr="00857FFC">
        <w:rPr>
          <w:rFonts w:ascii="Times New Roman" w:hAnsi="Times New Roman"/>
          <w:sz w:val="24"/>
        </w:rPr>
        <w:t xml:space="preserve"> [1977] 1 NSWLR 43 at 55-56.</w:t>
      </w:r>
    </w:p>
  </w:footnote>
  <w:footnote w:id="136">
    <w:p w14:paraId="1ECC72A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w:t>
      </w:r>
      <w:r w:rsidRPr="00EA38BE">
        <w:rPr>
          <w:rFonts w:ascii="Times New Roman" w:hAnsi="Times New Roman"/>
          <w:i/>
          <w:iCs/>
          <w:sz w:val="24"/>
        </w:rPr>
        <w:t xml:space="preserve">Port of Melbourne Authority v Anshun Pty Ltd </w:t>
      </w:r>
      <w:r w:rsidRPr="00EA38BE">
        <w:rPr>
          <w:rFonts w:ascii="Times New Roman" w:hAnsi="Times New Roman"/>
          <w:sz w:val="24"/>
        </w:rPr>
        <w:t>(1981) 147 CLR 589 at 611.</w:t>
      </w:r>
    </w:p>
  </w:footnote>
  <w:footnote w:id="137">
    <w:p w14:paraId="245614D5"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In re Judiciary and Navigation Acts</w:t>
      </w:r>
      <w:r w:rsidRPr="00EA38BE">
        <w:rPr>
          <w:rFonts w:ascii="Times New Roman" w:hAnsi="Times New Roman"/>
          <w:iCs/>
          <w:sz w:val="24"/>
        </w:rPr>
        <w:t xml:space="preserve"> </w:t>
      </w:r>
      <w:r w:rsidRPr="00EA38BE">
        <w:rPr>
          <w:rFonts w:ascii="Times New Roman" w:hAnsi="Times New Roman"/>
          <w:sz w:val="24"/>
        </w:rPr>
        <w:t xml:space="preserve">(1921) 29 CLR 257 at 265. See also </w:t>
      </w:r>
      <w:r w:rsidRPr="00EA38BE">
        <w:rPr>
          <w:rFonts w:ascii="Times New Roman" w:hAnsi="Times New Roman"/>
          <w:i/>
          <w:sz w:val="24"/>
        </w:rPr>
        <w:t>CGU Insurance Ltd v Blakeley</w:t>
      </w:r>
      <w:r w:rsidRPr="00EA38BE">
        <w:rPr>
          <w:rFonts w:ascii="Times New Roman" w:hAnsi="Times New Roman"/>
          <w:sz w:val="24"/>
        </w:rPr>
        <w:t xml:space="preserve"> (2016) 259 CLR 339 at 368 [85]. </w:t>
      </w:r>
    </w:p>
  </w:footnote>
  <w:footnote w:id="138">
    <w:p w14:paraId="1569F0E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Bateman's Bay Local Aboriginal Land Council v Aboriginal Community Benefit Fund Pty Ltd </w:t>
      </w:r>
      <w:r w:rsidRPr="00EA38BE">
        <w:rPr>
          <w:rFonts w:ascii="Times New Roman" w:hAnsi="Times New Roman"/>
          <w:sz w:val="24"/>
        </w:rPr>
        <w:t xml:space="preserve">(1998) 194 CLR 247 at 262 [37]; </w:t>
      </w:r>
      <w:r w:rsidRPr="00EA38BE">
        <w:rPr>
          <w:rFonts w:ascii="Times New Roman" w:hAnsi="Times New Roman"/>
          <w:i/>
          <w:sz w:val="24"/>
        </w:rPr>
        <w:t>Pape v Federal Commissioner of Taxation</w:t>
      </w:r>
      <w:r w:rsidRPr="00EA38BE">
        <w:rPr>
          <w:rFonts w:ascii="Times New Roman" w:hAnsi="Times New Roman"/>
          <w:sz w:val="24"/>
        </w:rPr>
        <w:t xml:space="preserve"> (2009) 238 CLR 1 at 68 [152]. See also </w:t>
      </w:r>
      <w:r w:rsidRPr="00EA38BE">
        <w:rPr>
          <w:rFonts w:ascii="Times New Roman" w:hAnsi="Times New Roman"/>
          <w:i/>
          <w:sz w:val="24"/>
        </w:rPr>
        <w:t>Australian Conservation Foundation v The Commonwealth</w:t>
      </w:r>
      <w:r w:rsidRPr="00EA38BE">
        <w:rPr>
          <w:rFonts w:ascii="Times New Roman" w:hAnsi="Times New Roman"/>
          <w:sz w:val="24"/>
        </w:rPr>
        <w:t xml:space="preserve"> (1980) 146 CLR 493 at 550</w:t>
      </w:r>
      <w:r w:rsidRPr="00EA38BE">
        <w:rPr>
          <w:rFonts w:ascii="Times New Roman" w:hAnsi="Times New Roman"/>
          <w:sz w:val="24"/>
        </w:rPr>
        <w:noBreakHyphen/>
        <w:t xml:space="preserve">551; </w:t>
      </w:r>
      <w:r w:rsidRPr="00EA38BE">
        <w:rPr>
          <w:rFonts w:ascii="Times New Roman" w:hAnsi="Times New Roman"/>
          <w:i/>
          <w:iCs/>
          <w:sz w:val="24"/>
        </w:rPr>
        <w:t xml:space="preserve">Croome v Tasmania </w:t>
      </w:r>
      <w:r w:rsidRPr="00EA38BE">
        <w:rPr>
          <w:rFonts w:ascii="Times New Roman" w:hAnsi="Times New Roman"/>
          <w:sz w:val="24"/>
        </w:rPr>
        <w:t>(1997) 191 CLR 119 at 124</w:t>
      </w:r>
      <w:r w:rsidRPr="00EA38BE">
        <w:rPr>
          <w:rFonts w:ascii="Times New Roman" w:hAnsi="Times New Roman"/>
          <w:sz w:val="24"/>
        </w:rPr>
        <w:noBreakHyphen/>
        <w:t>126, 132</w:t>
      </w:r>
      <w:r w:rsidRPr="00EA38BE">
        <w:rPr>
          <w:rFonts w:ascii="Times New Roman" w:hAnsi="Times New Roman"/>
          <w:sz w:val="24"/>
        </w:rPr>
        <w:noBreakHyphen/>
        <w:t xml:space="preserve">136; </w:t>
      </w:r>
      <w:r w:rsidRPr="00EA38BE">
        <w:rPr>
          <w:rFonts w:ascii="Times New Roman" w:hAnsi="Times New Roman"/>
          <w:i/>
          <w:sz w:val="24"/>
        </w:rPr>
        <w:t xml:space="preserve">Truth About Motorways Pty Ltd v Macquarie Infrastructure Investment Management Ltd </w:t>
      </w:r>
      <w:r w:rsidRPr="00EA38BE">
        <w:rPr>
          <w:rFonts w:ascii="Times New Roman" w:hAnsi="Times New Roman"/>
          <w:sz w:val="24"/>
        </w:rPr>
        <w:t>(2000) 200 CLR 591 at 610</w:t>
      </w:r>
      <w:r w:rsidRPr="00EA38BE">
        <w:rPr>
          <w:rFonts w:ascii="Times New Roman" w:hAnsi="Times New Roman"/>
          <w:sz w:val="24"/>
        </w:rPr>
        <w:noBreakHyphen/>
        <w:t>613 [42]</w:t>
      </w:r>
      <w:r w:rsidRPr="00EA38BE">
        <w:rPr>
          <w:rFonts w:ascii="Times New Roman" w:hAnsi="Times New Roman"/>
          <w:sz w:val="24"/>
        </w:rPr>
        <w:noBreakHyphen/>
        <w:t>[50], 629</w:t>
      </w:r>
      <w:r w:rsidRPr="00EA38BE">
        <w:rPr>
          <w:rFonts w:ascii="Times New Roman" w:hAnsi="Times New Roman"/>
          <w:sz w:val="24"/>
        </w:rPr>
        <w:noBreakHyphen/>
        <w:t>633 [101]</w:t>
      </w:r>
      <w:r w:rsidRPr="00EA38BE">
        <w:rPr>
          <w:rFonts w:ascii="Times New Roman" w:hAnsi="Times New Roman"/>
          <w:sz w:val="24"/>
        </w:rPr>
        <w:noBreakHyphen/>
        <w:t>[109], 659</w:t>
      </w:r>
      <w:r w:rsidRPr="00EA38BE">
        <w:rPr>
          <w:rFonts w:ascii="Times New Roman" w:hAnsi="Times New Roman"/>
          <w:sz w:val="24"/>
        </w:rPr>
        <w:noBreakHyphen/>
        <w:t>660 [177]</w:t>
      </w:r>
      <w:r w:rsidRPr="00EA38BE">
        <w:rPr>
          <w:rFonts w:ascii="Times New Roman" w:hAnsi="Times New Roman"/>
          <w:sz w:val="24"/>
        </w:rPr>
        <w:noBreakHyphen/>
        <w:t>[179].</w:t>
      </w:r>
    </w:p>
  </w:footnote>
  <w:footnote w:id="139">
    <w:p w14:paraId="1C4BB4FC" w14:textId="77777777" w:rsidR="00744668" w:rsidRPr="00EA38BE" w:rsidRDefault="00744668" w:rsidP="00EA38BE">
      <w:pPr>
        <w:pStyle w:val="FootnoteText"/>
        <w:spacing w:line="280" w:lineRule="exact"/>
        <w:ind w:right="0"/>
        <w:jc w:val="both"/>
        <w:rPr>
          <w:rFonts w:ascii="Times New Roman" w:hAnsi="Times New Roman"/>
          <w:i/>
          <w:iCs/>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w:t>
      </w:r>
      <w:r w:rsidRPr="00EA38BE">
        <w:rPr>
          <w:rFonts w:ascii="Times New Roman" w:hAnsi="Times New Roman"/>
          <w:i/>
          <w:iCs/>
          <w:sz w:val="24"/>
        </w:rPr>
        <w:t xml:space="preserve">Shevill v Builders Licensing Board </w:t>
      </w:r>
      <w:r w:rsidRPr="00EA38BE">
        <w:rPr>
          <w:rFonts w:ascii="Times New Roman" w:hAnsi="Times New Roman"/>
          <w:sz w:val="24"/>
        </w:rPr>
        <w:t xml:space="preserve">(1982) 149 CLR 620 at 625; </w:t>
      </w:r>
      <w:r w:rsidRPr="00EA38BE">
        <w:rPr>
          <w:rFonts w:ascii="Times New Roman" w:hAnsi="Times New Roman"/>
          <w:i/>
          <w:sz w:val="24"/>
        </w:rPr>
        <w:t>Progressive Mailing House Pty Ltd v Tabali Pty Ltd</w:t>
      </w:r>
      <w:r w:rsidRPr="00EA38BE">
        <w:rPr>
          <w:rFonts w:ascii="Times New Roman" w:hAnsi="Times New Roman"/>
          <w:sz w:val="24"/>
        </w:rPr>
        <w:t xml:space="preserve"> (1985) 157 CLR 17 at 29</w:t>
      </w:r>
      <w:r w:rsidRPr="00EA38BE">
        <w:rPr>
          <w:rFonts w:ascii="Times New Roman" w:hAnsi="Times New Roman"/>
          <w:sz w:val="24"/>
        </w:rPr>
        <w:noBreakHyphen/>
        <w:t>30.</w:t>
      </w:r>
    </w:p>
  </w:footnote>
  <w:footnote w:id="140">
    <w:p w14:paraId="1F6AE853"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15 &amp; 16 Vict c 86, s 50.</w:t>
      </w:r>
    </w:p>
  </w:footnote>
  <w:footnote w:id="141">
    <w:p w14:paraId="635F7FE5" w14:textId="77777777" w:rsidR="00744668" w:rsidRPr="00EA38BE" w:rsidRDefault="00744668" w:rsidP="00EA38BE">
      <w:pPr>
        <w:pStyle w:val="FootnoteText"/>
        <w:spacing w:line="280" w:lineRule="exact"/>
        <w:ind w:right="0"/>
        <w:jc w:val="both"/>
        <w:rPr>
          <w:rFonts w:ascii="Times New Roman" w:hAnsi="Times New Roman"/>
          <w:iCs/>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Federal Court of Australia Act 1976</w:t>
      </w:r>
      <w:r w:rsidRPr="00EA38BE">
        <w:rPr>
          <w:rFonts w:ascii="Times New Roman" w:hAnsi="Times New Roman"/>
          <w:sz w:val="24"/>
        </w:rPr>
        <w:t> </w:t>
      </w:r>
      <w:r w:rsidRPr="00EA38BE">
        <w:rPr>
          <w:rFonts w:ascii="Times New Roman" w:hAnsi="Times New Roman"/>
          <w:iCs/>
          <w:sz w:val="24"/>
        </w:rPr>
        <w:t>(Cth), s 21(1).</w:t>
      </w:r>
    </w:p>
  </w:footnote>
  <w:footnote w:id="142">
    <w:p w14:paraId="61BA5E2D"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Gouriet v Union of Post Office Workers </w:t>
      </w:r>
      <w:r w:rsidRPr="00EA38BE">
        <w:rPr>
          <w:rFonts w:ascii="Times New Roman" w:hAnsi="Times New Roman"/>
          <w:sz w:val="24"/>
        </w:rPr>
        <w:t>[1978] AC 435 at 482.</w:t>
      </w:r>
    </w:p>
  </w:footnote>
  <w:footnote w:id="143">
    <w:p w14:paraId="45BBCEB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Borchard, </w:t>
      </w:r>
      <w:r w:rsidRPr="00EA38BE">
        <w:rPr>
          <w:rFonts w:ascii="Times New Roman" w:hAnsi="Times New Roman"/>
          <w:i/>
          <w:iCs/>
          <w:sz w:val="24"/>
        </w:rPr>
        <w:t>Declaratory Judgments</w:t>
      </w:r>
      <w:r w:rsidRPr="00EA38BE">
        <w:rPr>
          <w:rFonts w:ascii="Times New Roman" w:hAnsi="Times New Roman"/>
          <w:sz w:val="24"/>
        </w:rPr>
        <w:t xml:space="preserve">, 2nd ed (1941) at 212. See also </w:t>
      </w:r>
      <w:r w:rsidRPr="00EA38BE">
        <w:rPr>
          <w:rFonts w:ascii="Times New Roman" w:hAnsi="Times New Roman"/>
          <w:i/>
          <w:iCs/>
          <w:sz w:val="24"/>
        </w:rPr>
        <w:t xml:space="preserve">Sankey v Whitlam </w:t>
      </w:r>
      <w:r w:rsidRPr="00EA38BE">
        <w:rPr>
          <w:rFonts w:ascii="Times New Roman" w:hAnsi="Times New Roman"/>
          <w:sz w:val="24"/>
        </w:rPr>
        <w:t>(1978) 142 CLR 1 at 23.</w:t>
      </w:r>
    </w:p>
  </w:footnote>
  <w:footnote w:id="144">
    <w:p w14:paraId="50F74C87"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Borchard, </w:t>
      </w:r>
      <w:r w:rsidRPr="00EA38BE">
        <w:rPr>
          <w:rFonts w:ascii="Times New Roman" w:hAnsi="Times New Roman"/>
          <w:i/>
          <w:iCs/>
          <w:sz w:val="24"/>
        </w:rPr>
        <w:t>Declaratory Judgments</w:t>
      </w:r>
      <w:r w:rsidRPr="00EA38BE">
        <w:rPr>
          <w:rFonts w:ascii="Times New Roman" w:hAnsi="Times New Roman"/>
          <w:sz w:val="24"/>
        </w:rPr>
        <w:t>, 2nd ed (1941) at 928.</w:t>
      </w:r>
    </w:p>
  </w:footnote>
  <w:footnote w:id="145">
    <w:p w14:paraId="3A3FBA6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Ainsworth v Criminal Justice Commission </w:t>
      </w:r>
      <w:r w:rsidRPr="00EA38BE">
        <w:rPr>
          <w:rFonts w:ascii="Times New Roman" w:hAnsi="Times New Roman"/>
          <w:sz w:val="24"/>
        </w:rPr>
        <w:t>(1992) 175 CLR 564 at 581</w:t>
      </w:r>
      <w:r w:rsidRPr="00EA38BE">
        <w:rPr>
          <w:rFonts w:ascii="Times New Roman" w:hAnsi="Times New Roman"/>
          <w:sz w:val="24"/>
        </w:rPr>
        <w:noBreakHyphen/>
        <w:t>582.</w:t>
      </w:r>
    </w:p>
  </w:footnote>
  <w:footnote w:id="146">
    <w:p w14:paraId="39DEAF5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Unity Insurance Brokers Pty Ltd v Rocco Pezzano Pty Ltd </w:t>
      </w:r>
      <w:r w:rsidRPr="00EA38BE">
        <w:rPr>
          <w:rFonts w:ascii="Times New Roman" w:hAnsi="Times New Roman"/>
          <w:sz w:val="24"/>
        </w:rPr>
        <w:t>(1998) 192 CLR 603 at 623 [55].</w:t>
      </w:r>
    </w:p>
  </w:footnote>
  <w:footnote w:id="147">
    <w:p w14:paraId="2EF9D06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bookmarkStart w:id="2" w:name="_Hlk87517587"/>
      <w:bookmarkStart w:id="3" w:name="_Hlk87517596"/>
      <w:r w:rsidRPr="00EA38BE">
        <w:rPr>
          <w:rFonts w:ascii="Times New Roman" w:hAnsi="Times New Roman"/>
          <w:i/>
          <w:iCs/>
          <w:sz w:val="24"/>
        </w:rPr>
        <w:t>Stockport District Waterworks Co v Mayor &amp;c of Manchester</w:t>
      </w:r>
      <w:bookmarkEnd w:id="2"/>
      <w:r w:rsidRPr="00EA38BE">
        <w:rPr>
          <w:rFonts w:ascii="Times New Roman" w:hAnsi="Times New Roman"/>
          <w:sz w:val="24"/>
        </w:rPr>
        <w:t xml:space="preserve"> (1862) 7 LT 545 at 548</w:t>
      </w:r>
      <w:bookmarkEnd w:id="3"/>
      <w:r w:rsidRPr="00EA38BE">
        <w:rPr>
          <w:rFonts w:ascii="Times New Roman" w:hAnsi="Times New Roman"/>
          <w:sz w:val="24"/>
        </w:rPr>
        <w:t xml:space="preserve">; </w:t>
      </w:r>
      <w:r w:rsidRPr="00EA38BE">
        <w:rPr>
          <w:rFonts w:ascii="Times New Roman" w:hAnsi="Times New Roman"/>
          <w:i/>
          <w:iCs/>
          <w:sz w:val="24"/>
        </w:rPr>
        <w:t xml:space="preserve">London Passenger Transport Board v Moscrop </w:t>
      </w:r>
      <w:r w:rsidRPr="00EA38BE">
        <w:rPr>
          <w:rFonts w:ascii="Times New Roman" w:hAnsi="Times New Roman"/>
          <w:sz w:val="24"/>
        </w:rPr>
        <w:t xml:space="preserve">[1942] AC 332 at 344. </w:t>
      </w:r>
    </w:p>
  </w:footnote>
  <w:footnote w:id="148">
    <w:p w14:paraId="40BE09C4"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 xml:space="preserve">Wilson v Darling Island Stevedoring and Lighterage Co Ltd </w:t>
      </w:r>
      <w:r w:rsidRPr="00EA38BE">
        <w:rPr>
          <w:rFonts w:ascii="Times New Roman" w:hAnsi="Times New Roman"/>
          <w:sz w:val="24"/>
        </w:rPr>
        <w:t>(1956) 95 CLR 43 at 67.</w:t>
      </w:r>
    </w:p>
  </w:footnote>
  <w:footnote w:id="149">
    <w:p w14:paraId="55897D11"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Australian Conservation Foundation v The Commonwealth</w:t>
      </w:r>
      <w:r w:rsidRPr="00EA38BE">
        <w:rPr>
          <w:rFonts w:ascii="Times New Roman" w:hAnsi="Times New Roman"/>
          <w:sz w:val="24"/>
        </w:rPr>
        <w:t xml:space="preserve"> (1980) 146 CLR 493 at 526; </w:t>
      </w:r>
      <w:r w:rsidRPr="00EA38BE">
        <w:rPr>
          <w:rFonts w:ascii="Times New Roman" w:hAnsi="Times New Roman"/>
          <w:i/>
          <w:iCs/>
          <w:sz w:val="24"/>
        </w:rPr>
        <w:t>Bateman's Bay Local Aboriginal Land Council v Aboriginal Community Benefit Fund Pty Ltd</w:t>
      </w:r>
      <w:r w:rsidRPr="00EA38BE">
        <w:rPr>
          <w:rFonts w:ascii="Times New Roman" w:hAnsi="Times New Roman"/>
          <w:sz w:val="24"/>
        </w:rPr>
        <w:t xml:space="preserve"> (1998) 194 CLR 247 at 276 [82]. See also </w:t>
      </w:r>
      <w:r w:rsidRPr="00EA38BE">
        <w:rPr>
          <w:rFonts w:ascii="Times New Roman" w:hAnsi="Times New Roman"/>
          <w:i/>
          <w:iCs/>
          <w:sz w:val="24"/>
        </w:rPr>
        <w:t>Taylor v Attorney</w:t>
      </w:r>
      <w:r w:rsidRPr="00EA38BE">
        <w:rPr>
          <w:rFonts w:ascii="Times New Roman" w:hAnsi="Times New Roman"/>
          <w:i/>
          <w:iCs/>
          <w:sz w:val="24"/>
        </w:rPr>
        <w:noBreakHyphen/>
        <w:t xml:space="preserve">General </w:t>
      </w:r>
      <w:r w:rsidRPr="00EA38BE">
        <w:rPr>
          <w:rFonts w:ascii="Times New Roman" w:hAnsi="Times New Roman"/>
          <w:i/>
          <w:sz w:val="24"/>
        </w:rPr>
        <w:t>(</w:t>
      </w:r>
      <w:r w:rsidRPr="00EA38BE">
        <w:rPr>
          <w:rFonts w:ascii="Times New Roman" w:hAnsi="Times New Roman"/>
          <w:i/>
          <w:iCs/>
          <w:sz w:val="24"/>
        </w:rPr>
        <w:t>Cth)</w:t>
      </w:r>
      <w:r w:rsidRPr="00EA38BE">
        <w:rPr>
          <w:rFonts w:ascii="Times New Roman" w:hAnsi="Times New Roman"/>
          <w:iCs/>
          <w:sz w:val="24"/>
        </w:rPr>
        <w:t xml:space="preserve"> </w:t>
      </w:r>
      <w:r w:rsidRPr="00EA38BE">
        <w:rPr>
          <w:rFonts w:ascii="Times New Roman" w:hAnsi="Times New Roman"/>
          <w:sz w:val="24"/>
        </w:rPr>
        <w:t>(2019) 268 CLR 224 at 266 [113].</w:t>
      </w:r>
    </w:p>
  </w:footnote>
  <w:footnote w:id="150">
    <w:p w14:paraId="168FDF5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 xml:space="preserve">Liston v Davies </w:t>
      </w:r>
      <w:r w:rsidRPr="00EA38BE">
        <w:rPr>
          <w:rFonts w:ascii="Times New Roman" w:hAnsi="Times New Roman"/>
          <w:sz w:val="24"/>
        </w:rPr>
        <w:t>(1937) 57 CLR 424 at 442.</w:t>
      </w:r>
    </w:p>
  </w:footnote>
  <w:footnote w:id="151">
    <w:p w14:paraId="287841E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Attorney-General for NSW v Brewery Employe</w:t>
      </w:r>
      <w:r w:rsidRPr="00EA38BE">
        <w:rPr>
          <w:rFonts w:ascii="Times New Roman" w:hAnsi="Times New Roman"/>
          <w:i/>
          <w:sz w:val="24"/>
        </w:rPr>
        <w:t>s</w:t>
      </w:r>
      <w:r w:rsidRPr="00EA38BE">
        <w:rPr>
          <w:rFonts w:ascii="Times New Roman" w:hAnsi="Times New Roman"/>
          <w:i/>
          <w:iCs/>
          <w:sz w:val="24"/>
        </w:rPr>
        <w:t xml:space="preserve"> Union of NSW</w:t>
      </w:r>
      <w:r w:rsidRPr="00EA38BE">
        <w:rPr>
          <w:rFonts w:ascii="Times New Roman" w:hAnsi="Times New Roman"/>
          <w:sz w:val="24"/>
        </w:rPr>
        <w:t xml:space="preserve"> (1908) 6 CLR 469 at 597.</w:t>
      </w:r>
    </w:p>
  </w:footnote>
  <w:footnote w:id="152">
    <w:p w14:paraId="2886372E"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(1932) 47 CLR 50. See also </w:t>
      </w:r>
      <w:r w:rsidRPr="00EA38BE">
        <w:rPr>
          <w:rFonts w:ascii="Times New Roman" w:hAnsi="Times New Roman"/>
          <w:i/>
          <w:sz w:val="24"/>
        </w:rPr>
        <w:t xml:space="preserve">Ramsay v Aberfoyle Manufacturing Co (Australia) Pty Ltd </w:t>
      </w:r>
      <w:r w:rsidRPr="00EA38BE">
        <w:rPr>
          <w:rFonts w:ascii="Times New Roman" w:hAnsi="Times New Roman"/>
          <w:sz w:val="24"/>
        </w:rPr>
        <w:t xml:space="preserve">(1935) 54 CLR 230 at 254, 261. </w:t>
      </w:r>
    </w:p>
  </w:footnote>
  <w:footnote w:id="153">
    <w:p w14:paraId="3FFFB2E2"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(1932) 47 CLR 50 at 52.</w:t>
      </w:r>
    </w:p>
  </w:footnote>
  <w:footnote w:id="154">
    <w:p w14:paraId="4F7E5367"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Robinson v Western Australian Museum </w:t>
      </w:r>
      <w:r w:rsidRPr="00EA38BE">
        <w:rPr>
          <w:rFonts w:ascii="Times New Roman" w:hAnsi="Times New Roman"/>
          <w:sz w:val="24"/>
        </w:rPr>
        <w:t>(1977) 138 CLR 283</w:t>
      </w:r>
      <w:r w:rsidRPr="00EA38BE">
        <w:rPr>
          <w:rFonts w:ascii="Times New Roman" w:hAnsi="Times New Roman"/>
          <w:i/>
          <w:iCs/>
          <w:sz w:val="24"/>
        </w:rPr>
        <w:t xml:space="preserve"> </w:t>
      </w:r>
      <w:r w:rsidRPr="00EA38BE">
        <w:rPr>
          <w:rFonts w:ascii="Times New Roman" w:hAnsi="Times New Roman"/>
          <w:sz w:val="24"/>
        </w:rPr>
        <w:t>at 327. See also the cases discussed in the following paragraphs of these reasons</w:t>
      </w:r>
      <w:r w:rsidRPr="00EA38BE">
        <w:rPr>
          <w:rFonts w:ascii="Times New Roman" w:hAnsi="Times New Roman"/>
          <w:i/>
          <w:iCs/>
          <w:sz w:val="24"/>
        </w:rPr>
        <w:t xml:space="preserve"> </w:t>
      </w:r>
      <w:r w:rsidRPr="00EA38BE">
        <w:rPr>
          <w:rFonts w:ascii="Times New Roman" w:hAnsi="Times New Roman"/>
          <w:iCs/>
          <w:sz w:val="24"/>
        </w:rPr>
        <w:t xml:space="preserve">as well as </w:t>
      </w:r>
      <w:r w:rsidRPr="00EA38BE">
        <w:rPr>
          <w:rFonts w:ascii="Times New Roman" w:hAnsi="Times New Roman"/>
          <w:i/>
          <w:iCs/>
          <w:sz w:val="24"/>
        </w:rPr>
        <w:t xml:space="preserve">Seamen's Union of Australia v Utah Development Co </w:t>
      </w:r>
      <w:r w:rsidRPr="00EA38BE">
        <w:rPr>
          <w:rFonts w:ascii="Times New Roman" w:hAnsi="Times New Roman"/>
          <w:sz w:val="24"/>
        </w:rPr>
        <w:t>(1978) 144 CLR 120</w:t>
      </w:r>
      <w:r w:rsidRPr="00EA38BE">
        <w:rPr>
          <w:rFonts w:ascii="Times New Roman" w:hAnsi="Times New Roman"/>
          <w:i/>
          <w:iCs/>
          <w:sz w:val="24"/>
        </w:rPr>
        <w:t xml:space="preserve"> </w:t>
      </w:r>
      <w:r w:rsidRPr="00EA38BE">
        <w:rPr>
          <w:rFonts w:ascii="Times New Roman" w:hAnsi="Times New Roman"/>
          <w:sz w:val="24"/>
        </w:rPr>
        <w:t>at 126</w:t>
      </w:r>
      <w:r w:rsidRPr="00EA38BE">
        <w:rPr>
          <w:rFonts w:ascii="Times New Roman" w:hAnsi="Times New Roman"/>
          <w:sz w:val="24"/>
        </w:rPr>
        <w:noBreakHyphen/>
        <w:t xml:space="preserve">127; </w:t>
      </w:r>
      <w:r w:rsidRPr="00EA38BE">
        <w:rPr>
          <w:rFonts w:ascii="Times New Roman" w:hAnsi="Times New Roman"/>
          <w:i/>
          <w:iCs/>
          <w:sz w:val="24"/>
        </w:rPr>
        <w:t xml:space="preserve">Davis v The Commonwealth </w:t>
      </w:r>
      <w:r w:rsidRPr="00EA38BE">
        <w:rPr>
          <w:rFonts w:ascii="Times New Roman" w:hAnsi="Times New Roman"/>
          <w:sz w:val="24"/>
        </w:rPr>
        <w:t xml:space="preserve">(1986) 61 ALJR 32 at 35; 68 ALR 18 at 23; </w:t>
      </w:r>
      <w:r w:rsidRPr="00EA38BE">
        <w:rPr>
          <w:rFonts w:ascii="Times New Roman" w:hAnsi="Times New Roman"/>
          <w:i/>
          <w:sz w:val="24"/>
        </w:rPr>
        <w:t xml:space="preserve">Truth About Motorways Pty Ltd v Macquarie Infrastructure Investment Management Ltd </w:t>
      </w:r>
      <w:r w:rsidRPr="00EA38BE">
        <w:rPr>
          <w:rFonts w:ascii="Times New Roman" w:hAnsi="Times New Roman"/>
          <w:sz w:val="24"/>
        </w:rPr>
        <w:t>(2000) 200 CLR 591 at 599 [2], 603 [20], 609 [39], 611</w:t>
      </w:r>
      <w:r w:rsidRPr="00EA38BE">
        <w:rPr>
          <w:rFonts w:ascii="Times New Roman" w:hAnsi="Times New Roman"/>
          <w:sz w:val="24"/>
        </w:rPr>
        <w:noBreakHyphen/>
        <w:t>612 [46], 640 [131].</w:t>
      </w:r>
    </w:p>
  </w:footnote>
  <w:footnote w:id="155">
    <w:p w14:paraId="3C52855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(1980) 146 CLR 493 at 526</w:t>
      </w:r>
      <w:r w:rsidRPr="00EA38BE">
        <w:rPr>
          <w:rFonts w:ascii="Times New Roman" w:hAnsi="Times New Roman"/>
          <w:sz w:val="24"/>
        </w:rPr>
        <w:noBreakHyphen/>
        <w:t>527.</w:t>
      </w:r>
    </w:p>
  </w:footnote>
  <w:footnote w:id="156">
    <w:p w14:paraId="44D1214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[1903] 1 Ch 109 at 114.</w:t>
      </w:r>
    </w:p>
  </w:footnote>
  <w:footnote w:id="157">
    <w:p w14:paraId="25F7A5F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(1980) 146 CLR 493 at 547.</w:t>
      </w:r>
    </w:p>
  </w:footnote>
  <w:footnote w:id="158">
    <w:p w14:paraId="28A705DE"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(1980) 146 CLR 493 at 527</w:t>
      </w:r>
      <w:r w:rsidRPr="00EA38BE">
        <w:rPr>
          <w:rFonts w:ascii="Times New Roman" w:hAnsi="Times New Roman"/>
          <w:sz w:val="24"/>
        </w:rPr>
        <w:noBreakHyphen/>
        <w:t>528.</w:t>
      </w:r>
    </w:p>
  </w:footnote>
  <w:footnote w:id="159">
    <w:p w14:paraId="2A98E945"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(1980) 146 CLR 493 at 526, 537</w:t>
      </w:r>
      <w:r w:rsidRPr="00EA38BE">
        <w:rPr>
          <w:rFonts w:ascii="Times New Roman" w:hAnsi="Times New Roman"/>
          <w:sz w:val="24"/>
        </w:rPr>
        <w:noBreakHyphen/>
        <w:t>538, 547.</w:t>
      </w:r>
    </w:p>
  </w:footnote>
  <w:footnote w:id="160">
    <w:p w14:paraId="4739CAD1"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w:t>
      </w:r>
    </w:p>
  </w:footnote>
  <w:footnote w:id="161">
    <w:p w14:paraId="0F268A1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35, 41, 43, 44, 48</w:t>
      </w:r>
      <w:r w:rsidRPr="00EA38BE">
        <w:rPr>
          <w:rFonts w:ascii="Times New Roman" w:hAnsi="Times New Roman"/>
          <w:sz w:val="24"/>
        </w:rPr>
        <w:noBreakHyphen/>
        <w:t>49, 60, 68.</w:t>
      </w:r>
    </w:p>
  </w:footnote>
  <w:footnote w:id="162">
    <w:p w14:paraId="548C903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68. See also at 35</w:t>
      </w:r>
      <w:r w:rsidRPr="00EA38BE">
        <w:rPr>
          <w:rFonts w:ascii="Times New Roman" w:hAnsi="Times New Roman"/>
          <w:sz w:val="24"/>
        </w:rPr>
        <w:noBreakHyphen/>
        <w:t>36, 41, 49. Cf the broader view of Murphy J at 44.</w:t>
      </w:r>
    </w:p>
  </w:footnote>
  <w:footnote w:id="163">
    <w:p w14:paraId="2F854B2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35. See also at 41, 45, 49, 60, 66, 68</w:t>
      </w:r>
      <w:r w:rsidRPr="00EA38BE">
        <w:rPr>
          <w:rFonts w:ascii="Times New Roman" w:hAnsi="Times New Roman"/>
          <w:sz w:val="24"/>
        </w:rPr>
        <w:noBreakHyphen/>
        <w:t>69.</w:t>
      </w:r>
    </w:p>
  </w:footnote>
  <w:footnote w:id="164">
    <w:p w14:paraId="279FC67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57.</w:t>
      </w:r>
    </w:p>
  </w:footnote>
  <w:footnote w:id="165">
    <w:p w14:paraId="378EAEA2"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35</w:t>
      </w:r>
      <w:r w:rsidRPr="00EA38BE">
        <w:rPr>
          <w:rFonts w:ascii="Times New Roman" w:hAnsi="Times New Roman"/>
          <w:sz w:val="24"/>
        </w:rPr>
        <w:noBreakHyphen/>
        <w:t>36, 41</w:t>
      </w:r>
      <w:r w:rsidRPr="00EA38BE">
        <w:rPr>
          <w:rFonts w:ascii="Times New Roman" w:hAnsi="Times New Roman"/>
          <w:sz w:val="24"/>
        </w:rPr>
        <w:noBreakHyphen/>
        <w:t xml:space="preserve">43, 44, 63, 78. See also </w:t>
      </w:r>
      <w:r w:rsidRPr="00EA38BE">
        <w:rPr>
          <w:rFonts w:ascii="Times New Roman" w:hAnsi="Times New Roman"/>
          <w:i/>
          <w:iCs/>
          <w:sz w:val="24"/>
        </w:rPr>
        <w:t xml:space="preserve">Australian Conservation Foundation v The Commonwealth </w:t>
      </w:r>
      <w:r w:rsidRPr="00EA38BE">
        <w:rPr>
          <w:rFonts w:ascii="Times New Roman" w:hAnsi="Times New Roman"/>
          <w:sz w:val="24"/>
        </w:rPr>
        <w:t>(1980) 146 CLR 493 at 530</w:t>
      </w:r>
      <w:r w:rsidRPr="00EA38BE">
        <w:rPr>
          <w:rFonts w:ascii="Times New Roman" w:hAnsi="Times New Roman"/>
          <w:sz w:val="24"/>
        </w:rPr>
        <w:noBreakHyphen/>
        <w:t>531, 537, 547</w:t>
      </w:r>
      <w:r w:rsidRPr="00EA38BE">
        <w:rPr>
          <w:rFonts w:ascii="Times New Roman" w:hAnsi="Times New Roman"/>
          <w:sz w:val="24"/>
        </w:rPr>
        <w:noBreakHyphen/>
        <w:t>548.</w:t>
      </w:r>
    </w:p>
  </w:footnote>
  <w:footnote w:id="166">
    <w:p w14:paraId="77CE550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(1995) 183 CLR 552 at 557</w:t>
      </w:r>
      <w:r w:rsidRPr="00EA38BE">
        <w:rPr>
          <w:rFonts w:ascii="Times New Roman" w:hAnsi="Times New Roman"/>
          <w:sz w:val="24"/>
        </w:rPr>
        <w:noBreakHyphen/>
        <w:t>559.</w:t>
      </w:r>
    </w:p>
  </w:footnote>
  <w:footnote w:id="167">
    <w:p w14:paraId="41A158D1"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(1995) 183 CLR 552 at 558.</w:t>
      </w:r>
    </w:p>
  </w:footnote>
  <w:footnote w:id="168">
    <w:p w14:paraId="65D9314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(1995) 183 CLR 552 at 558.</w:t>
      </w:r>
    </w:p>
  </w:footnote>
  <w:footnote w:id="169">
    <w:p w14:paraId="5843509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(1981) 149 CLR 27 at 35</w:t>
      </w:r>
      <w:r w:rsidRPr="00EA38BE">
        <w:rPr>
          <w:rFonts w:ascii="Times New Roman" w:hAnsi="Times New Roman"/>
          <w:sz w:val="24"/>
        </w:rPr>
        <w:noBreakHyphen/>
        <w:t xml:space="preserve">36. Also citing </w:t>
      </w:r>
      <w:r w:rsidRPr="00EA38BE">
        <w:rPr>
          <w:rFonts w:ascii="Times New Roman" w:hAnsi="Times New Roman"/>
          <w:i/>
          <w:iCs/>
          <w:sz w:val="24"/>
        </w:rPr>
        <w:t xml:space="preserve">Australian Conservation Foundation </w:t>
      </w:r>
      <w:proofErr w:type="gramStart"/>
      <w:r w:rsidRPr="00EA38BE">
        <w:rPr>
          <w:rFonts w:ascii="Times New Roman" w:hAnsi="Times New Roman"/>
          <w:i/>
          <w:iCs/>
          <w:sz w:val="24"/>
        </w:rPr>
        <w:t>v</w:t>
      </w:r>
      <w:proofErr w:type="gramEnd"/>
      <w:r w:rsidRPr="00EA38BE">
        <w:rPr>
          <w:rFonts w:ascii="Times New Roman" w:hAnsi="Times New Roman"/>
          <w:i/>
          <w:iCs/>
          <w:sz w:val="24"/>
        </w:rPr>
        <w:t xml:space="preserve"> The Commonwealth </w:t>
      </w:r>
      <w:r w:rsidRPr="00EA38BE">
        <w:rPr>
          <w:rFonts w:ascii="Times New Roman" w:hAnsi="Times New Roman"/>
          <w:sz w:val="24"/>
        </w:rPr>
        <w:t xml:space="preserve">(1980) 146 CLR 493. </w:t>
      </w:r>
    </w:p>
  </w:footnote>
  <w:footnote w:id="170">
    <w:p w14:paraId="2977CA1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(1998) 194 CLR 247.</w:t>
      </w:r>
    </w:p>
  </w:footnote>
  <w:footnote w:id="171">
    <w:p w14:paraId="739072EC"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[1978] AC 435.</w:t>
      </w:r>
    </w:p>
  </w:footnote>
  <w:footnote w:id="172">
    <w:p w14:paraId="0795CC23"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(1998) 194 CLR 247 at 267 [52].</w:t>
      </w:r>
    </w:p>
  </w:footnote>
  <w:footnote w:id="173">
    <w:p w14:paraId="18C50CB2"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(1998) 194 CLR 247 at 264 [43].</w:t>
      </w:r>
    </w:p>
  </w:footnote>
  <w:footnote w:id="174">
    <w:p w14:paraId="5A84C20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(1998) 194 CLR 247 at 275</w:t>
      </w:r>
      <w:r w:rsidRPr="00EA38BE">
        <w:rPr>
          <w:rFonts w:ascii="Times New Roman" w:hAnsi="Times New Roman"/>
          <w:sz w:val="24"/>
        </w:rPr>
        <w:noBreakHyphen/>
        <w:t>280 [</w:t>
      </w:r>
      <w:proofErr w:type="gramStart"/>
      <w:r w:rsidRPr="00EA38BE">
        <w:rPr>
          <w:rFonts w:ascii="Times New Roman" w:hAnsi="Times New Roman"/>
          <w:sz w:val="24"/>
        </w:rPr>
        <w:t>77]</w:t>
      </w:r>
      <w:r w:rsidRPr="00EA38BE">
        <w:rPr>
          <w:rFonts w:ascii="Times New Roman" w:hAnsi="Times New Roman"/>
          <w:sz w:val="24"/>
        </w:rPr>
        <w:noBreakHyphen/>
      </w:r>
      <w:proofErr w:type="gramEnd"/>
      <w:r w:rsidRPr="00EA38BE">
        <w:rPr>
          <w:rFonts w:ascii="Times New Roman" w:hAnsi="Times New Roman"/>
          <w:sz w:val="24"/>
        </w:rPr>
        <w:t>[91].</w:t>
      </w:r>
    </w:p>
  </w:footnote>
  <w:footnote w:id="175">
    <w:p w14:paraId="3215988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eg, </w:t>
      </w:r>
      <w:r w:rsidRPr="00EA38BE">
        <w:rPr>
          <w:rFonts w:ascii="Times New Roman" w:hAnsi="Times New Roman"/>
          <w:i/>
          <w:sz w:val="24"/>
        </w:rPr>
        <w:t xml:space="preserve">Day v Pinglen Pty Ltd </w:t>
      </w:r>
      <w:r w:rsidRPr="00EA38BE">
        <w:rPr>
          <w:rFonts w:ascii="Times New Roman" w:hAnsi="Times New Roman"/>
          <w:sz w:val="24"/>
        </w:rPr>
        <w:t xml:space="preserve">(1981) 148 CLR 289 at 299; </w:t>
      </w:r>
      <w:r w:rsidRPr="00EA38BE">
        <w:rPr>
          <w:rFonts w:ascii="Times New Roman" w:hAnsi="Times New Roman"/>
          <w:i/>
          <w:sz w:val="24"/>
        </w:rPr>
        <w:t xml:space="preserve">Wentworth v Woollahra Municipal Council </w:t>
      </w:r>
      <w:r w:rsidRPr="00EA38BE">
        <w:rPr>
          <w:rFonts w:ascii="Times New Roman" w:hAnsi="Times New Roman"/>
          <w:sz w:val="24"/>
        </w:rPr>
        <w:t>(1982) 149 CLR 672 at 682</w:t>
      </w:r>
      <w:r w:rsidRPr="00EA38BE">
        <w:rPr>
          <w:rFonts w:ascii="Times New Roman" w:hAnsi="Times New Roman"/>
          <w:sz w:val="24"/>
        </w:rPr>
        <w:noBreakHyphen/>
        <w:t>683.</w:t>
      </w:r>
    </w:p>
  </w:footnote>
  <w:footnote w:id="176">
    <w:p w14:paraId="01898682"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(1999) 198 CLR 380 at 394 [28].</w:t>
      </w:r>
    </w:p>
  </w:footnote>
  <w:footnote w:id="177">
    <w:p w14:paraId="13F9C853"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 xml:space="preserve">Smith v William Charlick Ltd </w:t>
      </w:r>
      <w:r w:rsidRPr="00EA38BE">
        <w:rPr>
          <w:rFonts w:ascii="Times New Roman" w:hAnsi="Times New Roman"/>
          <w:sz w:val="24"/>
        </w:rPr>
        <w:t xml:space="preserve">(1924) 34 CLR 38 at 58; </w:t>
      </w:r>
      <w:r w:rsidRPr="00EA38BE">
        <w:rPr>
          <w:rFonts w:ascii="Times New Roman" w:hAnsi="Times New Roman"/>
          <w:i/>
          <w:sz w:val="24"/>
        </w:rPr>
        <w:t xml:space="preserve">Buckle v Bayswater Road Board </w:t>
      </w:r>
      <w:r w:rsidRPr="00EA38BE">
        <w:rPr>
          <w:rFonts w:ascii="Times New Roman" w:hAnsi="Times New Roman"/>
          <w:sz w:val="24"/>
        </w:rPr>
        <w:t xml:space="preserve">(1936) 57 CLR 259 at 281; </w:t>
      </w:r>
      <w:r w:rsidRPr="00EA38BE">
        <w:rPr>
          <w:rFonts w:ascii="Times New Roman" w:hAnsi="Times New Roman"/>
          <w:i/>
          <w:sz w:val="24"/>
        </w:rPr>
        <w:t xml:space="preserve">O'Connor v S P Bray Ltd </w:t>
      </w:r>
      <w:r w:rsidRPr="00EA38BE">
        <w:rPr>
          <w:rFonts w:ascii="Times New Roman" w:hAnsi="Times New Roman"/>
          <w:sz w:val="24"/>
        </w:rPr>
        <w:t xml:space="preserve">(1937) 56 CLR 464; </w:t>
      </w:r>
      <w:r w:rsidRPr="00EA38BE">
        <w:rPr>
          <w:rFonts w:ascii="Times New Roman" w:hAnsi="Times New Roman"/>
          <w:i/>
          <w:sz w:val="24"/>
        </w:rPr>
        <w:t xml:space="preserve">Darling Island Stevedoring and Lighterage Co Ltd v Long </w:t>
      </w:r>
      <w:r w:rsidRPr="00EA38BE">
        <w:rPr>
          <w:rFonts w:ascii="Times New Roman" w:hAnsi="Times New Roman"/>
          <w:sz w:val="24"/>
        </w:rPr>
        <w:t xml:space="preserve">(1957) 97 CLR 36; </w:t>
      </w:r>
      <w:r w:rsidRPr="00EA38BE">
        <w:rPr>
          <w:rFonts w:ascii="Times New Roman" w:hAnsi="Times New Roman"/>
          <w:i/>
          <w:sz w:val="24"/>
        </w:rPr>
        <w:t>Leask Timber and Hardware Pty Ltd v Thorne</w:t>
      </w:r>
      <w:r w:rsidRPr="00EA38BE">
        <w:rPr>
          <w:rFonts w:ascii="Times New Roman" w:hAnsi="Times New Roman"/>
          <w:sz w:val="24"/>
        </w:rPr>
        <w:t xml:space="preserve"> (1961) 106 CLR 33; </w:t>
      </w:r>
      <w:r w:rsidRPr="00EA38BE">
        <w:rPr>
          <w:rFonts w:ascii="Times New Roman" w:hAnsi="Times New Roman"/>
          <w:i/>
          <w:sz w:val="24"/>
        </w:rPr>
        <w:t xml:space="preserve">Jacob v Utah Construction and Engineering Pty Ltd </w:t>
      </w:r>
      <w:r w:rsidRPr="00EA38BE">
        <w:rPr>
          <w:rFonts w:ascii="Times New Roman" w:hAnsi="Times New Roman"/>
          <w:sz w:val="24"/>
        </w:rPr>
        <w:t xml:space="preserve">(1966) 116 CLR 200; </w:t>
      </w:r>
      <w:r w:rsidRPr="00EA38BE">
        <w:rPr>
          <w:rFonts w:ascii="Times New Roman" w:hAnsi="Times New Roman"/>
          <w:i/>
          <w:iCs/>
          <w:sz w:val="24"/>
        </w:rPr>
        <w:t xml:space="preserve">Sovar v Henry Lane Pty Ltd </w:t>
      </w:r>
      <w:r w:rsidRPr="00EA38BE">
        <w:rPr>
          <w:rFonts w:ascii="Times New Roman" w:hAnsi="Times New Roman"/>
          <w:sz w:val="24"/>
        </w:rPr>
        <w:t xml:space="preserve">(1967) 116 CLR 397; </w:t>
      </w:r>
      <w:r w:rsidRPr="00EA38BE">
        <w:rPr>
          <w:rFonts w:ascii="Times New Roman" w:hAnsi="Times New Roman"/>
          <w:i/>
          <w:sz w:val="24"/>
        </w:rPr>
        <w:t xml:space="preserve">Byrne v Australian Airlines Ltd </w:t>
      </w:r>
      <w:r w:rsidRPr="00EA38BE">
        <w:rPr>
          <w:rFonts w:ascii="Times New Roman" w:hAnsi="Times New Roman"/>
          <w:sz w:val="24"/>
        </w:rPr>
        <w:t xml:space="preserve">(1995) </w:t>
      </w:r>
      <w:bookmarkStart w:id="4" w:name="_Hlk89158663"/>
      <w:r w:rsidRPr="00EA38BE">
        <w:rPr>
          <w:rFonts w:ascii="Times New Roman" w:hAnsi="Times New Roman"/>
          <w:sz w:val="24"/>
        </w:rPr>
        <w:t>185 CLR 410</w:t>
      </w:r>
      <w:bookmarkEnd w:id="4"/>
      <w:r w:rsidRPr="00EA38BE">
        <w:rPr>
          <w:rFonts w:ascii="Times New Roman" w:hAnsi="Times New Roman"/>
          <w:sz w:val="24"/>
        </w:rPr>
        <w:t xml:space="preserve">; </w:t>
      </w:r>
      <w:r w:rsidRPr="00EA38BE">
        <w:rPr>
          <w:rFonts w:ascii="Times New Roman" w:hAnsi="Times New Roman"/>
          <w:i/>
          <w:sz w:val="24"/>
        </w:rPr>
        <w:t xml:space="preserve">Pyrenees Shire Council v Day </w:t>
      </w:r>
      <w:r w:rsidRPr="00EA38BE">
        <w:rPr>
          <w:rFonts w:ascii="Times New Roman" w:hAnsi="Times New Roman"/>
          <w:sz w:val="24"/>
        </w:rPr>
        <w:t xml:space="preserve">(1998) 192 CLR 330; </w:t>
      </w:r>
      <w:r w:rsidRPr="00EA38BE">
        <w:rPr>
          <w:rFonts w:ascii="Times New Roman" w:hAnsi="Times New Roman"/>
          <w:i/>
          <w:sz w:val="24"/>
        </w:rPr>
        <w:t xml:space="preserve">Brodie v Singleton Shire Council </w:t>
      </w:r>
      <w:r w:rsidRPr="00EA38BE">
        <w:rPr>
          <w:rFonts w:ascii="Times New Roman" w:hAnsi="Times New Roman"/>
          <w:sz w:val="24"/>
        </w:rPr>
        <w:t>(2001) 206 CLR 512.</w:t>
      </w:r>
    </w:p>
  </w:footnote>
  <w:footnote w:id="178">
    <w:p w14:paraId="7086DA3D"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(1967) 116 CLR 397 at 405. See also </w:t>
      </w:r>
      <w:r w:rsidRPr="00EA38BE">
        <w:rPr>
          <w:rFonts w:ascii="Times New Roman" w:hAnsi="Times New Roman"/>
          <w:i/>
          <w:sz w:val="24"/>
        </w:rPr>
        <w:t xml:space="preserve">Sutherland Shire Council v Heyman </w:t>
      </w:r>
      <w:r w:rsidRPr="00EA38BE">
        <w:rPr>
          <w:rFonts w:ascii="Times New Roman" w:hAnsi="Times New Roman"/>
          <w:sz w:val="24"/>
        </w:rPr>
        <w:t xml:space="preserve">(1985) 157 CLR 424 at 482; </w:t>
      </w:r>
      <w:r w:rsidRPr="00EA38BE">
        <w:rPr>
          <w:rFonts w:ascii="Times New Roman" w:hAnsi="Times New Roman"/>
          <w:i/>
          <w:sz w:val="24"/>
        </w:rPr>
        <w:t xml:space="preserve">Byrne v Australian Airlines Ltd </w:t>
      </w:r>
      <w:r w:rsidRPr="00EA38BE">
        <w:rPr>
          <w:rFonts w:ascii="Times New Roman" w:hAnsi="Times New Roman"/>
          <w:sz w:val="24"/>
        </w:rPr>
        <w:t>(1995) 185 CLR 410 at 460</w:t>
      </w:r>
      <w:r w:rsidRPr="00EA38BE">
        <w:rPr>
          <w:rFonts w:ascii="Times New Roman" w:hAnsi="Times New Roman"/>
          <w:sz w:val="24"/>
        </w:rPr>
        <w:noBreakHyphen/>
        <w:t xml:space="preserve">461; </w:t>
      </w:r>
      <w:r w:rsidRPr="00EA38BE">
        <w:rPr>
          <w:rFonts w:ascii="Times New Roman" w:hAnsi="Times New Roman"/>
          <w:i/>
          <w:sz w:val="24"/>
        </w:rPr>
        <w:t xml:space="preserve">Brodie v Singleton Shire Council </w:t>
      </w:r>
      <w:r w:rsidRPr="00EA38BE">
        <w:rPr>
          <w:rFonts w:ascii="Times New Roman" w:hAnsi="Times New Roman"/>
          <w:sz w:val="24"/>
        </w:rPr>
        <w:t>(2001) 206 CLR 512</w:t>
      </w:r>
      <w:r w:rsidRPr="00EA38BE">
        <w:rPr>
          <w:rFonts w:ascii="Times New Roman" w:hAnsi="Times New Roman"/>
          <w:i/>
          <w:sz w:val="24"/>
        </w:rPr>
        <w:t xml:space="preserve"> </w:t>
      </w:r>
      <w:r w:rsidRPr="00EA38BE">
        <w:rPr>
          <w:rFonts w:ascii="Times New Roman" w:hAnsi="Times New Roman"/>
          <w:sz w:val="24"/>
        </w:rPr>
        <w:t>at 633 [325].</w:t>
      </w:r>
    </w:p>
  </w:footnote>
  <w:footnote w:id="179">
    <w:p w14:paraId="006F4373"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Gleeson, "Judicial Legitimacy" (2000) 20 </w:t>
      </w:r>
      <w:r w:rsidRPr="00EA38BE">
        <w:rPr>
          <w:rFonts w:ascii="Times New Roman" w:hAnsi="Times New Roman"/>
          <w:i/>
          <w:iCs/>
          <w:sz w:val="24"/>
        </w:rPr>
        <w:t xml:space="preserve">Australian Bar Review </w:t>
      </w:r>
      <w:r w:rsidRPr="00EA38BE">
        <w:rPr>
          <w:rFonts w:ascii="Times New Roman" w:hAnsi="Times New Roman"/>
          <w:sz w:val="24"/>
        </w:rPr>
        <w:t>4 at 11.</w:t>
      </w:r>
    </w:p>
  </w:footnote>
  <w:footnote w:id="180">
    <w:p w14:paraId="477B303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The Commonwealth v Essendon Airport Pty Ltd [No 2]</w:t>
      </w:r>
      <w:r w:rsidRPr="00EA38BE">
        <w:rPr>
          <w:rFonts w:ascii="Times New Roman" w:hAnsi="Times New Roman"/>
          <w:sz w:val="24"/>
        </w:rPr>
        <w:t xml:space="preserve"> [2019] FCA 1694. See also </w:t>
      </w:r>
      <w:r w:rsidRPr="00EA38BE">
        <w:rPr>
          <w:rFonts w:ascii="Times New Roman" w:hAnsi="Times New Roman"/>
          <w:i/>
          <w:sz w:val="24"/>
        </w:rPr>
        <w:t>The Commonwealth v Essendon Airport Pty Ltd</w:t>
      </w:r>
      <w:r w:rsidRPr="00EA38BE">
        <w:rPr>
          <w:rFonts w:ascii="Times New Roman" w:hAnsi="Times New Roman"/>
          <w:sz w:val="24"/>
        </w:rPr>
        <w:t xml:space="preserve"> [2019] FCA 1411.</w:t>
      </w:r>
    </w:p>
  </w:footnote>
  <w:footnote w:id="181">
    <w:p w14:paraId="5BF5E34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(1984) 156 CLR 41 at 64.</w:t>
      </w:r>
    </w:p>
  </w:footnote>
  <w:footnote w:id="182">
    <w:p w14:paraId="031E228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Wilson v Darling Island Stevedoring </w:t>
      </w:r>
      <w:r w:rsidRPr="00EA38BE">
        <w:rPr>
          <w:rFonts w:ascii="Times New Roman" w:hAnsi="Times New Roman"/>
          <w:i/>
          <w:sz w:val="24"/>
        </w:rPr>
        <w:t>and</w:t>
      </w:r>
      <w:r w:rsidRPr="00EA38BE">
        <w:rPr>
          <w:rFonts w:ascii="Times New Roman" w:hAnsi="Times New Roman"/>
          <w:i/>
          <w:iCs/>
          <w:sz w:val="24"/>
        </w:rPr>
        <w:t xml:space="preserve"> Lighterage Co Ltd </w:t>
      </w:r>
      <w:r w:rsidRPr="00EA38BE">
        <w:rPr>
          <w:rFonts w:ascii="Times New Roman" w:hAnsi="Times New Roman"/>
          <w:sz w:val="24"/>
        </w:rPr>
        <w:t>(1956) 95 CLR 43 at 80.</w:t>
      </w:r>
    </w:p>
  </w:footnote>
  <w:footnote w:id="183">
    <w:p w14:paraId="361F137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Trident General Insurance Co Ltd v McNiece Bros Pty Ltd </w:t>
      </w:r>
      <w:r w:rsidRPr="00EA38BE">
        <w:rPr>
          <w:rFonts w:ascii="Times New Roman" w:hAnsi="Times New Roman"/>
          <w:sz w:val="24"/>
        </w:rPr>
        <w:t>(1988) 165 CLR 107 at 128.</w:t>
      </w:r>
    </w:p>
  </w:footnote>
  <w:footnote w:id="184">
    <w:p w14:paraId="613AC38D"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Trident General Insurance Co Ltd v McNiece Bros Pty Ltd </w:t>
      </w:r>
      <w:r w:rsidRPr="00EA38BE">
        <w:rPr>
          <w:rFonts w:ascii="Times New Roman" w:hAnsi="Times New Roman"/>
          <w:sz w:val="24"/>
        </w:rPr>
        <w:t>(1988) 165 CLR 107 at 141.</w:t>
      </w:r>
    </w:p>
  </w:footnote>
  <w:footnote w:id="185">
    <w:p w14:paraId="266CEAB7"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(1967) 119 CLR 460 at 478. See also </w:t>
      </w:r>
      <w:r w:rsidRPr="00EA38BE">
        <w:rPr>
          <w:rFonts w:ascii="Times New Roman" w:hAnsi="Times New Roman"/>
          <w:i/>
          <w:iCs/>
          <w:sz w:val="24"/>
        </w:rPr>
        <w:t xml:space="preserve">Trident General Insurance Co Ltd v McNiece Bros Pty Ltd </w:t>
      </w:r>
      <w:r w:rsidRPr="00EA38BE">
        <w:rPr>
          <w:rFonts w:ascii="Times New Roman" w:hAnsi="Times New Roman"/>
          <w:sz w:val="24"/>
        </w:rPr>
        <w:t xml:space="preserve">(1988) 165 CLR 107 at 127; </w:t>
      </w:r>
      <w:r w:rsidRPr="00EA38BE">
        <w:rPr>
          <w:rFonts w:ascii="Times New Roman" w:hAnsi="Times New Roman"/>
          <w:i/>
          <w:iCs/>
          <w:sz w:val="24"/>
          <w:lang w:eastAsia="en-US"/>
        </w:rPr>
        <w:t>Owners of "Shin Kobe Maru" v Empire Shipping Co Inc</w:t>
      </w:r>
      <w:r w:rsidRPr="00EA38BE">
        <w:rPr>
          <w:rFonts w:ascii="Times New Roman" w:hAnsi="Times New Roman"/>
          <w:sz w:val="24"/>
          <w:lang w:eastAsia="en-US"/>
        </w:rPr>
        <w:t xml:space="preserve"> (1994) 181 CLR 404 at 418</w:t>
      </w:r>
      <w:r w:rsidRPr="00EA38BE">
        <w:rPr>
          <w:rFonts w:ascii="Times New Roman" w:hAnsi="Times New Roman"/>
          <w:sz w:val="24"/>
          <w:lang w:eastAsia="en-US"/>
        </w:rPr>
        <w:noBreakHyphen/>
        <w:t xml:space="preserve">419; </w:t>
      </w:r>
      <w:r w:rsidRPr="00EA38BE">
        <w:rPr>
          <w:rFonts w:ascii="Times New Roman" w:hAnsi="Times New Roman"/>
          <w:i/>
          <w:iCs/>
          <w:sz w:val="24"/>
          <w:lang w:eastAsia="en-US"/>
        </w:rPr>
        <w:t>CGU Insurance Ltd v Blakeley</w:t>
      </w:r>
      <w:r w:rsidRPr="00EA38BE">
        <w:rPr>
          <w:rFonts w:ascii="Times New Roman" w:hAnsi="Times New Roman"/>
          <w:sz w:val="24"/>
          <w:lang w:eastAsia="en-US"/>
        </w:rPr>
        <w:t xml:space="preserve"> (2016) 259 CLR 339 at 371 [96].</w:t>
      </w:r>
    </w:p>
  </w:footnote>
  <w:footnote w:id="186">
    <w:p w14:paraId="3B7536F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Midland Silicones Ltd v Scruttons Ltd </w:t>
      </w:r>
      <w:r w:rsidRPr="00EA38BE">
        <w:rPr>
          <w:rFonts w:ascii="Times New Roman" w:hAnsi="Times New Roman"/>
          <w:sz w:val="24"/>
        </w:rPr>
        <w:t xml:space="preserve">[1962] AC 446 at 473; </w:t>
      </w:r>
      <w:r w:rsidRPr="00EA38BE">
        <w:rPr>
          <w:rFonts w:ascii="Times New Roman" w:hAnsi="Times New Roman"/>
          <w:i/>
          <w:iCs/>
          <w:sz w:val="24"/>
        </w:rPr>
        <w:t xml:space="preserve">Wilson v Darling Island Stevedoring and Lighterage Co Ltd </w:t>
      </w:r>
      <w:r w:rsidRPr="00EA38BE">
        <w:rPr>
          <w:rFonts w:ascii="Times New Roman" w:hAnsi="Times New Roman"/>
          <w:sz w:val="24"/>
        </w:rPr>
        <w:t>(1956) 95 CLR 43 at 67;</w:t>
      </w:r>
      <w:r w:rsidRPr="00EA38BE">
        <w:rPr>
          <w:rFonts w:ascii="Times New Roman" w:hAnsi="Times New Roman"/>
          <w:i/>
          <w:iCs/>
          <w:sz w:val="24"/>
        </w:rPr>
        <w:t xml:space="preserve"> Trident General Insurance Co Ltd v McNiece Bros Pty Ltd </w:t>
      </w:r>
      <w:r w:rsidRPr="00EA38BE">
        <w:rPr>
          <w:rFonts w:ascii="Times New Roman" w:hAnsi="Times New Roman"/>
          <w:sz w:val="24"/>
        </w:rPr>
        <w:t xml:space="preserve">(1988) 165 CLR 107 at 143. Cf statutory exceptions such as </w:t>
      </w:r>
      <w:r w:rsidRPr="00EA38BE">
        <w:rPr>
          <w:rFonts w:ascii="Times New Roman" w:hAnsi="Times New Roman"/>
          <w:i/>
          <w:iCs/>
          <w:sz w:val="24"/>
        </w:rPr>
        <w:t>Property Law Act 1969</w:t>
      </w:r>
      <w:r w:rsidRPr="00EA38BE">
        <w:rPr>
          <w:rFonts w:ascii="Times New Roman" w:hAnsi="Times New Roman"/>
          <w:iCs/>
          <w:sz w:val="24"/>
        </w:rPr>
        <w:t> </w:t>
      </w:r>
      <w:r w:rsidRPr="00EA38BE">
        <w:rPr>
          <w:rFonts w:ascii="Times New Roman" w:hAnsi="Times New Roman"/>
          <w:sz w:val="24"/>
        </w:rPr>
        <w:t xml:space="preserve">(WA), s 11(2); </w:t>
      </w:r>
      <w:r w:rsidRPr="00EA38BE">
        <w:rPr>
          <w:rFonts w:ascii="Times New Roman" w:hAnsi="Times New Roman"/>
          <w:i/>
          <w:iCs/>
          <w:sz w:val="24"/>
        </w:rPr>
        <w:t>Property Law Act 1974</w:t>
      </w:r>
      <w:r w:rsidRPr="00EA38BE">
        <w:rPr>
          <w:rFonts w:ascii="Times New Roman" w:hAnsi="Times New Roman"/>
          <w:iCs/>
          <w:sz w:val="24"/>
        </w:rPr>
        <w:t> </w:t>
      </w:r>
      <w:r w:rsidRPr="00EA38BE">
        <w:rPr>
          <w:rFonts w:ascii="Times New Roman" w:hAnsi="Times New Roman"/>
          <w:sz w:val="24"/>
        </w:rPr>
        <w:t>(Qld), s 55(1).</w:t>
      </w:r>
    </w:p>
  </w:footnote>
  <w:footnote w:id="187">
    <w:p w14:paraId="1AC9617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Tham, </w:t>
      </w:r>
      <w:r w:rsidRPr="00EA38BE">
        <w:rPr>
          <w:rFonts w:ascii="Times New Roman" w:hAnsi="Times New Roman"/>
          <w:i/>
          <w:iCs/>
          <w:sz w:val="24"/>
        </w:rPr>
        <w:t xml:space="preserve">Understanding the Law of Assignment </w:t>
      </w:r>
      <w:r w:rsidRPr="00EA38BE">
        <w:rPr>
          <w:rFonts w:ascii="Times New Roman" w:hAnsi="Times New Roman"/>
          <w:sz w:val="24"/>
        </w:rPr>
        <w:t>(2019) at 171</w:t>
      </w:r>
      <w:r w:rsidRPr="00EA38BE">
        <w:rPr>
          <w:rFonts w:ascii="Times New Roman" w:hAnsi="Times New Roman"/>
          <w:sz w:val="24"/>
        </w:rPr>
        <w:noBreakHyphen/>
        <w:t>178.</w:t>
      </w:r>
    </w:p>
  </w:footnote>
  <w:footnote w:id="188">
    <w:p w14:paraId="3AACE8A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[1989] 2 Lloyd's Rep 298 at 309.</w:t>
      </w:r>
    </w:p>
  </w:footnote>
  <w:footnote w:id="189">
    <w:p w14:paraId="1665062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15 &amp; 16 Vict c 86, s 50.</w:t>
      </w:r>
    </w:p>
  </w:footnote>
  <w:footnote w:id="190">
    <w:p w14:paraId="3CAA2A0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Feetum v Levy </w:t>
      </w:r>
      <w:r w:rsidRPr="00EA38BE">
        <w:rPr>
          <w:rFonts w:ascii="Times New Roman" w:hAnsi="Times New Roman"/>
          <w:sz w:val="24"/>
        </w:rPr>
        <w:t xml:space="preserve">[2006] Ch 585 at 606 [82]; </w:t>
      </w:r>
      <w:r w:rsidRPr="00EA38BE">
        <w:rPr>
          <w:rFonts w:ascii="Times New Roman" w:hAnsi="Times New Roman"/>
          <w:i/>
          <w:iCs/>
          <w:sz w:val="24"/>
        </w:rPr>
        <w:t>Rolls</w:t>
      </w:r>
      <w:r w:rsidRPr="00EA38BE">
        <w:rPr>
          <w:rFonts w:ascii="Times New Roman" w:hAnsi="Times New Roman"/>
          <w:i/>
          <w:iCs/>
          <w:sz w:val="24"/>
        </w:rPr>
        <w:noBreakHyphen/>
        <w:t xml:space="preserve">Royce Plc v Unite the Union </w:t>
      </w:r>
      <w:r w:rsidRPr="00EA38BE">
        <w:rPr>
          <w:rFonts w:ascii="Times New Roman" w:hAnsi="Times New Roman"/>
          <w:sz w:val="24"/>
        </w:rPr>
        <w:t>[2010] 1 WLR 318 at 350 [120(4)].</w:t>
      </w:r>
    </w:p>
  </w:footnote>
  <w:footnote w:id="191">
    <w:p w14:paraId="671B7E9F"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Civil Procedure Rules 1998</w:t>
      </w:r>
      <w:r w:rsidRPr="00EA38BE">
        <w:rPr>
          <w:rFonts w:ascii="Times New Roman" w:hAnsi="Times New Roman"/>
          <w:iCs/>
          <w:sz w:val="24"/>
        </w:rPr>
        <w:t> (UK),</w:t>
      </w:r>
      <w:r w:rsidRPr="00EA38BE">
        <w:rPr>
          <w:rFonts w:ascii="Times New Roman" w:hAnsi="Times New Roman"/>
          <w:i/>
          <w:iCs/>
          <w:sz w:val="24"/>
        </w:rPr>
        <w:t xml:space="preserve"> </w:t>
      </w:r>
      <w:r w:rsidRPr="00EA38BE">
        <w:rPr>
          <w:rFonts w:ascii="Times New Roman" w:hAnsi="Times New Roman"/>
          <w:sz w:val="24"/>
        </w:rPr>
        <w:t xml:space="preserve">rr 25.1(1)(b), 40.20; Woolf and Woolf, </w:t>
      </w:r>
      <w:r w:rsidRPr="00EA38BE">
        <w:rPr>
          <w:rFonts w:ascii="Times New Roman" w:hAnsi="Times New Roman"/>
          <w:i/>
          <w:sz w:val="24"/>
        </w:rPr>
        <w:t xml:space="preserve">Zamir &amp; Woolf: </w:t>
      </w:r>
      <w:r w:rsidRPr="00EA38BE">
        <w:rPr>
          <w:rFonts w:ascii="Times New Roman" w:hAnsi="Times New Roman"/>
          <w:i/>
          <w:iCs/>
          <w:sz w:val="24"/>
        </w:rPr>
        <w:t>The Declaratory Judgment</w:t>
      </w:r>
      <w:r w:rsidRPr="00EA38BE">
        <w:rPr>
          <w:rFonts w:ascii="Times New Roman" w:hAnsi="Times New Roman"/>
          <w:iCs/>
          <w:sz w:val="24"/>
        </w:rPr>
        <w:t>,</w:t>
      </w:r>
      <w:r w:rsidRPr="00EA38BE">
        <w:rPr>
          <w:rFonts w:ascii="Times New Roman" w:hAnsi="Times New Roman"/>
          <w:i/>
          <w:iCs/>
          <w:sz w:val="24"/>
        </w:rPr>
        <w:t xml:space="preserve"> </w:t>
      </w:r>
      <w:r w:rsidRPr="00EA38BE">
        <w:rPr>
          <w:rFonts w:ascii="Times New Roman" w:hAnsi="Times New Roman"/>
          <w:sz w:val="24"/>
        </w:rPr>
        <w:t>4th ed (2011) at 49 [3</w:t>
      </w:r>
      <w:r w:rsidRPr="00EA38BE">
        <w:rPr>
          <w:rFonts w:ascii="Times New Roman" w:hAnsi="Times New Roman"/>
          <w:sz w:val="24"/>
        </w:rPr>
        <w:noBreakHyphen/>
        <w:t>23], 52 [3</w:t>
      </w:r>
      <w:r w:rsidRPr="00EA38BE">
        <w:rPr>
          <w:rFonts w:ascii="Times New Roman" w:hAnsi="Times New Roman"/>
          <w:sz w:val="24"/>
        </w:rPr>
        <w:noBreakHyphen/>
        <w:t>29], 237</w:t>
      </w:r>
      <w:r w:rsidRPr="00EA38BE">
        <w:rPr>
          <w:rFonts w:ascii="Times New Roman" w:hAnsi="Times New Roman"/>
          <w:sz w:val="24"/>
        </w:rPr>
        <w:noBreakHyphen/>
        <w:t>238 [5</w:t>
      </w:r>
      <w:r w:rsidRPr="00EA38BE">
        <w:rPr>
          <w:rFonts w:ascii="Times New Roman" w:hAnsi="Times New Roman"/>
          <w:sz w:val="24"/>
        </w:rPr>
        <w:noBreakHyphen/>
        <w:t xml:space="preserve">23]. </w:t>
      </w:r>
    </w:p>
  </w:footnote>
  <w:footnote w:id="192">
    <w:p w14:paraId="24D5946C"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(2016) 259 CLR 339, especially at 371 [</w:t>
      </w:r>
      <w:proofErr w:type="gramStart"/>
      <w:r w:rsidRPr="00EA38BE">
        <w:rPr>
          <w:rFonts w:ascii="Times New Roman" w:hAnsi="Times New Roman"/>
          <w:sz w:val="24"/>
        </w:rPr>
        <w:t>95]</w:t>
      </w:r>
      <w:r w:rsidRPr="00EA38BE">
        <w:rPr>
          <w:rFonts w:ascii="Times New Roman" w:hAnsi="Times New Roman"/>
          <w:sz w:val="24"/>
        </w:rPr>
        <w:noBreakHyphen/>
      </w:r>
      <w:proofErr w:type="gramEnd"/>
      <w:r w:rsidRPr="00EA38BE">
        <w:rPr>
          <w:rFonts w:ascii="Times New Roman" w:hAnsi="Times New Roman"/>
          <w:sz w:val="24"/>
        </w:rPr>
        <w:t>[96].</w:t>
      </w:r>
    </w:p>
  </w:footnote>
  <w:footnote w:id="193">
    <w:p w14:paraId="30ABB3F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(2016) 259 CLR 339 at 363</w:t>
      </w:r>
      <w:r w:rsidRPr="00EA38BE">
        <w:rPr>
          <w:rFonts w:ascii="Times New Roman" w:hAnsi="Times New Roman"/>
          <w:sz w:val="24"/>
        </w:rPr>
        <w:noBreakHyphen/>
        <w:t>364 [67].</w:t>
      </w:r>
    </w:p>
  </w:footnote>
  <w:footnote w:id="194">
    <w:p w14:paraId="46242EE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w:t>
      </w:r>
      <w:r w:rsidRPr="00EA38BE">
        <w:rPr>
          <w:rFonts w:ascii="Times New Roman" w:hAnsi="Times New Roman"/>
          <w:i/>
          <w:iCs/>
          <w:sz w:val="24"/>
        </w:rPr>
        <w:t xml:space="preserve">Employers Reinsurance Corporation v Ashmere Cove Pty Ltd </w:t>
      </w:r>
      <w:r w:rsidRPr="00EA38BE">
        <w:rPr>
          <w:rFonts w:ascii="Times New Roman" w:hAnsi="Times New Roman"/>
          <w:sz w:val="24"/>
        </w:rPr>
        <w:t xml:space="preserve">(2008) 166 FCR 398; </w:t>
      </w:r>
      <w:r w:rsidRPr="00EA38BE">
        <w:rPr>
          <w:rFonts w:ascii="Times New Roman" w:hAnsi="Times New Roman"/>
          <w:i/>
          <w:iCs/>
          <w:sz w:val="24"/>
        </w:rPr>
        <w:t>QBE Insurance (Australia) Ltd v Lois Nominees Pty Ltd</w:t>
      </w:r>
      <w:r w:rsidRPr="00EA38BE">
        <w:rPr>
          <w:rFonts w:ascii="Times New Roman" w:hAnsi="Times New Roman"/>
          <w:sz w:val="24"/>
        </w:rPr>
        <w:t xml:space="preserve"> (2013) 17 ANZ Insurance Cases ¶61</w:t>
      </w:r>
      <w:r w:rsidRPr="00EA38BE">
        <w:rPr>
          <w:rFonts w:ascii="Times New Roman" w:hAnsi="Times New Roman"/>
          <w:sz w:val="24"/>
        </w:rPr>
        <w:noBreakHyphen/>
        <w:t>949.</w:t>
      </w:r>
    </w:p>
  </w:footnote>
  <w:footnote w:id="195">
    <w:p w14:paraId="7528066B"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(1988) 165 CLR 107 at 123</w:t>
      </w:r>
      <w:r w:rsidRPr="00EA38BE">
        <w:rPr>
          <w:rFonts w:ascii="Times New Roman" w:hAnsi="Times New Roman"/>
          <w:sz w:val="24"/>
        </w:rPr>
        <w:noBreakHyphen/>
        <w:t>124, 167</w:t>
      </w:r>
      <w:r w:rsidRPr="00EA38BE">
        <w:rPr>
          <w:rFonts w:ascii="Times New Roman" w:hAnsi="Times New Roman"/>
          <w:sz w:val="24"/>
        </w:rPr>
        <w:noBreakHyphen/>
        <w:t>172.</w:t>
      </w:r>
    </w:p>
  </w:footnote>
  <w:footnote w:id="196">
    <w:p w14:paraId="1B8B210C"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Insurance Contracts Act 1984</w:t>
      </w:r>
      <w:r w:rsidRPr="00EA38BE">
        <w:rPr>
          <w:rFonts w:ascii="Times New Roman" w:hAnsi="Times New Roman"/>
          <w:iCs/>
          <w:sz w:val="24"/>
        </w:rPr>
        <w:t> </w:t>
      </w:r>
      <w:r w:rsidRPr="00EA38BE">
        <w:rPr>
          <w:rFonts w:ascii="Times New Roman" w:hAnsi="Times New Roman"/>
          <w:sz w:val="24"/>
        </w:rPr>
        <w:t>(Cth), s 48.</w:t>
      </w:r>
    </w:p>
  </w:footnote>
  <w:footnote w:id="197">
    <w:p w14:paraId="437F8BAC"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w:t>
      </w:r>
      <w:r w:rsidRPr="00EA38BE">
        <w:rPr>
          <w:rFonts w:ascii="Times New Roman" w:hAnsi="Times New Roman"/>
          <w:i/>
          <w:iCs/>
          <w:sz w:val="24"/>
        </w:rPr>
        <w:t>Vandepitte v Preferred Accident Insurance Corp</w:t>
      </w:r>
      <w:r w:rsidRPr="00EA38BE" w:rsidDel="005E0424">
        <w:rPr>
          <w:rFonts w:ascii="Times New Roman" w:hAnsi="Times New Roman"/>
          <w:i/>
          <w:sz w:val="24"/>
        </w:rPr>
        <w:t>oration</w:t>
      </w:r>
      <w:r w:rsidRPr="00EA38BE">
        <w:rPr>
          <w:rFonts w:ascii="Times New Roman" w:hAnsi="Times New Roman"/>
          <w:i/>
          <w:iCs/>
          <w:sz w:val="24"/>
        </w:rPr>
        <w:t xml:space="preserve"> of New York </w:t>
      </w:r>
      <w:r w:rsidRPr="00EA38BE">
        <w:rPr>
          <w:rFonts w:ascii="Times New Roman" w:hAnsi="Times New Roman"/>
          <w:sz w:val="24"/>
        </w:rPr>
        <w:t xml:space="preserve">[1933] AC 70 at 79; </w:t>
      </w:r>
      <w:r w:rsidRPr="00EA38BE">
        <w:rPr>
          <w:rFonts w:ascii="Times New Roman" w:hAnsi="Times New Roman"/>
          <w:i/>
          <w:iCs/>
          <w:sz w:val="24"/>
        </w:rPr>
        <w:t xml:space="preserve">Olsson v Dyson </w:t>
      </w:r>
      <w:r w:rsidRPr="00EA38BE">
        <w:rPr>
          <w:rFonts w:ascii="Times New Roman" w:hAnsi="Times New Roman"/>
          <w:sz w:val="24"/>
        </w:rPr>
        <w:t xml:space="preserve">(1969) 120 CLR 365 at 391; </w:t>
      </w:r>
      <w:r w:rsidRPr="00EA38BE">
        <w:rPr>
          <w:rFonts w:ascii="Times New Roman" w:hAnsi="Times New Roman"/>
          <w:i/>
          <w:iCs/>
          <w:sz w:val="24"/>
        </w:rPr>
        <w:t xml:space="preserve">Trident General Insurance Co Ltd v McNiece Bros Pty Ltd </w:t>
      </w:r>
      <w:r w:rsidRPr="00EA38BE">
        <w:rPr>
          <w:rFonts w:ascii="Times New Roman" w:hAnsi="Times New Roman"/>
          <w:sz w:val="24"/>
        </w:rPr>
        <w:t>(1988) 165 CLR 107 at 135, 155</w:t>
      </w:r>
      <w:r w:rsidRPr="00EA38BE">
        <w:rPr>
          <w:rFonts w:ascii="Times New Roman" w:hAnsi="Times New Roman"/>
          <w:sz w:val="24"/>
        </w:rPr>
        <w:noBreakHyphen/>
        <w:t>156.</w:t>
      </w:r>
    </w:p>
  </w:footnote>
  <w:footnote w:id="198">
    <w:p w14:paraId="0F1E15D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Trident General Insurance Co Ltd v McNiece Bros Pty Ltd </w:t>
      </w:r>
      <w:r w:rsidRPr="00EA38BE">
        <w:rPr>
          <w:rFonts w:ascii="Times New Roman" w:hAnsi="Times New Roman"/>
          <w:sz w:val="24"/>
        </w:rPr>
        <w:t>(1988) 165 CLR 107 at 120.</w:t>
      </w:r>
    </w:p>
  </w:footnote>
  <w:footnote w:id="199">
    <w:p w14:paraId="10377540"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generally, </w:t>
      </w:r>
      <w:r w:rsidRPr="00EA38BE">
        <w:rPr>
          <w:rFonts w:ascii="Times New Roman" w:hAnsi="Times New Roman"/>
          <w:i/>
          <w:iCs/>
          <w:sz w:val="24"/>
        </w:rPr>
        <w:t xml:space="preserve">Byrnes v Kendle </w:t>
      </w:r>
      <w:r w:rsidRPr="00EA38BE">
        <w:rPr>
          <w:rFonts w:ascii="Times New Roman" w:hAnsi="Times New Roman"/>
          <w:sz w:val="24"/>
        </w:rPr>
        <w:t>(2011) 243 CLR 253</w:t>
      </w:r>
      <w:r w:rsidRPr="00EA38BE">
        <w:rPr>
          <w:rFonts w:ascii="Times New Roman" w:hAnsi="Times New Roman"/>
          <w:i/>
          <w:iCs/>
          <w:sz w:val="24"/>
        </w:rPr>
        <w:t xml:space="preserve"> </w:t>
      </w:r>
      <w:r w:rsidRPr="00EA38BE">
        <w:rPr>
          <w:rFonts w:ascii="Times New Roman" w:hAnsi="Times New Roman"/>
          <w:sz w:val="24"/>
        </w:rPr>
        <w:t>at 286</w:t>
      </w:r>
      <w:r w:rsidRPr="00EA38BE">
        <w:rPr>
          <w:rFonts w:ascii="Times New Roman" w:hAnsi="Times New Roman"/>
          <w:sz w:val="24"/>
        </w:rPr>
        <w:noBreakHyphen/>
        <w:t>290 [</w:t>
      </w:r>
      <w:proofErr w:type="gramStart"/>
      <w:r w:rsidRPr="00EA38BE">
        <w:rPr>
          <w:rFonts w:ascii="Times New Roman" w:hAnsi="Times New Roman"/>
          <w:sz w:val="24"/>
        </w:rPr>
        <w:t>102]</w:t>
      </w:r>
      <w:r w:rsidRPr="00EA38BE">
        <w:rPr>
          <w:rFonts w:ascii="Times New Roman" w:hAnsi="Times New Roman"/>
          <w:sz w:val="24"/>
        </w:rPr>
        <w:noBreakHyphen/>
      </w:r>
      <w:proofErr w:type="gramEnd"/>
      <w:r w:rsidRPr="00EA38BE">
        <w:rPr>
          <w:rFonts w:ascii="Times New Roman" w:hAnsi="Times New Roman"/>
          <w:sz w:val="24"/>
        </w:rPr>
        <w:t>[115].</w:t>
      </w:r>
    </w:p>
  </w:footnote>
  <w:footnote w:id="200">
    <w:p w14:paraId="3A99E3EE"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 xml:space="preserve">Registrar of the Accident Compensation Tribunal v Federal Commissioner of Taxation </w:t>
      </w:r>
      <w:r w:rsidRPr="00EA38BE">
        <w:rPr>
          <w:rFonts w:ascii="Times New Roman" w:hAnsi="Times New Roman"/>
          <w:sz w:val="24"/>
        </w:rPr>
        <w:t>(1993) 178 CLR 145 at 162</w:t>
      </w:r>
      <w:r w:rsidRPr="00EA38BE">
        <w:rPr>
          <w:rFonts w:ascii="Times New Roman" w:hAnsi="Times New Roman"/>
          <w:sz w:val="24"/>
        </w:rPr>
        <w:noBreakHyphen/>
        <w:t xml:space="preserve">163, citing </w:t>
      </w:r>
      <w:r w:rsidRPr="00EA38BE">
        <w:rPr>
          <w:rFonts w:ascii="Times New Roman" w:hAnsi="Times New Roman"/>
          <w:i/>
          <w:sz w:val="24"/>
        </w:rPr>
        <w:t>Kinloch v Secretary of State for India</w:t>
      </w:r>
      <w:r w:rsidRPr="00EA38BE">
        <w:rPr>
          <w:rFonts w:ascii="Times New Roman" w:hAnsi="Times New Roman"/>
          <w:sz w:val="24"/>
        </w:rPr>
        <w:t xml:space="preserve"> (1882) 7 App Cas 619 at 625</w:t>
      </w:r>
      <w:r w:rsidRPr="00EA38BE">
        <w:rPr>
          <w:rFonts w:ascii="Times New Roman" w:hAnsi="Times New Roman"/>
          <w:sz w:val="24"/>
        </w:rPr>
        <w:noBreakHyphen/>
        <w:t xml:space="preserve">626 and </w:t>
      </w:r>
      <w:r w:rsidRPr="00EA38BE">
        <w:rPr>
          <w:rFonts w:ascii="Times New Roman" w:hAnsi="Times New Roman"/>
          <w:i/>
          <w:iCs/>
          <w:sz w:val="24"/>
        </w:rPr>
        <w:t xml:space="preserve">Tito v Waddell [No 2] </w:t>
      </w:r>
      <w:r w:rsidRPr="00EA38BE">
        <w:rPr>
          <w:rFonts w:ascii="Times New Roman" w:hAnsi="Times New Roman"/>
          <w:sz w:val="24"/>
        </w:rPr>
        <w:t>[1977] Ch 106 at 216</w:t>
      </w:r>
      <w:r w:rsidRPr="00EA38BE">
        <w:rPr>
          <w:rFonts w:ascii="Times New Roman" w:hAnsi="Times New Roman"/>
          <w:sz w:val="24"/>
        </w:rPr>
        <w:noBreakHyphen/>
        <w:t>219.</w:t>
      </w:r>
    </w:p>
  </w:footnote>
  <w:footnote w:id="201">
    <w:p w14:paraId="3CC9E67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Tito v Waddell [No 2]</w:t>
      </w:r>
      <w:r w:rsidRPr="00EA38BE">
        <w:rPr>
          <w:rFonts w:ascii="Times New Roman" w:hAnsi="Times New Roman"/>
          <w:sz w:val="24"/>
        </w:rPr>
        <w:t xml:space="preserve"> [1977] Ch 106 at 216.</w:t>
      </w:r>
    </w:p>
  </w:footnote>
  <w:footnote w:id="202">
    <w:p w14:paraId="289B6E99" w14:textId="77777777" w:rsidR="00744668" w:rsidRPr="00EA38BE" w:rsidRDefault="00744668" w:rsidP="00EA38BE">
      <w:pPr>
        <w:pStyle w:val="FootnoteText"/>
        <w:spacing w:line="280" w:lineRule="exact"/>
        <w:ind w:right="0"/>
        <w:jc w:val="both"/>
        <w:rPr>
          <w:rFonts w:ascii="Times New Roman" w:hAnsi="Times New Roman"/>
          <w:i/>
          <w:iCs/>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Registrar of the Accident Compensation Tribunal v Federal Commissioner of Taxation </w:t>
      </w:r>
      <w:r w:rsidRPr="00EA38BE">
        <w:rPr>
          <w:rFonts w:ascii="Times New Roman" w:hAnsi="Times New Roman"/>
          <w:sz w:val="24"/>
        </w:rPr>
        <w:t>(1993) 178 CLR 145 at 164.</w:t>
      </w:r>
    </w:p>
  </w:footnote>
  <w:footnote w:id="203">
    <w:p w14:paraId="6DEEB7B9"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iCs/>
          <w:sz w:val="24"/>
        </w:rPr>
        <w:t xml:space="preserve">Wilson v Darling Island Stevedoring </w:t>
      </w:r>
      <w:r w:rsidRPr="00EA38BE">
        <w:rPr>
          <w:rFonts w:ascii="Times New Roman" w:hAnsi="Times New Roman"/>
          <w:i/>
          <w:sz w:val="24"/>
        </w:rPr>
        <w:t>and</w:t>
      </w:r>
      <w:r w:rsidRPr="00EA38BE">
        <w:rPr>
          <w:rFonts w:ascii="Times New Roman" w:hAnsi="Times New Roman"/>
          <w:i/>
          <w:iCs/>
          <w:sz w:val="24"/>
        </w:rPr>
        <w:t xml:space="preserve"> Lighterage Co Ltd </w:t>
      </w:r>
      <w:r w:rsidRPr="00EA38BE">
        <w:rPr>
          <w:rFonts w:ascii="Times New Roman" w:hAnsi="Times New Roman"/>
          <w:sz w:val="24"/>
        </w:rPr>
        <w:t xml:space="preserve">(1956) 95 CLR 43 at 67; </w:t>
      </w:r>
      <w:r w:rsidRPr="00EA38BE">
        <w:rPr>
          <w:rFonts w:ascii="Times New Roman" w:hAnsi="Times New Roman"/>
          <w:i/>
          <w:iCs/>
          <w:sz w:val="24"/>
        </w:rPr>
        <w:t xml:space="preserve">Bahr v Nicolay </w:t>
      </w:r>
      <w:r w:rsidRPr="00EA38BE">
        <w:rPr>
          <w:rFonts w:ascii="Times New Roman" w:hAnsi="Times New Roman"/>
          <w:i/>
          <w:sz w:val="24"/>
        </w:rPr>
        <w:t>[</w:t>
      </w:r>
      <w:r w:rsidRPr="00EA38BE">
        <w:rPr>
          <w:rFonts w:ascii="Times New Roman" w:hAnsi="Times New Roman"/>
          <w:i/>
          <w:iCs/>
          <w:sz w:val="24"/>
        </w:rPr>
        <w:t>No 2</w:t>
      </w:r>
      <w:r w:rsidRPr="00EA38BE">
        <w:rPr>
          <w:rFonts w:ascii="Times New Roman" w:hAnsi="Times New Roman"/>
          <w:i/>
          <w:sz w:val="24"/>
        </w:rPr>
        <w:t>]</w:t>
      </w:r>
      <w:r w:rsidRPr="00EA38BE">
        <w:rPr>
          <w:rFonts w:ascii="Times New Roman" w:hAnsi="Times New Roman"/>
          <w:i/>
          <w:iCs/>
          <w:sz w:val="24"/>
        </w:rPr>
        <w:t xml:space="preserve"> </w:t>
      </w:r>
      <w:r w:rsidRPr="00EA38BE">
        <w:rPr>
          <w:rFonts w:ascii="Times New Roman" w:hAnsi="Times New Roman"/>
          <w:sz w:val="24"/>
        </w:rPr>
        <w:t>(1988) 164 CLR 604 at 618.</w:t>
      </w:r>
    </w:p>
  </w:footnote>
  <w:footnote w:id="204">
    <w:p w14:paraId="7A0B33BB"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(2011) 242 CLR 421.</w:t>
      </w:r>
    </w:p>
  </w:footnote>
  <w:footnote w:id="205">
    <w:p w14:paraId="1ACC9322"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(2011) 242 CLR 421 at 435</w:t>
      </w:r>
      <w:r w:rsidRPr="00EA38BE">
        <w:rPr>
          <w:rFonts w:ascii="Times New Roman" w:hAnsi="Times New Roman"/>
          <w:sz w:val="24"/>
        </w:rPr>
        <w:noBreakHyphen/>
        <w:t>436 [37].</w:t>
      </w:r>
    </w:p>
  </w:footnote>
  <w:footnote w:id="206">
    <w:p w14:paraId="35353F1E"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(2011) 242 CLR 421 at 436 [37].</w:t>
      </w:r>
    </w:p>
  </w:footnote>
  <w:footnote w:id="207">
    <w:p w14:paraId="56C32B7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(2011) 242 CLR 421 at 425 [1].</w:t>
      </w:r>
    </w:p>
  </w:footnote>
  <w:footnote w:id="208">
    <w:p w14:paraId="1867CF66"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(1996) 68 FCR 406.</w:t>
      </w:r>
    </w:p>
  </w:footnote>
  <w:footnote w:id="209">
    <w:p w14:paraId="618C3AFE"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r>
      <w:r w:rsidRPr="00EA38BE">
        <w:rPr>
          <w:rFonts w:ascii="Times New Roman" w:hAnsi="Times New Roman"/>
          <w:i/>
          <w:sz w:val="24"/>
        </w:rPr>
        <w:t xml:space="preserve">Edwards v Santos Ltd </w:t>
      </w:r>
      <w:r w:rsidRPr="00EA38BE">
        <w:rPr>
          <w:rFonts w:ascii="Times New Roman" w:hAnsi="Times New Roman"/>
          <w:sz w:val="24"/>
        </w:rPr>
        <w:t>(2011) 242 CLR 421 at 436 [38].</w:t>
      </w:r>
    </w:p>
  </w:footnote>
  <w:footnote w:id="210">
    <w:p w14:paraId="5BC0124A"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(1996) 68 FCR 406 at 414.</w:t>
      </w:r>
    </w:p>
  </w:footnote>
  <w:footnote w:id="211">
    <w:p w14:paraId="728A8FEC"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(1996) 68 FCR 406 at 414.</w:t>
      </w:r>
    </w:p>
  </w:footnote>
  <w:footnote w:id="212">
    <w:p w14:paraId="48C0584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(1996) 68 FCR 406 at 415.</w:t>
      </w:r>
    </w:p>
  </w:footnote>
  <w:footnote w:id="213">
    <w:p w14:paraId="16078C43"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(1996) 68 FCR 406 at 408.</w:t>
      </w:r>
    </w:p>
  </w:footnote>
  <w:footnote w:id="214">
    <w:p w14:paraId="3A9CB278"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See </w:t>
      </w:r>
      <w:r w:rsidRPr="00EA38BE">
        <w:rPr>
          <w:rFonts w:ascii="Times New Roman" w:hAnsi="Times New Roman"/>
          <w:i/>
          <w:sz w:val="24"/>
        </w:rPr>
        <w:t>Aussie Airlines Pty Ltd v Australian Airlines Ltd [No 2]</w:t>
      </w:r>
      <w:r w:rsidRPr="00EA38BE">
        <w:rPr>
          <w:rFonts w:ascii="Times New Roman" w:hAnsi="Times New Roman"/>
          <w:sz w:val="24"/>
        </w:rPr>
        <w:t xml:space="preserve"> (1996) 67 FCR 451 at 454</w:t>
      </w:r>
      <w:r w:rsidRPr="00EA38BE">
        <w:rPr>
          <w:rFonts w:ascii="Times New Roman" w:hAnsi="Times New Roman"/>
          <w:sz w:val="24"/>
        </w:rPr>
        <w:noBreakHyphen/>
        <w:t>455.</w:t>
      </w:r>
    </w:p>
  </w:footnote>
  <w:footnote w:id="215">
    <w:p w14:paraId="28776E0D"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For completeness, the same two disputes also exist between APAL and the Northern Midlands Council.</w:t>
      </w:r>
    </w:p>
  </w:footnote>
  <w:footnote w:id="216">
    <w:p w14:paraId="08C5B501" w14:textId="77777777" w:rsidR="00744668" w:rsidRPr="00EA38BE" w:rsidRDefault="00744668" w:rsidP="00EA38BE">
      <w:pPr>
        <w:pStyle w:val="FootnoteText"/>
        <w:spacing w:line="280" w:lineRule="exact"/>
        <w:ind w:right="0"/>
        <w:jc w:val="both"/>
        <w:rPr>
          <w:rFonts w:ascii="Times New Roman" w:hAnsi="Times New Roman"/>
          <w:sz w:val="24"/>
        </w:rPr>
      </w:pPr>
      <w:r w:rsidRPr="00EA38BE">
        <w:rPr>
          <w:rStyle w:val="FootnoteReference"/>
          <w:rFonts w:ascii="Times New Roman" w:hAnsi="Times New Roman"/>
          <w:sz w:val="22"/>
          <w:vertAlign w:val="baseline"/>
        </w:rPr>
        <w:footnoteRef/>
      </w:r>
      <w:r w:rsidRPr="00EA38BE">
        <w:rPr>
          <w:rFonts w:ascii="Times New Roman" w:hAnsi="Times New Roman"/>
          <w:sz w:val="24"/>
        </w:rPr>
        <w:t xml:space="preserve"> </w:t>
      </w:r>
      <w:r w:rsidRPr="00EA38BE">
        <w:rPr>
          <w:rFonts w:ascii="Times New Roman" w:hAnsi="Times New Roman"/>
          <w:sz w:val="24"/>
        </w:rPr>
        <w:tab/>
        <w:t xml:space="preserve">cf </w:t>
      </w:r>
      <w:r w:rsidRPr="00EA38BE">
        <w:rPr>
          <w:rFonts w:ascii="Times New Roman" w:hAnsi="Times New Roman"/>
          <w:i/>
          <w:sz w:val="24"/>
        </w:rPr>
        <w:t>J Kitchen &amp; Sons Pty Ltd v Stewart's Cash and Carry Stores</w:t>
      </w:r>
      <w:r w:rsidRPr="00EA38BE">
        <w:rPr>
          <w:rFonts w:ascii="Times New Roman" w:hAnsi="Times New Roman"/>
          <w:sz w:val="24"/>
        </w:rPr>
        <w:t xml:space="preserve"> (1942) 66 CLR 116 at 124; </w:t>
      </w:r>
      <w:r w:rsidRPr="00EA38BE">
        <w:rPr>
          <w:rFonts w:ascii="Times New Roman" w:hAnsi="Times New Roman"/>
          <w:i/>
          <w:sz w:val="24"/>
        </w:rPr>
        <w:t>AMEV-UDC Finance Ltd v Austin</w:t>
      </w:r>
      <w:r w:rsidRPr="00EA38BE">
        <w:rPr>
          <w:rFonts w:ascii="Times New Roman" w:hAnsi="Times New Roman"/>
          <w:sz w:val="24"/>
        </w:rPr>
        <w:t xml:space="preserve"> (1986) 162 CLR 170 at 193; </w:t>
      </w:r>
      <w:r w:rsidRPr="00EA38BE">
        <w:rPr>
          <w:rFonts w:ascii="Times New Roman" w:hAnsi="Times New Roman"/>
          <w:i/>
          <w:sz w:val="24"/>
        </w:rPr>
        <w:t>International Air Transport Association v Ansett Australia Holdings Ltd</w:t>
      </w:r>
      <w:r w:rsidRPr="00EA38BE">
        <w:rPr>
          <w:rFonts w:ascii="Times New Roman" w:hAnsi="Times New Roman"/>
          <w:sz w:val="24"/>
        </w:rPr>
        <w:t xml:space="preserve"> (2008) 234 CLR 151 at 168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AAAB" w14:textId="77777777" w:rsidR="002849F1" w:rsidRPr="00F055FC" w:rsidRDefault="002849F1" w:rsidP="00F055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9765" w14:textId="77777777" w:rsidR="00EA38BE" w:rsidRPr="00EA38BE" w:rsidRDefault="00A52696" w:rsidP="00EA38BE">
    <w:pPr>
      <w:pStyle w:val="Header"/>
      <w:tabs>
        <w:tab w:val="clear" w:pos="4153"/>
        <w:tab w:val="clear" w:pos="8306"/>
        <w:tab w:val="right" w:pos="1304"/>
      </w:tabs>
      <w:spacing w:line="280" w:lineRule="exact"/>
      <w:ind w:firstLine="0"/>
      <w:rPr>
        <w:rFonts w:ascii="Times New Roman" w:hAnsi="Times New Roman"/>
        <w:i/>
        <w:sz w:val="22"/>
      </w:rPr>
    </w:pPr>
    <w:r w:rsidRPr="00EA38BE">
      <w:rPr>
        <w:rFonts w:ascii="Times New Roman" w:hAnsi="Times New Roman"/>
        <w:i/>
        <w:sz w:val="22"/>
      </w:rPr>
      <w:t>Edelman</w:t>
    </w:r>
    <w:r w:rsidRPr="00EA38BE">
      <w:rPr>
        <w:rFonts w:ascii="Times New Roman" w:hAnsi="Times New Roman"/>
        <w:i/>
        <w:sz w:val="22"/>
      </w:rPr>
      <w:tab/>
      <w:t>J</w:t>
    </w:r>
  </w:p>
  <w:p w14:paraId="3B65C1BA" w14:textId="77777777" w:rsidR="00EA38BE" w:rsidRDefault="00A52696" w:rsidP="00EA38B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9C5D3B6" w14:textId="77777777" w:rsidR="00EA38BE" w:rsidRDefault="00E60D6D" w:rsidP="00EA38BE">
    <w:pPr>
      <w:pStyle w:val="Header"/>
      <w:tabs>
        <w:tab w:val="clear" w:pos="4153"/>
        <w:tab w:val="clear" w:pos="8306"/>
        <w:tab w:val="right" w:pos="1304"/>
      </w:tabs>
      <w:spacing w:line="280" w:lineRule="exact"/>
      <w:ind w:firstLine="0"/>
      <w:rPr>
        <w:rFonts w:ascii="Times New Roman" w:hAnsi="Times New Roman"/>
        <w:i/>
        <w:sz w:val="22"/>
      </w:rPr>
    </w:pPr>
  </w:p>
  <w:p w14:paraId="4557D079" w14:textId="77777777" w:rsidR="00EA38BE" w:rsidRDefault="00A52696" w:rsidP="00EA38B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4E58640" w14:textId="77777777" w:rsidR="00EA38BE" w:rsidRPr="00EA38BE" w:rsidRDefault="00E60D6D" w:rsidP="00EA38B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5023" w14:textId="77777777" w:rsidR="00EA38BE" w:rsidRPr="00EA38BE" w:rsidRDefault="00A52696" w:rsidP="00EA38BE">
    <w:pPr>
      <w:pStyle w:val="Header"/>
      <w:tabs>
        <w:tab w:val="clear" w:pos="4153"/>
        <w:tab w:val="clear" w:pos="8306"/>
        <w:tab w:val="left" w:pos="7200"/>
        <w:tab w:val="right" w:pos="8504"/>
      </w:tabs>
      <w:spacing w:line="280" w:lineRule="exact"/>
      <w:jc w:val="right"/>
      <w:rPr>
        <w:rFonts w:ascii="Times New Roman" w:hAnsi="Times New Roman"/>
        <w:i/>
        <w:sz w:val="22"/>
      </w:rPr>
    </w:pPr>
    <w:r w:rsidRPr="00EA38BE">
      <w:rPr>
        <w:rFonts w:ascii="Times New Roman" w:hAnsi="Times New Roman"/>
        <w:i/>
        <w:sz w:val="22"/>
      </w:rPr>
      <w:tab/>
      <w:t>Edelman</w:t>
    </w:r>
    <w:r w:rsidRPr="00EA38BE">
      <w:rPr>
        <w:rFonts w:ascii="Times New Roman" w:hAnsi="Times New Roman"/>
        <w:i/>
        <w:sz w:val="22"/>
      </w:rPr>
      <w:tab/>
      <w:t>J</w:t>
    </w:r>
  </w:p>
  <w:p w14:paraId="28F52795" w14:textId="77777777" w:rsidR="00EA38BE" w:rsidRDefault="00A52696" w:rsidP="00EA38B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FFC42F0" w14:textId="77777777" w:rsidR="00EA38BE" w:rsidRDefault="00E60D6D" w:rsidP="00EA38BE">
    <w:pPr>
      <w:pStyle w:val="Header"/>
      <w:tabs>
        <w:tab w:val="clear" w:pos="4153"/>
        <w:tab w:val="clear" w:pos="8306"/>
        <w:tab w:val="left" w:pos="7200"/>
        <w:tab w:val="right" w:pos="8504"/>
      </w:tabs>
      <w:spacing w:line="280" w:lineRule="exact"/>
      <w:jc w:val="right"/>
      <w:rPr>
        <w:rFonts w:ascii="Times New Roman" w:hAnsi="Times New Roman"/>
        <w:i/>
        <w:sz w:val="22"/>
      </w:rPr>
    </w:pPr>
  </w:p>
  <w:p w14:paraId="6BA0D9C9" w14:textId="77777777" w:rsidR="00EA38BE" w:rsidRDefault="00A52696" w:rsidP="00EA38B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14CFE3BE" w14:textId="77777777" w:rsidR="00EA38BE" w:rsidRPr="00EA38BE" w:rsidRDefault="00E60D6D" w:rsidP="00EA38B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52BC" w14:textId="77777777" w:rsidR="00EA38BE" w:rsidRDefault="00E60D6D" w:rsidP="00EA38BE">
    <w:pPr>
      <w:pStyle w:val="Header"/>
      <w:tabs>
        <w:tab w:val="clear" w:pos="4153"/>
        <w:tab w:val="clear" w:pos="8306"/>
        <w:tab w:val="center" w:pos="1134"/>
      </w:tabs>
      <w:spacing w:line="280" w:lineRule="exact"/>
      <w:ind w:firstLine="0"/>
      <w:rPr>
        <w:rFonts w:ascii="Times New Roman" w:hAnsi="Times New Roman"/>
        <w:i/>
        <w:sz w:val="22"/>
      </w:rPr>
    </w:pPr>
  </w:p>
  <w:p w14:paraId="7278F227" w14:textId="77777777" w:rsidR="00EA38BE" w:rsidRDefault="00E60D6D" w:rsidP="00EA38BE">
    <w:pPr>
      <w:pStyle w:val="Header"/>
      <w:tabs>
        <w:tab w:val="clear" w:pos="4153"/>
        <w:tab w:val="clear" w:pos="8306"/>
        <w:tab w:val="center" w:pos="1134"/>
      </w:tabs>
      <w:spacing w:line="280" w:lineRule="exact"/>
      <w:ind w:firstLine="0"/>
      <w:rPr>
        <w:rFonts w:ascii="Times New Roman" w:hAnsi="Times New Roman"/>
        <w:i/>
        <w:sz w:val="22"/>
      </w:rPr>
    </w:pPr>
  </w:p>
  <w:p w14:paraId="24EEA5C0" w14:textId="77777777" w:rsidR="00EA38BE" w:rsidRDefault="00E60D6D" w:rsidP="00EA38BE">
    <w:pPr>
      <w:pStyle w:val="Header"/>
      <w:tabs>
        <w:tab w:val="clear" w:pos="4153"/>
        <w:tab w:val="clear" w:pos="8306"/>
        <w:tab w:val="center" w:pos="1134"/>
      </w:tabs>
      <w:spacing w:line="280" w:lineRule="exact"/>
      <w:ind w:firstLine="0"/>
      <w:rPr>
        <w:rFonts w:ascii="Times New Roman" w:hAnsi="Times New Roman"/>
        <w:i/>
        <w:sz w:val="22"/>
      </w:rPr>
    </w:pPr>
  </w:p>
  <w:p w14:paraId="725979A9" w14:textId="77777777" w:rsidR="00EA38BE" w:rsidRDefault="00E60D6D" w:rsidP="00EA38BE">
    <w:pPr>
      <w:pStyle w:val="Header"/>
      <w:tabs>
        <w:tab w:val="clear" w:pos="4153"/>
        <w:tab w:val="clear" w:pos="8306"/>
        <w:tab w:val="center" w:pos="1134"/>
      </w:tabs>
      <w:spacing w:line="280" w:lineRule="exact"/>
      <w:ind w:firstLine="0"/>
      <w:rPr>
        <w:rFonts w:ascii="Times New Roman" w:hAnsi="Times New Roman"/>
        <w:i/>
        <w:sz w:val="22"/>
      </w:rPr>
    </w:pPr>
  </w:p>
  <w:p w14:paraId="6D9D2A19" w14:textId="77777777" w:rsidR="00007073" w:rsidRPr="00EA38BE" w:rsidRDefault="00E60D6D" w:rsidP="00EA38BE">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119" w14:textId="08F50F8B" w:rsidR="002849F1" w:rsidRPr="00F055FC" w:rsidRDefault="00F055FC" w:rsidP="00F055F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E2BF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E2BF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1378" w14:textId="5ABA0088" w:rsidR="00B4112B" w:rsidRPr="00F055FC" w:rsidRDefault="00B4112B" w:rsidP="00F055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9C74" w14:textId="77777777" w:rsidR="00F055FC" w:rsidRPr="002849F1" w:rsidRDefault="00F055FC" w:rsidP="002849F1">
    <w:pPr>
      <w:pStyle w:val="Header"/>
      <w:tabs>
        <w:tab w:val="clear" w:pos="4153"/>
        <w:tab w:val="clear" w:pos="8306"/>
        <w:tab w:val="right" w:pos="1304"/>
      </w:tabs>
      <w:spacing w:line="280" w:lineRule="exact"/>
      <w:ind w:firstLine="0"/>
      <w:rPr>
        <w:rFonts w:ascii="Times New Roman" w:hAnsi="Times New Roman"/>
        <w:i/>
        <w:sz w:val="22"/>
      </w:rPr>
    </w:pPr>
    <w:r w:rsidRPr="002849F1">
      <w:rPr>
        <w:rFonts w:ascii="Times New Roman" w:hAnsi="Times New Roman"/>
        <w:i/>
        <w:sz w:val="22"/>
      </w:rPr>
      <w:t>Kiefel</w:t>
    </w:r>
    <w:r w:rsidRPr="002849F1">
      <w:rPr>
        <w:rFonts w:ascii="Times New Roman" w:hAnsi="Times New Roman"/>
        <w:i/>
        <w:sz w:val="22"/>
      </w:rPr>
      <w:tab/>
      <w:t>CJ</w:t>
    </w:r>
  </w:p>
  <w:p w14:paraId="6BB1F038" w14:textId="77777777" w:rsidR="00F055FC" w:rsidRPr="002849F1" w:rsidRDefault="00F055FC" w:rsidP="002849F1">
    <w:pPr>
      <w:pStyle w:val="Header"/>
      <w:tabs>
        <w:tab w:val="clear" w:pos="4153"/>
        <w:tab w:val="clear" w:pos="8306"/>
        <w:tab w:val="right" w:pos="1304"/>
      </w:tabs>
      <w:spacing w:line="280" w:lineRule="exact"/>
      <w:ind w:firstLine="0"/>
      <w:rPr>
        <w:rFonts w:ascii="Times New Roman" w:hAnsi="Times New Roman"/>
        <w:i/>
        <w:sz w:val="22"/>
      </w:rPr>
    </w:pPr>
    <w:r w:rsidRPr="002849F1">
      <w:rPr>
        <w:rFonts w:ascii="Times New Roman" w:hAnsi="Times New Roman"/>
        <w:i/>
        <w:sz w:val="22"/>
      </w:rPr>
      <w:t>Keane</w:t>
    </w:r>
    <w:r w:rsidRPr="002849F1">
      <w:rPr>
        <w:rFonts w:ascii="Times New Roman" w:hAnsi="Times New Roman"/>
        <w:i/>
        <w:sz w:val="22"/>
      </w:rPr>
      <w:tab/>
      <w:t>J</w:t>
    </w:r>
  </w:p>
  <w:p w14:paraId="24598BA2" w14:textId="77777777" w:rsidR="00F055FC" w:rsidRDefault="00F055FC" w:rsidP="002849F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A4E7FEC" w14:textId="77777777" w:rsidR="00F055FC" w:rsidRDefault="00F055FC" w:rsidP="002849F1">
    <w:pPr>
      <w:pStyle w:val="Header"/>
      <w:tabs>
        <w:tab w:val="clear" w:pos="4153"/>
        <w:tab w:val="clear" w:pos="8306"/>
        <w:tab w:val="right" w:pos="1304"/>
      </w:tabs>
      <w:spacing w:line="280" w:lineRule="exact"/>
      <w:ind w:firstLine="0"/>
      <w:rPr>
        <w:rFonts w:ascii="Times New Roman" w:hAnsi="Times New Roman"/>
        <w:i/>
        <w:sz w:val="22"/>
      </w:rPr>
    </w:pPr>
  </w:p>
  <w:p w14:paraId="508E51CE" w14:textId="77777777" w:rsidR="00F055FC" w:rsidRDefault="00F055FC" w:rsidP="002849F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E53A34" w14:textId="77777777" w:rsidR="00F055FC" w:rsidRPr="002849F1" w:rsidRDefault="00F055FC" w:rsidP="002849F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62D5" w14:textId="77777777" w:rsidR="00F055FC" w:rsidRPr="002849F1" w:rsidRDefault="00F055FC" w:rsidP="002849F1">
    <w:pPr>
      <w:pStyle w:val="Header"/>
      <w:tabs>
        <w:tab w:val="clear" w:pos="4153"/>
        <w:tab w:val="clear" w:pos="8306"/>
        <w:tab w:val="left" w:pos="7200"/>
        <w:tab w:val="right" w:pos="8504"/>
      </w:tabs>
      <w:spacing w:line="280" w:lineRule="exact"/>
      <w:jc w:val="right"/>
      <w:rPr>
        <w:rFonts w:ascii="Times New Roman" w:hAnsi="Times New Roman"/>
        <w:i/>
        <w:sz w:val="22"/>
      </w:rPr>
    </w:pPr>
    <w:r w:rsidRPr="002849F1">
      <w:rPr>
        <w:rFonts w:ascii="Times New Roman" w:hAnsi="Times New Roman"/>
        <w:i/>
        <w:sz w:val="22"/>
      </w:rPr>
      <w:tab/>
      <w:t>Kiefel</w:t>
    </w:r>
    <w:r w:rsidRPr="002849F1">
      <w:rPr>
        <w:rFonts w:ascii="Times New Roman" w:hAnsi="Times New Roman"/>
        <w:i/>
        <w:sz w:val="22"/>
      </w:rPr>
      <w:tab/>
      <w:t>CJ</w:t>
    </w:r>
  </w:p>
  <w:p w14:paraId="78D04C68" w14:textId="77777777" w:rsidR="00F055FC" w:rsidRPr="002849F1" w:rsidRDefault="00F055FC" w:rsidP="002849F1">
    <w:pPr>
      <w:pStyle w:val="Header"/>
      <w:tabs>
        <w:tab w:val="clear" w:pos="4153"/>
        <w:tab w:val="clear" w:pos="8306"/>
        <w:tab w:val="left" w:pos="7200"/>
        <w:tab w:val="right" w:pos="8504"/>
      </w:tabs>
      <w:spacing w:line="280" w:lineRule="exact"/>
      <w:jc w:val="right"/>
      <w:rPr>
        <w:rFonts w:ascii="Times New Roman" w:hAnsi="Times New Roman"/>
        <w:i/>
        <w:sz w:val="22"/>
      </w:rPr>
    </w:pPr>
    <w:r w:rsidRPr="002849F1">
      <w:rPr>
        <w:rFonts w:ascii="Times New Roman" w:hAnsi="Times New Roman"/>
        <w:i/>
        <w:sz w:val="22"/>
      </w:rPr>
      <w:tab/>
      <w:t>Keane</w:t>
    </w:r>
    <w:r w:rsidRPr="002849F1">
      <w:rPr>
        <w:rFonts w:ascii="Times New Roman" w:hAnsi="Times New Roman"/>
        <w:i/>
        <w:sz w:val="22"/>
      </w:rPr>
      <w:tab/>
      <w:t>J</w:t>
    </w:r>
  </w:p>
  <w:p w14:paraId="6A103979" w14:textId="77777777" w:rsidR="00F055FC" w:rsidRDefault="00F055FC" w:rsidP="002849F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0B79D55D" w14:textId="77777777" w:rsidR="00F055FC" w:rsidRDefault="00F055FC" w:rsidP="002849F1">
    <w:pPr>
      <w:pStyle w:val="Header"/>
      <w:tabs>
        <w:tab w:val="clear" w:pos="4153"/>
        <w:tab w:val="clear" w:pos="8306"/>
        <w:tab w:val="left" w:pos="7200"/>
        <w:tab w:val="right" w:pos="8504"/>
      </w:tabs>
      <w:spacing w:line="280" w:lineRule="exact"/>
      <w:jc w:val="right"/>
      <w:rPr>
        <w:rFonts w:ascii="Times New Roman" w:hAnsi="Times New Roman"/>
        <w:i/>
        <w:sz w:val="22"/>
      </w:rPr>
    </w:pPr>
  </w:p>
  <w:p w14:paraId="5BFB14AB" w14:textId="77777777" w:rsidR="00F055FC" w:rsidRDefault="00F055FC" w:rsidP="002849F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A54D3B0" w14:textId="77777777" w:rsidR="00F055FC" w:rsidRPr="002849F1" w:rsidRDefault="00F055FC" w:rsidP="002849F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2BE5" w14:textId="77777777" w:rsidR="00F055FC"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p w14:paraId="5380AED5" w14:textId="77777777" w:rsidR="00F055FC"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p w14:paraId="0AC00C88" w14:textId="77777777" w:rsidR="00F055FC"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p w14:paraId="04AD6725" w14:textId="77777777" w:rsidR="00F055FC"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p w14:paraId="0B5AB097" w14:textId="77777777" w:rsidR="00F055FC"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p w14:paraId="31354289" w14:textId="77777777" w:rsidR="00F055FC" w:rsidRPr="002849F1" w:rsidRDefault="00F055FC" w:rsidP="002849F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E1BE" w14:textId="77777777" w:rsidR="00857FFC" w:rsidRPr="00857FFC" w:rsidRDefault="00A52696" w:rsidP="00857FF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857FFC">
      <w:rPr>
        <w:rFonts w:ascii="Times New Roman" w:hAnsi="Times New Roman"/>
        <w:i/>
        <w:sz w:val="22"/>
      </w:rPr>
      <w:t>Gageler</w:t>
    </w:r>
    <w:proofErr w:type="spellEnd"/>
    <w:r w:rsidRPr="00857FFC">
      <w:rPr>
        <w:rFonts w:ascii="Times New Roman" w:hAnsi="Times New Roman"/>
        <w:i/>
        <w:sz w:val="22"/>
      </w:rPr>
      <w:tab/>
      <w:t>J</w:t>
    </w:r>
  </w:p>
  <w:p w14:paraId="15C6E9E1" w14:textId="77777777" w:rsidR="00857FFC" w:rsidRDefault="00A52696" w:rsidP="00857FF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B071008" w14:textId="77777777" w:rsidR="00857FFC" w:rsidRDefault="00E60D6D" w:rsidP="00857FFC">
    <w:pPr>
      <w:pStyle w:val="Header"/>
      <w:tabs>
        <w:tab w:val="clear" w:pos="4153"/>
        <w:tab w:val="clear" w:pos="8306"/>
        <w:tab w:val="right" w:pos="1304"/>
      </w:tabs>
      <w:spacing w:line="280" w:lineRule="exact"/>
      <w:ind w:firstLine="0"/>
      <w:rPr>
        <w:rFonts w:ascii="Times New Roman" w:hAnsi="Times New Roman"/>
        <w:i/>
        <w:sz w:val="22"/>
      </w:rPr>
    </w:pPr>
  </w:p>
  <w:p w14:paraId="28FEAFFA" w14:textId="77777777" w:rsidR="00857FFC" w:rsidRDefault="00A52696" w:rsidP="00857FF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DB1DA55" w14:textId="77777777" w:rsidR="00857FFC" w:rsidRPr="00857FFC" w:rsidRDefault="00E60D6D" w:rsidP="00857FF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9224" w14:textId="77777777" w:rsidR="00857FFC" w:rsidRPr="00857FFC" w:rsidRDefault="00A52696" w:rsidP="00857FFC">
    <w:pPr>
      <w:pStyle w:val="Header"/>
      <w:tabs>
        <w:tab w:val="clear" w:pos="4153"/>
        <w:tab w:val="clear" w:pos="8306"/>
        <w:tab w:val="left" w:pos="7200"/>
        <w:tab w:val="right" w:pos="8504"/>
      </w:tabs>
      <w:spacing w:line="280" w:lineRule="exact"/>
      <w:jc w:val="right"/>
      <w:rPr>
        <w:rFonts w:ascii="Times New Roman" w:hAnsi="Times New Roman"/>
        <w:i/>
        <w:sz w:val="22"/>
      </w:rPr>
    </w:pPr>
    <w:r w:rsidRPr="00857FFC">
      <w:rPr>
        <w:rFonts w:ascii="Times New Roman" w:hAnsi="Times New Roman"/>
        <w:i/>
        <w:sz w:val="22"/>
      </w:rPr>
      <w:tab/>
    </w:r>
    <w:proofErr w:type="spellStart"/>
    <w:r w:rsidRPr="00857FFC">
      <w:rPr>
        <w:rFonts w:ascii="Times New Roman" w:hAnsi="Times New Roman"/>
        <w:i/>
        <w:sz w:val="22"/>
      </w:rPr>
      <w:t>Gageler</w:t>
    </w:r>
    <w:proofErr w:type="spellEnd"/>
    <w:r w:rsidRPr="00857FFC">
      <w:rPr>
        <w:rFonts w:ascii="Times New Roman" w:hAnsi="Times New Roman"/>
        <w:i/>
        <w:sz w:val="22"/>
      </w:rPr>
      <w:tab/>
      <w:t>J</w:t>
    </w:r>
  </w:p>
  <w:p w14:paraId="0A2F44BA" w14:textId="77777777" w:rsidR="00857FFC" w:rsidRDefault="00A52696" w:rsidP="00857FF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26C3849" w14:textId="77777777" w:rsidR="00857FFC" w:rsidRDefault="00E60D6D" w:rsidP="00857FFC">
    <w:pPr>
      <w:pStyle w:val="Header"/>
      <w:tabs>
        <w:tab w:val="clear" w:pos="4153"/>
        <w:tab w:val="clear" w:pos="8306"/>
        <w:tab w:val="left" w:pos="7200"/>
        <w:tab w:val="right" w:pos="8504"/>
      </w:tabs>
      <w:spacing w:line="280" w:lineRule="exact"/>
      <w:jc w:val="right"/>
      <w:rPr>
        <w:rFonts w:ascii="Times New Roman" w:hAnsi="Times New Roman"/>
        <w:i/>
        <w:sz w:val="22"/>
      </w:rPr>
    </w:pPr>
  </w:p>
  <w:p w14:paraId="1CB82283" w14:textId="77777777" w:rsidR="00857FFC" w:rsidRDefault="00A52696" w:rsidP="00857FF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F10B4D5" w14:textId="77777777" w:rsidR="00857FFC" w:rsidRPr="00857FFC" w:rsidRDefault="00E60D6D" w:rsidP="00857FF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67CD" w14:textId="77777777" w:rsidR="00857FFC" w:rsidRDefault="00E60D6D" w:rsidP="00857FFC">
    <w:pPr>
      <w:pStyle w:val="Header"/>
      <w:tabs>
        <w:tab w:val="clear" w:pos="4153"/>
        <w:tab w:val="clear" w:pos="8306"/>
        <w:tab w:val="center" w:pos="1134"/>
      </w:tabs>
      <w:spacing w:line="280" w:lineRule="exact"/>
      <w:ind w:firstLine="0"/>
      <w:rPr>
        <w:rFonts w:ascii="Times New Roman" w:hAnsi="Times New Roman"/>
        <w:i/>
        <w:sz w:val="22"/>
      </w:rPr>
    </w:pPr>
  </w:p>
  <w:p w14:paraId="4F3D0E8B" w14:textId="77777777" w:rsidR="00857FFC" w:rsidRDefault="00E60D6D" w:rsidP="00857FFC">
    <w:pPr>
      <w:pStyle w:val="Header"/>
      <w:tabs>
        <w:tab w:val="clear" w:pos="4153"/>
        <w:tab w:val="clear" w:pos="8306"/>
        <w:tab w:val="center" w:pos="1134"/>
      </w:tabs>
      <w:spacing w:line="280" w:lineRule="exact"/>
      <w:ind w:firstLine="0"/>
      <w:rPr>
        <w:rFonts w:ascii="Times New Roman" w:hAnsi="Times New Roman"/>
        <w:i/>
        <w:sz w:val="22"/>
      </w:rPr>
    </w:pPr>
  </w:p>
  <w:p w14:paraId="7463D9FD" w14:textId="77777777" w:rsidR="00857FFC" w:rsidRDefault="00E60D6D" w:rsidP="00857FFC">
    <w:pPr>
      <w:pStyle w:val="Header"/>
      <w:tabs>
        <w:tab w:val="clear" w:pos="4153"/>
        <w:tab w:val="clear" w:pos="8306"/>
        <w:tab w:val="center" w:pos="1134"/>
      </w:tabs>
      <w:spacing w:line="280" w:lineRule="exact"/>
      <w:ind w:firstLine="0"/>
      <w:rPr>
        <w:rFonts w:ascii="Times New Roman" w:hAnsi="Times New Roman"/>
        <w:i/>
        <w:sz w:val="22"/>
      </w:rPr>
    </w:pPr>
  </w:p>
  <w:p w14:paraId="35AEA38A" w14:textId="77777777" w:rsidR="00857FFC" w:rsidRDefault="00E60D6D" w:rsidP="00857FFC">
    <w:pPr>
      <w:pStyle w:val="Header"/>
      <w:tabs>
        <w:tab w:val="clear" w:pos="4153"/>
        <w:tab w:val="clear" w:pos="8306"/>
        <w:tab w:val="center" w:pos="1134"/>
      </w:tabs>
      <w:spacing w:line="280" w:lineRule="exact"/>
      <w:ind w:firstLine="0"/>
      <w:rPr>
        <w:rFonts w:ascii="Times New Roman" w:hAnsi="Times New Roman"/>
        <w:i/>
        <w:sz w:val="22"/>
      </w:rPr>
    </w:pPr>
  </w:p>
  <w:p w14:paraId="07C4BCE1" w14:textId="77777777" w:rsidR="00C76279" w:rsidRPr="00857FFC" w:rsidRDefault="00E60D6D" w:rsidP="00857FF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B28B1"/>
    <w:multiLevelType w:val="hybridMultilevel"/>
    <w:tmpl w:val="AC280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018616B"/>
    <w:multiLevelType w:val="hybridMultilevel"/>
    <w:tmpl w:val="08B2D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C985E3B"/>
    <w:multiLevelType w:val="hybridMultilevel"/>
    <w:tmpl w:val="6C2C4E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33F1347"/>
    <w:multiLevelType w:val="hybridMultilevel"/>
    <w:tmpl w:val="98846B2E"/>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9"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A6295"/>
    <w:multiLevelType w:val="hybridMultilevel"/>
    <w:tmpl w:val="80CC8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3" w15:restartNumberingAfterBreak="0">
    <w:nsid w:val="62977492"/>
    <w:multiLevelType w:val="hybridMultilevel"/>
    <w:tmpl w:val="A6E8C4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EED3989"/>
    <w:multiLevelType w:val="hybridMultilevel"/>
    <w:tmpl w:val="0C6AAE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CF47A5A"/>
    <w:multiLevelType w:val="hybridMultilevel"/>
    <w:tmpl w:val="263083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6"/>
  </w:num>
  <w:num w:numId="4">
    <w:abstractNumId w:val="15"/>
  </w:num>
  <w:num w:numId="5">
    <w:abstractNumId w:val="21"/>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2"/>
  </w:num>
  <w:num w:numId="19">
    <w:abstractNumId w:val="12"/>
  </w:num>
  <w:num w:numId="20">
    <w:abstractNumId w:val="18"/>
  </w:num>
  <w:num w:numId="21">
    <w:abstractNumId w:val="22"/>
  </w:num>
  <w:num w:numId="22">
    <w:abstractNumId w:val="20"/>
  </w:num>
  <w:num w:numId="23">
    <w:abstractNumId w:val="14"/>
  </w:num>
  <w:num w:numId="24">
    <w:abstractNumId w:val="24"/>
  </w:num>
  <w:num w:numId="25">
    <w:abstractNumId w:val="16"/>
  </w:num>
  <w:num w:numId="26">
    <w:abstractNumId w:val="23"/>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BE"/>
    <w:rsid w:val="0000119A"/>
    <w:rsid w:val="00001A7E"/>
    <w:rsid w:val="00002069"/>
    <w:rsid w:val="0000225E"/>
    <w:rsid w:val="000023C3"/>
    <w:rsid w:val="00002CE6"/>
    <w:rsid w:val="0000316A"/>
    <w:rsid w:val="0000379D"/>
    <w:rsid w:val="00003D88"/>
    <w:rsid w:val="000046F2"/>
    <w:rsid w:val="000049B7"/>
    <w:rsid w:val="00005C82"/>
    <w:rsid w:val="00006F03"/>
    <w:rsid w:val="00007391"/>
    <w:rsid w:val="00011CC7"/>
    <w:rsid w:val="00012C8B"/>
    <w:rsid w:val="000133F5"/>
    <w:rsid w:val="00013A9B"/>
    <w:rsid w:val="000144A7"/>
    <w:rsid w:val="00014560"/>
    <w:rsid w:val="00014B34"/>
    <w:rsid w:val="00014C47"/>
    <w:rsid w:val="00015C60"/>
    <w:rsid w:val="000168C9"/>
    <w:rsid w:val="00016C20"/>
    <w:rsid w:val="00016DBB"/>
    <w:rsid w:val="00016DCD"/>
    <w:rsid w:val="00017144"/>
    <w:rsid w:val="00017D89"/>
    <w:rsid w:val="00017EDB"/>
    <w:rsid w:val="0002057F"/>
    <w:rsid w:val="000213A5"/>
    <w:rsid w:val="000228DC"/>
    <w:rsid w:val="00023A8E"/>
    <w:rsid w:val="000250AF"/>
    <w:rsid w:val="00025490"/>
    <w:rsid w:val="0002561E"/>
    <w:rsid w:val="0002568D"/>
    <w:rsid w:val="00025E72"/>
    <w:rsid w:val="000268E1"/>
    <w:rsid w:val="000272D4"/>
    <w:rsid w:val="000275CC"/>
    <w:rsid w:val="0002799D"/>
    <w:rsid w:val="00027BC8"/>
    <w:rsid w:val="00027F1C"/>
    <w:rsid w:val="00030DEC"/>
    <w:rsid w:val="000318C4"/>
    <w:rsid w:val="0003280B"/>
    <w:rsid w:val="00032E48"/>
    <w:rsid w:val="00033296"/>
    <w:rsid w:val="00033D4A"/>
    <w:rsid w:val="0003575A"/>
    <w:rsid w:val="000359C9"/>
    <w:rsid w:val="00035F61"/>
    <w:rsid w:val="000360EB"/>
    <w:rsid w:val="000361AA"/>
    <w:rsid w:val="000375D6"/>
    <w:rsid w:val="00037A5F"/>
    <w:rsid w:val="00037D87"/>
    <w:rsid w:val="000410B6"/>
    <w:rsid w:val="000414A8"/>
    <w:rsid w:val="00043D2C"/>
    <w:rsid w:val="00044688"/>
    <w:rsid w:val="00044AAA"/>
    <w:rsid w:val="00045D70"/>
    <w:rsid w:val="00046812"/>
    <w:rsid w:val="000504FC"/>
    <w:rsid w:val="000534EC"/>
    <w:rsid w:val="00055ACD"/>
    <w:rsid w:val="00056744"/>
    <w:rsid w:val="00056F27"/>
    <w:rsid w:val="00057030"/>
    <w:rsid w:val="00057051"/>
    <w:rsid w:val="00057256"/>
    <w:rsid w:val="000573AF"/>
    <w:rsid w:val="000606A5"/>
    <w:rsid w:val="00060B97"/>
    <w:rsid w:val="0006169E"/>
    <w:rsid w:val="000626FD"/>
    <w:rsid w:val="0006432B"/>
    <w:rsid w:val="000647D1"/>
    <w:rsid w:val="000653D4"/>
    <w:rsid w:val="00065AAD"/>
    <w:rsid w:val="00065E3E"/>
    <w:rsid w:val="00070683"/>
    <w:rsid w:val="00071C35"/>
    <w:rsid w:val="00072203"/>
    <w:rsid w:val="000733A1"/>
    <w:rsid w:val="00074CFC"/>
    <w:rsid w:val="00075F50"/>
    <w:rsid w:val="000762BE"/>
    <w:rsid w:val="00080D77"/>
    <w:rsid w:val="00081852"/>
    <w:rsid w:val="00082744"/>
    <w:rsid w:val="000827FB"/>
    <w:rsid w:val="00082868"/>
    <w:rsid w:val="0008435D"/>
    <w:rsid w:val="0008459B"/>
    <w:rsid w:val="0008558C"/>
    <w:rsid w:val="00085F13"/>
    <w:rsid w:val="00086B91"/>
    <w:rsid w:val="00087488"/>
    <w:rsid w:val="00087EEC"/>
    <w:rsid w:val="00091E74"/>
    <w:rsid w:val="00093ECC"/>
    <w:rsid w:val="00094ECB"/>
    <w:rsid w:val="00094FA9"/>
    <w:rsid w:val="00096060"/>
    <w:rsid w:val="000962A4"/>
    <w:rsid w:val="000962D9"/>
    <w:rsid w:val="00096AC7"/>
    <w:rsid w:val="00096FE7"/>
    <w:rsid w:val="0009715F"/>
    <w:rsid w:val="000973F4"/>
    <w:rsid w:val="0009774B"/>
    <w:rsid w:val="00097826"/>
    <w:rsid w:val="000A1133"/>
    <w:rsid w:val="000A28D4"/>
    <w:rsid w:val="000A2D3B"/>
    <w:rsid w:val="000A2EB4"/>
    <w:rsid w:val="000A3951"/>
    <w:rsid w:val="000A3DA3"/>
    <w:rsid w:val="000A5AEC"/>
    <w:rsid w:val="000A63C6"/>
    <w:rsid w:val="000A7C2D"/>
    <w:rsid w:val="000B0E80"/>
    <w:rsid w:val="000B1DB6"/>
    <w:rsid w:val="000B2302"/>
    <w:rsid w:val="000B358A"/>
    <w:rsid w:val="000B3FBB"/>
    <w:rsid w:val="000B4630"/>
    <w:rsid w:val="000B497F"/>
    <w:rsid w:val="000B4EE8"/>
    <w:rsid w:val="000B530E"/>
    <w:rsid w:val="000B5A87"/>
    <w:rsid w:val="000B5CF5"/>
    <w:rsid w:val="000B5E2B"/>
    <w:rsid w:val="000B5E39"/>
    <w:rsid w:val="000B6509"/>
    <w:rsid w:val="000B6E3B"/>
    <w:rsid w:val="000B710D"/>
    <w:rsid w:val="000B7558"/>
    <w:rsid w:val="000C0062"/>
    <w:rsid w:val="000C04DC"/>
    <w:rsid w:val="000C0D98"/>
    <w:rsid w:val="000C11D8"/>
    <w:rsid w:val="000C1E11"/>
    <w:rsid w:val="000C1F00"/>
    <w:rsid w:val="000C24F6"/>
    <w:rsid w:val="000C32EB"/>
    <w:rsid w:val="000C4952"/>
    <w:rsid w:val="000C4F6F"/>
    <w:rsid w:val="000C53EA"/>
    <w:rsid w:val="000C56E3"/>
    <w:rsid w:val="000C6A69"/>
    <w:rsid w:val="000C74F7"/>
    <w:rsid w:val="000C794C"/>
    <w:rsid w:val="000C7CEC"/>
    <w:rsid w:val="000C7E2D"/>
    <w:rsid w:val="000D0049"/>
    <w:rsid w:val="000D08A0"/>
    <w:rsid w:val="000D25E6"/>
    <w:rsid w:val="000D25E8"/>
    <w:rsid w:val="000D30BF"/>
    <w:rsid w:val="000D418B"/>
    <w:rsid w:val="000D4F29"/>
    <w:rsid w:val="000D564C"/>
    <w:rsid w:val="000D7C99"/>
    <w:rsid w:val="000E043B"/>
    <w:rsid w:val="000E090C"/>
    <w:rsid w:val="000E37CD"/>
    <w:rsid w:val="000E539D"/>
    <w:rsid w:val="000E5755"/>
    <w:rsid w:val="000E6129"/>
    <w:rsid w:val="000E65F7"/>
    <w:rsid w:val="000E66B2"/>
    <w:rsid w:val="000E7E8B"/>
    <w:rsid w:val="000F1345"/>
    <w:rsid w:val="000F4654"/>
    <w:rsid w:val="000F4B5C"/>
    <w:rsid w:val="000F5528"/>
    <w:rsid w:val="000F7FAB"/>
    <w:rsid w:val="001001B9"/>
    <w:rsid w:val="0010028D"/>
    <w:rsid w:val="00101B8F"/>
    <w:rsid w:val="00102254"/>
    <w:rsid w:val="00103654"/>
    <w:rsid w:val="001054B7"/>
    <w:rsid w:val="00106A52"/>
    <w:rsid w:val="0010702C"/>
    <w:rsid w:val="00110970"/>
    <w:rsid w:val="00110CB6"/>
    <w:rsid w:val="00111568"/>
    <w:rsid w:val="00111CA6"/>
    <w:rsid w:val="00111F53"/>
    <w:rsid w:val="001120C0"/>
    <w:rsid w:val="0011226E"/>
    <w:rsid w:val="001150BF"/>
    <w:rsid w:val="00115EB0"/>
    <w:rsid w:val="001168F2"/>
    <w:rsid w:val="001169A0"/>
    <w:rsid w:val="001179A4"/>
    <w:rsid w:val="00117EAC"/>
    <w:rsid w:val="00120207"/>
    <w:rsid w:val="00120493"/>
    <w:rsid w:val="00120616"/>
    <w:rsid w:val="00120C42"/>
    <w:rsid w:val="00120FA6"/>
    <w:rsid w:val="0012226B"/>
    <w:rsid w:val="001223FB"/>
    <w:rsid w:val="00122BAB"/>
    <w:rsid w:val="00123C1B"/>
    <w:rsid w:val="00124B8F"/>
    <w:rsid w:val="00124C02"/>
    <w:rsid w:val="00125E3C"/>
    <w:rsid w:val="00126A0C"/>
    <w:rsid w:val="00126DF3"/>
    <w:rsid w:val="00130569"/>
    <w:rsid w:val="001306D3"/>
    <w:rsid w:val="0013072E"/>
    <w:rsid w:val="001307D2"/>
    <w:rsid w:val="001309BF"/>
    <w:rsid w:val="00130FF0"/>
    <w:rsid w:val="0013329F"/>
    <w:rsid w:val="00133E7E"/>
    <w:rsid w:val="0013456F"/>
    <w:rsid w:val="001345DD"/>
    <w:rsid w:val="00135034"/>
    <w:rsid w:val="001353E2"/>
    <w:rsid w:val="00136B6B"/>
    <w:rsid w:val="00137960"/>
    <w:rsid w:val="001403A0"/>
    <w:rsid w:val="0014158B"/>
    <w:rsid w:val="0014187B"/>
    <w:rsid w:val="00142072"/>
    <w:rsid w:val="00142534"/>
    <w:rsid w:val="00142741"/>
    <w:rsid w:val="00143FCB"/>
    <w:rsid w:val="00145627"/>
    <w:rsid w:val="001461B8"/>
    <w:rsid w:val="00146A41"/>
    <w:rsid w:val="0014799A"/>
    <w:rsid w:val="001479E4"/>
    <w:rsid w:val="00151679"/>
    <w:rsid w:val="00151B13"/>
    <w:rsid w:val="00151C9A"/>
    <w:rsid w:val="0015267C"/>
    <w:rsid w:val="0015318E"/>
    <w:rsid w:val="001547BF"/>
    <w:rsid w:val="001557AB"/>
    <w:rsid w:val="00155DB4"/>
    <w:rsid w:val="00156B75"/>
    <w:rsid w:val="00157504"/>
    <w:rsid w:val="00160C15"/>
    <w:rsid w:val="00161018"/>
    <w:rsid w:val="001612A4"/>
    <w:rsid w:val="001613C3"/>
    <w:rsid w:val="00161A33"/>
    <w:rsid w:val="00163D92"/>
    <w:rsid w:val="00164144"/>
    <w:rsid w:val="0016447F"/>
    <w:rsid w:val="001645A9"/>
    <w:rsid w:val="001647EA"/>
    <w:rsid w:val="0016525E"/>
    <w:rsid w:val="00165A0C"/>
    <w:rsid w:val="0016603C"/>
    <w:rsid w:val="001678DA"/>
    <w:rsid w:val="001701E2"/>
    <w:rsid w:val="00171C7A"/>
    <w:rsid w:val="00171D8D"/>
    <w:rsid w:val="00172712"/>
    <w:rsid w:val="00172ADE"/>
    <w:rsid w:val="00173435"/>
    <w:rsid w:val="001742CA"/>
    <w:rsid w:val="00175703"/>
    <w:rsid w:val="001758DE"/>
    <w:rsid w:val="00176D25"/>
    <w:rsid w:val="00176F07"/>
    <w:rsid w:val="00177CB0"/>
    <w:rsid w:val="00180031"/>
    <w:rsid w:val="001817BA"/>
    <w:rsid w:val="00182CAE"/>
    <w:rsid w:val="00182D6E"/>
    <w:rsid w:val="00182F1B"/>
    <w:rsid w:val="00183224"/>
    <w:rsid w:val="0018342E"/>
    <w:rsid w:val="00183D15"/>
    <w:rsid w:val="001840C2"/>
    <w:rsid w:val="00184B46"/>
    <w:rsid w:val="00185939"/>
    <w:rsid w:val="001860FD"/>
    <w:rsid w:val="001876F6"/>
    <w:rsid w:val="00187F36"/>
    <w:rsid w:val="00190706"/>
    <w:rsid w:val="00190BAC"/>
    <w:rsid w:val="00191A22"/>
    <w:rsid w:val="00191E23"/>
    <w:rsid w:val="001934E3"/>
    <w:rsid w:val="001939EB"/>
    <w:rsid w:val="00193CAD"/>
    <w:rsid w:val="00194084"/>
    <w:rsid w:val="00194D3B"/>
    <w:rsid w:val="00194D82"/>
    <w:rsid w:val="001953B1"/>
    <w:rsid w:val="001956BC"/>
    <w:rsid w:val="00195FFD"/>
    <w:rsid w:val="001963C0"/>
    <w:rsid w:val="00196759"/>
    <w:rsid w:val="00197956"/>
    <w:rsid w:val="001979E3"/>
    <w:rsid w:val="001A0254"/>
    <w:rsid w:val="001A0B17"/>
    <w:rsid w:val="001A0C1C"/>
    <w:rsid w:val="001A17A7"/>
    <w:rsid w:val="001A1E12"/>
    <w:rsid w:val="001A24D3"/>
    <w:rsid w:val="001A2B95"/>
    <w:rsid w:val="001A2C46"/>
    <w:rsid w:val="001A3031"/>
    <w:rsid w:val="001A37C9"/>
    <w:rsid w:val="001A3EE9"/>
    <w:rsid w:val="001A446E"/>
    <w:rsid w:val="001A5333"/>
    <w:rsid w:val="001A53B1"/>
    <w:rsid w:val="001A7022"/>
    <w:rsid w:val="001A778E"/>
    <w:rsid w:val="001A7828"/>
    <w:rsid w:val="001A7BF8"/>
    <w:rsid w:val="001B0FA3"/>
    <w:rsid w:val="001B0FB5"/>
    <w:rsid w:val="001B17A8"/>
    <w:rsid w:val="001B18F7"/>
    <w:rsid w:val="001B1983"/>
    <w:rsid w:val="001B21C7"/>
    <w:rsid w:val="001B3E6E"/>
    <w:rsid w:val="001B562A"/>
    <w:rsid w:val="001B60E2"/>
    <w:rsid w:val="001B63C6"/>
    <w:rsid w:val="001B650F"/>
    <w:rsid w:val="001B7893"/>
    <w:rsid w:val="001B79D5"/>
    <w:rsid w:val="001C092C"/>
    <w:rsid w:val="001C0D44"/>
    <w:rsid w:val="001C48D4"/>
    <w:rsid w:val="001C6796"/>
    <w:rsid w:val="001C7C93"/>
    <w:rsid w:val="001C7F6E"/>
    <w:rsid w:val="001D08E2"/>
    <w:rsid w:val="001D2E6D"/>
    <w:rsid w:val="001D36CD"/>
    <w:rsid w:val="001D4219"/>
    <w:rsid w:val="001D4F49"/>
    <w:rsid w:val="001D56FB"/>
    <w:rsid w:val="001D634A"/>
    <w:rsid w:val="001D7982"/>
    <w:rsid w:val="001E024F"/>
    <w:rsid w:val="001E0C6F"/>
    <w:rsid w:val="001E1D3D"/>
    <w:rsid w:val="001E331F"/>
    <w:rsid w:val="001E3400"/>
    <w:rsid w:val="001E41C4"/>
    <w:rsid w:val="001E42F6"/>
    <w:rsid w:val="001E4381"/>
    <w:rsid w:val="001E47D1"/>
    <w:rsid w:val="001E4A36"/>
    <w:rsid w:val="001E5C48"/>
    <w:rsid w:val="001E5EB8"/>
    <w:rsid w:val="001E62F2"/>
    <w:rsid w:val="001E6A64"/>
    <w:rsid w:val="001E6D28"/>
    <w:rsid w:val="001E75C5"/>
    <w:rsid w:val="001F00D3"/>
    <w:rsid w:val="001F0370"/>
    <w:rsid w:val="001F11B6"/>
    <w:rsid w:val="001F1494"/>
    <w:rsid w:val="001F1DDA"/>
    <w:rsid w:val="001F2CF3"/>
    <w:rsid w:val="001F3662"/>
    <w:rsid w:val="001F3F2A"/>
    <w:rsid w:val="001F4881"/>
    <w:rsid w:val="001F4E1E"/>
    <w:rsid w:val="001F69C2"/>
    <w:rsid w:val="001F755F"/>
    <w:rsid w:val="001F76A6"/>
    <w:rsid w:val="001F7D22"/>
    <w:rsid w:val="002004A8"/>
    <w:rsid w:val="0020056C"/>
    <w:rsid w:val="0020169E"/>
    <w:rsid w:val="0020217A"/>
    <w:rsid w:val="00203C7C"/>
    <w:rsid w:val="00204315"/>
    <w:rsid w:val="002048D1"/>
    <w:rsid w:val="0020592D"/>
    <w:rsid w:val="00206085"/>
    <w:rsid w:val="00206F57"/>
    <w:rsid w:val="002079CB"/>
    <w:rsid w:val="00207E2D"/>
    <w:rsid w:val="0021096E"/>
    <w:rsid w:val="00210DE8"/>
    <w:rsid w:val="00211A7D"/>
    <w:rsid w:val="00211D73"/>
    <w:rsid w:val="002121B2"/>
    <w:rsid w:val="0021286A"/>
    <w:rsid w:val="00212A3E"/>
    <w:rsid w:val="00213EA3"/>
    <w:rsid w:val="00214BF2"/>
    <w:rsid w:val="00215A7F"/>
    <w:rsid w:val="00216522"/>
    <w:rsid w:val="002168E2"/>
    <w:rsid w:val="00217C69"/>
    <w:rsid w:val="00221D19"/>
    <w:rsid w:val="0022219A"/>
    <w:rsid w:val="00222FE2"/>
    <w:rsid w:val="00223BD9"/>
    <w:rsid w:val="00223FEB"/>
    <w:rsid w:val="00224847"/>
    <w:rsid w:val="00225627"/>
    <w:rsid w:val="00225F6C"/>
    <w:rsid w:val="002260B7"/>
    <w:rsid w:val="00226155"/>
    <w:rsid w:val="0022626C"/>
    <w:rsid w:val="0022666B"/>
    <w:rsid w:val="0022725C"/>
    <w:rsid w:val="0022734D"/>
    <w:rsid w:val="002274BD"/>
    <w:rsid w:val="00230EFF"/>
    <w:rsid w:val="00232A52"/>
    <w:rsid w:val="0023421A"/>
    <w:rsid w:val="002343CE"/>
    <w:rsid w:val="0023447F"/>
    <w:rsid w:val="002346A0"/>
    <w:rsid w:val="00235021"/>
    <w:rsid w:val="002350B3"/>
    <w:rsid w:val="00235358"/>
    <w:rsid w:val="00236859"/>
    <w:rsid w:val="00236A27"/>
    <w:rsid w:val="00236AF6"/>
    <w:rsid w:val="00236E3B"/>
    <w:rsid w:val="0023798E"/>
    <w:rsid w:val="00237B2A"/>
    <w:rsid w:val="00237C37"/>
    <w:rsid w:val="002400C3"/>
    <w:rsid w:val="00240DCF"/>
    <w:rsid w:val="002413D1"/>
    <w:rsid w:val="00241A73"/>
    <w:rsid w:val="002429FD"/>
    <w:rsid w:val="00242A73"/>
    <w:rsid w:val="00242EE4"/>
    <w:rsid w:val="00243B88"/>
    <w:rsid w:val="0024462E"/>
    <w:rsid w:val="00245A68"/>
    <w:rsid w:val="0024626F"/>
    <w:rsid w:val="002469E9"/>
    <w:rsid w:val="002474FA"/>
    <w:rsid w:val="002502C0"/>
    <w:rsid w:val="00250D3D"/>
    <w:rsid w:val="00252885"/>
    <w:rsid w:val="00253493"/>
    <w:rsid w:val="0025416C"/>
    <w:rsid w:val="0025724D"/>
    <w:rsid w:val="002576DF"/>
    <w:rsid w:val="0025773F"/>
    <w:rsid w:val="00257AFB"/>
    <w:rsid w:val="002601C5"/>
    <w:rsid w:val="00261455"/>
    <w:rsid w:val="00261484"/>
    <w:rsid w:val="00262222"/>
    <w:rsid w:val="002622D2"/>
    <w:rsid w:val="0026293D"/>
    <w:rsid w:val="0026366F"/>
    <w:rsid w:val="002638FF"/>
    <w:rsid w:val="00263A5E"/>
    <w:rsid w:val="0026461D"/>
    <w:rsid w:val="00265982"/>
    <w:rsid w:val="0026748D"/>
    <w:rsid w:val="00267D9D"/>
    <w:rsid w:val="00270103"/>
    <w:rsid w:val="00270154"/>
    <w:rsid w:val="00270DC2"/>
    <w:rsid w:val="0027104E"/>
    <w:rsid w:val="002714C8"/>
    <w:rsid w:val="00271F70"/>
    <w:rsid w:val="0027208B"/>
    <w:rsid w:val="00272119"/>
    <w:rsid w:val="0027408B"/>
    <w:rsid w:val="002745E9"/>
    <w:rsid w:val="0027485B"/>
    <w:rsid w:val="00275483"/>
    <w:rsid w:val="00275632"/>
    <w:rsid w:val="00276B56"/>
    <w:rsid w:val="002807C8"/>
    <w:rsid w:val="00280F46"/>
    <w:rsid w:val="002819FD"/>
    <w:rsid w:val="0028456A"/>
    <w:rsid w:val="002849F1"/>
    <w:rsid w:val="00284C8B"/>
    <w:rsid w:val="0028583A"/>
    <w:rsid w:val="00286B1D"/>
    <w:rsid w:val="00287207"/>
    <w:rsid w:val="00287368"/>
    <w:rsid w:val="00287873"/>
    <w:rsid w:val="00287D6E"/>
    <w:rsid w:val="002916CC"/>
    <w:rsid w:val="00291A84"/>
    <w:rsid w:val="0029278C"/>
    <w:rsid w:val="00292B23"/>
    <w:rsid w:val="00292E65"/>
    <w:rsid w:val="0029384A"/>
    <w:rsid w:val="00293D1E"/>
    <w:rsid w:val="002942EF"/>
    <w:rsid w:val="00294C21"/>
    <w:rsid w:val="00296496"/>
    <w:rsid w:val="0029697C"/>
    <w:rsid w:val="002979F1"/>
    <w:rsid w:val="002A02E8"/>
    <w:rsid w:val="002A13E1"/>
    <w:rsid w:val="002A1DCB"/>
    <w:rsid w:val="002A2803"/>
    <w:rsid w:val="002A3248"/>
    <w:rsid w:val="002A4F19"/>
    <w:rsid w:val="002A50F2"/>
    <w:rsid w:val="002A56C0"/>
    <w:rsid w:val="002A65CE"/>
    <w:rsid w:val="002A7CC5"/>
    <w:rsid w:val="002B0746"/>
    <w:rsid w:val="002B0846"/>
    <w:rsid w:val="002B1304"/>
    <w:rsid w:val="002B21FF"/>
    <w:rsid w:val="002B39BC"/>
    <w:rsid w:val="002B4877"/>
    <w:rsid w:val="002B5947"/>
    <w:rsid w:val="002B59B9"/>
    <w:rsid w:val="002B7785"/>
    <w:rsid w:val="002C2106"/>
    <w:rsid w:val="002C2160"/>
    <w:rsid w:val="002C28E9"/>
    <w:rsid w:val="002C3997"/>
    <w:rsid w:val="002C3E6F"/>
    <w:rsid w:val="002C45E9"/>
    <w:rsid w:val="002C5981"/>
    <w:rsid w:val="002C5D07"/>
    <w:rsid w:val="002C6AA7"/>
    <w:rsid w:val="002C6BD9"/>
    <w:rsid w:val="002C7083"/>
    <w:rsid w:val="002C7BC4"/>
    <w:rsid w:val="002D0410"/>
    <w:rsid w:val="002D0899"/>
    <w:rsid w:val="002D1707"/>
    <w:rsid w:val="002D17E2"/>
    <w:rsid w:val="002D1D14"/>
    <w:rsid w:val="002D2B21"/>
    <w:rsid w:val="002D3F5B"/>
    <w:rsid w:val="002D45AB"/>
    <w:rsid w:val="002D4C1F"/>
    <w:rsid w:val="002D538D"/>
    <w:rsid w:val="002D66C2"/>
    <w:rsid w:val="002D6716"/>
    <w:rsid w:val="002D7154"/>
    <w:rsid w:val="002D7E8E"/>
    <w:rsid w:val="002E0073"/>
    <w:rsid w:val="002E0EC8"/>
    <w:rsid w:val="002E2098"/>
    <w:rsid w:val="002E21A4"/>
    <w:rsid w:val="002E278F"/>
    <w:rsid w:val="002E2955"/>
    <w:rsid w:val="002E3085"/>
    <w:rsid w:val="002E3B4D"/>
    <w:rsid w:val="002E45E8"/>
    <w:rsid w:val="002E6C93"/>
    <w:rsid w:val="002F01FC"/>
    <w:rsid w:val="002F0522"/>
    <w:rsid w:val="002F0734"/>
    <w:rsid w:val="002F0883"/>
    <w:rsid w:val="002F13D2"/>
    <w:rsid w:val="002F1718"/>
    <w:rsid w:val="002F223B"/>
    <w:rsid w:val="002F3921"/>
    <w:rsid w:val="002F5535"/>
    <w:rsid w:val="002F6B02"/>
    <w:rsid w:val="002F6EBE"/>
    <w:rsid w:val="00300431"/>
    <w:rsid w:val="003005AC"/>
    <w:rsid w:val="0030063E"/>
    <w:rsid w:val="003007D9"/>
    <w:rsid w:val="00301975"/>
    <w:rsid w:val="00302DA3"/>
    <w:rsid w:val="00302FE3"/>
    <w:rsid w:val="00303E4C"/>
    <w:rsid w:val="00305399"/>
    <w:rsid w:val="0030542C"/>
    <w:rsid w:val="00305E9E"/>
    <w:rsid w:val="003060FF"/>
    <w:rsid w:val="00306638"/>
    <w:rsid w:val="003072A5"/>
    <w:rsid w:val="003100D9"/>
    <w:rsid w:val="00310418"/>
    <w:rsid w:val="003109A4"/>
    <w:rsid w:val="0031166E"/>
    <w:rsid w:val="00311AE2"/>
    <w:rsid w:val="00312F07"/>
    <w:rsid w:val="00312FFC"/>
    <w:rsid w:val="00313F38"/>
    <w:rsid w:val="003150BF"/>
    <w:rsid w:val="003150CE"/>
    <w:rsid w:val="003155D7"/>
    <w:rsid w:val="00315E92"/>
    <w:rsid w:val="00315EDA"/>
    <w:rsid w:val="00316388"/>
    <w:rsid w:val="00316D3F"/>
    <w:rsid w:val="0032109E"/>
    <w:rsid w:val="00321A15"/>
    <w:rsid w:val="00322911"/>
    <w:rsid w:val="00322C0A"/>
    <w:rsid w:val="003233FC"/>
    <w:rsid w:val="003236F2"/>
    <w:rsid w:val="00323B9E"/>
    <w:rsid w:val="00324AE5"/>
    <w:rsid w:val="00325086"/>
    <w:rsid w:val="00325111"/>
    <w:rsid w:val="00326F5C"/>
    <w:rsid w:val="00327EF8"/>
    <w:rsid w:val="00330545"/>
    <w:rsid w:val="00330804"/>
    <w:rsid w:val="0033144F"/>
    <w:rsid w:val="0033159B"/>
    <w:rsid w:val="00332188"/>
    <w:rsid w:val="00334178"/>
    <w:rsid w:val="00334A6B"/>
    <w:rsid w:val="00335D34"/>
    <w:rsid w:val="00336422"/>
    <w:rsid w:val="003366B2"/>
    <w:rsid w:val="003368AC"/>
    <w:rsid w:val="00337FB8"/>
    <w:rsid w:val="00340066"/>
    <w:rsid w:val="0034042B"/>
    <w:rsid w:val="00340A68"/>
    <w:rsid w:val="00341619"/>
    <w:rsid w:val="003420E8"/>
    <w:rsid w:val="0034288B"/>
    <w:rsid w:val="0034332B"/>
    <w:rsid w:val="003443A5"/>
    <w:rsid w:val="00344DC4"/>
    <w:rsid w:val="00344E21"/>
    <w:rsid w:val="00346059"/>
    <w:rsid w:val="0034681C"/>
    <w:rsid w:val="003479E9"/>
    <w:rsid w:val="0035069F"/>
    <w:rsid w:val="00350C05"/>
    <w:rsid w:val="00351871"/>
    <w:rsid w:val="0035232E"/>
    <w:rsid w:val="0035261D"/>
    <w:rsid w:val="003530AD"/>
    <w:rsid w:val="00353A46"/>
    <w:rsid w:val="00353C21"/>
    <w:rsid w:val="003545BE"/>
    <w:rsid w:val="00354A7D"/>
    <w:rsid w:val="00355087"/>
    <w:rsid w:val="003555ED"/>
    <w:rsid w:val="003557C7"/>
    <w:rsid w:val="00356927"/>
    <w:rsid w:val="003600A8"/>
    <w:rsid w:val="003614CE"/>
    <w:rsid w:val="003619FB"/>
    <w:rsid w:val="00362624"/>
    <w:rsid w:val="00362EE8"/>
    <w:rsid w:val="00363277"/>
    <w:rsid w:val="003642E5"/>
    <w:rsid w:val="00364327"/>
    <w:rsid w:val="00365703"/>
    <w:rsid w:val="00365747"/>
    <w:rsid w:val="003657D2"/>
    <w:rsid w:val="00366085"/>
    <w:rsid w:val="00366524"/>
    <w:rsid w:val="003676F2"/>
    <w:rsid w:val="003707DA"/>
    <w:rsid w:val="00370DEA"/>
    <w:rsid w:val="00372354"/>
    <w:rsid w:val="00372360"/>
    <w:rsid w:val="003724F7"/>
    <w:rsid w:val="003725AB"/>
    <w:rsid w:val="003738AF"/>
    <w:rsid w:val="00373E58"/>
    <w:rsid w:val="00374259"/>
    <w:rsid w:val="003744EC"/>
    <w:rsid w:val="0037455A"/>
    <w:rsid w:val="00374AD4"/>
    <w:rsid w:val="00375E2A"/>
    <w:rsid w:val="00376073"/>
    <w:rsid w:val="003762E9"/>
    <w:rsid w:val="00377452"/>
    <w:rsid w:val="0038019B"/>
    <w:rsid w:val="00381223"/>
    <w:rsid w:val="00381849"/>
    <w:rsid w:val="003823A0"/>
    <w:rsid w:val="00382910"/>
    <w:rsid w:val="00382CAE"/>
    <w:rsid w:val="00383268"/>
    <w:rsid w:val="00384A3A"/>
    <w:rsid w:val="00384B0D"/>
    <w:rsid w:val="00384F36"/>
    <w:rsid w:val="00385271"/>
    <w:rsid w:val="00385B4D"/>
    <w:rsid w:val="0038673C"/>
    <w:rsid w:val="00386A77"/>
    <w:rsid w:val="00386D29"/>
    <w:rsid w:val="00386D74"/>
    <w:rsid w:val="00387B38"/>
    <w:rsid w:val="0039091D"/>
    <w:rsid w:val="00391047"/>
    <w:rsid w:val="003919E6"/>
    <w:rsid w:val="0039226E"/>
    <w:rsid w:val="00392CC8"/>
    <w:rsid w:val="00394DE8"/>
    <w:rsid w:val="00395A23"/>
    <w:rsid w:val="00395B03"/>
    <w:rsid w:val="003972C5"/>
    <w:rsid w:val="00397640"/>
    <w:rsid w:val="00397FF4"/>
    <w:rsid w:val="003A0588"/>
    <w:rsid w:val="003A2012"/>
    <w:rsid w:val="003A2017"/>
    <w:rsid w:val="003A3400"/>
    <w:rsid w:val="003A377F"/>
    <w:rsid w:val="003A3973"/>
    <w:rsid w:val="003A4772"/>
    <w:rsid w:val="003A48CC"/>
    <w:rsid w:val="003A5406"/>
    <w:rsid w:val="003A641E"/>
    <w:rsid w:val="003A6ADE"/>
    <w:rsid w:val="003A6B6F"/>
    <w:rsid w:val="003A72EF"/>
    <w:rsid w:val="003B0993"/>
    <w:rsid w:val="003B0C41"/>
    <w:rsid w:val="003B1D79"/>
    <w:rsid w:val="003B1FB8"/>
    <w:rsid w:val="003B3EF8"/>
    <w:rsid w:val="003B4EED"/>
    <w:rsid w:val="003B5C5F"/>
    <w:rsid w:val="003B64D5"/>
    <w:rsid w:val="003B6B2C"/>
    <w:rsid w:val="003B6C18"/>
    <w:rsid w:val="003B75F3"/>
    <w:rsid w:val="003C2167"/>
    <w:rsid w:val="003C24B7"/>
    <w:rsid w:val="003C266A"/>
    <w:rsid w:val="003C2F56"/>
    <w:rsid w:val="003C3036"/>
    <w:rsid w:val="003C36E8"/>
    <w:rsid w:val="003C4DE2"/>
    <w:rsid w:val="003C602A"/>
    <w:rsid w:val="003C6C88"/>
    <w:rsid w:val="003C7CE6"/>
    <w:rsid w:val="003D0954"/>
    <w:rsid w:val="003D1759"/>
    <w:rsid w:val="003D1896"/>
    <w:rsid w:val="003D2B9A"/>
    <w:rsid w:val="003D2FD3"/>
    <w:rsid w:val="003D3B14"/>
    <w:rsid w:val="003D4985"/>
    <w:rsid w:val="003D55C5"/>
    <w:rsid w:val="003D6037"/>
    <w:rsid w:val="003D62F7"/>
    <w:rsid w:val="003E01D2"/>
    <w:rsid w:val="003E1035"/>
    <w:rsid w:val="003E1558"/>
    <w:rsid w:val="003E17F2"/>
    <w:rsid w:val="003E19F7"/>
    <w:rsid w:val="003E1EB2"/>
    <w:rsid w:val="003E21CC"/>
    <w:rsid w:val="003E2CD5"/>
    <w:rsid w:val="003E387D"/>
    <w:rsid w:val="003E3D84"/>
    <w:rsid w:val="003E3FAE"/>
    <w:rsid w:val="003E492C"/>
    <w:rsid w:val="003E4E96"/>
    <w:rsid w:val="003E5053"/>
    <w:rsid w:val="003E5478"/>
    <w:rsid w:val="003E54DF"/>
    <w:rsid w:val="003E710D"/>
    <w:rsid w:val="003E7A9C"/>
    <w:rsid w:val="003E7B1D"/>
    <w:rsid w:val="003F09DA"/>
    <w:rsid w:val="003F1562"/>
    <w:rsid w:val="003F1761"/>
    <w:rsid w:val="003F2E15"/>
    <w:rsid w:val="003F2E41"/>
    <w:rsid w:val="003F2EE4"/>
    <w:rsid w:val="003F328F"/>
    <w:rsid w:val="003F37CB"/>
    <w:rsid w:val="003F3FB6"/>
    <w:rsid w:val="003F3FC5"/>
    <w:rsid w:val="003F50DA"/>
    <w:rsid w:val="003F531A"/>
    <w:rsid w:val="003F6374"/>
    <w:rsid w:val="003F7AF1"/>
    <w:rsid w:val="003F7C9E"/>
    <w:rsid w:val="00400D70"/>
    <w:rsid w:val="004015CC"/>
    <w:rsid w:val="00401631"/>
    <w:rsid w:val="004025E8"/>
    <w:rsid w:val="00402768"/>
    <w:rsid w:val="00404C36"/>
    <w:rsid w:val="00405C1E"/>
    <w:rsid w:val="00405C82"/>
    <w:rsid w:val="004062B7"/>
    <w:rsid w:val="00406589"/>
    <w:rsid w:val="00406F38"/>
    <w:rsid w:val="00406F87"/>
    <w:rsid w:val="00407D1F"/>
    <w:rsid w:val="004100D9"/>
    <w:rsid w:val="004107CA"/>
    <w:rsid w:val="004111BC"/>
    <w:rsid w:val="004114CB"/>
    <w:rsid w:val="004125F4"/>
    <w:rsid w:val="004126D4"/>
    <w:rsid w:val="0041301E"/>
    <w:rsid w:val="00413A13"/>
    <w:rsid w:val="00413D33"/>
    <w:rsid w:val="00413E42"/>
    <w:rsid w:val="00414703"/>
    <w:rsid w:val="00415345"/>
    <w:rsid w:val="00415952"/>
    <w:rsid w:val="00415D2B"/>
    <w:rsid w:val="00416C0A"/>
    <w:rsid w:val="00420433"/>
    <w:rsid w:val="00421941"/>
    <w:rsid w:val="00422AA2"/>
    <w:rsid w:val="004233CB"/>
    <w:rsid w:val="00423DF9"/>
    <w:rsid w:val="00424080"/>
    <w:rsid w:val="00424234"/>
    <w:rsid w:val="00424CBE"/>
    <w:rsid w:val="00424DE2"/>
    <w:rsid w:val="00425E5F"/>
    <w:rsid w:val="00426305"/>
    <w:rsid w:val="004267FA"/>
    <w:rsid w:val="00427B0B"/>
    <w:rsid w:val="00427F65"/>
    <w:rsid w:val="0043035E"/>
    <w:rsid w:val="004304EC"/>
    <w:rsid w:val="00430B56"/>
    <w:rsid w:val="004311CF"/>
    <w:rsid w:val="00432528"/>
    <w:rsid w:val="00432763"/>
    <w:rsid w:val="00432836"/>
    <w:rsid w:val="00432CEE"/>
    <w:rsid w:val="00432DDF"/>
    <w:rsid w:val="0043514F"/>
    <w:rsid w:val="0043578B"/>
    <w:rsid w:val="004360CF"/>
    <w:rsid w:val="00436D84"/>
    <w:rsid w:val="004373D1"/>
    <w:rsid w:val="0043778D"/>
    <w:rsid w:val="004401BB"/>
    <w:rsid w:val="00441064"/>
    <w:rsid w:val="00443470"/>
    <w:rsid w:val="0044421C"/>
    <w:rsid w:val="004444A5"/>
    <w:rsid w:val="00444D8B"/>
    <w:rsid w:val="00444FA9"/>
    <w:rsid w:val="004454C2"/>
    <w:rsid w:val="00447347"/>
    <w:rsid w:val="004476EA"/>
    <w:rsid w:val="00447CD8"/>
    <w:rsid w:val="00447F33"/>
    <w:rsid w:val="00450239"/>
    <w:rsid w:val="00450699"/>
    <w:rsid w:val="0045088B"/>
    <w:rsid w:val="00450A27"/>
    <w:rsid w:val="00451EC2"/>
    <w:rsid w:val="00452EE0"/>
    <w:rsid w:val="0045381A"/>
    <w:rsid w:val="0045472A"/>
    <w:rsid w:val="00454811"/>
    <w:rsid w:val="0045672D"/>
    <w:rsid w:val="004568B3"/>
    <w:rsid w:val="00457094"/>
    <w:rsid w:val="00457B49"/>
    <w:rsid w:val="0046056E"/>
    <w:rsid w:val="0046158E"/>
    <w:rsid w:val="00461C31"/>
    <w:rsid w:val="00463357"/>
    <w:rsid w:val="0046366B"/>
    <w:rsid w:val="00463A04"/>
    <w:rsid w:val="00464ACB"/>
    <w:rsid w:val="00465255"/>
    <w:rsid w:val="004677A5"/>
    <w:rsid w:val="004716CA"/>
    <w:rsid w:val="00471840"/>
    <w:rsid w:val="004719CD"/>
    <w:rsid w:val="0047202A"/>
    <w:rsid w:val="00473718"/>
    <w:rsid w:val="00473869"/>
    <w:rsid w:val="0047410E"/>
    <w:rsid w:val="00474F8D"/>
    <w:rsid w:val="00475880"/>
    <w:rsid w:val="00475FAD"/>
    <w:rsid w:val="00477CF4"/>
    <w:rsid w:val="0048054A"/>
    <w:rsid w:val="00480B88"/>
    <w:rsid w:val="004817AD"/>
    <w:rsid w:val="004818E8"/>
    <w:rsid w:val="00481C65"/>
    <w:rsid w:val="0048244F"/>
    <w:rsid w:val="004827BD"/>
    <w:rsid w:val="00482E09"/>
    <w:rsid w:val="00482F67"/>
    <w:rsid w:val="00483006"/>
    <w:rsid w:val="004834BA"/>
    <w:rsid w:val="00484878"/>
    <w:rsid w:val="00484915"/>
    <w:rsid w:val="00485961"/>
    <w:rsid w:val="00485B9C"/>
    <w:rsid w:val="00487200"/>
    <w:rsid w:val="00487387"/>
    <w:rsid w:val="00487627"/>
    <w:rsid w:val="004911BF"/>
    <w:rsid w:val="004919FD"/>
    <w:rsid w:val="0049299B"/>
    <w:rsid w:val="004949F8"/>
    <w:rsid w:val="00494BD9"/>
    <w:rsid w:val="00494D6F"/>
    <w:rsid w:val="00495846"/>
    <w:rsid w:val="00497DDC"/>
    <w:rsid w:val="004A132C"/>
    <w:rsid w:val="004A48CE"/>
    <w:rsid w:val="004A5639"/>
    <w:rsid w:val="004A5E1A"/>
    <w:rsid w:val="004A6263"/>
    <w:rsid w:val="004A6E13"/>
    <w:rsid w:val="004B02C9"/>
    <w:rsid w:val="004B0F3F"/>
    <w:rsid w:val="004B0F44"/>
    <w:rsid w:val="004B13D6"/>
    <w:rsid w:val="004B1447"/>
    <w:rsid w:val="004B18CB"/>
    <w:rsid w:val="004B1F37"/>
    <w:rsid w:val="004B26D9"/>
    <w:rsid w:val="004B2C5E"/>
    <w:rsid w:val="004B5094"/>
    <w:rsid w:val="004B6B66"/>
    <w:rsid w:val="004B774B"/>
    <w:rsid w:val="004C1279"/>
    <w:rsid w:val="004C1CA3"/>
    <w:rsid w:val="004C2DCE"/>
    <w:rsid w:val="004C3ED8"/>
    <w:rsid w:val="004C4629"/>
    <w:rsid w:val="004C496E"/>
    <w:rsid w:val="004C4B71"/>
    <w:rsid w:val="004C5112"/>
    <w:rsid w:val="004C592E"/>
    <w:rsid w:val="004C59D5"/>
    <w:rsid w:val="004C5AA1"/>
    <w:rsid w:val="004C6215"/>
    <w:rsid w:val="004C7996"/>
    <w:rsid w:val="004D087E"/>
    <w:rsid w:val="004D19DB"/>
    <w:rsid w:val="004D1E88"/>
    <w:rsid w:val="004D26C2"/>
    <w:rsid w:val="004D27B3"/>
    <w:rsid w:val="004D3454"/>
    <w:rsid w:val="004D3750"/>
    <w:rsid w:val="004D3CD7"/>
    <w:rsid w:val="004D413D"/>
    <w:rsid w:val="004D42C3"/>
    <w:rsid w:val="004D5152"/>
    <w:rsid w:val="004D58DE"/>
    <w:rsid w:val="004D63E2"/>
    <w:rsid w:val="004D78BE"/>
    <w:rsid w:val="004D7A22"/>
    <w:rsid w:val="004E15F7"/>
    <w:rsid w:val="004E3F30"/>
    <w:rsid w:val="004E4008"/>
    <w:rsid w:val="004E437D"/>
    <w:rsid w:val="004E46F8"/>
    <w:rsid w:val="004E50C8"/>
    <w:rsid w:val="004E5CE2"/>
    <w:rsid w:val="004E5D19"/>
    <w:rsid w:val="004E653E"/>
    <w:rsid w:val="004E65F5"/>
    <w:rsid w:val="004E67F9"/>
    <w:rsid w:val="004E775D"/>
    <w:rsid w:val="004F1CCB"/>
    <w:rsid w:val="004F2D77"/>
    <w:rsid w:val="004F3E28"/>
    <w:rsid w:val="004F4F41"/>
    <w:rsid w:val="004F621F"/>
    <w:rsid w:val="004F63AA"/>
    <w:rsid w:val="004F6412"/>
    <w:rsid w:val="004F69BC"/>
    <w:rsid w:val="004F6DC8"/>
    <w:rsid w:val="004F6FEB"/>
    <w:rsid w:val="004F76FE"/>
    <w:rsid w:val="005008C1"/>
    <w:rsid w:val="00500B57"/>
    <w:rsid w:val="005017CC"/>
    <w:rsid w:val="005024C4"/>
    <w:rsid w:val="00502EAE"/>
    <w:rsid w:val="00503A1B"/>
    <w:rsid w:val="00503F23"/>
    <w:rsid w:val="0050500F"/>
    <w:rsid w:val="00505251"/>
    <w:rsid w:val="00505279"/>
    <w:rsid w:val="00505B71"/>
    <w:rsid w:val="005063E1"/>
    <w:rsid w:val="00506BC5"/>
    <w:rsid w:val="005074C5"/>
    <w:rsid w:val="00507AC5"/>
    <w:rsid w:val="00507B7C"/>
    <w:rsid w:val="00507CC5"/>
    <w:rsid w:val="00507E13"/>
    <w:rsid w:val="00510C76"/>
    <w:rsid w:val="0051175A"/>
    <w:rsid w:val="00511E11"/>
    <w:rsid w:val="00512462"/>
    <w:rsid w:val="00512EC8"/>
    <w:rsid w:val="00513576"/>
    <w:rsid w:val="0051641B"/>
    <w:rsid w:val="0051665F"/>
    <w:rsid w:val="00516BBB"/>
    <w:rsid w:val="00516FDE"/>
    <w:rsid w:val="005175E5"/>
    <w:rsid w:val="00517A83"/>
    <w:rsid w:val="00520ADA"/>
    <w:rsid w:val="00522875"/>
    <w:rsid w:val="00523E83"/>
    <w:rsid w:val="005248BB"/>
    <w:rsid w:val="00524969"/>
    <w:rsid w:val="00527853"/>
    <w:rsid w:val="00527B66"/>
    <w:rsid w:val="0053060C"/>
    <w:rsid w:val="005308A5"/>
    <w:rsid w:val="005314E9"/>
    <w:rsid w:val="00531723"/>
    <w:rsid w:val="0053275E"/>
    <w:rsid w:val="0053283E"/>
    <w:rsid w:val="0053324F"/>
    <w:rsid w:val="005335DF"/>
    <w:rsid w:val="00534AEB"/>
    <w:rsid w:val="00534D41"/>
    <w:rsid w:val="00534F83"/>
    <w:rsid w:val="00535672"/>
    <w:rsid w:val="005365AC"/>
    <w:rsid w:val="00537A38"/>
    <w:rsid w:val="005413BD"/>
    <w:rsid w:val="00541EF9"/>
    <w:rsid w:val="005431CF"/>
    <w:rsid w:val="005435BF"/>
    <w:rsid w:val="00543752"/>
    <w:rsid w:val="005439E6"/>
    <w:rsid w:val="00543D0A"/>
    <w:rsid w:val="00544678"/>
    <w:rsid w:val="00544BF7"/>
    <w:rsid w:val="00544F4D"/>
    <w:rsid w:val="005454F3"/>
    <w:rsid w:val="005455E5"/>
    <w:rsid w:val="0054681B"/>
    <w:rsid w:val="005468F6"/>
    <w:rsid w:val="00547310"/>
    <w:rsid w:val="0054779A"/>
    <w:rsid w:val="00547BA1"/>
    <w:rsid w:val="00550B0A"/>
    <w:rsid w:val="00550B19"/>
    <w:rsid w:val="00550C15"/>
    <w:rsid w:val="00551C36"/>
    <w:rsid w:val="00551E5E"/>
    <w:rsid w:val="00551EA8"/>
    <w:rsid w:val="00551ECE"/>
    <w:rsid w:val="0055258F"/>
    <w:rsid w:val="005547BC"/>
    <w:rsid w:val="00554868"/>
    <w:rsid w:val="00554DF0"/>
    <w:rsid w:val="00556101"/>
    <w:rsid w:val="0055756B"/>
    <w:rsid w:val="005579D2"/>
    <w:rsid w:val="00557CB1"/>
    <w:rsid w:val="00557EA3"/>
    <w:rsid w:val="0056091E"/>
    <w:rsid w:val="00561371"/>
    <w:rsid w:val="0056172D"/>
    <w:rsid w:val="00561F84"/>
    <w:rsid w:val="005635F3"/>
    <w:rsid w:val="00563B6B"/>
    <w:rsid w:val="0056411C"/>
    <w:rsid w:val="005644BA"/>
    <w:rsid w:val="0056457F"/>
    <w:rsid w:val="00565B4C"/>
    <w:rsid w:val="0056631B"/>
    <w:rsid w:val="005663FF"/>
    <w:rsid w:val="005664A3"/>
    <w:rsid w:val="00566744"/>
    <w:rsid w:val="00566B79"/>
    <w:rsid w:val="005677E5"/>
    <w:rsid w:val="00567FA6"/>
    <w:rsid w:val="00570C16"/>
    <w:rsid w:val="00570D24"/>
    <w:rsid w:val="005713D2"/>
    <w:rsid w:val="00571A1E"/>
    <w:rsid w:val="00572DF3"/>
    <w:rsid w:val="00573B7D"/>
    <w:rsid w:val="00573E6C"/>
    <w:rsid w:val="00574C1A"/>
    <w:rsid w:val="00574E0D"/>
    <w:rsid w:val="005773C6"/>
    <w:rsid w:val="00577E78"/>
    <w:rsid w:val="00580A6D"/>
    <w:rsid w:val="00580EEB"/>
    <w:rsid w:val="00580FCF"/>
    <w:rsid w:val="0058198D"/>
    <w:rsid w:val="00581D6F"/>
    <w:rsid w:val="00582093"/>
    <w:rsid w:val="00582CEF"/>
    <w:rsid w:val="00583048"/>
    <w:rsid w:val="005834CD"/>
    <w:rsid w:val="00583673"/>
    <w:rsid w:val="00583D08"/>
    <w:rsid w:val="00584C1F"/>
    <w:rsid w:val="005866F4"/>
    <w:rsid w:val="00586C41"/>
    <w:rsid w:val="005874B8"/>
    <w:rsid w:val="00587754"/>
    <w:rsid w:val="00587BE7"/>
    <w:rsid w:val="00587CBC"/>
    <w:rsid w:val="00590DAE"/>
    <w:rsid w:val="00591130"/>
    <w:rsid w:val="00592FD6"/>
    <w:rsid w:val="005940A0"/>
    <w:rsid w:val="00594B31"/>
    <w:rsid w:val="0059531B"/>
    <w:rsid w:val="00595DF1"/>
    <w:rsid w:val="00595F69"/>
    <w:rsid w:val="00596524"/>
    <w:rsid w:val="00597287"/>
    <w:rsid w:val="005973E6"/>
    <w:rsid w:val="00597D35"/>
    <w:rsid w:val="005A4A36"/>
    <w:rsid w:val="005A5234"/>
    <w:rsid w:val="005A57C8"/>
    <w:rsid w:val="005A641B"/>
    <w:rsid w:val="005A6D6D"/>
    <w:rsid w:val="005A720A"/>
    <w:rsid w:val="005A7264"/>
    <w:rsid w:val="005B00E1"/>
    <w:rsid w:val="005B1601"/>
    <w:rsid w:val="005B2C2F"/>
    <w:rsid w:val="005B30C3"/>
    <w:rsid w:val="005B35E3"/>
    <w:rsid w:val="005B3A61"/>
    <w:rsid w:val="005B4CFC"/>
    <w:rsid w:val="005B539A"/>
    <w:rsid w:val="005B58B0"/>
    <w:rsid w:val="005B608C"/>
    <w:rsid w:val="005B7E94"/>
    <w:rsid w:val="005C0298"/>
    <w:rsid w:val="005C0769"/>
    <w:rsid w:val="005C1A23"/>
    <w:rsid w:val="005C360A"/>
    <w:rsid w:val="005C3B53"/>
    <w:rsid w:val="005C3D6A"/>
    <w:rsid w:val="005C438D"/>
    <w:rsid w:val="005C46EF"/>
    <w:rsid w:val="005C5B4B"/>
    <w:rsid w:val="005D0838"/>
    <w:rsid w:val="005D09E2"/>
    <w:rsid w:val="005D221C"/>
    <w:rsid w:val="005D2508"/>
    <w:rsid w:val="005D2A43"/>
    <w:rsid w:val="005D319E"/>
    <w:rsid w:val="005D49F9"/>
    <w:rsid w:val="005D4F17"/>
    <w:rsid w:val="005D6EA0"/>
    <w:rsid w:val="005D7829"/>
    <w:rsid w:val="005D7ADF"/>
    <w:rsid w:val="005D7BB2"/>
    <w:rsid w:val="005E0CAB"/>
    <w:rsid w:val="005E0EDD"/>
    <w:rsid w:val="005E0F30"/>
    <w:rsid w:val="005E122C"/>
    <w:rsid w:val="005E1236"/>
    <w:rsid w:val="005E1EC8"/>
    <w:rsid w:val="005E2D78"/>
    <w:rsid w:val="005E2F68"/>
    <w:rsid w:val="005E2FD4"/>
    <w:rsid w:val="005E39F1"/>
    <w:rsid w:val="005E3E19"/>
    <w:rsid w:val="005E4AE4"/>
    <w:rsid w:val="005E4AF8"/>
    <w:rsid w:val="005E4C46"/>
    <w:rsid w:val="005E7829"/>
    <w:rsid w:val="005E7B36"/>
    <w:rsid w:val="005E7B48"/>
    <w:rsid w:val="005F02E6"/>
    <w:rsid w:val="005F10F1"/>
    <w:rsid w:val="005F1911"/>
    <w:rsid w:val="005F1DC8"/>
    <w:rsid w:val="005F2CBA"/>
    <w:rsid w:val="005F2E5D"/>
    <w:rsid w:val="005F3216"/>
    <w:rsid w:val="005F4DFE"/>
    <w:rsid w:val="005F4EF9"/>
    <w:rsid w:val="005F5CA3"/>
    <w:rsid w:val="005F687B"/>
    <w:rsid w:val="005F6AD4"/>
    <w:rsid w:val="005F7F10"/>
    <w:rsid w:val="006000D2"/>
    <w:rsid w:val="00601122"/>
    <w:rsid w:val="006015AE"/>
    <w:rsid w:val="006015C6"/>
    <w:rsid w:val="006017B1"/>
    <w:rsid w:val="00601C73"/>
    <w:rsid w:val="00601D3B"/>
    <w:rsid w:val="006023A2"/>
    <w:rsid w:val="00602749"/>
    <w:rsid w:val="006031C0"/>
    <w:rsid w:val="0060685F"/>
    <w:rsid w:val="00607066"/>
    <w:rsid w:val="00607197"/>
    <w:rsid w:val="00607A16"/>
    <w:rsid w:val="00607ABA"/>
    <w:rsid w:val="006109F8"/>
    <w:rsid w:val="006113BD"/>
    <w:rsid w:val="00611A60"/>
    <w:rsid w:val="00612F7E"/>
    <w:rsid w:val="0061468A"/>
    <w:rsid w:val="006147EA"/>
    <w:rsid w:val="00614B0B"/>
    <w:rsid w:val="006157F0"/>
    <w:rsid w:val="00616B31"/>
    <w:rsid w:val="00616F92"/>
    <w:rsid w:val="0061758B"/>
    <w:rsid w:val="00617DEB"/>
    <w:rsid w:val="006201C2"/>
    <w:rsid w:val="006207F4"/>
    <w:rsid w:val="0062086E"/>
    <w:rsid w:val="006222B0"/>
    <w:rsid w:val="00623075"/>
    <w:rsid w:val="00623910"/>
    <w:rsid w:val="00623B03"/>
    <w:rsid w:val="00623B26"/>
    <w:rsid w:val="00624A27"/>
    <w:rsid w:val="00624D74"/>
    <w:rsid w:val="006254B4"/>
    <w:rsid w:val="00625A9A"/>
    <w:rsid w:val="00626111"/>
    <w:rsid w:val="0062716D"/>
    <w:rsid w:val="00627AF2"/>
    <w:rsid w:val="00630B87"/>
    <w:rsid w:val="00631092"/>
    <w:rsid w:val="006322E9"/>
    <w:rsid w:val="006323D5"/>
    <w:rsid w:val="00632AD5"/>
    <w:rsid w:val="00632C53"/>
    <w:rsid w:val="00632C5A"/>
    <w:rsid w:val="00632F94"/>
    <w:rsid w:val="006345B6"/>
    <w:rsid w:val="00634B0F"/>
    <w:rsid w:val="00635A21"/>
    <w:rsid w:val="006361C0"/>
    <w:rsid w:val="0063632F"/>
    <w:rsid w:val="006363BF"/>
    <w:rsid w:val="00642308"/>
    <w:rsid w:val="006439CA"/>
    <w:rsid w:val="00643D72"/>
    <w:rsid w:val="00644CA1"/>
    <w:rsid w:val="00644CCA"/>
    <w:rsid w:val="006459C4"/>
    <w:rsid w:val="006460C1"/>
    <w:rsid w:val="00646F3B"/>
    <w:rsid w:val="00646FB9"/>
    <w:rsid w:val="00650C56"/>
    <w:rsid w:val="00650F94"/>
    <w:rsid w:val="006515C1"/>
    <w:rsid w:val="00651ABD"/>
    <w:rsid w:val="0065204D"/>
    <w:rsid w:val="00652157"/>
    <w:rsid w:val="00652858"/>
    <w:rsid w:val="00652D29"/>
    <w:rsid w:val="00652F64"/>
    <w:rsid w:val="00653080"/>
    <w:rsid w:val="0065413E"/>
    <w:rsid w:val="00654961"/>
    <w:rsid w:val="00654B81"/>
    <w:rsid w:val="006558DC"/>
    <w:rsid w:val="006561E7"/>
    <w:rsid w:val="00656AB9"/>
    <w:rsid w:val="00656B27"/>
    <w:rsid w:val="00657F8B"/>
    <w:rsid w:val="00657FE3"/>
    <w:rsid w:val="00660370"/>
    <w:rsid w:val="00660401"/>
    <w:rsid w:val="00660FB8"/>
    <w:rsid w:val="00661035"/>
    <w:rsid w:val="006613E9"/>
    <w:rsid w:val="006618FC"/>
    <w:rsid w:val="00663D00"/>
    <w:rsid w:val="00663E86"/>
    <w:rsid w:val="0066430D"/>
    <w:rsid w:val="00665B85"/>
    <w:rsid w:val="00666420"/>
    <w:rsid w:val="00667DBF"/>
    <w:rsid w:val="0067052A"/>
    <w:rsid w:val="00670BBB"/>
    <w:rsid w:val="006713C7"/>
    <w:rsid w:val="006715B8"/>
    <w:rsid w:val="00671B7E"/>
    <w:rsid w:val="00672A7E"/>
    <w:rsid w:val="00673CE1"/>
    <w:rsid w:val="00673D4A"/>
    <w:rsid w:val="00673E28"/>
    <w:rsid w:val="00675A5A"/>
    <w:rsid w:val="006767BC"/>
    <w:rsid w:val="00677054"/>
    <w:rsid w:val="006770F6"/>
    <w:rsid w:val="00677A3C"/>
    <w:rsid w:val="00677E95"/>
    <w:rsid w:val="006809B3"/>
    <w:rsid w:val="00681D75"/>
    <w:rsid w:val="00681DDD"/>
    <w:rsid w:val="00681F8E"/>
    <w:rsid w:val="0068242E"/>
    <w:rsid w:val="0068380C"/>
    <w:rsid w:val="00683C47"/>
    <w:rsid w:val="0068405E"/>
    <w:rsid w:val="006840DD"/>
    <w:rsid w:val="0068440D"/>
    <w:rsid w:val="00684698"/>
    <w:rsid w:val="00684BAF"/>
    <w:rsid w:val="00685303"/>
    <w:rsid w:val="00685DE9"/>
    <w:rsid w:val="006876F1"/>
    <w:rsid w:val="00687D1B"/>
    <w:rsid w:val="006907C7"/>
    <w:rsid w:val="00690F53"/>
    <w:rsid w:val="006919DD"/>
    <w:rsid w:val="00692634"/>
    <w:rsid w:val="0069332D"/>
    <w:rsid w:val="00693686"/>
    <w:rsid w:val="006937C2"/>
    <w:rsid w:val="006945E5"/>
    <w:rsid w:val="00694F50"/>
    <w:rsid w:val="00695D24"/>
    <w:rsid w:val="00696C66"/>
    <w:rsid w:val="00696EBB"/>
    <w:rsid w:val="006972A4"/>
    <w:rsid w:val="006A09BC"/>
    <w:rsid w:val="006A1A6D"/>
    <w:rsid w:val="006A1CFA"/>
    <w:rsid w:val="006A1D37"/>
    <w:rsid w:val="006A1F10"/>
    <w:rsid w:val="006A2075"/>
    <w:rsid w:val="006A2325"/>
    <w:rsid w:val="006A2F27"/>
    <w:rsid w:val="006A4D4E"/>
    <w:rsid w:val="006A5F05"/>
    <w:rsid w:val="006A6850"/>
    <w:rsid w:val="006B1619"/>
    <w:rsid w:val="006B240C"/>
    <w:rsid w:val="006B4709"/>
    <w:rsid w:val="006B5820"/>
    <w:rsid w:val="006B630A"/>
    <w:rsid w:val="006B69B4"/>
    <w:rsid w:val="006B70EF"/>
    <w:rsid w:val="006C0FBF"/>
    <w:rsid w:val="006C1167"/>
    <w:rsid w:val="006C1577"/>
    <w:rsid w:val="006C3A5B"/>
    <w:rsid w:val="006C3E1F"/>
    <w:rsid w:val="006C461E"/>
    <w:rsid w:val="006C55C7"/>
    <w:rsid w:val="006C5707"/>
    <w:rsid w:val="006C5ACD"/>
    <w:rsid w:val="006C6300"/>
    <w:rsid w:val="006C7AC9"/>
    <w:rsid w:val="006C7D4A"/>
    <w:rsid w:val="006D0250"/>
    <w:rsid w:val="006D1020"/>
    <w:rsid w:val="006D1544"/>
    <w:rsid w:val="006D1995"/>
    <w:rsid w:val="006D1A88"/>
    <w:rsid w:val="006D20B0"/>
    <w:rsid w:val="006D22ED"/>
    <w:rsid w:val="006D2A13"/>
    <w:rsid w:val="006D2CDF"/>
    <w:rsid w:val="006D36B7"/>
    <w:rsid w:val="006D394F"/>
    <w:rsid w:val="006D3A49"/>
    <w:rsid w:val="006D40F4"/>
    <w:rsid w:val="006D4310"/>
    <w:rsid w:val="006D6C24"/>
    <w:rsid w:val="006D742F"/>
    <w:rsid w:val="006D774B"/>
    <w:rsid w:val="006E02E2"/>
    <w:rsid w:val="006E16F1"/>
    <w:rsid w:val="006E1F58"/>
    <w:rsid w:val="006E359B"/>
    <w:rsid w:val="006E377D"/>
    <w:rsid w:val="006E3F99"/>
    <w:rsid w:val="006E61A1"/>
    <w:rsid w:val="006E7105"/>
    <w:rsid w:val="006E75BF"/>
    <w:rsid w:val="006E783A"/>
    <w:rsid w:val="006F09B5"/>
    <w:rsid w:val="006F1349"/>
    <w:rsid w:val="006F1AAC"/>
    <w:rsid w:val="006F201F"/>
    <w:rsid w:val="006F2B7C"/>
    <w:rsid w:val="006F2B81"/>
    <w:rsid w:val="006F2C03"/>
    <w:rsid w:val="006F35BA"/>
    <w:rsid w:val="006F378E"/>
    <w:rsid w:val="006F41B3"/>
    <w:rsid w:val="006F48B3"/>
    <w:rsid w:val="006F48B8"/>
    <w:rsid w:val="006F5370"/>
    <w:rsid w:val="006F553C"/>
    <w:rsid w:val="006F5924"/>
    <w:rsid w:val="006F6258"/>
    <w:rsid w:val="006F65E1"/>
    <w:rsid w:val="006F6FA6"/>
    <w:rsid w:val="006F758F"/>
    <w:rsid w:val="006F7F8E"/>
    <w:rsid w:val="00700A56"/>
    <w:rsid w:val="00701552"/>
    <w:rsid w:val="00701945"/>
    <w:rsid w:val="00702AEC"/>
    <w:rsid w:val="007032C1"/>
    <w:rsid w:val="0070341C"/>
    <w:rsid w:val="00703863"/>
    <w:rsid w:val="007038AE"/>
    <w:rsid w:val="00703999"/>
    <w:rsid w:val="00704FDE"/>
    <w:rsid w:val="00705448"/>
    <w:rsid w:val="00706265"/>
    <w:rsid w:val="007063A0"/>
    <w:rsid w:val="00706AC7"/>
    <w:rsid w:val="007073C6"/>
    <w:rsid w:val="0070773A"/>
    <w:rsid w:val="00707E39"/>
    <w:rsid w:val="0071181D"/>
    <w:rsid w:val="007118D5"/>
    <w:rsid w:val="007118DA"/>
    <w:rsid w:val="007122EC"/>
    <w:rsid w:val="00712974"/>
    <w:rsid w:val="00712CBC"/>
    <w:rsid w:val="0071370A"/>
    <w:rsid w:val="00713D85"/>
    <w:rsid w:val="00713E36"/>
    <w:rsid w:val="00714504"/>
    <w:rsid w:val="00716A40"/>
    <w:rsid w:val="0071742A"/>
    <w:rsid w:val="00720C75"/>
    <w:rsid w:val="00721FBD"/>
    <w:rsid w:val="00724C4E"/>
    <w:rsid w:val="00724E78"/>
    <w:rsid w:val="00725A33"/>
    <w:rsid w:val="00725CA7"/>
    <w:rsid w:val="00726C06"/>
    <w:rsid w:val="00726E33"/>
    <w:rsid w:val="00727B78"/>
    <w:rsid w:val="00730037"/>
    <w:rsid w:val="0073021B"/>
    <w:rsid w:val="00730E8F"/>
    <w:rsid w:val="00731D48"/>
    <w:rsid w:val="00732962"/>
    <w:rsid w:val="007332E6"/>
    <w:rsid w:val="00734484"/>
    <w:rsid w:val="007345CE"/>
    <w:rsid w:val="00735532"/>
    <w:rsid w:val="007368C9"/>
    <w:rsid w:val="00736E4E"/>
    <w:rsid w:val="007376E7"/>
    <w:rsid w:val="00740BA5"/>
    <w:rsid w:val="00742076"/>
    <w:rsid w:val="0074304A"/>
    <w:rsid w:val="00743DAD"/>
    <w:rsid w:val="00744668"/>
    <w:rsid w:val="00744E84"/>
    <w:rsid w:val="00744EC0"/>
    <w:rsid w:val="00745136"/>
    <w:rsid w:val="00745A15"/>
    <w:rsid w:val="00745DD2"/>
    <w:rsid w:val="00746494"/>
    <w:rsid w:val="00746A63"/>
    <w:rsid w:val="00746AEB"/>
    <w:rsid w:val="007506D7"/>
    <w:rsid w:val="00750F7D"/>
    <w:rsid w:val="00751354"/>
    <w:rsid w:val="007513F6"/>
    <w:rsid w:val="00752D20"/>
    <w:rsid w:val="007550EC"/>
    <w:rsid w:val="00755423"/>
    <w:rsid w:val="00755EB5"/>
    <w:rsid w:val="00755F4F"/>
    <w:rsid w:val="007563A9"/>
    <w:rsid w:val="007565AD"/>
    <w:rsid w:val="00756909"/>
    <w:rsid w:val="00756FDF"/>
    <w:rsid w:val="00760A71"/>
    <w:rsid w:val="00760D10"/>
    <w:rsid w:val="007619DD"/>
    <w:rsid w:val="00762108"/>
    <w:rsid w:val="00762427"/>
    <w:rsid w:val="007625D4"/>
    <w:rsid w:val="00762F55"/>
    <w:rsid w:val="00764136"/>
    <w:rsid w:val="00765EA3"/>
    <w:rsid w:val="00767DCF"/>
    <w:rsid w:val="00770208"/>
    <w:rsid w:val="00770476"/>
    <w:rsid w:val="0077085A"/>
    <w:rsid w:val="00770E38"/>
    <w:rsid w:val="0077156C"/>
    <w:rsid w:val="00772113"/>
    <w:rsid w:val="00772468"/>
    <w:rsid w:val="007751DE"/>
    <w:rsid w:val="007756B3"/>
    <w:rsid w:val="00777D1D"/>
    <w:rsid w:val="007802CA"/>
    <w:rsid w:val="00780793"/>
    <w:rsid w:val="0078133D"/>
    <w:rsid w:val="00781E34"/>
    <w:rsid w:val="00782525"/>
    <w:rsid w:val="0078275D"/>
    <w:rsid w:val="00783CB3"/>
    <w:rsid w:val="00785545"/>
    <w:rsid w:val="00785785"/>
    <w:rsid w:val="00785EAA"/>
    <w:rsid w:val="00786041"/>
    <w:rsid w:val="0078623B"/>
    <w:rsid w:val="00786317"/>
    <w:rsid w:val="00786472"/>
    <w:rsid w:val="00786D05"/>
    <w:rsid w:val="00787BF8"/>
    <w:rsid w:val="00787F33"/>
    <w:rsid w:val="00790616"/>
    <w:rsid w:val="00791274"/>
    <w:rsid w:val="00791DED"/>
    <w:rsid w:val="00792AA8"/>
    <w:rsid w:val="00792F49"/>
    <w:rsid w:val="00793148"/>
    <w:rsid w:val="00793AAE"/>
    <w:rsid w:val="00794972"/>
    <w:rsid w:val="00794BD5"/>
    <w:rsid w:val="0079531A"/>
    <w:rsid w:val="00795D4F"/>
    <w:rsid w:val="00795D95"/>
    <w:rsid w:val="00796D47"/>
    <w:rsid w:val="00796EE7"/>
    <w:rsid w:val="00797022"/>
    <w:rsid w:val="007A1619"/>
    <w:rsid w:val="007A20E8"/>
    <w:rsid w:val="007A2592"/>
    <w:rsid w:val="007A2ABE"/>
    <w:rsid w:val="007A3ABE"/>
    <w:rsid w:val="007A4CB0"/>
    <w:rsid w:val="007A5B0F"/>
    <w:rsid w:val="007A5B52"/>
    <w:rsid w:val="007A6251"/>
    <w:rsid w:val="007A62C3"/>
    <w:rsid w:val="007A6319"/>
    <w:rsid w:val="007A6E21"/>
    <w:rsid w:val="007A74DB"/>
    <w:rsid w:val="007A7C69"/>
    <w:rsid w:val="007B056F"/>
    <w:rsid w:val="007B170B"/>
    <w:rsid w:val="007B1CFD"/>
    <w:rsid w:val="007B2E72"/>
    <w:rsid w:val="007B3DAF"/>
    <w:rsid w:val="007B4102"/>
    <w:rsid w:val="007B46C1"/>
    <w:rsid w:val="007B6057"/>
    <w:rsid w:val="007B651A"/>
    <w:rsid w:val="007B65A9"/>
    <w:rsid w:val="007B6648"/>
    <w:rsid w:val="007B6669"/>
    <w:rsid w:val="007B709C"/>
    <w:rsid w:val="007C0561"/>
    <w:rsid w:val="007C0629"/>
    <w:rsid w:val="007C1359"/>
    <w:rsid w:val="007C1905"/>
    <w:rsid w:val="007C1991"/>
    <w:rsid w:val="007C2722"/>
    <w:rsid w:val="007C311B"/>
    <w:rsid w:val="007C38E6"/>
    <w:rsid w:val="007C47AE"/>
    <w:rsid w:val="007C506B"/>
    <w:rsid w:val="007C65E3"/>
    <w:rsid w:val="007C6ADC"/>
    <w:rsid w:val="007C710E"/>
    <w:rsid w:val="007C72C0"/>
    <w:rsid w:val="007C7912"/>
    <w:rsid w:val="007D02DC"/>
    <w:rsid w:val="007D0986"/>
    <w:rsid w:val="007D0DA2"/>
    <w:rsid w:val="007D3F02"/>
    <w:rsid w:val="007D59A7"/>
    <w:rsid w:val="007D608D"/>
    <w:rsid w:val="007D698B"/>
    <w:rsid w:val="007D70B1"/>
    <w:rsid w:val="007D7BB6"/>
    <w:rsid w:val="007E02FF"/>
    <w:rsid w:val="007E1090"/>
    <w:rsid w:val="007E22E0"/>
    <w:rsid w:val="007E2301"/>
    <w:rsid w:val="007E3358"/>
    <w:rsid w:val="007E36B3"/>
    <w:rsid w:val="007E3B33"/>
    <w:rsid w:val="007E3FD4"/>
    <w:rsid w:val="007E52FD"/>
    <w:rsid w:val="007E5C16"/>
    <w:rsid w:val="007E5D35"/>
    <w:rsid w:val="007E6763"/>
    <w:rsid w:val="007E7555"/>
    <w:rsid w:val="007E7CBE"/>
    <w:rsid w:val="007E7E06"/>
    <w:rsid w:val="007F2BBD"/>
    <w:rsid w:val="007F473C"/>
    <w:rsid w:val="007F480B"/>
    <w:rsid w:val="007F52A6"/>
    <w:rsid w:val="007F5789"/>
    <w:rsid w:val="007F68DA"/>
    <w:rsid w:val="007F6A25"/>
    <w:rsid w:val="008004E7"/>
    <w:rsid w:val="00801D9A"/>
    <w:rsid w:val="0080276C"/>
    <w:rsid w:val="008036DD"/>
    <w:rsid w:val="00803C90"/>
    <w:rsid w:val="00803E8B"/>
    <w:rsid w:val="00803EDA"/>
    <w:rsid w:val="00804A2A"/>
    <w:rsid w:val="00805175"/>
    <w:rsid w:val="00805B3A"/>
    <w:rsid w:val="00805F80"/>
    <w:rsid w:val="008060C8"/>
    <w:rsid w:val="008063A4"/>
    <w:rsid w:val="008065CC"/>
    <w:rsid w:val="008077DF"/>
    <w:rsid w:val="00810F5C"/>
    <w:rsid w:val="00811665"/>
    <w:rsid w:val="00811E78"/>
    <w:rsid w:val="0081212B"/>
    <w:rsid w:val="00812723"/>
    <w:rsid w:val="008147DF"/>
    <w:rsid w:val="00814A6A"/>
    <w:rsid w:val="00814ED4"/>
    <w:rsid w:val="008152E3"/>
    <w:rsid w:val="0081557C"/>
    <w:rsid w:val="00815656"/>
    <w:rsid w:val="008157E6"/>
    <w:rsid w:val="008159B1"/>
    <w:rsid w:val="00815B26"/>
    <w:rsid w:val="008170E0"/>
    <w:rsid w:val="00817E91"/>
    <w:rsid w:val="00820200"/>
    <w:rsid w:val="00820282"/>
    <w:rsid w:val="0082043F"/>
    <w:rsid w:val="00820E0C"/>
    <w:rsid w:val="0082117F"/>
    <w:rsid w:val="00821C6C"/>
    <w:rsid w:val="0082203C"/>
    <w:rsid w:val="008229E9"/>
    <w:rsid w:val="00822E7D"/>
    <w:rsid w:val="008232E0"/>
    <w:rsid w:val="008244A8"/>
    <w:rsid w:val="0082619C"/>
    <w:rsid w:val="0082622E"/>
    <w:rsid w:val="00827E33"/>
    <w:rsid w:val="00827E75"/>
    <w:rsid w:val="00831A0D"/>
    <w:rsid w:val="008339FD"/>
    <w:rsid w:val="008358E0"/>
    <w:rsid w:val="00835C81"/>
    <w:rsid w:val="00836AD2"/>
    <w:rsid w:val="00836D27"/>
    <w:rsid w:val="008370D0"/>
    <w:rsid w:val="008375CC"/>
    <w:rsid w:val="00840E19"/>
    <w:rsid w:val="008415CC"/>
    <w:rsid w:val="0084276E"/>
    <w:rsid w:val="008427C0"/>
    <w:rsid w:val="00842862"/>
    <w:rsid w:val="00842CE3"/>
    <w:rsid w:val="00845199"/>
    <w:rsid w:val="0084567B"/>
    <w:rsid w:val="00845A3F"/>
    <w:rsid w:val="00846036"/>
    <w:rsid w:val="008473D3"/>
    <w:rsid w:val="00847D44"/>
    <w:rsid w:val="00847DFE"/>
    <w:rsid w:val="00850CD2"/>
    <w:rsid w:val="00851010"/>
    <w:rsid w:val="00851111"/>
    <w:rsid w:val="008525CF"/>
    <w:rsid w:val="008530C3"/>
    <w:rsid w:val="008542CC"/>
    <w:rsid w:val="00854367"/>
    <w:rsid w:val="00854416"/>
    <w:rsid w:val="00854555"/>
    <w:rsid w:val="00855522"/>
    <w:rsid w:val="00856354"/>
    <w:rsid w:val="008563BF"/>
    <w:rsid w:val="00857871"/>
    <w:rsid w:val="00860973"/>
    <w:rsid w:val="00860B77"/>
    <w:rsid w:val="0086183E"/>
    <w:rsid w:val="00861882"/>
    <w:rsid w:val="008627EF"/>
    <w:rsid w:val="008628BB"/>
    <w:rsid w:val="00863173"/>
    <w:rsid w:val="00863355"/>
    <w:rsid w:val="008648B5"/>
    <w:rsid w:val="00864AC7"/>
    <w:rsid w:val="00865045"/>
    <w:rsid w:val="00865A39"/>
    <w:rsid w:val="00865E45"/>
    <w:rsid w:val="0086641A"/>
    <w:rsid w:val="00867F68"/>
    <w:rsid w:val="00870020"/>
    <w:rsid w:val="00870BB1"/>
    <w:rsid w:val="00870DC2"/>
    <w:rsid w:val="00870E33"/>
    <w:rsid w:val="00871232"/>
    <w:rsid w:val="00872B84"/>
    <w:rsid w:val="00873673"/>
    <w:rsid w:val="008737D3"/>
    <w:rsid w:val="00873EF1"/>
    <w:rsid w:val="00875340"/>
    <w:rsid w:val="00875947"/>
    <w:rsid w:val="00876075"/>
    <w:rsid w:val="00877CBF"/>
    <w:rsid w:val="00880273"/>
    <w:rsid w:val="00880C37"/>
    <w:rsid w:val="008820CC"/>
    <w:rsid w:val="00882D53"/>
    <w:rsid w:val="00883437"/>
    <w:rsid w:val="008834C5"/>
    <w:rsid w:val="00883C24"/>
    <w:rsid w:val="00883E3B"/>
    <w:rsid w:val="00884518"/>
    <w:rsid w:val="00884EAD"/>
    <w:rsid w:val="00884F9A"/>
    <w:rsid w:val="008853F8"/>
    <w:rsid w:val="00885CAB"/>
    <w:rsid w:val="008863AD"/>
    <w:rsid w:val="008877DA"/>
    <w:rsid w:val="00887F5C"/>
    <w:rsid w:val="0089084F"/>
    <w:rsid w:val="00892078"/>
    <w:rsid w:val="008932B6"/>
    <w:rsid w:val="008936E8"/>
    <w:rsid w:val="00893949"/>
    <w:rsid w:val="00893C27"/>
    <w:rsid w:val="00893E75"/>
    <w:rsid w:val="008948F8"/>
    <w:rsid w:val="008952BB"/>
    <w:rsid w:val="008953BD"/>
    <w:rsid w:val="00896EDF"/>
    <w:rsid w:val="0089717E"/>
    <w:rsid w:val="008971EB"/>
    <w:rsid w:val="008A0ADF"/>
    <w:rsid w:val="008A290A"/>
    <w:rsid w:val="008A3B23"/>
    <w:rsid w:val="008A4628"/>
    <w:rsid w:val="008A4F90"/>
    <w:rsid w:val="008A594C"/>
    <w:rsid w:val="008A66B3"/>
    <w:rsid w:val="008B0064"/>
    <w:rsid w:val="008B00E8"/>
    <w:rsid w:val="008B0B5D"/>
    <w:rsid w:val="008B0F55"/>
    <w:rsid w:val="008B12D4"/>
    <w:rsid w:val="008B13E0"/>
    <w:rsid w:val="008B3EAD"/>
    <w:rsid w:val="008B47CB"/>
    <w:rsid w:val="008B58D3"/>
    <w:rsid w:val="008B6A6C"/>
    <w:rsid w:val="008B71C6"/>
    <w:rsid w:val="008C001D"/>
    <w:rsid w:val="008C02EF"/>
    <w:rsid w:val="008C0499"/>
    <w:rsid w:val="008C0579"/>
    <w:rsid w:val="008C0E3A"/>
    <w:rsid w:val="008C15BB"/>
    <w:rsid w:val="008C18FA"/>
    <w:rsid w:val="008C1A8E"/>
    <w:rsid w:val="008C1CC5"/>
    <w:rsid w:val="008C1E99"/>
    <w:rsid w:val="008C28E5"/>
    <w:rsid w:val="008C3037"/>
    <w:rsid w:val="008C380A"/>
    <w:rsid w:val="008C4E5F"/>
    <w:rsid w:val="008C6C82"/>
    <w:rsid w:val="008C70AF"/>
    <w:rsid w:val="008C787A"/>
    <w:rsid w:val="008D011D"/>
    <w:rsid w:val="008D02BD"/>
    <w:rsid w:val="008D1074"/>
    <w:rsid w:val="008D1360"/>
    <w:rsid w:val="008D15F7"/>
    <w:rsid w:val="008D1FDE"/>
    <w:rsid w:val="008D2A2E"/>
    <w:rsid w:val="008D2B2C"/>
    <w:rsid w:val="008D2BC4"/>
    <w:rsid w:val="008D3146"/>
    <w:rsid w:val="008D351D"/>
    <w:rsid w:val="008D5360"/>
    <w:rsid w:val="008D6F57"/>
    <w:rsid w:val="008E04FD"/>
    <w:rsid w:val="008E0782"/>
    <w:rsid w:val="008E1735"/>
    <w:rsid w:val="008E185E"/>
    <w:rsid w:val="008E1C45"/>
    <w:rsid w:val="008E242E"/>
    <w:rsid w:val="008E31A9"/>
    <w:rsid w:val="008E568C"/>
    <w:rsid w:val="008E584E"/>
    <w:rsid w:val="008E5BD6"/>
    <w:rsid w:val="008E647B"/>
    <w:rsid w:val="008E7B61"/>
    <w:rsid w:val="008F0EAC"/>
    <w:rsid w:val="008F1096"/>
    <w:rsid w:val="008F15B0"/>
    <w:rsid w:val="008F2528"/>
    <w:rsid w:val="008F267D"/>
    <w:rsid w:val="008F2948"/>
    <w:rsid w:val="008F29D2"/>
    <w:rsid w:val="008F3AE2"/>
    <w:rsid w:val="008F42D0"/>
    <w:rsid w:val="008F54C3"/>
    <w:rsid w:val="008F6221"/>
    <w:rsid w:val="008F722B"/>
    <w:rsid w:val="008F777B"/>
    <w:rsid w:val="008F7CCE"/>
    <w:rsid w:val="00901771"/>
    <w:rsid w:val="00902D52"/>
    <w:rsid w:val="00902E5E"/>
    <w:rsid w:val="009064E2"/>
    <w:rsid w:val="009077C7"/>
    <w:rsid w:val="00911092"/>
    <w:rsid w:val="0091111E"/>
    <w:rsid w:val="0091220E"/>
    <w:rsid w:val="00913DEC"/>
    <w:rsid w:val="009140AD"/>
    <w:rsid w:val="0091465A"/>
    <w:rsid w:val="00915C49"/>
    <w:rsid w:val="00916F0C"/>
    <w:rsid w:val="00917B8A"/>
    <w:rsid w:val="00917BD7"/>
    <w:rsid w:val="00920216"/>
    <w:rsid w:val="00920463"/>
    <w:rsid w:val="00922A2F"/>
    <w:rsid w:val="00922F65"/>
    <w:rsid w:val="009231E5"/>
    <w:rsid w:val="009238C7"/>
    <w:rsid w:val="00923D28"/>
    <w:rsid w:val="00923D68"/>
    <w:rsid w:val="009245CA"/>
    <w:rsid w:val="0092504B"/>
    <w:rsid w:val="00925A3B"/>
    <w:rsid w:val="00926E4D"/>
    <w:rsid w:val="0093352D"/>
    <w:rsid w:val="00933C6E"/>
    <w:rsid w:val="00933FB9"/>
    <w:rsid w:val="0093453E"/>
    <w:rsid w:val="00934886"/>
    <w:rsid w:val="00936188"/>
    <w:rsid w:val="00936DAB"/>
    <w:rsid w:val="0093727A"/>
    <w:rsid w:val="00937529"/>
    <w:rsid w:val="009376FF"/>
    <w:rsid w:val="009377AE"/>
    <w:rsid w:val="00937C40"/>
    <w:rsid w:val="00940185"/>
    <w:rsid w:val="009403DB"/>
    <w:rsid w:val="00940AF2"/>
    <w:rsid w:val="00940BCD"/>
    <w:rsid w:val="00940F23"/>
    <w:rsid w:val="009411F8"/>
    <w:rsid w:val="00941279"/>
    <w:rsid w:val="00941C62"/>
    <w:rsid w:val="00941EAF"/>
    <w:rsid w:val="00942541"/>
    <w:rsid w:val="0094283A"/>
    <w:rsid w:val="00943862"/>
    <w:rsid w:val="009446D5"/>
    <w:rsid w:val="00944CFE"/>
    <w:rsid w:val="00945CAD"/>
    <w:rsid w:val="00945DF0"/>
    <w:rsid w:val="00946131"/>
    <w:rsid w:val="009462D5"/>
    <w:rsid w:val="00946BCC"/>
    <w:rsid w:val="00946DD4"/>
    <w:rsid w:val="0094713F"/>
    <w:rsid w:val="009512AA"/>
    <w:rsid w:val="00951961"/>
    <w:rsid w:val="009527A2"/>
    <w:rsid w:val="00953154"/>
    <w:rsid w:val="0095438D"/>
    <w:rsid w:val="0095456C"/>
    <w:rsid w:val="009547B3"/>
    <w:rsid w:val="00955BF7"/>
    <w:rsid w:val="00956905"/>
    <w:rsid w:val="00956C95"/>
    <w:rsid w:val="00956D5D"/>
    <w:rsid w:val="0095724D"/>
    <w:rsid w:val="00957530"/>
    <w:rsid w:val="00957781"/>
    <w:rsid w:val="00957A54"/>
    <w:rsid w:val="00960FD5"/>
    <w:rsid w:val="009614C6"/>
    <w:rsid w:val="00962BFB"/>
    <w:rsid w:val="00962E1C"/>
    <w:rsid w:val="0096305F"/>
    <w:rsid w:val="0096349D"/>
    <w:rsid w:val="009638FC"/>
    <w:rsid w:val="00964954"/>
    <w:rsid w:val="00964A92"/>
    <w:rsid w:val="0096515C"/>
    <w:rsid w:val="00966DEC"/>
    <w:rsid w:val="009714F0"/>
    <w:rsid w:val="00971DE7"/>
    <w:rsid w:val="00974654"/>
    <w:rsid w:val="0097482D"/>
    <w:rsid w:val="00975680"/>
    <w:rsid w:val="00975F5E"/>
    <w:rsid w:val="0097673B"/>
    <w:rsid w:val="00976B1A"/>
    <w:rsid w:val="00976D15"/>
    <w:rsid w:val="0098419C"/>
    <w:rsid w:val="00984D3B"/>
    <w:rsid w:val="00985472"/>
    <w:rsid w:val="00985DEB"/>
    <w:rsid w:val="00986497"/>
    <w:rsid w:val="00987C7D"/>
    <w:rsid w:val="00990380"/>
    <w:rsid w:val="0099105F"/>
    <w:rsid w:val="009915AF"/>
    <w:rsid w:val="00992109"/>
    <w:rsid w:val="009921DB"/>
    <w:rsid w:val="00993FB5"/>
    <w:rsid w:val="009940EF"/>
    <w:rsid w:val="00994827"/>
    <w:rsid w:val="00994856"/>
    <w:rsid w:val="00994A8D"/>
    <w:rsid w:val="00994D06"/>
    <w:rsid w:val="009972A6"/>
    <w:rsid w:val="00997CF0"/>
    <w:rsid w:val="009A058B"/>
    <w:rsid w:val="009A0BBC"/>
    <w:rsid w:val="009A1614"/>
    <w:rsid w:val="009A1781"/>
    <w:rsid w:val="009A25A3"/>
    <w:rsid w:val="009A2B68"/>
    <w:rsid w:val="009A2F44"/>
    <w:rsid w:val="009A34CE"/>
    <w:rsid w:val="009A3614"/>
    <w:rsid w:val="009A3CE9"/>
    <w:rsid w:val="009A5AFD"/>
    <w:rsid w:val="009A5E63"/>
    <w:rsid w:val="009A69F6"/>
    <w:rsid w:val="009A6CA4"/>
    <w:rsid w:val="009A6EFD"/>
    <w:rsid w:val="009B024B"/>
    <w:rsid w:val="009B06D3"/>
    <w:rsid w:val="009B1529"/>
    <w:rsid w:val="009B1C7B"/>
    <w:rsid w:val="009B2536"/>
    <w:rsid w:val="009B30F7"/>
    <w:rsid w:val="009B364F"/>
    <w:rsid w:val="009B39DC"/>
    <w:rsid w:val="009B498D"/>
    <w:rsid w:val="009B560B"/>
    <w:rsid w:val="009B61E7"/>
    <w:rsid w:val="009B624F"/>
    <w:rsid w:val="009B6319"/>
    <w:rsid w:val="009B6C5A"/>
    <w:rsid w:val="009B76B2"/>
    <w:rsid w:val="009B76FF"/>
    <w:rsid w:val="009C00A6"/>
    <w:rsid w:val="009C07B6"/>
    <w:rsid w:val="009C1194"/>
    <w:rsid w:val="009C140F"/>
    <w:rsid w:val="009C1AC5"/>
    <w:rsid w:val="009C1FF6"/>
    <w:rsid w:val="009C358D"/>
    <w:rsid w:val="009C3F0F"/>
    <w:rsid w:val="009C5172"/>
    <w:rsid w:val="009C68D5"/>
    <w:rsid w:val="009C6A8A"/>
    <w:rsid w:val="009C6E72"/>
    <w:rsid w:val="009C7312"/>
    <w:rsid w:val="009C7334"/>
    <w:rsid w:val="009C7C11"/>
    <w:rsid w:val="009D0622"/>
    <w:rsid w:val="009D259D"/>
    <w:rsid w:val="009D37F8"/>
    <w:rsid w:val="009D39E6"/>
    <w:rsid w:val="009D3C3F"/>
    <w:rsid w:val="009D4D67"/>
    <w:rsid w:val="009D635B"/>
    <w:rsid w:val="009D66DC"/>
    <w:rsid w:val="009D7183"/>
    <w:rsid w:val="009D7B33"/>
    <w:rsid w:val="009D7E23"/>
    <w:rsid w:val="009D7F6F"/>
    <w:rsid w:val="009E0393"/>
    <w:rsid w:val="009E056D"/>
    <w:rsid w:val="009E07D3"/>
    <w:rsid w:val="009E0A75"/>
    <w:rsid w:val="009E1C5C"/>
    <w:rsid w:val="009E3AF4"/>
    <w:rsid w:val="009E42A4"/>
    <w:rsid w:val="009E4C16"/>
    <w:rsid w:val="009E4FC1"/>
    <w:rsid w:val="009E5300"/>
    <w:rsid w:val="009E545C"/>
    <w:rsid w:val="009E7B82"/>
    <w:rsid w:val="009E7D9C"/>
    <w:rsid w:val="009F01F8"/>
    <w:rsid w:val="009F06F2"/>
    <w:rsid w:val="009F0D94"/>
    <w:rsid w:val="009F2D48"/>
    <w:rsid w:val="009F4729"/>
    <w:rsid w:val="009F4766"/>
    <w:rsid w:val="009F4A96"/>
    <w:rsid w:val="009F635E"/>
    <w:rsid w:val="009F7015"/>
    <w:rsid w:val="009F7365"/>
    <w:rsid w:val="009F75B8"/>
    <w:rsid w:val="009F7BE1"/>
    <w:rsid w:val="00A00A0A"/>
    <w:rsid w:val="00A02C5D"/>
    <w:rsid w:val="00A041AC"/>
    <w:rsid w:val="00A04A5C"/>
    <w:rsid w:val="00A05BEF"/>
    <w:rsid w:val="00A05F54"/>
    <w:rsid w:val="00A0601B"/>
    <w:rsid w:val="00A065A0"/>
    <w:rsid w:val="00A10287"/>
    <w:rsid w:val="00A11D8F"/>
    <w:rsid w:val="00A1207A"/>
    <w:rsid w:val="00A122C5"/>
    <w:rsid w:val="00A1268D"/>
    <w:rsid w:val="00A132AC"/>
    <w:rsid w:val="00A140D3"/>
    <w:rsid w:val="00A14382"/>
    <w:rsid w:val="00A1446B"/>
    <w:rsid w:val="00A1511C"/>
    <w:rsid w:val="00A167F2"/>
    <w:rsid w:val="00A1738C"/>
    <w:rsid w:val="00A177AD"/>
    <w:rsid w:val="00A17EFE"/>
    <w:rsid w:val="00A20C78"/>
    <w:rsid w:val="00A20E86"/>
    <w:rsid w:val="00A20EB5"/>
    <w:rsid w:val="00A2312E"/>
    <w:rsid w:val="00A24323"/>
    <w:rsid w:val="00A24953"/>
    <w:rsid w:val="00A24DD2"/>
    <w:rsid w:val="00A2512C"/>
    <w:rsid w:val="00A2515B"/>
    <w:rsid w:val="00A2588E"/>
    <w:rsid w:val="00A25CD7"/>
    <w:rsid w:val="00A26EDF"/>
    <w:rsid w:val="00A276B4"/>
    <w:rsid w:val="00A30534"/>
    <w:rsid w:val="00A30EBF"/>
    <w:rsid w:val="00A319A8"/>
    <w:rsid w:val="00A31A9E"/>
    <w:rsid w:val="00A32245"/>
    <w:rsid w:val="00A32343"/>
    <w:rsid w:val="00A32F67"/>
    <w:rsid w:val="00A331CC"/>
    <w:rsid w:val="00A34789"/>
    <w:rsid w:val="00A3630E"/>
    <w:rsid w:val="00A377A3"/>
    <w:rsid w:val="00A37BB8"/>
    <w:rsid w:val="00A40060"/>
    <w:rsid w:val="00A4184A"/>
    <w:rsid w:val="00A41FF8"/>
    <w:rsid w:val="00A42D87"/>
    <w:rsid w:val="00A44164"/>
    <w:rsid w:val="00A44BD3"/>
    <w:rsid w:val="00A4504A"/>
    <w:rsid w:val="00A4521D"/>
    <w:rsid w:val="00A461A3"/>
    <w:rsid w:val="00A46D6F"/>
    <w:rsid w:val="00A4794A"/>
    <w:rsid w:val="00A47A78"/>
    <w:rsid w:val="00A50452"/>
    <w:rsid w:val="00A512CB"/>
    <w:rsid w:val="00A51F0A"/>
    <w:rsid w:val="00A51FA0"/>
    <w:rsid w:val="00A52215"/>
    <w:rsid w:val="00A52696"/>
    <w:rsid w:val="00A54A3D"/>
    <w:rsid w:val="00A54B88"/>
    <w:rsid w:val="00A54BD2"/>
    <w:rsid w:val="00A54C59"/>
    <w:rsid w:val="00A54EF2"/>
    <w:rsid w:val="00A54FBF"/>
    <w:rsid w:val="00A5560F"/>
    <w:rsid w:val="00A55975"/>
    <w:rsid w:val="00A55D48"/>
    <w:rsid w:val="00A56F62"/>
    <w:rsid w:val="00A57559"/>
    <w:rsid w:val="00A57BEB"/>
    <w:rsid w:val="00A6059D"/>
    <w:rsid w:val="00A61673"/>
    <w:rsid w:val="00A62E6E"/>
    <w:rsid w:val="00A640EF"/>
    <w:rsid w:val="00A64926"/>
    <w:rsid w:val="00A653BE"/>
    <w:rsid w:val="00A6605E"/>
    <w:rsid w:val="00A665CF"/>
    <w:rsid w:val="00A66FB0"/>
    <w:rsid w:val="00A6784E"/>
    <w:rsid w:val="00A6789D"/>
    <w:rsid w:val="00A67ADF"/>
    <w:rsid w:val="00A67CA7"/>
    <w:rsid w:val="00A70487"/>
    <w:rsid w:val="00A70A1F"/>
    <w:rsid w:val="00A720EC"/>
    <w:rsid w:val="00A731D3"/>
    <w:rsid w:val="00A73989"/>
    <w:rsid w:val="00A75411"/>
    <w:rsid w:val="00A75DBE"/>
    <w:rsid w:val="00A75F3F"/>
    <w:rsid w:val="00A761A9"/>
    <w:rsid w:val="00A7748F"/>
    <w:rsid w:val="00A7752F"/>
    <w:rsid w:val="00A77CAB"/>
    <w:rsid w:val="00A81D44"/>
    <w:rsid w:val="00A825E6"/>
    <w:rsid w:val="00A8306D"/>
    <w:rsid w:val="00A836B5"/>
    <w:rsid w:val="00A836D7"/>
    <w:rsid w:val="00A84595"/>
    <w:rsid w:val="00A85BE7"/>
    <w:rsid w:val="00A85C35"/>
    <w:rsid w:val="00A8660F"/>
    <w:rsid w:val="00A867BB"/>
    <w:rsid w:val="00A90379"/>
    <w:rsid w:val="00A90CB2"/>
    <w:rsid w:val="00A91DD8"/>
    <w:rsid w:val="00A92061"/>
    <w:rsid w:val="00A923E7"/>
    <w:rsid w:val="00A9262F"/>
    <w:rsid w:val="00A9277C"/>
    <w:rsid w:val="00A93551"/>
    <w:rsid w:val="00A94249"/>
    <w:rsid w:val="00A9463D"/>
    <w:rsid w:val="00A94BC9"/>
    <w:rsid w:val="00A958EB"/>
    <w:rsid w:val="00A959BC"/>
    <w:rsid w:val="00A9665A"/>
    <w:rsid w:val="00A96D55"/>
    <w:rsid w:val="00A9723E"/>
    <w:rsid w:val="00A972C0"/>
    <w:rsid w:val="00A9790B"/>
    <w:rsid w:val="00A97D1B"/>
    <w:rsid w:val="00A97F60"/>
    <w:rsid w:val="00AA148D"/>
    <w:rsid w:val="00AA1A42"/>
    <w:rsid w:val="00AA2265"/>
    <w:rsid w:val="00AA31B8"/>
    <w:rsid w:val="00AA374B"/>
    <w:rsid w:val="00AA3C60"/>
    <w:rsid w:val="00AA4050"/>
    <w:rsid w:val="00AA4A10"/>
    <w:rsid w:val="00AA5989"/>
    <w:rsid w:val="00AA60ED"/>
    <w:rsid w:val="00AA68FF"/>
    <w:rsid w:val="00AA72EB"/>
    <w:rsid w:val="00AB0901"/>
    <w:rsid w:val="00AB10A8"/>
    <w:rsid w:val="00AB23FF"/>
    <w:rsid w:val="00AB2AFE"/>
    <w:rsid w:val="00AB2D93"/>
    <w:rsid w:val="00AB2FF4"/>
    <w:rsid w:val="00AB31A9"/>
    <w:rsid w:val="00AB3515"/>
    <w:rsid w:val="00AB5160"/>
    <w:rsid w:val="00AB5F9C"/>
    <w:rsid w:val="00AC0100"/>
    <w:rsid w:val="00AC0FDF"/>
    <w:rsid w:val="00AC10C8"/>
    <w:rsid w:val="00AC13D1"/>
    <w:rsid w:val="00AC17CC"/>
    <w:rsid w:val="00AC1AD6"/>
    <w:rsid w:val="00AC4630"/>
    <w:rsid w:val="00AC5D70"/>
    <w:rsid w:val="00AC6AAE"/>
    <w:rsid w:val="00AD24D0"/>
    <w:rsid w:val="00AD3F2A"/>
    <w:rsid w:val="00AD5D8A"/>
    <w:rsid w:val="00AD64DF"/>
    <w:rsid w:val="00AD6D4B"/>
    <w:rsid w:val="00AD7B9C"/>
    <w:rsid w:val="00AE0163"/>
    <w:rsid w:val="00AE042C"/>
    <w:rsid w:val="00AE05A4"/>
    <w:rsid w:val="00AE087B"/>
    <w:rsid w:val="00AE0A58"/>
    <w:rsid w:val="00AE1025"/>
    <w:rsid w:val="00AE22B7"/>
    <w:rsid w:val="00AE39FF"/>
    <w:rsid w:val="00AE3F03"/>
    <w:rsid w:val="00AE445F"/>
    <w:rsid w:val="00AE4E73"/>
    <w:rsid w:val="00AE64F0"/>
    <w:rsid w:val="00AE666E"/>
    <w:rsid w:val="00AE6AA6"/>
    <w:rsid w:val="00AE76EE"/>
    <w:rsid w:val="00AE77B5"/>
    <w:rsid w:val="00AF05F0"/>
    <w:rsid w:val="00AF0792"/>
    <w:rsid w:val="00AF23C8"/>
    <w:rsid w:val="00AF2AE2"/>
    <w:rsid w:val="00AF5362"/>
    <w:rsid w:val="00AF7DB9"/>
    <w:rsid w:val="00AF7DF5"/>
    <w:rsid w:val="00B0014F"/>
    <w:rsid w:val="00B00ADA"/>
    <w:rsid w:val="00B02DFE"/>
    <w:rsid w:val="00B0377E"/>
    <w:rsid w:val="00B044FE"/>
    <w:rsid w:val="00B05204"/>
    <w:rsid w:val="00B06F2E"/>
    <w:rsid w:val="00B07171"/>
    <w:rsid w:val="00B07904"/>
    <w:rsid w:val="00B07BA9"/>
    <w:rsid w:val="00B07BD5"/>
    <w:rsid w:val="00B10055"/>
    <w:rsid w:val="00B10D71"/>
    <w:rsid w:val="00B1141E"/>
    <w:rsid w:val="00B11993"/>
    <w:rsid w:val="00B11E9E"/>
    <w:rsid w:val="00B1278B"/>
    <w:rsid w:val="00B13B37"/>
    <w:rsid w:val="00B13B6A"/>
    <w:rsid w:val="00B143E7"/>
    <w:rsid w:val="00B17295"/>
    <w:rsid w:val="00B17C74"/>
    <w:rsid w:val="00B2152C"/>
    <w:rsid w:val="00B215F5"/>
    <w:rsid w:val="00B21C0A"/>
    <w:rsid w:val="00B2225C"/>
    <w:rsid w:val="00B24A46"/>
    <w:rsid w:val="00B24DFA"/>
    <w:rsid w:val="00B25604"/>
    <w:rsid w:val="00B26676"/>
    <w:rsid w:val="00B27A54"/>
    <w:rsid w:val="00B27D05"/>
    <w:rsid w:val="00B27D7A"/>
    <w:rsid w:val="00B30783"/>
    <w:rsid w:val="00B3124A"/>
    <w:rsid w:val="00B31260"/>
    <w:rsid w:val="00B32BCD"/>
    <w:rsid w:val="00B338D3"/>
    <w:rsid w:val="00B35A86"/>
    <w:rsid w:val="00B36568"/>
    <w:rsid w:val="00B3681D"/>
    <w:rsid w:val="00B368F9"/>
    <w:rsid w:val="00B36C02"/>
    <w:rsid w:val="00B37098"/>
    <w:rsid w:val="00B4112B"/>
    <w:rsid w:val="00B413F1"/>
    <w:rsid w:val="00B41B24"/>
    <w:rsid w:val="00B41F0F"/>
    <w:rsid w:val="00B41F5E"/>
    <w:rsid w:val="00B42560"/>
    <w:rsid w:val="00B455AA"/>
    <w:rsid w:val="00B45778"/>
    <w:rsid w:val="00B457A1"/>
    <w:rsid w:val="00B45D9D"/>
    <w:rsid w:val="00B45E1D"/>
    <w:rsid w:val="00B4630F"/>
    <w:rsid w:val="00B464B1"/>
    <w:rsid w:val="00B467B2"/>
    <w:rsid w:val="00B47A4A"/>
    <w:rsid w:val="00B47B99"/>
    <w:rsid w:val="00B506F2"/>
    <w:rsid w:val="00B510E3"/>
    <w:rsid w:val="00B51A06"/>
    <w:rsid w:val="00B521AC"/>
    <w:rsid w:val="00B52702"/>
    <w:rsid w:val="00B52D63"/>
    <w:rsid w:val="00B54489"/>
    <w:rsid w:val="00B5498D"/>
    <w:rsid w:val="00B5501D"/>
    <w:rsid w:val="00B5549A"/>
    <w:rsid w:val="00B55ACC"/>
    <w:rsid w:val="00B562B4"/>
    <w:rsid w:val="00B56938"/>
    <w:rsid w:val="00B56950"/>
    <w:rsid w:val="00B56AC3"/>
    <w:rsid w:val="00B57B1A"/>
    <w:rsid w:val="00B6151E"/>
    <w:rsid w:val="00B61571"/>
    <w:rsid w:val="00B62941"/>
    <w:rsid w:val="00B634F9"/>
    <w:rsid w:val="00B64962"/>
    <w:rsid w:val="00B65AF3"/>
    <w:rsid w:val="00B66493"/>
    <w:rsid w:val="00B6670A"/>
    <w:rsid w:val="00B676EC"/>
    <w:rsid w:val="00B7016C"/>
    <w:rsid w:val="00B7039B"/>
    <w:rsid w:val="00B703C3"/>
    <w:rsid w:val="00B70B8E"/>
    <w:rsid w:val="00B7103B"/>
    <w:rsid w:val="00B737F9"/>
    <w:rsid w:val="00B742E5"/>
    <w:rsid w:val="00B74D1E"/>
    <w:rsid w:val="00B76040"/>
    <w:rsid w:val="00B766FE"/>
    <w:rsid w:val="00B76856"/>
    <w:rsid w:val="00B76A18"/>
    <w:rsid w:val="00B7703F"/>
    <w:rsid w:val="00B80217"/>
    <w:rsid w:val="00B82A48"/>
    <w:rsid w:val="00B84681"/>
    <w:rsid w:val="00B847BD"/>
    <w:rsid w:val="00B84C6C"/>
    <w:rsid w:val="00B8592D"/>
    <w:rsid w:val="00B86935"/>
    <w:rsid w:val="00B908FC"/>
    <w:rsid w:val="00B91B83"/>
    <w:rsid w:val="00B9245B"/>
    <w:rsid w:val="00B92687"/>
    <w:rsid w:val="00B92E62"/>
    <w:rsid w:val="00B935E1"/>
    <w:rsid w:val="00B93F1D"/>
    <w:rsid w:val="00B94172"/>
    <w:rsid w:val="00B94248"/>
    <w:rsid w:val="00B942A1"/>
    <w:rsid w:val="00B946F9"/>
    <w:rsid w:val="00B94B4F"/>
    <w:rsid w:val="00B96C8D"/>
    <w:rsid w:val="00B976E1"/>
    <w:rsid w:val="00B976F6"/>
    <w:rsid w:val="00B979E2"/>
    <w:rsid w:val="00B97C49"/>
    <w:rsid w:val="00BA01DC"/>
    <w:rsid w:val="00BA2AAA"/>
    <w:rsid w:val="00BA3786"/>
    <w:rsid w:val="00BA43A3"/>
    <w:rsid w:val="00BA5F41"/>
    <w:rsid w:val="00BA7385"/>
    <w:rsid w:val="00BB0486"/>
    <w:rsid w:val="00BB1577"/>
    <w:rsid w:val="00BB17A6"/>
    <w:rsid w:val="00BB187C"/>
    <w:rsid w:val="00BB296B"/>
    <w:rsid w:val="00BB2E98"/>
    <w:rsid w:val="00BB348E"/>
    <w:rsid w:val="00BB3622"/>
    <w:rsid w:val="00BB3624"/>
    <w:rsid w:val="00BB4DD4"/>
    <w:rsid w:val="00BB682C"/>
    <w:rsid w:val="00BB7655"/>
    <w:rsid w:val="00BB7CA9"/>
    <w:rsid w:val="00BC05D6"/>
    <w:rsid w:val="00BC11E5"/>
    <w:rsid w:val="00BC236B"/>
    <w:rsid w:val="00BC259D"/>
    <w:rsid w:val="00BC2BB4"/>
    <w:rsid w:val="00BC30F3"/>
    <w:rsid w:val="00BC3578"/>
    <w:rsid w:val="00BC37B4"/>
    <w:rsid w:val="00BC3F90"/>
    <w:rsid w:val="00BC4456"/>
    <w:rsid w:val="00BC65D9"/>
    <w:rsid w:val="00BC7586"/>
    <w:rsid w:val="00BC7609"/>
    <w:rsid w:val="00BC7C52"/>
    <w:rsid w:val="00BD0ACB"/>
    <w:rsid w:val="00BD0CF6"/>
    <w:rsid w:val="00BD1471"/>
    <w:rsid w:val="00BD14C5"/>
    <w:rsid w:val="00BD170C"/>
    <w:rsid w:val="00BD196A"/>
    <w:rsid w:val="00BD2081"/>
    <w:rsid w:val="00BD21D3"/>
    <w:rsid w:val="00BD2311"/>
    <w:rsid w:val="00BD37CB"/>
    <w:rsid w:val="00BD3A92"/>
    <w:rsid w:val="00BD4D75"/>
    <w:rsid w:val="00BD5F34"/>
    <w:rsid w:val="00BD6262"/>
    <w:rsid w:val="00BD642F"/>
    <w:rsid w:val="00BD68B1"/>
    <w:rsid w:val="00BE1197"/>
    <w:rsid w:val="00BE1970"/>
    <w:rsid w:val="00BE3B51"/>
    <w:rsid w:val="00BE4A67"/>
    <w:rsid w:val="00BE4C48"/>
    <w:rsid w:val="00BE61C1"/>
    <w:rsid w:val="00BE64AF"/>
    <w:rsid w:val="00BE6717"/>
    <w:rsid w:val="00BE675F"/>
    <w:rsid w:val="00BE6C3F"/>
    <w:rsid w:val="00BE7438"/>
    <w:rsid w:val="00BE7D50"/>
    <w:rsid w:val="00BF0381"/>
    <w:rsid w:val="00BF1630"/>
    <w:rsid w:val="00BF195E"/>
    <w:rsid w:val="00BF19BB"/>
    <w:rsid w:val="00BF1E0C"/>
    <w:rsid w:val="00BF1EA4"/>
    <w:rsid w:val="00BF25D8"/>
    <w:rsid w:val="00BF315B"/>
    <w:rsid w:val="00BF4280"/>
    <w:rsid w:val="00BF630E"/>
    <w:rsid w:val="00BF657D"/>
    <w:rsid w:val="00BF6B98"/>
    <w:rsid w:val="00BF6B9C"/>
    <w:rsid w:val="00BF6E7B"/>
    <w:rsid w:val="00BF7410"/>
    <w:rsid w:val="00C01021"/>
    <w:rsid w:val="00C0141F"/>
    <w:rsid w:val="00C01A60"/>
    <w:rsid w:val="00C01DCA"/>
    <w:rsid w:val="00C0246D"/>
    <w:rsid w:val="00C025CD"/>
    <w:rsid w:val="00C02848"/>
    <w:rsid w:val="00C03D62"/>
    <w:rsid w:val="00C048AF"/>
    <w:rsid w:val="00C04F33"/>
    <w:rsid w:val="00C0563A"/>
    <w:rsid w:val="00C05C95"/>
    <w:rsid w:val="00C06124"/>
    <w:rsid w:val="00C077E0"/>
    <w:rsid w:val="00C07DE6"/>
    <w:rsid w:val="00C109D9"/>
    <w:rsid w:val="00C11881"/>
    <w:rsid w:val="00C11ED1"/>
    <w:rsid w:val="00C127CB"/>
    <w:rsid w:val="00C13E1F"/>
    <w:rsid w:val="00C153F7"/>
    <w:rsid w:val="00C154B5"/>
    <w:rsid w:val="00C1590C"/>
    <w:rsid w:val="00C167EF"/>
    <w:rsid w:val="00C16AC4"/>
    <w:rsid w:val="00C17872"/>
    <w:rsid w:val="00C205E9"/>
    <w:rsid w:val="00C20751"/>
    <w:rsid w:val="00C20F85"/>
    <w:rsid w:val="00C212FC"/>
    <w:rsid w:val="00C223C2"/>
    <w:rsid w:val="00C22817"/>
    <w:rsid w:val="00C232C7"/>
    <w:rsid w:val="00C23321"/>
    <w:rsid w:val="00C23D21"/>
    <w:rsid w:val="00C23F48"/>
    <w:rsid w:val="00C2515D"/>
    <w:rsid w:val="00C25909"/>
    <w:rsid w:val="00C25A5A"/>
    <w:rsid w:val="00C25B0D"/>
    <w:rsid w:val="00C262BD"/>
    <w:rsid w:val="00C271EE"/>
    <w:rsid w:val="00C30B81"/>
    <w:rsid w:val="00C310C2"/>
    <w:rsid w:val="00C31B11"/>
    <w:rsid w:val="00C33C05"/>
    <w:rsid w:val="00C36525"/>
    <w:rsid w:val="00C36A5C"/>
    <w:rsid w:val="00C36DED"/>
    <w:rsid w:val="00C409D2"/>
    <w:rsid w:val="00C40CC6"/>
    <w:rsid w:val="00C40EB3"/>
    <w:rsid w:val="00C41BD9"/>
    <w:rsid w:val="00C42E53"/>
    <w:rsid w:val="00C434FD"/>
    <w:rsid w:val="00C43D54"/>
    <w:rsid w:val="00C43E16"/>
    <w:rsid w:val="00C45334"/>
    <w:rsid w:val="00C45D9B"/>
    <w:rsid w:val="00C47AC7"/>
    <w:rsid w:val="00C47D5E"/>
    <w:rsid w:val="00C50E27"/>
    <w:rsid w:val="00C5192E"/>
    <w:rsid w:val="00C519ED"/>
    <w:rsid w:val="00C51BF6"/>
    <w:rsid w:val="00C52177"/>
    <w:rsid w:val="00C52DE6"/>
    <w:rsid w:val="00C534C9"/>
    <w:rsid w:val="00C55AE0"/>
    <w:rsid w:val="00C6016B"/>
    <w:rsid w:val="00C63095"/>
    <w:rsid w:val="00C634A7"/>
    <w:rsid w:val="00C638D7"/>
    <w:rsid w:val="00C638DF"/>
    <w:rsid w:val="00C6390A"/>
    <w:rsid w:val="00C640BF"/>
    <w:rsid w:val="00C64720"/>
    <w:rsid w:val="00C6517F"/>
    <w:rsid w:val="00C6547A"/>
    <w:rsid w:val="00C65CF2"/>
    <w:rsid w:val="00C67BA6"/>
    <w:rsid w:val="00C67D78"/>
    <w:rsid w:val="00C67FC8"/>
    <w:rsid w:val="00C70DA3"/>
    <w:rsid w:val="00C71391"/>
    <w:rsid w:val="00C71440"/>
    <w:rsid w:val="00C71920"/>
    <w:rsid w:val="00C71FC1"/>
    <w:rsid w:val="00C72730"/>
    <w:rsid w:val="00C72A63"/>
    <w:rsid w:val="00C73D72"/>
    <w:rsid w:val="00C7471B"/>
    <w:rsid w:val="00C76583"/>
    <w:rsid w:val="00C76B48"/>
    <w:rsid w:val="00C77C7E"/>
    <w:rsid w:val="00C80AE4"/>
    <w:rsid w:val="00C82A76"/>
    <w:rsid w:val="00C835C7"/>
    <w:rsid w:val="00C840DA"/>
    <w:rsid w:val="00C8516F"/>
    <w:rsid w:val="00C857F1"/>
    <w:rsid w:val="00C85CE8"/>
    <w:rsid w:val="00C86FFB"/>
    <w:rsid w:val="00C871C4"/>
    <w:rsid w:val="00C87B0C"/>
    <w:rsid w:val="00C9050A"/>
    <w:rsid w:val="00C90587"/>
    <w:rsid w:val="00C91215"/>
    <w:rsid w:val="00C91B3E"/>
    <w:rsid w:val="00C92456"/>
    <w:rsid w:val="00C92530"/>
    <w:rsid w:val="00C93E8D"/>
    <w:rsid w:val="00C94062"/>
    <w:rsid w:val="00C947E6"/>
    <w:rsid w:val="00C953DD"/>
    <w:rsid w:val="00C95C65"/>
    <w:rsid w:val="00C96535"/>
    <w:rsid w:val="00C974A3"/>
    <w:rsid w:val="00CA02DF"/>
    <w:rsid w:val="00CA1130"/>
    <w:rsid w:val="00CA2D02"/>
    <w:rsid w:val="00CA415F"/>
    <w:rsid w:val="00CA4A60"/>
    <w:rsid w:val="00CA4D7B"/>
    <w:rsid w:val="00CA5875"/>
    <w:rsid w:val="00CA5EA7"/>
    <w:rsid w:val="00CA6F97"/>
    <w:rsid w:val="00CA7F83"/>
    <w:rsid w:val="00CB026C"/>
    <w:rsid w:val="00CB08F9"/>
    <w:rsid w:val="00CB2C14"/>
    <w:rsid w:val="00CB4A85"/>
    <w:rsid w:val="00CB5A49"/>
    <w:rsid w:val="00CB5C15"/>
    <w:rsid w:val="00CB678B"/>
    <w:rsid w:val="00CB67F6"/>
    <w:rsid w:val="00CB6E82"/>
    <w:rsid w:val="00CB7E4D"/>
    <w:rsid w:val="00CC04E1"/>
    <w:rsid w:val="00CC0E36"/>
    <w:rsid w:val="00CC1228"/>
    <w:rsid w:val="00CC1A21"/>
    <w:rsid w:val="00CC1B6C"/>
    <w:rsid w:val="00CC2E61"/>
    <w:rsid w:val="00CC330F"/>
    <w:rsid w:val="00CC335F"/>
    <w:rsid w:val="00CC3D54"/>
    <w:rsid w:val="00CC4931"/>
    <w:rsid w:val="00CC4ADC"/>
    <w:rsid w:val="00CC4BD4"/>
    <w:rsid w:val="00CC66DE"/>
    <w:rsid w:val="00CC7C0C"/>
    <w:rsid w:val="00CD0603"/>
    <w:rsid w:val="00CD30F0"/>
    <w:rsid w:val="00CD41FD"/>
    <w:rsid w:val="00CD4BAC"/>
    <w:rsid w:val="00CD5365"/>
    <w:rsid w:val="00CD5C37"/>
    <w:rsid w:val="00CD5DB3"/>
    <w:rsid w:val="00CD66D9"/>
    <w:rsid w:val="00CD6DCF"/>
    <w:rsid w:val="00CD73E0"/>
    <w:rsid w:val="00CD75E3"/>
    <w:rsid w:val="00CE1AE5"/>
    <w:rsid w:val="00CE2627"/>
    <w:rsid w:val="00CE2A30"/>
    <w:rsid w:val="00CE2EB2"/>
    <w:rsid w:val="00CE319A"/>
    <w:rsid w:val="00CE3F3A"/>
    <w:rsid w:val="00CE505E"/>
    <w:rsid w:val="00CE525D"/>
    <w:rsid w:val="00CE5C99"/>
    <w:rsid w:val="00CE6C3B"/>
    <w:rsid w:val="00CF2015"/>
    <w:rsid w:val="00CF23B4"/>
    <w:rsid w:val="00CF23EE"/>
    <w:rsid w:val="00CF2899"/>
    <w:rsid w:val="00CF47C9"/>
    <w:rsid w:val="00CF5912"/>
    <w:rsid w:val="00CF5AE0"/>
    <w:rsid w:val="00CF65B9"/>
    <w:rsid w:val="00D00C32"/>
    <w:rsid w:val="00D01C3F"/>
    <w:rsid w:val="00D02532"/>
    <w:rsid w:val="00D02A02"/>
    <w:rsid w:val="00D02BE5"/>
    <w:rsid w:val="00D0420E"/>
    <w:rsid w:val="00D04618"/>
    <w:rsid w:val="00D061B5"/>
    <w:rsid w:val="00D07BF8"/>
    <w:rsid w:val="00D10B56"/>
    <w:rsid w:val="00D11357"/>
    <w:rsid w:val="00D11839"/>
    <w:rsid w:val="00D119F8"/>
    <w:rsid w:val="00D11B60"/>
    <w:rsid w:val="00D126F7"/>
    <w:rsid w:val="00D129F5"/>
    <w:rsid w:val="00D12ED9"/>
    <w:rsid w:val="00D141DD"/>
    <w:rsid w:val="00D145D6"/>
    <w:rsid w:val="00D1494A"/>
    <w:rsid w:val="00D21887"/>
    <w:rsid w:val="00D21CDF"/>
    <w:rsid w:val="00D22519"/>
    <w:rsid w:val="00D235FE"/>
    <w:rsid w:val="00D24376"/>
    <w:rsid w:val="00D25841"/>
    <w:rsid w:val="00D266DE"/>
    <w:rsid w:val="00D26D06"/>
    <w:rsid w:val="00D27254"/>
    <w:rsid w:val="00D2739E"/>
    <w:rsid w:val="00D2757D"/>
    <w:rsid w:val="00D27611"/>
    <w:rsid w:val="00D2763F"/>
    <w:rsid w:val="00D303CF"/>
    <w:rsid w:val="00D304B5"/>
    <w:rsid w:val="00D30B0A"/>
    <w:rsid w:val="00D3130F"/>
    <w:rsid w:val="00D31689"/>
    <w:rsid w:val="00D31DF2"/>
    <w:rsid w:val="00D323DE"/>
    <w:rsid w:val="00D345C8"/>
    <w:rsid w:val="00D34AC1"/>
    <w:rsid w:val="00D34AE5"/>
    <w:rsid w:val="00D3507E"/>
    <w:rsid w:val="00D355E8"/>
    <w:rsid w:val="00D360C9"/>
    <w:rsid w:val="00D37866"/>
    <w:rsid w:val="00D37AF9"/>
    <w:rsid w:val="00D40493"/>
    <w:rsid w:val="00D40B1D"/>
    <w:rsid w:val="00D41AE1"/>
    <w:rsid w:val="00D4397E"/>
    <w:rsid w:val="00D43B4D"/>
    <w:rsid w:val="00D43DD6"/>
    <w:rsid w:val="00D46F05"/>
    <w:rsid w:val="00D50796"/>
    <w:rsid w:val="00D51C2C"/>
    <w:rsid w:val="00D52659"/>
    <w:rsid w:val="00D5321A"/>
    <w:rsid w:val="00D53E3D"/>
    <w:rsid w:val="00D54856"/>
    <w:rsid w:val="00D55A36"/>
    <w:rsid w:val="00D5689A"/>
    <w:rsid w:val="00D57072"/>
    <w:rsid w:val="00D572CF"/>
    <w:rsid w:val="00D60967"/>
    <w:rsid w:val="00D61151"/>
    <w:rsid w:val="00D61249"/>
    <w:rsid w:val="00D61AE5"/>
    <w:rsid w:val="00D6277C"/>
    <w:rsid w:val="00D637AC"/>
    <w:rsid w:val="00D63AF9"/>
    <w:rsid w:val="00D64020"/>
    <w:rsid w:val="00D64636"/>
    <w:rsid w:val="00D64B3A"/>
    <w:rsid w:val="00D66309"/>
    <w:rsid w:val="00D666CC"/>
    <w:rsid w:val="00D66788"/>
    <w:rsid w:val="00D668E4"/>
    <w:rsid w:val="00D669B3"/>
    <w:rsid w:val="00D66CF4"/>
    <w:rsid w:val="00D67466"/>
    <w:rsid w:val="00D7030A"/>
    <w:rsid w:val="00D7047B"/>
    <w:rsid w:val="00D70861"/>
    <w:rsid w:val="00D70DF1"/>
    <w:rsid w:val="00D70E3E"/>
    <w:rsid w:val="00D713EF"/>
    <w:rsid w:val="00D7166A"/>
    <w:rsid w:val="00D71889"/>
    <w:rsid w:val="00D729A9"/>
    <w:rsid w:val="00D741F4"/>
    <w:rsid w:val="00D74FEC"/>
    <w:rsid w:val="00D75505"/>
    <w:rsid w:val="00D756C0"/>
    <w:rsid w:val="00D76695"/>
    <w:rsid w:val="00D77B52"/>
    <w:rsid w:val="00D77DAB"/>
    <w:rsid w:val="00D80441"/>
    <w:rsid w:val="00D81992"/>
    <w:rsid w:val="00D8228F"/>
    <w:rsid w:val="00D82B75"/>
    <w:rsid w:val="00D83CB1"/>
    <w:rsid w:val="00D83D97"/>
    <w:rsid w:val="00D841B4"/>
    <w:rsid w:val="00D851B7"/>
    <w:rsid w:val="00D8579B"/>
    <w:rsid w:val="00D85A34"/>
    <w:rsid w:val="00D862DA"/>
    <w:rsid w:val="00D86355"/>
    <w:rsid w:val="00D8640C"/>
    <w:rsid w:val="00D86456"/>
    <w:rsid w:val="00D867C9"/>
    <w:rsid w:val="00D870BD"/>
    <w:rsid w:val="00D87604"/>
    <w:rsid w:val="00D8797B"/>
    <w:rsid w:val="00D87CD5"/>
    <w:rsid w:val="00D90AAE"/>
    <w:rsid w:val="00D90ED8"/>
    <w:rsid w:val="00D921BD"/>
    <w:rsid w:val="00D94048"/>
    <w:rsid w:val="00D94F77"/>
    <w:rsid w:val="00D955BD"/>
    <w:rsid w:val="00D9591D"/>
    <w:rsid w:val="00D95CD7"/>
    <w:rsid w:val="00D96B1C"/>
    <w:rsid w:val="00D96CE4"/>
    <w:rsid w:val="00D96F54"/>
    <w:rsid w:val="00DA299A"/>
    <w:rsid w:val="00DA33E2"/>
    <w:rsid w:val="00DA37E2"/>
    <w:rsid w:val="00DA3D7B"/>
    <w:rsid w:val="00DA3FD0"/>
    <w:rsid w:val="00DA4241"/>
    <w:rsid w:val="00DA4551"/>
    <w:rsid w:val="00DA4949"/>
    <w:rsid w:val="00DA4D4F"/>
    <w:rsid w:val="00DA6721"/>
    <w:rsid w:val="00DA7189"/>
    <w:rsid w:val="00DA72B3"/>
    <w:rsid w:val="00DA7370"/>
    <w:rsid w:val="00DA78E6"/>
    <w:rsid w:val="00DB1190"/>
    <w:rsid w:val="00DB14E7"/>
    <w:rsid w:val="00DB15A0"/>
    <w:rsid w:val="00DB1659"/>
    <w:rsid w:val="00DB2A5F"/>
    <w:rsid w:val="00DB4074"/>
    <w:rsid w:val="00DB4594"/>
    <w:rsid w:val="00DB48BC"/>
    <w:rsid w:val="00DB4AA3"/>
    <w:rsid w:val="00DB4C97"/>
    <w:rsid w:val="00DB5992"/>
    <w:rsid w:val="00DB5F4D"/>
    <w:rsid w:val="00DB68FF"/>
    <w:rsid w:val="00DB7230"/>
    <w:rsid w:val="00DC0447"/>
    <w:rsid w:val="00DC0976"/>
    <w:rsid w:val="00DC1505"/>
    <w:rsid w:val="00DC1959"/>
    <w:rsid w:val="00DC32BA"/>
    <w:rsid w:val="00DC345E"/>
    <w:rsid w:val="00DC39E8"/>
    <w:rsid w:val="00DC3CBC"/>
    <w:rsid w:val="00DC4926"/>
    <w:rsid w:val="00DC5F0E"/>
    <w:rsid w:val="00DC5FD8"/>
    <w:rsid w:val="00DD19BD"/>
    <w:rsid w:val="00DD1DB7"/>
    <w:rsid w:val="00DD229C"/>
    <w:rsid w:val="00DD2A6E"/>
    <w:rsid w:val="00DD316E"/>
    <w:rsid w:val="00DD3997"/>
    <w:rsid w:val="00DD4DC9"/>
    <w:rsid w:val="00DD580B"/>
    <w:rsid w:val="00DD6537"/>
    <w:rsid w:val="00DD6667"/>
    <w:rsid w:val="00DD74A2"/>
    <w:rsid w:val="00DE07AF"/>
    <w:rsid w:val="00DE0876"/>
    <w:rsid w:val="00DE1307"/>
    <w:rsid w:val="00DE178D"/>
    <w:rsid w:val="00DE1B8D"/>
    <w:rsid w:val="00DE1F61"/>
    <w:rsid w:val="00DE1FFF"/>
    <w:rsid w:val="00DE383B"/>
    <w:rsid w:val="00DE3BB9"/>
    <w:rsid w:val="00DE448D"/>
    <w:rsid w:val="00DE4822"/>
    <w:rsid w:val="00DE4871"/>
    <w:rsid w:val="00DE49BE"/>
    <w:rsid w:val="00DE4C3B"/>
    <w:rsid w:val="00DE5B93"/>
    <w:rsid w:val="00DE6576"/>
    <w:rsid w:val="00DE65C5"/>
    <w:rsid w:val="00DF0D05"/>
    <w:rsid w:val="00DF2F42"/>
    <w:rsid w:val="00DF3B8F"/>
    <w:rsid w:val="00DF3F7E"/>
    <w:rsid w:val="00DF4614"/>
    <w:rsid w:val="00DF55DC"/>
    <w:rsid w:val="00DF57CF"/>
    <w:rsid w:val="00DF5BD4"/>
    <w:rsid w:val="00DF6543"/>
    <w:rsid w:val="00DF6D10"/>
    <w:rsid w:val="00DF7126"/>
    <w:rsid w:val="00DF7B25"/>
    <w:rsid w:val="00E00B67"/>
    <w:rsid w:val="00E0161F"/>
    <w:rsid w:val="00E017A7"/>
    <w:rsid w:val="00E017E2"/>
    <w:rsid w:val="00E01C49"/>
    <w:rsid w:val="00E02712"/>
    <w:rsid w:val="00E03406"/>
    <w:rsid w:val="00E0385D"/>
    <w:rsid w:val="00E03AC7"/>
    <w:rsid w:val="00E049C7"/>
    <w:rsid w:val="00E05870"/>
    <w:rsid w:val="00E064C7"/>
    <w:rsid w:val="00E07686"/>
    <w:rsid w:val="00E1163B"/>
    <w:rsid w:val="00E118C0"/>
    <w:rsid w:val="00E1240D"/>
    <w:rsid w:val="00E124F4"/>
    <w:rsid w:val="00E12636"/>
    <w:rsid w:val="00E127A5"/>
    <w:rsid w:val="00E135A1"/>
    <w:rsid w:val="00E13F95"/>
    <w:rsid w:val="00E1413A"/>
    <w:rsid w:val="00E1496E"/>
    <w:rsid w:val="00E1661C"/>
    <w:rsid w:val="00E16DD3"/>
    <w:rsid w:val="00E16EF1"/>
    <w:rsid w:val="00E177A0"/>
    <w:rsid w:val="00E17F63"/>
    <w:rsid w:val="00E20E02"/>
    <w:rsid w:val="00E2128A"/>
    <w:rsid w:val="00E21A67"/>
    <w:rsid w:val="00E2335A"/>
    <w:rsid w:val="00E23D84"/>
    <w:rsid w:val="00E2599A"/>
    <w:rsid w:val="00E302C7"/>
    <w:rsid w:val="00E30441"/>
    <w:rsid w:val="00E317AE"/>
    <w:rsid w:val="00E31A8C"/>
    <w:rsid w:val="00E32017"/>
    <w:rsid w:val="00E3350B"/>
    <w:rsid w:val="00E33A1D"/>
    <w:rsid w:val="00E34C5A"/>
    <w:rsid w:val="00E35386"/>
    <w:rsid w:val="00E37369"/>
    <w:rsid w:val="00E40B68"/>
    <w:rsid w:val="00E40DBD"/>
    <w:rsid w:val="00E4120E"/>
    <w:rsid w:val="00E418B1"/>
    <w:rsid w:val="00E41C1E"/>
    <w:rsid w:val="00E43685"/>
    <w:rsid w:val="00E43C06"/>
    <w:rsid w:val="00E44996"/>
    <w:rsid w:val="00E449B1"/>
    <w:rsid w:val="00E45469"/>
    <w:rsid w:val="00E45BEA"/>
    <w:rsid w:val="00E4647A"/>
    <w:rsid w:val="00E46E2D"/>
    <w:rsid w:val="00E470E5"/>
    <w:rsid w:val="00E47B31"/>
    <w:rsid w:val="00E501F7"/>
    <w:rsid w:val="00E5020E"/>
    <w:rsid w:val="00E5082D"/>
    <w:rsid w:val="00E50F0F"/>
    <w:rsid w:val="00E5155B"/>
    <w:rsid w:val="00E51587"/>
    <w:rsid w:val="00E5361B"/>
    <w:rsid w:val="00E548F7"/>
    <w:rsid w:val="00E5651B"/>
    <w:rsid w:val="00E56A1B"/>
    <w:rsid w:val="00E574A9"/>
    <w:rsid w:val="00E57B6C"/>
    <w:rsid w:val="00E57E07"/>
    <w:rsid w:val="00E60D6D"/>
    <w:rsid w:val="00E60DB2"/>
    <w:rsid w:val="00E61355"/>
    <w:rsid w:val="00E613BC"/>
    <w:rsid w:val="00E61830"/>
    <w:rsid w:val="00E61F1E"/>
    <w:rsid w:val="00E62E1B"/>
    <w:rsid w:val="00E63DB8"/>
    <w:rsid w:val="00E656B6"/>
    <w:rsid w:val="00E6572F"/>
    <w:rsid w:val="00E658AF"/>
    <w:rsid w:val="00E65FF5"/>
    <w:rsid w:val="00E66861"/>
    <w:rsid w:val="00E669BF"/>
    <w:rsid w:val="00E66E21"/>
    <w:rsid w:val="00E67063"/>
    <w:rsid w:val="00E70F38"/>
    <w:rsid w:val="00E710FC"/>
    <w:rsid w:val="00E71915"/>
    <w:rsid w:val="00E7193B"/>
    <w:rsid w:val="00E737B1"/>
    <w:rsid w:val="00E746FC"/>
    <w:rsid w:val="00E75D88"/>
    <w:rsid w:val="00E76F7F"/>
    <w:rsid w:val="00E773F2"/>
    <w:rsid w:val="00E77F2E"/>
    <w:rsid w:val="00E801C4"/>
    <w:rsid w:val="00E80545"/>
    <w:rsid w:val="00E80916"/>
    <w:rsid w:val="00E80BA5"/>
    <w:rsid w:val="00E823D1"/>
    <w:rsid w:val="00E840DF"/>
    <w:rsid w:val="00E84D8C"/>
    <w:rsid w:val="00E8560F"/>
    <w:rsid w:val="00E8780A"/>
    <w:rsid w:val="00E87965"/>
    <w:rsid w:val="00E87B93"/>
    <w:rsid w:val="00E87F12"/>
    <w:rsid w:val="00E87F5E"/>
    <w:rsid w:val="00E9062C"/>
    <w:rsid w:val="00E91FA4"/>
    <w:rsid w:val="00E93202"/>
    <w:rsid w:val="00E938D3"/>
    <w:rsid w:val="00E93939"/>
    <w:rsid w:val="00E950DF"/>
    <w:rsid w:val="00E95310"/>
    <w:rsid w:val="00E957FC"/>
    <w:rsid w:val="00E96367"/>
    <w:rsid w:val="00EA0289"/>
    <w:rsid w:val="00EA1952"/>
    <w:rsid w:val="00EA1A58"/>
    <w:rsid w:val="00EA1E96"/>
    <w:rsid w:val="00EA24C8"/>
    <w:rsid w:val="00EA43B9"/>
    <w:rsid w:val="00EA47F8"/>
    <w:rsid w:val="00EA6F92"/>
    <w:rsid w:val="00EA7581"/>
    <w:rsid w:val="00EB06CC"/>
    <w:rsid w:val="00EB0F49"/>
    <w:rsid w:val="00EB1027"/>
    <w:rsid w:val="00EB11D1"/>
    <w:rsid w:val="00EB130B"/>
    <w:rsid w:val="00EB181B"/>
    <w:rsid w:val="00EB1CA4"/>
    <w:rsid w:val="00EB1E06"/>
    <w:rsid w:val="00EB2DEA"/>
    <w:rsid w:val="00EB4B23"/>
    <w:rsid w:val="00EB5B48"/>
    <w:rsid w:val="00EB5D75"/>
    <w:rsid w:val="00EB6F9F"/>
    <w:rsid w:val="00EB71E6"/>
    <w:rsid w:val="00EC0997"/>
    <w:rsid w:val="00EC1100"/>
    <w:rsid w:val="00EC1327"/>
    <w:rsid w:val="00EC159A"/>
    <w:rsid w:val="00EC15E4"/>
    <w:rsid w:val="00EC2092"/>
    <w:rsid w:val="00EC29EF"/>
    <w:rsid w:val="00EC341C"/>
    <w:rsid w:val="00EC582B"/>
    <w:rsid w:val="00EC5DB1"/>
    <w:rsid w:val="00EC7387"/>
    <w:rsid w:val="00EC7A6B"/>
    <w:rsid w:val="00EC7F52"/>
    <w:rsid w:val="00ED0B68"/>
    <w:rsid w:val="00ED11B0"/>
    <w:rsid w:val="00ED1657"/>
    <w:rsid w:val="00ED1BD0"/>
    <w:rsid w:val="00ED2B72"/>
    <w:rsid w:val="00ED3B95"/>
    <w:rsid w:val="00ED3C2D"/>
    <w:rsid w:val="00ED406B"/>
    <w:rsid w:val="00ED4210"/>
    <w:rsid w:val="00ED5243"/>
    <w:rsid w:val="00ED5637"/>
    <w:rsid w:val="00ED6618"/>
    <w:rsid w:val="00EE0022"/>
    <w:rsid w:val="00EE05B0"/>
    <w:rsid w:val="00EE07BC"/>
    <w:rsid w:val="00EE1DEE"/>
    <w:rsid w:val="00EE2901"/>
    <w:rsid w:val="00EE378D"/>
    <w:rsid w:val="00EE6E4F"/>
    <w:rsid w:val="00EE6F4D"/>
    <w:rsid w:val="00EE71C9"/>
    <w:rsid w:val="00EE75A2"/>
    <w:rsid w:val="00EF14D5"/>
    <w:rsid w:val="00EF23D7"/>
    <w:rsid w:val="00EF352D"/>
    <w:rsid w:val="00EF4084"/>
    <w:rsid w:val="00EF49B8"/>
    <w:rsid w:val="00EF4AEE"/>
    <w:rsid w:val="00EF561C"/>
    <w:rsid w:val="00EF6E41"/>
    <w:rsid w:val="00EF6E8B"/>
    <w:rsid w:val="00EF757F"/>
    <w:rsid w:val="00EF778D"/>
    <w:rsid w:val="00EF7AE8"/>
    <w:rsid w:val="00F00201"/>
    <w:rsid w:val="00F004B8"/>
    <w:rsid w:val="00F009C6"/>
    <w:rsid w:val="00F011C4"/>
    <w:rsid w:val="00F013FD"/>
    <w:rsid w:val="00F02E48"/>
    <w:rsid w:val="00F03106"/>
    <w:rsid w:val="00F03AC8"/>
    <w:rsid w:val="00F03BE2"/>
    <w:rsid w:val="00F03F3B"/>
    <w:rsid w:val="00F04A05"/>
    <w:rsid w:val="00F04F2C"/>
    <w:rsid w:val="00F055FC"/>
    <w:rsid w:val="00F07468"/>
    <w:rsid w:val="00F07C45"/>
    <w:rsid w:val="00F114EA"/>
    <w:rsid w:val="00F11BC2"/>
    <w:rsid w:val="00F11DDC"/>
    <w:rsid w:val="00F12F5C"/>
    <w:rsid w:val="00F1302B"/>
    <w:rsid w:val="00F135CA"/>
    <w:rsid w:val="00F135F2"/>
    <w:rsid w:val="00F13A6B"/>
    <w:rsid w:val="00F13F76"/>
    <w:rsid w:val="00F1400E"/>
    <w:rsid w:val="00F14A97"/>
    <w:rsid w:val="00F14DF7"/>
    <w:rsid w:val="00F16154"/>
    <w:rsid w:val="00F1650C"/>
    <w:rsid w:val="00F17169"/>
    <w:rsid w:val="00F17485"/>
    <w:rsid w:val="00F17FDF"/>
    <w:rsid w:val="00F20D6D"/>
    <w:rsid w:val="00F20F6F"/>
    <w:rsid w:val="00F212C7"/>
    <w:rsid w:val="00F2176B"/>
    <w:rsid w:val="00F21B73"/>
    <w:rsid w:val="00F22269"/>
    <w:rsid w:val="00F2288B"/>
    <w:rsid w:val="00F22C8F"/>
    <w:rsid w:val="00F22D82"/>
    <w:rsid w:val="00F236B3"/>
    <w:rsid w:val="00F23884"/>
    <w:rsid w:val="00F23A8E"/>
    <w:rsid w:val="00F2522C"/>
    <w:rsid w:val="00F26D40"/>
    <w:rsid w:val="00F33450"/>
    <w:rsid w:val="00F3363F"/>
    <w:rsid w:val="00F33E09"/>
    <w:rsid w:val="00F33F4F"/>
    <w:rsid w:val="00F340B6"/>
    <w:rsid w:val="00F34978"/>
    <w:rsid w:val="00F35F13"/>
    <w:rsid w:val="00F361B7"/>
    <w:rsid w:val="00F3694D"/>
    <w:rsid w:val="00F401FD"/>
    <w:rsid w:val="00F408FC"/>
    <w:rsid w:val="00F40914"/>
    <w:rsid w:val="00F40BAE"/>
    <w:rsid w:val="00F41AEE"/>
    <w:rsid w:val="00F43014"/>
    <w:rsid w:val="00F433DF"/>
    <w:rsid w:val="00F44D68"/>
    <w:rsid w:val="00F4750F"/>
    <w:rsid w:val="00F5008B"/>
    <w:rsid w:val="00F50696"/>
    <w:rsid w:val="00F50CEF"/>
    <w:rsid w:val="00F5172B"/>
    <w:rsid w:val="00F51A6F"/>
    <w:rsid w:val="00F51B37"/>
    <w:rsid w:val="00F52F93"/>
    <w:rsid w:val="00F531ED"/>
    <w:rsid w:val="00F534BF"/>
    <w:rsid w:val="00F540BE"/>
    <w:rsid w:val="00F54608"/>
    <w:rsid w:val="00F54C67"/>
    <w:rsid w:val="00F55272"/>
    <w:rsid w:val="00F552F2"/>
    <w:rsid w:val="00F55E52"/>
    <w:rsid w:val="00F5681C"/>
    <w:rsid w:val="00F56AE1"/>
    <w:rsid w:val="00F56EFE"/>
    <w:rsid w:val="00F571A9"/>
    <w:rsid w:val="00F57211"/>
    <w:rsid w:val="00F57EF0"/>
    <w:rsid w:val="00F60C28"/>
    <w:rsid w:val="00F61300"/>
    <w:rsid w:val="00F6193D"/>
    <w:rsid w:val="00F627E2"/>
    <w:rsid w:val="00F6292E"/>
    <w:rsid w:val="00F62F08"/>
    <w:rsid w:val="00F66DFC"/>
    <w:rsid w:val="00F66E5F"/>
    <w:rsid w:val="00F6746D"/>
    <w:rsid w:val="00F676B6"/>
    <w:rsid w:val="00F7033D"/>
    <w:rsid w:val="00F70987"/>
    <w:rsid w:val="00F70ABB"/>
    <w:rsid w:val="00F713B3"/>
    <w:rsid w:val="00F71520"/>
    <w:rsid w:val="00F71650"/>
    <w:rsid w:val="00F717E7"/>
    <w:rsid w:val="00F71F72"/>
    <w:rsid w:val="00F733AB"/>
    <w:rsid w:val="00F73FD1"/>
    <w:rsid w:val="00F7590F"/>
    <w:rsid w:val="00F75FE2"/>
    <w:rsid w:val="00F76423"/>
    <w:rsid w:val="00F7654C"/>
    <w:rsid w:val="00F772CC"/>
    <w:rsid w:val="00F8060E"/>
    <w:rsid w:val="00F81EC9"/>
    <w:rsid w:val="00F82263"/>
    <w:rsid w:val="00F836A6"/>
    <w:rsid w:val="00F847A5"/>
    <w:rsid w:val="00F84E9D"/>
    <w:rsid w:val="00F8534A"/>
    <w:rsid w:val="00F8569E"/>
    <w:rsid w:val="00F85A14"/>
    <w:rsid w:val="00F86789"/>
    <w:rsid w:val="00F87751"/>
    <w:rsid w:val="00F90C03"/>
    <w:rsid w:val="00F90EB0"/>
    <w:rsid w:val="00F913C6"/>
    <w:rsid w:val="00F91598"/>
    <w:rsid w:val="00F92FD8"/>
    <w:rsid w:val="00F936DB"/>
    <w:rsid w:val="00F938C6"/>
    <w:rsid w:val="00F945E8"/>
    <w:rsid w:val="00F94864"/>
    <w:rsid w:val="00F951E0"/>
    <w:rsid w:val="00F95BDD"/>
    <w:rsid w:val="00F9658E"/>
    <w:rsid w:val="00F9692A"/>
    <w:rsid w:val="00F96CCE"/>
    <w:rsid w:val="00F96DED"/>
    <w:rsid w:val="00F96F5A"/>
    <w:rsid w:val="00FA02EE"/>
    <w:rsid w:val="00FA1E51"/>
    <w:rsid w:val="00FA2DEC"/>
    <w:rsid w:val="00FA33A6"/>
    <w:rsid w:val="00FA33F7"/>
    <w:rsid w:val="00FA3475"/>
    <w:rsid w:val="00FA474A"/>
    <w:rsid w:val="00FA4AA9"/>
    <w:rsid w:val="00FA5227"/>
    <w:rsid w:val="00FA692C"/>
    <w:rsid w:val="00FA6A59"/>
    <w:rsid w:val="00FA6D8F"/>
    <w:rsid w:val="00FA7B80"/>
    <w:rsid w:val="00FA7FFA"/>
    <w:rsid w:val="00FB0B18"/>
    <w:rsid w:val="00FB24F1"/>
    <w:rsid w:val="00FB2ACA"/>
    <w:rsid w:val="00FB358F"/>
    <w:rsid w:val="00FB42EA"/>
    <w:rsid w:val="00FB5DF4"/>
    <w:rsid w:val="00FB673E"/>
    <w:rsid w:val="00FB7186"/>
    <w:rsid w:val="00FB74C1"/>
    <w:rsid w:val="00FB753B"/>
    <w:rsid w:val="00FC0450"/>
    <w:rsid w:val="00FC3199"/>
    <w:rsid w:val="00FC3988"/>
    <w:rsid w:val="00FC3D57"/>
    <w:rsid w:val="00FC3EB4"/>
    <w:rsid w:val="00FC41E3"/>
    <w:rsid w:val="00FC4898"/>
    <w:rsid w:val="00FC4C45"/>
    <w:rsid w:val="00FC51B8"/>
    <w:rsid w:val="00FC5FD1"/>
    <w:rsid w:val="00FC6C2D"/>
    <w:rsid w:val="00FC7A0C"/>
    <w:rsid w:val="00FD01AD"/>
    <w:rsid w:val="00FD16AB"/>
    <w:rsid w:val="00FD2A64"/>
    <w:rsid w:val="00FD2E3A"/>
    <w:rsid w:val="00FD385B"/>
    <w:rsid w:val="00FD38DC"/>
    <w:rsid w:val="00FD40BA"/>
    <w:rsid w:val="00FD4216"/>
    <w:rsid w:val="00FD4ECB"/>
    <w:rsid w:val="00FD538E"/>
    <w:rsid w:val="00FD6281"/>
    <w:rsid w:val="00FD6447"/>
    <w:rsid w:val="00FD6457"/>
    <w:rsid w:val="00FD755E"/>
    <w:rsid w:val="00FD76FA"/>
    <w:rsid w:val="00FD7CD3"/>
    <w:rsid w:val="00FE1B27"/>
    <w:rsid w:val="00FE1C1A"/>
    <w:rsid w:val="00FE27E7"/>
    <w:rsid w:val="00FE2BF5"/>
    <w:rsid w:val="00FE2E12"/>
    <w:rsid w:val="00FE3D91"/>
    <w:rsid w:val="00FE3E67"/>
    <w:rsid w:val="00FE44C5"/>
    <w:rsid w:val="00FE4D3C"/>
    <w:rsid w:val="00FE5610"/>
    <w:rsid w:val="00FE5D84"/>
    <w:rsid w:val="00FE5DBB"/>
    <w:rsid w:val="00FE626F"/>
    <w:rsid w:val="00FE7E8C"/>
    <w:rsid w:val="00FF080F"/>
    <w:rsid w:val="00FF1021"/>
    <w:rsid w:val="00FF141F"/>
    <w:rsid w:val="00FF19F5"/>
    <w:rsid w:val="00FF2391"/>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2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FE2BF5"/>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E2BF5"/>
    <w:pPr>
      <w:keepNext/>
      <w:numPr>
        <w:numId w:val="5"/>
      </w:numPr>
      <w:ind w:right="1296"/>
      <w:outlineLvl w:val="0"/>
    </w:pPr>
    <w:rPr>
      <w:u w:val="single"/>
    </w:rPr>
  </w:style>
  <w:style w:type="paragraph" w:styleId="Heading2">
    <w:name w:val="heading 2"/>
    <w:basedOn w:val="Normal"/>
    <w:next w:val="Normal"/>
    <w:uiPriority w:val="99"/>
    <w:qFormat/>
    <w:locked/>
    <w:rsid w:val="00FE2BF5"/>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E2BF5"/>
    <w:pPr>
      <w:keepNext/>
      <w:numPr>
        <w:ilvl w:val="2"/>
        <w:numId w:val="5"/>
      </w:numPr>
      <w:spacing w:before="240" w:after="60"/>
      <w:outlineLvl w:val="2"/>
    </w:pPr>
    <w:rPr>
      <w:rFonts w:ascii="Arial" w:hAnsi="Arial"/>
      <w:sz w:val="24"/>
    </w:rPr>
  </w:style>
  <w:style w:type="paragraph" w:styleId="Heading4">
    <w:name w:val="heading 4"/>
    <w:basedOn w:val="Heading3"/>
    <w:next w:val="Normal"/>
    <w:link w:val="Heading4Char"/>
    <w:uiPriority w:val="9"/>
    <w:unhideWhenUsed/>
    <w:qFormat/>
    <w:locked/>
    <w:rsid w:val="0020056C"/>
    <w:pPr>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s>
      <w:spacing w:before="120" w:after="120" w:line="240" w:lineRule="auto"/>
      <w:ind w:left="709" w:right="0"/>
      <w:outlineLvl w:val="3"/>
    </w:pPr>
    <w:rPr>
      <w:rFonts w:eastAsia="Calibri" w:cs="Arial"/>
      <w:i/>
      <w:sz w:val="22"/>
      <w:szCs w:val="22"/>
    </w:rPr>
  </w:style>
  <w:style w:type="character" w:default="1" w:styleId="DefaultParagraphFont">
    <w:name w:val="Default Paragraph Font"/>
    <w:uiPriority w:val="1"/>
    <w:semiHidden/>
    <w:unhideWhenUsed/>
    <w:rsid w:val="00FE2B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BF5"/>
  </w:style>
  <w:style w:type="paragraph" w:styleId="Footer">
    <w:name w:val="footer"/>
    <w:basedOn w:val="Normal"/>
    <w:link w:val="FooterChar"/>
    <w:uiPriority w:val="43"/>
    <w:locked/>
    <w:rsid w:val="00FE2BF5"/>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FE2BF5"/>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rsid w:val="00FE2BF5"/>
    <w:pPr>
      <w:spacing w:after="240" w:line="240" w:lineRule="exact"/>
      <w:ind w:left="510" w:hanging="510"/>
    </w:pPr>
  </w:style>
  <w:style w:type="character" w:styleId="FootnoteReference">
    <w:name w:val="footnote reference"/>
    <w:uiPriority w:val="51"/>
    <w:locked/>
    <w:rsid w:val="00FE2BF5"/>
    <w:rPr>
      <w:b/>
      <w:sz w:val="28"/>
      <w:vertAlign w:val="superscript"/>
    </w:rPr>
  </w:style>
  <w:style w:type="paragraph" w:customStyle="1" w:styleId="FootIndAgain">
    <w:name w:val="FootIndAgain"/>
    <w:basedOn w:val="FootnoteText"/>
    <w:uiPriority w:val="47"/>
    <w:qFormat/>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FE2BF5"/>
    <w:pPr>
      <w:ind w:firstLine="0"/>
    </w:pPr>
  </w:style>
  <w:style w:type="character" w:customStyle="1" w:styleId="Heading1Char">
    <w:name w:val="Heading 1 Char"/>
    <w:uiPriority w:val="99"/>
    <w:semiHidden/>
    <w:locked/>
    <w:rsid w:val="00FE2BF5"/>
    <w:rPr>
      <w:rFonts w:ascii="Univers" w:hAnsi="Univers"/>
      <w:sz w:val="26"/>
      <w:u w:val="single"/>
      <w:lang w:val="en-AU"/>
    </w:rPr>
  </w:style>
  <w:style w:type="character" w:customStyle="1" w:styleId="Heading2Char">
    <w:name w:val="Heading 2 Char"/>
    <w:uiPriority w:val="99"/>
    <w:semiHidden/>
    <w:locked/>
    <w:rsid w:val="00FE2BF5"/>
    <w:rPr>
      <w:rFonts w:ascii="Arial" w:hAnsi="Arial"/>
      <w:b/>
      <w:i/>
      <w:sz w:val="24"/>
      <w:lang w:val="en-AU"/>
    </w:rPr>
  </w:style>
  <w:style w:type="character" w:customStyle="1" w:styleId="Heading3Char">
    <w:name w:val="Heading 3 Char"/>
    <w:uiPriority w:val="99"/>
    <w:locked/>
    <w:rsid w:val="00FE2BF5"/>
    <w:rPr>
      <w:rFonts w:ascii="Arial" w:hAnsi="Arial"/>
      <w:sz w:val="24"/>
      <w:lang w:val="en-AU"/>
    </w:rPr>
  </w:style>
  <w:style w:type="paragraph" w:customStyle="1" w:styleId="NormalHC">
    <w:name w:val="Normal HC"/>
    <w:basedOn w:val="Normal"/>
    <w:uiPriority w:val="27"/>
    <w:qFormat/>
    <w:locked/>
    <w:rsid w:val="00FE2BF5"/>
    <w:pPr>
      <w:numPr>
        <w:numId w:val="16"/>
      </w:numPr>
      <w:spacing w:after="480"/>
      <w:ind w:left="0" w:hanging="720"/>
    </w:pPr>
  </w:style>
  <w:style w:type="paragraph" w:customStyle="1" w:styleId="HeadingFirst">
    <w:name w:val="Heading First"/>
    <w:basedOn w:val="NormalHC"/>
    <w:next w:val="HeadingV"/>
    <w:uiPriority w:val="15"/>
    <w:qFormat/>
    <w:locked/>
    <w:rsid w:val="00FE2BF5"/>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FE2BF5"/>
    <w:pPr>
      <w:keepNext/>
      <w:numPr>
        <w:numId w:val="0"/>
      </w:numPr>
      <w:outlineLvl w:val="2"/>
    </w:pPr>
    <w:rPr>
      <w:b/>
      <w:szCs w:val="20"/>
    </w:rPr>
  </w:style>
  <w:style w:type="paragraph" w:customStyle="1" w:styleId="HeadingL2">
    <w:name w:val="Heading L2"/>
    <w:basedOn w:val="HeadingL1"/>
    <w:next w:val="NormalHC"/>
    <w:uiPriority w:val="23"/>
    <w:qFormat/>
    <w:locked/>
    <w:rsid w:val="00FE2BF5"/>
    <w:pPr>
      <w:outlineLvl w:val="3"/>
    </w:pPr>
    <w:rPr>
      <w:b w:val="0"/>
      <w:i/>
    </w:rPr>
  </w:style>
  <w:style w:type="paragraph" w:customStyle="1" w:styleId="HeadingMatter">
    <w:name w:val="Heading Matter"/>
    <w:basedOn w:val="NormalHC"/>
    <w:next w:val="HeadingFirst"/>
    <w:uiPriority w:val="13"/>
    <w:qFormat/>
    <w:locked/>
    <w:rsid w:val="00FE2BF5"/>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FE2BF5"/>
    <w:pPr>
      <w:keepNext w:val="0"/>
    </w:pPr>
  </w:style>
  <w:style w:type="paragraph" w:customStyle="1" w:styleId="HeadingV">
    <w:name w:val="Heading V"/>
    <w:basedOn w:val="HeadingFirst"/>
    <w:next w:val="HeadingSecond"/>
    <w:uiPriority w:val="17"/>
    <w:qFormat/>
    <w:locked/>
    <w:rsid w:val="00FE2BF5"/>
    <w:rPr>
      <w:caps w:val="0"/>
      <w:u w:val="none"/>
    </w:rPr>
  </w:style>
  <w:style w:type="paragraph" w:customStyle="1" w:styleId="LeftrightafterHC">
    <w:name w:val="Leftright after HC"/>
    <w:basedOn w:val="Normal"/>
    <w:next w:val="leftright"/>
    <w:uiPriority w:val="31"/>
    <w:qFormat/>
    <w:locked/>
    <w:rsid w:val="00FE2BF5"/>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FE2BF5"/>
    <w:pPr>
      <w:ind w:firstLine="720"/>
    </w:pPr>
  </w:style>
  <w:style w:type="paragraph" w:customStyle="1" w:styleId="LeftrightHanging">
    <w:name w:val="LeftrightHanging"/>
    <w:basedOn w:val="NormalHC"/>
    <w:uiPriority w:val="35"/>
    <w:qFormat/>
    <w:locked/>
    <w:rsid w:val="00FE2BF5"/>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FE2BF5"/>
    <w:pPr>
      <w:spacing w:before="200"/>
      <w:ind w:left="2160"/>
    </w:pPr>
  </w:style>
  <w:style w:type="paragraph" w:customStyle="1" w:styleId="NormalafterHd2nd">
    <w:name w:val="Normal after Hd2nd"/>
    <w:basedOn w:val="NormalHC"/>
    <w:next w:val="NormalHC"/>
    <w:uiPriority w:val="29"/>
    <w:locked/>
    <w:rsid w:val="00FE2BF5"/>
    <w:pPr>
      <w:numPr>
        <w:numId w:val="0"/>
      </w:numPr>
      <w:spacing w:before="1000"/>
    </w:pPr>
  </w:style>
  <w:style w:type="character" w:customStyle="1" w:styleId="NormalHCChar">
    <w:name w:val="Normal HC Char"/>
    <w:uiPriority w:val="99"/>
    <w:semiHidden/>
    <w:locked/>
    <w:rsid w:val="00FE2BF5"/>
    <w:rPr>
      <w:rFonts w:ascii="Univers" w:hAnsi="Univers"/>
      <w:sz w:val="26"/>
      <w:szCs w:val="26"/>
    </w:rPr>
  </w:style>
  <w:style w:type="character" w:customStyle="1" w:styleId="StyleFootnoteReferenceChar">
    <w:name w:val="Style Footnote Reference Char"/>
    <w:uiPriority w:val="99"/>
    <w:semiHidden/>
    <w:locked/>
    <w:rsid w:val="00FE2BF5"/>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FE2BF5"/>
  </w:style>
  <w:style w:type="paragraph" w:customStyle="1" w:styleId="HeadingJudgment">
    <w:name w:val="Heading Judgment"/>
    <w:basedOn w:val="Normal"/>
    <w:uiPriority w:val="59"/>
    <w:qFormat/>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FE2BF5"/>
    <w:pPr>
      <w:outlineLvl w:val="4"/>
    </w:pPr>
    <w:rPr>
      <w:b w:val="0"/>
    </w:rPr>
  </w:style>
  <w:style w:type="character" w:styleId="PageNumber">
    <w:name w:val="page number"/>
    <w:basedOn w:val="DefaultParagraphFont"/>
    <w:uiPriority w:val="57"/>
    <w:locked/>
    <w:rsid w:val="00FE2BF5"/>
  </w:style>
  <w:style w:type="paragraph" w:styleId="BalloonText">
    <w:name w:val="Balloon Text"/>
    <w:basedOn w:val="Normal"/>
    <w:link w:val="BalloonTextChar"/>
    <w:semiHidden/>
    <w:locked/>
    <w:rsid w:val="00FE2BF5"/>
    <w:rPr>
      <w:rFonts w:ascii="Tahoma" w:hAnsi="Tahoma" w:cs="Tahoma"/>
      <w:sz w:val="16"/>
      <w:szCs w:val="16"/>
      <w:lang w:eastAsia="en-US"/>
    </w:rPr>
  </w:style>
  <w:style w:type="character" w:customStyle="1" w:styleId="BalloonTextChar">
    <w:name w:val="Balloon Text Char"/>
    <w:basedOn w:val="DefaultParagraphFont"/>
    <w:link w:val="BalloonText"/>
    <w:semiHidden/>
    <w:rsid w:val="00FE2BF5"/>
    <w:rPr>
      <w:rFonts w:ascii="Tahoma" w:hAnsi="Tahoma" w:cs="Tahoma"/>
      <w:sz w:val="16"/>
      <w:szCs w:val="16"/>
      <w:lang w:eastAsia="en-US"/>
    </w:rPr>
  </w:style>
  <w:style w:type="paragraph" w:customStyle="1" w:styleId="ClosingText">
    <w:name w:val="Closing Text"/>
    <w:basedOn w:val="Normal"/>
    <w:uiPriority w:val="98"/>
    <w:semiHidden/>
    <w:qFormat/>
    <w:locked/>
    <w:rsid w:val="00FE2BF5"/>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FE2BF5"/>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FE2BF5"/>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FE2BF5"/>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FE2BF5"/>
    <w:rPr>
      <w:szCs w:val="20"/>
      <w:lang w:eastAsia="en-US"/>
    </w:rPr>
  </w:style>
  <w:style w:type="paragraph" w:customStyle="1" w:styleId="NormalBody">
    <w:name w:val="Normal Body"/>
    <w:basedOn w:val="NormalHC"/>
    <w:uiPriority w:val="28"/>
    <w:qFormat/>
    <w:locked/>
    <w:rsid w:val="00FE2BF5"/>
    <w:pPr>
      <w:numPr>
        <w:numId w:val="0"/>
      </w:numPr>
    </w:pPr>
    <w:rPr>
      <w:lang w:eastAsia="en-US"/>
    </w:rPr>
  </w:style>
  <w:style w:type="paragraph" w:customStyle="1" w:styleId="StyleFootnoteReference">
    <w:name w:val="Style Footnote Reference"/>
    <w:basedOn w:val="Normal"/>
    <w:next w:val="Normal"/>
    <w:semiHidden/>
    <w:rsid w:val="00FE2BF5"/>
    <w:rPr>
      <w:vertAlign w:val="superscript"/>
      <w:lang w:eastAsia="en-US"/>
    </w:rPr>
  </w:style>
  <w:style w:type="paragraph" w:styleId="ListNumber">
    <w:name w:val="List Number"/>
    <w:basedOn w:val="Normal"/>
    <w:uiPriority w:val="56"/>
    <w:locked/>
    <w:rsid w:val="00FE2BF5"/>
    <w:pPr>
      <w:numPr>
        <w:numId w:val="11"/>
      </w:numPr>
      <w:contextualSpacing/>
    </w:pPr>
  </w:style>
  <w:style w:type="paragraph" w:customStyle="1" w:styleId="FixListStyle">
    <w:name w:val="FixListStyle"/>
    <w:basedOn w:val="Normal"/>
    <w:uiPriority w:val="99"/>
    <w:qFormat/>
    <w:rsid w:val="00FE2BF5"/>
    <w:pPr>
      <w:numPr>
        <w:numId w:val="18"/>
      </w:numPr>
      <w:spacing w:after="480"/>
      <w:ind w:left="0" w:hanging="720"/>
    </w:pPr>
  </w:style>
  <w:style w:type="paragraph" w:customStyle="1" w:styleId="CatchwordsBold">
    <w:name w:val="Catchwords Bold"/>
    <w:basedOn w:val="Normal"/>
    <w:link w:val="CatchwordsBoldChar"/>
    <w:qFormat/>
    <w:rsid w:val="00FE2BF5"/>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FE2BF5"/>
    <w:rPr>
      <w:rFonts w:ascii="Times New Roman" w:hAnsi="Times New Roman"/>
      <w:b/>
      <w:szCs w:val="20"/>
    </w:rPr>
  </w:style>
  <w:style w:type="paragraph" w:customStyle="1" w:styleId="CatchwordsRight">
    <w:name w:val="Catchwords Right"/>
    <w:basedOn w:val="Normal"/>
    <w:link w:val="CatchwordsRightChar"/>
    <w:qFormat/>
    <w:rsid w:val="00FE2BF5"/>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FE2BF5"/>
    <w:rPr>
      <w:rFonts w:ascii="Times New Roman" w:hAnsi="Times New Roman"/>
      <w:szCs w:val="20"/>
    </w:rPr>
  </w:style>
  <w:style w:type="paragraph" w:customStyle="1" w:styleId="CatchwordsText">
    <w:name w:val="Catchwords Text"/>
    <w:basedOn w:val="Normal"/>
    <w:link w:val="CatchwordsTextChar"/>
    <w:qFormat/>
    <w:rsid w:val="00FE2BF5"/>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FE2BF5"/>
    <w:rPr>
      <w:rFonts w:ascii="Times New Roman" w:hAnsi="Times New Roman"/>
      <w:szCs w:val="20"/>
    </w:rPr>
  </w:style>
  <w:style w:type="paragraph" w:customStyle="1" w:styleId="CenteredBorder">
    <w:name w:val="Centered Border"/>
    <w:qFormat/>
    <w:rsid w:val="00FE2BF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FE2BF5"/>
    <w:pPr>
      <w:jc w:val="center"/>
    </w:pPr>
    <w:rPr>
      <w:rFonts w:ascii="Times New Roman" w:hAnsi="Times New Roman"/>
      <w:b/>
      <w:bCs/>
      <w:szCs w:val="20"/>
      <w:lang w:val="en-GB"/>
    </w:rPr>
  </w:style>
  <w:style w:type="character" w:customStyle="1" w:styleId="OrderCentred">
    <w:name w:val="Order Centred"/>
    <w:semiHidden/>
    <w:rsid w:val="00FE2BF5"/>
    <w:rPr>
      <w:b/>
      <w:bCs/>
      <w:sz w:val="26"/>
    </w:rPr>
  </w:style>
  <w:style w:type="paragraph" w:customStyle="1" w:styleId="OrdersTopLine">
    <w:name w:val="Orders TopLine"/>
    <w:qFormat/>
    <w:rsid w:val="00FE2BF5"/>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FE2BF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FE2BF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FE2BF5"/>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FE2BF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FE2BF5"/>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FE2BF5"/>
    <w:rPr>
      <w:rFonts w:ascii="Times New Roman" w:hAnsi="Times New Roman"/>
      <w:i/>
      <w:lang w:eastAsia="en-US"/>
    </w:rPr>
  </w:style>
  <w:style w:type="paragraph" w:customStyle="1" w:styleId="OrdersIndentLevel2i">
    <w:name w:val="Orders Indent Level 2 (i)"/>
    <w:basedOn w:val="Normal"/>
    <w:link w:val="OrdersIndentLevel2iChar"/>
    <w:qFormat/>
    <w:rsid w:val="00FE2BF5"/>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FE2BF5"/>
    <w:rPr>
      <w:rFonts w:ascii="Times New Roman" w:hAnsi="Times New Roman"/>
      <w:i/>
      <w:lang w:eastAsia="en-US"/>
    </w:rPr>
  </w:style>
  <w:style w:type="paragraph" w:customStyle="1" w:styleId="OrdersMatter">
    <w:name w:val="Orders Matter"/>
    <w:basedOn w:val="OrderCentreBold"/>
    <w:link w:val="OrdersMatterChar"/>
    <w:qFormat/>
    <w:rsid w:val="00FE2BF5"/>
  </w:style>
  <w:style w:type="character" w:customStyle="1" w:styleId="OrdersMatterChar">
    <w:name w:val="Orders Matter Char"/>
    <w:link w:val="OrdersMatter"/>
    <w:rsid w:val="00FE2BF5"/>
    <w:rPr>
      <w:rFonts w:ascii="Times New Roman" w:hAnsi="Times New Roman"/>
      <w:b/>
      <w:bCs/>
      <w:szCs w:val="20"/>
      <w:lang w:val="en-GB"/>
    </w:rPr>
  </w:style>
  <w:style w:type="paragraph" w:customStyle="1" w:styleId="OrdersNotice">
    <w:name w:val="Orders Notice"/>
    <w:rsid w:val="00FE2BF5"/>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FE2BF5"/>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FE2BF5"/>
    <w:rPr>
      <w:rFonts w:ascii="Times New Roman" w:hAnsi="Times New Roman"/>
      <w:szCs w:val="20"/>
      <w:lang w:eastAsia="en-US"/>
    </w:rPr>
  </w:style>
  <w:style w:type="paragraph" w:customStyle="1" w:styleId="OrdersText">
    <w:name w:val="Orders Text"/>
    <w:basedOn w:val="Normal"/>
    <w:link w:val="OrdersTextChar"/>
    <w:qFormat/>
    <w:rsid w:val="00FE2BF5"/>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FE2BF5"/>
    <w:rPr>
      <w:rFonts w:ascii="Times New Roman" w:hAnsi="Times New Roman"/>
      <w:i/>
      <w:lang w:eastAsia="en-US"/>
    </w:rPr>
  </w:style>
  <w:style w:type="paragraph" w:customStyle="1" w:styleId="OrdersCenteredBorder">
    <w:name w:val="Orders Centered Border"/>
    <w:qFormat/>
    <w:rsid w:val="00FE2BF5"/>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FE2BF5"/>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FE2BF5"/>
    <w:rPr>
      <w:rFonts w:ascii="Times New Roman" w:hAnsi="Times New Roman"/>
      <w:szCs w:val="20"/>
    </w:rPr>
  </w:style>
  <w:style w:type="paragraph" w:customStyle="1" w:styleId="LRHangingafterHC">
    <w:name w:val="LR Hanging after HC"/>
    <w:basedOn w:val="Normal"/>
    <w:next w:val="LeftrightHanging"/>
    <w:uiPriority w:val="99"/>
    <w:qFormat/>
    <w:rsid w:val="00FE2BF5"/>
    <w:pPr>
      <w:spacing w:before="720" w:line="240" w:lineRule="exact"/>
      <w:ind w:left="1440" w:right="794" w:hanging="720"/>
    </w:pPr>
  </w:style>
  <w:style w:type="paragraph" w:styleId="ListParagraph">
    <w:name w:val="List Paragraph"/>
    <w:basedOn w:val="Normal"/>
    <w:uiPriority w:val="34"/>
    <w:qFormat/>
    <w:locked/>
    <w:rsid w:val="00BE7438"/>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paragraph" w:customStyle="1" w:styleId="NoNorm">
    <w:name w:val="No Norm"/>
    <w:basedOn w:val="Normal"/>
    <w:qFormat/>
    <w:rsid w:val="00BE7438"/>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BE7438"/>
    <w:pPr>
      <w:tabs>
        <w:tab w:val="clear" w:pos="2160"/>
        <w:tab w:val="left" w:pos="1418"/>
      </w:tabs>
      <w:ind w:left="1418" w:hanging="709"/>
    </w:pPr>
  </w:style>
  <w:style w:type="paragraph" w:customStyle="1" w:styleId="Indentlista">
    <w:name w:val="Indent list a)"/>
    <w:basedOn w:val="Noindentnormal"/>
    <w:qFormat/>
    <w:rsid w:val="00BE7438"/>
    <w:pPr>
      <w:tabs>
        <w:tab w:val="left" w:pos="2268"/>
      </w:tabs>
      <w:spacing w:before="60"/>
      <w:ind w:left="2268" w:hanging="567"/>
    </w:pPr>
  </w:style>
  <w:style w:type="character" w:customStyle="1" w:styleId="Heading4Char">
    <w:name w:val="Heading 4 Char"/>
    <w:basedOn w:val="DefaultParagraphFont"/>
    <w:link w:val="Heading4"/>
    <w:uiPriority w:val="9"/>
    <w:rsid w:val="0020056C"/>
    <w:rPr>
      <w:rFonts w:ascii="Arial" w:eastAsia="Calibri" w:hAnsi="Arial" w:cs="Arial"/>
      <w:i/>
      <w:sz w:val="22"/>
      <w:szCs w:val="22"/>
    </w:rPr>
  </w:style>
  <w:style w:type="character" w:customStyle="1" w:styleId="FootnoteTextChar">
    <w:name w:val="Footnote Text Char"/>
    <w:aliases w:val="ft Char,Footnote Text Char Char Char Char Char Char"/>
    <w:link w:val="FootnoteText"/>
    <w:uiPriority w:val="53"/>
    <w:rsid w:val="0020056C"/>
  </w:style>
  <w:style w:type="paragraph" w:styleId="Quote">
    <w:name w:val="Quote"/>
    <w:basedOn w:val="Normal"/>
    <w:next w:val="NoNorm"/>
    <w:link w:val="QuoteChar"/>
    <w:uiPriority w:val="29"/>
    <w:qFormat/>
    <w:locked/>
    <w:rsid w:val="0020056C"/>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20056C"/>
    <w:rPr>
      <w:rFonts w:ascii="Arial" w:eastAsia="Calibri" w:hAnsi="Arial" w:cs="Arial"/>
      <w:sz w:val="20"/>
      <w:szCs w:val="22"/>
    </w:rPr>
  </w:style>
  <w:style w:type="paragraph" w:styleId="ListBullet5">
    <w:name w:val="List Bullet 5"/>
    <w:basedOn w:val="Normal"/>
    <w:uiPriority w:val="99"/>
    <w:unhideWhenUsed/>
    <w:locked/>
    <w:rsid w:val="0020056C"/>
    <w:pPr>
      <w:tabs>
        <w:tab w:val="clear" w:pos="720"/>
        <w:tab w:val="num" w:pos="1492"/>
      </w:tabs>
      <w:spacing w:before="120" w:line="312" w:lineRule="auto"/>
      <w:ind w:left="1492" w:hanging="360"/>
      <w:contextualSpacing/>
      <w:jc w:val="both"/>
    </w:pPr>
    <w:rPr>
      <w:rFonts w:ascii="Arial" w:hAnsi="Arial" w:cs="Arial"/>
      <w:sz w:val="22"/>
      <w:szCs w:val="22"/>
    </w:rPr>
  </w:style>
  <w:style w:type="character" w:styleId="CommentReference">
    <w:name w:val="annotation reference"/>
    <w:basedOn w:val="DefaultParagraphFont"/>
    <w:uiPriority w:val="99"/>
    <w:semiHidden/>
    <w:unhideWhenUsed/>
    <w:locked/>
    <w:rsid w:val="00057256"/>
    <w:rPr>
      <w:sz w:val="16"/>
      <w:szCs w:val="16"/>
    </w:rPr>
  </w:style>
  <w:style w:type="paragraph" w:styleId="CommentText">
    <w:name w:val="annotation text"/>
    <w:basedOn w:val="Normal"/>
    <w:link w:val="CommentTextChar"/>
    <w:uiPriority w:val="99"/>
    <w:unhideWhenUsed/>
    <w:locked/>
    <w:rsid w:val="00057256"/>
    <w:pPr>
      <w:spacing w:line="240" w:lineRule="auto"/>
    </w:pPr>
    <w:rPr>
      <w:sz w:val="20"/>
      <w:szCs w:val="20"/>
    </w:rPr>
  </w:style>
  <w:style w:type="character" w:customStyle="1" w:styleId="CommentTextChar">
    <w:name w:val="Comment Text Char"/>
    <w:basedOn w:val="DefaultParagraphFont"/>
    <w:link w:val="CommentText"/>
    <w:uiPriority w:val="99"/>
    <w:rsid w:val="00057256"/>
    <w:rPr>
      <w:sz w:val="20"/>
      <w:szCs w:val="20"/>
    </w:rPr>
  </w:style>
  <w:style w:type="paragraph" w:styleId="CommentSubject">
    <w:name w:val="annotation subject"/>
    <w:basedOn w:val="CommentText"/>
    <w:next w:val="CommentText"/>
    <w:link w:val="CommentSubjectChar"/>
    <w:uiPriority w:val="99"/>
    <w:semiHidden/>
    <w:unhideWhenUsed/>
    <w:locked/>
    <w:rsid w:val="00057256"/>
    <w:rPr>
      <w:b/>
      <w:bCs/>
    </w:rPr>
  </w:style>
  <w:style w:type="character" w:customStyle="1" w:styleId="CommentSubjectChar">
    <w:name w:val="Comment Subject Char"/>
    <w:basedOn w:val="CommentTextChar"/>
    <w:link w:val="CommentSubject"/>
    <w:uiPriority w:val="99"/>
    <w:semiHidden/>
    <w:rsid w:val="00057256"/>
    <w:rPr>
      <w:b/>
      <w:bCs/>
      <w:sz w:val="20"/>
      <w:szCs w:val="20"/>
    </w:rPr>
  </w:style>
  <w:style w:type="paragraph" w:styleId="Revision">
    <w:name w:val="Revision"/>
    <w:hidden/>
    <w:uiPriority w:val="99"/>
    <w:semiHidden/>
    <w:rsid w:val="00FD6447"/>
  </w:style>
  <w:style w:type="character" w:styleId="Hyperlink">
    <w:name w:val="Hyperlink"/>
    <w:basedOn w:val="DefaultParagraphFont"/>
    <w:uiPriority w:val="99"/>
    <w:semiHidden/>
    <w:unhideWhenUsed/>
    <w:locked/>
    <w:rsid w:val="00744668"/>
    <w:rPr>
      <w:color w:val="0000FF"/>
      <w:u w:val="single"/>
    </w:rPr>
  </w:style>
  <w:style w:type="paragraph" w:customStyle="1" w:styleId="Default">
    <w:name w:val="Default"/>
    <w:rsid w:val="00744668"/>
    <w:pPr>
      <w:autoSpaceDE w:val="0"/>
      <w:autoSpaceDN w:val="0"/>
      <w:adjustRightInd w:val="0"/>
    </w:pPr>
    <w:rPr>
      <w:rFonts w:cs="Univers"/>
      <w:color w:val="000000"/>
      <w:sz w:val="24"/>
      <w:szCs w:val="24"/>
    </w:rPr>
  </w:style>
  <w:style w:type="paragraph" w:customStyle="1" w:styleId="Body">
    <w:name w:val="Body"/>
    <w:basedOn w:val="Normal"/>
    <w:qFormat/>
    <w:rsid w:val="00F055F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055F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055F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055F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055F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055FC"/>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7016">
      <w:bodyDiv w:val="1"/>
      <w:marLeft w:val="0"/>
      <w:marRight w:val="0"/>
      <w:marTop w:val="0"/>
      <w:marBottom w:val="0"/>
      <w:divBdr>
        <w:top w:val="none" w:sz="0" w:space="0" w:color="auto"/>
        <w:left w:val="none" w:sz="0" w:space="0" w:color="auto"/>
        <w:bottom w:val="none" w:sz="0" w:space="0" w:color="auto"/>
        <w:right w:val="none" w:sz="0" w:space="0" w:color="auto"/>
      </w:divBdr>
    </w:div>
    <w:div w:id="1129469573">
      <w:bodyDiv w:val="1"/>
      <w:marLeft w:val="0"/>
      <w:marRight w:val="0"/>
      <w:marTop w:val="0"/>
      <w:marBottom w:val="0"/>
      <w:divBdr>
        <w:top w:val="none" w:sz="0" w:space="0" w:color="auto"/>
        <w:left w:val="none" w:sz="0" w:space="0" w:color="auto"/>
        <w:bottom w:val="none" w:sz="0" w:space="0" w:color="auto"/>
        <w:right w:val="none" w:sz="0" w:space="0" w:color="auto"/>
      </w:divBdr>
    </w:div>
    <w:div w:id="1233275267">
      <w:bodyDiv w:val="1"/>
      <w:marLeft w:val="0"/>
      <w:marRight w:val="0"/>
      <w:marTop w:val="0"/>
      <w:marBottom w:val="0"/>
      <w:divBdr>
        <w:top w:val="none" w:sz="0" w:space="0" w:color="auto"/>
        <w:left w:val="none" w:sz="0" w:space="0" w:color="auto"/>
        <w:bottom w:val="none" w:sz="0" w:space="0" w:color="auto"/>
        <w:right w:val="none" w:sz="0" w:space="0" w:color="auto"/>
      </w:divBdr>
    </w:div>
    <w:div w:id="16865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30F77-89E2-4333-8065-30FD7F50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1DC0332E-2574-4E5A-BF77-FC3D9B5A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63</Pages>
  <Words>16858</Words>
  <Characters>96093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2022-03-07T01:01:00Z</dcterms:created>
  <dcterms:modified xsi:type="dcterms:W3CDTF">2022-03-22T23:19:00Z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