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75FA4" w14:textId="77777777" w:rsidR="00776741" w:rsidRPr="00704FF8" w:rsidRDefault="00776741" w:rsidP="00704FF8">
      <w:pPr>
        <w:pStyle w:val="OrdersTopLine"/>
      </w:pPr>
      <w:bookmarkStart w:id="0" w:name="_GoBack"/>
      <w:bookmarkEnd w:id="0"/>
      <w:r w:rsidRPr="00704FF8">
        <w:t>HIGH COURT OF AUSTRALIA</w:t>
      </w:r>
    </w:p>
    <w:p w14:paraId="586CD524" w14:textId="77777777" w:rsidR="00776741" w:rsidRPr="00BC548A" w:rsidRDefault="00776741" w:rsidP="00704FF8">
      <w:pPr>
        <w:pStyle w:val="OrderCentre"/>
      </w:pPr>
    </w:p>
    <w:p w14:paraId="6239B99E" w14:textId="77777777" w:rsidR="00776741" w:rsidRPr="00BC548A" w:rsidRDefault="00776741" w:rsidP="00704FF8">
      <w:pPr>
        <w:pStyle w:val="OrderCentre"/>
      </w:pPr>
      <w:r w:rsidRPr="00BC548A">
        <w:t>KIEFEL CJ,</w:t>
      </w:r>
    </w:p>
    <w:p w14:paraId="5B92BFAF" w14:textId="77777777" w:rsidR="00776741" w:rsidRPr="00BC548A" w:rsidRDefault="00776741" w:rsidP="00704FF8">
      <w:pPr>
        <w:pStyle w:val="OrderCentre"/>
      </w:pPr>
      <w:r w:rsidRPr="00BC548A">
        <w:t>KEANE, GORDON, STEWARD AND GLEESON JJ</w:t>
      </w:r>
    </w:p>
    <w:p w14:paraId="27D07BE3" w14:textId="77777777" w:rsidR="00776741" w:rsidRPr="00427F3A" w:rsidRDefault="00776741" w:rsidP="00EE5374">
      <w:pPr>
        <w:pStyle w:val="Centre"/>
        <w:rPr>
          <w:lang w:val="en-AU"/>
        </w:rPr>
      </w:pPr>
    </w:p>
    <w:p w14:paraId="042D68BE" w14:textId="77777777" w:rsidR="00776741" w:rsidRPr="00704FF8" w:rsidRDefault="00776741" w:rsidP="00704FF8">
      <w:pPr>
        <w:pStyle w:val="OrdersCenteredBorder"/>
      </w:pPr>
    </w:p>
    <w:p w14:paraId="5D17FA1E" w14:textId="77777777" w:rsidR="00776741" w:rsidRPr="00704FF8" w:rsidRDefault="00776741" w:rsidP="0032341F">
      <w:pPr>
        <w:pStyle w:val="OrdersBodyHeading"/>
      </w:pPr>
    </w:p>
    <w:p w14:paraId="7BE33A78" w14:textId="77777777" w:rsidR="00776741" w:rsidRPr="0032341F" w:rsidRDefault="00776741" w:rsidP="009362E8">
      <w:pPr>
        <w:pStyle w:val="OrdersPartyName"/>
        <w:ind w:right="-1"/>
      </w:pPr>
      <w:r w:rsidRPr="00BC548A">
        <w:t>JEFFREY WILLIAM</w:t>
      </w:r>
      <w:r>
        <w:t xml:space="preserve"> </w:t>
      </w:r>
      <w:r w:rsidRPr="00BC548A">
        <w:t>STUBBINGS</w:t>
      </w:r>
      <w:r w:rsidRPr="0032341F">
        <w:tab/>
        <w:t>APPELLANT</w:t>
      </w:r>
    </w:p>
    <w:p w14:paraId="57470B2C" w14:textId="77777777" w:rsidR="00776741" w:rsidRPr="0032341F" w:rsidRDefault="00776741" w:rsidP="009362E8">
      <w:pPr>
        <w:pStyle w:val="OrdersPartyName"/>
        <w:ind w:right="-1"/>
      </w:pPr>
    </w:p>
    <w:p w14:paraId="5B84814E" w14:textId="77777777" w:rsidR="00776741" w:rsidRPr="0032341F" w:rsidRDefault="00776741" w:rsidP="009362E8">
      <w:pPr>
        <w:pStyle w:val="OrdersPartyName"/>
        <w:ind w:right="-1"/>
      </w:pPr>
      <w:r w:rsidRPr="0032341F">
        <w:t>AND</w:t>
      </w:r>
    </w:p>
    <w:p w14:paraId="056183E0" w14:textId="77777777" w:rsidR="00776741" w:rsidRPr="0032341F" w:rsidRDefault="00776741" w:rsidP="009362E8">
      <w:pPr>
        <w:pStyle w:val="OrdersPartyName"/>
        <w:ind w:right="-1"/>
      </w:pPr>
    </w:p>
    <w:p w14:paraId="090CE97E" w14:textId="77777777" w:rsidR="00776741" w:rsidRPr="0032341F" w:rsidRDefault="00776741" w:rsidP="009362E8">
      <w:pPr>
        <w:pStyle w:val="OrdersPartyName"/>
        <w:ind w:right="-1"/>
      </w:pPr>
      <w:r w:rsidRPr="00BC548A">
        <w:t>JAMS 2 PTY LTD &amp; ORS</w:t>
      </w:r>
      <w:r w:rsidRPr="0032341F">
        <w:tab/>
        <w:t>RESPONDENT</w:t>
      </w:r>
      <w:r>
        <w:t>S</w:t>
      </w:r>
    </w:p>
    <w:p w14:paraId="4F663454" w14:textId="77777777" w:rsidR="00776741" w:rsidRPr="00427F3A" w:rsidRDefault="00776741" w:rsidP="00AF0A5E">
      <w:pPr>
        <w:pStyle w:val="BodyHeading"/>
      </w:pPr>
    </w:p>
    <w:p w14:paraId="1EF26524" w14:textId="77777777" w:rsidR="00776741" w:rsidRPr="00427F3A" w:rsidRDefault="00776741" w:rsidP="00BE0A6C">
      <w:pPr>
        <w:pStyle w:val="BodyHeading"/>
      </w:pPr>
    </w:p>
    <w:p w14:paraId="541EDBC3" w14:textId="77777777" w:rsidR="00776741" w:rsidRPr="00427F3A" w:rsidRDefault="00776741" w:rsidP="00EE5374">
      <w:pPr>
        <w:pStyle w:val="CentreItalics"/>
      </w:pPr>
      <w:proofErr w:type="spellStart"/>
      <w:r w:rsidRPr="00BC548A">
        <w:t>Stubbings</w:t>
      </w:r>
      <w:proofErr w:type="spellEnd"/>
      <w:r w:rsidRPr="00BC548A">
        <w:t xml:space="preserve"> v Jams 2 Pty Ltd</w:t>
      </w:r>
    </w:p>
    <w:p w14:paraId="3EE19ED5" w14:textId="77777777" w:rsidR="00776741" w:rsidRPr="00427F3A" w:rsidRDefault="00776741" w:rsidP="00E90E4F">
      <w:pPr>
        <w:pStyle w:val="OrdersCentre"/>
      </w:pPr>
      <w:r>
        <w:t>[2022</w:t>
      </w:r>
      <w:r w:rsidRPr="00427F3A">
        <w:t xml:space="preserve">] HCA </w:t>
      </w:r>
      <w:r>
        <w:t>6</w:t>
      </w:r>
    </w:p>
    <w:p w14:paraId="709726CB" w14:textId="77777777" w:rsidR="00776741" w:rsidRDefault="00776741" w:rsidP="00E90E4F">
      <w:pPr>
        <w:pStyle w:val="OrdersCentreItalics"/>
      </w:pPr>
      <w:r>
        <w:t xml:space="preserve">Date of Hearing: </w:t>
      </w:r>
      <w:r w:rsidRPr="00BC548A">
        <w:t>14 October 2021</w:t>
      </w:r>
    </w:p>
    <w:p w14:paraId="71B83CA5" w14:textId="77777777" w:rsidR="00776741" w:rsidRPr="00427F3A" w:rsidRDefault="00776741" w:rsidP="00E90E4F">
      <w:pPr>
        <w:pStyle w:val="OrdersCentreItalics"/>
      </w:pPr>
      <w:r>
        <w:t>Date of Judgment: 16 March 2022</w:t>
      </w:r>
    </w:p>
    <w:p w14:paraId="43FB6C5E" w14:textId="77777777" w:rsidR="00776741" w:rsidRDefault="00776741" w:rsidP="00E90E4F">
      <w:pPr>
        <w:pStyle w:val="OrdersCentre"/>
      </w:pPr>
      <w:r w:rsidRPr="00BC548A">
        <w:t>M13/2021</w:t>
      </w:r>
    </w:p>
    <w:p w14:paraId="1F7937AE" w14:textId="77777777" w:rsidR="00776741" w:rsidRPr="00427F3A" w:rsidRDefault="00776741" w:rsidP="00E90E4F">
      <w:pPr>
        <w:pStyle w:val="OrdersCentre"/>
      </w:pPr>
    </w:p>
    <w:p w14:paraId="0859C669" w14:textId="77777777" w:rsidR="00776741" w:rsidRPr="00BE0A6C" w:rsidRDefault="00776741" w:rsidP="00E90E4F">
      <w:pPr>
        <w:pStyle w:val="OrderCentreBold"/>
      </w:pPr>
      <w:r w:rsidRPr="00BE0A6C">
        <w:t>ORDER</w:t>
      </w:r>
    </w:p>
    <w:p w14:paraId="771D6675" w14:textId="77777777" w:rsidR="00776741" w:rsidRPr="00427F3A" w:rsidRDefault="00776741" w:rsidP="00736C52">
      <w:pPr>
        <w:pStyle w:val="Centre"/>
        <w:rPr>
          <w:lang w:val="en-AU"/>
        </w:rPr>
      </w:pPr>
    </w:p>
    <w:p w14:paraId="3DF09F2C" w14:textId="77777777" w:rsidR="00776741" w:rsidRPr="005C110C" w:rsidRDefault="00776741" w:rsidP="00E37FA6">
      <w:pPr>
        <w:pStyle w:val="OrdersText"/>
      </w:pPr>
      <w:r>
        <w:t xml:space="preserve">1. </w:t>
      </w:r>
      <w:r>
        <w:tab/>
      </w:r>
      <w:r w:rsidRPr="005C110C">
        <w:t xml:space="preserve">Appeal allowed. </w:t>
      </w:r>
    </w:p>
    <w:p w14:paraId="531740D0" w14:textId="77777777" w:rsidR="00776741" w:rsidRPr="005C110C" w:rsidRDefault="00776741" w:rsidP="00E37FA6">
      <w:pPr>
        <w:pStyle w:val="OrdersText"/>
      </w:pPr>
    </w:p>
    <w:p w14:paraId="3E1E3FA2" w14:textId="77777777" w:rsidR="00776741" w:rsidRPr="005C110C" w:rsidRDefault="00776741" w:rsidP="00E37FA6">
      <w:pPr>
        <w:pStyle w:val="OrdersText"/>
      </w:pPr>
      <w:r>
        <w:t xml:space="preserve">2. </w:t>
      </w:r>
      <w:r>
        <w:tab/>
      </w:r>
      <w:r w:rsidRPr="005C110C">
        <w:t xml:space="preserve">Set aside orders 2 and 3 made on </w:t>
      </w:r>
      <w:r>
        <w:t>5</w:t>
      </w:r>
      <w:r w:rsidRPr="005C110C">
        <w:t xml:space="preserve"> August 2020 and order</w:t>
      </w:r>
      <w:r>
        <w:t>s</w:t>
      </w:r>
      <w:r w:rsidRPr="005C110C">
        <w:t xml:space="preserve"> 2</w:t>
      </w:r>
      <w:r>
        <w:t xml:space="preserve"> and 3</w:t>
      </w:r>
      <w:r w:rsidRPr="005C110C">
        <w:t xml:space="preserve"> made on </w:t>
      </w:r>
      <w:r>
        <w:t>24 August 2020</w:t>
      </w:r>
      <w:r w:rsidRPr="005C110C">
        <w:t xml:space="preserve"> </w:t>
      </w:r>
      <w:r>
        <w:t>by</w:t>
      </w:r>
      <w:r w:rsidRPr="005C110C">
        <w:t xml:space="preserve"> the Court</w:t>
      </w:r>
      <w:r>
        <w:t xml:space="preserve"> of Appeal of the Supreme Court of Victoria</w:t>
      </w:r>
      <w:r w:rsidRPr="005C110C">
        <w:t xml:space="preserve"> and, in their place, order that:</w:t>
      </w:r>
    </w:p>
    <w:p w14:paraId="297BFC0D" w14:textId="77777777" w:rsidR="00776741" w:rsidRPr="005C110C" w:rsidRDefault="00776741" w:rsidP="00E37FA6">
      <w:pPr>
        <w:pStyle w:val="OrdersText"/>
      </w:pPr>
    </w:p>
    <w:p w14:paraId="14813C2B" w14:textId="77777777" w:rsidR="00776741" w:rsidRPr="004C6657" w:rsidRDefault="00776741" w:rsidP="00E37FA6">
      <w:pPr>
        <w:pStyle w:val="OrdersText"/>
        <w:ind w:left="1418"/>
      </w:pPr>
      <w:r>
        <w:t xml:space="preserve">(a) </w:t>
      </w:r>
      <w:r>
        <w:tab/>
        <w:t>o</w:t>
      </w:r>
      <w:r w:rsidRPr="004C6657">
        <w:t>rders 1 and 3 made on 22 July 2019 by the primary judge be varied so that the date of those orders be taken instead to be the date of final orders in Proceeding No M13 of 2021 in the High Court of Australia</w:t>
      </w:r>
      <w:r>
        <w:t xml:space="preserve">; </w:t>
      </w:r>
    </w:p>
    <w:p w14:paraId="3CEDEF00" w14:textId="77777777" w:rsidR="00776741" w:rsidRDefault="00776741" w:rsidP="00E37FA6">
      <w:pPr>
        <w:pStyle w:val="OrdersText"/>
        <w:ind w:left="1418"/>
      </w:pPr>
    </w:p>
    <w:p w14:paraId="0EF6A161" w14:textId="77777777" w:rsidR="00776741" w:rsidRPr="005C110C" w:rsidRDefault="00776741" w:rsidP="00E37FA6">
      <w:pPr>
        <w:pStyle w:val="OrdersText"/>
        <w:ind w:left="1418"/>
      </w:pPr>
      <w:r>
        <w:t>(b)</w:t>
      </w:r>
      <w:r>
        <w:tab/>
        <w:t xml:space="preserve">the appeal be otherwise dismissed; </w:t>
      </w:r>
    </w:p>
    <w:p w14:paraId="2699B991" w14:textId="77777777" w:rsidR="00776741" w:rsidRPr="005C110C" w:rsidRDefault="00776741" w:rsidP="00E37FA6">
      <w:pPr>
        <w:pStyle w:val="OrdersText"/>
        <w:ind w:left="1418"/>
      </w:pPr>
    </w:p>
    <w:p w14:paraId="7270B369" w14:textId="77777777" w:rsidR="00776741" w:rsidRPr="005C110C" w:rsidRDefault="00776741" w:rsidP="00E37FA6">
      <w:pPr>
        <w:pStyle w:val="OrdersText"/>
        <w:ind w:left="1418"/>
      </w:pPr>
      <w:r>
        <w:t>(c)</w:t>
      </w:r>
      <w:r>
        <w:tab/>
        <w:t xml:space="preserve">the appellants pay the respondent's costs of the application for leave to appeal and of the appeal on the standard basis; and </w:t>
      </w:r>
    </w:p>
    <w:p w14:paraId="689FA4C6" w14:textId="77777777" w:rsidR="00776741" w:rsidRPr="005C110C" w:rsidRDefault="00776741" w:rsidP="00E37FA6">
      <w:pPr>
        <w:pStyle w:val="OrdersText"/>
        <w:ind w:left="1418"/>
      </w:pPr>
    </w:p>
    <w:p w14:paraId="4F8133D8" w14:textId="77777777" w:rsidR="00776741" w:rsidRDefault="00776741" w:rsidP="00E37FA6">
      <w:pPr>
        <w:pStyle w:val="OrdersText"/>
        <w:ind w:left="1418"/>
      </w:pPr>
      <w:r>
        <w:t>(d)</w:t>
      </w:r>
      <w:r>
        <w:tab/>
        <w:t xml:space="preserve">pursuant to r 63.34.2 of the </w:t>
      </w:r>
      <w:r w:rsidRPr="003F363B">
        <w:rPr>
          <w:i w:val="0"/>
          <w:iCs/>
        </w:rPr>
        <w:t>Supreme Court (General Civil Procedure) Rules 2015</w:t>
      </w:r>
      <w:r w:rsidRPr="004C6657">
        <w:t xml:space="preserve"> </w:t>
      </w:r>
      <w:r>
        <w:t>(Vic):</w:t>
      </w:r>
    </w:p>
    <w:p w14:paraId="2AAEBF3C" w14:textId="77777777" w:rsidR="00776741" w:rsidRDefault="00776741" w:rsidP="00E37FA6">
      <w:pPr>
        <w:pStyle w:val="OrdersText"/>
        <w:ind w:left="1418"/>
      </w:pPr>
    </w:p>
    <w:p w14:paraId="67529145" w14:textId="77777777" w:rsidR="00776741" w:rsidRDefault="007767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9464BD1" w14:textId="77777777" w:rsidR="00776741" w:rsidRDefault="007767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0CEB2B81" w14:textId="659BE8FE" w:rsidR="00776741" w:rsidRPr="004C6657" w:rsidRDefault="00776741" w:rsidP="00E37FA6">
      <w:pPr>
        <w:pStyle w:val="OrdersText"/>
        <w:ind w:left="2127"/>
      </w:pPr>
      <w:r>
        <w:lastRenderedPageBreak/>
        <w:t>(</w:t>
      </w:r>
      <w:proofErr w:type="spellStart"/>
      <w:r>
        <w:t>i</w:t>
      </w:r>
      <w:proofErr w:type="spellEnd"/>
      <w:r>
        <w:t>)</w:t>
      </w:r>
      <w:r>
        <w:tab/>
      </w:r>
      <w:r w:rsidRPr="004C6657">
        <w:t>the appellants pay the costs of the legal assistance provided to the respondent by the legal practitioners on a pro bono basis, as if the legal assistance had been provided by the legal practitioners not on a pro bono basis but on the basis that the respondent was under an obligation to pay for the legal assistance in the ordinary way; and</w:t>
      </w:r>
    </w:p>
    <w:p w14:paraId="34F0AB03" w14:textId="77777777" w:rsidR="00776741" w:rsidRDefault="00776741" w:rsidP="00E37FA6">
      <w:pPr>
        <w:pStyle w:val="OrdersText"/>
      </w:pPr>
    </w:p>
    <w:p w14:paraId="0FDD5FF2" w14:textId="77777777" w:rsidR="00776741" w:rsidRDefault="00776741" w:rsidP="00E37FA6">
      <w:pPr>
        <w:pStyle w:val="OrdersText"/>
        <w:ind w:left="2127"/>
      </w:pPr>
      <w:r>
        <w:t>(ii)</w:t>
      </w:r>
      <w:r>
        <w:tab/>
      </w:r>
      <w:r w:rsidRPr="00A13D93">
        <w:t>costs payable in respect of legal assistance given on a pro bono basis are payable directly to the legal practitioners</w:t>
      </w:r>
      <w:r>
        <w:t>.</w:t>
      </w:r>
    </w:p>
    <w:p w14:paraId="3AB66FD3" w14:textId="77777777" w:rsidR="00776741" w:rsidRDefault="00776741" w:rsidP="00E37FA6">
      <w:pPr>
        <w:pStyle w:val="OrdersText"/>
      </w:pPr>
    </w:p>
    <w:p w14:paraId="03ECD23D" w14:textId="77777777" w:rsidR="00776741" w:rsidRPr="004C6657" w:rsidRDefault="00776741" w:rsidP="00E37FA6">
      <w:pPr>
        <w:pStyle w:val="OrdersText"/>
      </w:pPr>
      <w:r>
        <w:t xml:space="preserve">3. </w:t>
      </w:r>
      <w:r>
        <w:tab/>
      </w:r>
      <w:r w:rsidRPr="004C6657">
        <w:t xml:space="preserve">The respondents pay the appellant's costs. </w:t>
      </w:r>
    </w:p>
    <w:p w14:paraId="2F4A26CF" w14:textId="77777777" w:rsidR="00776741" w:rsidRDefault="00776741" w:rsidP="00EE5374">
      <w:pPr>
        <w:pStyle w:val="Body"/>
      </w:pPr>
    </w:p>
    <w:p w14:paraId="4ABF92F6" w14:textId="77777777" w:rsidR="00776741" w:rsidRPr="00427F3A" w:rsidRDefault="00776741" w:rsidP="00EE5374">
      <w:pPr>
        <w:pStyle w:val="Body"/>
      </w:pPr>
    </w:p>
    <w:p w14:paraId="3275D750" w14:textId="77777777" w:rsidR="00776741" w:rsidRPr="00427F3A" w:rsidRDefault="00776741" w:rsidP="0032341F">
      <w:pPr>
        <w:pStyle w:val="OrdersBody"/>
      </w:pPr>
      <w:r w:rsidRPr="00427F3A">
        <w:t xml:space="preserve">On appeal from the Supreme </w:t>
      </w:r>
      <w:r w:rsidRPr="00BC548A">
        <w:t>Court of Victoria</w:t>
      </w:r>
    </w:p>
    <w:p w14:paraId="6DD1D9C6" w14:textId="77777777" w:rsidR="00776741" w:rsidRDefault="00776741" w:rsidP="00EE5374">
      <w:pPr>
        <w:pStyle w:val="Body"/>
      </w:pPr>
    </w:p>
    <w:p w14:paraId="269C663C" w14:textId="77777777" w:rsidR="00776741" w:rsidRPr="00427F3A" w:rsidRDefault="00776741" w:rsidP="00EE5374">
      <w:pPr>
        <w:pStyle w:val="Body"/>
      </w:pPr>
    </w:p>
    <w:p w14:paraId="590AD573" w14:textId="77777777" w:rsidR="00776741" w:rsidRPr="00427F3A" w:rsidRDefault="00776741" w:rsidP="00E90E4F">
      <w:pPr>
        <w:pStyle w:val="OrdersBodyHeading"/>
      </w:pPr>
      <w:r w:rsidRPr="00427F3A">
        <w:t>Representation</w:t>
      </w:r>
    </w:p>
    <w:p w14:paraId="0FAB8BD3" w14:textId="77777777" w:rsidR="00776741" w:rsidRDefault="00776741" w:rsidP="00EE5374">
      <w:pPr>
        <w:pStyle w:val="Body"/>
      </w:pPr>
    </w:p>
    <w:p w14:paraId="431FD879" w14:textId="77777777" w:rsidR="00776741" w:rsidRPr="008E51FD" w:rsidRDefault="00776741" w:rsidP="00E90E4F">
      <w:pPr>
        <w:pStyle w:val="OrdersBody"/>
      </w:pPr>
      <w:r w:rsidRPr="008E51FD">
        <w:t xml:space="preserve">N C </w:t>
      </w:r>
      <w:proofErr w:type="spellStart"/>
      <w:r w:rsidRPr="008E51FD">
        <w:t>Hutley</w:t>
      </w:r>
      <w:proofErr w:type="spellEnd"/>
      <w:r w:rsidRPr="008E51FD">
        <w:t xml:space="preserve"> SC with A M </w:t>
      </w:r>
      <w:proofErr w:type="spellStart"/>
      <w:r w:rsidRPr="008E51FD">
        <w:t>Dinelli</w:t>
      </w:r>
      <w:proofErr w:type="spellEnd"/>
      <w:r w:rsidRPr="008E51FD">
        <w:t xml:space="preserve"> and A </w:t>
      </w:r>
      <w:proofErr w:type="spellStart"/>
      <w:r w:rsidRPr="008E51FD">
        <w:t>Christophersen</w:t>
      </w:r>
      <w:proofErr w:type="spellEnd"/>
      <w:r w:rsidRPr="008E51FD">
        <w:t xml:space="preserve"> for the appellant (instructed by Garland Hawthorn Brahe Lawyers)</w:t>
      </w:r>
    </w:p>
    <w:p w14:paraId="37C063FD" w14:textId="77777777" w:rsidR="00776741" w:rsidRPr="008E51FD" w:rsidRDefault="00776741" w:rsidP="001B3C97">
      <w:pPr>
        <w:pStyle w:val="Body"/>
      </w:pPr>
    </w:p>
    <w:p w14:paraId="6AC8A611" w14:textId="77777777" w:rsidR="00776741" w:rsidRPr="008E51FD" w:rsidRDefault="00776741" w:rsidP="00E90E4F">
      <w:pPr>
        <w:pStyle w:val="OrdersBody"/>
      </w:pPr>
      <w:r w:rsidRPr="008E51FD">
        <w:t>B W Walker SC with J D Watson for the respondents (instructed by Christopher William Legal)</w:t>
      </w:r>
    </w:p>
    <w:p w14:paraId="2E97CD1E" w14:textId="77777777" w:rsidR="00776741" w:rsidRDefault="00776741" w:rsidP="00A01277">
      <w:pPr>
        <w:pStyle w:val="Body"/>
      </w:pPr>
    </w:p>
    <w:p w14:paraId="10A4C3F4" w14:textId="77777777" w:rsidR="00776741" w:rsidRDefault="00776741" w:rsidP="00EE5374">
      <w:pPr>
        <w:pStyle w:val="Body"/>
      </w:pPr>
    </w:p>
    <w:p w14:paraId="1BFE2921" w14:textId="77777777" w:rsidR="00776741" w:rsidRDefault="00776741" w:rsidP="00EE5374">
      <w:pPr>
        <w:pStyle w:val="Body"/>
      </w:pPr>
    </w:p>
    <w:p w14:paraId="007CA764" w14:textId="77777777" w:rsidR="00776741" w:rsidRDefault="00776741" w:rsidP="00EE5374">
      <w:pPr>
        <w:pStyle w:val="Body"/>
      </w:pPr>
    </w:p>
    <w:p w14:paraId="492E56FB" w14:textId="77777777" w:rsidR="00776741" w:rsidRDefault="00776741" w:rsidP="00EE5374">
      <w:pPr>
        <w:pStyle w:val="Body"/>
      </w:pPr>
    </w:p>
    <w:p w14:paraId="11CBC91C" w14:textId="77777777" w:rsidR="00776741" w:rsidRDefault="00776741" w:rsidP="00EE5374">
      <w:pPr>
        <w:pStyle w:val="Body"/>
      </w:pPr>
    </w:p>
    <w:p w14:paraId="51EEE1A8" w14:textId="77777777" w:rsidR="00776741" w:rsidRDefault="00776741" w:rsidP="00EE5374">
      <w:pPr>
        <w:pStyle w:val="Body"/>
      </w:pPr>
    </w:p>
    <w:p w14:paraId="5453C37F" w14:textId="77777777" w:rsidR="00776741" w:rsidRDefault="00776741" w:rsidP="00EE5374">
      <w:pPr>
        <w:pStyle w:val="Body"/>
      </w:pPr>
    </w:p>
    <w:p w14:paraId="2C7FB455" w14:textId="77777777" w:rsidR="00776741" w:rsidRDefault="00776741" w:rsidP="00EE5374">
      <w:pPr>
        <w:pStyle w:val="Body"/>
      </w:pPr>
    </w:p>
    <w:p w14:paraId="3A35E883" w14:textId="77777777" w:rsidR="00776741" w:rsidRDefault="00776741" w:rsidP="00EE5374">
      <w:pPr>
        <w:pStyle w:val="Body"/>
      </w:pPr>
    </w:p>
    <w:p w14:paraId="4125B5F1" w14:textId="77777777" w:rsidR="00776741" w:rsidRDefault="00776741" w:rsidP="00EE5374">
      <w:pPr>
        <w:pStyle w:val="Body"/>
      </w:pPr>
    </w:p>
    <w:p w14:paraId="5EC1BBE9" w14:textId="77777777" w:rsidR="00776741" w:rsidRDefault="00776741" w:rsidP="00EE5374">
      <w:pPr>
        <w:pStyle w:val="Body"/>
      </w:pPr>
    </w:p>
    <w:p w14:paraId="4952BFEC" w14:textId="77777777" w:rsidR="00776741" w:rsidRDefault="00776741" w:rsidP="00EE5374">
      <w:pPr>
        <w:pStyle w:val="Body"/>
      </w:pPr>
    </w:p>
    <w:p w14:paraId="06999841" w14:textId="77777777" w:rsidR="00776741" w:rsidRDefault="00776741" w:rsidP="00EE5374">
      <w:pPr>
        <w:pStyle w:val="Body"/>
      </w:pPr>
    </w:p>
    <w:p w14:paraId="4D72AF15" w14:textId="77777777" w:rsidR="00776741" w:rsidRPr="00427F3A" w:rsidRDefault="00776741" w:rsidP="00EE5374">
      <w:pPr>
        <w:pStyle w:val="Body"/>
      </w:pPr>
    </w:p>
    <w:p w14:paraId="43B39EAE" w14:textId="77777777" w:rsidR="00776741" w:rsidRPr="00427F3A" w:rsidRDefault="00776741" w:rsidP="00F9713B">
      <w:pPr>
        <w:pStyle w:val="Notice"/>
        <w:rPr>
          <w:lang w:val="en-AU"/>
        </w:rPr>
      </w:pPr>
      <w:r w:rsidRPr="00427F3A">
        <w:rPr>
          <w:lang w:val="en-AU"/>
        </w:rPr>
        <w:t>Notice:  This copy of the Court's Reasons for Judgment is subject to formal revision prior to publication in the Commonwealth Law Reports.</w:t>
      </w:r>
    </w:p>
    <w:p w14:paraId="05E21DEB" w14:textId="0DDF4AC4" w:rsidR="00776741" w:rsidRDefault="007767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5E1434C" w14:textId="77777777" w:rsidR="00776741" w:rsidRDefault="007767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776741" w:rsidSect="0077674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5AE64DB" w14:textId="77777777" w:rsidR="00776741" w:rsidRDefault="00776741" w:rsidP="00776741">
      <w:pPr>
        <w:pStyle w:val="CatchwordsBold"/>
      </w:pPr>
      <w:r w:rsidRPr="00B9489E">
        <w:lastRenderedPageBreak/>
        <w:t>CATCHWORDS</w:t>
      </w:r>
    </w:p>
    <w:p w14:paraId="6E60187F" w14:textId="77777777" w:rsidR="00776741" w:rsidRPr="00B9489E" w:rsidRDefault="00776741" w:rsidP="00776741">
      <w:pPr>
        <w:pStyle w:val="CatchwordsBold"/>
      </w:pPr>
    </w:p>
    <w:p w14:paraId="7798B266" w14:textId="77777777" w:rsidR="00776741" w:rsidRPr="00B9489E" w:rsidRDefault="00776741" w:rsidP="00776741">
      <w:pPr>
        <w:pStyle w:val="CatchwordsBold"/>
      </w:pPr>
      <w:proofErr w:type="spellStart"/>
      <w:r>
        <w:t>Stubbings</w:t>
      </w:r>
      <w:proofErr w:type="spellEnd"/>
      <w:r>
        <w:t xml:space="preserve"> v Jams 2 Pty Ltd</w:t>
      </w:r>
    </w:p>
    <w:p w14:paraId="3800F368" w14:textId="77777777" w:rsidR="00776741" w:rsidRPr="00B9489E" w:rsidRDefault="00776741" w:rsidP="00776741">
      <w:pPr>
        <w:pStyle w:val="CatchwordsBold"/>
      </w:pPr>
    </w:p>
    <w:p w14:paraId="1786BC78" w14:textId="77777777" w:rsidR="00776741" w:rsidRPr="00776741" w:rsidRDefault="00776741" w:rsidP="00776741">
      <w:pPr>
        <w:pStyle w:val="CatchwordsText"/>
      </w:pPr>
      <w:r w:rsidRPr="00776741">
        <w:t>Equity – Unconscionable conduct – Where respondents engaged in business of asset</w:t>
      </w:r>
      <w:r w:rsidRPr="00776741">
        <w:noBreakHyphen/>
        <w:t xml:space="preserve">based lending – Where system of lending involved law firm, acting through intermediary, facilitating secured loans by respondents – Where law firm acted as agent of respondents – Where respondents' agent never dealt directly with appellant – Where appellant unemployed with no regular income and poor financial literacy – Where appellant guaranteed loan made by respondents to company owned and controlled by appellant – Where company had no assets and never traded – Where loan and guarantee secured by mortgages over appellant's three properties – Where appellant provided signed certificates of independent financial advice and independent legal advice drafted by law firm – Where company defaulted on loan and respondents sought to enforce rights against appellant – Whether respondents acted unconscionably in seeking to enforce rights – Whether respondents' agent had knowledge of appellant's circumstances – Whether respondents entitled to rely on certificates of independent advice – Whether unconscientious exploitation of appellant's special disadvantage. </w:t>
      </w:r>
    </w:p>
    <w:p w14:paraId="26F8F959" w14:textId="77777777" w:rsidR="00776741" w:rsidRPr="00776741" w:rsidRDefault="00776741" w:rsidP="00776741">
      <w:pPr>
        <w:pStyle w:val="CatchwordsText"/>
      </w:pPr>
    </w:p>
    <w:p w14:paraId="38829630" w14:textId="77777777" w:rsidR="00776741" w:rsidRPr="00776741" w:rsidRDefault="00776741" w:rsidP="00776741">
      <w:pPr>
        <w:pStyle w:val="CatchwordsText"/>
      </w:pPr>
      <w:r w:rsidRPr="00776741">
        <w:t>Words and phrases – "agent", "asset</w:t>
      </w:r>
      <w:r w:rsidRPr="00776741">
        <w:noBreakHyphen/>
        <w:t>based lending", "certificates of independent advice", "knowledge of that special disadvantage", "special disadvantage", "system of conduct", "unconscientious", "unconscientious exploitation", "unconscionable conduct", "vulnerability", "wilfully blind".</w:t>
      </w:r>
    </w:p>
    <w:p w14:paraId="04C87486" w14:textId="77777777" w:rsidR="00776741" w:rsidRPr="00776741" w:rsidRDefault="00776741" w:rsidP="00776741">
      <w:pPr>
        <w:pStyle w:val="CatchwordsText"/>
      </w:pPr>
    </w:p>
    <w:p w14:paraId="4A43F222" w14:textId="26B9EDB7" w:rsidR="00776741" w:rsidRDefault="00776741" w:rsidP="007767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0E7C7FD" w14:textId="433ED0BB" w:rsidR="00776741" w:rsidRDefault="007767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BDA7A09" w14:textId="67889EE2" w:rsidR="00776741" w:rsidRDefault="0077674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F44285A" w14:textId="77777777" w:rsidR="00776741" w:rsidRDefault="00776741" w:rsidP="00EC48A0">
      <w:pPr>
        <w:pStyle w:val="FixListStyle"/>
        <w:tabs>
          <w:tab w:val="clear" w:pos="720"/>
          <w:tab w:val="left" w:pos="0"/>
        </w:tabs>
        <w:spacing w:after="260" w:line="280" w:lineRule="exact"/>
        <w:ind w:right="0"/>
        <w:jc w:val="both"/>
        <w:rPr>
          <w:rFonts w:ascii="Times New Roman" w:hAnsi="Times New Roman"/>
        </w:rPr>
        <w:sectPr w:rsidR="00776741" w:rsidSect="00776741">
          <w:pgSz w:w="11907" w:h="16839" w:code="9"/>
          <w:pgMar w:top="1440" w:right="1701" w:bottom="1984" w:left="1701" w:header="720" w:footer="720" w:gutter="0"/>
          <w:pgNumType w:start="1"/>
          <w:cols w:space="720"/>
          <w:titlePg/>
          <w:docGrid w:linePitch="354"/>
        </w:sectPr>
      </w:pPr>
    </w:p>
    <w:p w14:paraId="4E5283EB" w14:textId="11265045" w:rsidR="00F340A0" w:rsidRPr="00EC48A0" w:rsidRDefault="00EC48A0" w:rsidP="00EC48A0">
      <w:pPr>
        <w:pStyle w:val="FixListStyle"/>
        <w:tabs>
          <w:tab w:val="clear" w:pos="720"/>
          <w:tab w:val="left" w:pos="0"/>
        </w:tabs>
        <w:spacing w:after="260" w:line="280" w:lineRule="exact"/>
        <w:ind w:right="0"/>
        <w:jc w:val="both"/>
        <w:rPr>
          <w:rFonts w:ascii="Times New Roman" w:hAnsi="Times New Roman"/>
        </w:rPr>
      </w:pPr>
      <w:r w:rsidRPr="00EC48A0">
        <w:rPr>
          <w:rFonts w:ascii="Times New Roman" w:hAnsi="Times New Roman"/>
        </w:rPr>
        <w:lastRenderedPageBreak/>
        <w:t xml:space="preserve">KIEFEL CJ, KEANE AND GLEESON JJ.   </w:t>
      </w:r>
      <w:r w:rsidR="00701D91" w:rsidRPr="00EC48A0">
        <w:rPr>
          <w:rFonts w:ascii="Times New Roman" w:hAnsi="Times New Roman"/>
        </w:rPr>
        <w:t>The respondents in this matter</w:t>
      </w:r>
      <w:r w:rsidR="00D62D31" w:rsidRPr="00EC48A0">
        <w:rPr>
          <w:rFonts w:ascii="Times New Roman" w:hAnsi="Times New Roman"/>
        </w:rPr>
        <w:t xml:space="preserve"> are in the </w:t>
      </w:r>
      <w:r w:rsidR="00106FB6" w:rsidRPr="00EC48A0">
        <w:rPr>
          <w:rFonts w:ascii="Times New Roman" w:hAnsi="Times New Roman"/>
        </w:rPr>
        <w:t xml:space="preserve">business </w:t>
      </w:r>
      <w:r w:rsidR="00D62D31" w:rsidRPr="00EC48A0">
        <w:rPr>
          <w:rFonts w:ascii="Times New Roman" w:hAnsi="Times New Roman"/>
        </w:rPr>
        <w:t xml:space="preserve">known as </w:t>
      </w:r>
      <w:r w:rsidR="00D54358" w:rsidRPr="00EC48A0">
        <w:rPr>
          <w:rFonts w:ascii="Times New Roman" w:hAnsi="Times New Roman"/>
        </w:rPr>
        <w:t>asset</w:t>
      </w:r>
      <w:r w:rsidR="007A2232" w:rsidRPr="00EC48A0">
        <w:rPr>
          <w:rFonts w:ascii="Times New Roman" w:hAnsi="Times New Roman"/>
        </w:rPr>
        <w:noBreakHyphen/>
      </w:r>
      <w:r w:rsidR="00D54358" w:rsidRPr="00EC48A0">
        <w:rPr>
          <w:rFonts w:ascii="Times New Roman" w:hAnsi="Times New Roman"/>
        </w:rPr>
        <w:t>based lending</w:t>
      </w:r>
      <w:r w:rsidR="00982FE9" w:rsidRPr="00EC48A0">
        <w:rPr>
          <w:rFonts w:ascii="Times New Roman" w:hAnsi="Times New Roman"/>
        </w:rPr>
        <w:t>, or "pure asset lending".</w:t>
      </w:r>
      <w:r w:rsidR="0034544D" w:rsidRPr="00EC48A0">
        <w:rPr>
          <w:rFonts w:ascii="Times New Roman" w:hAnsi="Times New Roman"/>
        </w:rPr>
        <w:t xml:space="preserve"> </w:t>
      </w:r>
      <w:r w:rsidR="00531C01" w:rsidRPr="00EC48A0">
        <w:rPr>
          <w:rFonts w:ascii="Times New Roman" w:hAnsi="Times New Roman"/>
        </w:rPr>
        <w:t xml:space="preserve">This type of lending has the </w:t>
      </w:r>
      <w:r w:rsidR="00B46480" w:rsidRPr="00EC48A0">
        <w:rPr>
          <w:rFonts w:ascii="Times New Roman" w:hAnsi="Times New Roman"/>
        </w:rPr>
        <w:t xml:space="preserve">distinguishing </w:t>
      </w:r>
      <w:r w:rsidR="00531C01" w:rsidRPr="00EC48A0">
        <w:rPr>
          <w:rFonts w:ascii="Times New Roman" w:hAnsi="Times New Roman"/>
        </w:rPr>
        <w:t xml:space="preserve">feature, </w:t>
      </w:r>
      <w:r w:rsidR="00FA25F8" w:rsidRPr="00EC48A0">
        <w:rPr>
          <w:rFonts w:ascii="Times New Roman" w:hAnsi="Times New Roman"/>
        </w:rPr>
        <w:t xml:space="preserve">which often makes it easier </w:t>
      </w:r>
      <w:r w:rsidR="003E109A" w:rsidRPr="00EC48A0">
        <w:rPr>
          <w:rFonts w:ascii="Times New Roman" w:hAnsi="Times New Roman"/>
        </w:rPr>
        <w:t xml:space="preserve">for </w:t>
      </w:r>
      <w:r w:rsidR="00573B50" w:rsidRPr="00EC48A0">
        <w:rPr>
          <w:rFonts w:ascii="Times New Roman" w:hAnsi="Times New Roman"/>
        </w:rPr>
        <w:t>a</w:t>
      </w:r>
      <w:r w:rsidR="003E109A" w:rsidRPr="00EC48A0">
        <w:rPr>
          <w:rFonts w:ascii="Times New Roman" w:hAnsi="Times New Roman"/>
        </w:rPr>
        <w:t xml:space="preserve"> borrower </w:t>
      </w:r>
      <w:r w:rsidR="00FA25F8" w:rsidRPr="00EC48A0">
        <w:rPr>
          <w:rFonts w:ascii="Times New Roman" w:hAnsi="Times New Roman"/>
        </w:rPr>
        <w:t xml:space="preserve">to obtain finance, that </w:t>
      </w:r>
      <w:r w:rsidR="00D600B4" w:rsidRPr="00EC48A0">
        <w:rPr>
          <w:rFonts w:ascii="Times New Roman" w:hAnsi="Times New Roman"/>
        </w:rPr>
        <w:t xml:space="preserve">loans are made exclusively </w:t>
      </w:r>
      <w:r w:rsidR="00FA25F8" w:rsidRPr="00EC48A0">
        <w:rPr>
          <w:rFonts w:ascii="Times New Roman" w:hAnsi="Times New Roman"/>
        </w:rPr>
        <w:t xml:space="preserve">on the basis </w:t>
      </w:r>
      <w:r w:rsidR="00716EB7" w:rsidRPr="00EC48A0">
        <w:rPr>
          <w:rFonts w:ascii="Times New Roman" w:hAnsi="Times New Roman"/>
        </w:rPr>
        <w:t xml:space="preserve">of the value of the assets securing the loan </w:t>
      </w:r>
      <w:r w:rsidR="00E43370" w:rsidRPr="00EC48A0">
        <w:rPr>
          <w:rFonts w:ascii="Times New Roman" w:hAnsi="Times New Roman"/>
        </w:rPr>
        <w:t>"without regard to the ability of the borrower to repay by instalments under the contract</w:t>
      </w:r>
      <w:r w:rsidR="003D5CB8" w:rsidRPr="00EC48A0">
        <w:rPr>
          <w:rFonts w:ascii="Times New Roman" w:hAnsi="Times New Roman"/>
        </w:rPr>
        <w:t>, in the knowledge that adequate security is available in the event of default</w:t>
      </w:r>
      <w:r w:rsidR="00E43370" w:rsidRPr="00EC48A0">
        <w:rPr>
          <w:rFonts w:ascii="Times New Roman" w:hAnsi="Times New Roman"/>
        </w:rPr>
        <w:t>"</w:t>
      </w:r>
      <w:r w:rsidR="00E43370" w:rsidRPr="00EC48A0">
        <w:rPr>
          <w:rStyle w:val="FootnoteReference"/>
          <w:rFonts w:ascii="Times New Roman" w:hAnsi="Times New Roman"/>
          <w:sz w:val="24"/>
        </w:rPr>
        <w:footnoteReference w:id="2"/>
      </w:r>
      <w:r w:rsidR="00E43370" w:rsidRPr="00EC48A0">
        <w:rPr>
          <w:rFonts w:ascii="Times New Roman" w:hAnsi="Times New Roman"/>
        </w:rPr>
        <w:t>.</w:t>
      </w:r>
      <w:r w:rsidR="00A00835" w:rsidRPr="00EC48A0">
        <w:rPr>
          <w:rFonts w:ascii="Times New Roman" w:hAnsi="Times New Roman"/>
        </w:rPr>
        <w:t xml:space="preserve"> </w:t>
      </w:r>
    </w:p>
    <w:p w14:paraId="6898EB3C" w14:textId="134E1D50" w:rsidR="00CC5036" w:rsidRPr="00EC48A0" w:rsidRDefault="00F340A0"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106FB6" w:rsidRPr="00EC48A0">
        <w:rPr>
          <w:rFonts w:ascii="Times New Roman" w:hAnsi="Times New Roman"/>
        </w:rPr>
        <w:t>T</w:t>
      </w:r>
      <w:r w:rsidR="00E52F23" w:rsidRPr="00EC48A0">
        <w:rPr>
          <w:rFonts w:ascii="Times New Roman" w:hAnsi="Times New Roman"/>
        </w:rPr>
        <w:t>he appellant</w:t>
      </w:r>
      <w:r w:rsidR="00E23BF1" w:rsidRPr="00EC48A0">
        <w:rPr>
          <w:rFonts w:ascii="Times New Roman" w:hAnsi="Times New Roman"/>
        </w:rPr>
        <w:t xml:space="preserve"> was the guarantor </w:t>
      </w:r>
      <w:r w:rsidR="00E839BD" w:rsidRPr="00EC48A0">
        <w:rPr>
          <w:rFonts w:ascii="Times New Roman" w:hAnsi="Times New Roman"/>
        </w:rPr>
        <w:t xml:space="preserve">of </w:t>
      </w:r>
      <w:r w:rsidR="00D600B4" w:rsidRPr="00EC48A0">
        <w:rPr>
          <w:rFonts w:ascii="Times New Roman" w:hAnsi="Times New Roman"/>
        </w:rPr>
        <w:t xml:space="preserve">loans </w:t>
      </w:r>
      <w:r w:rsidR="00A00835" w:rsidRPr="00EC48A0">
        <w:rPr>
          <w:rFonts w:ascii="Times New Roman" w:hAnsi="Times New Roman"/>
        </w:rPr>
        <w:t xml:space="preserve">made by </w:t>
      </w:r>
      <w:r w:rsidR="00E839BD" w:rsidRPr="00EC48A0">
        <w:rPr>
          <w:rFonts w:ascii="Times New Roman" w:hAnsi="Times New Roman"/>
        </w:rPr>
        <w:t xml:space="preserve">the respondents to a company owned and controlled by him, </w:t>
      </w:r>
      <w:r w:rsidR="00DE4314" w:rsidRPr="00EC48A0">
        <w:rPr>
          <w:rFonts w:ascii="Times New Roman" w:hAnsi="Times New Roman"/>
        </w:rPr>
        <w:t>Victorian Boat Clinic Pty Ltd ("the</w:t>
      </w:r>
      <w:r w:rsidR="002A3C0A" w:rsidRPr="00EC48A0">
        <w:rPr>
          <w:rFonts w:ascii="Times New Roman" w:hAnsi="Times New Roman"/>
        </w:rPr>
        <w:t> </w:t>
      </w:r>
      <w:r w:rsidR="00DE4314" w:rsidRPr="00EC48A0">
        <w:rPr>
          <w:rFonts w:ascii="Times New Roman" w:hAnsi="Times New Roman"/>
        </w:rPr>
        <w:t>company")</w:t>
      </w:r>
      <w:r w:rsidR="00DE4314" w:rsidRPr="00EC48A0">
        <w:rPr>
          <w:rStyle w:val="FootnoteReference"/>
          <w:rFonts w:ascii="Times New Roman" w:hAnsi="Times New Roman"/>
          <w:sz w:val="24"/>
        </w:rPr>
        <w:footnoteReference w:id="3"/>
      </w:r>
      <w:r w:rsidR="00DE4314" w:rsidRPr="00EC48A0">
        <w:rPr>
          <w:rFonts w:ascii="Times New Roman" w:hAnsi="Times New Roman"/>
        </w:rPr>
        <w:t>.</w:t>
      </w:r>
      <w:r w:rsidR="009D7599" w:rsidRPr="00EC48A0">
        <w:rPr>
          <w:rFonts w:ascii="Times New Roman" w:hAnsi="Times New Roman"/>
        </w:rPr>
        <w:t xml:space="preserve"> </w:t>
      </w:r>
      <w:r w:rsidR="0096399F" w:rsidRPr="00EC48A0">
        <w:rPr>
          <w:rFonts w:ascii="Times New Roman" w:hAnsi="Times New Roman"/>
        </w:rPr>
        <w:t>T</w:t>
      </w:r>
      <w:r w:rsidR="005A30A0" w:rsidRPr="00EC48A0">
        <w:rPr>
          <w:rFonts w:ascii="Times New Roman" w:hAnsi="Times New Roman"/>
        </w:rPr>
        <w:t xml:space="preserve">he </w:t>
      </w:r>
      <w:r w:rsidR="00F32E6C" w:rsidRPr="00EC48A0">
        <w:rPr>
          <w:rFonts w:ascii="Times New Roman" w:hAnsi="Times New Roman"/>
        </w:rPr>
        <w:t xml:space="preserve">appellant's obligations </w:t>
      </w:r>
      <w:r w:rsidR="00F87488" w:rsidRPr="00EC48A0">
        <w:rPr>
          <w:rFonts w:ascii="Times New Roman" w:hAnsi="Times New Roman"/>
        </w:rPr>
        <w:t>as guarantor</w:t>
      </w:r>
      <w:r w:rsidR="00F32E6C" w:rsidRPr="00EC48A0">
        <w:rPr>
          <w:rFonts w:ascii="Times New Roman" w:hAnsi="Times New Roman"/>
        </w:rPr>
        <w:t xml:space="preserve"> were secured by mortgage</w:t>
      </w:r>
      <w:r w:rsidR="00702720" w:rsidRPr="00EC48A0">
        <w:rPr>
          <w:rFonts w:ascii="Times New Roman" w:hAnsi="Times New Roman"/>
        </w:rPr>
        <w:t>s</w:t>
      </w:r>
      <w:r w:rsidR="00F32E6C" w:rsidRPr="00EC48A0">
        <w:rPr>
          <w:rFonts w:ascii="Times New Roman" w:hAnsi="Times New Roman"/>
        </w:rPr>
        <w:t xml:space="preserve"> </w:t>
      </w:r>
      <w:r w:rsidR="005F1711" w:rsidRPr="00EC48A0">
        <w:rPr>
          <w:rFonts w:ascii="Times New Roman" w:hAnsi="Times New Roman"/>
        </w:rPr>
        <w:t xml:space="preserve">given over </w:t>
      </w:r>
      <w:r w:rsidR="00702720" w:rsidRPr="00EC48A0">
        <w:rPr>
          <w:rFonts w:ascii="Times New Roman" w:hAnsi="Times New Roman"/>
        </w:rPr>
        <w:t>parcels of land owned by</w:t>
      </w:r>
      <w:r w:rsidRPr="00EC48A0">
        <w:rPr>
          <w:rFonts w:ascii="Times New Roman" w:hAnsi="Times New Roman"/>
        </w:rPr>
        <w:t xml:space="preserve"> him</w:t>
      </w:r>
      <w:r w:rsidR="00086D6F" w:rsidRPr="00EC48A0">
        <w:rPr>
          <w:rFonts w:ascii="Times New Roman" w:hAnsi="Times New Roman"/>
        </w:rPr>
        <w:t>.</w:t>
      </w:r>
      <w:r w:rsidR="00CA7A6B" w:rsidRPr="00EC48A0">
        <w:rPr>
          <w:rFonts w:ascii="Times New Roman" w:hAnsi="Times New Roman"/>
        </w:rPr>
        <w:t xml:space="preserve"> </w:t>
      </w:r>
      <w:r w:rsidR="00B62D86" w:rsidRPr="00EC48A0">
        <w:rPr>
          <w:rFonts w:ascii="Times New Roman" w:hAnsi="Times New Roman"/>
        </w:rPr>
        <w:t>T</w:t>
      </w:r>
      <w:r w:rsidR="00CA7A6B" w:rsidRPr="00EC48A0">
        <w:rPr>
          <w:rFonts w:ascii="Times New Roman" w:hAnsi="Times New Roman"/>
        </w:rPr>
        <w:t>he company</w:t>
      </w:r>
      <w:r w:rsidR="00F87488" w:rsidRPr="00EC48A0">
        <w:rPr>
          <w:rFonts w:ascii="Times New Roman" w:hAnsi="Times New Roman"/>
        </w:rPr>
        <w:t xml:space="preserve"> had no assets and </w:t>
      </w:r>
      <w:r w:rsidR="00713959" w:rsidRPr="00EC48A0">
        <w:rPr>
          <w:rFonts w:ascii="Times New Roman" w:hAnsi="Times New Roman"/>
        </w:rPr>
        <w:t>h</w:t>
      </w:r>
      <w:r w:rsidR="00F87488" w:rsidRPr="00EC48A0">
        <w:rPr>
          <w:rFonts w:ascii="Times New Roman" w:hAnsi="Times New Roman"/>
        </w:rPr>
        <w:t>ad never traded. The</w:t>
      </w:r>
      <w:r w:rsidR="00CA7A6B" w:rsidRPr="00EC48A0">
        <w:rPr>
          <w:rFonts w:ascii="Times New Roman" w:hAnsi="Times New Roman"/>
        </w:rPr>
        <w:t xml:space="preserve"> appellant had </w:t>
      </w:r>
      <w:r w:rsidR="00B62D86" w:rsidRPr="00EC48A0">
        <w:rPr>
          <w:rFonts w:ascii="Times New Roman" w:hAnsi="Times New Roman"/>
        </w:rPr>
        <w:t xml:space="preserve">no </w:t>
      </w:r>
      <w:r w:rsidR="00737407" w:rsidRPr="00EC48A0">
        <w:rPr>
          <w:rFonts w:ascii="Times New Roman" w:hAnsi="Times New Roman"/>
        </w:rPr>
        <w:t xml:space="preserve">income or other </w:t>
      </w:r>
      <w:r w:rsidR="00CA7A6B" w:rsidRPr="00EC48A0">
        <w:rPr>
          <w:rFonts w:ascii="Times New Roman" w:hAnsi="Times New Roman"/>
        </w:rPr>
        <w:t xml:space="preserve">means to meet </w:t>
      </w:r>
      <w:r w:rsidR="00B62D86" w:rsidRPr="00EC48A0">
        <w:rPr>
          <w:rFonts w:ascii="Times New Roman" w:hAnsi="Times New Roman"/>
        </w:rPr>
        <w:t xml:space="preserve">his </w:t>
      </w:r>
      <w:r w:rsidR="00CA7A6B" w:rsidRPr="00EC48A0">
        <w:rPr>
          <w:rFonts w:ascii="Times New Roman" w:hAnsi="Times New Roman"/>
        </w:rPr>
        <w:t xml:space="preserve">obligations </w:t>
      </w:r>
      <w:r w:rsidR="00737407" w:rsidRPr="00EC48A0">
        <w:rPr>
          <w:rFonts w:ascii="Times New Roman" w:hAnsi="Times New Roman"/>
        </w:rPr>
        <w:t>to the respondents.</w:t>
      </w:r>
      <w:r w:rsidR="00CA7A6B" w:rsidRPr="00EC48A0">
        <w:rPr>
          <w:rFonts w:ascii="Times New Roman" w:hAnsi="Times New Roman"/>
        </w:rPr>
        <w:t xml:space="preserve"> </w:t>
      </w:r>
    </w:p>
    <w:p w14:paraId="55AE48E3" w14:textId="224E66E8" w:rsidR="00AD57F4" w:rsidRPr="00EC48A0" w:rsidRDefault="0082586B" w:rsidP="00EC48A0">
      <w:pPr>
        <w:pStyle w:val="FixListStyle"/>
        <w:spacing w:after="260" w:line="280" w:lineRule="exact"/>
        <w:ind w:right="0"/>
        <w:jc w:val="both"/>
        <w:rPr>
          <w:rFonts w:ascii="Times New Roman" w:hAnsi="Times New Roman"/>
        </w:rPr>
      </w:pPr>
      <w:r w:rsidRPr="00EC48A0">
        <w:rPr>
          <w:rFonts w:ascii="Times New Roman" w:hAnsi="Times New Roman"/>
        </w:rPr>
        <w:tab/>
        <w:t xml:space="preserve">The primary judge (Robson J) </w:t>
      </w:r>
      <w:r w:rsidR="00BD17D8" w:rsidRPr="00EC48A0">
        <w:rPr>
          <w:rFonts w:ascii="Times New Roman" w:hAnsi="Times New Roman"/>
        </w:rPr>
        <w:t>found</w:t>
      </w:r>
      <w:r w:rsidR="00496C51" w:rsidRPr="00EC48A0">
        <w:rPr>
          <w:rFonts w:ascii="Times New Roman" w:hAnsi="Times New Roman"/>
        </w:rPr>
        <w:t xml:space="preserve"> </w:t>
      </w:r>
      <w:r w:rsidR="005D475A" w:rsidRPr="00EC48A0">
        <w:rPr>
          <w:rFonts w:ascii="Times New Roman" w:hAnsi="Times New Roman"/>
        </w:rPr>
        <w:t xml:space="preserve">that </w:t>
      </w:r>
      <w:r w:rsidR="00FF1CF8" w:rsidRPr="00EC48A0">
        <w:rPr>
          <w:rFonts w:ascii="Times New Roman" w:hAnsi="Times New Roman"/>
        </w:rPr>
        <w:t xml:space="preserve">the </w:t>
      </w:r>
      <w:r w:rsidR="006B6B38" w:rsidRPr="00EC48A0">
        <w:rPr>
          <w:rFonts w:ascii="Times New Roman" w:hAnsi="Times New Roman"/>
        </w:rPr>
        <w:t>appellant</w:t>
      </w:r>
      <w:r w:rsidR="00B30D4F" w:rsidRPr="00EC48A0">
        <w:rPr>
          <w:rFonts w:ascii="Times New Roman" w:hAnsi="Times New Roman"/>
        </w:rPr>
        <w:t xml:space="preserve">'s </w:t>
      </w:r>
      <w:r w:rsidR="00713959" w:rsidRPr="00EC48A0">
        <w:rPr>
          <w:rFonts w:ascii="Times New Roman" w:hAnsi="Times New Roman"/>
        </w:rPr>
        <w:t xml:space="preserve">indebtedness </w:t>
      </w:r>
      <w:r w:rsidR="00B30D4F" w:rsidRPr="00EC48A0">
        <w:rPr>
          <w:rFonts w:ascii="Times New Roman" w:hAnsi="Times New Roman"/>
        </w:rPr>
        <w:t>to the respondents</w:t>
      </w:r>
      <w:r w:rsidR="00FF49AF" w:rsidRPr="00EC48A0">
        <w:rPr>
          <w:rFonts w:ascii="Times New Roman" w:hAnsi="Times New Roman"/>
        </w:rPr>
        <w:t xml:space="preserve"> </w:t>
      </w:r>
      <w:r w:rsidR="00FF1CF8" w:rsidRPr="00EC48A0">
        <w:rPr>
          <w:rFonts w:ascii="Times New Roman" w:hAnsi="Times New Roman"/>
        </w:rPr>
        <w:t xml:space="preserve">had been procured by unconscionable conduct </w:t>
      </w:r>
      <w:r w:rsidR="00073F6F" w:rsidRPr="00EC48A0">
        <w:rPr>
          <w:rFonts w:ascii="Times New Roman" w:hAnsi="Times New Roman"/>
        </w:rPr>
        <w:t xml:space="preserve">on the part of their agent which was </w:t>
      </w:r>
      <w:r w:rsidR="00FF1CF8" w:rsidRPr="00EC48A0">
        <w:rPr>
          <w:rFonts w:ascii="Times New Roman" w:hAnsi="Times New Roman"/>
        </w:rPr>
        <w:t>attributable to the</w:t>
      </w:r>
      <w:r w:rsidR="00073F6F" w:rsidRPr="00EC48A0">
        <w:rPr>
          <w:rFonts w:ascii="Times New Roman" w:hAnsi="Times New Roman"/>
        </w:rPr>
        <w:t>m. This conduct was found to be</w:t>
      </w:r>
      <w:r w:rsidR="00FC0955" w:rsidRPr="00EC48A0">
        <w:rPr>
          <w:rFonts w:ascii="Times New Roman" w:hAnsi="Times New Roman"/>
        </w:rPr>
        <w:t xml:space="preserve"> contrary to </w:t>
      </w:r>
      <w:r w:rsidR="00D866ED" w:rsidRPr="00EC48A0">
        <w:rPr>
          <w:rFonts w:ascii="Times New Roman" w:hAnsi="Times New Roman"/>
        </w:rPr>
        <w:t>equitable principle</w:t>
      </w:r>
      <w:r w:rsidR="0009551F" w:rsidRPr="00EC48A0">
        <w:rPr>
          <w:rFonts w:ascii="Times New Roman" w:hAnsi="Times New Roman"/>
        </w:rPr>
        <w:t xml:space="preserve"> and</w:t>
      </w:r>
      <w:r w:rsidR="009A46B9" w:rsidRPr="00EC48A0">
        <w:rPr>
          <w:rFonts w:ascii="Times New Roman" w:hAnsi="Times New Roman"/>
        </w:rPr>
        <w:t xml:space="preserve"> to</w:t>
      </w:r>
      <w:r w:rsidR="009E2B18" w:rsidRPr="00EC48A0">
        <w:rPr>
          <w:rFonts w:ascii="Times New Roman" w:hAnsi="Times New Roman"/>
        </w:rPr>
        <w:t xml:space="preserve"> s 12CB of the </w:t>
      </w:r>
      <w:r w:rsidR="00FE0109" w:rsidRPr="00EC48A0">
        <w:rPr>
          <w:rFonts w:ascii="Times New Roman" w:hAnsi="Times New Roman"/>
          <w:i/>
        </w:rPr>
        <w:t>Australian Securities and Investment</w:t>
      </w:r>
      <w:r w:rsidR="00044B29" w:rsidRPr="00EC48A0">
        <w:rPr>
          <w:rFonts w:ascii="Times New Roman" w:hAnsi="Times New Roman"/>
          <w:i/>
        </w:rPr>
        <w:t>s</w:t>
      </w:r>
      <w:r w:rsidR="00FE0109" w:rsidRPr="00EC48A0">
        <w:rPr>
          <w:rFonts w:ascii="Times New Roman" w:hAnsi="Times New Roman"/>
          <w:i/>
        </w:rPr>
        <w:t xml:space="preserve"> Commission Act 2001 </w:t>
      </w:r>
      <w:r w:rsidR="00FE0109" w:rsidRPr="00EC48A0">
        <w:rPr>
          <w:rFonts w:ascii="Times New Roman" w:hAnsi="Times New Roman"/>
        </w:rPr>
        <w:t>(</w:t>
      </w:r>
      <w:proofErr w:type="spellStart"/>
      <w:r w:rsidR="00FE0109" w:rsidRPr="00EC48A0">
        <w:rPr>
          <w:rFonts w:ascii="Times New Roman" w:hAnsi="Times New Roman"/>
        </w:rPr>
        <w:t>Cth</w:t>
      </w:r>
      <w:proofErr w:type="spellEnd"/>
      <w:r w:rsidR="00FE0109" w:rsidRPr="00EC48A0">
        <w:rPr>
          <w:rFonts w:ascii="Times New Roman" w:hAnsi="Times New Roman"/>
        </w:rPr>
        <w:t>) ("the ASIC Act")</w:t>
      </w:r>
      <w:r w:rsidR="00504B7E" w:rsidRPr="00EC48A0">
        <w:rPr>
          <w:rStyle w:val="FootnoteReference"/>
          <w:rFonts w:ascii="Times New Roman" w:hAnsi="Times New Roman"/>
          <w:sz w:val="24"/>
        </w:rPr>
        <w:footnoteReference w:id="4"/>
      </w:r>
      <w:r w:rsidR="00504B7E" w:rsidRPr="00EC48A0">
        <w:rPr>
          <w:rFonts w:ascii="Times New Roman" w:hAnsi="Times New Roman"/>
        </w:rPr>
        <w:t xml:space="preserve">. The Court of Appeal </w:t>
      </w:r>
      <w:r w:rsidR="00F77F51" w:rsidRPr="00EC48A0">
        <w:rPr>
          <w:rFonts w:ascii="Times New Roman" w:hAnsi="Times New Roman"/>
        </w:rPr>
        <w:t xml:space="preserve">of the Supreme Court of Victoria </w:t>
      </w:r>
      <w:r w:rsidR="00504B7E" w:rsidRPr="00EC48A0">
        <w:rPr>
          <w:rFonts w:ascii="Times New Roman" w:hAnsi="Times New Roman"/>
        </w:rPr>
        <w:t>(</w:t>
      </w:r>
      <w:r w:rsidR="00B22D66" w:rsidRPr="00EC48A0">
        <w:rPr>
          <w:rFonts w:ascii="Times New Roman" w:hAnsi="Times New Roman"/>
        </w:rPr>
        <w:t xml:space="preserve">Beach, Kyrou and Hargrave JJA) </w:t>
      </w:r>
      <w:r w:rsidR="00880300" w:rsidRPr="00EC48A0">
        <w:rPr>
          <w:rFonts w:ascii="Times New Roman" w:hAnsi="Times New Roman"/>
        </w:rPr>
        <w:t>over</w:t>
      </w:r>
      <w:r w:rsidR="005F1711" w:rsidRPr="00EC48A0">
        <w:rPr>
          <w:rFonts w:ascii="Times New Roman" w:hAnsi="Times New Roman"/>
        </w:rPr>
        <w:t>ruled</w:t>
      </w:r>
      <w:r w:rsidR="00880300" w:rsidRPr="00EC48A0">
        <w:rPr>
          <w:rFonts w:ascii="Times New Roman" w:hAnsi="Times New Roman"/>
        </w:rPr>
        <w:t xml:space="preserve"> the primary judge's decision</w:t>
      </w:r>
      <w:r w:rsidR="00B22D66" w:rsidRPr="00EC48A0">
        <w:rPr>
          <w:rFonts w:ascii="Times New Roman" w:hAnsi="Times New Roman"/>
        </w:rPr>
        <w:t xml:space="preserve">, concluding that </w:t>
      </w:r>
      <w:r w:rsidR="00D52102" w:rsidRPr="00EC48A0">
        <w:rPr>
          <w:rFonts w:ascii="Times New Roman" w:hAnsi="Times New Roman"/>
        </w:rPr>
        <w:t>the evidence could not support a finding of unconscionable conduct</w:t>
      </w:r>
      <w:r w:rsidR="004C7F79" w:rsidRPr="00EC48A0">
        <w:rPr>
          <w:rFonts w:ascii="Times New Roman" w:hAnsi="Times New Roman"/>
        </w:rPr>
        <w:t xml:space="preserve"> </w:t>
      </w:r>
      <w:r w:rsidR="00FC0955" w:rsidRPr="00EC48A0">
        <w:rPr>
          <w:rFonts w:ascii="Times New Roman" w:hAnsi="Times New Roman"/>
        </w:rPr>
        <w:t xml:space="preserve">attributable to </w:t>
      </w:r>
      <w:r w:rsidR="004C7F79" w:rsidRPr="00EC48A0">
        <w:rPr>
          <w:rFonts w:ascii="Times New Roman" w:hAnsi="Times New Roman"/>
        </w:rPr>
        <w:t>the respondents</w:t>
      </w:r>
      <w:r w:rsidR="00B9724F" w:rsidRPr="00EC48A0">
        <w:rPr>
          <w:rStyle w:val="FootnoteReference"/>
          <w:rFonts w:ascii="Times New Roman" w:hAnsi="Times New Roman"/>
          <w:sz w:val="24"/>
        </w:rPr>
        <w:footnoteReference w:id="5"/>
      </w:r>
      <w:r w:rsidR="00D52102" w:rsidRPr="00EC48A0">
        <w:rPr>
          <w:rFonts w:ascii="Times New Roman" w:hAnsi="Times New Roman"/>
        </w:rPr>
        <w:t>.</w:t>
      </w:r>
    </w:p>
    <w:p w14:paraId="2ED5E7BB" w14:textId="2DBDF091" w:rsidR="00874D7B" w:rsidRPr="00EC48A0" w:rsidRDefault="0075341A"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4C7F79" w:rsidRPr="00EC48A0">
        <w:rPr>
          <w:rFonts w:ascii="Times New Roman" w:hAnsi="Times New Roman"/>
        </w:rPr>
        <w:t xml:space="preserve">In </w:t>
      </w:r>
      <w:r w:rsidR="004B58D3" w:rsidRPr="00EC48A0">
        <w:rPr>
          <w:rFonts w:ascii="Times New Roman" w:hAnsi="Times New Roman"/>
        </w:rPr>
        <w:t>this Court</w:t>
      </w:r>
      <w:r w:rsidR="00C17A94" w:rsidRPr="00EC48A0">
        <w:rPr>
          <w:rFonts w:ascii="Times New Roman" w:hAnsi="Times New Roman"/>
        </w:rPr>
        <w:t xml:space="preserve">, </w:t>
      </w:r>
      <w:r w:rsidR="004256A7" w:rsidRPr="00EC48A0">
        <w:rPr>
          <w:rFonts w:ascii="Times New Roman" w:hAnsi="Times New Roman"/>
        </w:rPr>
        <w:t xml:space="preserve">the </w:t>
      </w:r>
      <w:r w:rsidR="00C8140B" w:rsidRPr="00EC48A0">
        <w:rPr>
          <w:rFonts w:ascii="Times New Roman" w:hAnsi="Times New Roman"/>
        </w:rPr>
        <w:t>respondents argue</w:t>
      </w:r>
      <w:r w:rsidR="00FD6469" w:rsidRPr="00EC48A0">
        <w:rPr>
          <w:rFonts w:ascii="Times New Roman" w:hAnsi="Times New Roman"/>
        </w:rPr>
        <w:t>d</w:t>
      </w:r>
      <w:r w:rsidR="00C8140B" w:rsidRPr="00EC48A0">
        <w:rPr>
          <w:rFonts w:ascii="Times New Roman" w:hAnsi="Times New Roman"/>
        </w:rPr>
        <w:t xml:space="preserve"> that there is nothing </w:t>
      </w:r>
      <w:r w:rsidR="00FC0955" w:rsidRPr="00EC48A0">
        <w:rPr>
          <w:rFonts w:ascii="Times New Roman" w:hAnsi="Times New Roman"/>
        </w:rPr>
        <w:t xml:space="preserve">inherently </w:t>
      </w:r>
      <w:r w:rsidR="00C8140B" w:rsidRPr="00EC48A0">
        <w:rPr>
          <w:rFonts w:ascii="Times New Roman" w:hAnsi="Times New Roman"/>
        </w:rPr>
        <w:t xml:space="preserve">unconscionable </w:t>
      </w:r>
      <w:r w:rsidR="00FC0955" w:rsidRPr="00EC48A0">
        <w:rPr>
          <w:rFonts w:ascii="Times New Roman" w:hAnsi="Times New Roman"/>
        </w:rPr>
        <w:t xml:space="preserve">about </w:t>
      </w:r>
      <w:r w:rsidR="00C8140B" w:rsidRPr="00EC48A0">
        <w:rPr>
          <w:rFonts w:ascii="Times New Roman" w:hAnsi="Times New Roman"/>
        </w:rPr>
        <w:t>asset</w:t>
      </w:r>
      <w:r w:rsidR="00C8140B" w:rsidRPr="00EC48A0">
        <w:rPr>
          <w:rFonts w:ascii="Times New Roman" w:hAnsi="Times New Roman"/>
        </w:rPr>
        <w:noBreakHyphen/>
        <w:t xml:space="preserve">based lending insofar as it involves lending on the value of the </w:t>
      </w:r>
      <w:r w:rsidR="00C2257A" w:rsidRPr="00EC48A0">
        <w:rPr>
          <w:rFonts w:ascii="Times New Roman" w:hAnsi="Times New Roman"/>
        </w:rPr>
        <w:t xml:space="preserve">assets </w:t>
      </w:r>
      <w:r w:rsidR="00304312" w:rsidRPr="00EC48A0">
        <w:rPr>
          <w:rFonts w:ascii="Times New Roman" w:hAnsi="Times New Roman"/>
        </w:rPr>
        <w:t xml:space="preserve">that secure </w:t>
      </w:r>
      <w:r w:rsidR="00C8140B" w:rsidRPr="00EC48A0">
        <w:rPr>
          <w:rFonts w:ascii="Times New Roman" w:hAnsi="Times New Roman"/>
        </w:rPr>
        <w:t>the loan</w:t>
      </w:r>
      <w:r w:rsidR="007C6C94" w:rsidRPr="00EC48A0">
        <w:rPr>
          <w:rFonts w:ascii="Times New Roman" w:hAnsi="Times New Roman"/>
        </w:rPr>
        <w:t xml:space="preserve"> </w:t>
      </w:r>
      <w:r w:rsidR="00C8140B" w:rsidRPr="00EC48A0">
        <w:rPr>
          <w:rFonts w:ascii="Times New Roman" w:hAnsi="Times New Roman"/>
        </w:rPr>
        <w:t xml:space="preserve">without any </w:t>
      </w:r>
      <w:r w:rsidR="00FA7A14" w:rsidRPr="00EC48A0">
        <w:rPr>
          <w:rFonts w:ascii="Times New Roman" w:hAnsi="Times New Roman"/>
        </w:rPr>
        <w:t xml:space="preserve">reliance upon </w:t>
      </w:r>
      <w:r w:rsidR="00C8140B" w:rsidRPr="00EC48A0">
        <w:rPr>
          <w:rFonts w:ascii="Times New Roman" w:hAnsi="Times New Roman"/>
        </w:rPr>
        <w:t xml:space="preserve">the borrower's ability to repay the loan from </w:t>
      </w:r>
      <w:r w:rsidR="007C6C94" w:rsidRPr="00EC48A0">
        <w:rPr>
          <w:rFonts w:ascii="Times New Roman" w:hAnsi="Times New Roman"/>
        </w:rPr>
        <w:t>his or her</w:t>
      </w:r>
      <w:r w:rsidR="00C8140B" w:rsidRPr="00EC48A0">
        <w:rPr>
          <w:rFonts w:ascii="Times New Roman" w:hAnsi="Times New Roman"/>
        </w:rPr>
        <w:t xml:space="preserve"> income or other assets.</w:t>
      </w:r>
      <w:r w:rsidR="00BD67E7" w:rsidRPr="00EC48A0">
        <w:rPr>
          <w:rFonts w:ascii="Times New Roman" w:hAnsi="Times New Roman"/>
        </w:rPr>
        <w:t xml:space="preserve"> The appellant conceded </w:t>
      </w:r>
      <w:r w:rsidR="00470BEA" w:rsidRPr="00EC48A0">
        <w:rPr>
          <w:rFonts w:ascii="Times New Roman" w:hAnsi="Times New Roman"/>
        </w:rPr>
        <w:t>this general proposition</w:t>
      </w:r>
      <w:r w:rsidR="00B718B1" w:rsidRPr="00EC48A0">
        <w:rPr>
          <w:rFonts w:ascii="Times New Roman" w:hAnsi="Times New Roman"/>
        </w:rPr>
        <w:t xml:space="preserve">, but contended </w:t>
      </w:r>
      <w:r w:rsidR="00470BEA" w:rsidRPr="00EC48A0">
        <w:rPr>
          <w:rFonts w:ascii="Times New Roman" w:hAnsi="Times New Roman"/>
        </w:rPr>
        <w:t>that</w:t>
      </w:r>
      <w:r w:rsidR="00BD67E7" w:rsidRPr="00EC48A0">
        <w:rPr>
          <w:rFonts w:ascii="Times New Roman" w:hAnsi="Times New Roman"/>
        </w:rPr>
        <w:t xml:space="preserve"> </w:t>
      </w:r>
      <w:r w:rsidR="009D7A82" w:rsidRPr="00EC48A0">
        <w:rPr>
          <w:rFonts w:ascii="Times New Roman" w:hAnsi="Times New Roman"/>
        </w:rPr>
        <w:t>in this case</w:t>
      </w:r>
      <w:r w:rsidR="00C2257A" w:rsidRPr="00EC48A0">
        <w:rPr>
          <w:rFonts w:ascii="Times New Roman" w:hAnsi="Times New Roman"/>
        </w:rPr>
        <w:t>,</w:t>
      </w:r>
      <w:r w:rsidR="009D7A82" w:rsidRPr="00EC48A0">
        <w:rPr>
          <w:rFonts w:ascii="Times New Roman" w:hAnsi="Times New Roman"/>
        </w:rPr>
        <w:t xml:space="preserve"> on the </w:t>
      </w:r>
      <w:r w:rsidR="000E62BD" w:rsidRPr="00EC48A0">
        <w:rPr>
          <w:rFonts w:ascii="Times New Roman" w:hAnsi="Times New Roman"/>
        </w:rPr>
        <w:t xml:space="preserve">unchallenged </w:t>
      </w:r>
      <w:r w:rsidR="009D7A82" w:rsidRPr="00EC48A0">
        <w:rPr>
          <w:rFonts w:ascii="Times New Roman" w:hAnsi="Times New Roman"/>
        </w:rPr>
        <w:t xml:space="preserve">findings of fact made by the primary judge, </w:t>
      </w:r>
      <w:r w:rsidR="00BD67E7" w:rsidRPr="00EC48A0">
        <w:rPr>
          <w:rFonts w:ascii="Times New Roman" w:hAnsi="Times New Roman"/>
        </w:rPr>
        <w:t>the</w:t>
      </w:r>
      <w:r w:rsidR="009F67C9" w:rsidRPr="00EC48A0">
        <w:rPr>
          <w:rFonts w:ascii="Times New Roman" w:hAnsi="Times New Roman"/>
        </w:rPr>
        <w:t xml:space="preserve"> </w:t>
      </w:r>
      <w:r w:rsidR="00E8450E" w:rsidRPr="00EC48A0">
        <w:rPr>
          <w:rFonts w:ascii="Times New Roman" w:hAnsi="Times New Roman"/>
        </w:rPr>
        <w:t xml:space="preserve">loans </w:t>
      </w:r>
      <w:r w:rsidR="00B718B1" w:rsidRPr="00EC48A0">
        <w:rPr>
          <w:rFonts w:ascii="Times New Roman" w:hAnsi="Times New Roman"/>
        </w:rPr>
        <w:t xml:space="preserve">to the company and the appellant's guarantee </w:t>
      </w:r>
      <w:r w:rsidR="00E8450E" w:rsidRPr="00EC48A0">
        <w:rPr>
          <w:rFonts w:ascii="Times New Roman" w:hAnsi="Times New Roman"/>
        </w:rPr>
        <w:t xml:space="preserve">were </w:t>
      </w:r>
      <w:proofErr w:type="gramStart"/>
      <w:r w:rsidR="00E8450E" w:rsidRPr="00EC48A0">
        <w:rPr>
          <w:rFonts w:ascii="Times New Roman" w:hAnsi="Times New Roman"/>
        </w:rPr>
        <w:t>effected</w:t>
      </w:r>
      <w:proofErr w:type="gramEnd"/>
      <w:r w:rsidR="00E8450E" w:rsidRPr="00EC48A0">
        <w:rPr>
          <w:rFonts w:ascii="Times New Roman" w:hAnsi="Times New Roman"/>
        </w:rPr>
        <w:t xml:space="preserve"> in circumstances which </w:t>
      </w:r>
      <w:r w:rsidR="00D00D46" w:rsidRPr="00EC48A0">
        <w:rPr>
          <w:rFonts w:ascii="Times New Roman" w:hAnsi="Times New Roman"/>
        </w:rPr>
        <w:t xml:space="preserve">made the enforcement of the respondents' rights </w:t>
      </w:r>
      <w:r w:rsidR="002D2408" w:rsidRPr="00EC48A0">
        <w:rPr>
          <w:rFonts w:ascii="Times New Roman" w:hAnsi="Times New Roman"/>
        </w:rPr>
        <w:t xml:space="preserve">against the appellant </w:t>
      </w:r>
      <w:r w:rsidR="00D00D46" w:rsidRPr="00EC48A0">
        <w:rPr>
          <w:rFonts w:ascii="Times New Roman" w:hAnsi="Times New Roman"/>
        </w:rPr>
        <w:t>unconscionable.</w:t>
      </w:r>
      <w:r w:rsidR="00874D7B" w:rsidRPr="00EC48A0">
        <w:rPr>
          <w:rFonts w:ascii="Times New Roman" w:hAnsi="Times New Roman"/>
        </w:rPr>
        <w:t xml:space="preserve"> The appellant's contentions should be accepted.</w:t>
      </w:r>
    </w:p>
    <w:p w14:paraId="33AD1AD3" w14:textId="55AE62D6" w:rsidR="00C8140B" w:rsidRPr="00EC48A0" w:rsidRDefault="00874D7B" w:rsidP="00EC48A0">
      <w:pPr>
        <w:pStyle w:val="FixListStyle"/>
        <w:spacing w:after="260" w:line="280" w:lineRule="exact"/>
        <w:ind w:right="0"/>
        <w:jc w:val="both"/>
        <w:rPr>
          <w:rFonts w:ascii="Times New Roman" w:hAnsi="Times New Roman"/>
        </w:rPr>
      </w:pPr>
      <w:r w:rsidRPr="00EC48A0">
        <w:rPr>
          <w:rFonts w:ascii="Times New Roman" w:hAnsi="Times New Roman"/>
        </w:rPr>
        <w:lastRenderedPageBreak/>
        <w:tab/>
        <w:t>T</w:t>
      </w:r>
      <w:r w:rsidR="00C8140B" w:rsidRPr="00EC48A0">
        <w:rPr>
          <w:rFonts w:ascii="Times New Roman" w:hAnsi="Times New Roman"/>
        </w:rPr>
        <w:t xml:space="preserve">he </w:t>
      </w:r>
      <w:r w:rsidR="003C77F9" w:rsidRPr="00EC48A0">
        <w:rPr>
          <w:rFonts w:ascii="Times New Roman" w:hAnsi="Times New Roman"/>
        </w:rPr>
        <w:t xml:space="preserve">appellant's </w:t>
      </w:r>
      <w:r w:rsidR="00554B37" w:rsidRPr="00EC48A0">
        <w:rPr>
          <w:rFonts w:ascii="Times New Roman" w:hAnsi="Times New Roman"/>
        </w:rPr>
        <w:t xml:space="preserve">lack of commercial understanding </w:t>
      </w:r>
      <w:r w:rsidR="002D2408" w:rsidRPr="00EC48A0">
        <w:rPr>
          <w:rFonts w:ascii="Times New Roman" w:hAnsi="Times New Roman"/>
        </w:rPr>
        <w:t xml:space="preserve">coupled with </w:t>
      </w:r>
      <w:r w:rsidR="00554B37" w:rsidRPr="00EC48A0">
        <w:rPr>
          <w:rFonts w:ascii="Times New Roman" w:hAnsi="Times New Roman"/>
        </w:rPr>
        <w:t xml:space="preserve">his </w:t>
      </w:r>
      <w:r w:rsidR="00C8140B" w:rsidRPr="00EC48A0">
        <w:rPr>
          <w:rFonts w:ascii="Times New Roman" w:hAnsi="Times New Roman"/>
        </w:rPr>
        <w:t>inability to repay the loan</w:t>
      </w:r>
      <w:r w:rsidR="0068270A" w:rsidRPr="00EC48A0">
        <w:rPr>
          <w:rFonts w:ascii="Times New Roman" w:hAnsi="Times New Roman"/>
        </w:rPr>
        <w:t>s</w:t>
      </w:r>
      <w:r w:rsidR="00C8140B" w:rsidRPr="00EC48A0">
        <w:rPr>
          <w:rFonts w:ascii="Times New Roman" w:hAnsi="Times New Roman"/>
        </w:rPr>
        <w:t xml:space="preserve"> from </w:t>
      </w:r>
      <w:r w:rsidR="0066502D" w:rsidRPr="00EC48A0">
        <w:rPr>
          <w:rFonts w:ascii="Times New Roman" w:hAnsi="Times New Roman"/>
        </w:rPr>
        <w:t xml:space="preserve">his </w:t>
      </w:r>
      <w:r w:rsidR="00C8140B" w:rsidRPr="00EC48A0">
        <w:rPr>
          <w:rFonts w:ascii="Times New Roman" w:hAnsi="Times New Roman"/>
        </w:rPr>
        <w:t>own income or other assets</w:t>
      </w:r>
      <w:r w:rsidR="0068270A" w:rsidRPr="00EC48A0">
        <w:rPr>
          <w:rFonts w:ascii="Times New Roman" w:hAnsi="Times New Roman"/>
        </w:rPr>
        <w:t xml:space="preserve"> </w:t>
      </w:r>
      <w:r w:rsidR="00E32F84" w:rsidRPr="00EC48A0">
        <w:rPr>
          <w:rFonts w:ascii="Times New Roman" w:hAnsi="Times New Roman"/>
        </w:rPr>
        <w:t>meant that</w:t>
      </w:r>
      <w:r w:rsidR="001B581D" w:rsidRPr="00EC48A0">
        <w:rPr>
          <w:rFonts w:ascii="Times New Roman" w:hAnsi="Times New Roman"/>
        </w:rPr>
        <w:t xml:space="preserve"> d</w:t>
      </w:r>
      <w:r w:rsidR="00C023A1" w:rsidRPr="00EC48A0">
        <w:rPr>
          <w:rFonts w:ascii="Times New Roman" w:hAnsi="Times New Roman"/>
        </w:rPr>
        <w:t>efault</w:t>
      </w:r>
      <w:r w:rsidR="005073D1" w:rsidRPr="00EC48A0">
        <w:rPr>
          <w:rFonts w:ascii="Times New Roman" w:hAnsi="Times New Roman"/>
        </w:rPr>
        <w:t xml:space="preserve"> in repayment,</w:t>
      </w:r>
      <w:r w:rsidR="00C023A1" w:rsidRPr="00EC48A0">
        <w:rPr>
          <w:rFonts w:ascii="Times New Roman" w:hAnsi="Times New Roman"/>
        </w:rPr>
        <w:t xml:space="preserve"> </w:t>
      </w:r>
      <w:r w:rsidR="00027DB9" w:rsidRPr="00EC48A0">
        <w:rPr>
          <w:rFonts w:ascii="Times New Roman" w:hAnsi="Times New Roman"/>
        </w:rPr>
        <w:t>and</w:t>
      </w:r>
      <w:r w:rsidR="001B581D" w:rsidRPr="00EC48A0">
        <w:rPr>
          <w:rFonts w:ascii="Times New Roman" w:hAnsi="Times New Roman"/>
        </w:rPr>
        <w:t xml:space="preserve"> the </w:t>
      </w:r>
      <w:r w:rsidR="00C63350" w:rsidRPr="00EC48A0">
        <w:rPr>
          <w:rFonts w:ascii="Times New Roman" w:hAnsi="Times New Roman"/>
        </w:rPr>
        <w:t xml:space="preserve">consequent </w:t>
      </w:r>
      <w:r w:rsidR="001B581D" w:rsidRPr="00EC48A0">
        <w:rPr>
          <w:rFonts w:ascii="Times New Roman" w:hAnsi="Times New Roman"/>
        </w:rPr>
        <w:t xml:space="preserve">loss by the appellant of his equity in his </w:t>
      </w:r>
      <w:r w:rsidR="00A4691A" w:rsidRPr="00EC48A0">
        <w:rPr>
          <w:rFonts w:ascii="Times New Roman" w:hAnsi="Times New Roman"/>
        </w:rPr>
        <w:t>properties</w:t>
      </w:r>
      <w:r w:rsidR="000222AA" w:rsidRPr="00EC48A0">
        <w:rPr>
          <w:rFonts w:ascii="Times New Roman" w:hAnsi="Times New Roman"/>
        </w:rPr>
        <w:t xml:space="preserve"> by way of in</w:t>
      </w:r>
      <w:r w:rsidR="00D60ABA" w:rsidRPr="00EC48A0">
        <w:rPr>
          <w:rFonts w:ascii="Times New Roman" w:hAnsi="Times New Roman"/>
        </w:rPr>
        <w:t>t</w:t>
      </w:r>
      <w:r w:rsidR="000222AA" w:rsidRPr="00EC48A0">
        <w:rPr>
          <w:rFonts w:ascii="Times New Roman" w:hAnsi="Times New Roman"/>
        </w:rPr>
        <w:t>erest payments to the respondents</w:t>
      </w:r>
      <w:r w:rsidR="00CF514D" w:rsidRPr="00EC48A0">
        <w:rPr>
          <w:rFonts w:ascii="Times New Roman" w:hAnsi="Times New Roman"/>
        </w:rPr>
        <w:t xml:space="preserve">, were </w:t>
      </w:r>
      <w:r w:rsidR="000222AA" w:rsidRPr="00EC48A0">
        <w:rPr>
          <w:rFonts w:ascii="Times New Roman" w:hAnsi="Times New Roman"/>
        </w:rPr>
        <w:t>inevitable as a matter of objective fact</w:t>
      </w:r>
      <w:r w:rsidR="00ED4A39" w:rsidRPr="00EC48A0">
        <w:rPr>
          <w:rFonts w:ascii="Times New Roman" w:hAnsi="Times New Roman"/>
        </w:rPr>
        <w:t>. T</w:t>
      </w:r>
      <w:r w:rsidR="00451491" w:rsidRPr="00EC48A0">
        <w:rPr>
          <w:rFonts w:ascii="Times New Roman" w:hAnsi="Times New Roman"/>
        </w:rPr>
        <w:t>he</w:t>
      </w:r>
      <w:r w:rsidR="00C2671C" w:rsidRPr="00EC48A0">
        <w:rPr>
          <w:rFonts w:ascii="Times New Roman" w:hAnsi="Times New Roman"/>
        </w:rPr>
        <w:t xml:space="preserve"> respondents</w:t>
      </w:r>
      <w:r w:rsidR="00F63EEA" w:rsidRPr="00EC48A0">
        <w:rPr>
          <w:rFonts w:ascii="Times New Roman" w:hAnsi="Times New Roman"/>
        </w:rPr>
        <w:t xml:space="preserve">, through their agent, sufficiently appreciated that reality that </w:t>
      </w:r>
      <w:r w:rsidR="009636B9" w:rsidRPr="00EC48A0">
        <w:rPr>
          <w:rFonts w:ascii="Times New Roman" w:hAnsi="Times New Roman"/>
        </w:rPr>
        <w:t xml:space="preserve">the exercise of </w:t>
      </w:r>
      <w:r w:rsidR="00F63EEA" w:rsidRPr="00EC48A0">
        <w:rPr>
          <w:rFonts w:ascii="Times New Roman" w:hAnsi="Times New Roman"/>
        </w:rPr>
        <w:t>their rights under</w:t>
      </w:r>
      <w:r w:rsidR="00FD18D8" w:rsidRPr="00EC48A0">
        <w:rPr>
          <w:rFonts w:ascii="Times New Roman" w:hAnsi="Times New Roman"/>
        </w:rPr>
        <w:t xml:space="preserve"> the </w:t>
      </w:r>
      <w:r w:rsidR="00AC5329" w:rsidRPr="00EC48A0">
        <w:rPr>
          <w:rFonts w:ascii="Times New Roman" w:hAnsi="Times New Roman"/>
        </w:rPr>
        <w:t xml:space="preserve">mortgages </w:t>
      </w:r>
      <w:r w:rsidR="005073D1" w:rsidRPr="00EC48A0">
        <w:rPr>
          <w:rFonts w:ascii="Times New Roman" w:hAnsi="Times New Roman"/>
        </w:rPr>
        <w:t xml:space="preserve">to </w:t>
      </w:r>
      <w:r w:rsidR="00022ECC" w:rsidRPr="00EC48A0">
        <w:rPr>
          <w:rFonts w:ascii="Times New Roman" w:hAnsi="Times New Roman"/>
        </w:rPr>
        <w:t xml:space="preserve">turn </w:t>
      </w:r>
      <w:r w:rsidR="00FD18D8" w:rsidRPr="00EC48A0">
        <w:rPr>
          <w:rFonts w:ascii="Times New Roman" w:hAnsi="Times New Roman"/>
        </w:rPr>
        <w:t xml:space="preserve">the appellant's disadvantages </w:t>
      </w:r>
      <w:r w:rsidR="00022ECC" w:rsidRPr="00EC48A0">
        <w:rPr>
          <w:rFonts w:ascii="Times New Roman" w:hAnsi="Times New Roman"/>
        </w:rPr>
        <w:t>to</w:t>
      </w:r>
      <w:r w:rsidR="00FD18D8" w:rsidRPr="00EC48A0">
        <w:rPr>
          <w:rFonts w:ascii="Times New Roman" w:hAnsi="Times New Roman"/>
        </w:rPr>
        <w:t xml:space="preserve"> their own profit</w:t>
      </w:r>
      <w:r w:rsidR="0094231F" w:rsidRPr="00EC48A0">
        <w:rPr>
          <w:rFonts w:ascii="Times New Roman" w:hAnsi="Times New Roman"/>
        </w:rPr>
        <w:t xml:space="preserve"> </w:t>
      </w:r>
      <w:r w:rsidR="00C02FB7" w:rsidRPr="00EC48A0">
        <w:rPr>
          <w:rFonts w:ascii="Times New Roman" w:hAnsi="Times New Roman"/>
        </w:rPr>
        <w:t xml:space="preserve">was </w:t>
      </w:r>
      <w:r w:rsidR="00F56E5A" w:rsidRPr="00EC48A0">
        <w:rPr>
          <w:rFonts w:ascii="Times New Roman" w:hAnsi="Times New Roman"/>
        </w:rPr>
        <w:t>unconscionable.</w:t>
      </w:r>
      <w:r w:rsidR="00703BF9" w:rsidRPr="00EC48A0">
        <w:rPr>
          <w:rFonts w:ascii="Times New Roman" w:hAnsi="Times New Roman"/>
        </w:rPr>
        <w:t xml:space="preserve"> </w:t>
      </w:r>
      <w:r w:rsidR="001E7248" w:rsidRPr="00EC48A0">
        <w:rPr>
          <w:rFonts w:ascii="Times New Roman" w:hAnsi="Times New Roman"/>
        </w:rPr>
        <w:t>Equitable intervention was justified in this case "not merely</w:t>
      </w:r>
      <w:r w:rsidR="001515EA" w:rsidRPr="00EC48A0">
        <w:rPr>
          <w:rFonts w:ascii="Times New Roman" w:hAnsi="Times New Roman"/>
        </w:rPr>
        <w:t xml:space="preserve"> to relieve the </w:t>
      </w:r>
      <w:r w:rsidR="00DD07BC" w:rsidRPr="00EC48A0">
        <w:rPr>
          <w:rFonts w:ascii="Times New Roman" w:hAnsi="Times New Roman"/>
        </w:rPr>
        <w:t>[</w:t>
      </w:r>
      <w:r w:rsidR="001515EA" w:rsidRPr="00EC48A0">
        <w:rPr>
          <w:rFonts w:ascii="Times New Roman" w:hAnsi="Times New Roman"/>
        </w:rPr>
        <w:t xml:space="preserve">appellant] </w:t>
      </w:r>
      <w:r w:rsidR="00463773" w:rsidRPr="00EC48A0">
        <w:rPr>
          <w:rFonts w:ascii="Times New Roman" w:hAnsi="Times New Roman"/>
        </w:rPr>
        <w:t xml:space="preserve">from </w:t>
      </w:r>
      <w:r w:rsidR="001515EA" w:rsidRPr="00EC48A0">
        <w:rPr>
          <w:rFonts w:ascii="Times New Roman" w:hAnsi="Times New Roman"/>
        </w:rPr>
        <w:t>the consequences of his own foolishness ... [but] to prevent his victimisation</w:t>
      </w:r>
      <w:r w:rsidR="002B58F9" w:rsidRPr="00EC48A0">
        <w:rPr>
          <w:rFonts w:ascii="Times New Roman" w:hAnsi="Times New Roman"/>
        </w:rPr>
        <w:t>"</w:t>
      </w:r>
      <w:r w:rsidR="00EA6DE9" w:rsidRPr="00EC48A0">
        <w:rPr>
          <w:rStyle w:val="FootnoteReference"/>
          <w:rFonts w:ascii="Times New Roman" w:hAnsi="Times New Roman"/>
          <w:sz w:val="24"/>
        </w:rPr>
        <w:footnoteReference w:id="6"/>
      </w:r>
      <w:r w:rsidR="00DD07BC" w:rsidRPr="00EC48A0">
        <w:rPr>
          <w:rFonts w:ascii="Times New Roman" w:hAnsi="Times New Roman"/>
        </w:rPr>
        <w:t>.</w:t>
      </w:r>
    </w:p>
    <w:p w14:paraId="041ABBDC" w14:textId="6DA68FA5" w:rsidR="002F115C" w:rsidRPr="00EC48A0" w:rsidRDefault="002F115C"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00145A" w:rsidRPr="00EC48A0">
        <w:rPr>
          <w:rFonts w:ascii="Times New Roman" w:hAnsi="Times New Roman"/>
        </w:rPr>
        <w:t>T</w:t>
      </w:r>
      <w:r w:rsidRPr="00EC48A0">
        <w:rPr>
          <w:rFonts w:ascii="Times New Roman" w:hAnsi="Times New Roman"/>
        </w:rPr>
        <w:t>he appeal to this Court should be allowed.</w:t>
      </w:r>
    </w:p>
    <w:p w14:paraId="0ED5111F" w14:textId="77777777" w:rsidR="00F93E02" w:rsidRPr="00EC48A0" w:rsidRDefault="00F93E02" w:rsidP="00EC48A0">
      <w:pPr>
        <w:pStyle w:val="HeadingL1"/>
        <w:spacing w:after="260" w:line="280" w:lineRule="exact"/>
        <w:ind w:right="0"/>
        <w:jc w:val="both"/>
        <w:rPr>
          <w:rFonts w:ascii="Times New Roman" w:hAnsi="Times New Roman"/>
        </w:rPr>
      </w:pPr>
      <w:r w:rsidRPr="00EC48A0">
        <w:rPr>
          <w:rFonts w:ascii="Times New Roman" w:hAnsi="Times New Roman"/>
        </w:rPr>
        <w:t>The facts</w:t>
      </w:r>
    </w:p>
    <w:p w14:paraId="1EFE7A33" w14:textId="677F0D8E"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The appellant owned two ho</w:t>
      </w:r>
      <w:r w:rsidR="0029435B" w:rsidRPr="00EC48A0">
        <w:rPr>
          <w:rFonts w:ascii="Times New Roman" w:hAnsi="Times New Roman"/>
        </w:rPr>
        <w:t>uses</w:t>
      </w:r>
      <w:r w:rsidRPr="00EC48A0">
        <w:rPr>
          <w:rFonts w:ascii="Times New Roman" w:hAnsi="Times New Roman"/>
        </w:rPr>
        <w:t xml:space="preserve"> in Narre Warren,</w:t>
      </w:r>
      <w:r w:rsidR="003E07DB" w:rsidRPr="00EC48A0">
        <w:rPr>
          <w:rFonts w:ascii="Times New Roman" w:hAnsi="Times New Roman"/>
        </w:rPr>
        <w:t xml:space="preserve"> both of</w:t>
      </w:r>
      <w:r w:rsidRPr="00EC48A0">
        <w:rPr>
          <w:rFonts w:ascii="Times New Roman" w:hAnsi="Times New Roman"/>
        </w:rPr>
        <w:t xml:space="preserve"> which were mortgaged to Commonwealth Bank. The mortgage repayments were </w:t>
      </w:r>
      <w:r w:rsidR="0029435B" w:rsidRPr="00EC48A0">
        <w:rPr>
          <w:rFonts w:ascii="Times New Roman" w:hAnsi="Times New Roman"/>
        </w:rPr>
        <w:t xml:space="preserve">between </w:t>
      </w:r>
      <w:r w:rsidRPr="00EC48A0">
        <w:rPr>
          <w:rFonts w:ascii="Times New Roman" w:hAnsi="Times New Roman"/>
        </w:rPr>
        <w:t>$260</w:t>
      </w:r>
      <w:r w:rsidR="0029435B" w:rsidRPr="00EC48A0">
        <w:rPr>
          <w:rFonts w:ascii="Times New Roman" w:hAnsi="Times New Roman"/>
        </w:rPr>
        <w:t xml:space="preserve"> and </w:t>
      </w:r>
      <w:r w:rsidRPr="00EC48A0">
        <w:rPr>
          <w:rFonts w:ascii="Times New Roman" w:hAnsi="Times New Roman"/>
        </w:rPr>
        <w:t>$280 per week.</w:t>
      </w:r>
      <w:r w:rsidR="0067576E" w:rsidRPr="00EC48A0">
        <w:rPr>
          <w:rFonts w:ascii="Times New Roman" w:hAnsi="Times New Roman"/>
        </w:rPr>
        <w:t xml:space="preserve"> T</w:t>
      </w:r>
      <w:r w:rsidRPr="00EC48A0">
        <w:rPr>
          <w:rFonts w:ascii="Times New Roman" w:hAnsi="Times New Roman"/>
        </w:rPr>
        <w:t>he appellant did not live in either h</w:t>
      </w:r>
      <w:r w:rsidR="0029435B" w:rsidRPr="00EC48A0">
        <w:rPr>
          <w:rFonts w:ascii="Times New Roman" w:hAnsi="Times New Roman"/>
        </w:rPr>
        <w:t>ouse</w:t>
      </w:r>
      <w:r w:rsidRPr="00EC48A0">
        <w:rPr>
          <w:rFonts w:ascii="Times New Roman" w:hAnsi="Times New Roman"/>
        </w:rPr>
        <w:t>;</w:t>
      </w:r>
      <w:r w:rsidR="004B07EA" w:rsidRPr="00EC48A0">
        <w:rPr>
          <w:rFonts w:ascii="Times New Roman" w:hAnsi="Times New Roman"/>
        </w:rPr>
        <w:t xml:space="preserve"> instead he lived at rental premises at </w:t>
      </w:r>
      <w:r w:rsidR="005F1D39" w:rsidRPr="00EC48A0">
        <w:rPr>
          <w:rFonts w:ascii="Times New Roman" w:hAnsi="Times New Roman"/>
        </w:rPr>
        <w:t>Bone</w:t>
      </w:r>
      <w:r w:rsidR="007C737A" w:rsidRPr="00EC48A0">
        <w:rPr>
          <w:rFonts w:ascii="Times New Roman" w:hAnsi="Times New Roman"/>
        </w:rPr>
        <w:t>o</w:t>
      </w:r>
      <w:r w:rsidR="005F1D39" w:rsidRPr="00EC48A0">
        <w:rPr>
          <w:rFonts w:ascii="Times New Roman" w:hAnsi="Times New Roman"/>
        </w:rPr>
        <w:t>, where he worked repairing boats for the owner of the property.</w:t>
      </w:r>
      <w:r w:rsidRPr="00EC48A0">
        <w:rPr>
          <w:rFonts w:ascii="Times New Roman" w:hAnsi="Times New Roman"/>
        </w:rPr>
        <w:t xml:space="preserve"> Due to a falling out with the owner, the appellant ceased work and </w:t>
      </w:r>
      <w:r w:rsidR="005F1D39" w:rsidRPr="00EC48A0">
        <w:rPr>
          <w:rFonts w:ascii="Times New Roman" w:hAnsi="Times New Roman"/>
        </w:rPr>
        <w:t xml:space="preserve">needed </w:t>
      </w:r>
      <w:r w:rsidRPr="00EC48A0">
        <w:rPr>
          <w:rFonts w:ascii="Times New Roman" w:hAnsi="Times New Roman"/>
        </w:rPr>
        <w:t xml:space="preserve">to </w:t>
      </w:r>
      <w:proofErr w:type="gramStart"/>
      <w:r w:rsidRPr="00EC48A0">
        <w:rPr>
          <w:rFonts w:ascii="Times New Roman" w:hAnsi="Times New Roman"/>
        </w:rPr>
        <w:t>move</w:t>
      </w:r>
      <w:r w:rsidR="0073654E" w:rsidRPr="00EC48A0">
        <w:rPr>
          <w:rFonts w:ascii="Times New Roman" w:hAnsi="Times New Roman"/>
        </w:rPr>
        <w:t xml:space="preserve"> house</w:t>
      </w:r>
      <w:proofErr w:type="gramEnd"/>
      <w:r w:rsidRPr="00EC48A0">
        <w:rPr>
          <w:rFonts w:ascii="Times New Roman" w:hAnsi="Times New Roman"/>
        </w:rPr>
        <w:t>. Rather than liv</w:t>
      </w:r>
      <w:r w:rsidR="005F1D39" w:rsidRPr="00EC48A0">
        <w:rPr>
          <w:rFonts w:ascii="Times New Roman" w:hAnsi="Times New Roman"/>
        </w:rPr>
        <w:t>e at</w:t>
      </w:r>
      <w:r w:rsidRPr="00EC48A0">
        <w:rPr>
          <w:rFonts w:ascii="Times New Roman" w:hAnsi="Times New Roman"/>
        </w:rPr>
        <w:t xml:space="preserve"> one of the Narre Warren properties, he</w:t>
      </w:r>
      <w:r w:rsidR="009566AB" w:rsidRPr="00EC48A0">
        <w:rPr>
          <w:rFonts w:ascii="Times New Roman" w:hAnsi="Times New Roman"/>
        </w:rPr>
        <w:t xml:space="preserve"> sought</w:t>
      </w:r>
      <w:r w:rsidRPr="00EC48A0">
        <w:rPr>
          <w:rFonts w:ascii="Times New Roman" w:hAnsi="Times New Roman"/>
        </w:rPr>
        <w:t xml:space="preserve"> to purchase another property on the Mornington Peninsula</w:t>
      </w:r>
      <w:r w:rsidRPr="00EC48A0">
        <w:rPr>
          <w:rStyle w:val="FootnoteReference"/>
          <w:rFonts w:ascii="Times New Roman" w:hAnsi="Times New Roman"/>
          <w:sz w:val="24"/>
        </w:rPr>
        <w:footnoteReference w:id="7"/>
      </w:r>
      <w:r w:rsidRPr="00EC48A0">
        <w:rPr>
          <w:rFonts w:ascii="Times New Roman" w:hAnsi="Times New Roman"/>
        </w:rPr>
        <w:t>.</w:t>
      </w:r>
    </w:p>
    <w:p w14:paraId="23A2C940" w14:textId="3A45709A"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E09CE" w:rsidRPr="00EC48A0">
        <w:rPr>
          <w:rFonts w:ascii="Times New Roman" w:hAnsi="Times New Roman"/>
        </w:rPr>
        <w:t>T</w:t>
      </w:r>
      <w:r w:rsidRPr="00EC48A0">
        <w:rPr>
          <w:rFonts w:ascii="Times New Roman" w:hAnsi="Times New Roman"/>
        </w:rPr>
        <w:t>he appellant was unemployed and had no regular income. He had not filed tax returns in several years and was in arrears on rates payments in respect of the two Narre Warren properties</w:t>
      </w:r>
      <w:r w:rsidRPr="00EC48A0">
        <w:rPr>
          <w:rStyle w:val="FootnoteReference"/>
          <w:rFonts w:ascii="Times New Roman" w:hAnsi="Times New Roman"/>
          <w:sz w:val="24"/>
        </w:rPr>
        <w:footnoteReference w:id="8"/>
      </w:r>
      <w:r w:rsidRPr="00EC48A0">
        <w:rPr>
          <w:rFonts w:ascii="Times New Roman" w:hAnsi="Times New Roman"/>
        </w:rPr>
        <w:t>.</w:t>
      </w:r>
      <w:r w:rsidR="0057107E" w:rsidRPr="00EC48A0">
        <w:rPr>
          <w:rFonts w:ascii="Times New Roman" w:hAnsi="Times New Roman"/>
        </w:rPr>
        <w:t xml:space="preserve"> After a home loan application to ANZ was rejected for lack of financial records, the appellant was introduced to </w:t>
      </w:r>
      <w:r w:rsidRPr="00EC48A0">
        <w:rPr>
          <w:rFonts w:ascii="Times New Roman" w:hAnsi="Times New Roman"/>
        </w:rPr>
        <w:t>Mr </w:t>
      </w:r>
      <w:proofErr w:type="spellStart"/>
      <w:r w:rsidRPr="00EC48A0">
        <w:rPr>
          <w:rFonts w:ascii="Times New Roman" w:hAnsi="Times New Roman"/>
        </w:rPr>
        <w:t>Zourkas</w:t>
      </w:r>
      <w:proofErr w:type="spellEnd"/>
      <w:r w:rsidRPr="00EC48A0">
        <w:rPr>
          <w:rStyle w:val="FootnoteReference"/>
          <w:rFonts w:ascii="Times New Roman" w:hAnsi="Times New Roman"/>
          <w:sz w:val="24"/>
        </w:rPr>
        <w:footnoteReference w:id="9"/>
      </w:r>
      <w:r w:rsidRPr="00EC48A0">
        <w:rPr>
          <w:rFonts w:ascii="Times New Roman" w:hAnsi="Times New Roman"/>
        </w:rPr>
        <w:t>.</w:t>
      </w:r>
    </w:p>
    <w:p w14:paraId="370F641B" w14:textId="336C2285"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Mr </w:t>
      </w:r>
      <w:proofErr w:type="spellStart"/>
      <w:r w:rsidRPr="00EC48A0">
        <w:rPr>
          <w:rFonts w:ascii="Times New Roman" w:hAnsi="Times New Roman"/>
        </w:rPr>
        <w:t>Zourkas</w:t>
      </w:r>
      <w:proofErr w:type="spellEnd"/>
      <w:r w:rsidRPr="00EC48A0">
        <w:rPr>
          <w:rFonts w:ascii="Times New Roman" w:hAnsi="Times New Roman"/>
        </w:rPr>
        <w:t xml:space="preserve"> describe</w:t>
      </w:r>
      <w:r w:rsidR="007305A3" w:rsidRPr="00EC48A0">
        <w:rPr>
          <w:rFonts w:ascii="Times New Roman" w:hAnsi="Times New Roman"/>
        </w:rPr>
        <w:t>d</w:t>
      </w:r>
      <w:r w:rsidRPr="00EC48A0">
        <w:rPr>
          <w:rFonts w:ascii="Times New Roman" w:hAnsi="Times New Roman"/>
        </w:rPr>
        <w:t xml:space="preserve"> himself as a "consultant", in the business </w:t>
      </w:r>
      <w:r w:rsidR="006F3CF4" w:rsidRPr="00EC48A0">
        <w:rPr>
          <w:rFonts w:ascii="Times New Roman" w:hAnsi="Times New Roman"/>
        </w:rPr>
        <w:t xml:space="preserve">of </w:t>
      </w:r>
      <w:r w:rsidRPr="00EC48A0">
        <w:rPr>
          <w:rFonts w:ascii="Times New Roman" w:hAnsi="Times New Roman"/>
        </w:rPr>
        <w:t xml:space="preserve">introducing potential borrowers to </w:t>
      </w:r>
      <w:proofErr w:type="spellStart"/>
      <w:r w:rsidRPr="00EC48A0">
        <w:rPr>
          <w:rFonts w:ascii="Times New Roman" w:hAnsi="Times New Roman"/>
        </w:rPr>
        <w:t>Ajzensztat</w:t>
      </w:r>
      <w:proofErr w:type="spellEnd"/>
      <w:r w:rsidRPr="00EC48A0">
        <w:rPr>
          <w:rFonts w:ascii="Times New Roman" w:hAnsi="Times New Roman"/>
        </w:rPr>
        <w:t xml:space="preserve"> </w:t>
      </w:r>
      <w:proofErr w:type="spellStart"/>
      <w:r w:rsidRPr="00EC48A0">
        <w:rPr>
          <w:rFonts w:ascii="Times New Roman" w:hAnsi="Times New Roman"/>
        </w:rPr>
        <w:t>Jeruzalski</w:t>
      </w:r>
      <w:proofErr w:type="spellEnd"/>
      <w:r w:rsidRPr="00EC48A0">
        <w:rPr>
          <w:rFonts w:ascii="Times New Roman" w:hAnsi="Times New Roman"/>
        </w:rPr>
        <w:t xml:space="preserve"> &amp; Co ("AJ</w:t>
      </w:r>
      <w:r w:rsidR="00056087" w:rsidRPr="00EC48A0">
        <w:rPr>
          <w:rFonts w:ascii="Times New Roman" w:hAnsi="Times New Roman"/>
        </w:rPr>
        <w:t> </w:t>
      </w:r>
      <w:r w:rsidRPr="00EC48A0">
        <w:rPr>
          <w:rFonts w:ascii="Times New Roman" w:hAnsi="Times New Roman"/>
        </w:rPr>
        <w:t>Lawyers"). AJ</w:t>
      </w:r>
      <w:r w:rsidR="00056087" w:rsidRPr="00EC48A0">
        <w:rPr>
          <w:rFonts w:ascii="Times New Roman" w:hAnsi="Times New Roman"/>
        </w:rPr>
        <w:t> </w:t>
      </w:r>
      <w:r w:rsidRPr="00EC48A0">
        <w:rPr>
          <w:rFonts w:ascii="Times New Roman" w:hAnsi="Times New Roman"/>
        </w:rPr>
        <w:t xml:space="preserve">Lawyers </w:t>
      </w:r>
      <w:r w:rsidR="004B6CDC" w:rsidRPr="00EC48A0">
        <w:rPr>
          <w:rFonts w:ascii="Times New Roman" w:hAnsi="Times New Roman"/>
        </w:rPr>
        <w:t xml:space="preserve">in turn </w:t>
      </w:r>
      <w:r w:rsidRPr="00EC48A0">
        <w:rPr>
          <w:rFonts w:ascii="Times New Roman" w:hAnsi="Times New Roman"/>
        </w:rPr>
        <w:t>provide</w:t>
      </w:r>
      <w:r w:rsidR="007305A3" w:rsidRPr="00EC48A0">
        <w:rPr>
          <w:rFonts w:ascii="Times New Roman" w:hAnsi="Times New Roman"/>
        </w:rPr>
        <w:t>d</w:t>
      </w:r>
      <w:r w:rsidRPr="00EC48A0">
        <w:rPr>
          <w:rFonts w:ascii="Times New Roman" w:hAnsi="Times New Roman"/>
        </w:rPr>
        <w:t xml:space="preserve"> a service to clients, such as the respondents, </w:t>
      </w:r>
      <w:r w:rsidR="008A6BFA" w:rsidRPr="00EC48A0">
        <w:rPr>
          <w:rFonts w:ascii="Times New Roman" w:hAnsi="Times New Roman"/>
        </w:rPr>
        <w:t xml:space="preserve">to facilitate the making of </w:t>
      </w:r>
      <w:r w:rsidRPr="00EC48A0">
        <w:rPr>
          <w:rFonts w:ascii="Times New Roman" w:hAnsi="Times New Roman"/>
        </w:rPr>
        <w:t xml:space="preserve">secured loans </w:t>
      </w:r>
      <w:r w:rsidR="004B6CDC" w:rsidRPr="00EC48A0">
        <w:rPr>
          <w:rFonts w:ascii="Times New Roman" w:hAnsi="Times New Roman"/>
        </w:rPr>
        <w:t>by those clients.</w:t>
      </w:r>
      <w:r w:rsidRPr="00EC48A0">
        <w:rPr>
          <w:rFonts w:ascii="Times New Roman" w:hAnsi="Times New Roman"/>
        </w:rPr>
        <w:t xml:space="preserve"> The primary judge </w:t>
      </w:r>
      <w:r w:rsidR="00E37B12" w:rsidRPr="00EC48A0">
        <w:rPr>
          <w:rFonts w:ascii="Times New Roman" w:hAnsi="Times New Roman"/>
        </w:rPr>
        <w:t xml:space="preserve">found </w:t>
      </w:r>
      <w:r w:rsidR="008A6BFA" w:rsidRPr="00EC48A0">
        <w:rPr>
          <w:rFonts w:ascii="Times New Roman" w:hAnsi="Times New Roman"/>
        </w:rPr>
        <w:lastRenderedPageBreak/>
        <w:t>that Mr </w:t>
      </w:r>
      <w:proofErr w:type="spellStart"/>
      <w:r w:rsidR="008A6BFA" w:rsidRPr="00EC48A0">
        <w:rPr>
          <w:rFonts w:ascii="Times New Roman" w:hAnsi="Times New Roman"/>
        </w:rPr>
        <w:t>Zourkas</w:t>
      </w:r>
      <w:proofErr w:type="spellEnd"/>
      <w:r w:rsidR="00E37B12" w:rsidRPr="00EC48A0">
        <w:rPr>
          <w:rFonts w:ascii="Times New Roman" w:hAnsi="Times New Roman"/>
        </w:rPr>
        <w:t xml:space="preserve"> played an "important and </w:t>
      </w:r>
      <w:r w:rsidR="00437F2A" w:rsidRPr="00EC48A0">
        <w:rPr>
          <w:rFonts w:ascii="Times New Roman" w:hAnsi="Times New Roman"/>
        </w:rPr>
        <w:t xml:space="preserve">essential" role in these transactions, in that his involvement ensured that AJ Lawyers never dealt directly with the </w:t>
      </w:r>
      <w:r w:rsidR="00CC27E1" w:rsidRPr="00EC48A0">
        <w:rPr>
          <w:rFonts w:ascii="Times New Roman" w:hAnsi="Times New Roman"/>
        </w:rPr>
        <w:t>borrower or guarantor, such as the appellant</w:t>
      </w:r>
      <w:r w:rsidRPr="00EC48A0">
        <w:rPr>
          <w:rStyle w:val="FootnoteReference"/>
          <w:rFonts w:ascii="Times New Roman" w:hAnsi="Times New Roman"/>
          <w:sz w:val="24"/>
        </w:rPr>
        <w:footnoteReference w:id="10"/>
      </w:r>
      <w:r w:rsidRPr="00EC48A0">
        <w:rPr>
          <w:rFonts w:ascii="Times New Roman" w:hAnsi="Times New Roman"/>
        </w:rPr>
        <w:t>.</w:t>
      </w:r>
    </w:p>
    <w:p w14:paraId="66E60CA7" w14:textId="4920082D" w:rsidR="0094231F"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The appellant and Mr </w:t>
      </w:r>
      <w:proofErr w:type="spellStart"/>
      <w:r w:rsidRPr="00EC48A0">
        <w:rPr>
          <w:rFonts w:ascii="Times New Roman" w:hAnsi="Times New Roman"/>
        </w:rPr>
        <w:t>Zourkas</w:t>
      </w:r>
      <w:proofErr w:type="spellEnd"/>
      <w:r w:rsidRPr="00EC48A0">
        <w:rPr>
          <w:rFonts w:ascii="Times New Roman" w:hAnsi="Times New Roman"/>
        </w:rPr>
        <w:t xml:space="preserve"> met on </w:t>
      </w:r>
      <w:proofErr w:type="gramStart"/>
      <w:r w:rsidRPr="00EC48A0">
        <w:rPr>
          <w:rFonts w:ascii="Times New Roman" w:hAnsi="Times New Roman"/>
        </w:rPr>
        <w:t>a number of</w:t>
      </w:r>
      <w:proofErr w:type="gramEnd"/>
      <w:r w:rsidRPr="00EC48A0">
        <w:rPr>
          <w:rFonts w:ascii="Times New Roman" w:hAnsi="Times New Roman"/>
        </w:rPr>
        <w:t xml:space="preserve"> occasions in 2015. At their first meeting, the appellant said that he "wanted to buy a little house" to live in, to which Mr </w:t>
      </w:r>
      <w:proofErr w:type="spellStart"/>
      <w:r w:rsidRPr="00EC48A0">
        <w:rPr>
          <w:rFonts w:ascii="Times New Roman" w:hAnsi="Times New Roman"/>
        </w:rPr>
        <w:t>Zourkas</w:t>
      </w:r>
      <w:proofErr w:type="spellEnd"/>
      <w:r w:rsidRPr="00EC48A0">
        <w:rPr>
          <w:rFonts w:ascii="Times New Roman" w:hAnsi="Times New Roman"/>
        </w:rPr>
        <w:t xml:space="preserve"> responded that "there would not be a problem going bigger and getting something with land"</w:t>
      </w:r>
      <w:r w:rsidRPr="00EC48A0">
        <w:rPr>
          <w:rStyle w:val="FootnoteReference"/>
          <w:rFonts w:ascii="Times New Roman" w:hAnsi="Times New Roman"/>
          <w:sz w:val="24"/>
        </w:rPr>
        <w:footnoteReference w:id="11"/>
      </w:r>
      <w:r w:rsidRPr="00EC48A0">
        <w:rPr>
          <w:rFonts w:ascii="Times New Roman" w:hAnsi="Times New Roman"/>
        </w:rPr>
        <w:t>. On the strength of that suggestion, the appellant found a five</w:t>
      </w:r>
      <w:r w:rsidR="007A2232" w:rsidRPr="00EC48A0">
        <w:rPr>
          <w:rFonts w:ascii="Times New Roman" w:hAnsi="Times New Roman"/>
        </w:rPr>
        <w:noBreakHyphen/>
      </w:r>
      <w:r w:rsidRPr="00EC48A0">
        <w:rPr>
          <w:rFonts w:ascii="Times New Roman" w:hAnsi="Times New Roman"/>
        </w:rPr>
        <w:t>acre property with two houses on it in Fingal</w:t>
      </w:r>
      <w:r w:rsidR="00614613" w:rsidRPr="00EC48A0">
        <w:rPr>
          <w:rFonts w:ascii="Times New Roman" w:hAnsi="Times New Roman"/>
        </w:rPr>
        <w:t>,</w:t>
      </w:r>
      <w:r w:rsidR="00737E71" w:rsidRPr="00EC48A0">
        <w:rPr>
          <w:rFonts w:ascii="Times New Roman" w:hAnsi="Times New Roman"/>
        </w:rPr>
        <w:t xml:space="preserve"> available for</w:t>
      </w:r>
      <w:r w:rsidRPr="00EC48A0">
        <w:rPr>
          <w:rFonts w:ascii="Times New Roman" w:hAnsi="Times New Roman"/>
        </w:rPr>
        <w:t xml:space="preserve"> $900,000. At another meeting, Mr </w:t>
      </w:r>
      <w:proofErr w:type="spellStart"/>
      <w:r w:rsidRPr="00EC48A0">
        <w:rPr>
          <w:rFonts w:ascii="Times New Roman" w:hAnsi="Times New Roman"/>
        </w:rPr>
        <w:t>Zourkas</w:t>
      </w:r>
      <w:proofErr w:type="spellEnd"/>
      <w:r w:rsidRPr="00EC48A0">
        <w:rPr>
          <w:rFonts w:ascii="Times New Roman" w:hAnsi="Times New Roman"/>
        </w:rPr>
        <w:t xml:space="preserve"> told the appellant that he could borrow a sum </w:t>
      </w:r>
      <w:proofErr w:type="gramStart"/>
      <w:r w:rsidRPr="00EC48A0">
        <w:rPr>
          <w:rFonts w:ascii="Times New Roman" w:hAnsi="Times New Roman"/>
        </w:rPr>
        <w:t>sufficient</w:t>
      </w:r>
      <w:proofErr w:type="gramEnd"/>
      <w:r w:rsidRPr="00EC48A0">
        <w:rPr>
          <w:rFonts w:ascii="Times New Roman" w:hAnsi="Times New Roman"/>
        </w:rPr>
        <w:t xml:space="preserve"> to pay out the existing mortgages over the Narre Warren properties, purchase the Fingal property, and have approximately $53,000 remaining to go towards the first three months' interest on the loan. Mr </w:t>
      </w:r>
      <w:proofErr w:type="spellStart"/>
      <w:r w:rsidRPr="00EC48A0">
        <w:rPr>
          <w:rFonts w:ascii="Times New Roman" w:hAnsi="Times New Roman"/>
        </w:rPr>
        <w:t>Zourkas</w:t>
      </w:r>
      <w:proofErr w:type="spellEnd"/>
      <w:r w:rsidRPr="00EC48A0">
        <w:rPr>
          <w:rFonts w:ascii="Times New Roman" w:hAnsi="Times New Roman"/>
        </w:rPr>
        <w:t xml:space="preserve"> advised </w:t>
      </w:r>
      <w:r w:rsidR="00F92C22" w:rsidRPr="00EC48A0">
        <w:rPr>
          <w:rFonts w:ascii="Times New Roman" w:hAnsi="Times New Roman"/>
        </w:rPr>
        <w:t xml:space="preserve">the appellant that he could then sell </w:t>
      </w:r>
      <w:r w:rsidRPr="00EC48A0">
        <w:rPr>
          <w:rFonts w:ascii="Times New Roman" w:hAnsi="Times New Roman"/>
        </w:rPr>
        <w:t xml:space="preserve">the Narre Warren properties, reducing the loan to approximately $400,000, which </w:t>
      </w:r>
      <w:r w:rsidR="006B19DE" w:rsidRPr="00EC48A0">
        <w:rPr>
          <w:rFonts w:ascii="Times New Roman" w:hAnsi="Times New Roman"/>
        </w:rPr>
        <w:t xml:space="preserve">the appellant could then refinance with a </w:t>
      </w:r>
      <w:r w:rsidRPr="00EC48A0">
        <w:rPr>
          <w:rFonts w:ascii="Times New Roman" w:hAnsi="Times New Roman"/>
        </w:rPr>
        <w:t>bank at a lower interest rate</w:t>
      </w:r>
      <w:r w:rsidRPr="00EC48A0">
        <w:rPr>
          <w:rStyle w:val="FootnoteReference"/>
          <w:rFonts w:ascii="Times New Roman" w:hAnsi="Times New Roman"/>
          <w:sz w:val="24"/>
        </w:rPr>
        <w:footnoteReference w:id="12"/>
      </w:r>
      <w:r w:rsidRPr="00EC48A0">
        <w:rPr>
          <w:rFonts w:ascii="Times New Roman" w:hAnsi="Times New Roman"/>
        </w:rPr>
        <w:t xml:space="preserve">. </w:t>
      </w:r>
    </w:p>
    <w:p w14:paraId="64804110" w14:textId="2CCE1413" w:rsidR="00F93E02" w:rsidRPr="00EC48A0" w:rsidRDefault="00F336E0"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93E02" w:rsidRPr="00EC48A0">
        <w:rPr>
          <w:rFonts w:ascii="Times New Roman" w:hAnsi="Times New Roman"/>
        </w:rPr>
        <w:t>The two Narre Warren properties and the Fingal propert</w:t>
      </w:r>
      <w:r w:rsidR="00F0235F" w:rsidRPr="00EC48A0">
        <w:rPr>
          <w:rFonts w:ascii="Times New Roman" w:hAnsi="Times New Roman"/>
        </w:rPr>
        <w:t>y</w:t>
      </w:r>
      <w:r w:rsidR="00F93E02" w:rsidRPr="00EC48A0">
        <w:rPr>
          <w:rFonts w:ascii="Times New Roman" w:hAnsi="Times New Roman"/>
        </w:rPr>
        <w:t xml:space="preserve"> </w:t>
      </w:r>
      <w:r w:rsidR="00E24F95" w:rsidRPr="00EC48A0">
        <w:rPr>
          <w:rFonts w:ascii="Times New Roman" w:hAnsi="Times New Roman"/>
        </w:rPr>
        <w:t xml:space="preserve">would </w:t>
      </w:r>
      <w:r w:rsidR="00F93E02" w:rsidRPr="00EC48A0">
        <w:rPr>
          <w:rFonts w:ascii="Times New Roman" w:hAnsi="Times New Roman"/>
        </w:rPr>
        <w:t xml:space="preserve">secure the </w:t>
      </w:r>
      <w:r w:rsidR="000E70FE" w:rsidRPr="00EC48A0">
        <w:rPr>
          <w:rFonts w:ascii="Times New Roman" w:hAnsi="Times New Roman"/>
        </w:rPr>
        <w:t>appellant's obligations as guarantor</w:t>
      </w:r>
      <w:r w:rsidR="00F93E02" w:rsidRPr="00EC48A0">
        <w:rPr>
          <w:rStyle w:val="FootnoteReference"/>
          <w:rFonts w:ascii="Times New Roman" w:hAnsi="Times New Roman"/>
          <w:sz w:val="24"/>
        </w:rPr>
        <w:footnoteReference w:id="13"/>
      </w:r>
      <w:r w:rsidR="00F93E02" w:rsidRPr="00EC48A0">
        <w:rPr>
          <w:rFonts w:ascii="Times New Roman" w:hAnsi="Times New Roman"/>
        </w:rPr>
        <w:t>.</w:t>
      </w:r>
      <w:r w:rsidR="00E24F95" w:rsidRPr="00EC48A0">
        <w:rPr>
          <w:rFonts w:ascii="Times New Roman" w:hAnsi="Times New Roman"/>
        </w:rPr>
        <w:t xml:space="preserve"> T</w:t>
      </w:r>
      <w:r w:rsidR="00D84C89" w:rsidRPr="00EC48A0">
        <w:rPr>
          <w:rFonts w:ascii="Times New Roman" w:hAnsi="Times New Roman"/>
        </w:rPr>
        <w:t xml:space="preserve">he existing debt to Commonwealth Bank secured on the </w:t>
      </w:r>
      <w:r w:rsidR="00E05303" w:rsidRPr="00EC48A0">
        <w:rPr>
          <w:rFonts w:ascii="Times New Roman" w:hAnsi="Times New Roman"/>
        </w:rPr>
        <w:t>Narre Warren propert</w:t>
      </w:r>
      <w:r w:rsidR="009020EA" w:rsidRPr="00EC48A0">
        <w:rPr>
          <w:rFonts w:ascii="Times New Roman" w:hAnsi="Times New Roman"/>
        </w:rPr>
        <w:t>ies</w:t>
      </w:r>
      <w:r w:rsidR="00E05303" w:rsidRPr="00EC48A0">
        <w:rPr>
          <w:rFonts w:ascii="Times New Roman" w:hAnsi="Times New Roman"/>
        </w:rPr>
        <w:t xml:space="preserve"> totalled </w:t>
      </w:r>
      <w:r w:rsidR="009020EA" w:rsidRPr="00EC48A0">
        <w:rPr>
          <w:rFonts w:ascii="Times New Roman" w:hAnsi="Times New Roman"/>
        </w:rPr>
        <w:t xml:space="preserve">approximately </w:t>
      </w:r>
      <w:r w:rsidR="00E05303" w:rsidRPr="00EC48A0">
        <w:rPr>
          <w:rFonts w:ascii="Times New Roman" w:hAnsi="Times New Roman"/>
        </w:rPr>
        <w:t>$240,000</w:t>
      </w:r>
      <w:r w:rsidR="00E05303" w:rsidRPr="00EC48A0">
        <w:rPr>
          <w:rStyle w:val="FootnoteReference"/>
          <w:rFonts w:ascii="Times New Roman" w:hAnsi="Times New Roman"/>
          <w:sz w:val="24"/>
        </w:rPr>
        <w:footnoteReference w:id="14"/>
      </w:r>
      <w:r w:rsidR="000B3B16" w:rsidRPr="00EC48A0">
        <w:rPr>
          <w:rFonts w:ascii="Times New Roman" w:hAnsi="Times New Roman"/>
        </w:rPr>
        <w:t>. On the basis that the two properties had a market value of $770,000, the appellant's equity was thus worth about $530,000</w:t>
      </w:r>
      <w:r w:rsidR="00D2467B" w:rsidRPr="00EC48A0">
        <w:rPr>
          <w:rStyle w:val="FootnoteReference"/>
          <w:rFonts w:ascii="Times New Roman" w:hAnsi="Times New Roman"/>
          <w:sz w:val="24"/>
        </w:rPr>
        <w:footnoteReference w:id="15"/>
      </w:r>
      <w:r w:rsidR="00D2467B" w:rsidRPr="00EC48A0">
        <w:rPr>
          <w:rFonts w:ascii="Times New Roman" w:hAnsi="Times New Roman"/>
        </w:rPr>
        <w:t>.</w:t>
      </w:r>
    </w:p>
    <w:p w14:paraId="274CFA2D" w14:textId="36B57050"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lastRenderedPageBreak/>
        <w:tab/>
        <w:t>On 30 June 2015, the appellant signed a contract to purchase the Fingal property for $900,000</w:t>
      </w:r>
      <w:r w:rsidR="00F336E0" w:rsidRPr="00EC48A0">
        <w:rPr>
          <w:rFonts w:ascii="Times New Roman" w:hAnsi="Times New Roman"/>
        </w:rPr>
        <w:t>. A deposit of $</w:t>
      </w:r>
      <w:r w:rsidRPr="00EC48A0">
        <w:rPr>
          <w:rFonts w:ascii="Times New Roman" w:hAnsi="Times New Roman"/>
        </w:rPr>
        <w:t xml:space="preserve">90,000 </w:t>
      </w:r>
      <w:r w:rsidR="007748CB" w:rsidRPr="00EC48A0">
        <w:rPr>
          <w:rFonts w:ascii="Times New Roman" w:hAnsi="Times New Roman"/>
        </w:rPr>
        <w:t xml:space="preserve">became </w:t>
      </w:r>
      <w:r w:rsidRPr="00EC48A0">
        <w:rPr>
          <w:rFonts w:ascii="Times New Roman" w:hAnsi="Times New Roman"/>
        </w:rPr>
        <w:t xml:space="preserve">payable </w:t>
      </w:r>
      <w:r w:rsidR="007F2434" w:rsidRPr="00EC48A0">
        <w:rPr>
          <w:rFonts w:ascii="Times New Roman" w:hAnsi="Times New Roman"/>
        </w:rPr>
        <w:t>on 7 July 2015.</w:t>
      </w:r>
      <w:r w:rsidR="007A3F9B" w:rsidRPr="00EC48A0">
        <w:rPr>
          <w:rFonts w:ascii="Times New Roman" w:hAnsi="Times New Roman"/>
        </w:rPr>
        <w:t xml:space="preserve"> </w:t>
      </w:r>
      <w:r w:rsidR="007748CB" w:rsidRPr="00EC48A0">
        <w:rPr>
          <w:rFonts w:ascii="Times New Roman" w:hAnsi="Times New Roman"/>
        </w:rPr>
        <w:t>T</w:t>
      </w:r>
      <w:r w:rsidR="007A3F9B" w:rsidRPr="00EC48A0">
        <w:rPr>
          <w:rFonts w:ascii="Times New Roman" w:hAnsi="Times New Roman"/>
        </w:rPr>
        <w:t>he</w:t>
      </w:r>
      <w:r w:rsidRPr="00EC48A0">
        <w:rPr>
          <w:rFonts w:ascii="Times New Roman" w:hAnsi="Times New Roman"/>
        </w:rPr>
        <w:t xml:space="preserve"> appellant only ever paid $100</w:t>
      </w:r>
      <w:r w:rsidR="007A3F9B" w:rsidRPr="00EC48A0">
        <w:rPr>
          <w:rFonts w:ascii="Times New Roman" w:hAnsi="Times New Roman"/>
        </w:rPr>
        <w:t xml:space="preserve"> </w:t>
      </w:r>
      <w:r w:rsidR="003514A3" w:rsidRPr="00EC48A0">
        <w:rPr>
          <w:rFonts w:ascii="Times New Roman" w:hAnsi="Times New Roman"/>
        </w:rPr>
        <w:t>towards it</w:t>
      </w:r>
      <w:r w:rsidRPr="00EC48A0">
        <w:rPr>
          <w:rStyle w:val="FootnoteReference"/>
          <w:rFonts w:ascii="Times New Roman" w:hAnsi="Times New Roman"/>
          <w:sz w:val="24"/>
        </w:rPr>
        <w:footnoteReference w:id="16"/>
      </w:r>
      <w:r w:rsidRPr="00EC48A0">
        <w:rPr>
          <w:rFonts w:ascii="Times New Roman" w:hAnsi="Times New Roman"/>
        </w:rPr>
        <w:t>.</w:t>
      </w:r>
    </w:p>
    <w:p w14:paraId="4F265163" w14:textId="2FE86A66"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In late July or early August 2015, Mr </w:t>
      </w:r>
      <w:proofErr w:type="spellStart"/>
      <w:r w:rsidRPr="00EC48A0">
        <w:rPr>
          <w:rFonts w:ascii="Times New Roman" w:hAnsi="Times New Roman"/>
        </w:rPr>
        <w:t>Zourkas</w:t>
      </w:r>
      <w:proofErr w:type="spellEnd"/>
      <w:r w:rsidRPr="00EC48A0">
        <w:rPr>
          <w:rFonts w:ascii="Times New Roman" w:hAnsi="Times New Roman"/>
        </w:rPr>
        <w:t xml:space="preserve"> </w:t>
      </w:r>
      <w:r w:rsidR="00267096" w:rsidRPr="00EC48A0">
        <w:rPr>
          <w:rFonts w:ascii="Times New Roman" w:hAnsi="Times New Roman"/>
        </w:rPr>
        <w:t xml:space="preserve">introduced the appellant to </w:t>
      </w:r>
      <w:r w:rsidRPr="00EC48A0">
        <w:rPr>
          <w:rFonts w:ascii="Times New Roman" w:hAnsi="Times New Roman"/>
        </w:rPr>
        <w:t>Mr </w:t>
      </w:r>
      <w:proofErr w:type="spellStart"/>
      <w:r w:rsidRPr="00EC48A0">
        <w:rPr>
          <w:rFonts w:ascii="Times New Roman" w:hAnsi="Times New Roman"/>
        </w:rPr>
        <w:t>Jeruzalski</w:t>
      </w:r>
      <w:proofErr w:type="spellEnd"/>
      <w:r w:rsidRPr="00EC48A0">
        <w:rPr>
          <w:rFonts w:ascii="Times New Roman" w:hAnsi="Times New Roman"/>
        </w:rPr>
        <w:t>, a partner at AJ</w:t>
      </w:r>
      <w:r w:rsidR="00882ABB" w:rsidRPr="00EC48A0">
        <w:rPr>
          <w:rFonts w:ascii="Times New Roman" w:hAnsi="Times New Roman"/>
        </w:rPr>
        <w:t> </w:t>
      </w:r>
      <w:r w:rsidRPr="00EC48A0">
        <w:rPr>
          <w:rFonts w:ascii="Times New Roman" w:hAnsi="Times New Roman"/>
        </w:rPr>
        <w:t>Lawyers</w:t>
      </w:r>
      <w:r w:rsidR="00E351EC" w:rsidRPr="00EC48A0">
        <w:rPr>
          <w:rFonts w:ascii="Times New Roman" w:hAnsi="Times New Roman"/>
        </w:rPr>
        <w:t xml:space="preserve">. </w:t>
      </w:r>
      <w:r w:rsidRPr="00EC48A0">
        <w:rPr>
          <w:rFonts w:ascii="Times New Roman" w:hAnsi="Times New Roman"/>
        </w:rPr>
        <w:t>On 10 August 2015, AJ</w:t>
      </w:r>
      <w:r w:rsidR="00614613" w:rsidRPr="00EC48A0">
        <w:rPr>
          <w:rFonts w:ascii="Times New Roman" w:hAnsi="Times New Roman"/>
        </w:rPr>
        <w:t> </w:t>
      </w:r>
      <w:r w:rsidRPr="00EC48A0">
        <w:rPr>
          <w:rFonts w:ascii="Times New Roman" w:hAnsi="Times New Roman"/>
        </w:rPr>
        <w:t xml:space="preserve">Lawyers arranged to have the two Narre Warren properties and the Fingal property valued </w:t>
      </w:r>
      <w:r w:rsidR="00882ABB" w:rsidRPr="00EC48A0">
        <w:rPr>
          <w:rFonts w:ascii="Times New Roman" w:hAnsi="Times New Roman"/>
        </w:rPr>
        <w:t xml:space="preserve">as security for the </w:t>
      </w:r>
      <w:r w:rsidRPr="00EC48A0">
        <w:rPr>
          <w:rFonts w:ascii="Times New Roman" w:hAnsi="Times New Roman"/>
        </w:rPr>
        <w:t>loa</w:t>
      </w:r>
      <w:r w:rsidR="006862D4" w:rsidRPr="00EC48A0">
        <w:rPr>
          <w:rFonts w:ascii="Times New Roman" w:hAnsi="Times New Roman"/>
        </w:rPr>
        <w:t>n. Together</w:t>
      </w:r>
      <w:r w:rsidRPr="00EC48A0">
        <w:rPr>
          <w:rFonts w:ascii="Times New Roman" w:hAnsi="Times New Roman"/>
        </w:rPr>
        <w:t xml:space="preserve">, </w:t>
      </w:r>
      <w:r w:rsidR="00B853EE" w:rsidRPr="00EC48A0">
        <w:rPr>
          <w:rFonts w:ascii="Times New Roman" w:hAnsi="Times New Roman"/>
        </w:rPr>
        <w:t xml:space="preserve">the properties </w:t>
      </w:r>
      <w:r w:rsidRPr="00EC48A0">
        <w:rPr>
          <w:rFonts w:ascii="Times New Roman" w:hAnsi="Times New Roman"/>
        </w:rPr>
        <w:t>were valued at $1,570,000</w:t>
      </w:r>
      <w:r w:rsidRPr="00EC48A0">
        <w:rPr>
          <w:rStyle w:val="FootnoteReference"/>
          <w:rFonts w:ascii="Times New Roman" w:hAnsi="Times New Roman"/>
          <w:sz w:val="24"/>
        </w:rPr>
        <w:footnoteReference w:id="17"/>
      </w:r>
      <w:r w:rsidRPr="00EC48A0">
        <w:rPr>
          <w:rFonts w:ascii="Times New Roman" w:hAnsi="Times New Roman"/>
        </w:rPr>
        <w:t xml:space="preserve">. </w:t>
      </w:r>
      <w:r w:rsidR="00B853EE" w:rsidRPr="00EC48A0">
        <w:rPr>
          <w:rFonts w:ascii="Times New Roman" w:hAnsi="Times New Roman"/>
        </w:rPr>
        <w:t>S</w:t>
      </w:r>
      <w:r w:rsidRPr="00EC48A0">
        <w:rPr>
          <w:rFonts w:ascii="Times New Roman" w:hAnsi="Times New Roman"/>
        </w:rPr>
        <w:t>atisfied that this would support a loan, AJ</w:t>
      </w:r>
      <w:r w:rsidR="00614613" w:rsidRPr="00EC48A0">
        <w:rPr>
          <w:rFonts w:ascii="Times New Roman" w:hAnsi="Times New Roman"/>
        </w:rPr>
        <w:t> </w:t>
      </w:r>
      <w:r w:rsidRPr="00EC48A0">
        <w:rPr>
          <w:rFonts w:ascii="Times New Roman" w:hAnsi="Times New Roman"/>
        </w:rPr>
        <w:t xml:space="preserve">Lawyers provided two letters of offer, on behalf of </w:t>
      </w:r>
      <w:r w:rsidR="009E401D" w:rsidRPr="00EC48A0">
        <w:rPr>
          <w:rFonts w:ascii="Times New Roman" w:hAnsi="Times New Roman"/>
        </w:rPr>
        <w:t xml:space="preserve">their clients, </w:t>
      </w:r>
      <w:r w:rsidR="004C31E0" w:rsidRPr="00EC48A0">
        <w:rPr>
          <w:rFonts w:ascii="Times New Roman" w:hAnsi="Times New Roman"/>
        </w:rPr>
        <w:t xml:space="preserve">including </w:t>
      </w:r>
      <w:r w:rsidRPr="00EC48A0">
        <w:rPr>
          <w:rFonts w:ascii="Times New Roman" w:hAnsi="Times New Roman"/>
        </w:rPr>
        <w:t xml:space="preserve">the respondents, to provide first and second mortgage finance to the </w:t>
      </w:r>
      <w:r w:rsidR="009552CA" w:rsidRPr="00EC48A0">
        <w:rPr>
          <w:rFonts w:ascii="Times New Roman" w:hAnsi="Times New Roman"/>
        </w:rPr>
        <w:t>company</w:t>
      </w:r>
      <w:r w:rsidRPr="00EC48A0">
        <w:rPr>
          <w:rFonts w:ascii="Times New Roman" w:hAnsi="Times New Roman"/>
        </w:rPr>
        <w:t>. Each offer was conditional on the appellant acting as guarantor and with the three properties as security</w:t>
      </w:r>
      <w:r w:rsidR="00DE19DA" w:rsidRPr="00EC48A0">
        <w:rPr>
          <w:rFonts w:ascii="Times New Roman" w:hAnsi="Times New Roman"/>
        </w:rPr>
        <w:t xml:space="preserve"> for his guarantee</w:t>
      </w:r>
      <w:r w:rsidRPr="00EC48A0">
        <w:rPr>
          <w:rStyle w:val="FootnoteReference"/>
          <w:rFonts w:ascii="Times New Roman" w:hAnsi="Times New Roman"/>
          <w:sz w:val="24"/>
        </w:rPr>
        <w:footnoteReference w:id="18"/>
      </w:r>
      <w:r w:rsidR="00DE19DA" w:rsidRPr="00EC48A0">
        <w:rPr>
          <w:rFonts w:ascii="Times New Roman" w:hAnsi="Times New Roman"/>
        </w:rPr>
        <w:t>.</w:t>
      </w:r>
    </w:p>
    <w:p w14:paraId="509F663E" w14:textId="4B7E43C4" w:rsidR="002778D9" w:rsidRPr="00EC48A0" w:rsidRDefault="002778D9" w:rsidP="00EC48A0">
      <w:pPr>
        <w:pStyle w:val="FixListStyle"/>
        <w:spacing w:after="260" w:line="280" w:lineRule="exact"/>
        <w:ind w:right="0"/>
        <w:jc w:val="both"/>
        <w:rPr>
          <w:rFonts w:ascii="Times New Roman" w:hAnsi="Times New Roman"/>
        </w:rPr>
      </w:pPr>
      <w:r w:rsidRPr="00EC48A0">
        <w:rPr>
          <w:rFonts w:ascii="Times New Roman" w:hAnsi="Times New Roman"/>
        </w:rPr>
        <w:tab/>
        <w:t>It is necessary to note here that AJ Lawyers, and Mr </w:t>
      </w:r>
      <w:proofErr w:type="spellStart"/>
      <w:r w:rsidRPr="00EC48A0">
        <w:rPr>
          <w:rFonts w:ascii="Times New Roman" w:hAnsi="Times New Roman"/>
        </w:rPr>
        <w:t>Jeruzalski</w:t>
      </w:r>
      <w:proofErr w:type="spellEnd"/>
      <w:r w:rsidRPr="00EC48A0">
        <w:rPr>
          <w:rFonts w:ascii="Times New Roman" w:hAnsi="Times New Roman"/>
        </w:rPr>
        <w:t xml:space="preserve"> in particular, acted for the respondents in these transactions</w:t>
      </w:r>
      <w:r w:rsidR="00B861A6" w:rsidRPr="00EC48A0">
        <w:rPr>
          <w:rStyle w:val="FootnoteReference"/>
          <w:rFonts w:ascii="Times New Roman" w:hAnsi="Times New Roman"/>
          <w:sz w:val="24"/>
        </w:rPr>
        <w:footnoteReference w:id="19"/>
      </w:r>
      <w:r w:rsidRPr="00EC48A0">
        <w:rPr>
          <w:rFonts w:ascii="Times New Roman" w:hAnsi="Times New Roman"/>
        </w:rPr>
        <w:t>. On that basis, Mr </w:t>
      </w:r>
      <w:proofErr w:type="spellStart"/>
      <w:r w:rsidRPr="00EC48A0">
        <w:rPr>
          <w:rFonts w:ascii="Times New Roman" w:hAnsi="Times New Roman"/>
        </w:rPr>
        <w:t>Jeruzalski's</w:t>
      </w:r>
      <w:proofErr w:type="spellEnd"/>
      <w:r w:rsidRPr="00EC48A0">
        <w:rPr>
          <w:rFonts w:ascii="Times New Roman" w:hAnsi="Times New Roman"/>
        </w:rPr>
        <w:t xml:space="preserve"> state of mind and his conduct can be sheeted home to the respondents.</w:t>
      </w:r>
    </w:p>
    <w:p w14:paraId="0C0D0FEB" w14:textId="497BC36A"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The first mortgage loan was for a sum of $1,059,000 at an interest rate of 10</w:t>
      </w:r>
      <w:r w:rsidR="00845ECA" w:rsidRPr="00EC48A0">
        <w:rPr>
          <w:rFonts w:ascii="Times New Roman" w:hAnsi="Times New Roman"/>
        </w:rPr>
        <w:t> </w:t>
      </w:r>
      <w:r w:rsidRPr="00EC48A0">
        <w:rPr>
          <w:rFonts w:ascii="Times New Roman" w:hAnsi="Times New Roman"/>
        </w:rPr>
        <w:t>per cent per annum and a default rate of 17</w:t>
      </w:r>
      <w:r w:rsidR="00845ECA" w:rsidRPr="00EC48A0">
        <w:rPr>
          <w:rFonts w:ascii="Times New Roman" w:hAnsi="Times New Roman"/>
        </w:rPr>
        <w:t> </w:t>
      </w:r>
      <w:r w:rsidRPr="00EC48A0">
        <w:rPr>
          <w:rFonts w:ascii="Times New Roman" w:hAnsi="Times New Roman"/>
        </w:rPr>
        <w:t>per cent per annum. The second mortgage loan was for a sum of $133,500 at an interest rate of 18</w:t>
      </w:r>
      <w:r w:rsidR="00845ECA" w:rsidRPr="00EC48A0">
        <w:rPr>
          <w:rFonts w:ascii="Times New Roman" w:hAnsi="Times New Roman"/>
        </w:rPr>
        <w:t> </w:t>
      </w:r>
      <w:r w:rsidRPr="00EC48A0">
        <w:rPr>
          <w:rFonts w:ascii="Times New Roman" w:hAnsi="Times New Roman"/>
        </w:rPr>
        <w:t>per cent per annum and a default rate of 25</w:t>
      </w:r>
      <w:r w:rsidR="00845ECA" w:rsidRPr="00EC48A0">
        <w:rPr>
          <w:rFonts w:ascii="Times New Roman" w:hAnsi="Times New Roman"/>
        </w:rPr>
        <w:t> </w:t>
      </w:r>
      <w:r w:rsidRPr="00EC48A0">
        <w:rPr>
          <w:rFonts w:ascii="Times New Roman" w:hAnsi="Times New Roman"/>
        </w:rPr>
        <w:t>per cent per annum. Two loans were necessary because</w:t>
      </w:r>
      <w:r w:rsidR="00BF4CD6" w:rsidRPr="00EC48A0">
        <w:rPr>
          <w:rFonts w:ascii="Times New Roman" w:hAnsi="Times New Roman"/>
        </w:rPr>
        <w:t>,</w:t>
      </w:r>
      <w:r w:rsidRPr="00EC48A0">
        <w:rPr>
          <w:rFonts w:ascii="Times New Roman" w:hAnsi="Times New Roman"/>
        </w:rPr>
        <w:t xml:space="preserve"> </w:t>
      </w:r>
      <w:r w:rsidR="009E401D" w:rsidRPr="00EC48A0">
        <w:rPr>
          <w:rFonts w:ascii="Times New Roman" w:hAnsi="Times New Roman"/>
        </w:rPr>
        <w:t xml:space="preserve">in line with AJ Lawyers' standard practice, </w:t>
      </w:r>
      <w:r w:rsidRPr="00EC48A0">
        <w:rPr>
          <w:rFonts w:ascii="Times New Roman" w:hAnsi="Times New Roman"/>
        </w:rPr>
        <w:t>the first was capped at two</w:t>
      </w:r>
      <w:r w:rsidR="007A2232" w:rsidRPr="00EC48A0">
        <w:rPr>
          <w:rFonts w:ascii="Times New Roman" w:hAnsi="Times New Roman"/>
        </w:rPr>
        <w:noBreakHyphen/>
      </w:r>
      <w:r w:rsidRPr="00EC48A0">
        <w:rPr>
          <w:rFonts w:ascii="Times New Roman" w:hAnsi="Times New Roman"/>
        </w:rPr>
        <w:t>thirds of the combined property valuations</w:t>
      </w:r>
      <w:r w:rsidR="00D87085" w:rsidRPr="00EC48A0">
        <w:rPr>
          <w:rFonts w:ascii="Times New Roman" w:hAnsi="Times New Roman"/>
        </w:rPr>
        <w:t xml:space="preserve"> to avoid</w:t>
      </w:r>
      <w:r w:rsidRPr="00EC48A0">
        <w:rPr>
          <w:rFonts w:ascii="Times New Roman" w:hAnsi="Times New Roman"/>
        </w:rPr>
        <w:t xml:space="preserve"> a higher loan</w:t>
      </w:r>
      <w:r w:rsidR="007A2232" w:rsidRPr="00EC48A0">
        <w:rPr>
          <w:rFonts w:ascii="Times New Roman" w:hAnsi="Times New Roman"/>
        </w:rPr>
        <w:noBreakHyphen/>
      </w:r>
      <w:r w:rsidRPr="00EC48A0">
        <w:rPr>
          <w:rFonts w:ascii="Times New Roman" w:hAnsi="Times New Roman"/>
        </w:rPr>
        <w:t>to</w:t>
      </w:r>
      <w:r w:rsidR="007A2232" w:rsidRPr="00EC48A0">
        <w:rPr>
          <w:rFonts w:ascii="Times New Roman" w:hAnsi="Times New Roman"/>
        </w:rPr>
        <w:noBreakHyphen/>
      </w:r>
      <w:r w:rsidRPr="00EC48A0">
        <w:rPr>
          <w:rFonts w:ascii="Times New Roman" w:hAnsi="Times New Roman"/>
        </w:rPr>
        <w:t xml:space="preserve">security ratio </w:t>
      </w:r>
      <w:r w:rsidR="0093022D" w:rsidRPr="00EC48A0">
        <w:rPr>
          <w:rFonts w:ascii="Times New Roman" w:hAnsi="Times New Roman"/>
        </w:rPr>
        <w:t xml:space="preserve">that might be </w:t>
      </w:r>
      <w:r w:rsidRPr="00EC48A0">
        <w:rPr>
          <w:rFonts w:ascii="Times New Roman" w:hAnsi="Times New Roman"/>
        </w:rPr>
        <w:t>considered too risky</w:t>
      </w:r>
      <w:r w:rsidR="00AA5419" w:rsidRPr="00EC48A0">
        <w:rPr>
          <w:rFonts w:ascii="Times New Roman" w:hAnsi="Times New Roman"/>
        </w:rPr>
        <w:t xml:space="preserve"> for the lender.</w:t>
      </w:r>
      <w:r w:rsidRPr="00EC48A0">
        <w:rPr>
          <w:rFonts w:ascii="Times New Roman" w:hAnsi="Times New Roman"/>
        </w:rPr>
        <w:t xml:space="preserve"> The second loan was required to pay Mr </w:t>
      </w:r>
      <w:proofErr w:type="spellStart"/>
      <w:r w:rsidRPr="00EC48A0">
        <w:rPr>
          <w:rFonts w:ascii="Times New Roman" w:hAnsi="Times New Roman"/>
        </w:rPr>
        <w:t>Zourkas</w:t>
      </w:r>
      <w:proofErr w:type="spellEnd"/>
      <w:r w:rsidRPr="00EC48A0">
        <w:rPr>
          <w:rFonts w:ascii="Times New Roman" w:hAnsi="Times New Roman"/>
        </w:rPr>
        <w:t>' consultancy fees, loan procuration fees, the</w:t>
      </w:r>
      <w:r w:rsidR="007F7A3E" w:rsidRPr="00EC48A0">
        <w:rPr>
          <w:rFonts w:ascii="Times New Roman" w:hAnsi="Times New Roman"/>
        </w:rPr>
        <w:t xml:space="preserve"> </w:t>
      </w:r>
      <w:r w:rsidR="009B30FA" w:rsidRPr="00EC48A0">
        <w:rPr>
          <w:rFonts w:ascii="Times New Roman" w:hAnsi="Times New Roman"/>
        </w:rPr>
        <w:t>respondents</w:t>
      </w:r>
      <w:r w:rsidR="00070B3B" w:rsidRPr="00EC48A0">
        <w:rPr>
          <w:rFonts w:ascii="Times New Roman" w:hAnsi="Times New Roman"/>
        </w:rPr>
        <w:t>'</w:t>
      </w:r>
      <w:r w:rsidR="009B30FA" w:rsidRPr="00EC48A0">
        <w:rPr>
          <w:rFonts w:ascii="Times New Roman" w:hAnsi="Times New Roman"/>
        </w:rPr>
        <w:t xml:space="preserve"> legal costs as mortgagees</w:t>
      </w:r>
      <w:r w:rsidRPr="00EC48A0">
        <w:rPr>
          <w:rFonts w:ascii="Times New Roman" w:hAnsi="Times New Roman"/>
        </w:rPr>
        <w:t xml:space="preserve">, </w:t>
      </w:r>
      <w:r w:rsidR="0093022D" w:rsidRPr="00EC48A0">
        <w:rPr>
          <w:rFonts w:ascii="Times New Roman" w:hAnsi="Times New Roman"/>
        </w:rPr>
        <w:t xml:space="preserve">and </w:t>
      </w:r>
      <w:r w:rsidRPr="00EC48A0">
        <w:rPr>
          <w:rFonts w:ascii="Times New Roman" w:hAnsi="Times New Roman"/>
        </w:rPr>
        <w:t>the costs and expenses of purchasing the Fingal property</w:t>
      </w:r>
      <w:r w:rsidR="0093022D" w:rsidRPr="00EC48A0">
        <w:rPr>
          <w:rFonts w:ascii="Times New Roman" w:hAnsi="Times New Roman"/>
        </w:rPr>
        <w:t xml:space="preserve">. It was also necessary to enable the appellant to pay the </w:t>
      </w:r>
      <w:r w:rsidRPr="00EC48A0">
        <w:rPr>
          <w:rFonts w:ascii="Times New Roman" w:hAnsi="Times New Roman"/>
        </w:rPr>
        <w:t>first month's interest, which was payable in advance</w:t>
      </w:r>
      <w:r w:rsidRPr="00EC48A0">
        <w:rPr>
          <w:rStyle w:val="FootnoteReference"/>
          <w:rFonts w:ascii="Times New Roman" w:hAnsi="Times New Roman"/>
          <w:sz w:val="24"/>
        </w:rPr>
        <w:footnoteReference w:id="20"/>
      </w:r>
      <w:r w:rsidRPr="00EC48A0">
        <w:rPr>
          <w:rFonts w:ascii="Times New Roman" w:hAnsi="Times New Roman"/>
        </w:rPr>
        <w:t>.</w:t>
      </w:r>
    </w:p>
    <w:p w14:paraId="6C2872C0" w14:textId="1F8F77DF"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9A7AA2" w:rsidRPr="00EC48A0">
        <w:rPr>
          <w:rFonts w:ascii="Times New Roman" w:hAnsi="Times New Roman"/>
        </w:rPr>
        <w:t>After another meeting with Mr </w:t>
      </w:r>
      <w:proofErr w:type="spellStart"/>
      <w:r w:rsidR="009A7AA2" w:rsidRPr="00EC48A0">
        <w:rPr>
          <w:rFonts w:ascii="Times New Roman" w:hAnsi="Times New Roman"/>
        </w:rPr>
        <w:t>Zourkas</w:t>
      </w:r>
      <w:proofErr w:type="spellEnd"/>
      <w:r w:rsidR="00EC0214" w:rsidRPr="00EC48A0">
        <w:rPr>
          <w:rFonts w:ascii="Times New Roman" w:hAnsi="Times New Roman"/>
        </w:rPr>
        <w:t xml:space="preserve">, the appellant accepted the offers on </w:t>
      </w:r>
      <w:r w:rsidR="006622CB" w:rsidRPr="00EC48A0">
        <w:rPr>
          <w:rFonts w:ascii="Times New Roman" w:hAnsi="Times New Roman"/>
        </w:rPr>
        <w:t xml:space="preserve">21 or </w:t>
      </w:r>
      <w:r w:rsidR="00EC0214" w:rsidRPr="00EC48A0">
        <w:rPr>
          <w:rFonts w:ascii="Times New Roman" w:hAnsi="Times New Roman"/>
        </w:rPr>
        <w:t>22 August 2015</w:t>
      </w:r>
      <w:r w:rsidRPr="00EC48A0">
        <w:rPr>
          <w:rFonts w:ascii="Times New Roman" w:hAnsi="Times New Roman"/>
        </w:rPr>
        <w:t xml:space="preserve">, signing on </w:t>
      </w:r>
      <w:r w:rsidR="00516A12" w:rsidRPr="00EC48A0">
        <w:rPr>
          <w:rFonts w:ascii="Times New Roman" w:hAnsi="Times New Roman"/>
        </w:rPr>
        <w:t xml:space="preserve">his own </w:t>
      </w:r>
      <w:r w:rsidRPr="00EC48A0">
        <w:rPr>
          <w:rFonts w:ascii="Times New Roman" w:hAnsi="Times New Roman"/>
        </w:rPr>
        <w:t xml:space="preserve">behalf </w:t>
      </w:r>
      <w:r w:rsidR="00516A12" w:rsidRPr="00EC48A0">
        <w:rPr>
          <w:rFonts w:ascii="Times New Roman" w:hAnsi="Times New Roman"/>
        </w:rPr>
        <w:t xml:space="preserve">and on behalf </w:t>
      </w:r>
      <w:r w:rsidRPr="00EC48A0">
        <w:rPr>
          <w:rFonts w:ascii="Times New Roman" w:hAnsi="Times New Roman"/>
        </w:rPr>
        <w:t>of the company. At the meeting, the appellant also signed a "mandate" at Mr </w:t>
      </w:r>
      <w:proofErr w:type="spellStart"/>
      <w:r w:rsidRPr="00EC48A0">
        <w:rPr>
          <w:rFonts w:ascii="Times New Roman" w:hAnsi="Times New Roman"/>
        </w:rPr>
        <w:t>Zourkas</w:t>
      </w:r>
      <w:proofErr w:type="spellEnd"/>
      <w:r w:rsidRPr="00EC48A0">
        <w:rPr>
          <w:rFonts w:ascii="Times New Roman" w:hAnsi="Times New Roman"/>
        </w:rPr>
        <w:t xml:space="preserve">' request, </w:t>
      </w:r>
      <w:r w:rsidRPr="00EC48A0">
        <w:rPr>
          <w:rFonts w:ascii="Times New Roman" w:hAnsi="Times New Roman"/>
        </w:rPr>
        <w:lastRenderedPageBreak/>
        <w:t>which contained an agreement to pay Mr </w:t>
      </w:r>
      <w:proofErr w:type="spellStart"/>
      <w:r w:rsidRPr="00EC48A0">
        <w:rPr>
          <w:rFonts w:ascii="Times New Roman" w:hAnsi="Times New Roman"/>
        </w:rPr>
        <w:t>Zourkas</w:t>
      </w:r>
      <w:proofErr w:type="spellEnd"/>
      <w:r w:rsidRPr="00EC48A0">
        <w:rPr>
          <w:rFonts w:ascii="Times New Roman" w:hAnsi="Times New Roman"/>
        </w:rPr>
        <w:t>' consultancy fee, even if the loans did not proceed</w:t>
      </w:r>
      <w:r w:rsidR="007F57DB" w:rsidRPr="00EC48A0">
        <w:rPr>
          <w:rFonts w:ascii="Times New Roman" w:hAnsi="Times New Roman"/>
        </w:rPr>
        <w:t xml:space="preserve">, which </w:t>
      </w:r>
      <w:r w:rsidRPr="00EC48A0">
        <w:rPr>
          <w:rFonts w:ascii="Times New Roman" w:hAnsi="Times New Roman"/>
        </w:rPr>
        <w:t xml:space="preserve">was secured by a charge over the Narre Warren properties. The primary judge found, and the Court of Appeal accepted, that the </w:t>
      </w:r>
      <w:r w:rsidR="007F57DB" w:rsidRPr="00EC48A0">
        <w:rPr>
          <w:rFonts w:ascii="Times New Roman" w:hAnsi="Times New Roman"/>
        </w:rPr>
        <w:t xml:space="preserve">amount of the </w:t>
      </w:r>
      <w:r w:rsidRPr="00EC48A0">
        <w:rPr>
          <w:rFonts w:ascii="Times New Roman" w:hAnsi="Times New Roman"/>
        </w:rPr>
        <w:t xml:space="preserve">fee </w:t>
      </w:r>
      <w:r w:rsidR="002D0DAB" w:rsidRPr="00EC48A0">
        <w:rPr>
          <w:rFonts w:ascii="Times New Roman" w:hAnsi="Times New Roman"/>
        </w:rPr>
        <w:t>(</w:t>
      </w:r>
      <w:r w:rsidRPr="00EC48A0">
        <w:rPr>
          <w:rFonts w:ascii="Times New Roman" w:hAnsi="Times New Roman"/>
        </w:rPr>
        <w:t>$27,000</w:t>
      </w:r>
      <w:r w:rsidR="002D0DAB" w:rsidRPr="00EC48A0">
        <w:rPr>
          <w:rFonts w:ascii="Times New Roman" w:hAnsi="Times New Roman"/>
        </w:rPr>
        <w:t>)</w:t>
      </w:r>
      <w:r w:rsidRPr="00EC48A0">
        <w:rPr>
          <w:rFonts w:ascii="Times New Roman" w:hAnsi="Times New Roman"/>
        </w:rPr>
        <w:t xml:space="preserve"> was not written on the document at the time the appellant signed</w:t>
      </w:r>
      <w:r w:rsidR="002D0DAB" w:rsidRPr="00EC48A0">
        <w:rPr>
          <w:rFonts w:ascii="Times New Roman" w:hAnsi="Times New Roman"/>
        </w:rPr>
        <w:t xml:space="preserve"> it</w:t>
      </w:r>
      <w:r w:rsidRPr="00EC48A0">
        <w:rPr>
          <w:rStyle w:val="FootnoteReference"/>
          <w:rFonts w:ascii="Times New Roman" w:hAnsi="Times New Roman"/>
          <w:sz w:val="24"/>
        </w:rPr>
        <w:footnoteReference w:id="21"/>
      </w:r>
      <w:r w:rsidRPr="00EC48A0">
        <w:rPr>
          <w:rFonts w:ascii="Times New Roman" w:hAnsi="Times New Roman"/>
        </w:rPr>
        <w:t>.</w:t>
      </w:r>
    </w:p>
    <w:p w14:paraId="66C71B6B" w14:textId="5DCC4B5F"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 xml:space="preserve">Around this time, the </w:t>
      </w:r>
      <w:r w:rsidR="004A34A5" w:rsidRPr="00EC48A0">
        <w:rPr>
          <w:rFonts w:ascii="Times New Roman" w:hAnsi="Times New Roman"/>
        </w:rPr>
        <w:t xml:space="preserve">price </w:t>
      </w:r>
      <w:r w:rsidRPr="00EC48A0">
        <w:rPr>
          <w:rFonts w:ascii="Times New Roman" w:hAnsi="Times New Roman"/>
        </w:rPr>
        <w:t>for the Fingal property was renegotiated to $815,</w:t>
      </w:r>
      <w:r w:rsidR="00C70AA9" w:rsidRPr="00EC48A0">
        <w:rPr>
          <w:rFonts w:ascii="Times New Roman" w:hAnsi="Times New Roman"/>
        </w:rPr>
        <w:t>1</w:t>
      </w:r>
      <w:r w:rsidRPr="00EC48A0">
        <w:rPr>
          <w:rFonts w:ascii="Times New Roman" w:hAnsi="Times New Roman"/>
        </w:rPr>
        <w:t>00</w:t>
      </w:r>
      <w:r w:rsidR="009048C7" w:rsidRPr="00EC48A0">
        <w:rPr>
          <w:rFonts w:ascii="Times New Roman" w:hAnsi="Times New Roman"/>
        </w:rPr>
        <w:t>.</w:t>
      </w:r>
      <w:r w:rsidRPr="00EC48A0">
        <w:rPr>
          <w:rFonts w:ascii="Times New Roman" w:hAnsi="Times New Roman"/>
        </w:rPr>
        <w:t xml:space="preserve"> The appellant </w:t>
      </w:r>
      <w:r w:rsidR="004A2E83" w:rsidRPr="00EC48A0">
        <w:rPr>
          <w:rFonts w:ascii="Times New Roman" w:hAnsi="Times New Roman"/>
        </w:rPr>
        <w:t>signed a contract of sale</w:t>
      </w:r>
      <w:r w:rsidR="00705A02" w:rsidRPr="00EC48A0">
        <w:rPr>
          <w:rFonts w:ascii="Times New Roman" w:hAnsi="Times New Roman"/>
        </w:rPr>
        <w:t xml:space="preserve"> </w:t>
      </w:r>
      <w:r w:rsidR="009048C7" w:rsidRPr="00EC48A0">
        <w:rPr>
          <w:rFonts w:ascii="Times New Roman" w:hAnsi="Times New Roman"/>
        </w:rPr>
        <w:t xml:space="preserve">for that price </w:t>
      </w:r>
      <w:r w:rsidR="00705A02" w:rsidRPr="00EC48A0">
        <w:rPr>
          <w:rFonts w:ascii="Times New Roman" w:hAnsi="Times New Roman"/>
        </w:rPr>
        <w:t xml:space="preserve">on </w:t>
      </w:r>
      <w:r w:rsidRPr="00EC48A0">
        <w:rPr>
          <w:rFonts w:ascii="Times New Roman" w:hAnsi="Times New Roman"/>
        </w:rPr>
        <w:t>27 August 2015</w:t>
      </w:r>
      <w:r w:rsidR="004A34A5" w:rsidRPr="00EC48A0">
        <w:rPr>
          <w:rFonts w:ascii="Times New Roman" w:hAnsi="Times New Roman"/>
        </w:rPr>
        <w:t>. Although the appellant had</w:t>
      </w:r>
      <w:r w:rsidRPr="00EC48A0">
        <w:rPr>
          <w:rFonts w:ascii="Times New Roman" w:hAnsi="Times New Roman"/>
        </w:rPr>
        <w:t xml:space="preserve"> no income, Mr </w:t>
      </w:r>
      <w:proofErr w:type="spellStart"/>
      <w:r w:rsidRPr="00EC48A0">
        <w:rPr>
          <w:rFonts w:ascii="Times New Roman" w:hAnsi="Times New Roman"/>
        </w:rPr>
        <w:t>Zourkas</w:t>
      </w:r>
      <w:proofErr w:type="spellEnd"/>
      <w:r w:rsidRPr="00EC48A0">
        <w:rPr>
          <w:rFonts w:ascii="Times New Roman" w:hAnsi="Times New Roman"/>
        </w:rPr>
        <w:t xml:space="preserve"> assured him that he would "not have a problem in obtaining finance"</w:t>
      </w:r>
      <w:r w:rsidRPr="00EC48A0">
        <w:rPr>
          <w:rStyle w:val="FootnoteReference"/>
          <w:rFonts w:ascii="Times New Roman" w:hAnsi="Times New Roman"/>
          <w:sz w:val="24"/>
        </w:rPr>
        <w:footnoteReference w:id="22"/>
      </w:r>
      <w:r w:rsidRPr="00EC48A0">
        <w:rPr>
          <w:rFonts w:ascii="Times New Roman" w:hAnsi="Times New Roman"/>
        </w:rPr>
        <w:t xml:space="preserve">. The deposit </w:t>
      </w:r>
      <w:r w:rsidR="00F36450" w:rsidRPr="00EC48A0">
        <w:rPr>
          <w:rFonts w:ascii="Times New Roman" w:hAnsi="Times New Roman"/>
        </w:rPr>
        <w:t xml:space="preserve">on the Fingal property </w:t>
      </w:r>
      <w:r w:rsidRPr="00EC48A0">
        <w:rPr>
          <w:rFonts w:ascii="Times New Roman" w:hAnsi="Times New Roman"/>
        </w:rPr>
        <w:t xml:space="preserve">was $81,510, of which $5,100 was </w:t>
      </w:r>
      <w:r w:rsidR="009A1705" w:rsidRPr="00EC48A0">
        <w:rPr>
          <w:rFonts w:ascii="Times New Roman" w:hAnsi="Times New Roman"/>
        </w:rPr>
        <w:t xml:space="preserve">described </w:t>
      </w:r>
      <w:r w:rsidRPr="00EC48A0">
        <w:rPr>
          <w:rFonts w:ascii="Times New Roman" w:hAnsi="Times New Roman"/>
        </w:rPr>
        <w:t xml:space="preserve">as having </w:t>
      </w:r>
      <w:r w:rsidR="00D5592B" w:rsidRPr="00EC48A0">
        <w:rPr>
          <w:rFonts w:ascii="Times New Roman" w:hAnsi="Times New Roman"/>
        </w:rPr>
        <w:t xml:space="preserve">already </w:t>
      </w:r>
      <w:r w:rsidRPr="00EC48A0">
        <w:rPr>
          <w:rFonts w:ascii="Times New Roman" w:hAnsi="Times New Roman"/>
        </w:rPr>
        <w:t>been paid.</w:t>
      </w:r>
      <w:r w:rsidR="00193CBE" w:rsidRPr="00EC48A0">
        <w:rPr>
          <w:rFonts w:ascii="Times New Roman" w:hAnsi="Times New Roman"/>
        </w:rPr>
        <w:t xml:space="preserve"> </w:t>
      </w:r>
      <w:r w:rsidR="00193875" w:rsidRPr="00EC48A0">
        <w:rPr>
          <w:rFonts w:ascii="Times New Roman" w:hAnsi="Times New Roman"/>
        </w:rPr>
        <w:t>However, the</w:t>
      </w:r>
      <w:r w:rsidRPr="00EC48A0">
        <w:rPr>
          <w:rFonts w:ascii="Times New Roman" w:hAnsi="Times New Roman"/>
        </w:rPr>
        <w:t xml:space="preserve"> appellant gave evidence at trial that he had "no idea" </w:t>
      </w:r>
      <w:r w:rsidR="00313F11" w:rsidRPr="00EC48A0">
        <w:rPr>
          <w:rFonts w:ascii="Times New Roman" w:hAnsi="Times New Roman"/>
        </w:rPr>
        <w:t>where the reference to a payment of $5,100 came from</w:t>
      </w:r>
      <w:r w:rsidRPr="00EC48A0">
        <w:rPr>
          <w:rStyle w:val="FootnoteReference"/>
          <w:rFonts w:ascii="Times New Roman" w:hAnsi="Times New Roman"/>
          <w:sz w:val="24"/>
        </w:rPr>
        <w:footnoteReference w:id="23"/>
      </w:r>
      <w:r w:rsidRPr="00EC48A0">
        <w:rPr>
          <w:rFonts w:ascii="Times New Roman" w:hAnsi="Times New Roman"/>
        </w:rPr>
        <w:t>.</w:t>
      </w:r>
    </w:p>
    <w:p w14:paraId="7F73D8D2" w14:textId="4B04FB1F"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12CAE" w:rsidRPr="00EC48A0">
        <w:rPr>
          <w:rFonts w:ascii="Times New Roman" w:hAnsi="Times New Roman"/>
        </w:rPr>
        <w:t>On 19 September 2015, Mr </w:t>
      </w:r>
      <w:proofErr w:type="spellStart"/>
      <w:r w:rsidR="00F12CAE" w:rsidRPr="00EC48A0">
        <w:rPr>
          <w:rFonts w:ascii="Times New Roman" w:hAnsi="Times New Roman"/>
        </w:rPr>
        <w:t>Zourkas</w:t>
      </w:r>
      <w:proofErr w:type="spellEnd"/>
      <w:r w:rsidR="00F12CAE" w:rsidRPr="00EC48A0">
        <w:rPr>
          <w:rFonts w:ascii="Times New Roman" w:hAnsi="Times New Roman"/>
        </w:rPr>
        <w:t xml:space="preserve"> presented the appellant with t</w:t>
      </w:r>
      <w:r w:rsidRPr="00EC48A0">
        <w:rPr>
          <w:rFonts w:ascii="Times New Roman" w:hAnsi="Times New Roman"/>
        </w:rPr>
        <w:t>wo letters, dated 16 and 17 September 2015</w:t>
      </w:r>
      <w:r w:rsidR="00154B90" w:rsidRPr="00EC48A0">
        <w:rPr>
          <w:rFonts w:ascii="Times New Roman" w:hAnsi="Times New Roman"/>
        </w:rPr>
        <w:t>, which indicated that AJ Lawyers had been "instructed to approve</w:t>
      </w:r>
      <w:r w:rsidR="00412011" w:rsidRPr="00EC48A0">
        <w:rPr>
          <w:rFonts w:ascii="Times New Roman" w:hAnsi="Times New Roman"/>
        </w:rPr>
        <w:t>"</w:t>
      </w:r>
      <w:r w:rsidR="00154B90" w:rsidRPr="00EC48A0">
        <w:rPr>
          <w:rFonts w:ascii="Times New Roman" w:hAnsi="Times New Roman"/>
        </w:rPr>
        <w:t xml:space="preserve"> the two loans. The letters enclosed </w:t>
      </w:r>
      <w:r w:rsidR="00070B3B" w:rsidRPr="00EC48A0">
        <w:rPr>
          <w:rFonts w:ascii="Times New Roman" w:hAnsi="Times New Roman"/>
        </w:rPr>
        <w:t xml:space="preserve">documents </w:t>
      </w:r>
      <w:r w:rsidR="00154B90" w:rsidRPr="00EC48A0">
        <w:rPr>
          <w:rFonts w:ascii="Times New Roman" w:hAnsi="Times New Roman"/>
        </w:rPr>
        <w:t>for execution by the app</w:t>
      </w:r>
      <w:r w:rsidR="00AE5A3B" w:rsidRPr="00EC48A0">
        <w:rPr>
          <w:rFonts w:ascii="Times New Roman" w:hAnsi="Times New Roman"/>
        </w:rPr>
        <w:t>ellant and the company. This documentation included a certificate of</w:t>
      </w:r>
      <w:r w:rsidRPr="00EC48A0">
        <w:rPr>
          <w:rFonts w:ascii="Times New Roman" w:hAnsi="Times New Roman"/>
        </w:rPr>
        <w:t xml:space="preserve"> "Independent Financial Advice"</w:t>
      </w:r>
      <w:r w:rsidR="007F25BC" w:rsidRPr="00EC48A0">
        <w:rPr>
          <w:rFonts w:ascii="Times New Roman" w:hAnsi="Times New Roman"/>
        </w:rPr>
        <w:t>,</w:t>
      </w:r>
      <w:r w:rsidRPr="00EC48A0">
        <w:rPr>
          <w:rFonts w:ascii="Times New Roman" w:hAnsi="Times New Roman"/>
        </w:rPr>
        <w:t xml:space="preserve"> </w:t>
      </w:r>
      <w:r w:rsidR="00645078" w:rsidRPr="00EC48A0">
        <w:rPr>
          <w:rFonts w:ascii="Times New Roman" w:hAnsi="Times New Roman"/>
        </w:rPr>
        <w:t>to be sig</w:t>
      </w:r>
      <w:r w:rsidR="006848B9" w:rsidRPr="00EC48A0">
        <w:rPr>
          <w:rFonts w:ascii="Times New Roman" w:hAnsi="Times New Roman"/>
        </w:rPr>
        <w:t>n</w:t>
      </w:r>
      <w:r w:rsidR="00645078" w:rsidRPr="00EC48A0">
        <w:rPr>
          <w:rFonts w:ascii="Times New Roman" w:hAnsi="Times New Roman"/>
        </w:rPr>
        <w:t>ed by an accountant,</w:t>
      </w:r>
      <w:r w:rsidR="006848B9" w:rsidRPr="00EC48A0">
        <w:rPr>
          <w:rFonts w:ascii="Times New Roman" w:hAnsi="Times New Roman"/>
        </w:rPr>
        <w:t xml:space="preserve"> </w:t>
      </w:r>
      <w:r w:rsidRPr="00EC48A0">
        <w:rPr>
          <w:rFonts w:ascii="Times New Roman" w:hAnsi="Times New Roman"/>
        </w:rPr>
        <w:t xml:space="preserve">and </w:t>
      </w:r>
      <w:r w:rsidR="006848B9" w:rsidRPr="00EC48A0">
        <w:rPr>
          <w:rFonts w:ascii="Times New Roman" w:hAnsi="Times New Roman"/>
        </w:rPr>
        <w:t>a</w:t>
      </w:r>
      <w:r w:rsidR="003A45F5" w:rsidRPr="00EC48A0">
        <w:rPr>
          <w:rFonts w:ascii="Times New Roman" w:hAnsi="Times New Roman"/>
        </w:rPr>
        <w:t xml:space="preserve"> certificate of </w:t>
      </w:r>
      <w:r w:rsidRPr="00EC48A0">
        <w:rPr>
          <w:rFonts w:ascii="Times New Roman" w:hAnsi="Times New Roman"/>
        </w:rPr>
        <w:t xml:space="preserve">"Independent Legal Advice", to be signed by </w:t>
      </w:r>
      <w:r w:rsidR="00904BE2" w:rsidRPr="00EC48A0">
        <w:rPr>
          <w:rFonts w:ascii="Times New Roman" w:hAnsi="Times New Roman"/>
        </w:rPr>
        <w:t>a lawyer</w:t>
      </w:r>
      <w:r w:rsidR="0059772C" w:rsidRPr="00EC48A0">
        <w:rPr>
          <w:rStyle w:val="FootnoteReference"/>
          <w:rFonts w:ascii="Times New Roman" w:hAnsi="Times New Roman"/>
          <w:sz w:val="24"/>
        </w:rPr>
        <w:footnoteReference w:id="24"/>
      </w:r>
      <w:r w:rsidRPr="00EC48A0">
        <w:rPr>
          <w:rFonts w:ascii="Times New Roman" w:hAnsi="Times New Roman"/>
        </w:rPr>
        <w:t xml:space="preserve">. </w:t>
      </w:r>
    </w:p>
    <w:p w14:paraId="1A51E149" w14:textId="4CB5ABD4"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402ACC" w:rsidRPr="00EC48A0">
        <w:rPr>
          <w:rFonts w:ascii="Times New Roman" w:hAnsi="Times New Roman"/>
        </w:rPr>
        <w:t>The</w:t>
      </w:r>
      <w:r w:rsidRPr="00EC48A0">
        <w:rPr>
          <w:rFonts w:ascii="Times New Roman" w:hAnsi="Times New Roman"/>
        </w:rPr>
        <w:t xml:space="preserve"> certificates </w:t>
      </w:r>
      <w:r w:rsidR="00E55B26" w:rsidRPr="00EC48A0">
        <w:rPr>
          <w:rFonts w:ascii="Times New Roman" w:hAnsi="Times New Roman"/>
        </w:rPr>
        <w:t>were of critical importance to the decision of the Court of Appeal</w:t>
      </w:r>
      <w:r w:rsidR="00BE607D" w:rsidRPr="00EC48A0">
        <w:rPr>
          <w:rFonts w:ascii="Times New Roman" w:hAnsi="Times New Roman"/>
        </w:rPr>
        <w:t xml:space="preserve"> and were a significant focus of argument in this Court</w:t>
      </w:r>
      <w:r w:rsidR="00DA2CDF" w:rsidRPr="00EC48A0">
        <w:rPr>
          <w:rFonts w:ascii="Times New Roman" w:hAnsi="Times New Roman"/>
        </w:rPr>
        <w:t>.</w:t>
      </w:r>
      <w:r w:rsidRPr="00EC48A0">
        <w:rPr>
          <w:rFonts w:ascii="Times New Roman" w:hAnsi="Times New Roman"/>
        </w:rPr>
        <w:t xml:space="preserve"> In the certificate of independent legal advice, under the heading "Acknowledgement by Guarantor"</w:t>
      </w:r>
      <w:r w:rsidR="00D95E92" w:rsidRPr="00EC48A0">
        <w:rPr>
          <w:rFonts w:ascii="Times New Roman" w:hAnsi="Times New Roman"/>
        </w:rPr>
        <w:t>,</w:t>
      </w:r>
      <w:r w:rsidRPr="00EC48A0">
        <w:rPr>
          <w:rFonts w:ascii="Times New Roman" w:hAnsi="Times New Roman"/>
        </w:rPr>
        <w:t xml:space="preserve"> was the following list of questions, which the appellant was to </w:t>
      </w:r>
      <w:r w:rsidR="003D3BC7" w:rsidRPr="00EC48A0">
        <w:rPr>
          <w:rFonts w:ascii="Times New Roman" w:hAnsi="Times New Roman"/>
        </w:rPr>
        <w:t>answer by writing</w:t>
      </w:r>
      <w:r w:rsidRPr="00EC48A0">
        <w:rPr>
          <w:rFonts w:ascii="Times New Roman" w:hAnsi="Times New Roman"/>
        </w:rPr>
        <w:t xml:space="preserve"> in the right</w:t>
      </w:r>
      <w:r w:rsidR="007A2232" w:rsidRPr="00EC48A0">
        <w:rPr>
          <w:rFonts w:ascii="Times New Roman" w:hAnsi="Times New Roman"/>
        </w:rPr>
        <w:noBreakHyphen/>
      </w:r>
      <w:r w:rsidRPr="00EC48A0">
        <w:rPr>
          <w:rFonts w:ascii="Times New Roman" w:hAnsi="Times New Roman"/>
        </w:rPr>
        <w:t>hand column</w:t>
      </w:r>
      <w:r w:rsidRPr="00EC48A0">
        <w:rPr>
          <w:rStyle w:val="FootnoteReference"/>
          <w:rFonts w:ascii="Times New Roman" w:hAnsi="Times New Roman"/>
          <w:sz w:val="24"/>
        </w:rPr>
        <w:footnoteReference w:id="25"/>
      </w:r>
      <w:r w:rsidRPr="00EC48A0">
        <w:rPr>
          <w:rFonts w:ascii="Times New Roman" w:hAnsi="Times New Roman"/>
        </w:rPr>
        <w:t>:</w:t>
      </w:r>
    </w:p>
    <w:p w14:paraId="523C5DB3" w14:textId="77777777" w:rsidR="00F93E02" w:rsidRPr="00EC48A0" w:rsidRDefault="00F93E02" w:rsidP="00EC48A0">
      <w:pPr>
        <w:pStyle w:val="LRHangingafterHC"/>
        <w:spacing w:before="0" w:after="260" w:line="280" w:lineRule="exact"/>
        <w:ind w:right="0"/>
        <w:jc w:val="both"/>
        <w:rPr>
          <w:rFonts w:ascii="Times New Roman" w:hAnsi="Times New Roman"/>
        </w:rPr>
      </w:pPr>
      <w:r w:rsidRPr="00EC48A0">
        <w:rPr>
          <w:rFonts w:ascii="Times New Roman" w:hAnsi="Times New Roman"/>
        </w:rPr>
        <w:t>"1.</w:t>
      </w:r>
      <w:r w:rsidRPr="00EC48A0">
        <w:rPr>
          <w:rFonts w:ascii="Times New Roman" w:hAnsi="Times New Roman"/>
        </w:rPr>
        <w:tab/>
        <w:t>Have you received copies of the documents described under the heading 'Security Documents' below?</w:t>
      </w:r>
    </w:p>
    <w:p w14:paraId="70E36DFF" w14:textId="77777777"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t>2.</w:t>
      </w:r>
      <w:r w:rsidRPr="00EC48A0">
        <w:rPr>
          <w:rFonts w:ascii="Times New Roman" w:hAnsi="Times New Roman"/>
        </w:rPr>
        <w:tab/>
        <w:t>Have you been given an opportunity to read those Security Documents?</w:t>
      </w:r>
    </w:p>
    <w:p w14:paraId="5FFFC4E6" w14:textId="77777777"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lastRenderedPageBreak/>
        <w:t>3.</w:t>
      </w:r>
      <w:r w:rsidRPr="00EC48A0">
        <w:rPr>
          <w:rFonts w:ascii="Times New Roman" w:hAnsi="Times New Roman"/>
        </w:rPr>
        <w:tab/>
        <w:t>Have the Security Documents been fully explained to you by your solicitor?</w:t>
      </w:r>
    </w:p>
    <w:p w14:paraId="72318FBB" w14:textId="77777777"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t>4.</w:t>
      </w:r>
      <w:r w:rsidRPr="00EC48A0">
        <w:rPr>
          <w:rFonts w:ascii="Times New Roman" w:hAnsi="Times New Roman"/>
        </w:rPr>
        <w:tab/>
        <w:t>Do you understand the effects of the Security Documents and the consequences to you if the Borrower defaults on its obligations to the Lender?</w:t>
      </w:r>
    </w:p>
    <w:p w14:paraId="7263F383" w14:textId="4FAE79F4" w:rsidR="00F93E02" w:rsidRPr="00EC48A0" w:rsidRDefault="00F93E02" w:rsidP="00EC48A0">
      <w:pPr>
        <w:pStyle w:val="LeftrightHanging"/>
        <w:spacing w:before="0" w:after="260" w:line="280" w:lineRule="exact"/>
        <w:ind w:right="0"/>
        <w:jc w:val="both"/>
        <w:rPr>
          <w:rFonts w:ascii="Times New Roman" w:hAnsi="Times New Roman"/>
        </w:rPr>
      </w:pPr>
      <w:proofErr w:type="gramStart"/>
      <w:r w:rsidRPr="00EC48A0">
        <w:rPr>
          <w:rFonts w:ascii="Times New Roman" w:hAnsi="Times New Roman"/>
        </w:rPr>
        <w:t>5.</w:t>
      </w:r>
      <w:r w:rsidRPr="00EC48A0">
        <w:rPr>
          <w:rFonts w:ascii="Times New Roman" w:hAnsi="Times New Roman"/>
        </w:rPr>
        <w:tab/>
        <w:t>In particular, do</w:t>
      </w:r>
      <w:proofErr w:type="gramEnd"/>
      <w:r w:rsidRPr="00EC48A0">
        <w:rPr>
          <w:rFonts w:ascii="Times New Roman" w:hAnsi="Times New Roman"/>
        </w:rPr>
        <w:t xml:space="preserve"> you understand that if the Borrower fails to pay all </w:t>
      </w:r>
      <w:r w:rsidR="00492ACB" w:rsidRPr="00EC48A0">
        <w:rPr>
          <w:rFonts w:ascii="Times New Roman" w:hAnsi="Times New Roman"/>
        </w:rPr>
        <w:t xml:space="preserve">of </w:t>
      </w:r>
      <w:r w:rsidRPr="00EC48A0">
        <w:rPr>
          <w:rFonts w:ascii="Times New Roman" w:hAnsi="Times New Roman"/>
        </w:rPr>
        <w:t xml:space="preserve">the moneys due to </w:t>
      </w:r>
      <w:r w:rsidR="006B1D11" w:rsidRPr="00EC48A0">
        <w:rPr>
          <w:rFonts w:ascii="Times New Roman" w:hAnsi="Times New Roman"/>
        </w:rPr>
        <w:t xml:space="preserve">the Borrower to </w:t>
      </w:r>
      <w:r w:rsidRPr="00EC48A0">
        <w:rPr>
          <w:rFonts w:ascii="Times New Roman" w:hAnsi="Times New Roman"/>
        </w:rPr>
        <w:t>the Lender then the Lender will be entitled to call on you as Guarantor to recover the moneys due to it?</w:t>
      </w:r>
    </w:p>
    <w:p w14:paraId="7F81EF15" w14:textId="77777777"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t>6.</w:t>
      </w:r>
      <w:r w:rsidRPr="00EC48A0">
        <w:rPr>
          <w:rFonts w:ascii="Times New Roman" w:hAnsi="Times New Roman"/>
        </w:rPr>
        <w:tab/>
        <w:t>Was this Acknowledgement read and signed by you BEFORE you signed the Security Documents?</w:t>
      </w:r>
    </w:p>
    <w:p w14:paraId="36BDFAA1" w14:textId="77777777"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t>...</w:t>
      </w:r>
    </w:p>
    <w:p w14:paraId="76522CB5" w14:textId="77777777" w:rsidR="00EC48A0" w:rsidRDefault="00F93E02" w:rsidP="00EC48A0">
      <w:pPr>
        <w:pStyle w:val="leftright"/>
        <w:spacing w:before="0" w:after="260" w:line="280" w:lineRule="exact"/>
        <w:ind w:right="0"/>
        <w:jc w:val="both"/>
        <w:rPr>
          <w:rFonts w:ascii="Times New Roman" w:hAnsi="Times New Roman"/>
        </w:rPr>
      </w:pPr>
      <w:r w:rsidRPr="00EC48A0">
        <w:rPr>
          <w:rFonts w:ascii="Times New Roman" w:hAnsi="Times New Roman"/>
        </w:rPr>
        <w:t>I confirm the accuracy of the answers to the above questions and acknowledge that the Lender will be relying on these answers in respect of giving the loan to THE VICTORIAN BOAT CLINIC PTY LTD."</w:t>
      </w:r>
    </w:p>
    <w:p w14:paraId="23466E85" w14:textId="6E776B09"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 xml:space="preserve">The certificate of </w:t>
      </w:r>
      <w:r w:rsidR="008318DC" w:rsidRPr="00EC48A0">
        <w:rPr>
          <w:rFonts w:ascii="Times New Roman" w:hAnsi="Times New Roman"/>
        </w:rPr>
        <w:t xml:space="preserve">independent </w:t>
      </w:r>
      <w:r w:rsidR="005F26D0" w:rsidRPr="00EC48A0">
        <w:rPr>
          <w:rFonts w:ascii="Times New Roman" w:hAnsi="Times New Roman"/>
        </w:rPr>
        <w:t>financial advice</w:t>
      </w:r>
      <w:r w:rsidR="008318DC" w:rsidRPr="00EC48A0">
        <w:rPr>
          <w:rFonts w:ascii="Times New Roman" w:hAnsi="Times New Roman"/>
        </w:rPr>
        <w:t xml:space="preserve">, meanwhile, </w:t>
      </w:r>
      <w:r w:rsidR="00480B92" w:rsidRPr="00EC48A0">
        <w:rPr>
          <w:rFonts w:ascii="Times New Roman" w:hAnsi="Times New Roman"/>
        </w:rPr>
        <w:t xml:space="preserve">required </w:t>
      </w:r>
      <w:r w:rsidR="008318DC" w:rsidRPr="00EC48A0">
        <w:rPr>
          <w:rFonts w:ascii="Times New Roman" w:hAnsi="Times New Roman"/>
        </w:rPr>
        <w:t>an independent accountant</w:t>
      </w:r>
      <w:r w:rsidR="00894B14" w:rsidRPr="00EC48A0">
        <w:rPr>
          <w:rFonts w:ascii="Times New Roman" w:hAnsi="Times New Roman"/>
        </w:rPr>
        <w:t xml:space="preserve"> </w:t>
      </w:r>
      <w:r w:rsidR="00976AE3" w:rsidRPr="00EC48A0">
        <w:rPr>
          <w:rFonts w:ascii="Times New Roman" w:hAnsi="Times New Roman"/>
        </w:rPr>
        <w:t>to sign and attest to the following</w:t>
      </w:r>
      <w:r w:rsidRPr="00EC48A0">
        <w:rPr>
          <w:rStyle w:val="FootnoteReference"/>
          <w:rFonts w:ascii="Times New Roman" w:hAnsi="Times New Roman"/>
          <w:sz w:val="24"/>
        </w:rPr>
        <w:footnoteReference w:id="26"/>
      </w:r>
      <w:r w:rsidRPr="00EC48A0">
        <w:rPr>
          <w:rFonts w:ascii="Times New Roman" w:hAnsi="Times New Roman"/>
        </w:rPr>
        <w:t>:</w:t>
      </w:r>
    </w:p>
    <w:p w14:paraId="600AA8A6" w14:textId="673160A0" w:rsidR="00F93E02" w:rsidRPr="00EC48A0" w:rsidRDefault="00F93E02" w:rsidP="00EC48A0">
      <w:pPr>
        <w:pStyle w:val="LRHangingafterHC"/>
        <w:spacing w:before="0" w:after="260" w:line="280" w:lineRule="exact"/>
        <w:ind w:right="0"/>
        <w:jc w:val="both"/>
        <w:rPr>
          <w:rFonts w:ascii="Times New Roman" w:hAnsi="Times New Roman"/>
        </w:rPr>
      </w:pPr>
      <w:r w:rsidRPr="00EC48A0">
        <w:rPr>
          <w:rFonts w:ascii="Times New Roman" w:hAnsi="Times New Roman"/>
        </w:rPr>
        <w:t>"1</w:t>
      </w:r>
      <w:r w:rsidRPr="00EC48A0">
        <w:rPr>
          <w:rFonts w:ascii="Times New Roman" w:hAnsi="Times New Roman"/>
        </w:rPr>
        <w:tab/>
        <w:t xml:space="preserve">I have been instructed by THE VICTORIAN BOAT CLINIC PTY LTD ACN 601 712 172 to explain the financial risks being </w:t>
      </w:r>
      <w:proofErr w:type="gramStart"/>
      <w:r w:rsidRPr="00EC48A0">
        <w:rPr>
          <w:rFonts w:ascii="Times New Roman" w:hAnsi="Times New Roman"/>
        </w:rPr>
        <w:t>assumed:</w:t>
      </w:r>
      <w:r w:rsidR="00A16C7E" w:rsidRPr="00EC48A0">
        <w:rPr>
          <w:rFonts w:ascii="Times New Roman" w:hAnsi="Times New Roman"/>
        </w:rPr>
        <w:t>-</w:t>
      </w:r>
      <w:proofErr w:type="gramEnd"/>
    </w:p>
    <w:p w14:paraId="13F4DB53" w14:textId="0B2F3DE3" w:rsidR="00F93E02" w:rsidRPr="00EC48A0" w:rsidRDefault="00F93E02" w:rsidP="00EC48A0">
      <w:pPr>
        <w:pStyle w:val="LRHangingMore"/>
        <w:spacing w:before="0" w:after="260" w:line="280" w:lineRule="exact"/>
        <w:ind w:right="0"/>
        <w:jc w:val="both"/>
        <w:rPr>
          <w:rFonts w:ascii="Times New Roman" w:hAnsi="Times New Roman"/>
        </w:rPr>
      </w:pPr>
      <w:r w:rsidRPr="00EC48A0">
        <w:rPr>
          <w:rFonts w:ascii="Times New Roman" w:hAnsi="Times New Roman"/>
        </w:rPr>
        <w:t>(a)</w:t>
      </w:r>
      <w:r w:rsidRPr="00EC48A0">
        <w:rPr>
          <w:rFonts w:ascii="Times New Roman" w:hAnsi="Times New Roman"/>
        </w:rPr>
        <w:tab/>
        <w:t>by executing the security documents in respect of the financial accommodation to be provided by the Lender which security documents are referred to in Item 1 of the Schedule below ('the Security');</w:t>
      </w:r>
    </w:p>
    <w:p w14:paraId="338EABA9" w14:textId="77777777" w:rsidR="00F93E02" w:rsidRPr="00EC48A0" w:rsidRDefault="00F93E02" w:rsidP="00EC48A0">
      <w:pPr>
        <w:pStyle w:val="LRHangingMore"/>
        <w:spacing w:before="0" w:after="260" w:line="280" w:lineRule="exact"/>
        <w:ind w:right="0"/>
        <w:jc w:val="both"/>
        <w:rPr>
          <w:rFonts w:ascii="Times New Roman" w:hAnsi="Times New Roman"/>
        </w:rPr>
      </w:pPr>
      <w:r w:rsidRPr="00EC48A0">
        <w:rPr>
          <w:rFonts w:ascii="Times New Roman" w:hAnsi="Times New Roman"/>
        </w:rPr>
        <w:t>(b)</w:t>
      </w:r>
      <w:r w:rsidRPr="00EC48A0">
        <w:rPr>
          <w:rFonts w:ascii="Times New Roman" w:hAnsi="Times New Roman"/>
        </w:rPr>
        <w:tab/>
        <w:t>by the application of the said financial accommodation for the purposes referred to in Item 2 of the Schedule below.</w:t>
      </w:r>
    </w:p>
    <w:p w14:paraId="035C4831" w14:textId="77777777"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t>2</w:t>
      </w:r>
      <w:r w:rsidRPr="00EC48A0">
        <w:rPr>
          <w:rFonts w:ascii="Times New Roman" w:hAnsi="Times New Roman"/>
        </w:rPr>
        <w:tab/>
        <w:t>Before the Security was executed by the Borrower, I explained the financial risk being assumed by executing the Security and by the application of the aforesaid financial accommodation in the manner stated in Item 2 of the Schedule.</w:t>
      </w:r>
    </w:p>
    <w:p w14:paraId="064A3275" w14:textId="2E028202"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lastRenderedPageBreak/>
        <w:t>3</w:t>
      </w:r>
      <w:r w:rsidRPr="00EC48A0">
        <w:rPr>
          <w:rFonts w:ascii="Times New Roman" w:hAnsi="Times New Roman"/>
        </w:rPr>
        <w:tab/>
        <w:t>To the best of my knowledge and belief and in my opinion the Borrower appears to understand the nature and extent of the financial risk which the Security places and the nature and extent of the financial risk which will be assumed by the application of the aforesaid financial accommodation in the manner stated in Item</w:t>
      </w:r>
      <w:r w:rsidR="00A53EBA" w:rsidRPr="00EC48A0">
        <w:rPr>
          <w:rFonts w:ascii="Times New Roman" w:hAnsi="Times New Roman"/>
        </w:rPr>
        <w:t xml:space="preserve"> [2]</w:t>
      </w:r>
      <w:r w:rsidRPr="00EC48A0">
        <w:rPr>
          <w:rFonts w:ascii="Times New Roman" w:hAnsi="Times New Roman"/>
        </w:rPr>
        <w:t xml:space="preserve"> of the Schedule.</w:t>
      </w:r>
    </w:p>
    <w:p w14:paraId="677E5DE3" w14:textId="77777777" w:rsidR="00F93E02" w:rsidRP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t>4</w:t>
      </w:r>
      <w:r w:rsidRPr="00EC48A0">
        <w:rPr>
          <w:rFonts w:ascii="Times New Roman" w:hAnsi="Times New Roman"/>
        </w:rPr>
        <w:tab/>
        <w:t>I have been engaged by the Borrower in advising and have given this Certificate entirely independently of any other Borrower or Guarantor.</w:t>
      </w:r>
    </w:p>
    <w:p w14:paraId="665040DD" w14:textId="77777777" w:rsidR="00EC48A0" w:rsidRDefault="00F93E02" w:rsidP="00EC48A0">
      <w:pPr>
        <w:pStyle w:val="LeftrightHanging"/>
        <w:spacing w:before="0" w:after="260" w:line="280" w:lineRule="exact"/>
        <w:ind w:right="0"/>
        <w:jc w:val="both"/>
        <w:rPr>
          <w:rFonts w:ascii="Times New Roman" w:hAnsi="Times New Roman"/>
        </w:rPr>
      </w:pPr>
      <w:r w:rsidRPr="00EC48A0">
        <w:rPr>
          <w:rFonts w:ascii="Times New Roman" w:hAnsi="Times New Roman"/>
        </w:rPr>
        <w:t>5</w:t>
      </w:r>
      <w:r w:rsidRPr="00EC48A0">
        <w:rPr>
          <w:rFonts w:ascii="Times New Roman" w:hAnsi="Times New Roman"/>
        </w:rPr>
        <w:tab/>
        <w:t>The Loan herein i</w:t>
      </w:r>
      <w:r w:rsidR="00CF41F5" w:rsidRPr="00EC48A0">
        <w:rPr>
          <w:rFonts w:ascii="Times New Roman" w:hAnsi="Times New Roman"/>
        </w:rPr>
        <w:t>s</w:t>
      </w:r>
      <w:r w:rsidRPr="00EC48A0">
        <w:rPr>
          <w:rFonts w:ascii="Times New Roman" w:hAnsi="Times New Roman"/>
        </w:rPr>
        <w:t xml:space="preserve"> required for business purposes."</w:t>
      </w:r>
    </w:p>
    <w:p w14:paraId="09007BAF" w14:textId="0E080FBB"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The primary judge found</w:t>
      </w:r>
      <w:r w:rsidR="00CD6746" w:rsidRPr="00EC48A0">
        <w:rPr>
          <w:rFonts w:ascii="Times New Roman" w:hAnsi="Times New Roman"/>
        </w:rPr>
        <w:t xml:space="preserve"> that </w:t>
      </w:r>
      <w:r w:rsidRPr="00EC48A0">
        <w:rPr>
          <w:rFonts w:ascii="Times New Roman" w:hAnsi="Times New Roman"/>
        </w:rPr>
        <w:t>Mr </w:t>
      </w:r>
      <w:proofErr w:type="spellStart"/>
      <w:r w:rsidRPr="00EC48A0">
        <w:rPr>
          <w:rFonts w:ascii="Times New Roman" w:hAnsi="Times New Roman"/>
        </w:rPr>
        <w:t>Zourkas</w:t>
      </w:r>
      <w:proofErr w:type="spellEnd"/>
      <w:r w:rsidRPr="00EC48A0">
        <w:rPr>
          <w:rFonts w:ascii="Times New Roman" w:hAnsi="Times New Roman"/>
        </w:rPr>
        <w:t xml:space="preserve"> </w:t>
      </w:r>
      <w:r w:rsidR="00CD6746" w:rsidRPr="00EC48A0">
        <w:rPr>
          <w:rFonts w:ascii="Times New Roman" w:hAnsi="Times New Roman"/>
        </w:rPr>
        <w:t xml:space="preserve">had presented the certificates to the appellant by handing over two </w:t>
      </w:r>
      <w:r w:rsidRPr="00EC48A0">
        <w:rPr>
          <w:rFonts w:ascii="Times New Roman" w:hAnsi="Times New Roman"/>
        </w:rPr>
        <w:t>sealed envelopes</w:t>
      </w:r>
      <w:r w:rsidR="00931334" w:rsidRPr="00EC48A0">
        <w:rPr>
          <w:rFonts w:ascii="Times New Roman" w:hAnsi="Times New Roman"/>
        </w:rPr>
        <w:t xml:space="preserve"> (</w:t>
      </w:r>
      <w:r w:rsidRPr="00EC48A0">
        <w:rPr>
          <w:rFonts w:ascii="Times New Roman" w:hAnsi="Times New Roman"/>
        </w:rPr>
        <w:t>one labelled "Accountant", the other labelled "Solicitor"</w:t>
      </w:r>
      <w:r w:rsidR="00692937" w:rsidRPr="00EC48A0">
        <w:rPr>
          <w:rFonts w:ascii="Times New Roman" w:hAnsi="Times New Roman"/>
        </w:rPr>
        <w:t>), a business</w:t>
      </w:r>
      <w:r w:rsidRPr="00EC48A0">
        <w:rPr>
          <w:rFonts w:ascii="Times New Roman" w:hAnsi="Times New Roman"/>
        </w:rPr>
        <w:t xml:space="preserve"> card for </w:t>
      </w:r>
      <w:r w:rsidR="00692937" w:rsidRPr="00EC48A0">
        <w:rPr>
          <w:rFonts w:ascii="Times New Roman" w:hAnsi="Times New Roman"/>
        </w:rPr>
        <w:t xml:space="preserve">a solicitor, </w:t>
      </w:r>
      <w:r w:rsidRPr="00EC48A0">
        <w:rPr>
          <w:rFonts w:ascii="Times New Roman" w:hAnsi="Times New Roman"/>
        </w:rPr>
        <w:t>Mr </w:t>
      </w:r>
      <w:proofErr w:type="spellStart"/>
      <w:r w:rsidRPr="00EC48A0">
        <w:rPr>
          <w:rFonts w:ascii="Times New Roman" w:hAnsi="Times New Roman"/>
        </w:rPr>
        <w:t>Kiatos</w:t>
      </w:r>
      <w:proofErr w:type="spellEnd"/>
      <w:r w:rsidRPr="00EC48A0">
        <w:rPr>
          <w:rFonts w:ascii="Times New Roman" w:hAnsi="Times New Roman"/>
        </w:rPr>
        <w:t xml:space="preserve">, and a phone number for </w:t>
      </w:r>
      <w:r w:rsidR="00B50DDA" w:rsidRPr="00EC48A0">
        <w:rPr>
          <w:rFonts w:ascii="Times New Roman" w:hAnsi="Times New Roman"/>
        </w:rPr>
        <w:t xml:space="preserve">an accountant, </w:t>
      </w:r>
      <w:r w:rsidRPr="00EC48A0">
        <w:rPr>
          <w:rFonts w:ascii="Times New Roman" w:hAnsi="Times New Roman"/>
        </w:rPr>
        <w:t>Mr </w:t>
      </w:r>
      <w:proofErr w:type="spellStart"/>
      <w:r w:rsidRPr="00EC48A0">
        <w:rPr>
          <w:rFonts w:ascii="Times New Roman" w:hAnsi="Times New Roman"/>
        </w:rPr>
        <w:t>Topalides</w:t>
      </w:r>
      <w:proofErr w:type="spellEnd"/>
      <w:r w:rsidRPr="00EC48A0">
        <w:rPr>
          <w:rFonts w:ascii="Times New Roman" w:hAnsi="Times New Roman"/>
        </w:rPr>
        <w:t>. Mr </w:t>
      </w:r>
      <w:proofErr w:type="spellStart"/>
      <w:r w:rsidRPr="00EC48A0">
        <w:rPr>
          <w:rFonts w:ascii="Times New Roman" w:hAnsi="Times New Roman"/>
        </w:rPr>
        <w:t>Zourkas</w:t>
      </w:r>
      <w:proofErr w:type="spellEnd"/>
      <w:r w:rsidRPr="00EC48A0">
        <w:rPr>
          <w:rFonts w:ascii="Times New Roman" w:hAnsi="Times New Roman"/>
        </w:rPr>
        <w:t xml:space="preserve"> </w:t>
      </w:r>
      <w:r w:rsidR="00B50DDA" w:rsidRPr="00EC48A0">
        <w:rPr>
          <w:rFonts w:ascii="Times New Roman" w:hAnsi="Times New Roman"/>
        </w:rPr>
        <w:t xml:space="preserve">told the appellant </w:t>
      </w:r>
      <w:r w:rsidRPr="00EC48A0">
        <w:rPr>
          <w:rFonts w:ascii="Times New Roman" w:hAnsi="Times New Roman"/>
        </w:rPr>
        <w:t>to "take these documents, get them signed and bring them back"</w:t>
      </w:r>
      <w:r w:rsidRPr="00EC48A0">
        <w:rPr>
          <w:rStyle w:val="FootnoteReference"/>
          <w:rFonts w:ascii="Times New Roman" w:hAnsi="Times New Roman"/>
          <w:sz w:val="24"/>
        </w:rPr>
        <w:footnoteReference w:id="27"/>
      </w:r>
      <w:r w:rsidRPr="00EC48A0">
        <w:rPr>
          <w:rFonts w:ascii="Times New Roman" w:hAnsi="Times New Roman"/>
        </w:rPr>
        <w:t>.</w:t>
      </w:r>
      <w:r w:rsidR="008F75B0" w:rsidRPr="00EC48A0">
        <w:rPr>
          <w:rFonts w:ascii="Times New Roman" w:hAnsi="Times New Roman"/>
        </w:rPr>
        <w:t xml:space="preserve"> The Court of Appeal observed that it was clear from context that approval of the loans was conditional on the two certificates being duly signed and returned</w:t>
      </w:r>
      <w:r w:rsidR="006F2585" w:rsidRPr="00EC48A0">
        <w:rPr>
          <w:rStyle w:val="FootnoteReference"/>
          <w:rFonts w:ascii="Times New Roman" w:hAnsi="Times New Roman"/>
          <w:sz w:val="24"/>
        </w:rPr>
        <w:footnoteReference w:id="28"/>
      </w:r>
      <w:r w:rsidR="003B63AB" w:rsidRPr="00EC48A0">
        <w:rPr>
          <w:rFonts w:ascii="Times New Roman" w:hAnsi="Times New Roman"/>
        </w:rPr>
        <w:t>.</w:t>
      </w:r>
    </w:p>
    <w:p w14:paraId="6F00E25E" w14:textId="1BE2B2B8"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3B63AB" w:rsidRPr="00EC48A0">
        <w:rPr>
          <w:rFonts w:ascii="Times New Roman" w:hAnsi="Times New Roman"/>
        </w:rPr>
        <w:t xml:space="preserve">The </w:t>
      </w:r>
      <w:r w:rsidRPr="00EC48A0">
        <w:rPr>
          <w:rFonts w:ascii="Times New Roman" w:hAnsi="Times New Roman"/>
        </w:rPr>
        <w:t>appellant visited both Mr </w:t>
      </w:r>
      <w:proofErr w:type="spellStart"/>
      <w:r w:rsidRPr="00EC48A0">
        <w:rPr>
          <w:rFonts w:ascii="Times New Roman" w:hAnsi="Times New Roman"/>
        </w:rPr>
        <w:t>Kiatos</w:t>
      </w:r>
      <w:proofErr w:type="spellEnd"/>
      <w:r w:rsidRPr="00EC48A0">
        <w:rPr>
          <w:rFonts w:ascii="Times New Roman" w:hAnsi="Times New Roman"/>
        </w:rPr>
        <w:t xml:space="preserve"> and Mr </w:t>
      </w:r>
      <w:proofErr w:type="spellStart"/>
      <w:r w:rsidRPr="00EC48A0">
        <w:rPr>
          <w:rFonts w:ascii="Times New Roman" w:hAnsi="Times New Roman"/>
        </w:rPr>
        <w:t>Topalides</w:t>
      </w:r>
      <w:proofErr w:type="spellEnd"/>
      <w:r w:rsidR="003B63AB" w:rsidRPr="00EC48A0">
        <w:rPr>
          <w:rFonts w:ascii="Times New Roman" w:hAnsi="Times New Roman"/>
        </w:rPr>
        <w:t xml:space="preserve"> that same day</w:t>
      </w:r>
      <w:r w:rsidRPr="00EC48A0">
        <w:rPr>
          <w:rFonts w:ascii="Times New Roman" w:hAnsi="Times New Roman"/>
        </w:rPr>
        <w:t>. Mr </w:t>
      </w:r>
      <w:proofErr w:type="spellStart"/>
      <w:r w:rsidRPr="00EC48A0">
        <w:rPr>
          <w:rFonts w:ascii="Times New Roman" w:hAnsi="Times New Roman"/>
        </w:rPr>
        <w:t>Kiatos</w:t>
      </w:r>
      <w:proofErr w:type="spellEnd"/>
      <w:r w:rsidRPr="00EC48A0">
        <w:rPr>
          <w:rFonts w:ascii="Times New Roman" w:hAnsi="Times New Roman"/>
        </w:rPr>
        <w:t xml:space="preserve"> </w:t>
      </w:r>
      <w:r w:rsidR="003B63AB" w:rsidRPr="00EC48A0">
        <w:rPr>
          <w:rFonts w:ascii="Times New Roman" w:hAnsi="Times New Roman"/>
        </w:rPr>
        <w:t>(and not the appellant) compl</w:t>
      </w:r>
      <w:r w:rsidR="00812BCD" w:rsidRPr="00EC48A0">
        <w:rPr>
          <w:rFonts w:ascii="Times New Roman" w:hAnsi="Times New Roman"/>
        </w:rPr>
        <w:t xml:space="preserve">eted and </w:t>
      </w:r>
      <w:r w:rsidRPr="00EC48A0">
        <w:rPr>
          <w:rFonts w:ascii="Times New Roman" w:hAnsi="Times New Roman"/>
        </w:rPr>
        <w:t>signed the certificate of independent legal advice</w:t>
      </w:r>
      <w:r w:rsidR="00D84885" w:rsidRPr="00EC48A0">
        <w:rPr>
          <w:rFonts w:ascii="Times New Roman" w:hAnsi="Times New Roman"/>
        </w:rPr>
        <w:t xml:space="preserve">, writing </w:t>
      </w:r>
      <w:r w:rsidR="000A476D" w:rsidRPr="00EC48A0">
        <w:rPr>
          <w:rFonts w:ascii="Times New Roman" w:hAnsi="Times New Roman"/>
        </w:rPr>
        <w:t>i</w:t>
      </w:r>
      <w:r w:rsidR="00D84885" w:rsidRPr="00EC48A0">
        <w:rPr>
          <w:rFonts w:ascii="Times New Roman" w:hAnsi="Times New Roman"/>
        </w:rPr>
        <w:t xml:space="preserve">n </w:t>
      </w:r>
      <w:r w:rsidRPr="00EC48A0">
        <w:rPr>
          <w:rFonts w:ascii="Times New Roman" w:hAnsi="Times New Roman"/>
        </w:rPr>
        <w:t xml:space="preserve">answers </w:t>
      </w:r>
      <w:r w:rsidR="00D05BDF" w:rsidRPr="00EC48A0">
        <w:rPr>
          <w:rFonts w:ascii="Times New Roman" w:hAnsi="Times New Roman"/>
        </w:rPr>
        <w:t xml:space="preserve">to the list of questions directed to the </w:t>
      </w:r>
      <w:r w:rsidR="00D84885" w:rsidRPr="00EC48A0">
        <w:rPr>
          <w:rFonts w:ascii="Times New Roman" w:hAnsi="Times New Roman"/>
        </w:rPr>
        <w:t xml:space="preserve">appellant as </w:t>
      </w:r>
      <w:r w:rsidR="00D05BDF" w:rsidRPr="00EC48A0">
        <w:rPr>
          <w:rFonts w:ascii="Times New Roman" w:hAnsi="Times New Roman"/>
        </w:rPr>
        <w:t>guarantor</w:t>
      </w:r>
      <w:r w:rsidR="007D193B" w:rsidRPr="00EC48A0">
        <w:rPr>
          <w:rFonts w:ascii="Times New Roman" w:hAnsi="Times New Roman"/>
        </w:rPr>
        <w:t>.</w:t>
      </w:r>
      <w:r w:rsidRPr="00EC48A0">
        <w:rPr>
          <w:rFonts w:ascii="Times New Roman" w:hAnsi="Times New Roman"/>
        </w:rPr>
        <w:t xml:space="preserve"> The appellant</w:t>
      </w:r>
      <w:r w:rsidR="001B068C" w:rsidRPr="00EC48A0">
        <w:rPr>
          <w:rFonts w:ascii="Times New Roman" w:hAnsi="Times New Roman"/>
        </w:rPr>
        <w:t xml:space="preserve"> </w:t>
      </w:r>
      <w:r w:rsidRPr="00EC48A0">
        <w:rPr>
          <w:rFonts w:ascii="Times New Roman" w:hAnsi="Times New Roman"/>
        </w:rPr>
        <w:t xml:space="preserve">signed </w:t>
      </w:r>
      <w:r w:rsidR="001B068C" w:rsidRPr="00EC48A0">
        <w:rPr>
          <w:rFonts w:ascii="Times New Roman" w:hAnsi="Times New Roman"/>
        </w:rPr>
        <w:t>an</w:t>
      </w:r>
      <w:r w:rsidR="00A03B9C" w:rsidRPr="00EC48A0">
        <w:rPr>
          <w:rFonts w:ascii="Times New Roman" w:hAnsi="Times New Roman"/>
        </w:rPr>
        <w:t xml:space="preserve"> acknowledgment </w:t>
      </w:r>
      <w:r w:rsidR="001B068C" w:rsidRPr="00EC48A0">
        <w:rPr>
          <w:rFonts w:ascii="Times New Roman" w:hAnsi="Times New Roman"/>
        </w:rPr>
        <w:t xml:space="preserve">on behalf of the company </w:t>
      </w:r>
      <w:r w:rsidR="00A03B9C" w:rsidRPr="00EC48A0">
        <w:rPr>
          <w:rFonts w:ascii="Times New Roman" w:hAnsi="Times New Roman"/>
        </w:rPr>
        <w:t xml:space="preserve">confirming the accuracy of those answers </w:t>
      </w:r>
      <w:r w:rsidRPr="00EC48A0">
        <w:rPr>
          <w:rFonts w:ascii="Times New Roman" w:hAnsi="Times New Roman"/>
        </w:rPr>
        <w:t>and that he had received independent legal advice.</w:t>
      </w:r>
      <w:r w:rsidR="00563F26" w:rsidRPr="00EC48A0">
        <w:rPr>
          <w:rFonts w:ascii="Times New Roman" w:hAnsi="Times New Roman"/>
        </w:rPr>
        <w:t xml:space="preserve"> </w:t>
      </w:r>
      <w:r w:rsidR="00E108E0" w:rsidRPr="00EC48A0">
        <w:rPr>
          <w:rFonts w:ascii="Times New Roman" w:hAnsi="Times New Roman"/>
        </w:rPr>
        <w:t>Mr</w:t>
      </w:r>
      <w:r w:rsidR="00395FD1" w:rsidRPr="00EC48A0">
        <w:rPr>
          <w:rFonts w:ascii="Times New Roman" w:hAnsi="Times New Roman"/>
        </w:rPr>
        <w:t> </w:t>
      </w:r>
      <w:proofErr w:type="spellStart"/>
      <w:r w:rsidR="00E108E0" w:rsidRPr="00EC48A0">
        <w:rPr>
          <w:rFonts w:ascii="Times New Roman" w:hAnsi="Times New Roman"/>
        </w:rPr>
        <w:t>Kiatos</w:t>
      </w:r>
      <w:proofErr w:type="spellEnd"/>
      <w:r w:rsidR="00E108E0" w:rsidRPr="00EC48A0">
        <w:rPr>
          <w:rFonts w:ascii="Times New Roman" w:hAnsi="Times New Roman"/>
        </w:rPr>
        <w:t xml:space="preserve"> also signed the certificate, both as witness to the appellant's signature and to confirm that he had explained the conte</w:t>
      </w:r>
      <w:r w:rsidR="00141C69" w:rsidRPr="00EC48A0">
        <w:rPr>
          <w:rFonts w:ascii="Times New Roman" w:hAnsi="Times New Roman"/>
        </w:rPr>
        <w:t>nt, nature and effect of the loans to the appellant, including the consequences of default</w:t>
      </w:r>
      <w:r w:rsidR="00141C69" w:rsidRPr="00EC48A0">
        <w:rPr>
          <w:rStyle w:val="FootnoteReference"/>
          <w:rFonts w:ascii="Times New Roman" w:hAnsi="Times New Roman"/>
          <w:sz w:val="24"/>
        </w:rPr>
        <w:footnoteReference w:id="29"/>
      </w:r>
      <w:r w:rsidR="00141C69" w:rsidRPr="00EC48A0">
        <w:rPr>
          <w:rFonts w:ascii="Times New Roman" w:hAnsi="Times New Roman"/>
        </w:rPr>
        <w:t xml:space="preserve">. </w:t>
      </w:r>
      <w:r w:rsidR="00A31D38" w:rsidRPr="00EC48A0">
        <w:rPr>
          <w:rFonts w:ascii="Times New Roman" w:hAnsi="Times New Roman"/>
        </w:rPr>
        <w:t>Mr</w:t>
      </w:r>
      <w:r w:rsidR="00C3131B" w:rsidRPr="00EC48A0">
        <w:rPr>
          <w:rFonts w:ascii="Times New Roman" w:hAnsi="Times New Roman"/>
        </w:rPr>
        <w:t> </w:t>
      </w:r>
      <w:proofErr w:type="spellStart"/>
      <w:r w:rsidR="00A31D38" w:rsidRPr="00EC48A0">
        <w:rPr>
          <w:rFonts w:ascii="Times New Roman" w:hAnsi="Times New Roman"/>
        </w:rPr>
        <w:t>Topalides</w:t>
      </w:r>
      <w:proofErr w:type="spellEnd"/>
      <w:r w:rsidR="005726BC" w:rsidRPr="00EC48A0">
        <w:rPr>
          <w:rFonts w:ascii="Times New Roman" w:hAnsi="Times New Roman"/>
        </w:rPr>
        <w:t xml:space="preserve"> signed </w:t>
      </w:r>
      <w:r w:rsidR="00C3131B" w:rsidRPr="00EC48A0">
        <w:rPr>
          <w:rFonts w:ascii="Times New Roman" w:hAnsi="Times New Roman"/>
        </w:rPr>
        <w:t>the certificate of independent financial advice</w:t>
      </w:r>
      <w:r w:rsidR="005726BC" w:rsidRPr="00EC48A0">
        <w:rPr>
          <w:rFonts w:ascii="Times New Roman" w:hAnsi="Times New Roman"/>
        </w:rPr>
        <w:t xml:space="preserve">. </w:t>
      </w:r>
      <w:r w:rsidR="00EA5853" w:rsidRPr="00EC48A0">
        <w:rPr>
          <w:rFonts w:ascii="Times New Roman" w:hAnsi="Times New Roman"/>
        </w:rPr>
        <w:t>In completing the certificate, Mr </w:t>
      </w:r>
      <w:proofErr w:type="spellStart"/>
      <w:r w:rsidR="00EA5853" w:rsidRPr="00EC48A0">
        <w:rPr>
          <w:rFonts w:ascii="Times New Roman" w:hAnsi="Times New Roman"/>
        </w:rPr>
        <w:t>Topalides</w:t>
      </w:r>
      <w:proofErr w:type="spellEnd"/>
      <w:r w:rsidR="00EA5853" w:rsidRPr="00EC48A0">
        <w:rPr>
          <w:rFonts w:ascii="Times New Roman" w:hAnsi="Times New Roman"/>
        </w:rPr>
        <w:t xml:space="preserve"> </w:t>
      </w:r>
      <w:r w:rsidR="00E03C09" w:rsidRPr="00EC48A0">
        <w:rPr>
          <w:rFonts w:ascii="Times New Roman" w:hAnsi="Times New Roman"/>
        </w:rPr>
        <w:t xml:space="preserve">stated that the </w:t>
      </w:r>
      <w:r w:rsidRPr="00EC48A0">
        <w:rPr>
          <w:rFonts w:ascii="Times New Roman" w:hAnsi="Times New Roman"/>
        </w:rPr>
        <w:t>purpose of the borrowings</w:t>
      </w:r>
      <w:r w:rsidR="00E03C09" w:rsidRPr="00EC48A0">
        <w:rPr>
          <w:rFonts w:ascii="Times New Roman" w:hAnsi="Times New Roman"/>
        </w:rPr>
        <w:t xml:space="preserve"> was to </w:t>
      </w:r>
      <w:r w:rsidRPr="00EC48A0">
        <w:rPr>
          <w:rFonts w:ascii="Times New Roman" w:hAnsi="Times New Roman"/>
        </w:rPr>
        <w:t>"Set up &amp; Expand the business"</w:t>
      </w:r>
      <w:r w:rsidRPr="00EC48A0">
        <w:rPr>
          <w:rStyle w:val="FootnoteReference"/>
          <w:rFonts w:ascii="Times New Roman" w:hAnsi="Times New Roman"/>
          <w:sz w:val="24"/>
        </w:rPr>
        <w:footnoteReference w:id="30"/>
      </w:r>
      <w:r w:rsidRPr="00EC48A0">
        <w:rPr>
          <w:rFonts w:ascii="Times New Roman" w:hAnsi="Times New Roman"/>
        </w:rPr>
        <w:t>.</w:t>
      </w:r>
      <w:r w:rsidR="00E03C09" w:rsidRPr="00EC48A0">
        <w:rPr>
          <w:rFonts w:ascii="Times New Roman" w:hAnsi="Times New Roman"/>
        </w:rPr>
        <w:t xml:space="preserve"> </w:t>
      </w:r>
      <w:r w:rsidR="00AC02FC" w:rsidRPr="00EC48A0">
        <w:rPr>
          <w:rFonts w:ascii="Times New Roman" w:hAnsi="Times New Roman"/>
        </w:rPr>
        <w:t>The primary judge noted Mr </w:t>
      </w:r>
      <w:proofErr w:type="spellStart"/>
      <w:r w:rsidR="00AC02FC" w:rsidRPr="00EC48A0">
        <w:rPr>
          <w:rFonts w:ascii="Times New Roman" w:hAnsi="Times New Roman"/>
        </w:rPr>
        <w:t>Jeruzalski's</w:t>
      </w:r>
      <w:proofErr w:type="spellEnd"/>
      <w:r w:rsidR="00AC02FC" w:rsidRPr="00EC48A0">
        <w:rPr>
          <w:rFonts w:ascii="Times New Roman" w:hAnsi="Times New Roman"/>
        </w:rPr>
        <w:t xml:space="preserve"> evidence that he understood the purpose of the loan to be a "business loan ... mainly </w:t>
      </w:r>
      <w:r w:rsidR="00AC02FC" w:rsidRPr="00EC48A0">
        <w:rPr>
          <w:rFonts w:ascii="Times New Roman" w:hAnsi="Times New Roman"/>
        </w:rPr>
        <w:lastRenderedPageBreak/>
        <w:t>concerned with boat repairs</w:t>
      </w:r>
      <w:r w:rsidR="00F00DAA" w:rsidRPr="00EC48A0">
        <w:rPr>
          <w:rFonts w:ascii="Times New Roman" w:hAnsi="Times New Roman"/>
        </w:rPr>
        <w:t>"</w:t>
      </w:r>
      <w:r w:rsidR="00F00DAA" w:rsidRPr="00EC48A0">
        <w:rPr>
          <w:rStyle w:val="FootnoteReference"/>
          <w:rFonts w:ascii="Times New Roman" w:hAnsi="Times New Roman"/>
          <w:sz w:val="24"/>
        </w:rPr>
        <w:footnoteReference w:id="31"/>
      </w:r>
      <w:r w:rsidR="00F133A5" w:rsidRPr="00EC48A0">
        <w:rPr>
          <w:rFonts w:ascii="Times New Roman" w:hAnsi="Times New Roman"/>
        </w:rPr>
        <w:t>. But this evidence sat awkwardly with Mr </w:t>
      </w:r>
      <w:proofErr w:type="spellStart"/>
      <w:r w:rsidR="00BB2EF3" w:rsidRPr="00EC48A0">
        <w:rPr>
          <w:rFonts w:ascii="Times New Roman" w:hAnsi="Times New Roman"/>
        </w:rPr>
        <w:t>Jeruzalski's</w:t>
      </w:r>
      <w:proofErr w:type="spellEnd"/>
      <w:r w:rsidR="00BB2EF3" w:rsidRPr="00EC48A0">
        <w:rPr>
          <w:rFonts w:ascii="Times New Roman" w:hAnsi="Times New Roman"/>
        </w:rPr>
        <w:t xml:space="preserve"> evidence in cross</w:t>
      </w:r>
      <w:r w:rsidR="00BB2EF3" w:rsidRPr="00EC48A0">
        <w:rPr>
          <w:rFonts w:ascii="Times New Roman" w:hAnsi="Times New Roman"/>
        </w:rPr>
        <w:noBreakHyphen/>
        <w:t xml:space="preserve">examination that, around the time of issuing the letters of offer dated 16 and 17 September 2015, he telephoned the council and made </w:t>
      </w:r>
      <w:r w:rsidR="00AD5A81" w:rsidRPr="00EC48A0">
        <w:rPr>
          <w:rFonts w:ascii="Times New Roman" w:hAnsi="Times New Roman"/>
        </w:rPr>
        <w:t>i</w:t>
      </w:r>
      <w:r w:rsidR="00BB2EF3" w:rsidRPr="00EC48A0">
        <w:rPr>
          <w:rFonts w:ascii="Times New Roman" w:hAnsi="Times New Roman"/>
        </w:rPr>
        <w:t xml:space="preserve">nquiries which informed him that the Fingal property was </w:t>
      </w:r>
      <w:r w:rsidR="00F31341" w:rsidRPr="00EC48A0">
        <w:rPr>
          <w:rFonts w:ascii="Times New Roman" w:hAnsi="Times New Roman"/>
        </w:rPr>
        <w:t>zoned "green wedge", meaning that it could not be used for commercial purposes</w:t>
      </w:r>
      <w:r w:rsidR="00F31341" w:rsidRPr="00EC48A0">
        <w:rPr>
          <w:rStyle w:val="FootnoteReference"/>
          <w:rFonts w:ascii="Times New Roman" w:hAnsi="Times New Roman"/>
          <w:sz w:val="24"/>
        </w:rPr>
        <w:footnoteReference w:id="32"/>
      </w:r>
      <w:r w:rsidR="00E87885" w:rsidRPr="00EC48A0">
        <w:rPr>
          <w:rFonts w:ascii="Times New Roman" w:hAnsi="Times New Roman"/>
        </w:rPr>
        <w:t xml:space="preserve">. </w:t>
      </w:r>
      <w:r w:rsidR="00433AC5" w:rsidRPr="00EC48A0">
        <w:rPr>
          <w:rFonts w:ascii="Times New Roman" w:hAnsi="Times New Roman"/>
        </w:rPr>
        <w:t>It is evident that, as Mr </w:t>
      </w:r>
      <w:proofErr w:type="spellStart"/>
      <w:r w:rsidR="00433AC5" w:rsidRPr="00EC48A0">
        <w:rPr>
          <w:rFonts w:ascii="Times New Roman" w:hAnsi="Times New Roman"/>
        </w:rPr>
        <w:t>Jeruzalski</w:t>
      </w:r>
      <w:proofErr w:type="spellEnd"/>
      <w:r w:rsidR="00433AC5" w:rsidRPr="00EC48A0">
        <w:rPr>
          <w:rFonts w:ascii="Times New Roman" w:hAnsi="Times New Roman"/>
        </w:rPr>
        <w:t xml:space="preserve"> must have known, the statement of the purpose of the loan in the certificate did not reflect reality.</w:t>
      </w:r>
    </w:p>
    <w:p w14:paraId="42890742" w14:textId="3DC59B53" w:rsidR="0093669F"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DB47D8" w:rsidRPr="00EC48A0">
        <w:rPr>
          <w:rFonts w:ascii="Times New Roman" w:hAnsi="Times New Roman"/>
        </w:rPr>
        <w:t xml:space="preserve">It is necessary to note, in </w:t>
      </w:r>
      <w:r w:rsidR="00DE0FE8" w:rsidRPr="00EC48A0">
        <w:rPr>
          <w:rFonts w:ascii="Times New Roman" w:hAnsi="Times New Roman"/>
        </w:rPr>
        <w:t xml:space="preserve">this regard, </w:t>
      </w:r>
      <w:r w:rsidR="006A7199" w:rsidRPr="00EC48A0">
        <w:rPr>
          <w:rFonts w:ascii="Times New Roman" w:hAnsi="Times New Roman"/>
        </w:rPr>
        <w:t>Mr </w:t>
      </w:r>
      <w:proofErr w:type="spellStart"/>
      <w:r w:rsidR="006A7199" w:rsidRPr="00EC48A0">
        <w:rPr>
          <w:rFonts w:ascii="Times New Roman" w:hAnsi="Times New Roman"/>
        </w:rPr>
        <w:t>Jeruzalski's</w:t>
      </w:r>
      <w:proofErr w:type="spellEnd"/>
      <w:r w:rsidR="006A7199" w:rsidRPr="00EC48A0">
        <w:rPr>
          <w:rFonts w:ascii="Times New Roman" w:hAnsi="Times New Roman"/>
        </w:rPr>
        <w:t xml:space="preserve"> evidence that, on instructions from the respondents, all loans in the course of his practice were made subject to the condition that they were not for personal, domestic or household purposes</w:t>
      </w:r>
      <w:r w:rsidR="001B45C8" w:rsidRPr="00EC48A0">
        <w:rPr>
          <w:rFonts w:ascii="Times New Roman" w:hAnsi="Times New Roman"/>
        </w:rPr>
        <w:t>. Mr </w:t>
      </w:r>
      <w:proofErr w:type="spellStart"/>
      <w:r w:rsidR="001B45C8" w:rsidRPr="00EC48A0">
        <w:rPr>
          <w:rFonts w:ascii="Times New Roman" w:hAnsi="Times New Roman"/>
        </w:rPr>
        <w:t>Jeruzalski</w:t>
      </w:r>
      <w:proofErr w:type="spellEnd"/>
      <w:r w:rsidR="001B45C8" w:rsidRPr="00EC48A0">
        <w:rPr>
          <w:rFonts w:ascii="Times New Roman" w:hAnsi="Times New Roman"/>
        </w:rPr>
        <w:t xml:space="preserve"> insisted on this condition</w:t>
      </w:r>
      <w:r w:rsidR="006A7199" w:rsidRPr="00EC48A0">
        <w:rPr>
          <w:rFonts w:ascii="Times New Roman" w:hAnsi="Times New Roman"/>
        </w:rPr>
        <w:t xml:space="preserve"> to avoid </w:t>
      </w:r>
      <w:r w:rsidR="008D7A4E" w:rsidRPr="00EC48A0">
        <w:rPr>
          <w:rFonts w:ascii="Times New Roman" w:hAnsi="Times New Roman"/>
        </w:rPr>
        <w:t xml:space="preserve">loans </w:t>
      </w:r>
      <w:r w:rsidR="006A7199" w:rsidRPr="00EC48A0">
        <w:rPr>
          <w:rFonts w:ascii="Times New Roman" w:hAnsi="Times New Roman"/>
        </w:rPr>
        <w:t xml:space="preserve">being governed by the </w:t>
      </w:r>
      <w:r w:rsidR="00460F18" w:rsidRPr="00EC48A0">
        <w:rPr>
          <w:rFonts w:ascii="Times New Roman" w:hAnsi="Times New Roman"/>
          <w:i/>
        </w:rPr>
        <w:t xml:space="preserve">National Credit </w:t>
      </w:r>
      <w:r w:rsidR="00387CD6" w:rsidRPr="00EC48A0">
        <w:rPr>
          <w:rFonts w:ascii="Times New Roman" w:hAnsi="Times New Roman"/>
          <w:i/>
        </w:rPr>
        <w:t>Code</w:t>
      </w:r>
      <w:r w:rsidR="00387CD6" w:rsidRPr="00EC48A0">
        <w:rPr>
          <w:rFonts w:ascii="Times New Roman" w:hAnsi="Times New Roman"/>
        </w:rPr>
        <w:t xml:space="preserve"> ("the Code")</w:t>
      </w:r>
      <w:r w:rsidR="006A7199" w:rsidRPr="00EC48A0">
        <w:rPr>
          <w:rStyle w:val="FootnoteReference"/>
          <w:rFonts w:ascii="Times New Roman" w:hAnsi="Times New Roman"/>
          <w:sz w:val="24"/>
        </w:rPr>
        <w:footnoteReference w:id="33"/>
      </w:r>
      <w:r w:rsidR="006A7199" w:rsidRPr="00EC48A0">
        <w:rPr>
          <w:rFonts w:ascii="Times New Roman" w:hAnsi="Times New Roman"/>
        </w:rPr>
        <w:t xml:space="preserve">. </w:t>
      </w:r>
      <w:r w:rsidR="002E6FA5" w:rsidRPr="00EC48A0">
        <w:rPr>
          <w:rFonts w:ascii="Times New Roman" w:hAnsi="Times New Roman"/>
        </w:rPr>
        <w:t>This practice was reflected in a deed signed by the appellant,</w:t>
      </w:r>
      <w:r w:rsidRPr="00EC48A0">
        <w:rPr>
          <w:rFonts w:ascii="Times New Roman" w:hAnsi="Times New Roman"/>
        </w:rPr>
        <w:t xml:space="preserve"> on his own behalf and on behalf of the company, </w:t>
      </w:r>
      <w:r w:rsidR="00AF6701" w:rsidRPr="00EC48A0">
        <w:rPr>
          <w:rFonts w:ascii="Times New Roman" w:hAnsi="Times New Roman"/>
        </w:rPr>
        <w:t xml:space="preserve">whereby he </w:t>
      </w:r>
      <w:r w:rsidR="00CF1755" w:rsidRPr="00EC48A0">
        <w:rPr>
          <w:rFonts w:ascii="Times New Roman" w:hAnsi="Times New Roman"/>
        </w:rPr>
        <w:t xml:space="preserve">variously agreed </w:t>
      </w:r>
      <w:r w:rsidRPr="00EC48A0">
        <w:rPr>
          <w:rFonts w:ascii="Times New Roman" w:hAnsi="Times New Roman"/>
        </w:rPr>
        <w:t xml:space="preserve">that the first mortgage loan was "for business purposes", "not for personal, domestic or household purposes", "not to purchase, renovate or improve </w:t>
      </w:r>
      <w:r w:rsidR="00CF1755" w:rsidRPr="00EC48A0">
        <w:rPr>
          <w:rFonts w:ascii="Times New Roman" w:hAnsi="Times New Roman"/>
        </w:rPr>
        <w:t xml:space="preserve">the </w:t>
      </w:r>
      <w:r w:rsidRPr="00EC48A0">
        <w:rPr>
          <w:rFonts w:ascii="Times New Roman" w:hAnsi="Times New Roman"/>
        </w:rPr>
        <w:t xml:space="preserve">residential property for investment purposes" </w:t>
      </w:r>
      <w:r w:rsidR="00A32954" w:rsidRPr="00EC48A0">
        <w:rPr>
          <w:rFonts w:ascii="Times New Roman" w:hAnsi="Times New Roman"/>
        </w:rPr>
        <w:t xml:space="preserve">and not </w:t>
      </w:r>
      <w:r w:rsidRPr="00EC48A0">
        <w:rPr>
          <w:rFonts w:ascii="Times New Roman" w:hAnsi="Times New Roman"/>
        </w:rPr>
        <w:t>to "refinance credit that [had] been provided wholly or predominantly to purchase, renovate or improve residential property for investment purposes"</w:t>
      </w:r>
      <w:r w:rsidRPr="00EC48A0">
        <w:rPr>
          <w:rStyle w:val="FootnoteReference"/>
          <w:rFonts w:ascii="Times New Roman" w:hAnsi="Times New Roman"/>
          <w:sz w:val="24"/>
        </w:rPr>
        <w:footnoteReference w:id="34"/>
      </w:r>
      <w:r w:rsidRPr="00EC48A0">
        <w:rPr>
          <w:rFonts w:ascii="Times New Roman" w:hAnsi="Times New Roman"/>
        </w:rPr>
        <w:t xml:space="preserve">. </w:t>
      </w:r>
      <w:r w:rsidR="00AE3150" w:rsidRPr="00EC48A0">
        <w:rPr>
          <w:rFonts w:ascii="Times New Roman" w:hAnsi="Times New Roman"/>
        </w:rPr>
        <w:t>T</w:t>
      </w:r>
      <w:r w:rsidRPr="00EC48A0">
        <w:rPr>
          <w:rFonts w:ascii="Times New Roman" w:hAnsi="Times New Roman"/>
        </w:rPr>
        <w:t>he true purpose</w:t>
      </w:r>
      <w:r w:rsidR="00E62791" w:rsidRPr="00EC48A0">
        <w:rPr>
          <w:rFonts w:ascii="Times New Roman" w:hAnsi="Times New Roman"/>
        </w:rPr>
        <w:t xml:space="preserve"> of the loan was</w:t>
      </w:r>
      <w:r w:rsidRPr="00EC48A0">
        <w:rPr>
          <w:rFonts w:ascii="Times New Roman" w:hAnsi="Times New Roman"/>
        </w:rPr>
        <w:t xml:space="preserve"> identified by the Court of Appeal as </w:t>
      </w:r>
      <w:r w:rsidR="002B2FE5" w:rsidRPr="00EC48A0">
        <w:rPr>
          <w:rFonts w:ascii="Times New Roman" w:hAnsi="Times New Roman"/>
        </w:rPr>
        <w:t xml:space="preserve">being </w:t>
      </w:r>
      <w:r w:rsidRPr="00EC48A0">
        <w:rPr>
          <w:rFonts w:ascii="Times New Roman" w:hAnsi="Times New Roman"/>
        </w:rPr>
        <w:t>"to enable [the appellant] to purchase, in his own name, a property as a home"</w:t>
      </w:r>
      <w:r w:rsidRPr="00EC48A0">
        <w:rPr>
          <w:rStyle w:val="FootnoteReference"/>
          <w:rFonts w:ascii="Times New Roman" w:hAnsi="Times New Roman"/>
          <w:sz w:val="24"/>
        </w:rPr>
        <w:footnoteReference w:id="35"/>
      </w:r>
      <w:r w:rsidRPr="00EC48A0">
        <w:rPr>
          <w:rFonts w:ascii="Times New Roman" w:hAnsi="Times New Roman"/>
        </w:rPr>
        <w:t xml:space="preserve">. </w:t>
      </w:r>
    </w:p>
    <w:p w14:paraId="654DC39D" w14:textId="1ECBEA7C" w:rsidR="00F93E02"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tab/>
        <w:t xml:space="preserve">With the documentation complete, the loans were settled, the mortgages were registered, and the Fingal property was purchased on 30 September 2015. Once </w:t>
      </w:r>
      <w:r w:rsidR="00F05862" w:rsidRPr="00EC48A0">
        <w:rPr>
          <w:rFonts w:ascii="Times New Roman" w:hAnsi="Times New Roman"/>
        </w:rPr>
        <w:t xml:space="preserve">the </w:t>
      </w:r>
      <w:r w:rsidRPr="00EC48A0">
        <w:rPr>
          <w:rFonts w:ascii="Times New Roman" w:hAnsi="Times New Roman"/>
        </w:rPr>
        <w:t>various fees and payments had been made, the appellant was left with a sum of $6,959. The appellant subsequently moved into the Fingal property with his son</w:t>
      </w:r>
      <w:r w:rsidR="00D76BC9" w:rsidRPr="00EC48A0">
        <w:rPr>
          <w:rFonts w:ascii="Times New Roman" w:hAnsi="Times New Roman"/>
        </w:rPr>
        <w:t>. He</w:t>
      </w:r>
      <w:r w:rsidRPr="00EC48A0">
        <w:rPr>
          <w:rFonts w:ascii="Times New Roman" w:hAnsi="Times New Roman"/>
        </w:rPr>
        <w:t xml:space="preserve"> never </w:t>
      </w:r>
      <w:r w:rsidR="00127211" w:rsidRPr="00EC48A0">
        <w:rPr>
          <w:rFonts w:ascii="Times New Roman" w:hAnsi="Times New Roman"/>
        </w:rPr>
        <w:t xml:space="preserve">carried on </w:t>
      </w:r>
      <w:r w:rsidRPr="00EC48A0">
        <w:rPr>
          <w:rFonts w:ascii="Times New Roman" w:hAnsi="Times New Roman"/>
        </w:rPr>
        <w:t>any boat repair business</w:t>
      </w:r>
      <w:r w:rsidRPr="00EC48A0">
        <w:rPr>
          <w:rStyle w:val="FootnoteReference"/>
          <w:rFonts w:ascii="Times New Roman" w:hAnsi="Times New Roman"/>
          <w:sz w:val="24"/>
        </w:rPr>
        <w:footnoteReference w:id="36"/>
      </w:r>
      <w:r w:rsidRPr="00EC48A0">
        <w:rPr>
          <w:rFonts w:ascii="Times New Roman" w:hAnsi="Times New Roman"/>
        </w:rPr>
        <w:t>.</w:t>
      </w:r>
    </w:p>
    <w:p w14:paraId="5F5A7FFF" w14:textId="3E756FED" w:rsidR="004F4E4E" w:rsidRPr="00EC48A0" w:rsidRDefault="00F93E02" w:rsidP="00EC48A0">
      <w:pPr>
        <w:pStyle w:val="FixListStyle"/>
        <w:spacing w:after="260" w:line="280" w:lineRule="exact"/>
        <w:ind w:right="0"/>
        <w:jc w:val="both"/>
        <w:rPr>
          <w:rFonts w:ascii="Times New Roman" w:hAnsi="Times New Roman"/>
        </w:rPr>
      </w:pPr>
      <w:r w:rsidRPr="00EC48A0">
        <w:rPr>
          <w:rFonts w:ascii="Times New Roman" w:hAnsi="Times New Roman"/>
        </w:rPr>
        <w:lastRenderedPageBreak/>
        <w:tab/>
      </w:r>
      <w:r w:rsidR="002B2FE5" w:rsidRPr="00EC48A0">
        <w:rPr>
          <w:rFonts w:ascii="Times New Roman" w:hAnsi="Times New Roman"/>
        </w:rPr>
        <w:t>The first month's interest having been paid in advance by the funds received from the second loan, the appellant mana</w:t>
      </w:r>
      <w:r w:rsidR="004662E7" w:rsidRPr="00EC48A0">
        <w:rPr>
          <w:rFonts w:ascii="Times New Roman" w:hAnsi="Times New Roman"/>
        </w:rPr>
        <w:t>g</w:t>
      </w:r>
      <w:r w:rsidR="002B2FE5" w:rsidRPr="00EC48A0">
        <w:rPr>
          <w:rFonts w:ascii="Times New Roman" w:hAnsi="Times New Roman"/>
        </w:rPr>
        <w:t xml:space="preserve">ed to sell some assets to pay off the second </w:t>
      </w:r>
      <w:r w:rsidR="004662E7" w:rsidRPr="00EC48A0">
        <w:rPr>
          <w:rFonts w:ascii="Times New Roman" w:hAnsi="Times New Roman"/>
        </w:rPr>
        <w:t>month's interest</w:t>
      </w:r>
      <w:r w:rsidR="00642980" w:rsidRPr="00EC48A0">
        <w:rPr>
          <w:rFonts w:ascii="Times New Roman" w:hAnsi="Times New Roman"/>
        </w:rPr>
        <w:t>.</w:t>
      </w:r>
      <w:r w:rsidR="004662E7" w:rsidRPr="00EC48A0">
        <w:rPr>
          <w:rFonts w:ascii="Times New Roman" w:hAnsi="Times New Roman"/>
        </w:rPr>
        <w:t xml:space="preserve"> However, on 30 December 2015, the company defaulted on the third month's interest payments</w:t>
      </w:r>
      <w:r w:rsidR="00385509" w:rsidRPr="00EC48A0">
        <w:rPr>
          <w:rStyle w:val="FootnoteReference"/>
          <w:rFonts w:ascii="Times New Roman" w:hAnsi="Times New Roman"/>
          <w:sz w:val="24"/>
        </w:rPr>
        <w:footnoteReference w:id="37"/>
      </w:r>
      <w:r w:rsidR="004662E7" w:rsidRPr="00EC48A0">
        <w:rPr>
          <w:rFonts w:ascii="Times New Roman" w:hAnsi="Times New Roman"/>
        </w:rPr>
        <w:t xml:space="preserve">. </w:t>
      </w:r>
      <w:r w:rsidR="00D76BC9" w:rsidRPr="00EC48A0">
        <w:rPr>
          <w:rFonts w:ascii="Times New Roman" w:hAnsi="Times New Roman"/>
        </w:rPr>
        <w:t>T</w:t>
      </w:r>
      <w:r w:rsidRPr="00EC48A0">
        <w:rPr>
          <w:rFonts w:ascii="Times New Roman" w:hAnsi="Times New Roman"/>
        </w:rPr>
        <w:t xml:space="preserve">he respondents </w:t>
      </w:r>
      <w:r w:rsidR="00D76BC9" w:rsidRPr="00EC48A0">
        <w:rPr>
          <w:rFonts w:ascii="Times New Roman" w:hAnsi="Times New Roman"/>
        </w:rPr>
        <w:t xml:space="preserve">commenced </w:t>
      </w:r>
      <w:r w:rsidRPr="00EC48A0">
        <w:rPr>
          <w:rFonts w:ascii="Times New Roman" w:hAnsi="Times New Roman"/>
        </w:rPr>
        <w:t xml:space="preserve">proceedings </w:t>
      </w:r>
      <w:r w:rsidR="0098381C" w:rsidRPr="00EC48A0">
        <w:rPr>
          <w:rFonts w:ascii="Times New Roman" w:hAnsi="Times New Roman"/>
        </w:rPr>
        <w:t xml:space="preserve">against the appellant, seeking </w:t>
      </w:r>
      <w:r w:rsidRPr="00EC48A0">
        <w:rPr>
          <w:rFonts w:ascii="Times New Roman" w:hAnsi="Times New Roman"/>
        </w:rPr>
        <w:t xml:space="preserve">to enforce </w:t>
      </w:r>
      <w:r w:rsidR="0098381C" w:rsidRPr="00EC48A0">
        <w:rPr>
          <w:rFonts w:ascii="Times New Roman" w:hAnsi="Times New Roman"/>
        </w:rPr>
        <w:t xml:space="preserve">the guarantee and </w:t>
      </w:r>
      <w:r w:rsidRPr="00EC48A0">
        <w:rPr>
          <w:rFonts w:ascii="Times New Roman" w:hAnsi="Times New Roman"/>
        </w:rPr>
        <w:t xml:space="preserve">their </w:t>
      </w:r>
      <w:r w:rsidR="00C578B7" w:rsidRPr="00EC48A0">
        <w:rPr>
          <w:rFonts w:ascii="Times New Roman" w:hAnsi="Times New Roman"/>
        </w:rPr>
        <w:t xml:space="preserve">rights as </w:t>
      </w:r>
      <w:r w:rsidRPr="00EC48A0">
        <w:rPr>
          <w:rFonts w:ascii="Times New Roman" w:hAnsi="Times New Roman"/>
        </w:rPr>
        <w:t>mortgage</w:t>
      </w:r>
      <w:r w:rsidR="00C578B7" w:rsidRPr="00EC48A0">
        <w:rPr>
          <w:rFonts w:ascii="Times New Roman" w:hAnsi="Times New Roman"/>
        </w:rPr>
        <w:t>es</w:t>
      </w:r>
      <w:r w:rsidRPr="00EC48A0">
        <w:rPr>
          <w:rFonts w:ascii="Times New Roman" w:hAnsi="Times New Roman"/>
        </w:rPr>
        <w:t xml:space="preserve"> of the two Narre Warren properties and the Fingal property. </w:t>
      </w:r>
    </w:p>
    <w:p w14:paraId="3604FABF" w14:textId="78482B77" w:rsidR="00CC38C0" w:rsidRPr="00EC48A0" w:rsidRDefault="00425E34" w:rsidP="00EC48A0">
      <w:pPr>
        <w:pStyle w:val="HeadingL1"/>
        <w:spacing w:after="260" w:line="280" w:lineRule="exact"/>
        <w:ind w:right="0"/>
        <w:jc w:val="both"/>
        <w:rPr>
          <w:rFonts w:ascii="Times New Roman" w:hAnsi="Times New Roman"/>
        </w:rPr>
      </w:pPr>
      <w:r w:rsidRPr="00EC48A0">
        <w:rPr>
          <w:rFonts w:ascii="Times New Roman" w:hAnsi="Times New Roman"/>
        </w:rPr>
        <w:t>The primary judge</w:t>
      </w:r>
    </w:p>
    <w:p w14:paraId="7BAE7711" w14:textId="32A983D3" w:rsidR="00AE6383" w:rsidRPr="00EC48A0" w:rsidRDefault="00B8218C"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DE75BF" w:rsidRPr="00EC48A0">
        <w:rPr>
          <w:rFonts w:ascii="Times New Roman" w:hAnsi="Times New Roman"/>
        </w:rPr>
        <w:t xml:space="preserve">The primary judge </w:t>
      </w:r>
      <w:r w:rsidR="002B3F95" w:rsidRPr="00EC48A0">
        <w:rPr>
          <w:rFonts w:ascii="Times New Roman" w:hAnsi="Times New Roman"/>
        </w:rPr>
        <w:t>found</w:t>
      </w:r>
      <w:r w:rsidR="00DE75BF" w:rsidRPr="00EC48A0">
        <w:rPr>
          <w:rFonts w:ascii="Times New Roman" w:hAnsi="Times New Roman"/>
        </w:rPr>
        <w:t xml:space="preserve"> that the appellant </w:t>
      </w:r>
      <w:r w:rsidR="003E4D24" w:rsidRPr="00EC48A0">
        <w:rPr>
          <w:rFonts w:ascii="Times New Roman" w:hAnsi="Times New Roman"/>
        </w:rPr>
        <w:t xml:space="preserve">laboured </w:t>
      </w:r>
      <w:r w:rsidR="00DE75BF" w:rsidRPr="00EC48A0">
        <w:rPr>
          <w:rFonts w:ascii="Times New Roman" w:hAnsi="Times New Roman"/>
        </w:rPr>
        <w:t xml:space="preserve">under </w:t>
      </w:r>
      <w:r w:rsidR="003E4D24" w:rsidRPr="00EC48A0">
        <w:rPr>
          <w:rFonts w:ascii="Times New Roman" w:hAnsi="Times New Roman"/>
        </w:rPr>
        <w:t xml:space="preserve">circumstances of </w:t>
      </w:r>
      <w:r w:rsidR="00DE75BF" w:rsidRPr="00EC48A0">
        <w:rPr>
          <w:rFonts w:ascii="Times New Roman" w:hAnsi="Times New Roman"/>
        </w:rPr>
        <w:t>"special disadvantage"</w:t>
      </w:r>
      <w:r w:rsidR="002B3F95" w:rsidRPr="00EC48A0">
        <w:rPr>
          <w:rFonts w:ascii="Times New Roman" w:hAnsi="Times New Roman"/>
        </w:rPr>
        <w:t xml:space="preserve">. </w:t>
      </w:r>
      <w:r w:rsidR="000F3574" w:rsidRPr="00EC48A0">
        <w:rPr>
          <w:rFonts w:ascii="Times New Roman" w:hAnsi="Times New Roman"/>
        </w:rPr>
        <w:t>His</w:t>
      </w:r>
      <w:r w:rsidR="00F22B10" w:rsidRPr="00EC48A0">
        <w:rPr>
          <w:rFonts w:ascii="Times New Roman" w:hAnsi="Times New Roman"/>
        </w:rPr>
        <w:t> </w:t>
      </w:r>
      <w:r w:rsidR="000F3574" w:rsidRPr="00EC48A0">
        <w:rPr>
          <w:rFonts w:ascii="Times New Roman" w:hAnsi="Times New Roman"/>
        </w:rPr>
        <w:t xml:space="preserve">Honour </w:t>
      </w:r>
      <w:r w:rsidR="002B3F95" w:rsidRPr="00EC48A0">
        <w:rPr>
          <w:rFonts w:ascii="Times New Roman" w:hAnsi="Times New Roman"/>
        </w:rPr>
        <w:t xml:space="preserve">described the appellant's financial position as "bleak". Notably, </w:t>
      </w:r>
      <w:r w:rsidR="00263106" w:rsidRPr="00EC48A0">
        <w:rPr>
          <w:rFonts w:ascii="Times New Roman" w:hAnsi="Times New Roman"/>
        </w:rPr>
        <w:t xml:space="preserve">in this regard, </w:t>
      </w:r>
      <w:r w:rsidR="002B3F95" w:rsidRPr="00EC48A0">
        <w:rPr>
          <w:rFonts w:ascii="Times New Roman" w:hAnsi="Times New Roman"/>
        </w:rPr>
        <w:t>the Narre Warren properties were the appellant's only assets</w:t>
      </w:r>
      <w:r w:rsidR="00304B8D" w:rsidRPr="00EC48A0">
        <w:rPr>
          <w:rFonts w:ascii="Times New Roman" w:hAnsi="Times New Roman"/>
        </w:rPr>
        <w:t xml:space="preserve"> of any value</w:t>
      </w:r>
      <w:r w:rsidR="002B3F95" w:rsidRPr="00EC48A0">
        <w:rPr>
          <w:rStyle w:val="FootnoteReference"/>
          <w:rFonts w:ascii="Times New Roman" w:hAnsi="Times New Roman"/>
          <w:sz w:val="24"/>
        </w:rPr>
        <w:footnoteReference w:id="38"/>
      </w:r>
      <w:r w:rsidR="002B3F95" w:rsidRPr="00EC48A0">
        <w:rPr>
          <w:rFonts w:ascii="Times New Roman" w:hAnsi="Times New Roman"/>
        </w:rPr>
        <w:t>.</w:t>
      </w:r>
      <w:r w:rsidR="00DE75BF" w:rsidRPr="00EC48A0">
        <w:rPr>
          <w:rFonts w:ascii="Times New Roman" w:hAnsi="Times New Roman"/>
        </w:rPr>
        <w:t xml:space="preserve"> </w:t>
      </w:r>
      <w:r w:rsidR="00263106" w:rsidRPr="00EC48A0">
        <w:rPr>
          <w:rFonts w:ascii="Times New Roman" w:hAnsi="Times New Roman"/>
        </w:rPr>
        <w:t xml:space="preserve">The primary judge also found that the appellant was </w:t>
      </w:r>
      <w:r w:rsidR="00DE75BF" w:rsidRPr="00EC48A0">
        <w:rPr>
          <w:rFonts w:ascii="Times New Roman" w:hAnsi="Times New Roman"/>
        </w:rPr>
        <w:t>"unsophisticated, na</w:t>
      </w:r>
      <w:r w:rsidR="00C1666A" w:rsidRPr="00EC48A0">
        <w:rPr>
          <w:rFonts w:ascii="Times New Roman" w:hAnsi="Times New Roman"/>
        </w:rPr>
        <w:t>ï</w:t>
      </w:r>
      <w:r w:rsidR="00DE75BF" w:rsidRPr="00EC48A0">
        <w:rPr>
          <w:rFonts w:ascii="Times New Roman" w:hAnsi="Times New Roman"/>
        </w:rPr>
        <w:t>ve and had little financial nous"</w:t>
      </w:r>
      <w:r w:rsidR="00DE75BF" w:rsidRPr="00EC48A0">
        <w:rPr>
          <w:rStyle w:val="FootnoteReference"/>
          <w:rFonts w:ascii="Times New Roman" w:hAnsi="Times New Roman"/>
          <w:sz w:val="24"/>
        </w:rPr>
        <w:footnoteReference w:id="39"/>
      </w:r>
      <w:r w:rsidR="00DE75BF" w:rsidRPr="00EC48A0">
        <w:rPr>
          <w:rFonts w:ascii="Times New Roman" w:hAnsi="Times New Roman"/>
        </w:rPr>
        <w:t>.</w:t>
      </w:r>
      <w:r w:rsidR="00304B8D" w:rsidRPr="00EC48A0">
        <w:rPr>
          <w:rFonts w:ascii="Times New Roman" w:hAnsi="Times New Roman"/>
        </w:rPr>
        <w:t xml:space="preserve"> T</w:t>
      </w:r>
      <w:r w:rsidR="00DE75BF" w:rsidRPr="00EC48A0">
        <w:rPr>
          <w:rFonts w:ascii="Times New Roman" w:hAnsi="Times New Roman"/>
        </w:rPr>
        <w:t xml:space="preserve">he primary judge </w:t>
      </w:r>
      <w:r w:rsidR="00C8395C" w:rsidRPr="00EC48A0">
        <w:rPr>
          <w:rFonts w:ascii="Times New Roman" w:hAnsi="Times New Roman"/>
        </w:rPr>
        <w:t xml:space="preserve">observed </w:t>
      </w:r>
      <w:r w:rsidR="00DE75BF" w:rsidRPr="00EC48A0">
        <w:rPr>
          <w:rFonts w:ascii="Times New Roman" w:hAnsi="Times New Roman"/>
        </w:rPr>
        <w:t>that the appellant</w:t>
      </w:r>
      <w:r w:rsidR="00DD16A0" w:rsidRPr="00EC48A0">
        <w:rPr>
          <w:rFonts w:ascii="Times New Roman" w:hAnsi="Times New Roman"/>
        </w:rPr>
        <w:t>'s demeanour at trial</w:t>
      </w:r>
      <w:r w:rsidR="00767539" w:rsidRPr="00EC48A0">
        <w:rPr>
          <w:rFonts w:ascii="Times New Roman" w:hAnsi="Times New Roman"/>
        </w:rPr>
        <w:t> </w:t>
      </w:r>
      <w:r w:rsidR="00DD16A0" w:rsidRPr="00EC48A0">
        <w:rPr>
          <w:rFonts w:ascii="Times New Roman" w:hAnsi="Times New Roman"/>
        </w:rPr>
        <w:t>– at which he represented himself</w:t>
      </w:r>
      <w:r w:rsidR="00F22B10" w:rsidRPr="00EC48A0">
        <w:rPr>
          <w:rFonts w:ascii="Times New Roman" w:hAnsi="Times New Roman"/>
        </w:rPr>
        <w:t> </w:t>
      </w:r>
      <w:r w:rsidR="00DD16A0" w:rsidRPr="00EC48A0">
        <w:rPr>
          <w:rFonts w:ascii="Times New Roman" w:hAnsi="Times New Roman"/>
        </w:rPr>
        <w:t xml:space="preserve">– indicated that he </w:t>
      </w:r>
      <w:r w:rsidR="00DE75BF" w:rsidRPr="00EC48A0">
        <w:rPr>
          <w:rFonts w:ascii="Times New Roman" w:hAnsi="Times New Roman"/>
        </w:rPr>
        <w:t>was "completely lost, totally unsophisticated, incompetent and vulnerable"</w:t>
      </w:r>
      <w:r w:rsidR="00DE75BF" w:rsidRPr="00EC48A0">
        <w:rPr>
          <w:rStyle w:val="FootnoteReference"/>
          <w:rFonts w:ascii="Times New Roman" w:hAnsi="Times New Roman"/>
          <w:sz w:val="24"/>
        </w:rPr>
        <w:footnoteReference w:id="40"/>
      </w:r>
      <w:r w:rsidR="00DE75BF" w:rsidRPr="00EC48A0">
        <w:rPr>
          <w:rFonts w:ascii="Times New Roman" w:hAnsi="Times New Roman"/>
        </w:rPr>
        <w:t xml:space="preserve">. </w:t>
      </w:r>
    </w:p>
    <w:p w14:paraId="50063C16" w14:textId="73911DBF" w:rsidR="00D1138A" w:rsidRPr="00EC48A0" w:rsidRDefault="00AE6383"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DA1944" w:rsidRPr="00EC48A0">
        <w:rPr>
          <w:rFonts w:ascii="Times New Roman" w:hAnsi="Times New Roman"/>
        </w:rPr>
        <w:t xml:space="preserve">The primary judge found that </w:t>
      </w:r>
      <w:r w:rsidR="006832A3" w:rsidRPr="00EC48A0">
        <w:rPr>
          <w:rFonts w:ascii="Times New Roman" w:hAnsi="Times New Roman"/>
        </w:rPr>
        <w:t>Mr </w:t>
      </w:r>
      <w:proofErr w:type="spellStart"/>
      <w:r w:rsidR="006832A3" w:rsidRPr="00EC48A0">
        <w:rPr>
          <w:rFonts w:ascii="Times New Roman" w:hAnsi="Times New Roman"/>
        </w:rPr>
        <w:t>Jeruzalski</w:t>
      </w:r>
      <w:proofErr w:type="spellEnd"/>
      <w:r w:rsidR="00DA1944" w:rsidRPr="00EC48A0">
        <w:rPr>
          <w:rFonts w:ascii="Times New Roman" w:hAnsi="Times New Roman"/>
        </w:rPr>
        <w:t xml:space="preserve"> </w:t>
      </w:r>
      <w:r w:rsidR="006832A3" w:rsidRPr="00EC48A0">
        <w:rPr>
          <w:rFonts w:ascii="Times New Roman" w:hAnsi="Times New Roman"/>
        </w:rPr>
        <w:t xml:space="preserve">"[did] not </w:t>
      </w:r>
      <w:r w:rsidR="00A41058" w:rsidRPr="00EC48A0">
        <w:rPr>
          <w:rFonts w:ascii="Times New Roman" w:hAnsi="Times New Roman"/>
        </w:rPr>
        <w:t xml:space="preserve">seek or </w:t>
      </w:r>
      <w:r w:rsidR="006832A3" w:rsidRPr="00EC48A0">
        <w:rPr>
          <w:rFonts w:ascii="Times New Roman" w:hAnsi="Times New Roman"/>
        </w:rPr>
        <w:t>want any further information about the guarantor or his or her personal</w:t>
      </w:r>
      <w:r w:rsidR="00B100D6" w:rsidRPr="00EC48A0">
        <w:rPr>
          <w:rFonts w:ascii="Times New Roman" w:hAnsi="Times New Roman"/>
        </w:rPr>
        <w:t xml:space="preserve"> or</w:t>
      </w:r>
      <w:r w:rsidR="006832A3" w:rsidRPr="00EC48A0">
        <w:rPr>
          <w:rFonts w:ascii="Times New Roman" w:hAnsi="Times New Roman"/>
        </w:rPr>
        <w:t xml:space="preserve"> financial circumstances"</w:t>
      </w:r>
      <w:r w:rsidR="00154978" w:rsidRPr="00EC48A0">
        <w:rPr>
          <w:rStyle w:val="FootnoteReference"/>
          <w:rFonts w:ascii="Times New Roman" w:hAnsi="Times New Roman"/>
          <w:sz w:val="24"/>
        </w:rPr>
        <w:footnoteReference w:id="41"/>
      </w:r>
      <w:r w:rsidR="006832A3" w:rsidRPr="00EC48A0">
        <w:rPr>
          <w:rFonts w:ascii="Times New Roman" w:hAnsi="Times New Roman"/>
        </w:rPr>
        <w:t>.</w:t>
      </w:r>
      <w:r w:rsidR="008B7EAC" w:rsidRPr="00EC48A0">
        <w:rPr>
          <w:rFonts w:ascii="Times New Roman" w:hAnsi="Times New Roman"/>
        </w:rPr>
        <w:t xml:space="preserve"> </w:t>
      </w:r>
      <w:r w:rsidR="00DA4C19" w:rsidRPr="00EC48A0">
        <w:rPr>
          <w:rFonts w:ascii="Times New Roman" w:hAnsi="Times New Roman"/>
        </w:rPr>
        <w:t>Mr </w:t>
      </w:r>
      <w:proofErr w:type="spellStart"/>
      <w:r w:rsidR="00DA4C19" w:rsidRPr="00EC48A0">
        <w:rPr>
          <w:rFonts w:ascii="Times New Roman" w:hAnsi="Times New Roman"/>
        </w:rPr>
        <w:t>Jeruzalski's</w:t>
      </w:r>
      <w:proofErr w:type="spellEnd"/>
      <w:r w:rsidR="00DA4C19" w:rsidRPr="00EC48A0">
        <w:rPr>
          <w:rFonts w:ascii="Times New Roman" w:hAnsi="Times New Roman"/>
        </w:rPr>
        <w:t xml:space="preserve"> attitude</w:t>
      </w:r>
      <w:r w:rsidR="00D623A2" w:rsidRPr="00EC48A0">
        <w:rPr>
          <w:rFonts w:ascii="Times New Roman" w:hAnsi="Times New Roman"/>
        </w:rPr>
        <w:t xml:space="preserve"> in this regard</w:t>
      </w:r>
      <w:r w:rsidR="00DA4C19" w:rsidRPr="00EC48A0">
        <w:rPr>
          <w:rFonts w:ascii="Times New Roman" w:hAnsi="Times New Roman"/>
        </w:rPr>
        <w:t xml:space="preserve"> conformed to the standard practice </w:t>
      </w:r>
      <w:r w:rsidR="00A31255" w:rsidRPr="00EC48A0">
        <w:rPr>
          <w:rFonts w:ascii="Times New Roman" w:hAnsi="Times New Roman"/>
        </w:rPr>
        <w:t>of</w:t>
      </w:r>
      <w:r w:rsidR="00DA4C19" w:rsidRPr="00EC48A0">
        <w:rPr>
          <w:rFonts w:ascii="Times New Roman" w:hAnsi="Times New Roman"/>
        </w:rPr>
        <w:t xml:space="preserve"> AJ</w:t>
      </w:r>
      <w:r w:rsidR="003B2180" w:rsidRPr="00EC48A0">
        <w:rPr>
          <w:rFonts w:ascii="Times New Roman" w:hAnsi="Times New Roman"/>
        </w:rPr>
        <w:t> </w:t>
      </w:r>
      <w:r w:rsidR="00DA4C19" w:rsidRPr="00EC48A0">
        <w:rPr>
          <w:rFonts w:ascii="Times New Roman" w:hAnsi="Times New Roman"/>
        </w:rPr>
        <w:t xml:space="preserve">Lawyers </w:t>
      </w:r>
      <w:r w:rsidR="003B2180" w:rsidRPr="00EC48A0">
        <w:rPr>
          <w:rFonts w:ascii="Times New Roman" w:hAnsi="Times New Roman"/>
        </w:rPr>
        <w:t xml:space="preserve">of </w:t>
      </w:r>
      <w:r w:rsidR="00A31255" w:rsidRPr="00EC48A0">
        <w:rPr>
          <w:rFonts w:ascii="Times New Roman" w:hAnsi="Times New Roman"/>
        </w:rPr>
        <w:t>making</w:t>
      </w:r>
      <w:r w:rsidR="00DA4C19" w:rsidRPr="00EC48A0">
        <w:rPr>
          <w:rFonts w:ascii="Times New Roman" w:hAnsi="Times New Roman"/>
        </w:rPr>
        <w:t xml:space="preserve"> no inquiries as to a borrower's capacity to repay the </w:t>
      </w:r>
      <w:proofErr w:type="gramStart"/>
      <w:r w:rsidR="00DA4C19" w:rsidRPr="00EC48A0">
        <w:rPr>
          <w:rFonts w:ascii="Times New Roman" w:hAnsi="Times New Roman"/>
        </w:rPr>
        <w:t>loan, and</w:t>
      </w:r>
      <w:proofErr w:type="gramEnd"/>
      <w:r w:rsidR="00DA4C19" w:rsidRPr="00EC48A0">
        <w:rPr>
          <w:rFonts w:ascii="Times New Roman" w:hAnsi="Times New Roman"/>
        </w:rPr>
        <w:t xml:space="preserve"> </w:t>
      </w:r>
      <w:r w:rsidR="003B2180" w:rsidRPr="00EC48A0">
        <w:rPr>
          <w:rFonts w:ascii="Times New Roman" w:hAnsi="Times New Roman"/>
        </w:rPr>
        <w:t xml:space="preserve">having </w:t>
      </w:r>
      <w:r w:rsidR="00DA4C19" w:rsidRPr="00EC48A0">
        <w:rPr>
          <w:rFonts w:ascii="Times New Roman" w:hAnsi="Times New Roman"/>
        </w:rPr>
        <w:t xml:space="preserve">no contact with borrowers save </w:t>
      </w:r>
      <w:r w:rsidR="00570D22" w:rsidRPr="00EC48A0">
        <w:rPr>
          <w:rFonts w:ascii="Times New Roman" w:hAnsi="Times New Roman"/>
        </w:rPr>
        <w:t xml:space="preserve">for </w:t>
      </w:r>
      <w:r w:rsidR="00DA4C19" w:rsidRPr="00EC48A0">
        <w:rPr>
          <w:rFonts w:ascii="Times New Roman" w:hAnsi="Times New Roman"/>
        </w:rPr>
        <w:t>written correspondence and documentation</w:t>
      </w:r>
      <w:r w:rsidR="00DA4C19" w:rsidRPr="00EC48A0">
        <w:rPr>
          <w:rStyle w:val="FootnoteReference"/>
          <w:rFonts w:ascii="Times New Roman" w:hAnsi="Times New Roman"/>
          <w:sz w:val="24"/>
        </w:rPr>
        <w:footnoteReference w:id="42"/>
      </w:r>
      <w:r w:rsidR="00DA4C19" w:rsidRPr="00EC48A0">
        <w:rPr>
          <w:rFonts w:ascii="Times New Roman" w:hAnsi="Times New Roman"/>
        </w:rPr>
        <w:t>.</w:t>
      </w:r>
      <w:r w:rsidR="005E0276" w:rsidRPr="00EC48A0">
        <w:rPr>
          <w:rFonts w:ascii="Times New Roman" w:hAnsi="Times New Roman"/>
        </w:rPr>
        <w:t xml:space="preserve"> </w:t>
      </w:r>
    </w:p>
    <w:p w14:paraId="41823CED" w14:textId="0326F877" w:rsidR="00E058F7" w:rsidRPr="00EC48A0" w:rsidRDefault="009133A1"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C5E39" w:rsidRPr="00EC48A0">
        <w:rPr>
          <w:rFonts w:ascii="Times New Roman" w:hAnsi="Times New Roman"/>
        </w:rPr>
        <w:t>The primary judge found that Mr </w:t>
      </w:r>
      <w:proofErr w:type="spellStart"/>
      <w:r w:rsidR="00FC5E39" w:rsidRPr="00EC48A0">
        <w:rPr>
          <w:rFonts w:ascii="Times New Roman" w:hAnsi="Times New Roman"/>
        </w:rPr>
        <w:t>Jeruzalski</w:t>
      </w:r>
      <w:proofErr w:type="spellEnd"/>
      <w:r w:rsidR="00FC5E39" w:rsidRPr="00EC48A0">
        <w:rPr>
          <w:rFonts w:ascii="Times New Roman" w:hAnsi="Times New Roman"/>
        </w:rPr>
        <w:t xml:space="preserve"> knew that the loans were "a risky and dangerous undertaking for [the appellant]"</w:t>
      </w:r>
      <w:r w:rsidR="00FC5E39" w:rsidRPr="00EC48A0">
        <w:rPr>
          <w:rStyle w:val="FootnoteReference"/>
          <w:rFonts w:ascii="Times New Roman" w:hAnsi="Times New Roman"/>
          <w:sz w:val="24"/>
        </w:rPr>
        <w:footnoteReference w:id="43"/>
      </w:r>
      <w:r w:rsidR="00FC5E39" w:rsidRPr="00EC48A0">
        <w:rPr>
          <w:rFonts w:ascii="Times New Roman" w:hAnsi="Times New Roman"/>
        </w:rPr>
        <w:t xml:space="preserve"> because of the high interest </w:t>
      </w:r>
      <w:r w:rsidR="00FC5E39" w:rsidRPr="00EC48A0">
        <w:rPr>
          <w:rFonts w:ascii="Times New Roman" w:hAnsi="Times New Roman"/>
        </w:rPr>
        <w:lastRenderedPageBreak/>
        <w:t>rates, the risk to the appellant of the cost of forced sales, and the consequential impact of a default</w:t>
      </w:r>
      <w:r w:rsidR="00CF1BD5" w:rsidRPr="00EC48A0">
        <w:rPr>
          <w:rFonts w:ascii="Times New Roman" w:hAnsi="Times New Roman"/>
        </w:rPr>
        <w:t xml:space="preserve"> upon the appellant</w:t>
      </w:r>
      <w:r w:rsidR="00FC5E39" w:rsidRPr="00EC48A0">
        <w:rPr>
          <w:rStyle w:val="FootnoteReference"/>
          <w:rFonts w:ascii="Times New Roman" w:hAnsi="Times New Roman"/>
          <w:sz w:val="24"/>
        </w:rPr>
        <w:footnoteReference w:id="44"/>
      </w:r>
      <w:r w:rsidR="00FC5E39" w:rsidRPr="00EC48A0">
        <w:rPr>
          <w:rFonts w:ascii="Times New Roman" w:hAnsi="Times New Roman"/>
        </w:rPr>
        <w:t>.</w:t>
      </w:r>
      <w:r w:rsidR="005B28AF" w:rsidRPr="00EC48A0">
        <w:rPr>
          <w:rFonts w:ascii="Times New Roman" w:hAnsi="Times New Roman"/>
        </w:rPr>
        <w:t xml:space="preserve"> </w:t>
      </w:r>
    </w:p>
    <w:p w14:paraId="4C85F9F2" w14:textId="1324F88E" w:rsidR="001F763D" w:rsidRPr="00EC48A0" w:rsidRDefault="00FC5E39"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F7360" w:rsidRPr="00EC48A0">
        <w:rPr>
          <w:rFonts w:ascii="Times New Roman" w:hAnsi="Times New Roman"/>
        </w:rPr>
        <w:t>T</w:t>
      </w:r>
      <w:r w:rsidR="0057335A" w:rsidRPr="00EC48A0">
        <w:rPr>
          <w:rFonts w:ascii="Times New Roman" w:hAnsi="Times New Roman"/>
        </w:rPr>
        <w:t>he primary judge</w:t>
      </w:r>
      <w:r w:rsidR="00FF7360" w:rsidRPr="00EC48A0">
        <w:rPr>
          <w:rFonts w:ascii="Times New Roman" w:hAnsi="Times New Roman"/>
        </w:rPr>
        <w:t xml:space="preserve"> concluded</w:t>
      </w:r>
      <w:r w:rsidR="0057335A" w:rsidRPr="00EC48A0">
        <w:rPr>
          <w:rFonts w:ascii="Times New Roman" w:hAnsi="Times New Roman"/>
        </w:rPr>
        <w:t xml:space="preserve"> that </w:t>
      </w:r>
      <w:r w:rsidR="008328F9" w:rsidRPr="00EC48A0">
        <w:rPr>
          <w:rFonts w:ascii="Times New Roman" w:hAnsi="Times New Roman"/>
        </w:rPr>
        <w:t>Mr </w:t>
      </w:r>
      <w:proofErr w:type="spellStart"/>
      <w:r w:rsidR="008328F9" w:rsidRPr="00EC48A0">
        <w:rPr>
          <w:rFonts w:ascii="Times New Roman" w:hAnsi="Times New Roman"/>
        </w:rPr>
        <w:t>Jeruzalski</w:t>
      </w:r>
      <w:proofErr w:type="spellEnd"/>
      <w:r w:rsidR="008328F9" w:rsidRPr="00EC48A0">
        <w:rPr>
          <w:rFonts w:ascii="Times New Roman" w:hAnsi="Times New Roman"/>
        </w:rPr>
        <w:t xml:space="preserve"> "knowingly and deliberately failed to make any inquiries about [the appellant] and whether Mr </w:t>
      </w:r>
      <w:proofErr w:type="spellStart"/>
      <w:r w:rsidR="008328F9" w:rsidRPr="00EC48A0">
        <w:rPr>
          <w:rFonts w:ascii="Times New Roman" w:hAnsi="Times New Roman"/>
        </w:rPr>
        <w:t>Zourkas</w:t>
      </w:r>
      <w:proofErr w:type="spellEnd"/>
      <w:r w:rsidR="008328F9" w:rsidRPr="00EC48A0">
        <w:rPr>
          <w:rFonts w:ascii="Times New Roman" w:hAnsi="Times New Roman"/>
        </w:rPr>
        <w:t xml:space="preserve"> ha</w:t>
      </w:r>
      <w:r w:rsidR="002E614C" w:rsidRPr="00EC48A0">
        <w:rPr>
          <w:rFonts w:ascii="Times New Roman" w:hAnsi="Times New Roman"/>
        </w:rPr>
        <w:t>d</w:t>
      </w:r>
      <w:r w:rsidR="008328F9" w:rsidRPr="00EC48A0">
        <w:rPr>
          <w:rFonts w:ascii="Times New Roman" w:hAnsi="Times New Roman"/>
        </w:rPr>
        <w:t xml:space="preserve"> misled him about [the appellant</w:t>
      </w:r>
      <w:r w:rsidR="00284DBD" w:rsidRPr="00EC48A0">
        <w:rPr>
          <w:rFonts w:ascii="Times New Roman" w:hAnsi="Times New Roman"/>
        </w:rPr>
        <w:t>'s] ability to service the loans, about [the appellant's] understanding of the loans, or about [the appellant's] financial nous and vulnerability</w:t>
      </w:r>
      <w:r w:rsidR="005D74FC" w:rsidRPr="00EC48A0">
        <w:rPr>
          <w:rFonts w:ascii="Times New Roman" w:hAnsi="Times New Roman"/>
        </w:rPr>
        <w:t>"</w:t>
      </w:r>
      <w:r w:rsidR="007354FC" w:rsidRPr="00EC48A0">
        <w:rPr>
          <w:rStyle w:val="FootnoteReference"/>
          <w:rFonts w:ascii="Times New Roman" w:hAnsi="Times New Roman"/>
          <w:sz w:val="24"/>
        </w:rPr>
        <w:footnoteReference w:id="45"/>
      </w:r>
      <w:r w:rsidR="005D74FC" w:rsidRPr="00EC48A0">
        <w:rPr>
          <w:rFonts w:ascii="Times New Roman" w:hAnsi="Times New Roman"/>
        </w:rPr>
        <w:t xml:space="preserve">. </w:t>
      </w:r>
      <w:r w:rsidR="001F763D" w:rsidRPr="00EC48A0">
        <w:rPr>
          <w:rFonts w:ascii="Times New Roman" w:hAnsi="Times New Roman"/>
        </w:rPr>
        <w:t>The primary judge inferred that Mr </w:t>
      </w:r>
      <w:proofErr w:type="spellStart"/>
      <w:r w:rsidR="001F763D" w:rsidRPr="00EC48A0">
        <w:rPr>
          <w:rFonts w:ascii="Times New Roman" w:hAnsi="Times New Roman"/>
        </w:rPr>
        <w:t>Jeruzalski's</w:t>
      </w:r>
      <w:proofErr w:type="spellEnd"/>
      <w:r w:rsidR="001F763D" w:rsidRPr="00EC48A0">
        <w:rPr>
          <w:rFonts w:ascii="Times New Roman" w:hAnsi="Times New Roman"/>
        </w:rPr>
        <w:t xml:space="preserve"> </w:t>
      </w:r>
      <w:r w:rsidR="00F95036" w:rsidRPr="00EC48A0">
        <w:rPr>
          <w:rFonts w:ascii="Times New Roman" w:hAnsi="Times New Roman"/>
        </w:rPr>
        <w:t xml:space="preserve">ostensible indifference to the appellant's financial circumstances reflected </w:t>
      </w:r>
      <w:r w:rsidR="00D12A29" w:rsidRPr="00EC48A0">
        <w:rPr>
          <w:rFonts w:ascii="Times New Roman" w:hAnsi="Times New Roman"/>
        </w:rPr>
        <w:t xml:space="preserve">a </w:t>
      </w:r>
      <w:r w:rsidR="00F95036" w:rsidRPr="00EC48A0">
        <w:rPr>
          <w:rFonts w:ascii="Times New Roman" w:hAnsi="Times New Roman"/>
        </w:rPr>
        <w:t xml:space="preserve">concern </w:t>
      </w:r>
      <w:r w:rsidR="00D12A29" w:rsidRPr="00EC48A0">
        <w:rPr>
          <w:rFonts w:ascii="Times New Roman" w:hAnsi="Times New Roman"/>
        </w:rPr>
        <w:t xml:space="preserve">on his part </w:t>
      </w:r>
      <w:r w:rsidR="00F95036" w:rsidRPr="00EC48A0">
        <w:rPr>
          <w:rFonts w:ascii="Times New Roman" w:hAnsi="Times New Roman"/>
        </w:rPr>
        <w:t>that proof of his knowledge of such matters "would in some way undermine his clients' ability to recover their loans</w:t>
      </w:r>
      <w:r w:rsidR="00AE6CD1" w:rsidRPr="00EC48A0">
        <w:rPr>
          <w:rFonts w:ascii="Times New Roman" w:hAnsi="Times New Roman"/>
        </w:rPr>
        <w:t>"</w:t>
      </w:r>
      <w:r w:rsidR="00AE6CD1" w:rsidRPr="00EC48A0">
        <w:rPr>
          <w:rStyle w:val="FootnoteReference"/>
          <w:rFonts w:ascii="Times New Roman" w:hAnsi="Times New Roman"/>
          <w:sz w:val="24"/>
        </w:rPr>
        <w:footnoteReference w:id="46"/>
      </w:r>
      <w:r w:rsidR="00AD3D1A" w:rsidRPr="00EC48A0">
        <w:rPr>
          <w:rFonts w:ascii="Times New Roman" w:hAnsi="Times New Roman"/>
        </w:rPr>
        <w:t>.</w:t>
      </w:r>
      <w:r w:rsidR="003A3D07" w:rsidRPr="00EC48A0">
        <w:rPr>
          <w:rFonts w:ascii="Times New Roman" w:hAnsi="Times New Roman"/>
        </w:rPr>
        <w:t xml:space="preserve"> The primary judge did not accept that Mr </w:t>
      </w:r>
      <w:proofErr w:type="spellStart"/>
      <w:r w:rsidR="003A3D07" w:rsidRPr="00EC48A0">
        <w:rPr>
          <w:rFonts w:ascii="Times New Roman" w:hAnsi="Times New Roman"/>
        </w:rPr>
        <w:t>K</w:t>
      </w:r>
      <w:r w:rsidR="00381FBB" w:rsidRPr="00EC48A0">
        <w:rPr>
          <w:rFonts w:ascii="Times New Roman" w:hAnsi="Times New Roman"/>
        </w:rPr>
        <w:t>iatos</w:t>
      </w:r>
      <w:proofErr w:type="spellEnd"/>
      <w:r w:rsidR="00381FBB" w:rsidRPr="00EC48A0">
        <w:rPr>
          <w:rFonts w:ascii="Times New Roman" w:hAnsi="Times New Roman"/>
        </w:rPr>
        <w:t xml:space="preserve"> and Mr </w:t>
      </w:r>
      <w:proofErr w:type="spellStart"/>
      <w:r w:rsidR="00381FBB" w:rsidRPr="00EC48A0">
        <w:rPr>
          <w:rFonts w:ascii="Times New Roman" w:hAnsi="Times New Roman"/>
        </w:rPr>
        <w:t>Topalides</w:t>
      </w:r>
      <w:proofErr w:type="spellEnd"/>
      <w:r w:rsidR="00381FBB" w:rsidRPr="00EC48A0">
        <w:rPr>
          <w:rFonts w:ascii="Times New Roman" w:hAnsi="Times New Roman"/>
        </w:rPr>
        <w:t xml:space="preserve"> were truly independent sources of advice for the appellant</w:t>
      </w:r>
      <w:r w:rsidR="004A0F1A" w:rsidRPr="00EC48A0">
        <w:rPr>
          <w:rStyle w:val="FootnoteReference"/>
          <w:rFonts w:ascii="Times New Roman" w:hAnsi="Times New Roman"/>
          <w:sz w:val="24"/>
        </w:rPr>
        <w:footnoteReference w:id="47"/>
      </w:r>
      <w:r w:rsidR="00381FBB" w:rsidRPr="00EC48A0">
        <w:rPr>
          <w:rFonts w:ascii="Times New Roman" w:hAnsi="Times New Roman"/>
        </w:rPr>
        <w:t>.</w:t>
      </w:r>
    </w:p>
    <w:p w14:paraId="3EFCB395" w14:textId="7206D801" w:rsidR="002D7974" w:rsidRPr="00EC48A0" w:rsidRDefault="001F763D"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F7EB7" w:rsidRPr="00EC48A0">
        <w:rPr>
          <w:rFonts w:ascii="Times New Roman" w:hAnsi="Times New Roman"/>
        </w:rPr>
        <w:t xml:space="preserve">The primary judge concluded that </w:t>
      </w:r>
      <w:r w:rsidR="00196206" w:rsidRPr="00EC48A0">
        <w:rPr>
          <w:rFonts w:ascii="Times New Roman" w:hAnsi="Times New Roman"/>
        </w:rPr>
        <w:t xml:space="preserve">these findings </w:t>
      </w:r>
      <w:r w:rsidR="00970DF7" w:rsidRPr="00EC48A0">
        <w:rPr>
          <w:rFonts w:ascii="Times New Roman" w:hAnsi="Times New Roman"/>
        </w:rPr>
        <w:t>demonstrated a "high level of moral obloquy"</w:t>
      </w:r>
      <w:r w:rsidR="00970DF7" w:rsidRPr="00EC48A0">
        <w:rPr>
          <w:rStyle w:val="FootnoteReference"/>
          <w:rFonts w:ascii="Times New Roman" w:hAnsi="Times New Roman"/>
          <w:sz w:val="24"/>
        </w:rPr>
        <w:footnoteReference w:id="48"/>
      </w:r>
      <w:r w:rsidR="005539B4" w:rsidRPr="00EC48A0">
        <w:rPr>
          <w:rFonts w:ascii="Times New Roman" w:hAnsi="Times New Roman"/>
        </w:rPr>
        <w:t xml:space="preserve"> and "wilful blindness" as to the appellant's financial and personal circumstances</w:t>
      </w:r>
      <w:r w:rsidR="0011004B" w:rsidRPr="00EC48A0">
        <w:rPr>
          <w:rStyle w:val="FootnoteReference"/>
          <w:rFonts w:ascii="Times New Roman" w:hAnsi="Times New Roman"/>
          <w:sz w:val="24"/>
        </w:rPr>
        <w:footnoteReference w:id="49"/>
      </w:r>
      <w:r w:rsidR="00F74D96" w:rsidRPr="00EC48A0">
        <w:rPr>
          <w:rFonts w:ascii="Times New Roman" w:hAnsi="Times New Roman"/>
        </w:rPr>
        <w:t xml:space="preserve">. </w:t>
      </w:r>
      <w:r w:rsidR="00077C45" w:rsidRPr="00EC48A0">
        <w:rPr>
          <w:rFonts w:ascii="Times New Roman" w:hAnsi="Times New Roman"/>
        </w:rPr>
        <w:t xml:space="preserve">His Honour </w:t>
      </w:r>
      <w:r w:rsidR="00196206" w:rsidRPr="00EC48A0">
        <w:rPr>
          <w:rFonts w:ascii="Times New Roman" w:hAnsi="Times New Roman"/>
        </w:rPr>
        <w:t xml:space="preserve">found that the loans were procured by unconscionable conduct, and </w:t>
      </w:r>
      <w:r w:rsidR="00CB2F5C" w:rsidRPr="00EC48A0">
        <w:rPr>
          <w:rFonts w:ascii="Times New Roman" w:hAnsi="Times New Roman"/>
        </w:rPr>
        <w:t xml:space="preserve">ordered </w:t>
      </w:r>
      <w:r w:rsidR="000D7715" w:rsidRPr="00EC48A0">
        <w:rPr>
          <w:rFonts w:ascii="Times New Roman" w:hAnsi="Times New Roman"/>
        </w:rPr>
        <w:t>that the mortgage</w:t>
      </w:r>
      <w:r w:rsidR="00CB2F5C" w:rsidRPr="00EC48A0">
        <w:rPr>
          <w:rFonts w:ascii="Times New Roman" w:hAnsi="Times New Roman"/>
        </w:rPr>
        <w:t>s</w:t>
      </w:r>
      <w:r w:rsidR="000D7715" w:rsidRPr="00EC48A0">
        <w:rPr>
          <w:rFonts w:ascii="Times New Roman" w:hAnsi="Times New Roman"/>
        </w:rPr>
        <w:t xml:space="preserve"> be discharged, </w:t>
      </w:r>
      <w:r w:rsidR="00CB2F5C" w:rsidRPr="00EC48A0">
        <w:rPr>
          <w:rFonts w:ascii="Times New Roman" w:hAnsi="Times New Roman"/>
        </w:rPr>
        <w:t xml:space="preserve">and </w:t>
      </w:r>
      <w:r w:rsidR="000D7715" w:rsidRPr="00EC48A0">
        <w:rPr>
          <w:rFonts w:ascii="Times New Roman" w:hAnsi="Times New Roman"/>
        </w:rPr>
        <w:t>the loan agreement be declared unenforceable</w:t>
      </w:r>
      <w:r w:rsidR="00384C42" w:rsidRPr="00EC48A0">
        <w:rPr>
          <w:rStyle w:val="FootnoteReference"/>
          <w:rFonts w:ascii="Times New Roman" w:hAnsi="Times New Roman"/>
          <w:sz w:val="24"/>
        </w:rPr>
        <w:footnoteReference w:id="50"/>
      </w:r>
      <w:r w:rsidR="00384C42" w:rsidRPr="00EC48A0">
        <w:rPr>
          <w:rFonts w:ascii="Times New Roman" w:hAnsi="Times New Roman"/>
        </w:rPr>
        <w:t>.</w:t>
      </w:r>
    </w:p>
    <w:p w14:paraId="2764296A" w14:textId="52E57A54" w:rsidR="00425E34" w:rsidRPr="00EC48A0" w:rsidRDefault="00425E34" w:rsidP="00EC48A0">
      <w:pPr>
        <w:pStyle w:val="HeadingL1"/>
        <w:spacing w:after="260" w:line="280" w:lineRule="exact"/>
        <w:ind w:right="0"/>
        <w:jc w:val="both"/>
        <w:rPr>
          <w:rFonts w:ascii="Times New Roman" w:hAnsi="Times New Roman"/>
        </w:rPr>
      </w:pPr>
      <w:r w:rsidRPr="00EC48A0">
        <w:rPr>
          <w:rFonts w:ascii="Times New Roman" w:hAnsi="Times New Roman"/>
        </w:rPr>
        <w:t>The Court of Appeal</w:t>
      </w:r>
    </w:p>
    <w:p w14:paraId="0C539D6D" w14:textId="1441273B" w:rsidR="00B960C0" w:rsidRPr="00EC48A0" w:rsidRDefault="00F42B9C"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EC41B7" w:rsidRPr="00EC48A0">
        <w:rPr>
          <w:rFonts w:ascii="Times New Roman" w:hAnsi="Times New Roman"/>
        </w:rPr>
        <w:t xml:space="preserve">The Court of Appeal </w:t>
      </w:r>
      <w:r w:rsidR="0055433D" w:rsidRPr="00EC48A0">
        <w:rPr>
          <w:rFonts w:ascii="Times New Roman" w:hAnsi="Times New Roman"/>
        </w:rPr>
        <w:t xml:space="preserve">concluded that </w:t>
      </w:r>
      <w:r w:rsidR="00FE3471" w:rsidRPr="00EC48A0">
        <w:rPr>
          <w:rFonts w:ascii="Times New Roman" w:hAnsi="Times New Roman"/>
        </w:rPr>
        <w:t xml:space="preserve">the primary judge's reasons </w:t>
      </w:r>
      <w:r w:rsidR="0055433D" w:rsidRPr="00EC48A0">
        <w:rPr>
          <w:rFonts w:ascii="Times New Roman" w:hAnsi="Times New Roman"/>
        </w:rPr>
        <w:t xml:space="preserve">reflected </w:t>
      </w:r>
      <w:r w:rsidR="00FE3471" w:rsidRPr="00EC48A0">
        <w:rPr>
          <w:rFonts w:ascii="Times New Roman" w:hAnsi="Times New Roman"/>
        </w:rPr>
        <w:t>an adverse view of asset</w:t>
      </w:r>
      <w:r w:rsidR="00FE3471" w:rsidRPr="00EC48A0">
        <w:rPr>
          <w:rFonts w:ascii="Times New Roman" w:hAnsi="Times New Roman"/>
        </w:rPr>
        <w:noBreakHyphen/>
        <w:t>based lending "a</w:t>
      </w:r>
      <w:r w:rsidR="00197190" w:rsidRPr="00EC48A0">
        <w:rPr>
          <w:rFonts w:ascii="Times New Roman" w:hAnsi="Times New Roman"/>
        </w:rPr>
        <w:t>s a concept"</w:t>
      </w:r>
      <w:r w:rsidR="0055433D" w:rsidRPr="00EC48A0">
        <w:rPr>
          <w:rFonts w:ascii="Times New Roman" w:hAnsi="Times New Roman"/>
        </w:rPr>
        <w:t xml:space="preserve"> and </w:t>
      </w:r>
      <w:r w:rsidR="00197190" w:rsidRPr="00EC48A0">
        <w:rPr>
          <w:rFonts w:ascii="Times New Roman" w:hAnsi="Times New Roman"/>
        </w:rPr>
        <w:t xml:space="preserve">concluded that this adverse view </w:t>
      </w:r>
      <w:r w:rsidR="00ED47C1" w:rsidRPr="00EC48A0">
        <w:rPr>
          <w:rFonts w:ascii="Times New Roman" w:hAnsi="Times New Roman"/>
        </w:rPr>
        <w:t>"overwhelm</w:t>
      </w:r>
      <w:r w:rsidR="00814526" w:rsidRPr="00EC48A0">
        <w:rPr>
          <w:rFonts w:ascii="Times New Roman" w:hAnsi="Times New Roman"/>
        </w:rPr>
        <w:t>ed ... his determination of the unconscionability issue"</w:t>
      </w:r>
      <w:r w:rsidR="00814526" w:rsidRPr="00EC48A0">
        <w:rPr>
          <w:rStyle w:val="FootnoteReference"/>
          <w:rFonts w:ascii="Times New Roman" w:hAnsi="Times New Roman"/>
          <w:sz w:val="24"/>
        </w:rPr>
        <w:footnoteReference w:id="51"/>
      </w:r>
      <w:r w:rsidR="00A70F86" w:rsidRPr="00EC48A0">
        <w:rPr>
          <w:rFonts w:ascii="Times New Roman" w:hAnsi="Times New Roman"/>
        </w:rPr>
        <w:t>.</w:t>
      </w:r>
      <w:r w:rsidR="00386A8A" w:rsidRPr="00EC48A0">
        <w:rPr>
          <w:rFonts w:ascii="Times New Roman" w:hAnsi="Times New Roman"/>
        </w:rPr>
        <w:t xml:space="preserve"> </w:t>
      </w:r>
      <w:r w:rsidR="00B960C0" w:rsidRPr="00EC48A0">
        <w:rPr>
          <w:rFonts w:ascii="Times New Roman" w:hAnsi="Times New Roman"/>
        </w:rPr>
        <w:t>The Court of Appeal was not satisfied that Mr </w:t>
      </w:r>
      <w:proofErr w:type="spellStart"/>
      <w:r w:rsidR="00B960C0" w:rsidRPr="00EC48A0">
        <w:rPr>
          <w:rFonts w:ascii="Times New Roman" w:hAnsi="Times New Roman"/>
        </w:rPr>
        <w:t>Jeruzalski</w:t>
      </w:r>
      <w:proofErr w:type="spellEnd"/>
      <w:r w:rsidR="000D2013" w:rsidRPr="00EC48A0">
        <w:rPr>
          <w:rFonts w:ascii="Times New Roman" w:hAnsi="Times New Roman"/>
        </w:rPr>
        <w:t xml:space="preserve"> had </w:t>
      </w:r>
      <w:r w:rsidR="00B960C0" w:rsidRPr="00EC48A0">
        <w:rPr>
          <w:rFonts w:ascii="Times New Roman" w:hAnsi="Times New Roman"/>
        </w:rPr>
        <w:t xml:space="preserve">either actual or </w:t>
      </w:r>
      <w:r w:rsidR="00B960C0" w:rsidRPr="00EC48A0">
        <w:rPr>
          <w:rFonts w:ascii="Times New Roman" w:hAnsi="Times New Roman"/>
        </w:rPr>
        <w:lastRenderedPageBreak/>
        <w:t xml:space="preserve">constructive knowledge of the appellant's </w:t>
      </w:r>
      <w:r w:rsidR="009325AB" w:rsidRPr="00EC48A0">
        <w:rPr>
          <w:rFonts w:ascii="Times New Roman" w:hAnsi="Times New Roman"/>
        </w:rPr>
        <w:t xml:space="preserve">desperate </w:t>
      </w:r>
      <w:r w:rsidR="00B960C0" w:rsidRPr="00EC48A0">
        <w:rPr>
          <w:rFonts w:ascii="Times New Roman" w:hAnsi="Times New Roman"/>
        </w:rPr>
        <w:t>personal and financial circumstances</w:t>
      </w:r>
      <w:r w:rsidR="00B960C0" w:rsidRPr="00EC48A0">
        <w:rPr>
          <w:rStyle w:val="FootnoteReference"/>
          <w:rFonts w:ascii="Times New Roman" w:hAnsi="Times New Roman"/>
          <w:sz w:val="24"/>
        </w:rPr>
        <w:footnoteReference w:id="52"/>
      </w:r>
      <w:r w:rsidR="00B960C0" w:rsidRPr="00EC48A0">
        <w:rPr>
          <w:rFonts w:ascii="Times New Roman" w:hAnsi="Times New Roman"/>
        </w:rPr>
        <w:t>.</w:t>
      </w:r>
    </w:p>
    <w:p w14:paraId="151253FC" w14:textId="31C643A9" w:rsidR="00767191" w:rsidRPr="00EC48A0" w:rsidRDefault="00B960C0" w:rsidP="00EC48A0">
      <w:pPr>
        <w:pStyle w:val="FixListStyle"/>
        <w:spacing w:after="260" w:line="280" w:lineRule="exact"/>
        <w:ind w:right="0"/>
        <w:jc w:val="both"/>
        <w:rPr>
          <w:rFonts w:ascii="Times New Roman" w:hAnsi="Times New Roman"/>
        </w:rPr>
      </w:pPr>
      <w:r w:rsidRPr="00EC48A0">
        <w:rPr>
          <w:rFonts w:ascii="Times New Roman" w:hAnsi="Times New Roman"/>
        </w:rPr>
        <w:tab/>
        <w:t xml:space="preserve">Importantly in this regard, the Court of Appeal </w:t>
      </w:r>
      <w:r w:rsidR="00696998" w:rsidRPr="00EC48A0">
        <w:rPr>
          <w:rFonts w:ascii="Times New Roman" w:hAnsi="Times New Roman"/>
        </w:rPr>
        <w:t xml:space="preserve">considered </w:t>
      </w:r>
      <w:r w:rsidRPr="00EC48A0">
        <w:rPr>
          <w:rFonts w:ascii="Times New Roman" w:hAnsi="Times New Roman"/>
        </w:rPr>
        <w:t>that Mr </w:t>
      </w:r>
      <w:proofErr w:type="spellStart"/>
      <w:r w:rsidRPr="00EC48A0">
        <w:rPr>
          <w:rFonts w:ascii="Times New Roman" w:hAnsi="Times New Roman"/>
        </w:rPr>
        <w:t>Jeruzalski</w:t>
      </w:r>
      <w:proofErr w:type="spellEnd"/>
      <w:r w:rsidRPr="00EC48A0">
        <w:rPr>
          <w:rFonts w:ascii="Times New Roman" w:hAnsi="Times New Roman"/>
        </w:rPr>
        <w:t xml:space="preserve"> was entitled to rely on the certificates </w:t>
      </w:r>
      <w:r w:rsidR="00967793" w:rsidRPr="00EC48A0">
        <w:rPr>
          <w:rFonts w:ascii="Times New Roman" w:hAnsi="Times New Roman"/>
        </w:rPr>
        <w:t xml:space="preserve">of independent advice </w:t>
      </w:r>
      <w:r w:rsidRPr="00EC48A0">
        <w:rPr>
          <w:rFonts w:ascii="Times New Roman" w:hAnsi="Times New Roman"/>
        </w:rPr>
        <w:t xml:space="preserve">as </w:t>
      </w:r>
      <w:r w:rsidR="00403D40" w:rsidRPr="00EC48A0">
        <w:rPr>
          <w:rFonts w:ascii="Times New Roman" w:hAnsi="Times New Roman"/>
        </w:rPr>
        <w:t>showing</w:t>
      </w:r>
      <w:r w:rsidRPr="00EC48A0">
        <w:rPr>
          <w:rFonts w:ascii="Times New Roman" w:hAnsi="Times New Roman"/>
        </w:rPr>
        <w:t xml:space="preserve"> that the appellant had consulted a solicitor and an accountant</w:t>
      </w:r>
      <w:r w:rsidR="00CE00C2" w:rsidRPr="00EC48A0">
        <w:rPr>
          <w:rFonts w:ascii="Times New Roman" w:hAnsi="Times New Roman"/>
        </w:rPr>
        <w:t>,</w:t>
      </w:r>
      <w:r w:rsidRPr="00EC48A0">
        <w:rPr>
          <w:rFonts w:ascii="Times New Roman" w:hAnsi="Times New Roman"/>
        </w:rPr>
        <w:t xml:space="preserve"> and as to the truth of the matters stated therein</w:t>
      </w:r>
      <w:r w:rsidRPr="00EC48A0">
        <w:rPr>
          <w:rStyle w:val="FootnoteReference"/>
          <w:rFonts w:ascii="Times New Roman" w:hAnsi="Times New Roman"/>
          <w:sz w:val="24"/>
        </w:rPr>
        <w:footnoteReference w:id="53"/>
      </w:r>
      <w:r w:rsidRPr="00EC48A0">
        <w:rPr>
          <w:rFonts w:ascii="Times New Roman" w:hAnsi="Times New Roman"/>
        </w:rPr>
        <w:t xml:space="preserve">. </w:t>
      </w:r>
      <w:r w:rsidR="00734CAF" w:rsidRPr="00EC48A0">
        <w:rPr>
          <w:rFonts w:ascii="Times New Roman" w:hAnsi="Times New Roman"/>
        </w:rPr>
        <w:t xml:space="preserve">In </w:t>
      </w:r>
      <w:r w:rsidR="00D43D0D" w:rsidRPr="00EC48A0">
        <w:rPr>
          <w:rFonts w:ascii="Times New Roman" w:hAnsi="Times New Roman"/>
        </w:rPr>
        <w:t>their</w:t>
      </w:r>
      <w:r w:rsidR="00734CAF" w:rsidRPr="00EC48A0">
        <w:rPr>
          <w:rFonts w:ascii="Times New Roman" w:hAnsi="Times New Roman"/>
        </w:rPr>
        <w:t xml:space="preserve"> Honours' view, the </w:t>
      </w:r>
      <w:r w:rsidRPr="00EC48A0">
        <w:rPr>
          <w:rFonts w:ascii="Times New Roman" w:hAnsi="Times New Roman"/>
        </w:rPr>
        <w:t>certificates made it reasonable for Mr </w:t>
      </w:r>
      <w:proofErr w:type="spellStart"/>
      <w:r w:rsidRPr="00EC48A0">
        <w:rPr>
          <w:rFonts w:ascii="Times New Roman" w:hAnsi="Times New Roman"/>
        </w:rPr>
        <w:t>Jeruzalski</w:t>
      </w:r>
      <w:proofErr w:type="spellEnd"/>
      <w:r w:rsidRPr="00EC48A0">
        <w:rPr>
          <w:rFonts w:ascii="Times New Roman" w:hAnsi="Times New Roman"/>
        </w:rPr>
        <w:t xml:space="preserve"> to refrain from any further inquiry</w:t>
      </w:r>
      <w:r w:rsidR="005C74C7" w:rsidRPr="00EC48A0">
        <w:rPr>
          <w:rFonts w:ascii="Times New Roman" w:hAnsi="Times New Roman"/>
        </w:rPr>
        <w:t xml:space="preserve"> as to the appellant's circumstances</w:t>
      </w:r>
      <w:r w:rsidR="00734CAF" w:rsidRPr="00EC48A0">
        <w:rPr>
          <w:rFonts w:ascii="Times New Roman" w:hAnsi="Times New Roman"/>
        </w:rPr>
        <w:t>; indeed, their Honours noted that, absent the certificates, there may have been sufficient knowledge</w:t>
      </w:r>
      <w:r w:rsidR="00620881" w:rsidRPr="00EC48A0">
        <w:rPr>
          <w:rFonts w:ascii="Times New Roman" w:hAnsi="Times New Roman"/>
        </w:rPr>
        <w:t xml:space="preserve"> on Mr </w:t>
      </w:r>
      <w:proofErr w:type="spellStart"/>
      <w:r w:rsidR="00620881" w:rsidRPr="00EC48A0">
        <w:rPr>
          <w:rFonts w:ascii="Times New Roman" w:hAnsi="Times New Roman"/>
        </w:rPr>
        <w:t>Jeruzalski's</w:t>
      </w:r>
      <w:proofErr w:type="spellEnd"/>
      <w:r w:rsidR="00620881" w:rsidRPr="00EC48A0">
        <w:rPr>
          <w:rFonts w:ascii="Times New Roman" w:hAnsi="Times New Roman"/>
        </w:rPr>
        <w:t xml:space="preserve"> part to "justify the serious finding that it was unconscionable for him to abstain from inquiry in all the circumstances</w:t>
      </w:r>
      <w:r w:rsidR="00503689" w:rsidRPr="00EC48A0">
        <w:rPr>
          <w:rFonts w:ascii="Times New Roman" w:hAnsi="Times New Roman"/>
        </w:rPr>
        <w:t>"</w:t>
      </w:r>
      <w:r w:rsidR="004C4B60" w:rsidRPr="00EC48A0">
        <w:rPr>
          <w:rStyle w:val="FootnoteReference"/>
          <w:rFonts w:ascii="Times New Roman" w:hAnsi="Times New Roman"/>
          <w:sz w:val="24"/>
        </w:rPr>
        <w:footnoteReference w:id="54"/>
      </w:r>
      <w:r w:rsidRPr="00EC48A0">
        <w:rPr>
          <w:rFonts w:ascii="Times New Roman" w:hAnsi="Times New Roman"/>
        </w:rPr>
        <w:t xml:space="preserve">. As to the primary judge's </w:t>
      </w:r>
      <w:r w:rsidR="0068444F" w:rsidRPr="00EC48A0">
        <w:rPr>
          <w:rFonts w:ascii="Times New Roman" w:hAnsi="Times New Roman"/>
        </w:rPr>
        <w:t xml:space="preserve">finding </w:t>
      </w:r>
      <w:r w:rsidRPr="00EC48A0">
        <w:rPr>
          <w:rFonts w:ascii="Times New Roman" w:hAnsi="Times New Roman"/>
        </w:rPr>
        <w:t xml:space="preserve">that the certificates </w:t>
      </w:r>
      <w:r w:rsidR="00304945" w:rsidRPr="00EC48A0">
        <w:rPr>
          <w:rFonts w:ascii="Times New Roman" w:hAnsi="Times New Roman"/>
        </w:rPr>
        <w:t xml:space="preserve">did not reflect </w:t>
      </w:r>
      <w:r w:rsidRPr="00EC48A0">
        <w:rPr>
          <w:rFonts w:ascii="Times New Roman" w:hAnsi="Times New Roman"/>
        </w:rPr>
        <w:t>truly independent</w:t>
      </w:r>
      <w:r w:rsidR="00FF1BF0" w:rsidRPr="00EC48A0">
        <w:rPr>
          <w:rFonts w:ascii="Times New Roman" w:hAnsi="Times New Roman"/>
        </w:rPr>
        <w:t xml:space="preserve"> advice</w:t>
      </w:r>
      <w:r w:rsidRPr="00EC48A0">
        <w:rPr>
          <w:rStyle w:val="FootnoteReference"/>
          <w:rFonts w:ascii="Times New Roman" w:hAnsi="Times New Roman"/>
          <w:sz w:val="24"/>
        </w:rPr>
        <w:footnoteReference w:id="55"/>
      </w:r>
      <w:r w:rsidRPr="00EC48A0">
        <w:rPr>
          <w:rFonts w:ascii="Times New Roman" w:hAnsi="Times New Roman"/>
        </w:rPr>
        <w:t>, the Court of Appeal held that there was no</w:t>
      </w:r>
      <w:r w:rsidR="00F77467" w:rsidRPr="00EC48A0">
        <w:rPr>
          <w:rFonts w:ascii="Times New Roman" w:hAnsi="Times New Roman"/>
        </w:rPr>
        <w:t xml:space="preserve"> </w:t>
      </w:r>
      <w:proofErr w:type="gramStart"/>
      <w:r w:rsidR="00F77467" w:rsidRPr="00EC48A0">
        <w:rPr>
          <w:rFonts w:ascii="Times New Roman" w:hAnsi="Times New Roman"/>
        </w:rPr>
        <w:t>sufficient</w:t>
      </w:r>
      <w:proofErr w:type="gramEnd"/>
      <w:r w:rsidRPr="00EC48A0">
        <w:rPr>
          <w:rFonts w:ascii="Times New Roman" w:hAnsi="Times New Roman"/>
        </w:rPr>
        <w:t xml:space="preserve"> basis </w:t>
      </w:r>
      <w:r w:rsidR="00F77467" w:rsidRPr="00EC48A0">
        <w:rPr>
          <w:rFonts w:ascii="Times New Roman" w:hAnsi="Times New Roman"/>
        </w:rPr>
        <w:t xml:space="preserve">in the evidence </w:t>
      </w:r>
      <w:r w:rsidRPr="00EC48A0">
        <w:rPr>
          <w:rFonts w:ascii="Times New Roman" w:hAnsi="Times New Roman"/>
        </w:rPr>
        <w:t>for that inference</w:t>
      </w:r>
      <w:r w:rsidRPr="00EC48A0">
        <w:rPr>
          <w:rStyle w:val="FootnoteReference"/>
          <w:rFonts w:ascii="Times New Roman" w:hAnsi="Times New Roman"/>
          <w:sz w:val="24"/>
        </w:rPr>
        <w:footnoteReference w:id="56"/>
      </w:r>
      <w:r w:rsidRPr="00EC48A0">
        <w:rPr>
          <w:rFonts w:ascii="Times New Roman" w:hAnsi="Times New Roman"/>
        </w:rPr>
        <w:t>.</w:t>
      </w:r>
      <w:r w:rsidR="00767191" w:rsidRPr="00EC48A0">
        <w:rPr>
          <w:rFonts w:ascii="Times New Roman" w:hAnsi="Times New Roman"/>
        </w:rPr>
        <w:t xml:space="preserve"> </w:t>
      </w:r>
    </w:p>
    <w:p w14:paraId="04CB535E" w14:textId="3C325F6E" w:rsidR="00016CC3" w:rsidRPr="00EC48A0" w:rsidRDefault="00A70F86"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767191" w:rsidRPr="00EC48A0">
        <w:rPr>
          <w:rFonts w:ascii="Times New Roman" w:hAnsi="Times New Roman"/>
        </w:rPr>
        <w:t>Nevertheless, t</w:t>
      </w:r>
      <w:r w:rsidR="00ED1DCB" w:rsidRPr="00EC48A0">
        <w:rPr>
          <w:rFonts w:ascii="Times New Roman" w:hAnsi="Times New Roman"/>
        </w:rPr>
        <w:t xml:space="preserve">he Court of Appeal accepted </w:t>
      </w:r>
      <w:r w:rsidR="006E164D" w:rsidRPr="00EC48A0">
        <w:rPr>
          <w:rFonts w:ascii="Times New Roman" w:hAnsi="Times New Roman"/>
        </w:rPr>
        <w:t>that at the time Mr </w:t>
      </w:r>
      <w:proofErr w:type="spellStart"/>
      <w:r w:rsidR="006E164D" w:rsidRPr="00EC48A0">
        <w:rPr>
          <w:rFonts w:ascii="Times New Roman" w:hAnsi="Times New Roman"/>
        </w:rPr>
        <w:t>Jeruzalski</w:t>
      </w:r>
      <w:proofErr w:type="spellEnd"/>
      <w:r w:rsidR="006E164D" w:rsidRPr="00EC48A0">
        <w:rPr>
          <w:rFonts w:ascii="Times New Roman" w:hAnsi="Times New Roman"/>
        </w:rPr>
        <w:t xml:space="preserve"> approved the loans</w:t>
      </w:r>
      <w:r w:rsidR="005D2532" w:rsidRPr="00EC48A0">
        <w:rPr>
          <w:rFonts w:ascii="Times New Roman" w:hAnsi="Times New Roman"/>
        </w:rPr>
        <w:t xml:space="preserve"> on behalf of the respondents,</w:t>
      </w:r>
      <w:r w:rsidR="006E164D" w:rsidRPr="00EC48A0">
        <w:rPr>
          <w:rFonts w:ascii="Times New Roman" w:hAnsi="Times New Roman"/>
        </w:rPr>
        <w:t xml:space="preserve"> he </w:t>
      </w:r>
      <w:r w:rsidR="003F0D87" w:rsidRPr="00EC48A0">
        <w:rPr>
          <w:rFonts w:ascii="Times New Roman" w:hAnsi="Times New Roman"/>
        </w:rPr>
        <w:t xml:space="preserve">knew that </w:t>
      </w:r>
      <w:r w:rsidR="00D910DF" w:rsidRPr="00EC48A0">
        <w:rPr>
          <w:rFonts w:ascii="Times New Roman" w:hAnsi="Times New Roman"/>
        </w:rPr>
        <w:t xml:space="preserve">the appellant and </w:t>
      </w:r>
      <w:r w:rsidR="00F74B83" w:rsidRPr="00EC48A0">
        <w:rPr>
          <w:rFonts w:ascii="Times New Roman" w:hAnsi="Times New Roman"/>
        </w:rPr>
        <w:t xml:space="preserve">the </w:t>
      </w:r>
      <w:r w:rsidR="00D910DF" w:rsidRPr="00EC48A0">
        <w:rPr>
          <w:rFonts w:ascii="Times New Roman" w:hAnsi="Times New Roman"/>
        </w:rPr>
        <w:t xml:space="preserve">company had paid </w:t>
      </w:r>
      <w:r w:rsidR="00A8234F" w:rsidRPr="00EC48A0">
        <w:rPr>
          <w:rFonts w:ascii="Times New Roman" w:hAnsi="Times New Roman"/>
        </w:rPr>
        <w:t xml:space="preserve">only </w:t>
      </w:r>
      <w:r w:rsidR="00D910DF" w:rsidRPr="00EC48A0">
        <w:rPr>
          <w:rFonts w:ascii="Times New Roman" w:hAnsi="Times New Roman"/>
        </w:rPr>
        <w:t xml:space="preserve">a nominal amount </w:t>
      </w:r>
      <w:r w:rsidR="00A8234F" w:rsidRPr="00EC48A0">
        <w:rPr>
          <w:rFonts w:ascii="Times New Roman" w:hAnsi="Times New Roman"/>
        </w:rPr>
        <w:t xml:space="preserve">as a deposit on the </w:t>
      </w:r>
      <w:r w:rsidR="003F0D87" w:rsidRPr="00EC48A0">
        <w:rPr>
          <w:rFonts w:ascii="Times New Roman" w:hAnsi="Times New Roman"/>
        </w:rPr>
        <w:t>Fi</w:t>
      </w:r>
      <w:r w:rsidR="00A8234F" w:rsidRPr="00EC48A0">
        <w:rPr>
          <w:rFonts w:ascii="Times New Roman" w:hAnsi="Times New Roman"/>
        </w:rPr>
        <w:t>ngal property;</w:t>
      </w:r>
      <w:r w:rsidR="00843195" w:rsidRPr="00EC48A0">
        <w:rPr>
          <w:rFonts w:ascii="Times New Roman" w:hAnsi="Times New Roman"/>
        </w:rPr>
        <w:t xml:space="preserve"> that the proceeds of the loans</w:t>
      </w:r>
      <w:r w:rsidR="0022222D" w:rsidRPr="00EC48A0">
        <w:rPr>
          <w:rFonts w:ascii="Times New Roman" w:hAnsi="Times New Roman"/>
        </w:rPr>
        <w:t xml:space="preserve"> would be applied </w:t>
      </w:r>
      <w:r w:rsidR="007843B4" w:rsidRPr="00EC48A0">
        <w:rPr>
          <w:rFonts w:ascii="Times New Roman" w:hAnsi="Times New Roman"/>
        </w:rPr>
        <w:t xml:space="preserve">by the appellant </w:t>
      </w:r>
      <w:r w:rsidR="0022222D" w:rsidRPr="00EC48A0">
        <w:rPr>
          <w:rFonts w:ascii="Times New Roman" w:hAnsi="Times New Roman"/>
        </w:rPr>
        <w:t>as explained to him by Mr </w:t>
      </w:r>
      <w:proofErr w:type="spellStart"/>
      <w:r w:rsidR="0022222D" w:rsidRPr="00EC48A0">
        <w:rPr>
          <w:rFonts w:ascii="Times New Roman" w:hAnsi="Times New Roman"/>
        </w:rPr>
        <w:t>Zourkas</w:t>
      </w:r>
      <w:proofErr w:type="spellEnd"/>
      <w:r w:rsidR="0022222D" w:rsidRPr="00EC48A0">
        <w:rPr>
          <w:rFonts w:ascii="Times New Roman" w:hAnsi="Times New Roman"/>
        </w:rPr>
        <w:t>;</w:t>
      </w:r>
      <w:r w:rsidR="00274AAE" w:rsidRPr="00EC48A0">
        <w:rPr>
          <w:rFonts w:ascii="Times New Roman" w:hAnsi="Times New Roman"/>
        </w:rPr>
        <w:t xml:space="preserve"> </w:t>
      </w:r>
      <w:r w:rsidR="00361C89" w:rsidRPr="00EC48A0">
        <w:rPr>
          <w:rFonts w:ascii="Times New Roman" w:hAnsi="Times New Roman"/>
        </w:rPr>
        <w:t xml:space="preserve">and </w:t>
      </w:r>
      <w:r w:rsidR="00274AAE" w:rsidRPr="00EC48A0">
        <w:rPr>
          <w:rFonts w:ascii="Times New Roman" w:hAnsi="Times New Roman"/>
        </w:rPr>
        <w:t xml:space="preserve">that any remaining sum available to the appellant after such application </w:t>
      </w:r>
      <w:r w:rsidR="00190D2C" w:rsidRPr="00EC48A0">
        <w:rPr>
          <w:rFonts w:ascii="Times New Roman" w:hAnsi="Times New Roman"/>
        </w:rPr>
        <w:t xml:space="preserve">of funds </w:t>
      </w:r>
      <w:r w:rsidR="00274AAE" w:rsidRPr="00EC48A0">
        <w:rPr>
          <w:rFonts w:ascii="Times New Roman" w:hAnsi="Times New Roman"/>
        </w:rPr>
        <w:t>would be "very small"</w:t>
      </w:r>
      <w:r w:rsidR="000631E2" w:rsidRPr="00EC48A0">
        <w:rPr>
          <w:rStyle w:val="FootnoteReference"/>
          <w:rFonts w:ascii="Times New Roman" w:hAnsi="Times New Roman"/>
          <w:sz w:val="24"/>
        </w:rPr>
        <w:footnoteReference w:id="57"/>
      </w:r>
      <w:r w:rsidR="000631E2" w:rsidRPr="00EC48A0">
        <w:rPr>
          <w:rFonts w:ascii="Times New Roman" w:hAnsi="Times New Roman"/>
        </w:rPr>
        <w:t>.</w:t>
      </w:r>
      <w:r w:rsidR="001E303A" w:rsidRPr="00EC48A0">
        <w:rPr>
          <w:rFonts w:ascii="Times New Roman" w:hAnsi="Times New Roman"/>
        </w:rPr>
        <w:t xml:space="preserve"> Importantly, the Court of Appeal accepted that Mr </w:t>
      </w:r>
      <w:proofErr w:type="spellStart"/>
      <w:r w:rsidR="001E303A" w:rsidRPr="00EC48A0">
        <w:rPr>
          <w:rFonts w:ascii="Times New Roman" w:hAnsi="Times New Roman"/>
        </w:rPr>
        <w:t>Jeruzalski</w:t>
      </w:r>
      <w:proofErr w:type="spellEnd"/>
      <w:r w:rsidR="00E9468C" w:rsidRPr="00EC48A0">
        <w:rPr>
          <w:rFonts w:ascii="Times New Roman" w:hAnsi="Times New Roman"/>
        </w:rPr>
        <w:t xml:space="preserve"> </w:t>
      </w:r>
      <w:r w:rsidR="007E70AF" w:rsidRPr="00EC48A0">
        <w:rPr>
          <w:rFonts w:ascii="Times New Roman" w:hAnsi="Times New Roman"/>
        </w:rPr>
        <w:t>proceeded on the assumption "</w:t>
      </w:r>
      <w:r w:rsidR="00E9468C" w:rsidRPr="00EC48A0">
        <w:rPr>
          <w:rFonts w:ascii="Times New Roman" w:hAnsi="Times New Roman"/>
        </w:rPr>
        <w:t>that [the appellant] and the company had 'no income', in the sense that</w:t>
      </w:r>
      <w:r w:rsidR="00D934BB" w:rsidRPr="00EC48A0">
        <w:rPr>
          <w:rFonts w:ascii="Times New Roman" w:hAnsi="Times New Roman"/>
        </w:rPr>
        <w:t xml:space="preserve"> </w:t>
      </w:r>
      <w:r w:rsidR="00E9468C" w:rsidRPr="00EC48A0">
        <w:rPr>
          <w:rFonts w:ascii="Times New Roman" w:hAnsi="Times New Roman"/>
        </w:rPr>
        <w:t>they did not have sufficient</w:t>
      </w:r>
      <w:r w:rsidR="00905F83" w:rsidRPr="00EC48A0">
        <w:rPr>
          <w:rFonts w:ascii="Times New Roman" w:hAnsi="Times New Roman"/>
        </w:rPr>
        <w:t xml:space="preserve"> income to service interest under the loans for between six and 12</w:t>
      </w:r>
      <w:r w:rsidR="0099567A" w:rsidRPr="00EC48A0">
        <w:rPr>
          <w:rFonts w:ascii="Times New Roman" w:hAnsi="Times New Roman"/>
        </w:rPr>
        <w:t> </w:t>
      </w:r>
      <w:r w:rsidR="00905F83" w:rsidRPr="00EC48A0">
        <w:rPr>
          <w:rFonts w:ascii="Times New Roman" w:hAnsi="Times New Roman"/>
        </w:rPr>
        <w:t>months</w:t>
      </w:r>
      <w:r w:rsidR="0014046E" w:rsidRPr="00EC48A0">
        <w:rPr>
          <w:rFonts w:ascii="Times New Roman" w:hAnsi="Times New Roman"/>
        </w:rPr>
        <w:t>"</w:t>
      </w:r>
      <w:r w:rsidR="0014046E" w:rsidRPr="00EC48A0">
        <w:rPr>
          <w:rStyle w:val="FootnoteReference"/>
          <w:rFonts w:ascii="Times New Roman" w:hAnsi="Times New Roman"/>
          <w:sz w:val="24"/>
        </w:rPr>
        <w:footnoteReference w:id="58"/>
      </w:r>
      <w:r w:rsidR="00BD470B" w:rsidRPr="00EC48A0">
        <w:rPr>
          <w:rFonts w:ascii="Times New Roman" w:hAnsi="Times New Roman"/>
        </w:rPr>
        <w:t>.</w:t>
      </w:r>
    </w:p>
    <w:p w14:paraId="501D4636" w14:textId="12D05D86" w:rsidR="00755B43" w:rsidRPr="00EC48A0" w:rsidRDefault="00755B43" w:rsidP="00EC48A0">
      <w:pPr>
        <w:pStyle w:val="HeadingL1"/>
        <w:spacing w:after="260" w:line="280" w:lineRule="exact"/>
        <w:ind w:right="0"/>
        <w:jc w:val="both"/>
        <w:rPr>
          <w:rFonts w:ascii="Times New Roman" w:hAnsi="Times New Roman"/>
        </w:rPr>
      </w:pPr>
      <w:r w:rsidRPr="00EC48A0">
        <w:rPr>
          <w:rFonts w:ascii="Times New Roman" w:hAnsi="Times New Roman"/>
        </w:rPr>
        <w:t xml:space="preserve">The </w:t>
      </w:r>
      <w:r w:rsidR="00AF75D5" w:rsidRPr="00EC48A0">
        <w:rPr>
          <w:rFonts w:ascii="Times New Roman" w:hAnsi="Times New Roman"/>
        </w:rPr>
        <w:t>parties' contentions</w:t>
      </w:r>
      <w:r w:rsidR="00656969" w:rsidRPr="00EC48A0">
        <w:rPr>
          <w:rFonts w:ascii="Times New Roman" w:hAnsi="Times New Roman"/>
        </w:rPr>
        <w:t xml:space="preserve"> in this Court</w:t>
      </w:r>
    </w:p>
    <w:p w14:paraId="256F1BF6" w14:textId="5F910837" w:rsidR="004F3CDC" w:rsidRPr="00EC48A0" w:rsidRDefault="005D4EBB"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190D2C" w:rsidRPr="00EC48A0">
        <w:rPr>
          <w:rFonts w:ascii="Times New Roman" w:hAnsi="Times New Roman"/>
        </w:rPr>
        <w:t>In this Court, t</w:t>
      </w:r>
      <w:r w:rsidR="00E37537" w:rsidRPr="00EC48A0">
        <w:rPr>
          <w:rFonts w:ascii="Times New Roman" w:hAnsi="Times New Roman"/>
        </w:rPr>
        <w:t>he appellant conceded that asset</w:t>
      </w:r>
      <w:r w:rsidR="00E37537" w:rsidRPr="00EC48A0">
        <w:rPr>
          <w:rFonts w:ascii="Times New Roman" w:hAnsi="Times New Roman"/>
        </w:rPr>
        <w:noBreakHyphen/>
        <w:t xml:space="preserve">based lending is not necessarily unconscionable in </w:t>
      </w:r>
      <w:proofErr w:type="gramStart"/>
      <w:r w:rsidR="002C4801" w:rsidRPr="00EC48A0">
        <w:rPr>
          <w:rFonts w:ascii="Times New Roman" w:hAnsi="Times New Roman"/>
        </w:rPr>
        <w:t>i</w:t>
      </w:r>
      <w:r w:rsidR="00E37537" w:rsidRPr="00EC48A0">
        <w:rPr>
          <w:rFonts w:ascii="Times New Roman" w:hAnsi="Times New Roman"/>
        </w:rPr>
        <w:t>tself</w:t>
      </w:r>
      <w:r w:rsidR="00B33FB5" w:rsidRPr="00EC48A0">
        <w:rPr>
          <w:rFonts w:ascii="Times New Roman" w:hAnsi="Times New Roman"/>
          <w:bCs/>
        </w:rPr>
        <w:t>, and</w:t>
      </w:r>
      <w:proofErr w:type="gramEnd"/>
      <w:r w:rsidR="00B33FB5" w:rsidRPr="00EC48A0">
        <w:rPr>
          <w:rFonts w:ascii="Times New Roman" w:hAnsi="Times New Roman"/>
          <w:bCs/>
        </w:rPr>
        <w:t xml:space="preserve"> </w:t>
      </w:r>
      <w:r w:rsidR="002C4801" w:rsidRPr="00EC48A0">
        <w:rPr>
          <w:rFonts w:ascii="Times New Roman" w:hAnsi="Times New Roman"/>
        </w:rPr>
        <w:t xml:space="preserve">focussed </w:t>
      </w:r>
      <w:r w:rsidR="004F6291" w:rsidRPr="00EC48A0">
        <w:rPr>
          <w:rFonts w:ascii="Times New Roman" w:hAnsi="Times New Roman"/>
        </w:rPr>
        <w:t xml:space="preserve">upon the circumstances of the </w:t>
      </w:r>
      <w:r w:rsidR="004F6291" w:rsidRPr="00EC48A0">
        <w:rPr>
          <w:rFonts w:ascii="Times New Roman" w:hAnsi="Times New Roman"/>
        </w:rPr>
        <w:lastRenderedPageBreak/>
        <w:t>system of asset</w:t>
      </w:r>
      <w:r w:rsidR="004F6291" w:rsidRPr="00EC48A0">
        <w:rPr>
          <w:rFonts w:ascii="Times New Roman" w:hAnsi="Times New Roman"/>
        </w:rPr>
        <w:noBreakHyphen/>
        <w:t xml:space="preserve">based lending employed by the respondents </w:t>
      </w:r>
      <w:r w:rsidR="006033D4" w:rsidRPr="00EC48A0">
        <w:rPr>
          <w:rFonts w:ascii="Times New Roman" w:hAnsi="Times New Roman"/>
        </w:rPr>
        <w:t xml:space="preserve">and AJ Lawyers </w:t>
      </w:r>
      <w:r w:rsidR="004F6291" w:rsidRPr="00EC48A0">
        <w:rPr>
          <w:rFonts w:ascii="Times New Roman" w:hAnsi="Times New Roman"/>
        </w:rPr>
        <w:t>in this case.</w:t>
      </w:r>
      <w:r w:rsidR="00426B09" w:rsidRPr="00EC48A0">
        <w:rPr>
          <w:rFonts w:ascii="Times New Roman" w:hAnsi="Times New Roman"/>
        </w:rPr>
        <w:t xml:space="preserve"> </w:t>
      </w:r>
    </w:p>
    <w:p w14:paraId="5E39027B" w14:textId="01A0C84A" w:rsidR="00755B43" w:rsidRPr="00EC48A0" w:rsidRDefault="004F3CDC"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8D783D" w:rsidRPr="00EC48A0">
        <w:rPr>
          <w:rFonts w:ascii="Times New Roman" w:hAnsi="Times New Roman"/>
        </w:rPr>
        <w:t xml:space="preserve">The appellant submitted that </w:t>
      </w:r>
      <w:r w:rsidR="00426B09" w:rsidRPr="00EC48A0">
        <w:rPr>
          <w:rFonts w:ascii="Times New Roman" w:hAnsi="Times New Roman"/>
        </w:rPr>
        <w:t>the Court of Appeal</w:t>
      </w:r>
      <w:r w:rsidR="009A6C8D" w:rsidRPr="00EC48A0">
        <w:rPr>
          <w:rFonts w:ascii="Times New Roman" w:hAnsi="Times New Roman"/>
        </w:rPr>
        <w:t xml:space="preserve"> </w:t>
      </w:r>
      <w:r w:rsidR="00F56C0A" w:rsidRPr="00EC48A0">
        <w:rPr>
          <w:rFonts w:ascii="Times New Roman" w:hAnsi="Times New Roman"/>
        </w:rPr>
        <w:t xml:space="preserve">attributed </w:t>
      </w:r>
      <w:r w:rsidR="00E0580E" w:rsidRPr="00EC48A0">
        <w:rPr>
          <w:rFonts w:ascii="Times New Roman" w:hAnsi="Times New Roman"/>
        </w:rPr>
        <w:t xml:space="preserve">unwarranted </w:t>
      </w:r>
      <w:r w:rsidR="00E113D5" w:rsidRPr="00EC48A0">
        <w:rPr>
          <w:rFonts w:ascii="Times New Roman" w:hAnsi="Times New Roman"/>
        </w:rPr>
        <w:t xml:space="preserve">significance to </w:t>
      </w:r>
      <w:r w:rsidR="00E0580E" w:rsidRPr="00EC48A0">
        <w:rPr>
          <w:rFonts w:ascii="Times New Roman" w:hAnsi="Times New Roman"/>
        </w:rPr>
        <w:t>the certificates of independent advice</w:t>
      </w:r>
      <w:r w:rsidR="007231BF" w:rsidRPr="00EC48A0">
        <w:rPr>
          <w:rFonts w:ascii="Times New Roman" w:hAnsi="Times New Roman"/>
        </w:rPr>
        <w:t xml:space="preserve">. </w:t>
      </w:r>
      <w:r w:rsidR="00E93AEE" w:rsidRPr="00EC48A0">
        <w:rPr>
          <w:rFonts w:ascii="Times New Roman" w:hAnsi="Times New Roman"/>
        </w:rPr>
        <w:t>The appellant argued that the primary judge was entitled to infer that Mr </w:t>
      </w:r>
      <w:proofErr w:type="spellStart"/>
      <w:r w:rsidR="00E93AEE" w:rsidRPr="00EC48A0">
        <w:rPr>
          <w:rFonts w:ascii="Times New Roman" w:hAnsi="Times New Roman"/>
        </w:rPr>
        <w:t>Jeruzalski</w:t>
      </w:r>
      <w:proofErr w:type="spellEnd"/>
      <w:r w:rsidR="00E93AEE" w:rsidRPr="00EC48A0">
        <w:rPr>
          <w:rFonts w:ascii="Times New Roman" w:hAnsi="Times New Roman"/>
        </w:rPr>
        <w:t xml:space="preserve"> knew it was unlikely that the appellant had received truly independent advice</w:t>
      </w:r>
      <w:r w:rsidR="003F0B4E" w:rsidRPr="00EC48A0">
        <w:rPr>
          <w:rFonts w:ascii="Times New Roman" w:hAnsi="Times New Roman"/>
        </w:rPr>
        <w:t xml:space="preserve">. More broadly, the appellant argued that the Court of Appeal failed to </w:t>
      </w:r>
      <w:r w:rsidR="001251CA" w:rsidRPr="00EC48A0">
        <w:rPr>
          <w:rFonts w:ascii="Times New Roman" w:hAnsi="Times New Roman"/>
        </w:rPr>
        <w:t xml:space="preserve">have </w:t>
      </w:r>
      <w:r w:rsidR="00BA561D" w:rsidRPr="00EC48A0">
        <w:rPr>
          <w:rFonts w:ascii="Times New Roman" w:hAnsi="Times New Roman"/>
        </w:rPr>
        <w:t xml:space="preserve">due </w:t>
      </w:r>
      <w:r w:rsidR="001251CA" w:rsidRPr="00EC48A0">
        <w:rPr>
          <w:rFonts w:ascii="Times New Roman" w:hAnsi="Times New Roman"/>
        </w:rPr>
        <w:t xml:space="preserve">regard to the findings </w:t>
      </w:r>
      <w:r w:rsidR="00455C18" w:rsidRPr="00EC48A0">
        <w:rPr>
          <w:rFonts w:ascii="Times New Roman" w:hAnsi="Times New Roman"/>
        </w:rPr>
        <w:t xml:space="preserve">made </w:t>
      </w:r>
      <w:r w:rsidR="001251CA" w:rsidRPr="00EC48A0">
        <w:rPr>
          <w:rFonts w:ascii="Times New Roman" w:hAnsi="Times New Roman"/>
        </w:rPr>
        <w:t xml:space="preserve">and inferences </w:t>
      </w:r>
      <w:r w:rsidR="00455C18" w:rsidRPr="00EC48A0">
        <w:rPr>
          <w:rFonts w:ascii="Times New Roman" w:hAnsi="Times New Roman"/>
        </w:rPr>
        <w:t xml:space="preserve">drawn </w:t>
      </w:r>
      <w:r w:rsidR="001251CA" w:rsidRPr="00EC48A0">
        <w:rPr>
          <w:rFonts w:ascii="Times New Roman" w:hAnsi="Times New Roman"/>
        </w:rPr>
        <w:t xml:space="preserve">by the primary judge </w:t>
      </w:r>
      <w:r w:rsidR="001765EF" w:rsidRPr="00EC48A0">
        <w:rPr>
          <w:rFonts w:ascii="Times New Roman" w:hAnsi="Times New Roman"/>
        </w:rPr>
        <w:t>as to Mr </w:t>
      </w:r>
      <w:proofErr w:type="spellStart"/>
      <w:r w:rsidR="001765EF" w:rsidRPr="00EC48A0">
        <w:rPr>
          <w:rFonts w:ascii="Times New Roman" w:hAnsi="Times New Roman"/>
        </w:rPr>
        <w:t>Jeruzalski's</w:t>
      </w:r>
      <w:proofErr w:type="spellEnd"/>
      <w:r w:rsidR="001765EF" w:rsidRPr="00EC48A0">
        <w:rPr>
          <w:rFonts w:ascii="Times New Roman" w:hAnsi="Times New Roman"/>
        </w:rPr>
        <w:t xml:space="preserve"> appreciation of the dangers confronting the appellant in taking the loan</w:t>
      </w:r>
      <w:r w:rsidR="00193E58" w:rsidRPr="00EC48A0">
        <w:rPr>
          <w:rFonts w:ascii="Times New Roman" w:hAnsi="Times New Roman"/>
        </w:rPr>
        <w:t>s</w:t>
      </w:r>
      <w:r w:rsidR="001765EF" w:rsidRPr="00EC48A0">
        <w:rPr>
          <w:rFonts w:ascii="Times New Roman" w:hAnsi="Times New Roman"/>
        </w:rPr>
        <w:t xml:space="preserve">, </w:t>
      </w:r>
      <w:r w:rsidR="001251CA" w:rsidRPr="00EC48A0">
        <w:rPr>
          <w:rFonts w:ascii="Times New Roman" w:hAnsi="Times New Roman"/>
        </w:rPr>
        <w:t xml:space="preserve">particularly </w:t>
      </w:r>
      <w:r w:rsidR="00B33FB5" w:rsidRPr="00EC48A0">
        <w:rPr>
          <w:rFonts w:ascii="Times New Roman" w:hAnsi="Times New Roman"/>
        </w:rPr>
        <w:t xml:space="preserve">since </w:t>
      </w:r>
      <w:r w:rsidR="001251CA" w:rsidRPr="00EC48A0">
        <w:rPr>
          <w:rFonts w:ascii="Times New Roman" w:hAnsi="Times New Roman"/>
        </w:rPr>
        <w:t>the primary judge had relied on his impressions of the witnesses</w:t>
      </w:r>
      <w:r w:rsidR="001765EF" w:rsidRPr="00EC48A0">
        <w:rPr>
          <w:rFonts w:ascii="Times New Roman" w:hAnsi="Times New Roman"/>
        </w:rPr>
        <w:t xml:space="preserve"> in making these findings</w:t>
      </w:r>
      <w:r w:rsidR="009B3F38" w:rsidRPr="00EC48A0">
        <w:rPr>
          <w:rFonts w:ascii="Times New Roman" w:hAnsi="Times New Roman"/>
          <w:bCs/>
        </w:rPr>
        <w:t>.</w:t>
      </w:r>
    </w:p>
    <w:p w14:paraId="50C2D5F9" w14:textId="2EB50858" w:rsidR="00817A52" w:rsidRPr="00EC48A0" w:rsidRDefault="00455C18" w:rsidP="00EC48A0">
      <w:pPr>
        <w:pStyle w:val="FixListStyle"/>
        <w:spacing w:after="260" w:line="280" w:lineRule="exact"/>
        <w:ind w:right="0"/>
        <w:jc w:val="both"/>
        <w:rPr>
          <w:rFonts w:ascii="Times New Roman" w:hAnsi="Times New Roman"/>
        </w:rPr>
      </w:pPr>
      <w:r w:rsidRPr="00EC48A0">
        <w:rPr>
          <w:rFonts w:ascii="Times New Roman" w:hAnsi="Times New Roman"/>
          <w:bCs/>
        </w:rPr>
        <w:tab/>
      </w:r>
      <w:r w:rsidR="00471468" w:rsidRPr="00EC48A0">
        <w:rPr>
          <w:rFonts w:ascii="Times New Roman" w:hAnsi="Times New Roman"/>
        </w:rPr>
        <w:t>The respondents</w:t>
      </w:r>
      <w:r w:rsidR="00DA137A" w:rsidRPr="00EC48A0">
        <w:rPr>
          <w:rFonts w:ascii="Times New Roman" w:hAnsi="Times New Roman"/>
        </w:rPr>
        <w:t>, on the other hand,</w:t>
      </w:r>
      <w:r w:rsidR="00471468" w:rsidRPr="00EC48A0">
        <w:rPr>
          <w:rFonts w:ascii="Times New Roman" w:hAnsi="Times New Roman"/>
        </w:rPr>
        <w:t xml:space="preserve"> emphasised the appellant's concession that asset</w:t>
      </w:r>
      <w:r w:rsidR="00471468" w:rsidRPr="00EC48A0">
        <w:rPr>
          <w:rFonts w:ascii="Times New Roman" w:hAnsi="Times New Roman"/>
        </w:rPr>
        <w:noBreakHyphen/>
        <w:t>based lending, in and of itself, is not unconscionable</w:t>
      </w:r>
      <w:r w:rsidR="00BA561D" w:rsidRPr="00EC48A0">
        <w:rPr>
          <w:rFonts w:ascii="Times New Roman" w:hAnsi="Times New Roman"/>
        </w:rPr>
        <w:t xml:space="preserve">, and submitted that </w:t>
      </w:r>
      <w:r w:rsidR="00471468" w:rsidRPr="00EC48A0">
        <w:rPr>
          <w:rFonts w:ascii="Times New Roman" w:hAnsi="Times New Roman"/>
        </w:rPr>
        <w:t xml:space="preserve">the facts </w:t>
      </w:r>
      <w:r w:rsidR="00A665D0" w:rsidRPr="00EC48A0">
        <w:rPr>
          <w:rFonts w:ascii="Times New Roman" w:hAnsi="Times New Roman"/>
        </w:rPr>
        <w:t xml:space="preserve">attending the making </w:t>
      </w:r>
      <w:r w:rsidR="00E121DF" w:rsidRPr="00EC48A0">
        <w:rPr>
          <w:rFonts w:ascii="Times New Roman" w:hAnsi="Times New Roman"/>
        </w:rPr>
        <w:t>of the loan</w:t>
      </w:r>
      <w:r w:rsidR="00193E58" w:rsidRPr="00EC48A0">
        <w:rPr>
          <w:rFonts w:ascii="Times New Roman" w:hAnsi="Times New Roman"/>
        </w:rPr>
        <w:t>s</w:t>
      </w:r>
      <w:r w:rsidR="00E121DF" w:rsidRPr="00EC48A0">
        <w:rPr>
          <w:rFonts w:ascii="Times New Roman" w:hAnsi="Times New Roman"/>
        </w:rPr>
        <w:t xml:space="preserve"> exclusively </w:t>
      </w:r>
      <w:r w:rsidR="008D2A5F" w:rsidRPr="00EC48A0">
        <w:rPr>
          <w:rFonts w:ascii="Times New Roman" w:hAnsi="Times New Roman"/>
        </w:rPr>
        <w:t xml:space="preserve">by reference to </w:t>
      </w:r>
      <w:r w:rsidR="00471468" w:rsidRPr="00EC48A0">
        <w:rPr>
          <w:rFonts w:ascii="Times New Roman" w:hAnsi="Times New Roman"/>
        </w:rPr>
        <w:t xml:space="preserve">the security </w:t>
      </w:r>
      <w:r w:rsidR="00E121DF" w:rsidRPr="00EC48A0">
        <w:rPr>
          <w:rFonts w:ascii="Times New Roman" w:hAnsi="Times New Roman"/>
        </w:rPr>
        <w:t xml:space="preserve">value of the appellant's </w:t>
      </w:r>
      <w:r w:rsidR="00471468" w:rsidRPr="00EC48A0">
        <w:rPr>
          <w:rFonts w:ascii="Times New Roman" w:hAnsi="Times New Roman"/>
        </w:rPr>
        <w:t>asset</w:t>
      </w:r>
      <w:r w:rsidR="00E121DF" w:rsidRPr="00EC48A0">
        <w:rPr>
          <w:rFonts w:ascii="Times New Roman" w:hAnsi="Times New Roman"/>
        </w:rPr>
        <w:t>s</w:t>
      </w:r>
      <w:r w:rsidR="00AF4AE9" w:rsidRPr="00EC48A0">
        <w:rPr>
          <w:rFonts w:ascii="Times New Roman" w:hAnsi="Times New Roman"/>
        </w:rPr>
        <w:t xml:space="preserve"> were not significant</w:t>
      </w:r>
      <w:r w:rsidR="006E614C" w:rsidRPr="00EC48A0">
        <w:rPr>
          <w:rFonts w:ascii="Times New Roman" w:hAnsi="Times New Roman"/>
        </w:rPr>
        <w:t xml:space="preserve"> as </w:t>
      </w:r>
      <w:r w:rsidR="008D2A5F" w:rsidRPr="00EC48A0">
        <w:rPr>
          <w:rFonts w:ascii="Times New Roman" w:hAnsi="Times New Roman"/>
        </w:rPr>
        <w:t>t</w:t>
      </w:r>
      <w:r w:rsidR="006E614C" w:rsidRPr="00EC48A0">
        <w:rPr>
          <w:rFonts w:ascii="Times New Roman" w:hAnsi="Times New Roman"/>
        </w:rPr>
        <w:t>o a finding of unconscionability</w:t>
      </w:r>
      <w:r w:rsidR="00471468" w:rsidRPr="00EC48A0">
        <w:rPr>
          <w:rFonts w:ascii="Times New Roman" w:hAnsi="Times New Roman"/>
        </w:rPr>
        <w:t>.</w:t>
      </w:r>
      <w:r w:rsidR="004649EA" w:rsidRPr="00EC48A0">
        <w:rPr>
          <w:rFonts w:ascii="Times New Roman" w:hAnsi="Times New Roman"/>
        </w:rPr>
        <w:t xml:space="preserve"> In this regard, it was said</w:t>
      </w:r>
      <w:r w:rsidR="004211FD" w:rsidRPr="00EC48A0">
        <w:rPr>
          <w:rFonts w:ascii="Times New Roman" w:hAnsi="Times New Roman"/>
        </w:rPr>
        <w:t xml:space="preserve"> that </w:t>
      </w:r>
      <w:r w:rsidR="009939C1" w:rsidRPr="00EC48A0">
        <w:rPr>
          <w:rFonts w:ascii="Times New Roman" w:hAnsi="Times New Roman"/>
        </w:rPr>
        <w:t xml:space="preserve">the Court of Appeal </w:t>
      </w:r>
      <w:r w:rsidR="005661D7" w:rsidRPr="00EC48A0">
        <w:rPr>
          <w:rFonts w:ascii="Times New Roman" w:hAnsi="Times New Roman"/>
        </w:rPr>
        <w:t xml:space="preserve">was right to hold that </w:t>
      </w:r>
      <w:r w:rsidR="00F62C64" w:rsidRPr="00EC48A0">
        <w:rPr>
          <w:rFonts w:ascii="Times New Roman" w:hAnsi="Times New Roman"/>
        </w:rPr>
        <w:t>Mr </w:t>
      </w:r>
      <w:proofErr w:type="spellStart"/>
      <w:r w:rsidR="00F62C64" w:rsidRPr="00EC48A0">
        <w:rPr>
          <w:rFonts w:ascii="Times New Roman" w:hAnsi="Times New Roman"/>
        </w:rPr>
        <w:t>Jeruzalski</w:t>
      </w:r>
      <w:proofErr w:type="spellEnd"/>
      <w:r w:rsidR="00F62C64" w:rsidRPr="00EC48A0">
        <w:rPr>
          <w:rFonts w:ascii="Times New Roman" w:hAnsi="Times New Roman"/>
        </w:rPr>
        <w:t xml:space="preserve"> was </w:t>
      </w:r>
      <w:r w:rsidR="00024D7D" w:rsidRPr="00EC48A0">
        <w:rPr>
          <w:rFonts w:ascii="Times New Roman" w:hAnsi="Times New Roman"/>
        </w:rPr>
        <w:t>entitled to rely</w:t>
      </w:r>
      <w:r w:rsidR="00F62C64" w:rsidRPr="00EC48A0">
        <w:rPr>
          <w:rFonts w:ascii="Times New Roman" w:hAnsi="Times New Roman"/>
        </w:rPr>
        <w:t xml:space="preserve"> on </w:t>
      </w:r>
      <w:r w:rsidR="008B7075" w:rsidRPr="00EC48A0">
        <w:rPr>
          <w:rFonts w:ascii="Times New Roman" w:hAnsi="Times New Roman"/>
        </w:rPr>
        <w:t>the certificates</w:t>
      </w:r>
      <w:r w:rsidR="00024D7D" w:rsidRPr="00EC48A0">
        <w:rPr>
          <w:rFonts w:ascii="Times New Roman" w:hAnsi="Times New Roman"/>
        </w:rPr>
        <w:t xml:space="preserve"> as conveying</w:t>
      </w:r>
      <w:r w:rsidR="006129F8" w:rsidRPr="00EC48A0">
        <w:rPr>
          <w:rFonts w:ascii="Times New Roman" w:hAnsi="Times New Roman"/>
        </w:rPr>
        <w:t xml:space="preserve"> that the nature and consequences of the </w:t>
      </w:r>
      <w:r w:rsidR="00D61DE5" w:rsidRPr="00EC48A0">
        <w:rPr>
          <w:rFonts w:ascii="Times New Roman" w:hAnsi="Times New Roman"/>
        </w:rPr>
        <w:t xml:space="preserve">loans </w:t>
      </w:r>
      <w:r w:rsidR="0004287B" w:rsidRPr="00EC48A0">
        <w:rPr>
          <w:rFonts w:ascii="Times New Roman" w:hAnsi="Times New Roman"/>
        </w:rPr>
        <w:t>had been</w:t>
      </w:r>
      <w:r w:rsidR="008D3126" w:rsidRPr="00EC48A0">
        <w:rPr>
          <w:rFonts w:ascii="Times New Roman" w:hAnsi="Times New Roman"/>
        </w:rPr>
        <w:t xml:space="preserve"> sufficiently</w:t>
      </w:r>
      <w:r w:rsidR="0004287B" w:rsidRPr="00EC48A0">
        <w:rPr>
          <w:rFonts w:ascii="Times New Roman" w:hAnsi="Times New Roman"/>
        </w:rPr>
        <w:t xml:space="preserve"> explained to the appellant</w:t>
      </w:r>
      <w:r w:rsidR="00277CC6" w:rsidRPr="00EC48A0">
        <w:rPr>
          <w:rStyle w:val="FootnoteReference"/>
          <w:rFonts w:ascii="Times New Roman" w:hAnsi="Times New Roman"/>
          <w:sz w:val="24"/>
        </w:rPr>
        <w:footnoteReference w:id="59"/>
      </w:r>
      <w:r w:rsidR="006129F8" w:rsidRPr="00EC48A0">
        <w:rPr>
          <w:rFonts w:ascii="Times New Roman" w:hAnsi="Times New Roman"/>
          <w:bCs/>
        </w:rPr>
        <w:t>.</w:t>
      </w:r>
      <w:r w:rsidR="00065B59" w:rsidRPr="00EC48A0">
        <w:rPr>
          <w:rFonts w:ascii="Times New Roman" w:hAnsi="Times New Roman"/>
          <w:bCs/>
        </w:rPr>
        <w:t xml:space="preserve"> The respondents supported the conclusion of the Court of Appeal that it was </w:t>
      </w:r>
      <w:r w:rsidR="00D62588" w:rsidRPr="00EC48A0">
        <w:rPr>
          <w:rFonts w:ascii="Times New Roman" w:hAnsi="Times New Roman"/>
        </w:rPr>
        <w:t>permissible for Mr </w:t>
      </w:r>
      <w:proofErr w:type="spellStart"/>
      <w:r w:rsidR="00D62588" w:rsidRPr="00EC48A0">
        <w:rPr>
          <w:rFonts w:ascii="Times New Roman" w:hAnsi="Times New Roman"/>
        </w:rPr>
        <w:t>Jeruzalski</w:t>
      </w:r>
      <w:proofErr w:type="spellEnd"/>
      <w:r w:rsidR="00D62588" w:rsidRPr="00EC48A0">
        <w:rPr>
          <w:rFonts w:ascii="Times New Roman" w:hAnsi="Times New Roman"/>
        </w:rPr>
        <w:t xml:space="preserve"> deliberately </w:t>
      </w:r>
      <w:r w:rsidR="00417F33" w:rsidRPr="00EC48A0">
        <w:rPr>
          <w:rFonts w:ascii="Times New Roman" w:hAnsi="Times New Roman"/>
        </w:rPr>
        <w:t xml:space="preserve">to </w:t>
      </w:r>
      <w:r w:rsidR="00D62588" w:rsidRPr="00EC48A0">
        <w:rPr>
          <w:rFonts w:ascii="Times New Roman" w:hAnsi="Times New Roman"/>
        </w:rPr>
        <w:t>abstain from further inquiries precisely because he had the "comfort" of the certificates</w:t>
      </w:r>
      <w:r w:rsidR="001775CE" w:rsidRPr="00EC48A0">
        <w:rPr>
          <w:rFonts w:ascii="Times New Roman" w:hAnsi="Times New Roman"/>
          <w:bCs/>
        </w:rPr>
        <w:t>.</w:t>
      </w:r>
    </w:p>
    <w:p w14:paraId="53DC5C70" w14:textId="45E38998" w:rsidR="008C7869" w:rsidRPr="00EC48A0" w:rsidRDefault="00B6361A"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1775CE" w:rsidRPr="00EC48A0">
        <w:rPr>
          <w:rFonts w:ascii="Times New Roman" w:hAnsi="Times New Roman"/>
        </w:rPr>
        <w:t xml:space="preserve">The </w:t>
      </w:r>
      <w:r w:rsidR="00727C67" w:rsidRPr="00EC48A0">
        <w:rPr>
          <w:rFonts w:ascii="Times New Roman" w:hAnsi="Times New Roman"/>
        </w:rPr>
        <w:t xml:space="preserve">respondents </w:t>
      </w:r>
      <w:r w:rsidR="00ED2DB6" w:rsidRPr="00EC48A0">
        <w:rPr>
          <w:rFonts w:ascii="Times New Roman" w:hAnsi="Times New Roman"/>
        </w:rPr>
        <w:t>argued</w:t>
      </w:r>
      <w:r w:rsidR="00727C67" w:rsidRPr="00EC48A0">
        <w:rPr>
          <w:rFonts w:ascii="Times New Roman" w:hAnsi="Times New Roman"/>
        </w:rPr>
        <w:t xml:space="preserve"> that </w:t>
      </w:r>
      <w:r w:rsidR="0046470D" w:rsidRPr="00EC48A0">
        <w:rPr>
          <w:rFonts w:ascii="Times New Roman" w:hAnsi="Times New Roman"/>
        </w:rPr>
        <w:t xml:space="preserve">the only </w:t>
      </w:r>
      <w:r w:rsidR="00FE5FF9" w:rsidRPr="00EC48A0">
        <w:rPr>
          <w:rFonts w:ascii="Times New Roman" w:hAnsi="Times New Roman"/>
        </w:rPr>
        <w:t>significant</w:t>
      </w:r>
      <w:r w:rsidR="00417F33" w:rsidRPr="00EC48A0">
        <w:rPr>
          <w:rFonts w:ascii="Times New Roman" w:hAnsi="Times New Roman"/>
        </w:rPr>
        <w:t xml:space="preserve"> </w:t>
      </w:r>
      <w:r w:rsidR="0046470D" w:rsidRPr="00EC48A0">
        <w:rPr>
          <w:rFonts w:ascii="Times New Roman" w:hAnsi="Times New Roman"/>
        </w:rPr>
        <w:t xml:space="preserve">finding of the primary judge that </w:t>
      </w:r>
      <w:r w:rsidR="004649EA" w:rsidRPr="00EC48A0">
        <w:rPr>
          <w:rFonts w:ascii="Times New Roman" w:hAnsi="Times New Roman"/>
        </w:rPr>
        <w:t xml:space="preserve">was </w:t>
      </w:r>
      <w:r w:rsidR="00E17A51" w:rsidRPr="00EC48A0">
        <w:rPr>
          <w:rFonts w:ascii="Times New Roman" w:hAnsi="Times New Roman"/>
        </w:rPr>
        <w:t xml:space="preserve">disregarded by </w:t>
      </w:r>
      <w:r w:rsidR="0046470D" w:rsidRPr="00EC48A0">
        <w:rPr>
          <w:rFonts w:ascii="Times New Roman" w:hAnsi="Times New Roman"/>
        </w:rPr>
        <w:t>the Court of Appeal</w:t>
      </w:r>
      <w:r w:rsidR="00E531E2" w:rsidRPr="00EC48A0">
        <w:rPr>
          <w:rFonts w:ascii="Times New Roman" w:hAnsi="Times New Roman"/>
        </w:rPr>
        <w:t xml:space="preserve"> w</w:t>
      </w:r>
      <w:r w:rsidR="00713CDA" w:rsidRPr="00EC48A0">
        <w:rPr>
          <w:rFonts w:ascii="Times New Roman" w:hAnsi="Times New Roman"/>
        </w:rPr>
        <w:t>as</w:t>
      </w:r>
      <w:r w:rsidR="00E531E2" w:rsidRPr="00EC48A0">
        <w:rPr>
          <w:rFonts w:ascii="Times New Roman" w:hAnsi="Times New Roman"/>
        </w:rPr>
        <w:t xml:space="preserve"> </w:t>
      </w:r>
      <w:r w:rsidR="00B84AAB" w:rsidRPr="00EC48A0">
        <w:rPr>
          <w:rFonts w:ascii="Times New Roman" w:hAnsi="Times New Roman"/>
        </w:rPr>
        <w:t xml:space="preserve">the finding to the effect that the certificates were </w:t>
      </w:r>
      <w:r w:rsidR="002D2C47" w:rsidRPr="00EC48A0">
        <w:rPr>
          <w:rFonts w:ascii="Times New Roman" w:hAnsi="Times New Roman"/>
        </w:rPr>
        <w:t>not truly independent</w:t>
      </w:r>
      <w:r w:rsidR="003815B9" w:rsidRPr="00EC48A0">
        <w:rPr>
          <w:rStyle w:val="FootnoteReference"/>
          <w:rFonts w:ascii="Times New Roman" w:hAnsi="Times New Roman"/>
          <w:sz w:val="24"/>
        </w:rPr>
        <w:footnoteReference w:id="60"/>
      </w:r>
      <w:r w:rsidR="003815B9" w:rsidRPr="00EC48A0">
        <w:rPr>
          <w:rFonts w:ascii="Times New Roman" w:hAnsi="Times New Roman"/>
        </w:rPr>
        <w:t>.</w:t>
      </w:r>
      <w:r w:rsidR="00CF648F" w:rsidRPr="00EC48A0">
        <w:rPr>
          <w:rFonts w:ascii="Times New Roman" w:hAnsi="Times New Roman"/>
        </w:rPr>
        <w:t xml:space="preserve"> </w:t>
      </w:r>
      <w:r w:rsidR="00F02B6C" w:rsidRPr="00EC48A0">
        <w:rPr>
          <w:rFonts w:ascii="Times New Roman" w:hAnsi="Times New Roman"/>
        </w:rPr>
        <w:t xml:space="preserve">It was </w:t>
      </w:r>
      <w:r w:rsidR="00642A2D" w:rsidRPr="00EC48A0">
        <w:rPr>
          <w:rFonts w:ascii="Times New Roman" w:hAnsi="Times New Roman"/>
        </w:rPr>
        <w:t xml:space="preserve">said </w:t>
      </w:r>
      <w:r w:rsidR="00F02B6C" w:rsidRPr="00EC48A0">
        <w:rPr>
          <w:rFonts w:ascii="Times New Roman" w:hAnsi="Times New Roman"/>
        </w:rPr>
        <w:t xml:space="preserve">that </w:t>
      </w:r>
      <w:r w:rsidR="009C7DCE" w:rsidRPr="00EC48A0">
        <w:rPr>
          <w:rFonts w:ascii="Times New Roman" w:hAnsi="Times New Roman"/>
        </w:rPr>
        <w:t xml:space="preserve">the Court of Appeal </w:t>
      </w:r>
      <w:r w:rsidR="008E2D98" w:rsidRPr="00EC48A0">
        <w:rPr>
          <w:rFonts w:ascii="Times New Roman" w:hAnsi="Times New Roman"/>
        </w:rPr>
        <w:t xml:space="preserve">was justified in taking this course </w:t>
      </w:r>
      <w:r w:rsidR="00F02B6C" w:rsidRPr="00EC48A0">
        <w:rPr>
          <w:rFonts w:ascii="Times New Roman" w:hAnsi="Times New Roman"/>
        </w:rPr>
        <w:t>on the basis that</w:t>
      </w:r>
      <w:r w:rsidR="00F8543D" w:rsidRPr="00EC48A0">
        <w:rPr>
          <w:rFonts w:ascii="Times New Roman" w:hAnsi="Times New Roman"/>
        </w:rPr>
        <w:t xml:space="preserve"> </w:t>
      </w:r>
      <w:r w:rsidR="009C7DCE" w:rsidRPr="00EC48A0">
        <w:rPr>
          <w:rFonts w:ascii="Times New Roman" w:hAnsi="Times New Roman"/>
        </w:rPr>
        <w:t xml:space="preserve">there was no evidence to </w:t>
      </w:r>
      <w:r w:rsidR="002D2C47" w:rsidRPr="00EC48A0">
        <w:rPr>
          <w:rFonts w:ascii="Times New Roman" w:hAnsi="Times New Roman"/>
        </w:rPr>
        <w:t xml:space="preserve">support </w:t>
      </w:r>
      <w:r w:rsidR="00585D97" w:rsidRPr="00EC48A0">
        <w:rPr>
          <w:rFonts w:ascii="Times New Roman" w:hAnsi="Times New Roman"/>
        </w:rPr>
        <w:t>the primary judge's</w:t>
      </w:r>
      <w:r w:rsidR="002D2C47" w:rsidRPr="00EC48A0">
        <w:rPr>
          <w:rFonts w:ascii="Times New Roman" w:hAnsi="Times New Roman"/>
        </w:rPr>
        <w:t xml:space="preserve"> inference</w:t>
      </w:r>
      <w:r w:rsidR="008C7869" w:rsidRPr="00EC48A0">
        <w:rPr>
          <w:rFonts w:ascii="Times New Roman" w:hAnsi="Times New Roman"/>
        </w:rPr>
        <w:t>.</w:t>
      </w:r>
    </w:p>
    <w:p w14:paraId="0E754D8C" w14:textId="27926D29" w:rsidR="00B85B3F" w:rsidRPr="00EC48A0" w:rsidRDefault="00B85B3F" w:rsidP="00EC48A0">
      <w:pPr>
        <w:pStyle w:val="HeadingL1"/>
        <w:spacing w:after="260" w:line="280" w:lineRule="exact"/>
        <w:ind w:right="0"/>
        <w:jc w:val="both"/>
        <w:rPr>
          <w:rFonts w:ascii="Times New Roman" w:hAnsi="Times New Roman"/>
        </w:rPr>
      </w:pPr>
      <w:r w:rsidRPr="00EC48A0">
        <w:rPr>
          <w:rFonts w:ascii="Times New Roman" w:hAnsi="Times New Roman"/>
        </w:rPr>
        <w:t>Unconscionable conduct</w:t>
      </w:r>
    </w:p>
    <w:p w14:paraId="659E530B" w14:textId="4CDF3831" w:rsidR="00B758AC" w:rsidRPr="00EC48A0" w:rsidRDefault="00B54631"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B758AC" w:rsidRPr="00EC48A0">
        <w:rPr>
          <w:rFonts w:ascii="Times New Roman" w:hAnsi="Times New Roman"/>
        </w:rPr>
        <w:t xml:space="preserve">In </w:t>
      </w:r>
      <w:proofErr w:type="spellStart"/>
      <w:r w:rsidR="00B758AC" w:rsidRPr="00EC48A0">
        <w:rPr>
          <w:rFonts w:ascii="Times New Roman" w:hAnsi="Times New Roman"/>
          <w:i/>
          <w:iCs/>
        </w:rPr>
        <w:t>Kakavas</w:t>
      </w:r>
      <w:proofErr w:type="spellEnd"/>
      <w:r w:rsidR="009B03C8" w:rsidRPr="00EC48A0">
        <w:rPr>
          <w:rFonts w:ascii="Times New Roman" w:hAnsi="Times New Roman"/>
          <w:i/>
          <w:iCs/>
        </w:rPr>
        <w:t xml:space="preserve"> v Crown Melbourne Ltd</w:t>
      </w:r>
      <w:r w:rsidR="00B758AC" w:rsidRPr="00EC48A0">
        <w:rPr>
          <w:rStyle w:val="FootnoteReference"/>
          <w:rFonts w:ascii="Times New Roman" w:hAnsi="Times New Roman"/>
          <w:iCs/>
          <w:sz w:val="24"/>
        </w:rPr>
        <w:footnoteReference w:id="61"/>
      </w:r>
      <w:r w:rsidR="00B758AC" w:rsidRPr="00EC48A0">
        <w:rPr>
          <w:rFonts w:ascii="Times New Roman" w:hAnsi="Times New Roman"/>
        </w:rPr>
        <w:t>, this Court said:</w:t>
      </w:r>
    </w:p>
    <w:p w14:paraId="4D6A98AA" w14:textId="77777777" w:rsidR="00EC48A0" w:rsidRDefault="00B758AC" w:rsidP="00EC48A0">
      <w:pPr>
        <w:pStyle w:val="LeftrightafterHC"/>
        <w:spacing w:before="0" w:after="260" w:line="280" w:lineRule="exact"/>
        <w:ind w:right="0"/>
        <w:jc w:val="both"/>
        <w:rPr>
          <w:rFonts w:ascii="Times New Roman" w:hAnsi="Times New Roman"/>
        </w:rPr>
      </w:pPr>
      <w:r w:rsidRPr="00EC48A0">
        <w:rPr>
          <w:rFonts w:ascii="Times New Roman" w:hAnsi="Times New Roman"/>
        </w:rPr>
        <w:t>"[E]</w:t>
      </w:r>
      <w:proofErr w:type="spellStart"/>
      <w:r w:rsidRPr="00EC48A0">
        <w:rPr>
          <w:rFonts w:ascii="Times New Roman" w:hAnsi="Times New Roman"/>
        </w:rPr>
        <w:t>quitable</w:t>
      </w:r>
      <w:proofErr w:type="spellEnd"/>
      <w:r w:rsidRPr="00EC48A0">
        <w:rPr>
          <w:rFonts w:ascii="Times New Roman" w:hAnsi="Times New Roman"/>
        </w:rPr>
        <w:t xml:space="preserve"> intervention does not relieve a plaintiff from the consequences of improvident transactions conducted in the ordinary and undistinguished course of a lawful business. A plaintiff who voluntarily engages in risky </w:t>
      </w:r>
      <w:r w:rsidRPr="00EC48A0">
        <w:rPr>
          <w:rFonts w:ascii="Times New Roman" w:hAnsi="Times New Roman"/>
        </w:rPr>
        <w:lastRenderedPageBreak/>
        <w:t>business has never been able to call upon equitable principles to be redeemed from the coming home of risks inherent in the business. The plaintiff must be able to point to conduct on the part of the defendant, beyond the ordinary conduct of the business, which makes it just to require the defendant to restore the plaintiff to his or her previous position."</w:t>
      </w:r>
    </w:p>
    <w:p w14:paraId="3B5480E0" w14:textId="039D87AD" w:rsidR="00357F69" w:rsidRPr="00EC48A0" w:rsidRDefault="00B758AC"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7C32F6" w:rsidRPr="00EC48A0">
        <w:rPr>
          <w:rFonts w:ascii="Times New Roman" w:hAnsi="Times New Roman"/>
        </w:rPr>
        <w:t xml:space="preserve">In </w:t>
      </w:r>
      <w:r w:rsidR="00B85B3F" w:rsidRPr="00EC48A0">
        <w:rPr>
          <w:rFonts w:ascii="Times New Roman" w:hAnsi="Times New Roman"/>
          <w:i/>
        </w:rPr>
        <w:t>Comm</w:t>
      </w:r>
      <w:r w:rsidR="009B03C8" w:rsidRPr="00EC48A0">
        <w:rPr>
          <w:rFonts w:ascii="Times New Roman" w:hAnsi="Times New Roman"/>
          <w:i/>
        </w:rPr>
        <w:t>ercial</w:t>
      </w:r>
      <w:r w:rsidR="00B85B3F" w:rsidRPr="00EC48A0">
        <w:rPr>
          <w:rFonts w:ascii="Times New Roman" w:hAnsi="Times New Roman"/>
          <w:i/>
        </w:rPr>
        <w:t xml:space="preserve"> Bank of Australia</w:t>
      </w:r>
      <w:r w:rsidR="00AA3324" w:rsidRPr="00EC48A0">
        <w:rPr>
          <w:rFonts w:ascii="Times New Roman" w:hAnsi="Times New Roman"/>
          <w:i/>
        </w:rPr>
        <w:t xml:space="preserve"> Ltd</w:t>
      </w:r>
      <w:r w:rsidR="00B85B3F" w:rsidRPr="00EC48A0">
        <w:rPr>
          <w:rFonts w:ascii="Times New Roman" w:hAnsi="Times New Roman"/>
          <w:i/>
        </w:rPr>
        <w:t xml:space="preserve"> v Amadio</w:t>
      </w:r>
      <w:r w:rsidR="00B85B3F" w:rsidRPr="00EC48A0">
        <w:rPr>
          <w:rStyle w:val="FootnoteReference"/>
          <w:rFonts w:ascii="Times New Roman" w:hAnsi="Times New Roman"/>
          <w:sz w:val="24"/>
        </w:rPr>
        <w:footnoteReference w:id="62"/>
      </w:r>
      <w:r w:rsidR="007C32F6" w:rsidRPr="00EC48A0">
        <w:rPr>
          <w:rFonts w:ascii="Times New Roman" w:hAnsi="Times New Roman"/>
          <w:iCs/>
        </w:rPr>
        <w:t>,</w:t>
      </w:r>
      <w:r w:rsidR="00BC3BAB" w:rsidRPr="00EC48A0">
        <w:rPr>
          <w:rFonts w:ascii="Times New Roman" w:hAnsi="Times New Roman"/>
        </w:rPr>
        <w:t xml:space="preserve"> </w:t>
      </w:r>
      <w:r w:rsidR="007C32F6" w:rsidRPr="00EC48A0">
        <w:rPr>
          <w:rFonts w:ascii="Times New Roman" w:hAnsi="Times New Roman"/>
        </w:rPr>
        <w:t xml:space="preserve">this Court </w:t>
      </w:r>
      <w:r w:rsidR="00867D28" w:rsidRPr="00EC48A0">
        <w:rPr>
          <w:rFonts w:ascii="Times New Roman" w:hAnsi="Times New Roman"/>
        </w:rPr>
        <w:t xml:space="preserve">held </w:t>
      </w:r>
      <w:r w:rsidR="00153C1C" w:rsidRPr="00EC48A0">
        <w:rPr>
          <w:rFonts w:ascii="Times New Roman" w:hAnsi="Times New Roman"/>
        </w:rPr>
        <w:t>that unconscionability involves:</w:t>
      </w:r>
      <w:r w:rsidR="00B85B3F" w:rsidRPr="00EC48A0">
        <w:rPr>
          <w:rFonts w:ascii="Times New Roman" w:hAnsi="Times New Roman"/>
        </w:rPr>
        <w:t xml:space="preserve"> a relationship that places one party at a "special disadvantage" vis</w:t>
      </w:r>
      <w:r w:rsidR="00E63250" w:rsidRPr="00EC48A0">
        <w:rPr>
          <w:rFonts w:ascii="Times New Roman" w:hAnsi="Times New Roman"/>
        </w:rPr>
        <w:noBreakHyphen/>
      </w:r>
      <w:r w:rsidR="00B85B3F" w:rsidRPr="00EC48A0">
        <w:rPr>
          <w:rFonts w:ascii="Times New Roman" w:hAnsi="Times New Roman"/>
        </w:rPr>
        <w:t>à</w:t>
      </w:r>
      <w:r w:rsidR="00E63250" w:rsidRPr="00EC48A0">
        <w:rPr>
          <w:rFonts w:ascii="Times New Roman" w:hAnsi="Times New Roman"/>
        </w:rPr>
        <w:noBreakHyphen/>
      </w:r>
      <w:r w:rsidR="00B85B3F" w:rsidRPr="00EC48A0">
        <w:rPr>
          <w:rFonts w:ascii="Times New Roman" w:hAnsi="Times New Roman"/>
        </w:rPr>
        <w:t>vis the other; knowledge of that special disadvantage by the stronger party; and unconscientious exploitation by the stronger party of the weaker party's disadvantage</w:t>
      </w:r>
      <w:r w:rsidR="00B85B3F" w:rsidRPr="00EC48A0">
        <w:rPr>
          <w:rStyle w:val="FootnoteReference"/>
          <w:rFonts w:ascii="Times New Roman" w:hAnsi="Times New Roman"/>
          <w:sz w:val="24"/>
        </w:rPr>
        <w:footnoteReference w:id="63"/>
      </w:r>
      <w:r w:rsidR="00B85B3F" w:rsidRPr="00EC48A0">
        <w:rPr>
          <w:rFonts w:ascii="Times New Roman" w:hAnsi="Times New Roman"/>
        </w:rPr>
        <w:t>.</w:t>
      </w:r>
      <w:r w:rsidR="00423D80" w:rsidRPr="00EC48A0">
        <w:rPr>
          <w:rFonts w:ascii="Times New Roman" w:hAnsi="Times New Roman"/>
        </w:rPr>
        <w:t xml:space="preserve"> But these considerations should not be understood as if they were to be addressed separately as if they were </w:t>
      </w:r>
      <w:r w:rsidR="006803A8" w:rsidRPr="00EC48A0">
        <w:rPr>
          <w:rFonts w:ascii="Times New Roman" w:hAnsi="Times New Roman"/>
        </w:rPr>
        <w:t xml:space="preserve">separate </w:t>
      </w:r>
      <w:r w:rsidR="00423D80" w:rsidRPr="00EC48A0">
        <w:rPr>
          <w:rFonts w:ascii="Times New Roman" w:hAnsi="Times New Roman"/>
        </w:rPr>
        <w:t xml:space="preserve">elements of a cause of action </w:t>
      </w:r>
      <w:r w:rsidR="00451D38" w:rsidRPr="00EC48A0">
        <w:rPr>
          <w:rFonts w:ascii="Times New Roman" w:hAnsi="Times New Roman"/>
        </w:rPr>
        <w:t xml:space="preserve">in </w:t>
      </w:r>
      <w:r w:rsidR="007B39ED" w:rsidRPr="00EC48A0">
        <w:rPr>
          <w:rFonts w:ascii="Times New Roman" w:hAnsi="Times New Roman"/>
        </w:rPr>
        <w:t>tort.</w:t>
      </w:r>
      <w:r w:rsidR="00357F69" w:rsidRPr="00EC48A0">
        <w:rPr>
          <w:rFonts w:ascii="Times New Roman" w:hAnsi="Times New Roman"/>
        </w:rPr>
        <w:t xml:space="preserve"> </w:t>
      </w:r>
      <w:r w:rsidR="00357F69" w:rsidRPr="00EC48A0">
        <w:rPr>
          <w:rFonts w:ascii="Times New Roman" w:hAnsi="Times New Roman"/>
          <w:bCs/>
        </w:rPr>
        <w:t xml:space="preserve">As Dixon CJ, </w:t>
      </w:r>
      <w:proofErr w:type="spellStart"/>
      <w:r w:rsidR="00357F69" w:rsidRPr="00EC48A0">
        <w:rPr>
          <w:rFonts w:ascii="Times New Roman" w:hAnsi="Times New Roman"/>
          <w:bCs/>
        </w:rPr>
        <w:t>McTiernan</w:t>
      </w:r>
      <w:proofErr w:type="spellEnd"/>
      <w:r w:rsidR="00357F69" w:rsidRPr="00EC48A0">
        <w:rPr>
          <w:rFonts w:ascii="Times New Roman" w:hAnsi="Times New Roman"/>
          <w:bCs/>
        </w:rPr>
        <w:t xml:space="preserve"> and </w:t>
      </w:r>
      <w:proofErr w:type="spellStart"/>
      <w:r w:rsidR="00357F69" w:rsidRPr="00EC48A0">
        <w:rPr>
          <w:rFonts w:ascii="Times New Roman" w:hAnsi="Times New Roman"/>
          <w:bCs/>
        </w:rPr>
        <w:t>Kitto</w:t>
      </w:r>
      <w:proofErr w:type="spellEnd"/>
      <w:r w:rsidR="00357F69" w:rsidRPr="00EC48A0">
        <w:rPr>
          <w:rFonts w:ascii="Times New Roman" w:hAnsi="Times New Roman"/>
          <w:bCs/>
        </w:rPr>
        <w:t xml:space="preserve"> JJ said in </w:t>
      </w:r>
      <w:proofErr w:type="spellStart"/>
      <w:r w:rsidR="00357F69" w:rsidRPr="00EC48A0">
        <w:rPr>
          <w:rFonts w:ascii="Times New Roman" w:hAnsi="Times New Roman"/>
          <w:bCs/>
          <w:i/>
          <w:iCs/>
        </w:rPr>
        <w:t>Jenyns</w:t>
      </w:r>
      <w:proofErr w:type="spellEnd"/>
      <w:r w:rsidR="00357F69" w:rsidRPr="00EC48A0">
        <w:rPr>
          <w:rFonts w:ascii="Times New Roman" w:hAnsi="Times New Roman"/>
          <w:bCs/>
          <w:i/>
          <w:iCs/>
        </w:rPr>
        <w:t xml:space="preserve"> v Public Curator (Qld)</w:t>
      </w:r>
      <w:r w:rsidR="00357F69" w:rsidRPr="00EC48A0">
        <w:rPr>
          <w:rStyle w:val="FootnoteReference"/>
          <w:rFonts w:ascii="Times New Roman" w:hAnsi="Times New Roman"/>
          <w:bCs/>
          <w:iCs/>
          <w:sz w:val="24"/>
        </w:rPr>
        <w:footnoteReference w:id="64"/>
      </w:r>
      <w:r w:rsidR="00EE1149" w:rsidRPr="00EC48A0">
        <w:rPr>
          <w:rFonts w:ascii="Times New Roman" w:hAnsi="Times New Roman"/>
          <w:bCs/>
          <w:iCs/>
        </w:rPr>
        <w:t>,</w:t>
      </w:r>
      <w:r w:rsidR="00357F69" w:rsidRPr="00EC48A0">
        <w:rPr>
          <w:rFonts w:ascii="Times New Roman" w:hAnsi="Times New Roman"/>
          <w:bCs/>
        </w:rPr>
        <w:t xml:space="preserve"> in a passage approved by this Court in </w:t>
      </w:r>
      <w:proofErr w:type="spellStart"/>
      <w:r w:rsidR="00357F69" w:rsidRPr="00EC48A0">
        <w:rPr>
          <w:rFonts w:ascii="Times New Roman" w:hAnsi="Times New Roman"/>
          <w:bCs/>
          <w:i/>
          <w:iCs/>
        </w:rPr>
        <w:t>Kakavas</w:t>
      </w:r>
      <w:proofErr w:type="spellEnd"/>
      <w:r w:rsidR="00357F69" w:rsidRPr="00EC48A0">
        <w:rPr>
          <w:rStyle w:val="FootnoteReference"/>
          <w:rFonts w:ascii="Times New Roman" w:hAnsi="Times New Roman"/>
          <w:bCs/>
          <w:iCs/>
          <w:sz w:val="24"/>
        </w:rPr>
        <w:footnoteReference w:id="65"/>
      </w:r>
      <w:r w:rsidR="00357F69" w:rsidRPr="00EC48A0">
        <w:rPr>
          <w:rFonts w:ascii="Times New Roman" w:hAnsi="Times New Roman"/>
          <w:bCs/>
        </w:rPr>
        <w:t xml:space="preserve"> and </w:t>
      </w:r>
      <w:r w:rsidR="00357F69" w:rsidRPr="00EC48A0">
        <w:rPr>
          <w:rFonts w:ascii="Times New Roman" w:hAnsi="Times New Roman"/>
          <w:bCs/>
          <w:i/>
          <w:iCs/>
        </w:rPr>
        <w:t>Thorne v Kennedy</w:t>
      </w:r>
      <w:r w:rsidR="00357F69" w:rsidRPr="00EC48A0">
        <w:rPr>
          <w:rStyle w:val="FootnoteReference"/>
          <w:rFonts w:ascii="Times New Roman" w:hAnsi="Times New Roman"/>
          <w:bCs/>
          <w:iCs/>
          <w:sz w:val="24"/>
        </w:rPr>
        <w:footnoteReference w:id="66"/>
      </w:r>
      <w:r w:rsidR="00357F69" w:rsidRPr="00EC48A0">
        <w:rPr>
          <w:rFonts w:ascii="Times New Roman" w:hAnsi="Times New Roman"/>
          <w:bCs/>
        </w:rPr>
        <w:t>, the application of the equitable principles relating to unconscionable conduct:</w:t>
      </w:r>
    </w:p>
    <w:p w14:paraId="55614CE4" w14:textId="77777777" w:rsidR="00EC48A0" w:rsidRDefault="00357F69" w:rsidP="00EC48A0">
      <w:pPr>
        <w:pStyle w:val="LeftrightafterHC"/>
        <w:spacing w:before="0" w:after="260" w:line="280" w:lineRule="exact"/>
        <w:ind w:right="0"/>
        <w:jc w:val="both"/>
        <w:rPr>
          <w:rFonts w:ascii="Times New Roman" w:hAnsi="Times New Roman"/>
        </w:rPr>
      </w:pPr>
      <w:r w:rsidRPr="00EC48A0">
        <w:rPr>
          <w:rFonts w:ascii="Times New Roman" w:hAnsi="Times New Roman"/>
        </w:rPr>
        <w:t>"calls for a precise examination of the particular facts, a scrutiny of the exact relations established between the parties and a consideration of the mental capacities, processes and idiosyncrasies of the [</w:t>
      </w:r>
      <w:r w:rsidR="00613A6B" w:rsidRPr="00EC48A0">
        <w:rPr>
          <w:rFonts w:ascii="Times New Roman" w:hAnsi="Times New Roman"/>
        </w:rPr>
        <w:t xml:space="preserve">vulnerable </w:t>
      </w:r>
      <w:r w:rsidRPr="00EC48A0">
        <w:rPr>
          <w:rFonts w:ascii="Times New Roman" w:hAnsi="Times New Roman"/>
        </w:rPr>
        <w:t xml:space="preserve">party]. Such cases do not depend upon legal categories susceptible of clear definition and giving rise to definite issues of fact readily formulated which, when found, automatically determine the validity of the disposition. </w:t>
      </w:r>
      <w:proofErr w:type="gramStart"/>
      <w:r w:rsidRPr="00EC48A0">
        <w:rPr>
          <w:rFonts w:ascii="Times New Roman" w:hAnsi="Times New Roman"/>
        </w:rPr>
        <w:t>Indeed</w:t>
      </w:r>
      <w:proofErr w:type="gramEnd"/>
      <w:r w:rsidRPr="00EC48A0">
        <w:rPr>
          <w:rFonts w:ascii="Times New Roman" w:hAnsi="Times New Roman"/>
        </w:rPr>
        <w:t xml:space="preserve"> no better illustration could be found of Lord Stowell</w:t>
      </w:r>
      <w:r w:rsidR="006B2800" w:rsidRPr="00EC48A0">
        <w:rPr>
          <w:rFonts w:ascii="Times New Roman" w:hAnsi="Times New Roman"/>
        </w:rPr>
        <w:t>'</w:t>
      </w:r>
      <w:r w:rsidRPr="00EC48A0">
        <w:rPr>
          <w:rFonts w:ascii="Times New Roman" w:hAnsi="Times New Roman"/>
        </w:rPr>
        <w:t xml:space="preserve">s generalisation concerning the administration of equity: 'A court of law works its way to short issues, and confines its views to them. A court of equity takes a more comprehensive </w:t>
      </w:r>
      <w:proofErr w:type="gramStart"/>
      <w:r w:rsidRPr="00EC48A0">
        <w:rPr>
          <w:rFonts w:ascii="Times New Roman" w:hAnsi="Times New Roman"/>
        </w:rPr>
        <w:t>view, and</w:t>
      </w:r>
      <w:proofErr w:type="gramEnd"/>
      <w:r w:rsidRPr="00EC48A0">
        <w:rPr>
          <w:rFonts w:ascii="Times New Roman" w:hAnsi="Times New Roman"/>
        </w:rPr>
        <w:t xml:space="preserve"> looks to every connected circumstance that ought to influence its determination upon the real justice of the case'."</w:t>
      </w:r>
      <w:r w:rsidR="00A5323A" w:rsidRPr="00EC48A0">
        <w:rPr>
          <w:rFonts w:ascii="Times New Roman" w:hAnsi="Times New Roman"/>
        </w:rPr>
        <w:t xml:space="preserve"> (citation omitted)</w:t>
      </w:r>
    </w:p>
    <w:p w14:paraId="60B1B5B6" w14:textId="78E07123" w:rsidR="00D43CBD" w:rsidRPr="00EC48A0" w:rsidRDefault="00D43CBD" w:rsidP="00EC48A0">
      <w:pPr>
        <w:pStyle w:val="HeadingL2"/>
        <w:spacing w:after="260" w:line="280" w:lineRule="exact"/>
        <w:ind w:right="0"/>
        <w:jc w:val="both"/>
        <w:rPr>
          <w:rFonts w:ascii="Times New Roman" w:hAnsi="Times New Roman"/>
        </w:rPr>
      </w:pPr>
      <w:r w:rsidRPr="00EC48A0">
        <w:rPr>
          <w:rFonts w:ascii="Times New Roman" w:hAnsi="Times New Roman"/>
        </w:rPr>
        <w:lastRenderedPageBreak/>
        <w:t>Special disadvantage</w:t>
      </w:r>
    </w:p>
    <w:p w14:paraId="574F6EE4" w14:textId="046172B0" w:rsidR="00AF2164" w:rsidRPr="00EC48A0" w:rsidRDefault="00D43CBD"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C3007F" w:rsidRPr="00EC48A0">
        <w:rPr>
          <w:rFonts w:ascii="Times New Roman" w:hAnsi="Times New Roman"/>
        </w:rPr>
        <w:t xml:space="preserve">In </w:t>
      </w:r>
      <w:r w:rsidR="00221EF0" w:rsidRPr="00EC48A0">
        <w:rPr>
          <w:rFonts w:ascii="Times New Roman" w:hAnsi="Times New Roman"/>
        </w:rPr>
        <w:t>this field of discourse,</w:t>
      </w:r>
      <w:r w:rsidR="00C3007F" w:rsidRPr="00EC48A0">
        <w:rPr>
          <w:rFonts w:ascii="Times New Roman" w:hAnsi="Times New Roman"/>
        </w:rPr>
        <w:t xml:space="preserve"> </w:t>
      </w:r>
      <w:r w:rsidR="00B85B3F" w:rsidRPr="00EC48A0">
        <w:rPr>
          <w:rFonts w:ascii="Times New Roman" w:hAnsi="Times New Roman"/>
        </w:rPr>
        <w:t>"</w:t>
      </w:r>
      <w:r w:rsidR="00C3007F" w:rsidRPr="00EC48A0">
        <w:rPr>
          <w:rFonts w:ascii="Times New Roman" w:hAnsi="Times New Roman"/>
        </w:rPr>
        <w:t>s</w:t>
      </w:r>
      <w:r w:rsidR="00B85B3F" w:rsidRPr="00EC48A0">
        <w:rPr>
          <w:rFonts w:ascii="Times New Roman" w:hAnsi="Times New Roman"/>
        </w:rPr>
        <w:t>pecial disadvantage" mean</w:t>
      </w:r>
      <w:r w:rsidR="007C3D7D" w:rsidRPr="00EC48A0">
        <w:rPr>
          <w:rFonts w:ascii="Times New Roman" w:hAnsi="Times New Roman"/>
        </w:rPr>
        <w:t>s</w:t>
      </w:r>
      <w:r w:rsidR="00B85B3F" w:rsidRPr="00EC48A0">
        <w:rPr>
          <w:rFonts w:ascii="Times New Roman" w:hAnsi="Times New Roman"/>
        </w:rPr>
        <w:t xml:space="preserve"> something that "seriously</w:t>
      </w:r>
      <w:r w:rsidR="00B85B3F" w:rsidRPr="00EC48A0">
        <w:rPr>
          <w:rFonts w:ascii="Times New Roman" w:hAnsi="Times New Roman"/>
          <w:i/>
        </w:rPr>
        <w:t xml:space="preserve"> </w:t>
      </w:r>
      <w:r w:rsidR="00B85B3F" w:rsidRPr="00EC48A0">
        <w:rPr>
          <w:rFonts w:ascii="Times New Roman" w:hAnsi="Times New Roman"/>
        </w:rPr>
        <w:t>affects the ability of the innocent party to make a judgment as to his [or her] own best interests"</w:t>
      </w:r>
      <w:r w:rsidR="00B85B3F" w:rsidRPr="00EC48A0">
        <w:rPr>
          <w:rStyle w:val="FootnoteReference"/>
          <w:rFonts w:ascii="Times New Roman" w:hAnsi="Times New Roman"/>
          <w:sz w:val="24"/>
        </w:rPr>
        <w:footnoteReference w:id="67"/>
      </w:r>
      <w:r w:rsidR="00B85B3F" w:rsidRPr="00EC48A0">
        <w:rPr>
          <w:rFonts w:ascii="Times New Roman" w:hAnsi="Times New Roman"/>
        </w:rPr>
        <w:t xml:space="preserve">. </w:t>
      </w:r>
      <w:r w:rsidR="00D31DCB" w:rsidRPr="00EC48A0">
        <w:rPr>
          <w:rFonts w:ascii="Times New Roman" w:hAnsi="Times New Roman"/>
        </w:rPr>
        <w:t xml:space="preserve">While </w:t>
      </w:r>
      <w:r w:rsidR="00694028" w:rsidRPr="00EC48A0">
        <w:rPr>
          <w:rFonts w:ascii="Times New Roman" w:hAnsi="Times New Roman"/>
        </w:rPr>
        <w:t xml:space="preserve">the factors </w:t>
      </w:r>
      <w:r w:rsidR="00D31DCB" w:rsidRPr="00EC48A0">
        <w:rPr>
          <w:rFonts w:ascii="Times New Roman" w:hAnsi="Times New Roman"/>
        </w:rPr>
        <w:t xml:space="preserve">relevant </w:t>
      </w:r>
      <w:r w:rsidR="00694028" w:rsidRPr="00EC48A0">
        <w:rPr>
          <w:rFonts w:ascii="Times New Roman" w:hAnsi="Times New Roman"/>
        </w:rPr>
        <w:t xml:space="preserve">to an assessment of special disadvantage </w:t>
      </w:r>
      <w:r w:rsidR="00D31DCB" w:rsidRPr="00EC48A0">
        <w:rPr>
          <w:rFonts w:ascii="Times New Roman" w:hAnsi="Times New Roman"/>
        </w:rPr>
        <w:t xml:space="preserve">have not been exhaustively listed, </w:t>
      </w:r>
      <w:proofErr w:type="spellStart"/>
      <w:r w:rsidR="00D31DCB" w:rsidRPr="00EC48A0">
        <w:rPr>
          <w:rFonts w:ascii="Times New Roman" w:hAnsi="Times New Roman"/>
        </w:rPr>
        <w:t>Fullagar</w:t>
      </w:r>
      <w:proofErr w:type="spellEnd"/>
      <w:r w:rsidR="00D31DCB" w:rsidRPr="00EC48A0">
        <w:rPr>
          <w:rFonts w:ascii="Times New Roman" w:hAnsi="Times New Roman"/>
        </w:rPr>
        <w:t xml:space="preserve"> J in </w:t>
      </w:r>
      <w:proofErr w:type="spellStart"/>
      <w:r w:rsidR="00D31DCB" w:rsidRPr="00EC48A0">
        <w:rPr>
          <w:rFonts w:ascii="Times New Roman" w:hAnsi="Times New Roman"/>
          <w:i/>
        </w:rPr>
        <w:t>Blomley</w:t>
      </w:r>
      <w:proofErr w:type="spellEnd"/>
      <w:r w:rsidR="00D31DCB" w:rsidRPr="00EC48A0">
        <w:rPr>
          <w:rFonts w:ascii="Times New Roman" w:hAnsi="Times New Roman"/>
          <w:i/>
        </w:rPr>
        <w:t xml:space="preserve"> v Ryan</w:t>
      </w:r>
      <w:r w:rsidR="00D31DCB" w:rsidRPr="00EC48A0">
        <w:rPr>
          <w:rStyle w:val="FootnoteReference"/>
          <w:rFonts w:ascii="Times New Roman" w:hAnsi="Times New Roman"/>
          <w:sz w:val="24"/>
        </w:rPr>
        <w:footnoteReference w:id="68"/>
      </w:r>
      <w:r w:rsidR="00D31DCB" w:rsidRPr="00EC48A0">
        <w:rPr>
          <w:rFonts w:ascii="Times New Roman" w:hAnsi="Times New Roman"/>
          <w:i/>
        </w:rPr>
        <w:t xml:space="preserve"> </w:t>
      </w:r>
      <w:r w:rsidR="00710330" w:rsidRPr="00EC48A0">
        <w:rPr>
          <w:rFonts w:ascii="Times New Roman" w:hAnsi="Times New Roman"/>
          <w:iCs/>
        </w:rPr>
        <w:t xml:space="preserve">considered that </w:t>
      </w:r>
      <w:r w:rsidR="00AD00E1" w:rsidRPr="00EC48A0">
        <w:rPr>
          <w:rFonts w:ascii="Times New Roman" w:hAnsi="Times New Roman"/>
        </w:rPr>
        <w:t>special disadvantage</w:t>
      </w:r>
      <w:r w:rsidR="00D31DCB" w:rsidRPr="00EC48A0">
        <w:rPr>
          <w:rFonts w:ascii="Times New Roman" w:hAnsi="Times New Roman"/>
        </w:rPr>
        <w:t xml:space="preserve"> may be inferred from "poverty or need of any kind, sickness, age, sex, infirmity of body or mind, </w:t>
      </w:r>
      <w:r w:rsidR="00523875" w:rsidRPr="00EC48A0">
        <w:rPr>
          <w:rFonts w:ascii="Times New Roman" w:hAnsi="Times New Roman"/>
        </w:rPr>
        <w:t>drunkenness, illiteracy or lack of education, lack of assistance</w:t>
      </w:r>
      <w:r w:rsidR="00377D54" w:rsidRPr="00EC48A0">
        <w:rPr>
          <w:rFonts w:ascii="Times New Roman" w:hAnsi="Times New Roman"/>
        </w:rPr>
        <w:t xml:space="preserve"> </w:t>
      </w:r>
      <w:r w:rsidR="00D31DCB" w:rsidRPr="00EC48A0">
        <w:rPr>
          <w:rFonts w:ascii="Times New Roman" w:hAnsi="Times New Roman"/>
        </w:rPr>
        <w:t xml:space="preserve">or explanation where assistance or explanation is necessary". No </w:t>
      </w:r>
      <w:proofErr w:type="gramStart"/>
      <w:r w:rsidR="00D31DCB" w:rsidRPr="00EC48A0">
        <w:rPr>
          <w:rFonts w:ascii="Times New Roman" w:hAnsi="Times New Roman"/>
        </w:rPr>
        <w:t>particular factor</w:t>
      </w:r>
      <w:proofErr w:type="gramEnd"/>
      <w:r w:rsidR="00D31DCB" w:rsidRPr="00EC48A0">
        <w:rPr>
          <w:rFonts w:ascii="Times New Roman" w:hAnsi="Times New Roman"/>
        </w:rPr>
        <w:t xml:space="preserve"> is decisive, and it is usually a combination </w:t>
      </w:r>
      <w:r w:rsidR="00C3007F" w:rsidRPr="00EC48A0">
        <w:rPr>
          <w:rFonts w:ascii="Times New Roman" w:hAnsi="Times New Roman"/>
        </w:rPr>
        <w:t>of circumstances that establish</w:t>
      </w:r>
      <w:r w:rsidR="006B2800" w:rsidRPr="00EC48A0">
        <w:rPr>
          <w:rFonts w:ascii="Times New Roman" w:hAnsi="Times New Roman"/>
        </w:rPr>
        <w:t>es</w:t>
      </w:r>
      <w:r w:rsidR="00C3007F" w:rsidRPr="00EC48A0">
        <w:rPr>
          <w:rFonts w:ascii="Times New Roman" w:hAnsi="Times New Roman"/>
        </w:rPr>
        <w:t xml:space="preserve"> an entitlement to</w:t>
      </w:r>
      <w:r w:rsidR="00D31DCB" w:rsidRPr="00EC48A0">
        <w:rPr>
          <w:rFonts w:ascii="Times New Roman" w:hAnsi="Times New Roman"/>
        </w:rPr>
        <w:t xml:space="preserve"> equitable relief</w:t>
      </w:r>
      <w:r w:rsidR="00D31DCB" w:rsidRPr="00EC48A0">
        <w:rPr>
          <w:rStyle w:val="FootnoteReference"/>
          <w:rFonts w:ascii="Times New Roman" w:hAnsi="Times New Roman"/>
          <w:sz w:val="24"/>
        </w:rPr>
        <w:footnoteReference w:id="69"/>
      </w:r>
      <w:r w:rsidR="00D31DCB" w:rsidRPr="00EC48A0">
        <w:rPr>
          <w:rFonts w:ascii="Times New Roman" w:hAnsi="Times New Roman"/>
        </w:rPr>
        <w:t xml:space="preserve">. </w:t>
      </w:r>
    </w:p>
    <w:p w14:paraId="22268EC7" w14:textId="1A396DE3" w:rsidR="00792933" w:rsidRPr="00EC48A0" w:rsidRDefault="00792933" w:rsidP="00EC48A0">
      <w:pPr>
        <w:pStyle w:val="FixListStyle"/>
        <w:spacing w:after="260" w:line="280" w:lineRule="exact"/>
        <w:ind w:right="0"/>
        <w:jc w:val="both"/>
        <w:rPr>
          <w:rFonts w:ascii="Times New Roman" w:hAnsi="Times New Roman"/>
        </w:rPr>
      </w:pPr>
      <w:r w:rsidRPr="00EC48A0">
        <w:rPr>
          <w:rFonts w:ascii="Times New Roman" w:hAnsi="Times New Roman"/>
        </w:rPr>
        <w:tab/>
        <w:t>At all times, the appellant was incapable of understanding the risks involved in the transaction</w:t>
      </w:r>
      <w:r w:rsidRPr="00EC48A0">
        <w:rPr>
          <w:rStyle w:val="FootnoteReference"/>
          <w:rFonts w:ascii="Times New Roman" w:hAnsi="Times New Roman"/>
          <w:sz w:val="24"/>
        </w:rPr>
        <w:footnoteReference w:id="70"/>
      </w:r>
      <w:r w:rsidR="00713CC1" w:rsidRPr="00EC48A0">
        <w:rPr>
          <w:rFonts w:ascii="Times New Roman" w:hAnsi="Times New Roman"/>
        </w:rPr>
        <w:t xml:space="preserve">. </w:t>
      </w:r>
      <w:r w:rsidR="00740F7C" w:rsidRPr="00EC48A0">
        <w:rPr>
          <w:rFonts w:ascii="Times New Roman" w:hAnsi="Times New Roman"/>
        </w:rPr>
        <w:t>He was unable to perform simple calculations, such as 10 per cent of $130,000</w:t>
      </w:r>
      <w:r w:rsidR="00740F7C" w:rsidRPr="00EC48A0">
        <w:rPr>
          <w:rStyle w:val="FootnoteReference"/>
          <w:rFonts w:ascii="Times New Roman" w:hAnsi="Times New Roman"/>
          <w:sz w:val="24"/>
        </w:rPr>
        <w:footnoteReference w:id="71"/>
      </w:r>
      <w:r w:rsidR="0025188B" w:rsidRPr="00EC48A0">
        <w:rPr>
          <w:rFonts w:ascii="Times New Roman" w:hAnsi="Times New Roman"/>
        </w:rPr>
        <w:t xml:space="preserve">. </w:t>
      </w:r>
      <w:r w:rsidR="007D0037" w:rsidRPr="00EC48A0">
        <w:rPr>
          <w:rFonts w:ascii="Times New Roman" w:hAnsi="Times New Roman"/>
        </w:rPr>
        <w:t>The primary judge observ</w:t>
      </w:r>
      <w:r w:rsidR="009F66AF" w:rsidRPr="00EC48A0">
        <w:rPr>
          <w:rFonts w:ascii="Times New Roman" w:hAnsi="Times New Roman"/>
        </w:rPr>
        <w:t>e</w:t>
      </w:r>
      <w:r w:rsidR="007D0037" w:rsidRPr="00EC48A0">
        <w:rPr>
          <w:rFonts w:ascii="Times New Roman" w:hAnsi="Times New Roman"/>
        </w:rPr>
        <w:t>d that the very circumstance that the appellant was disposed to enter into such a transaction was evidence of his vulnerability</w:t>
      </w:r>
      <w:r w:rsidR="009F66AF" w:rsidRPr="00EC48A0">
        <w:rPr>
          <w:rStyle w:val="FootnoteReference"/>
          <w:rFonts w:ascii="Times New Roman" w:hAnsi="Times New Roman"/>
          <w:sz w:val="24"/>
        </w:rPr>
        <w:footnoteReference w:id="72"/>
      </w:r>
      <w:r w:rsidR="00425857" w:rsidRPr="00EC48A0">
        <w:rPr>
          <w:rFonts w:ascii="Times New Roman" w:hAnsi="Times New Roman"/>
        </w:rPr>
        <w:t>. To say the least, the appellant's financial circumstances were "bleak"</w:t>
      </w:r>
      <w:r w:rsidR="00425857" w:rsidRPr="00EC48A0">
        <w:rPr>
          <w:rStyle w:val="FootnoteReference"/>
          <w:rFonts w:ascii="Times New Roman" w:hAnsi="Times New Roman"/>
          <w:sz w:val="24"/>
        </w:rPr>
        <w:footnoteReference w:id="73"/>
      </w:r>
      <w:r w:rsidR="006B7D99" w:rsidRPr="00EC48A0">
        <w:rPr>
          <w:rFonts w:ascii="Times New Roman" w:hAnsi="Times New Roman"/>
        </w:rPr>
        <w:t>.</w:t>
      </w:r>
    </w:p>
    <w:p w14:paraId="14430F84" w14:textId="72259AFE" w:rsidR="003178EF" w:rsidRPr="00EC48A0" w:rsidRDefault="003178EF" w:rsidP="00EC48A0">
      <w:pPr>
        <w:pStyle w:val="FixListStyle"/>
        <w:spacing w:after="260" w:line="280" w:lineRule="exact"/>
        <w:ind w:right="0"/>
        <w:jc w:val="both"/>
        <w:rPr>
          <w:rFonts w:ascii="Times New Roman" w:hAnsi="Times New Roman"/>
        </w:rPr>
      </w:pPr>
      <w:r w:rsidRPr="00EC48A0">
        <w:rPr>
          <w:rFonts w:ascii="Times New Roman" w:hAnsi="Times New Roman"/>
        </w:rPr>
        <w:tab/>
        <w:t>It could not be</w:t>
      </w:r>
      <w:r w:rsidR="00CB7218" w:rsidRPr="00EC48A0">
        <w:rPr>
          <w:rFonts w:ascii="Times New Roman" w:hAnsi="Times New Roman"/>
        </w:rPr>
        <w:t xml:space="preserve">, </w:t>
      </w:r>
      <w:r w:rsidR="00AA693C" w:rsidRPr="00EC48A0">
        <w:rPr>
          <w:rFonts w:ascii="Times New Roman" w:hAnsi="Times New Roman"/>
        </w:rPr>
        <w:t>and was not, disputed by the respondent</w:t>
      </w:r>
      <w:r w:rsidR="00E57AEC" w:rsidRPr="00EC48A0">
        <w:rPr>
          <w:rFonts w:ascii="Times New Roman" w:hAnsi="Times New Roman"/>
        </w:rPr>
        <w:t>s</w:t>
      </w:r>
      <w:r w:rsidR="00AA693C" w:rsidRPr="00EC48A0">
        <w:rPr>
          <w:rFonts w:ascii="Times New Roman" w:hAnsi="Times New Roman"/>
        </w:rPr>
        <w:t xml:space="preserve"> that the primary judge's findings as to the appellant's circ</w:t>
      </w:r>
      <w:r w:rsidR="00C27B43" w:rsidRPr="00EC48A0">
        <w:rPr>
          <w:rFonts w:ascii="Times New Roman" w:hAnsi="Times New Roman"/>
        </w:rPr>
        <w:t>u</w:t>
      </w:r>
      <w:r w:rsidR="00AA693C" w:rsidRPr="00EC48A0">
        <w:rPr>
          <w:rFonts w:ascii="Times New Roman" w:hAnsi="Times New Roman"/>
        </w:rPr>
        <w:t>mst</w:t>
      </w:r>
      <w:r w:rsidR="00E57AEC" w:rsidRPr="00EC48A0">
        <w:rPr>
          <w:rFonts w:ascii="Times New Roman" w:hAnsi="Times New Roman"/>
        </w:rPr>
        <w:t>ances</w:t>
      </w:r>
      <w:r w:rsidR="00AA693C" w:rsidRPr="00EC48A0">
        <w:rPr>
          <w:rFonts w:ascii="Times New Roman" w:hAnsi="Times New Roman"/>
        </w:rPr>
        <w:t xml:space="preserve"> </w:t>
      </w:r>
      <w:r w:rsidR="00E57AEC" w:rsidRPr="00EC48A0">
        <w:rPr>
          <w:rFonts w:ascii="Times New Roman" w:hAnsi="Times New Roman"/>
        </w:rPr>
        <w:t>e</w:t>
      </w:r>
      <w:r w:rsidR="00AA693C" w:rsidRPr="00EC48A0">
        <w:rPr>
          <w:rFonts w:ascii="Times New Roman" w:hAnsi="Times New Roman"/>
        </w:rPr>
        <w:t>stablished that he was at a special disadvantage vis</w:t>
      </w:r>
      <w:r w:rsidR="00AA693C" w:rsidRPr="00EC48A0">
        <w:rPr>
          <w:rFonts w:ascii="Times New Roman" w:hAnsi="Times New Roman"/>
        </w:rPr>
        <w:noBreakHyphen/>
      </w:r>
      <w:r w:rsidR="00852786" w:rsidRPr="00EC48A0">
        <w:rPr>
          <w:rFonts w:ascii="Times New Roman" w:hAnsi="Times New Roman"/>
        </w:rPr>
        <w:t>à</w:t>
      </w:r>
      <w:r w:rsidR="00AA693C" w:rsidRPr="00EC48A0">
        <w:rPr>
          <w:rFonts w:ascii="Times New Roman" w:hAnsi="Times New Roman"/>
        </w:rPr>
        <w:noBreakHyphen/>
        <w:t>vis</w:t>
      </w:r>
      <w:r w:rsidR="00852786" w:rsidRPr="00EC48A0">
        <w:rPr>
          <w:rFonts w:ascii="Times New Roman" w:hAnsi="Times New Roman"/>
        </w:rPr>
        <w:t xml:space="preserve"> the respondent</w:t>
      </w:r>
      <w:r w:rsidR="00E57AEC" w:rsidRPr="00EC48A0">
        <w:rPr>
          <w:rFonts w:ascii="Times New Roman" w:hAnsi="Times New Roman"/>
        </w:rPr>
        <w:t>s.</w:t>
      </w:r>
      <w:r w:rsidR="00257127" w:rsidRPr="00EC48A0">
        <w:rPr>
          <w:rFonts w:ascii="Times New Roman" w:hAnsi="Times New Roman"/>
        </w:rPr>
        <w:t xml:space="preserve"> The outcome of the appeal to this Court turns on the extent of Mr</w:t>
      </w:r>
      <w:r w:rsidR="00C26007" w:rsidRPr="00EC48A0">
        <w:rPr>
          <w:rFonts w:ascii="Times New Roman" w:hAnsi="Times New Roman"/>
        </w:rPr>
        <w:t> </w:t>
      </w:r>
      <w:proofErr w:type="spellStart"/>
      <w:r w:rsidR="00257127" w:rsidRPr="00EC48A0">
        <w:rPr>
          <w:rFonts w:ascii="Times New Roman" w:hAnsi="Times New Roman"/>
        </w:rPr>
        <w:t>Jeruzalski's</w:t>
      </w:r>
      <w:proofErr w:type="spellEnd"/>
      <w:r w:rsidR="00257127" w:rsidRPr="00EC48A0">
        <w:rPr>
          <w:rFonts w:ascii="Times New Roman" w:hAnsi="Times New Roman"/>
        </w:rPr>
        <w:t xml:space="preserve"> knowledge of the appellant's circumstances and whether Mr </w:t>
      </w:r>
      <w:proofErr w:type="spellStart"/>
      <w:r w:rsidR="00257127" w:rsidRPr="00EC48A0">
        <w:rPr>
          <w:rFonts w:ascii="Times New Roman" w:hAnsi="Times New Roman"/>
        </w:rPr>
        <w:t>Jeruzalski</w:t>
      </w:r>
      <w:proofErr w:type="spellEnd"/>
      <w:r w:rsidR="00115689" w:rsidRPr="00EC48A0">
        <w:rPr>
          <w:rFonts w:ascii="Times New Roman" w:hAnsi="Times New Roman"/>
        </w:rPr>
        <w:t xml:space="preserve"> exploited that disadvantage so that the </w:t>
      </w:r>
      <w:r w:rsidR="00115689" w:rsidRPr="00EC48A0">
        <w:rPr>
          <w:rFonts w:ascii="Times New Roman" w:hAnsi="Times New Roman"/>
        </w:rPr>
        <w:lastRenderedPageBreak/>
        <w:t>respondents' atte</w:t>
      </w:r>
      <w:r w:rsidR="005B4DC3" w:rsidRPr="00EC48A0">
        <w:rPr>
          <w:rFonts w:ascii="Times New Roman" w:hAnsi="Times New Roman"/>
        </w:rPr>
        <w:t>m</w:t>
      </w:r>
      <w:r w:rsidR="00115689" w:rsidRPr="00EC48A0">
        <w:rPr>
          <w:rFonts w:ascii="Times New Roman" w:hAnsi="Times New Roman"/>
        </w:rPr>
        <w:t>pt to enforce their rights under the loans and mortgage</w:t>
      </w:r>
      <w:r w:rsidR="00BD4C52" w:rsidRPr="00EC48A0">
        <w:rPr>
          <w:rFonts w:ascii="Times New Roman" w:hAnsi="Times New Roman"/>
        </w:rPr>
        <w:t>s</w:t>
      </w:r>
      <w:r w:rsidR="00115689" w:rsidRPr="00EC48A0">
        <w:rPr>
          <w:rFonts w:ascii="Times New Roman" w:hAnsi="Times New Roman"/>
        </w:rPr>
        <w:t xml:space="preserve"> </w:t>
      </w:r>
      <w:r w:rsidR="00B8143B" w:rsidRPr="00EC48A0">
        <w:rPr>
          <w:rFonts w:ascii="Times New Roman" w:hAnsi="Times New Roman"/>
        </w:rPr>
        <w:t>wa</w:t>
      </w:r>
      <w:r w:rsidR="00115689" w:rsidRPr="00EC48A0">
        <w:rPr>
          <w:rFonts w:ascii="Times New Roman" w:hAnsi="Times New Roman"/>
        </w:rPr>
        <w:t>s unconscionable.</w:t>
      </w:r>
    </w:p>
    <w:p w14:paraId="5F80BDA1" w14:textId="1B887E3E" w:rsidR="00783F26" w:rsidRPr="00EC48A0" w:rsidRDefault="00783F26" w:rsidP="00EC48A0">
      <w:pPr>
        <w:pStyle w:val="HeadingL2"/>
        <w:spacing w:after="260" w:line="280" w:lineRule="exact"/>
        <w:ind w:right="0"/>
        <w:jc w:val="both"/>
        <w:rPr>
          <w:rFonts w:ascii="Times New Roman" w:hAnsi="Times New Roman"/>
        </w:rPr>
      </w:pPr>
      <w:r w:rsidRPr="00EC48A0">
        <w:rPr>
          <w:rFonts w:ascii="Times New Roman" w:hAnsi="Times New Roman"/>
        </w:rPr>
        <w:t>Knowledge and exploitation</w:t>
      </w:r>
    </w:p>
    <w:p w14:paraId="223C5E2C" w14:textId="450CF30C" w:rsidR="00B85B3F" w:rsidRPr="00EC48A0" w:rsidRDefault="00783F26"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2A1D67" w:rsidRPr="00EC48A0">
        <w:rPr>
          <w:rFonts w:ascii="Times New Roman" w:hAnsi="Times New Roman"/>
        </w:rPr>
        <w:t xml:space="preserve">The </w:t>
      </w:r>
      <w:r w:rsidR="005A6742" w:rsidRPr="00EC48A0">
        <w:rPr>
          <w:rFonts w:ascii="Times New Roman" w:hAnsi="Times New Roman"/>
        </w:rPr>
        <w:t>inevitable outcome of the transaction was, objectively speaking, that the appellant's equity in his properties would be taken by the respondents by way of interest payments, including at default interest rates. T</w:t>
      </w:r>
      <w:r w:rsidR="00B85B3F" w:rsidRPr="00EC48A0">
        <w:rPr>
          <w:rFonts w:ascii="Times New Roman" w:hAnsi="Times New Roman"/>
        </w:rPr>
        <w:t xml:space="preserve">he </w:t>
      </w:r>
      <w:r w:rsidR="00307E74" w:rsidRPr="00EC48A0">
        <w:rPr>
          <w:rFonts w:ascii="Times New Roman" w:hAnsi="Times New Roman"/>
        </w:rPr>
        <w:t>dangerous nature of the loans, obv</w:t>
      </w:r>
      <w:r w:rsidR="008823A3" w:rsidRPr="00EC48A0">
        <w:rPr>
          <w:rFonts w:ascii="Times New Roman" w:hAnsi="Times New Roman"/>
        </w:rPr>
        <w:t>i</w:t>
      </w:r>
      <w:r w:rsidR="00307E74" w:rsidRPr="00EC48A0">
        <w:rPr>
          <w:rFonts w:ascii="Times New Roman" w:hAnsi="Times New Roman"/>
        </w:rPr>
        <w:t>ous to Mr</w:t>
      </w:r>
      <w:r w:rsidR="005A6742" w:rsidRPr="00EC48A0">
        <w:rPr>
          <w:rFonts w:ascii="Times New Roman" w:hAnsi="Times New Roman"/>
        </w:rPr>
        <w:t> </w:t>
      </w:r>
      <w:proofErr w:type="spellStart"/>
      <w:r w:rsidR="00307E74" w:rsidRPr="00EC48A0">
        <w:rPr>
          <w:rFonts w:ascii="Times New Roman" w:hAnsi="Times New Roman"/>
        </w:rPr>
        <w:t>Jeruzalski</w:t>
      </w:r>
      <w:proofErr w:type="spellEnd"/>
      <w:r w:rsidR="00307E74" w:rsidRPr="00EC48A0">
        <w:rPr>
          <w:rFonts w:ascii="Times New Roman" w:hAnsi="Times New Roman"/>
        </w:rPr>
        <w:t xml:space="preserve"> but not to the appellant,</w:t>
      </w:r>
      <w:r w:rsidR="00062994" w:rsidRPr="00EC48A0">
        <w:rPr>
          <w:rFonts w:ascii="Times New Roman" w:hAnsi="Times New Roman"/>
        </w:rPr>
        <w:t xml:space="preserve"> </w:t>
      </w:r>
      <w:r w:rsidR="004E6311" w:rsidRPr="00EC48A0">
        <w:rPr>
          <w:rFonts w:ascii="Times New Roman" w:hAnsi="Times New Roman"/>
        </w:rPr>
        <w:t>was</w:t>
      </w:r>
      <w:r w:rsidR="00B85B3F" w:rsidRPr="00EC48A0">
        <w:rPr>
          <w:rFonts w:ascii="Times New Roman" w:hAnsi="Times New Roman"/>
        </w:rPr>
        <w:t xml:space="preserve"> </w:t>
      </w:r>
      <w:r w:rsidR="0027357C" w:rsidRPr="00EC48A0">
        <w:rPr>
          <w:rFonts w:ascii="Times New Roman" w:hAnsi="Times New Roman"/>
        </w:rPr>
        <w:t>central</w:t>
      </w:r>
      <w:r w:rsidR="00B85B3F" w:rsidRPr="00EC48A0">
        <w:rPr>
          <w:rFonts w:ascii="Times New Roman" w:hAnsi="Times New Roman"/>
        </w:rPr>
        <w:t xml:space="preserve"> </w:t>
      </w:r>
      <w:r w:rsidR="00725139" w:rsidRPr="00EC48A0">
        <w:rPr>
          <w:rFonts w:ascii="Times New Roman" w:hAnsi="Times New Roman"/>
        </w:rPr>
        <w:t xml:space="preserve">to the question whether the appellant's </w:t>
      </w:r>
      <w:r w:rsidR="00A673B3" w:rsidRPr="00EC48A0">
        <w:rPr>
          <w:rFonts w:ascii="Times New Roman" w:hAnsi="Times New Roman"/>
        </w:rPr>
        <w:t>special disadvantage had been exploited by the respondents.</w:t>
      </w:r>
      <w:r w:rsidR="0027357C" w:rsidRPr="00EC48A0">
        <w:rPr>
          <w:rFonts w:ascii="Times New Roman" w:hAnsi="Times New Roman"/>
        </w:rPr>
        <w:t xml:space="preserve"> </w:t>
      </w:r>
    </w:p>
    <w:p w14:paraId="4A6E7020" w14:textId="4E567595" w:rsidR="004C758B" w:rsidRPr="00EC48A0" w:rsidRDefault="005A4DE3"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A06EF7" w:rsidRPr="00EC48A0">
        <w:rPr>
          <w:rFonts w:ascii="Times New Roman" w:hAnsi="Times New Roman"/>
        </w:rPr>
        <w:t>The primary judge found that Mr </w:t>
      </w:r>
      <w:proofErr w:type="spellStart"/>
      <w:r w:rsidR="00A06EF7" w:rsidRPr="00EC48A0">
        <w:rPr>
          <w:rFonts w:ascii="Times New Roman" w:hAnsi="Times New Roman"/>
        </w:rPr>
        <w:t>Jeruza</w:t>
      </w:r>
      <w:r w:rsidR="00E17866" w:rsidRPr="00EC48A0">
        <w:rPr>
          <w:rFonts w:ascii="Times New Roman" w:hAnsi="Times New Roman"/>
        </w:rPr>
        <w:t>lski</w:t>
      </w:r>
      <w:proofErr w:type="spellEnd"/>
      <w:r w:rsidR="00E17866" w:rsidRPr="00EC48A0">
        <w:rPr>
          <w:rFonts w:ascii="Times New Roman" w:hAnsi="Times New Roman"/>
        </w:rPr>
        <w:t xml:space="preserve"> "should have known" that the appellant was bound to lose his equity in the N</w:t>
      </w:r>
      <w:r w:rsidR="004819F9" w:rsidRPr="00EC48A0">
        <w:rPr>
          <w:rFonts w:ascii="Times New Roman" w:hAnsi="Times New Roman"/>
        </w:rPr>
        <w:t xml:space="preserve">arre Warren </w:t>
      </w:r>
      <w:r w:rsidR="007A13A5" w:rsidRPr="00EC48A0">
        <w:rPr>
          <w:rFonts w:ascii="Times New Roman" w:hAnsi="Times New Roman"/>
        </w:rPr>
        <w:t>properties</w:t>
      </w:r>
      <w:r w:rsidR="007A13A5" w:rsidRPr="00EC48A0">
        <w:rPr>
          <w:rStyle w:val="FootnoteReference"/>
          <w:rFonts w:ascii="Times New Roman" w:hAnsi="Times New Roman"/>
          <w:sz w:val="24"/>
        </w:rPr>
        <w:footnoteReference w:id="74"/>
      </w:r>
      <w:r w:rsidR="007A13A5" w:rsidRPr="00EC48A0">
        <w:rPr>
          <w:rFonts w:ascii="Times New Roman" w:hAnsi="Times New Roman"/>
        </w:rPr>
        <w:t>.</w:t>
      </w:r>
      <w:r w:rsidR="004C758B" w:rsidRPr="00EC48A0">
        <w:rPr>
          <w:rFonts w:ascii="Times New Roman" w:hAnsi="Times New Roman"/>
        </w:rPr>
        <w:t xml:space="preserve"> It may be accepted that h</w:t>
      </w:r>
      <w:r w:rsidR="009E532B" w:rsidRPr="00EC48A0">
        <w:rPr>
          <w:rFonts w:ascii="Times New Roman" w:hAnsi="Times New Roman"/>
        </w:rPr>
        <w:t xml:space="preserve">is Honour's </w:t>
      </w:r>
      <w:r w:rsidR="007F040C" w:rsidRPr="00EC48A0">
        <w:rPr>
          <w:rFonts w:ascii="Times New Roman" w:hAnsi="Times New Roman"/>
        </w:rPr>
        <w:t>findings as to Mr </w:t>
      </w:r>
      <w:proofErr w:type="spellStart"/>
      <w:r w:rsidR="007F040C" w:rsidRPr="00EC48A0">
        <w:rPr>
          <w:rFonts w:ascii="Times New Roman" w:hAnsi="Times New Roman"/>
        </w:rPr>
        <w:t>Jeruzalski</w:t>
      </w:r>
      <w:r w:rsidR="006755D1" w:rsidRPr="00EC48A0">
        <w:rPr>
          <w:rFonts w:ascii="Times New Roman" w:hAnsi="Times New Roman"/>
        </w:rPr>
        <w:t>'s</w:t>
      </w:r>
      <w:proofErr w:type="spellEnd"/>
      <w:r w:rsidR="006755D1" w:rsidRPr="00EC48A0">
        <w:rPr>
          <w:rFonts w:ascii="Times New Roman" w:hAnsi="Times New Roman"/>
        </w:rPr>
        <w:t xml:space="preserve"> state of mind did not rise to a</w:t>
      </w:r>
      <w:r w:rsidR="006239D4" w:rsidRPr="00EC48A0">
        <w:rPr>
          <w:rFonts w:ascii="Times New Roman" w:hAnsi="Times New Roman"/>
        </w:rPr>
        <w:t>n unequivocal</w:t>
      </w:r>
      <w:r w:rsidR="006755D1" w:rsidRPr="00EC48A0">
        <w:rPr>
          <w:rFonts w:ascii="Times New Roman" w:hAnsi="Times New Roman"/>
        </w:rPr>
        <w:t xml:space="preserve"> finding of actual knowledge</w:t>
      </w:r>
      <w:r w:rsidR="00994053" w:rsidRPr="00EC48A0">
        <w:rPr>
          <w:rFonts w:ascii="Times New Roman" w:hAnsi="Times New Roman"/>
        </w:rPr>
        <w:t xml:space="preserve"> on the part of Mr </w:t>
      </w:r>
      <w:proofErr w:type="spellStart"/>
      <w:r w:rsidR="00994053" w:rsidRPr="00EC48A0">
        <w:rPr>
          <w:rFonts w:ascii="Times New Roman" w:hAnsi="Times New Roman"/>
        </w:rPr>
        <w:t>Jeruzalski</w:t>
      </w:r>
      <w:proofErr w:type="spellEnd"/>
      <w:r w:rsidR="006755D1" w:rsidRPr="00EC48A0">
        <w:rPr>
          <w:rFonts w:ascii="Times New Roman" w:hAnsi="Times New Roman"/>
        </w:rPr>
        <w:t xml:space="preserve"> that the appellant would inevitably lose his equity in his properties by taking th</w:t>
      </w:r>
      <w:r w:rsidR="003F2904" w:rsidRPr="00EC48A0">
        <w:rPr>
          <w:rFonts w:ascii="Times New Roman" w:hAnsi="Times New Roman"/>
        </w:rPr>
        <w:t>ese</w:t>
      </w:r>
      <w:r w:rsidR="006755D1" w:rsidRPr="00EC48A0">
        <w:rPr>
          <w:rFonts w:ascii="Times New Roman" w:hAnsi="Times New Roman"/>
        </w:rPr>
        <w:t xml:space="preserve"> loan</w:t>
      </w:r>
      <w:r w:rsidR="003F2904" w:rsidRPr="00EC48A0">
        <w:rPr>
          <w:rFonts w:ascii="Times New Roman" w:hAnsi="Times New Roman"/>
        </w:rPr>
        <w:t>s</w:t>
      </w:r>
      <w:r w:rsidR="006755D1" w:rsidRPr="00EC48A0">
        <w:rPr>
          <w:rFonts w:ascii="Times New Roman" w:hAnsi="Times New Roman"/>
        </w:rPr>
        <w:t>; but</w:t>
      </w:r>
      <w:r w:rsidR="00994053" w:rsidRPr="00EC48A0">
        <w:rPr>
          <w:rFonts w:ascii="Times New Roman" w:hAnsi="Times New Roman"/>
        </w:rPr>
        <w:t xml:space="preserve"> a finding </w:t>
      </w:r>
      <w:r w:rsidR="00A06EF7" w:rsidRPr="00EC48A0">
        <w:rPr>
          <w:rFonts w:ascii="Times New Roman" w:hAnsi="Times New Roman"/>
        </w:rPr>
        <w:t xml:space="preserve">in such terms </w:t>
      </w:r>
      <w:r w:rsidR="00994053" w:rsidRPr="00EC48A0">
        <w:rPr>
          <w:rFonts w:ascii="Times New Roman" w:hAnsi="Times New Roman"/>
        </w:rPr>
        <w:t>was not essential to the appellant's case for relief. For a court of equity</w:t>
      </w:r>
      <w:r w:rsidR="004E76BC" w:rsidRPr="00EC48A0">
        <w:rPr>
          <w:rFonts w:ascii="Times New Roman" w:hAnsi="Times New Roman"/>
        </w:rPr>
        <w:t>,</w:t>
      </w:r>
      <w:r w:rsidR="00994053" w:rsidRPr="00EC48A0">
        <w:rPr>
          <w:rFonts w:ascii="Times New Roman" w:hAnsi="Times New Roman"/>
        </w:rPr>
        <w:t xml:space="preserve"> the </w:t>
      </w:r>
      <w:r w:rsidR="00A06EF7" w:rsidRPr="00EC48A0">
        <w:rPr>
          <w:rFonts w:ascii="Times New Roman" w:hAnsi="Times New Roman"/>
        </w:rPr>
        <w:t xml:space="preserve">question </w:t>
      </w:r>
      <w:r w:rsidR="00994053" w:rsidRPr="00EC48A0">
        <w:rPr>
          <w:rFonts w:ascii="Times New Roman" w:hAnsi="Times New Roman"/>
        </w:rPr>
        <w:t>is whether Mr </w:t>
      </w:r>
      <w:proofErr w:type="spellStart"/>
      <w:r w:rsidR="00994053" w:rsidRPr="00EC48A0">
        <w:rPr>
          <w:rFonts w:ascii="Times New Roman" w:hAnsi="Times New Roman"/>
        </w:rPr>
        <w:t>Jeruzalski's</w:t>
      </w:r>
      <w:proofErr w:type="spellEnd"/>
      <w:r w:rsidR="00994053" w:rsidRPr="00EC48A0">
        <w:rPr>
          <w:rFonts w:ascii="Times New Roman" w:hAnsi="Times New Roman"/>
        </w:rPr>
        <w:t xml:space="preserve"> </w:t>
      </w:r>
      <w:r w:rsidR="00A06EF7" w:rsidRPr="00EC48A0">
        <w:rPr>
          <w:rFonts w:ascii="Times New Roman" w:hAnsi="Times New Roman"/>
        </w:rPr>
        <w:t xml:space="preserve">appreciation </w:t>
      </w:r>
      <w:r w:rsidR="00994053" w:rsidRPr="00EC48A0">
        <w:rPr>
          <w:rFonts w:ascii="Times New Roman" w:hAnsi="Times New Roman"/>
        </w:rPr>
        <w:t xml:space="preserve">of the appellant's </w:t>
      </w:r>
      <w:r w:rsidR="00A06EF7" w:rsidRPr="00EC48A0">
        <w:rPr>
          <w:rFonts w:ascii="Times New Roman" w:hAnsi="Times New Roman"/>
        </w:rPr>
        <w:t xml:space="preserve">special disadvantage </w:t>
      </w:r>
      <w:r w:rsidR="00994053" w:rsidRPr="00EC48A0">
        <w:rPr>
          <w:rFonts w:ascii="Times New Roman" w:hAnsi="Times New Roman"/>
        </w:rPr>
        <w:t xml:space="preserve">was such as to amount to </w:t>
      </w:r>
      <w:r w:rsidR="00A06EF7" w:rsidRPr="00EC48A0">
        <w:rPr>
          <w:rFonts w:ascii="Times New Roman" w:hAnsi="Times New Roman"/>
        </w:rPr>
        <w:t xml:space="preserve">an </w:t>
      </w:r>
      <w:r w:rsidR="00994053" w:rsidRPr="00EC48A0">
        <w:rPr>
          <w:rFonts w:ascii="Times New Roman" w:hAnsi="Times New Roman"/>
        </w:rPr>
        <w:t>exploitation of th</w:t>
      </w:r>
      <w:r w:rsidR="00B37F80" w:rsidRPr="00EC48A0">
        <w:rPr>
          <w:rFonts w:ascii="Times New Roman" w:hAnsi="Times New Roman"/>
        </w:rPr>
        <w:t>at disadvantage</w:t>
      </w:r>
      <w:r w:rsidR="00204CF9" w:rsidRPr="00EC48A0">
        <w:rPr>
          <w:rFonts w:ascii="Times New Roman" w:hAnsi="Times New Roman"/>
        </w:rPr>
        <w:t>.</w:t>
      </w:r>
      <w:r w:rsidR="006755D1" w:rsidRPr="00EC48A0">
        <w:rPr>
          <w:rFonts w:ascii="Times New Roman" w:hAnsi="Times New Roman"/>
        </w:rPr>
        <w:t xml:space="preserve"> </w:t>
      </w:r>
    </w:p>
    <w:p w14:paraId="22B2C343" w14:textId="33AACC8A" w:rsidR="005A4DE3" w:rsidRPr="00EC48A0" w:rsidRDefault="004C758B"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204CF9" w:rsidRPr="00EC48A0">
        <w:rPr>
          <w:rFonts w:ascii="Times New Roman" w:hAnsi="Times New Roman"/>
        </w:rPr>
        <w:t>I</w:t>
      </w:r>
      <w:r w:rsidR="006755D1" w:rsidRPr="00EC48A0">
        <w:rPr>
          <w:rFonts w:ascii="Times New Roman" w:hAnsi="Times New Roman"/>
        </w:rPr>
        <w:t>n</w:t>
      </w:r>
      <w:r w:rsidR="005A4DE3" w:rsidRPr="00EC48A0">
        <w:rPr>
          <w:rFonts w:ascii="Times New Roman" w:hAnsi="Times New Roman"/>
        </w:rPr>
        <w:t xml:space="preserve"> </w:t>
      </w:r>
      <w:proofErr w:type="spellStart"/>
      <w:r w:rsidR="00F00A3C" w:rsidRPr="00EC48A0">
        <w:rPr>
          <w:rFonts w:ascii="Times New Roman" w:hAnsi="Times New Roman"/>
          <w:i/>
          <w:iCs/>
        </w:rPr>
        <w:t>Kakavas</w:t>
      </w:r>
      <w:proofErr w:type="spellEnd"/>
      <w:r w:rsidR="00922BDC" w:rsidRPr="00EC48A0">
        <w:rPr>
          <w:rStyle w:val="FootnoteReference"/>
          <w:rFonts w:ascii="Times New Roman" w:hAnsi="Times New Roman"/>
          <w:iCs/>
          <w:sz w:val="24"/>
        </w:rPr>
        <w:footnoteReference w:id="75"/>
      </w:r>
      <w:r w:rsidR="00BD7339" w:rsidRPr="00EC48A0">
        <w:rPr>
          <w:rFonts w:ascii="Times New Roman" w:hAnsi="Times New Roman"/>
        </w:rPr>
        <w:t xml:space="preserve">, </w:t>
      </w:r>
      <w:r w:rsidR="0069217F" w:rsidRPr="00EC48A0">
        <w:rPr>
          <w:rFonts w:ascii="Times New Roman" w:hAnsi="Times New Roman"/>
        </w:rPr>
        <w:t xml:space="preserve">this Court </w:t>
      </w:r>
      <w:r w:rsidR="00F83AFD" w:rsidRPr="00EC48A0">
        <w:rPr>
          <w:rFonts w:ascii="Times New Roman" w:hAnsi="Times New Roman"/>
        </w:rPr>
        <w:t xml:space="preserve">approved of </w:t>
      </w:r>
      <w:r w:rsidR="0069217F" w:rsidRPr="00EC48A0">
        <w:rPr>
          <w:rFonts w:ascii="Times New Roman" w:hAnsi="Times New Roman"/>
        </w:rPr>
        <w:t>the empha</w:t>
      </w:r>
      <w:r w:rsidR="00001849" w:rsidRPr="00EC48A0">
        <w:rPr>
          <w:rFonts w:ascii="Times New Roman" w:hAnsi="Times New Roman"/>
        </w:rPr>
        <w:t>s</w:t>
      </w:r>
      <w:r w:rsidR="00263E69" w:rsidRPr="00EC48A0">
        <w:rPr>
          <w:rFonts w:ascii="Times New Roman" w:hAnsi="Times New Roman"/>
        </w:rPr>
        <w:t>i</w:t>
      </w:r>
      <w:r w:rsidR="00001849" w:rsidRPr="00EC48A0">
        <w:rPr>
          <w:rFonts w:ascii="Times New Roman" w:hAnsi="Times New Roman"/>
        </w:rPr>
        <w:t xml:space="preserve">s laid by Mason J in </w:t>
      </w:r>
      <w:r w:rsidR="00FE1FDA" w:rsidRPr="00EC48A0">
        <w:rPr>
          <w:rFonts w:ascii="Times New Roman" w:hAnsi="Times New Roman"/>
          <w:i/>
          <w:iCs/>
        </w:rPr>
        <w:t>Amadio</w:t>
      </w:r>
      <w:r w:rsidR="00FE1FDA" w:rsidRPr="00EC48A0">
        <w:rPr>
          <w:rStyle w:val="FootnoteReference"/>
          <w:rFonts w:ascii="Times New Roman" w:hAnsi="Times New Roman"/>
          <w:iCs/>
          <w:sz w:val="24"/>
        </w:rPr>
        <w:footnoteReference w:id="76"/>
      </w:r>
      <w:r w:rsidR="00BC39D7" w:rsidRPr="00EC48A0">
        <w:rPr>
          <w:rFonts w:ascii="Times New Roman" w:hAnsi="Times New Roman"/>
        </w:rPr>
        <w:t xml:space="preserve"> on the point that:</w:t>
      </w:r>
    </w:p>
    <w:p w14:paraId="05272435" w14:textId="77777777" w:rsidR="00EC48A0" w:rsidRDefault="006A7E78" w:rsidP="00EC48A0">
      <w:pPr>
        <w:pStyle w:val="LeftrightafterHC"/>
        <w:spacing w:before="0" w:after="260" w:line="280" w:lineRule="exact"/>
        <w:ind w:right="0"/>
        <w:jc w:val="both"/>
        <w:rPr>
          <w:rFonts w:ascii="Times New Roman" w:hAnsi="Times New Roman"/>
        </w:rPr>
      </w:pPr>
      <w:r w:rsidRPr="00EC48A0">
        <w:rPr>
          <w:rFonts w:ascii="Times New Roman" w:hAnsi="Times New Roman"/>
        </w:rPr>
        <w:t>"</w:t>
      </w:r>
      <w:r w:rsidR="00B95BAF" w:rsidRPr="00EC48A0">
        <w:rPr>
          <w:rFonts w:ascii="Times New Roman" w:hAnsi="Times New Roman"/>
        </w:rPr>
        <w:t>t</w:t>
      </w:r>
      <w:r w:rsidRPr="00EC48A0">
        <w:rPr>
          <w:rFonts w:ascii="Times New Roman" w:hAnsi="Times New Roman"/>
        </w:rPr>
        <w:t>he disabling condition or circumstance is one which</w:t>
      </w:r>
      <w:r w:rsidR="000843B4" w:rsidRPr="00EC48A0">
        <w:rPr>
          <w:rFonts w:ascii="Times New Roman" w:hAnsi="Times New Roman"/>
        </w:rPr>
        <w:t xml:space="preserve"> </w:t>
      </w:r>
      <w:r w:rsidRPr="00EC48A0">
        <w:rPr>
          <w:rFonts w:ascii="Times New Roman" w:hAnsi="Times New Roman"/>
        </w:rPr>
        <w:t>seriously affects the ability of the innocent party to make a</w:t>
      </w:r>
      <w:r w:rsidR="000843B4" w:rsidRPr="00EC48A0">
        <w:rPr>
          <w:rFonts w:ascii="Times New Roman" w:hAnsi="Times New Roman"/>
        </w:rPr>
        <w:t xml:space="preserve"> </w:t>
      </w:r>
      <w:r w:rsidRPr="00EC48A0">
        <w:rPr>
          <w:rFonts w:ascii="Times New Roman" w:hAnsi="Times New Roman"/>
        </w:rPr>
        <w:t>judgment as to his</w:t>
      </w:r>
      <w:r w:rsidR="00BC5BF4" w:rsidRPr="00EC48A0">
        <w:rPr>
          <w:rFonts w:ascii="Times New Roman" w:hAnsi="Times New Roman"/>
        </w:rPr>
        <w:t xml:space="preserve"> [or her]</w:t>
      </w:r>
      <w:r w:rsidRPr="00EC48A0">
        <w:rPr>
          <w:rFonts w:ascii="Times New Roman" w:hAnsi="Times New Roman"/>
        </w:rPr>
        <w:t xml:space="preserve"> own best interests, when the other party knows</w:t>
      </w:r>
      <w:r w:rsidR="000843B4" w:rsidRPr="00EC48A0">
        <w:rPr>
          <w:rFonts w:ascii="Times New Roman" w:hAnsi="Times New Roman"/>
        </w:rPr>
        <w:t xml:space="preserve"> </w:t>
      </w:r>
      <w:r w:rsidRPr="00EC48A0">
        <w:rPr>
          <w:rFonts w:ascii="Times New Roman" w:hAnsi="Times New Roman"/>
        </w:rPr>
        <w:t>or ought to know of the existence of that condition or circumstance</w:t>
      </w:r>
      <w:r w:rsidR="000843B4" w:rsidRPr="00EC48A0">
        <w:rPr>
          <w:rFonts w:ascii="Times New Roman" w:hAnsi="Times New Roman"/>
        </w:rPr>
        <w:t xml:space="preserve"> </w:t>
      </w:r>
      <w:r w:rsidRPr="00EC48A0">
        <w:rPr>
          <w:rFonts w:ascii="Times New Roman" w:hAnsi="Times New Roman"/>
        </w:rPr>
        <w:t>and of its effect on the innocent party.</w:t>
      </w:r>
      <w:r w:rsidR="000843B4" w:rsidRPr="00EC48A0">
        <w:rPr>
          <w:rFonts w:ascii="Times New Roman" w:hAnsi="Times New Roman"/>
        </w:rPr>
        <w:t>"</w:t>
      </w:r>
    </w:p>
    <w:p w14:paraId="31EF946E" w14:textId="4E1B3759" w:rsidR="00A673B3" w:rsidRPr="00EC48A0" w:rsidRDefault="00120D04"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C43A72" w:rsidRPr="00EC48A0">
        <w:rPr>
          <w:rFonts w:ascii="Times New Roman" w:hAnsi="Times New Roman"/>
        </w:rPr>
        <w:t>A case for relief against an unconscionable</w:t>
      </w:r>
      <w:r w:rsidR="000D3BC1" w:rsidRPr="00EC48A0">
        <w:rPr>
          <w:rFonts w:ascii="Times New Roman" w:hAnsi="Times New Roman"/>
        </w:rPr>
        <w:t xml:space="preserve"> </w:t>
      </w:r>
      <w:r w:rsidR="00C43A72" w:rsidRPr="00EC48A0">
        <w:rPr>
          <w:rFonts w:ascii="Times New Roman" w:hAnsi="Times New Roman"/>
        </w:rPr>
        <w:t>attempt to enforce legal rights is</w:t>
      </w:r>
      <w:r w:rsidR="000D3BC1" w:rsidRPr="00EC48A0">
        <w:rPr>
          <w:rFonts w:ascii="Times New Roman" w:hAnsi="Times New Roman"/>
        </w:rPr>
        <w:t xml:space="preserve"> e</w:t>
      </w:r>
      <w:r w:rsidR="00C43A72" w:rsidRPr="00EC48A0">
        <w:rPr>
          <w:rFonts w:ascii="Times New Roman" w:hAnsi="Times New Roman"/>
        </w:rPr>
        <w:t>stablished in this case because Mr </w:t>
      </w:r>
      <w:proofErr w:type="spellStart"/>
      <w:r w:rsidR="00C43A72" w:rsidRPr="00EC48A0">
        <w:rPr>
          <w:rFonts w:ascii="Times New Roman" w:hAnsi="Times New Roman"/>
        </w:rPr>
        <w:t>Jeruzalski</w:t>
      </w:r>
      <w:proofErr w:type="spellEnd"/>
      <w:r w:rsidR="00C43A72" w:rsidRPr="00EC48A0">
        <w:rPr>
          <w:rFonts w:ascii="Times New Roman" w:hAnsi="Times New Roman"/>
        </w:rPr>
        <w:t xml:space="preserve"> had </w:t>
      </w:r>
      <w:proofErr w:type="gramStart"/>
      <w:r w:rsidR="00C43A72" w:rsidRPr="00EC48A0">
        <w:rPr>
          <w:rFonts w:ascii="Times New Roman" w:hAnsi="Times New Roman"/>
        </w:rPr>
        <w:t>suffi</w:t>
      </w:r>
      <w:r w:rsidR="000D3BC1" w:rsidRPr="00EC48A0">
        <w:rPr>
          <w:rFonts w:ascii="Times New Roman" w:hAnsi="Times New Roman"/>
        </w:rPr>
        <w:t>cient</w:t>
      </w:r>
      <w:proofErr w:type="gramEnd"/>
      <w:r w:rsidR="00C43A72" w:rsidRPr="00EC48A0">
        <w:rPr>
          <w:rFonts w:ascii="Times New Roman" w:hAnsi="Times New Roman"/>
        </w:rPr>
        <w:t xml:space="preserve"> </w:t>
      </w:r>
      <w:r w:rsidR="00EF1878" w:rsidRPr="00EC48A0">
        <w:rPr>
          <w:rFonts w:ascii="Times New Roman" w:hAnsi="Times New Roman"/>
        </w:rPr>
        <w:t xml:space="preserve">appreciation </w:t>
      </w:r>
      <w:r w:rsidR="00C43A72" w:rsidRPr="00EC48A0">
        <w:rPr>
          <w:rFonts w:ascii="Times New Roman" w:hAnsi="Times New Roman"/>
        </w:rPr>
        <w:t>of the appellant's vulnerability</w:t>
      </w:r>
      <w:r w:rsidR="00DF56F1" w:rsidRPr="00EC48A0">
        <w:rPr>
          <w:rFonts w:ascii="Times New Roman" w:hAnsi="Times New Roman"/>
        </w:rPr>
        <w:t>,</w:t>
      </w:r>
      <w:r w:rsidR="00C43A72" w:rsidRPr="00EC48A0">
        <w:rPr>
          <w:rFonts w:ascii="Times New Roman" w:hAnsi="Times New Roman"/>
        </w:rPr>
        <w:t xml:space="preserve"> and the </w:t>
      </w:r>
      <w:r w:rsidR="000D3BC1" w:rsidRPr="00EC48A0">
        <w:rPr>
          <w:rFonts w:ascii="Times New Roman" w:hAnsi="Times New Roman"/>
        </w:rPr>
        <w:t>disaster</w:t>
      </w:r>
      <w:r w:rsidR="00C43A72" w:rsidRPr="00EC48A0">
        <w:rPr>
          <w:rFonts w:ascii="Times New Roman" w:hAnsi="Times New Roman"/>
        </w:rPr>
        <w:t xml:space="preserve"> awaiting him under the mortgages</w:t>
      </w:r>
      <w:r w:rsidR="000D3BC1" w:rsidRPr="00EC48A0">
        <w:rPr>
          <w:rFonts w:ascii="Times New Roman" w:hAnsi="Times New Roman"/>
        </w:rPr>
        <w:t xml:space="preserve">, that </w:t>
      </w:r>
      <w:r w:rsidR="00DF56F1" w:rsidRPr="00EC48A0">
        <w:rPr>
          <w:rFonts w:ascii="Times New Roman" w:hAnsi="Times New Roman"/>
        </w:rPr>
        <w:lastRenderedPageBreak/>
        <w:t xml:space="preserve">his conduct </w:t>
      </w:r>
      <w:r w:rsidR="004C758B" w:rsidRPr="00EC48A0">
        <w:rPr>
          <w:rFonts w:ascii="Times New Roman" w:hAnsi="Times New Roman"/>
        </w:rPr>
        <w:t xml:space="preserve">in procuring the execution of the mortgages </w:t>
      </w:r>
      <w:r w:rsidR="000D3BC1" w:rsidRPr="00EC48A0">
        <w:rPr>
          <w:rFonts w:ascii="Times New Roman" w:hAnsi="Times New Roman"/>
        </w:rPr>
        <w:t xml:space="preserve">is justly described as unconscientious. </w:t>
      </w:r>
    </w:p>
    <w:p w14:paraId="4C6835AB" w14:textId="3E92E65C" w:rsidR="00FE5D5B" w:rsidRPr="00EC48A0" w:rsidRDefault="00A673B3"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40832" w:rsidRPr="00EC48A0">
        <w:rPr>
          <w:rFonts w:ascii="Times New Roman" w:hAnsi="Times New Roman"/>
        </w:rPr>
        <w:t>T</w:t>
      </w:r>
      <w:r w:rsidR="00D54310" w:rsidRPr="00EC48A0">
        <w:rPr>
          <w:rFonts w:ascii="Times New Roman" w:hAnsi="Times New Roman"/>
        </w:rPr>
        <w:t>here can be no doubt that Mr</w:t>
      </w:r>
      <w:r w:rsidR="003571C7" w:rsidRPr="00EC48A0">
        <w:rPr>
          <w:rFonts w:ascii="Times New Roman" w:hAnsi="Times New Roman"/>
        </w:rPr>
        <w:t> </w:t>
      </w:r>
      <w:proofErr w:type="spellStart"/>
      <w:r w:rsidR="00D54310" w:rsidRPr="00EC48A0">
        <w:rPr>
          <w:rFonts w:ascii="Times New Roman" w:hAnsi="Times New Roman"/>
        </w:rPr>
        <w:t>Jeruzalski</w:t>
      </w:r>
      <w:proofErr w:type="spellEnd"/>
      <w:r w:rsidR="00D54310" w:rsidRPr="00EC48A0">
        <w:rPr>
          <w:rFonts w:ascii="Times New Roman" w:hAnsi="Times New Roman"/>
        </w:rPr>
        <w:t xml:space="preserve">, on behalf of the respondents, </w:t>
      </w:r>
      <w:r w:rsidR="00EE090A" w:rsidRPr="00EC48A0">
        <w:rPr>
          <w:rFonts w:ascii="Times New Roman" w:hAnsi="Times New Roman"/>
        </w:rPr>
        <w:t xml:space="preserve">had a lively appreciation </w:t>
      </w:r>
      <w:r w:rsidR="00D54310" w:rsidRPr="00EC48A0">
        <w:rPr>
          <w:rFonts w:ascii="Times New Roman" w:hAnsi="Times New Roman"/>
        </w:rPr>
        <w:t xml:space="preserve">of the </w:t>
      </w:r>
      <w:r w:rsidR="00616ED3" w:rsidRPr="00EC48A0">
        <w:rPr>
          <w:rFonts w:ascii="Times New Roman" w:hAnsi="Times New Roman"/>
        </w:rPr>
        <w:t xml:space="preserve">likelihood that </w:t>
      </w:r>
      <w:r w:rsidR="00D54310" w:rsidRPr="00EC48A0">
        <w:rPr>
          <w:rFonts w:ascii="Times New Roman" w:hAnsi="Times New Roman"/>
        </w:rPr>
        <w:t xml:space="preserve">the loss </w:t>
      </w:r>
      <w:r w:rsidR="00616ED3" w:rsidRPr="00EC48A0">
        <w:rPr>
          <w:rFonts w:ascii="Times New Roman" w:hAnsi="Times New Roman"/>
        </w:rPr>
        <w:t>of the appellant's equity</w:t>
      </w:r>
      <w:r w:rsidR="005F4D87" w:rsidRPr="00EC48A0">
        <w:rPr>
          <w:rFonts w:ascii="Times New Roman" w:hAnsi="Times New Roman"/>
        </w:rPr>
        <w:t xml:space="preserve"> in his properties </w:t>
      </w:r>
      <w:r w:rsidR="00D54310" w:rsidRPr="00EC48A0">
        <w:rPr>
          <w:rFonts w:ascii="Times New Roman" w:hAnsi="Times New Roman"/>
        </w:rPr>
        <w:t>woul</w:t>
      </w:r>
      <w:r w:rsidR="00697F84" w:rsidRPr="00EC48A0">
        <w:rPr>
          <w:rFonts w:ascii="Times New Roman" w:hAnsi="Times New Roman"/>
        </w:rPr>
        <w:t xml:space="preserve">d be suffered by reason of his financial </w:t>
      </w:r>
      <w:r w:rsidR="00F11913" w:rsidRPr="00EC48A0">
        <w:rPr>
          <w:rFonts w:ascii="Times New Roman" w:hAnsi="Times New Roman"/>
        </w:rPr>
        <w:t>naïveté</w:t>
      </w:r>
      <w:r w:rsidR="00697F84" w:rsidRPr="00EC48A0">
        <w:rPr>
          <w:rFonts w:ascii="Times New Roman" w:hAnsi="Times New Roman"/>
        </w:rPr>
        <w:t xml:space="preserve"> and his lack of means.</w:t>
      </w:r>
      <w:r w:rsidR="001B6EB3" w:rsidRPr="00EC48A0">
        <w:rPr>
          <w:rFonts w:ascii="Times New Roman" w:hAnsi="Times New Roman"/>
        </w:rPr>
        <w:t xml:space="preserve"> </w:t>
      </w:r>
      <w:r w:rsidR="00FE5D5B" w:rsidRPr="00EC48A0">
        <w:rPr>
          <w:rFonts w:ascii="Times New Roman" w:hAnsi="Times New Roman"/>
        </w:rPr>
        <w:t>The findings of the primary judge pertaining to Mr </w:t>
      </w:r>
      <w:proofErr w:type="spellStart"/>
      <w:r w:rsidR="00FE5D5B" w:rsidRPr="00EC48A0">
        <w:rPr>
          <w:rFonts w:ascii="Times New Roman" w:hAnsi="Times New Roman"/>
        </w:rPr>
        <w:t>Jeruzalski's</w:t>
      </w:r>
      <w:proofErr w:type="spellEnd"/>
      <w:r w:rsidR="00FE5D5B" w:rsidRPr="00EC48A0">
        <w:rPr>
          <w:rFonts w:ascii="Times New Roman" w:hAnsi="Times New Roman"/>
        </w:rPr>
        <w:t xml:space="preserve"> state of knowledge were made after having had the benefit of hearing Mr </w:t>
      </w:r>
      <w:proofErr w:type="spellStart"/>
      <w:r w:rsidR="00FE5D5B" w:rsidRPr="00EC48A0">
        <w:rPr>
          <w:rFonts w:ascii="Times New Roman" w:hAnsi="Times New Roman"/>
        </w:rPr>
        <w:t>Jeruzalski</w:t>
      </w:r>
      <w:proofErr w:type="spellEnd"/>
      <w:r w:rsidR="00FE5D5B" w:rsidRPr="00EC48A0">
        <w:rPr>
          <w:rFonts w:ascii="Times New Roman" w:hAnsi="Times New Roman"/>
        </w:rPr>
        <w:t xml:space="preserve"> in person over </w:t>
      </w:r>
      <w:r w:rsidR="00A56AE8" w:rsidRPr="00EC48A0">
        <w:rPr>
          <w:rFonts w:ascii="Times New Roman" w:hAnsi="Times New Roman"/>
        </w:rPr>
        <w:t>several</w:t>
      </w:r>
      <w:r w:rsidR="00FE5D5B" w:rsidRPr="00EC48A0">
        <w:rPr>
          <w:rFonts w:ascii="Times New Roman" w:hAnsi="Times New Roman"/>
        </w:rPr>
        <w:t xml:space="preserve"> days</w:t>
      </w:r>
      <w:r w:rsidR="00FE5D5B" w:rsidRPr="00EC48A0">
        <w:rPr>
          <w:rStyle w:val="FootnoteReference"/>
          <w:rFonts w:ascii="Times New Roman" w:hAnsi="Times New Roman"/>
          <w:sz w:val="24"/>
        </w:rPr>
        <w:footnoteReference w:id="77"/>
      </w:r>
      <w:r w:rsidR="00FE5D5B" w:rsidRPr="00EC48A0">
        <w:rPr>
          <w:rFonts w:ascii="Times New Roman" w:hAnsi="Times New Roman"/>
        </w:rPr>
        <w:t>. The primary judge's findings were "inevitably affected" by his collective impressions of Mr </w:t>
      </w:r>
      <w:proofErr w:type="spellStart"/>
      <w:r w:rsidR="00FE5D5B" w:rsidRPr="00EC48A0">
        <w:rPr>
          <w:rFonts w:ascii="Times New Roman" w:hAnsi="Times New Roman"/>
        </w:rPr>
        <w:t>Jeruzalski</w:t>
      </w:r>
      <w:proofErr w:type="spellEnd"/>
      <w:r w:rsidR="00FE5D5B" w:rsidRPr="00EC48A0">
        <w:rPr>
          <w:rFonts w:ascii="Times New Roman" w:hAnsi="Times New Roman"/>
        </w:rPr>
        <w:t xml:space="preserve"> as a witness and were not "glaringly improbable" or "contrary to compelling inferences"</w:t>
      </w:r>
      <w:r w:rsidR="00FE5D5B" w:rsidRPr="00EC48A0">
        <w:rPr>
          <w:rStyle w:val="FootnoteReference"/>
          <w:rFonts w:ascii="Times New Roman" w:hAnsi="Times New Roman"/>
          <w:sz w:val="24"/>
        </w:rPr>
        <w:footnoteReference w:id="78"/>
      </w:r>
      <w:r w:rsidR="00FE5D5B" w:rsidRPr="00EC48A0">
        <w:rPr>
          <w:rFonts w:ascii="Times New Roman" w:hAnsi="Times New Roman"/>
        </w:rPr>
        <w:t xml:space="preserve">. The Court of Appeal had no basis for disregarding those findings. </w:t>
      </w:r>
      <w:proofErr w:type="gramStart"/>
      <w:r w:rsidR="00FE5D5B" w:rsidRPr="00EC48A0">
        <w:rPr>
          <w:rFonts w:ascii="Times New Roman" w:hAnsi="Times New Roman"/>
        </w:rPr>
        <w:t>Certainly</w:t>
      </w:r>
      <w:proofErr w:type="gramEnd"/>
      <w:r w:rsidR="00FE5D5B" w:rsidRPr="00EC48A0">
        <w:rPr>
          <w:rFonts w:ascii="Times New Roman" w:hAnsi="Times New Roman"/>
        </w:rPr>
        <w:t xml:space="preserve"> the certificates were not a basis for doing so.</w:t>
      </w:r>
    </w:p>
    <w:p w14:paraId="54DFBC15" w14:textId="7C2BDB92" w:rsidR="00FE5D5B" w:rsidRPr="00EC48A0" w:rsidRDefault="00FE5D5B" w:rsidP="00EC48A0">
      <w:pPr>
        <w:pStyle w:val="FixListStyle"/>
        <w:spacing w:after="260" w:line="280" w:lineRule="exact"/>
        <w:ind w:right="0"/>
        <w:jc w:val="both"/>
        <w:rPr>
          <w:rFonts w:ascii="Times New Roman" w:hAnsi="Times New Roman"/>
        </w:rPr>
      </w:pPr>
      <w:r w:rsidRPr="00EC48A0">
        <w:rPr>
          <w:rFonts w:ascii="Times New Roman" w:hAnsi="Times New Roman"/>
        </w:rPr>
        <w:tab/>
        <w:t xml:space="preserve">The certificates contained nothing to suggest that the appellant had </w:t>
      </w:r>
      <w:proofErr w:type="gramStart"/>
      <w:r w:rsidRPr="00EC48A0">
        <w:rPr>
          <w:rFonts w:ascii="Times New Roman" w:hAnsi="Times New Roman"/>
        </w:rPr>
        <w:t>actually turned</w:t>
      </w:r>
      <w:proofErr w:type="gramEnd"/>
      <w:r w:rsidRPr="00EC48A0">
        <w:rPr>
          <w:rFonts w:ascii="Times New Roman" w:hAnsi="Times New Roman"/>
        </w:rPr>
        <w:t xml:space="preserve"> his attention to the difference between the cost of his existing borrowings with Commonwealth Bank and the proposed loans, or to how he would service the proposed loans. The absence of even the most general reference in the certificates as to the existence and terms of the company's business plan </w:t>
      </w:r>
      <w:r w:rsidR="00B46BC9" w:rsidRPr="00EC48A0">
        <w:rPr>
          <w:rFonts w:ascii="Times New Roman" w:hAnsi="Times New Roman"/>
        </w:rPr>
        <w:t xml:space="preserve">or </w:t>
      </w:r>
      <w:r w:rsidRPr="00EC48A0">
        <w:rPr>
          <w:rFonts w:ascii="Times New Roman" w:hAnsi="Times New Roman"/>
        </w:rPr>
        <w:t>as to how the Fingal property zoning problem (of which Mr </w:t>
      </w:r>
      <w:proofErr w:type="spellStart"/>
      <w:r w:rsidRPr="00EC48A0">
        <w:rPr>
          <w:rFonts w:ascii="Times New Roman" w:hAnsi="Times New Roman"/>
        </w:rPr>
        <w:t>Jeruzalski</w:t>
      </w:r>
      <w:proofErr w:type="spellEnd"/>
      <w:r w:rsidRPr="00EC48A0">
        <w:rPr>
          <w:rFonts w:ascii="Times New Roman" w:hAnsi="Times New Roman"/>
        </w:rPr>
        <w:t xml:space="preserve"> was aware) might be resolved is eloquent of the</w:t>
      </w:r>
      <w:r w:rsidR="008F62D5" w:rsidRPr="00EC48A0">
        <w:rPr>
          <w:rFonts w:ascii="Times New Roman" w:hAnsi="Times New Roman"/>
        </w:rPr>
        <w:t>ir</w:t>
      </w:r>
      <w:r w:rsidRPr="00EC48A0">
        <w:rPr>
          <w:rFonts w:ascii="Times New Roman" w:hAnsi="Times New Roman"/>
        </w:rPr>
        <w:t xml:space="preserve"> artificiality</w:t>
      </w:r>
      <w:r w:rsidR="008F62D5" w:rsidRPr="00EC48A0">
        <w:rPr>
          <w:rFonts w:ascii="Times New Roman" w:hAnsi="Times New Roman"/>
        </w:rPr>
        <w:t>.</w:t>
      </w:r>
    </w:p>
    <w:p w14:paraId="68302A61" w14:textId="57DFDA61" w:rsidR="00FE5D5B" w:rsidRPr="00EC48A0" w:rsidRDefault="00FE5D5B" w:rsidP="00EC48A0">
      <w:pPr>
        <w:pStyle w:val="FixListStyle"/>
        <w:spacing w:after="260" w:line="280" w:lineRule="exact"/>
        <w:ind w:right="0"/>
        <w:jc w:val="both"/>
        <w:rPr>
          <w:rFonts w:ascii="Times New Roman" w:hAnsi="Times New Roman"/>
        </w:rPr>
      </w:pPr>
      <w:r w:rsidRPr="00EC48A0">
        <w:rPr>
          <w:rFonts w:ascii="Times New Roman" w:hAnsi="Times New Roman"/>
        </w:rPr>
        <w:tab/>
        <w:t>In addition, given the bland boilerplate language of the certificates and the statement therein of the purpose of the loan (which Mr</w:t>
      </w:r>
      <w:r w:rsidR="0076172A" w:rsidRPr="00EC48A0">
        <w:rPr>
          <w:rFonts w:ascii="Times New Roman" w:hAnsi="Times New Roman"/>
        </w:rPr>
        <w:t> </w:t>
      </w:r>
      <w:proofErr w:type="spellStart"/>
      <w:r w:rsidRPr="00EC48A0">
        <w:rPr>
          <w:rFonts w:ascii="Times New Roman" w:hAnsi="Times New Roman"/>
        </w:rPr>
        <w:t>Jeruzalski</w:t>
      </w:r>
      <w:proofErr w:type="spellEnd"/>
      <w:r w:rsidRPr="00EC48A0">
        <w:rPr>
          <w:rFonts w:ascii="Times New Roman" w:hAnsi="Times New Roman"/>
        </w:rPr>
        <w:t xml:space="preserve"> must have known to be inaccurate)</w:t>
      </w:r>
      <w:r w:rsidR="006E49DE" w:rsidRPr="00EC48A0">
        <w:rPr>
          <w:rFonts w:ascii="Times New Roman" w:hAnsi="Times New Roman"/>
        </w:rPr>
        <w:t>,</w:t>
      </w:r>
      <w:r w:rsidRPr="00EC48A0">
        <w:rPr>
          <w:rFonts w:ascii="Times New Roman" w:hAnsi="Times New Roman"/>
        </w:rPr>
        <w:t xml:space="preserve"> it is open to draw the inference that t</w:t>
      </w:r>
      <w:r w:rsidRPr="00EC48A0">
        <w:rPr>
          <w:rFonts w:ascii="Times New Roman" w:hAnsi="Times New Roman"/>
          <w:bCs/>
        </w:rPr>
        <w:t>he certificates were mere "window dressing". A similar inference may be drawn in relation to the commercially unnecessary interp</w:t>
      </w:r>
      <w:r w:rsidR="006E49DE" w:rsidRPr="00EC48A0">
        <w:rPr>
          <w:rFonts w:ascii="Times New Roman" w:hAnsi="Times New Roman"/>
          <w:bCs/>
        </w:rPr>
        <w:t>osition</w:t>
      </w:r>
      <w:r w:rsidRPr="00EC48A0">
        <w:rPr>
          <w:rFonts w:ascii="Times New Roman" w:hAnsi="Times New Roman"/>
          <w:bCs/>
        </w:rPr>
        <w:t xml:space="preserve"> of the company as borrower, a step calculated to prevent or impede scrutiny of the fairness of the transaction under the Code. </w:t>
      </w:r>
      <w:r w:rsidRPr="00EC48A0">
        <w:rPr>
          <w:rFonts w:ascii="Times New Roman" w:hAnsi="Times New Roman"/>
        </w:rPr>
        <w:t xml:space="preserve">The certificates might also be seen to have been a precautionary artifice designed to prevent an inference that the respondents were wilfully blind to the obvious danger to the appellant. </w:t>
      </w:r>
      <w:r w:rsidR="009B507F" w:rsidRPr="00EC48A0">
        <w:rPr>
          <w:rFonts w:ascii="Times New Roman" w:hAnsi="Times New Roman"/>
        </w:rPr>
        <w:t xml:space="preserve">But </w:t>
      </w:r>
      <w:proofErr w:type="gramStart"/>
      <w:r w:rsidR="009B507F" w:rsidRPr="00EC48A0">
        <w:rPr>
          <w:rFonts w:ascii="Times New Roman" w:hAnsi="Times New Roman"/>
        </w:rPr>
        <w:t>however</w:t>
      </w:r>
      <w:proofErr w:type="gramEnd"/>
      <w:r w:rsidR="009B507F" w:rsidRPr="00EC48A0">
        <w:rPr>
          <w:rFonts w:ascii="Times New Roman" w:hAnsi="Times New Roman"/>
        </w:rPr>
        <w:t xml:space="preserve"> </w:t>
      </w:r>
      <w:r w:rsidRPr="00EC48A0">
        <w:rPr>
          <w:rFonts w:ascii="Times New Roman" w:hAnsi="Times New Roman"/>
          <w:bCs/>
        </w:rPr>
        <w:t xml:space="preserve">one views the certificates, they </w:t>
      </w:r>
      <w:r w:rsidRPr="00EC48A0">
        <w:rPr>
          <w:rFonts w:ascii="Times New Roman" w:hAnsi="Times New Roman"/>
        </w:rPr>
        <w:t>could not negate Mr </w:t>
      </w:r>
      <w:proofErr w:type="spellStart"/>
      <w:r w:rsidRPr="00EC48A0">
        <w:rPr>
          <w:rFonts w:ascii="Times New Roman" w:hAnsi="Times New Roman"/>
        </w:rPr>
        <w:t>Jeruzalski's</w:t>
      </w:r>
      <w:proofErr w:type="spellEnd"/>
      <w:r w:rsidRPr="00EC48A0">
        <w:rPr>
          <w:rFonts w:ascii="Times New Roman" w:hAnsi="Times New Roman"/>
        </w:rPr>
        <w:t xml:space="preserve"> </w:t>
      </w:r>
      <w:r w:rsidR="00083438" w:rsidRPr="00EC48A0">
        <w:rPr>
          <w:rFonts w:ascii="Times New Roman" w:hAnsi="Times New Roman"/>
        </w:rPr>
        <w:t xml:space="preserve">actual </w:t>
      </w:r>
      <w:r w:rsidRPr="00EC48A0">
        <w:rPr>
          <w:rFonts w:ascii="Times New Roman" w:hAnsi="Times New Roman"/>
        </w:rPr>
        <w:t>appreciation of the dangerous nature of the loans and the appellant's vulnerability to exploitation by the respondents</w:t>
      </w:r>
      <w:r w:rsidRPr="00EC48A0">
        <w:rPr>
          <w:rStyle w:val="FootnoteReference"/>
          <w:rFonts w:ascii="Times New Roman" w:hAnsi="Times New Roman"/>
          <w:sz w:val="24"/>
        </w:rPr>
        <w:footnoteReference w:id="79"/>
      </w:r>
      <w:r w:rsidRPr="00EC48A0">
        <w:rPr>
          <w:rFonts w:ascii="Times New Roman" w:hAnsi="Times New Roman"/>
          <w:bCs/>
        </w:rPr>
        <w:t>.</w:t>
      </w:r>
      <w:r w:rsidR="00083438" w:rsidRPr="00EC48A0">
        <w:rPr>
          <w:rFonts w:ascii="Times New Roman" w:hAnsi="Times New Roman"/>
          <w:bCs/>
        </w:rPr>
        <w:t xml:space="preserve"> </w:t>
      </w:r>
      <w:r w:rsidRPr="00EC48A0">
        <w:rPr>
          <w:rFonts w:ascii="Times New Roman" w:hAnsi="Times New Roman"/>
          <w:bCs/>
        </w:rPr>
        <w:t xml:space="preserve">Indeed, one might regard the deployment of such artifices in a context where the lender or its agent deliberately distances itself from evidence that </w:t>
      </w:r>
      <w:r w:rsidR="00ED660B" w:rsidRPr="00EC48A0">
        <w:rPr>
          <w:rFonts w:ascii="Times New Roman" w:hAnsi="Times New Roman"/>
          <w:bCs/>
        </w:rPr>
        <w:t xml:space="preserve">must </w:t>
      </w:r>
      <w:r w:rsidRPr="00EC48A0">
        <w:rPr>
          <w:rFonts w:ascii="Times New Roman" w:hAnsi="Times New Roman"/>
          <w:bCs/>
        </w:rPr>
        <w:t xml:space="preserve">confirm the dangerous </w:t>
      </w:r>
      <w:r w:rsidRPr="00EC48A0">
        <w:rPr>
          <w:rFonts w:ascii="Times New Roman" w:hAnsi="Times New Roman"/>
          <w:bCs/>
        </w:rPr>
        <w:lastRenderedPageBreak/>
        <w:t>nature of the transaction for the borrower or its guarantor as evidence pointing to an exploitative state of mind</w:t>
      </w:r>
      <w:r w:rsidR="00ED660B" w:rsidRPr="00EC48A0">
        <w:rPr>
          <w:rFonts w:ascii="Times New Roman" w:hAnsi="Times New Roman"/>
          <w:bCs/>
        </w:rPr>
        <w:t xml:space="preserve"> on the part of the lender</w:t>
      </w:r>
      <w:r w:rsidRPr="00EC48A0">
        <w:rPr>
          <w:rFonts w:ascii="Times New Roman" w:hAnsi="Times New Roman"/>
          <w:bCs/>
        </w:rPr>
        <w:t>.</w:t>
      </w:r>
    </w:p>
    <w:p w14:paraId="51BAF492" w14:textId="6E9F63F8" w:rsidR="00053D03" w:rsidRPr="00EC48A0" w:rsidRDefault="00711B2A"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053D03" w:rsidRPr="00EC48A0">
        <w:rPr>
          <w:rFonts w:ascii="Times New Roman" w:hAnsi="Times New Roman"/>
        </w:rPr>
        <w:t>The primary judge found that Mr </w:t>
      </w:r>
      <w:proofErr w:type="spellStart"/>
      <w:r w:rsidR="00053D03" w:rsidRPr="00EC48A0">
        <w:rPr>
          <w:rFonts w:ascii="Times New Roman" w:hAnsi="Times New Roman"/>
        </w:rPr>
        <w:t>Jeruzalski</w:t>
      </w:r>
      <w:proofErr w:type="spellEnd"/>
      <w:r w:rsidR="00053D03" w:rsidRPr="00EC48A0">
        <w:rPr>
          <w:rFonts w:ascii="Times New Roman" w:hAnsi="Times New Roman"/>
        </w:rPr>
        <w:t xml:space="preserve"> suspected that the appellant did not receive truly independent advice from either Mr </w:t>
      </w:r>
      <w:proofErr w:type="spellStart"/>
      <w:r w:rsidR="00053D03" w:rsidRPr="00EC48A0">
        <w:rPr>
          <w:rFonts w:ascii="Times New Roman" w:hAnsi="Times New Roman"/>
        </w:rPr>
        <w:t>Kiatos</w:t>
      </w:r>
      <w:proofErr w:type="spellEnd"/>
      <w:r w:rsidR="00053D03" w:rsidRPr="00EC48A0">
        <w:rPr>
          <w:rFonts w:ascii="Times New Roman" w:hAnsi="Times New Roman"/>
        </w:rPr>
        <w:t xml:space="preserve"> or Mr </w:t>
      </w:r>
      <w:proofErr w:type="spellStart"/>
      <w:r w:rsidR="00053D03" w:rsidRPr="00EC48A0">
        <w:rPr>
          <w:rFonts w:ascii="Times New Roman" w:hAnsi="Times New Roman"/>
        </w:rPr>
        <w:t>Topalides</w:t>
      </w:r>
      <w:proofErr w:type="spellEnd"/>
      <w:r w:rsidR="00053D03" w:rsidRPr="00EC48A0">
        <w:rPr>
          <w:rStyle w:val="FootnoteReference"/>
          <w:rFonts w:ascii="Times New Roman" w:hAnsi="Times New Roman"/>
          <w:sz w:val="24"/>
        </w:rPr>
        <w:footnoteReference w:id="80"/>
      </w:r>
      <w:r w:rsidR="00053D03" w:rsidRPr="00EC48A0">
        <w:rPr>
          <w:rFonts w:ascii="Times New Roman" w:hAnsi="Times New Roman"/>
        </w:rPr>
        <w:t>. Mr </w:t>
      </w:r>
      <w:proofErr w:type="spellStart"/>
      <w:r w:rsidR="00053D03" w:rsidRPr="00EC48A0">
        <w:rPr>
          <w:rFonts w:ascii="Times New Roman" w:hAnsi="Times New Roman"/>
        </w:rPr>
        <w:t>Jeruzalski's</w:t>
      </w:r>
      <w:proofErr w:type="spellEnd"/>
      <w:r w:rsidR="00053D03" w:rsidRPr="00EC48A0">
        <w:rPr>
          <w:rFonts w:ascii="Times New Roman" w:hAnsi="Times New Roman"/>
        </w:rPr>
        <w:t xml:space="preserve"> evidence was that, </w:t>
      </w:r>
      <w:r w:rsidR="00F2280F" w:rsidRPr="00EC48A0">
        <w:rPr>
          <w:rFonts w:ascii="Times New Roman" w:hAnsi="Times New Roman"/>
        </w:rPr>
        <w:t>"if [the appellant] or [the company] had no income, then, from his experience, a first</w:t>
      </w:r>
      <w:r w:rsidR="00F2280F" w:rsidRPr="00EC48A0">
        <w:rPr>
          <w:rFonts w:ascii="Times New Roman" w:hAnsi="Times New Roman"/>
        </w:rPr>
        <w:noBreakHyphen/>
        <w:t>tier bank would not have lent money to him", and further, that "his firm would not assist somebody like [the appellant] to obtain a bank loan</w:t>
      </w:r>
      <w:r w:rsidR="00053D03" w:rsidRPr="00EC48A0">
        <w:rPr>
          <w:rFonts w:ascii="Times New Roman" w:hAnsi="Times New Roman"/>
        </w:rPr>
        <w:t>"</w:t>
      </w:r>
      <w:r w:rsidR="00053D03" w:rsidRPr="00EC48A0">
        <w:rPr>
          <w:rStyle w:val="FootnoteReference"/>
          <w:rFonts w:ascii="Times New Roman" w:hAnsi="Times New Roman"/>
          <w:sz w:val="24"/>
        </w:rPr>
        <w:footnoteReference w:id="81"/>
      </w:r>
      <w:r w:rsidR="00053D03" w:rsidRPr="00EC48A0">
        <w:rPr>
          <w:rFonts w:ascii="Times New Roman" w:hAnsi="Times New Roman"/>
        </w:rPr>
        <w:t>. There was nothing in the evidence to suggest to Mr </w:t>
      </w:r>
      <w:proofErr w:type="spellStart"/>
      <w:r w:rsidR="00053D03" w:rsidRPr="00EC48A0">
        <w:rPr>
          <w:rFonts w:ascii="Times New Roman" w:hAnsi="Times New Roman"/>
        </w:rPr>
        <w:t>Jeruzalski</w:t>
      </w:r>
      <w:proofErr w:type="spellEnd"/>
      <w:r w:rsidR="00053D03" w:rsidRPr="00EC48A0">
        <w:rPr>
          <w:rFonts w:ascii="Times New Roman" w:hAnsi="Times New Roman"/>
        </w:rPr>
        <w:t xml:space="preserve"> that the appellant had an income that would enable him to refinance with a bank. The circumstances of Mr</w:t>
      </w:r>
      <w:r w:rsidR="0076172A" w:rsidRPr="00EC48A0">
        <w:rPr>
          <w:rFonts w:ascii="Times New Roman" w:hAnsi="Times New Roman"/>
        </w:rPr>
        <w:t> </w:t>
      </w:r>
      <w:proofErr w:type="spellStart"/>
      <w:r w:rsidR="00053D03" w:rsidRPr="00EC48A0">
        <w:rPr>
          <w:rFonts w:ascii="Times New Roman" w:hAnsi="Times New Roman"/>
        </w:rPr>
        <w:t>Jeruzalski's</w:t>
      </w:r>
      <w:proofErr w:type="spellEnd"/>
      <w:r w:rsidR="00053D03" w:rsidRPr="00EC48A0">
        <w:rPr>
          <w:rFonts w:ascii="Times New Roman" w:hAnsi="Times New Roman"/>
        </w:rPr>
        <w:t xml:space="preserve"> involvement with the appellant meant that what Mr </w:t>
      </w:r>
      <w:proofErr w:type="spellStart"/>
      <w:r w:rsidR="00053D03" w:rsidRPr="00EC48A0">
        <w:rPr>
          <w:rFonts w:ascii="Times New Roman" w:hAnsi="Times New Roman"/>
        </w:rPr>
        <w:t>Jeruzalski</w:t>
      </w:r>
      <w:proofErr w:type="spellEnd"/>
      <w:r w:rsidR="00053D03" w:rsidRPr="00EC48A0">
        <w:rPr>
          <w:rFonts w:ascii="Times New Roman" w:hAnsi="Times New Roman"/>
        </w:rPr>
        <w:t xml:space="preserve"> did know of the appellant's affairs made the prospect of the appellant's refinancing with a bank a forlorn hope.</w:t>
      </w:r>
    </w:p>
    <w:p w14:paraId="2792C904" w14:textId="6B5CFECF" w:rsidR="00053D03" w:rsidRPr="00EC48A0" w:rsidRDefault="00053D03" w:rsidP="00EC48A0">
      <w:pPr>
        <w:pStyle w:val="FixListStyle"/>
        <w:spacing w:after="260" w:line="280" w:lineRule="exact"/>
        <w:ind w:right="0"/>
        <w:jc w:val="both"/>
        <w:rPr>
          <w:rFonts w:ascii="Times New Roman" w:hAnsi="Times New Roman"/>
        </w:rPr>
      </w:pPr>
      <w:r w:rsidRPr="00EC48A0">
        <w:rPr>
          <w:rFonts w:ascii="Times New Roman" w:hAnsi="Times New Roman"/>
        </w:rPr>
        <w:tab/>
        <w:t>Mr</w:t>
      </w:r>
      <w:r w:rsidR="00C448AE" w:rsidRPr="00EC48A0">
        <w:rPr>
          <w:rFonts w:ascii="Times New Roman" w:hAnsi="Times New Roman"/>
        </w:rPr>
        <w:t> </w:t>
      </w:r>
      <w:proofErr w:type="spellStart"/>
      <w:r w:rsidRPr="00EC48A0">
        <w:rPr>
          <w:rFonts w:ascii="Times New Roman" w:hAnsi="Times New Roman"/>
        </w:rPr>
        <w:t>Jeruzalski</w:t>
      </w:r>
      <w:proofErr w:type="spellEnd"/>
      <w:r w:rsidRPr="00EC48A0">
        <w:rPr>
          <w:rFonts w:ascii="Times New Roman" w:hAnsi="Times New Roman"/>
        </w:rPr>
        <w:t xml:space="preserve">, on behalf of the respondents, appreciated that the </w:t>
      </w:r>
      <w:r w:rsidR="006438F6" w:rsidRPr="00EC48A0">
        <w:rPr>
          <w:rFonts w:ascii="Times New Roman" w:hAnsi="Times New Roman"/>
        </w:rPr>
        <w:t xml:space="preserve">loans were </w:t>
      </w:r>
      <w:r w:rsidRPr="00EC48A0">
        <w:rPr>
          <w:rFonts w:ascii="Times New Roman" w:hAnsi="Times New Roman"/>
        </w:rPr>
        <w:t xml:space="preserve">a dangerous transaction from </w:t>
      </w:r>
      <w:r w:rsidR="004E6D01" w:rsidRPr="00EC48A0">
        <w:rPr>
          <w:rFonts w:ascii="Times New Roman" w:hAnsi="Times New Roman"/>
        </w:rPr>
        <w:t xml:space="preserve">the appellant's </w:t>
      </w:r>
      <w:r w:rsidRPr="00EC48A0">
        <w:rPr>
          <w:rFonts w:ascii="Times New Roman" w:hAnsi="Times New Roman"/>
        </w:rPr>
        <w:t>point of view</w:t>
      </w:r>
      <w:r w:rsidR="004E6D01" w:rsidRPr="00EC48A0">
        <w:rPr>
          <w:rFonts w:ascii="Times New Roman" w:hAnsi="Times New Roman"/>
        </w:rPr>
        <w:t>;</w:t>
      </w:r>
      <w:r w:rsidRPr="00EC48A0">
        <w:rPr>
          <w:rFonts w:ascii="Times New Roman" w:hAnsi="Times New Roman"/>
        </w:rPr>
        <w:t xml:space="preserve"> but the prospect of obtaining the profit to be made by the taking of the appellant's equity by way of interest payments made the exploitation of the appellant's disadvantages good business</w:t>
      </w:r>
      <w:r w:rsidR="005546A5" w:rsidRPr="00EC48A0">
        <w:rPr>
          <w:rFonts w:ascii="Times New Roman" w:hAnsi="Times New Roman"/>
        </w:rPr>
        <w:t xml:space="preserve"> for the respondents</w:t>
      </w:r>
      <w:r w:rsidRPr="00EC48A0">
        <w:rPr>
          <w:rFonts w:ascii="Times New Roman" w:hAnsi="Times New Roman"/>
        </w:rPr>
        <w:t xml:space="preserve">. </w:t>
      </w:r>
      <w:r w:rsidR="004E6D01" w:rsidRPr="00EC48A0">
        <w:rPr>
          <w:rFonts w:ascii="Times New Roman" w:hAnsi="Times New Roman"/>
        </w:rPr>
        <w:t xml:space="preserve">The </w:t>
      </w:r>
      <w:r w:rsidRPr="00EC48A0">
        <w:rPr>
          <w:rFonts w:ascii="Times New Roman" w:hAnsi="Times New Roman"/>
        </w:rPr>
        <w:t xml:space="preserve">transaction </w:t>
      </w:r>
      <w:r w:rsidR="004E6D01" w:rsidRPr="00EC48A0">
        <w:rPr>
          <w:rFonts w:ascii="Times New Roman" w:hAnsi="Times New Roman"/>
        </w:rPr>
        <w:t xml:space="preserve">in this case </w:t>
      </w:r>
      <w:r w:rsidRPr="00EC48A0">
        <w:rPr>
          <w:rFonts w:ascii="Times New Roman" w:hAnsi="Times New Roman"/>
        </w:rPr>
        <w:t>cannot be regarded as if it were</w:t>
      </w:r>
      <w:r w:rsidR="00754D86" w:rsidRPr="00EC48A0">
        <w:rPr>
          <w:rFonts w:ascii="Times New Roman" w:hAnsi="Times New Roman"/>
        </w:rPr>
        <w:t xml:space="preserve">, for example, </w:t>
      </w:r>
      <w:r w:rsidRPr="00EC48A0">
        <w:rPr>
          <w:rFonts w:ascii="Times New Roman" w:hAnsi="Times New Roman"/>
        </w:rPr>
        <w:t>a loan to an asset</w:t>
      </w:r>
      <w:r w:rsidRPr="00EC48A0">
        <w:rPr>
          <w:rFonts w:ascii="Times New Roman" w:hAnsi="Times New Roman"/>
        </w:rPr>
        <w:noBreakHyphen/>
        <w:t>rich but income</w:t>
      </w:r>
      <w:r w:rsidRPr="00EC48A0">
        <w:rPr>
          <w:rFonts w:ascii="Times New Roman" w:hAnsi="Times New Roman"/>
        </w:rPr>
        <w:noBreakHyphen/>
        <w:t xml:space="preserve">poor individual sought for the purposes of meeting a temporary liquidity problem. The transaction could not even </w:t>
      </w:r>
      <w:proofErr w:type="gramStart"/>
      <w:r w:rsidRPr="00EC48A0">
        <w:rPr>
          <w:rFonts w:ascii="Times New Roman" w:hAnsi="Times New Roman"/>
        </w:rPr>
        <w:t>be seen as</w:t>
      </w:r>
      <w:proofErr w:type="gramEnd"/>
      <w:r w:rsidRPr="00EC48A0">
        <w:rPr>
          <w:rFonts w:ascii="Times New Roman" w:hAnsi="Times New Roman"/>
        </w:rPr>
        <w:t xml:space="preserve"> a high</w:t>
      </w:r>
      <w:r w:rsidR="00BC4A07" w:rsidRPr="00EC48A0">
        <w:rPr>
          <w:rFonts w:ascii="Times New Roman" w:hAnsi="Times New Roman"/>
        </w:rPr>
        <w:noBreakHyphen/>
      </w:r>
      <w:r w:rsidRPr="00EC48A0">
        <w:rPr>
          <w:rFonts w:ascii="Times New Roman" w:hAnsi="Times New Roman"/>
        </w:rPr>
        <w:t>risk loan to a person willing to gamble on the prospect of a rise in property values. Having regard to the unchallenged findings of fact by the primary judge, it is evident that</w:t>
      </w:r>
      <w:r w:rsidR="000013C3" w:rsidRPr="00EC48A0">
        <w:rPr>
          <w:rFonts w:ascii="Times New Roman" w:hAnsi="Times New Roman"/>
        </w:rPr>
        <w:t xml:space="preserve"> Mr </w:t>
      </w:r>
      <w:proofErr w:type="spellStart"/>
      <w:r w:rsidR="000013C3" w:rsidRPr="00EC48A0">
        <w:rPr>
          <w:rFonts w:ascii="Times New Roman" w:hAnsi="Times New Roman"/>
        </w:rPr>
        <w:t>J</w:t>
      </w:r>
      <w:r w:rsidR="00C71711" w:rsidRPr="00EC48A0">
        <w:rPr>
          <w:rFonts w:ascii="Times New Roman" w:hAnsi="Times New Roman"/>
        </w:rPr>
        <w:t>eruzalski</w:t>
      </w:r>
      <w:proofErr w:type="spellEnd"/>
      <w:r w:rsidR="00C71711" w:rsidRPr="00EC48A0">
        <w:rPr>
          <w:rFonts w:ascii="Times New Roman" w:hAnsi="Times New Roman"/>
        </w:rPr>
        <w:t>,</w:t>
      </w:r>
      <w:r w:rsidRPr="00EC48A0">
        <w:rPr>
          <w:rFonts w:ascii="Times New Roman" w:hAnsi="Times New Roman"/>
        </w:rPr>
        <w:t xml:space="preserve"> on behalf of the respondents, </w:t>
      </w:r>
      <w:r w:rsidR="00F92795" w:rsidRPr="00EC48A0">
        <w:rPr>
          <w:rFonts w:ascii="Times New Roman" w:hAnsi="Times New Roman"/>
        </w:rPr>
        <w:t xml:space="preserve">took the opportunity </w:t>
      </w:r>
      <w:r w:rsidRPr="00EC48A0">
        <w:rPr>
          <w:rFonts w:ascii="Times New Roman" w:hAnsi="Times New Roman"/>
        </w:rPr>
        <w:t>to exploit the appellant's lack of business acumen and meagre financial resources to deprive him of his equity in the Narre Warren properties.</w:t>
      </w:r>
    </w:p>
    <w:p w14:paraId="6284F667" w14:textId="7A02CA6C" w:rsidR="00A958A1" w:rsidRPr="00EC48A0" w:rsidRDefault="004149EA" w:rsidP="00EC48A0">
      <w:pPr>
        <w:pStyle w:val="HeadingL1"/>
        <w:spacing w:after="260" w:line="280" w:lineRule="exact"/>
        <w:ind w:right="0"/>
        <w:jc w:val="both"/>
        <w:rPr>
          <w:rFonts w:ascii="Times New Roman" w:hAnsi="Times New Roman"/>
        </w:rPr>
      </w:pPr>
      <w:r w:rsidRPr="00EC48A0">
        <w:rPr>
          <w:rFonts w:ascii="Times New Roman" w:hAnsi="Times New Roman"/>
        </w:rPr>
        <w:t>Conclusion</w:t>
      </w:r>
    </w:p>
    <w:p w14:paraId="38FD644A" w14:textId="24830C5C" w:rsidR="00286459" w:rsidRPr="00EC48A0" w:rsidRDefault="00573104" w:rsidP="00EC48A0">
      <w:pPr>
        <w:pStyle w:val="FixListStyle"/>
        <w:spacing w:after="260" w:line="280" w:lineRule="exact"/>
        <w:ind w:right="0"/>
        <w:jc w:val="both"/>
        <w:rPr>
          <w:rFonts w:ascii="Times New Roman" w:hAnsi="Times New Roman"/>
        </w:rPr>
      </w:pPr>
      <w:r w:rsidRPr="00EC48A0">
        <w:rPr>
          <w:rFonts w:ascii="Times New Roman" w:hAnsi="Times New Roman"/>
        </w:rPr>
        <w:tab/>
        <w:t>M</w:t>
      </w:r>
      <w:r w:rsidR="008712E8" w:rsidRPr="00EC48A0">
        <w:rPr>
          <w:rFonts w:ascii="Times New Roman" w:hAnsi="Times New Roman"/>
        </w:rPr>
        <w:t>r </w:t>
      </w:r>
      <w:proofErr w:type="spellStart"/>
      <w:r w:rsidR="008712E8" w:rsidRPr="00EC48A0">
        <w:rPr>
          <w:rFonts w:ascii="Times New Roman" w:hAnsi="Times New Roman"/>
        </w:rPr>
        <w:t>Jeruzalski's</w:t>
      </w:r>
      <w:proofErr w:type="spellEnd"/>
      <w:r w:rsidR="008712E8" w:rsidRPr="00EC48A0">
        <w:rPr>
          <w:rFonts w:ascii="Times New Roman" w:hAnsi="Times New Roman"/>
        </w:rPr>
        <w:t xml:space="preserve"> conduct on behalf of the respondents amounted to the unconscientious </w:t>
      </w:r>
      <w:r w:rsidR="00286459" w:rsidRPr="00EC48A0">
        <w:rPr>
          <w:rFonts w:ascii="Times New Roman" w:hAnsi="Times New Roman"/>
        </w:rPr>
        <w:t xml:space="preserve">exploitation of </w:t>
      </w:r>
      <w:r w:rsidR="00B82BD3" w:rsidRPr="00EC48A0">
        <w:rPr>
          <w:rFonts w:ascii="Times New Roman" w:hAnsi="Times New Roman"/>
        </w:rPr>
        <w:t>the appellant</w:t>
      </w:r>
      <w:r w:rsidR="007C6354" w:rsidRPr="00EC48A0">
        <w:rPr>
          <w:rFonts w:ascii="Times New Roman" w:hAnsi="Times New Roman"/>
        </w:rPr>
        <w:t xml:space="preserve">'s special </w:t>
      </w:r>
      <w:r w:rsidR="00286459" w:rsidRPr="00EC48A0">
        <w:rPr>
          <w:rFonts w:ascii="Times New Roman" w:hAnsi="Times New Roman"/>
        </w:rPr>
        <w:t>disadvantage.</w:t>
      </w:r>
      <w:r w:rsidR="008400D2" w:rsidRPr="00EC48A0">
        <w:rPr>
          <w:rFonts w:ascii="Times New Roman" w:hAnsi="Times New Roman"/>
        </w:rPr>
        <w:t xml:space="preserve"> The primary judge was right to hold</w:t>
      </w:r>
      <w:r w:rsidR="00E839F5" w:rsidRPr="00EC48A0">
        <w:rPr>
          <w:rFonts w:ascii="Times New Roman" w:hAnsi="Times New Roman"/>
        </w:rPr>
        <w:t xml:space="preserve"> that it was unconscionable for the respondents to insist upon their rights under the</w:t>
      </w:r>
      <w:r w:rsidR="00F744A9" w:rsidRPr="00EC48A0">
        <w:rPr>
          <w:rFonts w:ascii="Times New Roman" w:hAnsi="Times New Roman"/>
        </w:rPr>
        <w:t xml:space="preserve"> mortgages</w:t>
      </w:r>
      <w:r w:rsidR="00E839F5" w:rsidRPr="00EC48A0">
        <w:rPr>
          <w:rFonts w:ascii="Times New Roman" w:hAnsi="Times New Roman"/>
        </w:rPr>
        <w:t>.</w:t>
      </w:r>
      <w:r w:rsidR="00D95620" w:rsidRPr="00EC48A0">
        <w:rPr>
          <w:rFonts w:ascii="Times New Roman" w:hAnsi="Times New Roman"/>
        </w:rPr>
        <w:t xml:space="preserve"> That being so, it is unnecessary to consider whether the appellant was entitled to succeed pursuant to s 12CB of the ASIC</w:t>
      </w:r>
      <w:r w:rsidR="001A4737" w:rsidRPr="00EC48A0">
        <w:rPr>
          <w:rFonts w:ascii="Times New Roman" w:hAnsi="Times New Roman"/>
        </w:rPr>
        <w:t> </w:t>
      </w:r>
      <w:r w:rsidR="00D95620" w:rsidRPr="00EC48A0">
        <w:rPr>
          <w:rFonts w:ascii="Times New Roman" w:hAnsi="Times New Roman"/>
        </w:rPr>
        <w:t>Act.</w:t>
      </w:r>
    </w:p>
    <w:p w14:paraId="49228D50" w14:textId="3A6110E2" w:rsidR="00A24F4D" w:rsidRPr="00EC48A0" w:rsidRDefault="00A24F4D" w:rsidP="00EC48A0">
      <w:pPr>
        <w:pStyle w:val="HeadingL1"/>
        <w:spacing w:after="260" w:line="280" w:lineRule="exact"/>
        <w:ind w:right="0"/>
        <w:jc w:val="both"/>
        <w:rPr>
          <w:rFonts w:ascii="Times New Roman" w:hAnsi="Times New Roman"/>
        </w:rPr>
      </w:pPr>
      <w:r w:rsidRPr="00EC48A0">
        <w:rPr>
          <w:rFonts w:ascii="Times New Roman" w:hAnsi="Times New Roman"/>
        </w:rPr>
        <w:lastRenderedPageBreak/>
        <w:t>Orders</w:t>
      </w:r>
    </w:p>
    <w:p w14:paraId="38D18ED6" w14:textId="2B8DD41A" w:rsidR="00957661" w:rsidRPr="00EC48A0" w:rsidRDefault="00957661" w:rsidP="00EC48A0">
      <w:pPr>
        <w:pStyle w:val="FixListStyle"/>
        <w:spacing w:after="260" w:line="280" w:lineRule="exact"/>
        <w:ind w:right="0"/>
        <w:jc w:val="both"/>
        <w:rPr>
          <w:rFonts w:ascii="Times New Roman" w:hAnsi="Times New Roman"/>
        </w:rPr>
      </w:pPr>
      <w:r w:rsidRPr="00EC48A0">
        <w:rPr>
          <w:rFonts w:ascii="Times New Roman" w:hAnsi="Times New Roman"/>
        </w:rPr>
        <w:tab/>
      </w:r>
      <w:r w:rsidR="00FA78EA" w:rsidRPr="00EC48A0">
        <w:rPr>
          <w:rFonts w:ascii="Times New Roman" w:hAnsi="Times New Roman"/>
        </w:rPr>
        <w:t>We</w:t>
      </w:r>
      <w:r w:rsidRPr="00EC48A0">
        <w:rPr>
          <w:rFonts w:ascii="Times New Roman" w:hAnsi="Times New Roman"/>
        </w:rPr>
        <w:t xml:space="preserve"> would make the following orders:</w:t>
      </w:r>
    </w:p>
    <w:p w14:paraId="354EF00D" w14:textId="701FA3A0" w:rsidR="00A24F4D" w:rsidRPr="00EC48A0" w:rsidRDefault="00A24F4D" w:rsidP="00EC48A0">
      <w:pPr>
        <w:pStyle w:val="NormalBody"/>
        <w:spacing w:after="260" w:line="280" w:lineRule="exact"/>
        <w:ind w:right="0"/>
        <w:jc w:val="both"/>
        <w:rPr>
          <w:rFonts w:ascii="Times New Roman" w:hAnsi="Times New Roman"/>
        </w:rPr>
      </w:pPr>
      <w:r w:rsidRPr="00EC48A0">
        <w:rPr>
          <w:rFonts w:ascii="Times New Roman" w:hAnsi="Times New Roman"/>
        </w:rPr>
        <w:tab/>
      </w:r>
      <w:r w:rsidR="00933C31" w:rsidRPr="00EC48A0">
        <w:rPr>
          <w:rFonts w:ascii="Times New Roman" w:hAnsi="Times New Roman"/>
        </w:rPr>
        <w:t>1</w:t>
      </w:r>
      <w:r w:rsidR="008F1E3B" w:rsidRPr="00EC48A0">
        <w:rPr>
          <w:rFonts w:ascii="Times New Roman" w:hAnsi="Times New Roman"/>
        </w:rPr>
        <w:t>.</w:t>
      </w:r>
      <w:r w:rsidR="00933C31" w:rsidRPr="00EC48A0">
        <w:rPr>
          <w:rFonts w:ascii="Times New Roman" w:hAnsi="Times New Roman"/>
        </w:rPr>
        <w:tab/>
      </w:r>
      <w:r w:rsidR="00093AB2" w:rsidRPr="00EC48A0">
        <w:rPr>
          <w:rFonts w:ascii="Times New Roman" w:hAnsi="Times New Roman"/>
        </w:rPr>
        <w:t>Appeal allowed.</w:t>
      </w:r>
    </w:p>
    <w:p w14:paraId="6A59C147" w14:textId="3C66FD9E" w:rsidR="00A17437" w:rsidRPr="00EC48A0" w:rsidRDefault="00455147" w:rsidP="00EC48A0">
      <w:pPr>
        <w:pStyle w:val="leftright"/>
        <w:spacing w:before="0" w:after="260" w:line="280" w:lineRule="exact"/>
        <w:ind w:left="1440" w:right="0" w:hanging="720"/>
        <w:jc w:val="both"/>
        <w:rPr>
          <w:rFonts w:ascii="Times New Roman" w:hAnsi="Times New Roman"/>
        </w:rPr>
      </w:pPr>
      <w:r w:rsidRPr="00EC48A0">
        <w:rPr>
          <w:rFonts w:ascii="Times New Roman" w:hAnsi="Times New Roman"/>
        </w:rPr>
        <w:t>2</w:t>
      </w:r>
      <w:r w:rsidR="008F1E3B" w:rsidRPr="00EC48A0">
        <w:rPr>
          <w:rFonts w:ascii="Times New Roman" w:hAnsi="Times New Roman"/>
        </w:rPr>
        <w:t>.</w:t>
      </w:r>
      <w:r w:rsidR="00A84FAE" w:rsidRPr="00EC48A0">
        <w:rPr>
          <w:rFonts w:ascii="Times New Roman" w:hAnsi="Times New Roman"/>
        </w:rPr>
        <w:tab/>
      </w:r>
      <w:r w:rsidR="008F1E3B" w:rsidRPr="00EC48A0">
        <w:rPr>
          <w:rFonts w:ascii="Times New Roman" w:hAnsi="Times New Roman"/>
        </w:rPr>
        <w:t>Set aside o</w:t>
      </w:r>
      <w:r w:rsidR="00A84FAE" w:rsidRPr="00EC48A0">
        <w:rPr>
          <w:rFonts w:ascii="Times New Roman" w:hAnsi="Times New Roman"/>
        </w:rPr>
        <w:t>rders</w:t>
      </w:r>
      <w:r w:rsidR="00C448AE" w:rsidRPr="00EC48A0">
        <w:rPr>
          <w:rFonts w:ascii="Times New Roman" w:hAnsi="Times New Roman"/>
        </w:rPr>
        <w:t> </w:t>
      </w:r>
      <w:r w:rsidR="00A84FAE" w:rsidRPr="00EC48A0">
        <w:rPr>
          <w:rFonts w:ascii="Times New Roman" w:hAnsi="Times New Roman"/>
        </w:rPr>
        <w:t>2 and 3 made on 5</w:t>
      </w:r>
      <w:r w:rsidR="000D3670" w:rsidRPr="00EC48A0">
        <w:rPr>
          <w:rFonts w:ascii="Times New Roman" w:hAnsi="Times New Roman"/>
        </w:rPr>
        <w:t> </w:t>
      </w:r>
      <w:r w:rsidR="00A84FAE" w:rsidRPr="00EC48A0">
        <w:rPr>
          <w:rFonts w:ascii="Times New Roman" w:hAnsi="Times New Roman"/>
        </w:rPr>
        <w:t xml:space="preserve">August 2020 and </w:t>
      </w:r>
      <w:r w:rsidR="007D020B" w:rsidRPr="00EC48A0">
        <w:rPr>
          <w:rFonts w:ascii="Times New Roman" w:hAnsi="Times New Roman"/>
        </w:rPr>
        <w:t>o</w:t>
      </w:r>
      <w:r w:rsidR="00A84FAE" w:rsidRPr="00EC48A0">
        <w:rPr>
          <w:rFonts w:ascii="Times New Roman" w:hAnsi="Times New Roman"/>
        </w:rPr>
        <w:t>rder</w:t>
      </w:r>
      <w:r w:rsidR="000D3670" w:rsidRPr="00EC48A0">
        <w:rPr>
          <w:rFonts w:ascii="Times New Roman" w:hAnsi="Times New Roman"/>
        </w:rPr>
        <w:t>s</w:t>
      </w:r>
      <w:r w:rsidR="007C713D" w:rsidRPr="00EC48A0">
        <w:rPr>
          <w:rFonts w:ascii="Times New Roman" w:hAnsi="Times New Roman"/>
        </w:rPr>
        <w:t> </w:t>
      </w:r>
      <w:r w:rsidR="00A84FAE" w:rsidRPr="00EC48A0">
        <w:rPr>
          <w:rFonts w:ascii="Times New Roman" w:hAnsi="Times New Roman"/>
        </w:rPr>
        <w:t>2</w:t>
      </w:r>
      <w:r w:rsidR="003F2A03" w:rsidRPr="00EC48A0">
        <w:rPr>
          <w:rFonts w:ascii="Times New Roman" w:hAnsi="Times New Roman"/>
        </w:rPr>
        <w:t xml:space="preserve"> </w:t>
      </w:r>
      <w:r w:rsidR="000D3670" w:rsidRPr="00EC48A0">
        <w:rPr>
          <w:rFonts w:ascii="Times New Roman" w:hAnsi="Times New Roman"/>
        </w:rPr>
        <w:t xml:space="preserve">and 3 </w:t>
      </w:r>
      <w:r w:rsidR="00A84FAE" w:rsidRPr="00EC48A0">
        <w:rPr>
          <w:rFonts w:ascii="Times New Roman" w:hAnsi="Times New Roman"/>
        </w:rPr>
        <w:t>made</w:t>
      </w:r>
      <w:r w:rsidR="003F2A03" w:rsidRPr="00EC48A0">
        <w:rPr>
          <w:rFonts w:ascii="Times New Roman" w:hAnsi="Times New Roman"/>
        </w:rPr>
        <w:t xml:space="preserve"> </w:t>
      </w:r>
      <w:r w:rsidR="00A84FAE" w:rsidRPr="00EC48A0">
        <w:rPr>
          <w:rFonts w:ascii="Times New Roman" w:hAnsi="Times New Roman"/>
        </w:rPr>
        <w:t>on</w:t>
      </w:r>
      <w:r w:rsidR="003F2A03" w:rsidRPr="00EC48A0">
        <w:rPr>
          <w:rFonts w:ascii="Times New Roman" w:hAnsi="Times New Roman"/>
        </w:rPr>
        <w:t xml:space="preserve"> </w:t>
      </w:r>
      <w:r w:rsidR="00A84FAE" w:rsidRPr="00EC48A0">
        <w:rPr>
          <w:rFonts w:ascii="Times New Roman" w:hAnsi="Times New Roman"/>
        </w:rPr>
        <w:t>24</w:t>
      </w:r>
      <w:r w:rsidR="00C448AE" w:rsidRPr="00EC48A0">
        <w:rPr>
          <w:rFonts w:ascii="Times New Roman" w:hAnsi="Times New Roman"/>
        </w:rPr>
        <w:t> </w:t>
      </w:r>
      <w:r w:rsidR="00A84FAE" w:rsidRPr="00EC48A0">
        <w:rPr>
          <w:rFonts w:ascii="Times New Roman" w:hAnsi="Times New Roman"/>
        </w:rPr>
        <w:t>August</w:t>
      </w:r>
      <w:r w:rsidR="003F2A03" w:rsidRPr="00EC48A0">
        <w:rPr>
          <w:rFonts w:ascii="Times New Roman" w:hAnsi="Times New Roman"/>
        </w:rPr>
        <w:t xml:space="preserve"> </w:t>
      </w:r>
      <w:r w:rsidR="00A84FAE" w:rsidRPr="00EC48A0">
        <w:rPr>
          <w:rFonts w:ascii="Times New Roman" w:hAnsi="Times New Roman"/>
        </w:rPr>
        <w:t>2020</w:t>
      </w:r>
      <w:r w:rsidR="003F2A03" w:rsidRPr="00EC48A0">
        <w:rPr>
          <w:rFonts w:ascii="Times New Roman" w:hAnsi="Times New Roman"/>
        </w:rPr>
        <w:t xml:space="preserve"> </w:t>
      </w:r>
      <w:r w:rsidR="00A84FAE" w:rsidRPr="00EC48A0">
        <w:rPr>
          <w:rFonts w:ascii="Times New Roman" w:hAnsi="Times New Roman"/>
        </w:rPr>
        <w:t>by</w:t>
      </w:r>
      <w:r w:rsidR="003F2A03" w:rsidRPr="00EC48A0">
        <w:rPr>
          <w:rFonts w:ascii="Times New Roman" w:hAnsi="Times New Roman"/>
        </w:rPr>
        <w:t xml:space="preserve"> </w:t>
      </w:r>
      <w:r w:rsidR="00A84FAE" w:rsidRPr="00EC48A0">
        <w:rPr>
          <w:rFonts w:ascii="Times New Roman" w:hAnsi="Times New Roman"/>
        </w:rPr>
        <w:t>the</w:t>
      </w:r>
      <w:r w:rsidR="003F2A03" w:rsidRPr="00EC48A0">
        <w:rPr>
          <w:rFonts w:ascii="Times New Roman" w:hAnsi="Times New Roman"/>
        </w:rPr>
        <w:t xml:space="preserve"> </w:t>
      </w:r>
      <w:r w:rsidR="00A84FAE" w:rsidRPr="00EC48A0">
        <w:rPr>
          <w:rFonts w:ascii="Times New Roman" w:hAnsi="Times New Roman"/>
        </w:rPr>
        <w:t>Court</w:t>
      </w:r>
      <w:r w:rsidR="003F2A03" w:rsidRPr="00EC48A0">
        <w:rPr>
          <w:rFonts w:ascii="Times New Roman" w:hAnsi="Times New Roman"/>
        </w:rPr>
        <w:t xml:space="preserve"> </w:t>
      </w:r>
      <w:r w:rsidR="00A84FAE" w:rsidRPr="00EC48A0">
        <w:rPr>
          <w:rFonts w:ascii="Times New Roman" w:hAnsi="Times New Roman"/>
        </w:rPr>
        <w:t>of</w:t>
      </w:r>
      <w:r w:rsidR="003F2A03" w:rsidRPr="00EC48A0">
        <w:rPr>
          <w:rFonts w:ascii="Times New Roman" w:hAnsi="Times New Roman"/>
        </w:rPr>
        <w:t xml:space="preserve"> </w:t>
      </w:r>
      <w:r w:rsidR="00A84FAE" w:rsidRPr="00EC48A0">
        <w:rPr>
          <w:rFonts w:ascii="Times New Roman" w:hAnsi="Times New Roman"/>
        </w:rPr>
        <w:t>Appeal</w:t>
      </w:r>
      <w:r w:rsidR="003F2A03" w:rsidRPr="00EC48A0">
        <w:rPr>
          <w:rFonts w:ascii="Times New Roman" w:hAnsi="Times New Roman"/>
        </w:rPr>
        <w:t xml:space="preserve"> </w:t>
      </w:r>
      <w:r w:rsidR="00A84FAE" w:rsidRPr="00EC48A0">
        <w:rPr>
          <w:rFonts w:ascii="Times New Roman" w:hAnsi="Times New Roman"/>
        </w:rPr>
        <w:t>of</w:t>
      </w:r>
      <w:r w:rsidR="003F2A03" w:rsidRPr="00EC48A0">
        <w:rPr>
          <w:rFonts w:ascii="Times New Roman" w:hAnsi="Times New Roman"/>
        </w:rPr>
        <w:t xml:space="preserve"> </w:t>
      </w:r>
      <w:r w:rsidR="00A84FAE" w:rsidRPr="00EC48A0">
        <w:rPr>
          <w:rFonts w:ascii="Times New Roman" w:hAnsi="Times New Roman"/>
        </w:rPr>
        <w:t>the</w:t>
      </w:r>
      <w:r w:rsidR="00A17437" w:rsidRPr="00EC48A0">
        <w:rPr>
          <w:rFonts w:ascii="Times New Roman" w:hAnsi="Times New Roman"/>
        </w:rPr>
        <w:t xml:space="preserve"> </w:t>
      </w:r>
      <w:r w:rsidR="00A84FAE" w:rsidRPr="00EC48A0">
        <w:rPr>
          <w:rFonts w:ascii="Times New Roman" w:hAnsi="Times New Roman"/>
        </w:rPr>
        <w:t>Supreme</w:t>
      </w:r>
      <w:r w:rsidR="00A17437" w:rsidRPr="00EC48A0">
        <w:rPr>
          <w:rFonts w:ascii="Times New Roman" w:hAnsi="Times New Roman"/>
        </w:rPr>
        <w:t xml:space="preserve"> </w:t>
      </w:r>
      <w:r w:rsidR="00A84FAE" w:rsidRPr="00EC48A0">
        <w:rPr>
          <w:rFonts w:ascii="Times New Roman" w:hAnsi="Times New Roman"/>
        </w:rPr>
        <w:t>Court</w:t>
      </w:r>
      <w:r w:rsidR="00A17437" w:rsidRPr="00EC48A0">
        <w:rPr>
          <w:rFonts w:ascii="Times New Roman" w:hAnsi="Times New Roman"/>
        </w:rPr>
        <w:t xml:space="preserve"> </w:t>
      </w:r>
      <w:r w:rsidR="00A84FAE" w:rsidRPr="00EC48A0">
        <w:rPr>
          <w:rFonts w:ascii="Times New Roman" w:hAnsi="Times New Roman"/>
        </w:rPr>
        <w:t>of</w:t>
      </w:r>
      <w:r w:rsidR="00A17437" w:rsidRPr="00EC48A0">
        <w:rPr>
          <w:rFonts w:ascii="Times New Roman" w:hAnsi="Times New Roman"/>
        </w:rPr>
        <w:t xml:space="preserve"> </w:t>
      </w:r>
      <w:r w:rsidR="00A84FAE" w:rsidRPr="00EC48A0">
        <w:rPr>
          <w:rFonts w:ascii="Times New Roman" w:hAnsi="Times New Roman"/>
        </w:rPr>
        <w:t>Victoria</w:t>
      </w:r>
      <w:r w:rsidR="00A17437" w:rsidRPr="00EC48A0">
        <w:rPr>
          <w:rFonts w:ascii="Times New Roman" w:hAnsi="Times New Roman"/>
        </w:rPr>
        <w:t xml:space="preserve"> </w:t>
      </w:r>
      <w:r w:rsidR="00C928A9" w:rsidRPr="00EC48A0">
        <w:rPr>
          <w:rFonts w:ascii="Times New Roman" w:hAnsi="Times New Roman"/>
        </w:rPr>
        <w:t>and, in their place, order that:</w:t>
      </w:r>
    </w:p>
    <w:p w14:paraId="3719325F" w14:textId="56431519" w:rsidR="00000ABA" w:rsidRPr="00EC48A0" w:rsidRDefault="00A84FAE" w:rsidP="00EC48A0">
      <w:pPr>
        <w:pStyle w:val="LRHangingMore"/>
        <w:spacing w:before="0" w:after="260" w:line="280" w:lineRule="exact"/>
        <w:ind w:right="0"/>
        <w:jc w:val="both"/>
        <w:rPr>
          <w:rFonts w:ascii="Times New Roman" w:hAnsi="Times New Roman"/>
        </w:rPr>
      </w:pPr>
      <w:r w:rsidRPr="00EC48A0">
        <w:rPr>
          <w:rFonts w:ascii="Times New Roman" w:hAnsi="Times New Roman"/>
        </w:rPr>
        <w:t>(</w:t>
      </w:r>
      <w:r w:rsidR="00BC4108" w:rsidRPr="00EC48A0">
        <w:rPr>
          <w:rFonts w:ascii="Times New Roman" w:hAnsi="Times New Roman"/>
        </w:rPr>
        <w:t>a</w:t>
      </w:r>
      <w:r w:rsidRPr="00EC48A0">
        <w:rPr>
          <w:rFonts w:ascii="Times New Roman" w:hAnsi="Times New Roman"/>
        </w:rPr>
        <w:t>)</w:t>
      </w:r>
      <w:r w:rsidR="00461E35" w:rsidRPr="00EC48A0">
        <w:rPr>
          <w:rFonts w:ascii="Times New Roman" w:hAnsi="Times New Roman"/>
        </w:rPr>
        <w:tab/>
      </w:r>
      <w:r w:rsidR="00401FCB" w:rsidRPr="00EC48A0">
        <w:rPr>
          <w:rFonts w:ascii="Times New Roman" w:hAnsi="Times New Roman"/>
        </w:rPr>
        <w:t>o</w:t>
      </w:r>
      <w:r w:rsidR="00000ABA" w:rsidRPr="00EC48A0">
        <w:rPr>
          <w:rFonts w:ascii="Times New Roman" w:hAnsi="Times New Roman"/>
        </w:rPr>
        <w:t>rders 1 and 3</w:t>
      </w:r>
      <w:r w:rsidR="00273D62" w:rsidRPr="00EC48A0">
        <w:rPr>
          <w:rFonts w:ascii="Times New Roman" w:hAnsi="Times New Roman"/>
        </w:rPr>
        <w:t xml:space="preserve"> made on 22 July 2019 by the </w:t>
      </w:r>
      <w:r w:rsidR="001C4D5C" w:rsidRPr="00EC48A0">
        <w:rPr>
          <w:rFonts w:ascii="Times New Roman" w:hAnsi="Times New Roman"/>
        </w:rPr>
        <w:t>primary judge</w:t>
      </w:r>
      <w:r w:rsidR="00FE77E9" w:rsidRPr="00EC48A0">
        <w:rPr>
          <w:rFonts w:ascii="Times New Roman" w:hAnsi="Times New Roman"/>
        </w:rPr>
        <w:t xml:space="preserve"> be varied so that the date of those orders be taken instead to be the date of final orders</w:t>
      </w:r>
      <w:r w:rsidR="002C768E" w:rsidRPr="00EC48A0">
        <w:rPr>
          <w:rFonts w:ascii="Times New Roman" w:hAnsi="Times New Roman"/>
        </w:rPr>
        <w:t xml:space="preserve"> in Proceeding No M13 of 2021 in the High Court of Australia</w:t>
      </w:r>
      <w:r w:rsidR="00963BDF" w:rsidRPr="00EC48A0">
        <w:rPr>
          <w:rFonts w:ascii="Times New Roman" w:hAnsi="Times New Roman"/>
        </w:rPr>
        <w:t>;</w:t>
      </w:r>
    </w:p>
    <w:p w14:paraId="718C6285" w14:textId="6C4F690D" w:rsidR="0099553A" w:rsidRPr="00EC48A0" w:rsidRDefault="00EF67F5" w:rsidP="00EC48A0">
      <w:pPr>
        <w:pStyle w:val="LRIndent"/>
        <w:spacing w:before="0" w:after="260" w:line="280" w:lineRule="exact"/>
        <w:ind w:left="2160" w:right="0" w:hanging="720"/>
        <w:jc w:val="both"/>
        <w:rPr>
          <w:rFonts w:ascii="Times New Roman" w:hAnsi="Times New Roman"/>
        </w:rPr>
      </w:pPr>
      <w:r w:rsidRPr="00EC48A0">
        <w:rPr>
          <w:rFonts w:ascii="Times New Roman" w:hAnsi="Times New Roman"/>
        </w:rPr>
        <w:t>(</w:t>
      </w:r>
      <w:r w:rsidR="00BC4108" w:rsidRPr="00EC48A0">
        <w:rPr>
          <w:rFonts w:ascii="Times New Roman" w:hAnsi="Times New Roman"/>
        </w:rPr>
        <w:t>b</w:t>
      </w:r>
      <w:r w:rsidR="00A84FAE" w:rsidRPr="00EC48A0">
        <w:rPr>
          <w:rFonts w:ascii="Times New Roman" w:hAnsi="Times New Roman"/>
        </w:rPr>
        <w:t>)</w:t>
      </w:r>
      <w:r w:rsidRPr="00EC48A0">
        <w:rPr>
          <w:rFonts w:ascii="Times New Roman" w:hAnsi="Times New Roman"/>
        </w:rPr>
        <w:tab/>
      </w:r>
      <w:r w:rsidR="002C768E" w:rsidRPr="00EC48A0">
        <w:rPr>
          <w:rFonts w:ascii="Times New Roman" w:hAnsi="Times New Roman"/>
        </w:rPr>
        <w:t>the appeal be otherwise dismissed</w:t>
      </w:r>
      <w:r w:rsidR="00A84FAE" w:rsidRPr="00EC48A0">
        <w:rPr>
          <w:rFonts w:ascii="Times New Roman" w:hAnsi="Times New Roman"/>
        </w:rPr>
        <w:t>;</w:t>
      </w:r>
      <w:r w:rsidR="0099553A" w:rsidRPr="00EC48A0">
        <w:rPr>
          <w:rFonts w:ascii="Times New Roman" w:hAnsi="Times New Roman"/>
        </w:rPr>
        <w:t xml:space="preserve"> </w:t>
      </w:r>
    </w:p>
    <w:p w14:paraId="5B9E754D" w14:textId="1671E599" w:rsidR="00AF03AA" w:rsidRPr="00EC48A0" w:rsidRDefault="00A84FAE" w:rsidP="00EC48A0">
      <w:pPr>
        <w:pStyle w:val="LRIndent"/>
        <w:spacing w:before="0" w:after="260" w:line="280" w:lineRule="exact"/>
        <w:ind w:left="2160" w:right="0" w:hanging="720"/>
        <w:jc w:val="both"/>
        <w:rPr>
          <w:rFonts w:ascii="Times New Roman" w:hAnsi="Times New Roman"/>
        </w:rPr>
      </w:pPr>
      <w:r w:rsidRPr="00EC48A0">
        <w:rPr>
          <w:rFonts w:ascii="Times New Roman" w:hAnsi="Times New Roman"/>
        </w:rPr>
        <w:t>(</w:t>
      </w:r>
      <w:r w:rsidR="00BC4108" w:rsidRPr="00EC48A0">
        <w:rPr>
          <w:rFonts w:ascii="Times New Roman" w:hAnsi="Times New Roman"/>
        </w:rPr>
        <w:t>c</w:t>
      </w:r>
      <w:r w:rsidRPr="00EC48A0">
        <w:rPr>
          <w:rFonts w:ascii="Times New Roman" w:hAnsi="Times New Roman"/>
        </w:rPr>
        <w:t>)</w:t>
      </w:r>
      <w:r w:rsidR="0099553A" w:rsidRPr="00EC48A0">
        <w:rPr>
          <w:rFonts w:ascii="Times New Roman" w:hAnsi="Times New Roman"/>
        </w:rPr>
        <w:tab/>
      </w:r>
      <w:r w:rsidRPr="00EC48A0">
        <w:rPr>
          <w:rFonts w:ascii="Times New Roman" w:hAnsi="Times New Roman"/>
        </w:rPr>
        <w:t>the</w:t>
      </w:r>
      <w:r w:rsidR="0099553A" w:rsidRPr="00EC48A0">
        <w:rPr>
          <w:rFonts w:ascii="Times New Roman" w:hAnsi="Times New Roman"/>
        </w:rPr>
        <w:t xml:space="preserve"> </w:t>
      </w:r>
      <w:r w:rsidR="00DA3E92" w:rsidRPr="00EC48A0">
        <w:rPr>
          <w:rFonts w:ascii="Times New Roman" w:hAnsi="Times New Roman"/>
        </w:rPr>
        <w:t>appellants pay the respondent's costs of the application for leave to appeal and of the appeal on the standard basis</w:t>
      </w:r>
      <w:r w:rsidRPr="00EC48A0">
        <w:rPr>
          <w:rFonts w:ascii="Times New Roman" w:hAnsi="Times New Roman"/>
        </w:rPr>
        <w:t>;</w:t>
      </w:r>
      <w:r w:rsidR="00E65D51" w:rsidRPr="00EC48A0">
        <w:rPr>
          <w:rFonts w:ascii="Times New Roman" w:hAnsi="Times New Roman"/>
        </w:rPr>
        <w:t xml:space="preserve"> </w:t>
      </w:r>
      <w:r w:rsidRPr="00EC48A0">
        <w:rPr>
          <w:rFonts w:ascii="Times New Roman" w:hAnsi="Times New Roman"/>
        </w:rPr>
        <w:t>and</w:t>
      </w:r>
      <w:r w:rsidR="00AF03AA" w:rsidRPr="00EC48A0">
        <w:rPr>
          <w:rFonts w:ascii="Times New Roman" w:hAnsi="Times New Roman"/>
        </w:rPr>
        <w:t xml:space="preserve"> </w:t>
      </w:r>
    </w:p>
    <w:p w14:paraId="53C0178B" w14:textId="1C5B537B" w:rsidR="00AF03AA" w:rsidRPr="00EC48A0" w:rsidRDefault="00A84FAE" w:rsidP="00EC48A0">
      <w:pPr>
        <w:pStyle w:val="LRIndent"/>
        <w:spacing w:before="0" w:after="260" w:line="280" w:lineRule="exact"/>
        <w:ind w:left="2160" w:right="0" w:hanging="720"/>
        <w:jc w:val="both"/>
        <w:rPr>
          <w:rFonts w:ascii="Times New Roman" w:hAnsi="Times New Roman"/>
        </w:rPr>
      </w:pPr>
      <w:r w:rsidRPr="00EC48A0">
        <w:rPr>
          <w:rFonts w:ascii="Times New Roman" w:hAnsi="Times New Roman"/>
        </w:rPr>
        <w:t>(</w:t>
      </w:r>
      <w:r w:rsidR="00BC4108" w:rsidRPr="00EC48A0">
        <w:rPr>
          <w:rFonts w:ascii="Times New Roman" w:hAnsi="Times New Roman"/>
        </w:rPr>
        <w:t>d</w:t>
      </w:r>
      <w:r w:rsidRPr="00EC48A0">
        <w:rPr>
          <w:rFonts w:ascii="Times New Roman" w:hAnsi="Times New Roman"/>
        </w:rPr>
        <w:t>)</w:t>
      </w:r>
      <w:r w:rsidR="00AF03AA" w:rsidRPr="00EC48A0">
        <w:rPr>
          <w:rFonts w:ascii="Times New Roman" w:hAnsi="Times New Roman"/>
        </w:rPr>
        <w:tab/>
      </w:r>
      <w:r w:rsidRPr="00EC48A0">
        <w:rPr>
          <w:rFonts w:ascii="Times New Roman" w:hAnsi="Times New Roman"/>
        </w:rPr>
        <w:t>pursuant</w:t>
      </w:r>
      <w:r w:rsidR="00AF03AA" w:rsidRPr="00EC48A0">
        <w:rPr>
          <w:rFonts w:ascii="Times New Roman" w:hAnsi="Times New Roman"/>
        </w:rPr>
        <w:t xml:space="preserve"> </w:t>
      </w:r>
      <w:r w:rsidRPr="00EC48A0">
        <w:rPr>
          <w:rFonts w:ascii="Times New Roman" w:hAnsi="Times New Roman"/>
        </w:rPr>
        <w:t>to</w:t>
      </w:r>
      <w:r w:rsidR="00AF03AA" w:rsidRPr="00EC48A0">
        <w:rPr>
          <w:rFonts w:ascii="Times New Roman" w:hAnsi="Times New Roman"/>
        </w:rPr>
        <w:t xml:space="preserve"> </w:t>
      </w:r>
      <w:r w:rsidR="00146A3E" w:rsidRPr="00EC48A0">
        <w:rPr>
          <w:rFonts w:ascii="Times New Roman" w:hAnsi="Times New Roman"/>
        </w:rPr>
        <w:t>r </w:t>
      </w:r>
      <w:r w:rsidRPr="00EC48A0">
        <w:rPr>
          <w:rFonts w:ascii="Times New Roman" w:hAnsi="Times New Roman"/>
        </w:rPr>
        <w:t>63.34.2</w:t>
      </w:r>
      <w:r w:rsidR="00AF03AA" w:rsidRPr="00EC48A0">
        <w:rPr>
          <w:rFonts w:ascii="Times New Roman" w:hAnsi="Times New Roman"/>
        </w:rPr>
        <w:t xml:space="preserve"> </w:t>
      </w:r>
      <w:r w:rsidRPr="00EC48A0">
        <w:rPr>
          <w:rFonts w:ascii="Times New Roman" w:hAnsi="Times New Roman"/>
        </w:rPr>
        <w:t>of</w:t>
      </w:r>
      <w:r w:rsidR="00AF03AA" w:rsidRPr="00EC48A0">
        <w:rPr>
          <w:rFonts w:ascii="Times New Roman" w:hAnsi="Times New Roman"/>
        </w:rPr>
        <w:t xml:space="preserve"> </w:t>
      </w:r>
      <w:r w:rsidRPr="00EC48A0">
        <w:rPr>
          <w:rFonts w:ascii="Times New Roman" w:hAnsi="Times New Roman"/>
        </w:rPr>
        <w:t>the</w:t>
      </w:r>
      <w:r w:rsidR="00AF03AA" w:rsidRPr="00EC48A0">
        <w:rPr>
          <w:rFonts w:ascii="Times New Roman" w:hAnsi="Times New Roman"/>
        </w:rPr>
        <w:t xml:space="preserve"> </w:t>
      </w:r>
      <w:r w:rsidRPr="00EC48A0">
        <w:rPr>
          <w:rFonts w:ascii="Times New Roman" w:hAnsi="Times New Roman"/>
          <w:i/>
          <w:iCs/>
        </w:rPr>
        <w:t>Supreme</w:t>
      </w:r>
      <w:r w:rsidR="00AF03AA" w:rsidRPr="00EC48A0">
        <w:rPr>
          <w:rFonts w:ascii="Times New Roman" w:hAnsi="Times New Roman"/>
          <w:i/>
          <w:iCs/>
        </w:rPr>
        <w:t xml:space="preserve"> </w:t>
      </w:r>
      <w:r w:rsidRPr="00EC48A0">
        <w:rPr>
          <w:rFonts w:ascii="Times New Roman" w:hAnsi="Times New Roman"/>
          <w:i/>
          <w:iCs/>
        </w:rPr>
        <w:t>Court</w:t>
      </w:r>
      <w:r w:rsidR="00AF03AA" w:rsidRPr="00EC48A0">
        <w:rPr>
          <w:rFonts w:ascii="Times New Roman" w:hAnsi="Times New Roman"/>
          <w:i/>
          <w:iCs/>
        </w:rPr>
        <w:t xml:space="preserve"> </w:t>
      </w:r>
      <w:r w:rsidRPr="00EC48A0">
        <w:rPr>
          <w:rFonts w:ascii="Times New Roman" w:hAnsi="Times New Roman"/>
          <w:i/>
          <w:iCs/>
        </w:rPr>
        <w:t>(General</w:t>
      </w:r>
      <w:r w:rsidR="00AF03AA" w:rsidRPr="00EC48A0">
        <w:rPr>
          <w:rFonts w:ascii="Times New Roman" w:hAnsi="Times New Roman"/>
          <w:i/>
          <w:iCs/>
        </w:rPr>
        <w:t xml:space="preserve"> </w:t>
      </w:r>
      <w:r w:rsidRPr="00EC48A0">
        <w:rPr>
          <w:rFonts w:ascii="Times New Roman" w:hAnsi="Times New Roman"/>
          <w:i/>
          <w:iCs/>
        </w:rPr>
        <w:t>Civil</w:t>
      </w:r>
      <w:r w:rsidR="00AF03AA" w:rsidRPr="00EC48A0">
        <w:rPr>
          <w:rFonts w:ascii="Times New Roman" w:hAnsi="Times New Roman"/>
          <w:i/>
          <w:iCs/>
        </w:rPr>
        <w:t xml:space="preserve"> </w:t>
      </w:r>
      <w:r w:rsidRPr="00EC48A0">
        <w:rPr>
          <w:rFonts w:ascii="Times New Roman" w:hAnsi="Times New Roman"/>
          <w:i/>
          <w:iCs/>
        </w:rPr>
        <w:t>Procedure)</w:t>
      </w:r>
      <w:r w:rsidR="00AF03AA" w:rsidRPr="00EC48A0">
        <w:rPr>
          <w:rFonts w:ascii="Times New Roman" w:hAnsi="Times New Roman"/>
          <w:i/>
          <w:iCs/>
        </w:rPr>
        <w:t xml:space="preserve"> </w:t>
      </w:r>
      <w:r w:rsidRPr="00EC48A0">
        <w:rPr>
          <w:rFonts w:ascii="Times New Roman" w:hAnsi="Times New Roman"/>
          <w:i/>
          <w:iCs/>
        </w:rPr>
        <w:t>Rules</w:t>
      </w:r>
      <w:r w:rsidR="00AF03AA" w:rsidRPr="00EC48A0">
        <w:rPr>
          <w:rFonts w:ascii="Times New Roman" w:hAnsi="Times New Roman"/>
          <w:i/>
          <w:iCs/>
        </w:rPr>
        <w:t xml:space="preserve"> </w:t>
      </w:r>
      <w:r w:rsidRPr="00EC48A0">
        <w:rPr>
          <w:rFonts w:ascii="Times New Roman" w:hAnsi="Times New Roman"/>
          <w:i/>
          <w:iCs/>
        </w:rPr>
        <w:t>2015</w:t>
      </w:r>
      <w:r w:rsidR="00AF03AA" w:rsidRPr="00EC48A0">
        <w:rPr>
          <w:rFonts w:ascii="Times New Roman" w:hAnsi="Times New Roman"/>
        </w:rPr>
        <w:t xml:space="preserve"> </w:t>
      </w:r>
      <w:r w:rsidRPr="00EC48A0">
        <w:rPr>
          <w:rFonts w:ascii="Times New Roman" w:hAnsi="Times New Roman"/>
        </w:rPr>
        <w:t>(Vic):</w:t>
      </w:r>
    </w:p>
    <w:p w14:paraId="5FD479DC" w14:textId="00637BC2" w:rsidR="00A30EF7" w:rsidRPr="00EC48A0" w:rsidRDefault="006947D4" w:rsidP="00EC48A0">
      <w:pPr>
        <w:pStyle w:val="LRHangingMore"/>
        <w:spacing w:before="0" w:after="260" w:line="280" w:lineRule="exact"/>
        <w:ind w:left="2880" w:right="0"/>
        <w:jc w:val="both"/>
        <w:rPr>
          <w:rFonts w:ascii="Times New Roman" w:hAnsi="Times New Roman"/>
        </w:rPr>
      </w:pPr>
      <w:r w:rsidRPr="00EC48A0">
        <w:rPr>
          <w:rFonts w:ascii="Times New Roman" w:hAnsi="Times New Roman"/>
        </w:rPr>
        <w:t>(</w:t>
      </w:r>
      <w:proofErr w:type="spellStart"/>
      <w:r w:rsidR="00BC4108" w:rsidRPr="00EC48A0">
        <w:rPr>
          <w:rFonts w:ascii="Times New Roman" w:hAnsi="Times New Roman"/>
        </w:rPr>
        <w:t>i</w:t>
      </w:r>
      <w:proofErr w:type="spellEnd"/>
      <w:r w:rsidRPr="00EC48A0">
        <w:rPr>
          <w:rFonts w:ascii="Times New Roman" w:hAnsi="Times New Roman"/>
        </w:rPr>
        <w:t>)</w:t>
      </w:r>
      <w:r w:rsidRPr="00EC48A0">
        <w:rPr>
          <w:rFonts w:ascii="Times New Roman" w:hAnsi="Times New Roman"/>
        </w:rPr>
        <w:tab/>
      </w:r>
      <w:r w:rsidR="00A84FAE" w:rsidRPr="00EC48A0">
        <w:rPr>
          <w:rFonts w:ascii="Times New Roman" w:hAnsi="Times New Roman"/>
        </w:rPr>
        <w:t>the</w:t>
      </w:r>
      <w:r w:rsidR="00445073" w:rsidRPr="00EC48A0">
        <w:rPr>
          <w:rFonts w:ascii="Times New Roman" w:hAnsi="Times New Roman"/>
        </w:rPr>
        <w:t xml:space="preserve"> </w:t>
      </w:r>
      <w:r w:rsidR="00BF3F18" w:rsidRPr="00EC48A0">
        <w:rPr>
          <w:rFonts w:ascii="Times New Roman" w:hAnsi="Times New Roman"/>
        </w:rPr>
        <w:t>appellants</w:t>
      </w:r>
      <w:r w:rsidR="00EF75EB" w:rsidRPr="00EC48A0">
        <w:rPr>
          <w:rFonts w:ascii="Times New Roman" w:hAnsi="Times New Roman"/>
        </w:rPr>
        <w:t xml:space="preserve"> </w:t>
      </w:r>
      <w:r w:rsidR="00A84FAE" w:rsidRPr="00EC48A0">
        <w:rPr>
          <w:rFonts w:ascii="Times New Roman" w:hAnsi="Times New Roman"/>
        </w:rPr>
        <w:t>pay</w:t>
      </w:r>
      <w:r w:rsidR="00EF75EB" w:rsidRPr="00EC48A0">
        <w:rPr>
          <w:rFonts w:ascii="Times New Roman" w:hAnsi="Times New Roman"/>
        </w:rPr>
        <w:t xml:space="preserve"> </w:t>
      </w:r>
      <w:r w:rsidR="00A84FAE" w:rsidRPr="00EC48A0">
        <w:rPr>
          <w:rFonts w:ascii="Times New Roman" w:hAnsi="Times New Roman"/>
        </w:rPr>
        <w:t>the</w:t>
      </w:r>
      <w:r w:rsidR="00EF75EB" w:rsidRPr="00EC48A0">
        <w:rPr>
          <w:rFonts w:ascii="Times New Roman" w:hAnsi="Times New Roman"/>
        </w:rPr>
        <w:t xml:space="preserve"> </w:t>
      </w:r>
      <w:r w:rsidR="00A84FAE" w:rsidRPr="00EC48A0">
        <w:rPr>
          <w:rFonts w:ascii="Times New Roman" w:hAnsi="Times New Roman"/>
        </w:rPr>
        <w:t>costs</w:t>
      </w:r>
      <w:r w:rsidR="00EF75EB" w:rsidRPr="00EC48A0">
        <w:rPr>
          <w:rFonts w:ascii="Times New Roman" w:hAnsi="Times New Roman"/>
        </w:rPr>
        <w:t xml:space="preserve"> </w:t>
      </w:r>
      <w:r w:rsidR="00A84FAE" w:rsidRPr="00EC48A0">
        <w:rPr>
          <w:rFonts w:ascii="Times New Roman" w:hAnsi="Times New Roman"/>
        </w:rPr>
        <w:t>of</w:t>
      </w:r>
      <w:r w:rsidR="00EF75EB" w:rsidRPr="00EC48A0">
        <w:rPr>
          <w:rFonts w:ascii="Times New Roman" w:hAnsi="Times New Roman"/>
        </w:rPr>
        <w:t xml:space="preserve"> </w:t>
      </w:r>
      <w:r w:rsidR="00A84FAE" w:rsidRPr="00EC48A0">
        <w:rPr>
          <w:rFonts w:ascii="Times New Roman" w:hAnsi="Times New Roman"/>
        </w:rPr>
        <w:t>the</w:t>
      </w:r>
      <w:r w:rsidR="00EF75EB" w:rsidRPr="00EC48A0">
        <w:rPr>
          <w:rFonts w:ascii="Times New Roman" w:hAnsi="Times New Roman"/>
        </w:rPr>
        <w:t xml:space="preserve"> </w:t>
      </w:r>
      <w:r w:rsidR="00A84FAE" w:rsidRPr="00EC48A0">
        <w:rPr>
          <w:rFonts w:ascii="Times New Roman" w:hAnsi="Times New Roman"/>
        </w:rPr>
        <w:t>legal</w:t>
      </w:r>
      <w:r w:rsidR="00EF75EB" w:rsidRPr="00EC48A0">
        <w:rPr>
          <w:rFonts w:ascii="Times New Roman" w:hAnsi="Times New Roman"/>
        </w:rPr>
        <w:t xml:space="preserve"> </w:t>
      </w:r>
      <w:r w:rsidR="00A84FAE" w:rsidRPr="00EC48A0">
        <w:rPr>
          <w:rFonts w:ascii="Times New Roman" w:hAnsi="Times New Roman"/>
        </w:rPr>
        <w:t>assistance</w:t>
      </w:r>
      <w:r w:rsidR="00EF75EB" w:rsidRPr="00EC48A0">
        <w:rPr>
          <w:rFonts w:ascii="Times New Roman" w:hAnsi="Times New Roman"/>
        </w:rPr>
        <w:t xml:space="preserve"> </w:t>
      </w:r>
      <w:r w:rsidR="00A84FAE" w:rsidRPr="00EC48A0">
        <w:rPr>
          <w:rFonts w:ascii="Times New Roman" w:hAnsi="Times New Roman"/>
        </w:rPr>
        <w:t>provided</w:t>
      </w:r>
      <w:r w:rsidR="00EF75EB" w:rsidRPr="00EC48A0">
        <w:rPr>
          <w:rFonts w:ascii="Times New Roman" w:hAnsi="Times New Roman"/>
        </w:rPr>
        <w:t xml:space="preserve"> </w:t>
      </w:r>
      <w:r w:rsidR="00A84FAE" w:rsidRPr="00EC48A0">
        <w:rPr>
          <w:rFonts w:ascii="Times New Roman" w:hAnsi="Times New Roman"/>
        </w:rPr>
        <w:t>to</w:t>
      </w:r>
      <w:r w:rsidR="00EF75EB" w:rsidRPr="00EC48A0">
        <w:rPr>
          <w:rFonts w:ascii="Times New Roman" w:hAnsi="Times New Roman"/>
        </w:rPr>
        <w:t xml:space="preserve"> </w:t>
      </w:r>
      <w:r w:rsidR="00A84FAE" w:rsidRPr="00EC48A0">
        <w:rPr>
          <w:rFonts w:ascii="Times New Roman" w:hAnsi="Times New Roman"/>
        </w:rPr>
        <w:t>the</w:t>
      </w:r>
      <w:r w:rsidR="00EF75EB" w:rsidRPr="00EC48A0">
        <w:rPr>
          <w:rFonts w:ascii="Times New Roman" w:hAnsi="Times New Roman"/>
        </w:rPr>
        <w:t xml:space="preserve"> </w:t>
      </w:r>
      <w:r w:rsidR="00A84FAE" w:rsidRPr="00EC48A0">
        <w:rPr>
          <w:rFonts w:ascii="Times New Roman" w:hAnsi="Times New Roman"/>
        </w:rPr>
        <w:t>respondent</w:t>
      </w:r>
      <w:r w:rsidR="00EF75EB" w:rsidRPr="00EC48A0">
        <w:rPr>
          <w:rFonts w:ascii="Times New Roman" w:hAnsi="Times New Roman"/>
        </w:rPr>
        <w:t xml:space="preserve"> </w:t>
      </w:r>
      <w:r w:rsidR="00A84FAE" w:rsidRPr="00EC48A0">
        <w:rPr>
          <w:rFonts w:ascii="Times New Roman" w:hAnsi="Times New Roman"/>
        </w:rPr>
        <w:t>by</w:t>
      </w:r>
      <w:r w:rsidR="00EF75EB" w:rsidRPr="00EC48A0">
        <w:rPr>
          <w:rFonts w:ascii="Times New Roman" w:hAnsi="Times New Roman"/>
        </w:rPr>
        <w:t xml:space="preserve"> </w:t>
      </w:r>
      <w:r w:rsidR="00A84FAE" w:rsidRPr="00EC48A0">
        <w:rPr>
          <w:rFonts w:ascii="Times New Roman" w:hAnsi="Times New Roman"/>
        </w:rPr>
        <w:t>the</w:t>
      </w:r>
      <w:r w:rsidR="00EF75EB" w:rsidRPr="00EC48A0">
        <w:rPr>
          <w:rFonts w:ascii="Times New Roman" w:hAnsi="Times New Roman"/>
        </w:rPr>
        <w:t xml:space="preserve"> </w:t>
      </w:r>
      <w:r w:rsidR="00A84FAE" w:rsidRPr="00EC48A0">
        <w:rPr>
          <w:rFonts w:ascii="Times New Roman" w:hAnsi="Times New Roman"/>
        </w:rPr>
        <w:t>legal</w:t>
      </w:r>
      <w:r w:rsidR="00EF75EB" w:rsidRPr="00EC48A0">
        <w:rPr>
          <w:rFonts w:ascii="Times New Roman" w:hAnsi="Times New Roman"/>
        </w:rPr>
        <w:t xml:space="preserve"> </w:t>
      </w:r>
      <w:r w:rsidR="00A84FAE" w:rsidRPr="00EC48A0">
        <w:rPr>
          <w:rFonts w:ascii="Times New Roman" w:hAnsi="Times New Roman"/>
        </w:rPr>
        <w:t>practitioners</w:t>
      </w:r>
      <w:r w:rsidR="00EF75EB" w:rsidRPr="00EC48A0">
        <w:rPr>
          <w:rFonts w:ascii="Times New Roman" w:hAnsi="Times New Roman"/>
        </w:rPr>
        <w:t xml:space="preserve"> </w:t>
      </w:r>
      <w:r w:rsidR="00A84FAE" w:rsidRPr="00EC48A0">
        <w:rPr>
          <w:rFonts w:ascii="Times New Roman" w:hAnsi="Times New Roman"/>
        </w:rPr>
        <w:t>on</w:t>
      </w:r>
      <w:r w:rsidR="00EF75EB" w:rsidRPr="00EC48A0">
        <w:rPr>
          <w:rFonts w:ascii="Times New Roman" w:hAnsi="Times New Roman"/>
        </w:rPr>
        <w:t xml:space="preserve"> </w:t>
      </w:r>
      <w:r w:rsidR="00A84FAE" w:rsidRPr="00EC48A0">
        <w:rPr>
          <w:rFonts w:ascii="Times New Roman" w:hAnsi="Times New Roman"/>
        </w:rPr>
        <w:t>a</w:t>
      </w:r>
      <w:r w:rsidR="00EF75EB" w:rsidRPr="00EC48A0">
        <w:rPr>
          <w:rFonts w:ascii="Times New Roman" w:hAnsi="Times New Roman"/>
        </w:rPr>
        <w:t xml:space="preserve"> </w:t>
      </w:r>
      <w:r w:rsidR="00A84FAE" w:rsidRPr="00EC48A0">
        <w:rPr>
          <w:rFonts w:ascii="Times New Roman" w:hAnsi="Times New Roman"/>
        </w:rPr>
        <w:t>pro</w:t>
      </w:r>
      <w:r w:rsidR="00440ED4" w:rsidRPr="00EC48A0">
        <w:rPr>
          <w:rFonts w:ascii="Times New Roman" w:hAnsi="Times New Roman"/>
        </w:rPr>
        <w:t> </w:t>
      </w:r>
      <w:r w:rsidR="00A84FAE" w:rsidRPr="00EC48A0">
        <w:rPr>
          <w:rFonts w:ascii="Times New Roman" w:hAnsi="Times New Roman"/>
        </w:rPr>
        <w:t>bono</w:t>
      </w:r>
      <w:r w:rsidR="00EF75EB" w:rsidRPr="00EC48A0">
        <w:rPr>
          <w:rFonts w:ascii="Times New Roman" w:hAnsi="Times New Roman"/>
        </w:rPr>
        <w:t xml:space="preserve"> </w:t>
      </w:r>
      <w:r w:rsidR="00A84FAE" w:rsidRPr="00EC48A0">
        <w:rPr>
          <w:rFonts w:ascii="Times New Roman" w:hAnsi="Times New Roman"/>
        </w:rPr>
        <w:t>basis,</w:t>
      </w:r>
      <w:r w:rsidR="00EF75EB" w:rsidRPr="00EC48A0">
        <w:rPr>
          <w:rFonts w:ascii="Times New Roman" w:hAnsi="Times New Roman"/>
        </w:rPr>
        <w:t xml:space="preserve"> </w:t>
      </w:r>
      <w:r w:rsidR="00A84FAE" w:rsidRPr="00EC48A0">
        <w:rPr>
          <w:rFonts w:ascii="Times New Roman" w:hAnsi="Times New Roman"/>
        </w:rPr>
        <w:t>as</w:t>
      </w:r>
      <w:r w:rsidR="00EF75EB" w:rsidRPr="00EC48A0">
        <w:rPr>
          <w:rFonts w:ascii="Times New Roman" w:hAnsi="Times New Roman"/>
        </w:rPr>
        <w:t xml:space="preserve"> </w:t>
      </w:r>
      <w:r w:rsidR="00A84FAE" w:rsidRPr="00EC48A0">
        <w:rPr>
          <w:rFonts w:ascii="Times New Roman" w:hAnsi="Times New Roman"/>
        </w:rPr>
        <w:t>if</w:t>
      </w:r>
      <w:r w:rsidR="00EF75EB" w:rsidRPr="00EC48A0">
        <w:rPr>
          <w:rFonts w:ascii="Times New Roman" w:hAnsi="Times New Roman"/>
        </w:rPr>
        <w:t xml:space="preserve"> </w:t>
      </w:r>
      <w:r w:rsidR="00A84FAE" w:rsidRPr="00EC48A0">
        <w:rPr>
          <w:rFonts w:ascii="Times New Roman" w:hAnsi="Times New Roman"/>
        </w:rPr>
        <w:t>the</w:t>
      </w:r>
      <w:r w:rsidR="00EF75EB" w:rsidRPr="00EC48A0">
        <w:rPr>
          <w:rFonts w:ascii="Times New Roman" w:hAnsi="Times New Roman"/>
        </w:rPr>
        <w:t xml:space="preserve"> </w:t>
      </w:r>
      <w:r w:rsidR="00A84FAE" w:rsidRPr="00EC48A0">
        <w:rPr>
          <w:rFonts w:ascii="Times New Roman" w:hAnsi="Times New Roman"/>
        </w:rPr>
        <w:t>legal</w:t>
      </w:r>
      <w:r w:rsidR="00EF75EB" w:rsidRPr="00EC48A0">
        <w:rPr>
          <w:rFonts w:ascii="Times New Roman" w:hAnsi="Times New Roman"/>
        </w:rPr>
        <w:t xml:space="preserve"> </w:t>
      </w:r>
      <w:r w:rsidR="00A84FAE" w:rsidRPr="00EC48A0">
        <w:rPr>
          <w:rFonts w:ascii="Times New Roman" w:hAnsi="Times New Roman"/>
        </w:rPr>
        <w:t>assistance</w:t>
      </w:r>
      <w:r w:rsidR="00E91E4B" w:rsidRPr="00EC48A0">
        <w:rPr>
          <w:rFonts w:ascii="Times New Roman" w:hAnsi="Times New Roman"/>
        </w:rPr>
        <w:t xml:space="preserve"> </w:t>
      </w:r>
      <w:r w:rsidR="009033D8" w:rsidRPr="00EC48A0">
        <w:rPr>
          <w:rFonts w:ascii="Times New Roman" w:hAnsi="Times New Roman"/>
        </w:rPr>
        <w:t xml:space="preserve">had </w:t>
      </w:r>
      <w:r w:rsidR="00A84FAE" w:rsidRPr="00EC48A0">
        <w:rPr>
          <w:rFonts w:ascii="Times New Roman" w:hAnsi="Times New Roman"/>
        </w:rPr>
        <w:t>been</w:t>
      </w:r>
      <w:r w:rsidR="00E91E4B" w:rsidRPr="00EC48A0">
        <w:rPr>
          <w:rFonts w:ascii="Times New Roman" w:hAnsi="Times New Roman"/>
        </w:rPr>
        <w:t xml:space="preserve"> </w:t>
      </w:r>
      <w:r w:rsidR="00A84FAE" w:rsidRPr="00EC48A0">
        <w:rPr>
          <w:rFonts w:ascii="Times New Roman" w:hAnsi="Times New Roman"/>
        </w:rPr>
        <w:t>provided</w:t>
      </w:r>
      <w:r w:rsidR="00E91E4B" w:rsidRPr="00EC48A0">
        <w:rPr>
          <w:rFonts w:ascii="Times New Roman" w:hAnsi="Times New Roman"/>
        </w:rPr>
        <w:t xml:space="preserve"> </w:t>
      </w:r>
      <w:r w:rsidR="00A84FAE" w:rsidRPr="00EC48A0">
        <w:rPr>
          <w:rFonts w:ascii="Times New Roman" w:hAnsi="Times New Roman"/>
        </w:rPr>
        <w:t>by</w:t>
      </w:r>
      <w:r w:rsidR="00E91E4B" w:rsidRPr="00EC48A0">
        <w:rPr>
          <w:rFonts w:ascii="Times New Roman" w:hAnsi="Times New Roman"/>
        </w:rPr>
        <w:t xml:space="preserve"> </w:t>
      </w:r>
      <w:r w:rsidR="00A84FAE" w:rsidRPr="00EC48A0">
        <w:rPr>
          <w:rFonts w:ascii="Times New Roman" w:hAnsi="Times New Roman"/>
        </w:rPr>
        <w:t>the</w:t>
      </w:r>
      <w:r w:rsidR="00E91E4B" w:rsidRPr="00EC48A0">
        <w:rPr>
          <w:rFonts w:ascii="Times New Roman" w:hAnsi="Times New Roman"/>
        </w:rPr>
        <w:t xml:space="preserve"> </w:t>
      </w:r>
      <w:r w:rsidR="00A84FAE" w:rsidRPr="00EC48A0">
        <w:rPr>
          <w:rFonts w:ascii="Times New Roman" w:hAnsi="Times New Roman"/>
        </w:rPr>
        <w:t>legal</w:t>
      </w:r>
      <w:r w:rsidR="00E91E4B" w:rsidRPr="00EC48A0">
        <w:rPr>
          <w:rFonts w:ascii="Times New Roman" w:hAnsi="Times New Roman"/>
        </w:rPr>
        <w:t xml:space="preserve"> </w:t>
      </w:r>
      <w:r w:rsidR="00A84FAE" w:rsidRPr="00EC48A0">
        <w:rPr>
          <w:rFonts w:ascii="Times New Roman" w:hAnsi="Times New Roman"/>
        </w:rPr>
        <w:t>practitioners</w:t>
      </w:r>
      <w:r w:rsidR="00E91E4B" w:rsidRPr="00EC48A0">
        <w:rPr>
          <w:rFonts w:ascii="Times New Roman" w:hAnsi="Times New Roman"/>
        </w:rPr>
        <w:t xml:space="preserve"> </w:t>
      </w:r>
      <w:r w:rsidR="00A84FAE" w:rsidRPr="00EC48A0">
        <w:rPr>
          <w:rFonts w:ascii="Times New Roman" w:hAnsi="Times New Roman"/>
        </w:rPr>
        <w:t>not</w:t>
      </w:r>
      <w:r w:rsidR="00E91E4B" w:rsidRPr="00EC48A0">
        <w:rPr>
          <w:rFonts w:ascii="Times New Roman" w:hAnsi="Times New Roman"/>
        </w:rPr>
        <w:t xml:space="preserve"> </w:t>
      </w:r>
      <w:r w:rsidR="00A84FAE" w:rsidRPr="00EC48A0">
        <w:rPr>
          <w:rFonts w:ascii="Times New Roman" w:hAnsi="Times New Roman"/>
        </w:rPr>
        <w:t>on</w:t>
      </w:r>
      <w:r w:rsidR="00E91E4B" w:rsidRPr="00EC48A0">
        <w:rPr>
          <w:rFonts w:ascii="Times New Roman" w:hAnsi="Times New Roman"/>
        </w:rPr>
        <w:t xml:space="preserve"> </w:t>
      </w:r>
      <w:r w:rsidR="00A84FAE" w:rsidRPr="00EC48A0">
        <w:rPr>
          <w:rFonts w:ascii="Times New Roman" w:hAnsi="Times New Roman"/>
        </w:rPr>
        <w:t>a</w:t>
      </w:r>
      <w:r w:rsidR="00E91E4B" w:rsidRPr="00EC48A0">
        <w:rPr>
          <w:rFonts w:ascii="Times New Roman" w:hAnsi="Times New Roman"/>
        </w:rPr>
        <w:t xml:space="preserve"> </w:t>
      </w:r>
      <w:r w:rsidR="00A84FAE" w:rsidRPr="00EC48A0">
        <w:rPr>
          <w:rFonts w:ascii="Times New Roman" w:hAnsi="Times New Roman"/>
        </w:rPr>
        <w:t>pro</w:t>
      </w:r>
      <w:r w:rsidR="00E91E4B" w:rsidRPr="00EC48A0">
        <w:rPr>
          <w:rFonts w:ascii="Times New Roman" w:hAnsi="Times New Roman"/>
        </w:rPr>
        <w:t xml:space="preserve"> </w:t>
      </w:r>
      <w:r w:rsidR="00A84FAE" w:rsidRPr="00EC48A0">
        <w:rPr>
          <w:rFonts w:ascii="Times New Roman" w:hAnsi="Times New Roman"/>
        </w:rPr>
        <w:t>bono</w:t>
      </w:r>
      <w:r w:rsidR="00E91E4B" w:rsidRPr="00EC48A0">
        <w:rPr>
          <w:rFonts w:ascii="Times New Roman" w:hAnsi="Times New Roman"/>
        </w:rPr>
        <w:t xml:space="preserve"> </w:t>
      </w:r>
      <w:r w:rsidR="00A84FAE" w:rsidRPr="00EC48A0">
        <w:rPr>
          <w:rFonts w:ascii="Times New Roman" w:hAnsi="Times New Roman"/>
        </w:rPr>
        <w:t>basis</w:t>
      </w:r>
      <w:r w:rsidR="00E91E4B" w:rsidRPr="00EC48A0">
        <w:rPr>
          <w:rFonts w:ascii="Times New Roman" w:hAnsi="Times New Roman"/>
        </w:rPr>
        <w:t xml:space="preserve"> </w:t>
      </w:r>
      <w:r w:rsidR="00A84FAE" w:rsidRPr="00EC48A0">
        <w:rPr>
          <w:rFonts w:ascii="Times New Roman" w:hAnsi="Times New Roman"/>
        </w:rPr>
        <w:t>but</w:t>
      </w:r>
      <w:r w:rsidR="00E91E4B" w:rsidRPr="00EC48A0">
        <w:rPr>
          <w:rFonts w:ascii="Times New Roman" w:hAnsi="Times New Roman"/>
        </w:rPr>
        <w:t xml:space="preserve"> </w:t>
      </w:r>
      <w:r w:rsidR="00A84FAE" w:rsidRPr="00EC48A0">
        <w:rPr>
          <w:rFonts w:ascii="Times New Roman" w:hAnsi="Times New Roman"/>
        </w:rPr>
        <w:t>on</w:t>
      </w:r>
      <w:r w:rsidR="00E91E4B" w:rsidRPr="00EC48A0">
        <w:rPr>
          <w:rFonts w:ascii="Times New Roman" w:hAnsi="Times New Roman"/>
        </w:rPr>
        <w:t xml:space="preserve"> </w:t>
      </w:r>
      <w:r w:rsidR="00A84FAE" w:rsidRPr="00EC48A0">
        <w:rPr>
          <w:rFonts w:ascii="Times New Roman" w:hAnsi="Times New Roman"/>
        </w:rPr>
        <w:t>the</w:t>
      </w:r>
      <w:r w:rsidR="00E91E4B" w:rsidRPr="00EC48A0">
        <w:rPr>
          <w:rFonts w:ascii="Times New Roman" w:hAnsi="Times New Roman"/>
        </w:rPr>
        <w:t xml:space="preserve"> </w:t>
      </w:r>
      <w:r w:rsidR="00A84FAE" w:rsidRPr="00EC48A0">
        <w:rPr>
          <w:rFonts w:ascii="Times New Roman" w:hAnsi="Times New Roman"/>
        </w:rPr>
        <w:t>basis</w:t>
      </w:r>
      <w:r w:rsidR="00E91E4B" w:rsidRPr="00EC48A0">
        <w:rPr>
          <w:rFonts w:ascii="Times New Roman" w:hAnsi="Times New Roman"/>
        </w:rPr>
        <w:t xml:space="preserve"> </w:t>
      </w:r>
      <w:r w:rsidR="00A84FAE" w:rsidRPr="00EC48A0">
        <w:rPr>
          <w:rFonts w:ascii="Times New Roman" w:hAnsi="Times New Roman"/>
        </w:rPr>
        <w:t>that</w:t>
      </w:r>
      <w:r w:rsidR="00E91E4B" w:rsidRPr="00EC48A0">
        <w:rPr>
          <w:rFonts w:ascii="Times New Roman" w:hAnsi="Times New Roman"/>
        </w:rPr>
        <w:t xml:space="preserve"> </w:t>
      </w:r>
      <w:r w:rsidR="00A84FAE" w:rsidRPr="00EC48A0">
        <w:rPr>
          <w:rFonts w:ascii="Times New Roman" w:hAnsi="Times New Roman"/>
        </w:rPr>
        <w:t>the</w:t>
      </w:r>
      <w:r w:rsidR="00E91E4B" w:rsidRPr="00EC48A0">
        <w:rPr>
          <w:rFonts w:ascii="Times New Roman" w:hAnsi="Times New Roman"/>
        </w:rPr>
        <w:t xml:space="preserve"> </w:t>
      </w:r>
      <w:r w:rsidR="00A84FAE" w:rsidRPr="00EC48A0">
        <w:rPr>
          <w:rFonts w:ascii="Times New Roman" w:hAnsi="Times New Roman"/>
        </w:rPr>
        <w:t>respondent</w:t>
      </w:r>
      <w:r w:rsidR="00A30EF7" w:rsidRPr="00EC48A0">
        <w:rPr>
          <w:rFonts w:ascii="Times New Roman" w:hAnsi="Times New Roman"/>
        </w:rPr>
        <w:t xml:space="preserve"> </w:t>
      </w:r>
      <w:r w:rsidR="00A84FAE" w:rsidRPr="00EC48A0">
        <w:rPr>
          <w:rFonts w:ascii="Times New Roman" w:hAnsi="Times New Roman"/>
        </w:rPr>
        <w:t>was</w:t>
      </w:r>
      <w:r w:rsidR="00A30EF7" w:rsidRPr="00EC48A0">
        <w:rPr>
          <w:rFonts w:ascii="Times New Roman" w:hAnsi="Times New Roman"/>
        </w:rPr>
        <w:t xml:space="preserve"> </w:t>
      </w:r>
      <w:r w:rsidR="00A84FAE" w:rsidRPr="00EC48A0">
        <w:rPr>
          <w:rFonts w:ascii="Times New Roman" w:hAnsi="Times New Roman"/>
        </w:rPr>
        <w:t>under</w:t>
      </w:r>
      <w:r w:rsidR="00A30EF7" w:rsidRPr="00EC48A0">
        <w:rPr>
          <w:rFonts w:ascii="Times New Roman" w:hAnsi="Times New Roman"/>
        </w:rPr>
        <w:t xml:space="preserve"> </w:t>
      </w:r>
      <w:r w:rsidR="00A84FAE" w:rsidRPr="00EC48A0">
        <w:rPr>
          <w:rFonts w:ascii="Times New Roman" w:hAnsi="Times New Roman"/>
        </w:rPr>
        <w:t>an</w:t>
      </w:r>
      <w:r w:rsidR="00A30EF7" w:rsidRPr="00EC48A0">
        <w:rPr>
          <w:rFonts w:ascii="Times New Roman" w:hAnsi="Times New Roman"/>
        </w:rPr>
        <w:t xml:space="preserve"> </w:t>
      </w:r>
      <w:r w:rsidR="00A84FAE" w:rsidRPr="00EC48A0">
        <w:rPr>
          <w:rFonts w:ascii="Times New Roman" w:hAnsi="Times New Roman"/>
        </w:rPr>
        <w:t>obligation</w:t>
      </w:r>
      <w:r w:rsidR="00A30EF7" w:rsidRPr="00EC48A0">
        <w:rPr>
          <w:rFonts w:ascii="Times New Roman" w:hAnsi="Times New Roman"/>
        </w:rPr>
        <w:t xml:space="preserve"> </w:t>
      </w:r>
      <w:r w:rsidR="00A84FAE" w:rsidRPr="00EC48A0">
        <w:rPr>
          <w:rFonts w:ascii="Times New Roman" w:hAnsi="Times New Roman"/>
        </w:rPr>
        <w:t>to</w:t>
      </w:r>
      <w:r w:rsidR="00A30EF7" w:rsidRPr="00EC48A0">
        <w:rPr>
          <w:rFonts w:ascii="Times New Roman" w:hAnsi="Times New Roman"/>
        </w:rPr>
        <w:t xml:space="preserve"> </w:t>
      </w:r>
      <w:r w:rsidR="00A84FAE" w:rsidRPr="00EC48A0">
        <w:rPr>
          <w:rFonts w:ascii="Times New Roman" w:hAnsi="Times New Roman"/>
        </w:rPr>
        <w:t>pay</w:t>
      </w:r>
      <w:r w:rsidR="00A30EF7" w:rsidRPr="00EC48A0">
        <w:rPr>
          <w:rFonts w:ascii="Times New Roman" w:hAnsi="Times New Roman"/>
        </w:rPr>
        <w:t xml:space="preserve"> </w:t>
      </w:r>
      <w:r w:rsidR="00A84FAE" w:rsidRPr="00EC48A0">
        <w:rPr>
          <w:rFonts w:ascii="Times New Roman" w:hAnsi="Times New Roman"/>
        </w:rPr>
        <w:t>for</w:t>
      </w:r>
      <w:r w:rsidR="00A30EF7" w:rsidRPr="00EC48A0">
        <w:rPr>
          <w:rFonts w:ascii="Times New Roman" w:hAnsi="Times New Roman"/>
        </w:rPr>
        <w:t xml:space="preserve"> </w:t>
      </w:r>
      <w:r w:rsidR="00A84FAE" w:rsidRPr="00EC48A0">
        <w:rPr>
          <w:rFonts w:ascii="Times New Roman" w:hAnsi="Times New Roman"/>
        </w:rPr>
        <w:t>the</w:t>
      </w:r>
      <w:r w:rsidR="00A30EF7" w:rsidRPr="00EC48A0">
        <w:rPr>
          <w:rFonts w:ascii="Times New Roman" w:hAnsi="Times New Roman"/>
        </w:rPr>
        <w:t xml:space="preserve"> </w:t>
      </w:r>
      <w:r w:rsidR="00A84FAE" w:rsidRPr="00EC48A0">
        <w:rPr>
          <w:rFonts w:ascii="Times New Roman" w:hAnsi="Times New Roman"/>
        </w:rPr>
        <w:t>legal</w:t>
      </w:r>
      <w:r w:rsidR="00A30EF7" w:rsidRPr="00EC48A0">
        <w:rPr>
          <w:rFonts w:ascii="Times New Roman" w:hAnsi="Times New Roman"/>
        </w:rPr>
        <w:t xml:space="preserve"> </w:t>
      </w:r>
      <w:r w:rsidR="00A84FAE" w:rsidRPr="00EC48A0">
        <w:rPr>
          <w:rFonts w:ascii="Times New Roman" w:hAnsi="Times New Roman"/>
        </w:rPr>
        <w:t>assistance</w:t>
      </w:r>
      <w:r w:rsidR="00A30EF7" w:rsidRPr="00EC48A0">
        <w:rPr>
          <w:rFonts w:ascii="Times New Roman" w:hAnsi="Times New Roman"/>
        </w:rPr>
        <w:t xml:space="preserve"> </w:t>
      </w:r>
      <w:r w:rsidR="00A84FAE" w:rsidRPr="00EC48A0">
        <w:rPr>
          <w:rFonts w:ascii="Times New Roman" w:hAnsi="Times New Roman"/>
        </w:rPr>
        <w:t>in</w:t>
      </w:r>
      <w:r w:rsidR="00A30EF7" w:rsidRPr="00EC48A0">
        <w:rPr>
          <w:rFonts w:ascii="Times New Roman" w:hAnsi="Times New Roman"/>
        </w:rPr>
        <w:t xml:space="preserve"> </w:t>
      </w:r>
      <w:r w:rsidR="00A84FAE" w:rsidRPr="00EC48A0">
        <w:rPr>
          <w:rFonts w:ascii="Times New Roman" w:hAnsi="Times New Roman"/>
        </w:rPr>
        <w:t>the</w:t>
      </w:r>
      <w:r w:rsidR="00A30EF7" w:rsidRPr="00EC48A0">
        <w:rPr>
          <w:rFonts w:ascii="Times New Roman" w:hAnsi="Times New Roman"/>
        </w:rPr>
        <w:t xml:space="preserve"> </w:t>
      </w:r>
      <w:r w:rsidR="00A84FAE" w:rsidRPr="00EC48A0">
        <w:rPr>
          <w:rFonts w:ascii="Times New Roman" w:hAnsi="Times New Roman"/>
        </w:rPr>
        <w:t>ordinary</w:t>
      </w:r>
      <w:r w:rsidR="00A30EF7" w:rsidRPr="00EC48A0">
        <w:rPr>
          <w:rFonts w:ascii="Times New Roman" w:hAnsi="Times New Roman"/>
        </w:rPr>
        <w:t xml:space="preserve"> </w:t>
      </w:r>
      <w:r w:rsidR="00A84FAE" w:rsidRPr="00EC48A0">
        <w:rPr>
          <w:rFonts w:ascii="Times New Roman" w:hAnsi="Times New Roman"/>
        </w:rPr>
        <w:t>way;</w:t>
      </w:r>
      <w:r w:rsidR="00771919" w:rsidRPr="00EC48A0">
        <w:rPr>
          <w:rFonts w:ascii="Times New Roman" w:hAnsi="Times New Roman"/>
        </w:rPr>
        <w:t xml:space="preserve"> </w:t>
      </w:r>
      <w:r w:rsidR="00A84FAE" w:rsidRPr="00EC48A0">
        <w:rPr>
          <w:rFonts w:ascii="Times New Roman" w:hAnsi="Times New Roman"/>
        </w:rPr>
        <w:t>and</w:t>
      </w:r>
    </w:p>
    <w:p w14:paraId="3D8B280D" w14:textId="1D059394" w:rsidR="00771919" w:rsidRPr="00EC48A0" w:rsidRDefault="009033D8" w:rsidP="00EC48A0">
      <w:pPr>
        <w:pStyle w:val="LRHangingMore"/>
        <w:spacing w:before="0" w:after="260" w:line="280" w:lineRule="exact"/>
        <w:ind w:left="2880" w:right="0"/>
        <w:jc w:val="both"/>
        <w:rPr>
          <w:rFonts w:ascii="Times New Roman" w:hAnsi="Times New Roman"/>
        </w:rPr>
      </w:pPr>
      <w:r w:rsidRPr="00EC48A0">
        <w:rPr>
          <w:rFonts w:ascii="Times New Roman" w:hAnsi="Times New Roman"/>
        </w:rPr>
        <w:t>(</w:t>
      </w:r>
      <w:r w:rsidR="00BC4108" w:rsidRPr="00EC48A0">
        <w:rPr>
          <w:rFonts w:ascii="Times New Roman" w:hAnsi="Times New Roman"/>
        </w:rPr>
        <w:t>ii</w:t>
      </w:r>
      <w:r w:rsidRPr="00EC48A0">
        <w:rPr>
          <w:rFonts w:ascii="Times New Roman" w:hAnsi="Times New Roman"/>
        </w:rPr>
        <w:t>)</w:t>
      </w:r>
      <w:r w:rsidR="00A30EF7" w:rsidRPr="00EC48A0">
        <w:rPr>
          <w:rFonts w:ascii="Times New Roman" w:hAnsi="Times New Roman"/>
        </w:rPr>
        <w:tab/>
      </w:r>
      <w:r w:rsidR="00A84FAE" w:rsidRPr="00EC48A0">
        <w:rPr>
          <w:rFonts w:ascii="Times New Roman" w:hAnsi="Times New Roman"/>
        </w:rPr>
        <w:t>costs</w:t>
      </w:r>
      <w:r w:rsidR="00A30EF7" w:rsidRPr="00EC48A0">
        <w:rPr>
          <w:rFonts w:ascii="Times New Roman" w:hAnsi="Times New Roman"/>
        </w:rPr>
        <w:t xml:space="preserve"> </w:t>
      </w:r>
      <w:r w:rsidR="00A84FAE" w:rsidRPr="00EC48A0">
        <w:rPr>
          <w:rFonts w:ascii="Times New Roman" w:hAnsi="Times New Roman"/>
        </w:rPr>
        <w:t>payable</w:t>
      </w:r>
      <w:r w:rsidR="00A30EF7" w:rsidRPr="00EC48A0">
        <w:rPr>
          <w:rFonts w:ascii="Times New Roman" w:hAnsi="Times New Roman"/>
        </w:rPr>
        <w:t xml:space="preserve"> </w:t>
      </w:r>
      <w:r w:rsidR="00A84FAE" w:rsidRPr="00EC48A0">
        <w:rPr>
          <w:rFonts w:ascii="Times New Roman" w:hAnsi="Times New Roman"/>
        </w:rPr>
        <w:t>in</w:t>
      </w:r>
      <w:r w:rsidR="00A30EF7" w:rsidRPr="00EC48A0">
        <w:rPr>
          <w:rFonts w:ascii="Times New Roman" w:hAnsi="Times New Roman"/>
        </w:rPr>
        <w:t xml:space="preserve"> </w:t>
      </w:r>
      <w:r w:rsidR="00A84FAE" w:rsidRPr="00EC48A0">
        <w:rPr>
          <w:rFonts w:ascii="Times New Roman" w:hAnsi="Times New Roman"/>
        </w:rPr>
        <w:t>respect</w:t>
      </w:r>
      <w:r w:rsidR="00A30EF7" w:rsidRPr="00EC48A0">
        <w:rPr>
          <w:rFonts w:ascii="Times New Roman" w:hAnsi="Times New Roman"/>
        </w:rPr>
        <w:t xml:space="preserve"> </w:t>
      </w:r>
      <w:r w:rsidR="00A84FAE" w:rsidRPr="00EC48A0">
        <w:rPr>
          <w:rFonts w:ascii="Times New Roman" w:hAnsi="Times New Roman"/>
        </w:rPr>
        <w:t>of</w:t>
      </w:r>
      <w:r w:rsidR="00A30EF7" w:rsidRPr="00EC48A0">
        <w:rPr>
          <w:rFonts w:ascii="Times New Roman" w:hAnsi="Times New Roman"/>
        </w:rPr>
        <w:t xml:space="preserve"> </w:t>
      </w:r>
      <w:r w:rsidR="00A84FAE" w:rsidRPr="00EC48A0">
        <w:rPr>
          <w:rFonts w:ascii="Times New Roman" w:hAnsi="Times New Roman"/>
        </w:rPr>
        <w:t>legal</w:t>
      </w:r>
      <w:r w:rsidR="00A30EF7" w:rsidRPr="00EC48A0">
        <w:rPr>
          <w:rFonts w:ascii="Times New Roman" w:hAnsi="Times New Roman"/>
        </w:rPr>
        <w:t xml:space="preserve"> </w:t>
      </w:r>
      <w:r w:rsidR="00A84FAE" w:rsidRPr="00EC48A0">
        <w:rPr>
          <w:rFonts w:ascii="Times New Roman" w:hAnsi="Times New Roman"/>
        </w:rPr>
        <w:t>assistance</w:t>
      </w:r>
      <w:r w:rsidR="00A30EF7" w:rsidRPr="00EC48A0">
        <w:rPr>
          <w:rFonts w:ascii="Times New Roman" w:hAnsi="Times New Roman"/>
        </w:rPr>
        <w:t xml:space="preserve"> </w:t>
      </w:r>
      <w:r w:rsidR="00A84FAE" w:rsidRPr="00EC48A0">
        <w:rPr>
          <w:rFonts w:ascii="Times New Roman" w:hAnsi="Times New Roman"/>
        </w:rPr>
        <w:t>given</w:t>
      </w:r>
      <w:r w:rsidR="00A30EF7" w:rsidRPr="00EC48A0">
        <w:rPr>
          <w:rFonts w:ascii="Times New Roman" w:hAnsi="Times New Roman"/>
        </w:rPr>
        <w:t xml:space="preserve"> </w:t>
      </w:r>
      <w:r w:rsidR="00A84FAE" w:rsidRPr="00EC48A0">
        <w:rPr>
          <w:rFonts w:ascii="Times New Roman" w:hAnsi="Times New Roman"/>
        </w:rPr>
        <w:t>on</w:t>
      </w:r>
      <w:r w:rsidR="00A30EF7" w:rsidRPr="00EC48A0">
        <w:rPr>
          <w:rFonts w:ascii="Times New Roman" w:hAnsi="Times New Roman"/>
        </w:rPr>
        <w:t xml:space="preserve"> </w:t>
      </w:r>
      <w:r w:rsidR="00A84FAE" w:rsidRPr="00EC48A0">
        <w:rPr>
          <w:rFonts w:ascii="Times New Roman" w:hAnsi="Times New Roman"/>
        </w:rPr>
        <w:t>a</w:t>
      </w:r>
      <w:r w:rsidR="00A30EF7" w:rsidRPr="00EC48A0">
        <w:rPr>
          <w:rFonts w:ascii="Times New Roman" w:hAnsi="Times New Roman"/>
        </w:rPr>
        <w:t xml:space="preserve"> </w:t>
      </w:r>
      <w:r w:rsidR="00A84FAE" w:rsidRPr="00EC48A0">
        <w:rPr>
          <w:rFonts w:ascii="Times New Roman" w:hAnsi="Times New Roman"/>
        </w:rPr>
        <w:t>pro</w:t>
      </w:r>
      <w:r w:rsidR="00D81C05" w:rsidRPr="00EC48A0">
        <w:rPr>
          <w:rFonts w:ascii="Times New Roman" w:hAnsi="Times New Roman"/>
        </w:rPr>
        <w:t> </w:t>
      </w:r>
      <w:r w:rsidR="00A84FAE" w:rsidRPr="00EC48A0">
        <w:rPr>
          <w:rFonts w:ascii="Times New Roman" w:hAnsi="Times New Roman"/>
        </w:rPr>
        <w:t>bono</w:t>
      </w:r>
      <w:r w:rsidR="00A30EF7" w:rsidRPr="00EC48A0">
        <w:rPr>
          <w:rFonts w:ascii="Times New Roman" w:hAnsi="Times New Roman"/>
        </w:rPr>
        <w:t xml:space="preserve"> </w:t>
      </w:r>
      <w:r w:rsidR="00A84FAE" w:rsidRPr="00EC48A0">
        <w:rPr>
          <w:rFonts w:ascii="Times New Roman" w:hAnsi="Times New Roman"/>
        </w:rPr>
        <w:t>basis</w:t>
      </w:r>
      <w:r w:rsidR="00A30EF7" w:rsidRPr="00EC48A0">
        <w:rPr>
          <w:rFonts w:ascii="Times New Roman" w:hAnsi="Times New Roman"/>
        </w:rPr>
        <w:t xml:space="preserve"> </w:t>
      </w:r>
      <w:r w:rsidR="00A84FAE" w:rsidRPr="00EC48A0">
        <w:rPr>
          <w:rFonts w:ascii="Times New Roman" w:hAnsi="Times New Roman"/>
        </w:rPr>
        <w:t>are</w:t>
      </w:r>
      <w:r w:rsidR="00A30EF7" w:rsidRPr="00EC48A0">
        <w:rPr>
          <w:rFonts w:ascii="Times New Roman" w:hAnsi="Times New Roman"/>
        </w:rPr>
        <w:t xml:space="preserve"> </w:t>
      </w:r>
      <w:r w:rsidR="00A84FAE" w:rsidRPr="00EC48A0">
        <w:rPr>
          <w:rFonts w:ascii="Times New Roman" w:hAnsi="Times New Roman"/>
        </w:rPr>
        <w:t>payable</w:t>
      </w:r>
      <w:r w:rsidR="00A30EF7" w:rsidRPr="00EC48A0">
        <w:rPr>
          <w:rFonts w:ascii="Times New Roman" w:hAnsi="Times New Roman"/>
        </w:rPr>
        <w:t xml:space="preserve"> </w:t>
      </w:r>
      <w:r w:rsidR="00A84FAE" w:rsidRPr="00EC48A0">
        <w:rPr>
          <w:rFonts w:ascii="Times New Roman" w:hAnsi="Times New Roman"/>
        </w:rPr>
        <w:t>directly</w:t>
      </w:r>
      <w:r w:rsidR="00A30EF7" w:rsidRPr="00EC48A0">
        <w:rPr>
          <w:rFonts w:ascii="Times New Roman" w:hAnsi="Times New Roman"/>
        </w:rPr>
        <w:t xml:space="preserve"> </w:t>
      </w:r>
      <w:r w:rsidR="00A84FAE" w:rsidRPr="00EC48A0">
        <w:rPr>
          <w:rFonts w:ascii="Times New Roman" w:hAnsi="Times New Roman"/>
        </w:rPr>
        <w:t>to</w:t>
      </w:r>
      <w:r w:rsidR="00A30EF7" w:rsidRPr="00EC48A0">
        <w:rPr>
          <w:rFonts w:ascii="Times New Roman" w:hAnsi="Times New Roman"/>
        </w:rPr>
        <w:t xml:space="preserve"> </w:t>
      </w:r>
      <w:r w:rsidR="00A84FAE" w:rsidRPr="00EC48A0">
        <w:rPr>
          <w:rFonts w:ascii="Times New Roman" w:hAnsi="Times New Roman"/>
        </w:rPr>
        <w:t>the</w:t>
      </w:r>
      <w:r w:rsidR="00A30EF7" w:rsidRPr="00EC48A0">
        <w:rPr>
          <w:rFonts w:ascii="Times New Roman" w:hAnsi="Times New Roman"/>
        </w:rPr>
        <w:t xml:space="preserve"> </w:t>
      </w:r>
      <w:r w:rsidR="00A84FAE" w:rsidRPr="00EC48A0">
        <w:rPr>
          <w:rFonts w:ascii="Times New Roman" w:hAnsi="Times New Roman"/>
        </w:rPr>
        <w:t>legal</w:t>
      </w:r>
      <w:r w:rsidR="00A30EF7" w:rsidRPr="00EC48A0">
        <w:rPr>
          <w:rFonts w:ascii="Times New Roman" w:hAnsi="Times New Roman"/>
        </w:rPr>
        <w:t xml:space="preserve"> </w:t>
      </w:r>
      <w:r w:rsidR="00A84FAE" w:rsidRPr="00EC48A0">
        <w:rPr>
          <w:rFonts w:ascii="Times New Roman" w:hAnsi="Times New Roman"/>
        </w:rPr>
        <w:t>practitioners.</w:t>
      </w:r>
    </w:p>
    <w:p w14:paraId="5802D986" w14:textId="77777777" w:rsidR="006037F3" w:rsidRDefault="001257C6" w:rsidP="00EC48A0">
      <w:pPr>
        <w:pStyle w:val="leftright"/>
        <w:spacing w:before="0" w:after="260" w:line="280" w:lineRule="exact"/>
        <w:ind w:left="1440" w:right="0" w:hanging="720"/>
        <w:jc w:val="both"/>
        <w:rPr>
          <w:rFonts w:ascii="Times New Roman" w:hAnsi="Times New Roman"/>
        </w:rPr>
      </w:pPr>
      <w:r w:rsidRPr="00EC48A0">
        <w:rPr>
          <w:rFonts w:ascii="Times New Roman" w:hAnsi="Times New Roman"/>
        </w:rPr>
        <w:t>3.</w:t>
      </w:r>
      <w:r w:rsidR="00771919" w:rsidRPr="00EC48A0">
        <w:rPr>
          <w:rFonts w:ascii="Times New Roman" w:hAnsi="Times New Roman"/>
        </w:rPr>
        <w:tab/>
      </w:r>
      <w:r w:rsidR="00A84FAE" w:rsidRPr="00EC48A0">
        <w:rPr>
          <w:rFonts w:ascii="Times New Roman" w:hAnsi="Times New Roman"/>
        </w:rPr>
        <w:t>The</w:t>
      </w:r>
      <w:r w:rsidR="00771919" w:rsidRPr="00EC48A0">
        <w:rPr>
          <w:rFonts w:ascii="Times New Roman" w:hAnsi="Times New Roman"/>
        </w:rPr>
        <w:t xml:space="preserve"> </w:t>
      </w:r>
      <w:r w:rsidR="00A84FAE" w:rsidRPr="00EC48A0">
        <w:rPr>
          <w:rFonts w:ascii="Times New Roman" w:hAnsi="Times New Roman"/>
        </w:rPr>
        <w:t>respo</w:t>
      </w:r>
      <w:r w:rsidR="00771919" w:rsidRPr="00EC48A0">
        <w:rPr>
          <w:rFonts w:ascii="Times New Roman" w:hAnsi="Times New Roman"/>
        </w:rPr>
        <w:t>ndents</w:t>
      </w:r>
      <w:r w:rsidR="00AE2315" w:rsidRPr="00EC48A0">
        <w:rPr>
          <w:rFonts w:ascii="Times New Roman" w:hAnsi="Times New Roman"/>
        </w:rPr>
        <w:t xml:space="preserve"> </w:t>
      </w:r>
      <w:r w:rsidR="00CD2838" w:rsidRPr="00EC48A0">
        <w:rPr>
          <w:rFonts w:ascii="Times New Roman" w:hAnsi="Times New Roman"/>
        </w:rPr>
        <w:t>pay</w:t>
      </w:r>
      <w:r w:rsidR="001A4737" w:rsidRPr="00EC48A0">
        <w:rPr>
          <w:rFonts w:ascii="Times New Roman" w:hAnsi="Times New Roman"/>
        </w:rPr>
        <w:t xml:space="preserve"> the appellant's costs.</w:t>
      </w:r>
    </w:p>
    <w:p w14:paraId="1BBDD2AD" w14:textId="77777777" w:rsidR="006037F3" w:rsidRDefault="006037F3" w:rsidP="00EC48A0">
      <w:pPr>
        <w:pStyle w:val="leftright"/>
        <w:spacing w:before="0" w:after="260" w:line="280" w:lineRule="exact"/>
        <w:ind w:left="1440" w:right="0" w:hanging="720"/>
        <w:jc w:val="both"/>
        <w:rPr>
          <w:rFonts w:ascii="Times New Roman" w:hAnsi="Times New Roman"/>
        </w:rPr>
        <w:sectPr w:rsidR="006037F3" w:rsidSect="0077674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8D1739B" w14:textId="77777777" w:rsidR="006037F3" w:rsidRPr="00256C02" w:rsidRDefault="006037F3" w:rsidP="006037F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56C02">
        <w:rPr>
          <w:rFonts w:ascii="Times New Roman" w:hAnsi="Times New Roman"/>
        </w:rPr>
        <w:lastRenderedPageBreak/>
        <w:t xml:space="preserve">GORDON J.   The detail of the relevant background is set out in the reasons of other members of the Court. I agree that the appeal must be allowed. I write separately because I consider that the respondent lenders' </w:t>
      </w:r>
      <w:r w:rsidRPr="00256C02" w:rsidDel="0065227F">
        <w:rPr>
          <w:rFonts w:ascii="Times New Roman" w:hAnsi="Times New Roman"/>
        </w:rPr>
        <w:t xml:space="preserve">system of conduct </w:t>
      </w:r>
      <w:r w:rsidRPr="00256C02">
        <w:rPr>
          <w:rFonts w:ascii="Times New Roman" w:hAnsi="Times New Roman"/>
        </w:rPr>
        <w:t xml:space="preserve">was contrary to s 12CB of the </w:t>
      </w:r>
      <w:r w:rsidRPr="00256C02">
        <w:rPr>
          <w:rFonts w:ascii="Times New Roman" w:hAnsi="Times New Roman"/>
          <w:i/>
        </w:rPr>
        <w:t>Australian Securities and Investments Commission Act 2001</w:t>
      </w:r>
      <w:r w:rsidRPr="00256C02">
        <w:rPr>
          <w:rFonts w:ascii="Times New Roman" w:hAnsi="Times New Roman"/>
        </w:rPr>
        <w:t xml:space="preserve"> (Cth) ("the </w:t>
      </w:r>
      <w:r w:rsidRPr="00256C02">
        <w:rPr>
          <w:rFonts w:ascii="Times New Roman" w:hAnsi="Times New Roman"/>
          <w:i/>
        </w:rPr>
        <w:t>ASIC Act</w:t>
      </w:r>
      <w:r w:rsidRPr="00256C02">
        <w:rPr>
          <w:rFonts w:ascii="Times New Roman" w:hAnsi="Times New Roman"/>
        </w:rPr>
        <w:t>").</w:t>
      </w:r>
    </w:p>
    <w:p w14:paraId="064CC665" w14:textId="77777777" w:rsidR="006037F3" w:rsidRPr="00256C02" w:rsidRDefault="006037F3" w:rsidP="00256C02">
      <w:pPr>
        <w:pStyle w:val="HeadingL1"/>
        <w:spacing w:after="260" w:line="280" w:lineRule="exact"/>
        <w:ind w:right="0"/>
        <w:jc w:val="both"/>
        <w:rPr>
          <w:rFonts w:ascii="Times New Roman" w:hAnsi="Times New Roman"/>
        </w:rPr>
      </w:pPr>
      <w:r w:rsidRPr="00256C02">
        <w:rPr>
          <w:rFonts w:ascii="Times New Roman" w:hAnsi="Times New Roman"/>
        </w:rPr>
        <w:t xml:space="preserve">Section 12CB of the </w:t>
      </w:r>
      <w:r w:rsidRPr="00256C02">
        <w:rPr>
          <w:rFonts w:ascii="Times New Roman" w:hAnsi="Times New Roman"/>
          <w:i/>
        </w:rPr>
        <w:t>ASIC Act</w:t>
      </w:r>
      <w:r w:rsidRPr="00256C02">
        <w:rPr>
          <w:rFonts w:ascii="Times New Roman" w:hAnsi="Times New Roman"/>
        </w:rPr>
        <w:t xml:space="preserve"> – system of conduct</w:t>
      </w:r>
    </w:p>
    <w:p w14:paraId="4A63D64D"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Section 12CB(1)(a) of the </w:t>
      </w:r>
      <w:r w:rsidRPr="00256C02">
        <w:rPr>
          <w:rFonts w:ascii="Times New Roman" w:hAnsi="Times New Roman"/>
          <w:i/>
        </w:rPr>
        <w:t>ASIC Act</w:t>
      </w:r>
      <w:r w:rsidRPr="00256C02">
        <w:rPr>
          <w:rFonts w:ascii="Times New Roman" w:hAnsi="Times New Roman"/>
        </w:rPr>
        <w:t xml:space="preserve"> prohibits persons from engaging "in</w:t>
      </w:r>
      <w:r>
        <w:rPr>
          <w:rFonts w:ascii="Times New Roman" w:hAnsi="Times New Roman"/>
        </w:rPr>
        <w:t> </w:t>
      </w:r>
      <w:r w:rsidRPr="00256C02">
        <w:rPr>
          <w:rFonts w:ascii="Times New Roman" w:hAnsi="Times New Roman"/>
        </w:rPr>
        <w:t>conduct that is, in</w:t>
      </w:r>
      <w:r>
        <w:rPr>
          <w:rFonts w:ascii="Times New Roman" w:hAnsi="Times New Roman"/>
        </w:rPr>
        <w:t xml:space="preserve"> </w:t>
      </w:r>
      <w:r w:rsidRPr="00256C02">
        <w:rPr>
          <w:rFonts w:ascii="Times New Roman" w:hAnsi="Times New Roman"/>
        </w:rPr>
        <w:t>all the circumstances, unconscionable", in connection with, relevantly, the supply of financial services in trade or commerce. Section</w:t>
      </w:r>
      <w:r>
        <w:rPr>
          <w:rFonts w:ascii="Times New Roman" w:hAnsi="Times New Roman"/>
        </w:rPr>
        <w:t> </w:t>
      </w:r>
      <w:r w:rsidRPr="00256C02">
        <w:rPr>
          <w:rFonts w:ascii="Times New Roman" w:hAnsi="Times New Roman"/>
        </w:rPr>
        <w:t>12CB(4)(b) makes clear that the prohibition in s 12</w:t>
      </w:r>
      <w:proofErr w:type="gramStart"/>
      <w:r w:rsidRPr="00256C02">
        <w:rPr>
          <w:rFonts w:ascii="Times New Roman" w:hAnsi="Times New Roman"/>
        </w:rPr>
        <w:t>CB(</w:t>
      </w:r>
      <w:proofErr w:type="gramEnd"/>
      <w:r w:rsidRPr="00256C02">
        <w:rPr>
          <w:rFonts w:ascii="Times New Roman" w:hAnsi="Times New Roman"/>
        </w:rPr>
        <w:t xml:space="preserve">1) can apply "to a </w:t>
      </w:r>
      <w:r w:rsidRPr="00256C02">
        <w:rPr>
          <w:rFonts w:ascii="Times New Roman" w:hAnsi="Times New Roman"/>
          <w:i/>
        </w:rPr>
        <w:t xml:space="preserve">system of conduct </w:t>
      </w:r>
      <w:r w:rsidRPr="00256C02">
        <w:rPr>
          <w:rFonts w:ascii="Times New Roman" w:hAnsi="Times New Roman"/>
        </w:rPr>
        <w:t>or pattern of behaviour, whether or not a particular individual is identified as having been disadvantaged by the conduct or behaviour" (emphasis</w:t>
      </w:r>
      <w:r>
        <w:rPr>
          <w:rFonts w:ascii="Times New Roman" w:hAnsi="Times New Roman"/>
        </w:rPr>
        <w:t> </w:t>
      </w:r>
      <w:r w:rsidRPr="00256C02">
        <w:rPr>
          <w:rFonts w:ascii="Times New Roman" w:hAnsi="Times New Roman"/>
        </w:rPr>
        <w:t>added). "A 'system' connotes an internal method of working; a 'pattern' connotes the external observation of events"</w:t>
      </w:r>
      <w:r w:rsidRPr="00256C02">
        <w:rPr>
          <w:rStyle w:val="FootnoteReference"/>
          <w:rFonts w:ascii="Times New Roman" w:hAnsi="Times New Roman"/>
          <w:sz w:val="24"/>
        </w:rPr>
        <w:footnoteReference w:id="82"/>
      </w:r>
      <w:r w:rsidRPr="00256C02">
        <w:rPr>
          <w:rFonts w:ascii="Times New Roman" w:hAnsi="Times New Roman"/>
        </w:rPr>
        <w:t>. Because a specific person need not be identified, "special disadvantage of an individual is not a necessary component of the prohibition"</w:t>
      </w:r>
      <w:r w:rsidRPr="00256C02">
        <w:rPr>
          <w:rStyle w:val="FootnoteReference"/>
          <w:rFonts w:ascii="Times New Roman" w:hAnsi="Times New Roman"/>
          <w:sz w:val="24"/>
        </w:rPr>
        <w:footnoteReference w:id="83"/>
      </w:r>
      <w:r w:rsidRPr="00256C02">
        <w:rPr>
          <w:rFonts w:ascii="Times New Roman" w:hAnsi="Times New Roman"/>
        </w:rPr>
        <w:t>.</w:t>
      </w:r>
    </w:p>
    <w:p w14:paraId="732117FE"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"Unconscionable" is not defined in the </w:t>
      </w:r>
      <w:r w:rsidRPr="00256C02">
        <w:rPr>
          <w:rFonts w:ascii="Times New Roman" w:hAnsi="Times New Roman"/>
          <w:i/>
        </w:rPr>
        <w:t>ASIC Act</w:t>
      </w:r>
      <w:r w:rsidRPr="00256C02">
        <w:rPr>
          <w:rFonts w:ascii="Times New Roman" w:hAnsi="Times New Roman"/>
        </w:rPr>
        <w:t>. Unconscionable conduct under s 12CB "is not limited by the unwritten law of the States and Territories relating to unconscionable conduct"</w:t>
      </w:r>
      <w:r w:rsidRPr="00256C02">
        <w:rPr>
          <w:rStyle w:val="FootnoteReference"/>
          <w:rFonts w:ascii="Times New Roman" w:hAnsi="Times New Roman"/>
          <w:sz w:val="24"/>
        </w:rPr>
        <w:footnoteReference w:id="84"/>
      </w:r>
      <w:r w:rsidRPr="00256C02">
        <w:rPr>
          <w:rFonts w:ascii="Times New Roman" w:hAnsi="Times New Roman"/>
        </w:rPr>
        <w:t>, a clear reference to the equitable doctrine of unconscionable conduct</w:t>
      </w:r>
      <w:r w:rsidRPr="00256C02">
        <w:rPr>
          <w:rStyle w:val="FootnoteReference"/>
          <w:rFonts w:ascii="Times New Roman" w:hAnsi="Times New Roman"/>
          <w:sz w:val="24"/>
        </w:rPr>
        <w:footnoteReference w:id="85"/>
      </w:r>
      <w:r w:rsidRPr="00256C02">
        <w:rPr>
          <w:rFonts w:ascii="Times New Roman" w:hAnsi="Times New Roman"/>
        </w:rPr>
        <w:t xml:space="preserve">. The statutory conception of unconscionability is </w:t>
      </w:r>
      <w:proofErr w:type="gramStart"/>
      <w:r w:rsidRPr="00256C02">
        <w:rPr>
          <w:rFonts w:ascii="Times New Roman" w:hAnsi="Times New Roman"/>
        </w:rPr>
        <w:t>more broad</w:t>
      </w:r>
      <w:proofErr w:type="gramEnd"/>
      <w:r w:rsidRPr="00256C02">
        <w:rPr>
          <w:rFonts w:ascii="Times New Roman" w:hAnsi="Times New Roman"/>
        </w:rPr>
        <w:noBreakHyphen/>
        <w:t>ranging than the equitable principles; it does something more</w:t>
      </w:r>
      <w:r w:rsidRPr="00256C02">
        <w:rPr>
          <w:rStyle w:val="FootnoteReference"/>
          <w:rFonts w:ascii="Times New Roman" w:hAnsi="Times New Roman"/>
          <w:sz w:val="24"/>
        </w:rPr>
        <w:footnoteReference w:id="86"/>
      </w:r>
      <w:r w:rsidRPr="00256C02">
        <w:rPr>
          <w:rFonts w:ascii="Times New Roman" w:hAnsi="Times New Roman"/>
        </w:rPr>
        <w:t>.</w:t>
      </w:r>
    </w:p>
    <w:p w14:paraId="57A26B2D"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Section 12CB of the </w:t>
      </w:r>
      <w:r w:rsidRPr="00256C02">
        <w:rPr>
          <w:rFonts w:ascii="Times New Roman" w:hAnsi="Times New Roman"/>
          <w:i/>
        </w:rPr>
        <w:t>ASIC Act</w:t>
      </w:r>
      <w:r w:rsidRPr="00256C02">
        <w:rPr>
          <w:rFonts w:ascii="Times New Roman" w:hAnsi="Times New Roman"/>
        </w:rPr>
        <w:t>, like equity, requires a focus on all the circumstances</w:t>
      </w:r>
      <w:r w:rsidRPr="00256C02">
        <w:rPr>
          <w:rStyle w:val="FootnoteReference"/>
          <w:rFonts w:ascii="Times New Roman" w:hAnsi="Times New Roman"/>
          <w:sz w:val="24"/>
        </w:rPr>
        <w:footnoteReference w:id="87"/>
      </w:r>
      <w:r w:rsidRPr="00256C02">
        <w:rPr>
          <w:rFonts w:ascii="Times New Roman" w:hAnsi="Times New Roman"/>
        </w:rPr>
        <w:t xml:space="preserve">. The court must </w:t>
      </w:r>
      <w:proofErr w:type="gramStart"/>
      <w:r w:rsidRPr="00256C02">
        <w:rPr>
          <w:rFonts w:ascii="Times New Roman" w:hAnsi="Times New Roman"/>
        </w:rPr>
        <w:t>take into account</w:t>
      </w:r>
      <w:proofErr w:type="gramEnd"/>
      <w:r w:rsidRPr="00256C02">
        <w:rPr>
          <w:rFonts w:ascii="Times New Roman" w:hAnsi="Times New Roman"/>
        </w:rPr>
        <w:t xml:space="preserve"> each of the considerations </w:t>
      </w:r>
      <w:r w:rsidRPr="00256C02">
        <w:rPr>
          <w:rFonts w:ascii="Times New Roman" w:hAnsi="Times New Roman"/>
        </w:rPr>
        <w:lastRenderedPageBreak/>
        <w:t>identified in s 12CC if and to the extent that they apply in the circumstances</w:t>
      </w:r>
      <w:r w:rsidRPr="00256C02">
        <w:rPr>
          <w:rStyle w:val="FootnoteReference"/>
          <w:rFonts w:ascii="Times New Roman" w:hAnsi="Times New Roman"/>
          <w:sz w:val="24"/>
        </w:rPr>
        <w:footnoteReference w:id="88"/>
      </w:r>
      <w:r w:rsidRPr="00256C02">
        <w:rPr>
          <w:rFonts w:ascii="Times New Roman" w:hAnsi="Times New Roman"/>
        </w:rPr>
        <w:t>. The</w:t>
      </w:r>
      <w:r>
        <w:rPr>
          <w:rFonts w:ascii="Times New Roman" w:hAnsi="Times New Roman"/>
        </w:rPr>
        <w:t> </w:t>
      </w:r>
      <w:r w:rsidRPr="00256C02">
        <w:rPr>
          <w:rFonts w:ascii="Times New Roman" w:hAnsi="Times New Roman"/>
        </w:rPr>
        <w:t>considerations listed in s 12CC are non</w:t>
      </w:r>
      <w:r w:rsidRPr="00256C02">
        <w:rPr>
          <w:rFonts w:ascii="Times New Roman" w:hAnsi="Times New Roman"/>
        </w:rPr>
        <w:noBreakHyphen/>
        <w:t>exhaustive, but they provide "express</w:t>
      </w:r>
      <w:r>
        <w:rPr>
          <w:rFonts w:ascii="Times New Roman" w:hAnsi="Times New Roman"/>
        </w:rPr>
        <w:t> </w:t>
      </w:r>
      <w:r w:rsidRPr="00256C02">
        <w:rPr>
          <w:rFonts w:ascii="Times New Roman" w:hAnsi="Times New Roman"/>
        </w:rPr>
        <w:t>guidance as to the norms and values that are relevant to inform the meaning of unconscionability and its practical application"</w:t>
      </w:r>
      <w:r w:rsidRPr="00256C02">
        <w:rPr>
          <w:rStyle w:val="FootnoteReference"/>
          <w:rFonts w:ascii="Times New Roman" w:hAnsi="Times New Roman"/>
          <w:sz w:val="24"/>
        </w:rPr>
        <w:footnoteReference w:id="89"/>
      </w:r>
      <w:r w:rsidRPr="00256C02">
        <w:rPr>
          <w:rFonts w:ascii="Times New Roman" w:hAnsi="Times New Roman"/>
        </w:rPr>
        <w:t>. They assist in "setting</w:t>
      </w:r>
      <w:r>
        <w:rPr>
          <w:rFonts w:ascii="Times New Roman" w:hAnsi="Times New Roman"/>
        </w:rPr>
        <w:t> </w:t>
      </w:r>
      <w:r w:rsidRPr="00256C02">
        <w:rPr>
          <w:rFonts w:ascii="Times New Roman" w:hAnsi="Times New Roman"/>
        </w:rPr>
        <w:t>a framework for the values that lie behind the notion of conscience identified in s</w:t>
      </w:r>
      <w:r>
        <w:rPr>
          <w:rFonts w:ascii="Times New Roman" w:hAnsi="Times New Roman"/>
        </w:rPr>
        <w:t xml:space="preserve"> </w:t>
      </w:r>
      <w:r w:rsidRPr="00256C02">
        <w:rPr>
          <w:rFonts w:ascii="Times New Roman" w:hAnsi="Times New Roman"/>
        </w:rPr>
        <w:t>12CB"</w:t>
      </w:r>
      <w:r w:rsidRPr="00256C02">
        <w:rPr>
          <w:rStyle w:val="FootnoteReference"/>
          <w:rFonts w:ascii="Times New Roman" w:hAnsi="Times New Roman"/>
          <w:sz w:val="24"/>
        </w:rPr>
        <w:footnoteReference w:id="90"/>
      </w:r>
      <w:r w:rsidRPr="00256C02">
        <w:rPr>
          <w:rFonts w:ascii="Times New Roman" w:hAnsi="Times New Roman"/>
        </w:rPr>
        <w:t>. "The</w:t>
      </w:r>
      <w:r>
        <w:rPr>
          <w:rFonts w:ascii="Times New Roman" w:hAnsi="Times New Roman"/>
        </w:rPr>
        <w:t xml:space="preserve"> </w:t>
      </w:r>
      <w:r w:rsidRPr="00256C02">
        <w:rPr>
          <w:rFonts w:ascii="Times New Roman" w:hAnsi="Times New Roman"/>
        </w:rPr>
        <w:t>assessment of whether conduct is unconscionable within the meaning of s 12CB involves the evaluation of facts by reference to the values and norms recognised by the statute, and thus, as it has been said, a</w:t>
      </w:r>
      <w:r>
        <w:rPr>
          <w:rFonts w:ascii="Times New Roman" w:hAnsi="Times New Roman"/>
        </w:rPr>
        <w:t> </w:t>
      </w:r>
      <w:r w:rsidRPr="00256C02">
        <w:rPr>
          <w:rFonts w:ascii="Times New Roman" w:hAnsi="Times New Roman"/>
        </w:rPr>
        <w:t>normative standard of conscience which is permeated with accepted and acceptable community standards. It is by reference to those generally accepted standards and community values that each matter must be judged"</w:t>
      </w:r>
      <w:r w:rsidRPr="00256C02">
        <w:rPr>
          <w:rStyle w:val="FootnoteReference"/>
          <w:rFonts w:ascii="Times New Roman" w:hAnsi="Times New Roman"/>
          <w:sz w:val="24"/>
        </w:rPr>
        <w:footnoteReference w:id="91"/>
      </w:r>
      <w:r w:rsidRPr="00256C02">
        <w:rPr>
          <w:rFonts w:ascii="Times New Roman" w:hAnsi="Times New Roman"/>
        </w:rPr>
        <w:t>.</w:t>
      </w:r>
    </w:p>
    <w:p w14:paraId="0CF67996"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Put in different terms, the s 12CC considerations assist in evaluating whether the conduct in question is "outside societal norms of acceptable commercial behaviour [so] as to warrant condemnation as conduct that is offensive to conscience"</w:t>
      </w:r>
      <w:r w:rsidRPr="00256C02">
        <w:rPr>
          <w:rStyle w:val="FootnoteReference"/>
          <w:rFonts w:ascii="Times New Roman" w:hAnsi="Times New Roman"/>
          <w:sz w:val="24"/>
        </w:rPr>
        <w:footnoteReference w:id="92"/>
      </w:r>
      <w:r w:rsidRPr="00256C02">
        <w:rPr>
          <w:rFonts w:ascii="Times New Roman" w:hAnsi="Times New Roman"/>
        </w:rPr>
        <w:t>. A</w:t>
      </w:r>
      <w:r>
        <w:rPr>
          <w:rFonts w:ascii="Times New Roman" w:hAnsi="Times New Roman"/>
        </w:rPr>
        <w:t xml:space="preserve"> </w:t>
      </w:r>
      <w:r w:rsidRPr="00256C02">
        <w:rPr>
          <w:rFonts w:ascii="Times New Roman" w:hAnsi="Times New Roman"/>
        </w:rPr>
        <w:t>court should take the serious step of denouncing conduct as unconscionable only when it is satisfied that the conduct is "offensive to a conscience informed by a sense of what is right and proper according to values which can be recognised by the court to prevail within contemporary Australian society"</w:t>
      </w:r>
      <w:r w:rsidRPr="00256C02">
        <w:rPr>
          <w:rStyle w:val="FootnoteReference"/>
          <w:rFonts w:ascii="Times New Roman" w:hAnsi="Times New Roman"/>
          <w:sz w:val="24"/>
        </w:rPr>
        <w:footnoteReference w:id="93"/>
      </w:r>
      <w:r w:rsidRPr="00256C02">
        <w:rPr>
          <w:rFonts w:ascii="Times New Roman" w:hAnsi="Times New Roman"/>
        </w:rPr>
        <w:t>.</w:t>
      </w:r>
    </w:p>
    <w:p w14:paraId="66A339F8"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It was common ground that the lenders' conduct in issue in these proceedings was subject to the prohibition in s 12</w:t>
      </w:r>
      <w:proofErr w:type="gramStart"/>
      <w:r w:rsidRPr="00256C02">
        <w:rPr>
          <w:rFonts w:ascii="Times New Roman" w:hAnsi="Times New Roman"/>
        </w:rPr>
        <w:t>CB(</w:t>
      </w:r>
      <w:proofErr w:type="gramEnd"/>
      <w:r w:rsidRPr="00256C02">
        <w:rPr>
          <w:rFonts w:ascii="Times New Roman" w:hAnsi="Times New Roman"/>
        </w:rPr>
        <w:t xml:space="preserve">1) of the </w:t>
      </w:r>
      <w:r w:rsidRPr="00256C02">
        <w:rPr>
          <w:rFonts w:ascii="Times New Roman" w:hAnsi="Times New Roman"/>
          <w:i/>
        </w:rPr>
        <w:t>ASIC Act</w:t>
      </w:r>
      <w:r w:rsidRPr="00256C02">
        <w:rPr>
          <w:rFonts w:ascii="Times New Roman" w:hAnsi="Times New Roman"/>
        </w:rPr>
        <w:t>. The appellant, Mr Stubbings, contended that the lenders'</w:t>
      </w:r>
      <w:r w:rsidRPr="00256C02" w:rsidDel="00702AD9">
        <w:rPr>
          <w:rFonts w:ascii="Times New Roman" w:hAnsi="Times New Roman"/>
        </w:rPr>
        <w:t xml:space="preserve"> </w:t>
      </w:r>
      <w:r w:rsidRPr="00256C02">
        <w:rPr>
          <w:rFonts w:ascii="Times New Roman" w:hAnsi="Times New Roman"/>
        </w:rPr>
        <w:t xml:space="preserve">system of lending money secured against a guarantor's property, suspecting that the guarantor had no income or capacity to service the loan, yet deliberately avoiding information as to the </w:t>
      </w:r>
      <w:r w:rsidRPr="00256C02">
        <w:rPr>
          <w:rFonts w:ascii="Times New Roman" w:hAnsi="Times New Roman"/>
        </w:rPr>
        <w:lastRenderedPageBreak/>
        <w:t xml:space="preserve">guarantor's financial or personal circumstances in order to "immunise" themselves from knowledge of vulnerability, was, in all the circumstances, unconscionable conduct in connection with the supply of financial services in trade or commerce contrary to s 12CB of the </w:t>
      </w:r>
      <w:r w:rsidRPr="00256C02">
        <w:rPr>
          <w:rFonts w:ascii="Times New Roman" w:hAnsi="Times New Roman"/>
          <w:i/>
        </w:rPr>
        <w:t>ASIC Act</w:t>
      </w:r>
      <w:r w:rsidRPr="00256C02">
        <w:rPr>
          <w:rFonts w:ascii="Times New Roman" w:hAnsi="Times New Roman"/>
        </w:rPr>
        <w:t>. I</w:t>
      </w:r>
      <w:r>
        <w:rPr>
          <w:rFonts w:ascii="Times New Roman" w:hAnsi="Times New Roman"/>
        </w:rPr>
        <w:t xml:space="preserve"> </w:t>
      </w:r>
      <w:r w:rsidRPr="00256C02">
        <w:rPr>
          <w:rFonts w:ascii="Times New Roman" w:hAnsi="Times New Roman"/>
        </w:rPr>
        <w:t>agree.</w:t>
      </w:r>
    </w:p>
    <w:p w14:paraId="1EF3CE11"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Lenders and Mr Jeruzalski</w:t>
      </w:r>
    </w:p>
    <w:p w14:paraId="0A351608"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Mr Jeruzalski is a solicitor and partner of </w:t>
      </w:r>
      <w:proofErr w:type="spellStart"/>
      <w:r w:rsidRPr="00256C02">
        <w:rPr>
          <w:rFonts w:ascii="Times New Roman" w:hAnsi="Times New Roman"/>
        </w:rPr>
        <w:t>Ajzensztat</w:t>
      </w:r>
      <w:proofErr w:type="spellEnd"/>
      <w:r w:rsidRPr="00256C02">
        <w:rPr>
          <w:rFonts w:ascii="Times New Roman" w:hAnsi="Times New Roman"/>
        </w:rPr>
        <w:t xml:space="preserve"> </w:t>
      </w:r>
      <w:proofErr w:type="spellStart"/>
      <w:r w:rsidRPr="00256C02">
        <w:rPr>
          <w:rFonts w:ascii="Times New Roman" w:hAnsi="Times New Roman"/>
        </w:rPr>
        <w:t>Jeruzalski</w:t>
      </w:r>
      <w:proofErr w:type="spellEnd"/>
      <w:r w:rsidRPr="00256C02">
        <w:rPr>
          <w:rFonts w:ascii="Times New Roman" w:hAnsi="Times New Roman"/>
        </w:rPr>
        <w:t xml:space="preserve"> &amp; Co ("AJ</w:t>
      </w:r>
      <w:r>
        <w:rPr>
          <w:rFonts w:ascii="Times New Roman" w:hAnsi="Times New Roman"/>
        </w:rPr>
        <w:t> </w:t>
      </w:r>
      <w:r w:rsidRPr="00256C02">
        <w:rPr>
          <w:rFonts w:ascii="Times New Roman" w:hAnsi="Times New Roman"/>
        </w:rPr>
        <w:t>Lawyers"). AJ Lawyers "acts for clients who wish to lend money". At</w:t>
      </w:r>
      <w:r>
        <w:rPr>
          <w:rFonts w:ascii="Times New Roman" w:hAnsi="Times New Roman"/>
        </w:rPr>
        <w:t xml:space="preserve"> </w:t>
      </w:r>
      <w:r w:rsidRPr="00256C02">
        <w:rPr>
          <w:rFonts w:ascii="Times New Roman" w:hAnsi="Times New Roman"/>
        </w:rPr>
        <w:t xml:space="preserve">the time of trial, Mr Jeruzalski had 10 to 15 clients who wished to lend money and used the services of AJ Lawyers to do so. The lenders conceded in this Court that "[Mr] Jeruzalski's conduct [was] attributable to the lenders as their agent". In other words, Mr Jeruzalski's system was the lenders' system. </w:t>
      </w:r>
    </w:p>
    <w:p w14:paraId="319AD8B2"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Typical loan terms</w:t>
      </w:r>
    </w:p>
    <w:p w14:paraId="1C77E973"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Mr Jeruzalski prepared and advanced all loans in the same manner using the same pro forma documents. Mr Jeruzalski would only make loans to companies, ostensibly for business purposes, to avoid the operation of the </w:t>
      </w:r>
      <w:r w:rsidRPr="00256C02">
        <w:rPr>
          <w:rFonts w:ascii="Times New Roman" w:hAnsi="Times New Roman"/>
          <w:i/>
        </w:rPr>
        <w:t xml:space="preserve">National Credit Code </w:t>
      </w:r>
      <w:r w:rsidRPr="00256C02">
        <w:rPr>
          <w:rFonts w:ascii="Times New Roman" w:hAnsi="Times New Roman"/>
        </w:rPr>
        <w:t>(Cth)</w:t>
      </w:r>
      <w:r w:rsidRPr="00256C02">
        <w:rPr>
          <w:rStyle w:val="FootnoteReference"/>
          <w:rFonts w:ascii="Times New Roman" w:hAnsi="Times New Roman"/>
          <w:sz w:val="24"/>
        </w:rPr>
        <w:footnoteReference w:id="94"/>
      </w:r>
      <w:r w:rsidRPr="00256C02">
        <w:rPr>
          <w:rFonts w:ascii="Times New Roman" w:hAnsi="Times New Roman"/>
        </w:rPr>
        <w:t>. He required the loans to be guaranteed by an individual, with</w:t>
      </w:r>
      <w:r>
        <w:rPr>
          <w:rFonts w:ascii="Times New Roman" w:hAnsi="Times New Roman"/>
        </w:rPr>
        <w:t> </w:t>
      </w:r>
      <w:r w:rsidRPr="00256C02">
        <w:rPr>
          <w:rFonts w:ascii="Times New Roman" w:hAnsi="Times New Roman"/>
        </w:rPr>
        <w:t xml:space="preserve">the guarantee secured by a mortgage over real property held by the guarantor. He would not make loans that were covered by the </w:t>
      </w:r>
      <w:r w:rsidRPr="00256C02">
        <w:rPr>
          <w:rFonts w:ascii="Times New Roman" w:hAnsi="Times New Roman"/>
          <w:i/>
        </w:rPr>
        <w:t>National Credit Code</w:t>
      </w:r>
      <w:r w:rsidRPr="00256C02">
        <w:rPr>
          <w:rFonts w:ascii="Times New Roman" w:hAnsi="Times New Roman"/>
        </w:rPr>
        <w:t>.</w:t>
      </w:r>
    </w:p>
    <w:p w14:paraId="3F43B0E0"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r>
      <w:r w:rsidRPr="00256C02" w:rsidDel="00060F1B">
        <w:rPr>
          <w:rFonts w:ascii="Times New Roman" w:hAnsi="Times New Roman"/>
        </w:rPr>
        <w:t>T</w:t>
      </w:r>
      <w:r w:rsidRPr="00256C02">
        <w:rPr>
          <w:rFonts w:ascii="Times New Roman" w:hAnsi="Times New Roman"/>
        </w:rPr>
        <w:t xml:space="preserve">he loans were </w:t>
      </w:r>
      <w:r w:rsidRPr="00256C02" w:rsidDel="00AE539E">
        <w:rPr>
          <w:rFonts w:ascii="Times New Roman" w:hAnsi="Times New Roman"/>
        </w:rPr>
        <w:t>short</w:t>
      </w:r>
      <w:r w:rsidRPr="00256C02">
        <w:rPr>
          <w:rFonts w:ascii="Times New Roman" w:hAnsi="Times New Roman"/>
        </w:rPr>
        <w:t xml:space="preserve">-term, </w:t>
      </w:r>
      <w:r w:rsidRPr="00256C02" w:rsidDel="00AE539E">
        <w:rPr>
          <w:rFonts w:ascii="Times New Roman" w:hAnsi="Times New Roman"/>
        </w:rPr>
        <w:t>interest</w:t>
      </w:r>
      <w:r w:rsidRPr="00256C02">
        <w:rPr>
          <w:rFonts w:ascii="Times New Roman" w:hAnsi="Times New Roman"/>
        </w:rPr>
        <w:t>-only loans; around 90</w:t>
      </w:r>
      <w:r>
        <w:rPr>
          <w:rFonts w:ascii="Times New Roman" w:hAnsi="Times New Roman"/>
        </w:rPr>
        <w:t xml:space="preserve"> </w:t>
      </w:r>
      <w:r w:rsidRPr="00256C02">
        <w:rPr>
          <w:rFonts w:ascii="Times New Roman" w:hAnsi="Times New Roman"/>
        </w:rPr>
        <w:t>per cent of the loans arranged by AJ Lawyers were for a maximum of 12 months and a minimum of between four and six months; and most of the loans were "around the million</w:t>
      </w:r>
      <w:r w:rsidRPr="00256C02">
        <w:rPr>
          <w:rFonts w:ascii="Times New Roman" w:hAnsi="Times New Roman"/>
        </w:rPr>
        <w:noBreakHyphen/>
        <w:t>dollar mark". The</w:t>
      </w:r>
      <w:r>
        <w:rPr>
          <w:rFonts w:ascii="Times New Roman" w:hAnsi="Times New Roman"/>
        </w:rPr>
        <w:t xml:space="preserve"> </w:t>
      </w:r>
      <w:r w:rsidRPr="00256C02">
        <w:rPr>
          <w:rFonts w:ascii="Times New Roman" w:hAnsi="Times New Roman"/>
        </w:rPr>
        <w:t>interest rates on a loan secured by a first mortgage were high.</w:t>
      </w:r>
    </w:p>
    <w:p w14:paraId="22E561E2"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Before suggesting to his clients that they lend money, Mr Jeruzalski obtained a valuation of the proposed security, which</w:t>
      </w:r>
      <w:r>
        <w:rPr>
          <w:rFonts w:ascii="Times New Roman" w:hAnsi="Times New Roman"/>
        </w:rPr>
        <w:t xml:space="preserve"> </w:t>
      </w:r>
      <w:r w:rsidRPr="00256C02">
        <w:rPr>
          <w:rFonts w:ascii="Times New Roman" w:hAnsi="Times New Roman"/>
        </w:rPr>
        <w:t>was normally provided by the intermediary seeking the loan on behalf of the borrower. The maximum loan</w:t>
      </w:r>
      <w:r>
        <w:rPr>
          <w:rFonts w:ascii="Times New Roman" w:hAnsi="Times New Roman"/>
        </w:rPr>
        <w:noBreakHyphen/>
      </w:r>
      <w:r w:rsidRPr="00256C02">
        <w:rPr>
          <w:rFonts w:ascii="Times New Roman" w:hAnsi="Times New Roman"/>
        </w:rPr>
        <w:t>to</w:t>
      </w:r>
      <w:r>
        <w:rPr>
          <w:rFonts w:ascii="Times New Roman" w:hAnsi="Times New Roman"/>
        </w:rPr>
        <w:noBreakHyphen/>
      </w:r>
      <w:r w:rsidRPr="00256C02">
        <w:rPr>
          <w:rFonts w:ascii="Times New Roman" w:hAnsi="Times New Roman"/>
        </w:rPr>
        <w:t>value ratio for a loan secured by a first mortgage was typically two-thirds.</w:t>
      </w:r>
    </w:p>
    <w:p w14:paraId="54E8F324"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Assumptions made about borrowers and guarantors</w:t>
      </w:r>
    </w:p>
    <w:p w14:paraId="07C49655"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Mr Jeruzalski assumed that anyone seeking a loan from one of his clients had no income, because if they </w:t>
      </w:r>
      <w:proofErr w:type="gramStart"/>
      <w:r w:rsidRPr="00256C02">
        <w:rPr>
          <w:rFonts w:ascii="Times New Roman" w:hAnsi="Times New Roman"/>
        </w:rPr>
        <w:t>did</w:t>
      </w:r>
      <w:proofErr w:type="gramEnd"/>
      <w:r w:rsidRPr="00256C02">
        <w:rPr>
          <w:rFonts w:ascii="Times New Roman" w:hAnsi="Times New Roman"/>
        </w:rPr>
        <w:t xml:space="preserve"> they would not need to come to him. In effect, he assumed that the loans were "unbankable", in the sense that the personal and financial circumstances of anyone seeking a loan from one of his clients were such that they would not be able to access funds from a traditional financial lender.</w:t>
      </w:r>
    </w:p>
    <w:p w14:paraId="1BC7DDB9"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lastRenderedPageBreak/>
        <w:t>Acknowledged risks</w:t>
      </w:r>
    </w:p>
    <w:p w14:paraId="5D91C770"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An </w:t>
      </w:r>
      <w:r w:rsidRPr="00256C02" w:rsidDel="00165FD7">
        <w:rPr>
          <w:rFonts w:ascii="Times New Roman" w:hAnsi="Times New Roman"/>
        </w:rPr>
        <w:t>interest-only</w:t>
      </w:r>
      <w:r w:rsidRPr="00256C02">
        <w:rPr>
          <w:rFonts w:ascii="Times New Roman" w:hAnsi="Times New Roman"/>
        </w:rPr>
        <w:t>, asset-based, 12-month loan of around $1</w:t>
      </w:r>
      <w:r>
        <w:rPr>
          <w:rFonts w:ascii="Times New Roman" w:hAnsi="Times New Roman"/>
        </w:rPr>
        <w:t xml:space="preserve"> </w:t>
      </w:r>
      <w:r w:rsidRPr="00256C02">
        <w:rPr>
          <w:rFonts w:ascii="Times New Roman" w:hAnsi="Times New Roman"/>
        </w:rPr>
        <w:t>million at a high rate of interest will always be, at the very least, an</w:t>
      </w:r>
      <w:r>
        <w:rPr>
          <w:rFonts w:ascii="Times New Roman" w:hAnsi="Times New Roman"/>
        </w:rPr>
        <w:t xml:space="preserve"> </w:t>
      </w:r>
      <w:r w:rsidRPr="00256C02">
        <w:rPr>
          <w:rFonts w:ascii="Times New Roman" w:hAnsi="Times New Roman"/>
        </w:rPr>
        <w:t>extremely risky product for a person who has no income and is unbankable. Mr Jeruzalski was aware that a loan of this kind could be "a</w:t>
      </w:r>
      <w:r>
        <w:rPr>
          <w:rFonts w:ascii="Times New Roman" w:hAnsi="Times New Roman"/>
        </w:rPr>
        <w:t xml:space="preserve"> </w:t>
      </w:r>
      <w:r w:rsidRPr="00256C02">
        <w:rPr>
          <w:rFonts w:ascii="Times New Roman" w:hAnsi="Times New Roman"/>
        </w:rPr>
        <w:t>dangerous product in the hands of the wrong person".</w:t>
      </w:r>
    </w:p>
    <w:p w14:paraId="3C9D0D99"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Lack of information about borrowers and guarantors</w:t>
      </w:r>
    </w:p>
    <w:p w14:paraId="701F6E5C"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Mr Jeruzalski did not require application forms from borrowers. He did not "seek income particulars" or "look at the income of the [borrower]". Mr Jeruzalski had no interest in the ability of the borrower (the</w:t>
      </w:r>
      <w:r>
        <w:rPr>
          <w:rFonts w:ascii="Times New Roman" w:hAnsi="Times New Roman"/>
        </w:rPr>
        <w:t xml:space="preserve"> </w:t>
      </w:r>
      <w:r w:rsidRPr="00256C02">
        <w:rPr>
          <w:rFonts w:ascii="Times New Roman" w:hAnsi="Times New Roman"/>
        </w:rPr>
        <w:t>company) or the guarantor (the</w:t>
      </w:r>
      <w:r>
        <w:rPr>
          <w:rFonts w:ascii="Times New Roman" w:hAnsi="Times New Roman"/>
        </w:rPr>
        <w:t> </w:t>
      </w:r>
      <w:r w:rsidRPr="00256C02">
        <w:rPr>
          <w:rFonts w:ascii="Times New Roman" w:hAnsi="Times New Roman"/>
        </w:rPr>
        <w:t>individual) to service the loan and was only concerned with the sufficiency of the security to meet repayment of capital and accrued interest. Mr Jeruzalski checked that proposed guarantors and directors of proposed borrowers were not bankrupt, but he otherwise "[gave] no weight to the ability of the borrower or guarantor to repay the loan, other than from the mortgaged security".</w:t>
      </w:r>
    </w:p>
    <w:p w14:paraId="00D9C014"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He did not run credit checks: if the borrower was a registered corporation, that satisfied AJ</w:t>
      </w:r>
      <w:r>
        <w:rPr>
          <w:rFonts w:ascii="Times New Roman" w:hAnsi="Times New Roman"/>
        </w:rPr>
        <w:t xml:space="preserve"> </w:t>
      </w:r>
      <w:r w:rsidRPr="00256C02">
        <w:rPr>
          <w:rFonts w:ascii="Times New Roman" w:hAnsi="Times New Roman"/>
        </w:rPr>
        <w:t xml:space="preserve">Lawyers' requirements. Mr Jeruzalski did not make any inquiries into whether borrowers (or guarantors) had any assets other than the proffered security. And despite the requirement that loans be "for business purposes", Mr Jeruzalski's evidence was that his practice was </w:t>
      </w:r>
      <w:r w:rsidRPr="00256C02">
        <w:rPr>
          <w:rFonts w:ascii="Times New Roman" w:hAnsi="Times New Roman"/>
          <w:i/>
        </w:rPr>
        <w:t>not</w:t>
      </w:r>
      <w:r w:rsidRPr="00256C02">
        <w:rPr>
          <w:rFonts w:ascii="Times New Roman" w:hAnsi="Times New Roman"/>
        </w:rPr>
        <w:t xml:space="preserve"> to ask what the actual purpose of the loan was.</w:t>
      </w:r>
    </w:p>
    <w:p w14:paraId="3CAA6E19"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As Mr Jeruzalski would only make loans that were guaranteed and secured by a mortgage over real property held by a guarantor, he treated the asset position of the borrower (the company) as irrelevant. If the borrower (the company) defaulted, Mr Jeruzalski's practice was to seek judgment against the guarantor and execute on the mortgage given over the guarantor's real property.</w:t>
      </w:r>
    </w:p>
    <w:p w14:paraId="714E7CB6"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Refusal to communicate, meet or negotiate with proposed borrowers</w:t>
      </w:r>
    </w:p>
    <w:p w14:paraId="6B13504B"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Mr Jeruzalski would be approached by intermediaries, such</w:t>
      </w:r>
      <w:r>
        <w:rPr>
          <w:rFonts w:ascii="Times New Roman" w:hAnsi="Times New Roman"/>
        </w:rPr>
        <w:t xml:space="preserve"> </w:t>
      </w:r>
      <w:r w:rsidRPr="00256C02">
        <w:rPr>
          <w:rFonts w:ascii="Times New Roman" w:hAnsi="Times New Roman"/>
        </w:rPr>
        <w:t>as solicitors, accountants and brokers, who were seeking a loan for a client. He</w:t>
      </w:r>
      <w:r>
        <w:rPr>
          <w:rFonts w:ascii="Times New Roman" w:hAnsi="Times New Roman"/>
        </w:rPr>
        <w:t xml:space="preserve"> </w:t>
      </w:r>
      <w:r w:rsidRPr="00256C02">
        <w:rPr>
          <w:rFonts w:ascii="Times New Roman" w:hAnsi="Times New Roman"/>
        </w:rPr>
        <w:t>would not make loans to people who approached him directly. Mr Jeruzalski communicated with borrowers and guarantors exclusively through intermediaries, who assisted him in arranging for loan documentation to be executed.</w:t>
      </w:r>
    </w:p>
    <w:p w14:paraId="5EFC48F3"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Any details that Mr Jeruzalski needed to know about the borrower (the</w:t>
      </w:r>
      <w:r>
        <w:rPr>
          <w:rFonts w:ascii="Times New Roman" w:hAnsi="Times New Roman"/>
        </w:rPr>
        <w:t> </w:t>
      </w:r>
      <w:r w:rsidRPr="00256C02">
        <w:rPr>
          <w:rFonts w:ascii="Times New Roman" w:hAnsi="Times New Roman"/>
        </w:rPr>
        <w:t xml:space="preserve">company) and the guarantor (the individual) were obtained from the intermediary. Mr Jeruzalski's evidence was that "most of the work [he did was] verbal, oral" and he did not keep file notes of his conversations with intermediaries, except in relation to </w:t>
      </w:r>
      <w:proofErr w:type="gramStart"/>
      <w:r w:rsidRPr="00256C02">
        <w:rPr>
          <w:rFonts w:ascii="Times New Roman" w:hAnsi="Times New Roman"/>
        </w:rPr>
        <w:t>title particulars</w:t>
      </w:r>
      <w:proofErr w:type="gramEnd"/>
      <w:r w:rsidRPr="00256C02">
        <w:rPr>
          <w:rFonts w:ascii="Times New Roman" w:hAnsi="Times New Roman"/>
        </w:rPr>
        <w:t>. Mr Jeruzalski did not seek information about what representations, if</w:t>
      </w:r>
      <w:r>
        <w:rPr>
          <w:rFonts w:ascii="Times New Roman" w:hAnsi="Times New Roman"/>
        </w:rPr>
        <w:t xml:space="preserve"> </w:t>
      </w:r>
      <w:r w:rsidRPr="00256C02">
        <w:rPr>
          <w:rFonts w:ascii="Times New Roman" w:hAnsi="Times New Roman"/>
        </w:rPr>
        <w:t>any, the intermediary had made to the borrower or guarantor. Mr Jeruzalski did not interview prospective borrowers or guarantors. He did not meet with them. He</w:t>
      </w:r>
      <w:r>
        <w:rPr>
          <w:rFonts w:ascii="Times New Roman" w:hAnsi="Times New Roman"/>
        </w:rPr>
        <w:t xml:space="preserve"> </w:t>
      </w:r>
      <w:r w:rsidRPr="00256C02">
        <w:rPr>
          <w:rFonts w:ascii="Times New Roman" w:hAnsi="Times New Roman"/>
        </w:rPr>
        <w:t xml:space="preserve">did not negotiate with them. Mr Jeruzalski </w:t>
      </w:r>
      <w:r w:rsidRPr="00256C02">
        <w:rPr>
          <w:rFonts w:ascii="Times New Roman" w:hAnsi="Times New Roman"/>
        </w:rPr>
        <w:lastRenderedPageBreak/>
        <w:t>deliberately avoided knowledge of borrowers' and guarantors' personal and financial circumstances "in case his knowledge would in some way undermine his clients' ability to recover their loans".</w:t>
      </w:r>
    </w:p>
    <w:p w14:paraId="0F878E49"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Mr Jeruzalski's clients and pro forma loan documents</w:t>
      </w:r>
    </w:p>
    <w:p w14:paraId="5E6A5199"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If Mr Jeruzalski considered that the security was satisfactory, he would approach one or more of his clients to ascertain whether they were interested in making a loan. If</w:t>
      </w:r>
      <w:r>
        <w:rPr>
          <w:rFonts w:ascii="Times New Roman" w:hAnsi="Times New Roman"/>
        </w:rPr>
        <w:t xml:space="preserve"> </w:t>
      </w:r>
      <w:r w:rsidRPr="00256C02">
        <w:rPr>
          <w:rFonts w:ascii="Times New Roman" w:hAnsi="Times New Roman"/>
        </w:rPr>
        <w:t>one or more of his clients wished to make a loan, Mr Jeruzalski prepared pro forma documents, which were given to the borrower and guarantor by an intermediary. The</w:t>
      </w:r>
      <w:r>
        <w:rPr>
          <w:rFonts w:ascii="Times New Roman" w:hAnsi="Times New Roman"/>
        </w:rPr>
        <w:t xml:space="preserve"> </w:t>
      </w:r>
      <w:r w:rsidRPr="00256C02">
        <w:rPr>
          <w:rFonts w:ascii="Times New Roman" w:hAnsi="Times New Roman"/>
        </w:rPr>
        <w:t>relevant documents included a deed certifying that the loan was "for business purposes", a "certificate of independent legal advice" in</w:t>
      </w:r>
      <w:r>
        <w:rPr>
          <w:rFonts w:ascii="Times New Roman" w:hAnsi="Times New Roman"/>
        </w:rPr>
        <w:t> </w:t>
      </w:r>
      <w:r w:rsidRPr="00256C02">
        <w:rPr>
          <w:rFonts w:ascii="Times New Roman" w:hAnsi="Times New Roman"/>
        </w:rPr>
        <w:t>respect of the guarantor and a "certificate of independent financial advice" in</w:t>
      </w:r>
      <w:r>
        <w:rPr>
          <w:rFonts w:ascii="Times New Roman" w:hAnsi="Times New Roman"/>
        </w:rPr>
        <w:t> </w:t>
      </w:r>
      <w:r w:rsidRPr="00256C02">
        <w:rPr>
          <w:rFonts w:ascii="Times New Roman" w:hAnsi="Times New Roman"/>
        </w:rPr>
        <w:t>respect of the borrower.</w:t>
      </w:r>
    </w:p>
    <w:p w14:paraId="2FC93492" w14:textId="77777777" w:rsidR="006037F3" w:rsidRPr="00256C02" w:rsidRDefault="006037F3" w:rsidP="00256C02">
      <w:pPr>
        <w:pStyle w:val="HeadingL3"/>
        <w:spacing w:after="260" w:line="280" w:lineRule="exact"/>
        <w:ind w:right="0"/>
        <w:jc w:val="both"/>
        <w:rPr>
          <w:rFonts w:ascii="Times New Roman" w:hAnsi="Times New Roman"/>
        </w:rPr>
      </w:pPr>
      <w:r w:rsidRPr="00256C02">
        <w:rPr>
          <w:rFonts w:ascii="Times New Roman" w:hAnsi="Times New Roman"/>
        </w:rPr>
        <w:t>Deed</w:t>
      </w:r>
    </w:p>
    <w:p w14:paraId="54F2A4A6"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The pro forma deed was </w:t>
      </w:r>
      <w:proofErr w:type="gramStart"/>
      <w:r w:rsidRPr="00256C02">
        <w:rPr>
          <w:rFonts w:ascii="Times New Roman" w:hAnsi="Times New Roman"/>
        </w:rPr>
        <w:t>entered into</w:t>
      </w:r>
      <w:proofErr w:type="gramEnd"/>
      <w:r w:rsidRPr="00256C02">
        <w:rPr>
          <w:rFonts w:ascii="Times New Roman" w:hAnsi="Times New Roman"/>
        </w:rPr>
        <w:t xml:space="preserve"> by the borrower, the</w:t>
      </w:r>
      <w:r>
        <w:rPr>
          <w:rFonts w:ascii="Times New Roman" w:hAnsi="Times New Roman"/>
        </w:rPr>
        <w:t xml:space="preserve"> </w:t>
      </w:r>
      <w:r w:rsidRPr="00256C02">
        <w:rPr>
          <w:rFonts w:ascii="Times New Roman" w:hAnsi="Times New Roman"/>
        </w:rPr>
        <w:t>guarantor and the lenders. In the deed, the borrower</w:t>
      </w:r>
      <w:r w:rsidRPr="00256C02">
        <w:rPr>
          <w:rStyle w:val="FootnoteReference"/>
          <w:rFonts w:ascii="Times New Roman" w:hAnsi="Times New Roman"/>
          <w:sz w:val="24"/>
        </w:rPr>
        <w:footnoteReference w:id="95"/>
      </w:r>
      <w:r w:rsidRPr="00256C02">
        <w:rPr>
          <w:rFonts w:ascii="Times New Roman" w:hAnsi="Times New Roman"/>
        </w:rPr>
        <w:t xml:space="preserve"> and the "guarantor/mortgagor"</w:t>
      </w:r>
      <w:r w:rsidRPr="00256C02">
        <w:rPr>
          <w:rStyle w:val="FootnoteReference"/>
          <w:rFonts w:ascii="Times New Roman" w:hAnsi="Times New Roman"/>
          <w:sz w:val="24"/>
        </w:rPr>
        <w:footnoteReference w:id="96"/>
      </w:r>
      <w:r w:rsidRPr="00256C02">
        <w:rPr>
          <w:rFonts w:ascii="Times New Roman" w:hAnsi="Times New Roman"/>
        </w:rPr>
        <w:t xml:space="preserve"> separately covenanted that the purpose of the loan was: "for business purposes"; not</w:t>
      </w:r>
      <w:r>
        <w:rPr>
          <w:rFonts w:ascii="Times New Roman" w:hAnsi="Times New Roman"/>
        </w:rPr>
        <w:t> </w:t>
      </w:r>
      <w:r w:rsidRPr="00256C02">
        <w:rPr>
          <w:rFonts w:ascii="Times New Roman" w:hAnsi="Times New Roman"/>
        </w:rPr>
        <w:t>"for</w:t>
      </w:r>
      <w:r>
        <w:rPr>
          <w:rFonts w:ascii="Times New Roman" w:hAnsi="Times New Roman"/>
        </w:rPr>
        <w:t> </w:t>
      </w:r>
      <w:r w:rsidRPr="00256C02">
        <w:rPr>
          <w:rFonts w:ascii="Times New Roman" w:hAnsi="Times New Roman"/>
        </w:rPr>
        <w:t>personal, domestic or household purposes"</w:t>
      </w:r>
      <w:r w:rsidRPr="00256C02">
        <w:rPr>
          <w:rStyle w:val="FootnoteReference"/>
          <w:rFonts w:ascii="Times New Roman" w:hAnsi="Times New Roman"/>
          <w:sz w:val="24"/>
        </w:rPr>
        <w:footnoteReference w:id="97"/>
      </w:r>
      <w:r w:rsidRPr="00256C02">
        <w:rPr>
          <w:rFonts w:ascii="Times New Roman" w:hAnsi="Times New Roman"/>
        </w:rPr>
        <w:t>; not "to</w:t>
      </w:r>
      <w:r>
        <w:rPr>
          <w:rFonts w:ascii="Times New Roman" w:hAnsi="Times New Roman"/>
        </w:rPr>
        <w:t xml:space="preserve"> </w:t>
      </w:r>
      <w:r w:rsidRPr="00256C02">
        <w:rPr>
          <w:rFonts w:ascii="Times New Roman" w:hAnsi="Times New Roman"/>
        </w:rPr>
        <w:t>purchase, renovate or improve the residential property for investment purposes"</w:t>
      </w:r>
      <w:r w:rsidRPr="00256C02">
        <w:rPr>
          <w:rStyle w:val="FootnoteReference"/>
          <w:rFonts w:ascii="Times New Roman" w:hAnsi="Times New Roman"/>
          <w:sz w:val="24"/>
        </w:rPr>
        <w:footnoteReference w:id="98"/>
      </w:r>
      <w:r w:rsidRPr="00256C02">
        <w:rPr>
          <w:rFonts w:ascii="Times New Roman" w:hAnsi="Times New Roman"/>
        </w:rPr>
        <w:t>; and not "to</w:t>
      </w:r>
      <w:r>
        <w:rPr>
          <w:rFonts w:ascii="Times New Roman" w:hAnsi="Times New Roman"/>
        </w:rPr>
        <w:t> </w:t>
      </w:r>
      <w:r w:rsidRPr="00256C02">
        <w:rPr>
          <w:rFonts w:ascii="Times New Roman" w:hAnsi="Times New Roman"/>
        </w:rPr>
        <w:t>refinance credit that [had] been provided wholly or predominantly to purchase, renovate or improve residential property for investment purposes"</w:t>
      </w:r>
      <w:r w:rsidRPr="00256C02">
        <w:rPr>
          <w:rStyle w:val="FootnoteReference"/>
          <w:rFonts w:ascii="Times New Roman" w:hAnsi="Times New Roman"/>
          <w:sz w:val="24"/>
        </w:rPr>
        <w:footnoteReference w:id="99"/>
      </w:r>
      <w:r w:rsidRPr="00256C02">
        <w:rPr>
          <w:rFonts w:ascii="Times New Roman" w:hAnsi="Times New Roman"/>
        </w:rPr>
        <w:t xml:space="preserve">. As is apparent, each clause of the deed was drafted to address and avoid the application of the </w:t>
      </w:r>
      <w:r w:rsidRPr="00256C02">
        <w:rPr>
          <w:rFonts w:ascii="Times New Roman" w:hAnsi="Times New Roman"/>
          <w:i/>
        </w:rPr>
        <w:t>National Credit Code</w:t>
      </w:r>
      <w:r w:rsidRPr="00256C02">
        <w:rPr>
          <w:rFonts w:ascii="Times New Roman" w:hAnsi="Times New Roman"/>
        </w:rPr>
        <w:t>.</w:t>
      </w:r>
    </w:p>
    <w:p w14:paraId="7BA34573" w14:textId="77777777" w:rsidR="006037F3" w:rsidRPr="00256C02" w:rsidRDefault="006037F3" w:rsidP="00256C02">
      <w:pPr>
        <w:pStyle w:val="HeadingL3"/>
        <w:spacing w:after="260" w:line="280" w:lineRule="exact"/>
        <w:ind w:right="0"/>
        <w:jc w:val="both"/>
        <w:rPr>
          <w:rFonts w:ascii="Times New Roman" w:hAnsi="Times New Roman"/>
        </w:rPr>
      </w:pPr>
      <w:r w:rsidRPr="00256C02">
        <w:rPr>
          <w:rFonts w:ascii="Times New Roman" w:hAnsi="Times New Roman"/>
        </w:rPr>
        <w:t>Pro forma certificates of independent legal and financial advice</w:t>
      </w:r>
    </w:p>
    <w:p w14:paraId="41AC421E"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As noted above, Mr Jeruzalski prepared pro forma certificates of independent legal and financial advice. The pro forma certificate of independent legal advice, to</w:t>
      </w:r>
      <w:r>
        <w:rPr>
          <w:rFonts w:ascii="Times New Roman" w:hAnsi="Times New Roman"/>
        </w:rPr>
        <w:t xml:space="preserve"> </w:t>
      </w:r>
      <w:r w:rsidRPr="00256C02">
        <w:rPr>
          <w:rFonts w:ascii="Times New Roman" w:hAnsi="Times New Roman"/>
        </w:rPr>
        <w:t>be signed by a solicitor, was addressed to the lenders. Under the heading "Acknowledgement by Guarantor", the</w:t>
      </w:r>
      <w:r>
        <w:rPr>
          <w:rFonts w:ascii="Times New Roman" w:hAnsi="Times New Roman"/>
        </w:rPr>
        <w:t xml:space="preserve"> </w:t>
      </w:r>
      <w:r w:rsidRPr="00256C02">
        <w:rPr>
          <w:rFonts w:ascii="Times New Roman" w:hAnsi="Times New Roman"/>
        </w:rPr>
        <w:t xml:space="preserve">certificate contained a list of questions, which were to be answered by the guarantor writing their reply in the right-hand column. The questions were directed, among other things, to whether the guarantor had received, read and had their solicitor explain the </w:t>
      </w:r>
      <w:r w:rsidRPr="00256C02">
        <w:rPr>
          <w:rFonts w:ascii="Times New Roman" w:hAnsi="Times New Roman"/>
        </w:rPr>
        <w:lastRenderedPageBreak/>
        <w:t>"Security</w:t>
      </w:r>
      <w:r>
        <w:rPr>
          <w:rFonts w:ascii="Times New Roman" w:hAnsi="Times New Roman"/>
        </w:rPr>
        <w:t> </w:t>
      </w:r>
      <w:r w:rsidRPr="00256C02">
        <w:rPr>
          <w:rFonts w:ascii="Times New Roman" w:hAnsi="Times New Roman"/>
        </w:rPr>
        <w:t>Documents" (the Loan Agreement and Debenture Charge) and whether they understood the effects of the Security Documents and the consequences to the guarantor if the borrower defaulted on its obligations to the lender.</w:t>
      </w:r>
    </w:p>
    <w:p w14:paraId="08713DC3"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The certificate of independent financial advice, to be signed by an accountant, stated that advice had been given </w:t>
      </w:r>
      <w:r w:rsidRPr="00256C02">
        <w:rPr>
          <w:rFonts w:ascii="Times New Roman" w:hAnsi="Times New Roman"/>
          <w:i/>
        </w:rPr>
        <w:t>to the borrower entirely independently of the guarantor</w:t>
      </w:r>
      <w:r w:rsidRPr="00256C02">
        <w:rPr>
          <w:rFonts w:ascii="Times New Roman" w:hAnsi="Times New Roman"/>
        </w:rPr>
        <w:t>. The certificate was addressed to the lenders in respect of the debenture charge granted by the borrower (the company). It contained no substantive information about the borrower, the guarantor or the transaction. The certificate did not require the accountant to sight any financial documents. Neither certificate suggested that the guarantor had turned their attention to or had had their attention drawn to the financial consequences for them.</w:t>
      </w:r>
    </w:p>
    <w:p w14:paraId="7B5B128A"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As stated above, on default, Mr Jeruzalski's practice was to enforce against the guarantor and the guarantor's mortgaged property. He treated the asset position of the borrower (the company) as irrelevant.</w:t>
      </w:r>
    </w:p>
    <w:p w14:paraId="6FE33AE1"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System of conduct unconscionable</w:t>
      </w:r>
    </w:p>
    <w:p w14:paraId="7B56C897"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Two separate but related points should be made at the outset. First, "[c]</w:t>
      </w:r>
      <w:proofErr w:type="spellStart"/>
      <w:r w:rsidRPr="00256C02">
        <w:rPr>
          <w:rFonts w:ascii="Times New Roman" w:hAnsi="Times New Roman"/>
        </w:rPr>
        <w:t>onduct</w:t>
      </w:r>
      <w:proofErr w:type="spellEnd"/>
      <w:r w:rsidRPr="00256C02">
        <w:rPr>
          <w:rFonts w:ascii="Times New Roman" w:hAnsi="Times New Roman"/>
        </w:rPr>
        <w:t xml:space="preserve"> can be unconscionable even where the innocent party is a willing participant; the question is </w:t>
      </w:r>
      <w:r w:rsidRPr="00256C02">
        <w:rPr>
          <w:rFonts w:ascii="Times New Roman" w:hAnsi="Times New Roman"/>
          <w:i/>
        </w:rPr>
        <w:t>how that willingness or intention was produced</w:t>
      </w:r>
      <w:r w:rsidRPr="00256C02">
        <w:rPr>
          <w:rFonts w:ascii="Times New Roman" w:hAnsi="Times New Roman"/>
          <w:iCs/>
        </w:rPr>
        <w:t>" (emphasis in original)</w:t>
      </w:r>
      <w:r w:rsidRPr="00256C02">
        <w:rPr>
          <w:rStyle w:val="FootnoteReference"/>
          <w:rFonts w:ascii="Times New Roman" w:hAnsi="Times New Roman"/>
          <w:sz w:val="24"/>
        </w:rPr>
        <w:footnoteReference w:id="100"/>
      </w:r>
      <w:r w:rsidRPr="00256C02">
        <w:rPr>
          <w:rFonts w:ascii="Times New Roman" w:hAnsi="Times New Roman"/>
        </w:rPr>
        <w:t>. Second, "a system of conduct or pattern of behaviour may be unconscionable, even though not every individual affected by the conduct or behaviour is or has been disadvantaged by the conduct or behaviour"</w:t>
      </w:r>
      <w:r w:rsidRPr="00256C02">
        <w:rPr>
          <w:rStyle w:val="FootnoteReference"/>
          <w:rFonts w:ascii="Times New Roman" w:hAnsi="Times New Roman"/>
          <w:sz w:val="24"/>
        </w:rPr>
        <w:footnoteReference w:id="101"/>
      </w:r>
      <w:r w:rsidRPr="00256C02">
        <w:rPr>
          <w:rFonts w:ascii="Times New Roman" w:hAnsi="Times New Roman"/>
        </w:rPr>
        <w:t>. There does not need to be loss or disadvantage for a system to be unconscionable.</w:t>
      </w:r>
    </w:p>
    <w:p w14:paraId="4B5A36A0"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What can be significant is that the conduct targeted a group to take advantage of their likely, although not certain, vulnerability or, as in this case, that the lenders recognised a likely, although not certain, vulnerability and yet designed a system of lending against a guarantor's property, suspecting that they had no income or capacity to service the loan, and deliberately avoiding information as to the guarantor's financial or personal circumstances in order to "immunise" themselves from knowledge of the vulnerability.</w:t>
      </w:r>
    </w:p>
    <w:p w14:paraId="5EEE7602"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lastRenderedPageBreak/>
        <w:tab/>
        <w:t>Those related points reflect, and are consistent with, Parliament's intention that</w:t>
      </w:r>
      <w:r w:rsidRPr="00256C02">
        <w:rPr>
          <w:rStyle w:val="FootnoteReference"/>
          <w:rFonts w:ascii="Times New Roman" w:hAnsi="Times New Roman"/>
          <w:sz w:val="24"/>
        </w:rPr>
        <w:footnoteReference w:id="102"/>
      </w:r>
      <w:r w:rsidRPr="00256C02">
        <w:rPr>
          <w:rFonts w:ascii="Times New Roman" w:hAnsi="Times New Roman"/>
        </w:rPr>
        <w:t>:</w:t>
      </w:r>
    </w:p>
    <w:p w14:paraId="7D321B6A" w14:textId="77777777" w:rsidR="006037F3" w:rsidRDefault="006037F3" w:rsidP="00256C02">
      <w:pPr>
        <w:pStyle w:val="leftright"/>
        <w:spacing w:before="0" w:after="260" w:line="280" w:lineRule="exact"/>
        <w:ind w:right="0"/>
        <w:jc w:val="both"/>
        <w:rPr>
          <w:rFonts w:ascii="Times New Roman" w:hAnsi="Times New Roman"/>
        </w:rPr>
      </w:pPr>
      <w:r w:rsidRPr="00256C02">
        <w:rPr>
          <w:rFonts w:ascii="Times New Roman" w:hAnsi="Times New Roman"/>
        </w:rPr>
        <w:t xml:space="preserve">"[T]he </w:t>
      </w:r>
      <w:proofErr w:type="gramStart"/>
      <w:r w:rsidRPr="00256C02">
        <w:rPr>
          <w:rFonts w:ascii="Times New Roman" w:hAnsi="Times New Roman"/>
        </w:rPr>
        <w:t>focus</w:t>
      </w:r>
      <w:proofErr w:type="gramEnd"/>
      <w:r w:rsidRPr="00256C02">
        <w:rPr>
          <w:rFonts w:ascii="Times New Roman" w:hAnsi="Times New Roman"/>
        </w:rPr>
        <w:t xml:space="preserve"> of the [unconscionable conduct] provisions is on </w:t>
      </w:r>
      <w:r w:rsidRPr="00256C02">
        <w:rPr>
          <w:rFonts w:ascii="Times New Roman" w:hAnsi="Times New Roman"/>
          <w:i/>
        </w:rPr>
        <w:t>conduct</w:t>
      </w:r>
      <w:r w:rsidRPr="00256C02">
        <w:rPr>
          <w:rFonts w:ascii="Times New Roman" w:hAnsi="Times New Roman"/>
        </w:rPr>
        <w:t xml:space="preserve"> that may be said to offend against good conscience; it is not specifically on the characteristics of any possible 'victim' of the conduct (though these may be relevant to the assessment of the conduct)." (emphasis in original)</w:t>
      </w:r>
    </w:p>
    <w:p w14:paraId="0652B8E8"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The assessment of whether conduct is unconscionable within the meaning of s 12CB involves the evaluation of the conduct – here a system of conduct – by</w:t>
      </w:r>
      <w:r>
        <w:rPr>
          <w:rFonts w:ascii="Times New Roman" w:hAnsi="Times New Roman"/>
        </w:rPr>
        <w:t> </w:t>
      </w:r>
      <w:r w:rsidRPr="00256C02">
        <w:rPr>
          <w:rFonts w:ascii="Times New Roman" w:hAnsi="Times New Roman"/>
        </w:rPr>
        <w:t>reference to the values and norms recognised by the statute, a normative standard of conscience which is permeated with accepted and acceptable community standards</w:t>
      </w:r>
      <w:r w:rsidRPr="00256C02">
        <w:rPr>
          <w:rStyle w:val="FootnoteReference"/>
          <w:rFonts w:ascii="Times New Roman" w:hAnsi="Times New Roman"/>
          <w:sz w:val="24"/>
        </w:rPr>
        <w:footnoteReference w:id="103"/>
      </w:r>
      <w:r w:rsidRPr="00256C02">
        <w:rPr>
          <w:rFonts w:ascii="Times New Roman" w:hAnsi="Times New Roman"/>
        </w:rPr>
        <w:t>.</w:t>
      </w:r>
    </w:p>
    <w:p w14:paraId="2E8C5873"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Here, the lenders' system – their "internal method of working"</w:t>
      </w:r>
      <w:r w:rsidRPr="00256C02">
        <w:rPr>
          <w:rStyle w:val="FootnoteReference"/>
          <w:rFonts w:ascii="Times New Roman" w:hAnsi="Times New Roman"/>
          <w:sz w:val="24"/>
        </w:rPr>
        <w:footnoteReference w:id="104"/>
      </w:r>
      <w:r w:rsidRPr="00256C02">
        <w:rPr>
          <w:rFonts w:ascii="Times New Roman" w:hAnsi="Times New Roman"/>
        </w:rPr>
        <w:t xml:space="preserve"> – did not, and was not designed to, prevent the lenders acting unconscionably contrary to s 12CB of the </w:t>
      </w:r>
      <w:r w:rsidRPr="00256C02">
        <w:rPr>
          <w:rFonts w:ascii="Times New Roman" w:hAnsi="Times New Roman"/>
          <w:i/>
        </w:rPr>
        <w:t>ASIC Act</w:t>
      </w:r>
      <w:r w:rsidRPr="00256C02">
        <w:rPr>
          <w:rFonts w:ascii="Times New Roman" w:hAnsi="Times New Roman"/>
        </w:rPr>
        <w:t>. The</w:t>
      </w:r>
      <w:r>
        <w:rPr>
          <w:rFonts w:ascii="Times New Roman" w:hAnsi="Times New Roman"/>
        </w:rPr>
        <w:t xml:space="preserve"> </w:t>
      </w:r>
      <w:r w:rsidRPr="00256C02">
        <w:rPr>
          <w:rFonts w:ascii="Times New Roman" w:hAnsi="Times New Roman"/>
        </w:rPr>
        <w:t>lenders' system was designed to do the opposite – to hide from the lenders any information which might later be said to make the loan, the guarantee or the taking of security unconscionable. The</w:t>
      </w:r>
      <w:r>
        <w:rPr>
          <w:rFonts w:ascii="Times New Roman" w:hAnsi="Times New Roman"/>
        </w:rPr>
        <w:t xml:space="preserve"> </w:t>
      </w:r>
      <w:r w:rsidRPr="00256C02">
        <w:rPr>
          <w:rFonts w:ascii="Times New Roman" w:hAnsi="Times New Roman"/>
        </w:rPr>
        <w:t>system sought to "immunise" the lenders from claims by borrowers or guarantors to set aside loans as unconscionable by studiously avoiding any inquiry about why or in what circumstances the individual guarantor provided their property as security despite the lenders recognising that a loan of the kind they were offering "</w:t>
      </w:r>
      <w:r w:rsidRPr="00256C02">
        <w:rPr>
          <w:rFonts w:ascii="Times New Roman" w:hAnsi="Times New Roman"/>
          <w:i/>
        </w:rPr>
        <w:t xml:space="preserve">could be </w:t>
      </w:r>
      <w:r w:rsidRPr="00256C02">
        <w:rPr>
          <w:rFonts w:ascii="Times New Roman" w:hAnsi="Times New Roman"/>
        </w:rPr>
        <w:t>a dangerous product in the wrong hands and wreak significant damage on the guarantor" (emphasis added). And the lenders' system was not reasonably necessary to protect the lenders' legitimate interests</w:t>
      </w:r>
      <w:r w:rsidRPr="00256C02">
        <w:rPr>
          <w:rStyle w:val="FootnoteReference"/>
          <w:rFonts w:ascii="Times New Roman" w:hAnsi="Times New Roman"/>
          <w:sz w:val="24"/>
        </w:rPr>
        <w:footnoteReference w:id="105"/>
      </w:r>
      <w:r w:rsidRPr="00256C02">
        <w:rPr>
          <w:rFonts w:ascii="Times New Roman" w:hAnsi="Times New Roman"/>
        </w:rPr>
        <w:t>.</w:t>
      </w:r>
    </w:p>
    <w:p w14:paraId="592A0825"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Vulnerability</w:t>
      </w:r>
    </w:p>
    <w:p w14:paraId="3C876183"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 xml:space="preserve">With knowledge of the significant risks associated with the financial product he was providing, Mr Jeruzalski's system facilitated the making of </w:t>
      </w:r>
      <w:r w:rsidRPr="00256C02">
        <w:rPr>
          <w:rFonts w:ascii="Times New Roman" w:hAnsi="Times New Roman"/>
        </w:rPr>
        <w:lastRenderedPageBreak/>
        <w:t xml:space="preserve">interest-only loans to companies (avoiding the operation of the </w:t>
      </w:r>
      <w:r w:rsidRPr="00256C02">
        <w:rPr>
          <w:rFonts w:ascii="Times New Roman" w:hAnsi="Times New Roman"/>
          <w:i/>
        </w:rPr>
        <w:t>National Credit Code</w:t>
      </w:r>
      <w:r w:rsidRPr="00256C02">
        <w:rPr>
          <w:rFonts w:ascii="Times New Roman" w:hAnsi="Times New Roman"/>
        </w:rPr>
        <w:t>), where the loans were guaranteed by persons who he assumed had no income and were otherwise unbankable</w:t>
      </w:r>
      <w:r w:rsidRPr="00256C02">
        <w:rPr>
          <w:rStyle w:val="FootnoteReference"/>
          <w:rFonts w:ascii="Times New Roman" w:hAnsi="Times New Roman"/>
          <w:sz w:val="24"/>
        </w:rPr>
        <w:footnoteReference w:id="106"/>
      </w:r>
      <w:r w:rsidRPr="00256C02">
        <w:rPr>
          <w:rFonts w:ascii="Times New Roman" w:hAnsi="Times New Roman"/>
        </w:rPr>
        <w:t>, whilst deliberately avoiding any knowledge that might enliven the court's equitable or statutory jurisdiction to set aside unconscionable transactions. It</w:t>
      </w:r>
      <w:r>
        <w:rPr>
          <w:rFonts w:ascii="Times New Roman" w:hAnsi="Times New Roman"/>
        </w:rPr>
        <w:t xml:space="preserve"> </w:t>
      </w:r>
      <w:r w:rsidRPr="00256C02">
        <w:rPr>
          <w:rFonts w:ascii="Times New Roman" w:hAnsi="Times New Roman"/>
        </w:rPr>
        <w:t xml:space="preserve">may be inferred that the system </w:t>
      </w:r>
      <w:r w:rsidRPr="00256C02">
        <w:rPr>
          <w:rFonts w:ascii="Times New Roman" w:hAnsi="Times New Roman"/>
          <w:i/>
        </w:rPr>
        <w:t>assumed</w:t>
      </w:r>
      <w:r w:rsidRPr="00256C02">
        <w:rPr>
          <w:rFonts w:ascii="Times New Roman" w:hAnsi="Times New Roman"/>
        </w:rPr>
        <w:t xml:space="preserve"> that some borrowers and guarantors would be vulnerable in a sense capable of enlivening that jurisdiction</w:t>
      </w:r>
      <w:r w:rsidRPr="00256C02">
        <w:rPr>
          <w:rStyle w:val="FootnoteReference"/>
          <w:rFonts w:ascii="Times New Roman" w:hAnsi="Times New Roman"/>
          <w:sz w:val="24"/>
        </w:rPr>
        <w:footnoteReference w:id="107"/>
      </w:r>
      <w:r w:rsidRPr="00256C02">
        <w:rPr>
          <w:rFonts w:ascii="Times New Roman" w:hAnsi="Times New Roman"/>
        </w:rPr>
        <w:t>. But</w:t>
      </w:r>
      <w:r>
        <w:rPr>
          <w:rFonts w:ascii="Times New Roman" w:hAnsi="Times New Roman"/>
        </w:rPr>
        <w:t xml:space="preserve"> </w:t>
      </w:r>
      <w:r w:rsidRPr="00256C02">
        <w:rPr>
          <w:rFonts w:ascii="Times New Roman" w:hAnsi="Times New Roman"/>
        </w:rPr>
        <w:t>the lenders' system sought to "immunise" the lenders against that assumption being known to be true because knowledge of its truth would inevitably attract the</w:t>
      </w:r>
      <w:r w:rsidRPr="00256C02" w:rsidDel="00E66708">
        <w:rPr>
          <w:rFonts w:ascii="Times New Roman" w:hAnsi="Times New Roman"/>
        </w:rPr>
        <w:t xml:space="preserve"> </w:t>
      </w:r>
      <w:r w:rsidRPr="00256C02">
        <w:rPr>
          <w:rFonts w:ascii="Times New Roman" w:hAnsi="Times New Roman"/>
        </w:rPr>
        <w:t>court's equitable or statutory jurisdiction to set aside the transactions. That</w:t>
      </w:r>
      <w:r>
        <w:rPr>
          <w:rFonts w:ascii="Times New Roman" w:hAnsi="Times New Roman"/>
        </w:rPr>
        <w:t xml:space="preserve"> </w:t>
      </w:r>
      <w:r w:rsidRPr="00256C02">
        <w:rPr>
          <w:rFonts w:ascii="Times New Roman" w:hAnsi="Times New Roman"/>
        </w:rPr>
        <w:t>was unconscionable.</w:t>
      </w:r>
    </w:p>
    <w:p w14:paraId="30B4B1E9" w14:textId="77777777" w:rsidR="006037F3" w:rsidRPr="00256C02" w:rsidRDefault="006037F3" w:rsidP="00256C02">
      <w:pPr>
        <w:pStyle w:val="HeadingL2"/>
        <w:spacing w:after="260" w:line="280" w:lineRule="exact"/>
        <w:ind w:right="0"/>
        <w:jc w:val="both"/>
        <w:rPr>
          <w:rFonts w:ascii="Times New Roman" w:hAnsi="Times New Roman"/>
        </w:rPr>
      </w:pPr>
      <w:r w:rsidRPr="00256C02">
        <w:rPr>
          <w:rFonts w:ascii="Times New Roman" w:hAnsi="Times New Roman"/>
        </w:rPr>
        <w:t>Unconscientious taking advantage</w:t>
      </w:r>
    </w:p>
    <w:p w14:paraId="1F1A10E3"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Mr Jeruzalski's system used "unfair tactics"</w:t>
      </w:r>
      <w:r w:rsidRPr="00256C02">
        <w:rPr>
          <w:rStyle w:val="FootnoteReference"/>
          <w:rFonts w:ascii="Times New Roman" w:hAnsi="Times New Roman"/>
          <w:sz w:val="24"/>
        </w:rPr>
        <w:footnoteReference w:id="108"/>
      </w:r>
      <w:r w:rsidRPr="00256C02">
        <w:rPr>
          <w:rFonts w:ascii="Times New Roman" w:hAnsi="Times New Roman"/>
        </w:rPr>
        <w:t xml:space="preserve"> and lacked good faith</w:t>
      </w:r>
      <w:r w:rsidRPr="00256C02">
        <w:rPr>
          <w:rStyle w:val="FootnoteReference"/>
          <w:rFonts w:ascii="Times New Roman" w:hAnsi="Times New Roman"/>
          <w:sz w:val="24"/>
        </w:rPr>
        <w:footnoteReference w:id="109"/>
      </w:r>
      <w:r w:rsidRPr="00256C02">
        <w:rPr>
          <w:rFonts w:ascii="Times New Roman" w:hAnsi="Times New Roman"/>
        </w:rPr>
        <w:t xml:space="preserve">. Developing and applying a system that seeks to avoid the application of statutory and general law protections is contrary to s 12CB of the </w:t>
      </w:r>
      <w:r w:rsidRPr="00256C02">
        <w:rPr>
          <w:rFonts w:ascii="Times New Roman" w:hAnsi="Times New Roman"/>
          <w:i/>
        </w:rPr>
        <w:t>ASIC Act</w:t>
      </w:r>
      <w:r w:rsidRPr="00256C02">
        <w:rPr>
          <w:rFonts w:ascii="Times New Roman" w:hAnsi="Times New Roman"/>
        </w:rPr>
        <w:t>. Taking</w:t>
      </w:r>
      <w:r>
        <w:rPr>
          <w:rFonts w:ascii="Times New Roman" w:hAnsi="Times New Roman"/>
        </w:rPr>
        <w:t> </w:t>
      </w:r>
      <w:r w:rsidRPr="00256C02">
        <w:rPr>
          <w:rFonts w:ascii="Times New Roman" w:hAnsi="Times New Roman"/>
        </w:rPr>
        <w:t>advantage of vulnerable borrowers and guarantors reveals a clear power imbalance built into the system</w:t>
      </w:r>
      <w:r w:rsidRPr="00256C02">
        <w:rPr>
          <w:rStyle w:val="FootnoteReference"/>
          <w:rFonts w:ascii="Times New Roman" w:hAnsi="Times New Roman"/>
          <w:sz w:val="24"/>
        </w:rPr>
        <w:footnoteReference w:id="110"/>
      </w:r>
      <w:r w:rsidRPr="00256C02">
        <w:rPr>
          <w:rFonts w:ascii="Times New Roman" w:hAnsi="Times New Roman"/>
        </w:rPr>
        <w:t>, reflected in Mr Jeruzalski's refusal even to meet or communicate (let alone negotiate) with prospective borrowers and guarantors. As explained, he acted only through intermediaries.</w:t>
      </w:r>
    </w:p>
    <w:p w14:paraId="460694C1"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The system was also characterised by a lack of transparency</w:t>
      </w:r>
      <w:r w:rsidRPr="00256C02">
        <w:rPr>
          <w:rStyle w:val="FootnoteReference"/>
          <w:rFonts w:ascii="Times New Roman" w:hAnsi="Times New Roman"/>
          <w:sz w:val="24"/>
        </w:rPr>
        <w:footnoteReference w:id="111"/>
      </w:r>
      <w:r w:rsidRPr="00256C02">
        <w:rPr>
          <w:rFonts w:ascii="Times New Roman" w:hAnsi="Times New Roman"/>
        </w:rPr>
        <w:t>, which was exacerbated, not ameliorated, by the certificates of independent advice. The</w:t>
      </w:r>
      <w:r>
        <w:rPr>
          <w:rFonts w:ascii="Times New Roman" w:hAnsi="Times New Roman"/>
        </w:rPr>
        <w:t> </w:t>
      </w:r>
      <w:r w:rsidRPr="00256C02">
        <w:rPr>
          <w:rFonts w:ascii="Times New Roman" w:hAnsi="Times New Roman"/>
        </w:rPr>
        <w:t>certificates were crafted by Mr Jeruzalski to avoid any meaningful disclosure not only to the lenders but also to the borrowers and guarantors. The certificates of advice were "part of the system of conduct adopted by AJ Lawyers to immunise the [lenders] from knowledge that might threaten the enforceability of the loan".</w:t>
      </w:r>
    </w:p>
    <w:p w14:paraId="0585841D"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lastRenderedPageBreak/>
        <w:tab/>
        <w:t xml:space="preserve">The lenders' system of conduct is outside the societal norms of acceptable behaviour </w:t>
      </w:r>
      <w:proofErr w:type="gramStart"/>
      <w:r w:rsidRPr="00256C02">
        <w:rPr>
          <w:rFonts w:ascii="Times New Roman" w:hAnsi="Times New Roman"/>
        </w:rPr>
        <w:t>so as to</w:t>
      </w:r>
      <w:proofErr w:type="gramEnd"/>
      <w:r w:rsidRPr="00256C02">
        <w:rPr>
          <w:rFonts w:ascii="Times New Roman" w:hAnsi="Times New Roman"/>
        </w:rPr>
        <w:t xml:space="preserve"> warrant condemnation as offensive to conscience</w:t>
      </w:r>
      <w:r w:rsidRPr="00256C02">
        <w:rPr>
          <w:rStyle w:val="FootnoteReference"/>
          <w:rFonts w:ascii="Times New Roman" w:hAnsi="Times New Roman"/>
          <w:sz w:val="24"/>
        </w:rPr>
        <w:footnoteReference w:id="112"/>
      </w:r>
      <w:r w:rsidRPr="00256C02">
        <w:rPr>
          <w:rFonts w:ascii="Times New Roman" w:hAnsi="Times New Roman"/>
        </w:rPr>
        <w:t>. It does not reflect values that can be recognised by a court to prevail within contemporary Australian society. It is a system of conduct that is unconscionable contrary to s 12</w:t>
      </w:r>
      <w:proofErr w:type="gramStart"/>
      <w:r w:rsidRPr="00256C02">
        <w:rPr>
          <w:rFonts w:ascii="Times New Roman" w:hAnsi="Times New Roman"/>
        </w:rPr>
        <w:t>CB(</w:t>
      </w:r>
      <w:proofErr w:type="gramEnd"/>
      <w:r w:rsidRPr="00256C02">
        <w:rPr>
          <w:rFonts w:ascii="Times New Roman" w:hAnsi="Times New Roman"/>
        </w:rPr>
        <w:t xml:space="preserve">1) of the </w:t>
      </w:r>
      <w:r w:rsidRPr="00256C02">
        <w:rPr>
          <w:rFonts w:ascii="Times New Roman" w:hAnsi="Times New Roman"/>
          <w:i/>
        </w:rPr>
        <w:t>ASIC Act</w:t>
      </w:r>
      <w:r w:rsidRPr="00256C02">
        <w:rPr>
          <w:rFonts w:ascii="Times New Roman" w:hAnsi="Times New Roman"/>
        </w:rPr>
        <w:t>.</w:t>
      </w:r>
    </w:p>
    <w:p w14:paraId="6E29F166" w14:textId="77777777" w:rsidR="006037F3" w:rsidRPr="00256C02" w:rsidRDefault="006037F3" w:rsidP="00256C02">
      <w:pPr>
        <w:pStyle w:val="HeadingL1"/>
        <w:spacing w:after="260" w:line="280" w:lineRule="exact"/>
        <w:ind w:right="0"/>
        <w:jc w:val="both"/>
        <w:rPr>
          <w:rFonts w:ascii="Times New Roman" w:hAnsi="Times New Roman"/>
        </w:rPr>
      </w:pPr>
      <w:r w:rsidRPr="00256C02">
        <w:rPr>
          <w:rFonts w:ascii="Times New Roman" w:hAnsi="Times New Roman"/>
        </w:rPr>
        <w:t>Lenders' conduct unconscionable on other bases</w:t>
      </w:r>
    </w:p>
    <w:p w14:paraId="5A1EBDFB"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The</w:t>
      </w:r>
      <w:r>
        <w:rPr>
          <w:rFonts w:ascii="Times New Roman" w:hAnsi="Times New Roman"/>
        </w:rPr>
        <w:t xml:space="preserve"> </w:t>
      </w:r>
      <w:r w:rsidRPr="00256C02">
        <w:rPr>
          <w:rFonts w:ascii="Times New Roman" w:hAnsi="Times New Roman"/>
        </w:rPr>
        <w:t xml:space="preserve">lenders' dealings with Mr Stubbings were consistent with the system that Mr Jeruzalski had established. </w:t>
      </w:r>
    </w:p>
    <w:p w14:paraId="686B1D9F"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The lenders lent $1,059,000 to Victorian Boat Clinic Pty Ltd ("VBC"), a</w:t>
      </w:r>
      <w:r>
        <w:rPr>
          <w:rFonts w:ascii="Times New Roman" w:hAnsi="Times New Roman"/>
        </w:rPr>
        <w:t> </w:t>
      </w:r>
      <w:r w:rsidRPr="00256C02">
        <w:rPr>
          <w:rFonts w:ascii="Times New Roman" w:hAnsi="Times New Roman"/>
        </w:rPr>
        <w:t xml:space="preserve">shell company with no assets of which Mr Stubbings was the sole shareholder and director. They thereby avoided the operation of the </w:t>
      </w:r>
      <w:r w:rsidRPr="00256C02">
        <w:rPr>
          <w:rFonts w:ascii="Times New Roman" w:hAnsi="Times New Roman"/>
          <w:i/>
        </w:rPr>
        <w:t>National Credit Code</w:t>
      </w:r>
      <w:r w:rsidRPr="00256C02">
        <w:rPr>
          <w:rFonts w:ascii="Times New Roman" w:hAnsi="Times New Roman"/>
        </w:rPr>
        <w:t>. The</w:t>
      </w:r>
      <w:r>
        <w:rPr>
          <w:rFonts w:ascii="Times New Roman" w:hAnsi="Times New Roman"/>
        </w:rPr>
        <w:t> </w:t>
      </w:r>
      <w:r w:rsidRPr="00256C02">
        <w:rPr>
          <w:rFonts w:ascii="Times New Roman" w:hAnsi="Times New Roman"/>
        </w:rPr>
        <w:t>loan was an interest-only loan for a minimum of six months and a maximum of 12 months with high monthly interest payments of $8,825 or $15,002.50 at</w:t>
      </w:r>
      <w:r>
        <w:rPr>
          <w:rFonts w:ascii="Times New Roman" w:hAnsi="Times New Roman"/>
        </w:rPr>
        <w:t> </w:t>
      </w:r>
      <w:r w:rsidRPr="00256C02">
        <w:rPr>
          <w:rFonts w:ascii="Times New Roman" w:hAnsi="Times New Roman"/>
        </w:rPr>
        <w:t>default rates. Mr Stubbings guaranteed the loan and gave mortgages over two existing properties he owned and a third property ("the</w:t>
      </w:r>
      <w:r>
        <w:rPr>
          <w:rFonts w:ascii="Times New Roman" w:hAnsi="Times New Roman"/>
        </w:rPr>
        <w:t xml:space="preserve"> </w:t>
      </w:r>
      <w:r w:rsidRPr="00256C02">
        <w:rPr>
          <w:rFonts w:ascii="Times New Roman" w:hAnsi="Times New Roman"/>
        </w:rPr>
        <w:t>Fingal property") which he bought with the loan proceeds. The</w:t>
      </w:r>
      <w:r>
        <w:rPr>
          <w:rFonts w:ascii="Times New Roman" w:hAnsi="Times New Roman"/>
        </w:rPr>
        <w:t xml:space="preserve"> </w:t>
      </w:r>
      <w:r w:rsidRPr="00256C02">
        <w:rPr>
          <w:rFonts w:ascii="Times New Roman" w:hAnsi="Times New Roman"/>
        </w:rPr>
        <w:t>decision to lend to VBC was based solely on the valuations of the properties Mr Stubbings offered as security for him acting as guarantor of the loan. The</w:t>
      </w:r>
      <w:r>
        <w:rPr>
          <w:rFonts w:ascii="Times New Roman" w:hAnsi="Times New Roman"/>
        </w:rPr>
        <w:t xml:space="preserve"> </w:t>
      </w:r>
      <w:r w:rsidRPr="00256C02">
        <w:rPr>
          <w:rFonts w:ascii="Times New Roman" w:hAnsi="Times New Roman"/>
        </w:rPr>
        <w:t>lenders "had no evidence and did not request any evidence regarding Mr Stubbings' ability to repay or the capacity of VBC to repay the loan".</w:t>
      </w:r>
    </w:p>
    <w:p w14:paraId="705C5BFD"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At the time the loan was made, Mr Jeruzalski assumed Mr Stubbings had no income and that, if</w:t>
      </w:r>
      <w:r>
        <w:rPr>
          <w:rFonts w:ascii="Times New Roman" w:hAnsi="Times New Roman"/>
        </w:rPr>
        <w:t xml:space="preserve"> </w:t>
      </w:r>
      <w:r w:rsidRPr="00256C02">
        <w:rPr>
          <w:rFonts w:ascii="Times New Roman" w:hAnsi="Times New Roman"/>
        </w:rPr>
        <w:t>Mr Stubbings had no or limited income, a bank would not have lent money to him</w:t>
      </w:r>
      <w:r w:rsidRPr="00256C02">
        <w:rPr>
          <w:rStyle w:val="FootnoteReference"/>
          <w:rFonts w:ascii="Times New Roman" w:hAnsi="Times New Roman"/>
          <w:sz w:val="24"/>
        </w:rPr>
        <w:footnoteReference w:id="113"/>
      </w:r>
      <w:r w:rsidRPr="00256C02">
        <w:rPr>
          <w:rFonts w:ascii="Times New Roman" w:hAnsi="Times New Roman"/>
        </w:rPr>
        <w:t>. Indeed, Mr Jeruzalski's evidence was that if Mr Stubbings "had an income sufficient to service a loan of [the amount he wished to borrow], he would've gone to a bank".</w:t>
      </w:r>
    </w:p>
    <w:p w14:paraId="2241E316"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Mr Jeruzalski knew Mr Stubbings had paid only a $100 deposit on the Fingal property. Despite the loan being "for business purposes" (to remove any risk that it might be caught by the</w:t>
      </w:r>
      <w:r w:rsidRPr="00256C02">
        <w:rPr>
          <w:rFonts w:ascii="Times New Roman" w:hAnsi="Times New Roman"/>
          <w:i/>
        </w:rPr>
        <w:t xml:space="preserve"> National Credit Code</w:t>
      </w:r>
      <w:r w:rsidRPr="00256C02">
        <w:rPr>
          <w:rFonts w:ascii="Times New Roman" w:hAnsi="Times New Roman"/>
          <w:iCs/>
        </w:rPr>
        <w:t>)</w:t>
      </w:r>
      <w:r w:rsidRPr="00256C02">
        <w:rPr>
          <w:rFonts w:ascii="Times New Roman" w:hAnsi="Times New Roman"/>
        </w:rPr>
        <w:t>, Mr Jeruzalski knew that the Fingal property was zoned "green wedge", which meant that a business could not be operated from the property without getting an exemption, and that there would be almost no funds</w:t>
      </w:r>
      <w:r w:rsidRPr="00256C02" w:rsidDel="000D5697">
        <w:rPr>
          <w:rFonts w:ascii="Times New Roman" w:hAnsi="Times New Roman"/>
        </w:rPr>
        <w:t xml:space="preserve"> </w:t>
      </w:r>
      <w:r w:rsidRPr="00256C02">
        <w:rPr>
          <w:rFonts w:ascii="Times New Roman" w:hAnsi="Times New Roman"/>
        </w:rPr>
        <w:t xml:space="preserve">left over from the transaction (once the Fingal property had been purchased) to establish or conduct a business. Mr Jeruzalski also knew </w:t>
      </w:r>
      <w:r w:rsidRPr="00256C02">
        <w:rPr>
          <w:rFonts w:ascii="Times New Roman" w:hAnsi="Times New Roman"/>
        </w:rPr>
        <w:lastRenderedPageBreak/>
        <w:t>that Mr Stubbings' two existing properties (also taken as security) were lived in by Mr Stubbings' family.</w:t>
      </w:r>
    </w:p>
    <w:p w14:paraId="54B1854E"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Moreover, Mr Jeruzalski was aware that the loan "could cause severe damage" to Mr Stubbings if VBC defaulted</w:t>
      </w:r>
      <w:r w:rsidRPr="00256C02">
        <w:rPr>
          <w:rStyle w:val="FootnoteReference"/>
          <w:rFonts w:ascii="Times New Roman" w:hAnsi="Times New Roman"/>
          <w:sz w:val="24"/>
        </w:rPr>
        <w:footnoteReference w:id="114"/>
      </w:r>
      <w:r w:rsidRPr="00256C02">
        <w:rPr>
          <w:rFonts w:ascii="Times New Roman" w:hAnsi="Times New Roman"/>
        </w:rPr>
        <w:t>. Mr Jeruzalski was a solicitor with considerable experience "in the area of making loans on behalf of clients". Mr Jeruzalski knew that, if VBC defaulted, interest would start accruing at $15,002.50 per month</w:t>
      </w:r>
      <w:r w:rsidRPr="00256C02">
        <w:rPr>
          <w:rStyle w:val="FootnoteReference"/>
          <w:rFonts w:ascii="Times New Roman" w:hAnsi="Times New Roman"/>
          <w:sz w:val="24"/>
        </w:rPr>
        <w:footnoteReference w:id="115"/>
      </w:r>
      <w:r w:rsidRPr="00256C02">
        <w:rPr>
          <w:rFonts w:ascii="Times New Roman" w:hAnsi="Times New Roman"/>
        </w:rPr>
        <w:t>, Mr Stubbings' secured properties would be sold, and</w:t>
      </w:r>
      <w:r>
        <w:rPr>
          <w:rFonts w:ascii="Times New Roman" w:hAnsi="Times New Roman"/>
        </w:rPr>
        <w:t> </w:t>
      </w:r>
      <w:r w:rsidRPr="00256C02">
        <w:rPr>
          <w:rFonts w:ascii="Times New Roman" w:hAnsi="Times New Roman"/>
        </w:rPr>
        <w:t>"the damage to Mr Stubbings' accumulated savings would be severe". In other words, Mr Jeruzalski knew the loan was "a risky and dangerous undertaking for Mr Stubbings". Indeed, based on what Mr Jeruzalski knew at the time that the loan was made, Mr Jeruzalski must have known that no bank would have refinanced the lenders' loan</w:t>
      </w:r>
      <w:r w:rsidRPr="00256C02">
        <w:rPr>
          <w:rStyle w:val="FootnoteReference"/>
          <w:rFonts w:ascii="Times New Roman" w:hAnsi="Times New Roman"/>
          <w:sz w:val="24"/>
        </w:rPr>
        <w:footnoteReference w:id="116"/>
      </w:r>
      <w:r w:rsidRPr="00256C02">
        <w:rPr>
          <w:rFonts w:ascii="Times New Roman" w:hAnsi="Times New Roman"/>
        </w:rPr>
        <w:t>.</w:t>
      </w:r>
    </w:p>
    <w:p w14:paraId="3953D1A9"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The entry into the improvident transaction by Mr Stubbings – a</w:t>
      </w:r>
      <w:r>
        <w:rPr>
          <w:rFonts w:ascii="Times New Roman" w:hAnsi="Times New Roman"/>
        </w:rPr>
        <w:t xml:space="preserve"> </w:t>
      </w:r>
      <w:r w:rsidRPr="00256C02">
        <w:rPr>
          <w:rFonts w:ascii="Times New Roman" w:hAnsi="Times New Roman"/>
        </w:rPr>
        <w:t>man with no income who was required to make monthly interest payments of at least $8,825 in respect of a loan which was to buy the Fingal property, but which was described as a loan "for business purposes" when a business could not be conducted from the Fingal property without an exemption, secured against the Fingal property and his only other assets – demonstrated his inability to make any realistic assessment of the worth and consequences of the transaction</w:t>
      </w:r>
      <w:r w:rsidRPr="00256C02">
        <w:rPr>
          <w:rStyle w:val="FootnoteReference"/>
          <w:rFonts w:ascii="Times New Roman" w:hAnsi="Times New Roman"/>
          <w:sz w:val="24"/>
        </w:rPr>
        <w:footnoteReference w:id="117"/>
      </w:r>
      <w:r w:rsidRPr="00256C02">
        <w:rPr>
          <w:rFonts w:ascii="Times New Roman" w:hAnsi="Times New Roman"/>
        </w:rPr>
        <w:t>. The conclusion that, in those circumstances, Mr Stubbings was vulnerable and under a special disadvantage vis</w:t>
      </w:r>
      <w:r w:rsidRPr="00256C02">
        <w:rPr>
          <w:rFonts w:ascii="Times New Roman" w:hAnsi="Times New Roman"/>
        </w:rPr>
        <w:noBreakHyphen/>
        <w:t>à</w:t>
      </w:r>
      <w:r w:rsidRPr="00256C02">
        <w:rPr>
          <w:rFonts w:ascii="Times New Roman" w:hAnsi="Times New Roman"/>
        </w:rPr>
        <w:noBreakHyphen/>
        <w:t>vis the lenders was inevitable</w:t>
      </w:r>
      <w:r w:rsidRPr="00256C02">
        <w:rPr>
          <w:rStyle w:val="FootnoteReference"/>
          <w:rFonts w:ascii="Times New Roman" w:hAnsi="Times New Roman"/>
          <w:sz w:val="24"/>
        </w:rPr>
        <w:footnoteReference w:id="118"/>
      </w:r>
      <w:r w:rsidRPr="00256C02">
        <w:rPr>
          <w:rFonts w:ascii="Times New Roman" w:hAnsi="Times New Roman"/>
        </w:rPr>
        <w:t>.</w:t>
      </w:r>
    </w:p>
    <w:p w14:paraId="5F9F0F71"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Mr Jeruzalski knew of Mr Stubbings' vulnerability and that the transaction would inevitably be disastrous for him</w:t>
      </w:r>
      <w:r w:rsidRPr="00256C02">
        <w:rPr>
          <w:rStyle w:val="FootnoteReference"/>
          <w:rFonts w:ascii="Times New Roman" w:hAnsi="Times New Roman"/>
          <w:sz w:val="24"/>
        </w:rPr>
        <w:footnoteReference w:id="119"/>
      </w:r>
      <w:r w:rsidRPr="00256C02">
        <w:rPr>
          <w:rFonts w:ascii="Times New Roman" w:hAnsi="Times New Roman"/>
        </w:rPr>
        <w:t>. Yet,</w:t>
      </w:r>
      <w:r>
        <w:rPr>
          <w:rFonts w:ascii="Times New Roman" w:hAnsi="Times New Roman"/>
        </w:rPr>
        <w:t xml:space="preserve"> </w:t>
      </w:r>
      <w:r w:rsidRPr="00256C02">
        <w:rPr>
          <w:rFonts w:ascii="Times New Roman" w:hAnsi="Times New Roman"/>
        </w:rPr>
        <w:t xml:space="preserve">despite Mr Jeruzalski knowing that </w:t>
      </w:r>
      <w:r w:rsidRPr="00256C02">
        <w:rPr>
          <w:rFonts w:ascii="Times New Roman" w:hAnsi="Times New Roman"/>
        </w:rPr>
        <w:lastRenderedPageBreak/>
        <w:t>Mr Stubbings was under that disadvantage, he exploited that disadvantage</w:t>
      </w:r>
      <w:r w:rsidRPr="00256C02">
        <w:rPr>
          <w:rStyle w:val="FootnoteReference"/>
          <w:rFonts w:ascii="Times New Roman" w:hAnsi="Times New Roman"/>
          <w:sz w:val="24"/>
        </w:rPr>
        <w:footnoteReference w:id="120"/>
      </w:r>
      <w:r w:rsidRPr="00256C02">
        <w:rPr>
          <w:rFonts w:ascii="Times New Roman" w:hAnsi="Times New Roman"/>
        </w:rPr>
        <w:t>. There</w:t>
      </w:r>
      <w:r>
        <w:rPr>
          <w:rFonts w:ascii="Times New Roman" w:hAnsi="Times New Roman"/>
        </w:rPr>
        <w:t> </w:t>
      </w:r>
      <w:r w:rsidRPr="00256C02">
        <w:rPr>
          <w:rFonts w:ascii="Times New Roman" w:hAnsi="Times New Roman"/>
        </w:rPr>
        <w:t>was an immediate need for the lenders, through Mr Jeruzalski, to provide Mr Stubbings with an explanation and assistance in the form of a warning that the loan was "a</w:t>
      </w:r>
      <w:r>
        <w:rPr>
          <w:rFonts w:ascii="Times New Roman" w:hAnsi="Times New Roman"/>
        </w:rPr>
        <w:t xml:space="preserve"> </w:t>
      </w:r>
      <w:r w:rsidRPr="00256C02">
        <w:rPr>
          <w:rFonts w:ascii="Times New Roman" w:hAnsi="Times New Roman"/>
        </w:rPr>
        <w:t>risky and dangerous undertaking for Mr Stubbings" and that the damage to Mr Stubbings from entry into the transaction would be severe. Not only did Mr Jeruzalski have no reason to think that Mr Stubbings had received that assistance or explanation</w:t>
      </w:r>
      <w:r w:rsidRPr="00256C02">
        <w:rPr>
          <w:rStyle w:val="FootnoteReference"/>
          <w:rFonts w:ascii="Times New Roman" w:hAnsi="Times New Roman"/>
          <w:sz w:val="24"/>
        </w:rPr>
        <w:footnoteReference w:id="121"/>
      </w:r>
      <w:r w:rsidRPr="00256C02">
        <w:rPr>
          <w:rFonts w:ascii="Times New Roman" w:hAnsi="Times New Roman"/>
        </w:rPr>
        <w:t>, b</w:t>
      </w:r>
      <w:r w:rsidRPr="00256C02" w:rsidDel="009D6709">
        <w:rPr>
          <w:rFonts w:ascii="Times New Roman" w:hAnsi="Times New Roman"/>
        </w:rPr>
        <w:t xml:space="preserve">ut </w:t>
      </w:r>
      <w:r w:rsidRPr="00256C02">
        <w:rPr>
          <w:rFonts w:ascii="Times New Roman" w:hAnsi="Times New Roman"/>
        </w:rPr>
        <w:t>his behaviour was worse than that. Mr Jeruzalski deliberately did not make any inquiries or provide Mr Stubbings with the advice and explanations that were necessary. He deliberately avoided making inquiries about Mr Stubbings' personal and financial circumstances in order to avoid acquiring any knowledge that might enliven the court's equitable or statutory jurisdiction to set aside the loan on the grounds of unconscionability</w:t>
      </w:r>
      <w:r w:rsidRPr="00256C02">
        <w:rPr>
          <w:rStyle w:val="FootnoteReference"/>
          <w:rFonts w:ascii="Times New Roman" w:hAnsi="Times New Roman"/>
          <w:sz w:val="24"/>
        </w:rPr>
        <w:footnoteReference w:id="122"/>
      </w:r>
      <w:r w:rsidRPr="00256C02">
        <w:rPr>
          <w:rFonts w:ascii="Times New Roman" w:hAnsi="Times New Roman"/>
        </w:rPr>
        <w:t>.</w:t>
      </w:r>
    </w:p>
    <w:p w14:paraId="74205417"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Mr Jeruzalski refused to meet Mr Stubbings, relying instead on an intermediary</w:t>
      </w:r>
      <w:r w:rsidRPr="00256C02">
        <w:rPr>
          <w:rStyle w:val="FootnoteReference"/>
          <w:rFonts w:ascii="Times New Roman" w:hAnsi="Times New Roman"/>
          <w:sz w:val="24"/>
        </w:rPr>
        <w:footnoteReference w:id="123"/>
      </w:r>
      <w:r w:rsidRPr="00256C02">
        <w:rPr>
          <w:rFonts w:ascii="Times New Roman" w:hAnsi="Times New Roman"/>
        </w:rPr>
        <w:t>. He</w:t>
      </w:r>
      <w:r>
        <w:rPr>
          <w:rFonts w:ascii="Times New Roman" w:hAnsi="Times New Roman"/>
        </w:rPr>
        <w:t xml:space="preserve"> </w:t>
      </w:r>
      <w:r w:rsidRPr="00256C02">
        <w:rPr>
          <w:rFonts w:ascii="Times New Roman" w:hAnsi="Times New Roman"/>
        </w:rPr>
        <w:t>avoided finding out anything about the dealings between Mr Stubbings and the intermediary. The only evidence Mr Jeruzalski had about the assistance or explanation provided to Mr Stubbings was the two certificates he had drafted. The</w:t>
      </w:r>
      <w:r>
        <w:rPr>
          <w:rFonts w:ascii="Times New Roman" w:hAnsi="Times New Roman"/>
        </w:rPr>
        <w:t xml:space="preserve"> </w:t>
      </w:r>
      <w:r w:rsidRPr="00256C02">
        <w:rPr>
          <w:rFonts w:ascii="Times New Roman" w:hAnsi="Times New Roman"/>
        </w:rPr>
        <w:t>certificates were deficient. As</w:t>
      </w:r>
      <w:r>
        <w:rPr>
          <w:rFonts w:ascii="Times New Roman" w:hAnsi="Times New Roman"/>
        </w:rPr>
        <w:t xml:space="preserve"> </w:t>
      </w:r>
      <w:r w:rsidRPr="00256C02">
        <w:rPr>
          <w:rFonts w:ascii="Times New Roman" w:hAnsi="Times New Roman"/>
        </w:rPr>
        <w:t xml:space="preserve">stated above, it may be inferred that the certificates were crafted that way to </w:t>
      </w:r>
      <w:r w:rsidRPr="00256C02">
        <w:rPr>
          <w:rFonts w:ascii="Times New Roman" w:hAnsi="Times New Roman"/>
          <w:i/>
        </w:rPr>
        <w:t>avoid</w:t>
      </w:r>
      <w:r w:rsidRPr="00256C02">
        <w:rPr>
          <w:rFonts w:ascii="Times New Roman" w:hAnsi="Times New Roman"/>
        </w:rPr>
        <w:t xml:space="preserve"> any meaningful disclosure</w:t>
      </w:r>
      <w:r w:rsidRPr="00256C02">
        <w:rPr>
          <w:rStyle w:val="FootnoteReference"/>
          <w:rFonts w:ascii="Times New Roman" w:hAnsi="Times New Roman"/>
          <w:sz w:val="24"/>
        </w:rPr>
        <w:footnoteReference w:id="124"/>
      </w:r>
      <w:r w:rsidRPr="00256C02">
        <w:rPr>
          <w:rFonts w:ascii="Times New Roman" w:hAnsi="Times New Roman"/>
        </w:rPr>
        <w:t>.</w:t>
      </w:r>
    </w:p>
    <w:p w14:paraId="1746E1BB" w14:textId="77777777"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The</w:t>
      </w:r>
      <w:r>
        <w:rPr>
          <w:rFonts w:ascii="Times New Roman" w:hAnsi="Times New Roman"/>
        </w:rPr>
        <w:t xml:space="preserve"> </w:t>
      </w:r>
      <w:r w:rsidRPr="00256C02">
        <w:rPr>
          <w:rFonts w:ascii="Times New Roman" w:hAnsi="Times New Roman"/>
        </w:rPr>
        <w:t>certificate of independent legal advice did not state that Mr Stubbings had received financial advice. The certificate of independent financial advice stated that advice had been given to VBC, independently of any guarantor, in relation to the debenture charge to be executed by it. It did not require the accountant to sight any financial documents. It</w:t>
      </w:r>
      <w:r>
        <w:rPr>
          <w:rFonts w:ascii="Times New Roman" w:hAnsi="Times New Roman"/>
        </w:rPr>
        <w:t xml:space="preserve"> </w:t>
      </w:r>
      <w:r w:rsidRPr="00256C02">
        <w:rPr>
          <w:rFonts w:ascii="Times New Roman" w:hAnsi="Times New Roman"/>
        </w:rPr>
        <w:t>did</w:t>
      </w:r>
      <w:r>
        <w:rPr>
          <w:rFonts w:ascii="Times New Roman" w:hAnsi="Times New Roman"/>
        </w:rPr>
        <w:t xml:space="preserve"> </w:t>
      </w:r>
      <w:r w:rsidRPr="00256C02">
        <w:rPr>
          <w:rFonts w:ascii="Times New Roman" w:hAnsi="Times New Roman"/>
        </w:rPr>
        <w:t>not refer to the mortgage security. Neither</w:t>
      </w:r>
      <w:r>
        <w:rPr>
          <w:rFonts w:ascii="Times New Roman" w:hAnsi="Times New Roman"/>
        </w:rPr>
        <w:t xml:space="preserve"> </w:t>
      </w:r>
      <w:r w:rsidRPr="00256C02">
        <w:rPr>
          <w:rFonts w:ascii="Times New Roman" w:hAnsi="Times New Roman"/>
        </w:rPr>
        <w:t>certificate stated that Mr Stubbings had been given any financial advice as guarantor. Neither certificate stated that Mr Stubbings had turned his attention to or had had his attention drawn to the improvidence of the transaction and the inevitable and disastrous consequences for him. The completed certificates contained no information regarding the "business", VBC's or Mr Stubbings' financial position, the</w:t>
      </w:r>
      <w:r>
        <w:rPr>
          <w:rFonts w:ascii="Times New Roman" w:hAnsi="Times New Roman"/>
        </w:rPr>
        <w:t xml:space="preserve"> </w:t>
      </w:r>
      <w:r w:rsidRPr="00256C02">
        <w:rPr>
          <w:rFonts w:ascii="Times New Roman" w:hAnsi="Times New Roman"/>
        </w:rPr>
        <w:t>substance of the advice given or the purpose of the borrowing except for the handwritten words "Set up &amp; Expand the business".</w:t>
      </w:r>
    </w:p>
    <w:p w14:paraId="154E81A7" w14:textId="3313C7B6" w:rsidR="006037F3" w:rsidRPr="00256C02" w:rsidRDefault="006037F3" w:rsidP="006037F3">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lastRenderedPageBreak/>
        <w:tab/>
        <w:t>In the circumstances, the lenders' conduct (through Mr Jeruzalski) amounted to unconscientious taking advantage of Mr Stubbings' special disadvantage</w:t>
      </w:r>
      <w:r w:rsidRPr="00256C02">
        <w:rPr>
          <w:rStyle w:val="FootnoteReference"/>
          <w:rFonts w:ascii="Times New Roman" w:hAnsi="Times New Roman"/>
          <w:sz w:val="24"/>
        </w:rPr>
        <w:footnoteReference w:id="125"/>
      </w:r>
      <w:r w:rsidRPr="00256C02">
        <w:rPr>
          <w:rFonts w:ascii="Times New Roman" w:hAnsi="Times New Roman"/>
        </w:rPr>
        <w:t xml:space="preserve"> – there was a "lack of assistance or explanation where assistance or explanation [was] necessary"</w:t>
      </w:r>
      <w:r w:rsidRPr="00256C02">
        <w:rPr>
          <w:rStyle w:val="FootnoteReference"/>
          <w:rFonts w:ascii="Times New Roman" w:hAnsi="Times New Roman"/>
          <w:sz w:val="24"/>
        </w:rPr>
        <w:footnoteReference w:id="126"/>
      </w:r>
      <w:r w:rsidRPr="00256C02">
        <w:rPr>
          <w:rFonts w:ascii="Times New Roman" w:hAnsi="Times New Roman"/>
        </w:rPr>
        <w:t>. The lenders are fixed with the knowledge that they deliberately avoided, including that Mr Stubbings was effectively unemployed, had no regular income and fundamentally misunderstood the transaction</w:t>
      </w:r>
      <w:r w:rsidRPr="00256C02">
        <w:rPr>
          <w:rStyle w:val="FootnoteReference"/>
          <w:rFonts w:ascii="Times New Roman" w:hAnsi="Times New Roman"/>
          <w:sz w:val="24"/>
        </w:rPr>
        <w:footnoteReference w:id="127"/>
      </w:r>
      <w:r w:rsidRPr="00256C02">
        <w:rPr>
          <w:rFonts w:ascii="Times New Roman" w:hAnsi="Times New Roman"/>
        </w:rPr>
        <w:t>. In all the circumstances, the lenders' conduct in respect of Mr</w:t>
      </w:r>
      <w:r w:rsidR="004B4798">
        <w:rPr>
          <w:rFonts w:ascii="Times New Roman" w:hAnsi="Times New Roman"/>
        </w:rPr>
        <w:t> </w:t>
      </w:r>
      <w:proofErr w:type="spellStart"/>
      <w:r w:rsidRPr="00256C02">
        <w:rPr>
          <w:rFonts w:ascii="Times New Roman" w:hAnsi="Times New Roman"/>
        </w:rPr>
        <w:t>Stubbings</w:t>
      </w:r>
      <w:proofErr w:type="spellEnd"/>
      <w:r w:rsidRPr="00256C02">
        <w:rPr>
          <w:rFonts w:ascii="Times New Roman" w:hAnsi="Times New Roman"/>
        </w:rPr>
        <w:t xml:space="preserve"> was unconscionable contrary to the prohibition in s 12CB of the</w:t>
      </w:r>
      <w:r w:rsidR="004B4798">
        <w:rPr>
          <w:rFonts w:ascii="Times New Roman" w:hAnsi="Times New Roman"/>
        </w:rPr>
        <w:t> </w:t>
      </w:r>
      <w:r w:rsidRPr="00256C02">
        <w:rPr>
          <w:rFonts w:ascii="Times New Roman" w:hAnsi="Times New Roman"/>
          <w:i/>
        </w:rPr>
        <w:t>ASIC Act</w:t>
      </w:r>
      <w:r w:rsidRPr="00256C02">
        <w:rPr>
          <w:rFonts w:ascii="Times New Roman" w:hAnsi="Times New Roman"/>
        </w:rPr>
        <w:t xml:space="preserve"> and unconscionable in equity.</w:t>
      </w:r>
    </w:p>
    <w:p w14:paraId="7FD0986A" w14:textId="77777777" w:rsidR="006037F3" w:rsidRPr="00256C02" w:rsidRDefault="006037F3" w:rsidP="00256C02">
      <w:pPr>
        <w:pStyle w:val="HeadingL1"/>
        <w:spacing w:after="260" w:line="280" w:lineRule="exact"/>
        <w:ind w:right="0"/>
        <w:jc w:val="both"/>
        <w:rPr>
          <w:rFonts w:ascii="Times New Roman" w:hAnsi="Times New Roman"/>
        </w:rPr>
      </w:pPr>
      <w:r w:rsidRPr="00256C02">
        <w:rPr>
          <w:rFonts w:ascii="Times New Roman" w:hAnsi="Times New Roman"/>
        </w:rPr>
        <w:t>Orders</w:t>
      </w:r>
    </w:p>
    <w:p w14:paraId="715938AC" w14:textId="77777777" w:rsidR="00CD32FB" w:rsidRDefault="006037F3" w:rsidP="00CD32FB">
      <w:pPr>
        <w:pStyle w:val="FixListStyle"/>
        <w:numPr>
          <w:ilvl w:val="0"/>
          <w:numId w:val="18"/>
        </w:numPr>
        <w:spacing w:after="260" w:line="280" w:lineRule="exact"/>
        <w:ind w:left="0" w:right="0" w:hanging="720"/>
        <w:jc w:val="both"/>
        <w:rPr>
          <w:rFonts w:ascii="Times New Roman" w:hAnsi="Times New Roman"/>
        </w:rPr>
      </w:pPr>
      <w:r w:rsidRPr="00256C02">
        <w:rPr>
          <w:rFonts w:ascii="Times New Roman" w:hAnsi="Times New Roman"/>
        </w:rPr>
        <w:tab/>
        <w:t>I agree with the orders proposed by Kiefel CJ, Keane and Gleeson JJ.</w:t>
      </w:r>
    </w:p>
    <w:p w14:paraId="5C3A57F6" w14:textId="77777777" w:rsidR="00CD32FB" w:rsidRDefault="00CD32FB" w:rsidP="00CD32FB">
      <w:pPr>
        <w:pStyle w:val="FixListStyle"/>
        <w:numPr>
          <w:ilvl w:val="0"/>
          <w:numId w:val="18"/>
        </w:numPr>
        <w:spacing w:after="260" w:line="280" w:lineRule="exact"/>
        <w:ind w:left="0" w:right="0" w:hanging="720"/>
        <w:jc w:val="both"/>
        <w:rPr>
          <w:rFonts w:ascii="Times New Roman" w:hAnsi="Times New Roman"/>
        </w:rPr>
        <w:sectPr w:rsidR="00CD32FB" w:rsidSect="001810A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435E845" w14:textId="77777777" w:rsidR="00CD32FB" w:rsidRPr="00650C25" w:rsidRDefault="00CD32FB" w:rsidP="00CD32FB">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50C25">
        <w:rPr>
          <w:rFonts w:ascii="Times New Roman" w:hAnsi="Times New Roman"/>
        </w:rPr>
        <w:lastRenderedPageBreak/>
        <w:t>STEWARD J.   The respondents lent money, secured by mortgages over three properties and by a debenture charge, to Victorian Boat Clinic Pty Ltd ("VBC"). The appellant was the sole director and shareholder of VBC, which was at all times no more than a shell company with no assets. The loan was guaranteed by the appellant. The purpose of this loan was to refinance existing indebtedness and to fund the purchase of a property in Fingal which would become the appellant's home. Subsequently, VBC defaulted on the payment of interest to the respondents. The respondents brought proceedings in the Supreme Court of Victoria against the appellant to enforce the guarantee and to seek possession, as mortgagees, over the appellant's home</w:t>
      </w:r>
      <w:r w:rsidRPr="00650C25">
        <w:rPr>
          <w:rStyle w:val="FootnoteReference"/>
          <w:rFonts w:ascii="Times New Roman" w:hAnsi="Times New Roman"/>
          <w:sz w:val="24"/>
        </w:rPr>
        <w:footnoteReference w:id="128"/>
      </w:r>
      <w:r w:rsidRPr="00650C25">
        <w:rPr>
          <w:rFonts w:ascii="Times New Roman" w:hAnsi="Times New Roman"/>
        </w:rPr>
        <w:t>. VBC also entered into a smaller second loan with a different lender who was not a party to the proceedings below.</w:t>
      </w:r>
    </w:p>
    <w:p w14:paraId="331C892A"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appellant's financial position was bleak. He was effectively unemployed, was not receiving any government benefits and had no savings. He also owed two years of council rates in arrears. The primary judge made findings, undisturbed on appeal, that in reality there were "no circumstances" in which the appellant's plan for repayment could "work", and that any person with a "modicum of intelligence" who had been apprised of the actual nature of the transaction and the appellant's circumstances would not have proceeded with the loans</w:t>
      </w:r>
      <w:r w:rsidRPr="00650C25">
        <w:rPr>
          <w:rStyle w:val="FootnoteReference"/>
          <w:rFonts w:ascii="Times New Roman" w:hAnsi="Times New Roman"/>
          <w:sz w:val="24"/>
        </w:rPr>
        <w:footnoteReference w:id="129"/>
      </w:r>
      <w:r w:rsidRPr="00650C25">
        <w:rPr>
          <w:rFonts w:ascii="Times New Roman" w:hAnsi="Times New Roman"/>
        </w:rPr>
        <w:t>. However, the agent of the respondents – a solicitor – made no attempt to enquire into the appellant's fitness to be a guarantor and made no enquiries about his personal or financial circumstances. Nor was the appellant ever warned about the dangers of entering into what was, for him, so glaringly improvident an arrangement.</w:t>
      </w:r>
    </w:p>
    <w:p w14:paraId="68C6F1E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primary judge found that the solicitor had developed a "system of conduct" whereby such enquiries would not need to be made. It was found at first instance, however, that this system rendered the solicitor wilfully blind and that the failure to make enquiries constituted unconscionable conduct</w:t>
      </w:r>
      <w:r w:rsidRPr="00650C25">
        <w:rPr>
          <w:rStyle w:val="FootnoteReference"/>
          <w:rFonts w:ascii="Times New Roman" w:hAnsi="Times New Roman"/>
          <w:sz w:val="24"/>
        </w:rPr>
        <w:footnoteReference w:id="130"/>
      </w:r>
      <w:r w:rsidRPr="00650C25">
        <w:rPr>
          <w:rFonts w:ascii="Times New Roman" w:hAnsi="Times New Roman"/>
        </w:rPr>
        <w:t>. The Court of Appeal agreed that there may have been a sufficient basis to conclude that it was unconscionable for the solicitor to have made no enquiries "in all the circumstances"</w:t>
      </w:r>
      <w:r w:rsidRPr="00650C25">
        <w:rPr>
          <w:rStyle w:val="FootnoteReference"/>
          <w:rFonts w:ascii="Times New Roman" w:hAnsi="Times New Roman"/>
          <w:sz w:val="24"/>
        </w:rPr>
        <w:footnoteReference w:id="131"/>
      </w:r>
      <w:r w:rsidRPr="00650C25">
        <w:rPr>
          <w:rFonts w:ascii="Times New Roman" w:hAnsi="Times New Roman"/>
        </w:rPr>
        <w:t xml:space="preserve">. But the Court of Appeal decided, nonetheless, that the receipt </w:t>
      </w:r>
      <w:r w:rsidRPr="00650C25">
        <w:rPr>
          <w:rFonts w:ascii="Times New Roman" w:hAnsi="Times New Roman"/>
        </w:rPr>
        <w:lastRenderedPageBreak/>
        <w:t>of two certificates, from an independent solicitor and an independent accountant, ensured that the solicitor was not wilfully blind</w:t>
      </w:r>
      <w:r w:rsidRPr="00650C25">
        <w:rPr>
          <w:rStyle w:val="FootnoteReference"/>
          <w:rFonts w:ascii="Times New Roman" w:hAnsi="Times New Roman"/>
          <w:sz w:val="24"/>
        </w:rPr>
        <w:footnoteReference w:id="132"/>
      </w:r>
      <w:r w:rsidRPr="00650C25">
        <w:rPr>
          <w:rFonts w:ascii="Times New Roman" w:hAnsi="Times New Roman"/>
        </w:rPr>
        <w:t xml:space="preserve">. </w:t>
      </w:r>
    </w:p>
    <w:p w14:paraId="333A854E"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For the reasons set out below, and with respect, that conclusion was mistaken. It follows that equity must deny the respondents the remedy of possession over the appellant's home.</w:t>
      </w:r>
    </w:p>
    <w:p w14:paraId="6718D421" w14:textId="77777777" w:rsidR="00CD32FB" w:rsidRPr="00650C25" w:rsidRDefault="00CD32FB" w:rsidP="00650C25">
      <w:pPr>
        <w:pStyle w:val="HeadingL1"/>
        <w:spacing w:after="260" w:line="280" w:lineRule="exact"/>
        <w:ind w:right="0"/>
        <w:jc w:val="both"/>
        <w:rPr>
          <w:rFonts w:ascii="Times New Roman" w:hAnsi="Times New Roman"/>
        </w:rPr>
      </w:pPr>
      <w:r w:rsidRPr="00650C25">
        <w:rPr>
          <w:rFonts w:ascii="Times New Roman" w:hAnsi="Times New Roman"/>
        </w:rPr>
        <w:t>The "system of conduct" and the appellant</w:t>
      </w:r>
    </w:p>
    <w:p w14:paraId="3E8EEB2D"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Save for one finding, the Court of Appeal did not disturb the facts found by the primary judge. It is necessary to address those facts with a degree of detail.</w:t>
      </w:r>
    </w:p>
    <w:p w14:paraId="0BE0FA7D" w14:textId="77777777" w:rsidR="00CD32FB" w:rsidRPr="00650C25" w:rsidRDefault="00CD32FB" w:rsidP="00650C25">
      <w:pPr>
        <w:pStyle w:val="HeadingL2"/>
        <w:spacing w:after="260" w:line="280" w:lineRule="exact"/>
        <w:ind w:right="0"/>
        <w:jc w:val="both"/>
        <w:rPr>
          <w:rFonts w:ascii="Times New Roman" w:hAnsi="Times New Roman"/>
        </w:rPr>
      </w:pPr>
      <w:r w:rsidRPr="00650C25">
        <w:rPr>
          <w:rFonts w:ascii="Times New Roman" w:hAnsi="Times New Roman"/>
        </w:rPr>
        <w:t>The appellant's plan</w:t>
      </w:r>
    </w:p>
    <w:p w14:paraId="50F6386B"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The appellant owned two properties in Narre Warren. He leased one to his son. He wanted to buy a new property to live in after falling out with the owner of a property where he had lived. He found a property for sale in Fingal on the Mornington Peninsula. The sale price was $900,000. However, with no savings and being unemployed, no regular bank would lend to him. The appellant was nonetheless able to obtain the necessary funds from the respondents in the circumstances described below by procuring VBC to enter into two loans, secured by mortgages over the three parcels of land and by a debenture charge. For each loan, the appellant guaranteed VBC's loan obligations. The appellant's plan was to use these funds to purchase the land in Fingal, renovate the two properties in Narre Warren, sell them, and then refinance the two loans at a lower interest rate through a bank after two or three months, leaving him with the Fingal property and a manageable amount of debt. As already mentioned, and for the reasons which follow, this plan was never going to work. </w:t>
      </w:r>
    </w:p>
    <w:p w14:paraId="10DF44C1" w14:textId="77777777" w:rsidR="00CD32FB" w:rsidRPr="00650C25" w:rsidRDefault="00CD32FB" w:rsidP="00650C25">
      <w:pPr>
        <w:pStyle w:val="HeadingL2"/>
        <w:spacing w:after="260" w:line="280" w:lineRule="exact"/>
        <w:ind w:right="0"/>
        <w:jc w:val="both"/>
        <w:rPr>
          <w:rFonts w:ascii="Times New Roman" w:hAnsi="Times New Roman"/>
        </w:rPr>
      </w:pPr>
      <w:r w:rsidRPr="00650C25">
        <w:rPr>
          <w:rFonts w:ascii="Times New Roman" w:hAnsi="Times New Roman"/>
        </w:rPr>
        <w:t>The "system of conduct"</w:t>
      </w:r>
    </w:p>
    <w:p w14:paraId="605D5875"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order to borrow money from the respondents, the appellant needed to participate in what the primary judge described as a "system of conduct"</w:t>
      </w:r>
      <w:r w:rsidRPr="00650C25">
        <w:rPr>
          <w:rStyle w:val="FootnoteReference"/>
          <w:rFonts w:ascii="Times New Roman" w:hAnsi="Times New Roman"/>
          <w:sz w:val="24"/>
        </w:rPr>
        <w:footnoteReference w:id="133"/>
      </w:r>
      <w:r w:rsidRPr="00650C25">
        <w:rPr>
          <w:rFonts w:ascii="Times New Roman" w:hAnsi="Times New Roman"/>
        </w:rPr>
        <w:t xml:space="preserve">. That system is described below. For the moment it is necessary to describe its principal parties. The system employed a solicitor, an intermediary, a borrower, a guarantor and a lender or lenders. It also employed an independent solicitor and an independent accountant to provide advice to the borrower and the guarantor. </w:t>
      </w:r>
    </w:p>
    <w:p w14:paraId="7817711E"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lastRenderedPageBreak/>
        <w:tab/>
        <w:t xml:space="preserve">The first-mentioned solicitor was Mr Jeruzalski, a partner of the law firm </w:t>
      </w:r>
      <w:proofErr w:type="spellStart"/>
      <w:r w:rsidRPr="00650C25">
        <w:rPr>
          <w:rFonts w:ascii="Times New Roman" w:hAnsi="Times New Roman"/>
        </w:rPr>
        <w:t>Ajzensztat</w:t>
      </w:r>
      <w:proofErr w:type="spellEnd"/>
      <w:r w:rsidRPr="00650C25">
        <w:rPr>
          <w:rFonts w:ascii="Times New Roman" w:hAnsi="Times New Roman"/>
        </w:rPr>
        <w:t xml:space="preserve"> </w:t>
      </w:r>
      <w:proofErr w:type="spellStart"/>
      <w:r w:rsidRPr="00650C25">
        <w:rPr>
          <w:rFonts w:ascii="Times New Roman" w:hAnsi="Times New Roman"/>
        </w:rPr>
        <w:t>Jeruzalski</w:t>
      </w:r>
      <w:proofErr w:type="spellEnd"/>
      <w:r w:rsidRPr="00650C25">
        <w:rPr>
          <w:rFonts w:ascii="Times New Roman" w:hAnsi="Times New Roman"/>
        </w:rPr>
        <w:t xml:space="preserve"> &amp; Co ("AJ Lawyers"). Amongst other things, that firm arranged loans between its clients and third</w:t>
      </w:r>
      <w:r w:rsidRPr="00650C25">
        <w:rPr>
          <w:rFonts w:ascii="Times New Roman" w:hAnsi="Times New Roman"/>
        </w:rPr>
        <w:noBreakHyphen/>
        <w:t>party borrowers. The type of loan used was called "asset</w:t>
      </w:r>
      <w:r w:rsidRPr="00650C25">
        <w:rPr>
          <w:rFonts w:ascii="Times New Roman" w:hAnsi="Times New Roman"/>
        </w:rPr>
        <w:noBreakHyphen/>
        <w:t>based lending". Nothing turns upon whether that label has any necessary meaning. Here, it simply refers to the type of loans organised by Mr Jeruzalski. The primary judge found that Mr Jeruzalski gave his evidence at trial with "apparent smugness"</w:t>
      </w:r>
      <w:r w:rsidRPr="00650C25">
        <w:rPr>
          <w:rStyle w:val="FootnoteReference"/>
          <w:rFonts w:ascii="Times New Roman" w:hAnsi="Times New Roman"/>
          <w:sz w:val="24"/>
        </w:rPr>
        <w:footnoteReference w:id="134"/>
      </w:r>
      <w:r w:rsidRPr="00650C25">
        <w:rPr>
          <w:rFonts w:ascii="Times New Roman" w:hAnsi="Times New Roman"/>
        </w:rPr>
        <w:t>.</w:t>
      </w:r>
    </w:p>
    <w:p w14:paraId="365B8C54"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intermediary was Mr </w:t>
      </w:r>
      <w:proofErr w:type="spellStart"/>
      <w:r w:rsidRPr="00650C25">
        <w:rPr>
          <w:rFonts w:ascii="Times New Roman" w:hAnsi="Times New Roman"/>
        </w:rPr>
        <w:t>Zourkas</w:t>
      </w:r>
      <w:proofErr w:type="spellEnd"/>
      <w:r w:rsidRPr="00650C25">
        <w:rPr>
          <w:rFonts w:ascii="Times New Roman" w:hAnsi="Times New Roman"/>
        </w:rPr>
        <w:t>. His role was to assist a potential borrower to apply to AJ Lawyers for a loan and to assist Mr Jeruzalski in having the borrower complete the necessary paperwork. In the past three or four years, Mr </w:t>
      </w:r>
      <w:proofErr w:type="spellStart"/>
      <w:r w:rsidRPr="00650C25">
        <w:rPr>
          <w:rFonts w:ascii="Times New Roman" w:hAnsi="Times New Roman"/>
        </w:rPr>
        <w:t>Zourkas</w:t>
      </w:r>
      <w:proofErr w:type="spellEnd"/>
      <w:r w:rsidRPr="00650C25">
        <w:rPr>
          <w:rFonts w:ascii="Times New Roman" w:hAnsi="Times New Roman"/>
        </w:rPr>
        <w:t xml:space="preserve"> had referred to Mr Jeruzalski about 60 to 80 potential borrowers, which resulted in 30 to 40 loans being made. The primary judge found that Mr </w:t>
      </w:r>
      <w:proofErr w:type="spellStart"/>
      <w:r w:rsidRPr="00650C25">
        <w:rPr>
          <w:rFonts w:ascii="Times New Roman" w:hAnsi="Times New Roman"/>
        </w:rPr>
        <w:t>Zourkas</w:t>
      </w:r>
      <w:proofErr w:type="spellEnd"/>
      <w:r w:rsidRPr="00650C25">
        <w:rPr>
          <w:rFonts w:ascii="Times New Roman" w:hAnsi="Times New Roman"/>
        </w:rPr>
        <w:t xml:space="preserve"> believed that the appellant had no money when he arranged the loan with him</w:t>
      </w:r>
      <w:r w:rsidRPr="00650C25">
        <w:rPr>
          <w:rFonts w:ascii="Times New Roman" w:hAnsi="Times New Roman"/>
          <w:b/>
          <w:sz w:val="24"/>
          <w:vertAlign w:val="superscript"/>
        </w:rPr>
        <w:footnoteReference w:id="135"/>
      </w:r>
      <w:r w:rsidRPr="00650C25">
        <w:rPr>
          <w:rFonts w:ascii="Times New Roman" w:hAnsi="Times New Roman"/>
        </w:rPr>
        <w:t>. His Honour characterised Mr </w:t>
      </w:r>
      <w:proofErr w:type="spellStart"/>
      <w:r w:rsidRPr="00650C25">
        <w:rPr>
          <w:rFonts w:ascii="Times New Roman" w:hAnsi="Times New Roman"/>
        </w:rPr>
        <w:t>Zourkas</w:t>
      </w:r>
      <w:proofErr w:type="spellEnd"/>
      <w:r w:rsidRPr="00650C25">
        <w:rPr>
          <w:rFonts w:ascii="Times New Roman" w:hAnsi="Times New Roman"/>
        </w:rPr>
        <w:t>' evidence at trial as "dismissive, flippant, arrogant, patronising, and rude"</w:t>
      </w:r>
      <w:r w:rsidRPr="00650C25">
        <w:rPr>
          <w:rStyle w:val="FootnoteReference"/>
          <w:rFonts w:ascii="Times New Roman" w:hAnsi="Times New Roman"/>
          <w:sz w:val="24"/>
        </w:rPr>
        <w:footnoteReference w:id="136"/>
      </w:r>
      <w:r w:rsidRPr="00650C25">
        <w:rPr>
          <w:rFonts w:ascii="Times New Roman" w:hAnsi="Times New Roman"/>
        </w:rPr>
        <w:t>. The primary judge was not prepared to accept his evidence on any relevant issues unless it was corroborated</w:t>
      </w:r>
      <w:r w:rsidRPr="00650C25">
        <w:rPr>
          <w:rStyle w:val="FootnoteReference"/>
          <w:rFonts w:ascii="Times New Roman" w:hAnsi="Times New Roman"/>
          <w:sz w:val="24"/>
        </w:rPr>
        <w:footnoteReference w:id="137"/>
      </w:r>
      <w:r w:rsidRPr="00650C25">
        <w:rPr>
          <w:rFonts w:ascii="Times New Roman" w:hAnsi="Times New Roman"/>
        </w:rPr>
        <w:t>. His Honour found that Mr </w:t>
      </w:r>
      <w:proofErr w:type="spellStart"/>
      <w:r w:rsidRPr="00650C25">
        <w:rPr>
          <w:rFonts w:ascii="Times New Roman" w:hAnsi="Times New Roman"/>
        </w:rPr>
        <w:t>Zourkas</w:t>
      </w:r>
      <w:proofErr w:type="spellEnd"/>
      <w:r w:rsidRPr="00650C25">
        <w:rPr>
          <w:rFonts w:ascii="Times New Roman" w:hAnsi="Times New Roman"/>
        </w:rPr>
        <w:t xml:space="preserve"> was "not an honest man, but a man prepared to prey upon the weak and vulnerable like [the appellant]"</w:t>
      </w:r>
      <w:r w:rsidRPr="00650C25">
        <w:rPr>
          <w:rFonts w:ascii="Times New Roman" w:hAnsi="Times New Roman"/>
          <w:b/>
          <w:sz w:val="24"/>
          <w:vertAlign w:val="superscript"/>
        </w:rPr>
        <w:footnoteReference w:id="138"/>
      </w:r>
      <w:r w:rsidRPr="00650C25">
        <w:rPr>
          <w:rFonts w:ascii="Times New Roman" w:hAnsi="Times New Roman"/>
        </w:rPr>
        <w:t xml:space="preserve">. </w:t>
      </w:r>
    </w:p>
    <w:p w14:paraId="712332E0"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borrower was VBC. For reasons explained below, the loans organised by AJ Lawyers were only ever made to companies.</w:t>
      </w:r>
    </w:p>
    <w:p w14:paraId="6E63BCB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guarantor was the appellant. At the time the loans were made, he was earning some money as a handyman, doing things such as replacing tap washers and mowing lawns, but was otherwise unemployed. Both of the Narre Warren properties were mortgaged. These secured outstanding indebtedness of, in aggregate, the sum of $240,000. The appellant was obliged to pay, in total, about $260 per week by way of interest. He also</w:t>
      </w:r>
      <w:r w:rsidRPr="00650C25" w:rsidDel="007C5525">
        <w:rPr>
          <w:rFonts w:ascii="Times New Roman" w:hAnsi="Times New Roman"/>
        </w:rPr>
        <w:t xml:space="preserve"> owed two years of council rates in arrears.</w:t>
      </w:r>
    </w:p>
    <w:p w14:paraId="034B0CA7"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The appellant left school after fourth form. In that year, he failed English and third-form mathematics (after repeating that latter subject). By his own admission, he could not budget, could not understand a balance sheet, and could </w:t>
      </w:r>
      <w:r w:rsidRPr="00650C25">
        <w:rPr>
          <w:rFonts w:ascii="Times New Roman" w:hAnsi="Times New Roman"/>
        </w:rPr>
        <w:lastRenderedPageBreak/>
        <w:t>not calculate interest. He was self-represented at trial. The primary judge described the appellant's demeanour at trial as "completely lost, totally unsophisticated, incompetent and vulnerable"</w:t>
      </w:r>
      <w:r w:rsidRPr="00650C25">
        <w:rPr>
          <w:rStyle w:val="FootnoteReference"/>
          <w:rFonts w:ascii="Times New Roman" w:hAnsi="Times New Roman"/>
          <w:sz w:val="24"/>
        </w:rPr>
        <w:footnoteReference w:id="139"/>
      </w:r>
      <w:r w:rsidRPr="00650C25">
        <w:rPr>
          <w:rFonts w:ascii="Times New Roman" w:hAnsi="Times New Roman"/>
        </w:rPr>
        <w:t>. It was said that he behaved "much as you would expect a child to behave"</w:t>
      </w:r>
      <w:r w:rsidRPr="00650C25">
        <w:rPr>
          <w:rStyle w:val="FootnoteReference"/>
          <w:rFonts w:ascii="Times New Roman" w:hAnsi="Times New Roman"/>
          <w:sz w:val="24"/>
        </w:rPr>
        <w:footnoteReference w:id="140"/>
      </w:r>
      <w:r w:rsidRPr="00650C25">
        <w:rPr>
          <w:rFonts w:ascii="Times New Roman" w:hAnsi="Times New Roman"/>
        </w:rPr>
        <w:t>. The appellant was also found to have had an "obvious lack of understanding"</w:t>
      </w:r>
      <w:r w:rsidRPr="00650C25">
        <w:rPr>
          <w:rStyle w:val="FootnoteReference"/>
          <w:rFonts w:ascii="Times New Roman" w:hAnsi="Times New Roman"/>
          <w:sz w:val="24"/>
        </w:rPr>
        <w:footnoteReference w:id="141"/>
      </w:r>
      <w:r w:rsidRPr="00650C25">
        <w:rPr>
          <w:rFonts w:ascii="Times New Roman" w:hAnsi="Times New Roman"/>
        </w:rPr>
        <w:t xml:space="preserve"> of the details of the loans and his ability to finance them. For example, he did not understand that the loans could not be repaid for six months, and he failed to understand how much surplus loan funds he would receive. He was easily manipulated, naïve, vulnerable and "lacking in financial nous"</w:t>
      </w:r>
      <w:r w:rsidRPr="00650C25">
        <w:rPr>
          <w:rStyle w:val="FootnoteReference"/>
          <w:rFonts w:ascii="Times New Roman" w:hAnsi="Times New Roman"/>
          <w:sz w:val="24"/>
        </w:rPr>
        <w:footnoteReference w:id="142"/>
      </w:r>
      <w:r w:rsidRPr="00650C25">
        <w:rPr>
          <w:rFonts w:ascii="Times New Roman" w:hAnsi="Times New Roman"/>
        </w:rPr>
        <w:t>. From the way the appellant spoke in the witness box, it was clear to the primary judge that "he was precisely the sort of person who needed protection and was vulnerable to being exploited"</w:t>
      </w:r>
      <w:r w:rsidRPr="00650C25">
        <w:rPr>
          <w:rStyle w:val="FootnoteReference"/>
          <w:rFonts w:ascii="Times New Roman" w:hAnsi="Times New Roman"/>
          <w:sz w:val="24"/>
        </w:rPr>
        <w:footnoteReference w:id="143"/>
      </w:r>
      <w:r w:rsidRPr="00650C25">
        <w:rPr>
          <w:rFonts w:ascii="Times New Roman" w:hAnsi="Times New Roman"/>
        </w:rPr>
        <w:t>.</w:t>
      </w:r>
    </w:p>
    <w:p w14:paraId="71310C40"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foregoing findings about the appellant's history, education and experience, as well as the observations made by the primary judge about his demeanour, were not matters known to Mr Jeruzalski when organising the loans to VBC.</w:t>
      </w:r>
    </w:p>
    <w:p w14:paraId="01AFEC31"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lenders of the first loan were the respondents. They did not know the appellant and never met him. Again, they also had no knowledge concerning the appellant's history, education and experience. They lent on the basis of valuations of the three properties obtained by AJ Lawyers and no more. They had never met Mr </w:t>
      </w:r>
      <w:proofErr w:type="spellStart"/>
      <w:r w:rsidRPr="00650C25">
        <w:rPr>
          <w:rFonts w:ascii="Times New Roman" w:hAnsi="Times New Roman"/>
        </w:rPr>
        <w:t>Zourkas</w:t>
      </w:r>
      <w:proofErr w:type="spellEnd"/>
      <w:r w:rsidRPr="00650C25">
        <w:rPr>
          <w:rFonts w:ascii="Times New Roman" w:hAnsi="Times New Roman"/>
        </w:rPr>
        <w:t>.</w:t>
      </w:r>
    </w:p>
    <w:p w14:paraId="5504BE6F"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second solicitor, Mr </w:t>
      </w:r>
      <w:proofErr w:type="spellStart"/>
      <w:r w:rsidRPr="00650C25">
        <w:rPr>
          <w:rFonts w:ascii="Times New Roman" w:hAnsi="Times New Roman"/>
        </w:rPr>
        <w:t>Kiatos</w:t>
      </w:r>
      <w:proofErr w:type="spellEnd"/>
      <w:r w:rsidRPr="00650C25">
        <w:rPr>
          <w:rFonts w:ascii="Times New Roman" w:hAnsi="Times New Roman"/>
        </w:rPr>
        <w:t>, and the accountant, Mr </w:t>
      </w:r>
      <w:proofErr w:type="spellStart"/>
      <w:r w:rsidRPr="00650C25">
        <w:rPr>
          <w:rFonts w:ascii="Times New Roman" w:hAnsi="Times New Roman"/>
        </w:rPr>
        <w:t>Topalides</w:t>
      </w:r>
      <w:proofErr w:type="spellEnd"/>
      <w:r w:rsidRPr="00650C25">
        <w:rPr>
          <w:rFonts w:ascii="Times New Roman" w:hAnsi="Times New Roman"/>
        </w:rPr>
        <w:t>, played the role of respectively providing independent legal advice to the appellant and independent financial advice to VBC, and of issuing certificates which confirmed that this advice had been provided. Mr </w:t>
      </w:r>
      <w:proofErr w:type="spellStart"/>
      <w:r w:rsidRPr="00650C25">
        <w:rPr>
          <w:rFonts w:ascii="Times New Roman" w:hAnsi="Times New Roman"/>
        </w:rPr>
        <w:t>Kiatos</w:t>
      </w:r>
      <w:proofErr w:type="spellEnd"/>
      <w:r w:rsidRPr="00650C25">
        <w:rPr>
          <w:rFonts w:ascii="Times New Roman" w:hAnsi="Times New Roman"/>
        </w:rPr>
        <w:t>, a sole practitioner, had previously dealt with Mr Jeruzalski on a "handful"</w:t>
      </w:r>
      <w:r w:rsidRPr="00650C25">
        <w:rPr>
          <w:rStyle w:val="FootnoteReference"/>
          <w:rFonts w:ascii="Times New Roman" w:hAnsi="Times New Roman"/>
          <w:sz w:val="24"/>
        </w:rPr>
        <w:footnoteReference w:id="144"/>
      </w:r>
      <w:r w:rsidRPr="00650C25">
        <w:rPr>
          <w:rFonts w:ascii="Times New Roman" w:hAnsi="Times New Roman"/>
        </w:rPr>
        <w:t xml:space="preserve"> of occasions, and Mr </w:t>
      </w:r>
      <w:proofErr w:type="spellStart"/>
      <w:r w:rsidRPr="00650C25">
        <w:rPr>
          <w:rFonts w:ascii="Times New Roman" w:hAnsi="Times New Roman"/>
        </w:rPr>
        <w:t>Zourkas</w:t>
      </w:r>
      <w:proofErr w:type="spellEnd"/>
      <w:r w:rsidRPr="00650C25">
        <w:rPr>
          <w:rFonts w:ascii="Times New Roman" w:hAnsi="Times New Roman"/>
        </w:rPr>
        <w:t xml:space="preserve"> had previously referred clients to him for loan purposes. Mr </w:t>
      </w:r>
      <w:proofErr w:type="spellStart"/>
      <w:r w:rsidRPr="00650C25">
        <w:rPr>
          <w:rFonts w:ascii="Times New Roman" w:hAnsi="Times New Roman"/>
        </w:rPr>
        <w:t>Topalides</w:t>
      </w:r>
      <w:proofErr w:type="spellEnd"/>
      <w:r w:rsidRPr="00650C25">
        <w:rPr>
          <w:rFonts w:ascii="Times New Roman" w:hAnsi="Times New Roman"/>
        </w:rPr>
        <w:t xml:space="preserve"> was Mr </w:t>
      </w:r>
      <w:proofErr w:type="spellStart"/>
      <w:r w:rsidRPr="00650C25">
        <w:rPr>
          <w:rFonts w:ascii="Times New Roman" w:hAnsi="Times New Roman"/>
        </w:rPr>
        <w:t>Kiatos</w:t>
      </w:r>
      <w:proofErr w:type="spellEnd"/>
      <w:r w:rsidRPr="00650C25">
        <w:rPr>
          <w:rFonts w:ascii="Times New Roman" w:hAnsi="Times New Roman"/>
        </w:rPr>
        <w:t>' accountant. Mr </w:t>
      </w:r>
      <w:proofErr w:type="spellStart"/>
      <w:r w:rsidRPr="00650C25">
        <w:rPr>
          <w:rFonts w:ascii="Times New Roman" w:hAnsi="Times New Roman"/>
        </w:rPr>
        <w:t>Zourkas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xml:space="preserve"> had met three or four times previously. </w:t>
      </w:r>
    </w:p>
    <w:p w14:paraId="320A8FBB"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lastRenderedPageBreak/>
        <w:tab/>
        <w:t>The "system of conduct" devised by AJ Lawyers had a number of features. First, it used asset-based loans secured by mortgages. Under these loans, the lender is concerned with the quality of the assets that can be pledged, or mortgaged, to secure repayment</w:t>
      </w:r>
      <w:r w:rsidRPr="00650C25">
        <w:rPr>
          <w:rStyle w:val="FootnoteReference"/>
          <w:rFonts w:ascii="Times New Roman" w:hAnsi="Times New Roman"/>
          <w:sz w:val="24"/>
        </w:rPr>
        <w:footnoteReference w:id="145"/>
      </w:r>
      <w:r w:rsidRPr="00650C25">
        <w:rPr>
          <w:rFonts w:ascii="Times New Roman" w:hAnsi="Times New Roman"/>
        </w:rPr>
        <w:t>. The loans are always secured in this way. There is, however, no one "type" of asset-based lending</w:t>
      </w:r>
      <w:r w:rsidRPr="00650C25">
        <w:rPr>
          <w:rStyle w:val="FootnoteReference"/>
          <w:rFonts w:ascii="Times New Roman" w:hAnsi="Times New Roman"/>
          <w:sz w:val="24"/>
        </w:rPr>
        <w:footnoteReference w:id="146"/>
      </w:r>
      <w:r w:rsidRPr="00650C25">
        <w:rPr>
          <w:rFonts w:ascii="Times New Roman" w:hAnsi="Times New Roman"/>
        </w:rPr>
        <w:t>. Parties are always free to negotiate their own particular terms for lending money. The type of asset-based lending used by AJ Lawyers, if it may be so termed, contained the following further feature. The lender, once satisfied with the borrower's security, otherwise has no interest in, and makes no enquiries about, the borrower's capacity to service the loan</w:t>
      </w:r>
      <w:r w:rsidRPr="00650C25">
        <w:rPr>
          <w:rStyle w:val="FootnoteReference"/>
          <w:rFonts w:ascii="Times New Roman" w:hAnsi="Times New Roman"/>
          <w:sz w:val="24"/>
        </w:rPr>
        <w:footnoteReference w:id="147"/>
      </w:r>
      <w:r w:rsidRPr="00650C25">
        <w:rPr>
          <w:rFonts w:ascii="Times New Roman" w:hAnsi="Times New Roman"/>
        </w:rPr>
        <w:t>. In this case, the "system of conduct" permitted Mr Jeruzalski, as agent for the respondents, to proceed with the first loan even though he was most probably aware that the appellant had no income. Indeed, Mr Jeruzalski said in evidence</w:t>
      </w:r>
      <w:r w:rsidRPr="00650C25">
        <w:rPr>
          <w:rStyle w:val="FootnoteReference"/>
          <w:rFonts w:ascii="Times New Roman" w:hAnsi="Times New Roman"/>
          <w:sz w:val="24"/>
        </w:rPr>
        <w:footnoteReference w:id="148"/>
      </w:r>
      <w:r w:rsidRPr="00650C25">
        <w:rPr>
          <w:rFonts w:ascii="Times New Roman" w:hAnsi="Times New Roman"/>
        </w:rPr>
        <w:t>:</w:t>
      </w:r>
    </w:p>
    <w:p w14:paraId="5A38B686" w14:textId="77777777" w:rsidR="00CD32FB" w:rsidRDefault="00CD32FB" w:rsidP="00650C25">
      <w:pPr>
        <w:pStyle w:val="LeftrightafterHC"/>
        <w:keepNext/>
        <w:spacing w:before="0" w:after="260" w:line="280" w:lineRule="exact"/>
        <w:ind w:right="0"/>
        <w:jc w:val="both"/>
        <w:rPr>
          <w:rFonts w:ascii="Times New Roman" w:hAnsi="Times New Roman"/>
        </w:rPr>
      </w:pPr>
      <w:r w:rsidRPr="00650C25">
        <w:rPr>
          <w:rFonts w:ascii="Times New Roman" w:hAnsi="Times New Roman"/>
        </w:rPr>
        <w:t>"If [the appellant] had an income sufficient to service a loan of that amount, he would've gone to a bank."</w:t>
      </w:r>
    </w:p>
    <w:p w14:paraId="4CBF185B"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It was on this basis that the primary judge found that Mr Jeruzalski suspected that the appellant had no income to service the loans and also knew that the guarantee was a risky and dangerous undertaking for him</w:t>
      </w:r>
      <w:r w:rsidRPr="00650C25">
        <w:rPr>
          <w:rStyle w:val="FootnoteReference"/>
          <w:rFonts w:ascii="Times New Roman" w:hAnsi="Times New Roman"/>
          <w:bCs/>
          <w:sz w:val="24"/>
        </w:rPr>
        <w:footnoteReference w:id="149"/>
      </w:r>
      <w:r w:rsidRPr="00650C25">
        <w:rPr>
          <w:rFonts w:ascii="Times New Roman" w:hAnsi="Times New Roman"/>
        </w:rPr>
        <w:t>.</w:t>
      </w:r>
    </w:p>
    <w:p w14:paraId="5A16478E"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Inferentially, the system of asset-based lending used by AJ Lawyers could have been attractive to financially distressed individuals or entities who are not eligible to obtain a loan in the ordinary way. That was the case here with the appellant. In that respect, the respondents emphasised that, but for the availability </w:t>
      </w:r>
      <w:r w:rsidRPr="00650C25">
        <w:rPr>
          <w:rFonts w:ascii="Times New Roman" w:hAnsi="Times New Roman"/>
        </w:rPr>
        <w:lastRenderedPageBreak/>
        <w:t>of the asset-based loans offered by AJ Lawyers' clients, the appellant would never have been able to raise the funds he needed. The respondents also submitted that he borrowed here understanding the obligations and risks involved.</w:t>
      </w:r>
    </w:p>
    <w:p w14:paraId="23C3ED07"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Another feature of the loan system used by AJ Lawyers, at least in the case of the appellant, is that it imposed an obligation to pay interest at rates that appeared to be greater than that which might be obtained in a subsequent refinancing with a bank. Certainly, the appellant expected this. Here, absent an act of default, the rate in relation to the first loan was 10% per annum and in relation to the second loan the rate was 18%. Upon an act of default taking place, the interest rate on the first loan increased to 17% per annum and on the second to 25%.</w:t>
      </w:r>
    </w:p>
    <w:p w14:paraId="2E68E23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Secondly, to buttress the "system of conduct" and to reduce the possibility that loans made to potentially impecunious land owners might be set aside, AJ Lawyers only ever organised loans to companies. This was said to avoid the </w:t>
      </w:r>
      <w:r w:rsidRPr="00650C25">
        <w:rPr>
          <w:rFonts w:ascii="Times New Roman" w:hAnsi="Times New Roman"/>
          <w:i/>
        </w:rPr>
        <w:t>National Credit Code</w:t>
      </w:r>
      <w:r w:rsidRPr="00650C25">
        <w:rPr>
          <w:rFonts w:ascii="Times New Roman" w:hAnsi="Times New Roman"/>
        </w:rPr>
        <w:t xml:space="preserve"> contained in Sch 1 to the </w:t>
      </w:r>
      <w:r w:rsidRPr="00650C25">
        <w:rPr>
          <w:rFonts w:ascii="Times New Roman" w:hAnsi="Times New Roman"/>
          <w:i/>
        </w:rPr>
        <w:t xml:space="preserve">National Consumer Credit Protection Act 2009 </w:t>
      </w:r>
      <w:r w:rsidRPr="00650C25">
        <w:rPr>
          <w:rFonts w:ascii="Times New Roman" w:hAnsi="Times New Roman"/>
        </w:rPr>
        <w:t xml:space="preserve">(Cth). This step in the "system of conduct" explains the presence of VBC as the borrower. In addition, to remove any further risk that the </w:t>
      </w:r>
      <w:r w:rsidRPr="00650C25">
        <w:rPr>
          <w:rFonts w:ascii="Times New Roman" w:hAnsi="Times New Roman"/>
          <w:i/>
          <w:iCs/>
        </w:rPr>
        <w:t>National Credit Code</w:t>
      </w:r>
      <w:r w:rsidRPr="00650C25">
        <w:rPr>
          <w:rFonts w:ascii="Times New Roman" w:hAnsi="Times New Roman"/>
        </w:rPr>
        <w:t xml:space="preserve"> might apply, AJ Lawyers always stipulated in the documentation that the loans were not to be used for personal, domestic or household purposes. </w:t>
      </w:r>
    </w:p>
    <w:p w14:paraId="08BBF696"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Thirdly, lending to potentially impecunious individuals raised the risk that equity might intervene to inhibit the enforcement of the loans Mr Jeruzalski organised on behalf of AJ Lawyers' clients. That is because AJ Lawyers knew that the loans could cause severe damage to a guarantor, such as the appellant, if the loans could not be serviced. These loans were, as the primary judge found, a "dangerous product in the wrong hands"</w:t>
      </w:r>
      <w:r w:rsidRPr="00650C25">
        <w:rPr>
          <w:rStyle w:val="FootnoteReference"/>
          <w:rFonts w:ascii="Times New Roman" w:hAnsi="Times New Roman"/>
          <w:sz w:val="24"/>
        </w:rPr>
        <w:footnoteReference w:id="150"/>
      </w:r>
      <w:r w:rsidRPr="00650C25">
        <w:rPr>
          <w:rFonts w:ascii="Times New Roman" w:hAnsi="Times New Roman"/>
        </w:rPr>
        <w:t>.</w:t>
      </w:r>
    </w:p>
    <w:p w14:paraId="2DEF835A"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Fourthly, in response to this potential issue, AJ Lawyers took deliberate steps, in the case of the appellant, to ensure that it did not ascertain any information about VBC's actual financial capacity to service the loans made to it or about the appellant's economic capacity to guarantee the performance of the loans. To assist in achieving this end, AJ Lawyers used Mr </w:t>
      </w:r>
      <w:proofErr w:type="spellStart"/>
      <w:r w:rsidRPr="00650C25">
        <w:rPr>
          <w:rFonts w:ascii="Times New Roman" w:hAnsi="Times New Roman"/>
        </w:rPr>
        <w:t>Zourkas</w:t>
      </w:r>
      <w:proofErr w:type="spellEnd"/>
      <w:r w:rsidRPr="00650C25">
        <w:rPr>
          <w:rFonts w:ascii="Times New Roman" w:hAnsi="Times New Roman"/>
        </w:rPr>
        <w:t>, as the intermediary, to deal exclusively with the appellant. Deliberate steps were taken to ensure that AJ Lawyers did not obtain any information about the appellant's financial circumstances and, further, to ensure that the firm was not informed of the representations and inducements made by Mr </w:t>
      </w:r>
      <w:proofErr w:type="spellStart"/>
      <w:r w:rsidRPr="00650C25">
        <w:rPr>
          <w:rFonts w:ascii="Times New Roman" w:hAnsi="Times New Roman"/>
        </w:rPr>
        <w:t>Zourkas</w:t>
      </w:r>
      <w:proofErr w:type="spellEnd"/>
      <w:r w:rsidRPr="00650C25">
        <w:rPr>
          <w:rFonts w:ascii="Times New Roman" w:hAnsi="Times New Roman"/>
        </w:rPr>
        <w:t xml:space="preserve"> to the appellant.</w:t>
      </w:r>
    </w:p>
    <w:p w14:paraId="588EE9A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Fifthly, in an attempt to enhance the enforceability of each loan, the system required the procurement of two certificates – one from a solicitor and one from an accountant. Without both certificates there would be no loans. Each pro forma </w:t>
      </w:r>
      <w:r w:rsidRPr="00650C25">
        <w:rPr>
          <w:rFonts w:ascii="Times New Roman" w:hAnsi="Times New Roman"/>
        </w:rPr>
        <w:lastRenderedPageBreak/>
        <w:t>certificate used here had been drafted by Mr Jeruzalski.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xml:space="preserve"> were chosen by Mr </w:t>
      </w:r>
      <w:proofErr w:type="spellStart"/>
      <w:r w:rsidRPr="00650C25">
        <w:rPr>
          <w:rFonts w:ascii="Times New Roman" w:hAnsi="Times New Roman"/>
        </w:rPr>
        <w:t>Zourkas</w:t>
      </w:r>
      <w:proofErr w:type="spellEnd"/>
      <w:r w:rsidRPr="00650C25">
        <w:rPr>
          <w:rFonts w:ascii="Times New Roman" w:hAnsi="Times New Roman"/>
        </w:rPr>
        <w:t xml:space="preserve"> to be the independent solicitor and accountant. </w:t>
      </w:r>
    </w:p>
    <w:p w14:paraId="7DA5F92A"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the case of Mr </w:t>
      </w:r>
      <w:proofErr w:type="spellStart"/>
      <w:r w:rsidRPr="00650C25">
        <w:rPr>
          <w:rFonts w:ascii="Times New Roman" w:hAnsi="Times New Roman"/>
        </w:rPr>
        <w:t>Kiatos</w:t>
      </w:r>
      <w:proofErr w:type="spellEnd"/>
      <w:r w:rsidRPr="00650C25">
        <w:rPr>
          <w:rFonts w:ascii="Times New Roman" w:hAnsi="Times New Roman"/>
        </w:rPr>
        <w:t>, what was here headed "Certificate of Independent Legal Advice" ("the Legal Certificate") was addressed to the respondents. It identified both VBC and the appellant, and under the heading "Acknowledgement by Guarantor" asked the appellant the following questions:</w:t>
      </w:r>
    </w:p>
    <w:p w14:paraId="6354B020" w14:textId="77777777" w:rsidR="00CD32FB" w:rsidRPr="00650C25" w:rsidRDefault="00CD32FB" w:rsidP="00650C25">
      <w:pPr>
        <w:pStyle w:val="LRHangingafterHC"/>
        <w:keepNext/>
        <w:spacing w:before="0" w:after="260" w:line="280" w:lineRule="exact"/>
        <w:ind w:right="0"/>
        <w:jc w:val="both"/>
        <w:rPr>
          <w:rFonts w:ascii="Times New Roman" w:hAnsi="Times New Roman"/>
        </w:rPr>
      </w:pPr>
      <w:r w:rsidRPr="00650C25">
        <w:rPr>
          <w:rFonts w:ascii="Times New Roman" w:hAnsi="Times New Roman"/>
        </w:rPr>
        <w:t>"1.</w:t>
      </w:r>
      <w:r w:rsidRPr="00650C25">
        <w:rPr>
          <w:rFonts w:ascii="Times New Roman" w:hAnsi="Times New Roman"/>
        </w:rPr>
        <w:tab/>
        <w:t>Have you received copies of the documents described under the heading 'Security Documents' below?</w:t>
      </w:r>
    </w:p>
    <w:p w14:paraId="42F59CCF"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2.</w:t>
      </w:r>
      <w:r w:rsidRPr="00650C25">
        <w:rPr>
          <w:rFonts w:ascii="Times New Roman" w:hAnsi="Times New Roman"/>
        </w:rPr>
        <w:tab/>
        <w:t>Have you been given an opportunity to read those Security Documents?</w:t>
      </w:r>
    </w:p>
    <w:p w14:paraId="638D7B3A"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3.</w:t>
      </w:r>
      <w:r w:rsidRPr="00650C25">
        <w:rPr>
          <w:rFonts w:ascii="Times New Roman" w:hAnsi="Times New Roman"/>
        </w:rPr>
        <w:tab/>
        <w:t>Have the Security Documents been fully explained to you by your solicitor?</w:t>
      </w:r>
    </w:p>
    <w:p w14:paraId="45BD4B98"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4.</w:t>
      </w:r>
      <w:r w:rsidRPr="00650C25">
        <w:rPr>
          <w:rFonts w:ascii="Times New Roman" w:hAnsi="Times New Roman"/>
        </w:rPr>
        <w:tab/>
        <w:t>Do you understand the effects of the Security Documents and the consequences to you if the Borrower defaults on its obligations to the Lender?</w:t>
      </w:r>
    </w:p>
    <w:p w14:paraId="0A09D2CD"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5.</w:t>
      </w:r>
      <w:r w:rsidRPr="00650C25">
        <w:rPr>
          <w:rFonts w:ascii="Times New Roman" w:hAnsi="Times New Roman"/>
        </w:rPr>
        <w:tab/>
        <w:t>In particular, do you understand that if the Borrower fails to pay all of the moneys due to the Borrower to the Lender then the Lender will be entitled to call on you as Guarantor to recover the moneys due to it?</w:t>
      </w:r>
    </w:p>
    <w:p w14:paraId="35E8A803" w14:textId="77777777" w:rsidR="00CD32FB"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6.</w:t>
      </w:r>
      <w:r w:rsidRPr="00650C25">
        <w:rPr>
          <w:rFonts w:ascii="Times New Roman" w:hAnsi="Times New Roman"/>
        </w:rPr>
        <w:tab/>
        <w:t>Was this Acknowledgement read and signed by you BEFORE you signed the Security Documents?"</w:t>
      </w:r>
    </w:p>
    <w:p w14:paraId="39825501"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Legal Certificate in this case continued with the following:</w:t>
      </w:r>
    </w:p>
    <w:p w14:paraId="5803E001" w14:textId="77777777" w:rsidR="00CD32FB" w:rsidRPr="00650C25" w:rsidRDefault="00CD32FB" w:rsidP="00650C25">
      <w:pPr>
        <w:pStyle w:val="LeftrightafterHC"/>
        <w:keepNext/>
        <w:spacing w:before="0" w:after="260" w:line="280" w:lineRule="exact"/>
        <w:ind w:right="0"/>
        <w:jc w:val="both"/>
        <w:rPr>
          <w:rFonts w:ascii="Times New Roman" w:hAnsi="Times New Roman"/>
        </w:rPr>
      </w:pPr>
      <w:r w:rsidRPr="00650C25">
        <w:rPr>
          <w:rFonts w:ascii="Times New Roman" w:hAnsi="Times New Roman"/>
        </w:rPr>
        <w:t>"I confirm the accuracy of the answers to the above questions and acknowledge that the Lender will be relying on these answers in respect of giving the loan to [VBC].</w:t>
      </w:r>
    </w:p>
    <w:p w14:paraId="27B55BA2" w14:textId="77777777" w:rsidR="00CD32FB" w:rsidRDefault="00CD32FB" w:rsidP="00650C25">
      <w:pPr>
        <w:pStyle w:val="leftright"/>
        <w:spacing w:before="0" w:after="260" w:line="280" w:lineRule="exact"/>
        <w:ind w:right="0"/>
        <w:jc w:val="both"/>
        <w:rPr>
          <w:rFonts w:ascii="Times New Roman" w:hAnsi="Times New Roman"/>
        </w:rPr>
      </w:pPr>
      <w:r w:rsidRPr="00650C25">
        <w:rPr>
          <w:rFonts w:ascii="Times New Roman" w:hAnsi="Times New Roman"/>
        </w:rPr>
        <w:t>I request the Lender to give this loan to the Borrower."</w:t>
      </w:r>
    </w:p>
    <w:p w14:paraId="7389247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Legal Certificate needed to be signed by the proposed guarantor, with that signature witnessed by the solicitor. Below these signatures, the form contained a "Certificate by Independent Solicitor" in the following terms:</w:t>
      </w:r>
    </w:p>
    <w:p w14:paraId="6F483E5E" w14:textId="77777777" w:rsidR="00CD32FB" w:rsidRDefault="00CD32FB" w:rsidP="00650C25">
      <w:pPr>
        <w:pStyle w:val="LeftrightafterHC"/>
        <w:keepNext/>
        <w:spacing w:before="0" w:after="260" w:line="280" w:lineRule="exact"/>
        <w:ind w:right="0"/>
        <w:jc w:val="both"/>
        <w:rPr>
          <w:rFonts w:ascii="Times New Roman" w:hAnsi="Times New Roman"/>
        </w:rPr>
      </w:pPr>
      <w:r w:rsidRPr="00650C25">
        <w:rPr>
          <w:rFonts w:ascii="Times New Roman" w:hAnsi="Times New Roman"/>
        </w:rPr>
        <w:t xml:space="preserve">"Before the Security Documents were executed by the Guarantor/s I explained the contents, nature and effect of them to the Guarantor/s. In particular, I explained and advised on the consequences of default under the relevant Security Documents, including the Lender/Mortgagee's right to sell the property constituting the security. The Guarantors appeared to be aware </w:t>
      </w:r>
      <w:r w:rsidRPr="00650C25">
        <w:rPr>
          <w:rFonts w:ascii="Times New Roman" w:hAnsi="Times New Roman"/>
        </w:rPr>
        <w:lastRenderedPageBreak/>
        <w:t>of and to understand the terms, nature and effect of the Security Documents and their obligations under them. I have made a diary note of the advice and explanation give to the Guarantor/s."</w:t>
      </w:r>
    </w:p>
    <w:p w14:paraId="418DA03F"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document headed "Certificate of Independent Financial Advice" ("the Financial Certificate") contained, in this case, the following certification by Mr </w:t>
      </w:r>
      <w:proofErr w:type="spellStart"/>
      <w:r w:rsidRPr="00650C25">
        <w:rPr>
          <w:rFonts w:ascii="Times New Roman" w:hAnsi="Times New Roman"/>
        </w:rPr>
        <w:t>Topalides</w:t>
      </w:r>
      <w:proofErr w:type="spellEnd"/>
      <w:r w:rsidRPr="00650C25">
        <w:rPr>
          <w:rFonts w:ascii="Times New Roman" w:hAnsi="Times New Roman"/>
        </w:rPr>
        <w:t xml:space="preserve"> concerning the risks to be undertaken by VBC:</w:t>
      </w:r>
    </w:p>
    <w:p w14:paraId="714973B7" w14:textId="77777777" w:rsidR="00CD32FB" w:rsidRPr="00650C25" w:rsidRDefault="00CD32FB" w:rsidP="00650C25">
      <w:pPr>
        <w:pStyle w:val="LeftrightafterHC"/>
        <w:keepNext/>
        <w:spacing w:before="0" w:after="260" w:line="280" w:lineRule="exact"/>
        <w:ind w:left="1440" w:right="0" w:hanging="720"/>
        <w:jc w:val="both"/>
        <w:rPr>
          <w:rFonts w:ascii="Times New Roman" w:hAnsi="Times New Roman"/>
        </w:rPr>
      </w:pPr>
      <w:r w:rsidRPr="00650C25">
        <w:rPr>
          <w:rFonts w:ascii="Times New Roman" w:hAnsi="Times New Roman"/>
        </w:rPr>
        <w:t>"1</w:t>
      </w:r>
      <w:r w:rsidRPr="00650C25">
        <w:rPr>
          <w:rFonts w:ascii="Times New Roman" w:hAnsi="Times New Roman"/>
        </w:rPr>
        <w:tab/>
        <w:t xml:space="preserve">I have been instructed by [VBC] to explain the financial risks being assumed:- </w:t>
      </w:r>
    </w:p>
    <w:p w14:paraId="29E923BA" w14:textId="77777777" w:rsidR="00CD32FB" w:rsidRPr="00650C25" w:rsidRDefault="00CD32FB" w:rsidP="00650C25">
      <w:pPr>
        <w:pStyle w:val="leftright"/>
        <w:spacing w:before="0" w:after="260" w:line="280" w:lineRule="exact"/>
        <w:ind w:left="2160" w:right="0" w:hanging="720"/>
        <w:jc w:val="both"/>
        <w:rPr>
          <w:rFonts w:ascii="Times New Roman" w:hAnsi="Times New Roman"/>
        </w:rPr>
      </w:pPr>
      <w:r w:rsidRPr="00650C25">
        <w:rPr>
          <w:rFonts w:ascii="Times New Roman" w:hAnsi="Times New Roman"/>
        </w:rPr>
        <w:t>(a)</w:t>
      </w:r>
      <w:r w:rsidRPr="00650C25">
        <w:rPr>
          <w:rFonts w:ascii="Times New Roman" w:hAnsi="Times New Roman"/>
        </w:rPr>
        <w:tab/>
        <w:t xml:space="preserve">by executing the security documents in respect of the financial accommodation to be provided by the Lender which security documents are referred to in Item 1 of the Schedule below ('the Security'); </w:t>
      </w:r>
    </w:p>
    <w:p w14:paraId="700C4DF1" w14:textId="77777777" w:rsidR="00CD32FB" w:rsidRPr="00650C25" w:rsidRDefault="00CD32FB" w:rsidP="00650C25">
      <w:pPr>
        <w:pStyle w:val="leftright"/>
        <w:spacing w:before="0" w:after="260" w:line="280" w:lineRule="exact"/>
        <w:ind w:left="2160" w:right="0" w:hanging="720"/>
        <w:jc w:val="both"/>
        <w:rPr>
          <w:rFonts w:ascii="Times New Roman" w:hAnsi="Times New Roman"/>
        </w:rPr>
      </w:pPr>
      <w:r w:rsidRPr="00650C25">
        <w:rPr>
          <w:rFonts w:ascii="Times New Roman" w:hAnsi="Times New Roman"/>
        </w:rPr>
        <w:t>(b)</w:t>
      </w:r>
      <w:r w:rsidRPr="00650C25">
        <w:rPr>
          <w:rFonts w:ascii="Times New Roman" w:hAnsi="Times New Roman"/>
        </w:rPr>
        <w:tab/>
        <w:t xml:space="preserve">by the application of the said financial accommodation for the purposes referred to in Item 2 of the Schedule below. </w:t>
      </w:r>
    </w:p>
    <w:p w14:paraId="2316F94F"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2</w:t>
      </w:r>
      <w:r w:rsidRPr="00650C25">
        <w:rPr>
          <w:rFonts w:ascii="Times New Roman" w:hAnsi="Times New Roman"/>
        </w:rPr>
        <w:tab/>
        <w:t xml:space="preserve">Before the Security was executed by the Borrower, I explained the financial risk being assumed by executing the Security and by the application of the aforesaid financial accommodation in the manner stated in Item 2 of the Schedule. </w:t>
      </w:r>
    </w:p>
    <w:p w14:paraId="43670EC3"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3</w:t>
      </w:r>
      <w:r w:rsidRPr="00650C25">
        <w:rPr>
          <w:rFonts w:ascii="Times New Roman" w:hAnsi="Times New Roman"/>
        </w:rPr>
        <w:tab/>
        <w:t xml:space="preserve">To the best of my knowledge and belief and in my opinion the Borrower appears to understand the nature and extent of the financial risk which the Security places and the nature and extent of the financial risk which will be assumed by the application of the aforesaid financial accommodation in the manner stated in Item [2] of the Schedule. </w:t>
      </w:r>
    </w:p>
    <w:p w14:paraId="63AE181E"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4</w:t>
      </w:r>
      <w:r w:rsidRPr="00650C25">
        <w:rPr>
          <w:rFonts w:ascii="Times New Roman" w:hAnsi="Times New Roman"/>
        </w:rPr>
        <w:tab/>
        <w:t xml:space="preserve">I have been engaged by the Borrower in advising and have given this Certificate entirely independently of any other Borrower or Guarantor. </w:t>
      </w:r>
    </w:p>
    <w:p w14:paraId="28E02977" w14:textId="77777777" w:rsidR="00CD32FB" w:rsidRDefault="00CD32FB" w:rsidP="00650C25">
      <w:pPr>
        <w:pStyle w:val="leftright"/>
        <w:spacing w:before="0" w:after="260" w:line="280" w:lineRule="exact"/>
        <w:ind w:right="0"/>
        <w:jc w:val="both"/>
        <w:rPr>
          <w:rFonts w:ascii="Times New Roman" w:hAnsi="Times New Roman"/>
        </w:rPr>
      </w:pPr>
      <w:r w:rsidRPr="00650C25">
        <w:rPr>
          <w:rFonts w:ascii="Times New Roman" w:hAnsi="Times New Roman"/>
        </w:rPr>
        <w:t>5</w:t>
      </w:r>
      <w:r w:rsidRPr="00650C25">
        <w:rPr>
          <w:rFonts w:ascii="Times New Roman" w:hAnsi="Times New Roman"/>
        </w:rPr>
        <w:tab/>
        <w:t>The Loan herein is required for business purposes."</w:t>
      </w:r>
    </w:p>
    <w:p w14:paraId="3AA389A8"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By these means, AJ Lawyers sought to immunise the loans it had organised from the reach of equitable remedies. That this was the very object of the "system of conduct" was conceded by Mr Jeruzalski, who gave evidence, as already mentioned, with "apparent smugness" when he explained that this was so</w:t>
      </w:r>
      <w:r w:rsidRPr="00650C25">
        <w:rPr>
          <w:rStyle w:val="FootnoteReference"/>
          <w:rFonts w:ascii="Times New Roman" w:hAnsi="Times New Roman"/>
          <w:sz w:val="24"/>
        </w:rPr>
        <w:footnoteReference w:id="151"/>
      </w:r>
      <w:r w:rsidRPr="00650C25">
        <w:rPr>
          <w:rFonts w:ascii="Times New Roman" w:hAnsi="Times New Roman"/>
        </w:rPr>
        <w:t xml:space="preserve">. </w:t>
      </w:r>
      <w:r w:rsidRPr="00650C25">
        <w:rPr>
          <w:rFonts w:ascii="Times New Roman" w:hAnsi="Times New Roman"/>
        </w:rPr>
        <w:lastRenderedPageBreak/>
        <w:t>Obtaining the Certificates from a solicitor and an accountant was an essential part of this system.</w:t>
      </w:r>
    </w:p>
    <w:p w14:paraId="2EE4BA30"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A final critical feature of the "system of conduct" was the enrichment of AJ Lawyers, Mr </w:t>
      </w:r>
      <w:proofErr w:type="spellStart"/>
      <w:r w:rsidRPr="00650C25">
        <w:rPr>
          <w:rFonts w:ascii="Times New Roman" w:hAnsi="Times New Roman"/>
        </w:rPr>
        <w:t>Zourkas</w:t>
      </w:r>
      <w:proofErr w:type="spellEnd"/>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This was achieved by obliging the appellant to pay AJ Lawyers and the individuals consultancy, procuration and other fees. For the most part, these fees were funded out of the loan proceeds. Indeed, as the Court of Appeal observed, the smaller second loan was needed precisely to enable these fees to be paid, together with "mortgagees' legal costs totalling $31,500 to AJ Lawyers; the costs and expenses of the purchase of the Fingal property, including stamp duty; and, importantly, the first month's interest under the two mortgages (about $10,000), which was payable in advance"</w:t>
      </w:r>
      <w:r w:rsidRPr="00650C25">
        <w:rPr>
          <w:rStyle w:val="FootnoteReference"/>
          <w:rFonts w:ascii="Times New Roman" w:hAnsi="Times New Roman"/>
          <w:sz w:val="24"/>
        </w:rPr>
        <w:footnoteReference w:id="152"/>
      </w:r>
      <w:r w:rsidRPr="00650C25">
        <w:rPr>
          <w:rFonts w:ascii="Times New Roman" w:hAnsi="Times New Roman"/>
        </w:rPr>
        <w:t>.</w:t>
      </w:r>
    </w:p>
    <w:p w14:paraId="17C79A35" w14:textId="77777777" w:rsidR="00CD32FB" w:rsidRPr="00650C25" w:rsidRDefault="00CD32FB" w:rsidP="00650C25">
      <w:pPr>
        <w:pStyle w:val="HeadingL1"/>
        <w:spacing w:after="260" w:line="280" w:lineRule="exact"/>
        <w:ind w:right="0"/>
        <w:jc w:val="both"/>
        <w:rPr>
          <w:rFonts w:ascii="Times New Roman" w:hAnsi="Times New Roman"/>
        </w:rPr>
      </w:pPr>
      <w:r w:rsidRPr="00650C25">
        <w:rPr>
          <w:rFonts w:ascii="Times New Roman" w:hAnsi="Times New Roman"/>
        </w:rPr>
        <w:t>Application of the "system of conduct" to the appellant</w:t>
      </w:r>
    </w:p>
    <w:p w14:paraId="5F73A3C4" w14:textId="77777777" w:rsidR="00CD32FB" w:rsidRPr="00650C25" w:rsidRDefault="00CD32FB" w:rsidP="00650C25">
      <w:pPr>
        <w:pStyle w:val="HeadingL2"/>
        <w:spacing w:after="260" w:line="280" w:lineRule="exact"/>
        <w:ind w:right="0"/>
        <w:jc w:val="both"/>
        <w:rPr>
          <w:rFonts w:ascii="Times New Roman" w:hAnsi="Times New Roman"/>
        </w:rPr>
      </w:pPr>
      <w:r w:rsidRPr="00650C25">
        <w:rPr>
          <w:rFonts w:ascii="Times New Roman" w:hAnsi="Times New Roman"/>
        </w:rPr>
        <w:t>Meetings with Mr </w:t>
      </w:r>
      <w:proofErr w:type="spellStart"/>
      <w:r w:rsidRPr="00650C25">
        <w:rPr>
          <w:rFonts w:ascii="Times New Roman" w:hAnsi="Times New Roman"/>
        </w:rPr>
        <w:t>Zourkas</w:t>
      </w:r>
      <w:proofErr w:type="spellEnd"/>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p>
    <w:p w14:paraId="725E7F1A"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Initially the appellant attempted to borrow from the ANZ Bank. However, his application was refused because he had no financial records, such as tax returns. He was then put on to Mr </w:t>
      </w:r>
      <w:proofErr w:type="spellStart"/>
      <w:r w:rsidRPr="00650C25">
        <w:rPr>
          <w:rFonts w:ascii="Times New Roman" w:hAnsi="Times New Roman"/>
        </w:rPr>
        <w:t>Zourkas</w:t>
      </w:r>
      <w:proofErr w:type="spellEnd"/>
      <w:r w:rsidRPr="00650C25">
        <w:rPr>
          <w:rFonts w:ascii="Times New Roman" w:hAnsi="Times New Roman"/>
        </w:rPr>
        <w:t>. There was an initial telephone conversation between the appellant and Mr </w:t>
      </w:r>
      <w:proofErr w:type="spellStart"/>
      <w:r w:rsidRPr="00650C25">
        <w:rPr>
          <w:rFonts w:ascii="Times New Roman" w:hAnsi="Times New Roman"/>
        </w:rPr>
        <w:t>Zourkas</w:t>
      </w:r>
      <w:proofErr w:type="spellEnd"/>
      <w:r w:rsidRPr="00650C25">
        <w:rPr>
          <w:rFonts w:ascii="Times New Roman" w:hAnsi="Times New Roman"/>
        </w:rPr>
        <w:t xml:space="preserve"> and then six further meetings. Mr </w:t>
      </w:r>
      <w:proofErr w:type="spellStart"/>
      <w:r w:rsidRPr="00650C25">
        <w:rPr>
          <w:rFonts w:ascii="Times New Roman" w:hAnsi="Times New Roman"/>
        </w:rPr>
        <w:t>Zourkas</w:t>
      </w:r>
      <w:proofErr w:type="spellEnd"/>
      <w:r w:rsidRPr="00650C25">
        <w:rPr>
          <w:rFonts w:ascii="Times New Roman" w:hAnsi="Times New Roman"/>
        </w:rPr>
        <w:t xml:space="preserve"> suggested that the appellant borrow enough to pay out the loans relating to the Narre Warren properties ($240,000), to pay $900,000 for the Fingal property, and to pay for three months of interest, which Mr </w:t>
      </w:r>
      <w:proofErr w:type="spellStart"/>
      <w:r w:rsidRPr="00650C25">
        <w:rPr>
          <w:rFonts w:ascii="Times New Roman" w:hAnsi="Times New Roman"/>
        </w:rPr>
        <w:t>Zourkas</w:t>
      </w:r>
      <w:proofErr w:type="spellEnd"/>
      <w:r w:rsidRPr="00650C25">
        <w:rPr>
          <w:rFonts w:ascii="Times New Roman" w:hAnsi="Times New Roman"/>
        </w:rPr>
        <w:t xml:space="preserve"> said would be $8,000 per month. He told the appellant that the loan should be around $1,059,000. Mr </w:t>
      </w:r>
      <w:proofErr w:type="spellStart"/>
      <w:r w:rsidRPr="00650C25">
        <w:rPr>
          <w:rFonts w:ascii="Times New Roman" w:hAnsi="Times New Roman"/>
        </w:rPr>
        <w:t>Zourkas</w:t>
      </w:r>
      <w:proofErr w:type="spellEnd"/>
      <w:r w:rsidRPr="00650C25">
        <w:rPr>
          <w:rFonts w:ascii="Times New Roman" w:hAnsi="Times New Roman"/>
        </w:rPr>
        <w:t xml:space="preserve"> never asked the appellant whether he had the means to make any further interest payments. As already mentioned, he believed (and not merely suspected) that the appellant had no money. Mr </w:t>
      </w:r>
      <w:proofErr w:type="spellStart"/>
      <w:r w:rsidRPr="00650C25">
        <w:rPr>
          <w:rFonts w:ascii="Times New Roman" w:hAnsi="Times New Roman"/>
        </w:rPr>
        <w:t>Zourkas</w:t>
      </w:r>
      <w:proofErr w:type="spellEnd"/>
      <w:r w:rsidRPr="00650C25">
        <w:rPr>
          <w:rFonts w:ascii="Times New Roman" w:hAnsi="Times New Roman"/>
        </w:rPr>
        <w:t xml:space="preserve"> told the appellant that all applicable fees would "be covered". He also told the appellant that he would have surplus loan funds of $53,000, which would be used to pay the first three months of interest and to renovate the Narre Warren houses. Remarkably, Mr </w:t>
      </w:r>
      <w:proofErr w:type="spellStart"/>
      <w:r w:rsidRPr="00650C25">
        <w:rPr>
          <w:rFonts w:ascii="Times New Roman" w:hAnsi="Times New Roman"/>
        </w:rPr>
        <w:t>Zourkas</w:t>
      </w:r>
      <w:proofErr w:type="spellEnd"/>
      <w:r w:rsidRPr="00650C25">
        <w:rPr>
          <w:rFonts w:ascii="Times New Roman" w:hAnsi="Times New Roman"/>
        </w:rPr>
        <w:t xml:space="preserve"> also told the appellant that based upon a record of having made three monthly interest payments, and no more, the appellant would then be able to refinance his loans with a bank with lower interest rates. The appellant thought that once he had sold the Narre Warren properties, his outstanding overall loan balance to be refinanced would be only $300,000.</w:t>
      </w:r>
    </w:p>
    <w:p w14:paraId="2E3EEDAD"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At the fourth meeting, reassured by Mr </w:t>
      </w:r>
      <w:proofErr w:type="spellStart"/>
      <w:r w:rsidRPr="00650C25">
        <w:rPr>
          <w:rFonts w:ascii="Times New Roman" w:hAnsi="Times New Roman"/>
        </w:rPr>
        <w:t>Zourkas</w:t>
      </w:r>
      <w:proofErr w:type="spellEnd"/>
      <w:r w:rsidRPr="00650C25">
        <w:rPr>
          <w:rFonts w:ascii="Times New Roman" w:hAnsi="Times New Roman"/>
        </w:rPr>
        <w:t xml:space="preserve"> that there would be no problem in obtaining finance, the appellant signed a contract of sale for the Fingal property (for which he had previously placed only a $100 deposit). At the fifth meeting, the appellant, as requested, gave $1,000 in cash to Mr </w:t>
      </w:r>
      <w:proofErr w:type="spellStart"/>
      <w:r w:rsidRPr="00650C25">
        <w:rPr>
          <w:rFonts w:ascii="Times New Roman" w:hAnsi="Times New Roman"/>
        </w:rPr>
        <w:t>Zourkas</w:t>
      </w:r>
      <w:proofErr w:type="spellEnd"/>
      <w:r w:rsidRPr="00650C25">
        <w:rPr>
          <w:rFonts w:ascii="Times New Roman" w:hAnsi="Times New Roman"/>
        </w:rPr>
        <w:t xml:space="preserve"> and he </w:t>
      </w:r>
      <w:r w:rsidRPr="00650C25">
        <w:rPr>
          <w:rFonts w:ascii="Times New Roman" w:hAnsi="Times New Roman"/>
        </w:rPr>
        <w:lastRenderedPageBreak/>
        <w:t>signed offers for the first and second mortgages as well as a "mandate". The latter document obliged the appellant to pay Mr </w:t>
      </w:r>
      <w:proofErr w:type="spellStart"/>
      <w:r w:rsidRPr="00650C25">
        <w:rPr>
          <w:rFonts w:ascii="Times New Roman" w:hAnsi="Times New Roman"/>
        </w:rPr>
        <w:t>Zourkas</w:t>
      </w:r>
      <w:proofErr w:type="spellEnd"/>
      <w:r w:rsidRPr="00650C25">
        <w:rPr>
          <w:rFonts w:ascii="Times New Roman" w:hAnsi="Times New Roman"/>
        </w:rPr>
        <w:t xml:space="preserve"> his fee even if the loans were not ultimately made. At the sixth meeting, Mr </w:t>
      </w:r>
      <w:proofErr w:type="spellStart"/>
      <w:r w:rsidRPr="00650C25">
        <w:rPr>
          <w:rFonts w:ascii="Times New Roman" w:hAnsi="Times New Roman"/>
        </w:rPr>
        <w:t>Zourkas</w:t>
      </w:r>
      <w:proofErr w:type="spellEnd"/>
      <w:r w:rsidRPr="00650C25">
        <w:rPr>
          <w:rFonts w:ascii="Times New Roman" w:hAnsi="Times New Roman"/>
        </w:rPr>
        <w:t xml:space="preserve"> gave the appellant two envelopes, one labelled "accountant" and the other labelled "solicitor". The appellant was told to take the documents contained in the envelopes to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and to have them signed and then returned to Mr </w:t>
      </w:r>
      <w:proofErr w:type="spellStart"/>
      <w:r w:rsidRPr="00650C25">
        <w:rPr>
          <w:rFonts w:ascii="Times New Roman" w:hAnsi="Times New Roman"/>
        </w:rPr>
        <w:t>Zourkas</w:t>
      </w:r>
      <w:proofErr w:type="spellEnd"/>
      <w:r w:rsidRPr="00650C25">
        <w:rPr>
          <w:rFonts w:ascii="Times New Roman" w:hAnsi="Times New Roman"/>
        </w:rPr>
        <w:t xml:space="preserve">. The envelope labelled "solicitor" contained the Legal Certificate described above as well as the applicable loan documents (as prepared by AJ Lawyers) to be executed. The envelope labelled "accountant" enclosed the Financial Certificate and documents pertaining to the first and second mortgages. </w:t>
      </w:r>
    </w:p>
    <w:p w14:paraId="3F30C89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Mr </w:t>
      </w:r>
      <w:proofErr w:type="spellStart"/>
      <w:r w:rsidRPr="00650C25">
        <w:rPr>
          <w:rFonts w:ascii="Times New Roman" w:hAnsi="Times New Roman"/>
        </w:rPr>
        <w:t>Zourkas</w:t>
      </w:r>
      <w:proofErr w:type="spellEnd"/>
      <w:r w:rsidRPr="00650C25">
        <w:rPr>
          <w:rFonts w:ascii="Times New Roman" w:hAnsi="Times New Roman"/>
        </w:rPr>
        <w:t xml:space="preserve"> then met with Mr </w:t>
      </w:r>
      <w:proofErr w:type="spellStart"/>
      <w:r w:rsidRPr="00650C25">
        <w:rPr>
          <w:rFonts w:ascii="Times New Roman" w:hAnsi="Times New Roman"/>
        </w:rPr>
        <w:t>Kiatos</w:t>
      </w:r>
      <w:proofErr w:type="spellEnd"/>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wrote next to each of the questions set out above in the Legal Certificate the word "yes". He also witnessed the appellant's signature on the Legal Certificate. </w:t>
      </w:r>
    </w:p>
    <w:p w14:paraId="4D8CDC71"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What took place when the appellant met Mr </w:t>
      </w:r>
      <w:proofErr w:type="spellStart"/>
      <w:r w:rsidRPr="00650C25">
        <w:rPr>
          <w:rFonts w:ascii="Times New Roman" w:hAnsi="Times New Roman"/>
        </w:rPr>
        <w:t>Topalides</w:t>
      </w:r>
      <w:proofErr w:type="spellEnd"/>
      <w:r w:rsidRPr="00650C25">
        <w:rPr>
          <w:rFonts w:ascii="Times New Roman" w:hAnsi="Times New Roman"/>
        </w:rPr>
        <w:t xml:space="preserve"> was the subject of conflicting evidence before the primary judge. In general, it would appear that the primary judge had difficulty in accepting Mr </w:t>
      </w:r>
      <w:proofErr w:type="spellStart"/>
      <w:r w:rsidRPr="00650C25">
        <w:rPr>
          <w:rFonts w:ascii="Times New Roman" w:hAnsi="Times New Roman"/>
        </w:rPr>
        <w:t>Topalides</w:t>
      </w:r>
      <w:proofErr w:type="spellEnd"/>
      <w:r w:rsidRPr="00650C25">
        <w:rPr>
          <w:rFonts w:ascii="Times New Roman" w:hAnsi="Times New Roman"/>
        </w:rPr>
        <w:t>' account. In essence, the appellant gave evidence that he handed Mr </w:t>
      </w:r>
      <w:proofErr w:type="spellStart"/>
      <w:r w:rsidRPr="00650C25">
        <w:rPr>
          <w:rFonts w:ascii="Times New Roman" w:hAnsi="Times New Roman"/>
        </w:rPr>
        <w:t>Topalides</w:t>
      </w:r>
      <w:proofErr w:type="spellEnd"/>
      <w:r w:rsidRPr="00650C25">
        <w:rPr>
          <w:rFonts w:ascii="Times New Roman" w:hAnsi="Times New Roman"/>
        </w:rPr>
        <w:t xml:space="preserve"> the envelope and $1,000 in cash. Mr </w:t>
      </w:r>
      <w:proofErr w:type="spellStart"/>
      <w:r w:rsidRPr="00650C25">
        <w:rPr>
          <w:rFonts w:ascii="Times New Roman" w:hAnsi="Times New Roman"/>
        </w:rPr>
        <w:t>Topalides</w:t>
      </w:r>
      <w:proofErr w:type="spellEnd"/>
      <w:r w:rsidRPr="00650C25">
        <w:rPr>
          <w:rFonts w:ascii="Times New Roman" w:hAnsi="Times New Roman"/>
        </w:rPr>
        <w:t xml:space="preserve"> looked through the contents of the envelope and then the appellant signed the documents as directed by Mr </w:t>
      </w:r>
      <w:proofErr w:type="spellStart"/>
      <w:r w:rsidRPr="00650C25">
        <w:rPr>
          <w:rFonts w:ascii="Times New Roman" w:hAnsi="Times New Roman"/>
        </w:rPr>
        <w:t>Topalides</w:t>
      </w:r>
      <w:proofErr w:type="spellEnd"/>
      <w:r w:rsidRPr="00650C25">
        <w:rPr>
          <w:rFonts w:ascii="Times New Roman" w:hAnsi="Times New Roman"/>
        </w:rPr>
        <w:t>. Mr </w:t>
      </w:r>
      <w:proofErr w:type="spellStart"/>
      <w:r w:rsidRPr="00650C25">
        <w:rPr>
          <w:rFonts w:ascii="Times New Roman" w:hAnsi="Times New Roman"/>
        </w:rPr>
        <w:t>Topalides</w:t>
      </w:r>
      <w:proofErr w:type="spellEnd"/>
      <w:r w:rsidRPr="00650C25">
        <w:rPr>
          <w:rFonts w:ascii="Times New Roman" w:hAnsi="Times New Roman"/>
        </w:rPr>
        <w:t xml:space="preserve"> asked no questions of the appellant, such as what his earnings were. According to the appellant, the meeting took about 15 minutes. The appellant did not bring to this meeting any financial documents, such as tax returns or documents setting out his assets, liabilities, income and expenses. </w:t>
      </w:r>
    </w:p>
    <w:p w14:paraId="2FF1B7BD"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Financial Certificate contained a Schedule that needed completion with respect to "Item 2". Item 2 stated: "(purpose of borrowings) (please complete)". At this part of the Financial Certificate, Mr </w:t>
      </w:r>
      <w:proofErr w:type="spellStart"/>
      <w:r w:rsidRPr="00650C25">
        <w:rPr>
          <w:rFonts w:ascii="Times New Roman" w:hAnsi="Times New Roman"/>
        </w:rPr>
        <w:t>Topalides</w:t>
      </w:r>
      <w:proofErr w:type="spellEnd"/>
      <w:r w:rsidRPr="00650C25">
        <w:rPr>
          <w:rFonts w:ascii="Times New Roman" w:hAnsi="Times New Roman"/>
        </w:rPr>
        <w:t xml:space="preserve"> then handwrote the phrase "Set up &amp; Expand the business". The primary judge made an unchallenged finding that Mr </w:t>
      </w:r>
      <w:proofErr w:type="spellStart"/>
      <w:r w:rsidRPr="00650C25">
        <w:rPr>
          <w:rFonts w:ascii="Times New Roman" w:hAnsi="Times New Roman"/>
        </w:rPr>
        <w:t>Topalides</w:t>
      </w:r>
      <w:proofErr w:type="spellEnd"/>
      <w:r w:rsidRPr="00650C25">
        <w:rPr>
          <w:rFonts w:ascii="Times New Roman" w:hAnsi="Times New Roman"/>
        </w:rPr>
        <w:t xml:space="preserve"> otherwise did not understand the very transaction about which he purported to give advice</w:t>
      </w:r>
      <w:r w:rsidRPr="00650C25">
        <w:rPr>
          <w:rStyle w:val="FootnoteReference"/>
          <w:rFonts w:ascii="Times New Roman" w:hAnsi="Times New Roman"/>
          <w:sz w:val="24"/>
        </w:rPr>
        <w:footnoteReference w:id="153"/>
      </w:r>
      <w:r w:rsidRPr="00650C25">
        <w:rPr>
          <w:rFonts w:ascii="Times New Roman" w:hAnsi="Times New Roman"/>
        </w:rPr>
        <w:t xml:space="preserve">. </w:t>
      </w:r>
    </w:p>
    <w:p w14:paraId="67229B95"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Critically, as set out above, the Financial Certificate was addressed to VBC and not to the appellant as guarantor. Nowhere did the certification completed by Mr </w:t>
      </w:r>
      <w:proofErr w:type="spellStart"/>
      <w:r w:rsidRPr="00650C25">
        <w:rPr>
          <w:rFonts w:ascii="Times New Roman" w:hAnsi="Times New Roman"/>
        </w:rPr>
        <w:t>Topalides</w:t>
      </w:r>
      <w:proofErr w:type="spellEnd"/>
      <w:r w:rsidRPr="00650C25">
        <w:rPr>
          <w:rFonts w:ascii="Times New Roman" w:hAnsi="Times New Roman"/>
        </w:rPr>
        <w:t xml:space="preserve"> identify or refer to the appellant as guarantor. There is no suggestion that he ever received independent personal financial advice before entering into the two loans in his capacity as guarantor.</w:t>
      </w:r>
    </w:p>
    <w:p w14:paraId="35B79FBC" w14:textId="77777777" w:rsidR="00CD32FB" w:rsidRPr="00650C25" w:rsidRDefault="00CD32FB" w:rsidP="00650C25">
      <w:pPr>
        <w:pStyle w:val="HeadingL2"/>
        <w:spacing w:after="260" w:line="280" w:lineRule="exact"/>
        <w:ind w:right="0"/>
        <w:jc w:val="both"/>
        <w:rPr>
          <w:rFonts w:ascii="Times New Roman" w:hAnsi="Times New Roman"/>
        </w:rPr>
      </w:pPr>
      <w:r w:rsidRPr="00650C25">
        <w:rPr>
          <w:rFonts w:ascii="Times New Roman" w:hAnsi="Times New Roman"/>
        </w:rPr>
        <w:lastRenderedPageBreak/>
        <w:t>Knowledge of Mr Jeruzalski and AJ Lawyers</w:t>
      </w:r>
    </w:p>
    <w:p w14:paraId="6077CBC2"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Mr </w:t>
      </w:r>
      <w:proofErr w:type="spellStart"/>
      <w:r w:rsidRPr="00650C25">
        <w:rPr>
          <w:rFonts w:ascii="Times New Roman" w:hAnsi="Times New Roman"/>
        </w:rPr>
        <w:t>Zourkas</w:t>
      </w:r>
      <w:proofErr w:type="spellEnd"/>
      <w:r w:rsidRPr="00650C25">
        <w:rPr>
          <w:rFonts w:ascii="Times New Roman" w:hAnsi="Times New Roman"/>
        </w:rPr>
        <w:t>' knowledge cannot be attributed to Mr Jeruzalski. Mr </w:t>
      </w:r>
      <w:proofErr w:type="spellStart"/>
      <w:r w:rsidRPr="00650C25">
        <w:rPr>
          <w:rFonts w:ascii="Times New Roman" w:hAnsi="Times New Roman"/>
        </w:rPr>
        <w:t>Zourkas</w:t>
      </w:r>
      <w:proofErr w:type="spellEnd"/>
      <w:r w:rsidRPr="00650C25">
        <w:rPr>
          <w:rFonts w:ascii="Times New Roman" w:hAnsi="Times New Roman"/>
        </w:rPr>
        <w:t xml:space="preserve"> was not an agent of either Mr Jeruzalski or the respondents</w:t>
      </w:r>
      <w:r w:rsidRPr="00650C25">
        <w:rPr>
          <w:rStyle w:val="FootnoteReference"/>
          <w:rFonts w:ascii="Times New Roman" w:hAnsi="Times New Roman"/>
          <w:sz w:val="24"/>
        </w:rPr>
        <w:footnoteReference w:id="154"/>
      </w:r>
      <w:r w:rsidRPr="00650C25">
        <w:rPr>
          <w:rFonts w:ascii="Times New Roman" w:hAnsi="Times New Roman"/>
        </w:rPr>
        <w:t>. In contrast, Mr Jeruzalski was the agent of the respondents. As an example of this distinction, the primary judge found that from the moment the loans were entered into, the appellant, as guarantor, was "bound to lose his existing properties"</w:t>
      </w:r>
      <w:r w:rsidRPr="00650C25">
        <w:rPr>
          <w:rStyle w:val="FootnoteReference"/>
          <w:rFonts w:ascii="Times New Roman" w:hAnsi="Times New Roman"/>
          <w:sz w:val="24"/>
        </w:rPr>
        <w:footnoteReference w:id="155"/>
      </w:r>
      <w:r w:rsidRPr="00650C25">
        <w:rPr>
          <w:rFonts w:ascii="Times New Roman" w:hAnsi="Times New Roman"/>
        </w:rPr>
        <w:t>. His Honour found that this was a fact that "would" have been well known to Mr </w:t>
      </w:r>
      <w:proofErr w:type="spellStart"/>
      <w:r w:rsidRPr="00650C25">
        <w:rPr>
          <w:rFonts w:ascii="Times New Roman" w:hAnsi="Times New Roman"/>
        </w:rPr>
        <w:t>Zourkas</w:t>
      </w:r>
      <w:proofErr w:type="spellEnd"/>
      <w:r w:rsidRPr="00650C25">
        <w:rPr>
          <w:rFonts w:ascii="Times New Roman" w:hAnsi="Times New Roman"/>
        </w:rPr>
        <w:t>, but which only "should" have been known by AJ Lawyers</w:t>
      </w:r>
      <w:r w:rsidRPr="00650C25">
        <w:rPr>
          <w:rStyle w:val="FootnoteReference"/>
          <w:rFonts w:ascii="Times New Roman" w:hAnsi="Times New Roman"/>
          <w:sz w:val="24"/>
        </w:rPr>
        <w:footnoteReference w:id="156"/>
      </w:r>
      <w:r w:rsidRPr="00650C25">
        <w:rPr>
          <w:rFonts w:ascii="Times New Roman" w:hAnsi="Times New Roman"/>
        </w:rPr>
        <w:t>. Nor is there any reason to conclude that Mr Jeruzalski had knowledge of the circumstances in which each Certificate was obtained, especially the one signed by Mr </w:t>
      </w:r>
      <w:proofErr w:type="spellStart"/>
      <w:r w:rsidRPr="00650C25">
        <w:rPr>
          <w:rFonts w:ascii="Times New Roman" w:hAnsi="Times New Roman"/>
        </w:rPr>
        <w:t>Topalides</w:t>
      </w:r>
      <w:proofErr w:type="spellEnd"/>
      <w:r w:rsidRPr="00650C25">
        <w:rPr>
          <w:rFonts w:ascii="Times New Roman" w:hAnsi="Times New Roman"/>
        </w:rPr>
        <w:t>. Moreover, the observations made by the primary judge about the appellant's demeanour when presenting his case at trial, and the findings made about his history, education and experience, were matters unknown at the time to Mr Jeruzalski and AJ Lawyers.</w:t>
      </w:r>
    </w:p>
    <w:p w14:paraId="6ED0B0D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It was Mr </w:t>
      </w:r>
      <w:proofErr w:type="spellStart"/>
      <w:r w:rsidRPr="00650C25">
        <w:rPr>
          <w:rFonts w:ascii="Times New Roman" w:hAnsi="Times New Roman"/>
        </w:rPr>
        <w:t>Zourkas</w:t>
      </w:r>
      <w:proofErr w:type="spellEnd"/>
      <w:r w:rsidRPr="00650C25">
        <w:rPr>
          <w:rFonts w:ascii="Times New Roman" w:hAnsi="Times New Roman"/>
        </w:rPr>
        <w:t xml:space="preserve"> who had approached Mr Jeruzalski about a possible loan to VBC. To proceed, Mr Jeruzalski obtained valuations for each of the three properties. He confirmed that it was his practice not to seek "income particulars". As already mentioned, Mr Jeruzalski suspected that the appellant had no income. It would appear that he knew from Mr </w:t>
      </w:r>
      <w:proofErr w:type="spellStart"/>
      <w:r w:rsidRPr="00650C25">
        <w:rPr>
          <w:rFonts w:ascii="Times New Roman" w:hAnsi="Times New Roman"/>
        </w:rPr>
        <w:t>Zourkas</w:t>
      </w:r>
      <w:proofErr w:type="spellEnd"/>
      <w:r w:rsidRPr="00650C25">
        <w:rPr>
          <w:rFonts w:ascii="Times New Roman" w:hAnsi="Times New Roman"/>
        </w:rPr>
        <w:t xml:space="preserve"> of the appellant's plan to sell the Narre Warren properties and to seek to refinance the loans. He also said that he had been told by Mr </w:t>
      </w:r>
      <w:proofErr w:type="spellStart"/>
      <w:r w:rsidRPr="00650C25">
        <w:rPr>
          <w:rFonts w:ascii="Times New Roman" w:hAnsi="Times New Roman"/>
        </w:rPr>
        <w:t>Zourkas</w:t>
      </w:r>
      <w:proofErr w:type="spellEnd"/>
      <w:r w:rsidRPr="00650C25">
        <w:rPr>
          <w:rFonts w:ascii="Times New Roman" w:hAnsi="Times New Roman"/>
        </w:rPr>
        <w:t xml:space="preserve"> that the loan would be used to fund a business concerned with boat repairs. Even though he knew the Fingal property was located in a "green wedge" planning zone, precluding the conduct of a business without planning permission, he assumed that council consent would be obtained. </w:t>
      </w:r>
    </w:p>
    <w:p w14:paraId="571DCA87"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Other than the foregoing knowledge, AJ Lawyers was not apprised of the appellant's financial or personal circumstances. Mr Jeruzalski did not ask Mr </w:t>
      </w:r>
      <w:proofErr w:type="spellStart"/>
      <w:r w:rsidRPr="00650C25">
        <w:rPr>
          <w:rFonts w:ascii="Times New Roman" w:hAnsi="Times New Roman"/>
        </w:rPr>
        <w:t>Zourkas</w:t>
      </w:r>
      <w:proofErr w:type="spellEnd"/>
      <w:r w:rsidRPr="00650C25">
        <w:rPr>
          <w:rFonts w:ascii="Times New Roman" w:hAnsi="Times New Roman"/>
        </w:rPr>
        <w:t xml:space="preserve"> any questions that might have elicited such information. That is because he relied on the three valuations and ostensibly upon both of the Certificates. It is also because, consistently with the "system of conduct", he deliberately wished to avoid knowledge of the truth. Mr Jeruzalski did not wish to see the appellant. Mr </w:t>
      </w:r>
      <w:proofErr w:type="spellStart"/>
      <w:r w:rsidRPr="00650C25">
        <w:rPr>
          <w:rFonts w:ascii="Times New Roman" w:hAnsi="Times New Roman"/>
        </w:rPr>
        <w:t>Zourkas</w:t>
      </w:r>
      <w:proofErr w:type="spellEnd"/>
      <w:r w:rsidRPr="00650C25">
        <w:rPr>
          <w:rFonts w:ascii="Times New Roman" w:hAnsi="Times New Roman"/>
        </w:rPr>
        <w:t xml:space="preserve"> told the appellant that he could not go to AJ Lawyers' offices. Indeed, when Mr </w:t>
      </w:r>
      <w:proofErr w:type="spellStart"/>
      <w:r w:rsidRPr="00650C25">
        <w:rPr>
          <w:rFonts w:ascii="Times New Roman" w:hAnsi="Times New Roman"/>
        </w:rPr>
        <w:t>Zourkas</w:t>
      </w:r>
      <w:proofErr w:type="spellEnd"/>
      <w:r w:rsidRPr="00650C25">
        <w:rPr>
          <w:rFonts w:ascii="Times New Roman" w:hAnsi="Times New Roman"/>
        </w:rPr>
        <w:t xml:space="preserve"> went with the appellant to attend the offices of AJ Lawyers to obtain the pro forma loan documents, he instructed the appellant to "wait in the car"</w:t>
      </w:r>
      <w:r w:rsidRPr="00650C25">
        <w:rPr>
          <w:rStyle w:val="FootnoteReference"/>
          <w:rFonts w:ascii="Times New Roman" w:hAnsi="Times New Roman"/>
          <w:sz w:val="24"/>
        </w:rPr>
        <w:footnoteReference w:id="157"/>
      </w:r>
      <w:r w:rsidRPr="00650C25">
        <w:rPr>
          <w:rFonts w:ascii="Times New Roman" w:hAnsi="Times New Roman"/>
        </w:rPr>
        <w:t xml:space="preserve">. Nonetheless, even with such confined </w:t>
      </w:r>
      <w:r w:rsidRPr="00650C25">
        <w:rPr>
          <w:rFonts w:ascii="Times New Roman" w:hAnsi="Times New Roman"/>
        </w:rPr>
        <w:lastRenderedPageBreak/>
        <w:t>knowledge of the appellant, the primary judge found that Mr Jeruzalski knew the loan transactions were a risky and dangerous undertaking</w:t>
      </w:r>
      <w:r w:rsidRPr="00650C25">
        <w:rPr>
          <w:rStyle w:val="FootnoteReference"/>
          <w:rFonts w:ascii="Times New Roman" w:hAnsi="Times New Roman"/>
          <w:sz w:val="24"/>
        </w:rPr>
        <w:footnoteReference w:id="158"/>
      </w:r>
      <w:r w:rsidRPr="00650C25">
        <w:rPr>
          <w:rFonts w:ascii="Times New Roman" w:hAnsi="Times New Roman"/>
        </w:rPr>
        <w:t>. Critically, the appellant was never warned that this was so. Mr Jeruzalski knew that the appellant had no other lawyer acting for him, and that Mr </w:t>
      </w:r>
      <w:proofErr w:type="spellStart"/>
      <w:r w:rsidRPr="00650C25">
        <w:rPr>
          <w:rFonts w:ascii="Times New Roman" w:hAnsi="Times New Roman"/>
        </w:rPr>
        <w:t>Zourkas</w:t>
      </w:r>
      <w:proofErr w:type="spellEnd"/>
      <w:r w:rsidRPr="00650C25">
        <w:rPr>
          <w:rFonts w:ascii="Times New Roman" w:hAnsi="Times New Roman"/>
        </w:rPr>
        <w:t xml:space="preserve"> had a significant incentive for closing the deal between the respondents, the appellant and VBC. Of course, given the fees to be earned by AJ Lawyers, Mr Jeruzalski had the very same incentive.</w:t>
      </w:r>
    </w:p>
    <w:p w14:paraId="2CEF7862" w14:textId="77777777" w:rsidR="00CD32FB" w:rsidRPr="00650C25" w:rsidRDefault="00CD32FB" w:rsidP="00650C25">
      <w:pPr>
        <w:pStyle w:val="HeadingL1"/>
        <w:spacing w:after="260" w:line="280" w:lineRule="exact"/>
        <w:ind w:right="0"/>
        <w:jc w:val="both"/>
        <w:rPr>
          <w:rFonts w:ascii="Times New Roman" w:hAnsi="Times New Roman"/>
        </w:rPr>
      </w:pPr>
      <w:r w:rsidRPr="00650C25">
        <w:rPr>
          <w:rFonts w:ascii="Times New Roman" w:hAnsi="Times New Roman"/>
        </w:rPr>
        <w:t>The consequences for the appellant</w:t>
      </w:r>
    </w:p>
    <w:p w14:paraId="79EA0B2F"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September 2015, VBC entered into two loans. The first loan was entered into with the respondents and was for a term of one year. The smaller second loan was also for a term of one year. Neither loan could be repaid for a period of six months. The appellant was the guarantor of both loans. The guarantee was secured by mortgages over the three properties. In addition, VBC granted a debenture charge over its assets, although it in fact had no assets and had never traded. Prior to default, the first loan obliged VBC to make monthly interest payments of $8,825 to the respondents; the second loan obliged VBC to make monthly interest payments of $1,552.50. The appellant moved into the Fingal property on 28 or 29 September 2015.</w:t>
      </w:r>
    </w:p>
    <w:p w14:paraId="22BC0422"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Before VBC entered into the two loans, the appellant had significant equity in the Narre Warren properties. The primary judge considered that this was likely to be the only equity he would take into retirement</w:t>
      </w:r>
      <w:r w:rsidRPr="00650C25">
        <w:rPr>
          <w:rStyle w:val="FootnoteReference"/>
          <w:rFonts w:ascii="Times New Roman" w:hAnsi="Times New Roman"/>
          <w:sz w:val="24"/>
        </w:rPr>
        <w:footnoteReference w:id="159"/>
      </w:r>
      <w:r w:rsidRPr="00650C25">
        <w:rPr>
          <w:rFonts w:ascii="Times New Roman" w:hAnsi="Times New Roman"/>
        </w:rPr>
        <w:t>. The aggregate value of both properties was $770,000. As already mentioned, the aggregate loan balance was $240,000, leaving the appellant with equity of about $530,000. The loans threatened that equity with high interest repayments; with the fees payable to AJ Lawyers, Mr </w:t>
      </w:r>
      <w:proofErr w:type="spellStart"/>
      <w:r w:rsidRPr="00650C25">
        <w:rPr>
          <w:rFonts w:ascii="Times New Roman" w:hAnsi="Times New Roman"/>
        </w:rPr>
        <w:t>Zourkas</w:t>
      </w:r>
      <w:proofErr w:type="spellEnd"/>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and with the cost of the forced sales that would inevitably occur, estimated by the primary judge to be in excess of $100,000</w:t>
      </w:r>
      <w:r w:rsidRPr="00650C25">
        <w:rPr>
          <w:rStyle w:val="FootnoteReference"/>
          <w:rFonts w:ascii="Times New Roman" w:hAnsi="Times New Roman"/>
          <w:sz w:val="24"/>
        </w:rPr>
        <w:footnoteReference w:id="160"/>
      </w:r>
      <w:r w:rsidRPr="00650C25">
        <w:rPr>
          <w:rFonts w:ascii="Times New Roman" w:hAnsi="Times New Roman"/>
        </w:rPr>
        <w:t>.</w:t>
      </w:r>
    </w:p>
    <w:p w14:paraId="21F76226"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As already mentioned, the appellant understood that following the application of the loan funds to pay for the Fingal property and to pay out the amounts owed on the Narre Warren properties, there would be a surplus of $53,000. This is what the appellant said Mr </w:t>
      </w:r>
      <w:proofErr w:type="spellStart"/>
      <w:r w:rsidRPr="00650C25">
        <w:rPr>
          <w:rFonts w:ascii="Times New Roman" w:hAnsi="Times New Roman"/>
        </w:rPr>
        <w:t>Zourkas</w:t>
      </w:r>
      <w:proofErr w:type="spellEnd"/>
      <w:r w:rsidRPr="00650C25">
        <w:rPr>
          <w:rFonts w:ascii="Times New Roman" w:hAnsi="Times New Roman"/>
        </w:rPr>
        <w:t xml:space="preserve"> had told him. Mr </w:t>
      </w:r>
      <w:proofErr w:type="spellStart"/>
      <w:r w:rsidRPr="00650C25">
        <w:rPr>
          <w:rFonts w:ascii="Times New Roman" w:hAnsi="Times New Roman"/>
        </w:rPr>
        <w:t>Zourkas</w:t>
      </w:r>
      <w:proofErr w:type="spellEnd"/>
      <w:r w:rsidRPr="00650C25">
        <w:rPr>
          <w:rFonts w:ascii="Times New Roman" w:hAnsi="Times New Roman"/>
        </w:rPr>
        <w:t xml:space="preserve"> </w:t>
      </w:r>
      <w:r w:rsidRPr="00650C25">
        <w:rPr>
          <w:rFonts w:ascii="Times New Roman" w:hAnsi="Times New Roman"/>
        </w:rPr>
        <w:lastRenderedPageBreak/>
        <w:t>denied this, but the primary judge observed that it was corroborated by Mr </w:t>
      </w:r>
      <w:proofErr w:type="spellStart"/>
      <w:r w:rsidRPr="00650C25">
        <w:rPr>
          <w:rFonts w:ascii="Times New Roman" w:hAnsi="Times New Roman"/>
        </w:rPr>
        <w:t>Topalides</w:t>
      </w:r>
      <w:proofErr w:type="spellEnd"/>
      <w:r w:rsidRPr="00650C25">
        <w:rPr>
          <w:rStyle w:val="FootnoteReference"/>
          <w:rFonts w:ascii="Times New Roman" w:hAnsi="Times New Roman"/>
          <w:sz w:val="24"/>
        </w:rPr>
        <w:footnoteReference w:id="161"/>
      </w:r>
      <w:r w:rsidRPr="00650C25">
        <w:rPr>
          <w:rFonts w:ascii="Times New Roman" w:hAnsi="Times New Roman"/>
        </w:rPr>
        <w:t xml:space="preserve">. </w:t>
      </w:r>
    </w:p>
    <w:p w14:paraId="2A7CFE75"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fact, the fees swallowed up almost all of the expected surplus. AJ Lawyers was paid "procuration" fees in the sum of about $19,000 and $12,000 for each loan. Mr </w:t>
      </w:r>
      <w:proofErr w:type="spellStart"/>
      <w:r w:rsidRPr="00650C25">
        <w:rPr>
          <w:rFonts w:ascii="Times New Roman" w:hAnsi="Times New Roman"/>
        </w:rPr>
        <w:t>Zourkas</w:t>
      </w:r>
      <w:proofErr w:type="spellEnd"/>
      <w:r w:rsidRPr="00650C25">
        <w:rPr>
          <w:rFonts w:ascii="Times New Roman" w:hAnsi="Times New Roman"/>
        </w:rPr>
        <w:t xml:space="preserve"> was paid a consultancy fee of $27,000, a sum described by the primary judge as "obscene"</w:t>
      </w:r>
      <w:r w:rsidRPr="00650C25">
        <w:rPr>
          <w:rStyle w:val="FootnoteReference"/>
          <w:rFonts w:ascii="Times New Roman" w:hAnsi="Times New Roman"/>
          <w:sz w:val="24"/>
        </w:rPr>
        <w:footnoteReference w:id="162"/>
      </w:r>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was paid $1,650 and Mr </w:t>
      </w:r>
      <w:proofErr w:type="spellStart"/>
      <w:r w:rsidRPr="00650C25">
        <w:rPr>
          <w:rFonts w:ascii="Times New Roman" w:hAnsi="Times New Roman"/>
        </w:rPr>
        <w:t>Topalides</w:t>
      </w:r>
      <w:proofErr w:type="spellEnd"/>
      <w:r w:rsidRPr="00650C25">
        <w:rPr>
          <w:rFonts w:ascii="Times New Roman" w:hAnsi="Times New Roman"/>
        </w:rPr>
        <w:t xml:space="preserve"> was paid $300, although the appellant's evidence was that he also gave him $1,000 in cash. Save for that cash payment, each of the foregoing fees were paid out of the loan proceeds.</w:t>
      </w:r>
    </w:p>
    <w:p w14:paraId="183AA041"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Emblematic of the appellant's lack of understanding of the arrangement was that he did not appreciate the size of Mr </w:t>
      </w:r>
      <w:proofErr w:type="spellStart"/>
      <w:r w:rsidRPr="00650C25">
        <w:rPr>
          <w:rFonts w:ascii="Times New Roman" w:hAnsi="Times New Roman"/>
        </w:rPr>
        <w:t>Zourkas</w:t>
      </w:r>
      <w:proofErr w:type="spellEnd"/>
      <w:r w:rsidRPr="00650C25">
        <w:rPr>
          <w:rFonts w:ascii="Times New Roman" w:hAnsi="Times New Roman"/>
        </w:rPr>
        <w:t>' fee, and did not know about the procuration fees charged by AJ Lawyers until after each loan had been entered into.</w:t>
      </w:r>
    </w:p>
    <w:p w14:paraId="1C22979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appellant was left with only $6,900 to fund the second and third monthly interest payments and the cost of renovations. In the end, VBC was only able to pay the first two monthly interest payments before it defaulted. In order to fund the second monthly payment of interest, the appellant had to sell certain assets he owned. He then tried to sell each of his Narre Warren properties, but on each occasion the sale was blocked by AJ Lawyers, presumably acting on behalf of the respondents as mortgagees. The appellant unsuccessfully tried to contact AJ Lawyers in an attempt to negotiate a resolution. But neither AJ Lawyers nor the respondents replied to that attempt. Instead, the appellant was just sent a notice to pay. Eventually the respondents obtained summary judgment against the appellant and the Narre Warren properties were sold. At trial, the appellant said he was unsure about how much was still owing to the respondents.</w:t>
      </w:r>
    </w:p>
    <w:p w14:paraId="761F05C6"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economic result for the appellant is that, in substance, his equity in the Narre Warren properties has ultimately been used to fund the fees paid to AJ Lawyers, Mr </w:t>
      </w:r>
      <w:proofErr w:type="spellStart"/>
      <w:r w:rsidRPr="00650C25">
        <w:rPr>
          <w:rFonts w:ascii="Times New Roman" w:hAnsi="Times New Roman"/>
        </w:rPr>
        <w:t>Zourkas</w:t>
      </w:r>
      <w:proofErr w:type="spellEnd"/>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xml:space="preserve"> and to pay some interest to the respondents. He is no longer the owner of the Narre Warren properties and, by reason of the orders of the Court of Appeal, stands to lose his home.</w:t>
      </w:r>
    </w:p>
    <w:p w14:paraId="1F2D6F6C" w14:textId="77777777" w:rsidR="00CD32FB" w:rsidRPr="00650C25" w:rsidRDefault="00CD32FB" w:rsidP="00650C25">
      <w:pPr>
        <w:pStyle w:val="HeadingL1"/>
        <w:spacing w:after="260" w:line="280" w:lineRule="exact"/>
        <w:ind w:right="0"/>
        <w:jc w:val="both"/>
        <w:rPr>
          <w:rFonts w:ascii="Times New Roman" w:hAnsi="Times New Roman"/>
        </w:rPr>
      </w:pPr>
      <w:r w:rsidRPr="00650C25">
        <w:rPr>
          <w:rFonts w:ascii="Times New Roman" w:hAnsi="Times New Roman"/>
        </w:rPr>
        <w:lastRenderedPageBreak/>
        <w:t>Disputed finding</w:t>
      </w:r>
    </w:p>
    <w:p w14:paraId="2D184AB1" w14:textId="77777777" w:rsidR="00CD32FB" w:rsidRPr="00650C25" w:rsidRDefault="00CD32FB" w:rsidP="00CD32FB">
      <w:pPr>
        <w:pStyle w:val="FixListStyle"/>
        <w:keepNext/>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primary judge made the following additional finding</w:t>
      </w:r>
      <w:r w:rsidRPr="00650C25">
        <w:rPr>
          <w:rStyle w:val="FootnoteReference"/>
          <w:rFonts w:ascii="Times New Roman" w:hAnsi="Times New Roman"/>
          <w:sz w:val="24"/>
        </w:rPr>
        <w:footnoteReference w:id="163"/>
      </w:r>
      <w:r w:rsidRPr="00650C25">
        <w:rPr>
          <w:rFonts w:ascii="Times New Roman" w:hAnsi="Times New Roman"/>
        </w:rPr>
        <w:t>:</w:t>
      </w:r>
    </w:p>
    <w:p w14:paraId="17F63495" w14:textId="77777777" w:rsidR="00CD32FB" w:rsidRDefault="00CD32FB" w:rsidP="00650C25">
      <w:pPr>
        <w:pStyle w:val="LRIndentafterHC"/>
        <w:keepNext/>
        <w:spacing w:before="0" w:after="260" w:line="280" w:lineRule="exact"/>
        <w:ind w:right="0" w:firstLine="0"/>
        <w:jc w:val="both"/>
        <w:rPr>
          <w:rFonts w:ascii="Times New Roman" w:hAnsi="Times New Roman"/>
        </w:rPr>
      </w:pPr>
      <w:r w:rsidRPr="00650C25">
        <w:rPr>
          <w:rFonts w:ascii="Times New Roman" w:hAnsi="Times New Roman"/>
        </w:rPr>
        <w:t>"Mr Jeruzalski must have suspected that [the appellant] would be guided by Mr </w:t>
      </w:r>
      <w:proofErr w:type="spellStart"/>
      <w:r w:rsidRPr="00650C25">
        <w:rPr>
          <w:rFonts w:ascii="Times New Roman" w:hAnsi="Times New Roman"/>
        </w:rPr>
        <w:t>Zourkas</w:t>
      </w:r>
      <w:proofErr w:type="spellEnd"/>
      <w:r w:rsidRPr="00650C25">
        <w:rPr>
          <w:rFonts w:ascii="Times New Roman" w:hAnsi="Times New Roman"/>
        </w:rPr>
        <w:t xml:space="preserve"> as to which solicitor and accountant to approach. I see this conduct as part of the system of conduct adopted by AJ Lawyers to immunise the firm from knowledge that might threaten the enforceability of the loan. As far as Mr Jeruzalski was concerned, the accountant and the solicitor would only be paid if the loans went ahead. There was no incentive for them to withhold the certificates. If they withheld the certificates, then they would receive nothing for their services. To characterise them as independent is perhaps a bridge too far."</w:t>
      </w:r>
    </w:p>
    <w:p w14:paraId="5B4BE828"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Court of Appeal found that these inferential findings were not supported by the evidence before the primary judge</w:t>
      </w:r>
      <w:r w:rsidRPr="00650C25">
        <w:rPr>
          <w:rStyle w:val="FootnoteReference"/>
          <w:rFonts w:ascii="Times New Roman" w:hAnsi="Times New Roman"/>
          <w:sz w:val="24"/>
        </w:rPr>
        <w:footnoteReference w:id="164"/>
      </w:r>
      <w:r w:rsidRPr="00650C25">
        <w:rPr>
          <w:rFonts w:ascii="Times New Roman" w:hAnsi="Times New Roman"/>
        </w:rPr>
        <w:t>. The appellant, however, submitted that the inferences were wrapped up in the primary judge's overall impression of the credibility of Mr </w:t>
      </w:r>
      <w:proofErr w:type="spellStart"/>
      <w:r w:rsidRPr="00650C25">
        <w:rPr>
          <w:rFonts w:ascii="Times New Roman" w:hAnsi="Times New Roman"/>
        </w:rPr>
        <w:t>Jeruzalski</w:t>
      </w:r>
      <w:proofErr w:type="spellEnd"/>
      <w:r w:rsidRPr="00650C25">
        <w:rPr>
          <w:rFonts w:ascii="Times New Roman" w:hAnsi="Times New Roman"/>
        </w:rPr>
        <w:t xml:space="preserve"> and Mr </w:t>
      </w:r>
      <w:proofErr w:type="spellStart"/>
      <w:r w:rsidRPr="00650C25">
        <w:rPr>
          <w:rFonts w:ascii="Times New Roman" w:hAnsi="Times New Roman"/>
        </w:rPr>
        <w:t>Zourkas</w:t>
      </w:r>
      <w:proofErr w:type="spellEnd"/>
      <w:r w:rsidRPr="00650C25">
        <w:rPr>
          <w:rFonts w:ascii="Times New Roman" w:hAnsi="Times New Roman"/>
        </w:rPr>
        <w:t xml:space="preserve"> as witnesses. As such, the Court of Appeal should not have overturned the factual inferences drawn by the primary judge unless the findings were "demonstrated to be wrong by 'incontrovertible facts or uncontested testimony', or [were] 'glaringly improbable' or 'contrary to compelling inferences'"</w:t>
      </w:r>
      <w:r w:rsidRPr="00650C25">
        <w:rPr>
          <w:rStyle w:val="FootnoteReference"/>
          <w:rFonts w:ascii="Times New Roman" w:hAnsi="Times New Roman"/>
          <w:sz w:val="24"/>
        </w:rPr>
        <w:footnoteReference w:id="165"/>
      </w:r>
      <w:r w:rsidRPr="00650C25">
        <w:rPr>
          <w:rFonts w:ascii="Times New Roman" w:hAnsi="Times New Roman"/>
        </w:rPr>
        <w:t>. The Court of Appeal's reasoning never went this far. It merely expressed disagreement with the primary judge. In a case where the credibility of Mr </w:t>
      </w:r>
      <w:proofErr w:type="spellStart"/>
      <w:r w:rsidRPr="00650C25">
        <w:rPr>
          <w:rFonts w:ascii="Times New Roman" w:hAnsi="Times New Roman"/>
        </w:rPr>
        <w:t>Jeruzalski</w:t>
      </w:r>
      <w:proofErr w:type="spellEnd"/>
      <w:r w:rsidRPr="00650C25">
        <w:rPr>
          <w:rFonts w:ascii="Times New Roman" w:hAnsi="Times New Roman"/>
        </w:rPr>
        <w:t xml:space="preserve"> and Mr </w:t>
      </w:r>
      <w:proofErr w:type="spellStart"/>
      <w:r w:rsidRPr="00650C25">
        <w:rPr>
          <w:rFonts w:ascii="Times New Roman" w:hAnsi="Times New Roman"/>
        </w:rPr>
        <w:t>Zourkas</w:t>
      </w:r>
      <w:proofErr w:type="spellEnd"/>
      <w:r w:rsidRPr="00650C25">
        <w:rPr>
          <w:rFonts w:ascii="Times New Roman" w:hAnsi="Times New Roman"/>
        </w:rPr>
        <w:t xml:space="preserve"> loomed large, where much of Mr </w:t>
      </w:r>
      <w:proofErr w:type="spellStart"/>
      <w:r w:rsidRPr="00650C25">
        <w:rPr>
          <w:rFonts w:ascii="Times New Roman" w:hAnsi="Times New Roman"/>
        </w:rPr>
        <w:t>Zourkas</w:t>
      </w:r>
      <w:proofErr w:type="spellEnd"/>
      <w:r w:rsidRPr="00650C25">
        <w:rPr>
          <w:rFonts w:ascii="Times New Roman" w:hAnsi="Times New Roman"/>
        </w:rPr>
        <w:t>' evidence was rejected, and where the primary judge recorded in his reasons that Mr Jeruzalski gave evidence with "apparent smugness", it was not open to the Court of Appeal to overturn the inferences drawn by the primary judge concerning the independence of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Those inferences are entirely consistent with the other findings made by the primary judge about the "system of conduct" used, which findings the Court of Appeal did not disturb.</w:t>
      </w:r>
    </w:p>
    <w:p w14:paraId="0A1630EF" w14:textId="77777777" w:rsidR="00CD32FB" w:rsidRPr="00650C25" w:rsidRDefault="00CD32FB" w:rsidP="00650C25">
      <w:pPr>
        <w:pStyle w:val="HeadingL1"/>
        <w:spacing w:after="260" w:line="280" w:lineRule="exact"/>
        <w:ind w:right="0"/>
        <w:jc w:val="both"/>
        <w:rPr>
          <w:rFonts w:ascii="Times New Roman" w:hAnsi="Times New Roman"/>
        </w:rPr>
      </w:pPr>
      <w:r w:rsidRPr="00650C25">
        <w:rPr>
          <w:rFonts w:ascii="Times New Roman" w:hAnsi="Times New Roman"/>
        </w:rPr>
        <w:t>The conclusions of the primary judge</w:t>
      </w:r>
    </w:p>
    <w:p w14:paraId="105FF19B"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The primary judge decided that the appellant was in a position of special disadvantage. Much of that finding turned upon the appellant's greatly diminished economic circumstances, the evidence he gave and his conduct in representing </w:t>
      </w:r>
      <w:r w:rsidRPr="00650C25">
        <w:rPr>
          <w:rFonts w:ascii="Times New Roman" w:hAnsi="Times New Roman"/>
        </w:rPr>
        <w:lastRenderedPageBreak/>
        <w:t>himself before his Honour. For example, in relation to the last matter, the primary judge observed</w:t>
      </w:r>
      <w:r w:rsidRPr="00650C25">
        <w:rPr>
          <w:rStyle w:val="FootnoteReference"/>
          <w:rFonts w:ascii="Times New Roman" w:hAnsi="Times New Roman"/>
          <w:sz w:val="24"/>
        </w:rPr>
        <w:footnoteReference w:id="166"/>
      </w:r>
      <w:r w:rsidRPr="00650C25">
        <w:rPr>
          <w:rFonts w:ascii="Times New Roman" w:hAnsi="Times New Roman"/>
        </w:rPr>
        <w:t>:</w:t>
      </w:r>
    </w:p>
    <w:p w14:paraId="4BC4844D" w14:textId="77777777" w:rsidR="00CD32FB" w:rsidRDefault="00CD32FB" w:rsidP="00650C25">
      <w:pPr>
        <w:pStyle w:val="LRIndentafterHC"/>
        <w:spacing w:before="0" w:after="260" w:line="280" w:lineRule="exact"/>
        <w:ind w:right="0" w:firstLine="0"/>
        <w:jc w:val="both"/>
        <w:rPr>
          <w:rFonts w:ascii="Times New Roman" w:hAnsi="Times New Roman"/>
        </w:rPr>
      </w:pPr>
      <w:r w:rsidRPr="00650C25">
        <w:rPr>
          <w:rFonts w:ascii="Times New Roman" w:hAnsi="Times New Roman"/>
        </w:rPr>
        <w:t>"[The appellant] did not grasp the gravity of the occasion. He did not bring any relevant documents to court. It didn't occur to him that they might be needed. He behaved as if he could have been at a social gathering. He could not differentiate between serious matters and incidental matters. In fact, in many ways, he behaved, much as you would expect a child to behave. As mentioned, he was not able to put his case to any of the witnesses. He didn't appear to understand the concept or the consequences of not putting his case to the witnesses."</w:t>
      </w:r>
    </w:p>
    <w:p w14:paraId="4D145244"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primary judge went on to find that the appellant misunderstood his rights and obligations under the loan agreements and was "completely out of his depth"</w:t>
      </w:r>
      <w:r w:rsidRPr="00650C25">
        <w:rPr>
          <w:rStyle w:val="FootnoteReference"/>
          <w:rFonts w:ascii="Times New Roman" w:hAnsi="Times New Roman"/>
          <w:sz w:val="24"/>
        </w:rPr>
        <w:footnoteReference w:id="167"/>
      </w:r>
      <w:r w:rsidRPr="00650C25">
        <w:rPr>
          <w:rFonts w:ascii="Times New Roman" w:hAnsi="Times New Roman"/>
        </w:rPr>
        <w:t>. The fact that he even entered into them, given his circumstances, was said to evidence his vulnerability</w:t>
      </w:r>
      <w:r w:rsidRPr="00650C25">
        <w:rPr>
          <w:rStyle w:val="FootnoteReference"/>
          <w:rFonts w:ascii="Times New Roman" w:hAnsi="Times New Roman"/>
          <w:sz w:val="24"/>
        </w:rPr>
        <w:footnoteReference w:id="168"/>
      </w:r>
      <w:r w:rsidRPr="00650C25">
        <w:rPr>
          <w:rFonts w:ascii="Times New Roman" w:hAnsi="Times New Roman"/>
        </w:rPr>
        <w:t>.</w:t>
      </w:r>
    </w:p>
    <w:p w14:paraId="1FA4E1CF"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primary judge decided that the actions of AJ Lawyers constituted wilful blindness as to the appellant's financial and personal circumstances</w:t>
      </w:r>
      <w:r w:rsidRPr="00650C25">
        <w:rPr>
          <w:rStyle w:val="FootnoteReference"/>
          <w:rFonts w:ascii="Times New Roman" w:hAnsi="Times New Roman"/>
          <w:sz w:val="24"/>
        </w:rPr>
        <w:footnoteReference w:id="169"/>
      </w:r>
      <w:r w:rsidRPr="00650C25">
        <w:rPr>
          <w:rFonts w:ascii="Times New Roman" w:hAnsi="Times New Roman"/>
        </w:rPr>
        <w:t>. His Honour concluded that Mr Jeruzalski had "knowingly and deliberately shut his eyes" to those circumstances</w:t>
      </w:r>
      <w:r w:rsidRPr="00650C25">
        <w:rPr>
          <w:rStyle w:val="FootnoteReference"/>
          <w:rFonts w:ascii="Times New Roman" w:hAnsi="Times New Roman"/>
          <w:sz w:val="24"/>
        </w:rPr>
        <w:footnoteReference w:id="170"/>
      </w:r>
      <w:r w:rsidRPr="00650C25">
        <w:rPr>
          <w:rFonts w:ascii="Times New Roman" w:hAnsi="Times New Roman"/>
        </w:rPr>
        <w:t>. It followed that AJ Lawyers was fixed with actual knowledge of the appellant's inability to service both loans as guarantor. Accordingly, lending in such circumstances was found to be unconscionable</w:t>
      </w:r>
      <w:r w:rsidRPr="00650C25">
        <w:rPr>
          <w:rStyle w:val="FootnoteReference"/>
          <w:rFonts w:ascii="Times New Roman" w:hAnsi="Times New Roman"/>
          <w:sz w:val="24"/>
        </w:rPr>
        <w:footnoteReference w:id="171"/>
      </w:r>
      <w:r w:rsidRPr="00650C25">
        <w:rPr>
          <w:rFonts w:ascii="Times New Roman" w:hAnsi="Times New Roman"/>
        </w:rPr>
        <w:t>.</w:t>
      </w:r>
    </w:p>
    <w:p w14:paraId="13777348"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support of the foregoing conclusion, the primary judge reasoned as follows:</w:t>
      </w:r>
    </w:p>
    <w:p w14:paraId="688E43A8" w14:textId="77777777" w:rsidR="00CD32FB" w:rsidRPr="00650C25" w:rsidRDefault="00CD32FB" w:rsidP="002F514D">
      <w:pPr>
        <w:pStyle w:val="NormalBody"/>
        <w:spacing w:after="260" w:line="280" w:lineRule="exact"/>
        <w:ind w:left="720" w:right="0" w:hanging="720"/>
        <w:jc w:val="both"/>
        <w:rPr>
          <w:rFonts w:ascii="Times New Roman" w:hAnsi="Times New Roman"/>
        </w:rPr>
      </w:pPr>
      <w:r w:rsidRPr="00650C25">
        <w:rPr>
          <w:rFonts w:ascii="Times New Roman" w:hAnsi="Times New Roman"/>
        </w:rPr>
        <w:t>(a)</w:t>
      </w:r>
      <w:r w:rsidRPr="00650C25">
        <w:rPr>
          <w:rFonts w:ascii="Times New Roman" w:hAnsi="Times New Roman"/>
        </w:rPr>
        <w:tab/>
        <w:t>First, his Honour found that Mr Jeruzalski knew the loans were a "risky and dangerous" undertaking for the appellant</w:t>
      </w:r>
      <w:r w:rsidRPr="00650C25">
        <w:rPr>
          <w:rStyle w:val="FootnoteReference"/>
          <w:rFonts w:ascii="Times New Roman" w:hAnsi="Times New Roman"/>
          <w:sz w:val="24"/>
        </w:rPr>
        <w:footnoteReference w:id="172"/>
      </w:r>
      <w:r w:rsidRPr="00650C25">
        <w:rPr>
          <w:rFonts w:ascii="Times New Roman" w:hAnsi="Times New Roman"/>
        </w:rPr>
        <w:t>.</w:t>
      </w:r>
    </w:p>
    <w:p w14:paraId="34C66E35" w14:textId="77777777" w:rsidR="00CD32FB" w:rsidRPr="00650C25" w:rsidRDefault="00CD32FB" w:rsidP="00650C25">
      <w:pPr>
        <w:pStyle w:val="NormalBody"/>
        <w:spacing w:after="260" w:line="280" w:lineRule="exact"/>
        <w:ind w:left="720" w:right="0" w:hanging="720"/>
        <w:jc w:val="both"/>
        <w:rPr>
          <w:rFonts w:ascii="Times New Roman" w:hAnsi="Times New Roman"/>
        </w:rPr>
      </w:pPr>
      <w:r w:rsidRPr="00650C25">
        <w:rPr>
          <w:rFonts w:ascii="Times New Roman" w:hAnsi="Times New Roman"/>
        </w:rPr>
        <w:lastRenderedPageBreak/>
        <w:t>(b)</w:t>
      </w:r>
      <w:r w:rsidRPr="00650C25">
        <w:rPr>
          <w:rFonts w:ascii="Times New Roman" w:hAnsi="Times New Roman"/>
        </w:rPr>
        <w:tab/>
        <w:t>Secondly, in those circumstances, standards of ethical conduct imposed upon Mr Jeruzalski a moral duty to satisfy himself that the appellant was not unreasonably exposing himself to significant financial risk. And because Mr Jeruzalski was a solicitor and an officer of the Supreme Court of Victoria, that duty was all the more compelling</w:t>
      </w:r>
      <w:r w:rsidRPr="00650C25">
        <w:rPr>
          <w:rStyle w:val="FootnoteReference"/>
          <w:rFonts w:ascii="Times New Roman" w:hAnsi="Times New Roman"/>
          <w:sz w:val="24"/>
        </w:rPr>
        <w:footnoteReference w:id="173"/>
      </w:r>
      <w:r w:rsidRPr="00650C25">
        <w:rPr>
          <w:rFonts w:ascii="Times New Roman" w:hAnsi="Times New Roman"/>
        </w:rPr>
        <w:t>.</w:t>
      </w:r>
    </w:p>
    <w:p w14:paraId="3B7EA97E" w14:textId="77777777" w:rsidR="00CD32FB" w:rsidRPr="00650C25" w:rsidRDefault="00CD32FB" w:rsidP="00650C25">
      <w:pPr>
        <w:pStyle w:val="NormalBody"/>
        <w:spacing w:after="260" w:line="280" w:lineRule="exact"/>
        <w:ind w:left="720" w:right="0" w:hanging="720"/>
        <w:jc w:val="both"/>
        <w:rPr>
          <w:rFonts w:ascii="Times New Roman" w:hAnsi="Times New Roman"/>
        </w:rPr>
      </w:pPr>
      <w:r w:rsidRPr="00650C25">
        <w:rPr>
          <w:rFonts w:ascii="Times New Roman" w:hAnsi="Times New Roman"/>
        </w:rPr>
        <w:t>(c)</w:t>
      </w:r>
      <w:r w:rsidRPr="00650C25">
        <w:rPr>
          <w:rFonts w:ascii="Times New Roman" w:hAnsi="Times New Roman"/>
        </w:rPr>
        <w:tab/>
        <w:t>Thirdly, Mr </w:t>
      </w:r>
      <w:proofErr w:type="spellStart"/>
      <w:r w:rsidRPr="00650C25">
        <w:rPr>
          <w:rFonts w:ascii="Times New Roman" w:hAnsi="Times New Roman"/>
        </w:rPr>
        <w:t>Jeruzalski's</w:t>
      </w:r>
      <w:proofErr w:type="spellEnd"/>
      <w:r w:rsidRPr="00650C25">
        <w:rPr>
          <w:rFonts w:ascii="Times New Roman" w:hAnsi="Times New Roman"/>
        </w:rPr>
        <w:t xml:space="preserve"> duty was "enlivened" because he suspected or believed that the appellant had no income to service the loans. He then purported to apply AJ Lawyers' "system of conduct" to prevent him from ever confirming that this was actually so</w:t>
      </w:r>
      <w:r w:rsidRPr="00650C25">
        <w:rPr>
          <w:rStyle w:val="FootnoteReference"/>
          <w:rFonts w:ascii="Times New Roman" w:hAnsi="Times New Roman"/>
          <w:sz w:val="24"/>
        </w:rPr>
        <w:footnoteReference w:id="174"/>
      </w:r>
      <w:r w:rsidRPr="00650C25">
        <w:rPr>
          <w:rFonts w:ascii="Times New Roman" w:hAnsi="Times New Roman"/>
        </w:rPr>
        <w:t>.</w:t>
      </w:r>
    </w:p>
    <w:p w14:paraId="05391022" w14:textId="77777777" w:rsidR="00CD32FB" w:rsidRPr="00650C25" w:rsidRDefault="00CD32FB" w:rsidP="00650C25">
      <w:pPr>
        <w:pStyle w:val="NormalBody"/>
        <w:spacing w:after="260" w:line="280" w:lineRule="exact"/>
        <w:ind w:left="720" w:right="0" w:hanging="720"/>
        <w:jc w:val="both"/>
        <w:rPr>
          <w:rFonts w:ascii="Times New Roman" w:hAnsi="Times New Roman"/>
        </w:rPr>
      </w:pPr>
      <w:r w:rsidRPr="00650C25">
        <w:rPr>
          <w:rFonts w:ascii="Times New Roman" w:hAnsi="Times New Roman"/>
        </w:rPr>
        <w:t>(d)</w:t>
      </w:r>
      <w:r w:rsidRPr="00650C25">
        <w:rPr>
          <w:rFonts w:ascii="Times New Roman" w:hAnsi="Times New Roman"/>
        </w:rPr>
        <w:tab/>
        <w:t>Fourthly, Mr Jeruzalski was aware of Mr </w:t>
      </w:r>
      <w:proofErr w:type="spellStart"/>
      <w:r w:rsidRPr="00650C25">
        <w:rPr>
          <w:rFonts w:ascii="Times New Roman" w:hAnsi="Times New Roman"/>
        </w:rPr>
        <w:t>Zourkas</w:t>
      </w:r>
      <w:proofErr w:type="spellEnd"/>
      <w:r w:rsidRPr="00650C25">
        <w:rPr>
          <w:rFonts w:ascii="Times New Roman" w:hAnsi="Times New Roman"/>
        </w:rPr>
        <w:t>' considerable incentive to complete the loan transactions and to receive his fee. But again, he made no attempt to determine the basis upon which Mr </w:t>
      </w:r>
      <w:proofErr w:type="spellStart"/>
      <w:r w:rsidRPr="00650C25">
        <w:rPr>
          <w:rFonts w:ascii="Times New Roman" w:hAnsi="Times New Roman"/>
        </w:rPr>
        <w:t>Zourkas</w:t>
      </w:r>
      <w:proofErr w:type="spellEnd"/>
      <w:r w:rsidRPr="00650C25">
        <w:rPr>
          <w:rFonts w:ascii="Times New Roman" w:hAnsi="Times New Roman"/>
        </w:rPr>
        <w:t xml:space="preserve"> dealt with the appellant. In particular, he made no attempt to determine whether Mr </w:t>
      </w:r>
      <w:proofErr w:type="spellStart"/>
      <w:r w:rsidRPr="00650C25">
        <w:rPr>
          <w:rFonts w:ascii="Times New Roman" w:hAnsi="Times New Roman"/>
        </w:rPr>
        <w:t>Zourkas</w:t>
      </w:r>
      <w:proofErr w:type="spellEnd"/>
      <w:r w:rsidRPr="00650C25">
        <w:rPr>
          <w:rFonts w:ascii="Times New Roman" w:hAnsi="Times New Roman"/>
        </w:rPr>
        <w:t xml:space="preserve"> may have misled the appellant</w:t>
      </w:r>
      <w:r w:rsidRPr="00650C25">
        <w:rPr>
          <w:rStyle w:val="FootnoteReference"/>
          <w:rFonts w:ascii="Times New Roman" w:hAnsi="Times New Roman"/>
          <w:sz w:val="24"/>
        </w:rPr>
        <w:footnoteReference w:id="175"/>
      </w:r>
      <w:r w:rsidRPr="00650C25">
        <w:rPr>
          <w:rFonts w:ascii="Times New Roman" w:hAnsi="Times New Roman"/>
        </w:rPr>
        <w:t>.</w:t>
      </w:r>
    </w:p>
    <w:p w14:paraId="792C9528" w14:textId="77777777" w:rsidR="00CD32FB" w:rsidRPr="00650C25" w:rsidRDefault="00CD32FB" w:rsidP="00650C25">
      <w:pPr>
        <w:pStyle w:val="NormalBody"/>
        <w:spacing w:after="260" w:line="280" w:lineRule="exact"/>
        <w:ind w:left="720" w:right="0" w:hanging="720"/>
        <w:jc w:val="both"/>
        <w:rPr>
          <w:rFonts w:ascii="Times New Roman" w:hAnsi="Times New Roman"/>
        </w:rPr>
      </w:pPr>
      <w:r w:rsidRPr="00650C25">
        <w:rPr>
          <w:rFonts w:ascii="Times New Roman" w:hAnsi="Times New Roman"/>
        </w:rPr>
        <w:t>(e)</w:t>
      </w:r>
      <w:r w:rsidRPr="00650C25">
        <w:rPr>
          <w:rFonts w:ascii="Times New Roman" w:hAnsi="Times New Roman"/>
        </w:rPr>
        <w:tab/>
        <w:t>Fifthly, it was the "system of conduct" used by AJ Lawyers that prevented these enquiries from taking place. They did not take place precisely because Mr Jeruzalski was concerned, or suspected, that the answers he may have obtained would have suggested a basis for setting the loans aside on the grounds of unconscionability</w:t>
      </w:r>
      <w:r w:rsidRPr="00650C25">
        <w:rPr>
          <w:rStyle w:val="FootnoteReference"/>
          <w:rFonts w:ascii="Times New Roman" w:hAnsi="Times New Roman"/>
          <w:sz w:val="24"/>
        </w:rPr>
        <w:footnoteReference w:id="176"/>
      </w:r>
      <w:r w:rsidRPr="00650C25">
        <w:rPr>
          <w:rFonts w:ascii="Times New Roman" w:hAnsi="Times New Roman"/>
        </w:rPr>
        <w:t>.</w:t>
      </w:r>
    </w:p>
    <w:p w14:paraId="3E631133" w14:textId="77777777" w:rsidR="00CD32FB" w:rsidRPr="00650C25" w:rsidRDefault="00CD32FB" w:rsidP="00650C25">
      <w:pPr>
        <w:pStyle w:val="NormalBody"/>
        <w:spacing w:after="260" w:line="280" w:lineRule="exact"/>
        <w:ind w:left="720" w:right="0" w:hanging="720"/>
        <w:jc w:val="both"/>
        <w:rPr>
          <w:rFonts w:ascii="Times New Roman" w:hAnsi="Times New Roman"/>
        </w:rPr>
      </w:pPr>
      <w:r w:rsidRPr="00650C25">
        <w:rPr>
          <w:rFonts w:ascii="Times New Roman" w:hAnsi="Times New Roman"/>
        </w:rPr>
        <w:t>(f)</w:t>
      </w:r>
      <w:r w:rsidRPr="00650C25">
        <w:rPr>
          <w:rFonts w:ascii="Times New Roman" w:hAnsi="Times New Roman"/>
        </w:rPr>
        <w:tab/>
        <w:t>Sixthly, the "system of conduct" deployed by AJ Lawyers demonstrated a high level of "moral obloquy"</w:t>
      </w:r>
      <w:r w:rsidRPr="00650C25">
        <w:rPr>
          <w:rStyle w:val="FootnoteReference"/>
          <w:rFonts w:ascii="Times New Roman" w:hAnsi="Times New Roman"/>
          <w:sz w:val="24"/>
        </w:rPr>
        <w:footnoteReference w:id="177"/>
      </w:r>
      <w:r w:rsidRPr="00650C25">
        <w:rPr>
          <w:rFonts w:ascii="Times New Roman" w:hAnsi="Times New Roman"/>
        </w:rPr>
        <w:t>.</w:t>
      </w:r>
    </w:p>
    <w:p w14:paraId="79979A21" w14:textId="77777777" w:rsidR="00CD32FB" w:rsidRPr="00650C25" w:rsidRDefault="00CD32FB" w:rsidP="00650C25">
      <w:pPr>
        <w:pStyle w:val="NormalBody"/>
        <w:spacing w:after="260" w:line="280" w:lineRule="exact"/>
        <w:ind w:left="720" w:right="0" w:hanging="720"/>
        <w:jc w:val="both"/>
        <w:rPr>
          <w:rFonts w:ascii="Times New Roman" w:hAnsi="Times New Roman"/>
        </w:rPr>
      </w:pPr>
      <w:r w:rsidRPr="00650C25">
        <w:rPr>
          <w:rFonts w:ascii="Times New Roman" w:hAnsi="Times New Roman"/>
        </w:rPr>
        <w:t>(g)</w:t>
      </w:r>
      <w:r w:rsidRPr="00650C25">
        <w:rPr>
          <w:rFonts w:ascii="Times New Roman" w:hAnsi="Times New Roman"/>
        </w:rPr>
        <w:tab/>
        <w:t>Seventhly, the procurement of the two Certificates was part of the "system of conduct" utilised to immunise AJ Lawyers from knowledge that might imperil the enforceability of each loan. The independence of each of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xml:space="preserve"> was undermined because if they withheld their respective Certificates, they would not be paid their fees</w:t>
      </w:r>
      <w:r w:rsidRPr="00650C25">
        <w:rPr>
          <w:rStyle w:val="FootnoteReference"/>
          <w:rFonts w:ascii="Times New Roman" w:hAnsi="Times New Roman"/>
          <w:sz w:val="24"/>
        </w:rPr>
        <w:footnoteReference w:id="178"/>
      </w:r>
      <w:r w:rsidRPr="00650C25">
        <w:rPr>
          <w:rFonts w:ascii="Times New Roman" w:hAnsi="Times New Roman"/>
        </w:rPr>
        <w:t>.</w:t>
      </w:r>
    </w:p>
    <w:p w14:paraId="4800E491" w14:textId="77777777" w:rsidR="00CD32FB" w:rsidRPr="00650C25" w:rsidRDefault="00CD32FB" w:rsidP="00650C25">
      <w:pPr>
        <w:pStyle w:val="HeadingL1"/>
        <w:spacing w:after="260" w:line="280" w:lineRule="exact"/>
        <w:ind w:right="0"/>
        <w:jc w:val="both"/>
        <w:rPr>
          <w:rFonts w:ascii="Times New Roman" w:hAnsi="Times New Roman"/>
        </w:rPr>
      </w:pPr>
      <w:r w:rsidRPr="00650C25">
        <w:rPr>
          <w:rFonts w:ascii="Times New Roman" w:hAnsi="Times New Roman"/>
        </w:rPr>
        <w:lastRenderedPageBreak/>
        <w:t>The conclusions of the Court of Appeal</w:t>
      </w:r>
    </w:p>
    <w:p w14:paraId="654D5CD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Court of Appeal did not express disagreement with the finding of the primary judge that the appellant was at a special disadvantage</w:t>
      </w:r>
      <w:r w:rsidRPr="00650C25">
        <w:rPr>
          <w:rStyle w:val="FootnoteReference"/>
          <w:rFonts w:ascii="Times New Roman" w:hAnsi="Times New Roman"/>
          <w:sz w:val="24"/>
        </w:rPr>
        <w:footnoteReference w:id="179"/>
      </w:r>
      <w:r w:rsidRPr="00650C25">
        <w:rPr>
          <w:rFonts w:ascii="Times New Roman" w:hAnsi="Times New Roman"/>
        </w:rPr>
        <w:t>. The Court said that the "real question" was whether Mr Jeruzalski had knowledge of facts which ought to have put him on enquiry as to the appellant's personal and financial circumstances, including details of the assets and business of VBC</w:t>
      </w:r>
      <w:r w:rsidRPr="00650C25">
        <w:rPr>
          <w:rStyle w:val="FootnoteReference"/>
          <w:rFonts w:ascii="Times New Roman" w:hAnsi="Times New Roman"/>
          <w:sz w:val="24"/>
        </w:rPr>
        <w:footnoteReference w:id="180"/>
      </w:r>
      <w:r w:rsidRPr="00650C25">
        <w:rPr>
          <w:rFonts w:ascii="Times New Roman" w:hAnsi="Times New Roman"/>
        </w:rPr>
        <w:t>.</w:t>
      </w:r>
    </w:p>
    <w:p w14:paraId="63EEF5C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Court distilled the case "at its highest" for the appellant as follows</w:t>
      </w:r>
      <w:r w:rsidRPr="00650C25">
        <w:rPr>
          <w:rStyle w:val="FootnoteReference"/>
          <w:rFonts w:ascii="Times New Roman" w:hAnsi="Times New Roman"/>
          <w:sz w:val="24"/>
        </w:rPr>
        <w:footnoteReference w:id="181"/>
      </w:r>
      <w:r w:rsidRPr="00650C25">
        <w:rPr>
          <w:rFonts w:ascii="Times New Roman" w:hAnsi="Times New Roman"/>
        </w:rPr>
        <w:t>:</w:t>
      </w:r>
    </w:p>
    <w:p w14:paraId="61588992" w14:textId="77777777" w:rsidR="00CD32FB" w:rsidRPr="00650C25" w:rsidRDefault="00CD32FB" w:rsidP="00650C25">
      <w:pPr>
        <w:pStyle w:val="LeftrightafterHC"/>
        <w:keepNext/>
        <w:spacing w:before="0" w:after="260" w:line="280" w:lineRule="exact"/>
        <w:ind w:left="1440" w:right="0" w:hanging="720"/>
        <w:jc w:val="both"/>
        <w:rPr>
          <w:rFonts w:ascii="Times New Roman" w:hAnsi="Times New Roman"/>
        </w:rPr>
      </w:pPr>
      <w:r w:rsidRPr="00650C25">
        <w:rPr>
          <w:rFonts w:ascii="Times New Roman" w:hAnsi="Times New Roman"/>
        </w:rPr>
        <w:t>"(1)</w:t>
      </w:r>
      <w:r w:rsidRPr="00650C25">
        <w:rPr>
          <w:rFonts w:ascii="Times New Roman" w:hAnsi="Times New Roman"/>
        </w:rPr>
        <w:tab/>
        <w:t>Jeruzalski assumed that [the appellant] and [VBC] had 'no income', in the sense that they did not have sufficient income to service interest under the loans for between six and 12 months.</w:t>
      </w:r>
    </w:p>
    <w:p w14:paraId="1CA2868D"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(2)</w:t>
      </w:r>
      <w:r w:rsidRPr="00650C25">
        <w:rPr>
          <w:rFonts w:ascii="Times New Roman" w:hAnsi="Times New Roman"/>
        </w:rPr>
        <w:tab/>
        <w:t xml:space="preserve">Jeruzalski knew that [the appellant] and [VBC] had paid only a token deposit under the two contracts to purchase the Fingal property – $100 under the first contract (in force when the loan offers were made) and $5,100 under the second contract (in force when the loans were approved). This supported </w:t>
      </w:r>
      <w:proofErr w:type="spellStart"/>
      <w:r w:rsidRPr="00650C25">
        <w:rPr>
          <w:rFonts w:ascii="Times New Roman" w:hAnsi="Times New Roman"/>
        </w:rPr>
        <w:t>Jeruzalski's</w:t>
      </w:r>
      <w:proofErr w:type="spellEnd"/>
      <w:r w:rsidRPr="00650C25">
        <w:rPr>
          <w:rFonts w:ascii="Times New Roman" w:hAnsi="Times New Roman"/>
        </w:rPr>
        <w:t xml:space="preserve"> assumption that [the appellant] and [VBC] had insufficient income to service the loans.</w:t>
      </w:r>
    </w:p>
    <w:p w14:paraId="221080E7"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(3)</w:t>
      </w:r>
      <w:r w:rsidRPr="00650C25">
        <w:rPr>
          <w:rFonts w:ascii="Times New Roman" w:hAnsi="Times New Roman"/>
        </w:rPr>
        <w:tab/>
        <w:t xml:space="preserve">Jeruzalski had been informed by </w:t>
      </w:r>
      <w:proofErr w:type="spellStart"/>
      <w:r w:rsidRPr="00650C25">
        <w:rPr>
          <w:rFonts w:ascii="Times New Roman" w:hAnsi="Times New Roman"/>
        </w:rPr>
        <w:t>Zourkas</w:t>
      </w:r>
      <w:proofErr w:type="spellEnd"/>
      <w:r w:rsidRPr="00650C25">
        <w:rPr>
          <w:rFonts w:ascii="Times New Roman" w:hAnsi="Times New Roman"/>
        </w:rPr>
        <w:t xml:space="preserve"> that the proceeds of the two loans would be used to both settle the purchase of the Fingal property and to pay out the existing CBA mortgage loans over the two Narre Warren properties; and that [the appellant's] plan was to then sell the two Narre Warren properties and then refinance the loans with a bank. Jeruzalski gave evidence that he treated [the appellant's] equity in these properties as his deposit on the Fingal property.</w:t>
      </w:r>
    </w:p>
    <w:p w14:paraId="6E2DE1CD"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(4)</w:t>
      </w:r>
      <w:r w:rsidRPr="00650C25">
        <w:rPr>
          <w:rFonts w:ascii="Times New Roman" w:hAnsi="Times New Roman"/>
        </w:rPr>
        <w:tab/>
        <w:t xml:space="preserve">From the disbursement authorities prepared by his office at the time the loans were approved, Jeruzalski knew that – after settlement of the Fingal property purchase, repayment of the mortgages over the Narre Warren properties, and the payment of all costs and expenses including loan procuration fees and commissions – the net proceeds of the loans available to [the appellant] and [VBC] for any business </w:t>
      </w:r>
      <w:r w:rsidRPr="00650C25">
        <w:rPr>
          <w:rFonts w:ascii="Times New Roman" w:hAnsi="Times New Roman"/>
        </w:rPr>
        <w:lastRenderedPageBreak/>
        <w:t>purposes would be very small in comparison to the amount borrowed.</w:t>
      </w:r>
    </w:p>
    <w:p w14:paraId="713C650A" w14:textId="77777777" w:rsidR="00CD32FB" w:rsidRPr="00650C25"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(5)</w:t>
      </w:r>
      <w:r w:rsidRPr="00650C25">
        <w:rPr>
          <w:rFonts w:ascii="Times New Roman" w:hAnsi="Times New Roman"/>
        </w:rPr>
        <w:tab/>
        <w:t xml:space="preserve">Jeruzalski had been told by </w:t>
      </w:r>
      <w:proofErr w:type="spellStart"/>
      <w:r w:rsidRPr="00650C25">
        <w:rPr>
          <w:rFonts w:ascii="Times New Roman" w:hAnsi="Times New Roman"/>
        </w:rPr>
        <w:t>Zourkas</w:t>
      </w:r>
      <w:proofErr w:type="spellEnd"/>
      <w:r w:rsidRPr="00650C25">
        <w:rPr>
          <w:rFonts w:ascii="Times New Roman" w:hAnsi="Times New Roman"/>
        </w:rPr>
        <w:t xml:space="preserve"> that [the appellant] and [VBC] intended to conduct a 'business concerned with boat repairs' at the Fingal property.</w:t>
      </w:r>
    </w:p>
    <w:p w14:paraId="34FD1C4E" w14:textId="77777777" w:rsidR="00CD32FB" w:rsidRDefault="00CD32FB" w:rsidP="00650C25">
      <w:pPr>
        <w:pStyle w:val="leftright"/>
        <w:spacing w:before="0" w:after="260" w:line="280" w:lineRule="exact"/>
        <w:ind w:left="1440" w:right="0" w:hanging="720"/>
        <w:jc w:val="both"/>
        <w:rPr>
          <w:rFonts w:ascii="Times New Roman" w:hAnsi="Times New Roman"/>
        </w:rPr>
      </w:pPr>
      <w:r w:rsidRPr="00650C25">
        <w:rPr>
          <w:rFonts w:ascii="Times New Roman" w:hAnsi="Times New Roman"/>
        </w:rPr>
        <w:t>(6)</w:t>
      </w:r>
      <w:r w:rsidRPr="00650C25">
        <w:rPr>
          <w:rFonts w:ascii="Times New Roman" w:hAnsi="Times New Roman"/>
        </w:rPr>
        <w:tab/>
        <w:t xml:space="preserve">Jeruzalski knew that he, as agent of the mortgagees, had the right under conditions (y) and (z) of the letters of offer to demand that [the appellant] and [VBC] provide 'evidence of serviceability' or evidence of 'proposed means of repayment of the loans' but chose not to exercise that right before approving the loans." </w:t>
      </w:r>
      <w:r w:rsidRPr="00650C25">
        <w:rPr>
          <w:rFonts w:ascii="Times New Roman" w:hAnsi="Times New Roman"/>
        </w:rPr>
        <w:br/>
        <w:t>(footnotes omitted)</w:t>
      </w:r>
    </w:p>
    <w:p w14:paraId="6D33B6E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There is, with respect, some force in the criticism articulated by senior counsel for the appellant that some of the foregoing findings diluted the facts set out in the reasons of the primary judge. For example, in the finding concerning Mr </w:t>
      </w:r>
      <w:proofErr w:type="spellStart"/>
      <w:r w:rsidRPr="00650C25">
        <w:rPr>
          <w:rFonts w:ascii="Times New Roman" w:hAnsi="Times New Roman"/>
        </w:rPr>
        <w:t>Jeruzalski's</w:t>
      </w:r>
      <w:proofErr w:type="spellEnd"/>
      <w:r w:rsidRPr="00650C25">
        <w:rPr>
          <w:rFonts w:ascii="Times New Roman" w:hAnsi="Times New Roman"/>
        </w:rPr>
        <w:t xml:space="preserve"> suspicion that the appellant had no income, the Court of Appeal added a qualification, not made by the primary judge, that this referred to having insufficient income to service the interest payable for between six and 12 months. In addition, the Court of Appeal made no reference to the primary judge's finding that Mr Jeruzalski knew that the loans were risky and dangerous.</w:t>
      </w:r>
    </w:p>
    <w:p w14:paraId="73FD6CB9"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any event, based on the appellant's case perceived at its highest, the Court of Appeal considered that the circumstances "may have been sufficient to justify the serious finding that it was unconscionable for [Mr Jeruzalski] to abstain from inquiry"</w:t>
      </w:r>
      <w:r w:rsidRPr="00650C25">
        <w:rPr>
          <w:rStyle w:val="FootnoteReference"/>
          <w:rFonts w:ascii="Times New Roman" w:hAnsi="Times New Roman"/>
          <w:sz w:val="24"/>
        </w:rPr>
        <w:footnoteReference w:id="182"/>
      </w:r>
      <w:r w:rsidRPr="00650C25">
        <w:rPr>
          <w:rFonts w:ascii="Times New Roman" w:hAnsi="Times New Roman"/>
        </w:rPr>
        <w:t>. However, the Court of Appeal also considered that the obtaining of independent legal and financial advice foreclosed any such conclusion</w:t>
      </w:r>
      <w:r w:rsidRPr="00650C25">
        <w:rPr>
          <w:rStyle w:val="FootnoteReference"/>
          <w:rFonts w:ascii="Times New Roman" w:hAnsi="Times New Roman"/>
          <w:sz w:val="24"/>
        </w:rPr>
        <w:footnoteReference w:id="183"/>
      </w:r>
      <w:r w:rsidRPr="00650C25">
        <w:rPr>
          <w:rFonts w:ascii="Times New Roman" w:hAnsi="Times New Roman"/>
        </w:rPr>
        <w:t>. The Court reasoned that Mr Jeruzalski was entitled to rely on each Certificate as evidence both that the appellant had consulted a solicitor and accountant for advice and of the truth of the matters contained in each Certificate</w:t>
      </w:r>
      <w:r w:rsidRPr="00650C25">
        <w:rPr>
          <w:rStyle w:val="FootnoteReference"/>
          <w:rFonts w:ascii="Times New Roman" w:hAnsi="Times New Roman"/>
          <w:sz w:val="24"/>
        </w:rPr>
        <w:footnoteReference w:id="184"/>
      </w:r>
      <w:r w:rsidRPr="00650C25">
        <w:rPr>
          <w:rFonts w:ascii="Times New Roman" w:hAnsi="Times New Roman"/>
        </w:rPr>
        <w:t xml:space="preserve">. It followed, it was said, that Mr Jeruzalski should not be fixed with knowledge of the appellant's </w:t>
      </w:r>
      <w:r w:rsidRPr="00650C25">
        <w:rPr>
          <w:rFonts w:ascii="Times New Roman" w:hAnsi="Times New Roman"/>
        </w:rPr>
        <w:lastRenderedPageBreak/>
        <w:t>"personal and financial circumstances such that default under the loans was inevitable"</w:t>
      </w:r>
      <w:r w:rsidRPr="00650C25">
        <w:rPr>
          <w:rStyle w:val="FootnoteReference"/>
          <w:rFonts w:ascii="Times New Roman" w:hAnsi="Times New Roman"/>
          <w:sz w:val="24"/>
        </w:rPr>
        <w:footnoteReference w:id="185"/>
      </w:r>
      <w:r w:rsidRPr="00650C25">
        <w:rPr>
          <w:rFonts w:ascii="Times New Roman" w:hAnsi="Times New Roman"/>
        </w:rPr>
        <w:t>.</w:t>
      </w:r>
    </w:p>
    <w:p w14:paraId="5C40F21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reaching this conclusion, the Court of Appeal may have been distracted by the "concept" of asset-based lending</w:t>
      </w:r>
      <w:r w:rsidRPr="00650C25">
        <w:rPr>
          <w:rStyle w:val="FootnoteReference"/>
          <w:rFonts w:ascii="Times New Roman" w:hAnsi="Times New Roman"/>
          <w:sz w:val="24"/>
        </w:rPr>
        <w:footnoteReference w:id="186"/>
      </w:r>
      <w:r w:rsidRPr="00650C25">
        <w:rPr>
          <w:rFonts w:ascii="Times New Roman" w:hAnsi="Times New Roman"/>
        </w:rPr>
        <w:t>. "[P]</w:t>
      </w:r>
      <w:proofErr w:type="spellStart"/>
      <w:r w:rsidRPr="00650C25">
        <w:rPr>
          <w:rFonts w:ascii="Times New Roman" w:hAnsi="Times New Roman"/>
        </w:rPr>
        <w:t>ure</w:t>
      </w:r>
      <w:proofErr w:type="spellEnd"/>
      <w:r w:rsidRPr="00650C25">
        <w:rPr>
          <w:rFonts w:ascii="Times New Roman" w:hAnsi="Times New Roman"/>
        </w:rPr>
        <w:t>" or "mere" asset-based lending was said to comprise a situation where lenders deliberately intend neither to seek nor to receive information about the personal and financial circumstances of the borrowers</w:t>
      </w:r>
      <w:r w:rsidRPr="00650C25">
        <w:rPr>
          <w:rStyle w:val="FootnoteReference"/>
          <w:rFonts w:ascii="Times New Roman" w:hAnsi="Times New Roman"/>
          <w:sz w:val="24"/>
        </w:rPr>
        <w:footnoteReference w:id="187"/>
      </w:r>
      <w:r w:rsidRPr="00650C25">
        <w:rPr>
          <w:rFonts w:ascii="Times New Roman" w:hAnsi="Times New Roman"/>
        </w:rPr>
        <w:t>. The Court of Appeal was of the view, based upon its understanding of the prevailing authorities, that this type of asset</w:t>
      </w:r>
      <w:r w:rsidRPr="00650C25">
        <w:rPr>
          <w:rFonts w:ascii="Times New Roman" w:hAnsi="Times New Roman"/>
        </w:rPr>
        <w:noBreakHyphen/>
        <w:t>based lending "is not, by itself, unconscionable conduct"</w:t>
      </w:r>
      <w:r w:rsidRPr="00650C25">
        <w:rPr>
          <w:rStyle w:val="FootnoteReference"/>
          <w:rFonts w:ascii="Times New Roman" w:hAnsi="Times New Roman"/>
          <w:sz w:val="24"/>
        </w:rPr>
        <w:footnoteReference w:id="188"/>
      </w:r>
      <w:r w:rsidRPr="00650C25">
        <w:rPr>
          <w:rFonts w:ascii="Times New Roman" w:hAnsi="Times New Roman"/>
        </w:rPr>
        <w:t>, especially when combined with a system of lending that includes a requirement for certificates of independent legal and financial advice</w:t>
      </w:r>
      <w:r w:rsidRPr="00650C25">
        <w:rPr>
          <w:rStyle w:val="FootnoteReference"/>
          <w:rFonts w:ascii="Times New Roman" w:hAnsi="Times New Roman"/>
          <w:b w:val="0"/>
          <w:sz w:val="26"/>
          <w:vertAlign w:val="baseline"/>
        </w:rPr>
        <w:t>.</w:t>
      </w:r>
      <w:r w:rsidRPr="00650C25">
        <w:rPr>
          <w:rFonts w:ascii="Times New Roman" w:hAnsi="Times New Roman"/>
        </w:rPr>
        <w:t xml:space="preserve"> The Court of Appeal then characterised the reasoning of the primary judge as constituting "in substance an adverse view of asset</w:t>
      </w:r>
      <w:r w:rsidRPr="00650C25">
        <w:rPr>
          <w:rFonts w:ascii="Times New Roman" w:hAnsi="Times New Roman"/>
        </w:rPr>
        <w:noBreakHyphen/>
        <w:t>based lending as a concept"</w:t>
      </w:r>
      <w:r w:rsidRPr="00650C25">
        <w:rPr>
          <w:rStyle w:val="FootnoteReference"/>
          <w:rFonts w:ascii="Times New Roman" w:hAnsi="Times New Roman"/>
          <w:sz w:val="24"/>
        </w:rPr>
        <w:footnoteReference w:id="189"/>
      </w:r>
      <w:r w:rsidRPr="00650C25">
        <w:rPr>
          <w:rFonts w:ascii="Times New Roman" w:hAnsi="Times New Roman"/>
        </w:rPr>
        <w:t>. That view, it was said, "infected" the reasoning of the primary judge</w:t>
      </w:r>
      <w:r w:rsidRPr="00650C25">
        <w:rPr>
          <w:rStyle w:val="FootnoteReference"/>
          <w:rFonts w:ascii="Times New Roman" w:hAnsi="Times New Roman"/>
          <w:sz w:val="24"/>
        </w:rPr>
        <w:footnoteReference w:id="190"/>
      </w:r>
      <w:r w:rsidRPr="00650C25">
        <w:rPr>
          <w:rFonts w:ascii="Times New Roman" w:hAnsi="Times New Roman"/>
        </w:rPr>
        <w:t xml:space="preserve">. </w:t>
      </w:r>
    </w:p>
    <w:p w14:paraId="42951495"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With respect, those observations are not sustainable. In the first place, as already mentioned, there is not one "type" of asset</w:t>
      </w:r>
      <w:r w:rsidRPr="00650C25">
        <w:rPr>
          <w:rFonts w:ascii="Times New Roman" w:hAnsi="Times New Roman"/>
        </w:rPr>
        <w:noBreakHyphen/>
        <w:t xml:space="preserve">based lending. In that regard, determining whether identified conduct is unconscionable cannot turn upon some </w:t>
      </w:r>
      <w:r w:rsidRPr="00650C25">
        <w:rPr>
          <w:rFonts w:ascii="Times New Roman" w:hAnsi="Times New Roman"/>
          <w:i/>
        </w:rPr>
        <w:t>a priori</w:t>
      </w:r>
      <w:r w:rsidRPr="00650C25">
        <w:rPr>
          <w:rFonts w:ascii="Times New Roman" w:hAnsi="Times New Roman"/>
        </w:rPr>
        <w:t xml:space="preserve"> categorisation of a product – here a type of lending – as being either immune from, or subject to, equitable remedies. Observing that asset</w:t>
      </w:r>
      <w:r w:rsidRPr="00650C25">
        <w:rPr>
          <w:rFonts w:ascii="Times New Roman" w:hAnsi="Times New Roman"/>
        </w:rPr>
        <w:noBreakHyphen/>
        <w:t xml:space="preserve">based </w:t>
      </w:r>
      <w:r w:rsidRPr="00650C25">
        <w:rPr>
          <w:rFonts w:ascii="Times New Roman" w:hAnsi="Times New Roman"/>
        </w:rPr>
        <w:lastRenderedPageBreak/>
        <w:t>lending "by itself" is not unconscionable conduct is not, with respect, a useful proposition. Rather, in every matter there must be "close consideration of the facts of each case"</w:t>
      </w:r>
      <w:r w:rsidRPr="00650C25">
        <w:rPr>
          <w:rFonts w:ascii="Times New Roman" w:hAnsi="Times New Roman"/>
          <w:b/>
          <w:sz w:val="24"/>
          <w:vertAlign w:val="superscript"/>
        </w:rPr>
        <w:footnoteReference w:id="191"/>
      </w:r>
      <w:r w:rsidRPr="00650C25">
        <w:rPr>
          <w:rFonts w:ascii="Times New Roman" w:hAnsi="Times New Roman"/>
        </w:rPr>
        <w:t>. Secondly, that is exactly what the primary judge did here. His Honour's reasoning was not concerned with asset</w:t>
      </w:r>
      <w:r w:rsidRPr="00650C25">
        <w:rPr>
          <w:rFonts w:ascii="Times New Roman" w:hAnsi="Times New Roman"/>
        </w:rPr>
        <w:noBreakHyphen/>
        <w:t>based lending generally but with the particular circumstances of the entry into the two loans here, and upon the application of AJ Lawyers' "system of conduct" to those facts. So much is clear from his Honour's careful examination of the actions of Mr </w:t>
      </w:r>
      <w:proofErr w:type="spellStart"/>
      <w:r w:rsidRPr="00650C25">
        <w:rPr>
          <w:rFonts w:ascii="Times New Roman" w:hAnsi="Times New Roman"/>
        </w:rPr>
        <w:t>Jeruzalski</w:t>
      </w:r>
      <w:proofErr w:type="spellEnd"/>
      <w:r w:rsidRPr="00650C25">
        <w:rPr>
          <w:rFonts w:ascii="Times New Roman" w:hAnsi="Times New Roman"/>
        </w:rPr>
        <w:t>, Mr </w:t>
      </w:r>
      <w:proofErr w:type="spellStart"/>
      <w:r w:rsidRPr="00650C25">
        <w:rPr>
          <w:rFonts w:ascii="Times New Roman" w:hAnsi="Times New Roman"/>
        </w:rPr>
        <w:t>Zourkas</w:t>
      </w:r>
      <w:proofErr w:type="spellEnd"/>
      <w:r w:rsidRPr="00650C25">
        <w:rPr>
          <w:rFonts w:ascii="Times New Roman" w:hAnsi="Times New Roman"/>
        </w:rPr>
        <w:t xml:space="preserve"> and others in connection with the application of that system to the appellant.</w:t>
      </w:r>
    </w:p>
    <w:p w14:paraId="6C436DFF" w14:textId="77777777" w:rsidR="00CD32FB" w:rsidRPr="00650C25" w:rsidRDefault="00CD32FB" w:rsidP="00650C25">
      <w:pPr>
        <w:pStyle w:val="HeadingL1"/>
        <w:spacing w:after="260" w:line="280" w:lineRule="exact"/>
        <w:ind w:right="0"/>
        <w:jc w:val="both"/>
        <w:rPr>
          <w:rFonts w:ascii="Times New Roman" w:hAnsi="Times New Roman"/>
        </w:rPr>
      </w:pPr>
      <w:r w:rsidRPr="00650C25">
        <w:rPr>
          <w:rFonts w:ascii="Times New Roman" w:hAnsi="Times New Roman"/>
        </w:rPr>
        <w:t>Unconscionability and the application of the "system of conduct"</w:t>
      </w:r>
    </w:p>
    <w:p w14:paraId="71DFAF9E"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The appellant's pleaded case relevantly contended that the respondents had engaged in unconscionable conduct pursuant to s 21 of the </w:t>
      </w:r>
      <w:r w:rsidRPr="00650C25">
        <w:rPr>
          <w:rFonts w:ascii="Times New Roman" w:hAnsi="Times New Roman"/>
          <w:i/>
        </w:rPr>
        <w:t>Australian Consumer Law</w:t>
      </w:r>
      <w:r w:rsidRPr="00650C25">
        <w:rPr>
          <w:rFonts w:ascii="Times New Roman" w:hAnsi="Times New Roman"/>
        </w:rPr>
        <w:t xml:space="preserve"> as set out in Sch 2 to the </w:t>
      </w:r>
      <w:r w:rsidRPr="00650C25">
        <w:rPr>
          <w:rFonts w:ascii="Times New Roman" w:hAnsi="Times New Roman"/>
          <w:i/>
        </w:rPr>
        <w:t xml:space="preserve">Competition and Consumer Act 2010 </w:t>
      </w:r>
      <w:r w:rsidRPr="00650C25">
        <w:rPr>
          <w:rFonts w:ascii="Times New Roman" w:hAnsi="Times New Roman"/>
        </w:rPr>
        <w:t xml:space="preserve">(Cth), pursuant to s 12CB of the </w:t>
      </w:r>
      <w:r w:rsidRPr="00650C25">
        <w:rPr>
          <w:rFonts w:ascii="Times New Roman" w:hAnsi="Times New Roman"/>
          <w:i/>
        </w:rPr>
        <w:t>Australian Securities and Investments Commission Act</w:t>
      </w:r>
      <w:r w:rsidRPr="00650C25">
        <w:rPr>
          <w:rFonts w:ascii="Times New Roman" w:hAnsi="Times New Roman"/>
        </w:rPr>
        <w:t xml:space="preserve"> </w:t>
      </w:r>
      <w:r w:rsidRPr="00650C25">
        <w:rPr>
          <w:rFonts w:ascii="Times New Roman" w:hAnsi="Times New Roman"/>
          <w:i/>
        </w:rPr>
        <w:t>2001</w:t>
      </w:r>
      <w:r w:rsidRPr="00650C25">
        <w:rPr>
          <w:rFonts w:ascii="Times New Roman" w:hAnsi="Times New Roman"/>
        </w:rPr>
        <w:t> (Cth), and in accordance with applicable equitable principles. For the reasons set out below, and concordantly with the conclusion of the primary judge, Mr Jeruzalski, as agent for the respondents, acted unconscionably in accordance with equitable principles in failing to make necessary enquiries concerning the personal and financial circumstances of the appellant. Accordingly, it is not necessary to consider the application of s 21 or s 12CB.</w:t>
      </w:r>
    </w:p>
    <w:p w14:paraId="2D613477"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This appeal ultimately turns upon a narrow issue, namely whether the Court of Appeal was correct in concluding that the Legal Certificate and the Financial Certificate not only precluded a finding of wilful blindness on the part of AJ Lawyers but also, as a result, effectively immunised its failure to make enquiries about the circumstances of the appellant from a conclusion, which might otherwise have been available, that there had been unconscionable conduct.</w:t>
      </w:r>
    </w:p>
    <w:p w14:paraId="05267AA6"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There was no dispute concerning the governing test for when equity will bar a remedy because a party has acted contrary to conscience. The applicable principles were summarised by Kiefel CJ, Bell, Gageler, Keane and Edelman JJ in </w:t>
      </w:r>
      <w:r w:rsidRPr="00650C25">
        <w:rPr>
          <w:rFonts w:ascii="Times New Roman" w:hAnsi="Times New Roman"/>
          <w:i/>
        </w:rPr>
        <w:t>Thorne v Kennedy</w:t>
      </w:r>
      <w:r w:rsidRPr="00650C25">
        <w:rPr>
          <w:rFonts w:ascii="Times New Roman" w:hAnsi="Times New Roman"/>
        </w:rPr>
        <w:t xml:space="preserve"> as follows</w:t>
      </w:r>
      <w:r w:rsidRPr="00650C25">
        <w:rPr>
          <w:rStyle w:val="FootnoteReference"/>
          <w:rFonts w:ascii="Times New Roman" w:hAnsi="Times New Roman"/>
          <w:sz w:val="24"/>
        </w:rPr>
        <w:footnoteReference w:id="192"/>
      </w:r>
      <w:r w:rsidRPr="00650C25">
        <w:rPr>
          <w:rFonts w:ascii="Times New Roman" w:hAnsi="Times New Roman"/>
        </w:rPr>
        <w:t>:</w:t>
      </w:r>
    </w:p>
    <w:p w14:paraId="303BD55F" w14:textId="77777777" w:rsidR="00CD32FB" w:rsidRDefault="00CD32FB" w:rsidP="00650C25">
      <w:pPr>
        <w:pStyle w:val="LRIndentafterHC"/>
        <w:spacing w:before="0" w:after="260" w:line="280" w:lineRule="exact"/>
        <w:ind w:right="0"/>
        <w:jc w:val="both"/>
        <w:rPr>
          <w:rFonts w:ascii="Times New Roman" w:hAnsi="Times New Roman"/>
        </w:rPr>
      </w:pPr>
      <w:r w:rsidRPr="00650C25">
        <w:rPr>
          <w:rFonts w:ascii="Times New Roman" w:hAnsi="Times New Roman"/>
        </w:rPr>
        <w:t xml:space="preserve">"A conclusion of unconscionable conduct requires the innocent party to be subject to a special disadvantage 'which seriously affects the ability of </w:t>
      </w:r>
      <w:r w:rsidRPr="00650C25">
        <w:rPr>
          <w:rFonts w:ascii="Times New Roman" w:hAnsi="Times New Roman"/>
        </w:rPr>
        <w:lastRenderedPageBreak/>
        <w:t xml:space="preserve">the innocent party to make a judgment as to [the innocent party's] own best interests'. The other party must also unconscientiously take advantage of that special disadvantage. This has been variously described as requiring 'victimisation', 'unconscientious conduct', or 'exploitation'. Before there can be a finding of unconscientious taking of advantage, it is also generally necessary that the other party knew or ought to have known of the existence and effect of the special disadvantage." (footnotes omitted) </w:t>
      </w:r>
    </w:p>
    <w:p w14:paraId="027577A8"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foregoing tests must be applied to the facts and circumstances in existence at the time the two loans were entered into</w:t>
      </w:r>
      <w:r w:rsidRPr="00650C25">
        <w:rPr>
          <w:rStyle w:val="FootnoteReference"/>
          <w:rFonts w:ascii="Times New Roman" w:hAnsi="Times New Roman"/>
          <w:sz w:val="24"/>
        </w:rPr>
        <w:footnoteReference w:id="193"/>
      </w:r>
      <w:r w:rsidRPr="00650C25">
        <w:rPr>
          <w:rFonts w:ascii="Times New Roman" w:hAnsi="Times New Roman"/>
        </w:rPr>
        <w:t>.</w:t>
      </w:r>
    </w:p>
    <w:p w14:paraId="6F7C08D9"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As found by the primary judge, the appellant's disadvantage included his lack of education and business experience, his lack of understanding of the transactions, and his relative impecuniosity. In that respect, relative poverty has long been recognised as a category of special disadvantage. In addition, it has also been recognised that a special disadvantage can exist where there is a need for an explanation and assistance, and none has been forthcoming. As Fullagar J said in </w:t>
      </w:r>
      <w:proofErr w:type="spellStart"/>
      <w:r w:rsidRPr="00650C25">
        <w:rPr>
          <w:rFonts w:ascii="Times New Roman" w:hAnsi="Times New Roman"/>
          <w:i/>
        </w:rPr>
        <w:t>Blomley</w:t>
      </w:r>
      <w:proofErr w:type="spellEnd"/>
      <w:r w:rsidRPr="00650C25">
        <w:rPr>
          <w:rFonts w:ascii="Times New Roman" w:hAnsi="Times New Roman"/>
          <w:i/>
        </w:rPr>
        <w:t xml:space="preserve"> v Ryan</w:t>
      </w:r>
      <w:r w:rsidRPr="00650C25">
        <w:rPr>
          <w:rStyle w:val="FootnoteReference"/>
          <w:rFonts w:ascii="Times New Roman" w:hAnsi="Times New Roman"/>
          <w:sz w:val="24"/>
        </w:rPr>
        <w:footnoteReference w:id="194"/>
      </w:r>
      <w:r w:rsidRPr="00650C25">
        <w:rPr>
          <w:rFonts w:ascii="Times New Roman" w:hAnsi="Times New Roman"/>
        </w:rPr>
        <w:t>:</w:t>
      </w:r>
    </w:p>
    <w:p w14:paraId="046C5C1B" w14:textId="77777777" w:rsidR="00CD32FB" w:rsidRDefault="00CD32FB" w:rsidP="00650C25">
      <w:pPr>
        <w:pStyle w:val="LeftrightafterHC"/>
        <w:spacing w:before="0" w:after="260" w:line="280" w:lineRule="exact"/>
        <w:ind w:right="0"/>
        <w:jc w:val="both"/>
        <w:rPr>
          <w:rFonts w:ascii="Times New Roman" w:hAnsi="Times New Roman"/>
        </w:rPr>
      </w:pPr>
      <w:r w:rsidRPr="00650C25">
        <w:rPr>
          <w:rFonts w:ascii="Times New Roman" w:hAnsi="Times New Roman"/>
        </w:rPr>
        <w:t xml:space="preserve">"The circumstances adversely affecting a party, which may induce a court of equity either to refuse its aid or to set a transaction aside, are of great variety and can hardly be satisfactorily classified. Among them are </w:t>
      </w:r>
      <w:r w:rsidRPr="00650C25">
        <w:rPr>
          <w:rFonts w:ascii="Times New Roman" w:hAnsi="Times New Roman"/>
          <w:i/>
        </w:rPr>
        <w:t>poverty or need of any kind</w:t>
      </w:r>
      <w:r w:rsidRPr="00650C25">
        <w:rPr>
          <w:rFonts w:ascii="Times New Roman" w:hAnsi="Times New Roman"/>
        </w:rPr>
        <w:t xml:space="preserve">, sickness, age, sex, infirmity of body or mind, drunkenness, illiteracy or lack of education, </w:t>
      </w:r>
      <w:r w:rsidRPr="00650C25">
        <w:rPr>
          <w:rFonts w:ascii="Times New Roman" w:hAnsi="Times New Roman"/>
          <w:i/>
        </w:rPr>
        <w:t>lack of assistance or explanation where assistance or explanation is necessary</w:t>
      </w:r>
      <w:r w:rsidRPr="00650C25">
        <w:rPr>
          <w:rFonts w:ascii="Times New Roman" w:hAnsi="Times New Roman"/>
        </w:rPr>
        <w:t xml:space="preserve">. The common characteristic seems to be that they have the effect of placing one party at a serious disadvantage </w:t>
      </w:r>
      <w:r w:rsidRPr="00650C25">
        <w:rPr>
          <w:rFonts w:ascii="Times New Roman" w:hAnsi="Times New Roman"/>
          <w:i/>
        </w:rPr>
        <w:t>vis-à-vis</w:t>
      </w:r>
      <w:r w:rsidRPr="00650C25">
        <w:rPr>
          <w:rFonts w:ascii="Times New Roman" w:hAnsi="Times New Roman"/>
        </w:rPr>
        <w:t xml:space="preserve"> the other." (emphasis added)</w:t>
      </w:r>
    </w:p>
    <w:p w14:paraId="4C16382C"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respondents relied upon the observation of the Court of Appeal that the appellant did not suffer from any "profound disabilities" and "was in control of his own affairs and could well speak and read English"</w:t>
      </w:r>
      <w:r w:rsidRPr="00650C25">
        <w:rPr>
          <w:rStyle w:val="FootnoteReference"/>
          <w:rFonts w:ascii="Times New Roman" w:hAnsi="Times New Roman"/>
          <w:sz w:val="24"/>
        </w:rPr>
        <w:footnoteReference w:id="195"/>
      </w:r>
      <w:r w:rsidRPr="00650C25">
        <w:rPr>
          <w:rFonts w:ascii="Times New Roman" w:hAnsi="Times New Roman"/>
        </w:rPr>
        <w:t xml:space="preserve">. So much may be accepted. But such observations do not address the critical issue here, namely whether, given the suspicion held by Mr Jeruzalski that the appellant had no income, there was a need to give him assistance in the form of a warning about the potential danger to </w:t>
      </w:r>
      <w:r w:rsidRPr="00650C25">
        <w:rPr>
          <w:rFonts w:ascii="Times New Roman" w:hAnsi="Times New Roman"/>
        </w:rPr>
        <w:lastRenderedPageBreak/>
        <w:t>him arising from entering into the two loans. The appellant suffered from a disadvantage because he was impecunious and because no such warning or explanation was ever proffered.</w:t>
      </w:r>
    </w:p>
    <w:p w14:paraId="0B75CAF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disadvantage must be "special". It is well established that this refers not to any mere difference in bargaining power, but to an inability to make a judgment by the innocent party as to her or his best interests, which inability is known, or ought to be known, by the other party</w:t>
      </w:r>
      <w:r w:rsidRPr="00650C25">
        <w:rPr>
          <w:rStyle w:val="FootnoteReference"/>
          <w:rFonts w:ascii="Times New Roman" w:hAnsi="Times New Roman"/>
          <w:sz w:val="24"/>
        </w:rPr>
        <w:footnoteReference w:id="196"/>
      </w:r>
      <w:r w:rsidRPr="00650C25">
        <w:rPr>
          <w:rFonts w:ascii="Times New Roman" w:hAnsi="Times New Roman"/>
        </w:rPr>
        <w:t>. Having regard to Mr </w:t>
      </w:r>
      <w:proofErr w:type="spellStart"/>
      <w:r w:rsidRPr="00650C25">
        <w:rPr>
          <w:rFonts w:ascii="Times New Roman" w:hAnsi="Times New Roman"/>
        </w:rPr>
        <w:t>Jeruzalski's</w:t>
      </w:r>
      <w:proofErr w:type="spellEnd"/>
      <w:r w:rsidRPr="00650C25">
        <w:rPr>
          <w:rFonts w:ascii="Times New Roman" w:hAnsi="Times New Roman"/>
        </w:rPr>
        <w:t xml:space="preserve"> suspicion, together with his knowledge of the transactions that were to be undertaken, the appellant's disadvantage was special. That was because the appellant's company was about to borrow over $1 million on terms which obliged it to pay at least six months of interest (over $10,000 per month absent default) in circumstances where it was assumed that the appellant, as guarantor, had no income. Lending such a substantial sum of money exposed the appellant to very great danger. It thus gave rise to a need to make enquiries about the actual extent of that danger and to warn the appellant accordingly. For the reasons set out below, had enquiries been made, it would have been realised that the appellant was unable to make a judgment in his best interests. That explains why he entered into what was, for him, such a calamitous transaction. </w:t>
      </w:r>
    </w:p>
    <w:p w14:paraId="40F79362"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Consistently with the "system of conduct", as already mentioned, Mr </w:t>
      </w:r>
      <w:proofErr w:type="spellStart"/>
      <w:r w:rsidRPr="00650C25">
        <w:rPr>
          <w:rFonts w:ascii="Times New Roman" w:hAnsi="Times New Roman"/>
        </w:rPr>
        <w:t>Jeruzalski's</w:t>
      </w:r>
      <w:proofErr w:type="spellEnd"/>
      <w:r w:rsidRPr="00650C25">
        <w:rPr>
          <w:rFonts w:ascii="Times New Roman" w:hAnsi="Times New Roman"/>
        </w:rPr>
        <w:t xml:space="preserve"> </w:t>
      </w:r>
      <w:r w:rsidRPr="00650C25">
        <w:rPr>
          <w:rFonts w:ascii="Times New Roman" w:hAnsi="Times New Roman"/>
          <w:i/>
        </w:rPr>
        <w:t>actual</w:t>
      </w:r>
      <w:r w:rsidRPr="00650C25">
        <w:rPr>
          <w:rFonts w:ascii="Times New Roman" w:hAnsi="Times New Roman"/>
        </w:rPr>
        <w:t xml:space="preserve"> knowledge of the appellant was confined. He suspected that the appellant had no income and he also knew that acting as a guarantor of the loans was a risky and dangerous matter for the appellant. Mr Jeruzalski had a general appreciation of the appellant's plan to sell the Narre Warren properties and to refinance the outstanding debt. He also mistakenly believed that the appellant intended to conduct a business at the Fingal property. Finally, he also relied on the contents of the Legal Certificate and the Financial Certificate, both of which he had drafted. Mr Jeruzalski otherwise cannot be fixed with knowledge of the dealings that Mr </w:t>
      </w:r>
      <w:proofErr w:type="spellStart"/>
      <w:r w:rsidRPr="00650C25">
        <w:rPr>
          <w:rFonts w:ascii="Times New Roman" w:hAnsi="Times New Roman"/>
        </w:rPr>
        <w:t>Zourkas</w:t>
      </w:r>
      <w:proofErr w:type="spellEnd"/>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or Mr </w:t>
      </w:r>
      <w:proofErr w:type="spellStart"/>
      <w:r w:rsidRPr="00650C25">
        <w:rPr>
          <w:rFonts w:ascii="Times New Roman" w:hAnsi="Times New Roman"/>
        </w:rPr>
        <w:t>Topalides</w:t>
      </w:r>
      <w:proofErr w:type="spellEnd"/>
      <w:r w:rsidRPr="00650C25">
        <w:rPr>
          <w:rFonts w:ascii="Times New Roman" w:hAnsi="Times New Roman"/>
        </w:rPr>
        <w:t xml:space="preserve"> had with the appellant. Nor can he be fixed with any knowledge concerning the appellant's history, education and experience. In that regard, unlike the primary judge, Mr Jeruzalski did not, at any stage, have the benefit of observing the appellant's demeanour. In such circumstances it was for the appellant to demonstrate that Mr Jeruzalski, as agent for the respondents, knew or ought to have known about the existence and effect of the appellant's special disadvantage. </w:t>
      </w:r>
    </w:p>
    <w:p w14:paraId="74DDFEE6"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lastRenderedPageBreak/>
        <w:tab/>
        <w:t xml:space="preserve">In </w:t>
      </w:r>
      <w:r w:rsidRPr="00650C25">
        <w:rPr>
          <w:rFonts w:ascii="Times New Roman" w:hAnsi="Times New Roman"/>
          <w:i/>
        </w:rPr>
        <w:t>Commercial Bank of Australia Ltd v Amadio</w:t>
      </w:r>
      <w:r w:rsidRPr="00650C25">
        <w:rPr>
          <w:rStyle w:val="FootnoteReference"/>
          <w:rFonts w:ascii="Times New Roman" w:hAnsi="Times New Roman"/>
          <w:sz w:val="24"/>
        </w:rPr>
        <w:footnoteReference w:id="197"/>
      </w:r>
      <w:r w:rsidRPr="00650C25">
        <w:rPr>
          <w:rFonts w:ascii="Times New Roman" w:hAnsi="Times New Roman"/>
        </w:rPr>
        <w:t>, Mason J said:</w:t>
      </w:r>
    </w:p>
    <w:p w14:paraId="0388B7C4" w14:textId="77777777" w:rsidR="00CD32FB" w:rsidRDefault="00CD32FB" w:rsidP="00650C25">
      <w:pPr>
        <w:pStyle w:val="LeftrightafterHC"/>
        <w:keepNext/>
        <w:spacing w:before="0" w:after="260" w:line="280" w:lineRule="exact"/>
        <w:ind w:right="0"/>
        <w:jc w:val="both"/>
        <w:rPr>
          <w:rFonts w:ascii="Times New Roman" w:hAnsi="Times New Roman"/>
        </w:rPr>
      </w:pPr>
      <w:r w:rsidRPr="00650C25">
        <w:rPr>
          <w:rFonts w:ascii="Times New Roman" w:hAnsi="Times New Roman"/>
        </w:rPr>
        <w:t xml:space="preserve">"[I]f A having actual knowledge that B occupies a situation of special disadvantage in relation to an intended transaction, so that B cannot make a judgment as to what is in his own interests, takes unfair advantage of his (A's) superior bargaining power or position by entering into that transaction, his conduct in so doing is unconscionable. </w:t>
      </w:r>
      <w:r w:rsidRPr="00650C25">
        <w:rPr>
          <w:rFonts w:ascii="Times New Roman" w:hAnsi="Times New Roman"/>
          <w:i/>
        </w:rPr>
        <w:t>And if, instead of having actual knowledge of that situation, A is aware of the possibility that that situation may exist or is aware of facts that would raise that possibility in the mind of any reasonable person, the result will be the same.</w:t>
      </w:r>
      <w:r w:rsidRPr="00650C25">
        <w:rPr>
          <w:rFonts w:ascii="Times New Roman" w:hAnsi="Times New Roman"/>
        </w:rPr>
        <w:t>" (emphasis added)</w:t>
      </w:r>
    </w:p>
    <w:p w14:paraId="2EFE9792"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Here, Mr </w:t>
      </w:r>
      <w:proofErr w:type="spellStart"/>
      <w:r w:rsidRPr="00650C25">
        <w:rPr>
          <w:rFonts w:ascii="Times New Roman" w:hAnsi="Times New Roman"/>
        </w:rPr>
        <w:t>Jeruzalski's</w:t>
      </w:r>
      <w:proofErr w:type="spellEnd"/>
      <w:r w:rsidRPr="00650C25">
        <w:rPr>
          <w:rFonts w:ascii="Times New Roman" w:hAnsi="Times New Roman"/>
        </w:rPr>
        <w:t xml:space="preserve"> suspicion that the appellant had no income and his knowledge that the transaction was for the appellant "risky and dangerous" was sufficient, in and of itself, to establish the "possibility" that he was in a position of special disadvantage. If enquiries had been made, they would have led to Mr Jeruzalski discovering not only that the appellant in fact had no or very little income, and that VBC was no more than a shell company, but also that, by reason of the terms of each loan, VBC was bound to default, with the consequence that all three properties the appellant owned would need to be sold. He would have realised that the transactions from the perspective of the appellant were not merely risky and dangerous but entirely uncommercial and could not in any way have advanced his interests. Mr Jeruzalski would also have learned that the appellant had fundamentally misunderstood the transaction, whether by reason of Mr </w:t>
      </w:r>
      <w:proofErr w:type="spellStart"/>
      <w:r w:rsidRPr="00650C25">
        <w:rPr>
          <w:rFonts w:ascii="Times New Roman" w:hAnsi="Times New Roman"/>
        </w:rPr>
        <w:t>Zourkas</w:t>
      </w:r>
      <w:proofErr w:type="spellEnd"/>
      <w:r w:rsidRPr="00650C25">
        <w:rPr>
          <w:rFonts w:ascii="Times New Roman" w:hAnsi="Times New Roman"/>
        </w:rPr>
        <w:t>' conduct or for some other reason, and that it was possible that Mr </w:t>
      </w:r>
      <w:proofErr w:type="spellStart"/>
      <w:r w:rsidRPr="00650C25">
        <w:rPr>
          <w:rFonts w:ascii="Times New Roman" w:hAnsi="Times New Roman"/>
        </w:rPr>
        <w:t>Topalides</w:t>
      </w:r>
      <w:proofErr w:type="spellEnd"/>
      <w:r w:rsidRPr="00650C25">
        <w:rPr>
          <w:rFonts w:ascii="Times New Roman" w:hAnsi="Times New Roman"/>
        </w:rPr>
        <w:t xml:space="preserve"> had given VBC and the appellant no financial advice at all. Mr Jeruzalski would also have realised that the appellant's willingness to enter into what was, for him, such a disastrous arrangement was only explicable because he was in a position of vulnerability, such that he was unable to make a judgment as to what was in his best interests. </w:t>
      </w:r>
    </w:p>
    <w:p w14:paraId="78098CCF"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As the learned primary judge found, AJ Lawyers, but for the "system of conduct", </w:t>
      </w:r>
      <w:r w:rsidRPr="00650C25">
        <w:rPr>
          <w:rFonts w:ascii="Times New Roman" w:hAnsi="Times New Roman"/>
          <w:i/>
        </w:rPr>
        <w:t>should</w:t>
      </w:r>
      <w:r w:rsidRPr="00650C25">
        <w:rPr>
          <w:rFonts w:ascii="Times New Roman" w:hAnsi="Times New Roman"/>
        </w:rPr>
        <w:t xml:space="preserve"> have known that the appellant was bound to lose his properties</w:t>
      </w:r>
      <w:r w:rsidRPr="00650C25">
        <w:rPr>
          <w:rStyle w:val="FootnoteReference"/>
          <w:rFonts w:ascii="Times New Roman" w:hAnsi="Times New Roman"/>
          <w:sz w:val="24"/>
        </w:rPr>
        <w:footnoteReference w:id="198"/>
      </w:r>
      <w:r w:rsidRPr="00650C25">
        <w:rPr>
          <w:rFonts w:ascii="Times New Roman" w:hAnsi="Times New Roman"/>
        </w:rPr>
        <w:t xml:space="preserve">. That finding was not disturbed on appeal. It supports the conclusion that equity will treat Mr Jeruzalski and AJ Lawyers as having had knowledge of the appellant's special disadvantage. Nothing about the "system of conduct" deployed by AJ Lawyers compels any different conclusion. That system was, at least in this case, no more than a deliberate artifice intended to frustrate the provision of equitable relief. </w:t>
      </w:r>
    </w:p>
    <w:p w14:paraId="216BDA10"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lastRenderedPageBreak/>
        <w:tab/>
        <w:t>It may otherwise be doubted whether Mr Jeruzalski would, by making enquiries, have discovered that the appellant lacked education and experience and that he had the demeanour witnessed by the primary judge. No reliance is placed upon such matters in these reasons.</w:t>
      </w:r>
    </w:p>
    <w:p w14:paraId="41994AD7"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Alternatively, AJ Lawyers was also wilfully blind by reason of the deployment of its "system of conduct". In </w:t>
      </w:r>
      <w:r w:rsidRPr="00650C25">
        <w:rPr>
          <w:rFonts w:ascii="Times New Roman" w:hAnsi="Times New Roman"/>
          <w:i/>
        </w:rPr>
        <w:t>R v Crabbe</w:t>
      </w:r>
      <w:r w:rsidRPr="00650C25">
        <w:rPr>
          <w:rFonts w:ascii="Times New Roman" w:hAnsi="Times New Roman"/>
        </w:rPr>
        <w:t>, this Court defined the doctrine of wilful blindness in the following way</w:t>
      </w:r>
      <w:r w:rsidRPr="00650C25">
        <w:rPr>
          <w:rStyle w:val="FootnoteReference"/>
          <w:rFonts w:ascii="Times New Roman" w:hAnsi="Times New Roman"/>
          <w:sz w:val="24"/>
        </w:rPr>
        <w:footnoteReference w:id="199"/>
      </w:r>
      <w:r w:rsidRPr="00650C25">
        <w:rPr>
          <w:rFonts w:ascii="Times New Roman" w:hAnsi="Times New Roman"/>
        </w:rPr>
        <w:t>:</w:t>
      </w:r>
    </w:p>
    <w:p w14:paraId="30D8E855" w14:textId="77777777" w:rsidR="00CD32FB" w:rsidRDefault="00CD32FB" w:rsidP="00650C25">
      <w:pPr>
        <w:pStyle w:val="LeftrightafterHC"/>
        <w:keepNext/>
        <w:spacing w:before="0" w:after="260" w:line="280" w:lineRule="exact"/>
        <w:ind w:right="0"/>
        <w:jc w:val="both"/>
        <w:rPr>
          <w:rFonts w:ascii="Times New Roman" w:hAnsi="Times New Roman"/>
        </w:rPr>
      </w:pPr>
      <w:r w:rsidRPr="00650C25">
        <w:rPr>
          <w:rFonts w:ascii="Times New Roman" w:hAnsi="Times New Roman"/>
        </w:rPr>
        <w:t>"When a person deliberately refrains from making inquiries because he prefers not to have the result, when he wilfully shuts his eyes for fear that he may learn the truth, he may for some purposes be treated as having the knowledge which he deliberately abstained from acquiring."</w:t>
      </w:r>
    </w:p>
    <w:p w14:paraId="0C55D0A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In the same case</w:t>
      </w:r>
      <w:r w:rsidRPr="00650C25">
        <w:rPr>
          <w:rStyle w:val="FootnoteReference"/>
          <w:rFonts w:ascii="Times New Roman" w:hAnsi="Times New Roman"/>
          <w:sz w:val="24"/>
        </w:rPr>
        <w:footnoteReference w:id="200"/>
      </w:r>
      <w:r w:rsidRPr="00650C25">
        <w:rPr>
          <w:rFonts w:ascii="Times New Roman" w:hAnsi="Times New Roman"/>
        </w:rPr>
        <w:t>, the Court also referred with approval to the following description of the doctrine of wilful blindness by Professor Glanville Williams</w:t>
      </w:r>
      <w:r w:rsidRPr="00650C25">
        <w:rPr>
          <w:rStyle w:val="FootnoteReference"/>
          <w:rFonts w:ascii="Times New Roman" w:hAnsi="Times New Roman"/>
          <w:sz w:val="24"/>
        </w:rPr>
        <w:footnoteReference w:id="201"/>
      </w:r>
      <w:r w:rsidRPr="00650C25">
        <w:rPr>
          <w:rFonts w:ascii="Times New Roman" w:hAnsi="Times New Roman"/>
        </w:rPr>
        <w:t>:</w:t>
      </w:r>
    </w:p>
    <w:p w14:paraId="5331A2D4" w14:textId="77777777" w:rsidR="00CD32FB" w:rsidRDefault="00CD32FB" w:rsidP="00650C25">
      <w:pPr>
        <w:pStyle w:val="LeftrightafterHC"/>
        <w:keepNext/>
        <w:spacing w:before="0" w:after="260" w:line="280" w:lineRule="exact"/>
        <w:ind w:right="0"/>
        <w:jc w:val="both"/>
        <w:rPr>
          <w:rFonts w:ascii="Times New Roman" w:hAnsi="Times New Roman"/>
        </w:rPr>
      </w:pPr>
      <w:r w:rsidRPr="00650C25">
        <w:rPr>
          <w:rFonts w:ascii="Times New Roman" w:hAnsi="Times New Roman"/>
        </w:rPr>
        <w:t>"A court can properly find wilful blindness only where it can almost be said that the defendant actually knew. He suspected the fact; he realised its probability; but he refrained from obtaining the final confirmation because he wanted in the event to be able to deny knowledge. This, and this alone, is wilful blindness. It requires in effect a finding that the defendant intended to cheat the administration of justice."</w:t>
      </w:r>
    </w:p>
    <w:p w14:paraId="32407FE6"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It cannot be doubted that the very point of AJ Lawyers' "system of conduct", in this case, was the taking of deliberate steps to avoid discovering the truth about the financial state of VBC and the appellant's inability as guarantor to service the payment of interest on each loan. The use of an intermediary to deal with the appellant was directed at that outcome. Mr Jeruzalski, having suspected that the appellant had no income and knowing that the transaction was risky and dangerous for him, then did everything he could to ensure that this would never be confirmed. </w:t>
      </w:r>
    </w:p>
    <w:p w14:paraId="6F776F12"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 xml:space="preserve">It follows that Mr Jeruzalski and AJ Lawyers must be fixed, as at the time the loans were made, with that knowledge which they had deliberately abstained </w:t>
      </w:r>
      <w:r w:rsidRPr="00650C25">
        <w:rPr>
          <w:rFonts w:ascii="Times New Roman" w:hAnsi="Times New Roman"/>
        </w:rPr>
        <w:lastRenderedPageBreak/>
        <w:t>from acquiring. The findings of the primary judge plainly support the drawing of that inference of fact</w:t>
      </w:r>
      <w:r w:rsidRPr="00650C25">
        <w:rPr>
          <w:rStyle w:val="FootnoteReference"/>
          <w:rFonts w:ascii="Times New Roman" w:hAnsi="Times New Roman"/>
          <w:sz w:val="24"/>
        </w:rPr>
        <w:footnoteReference w:id="202"/>
      </w:r>
      <w:r w:rsidRPr="00650C25">
        <w:rPr>
          <w:rFonts w:ascii="Times New Roman" w:hAnsi="Times New Roman"/>
        </w:rPr>
        <w:t xml:space="preserve">. </w:t>
      </w:r>
    </w:p>
    <w:p w14:paraId="53ED018B"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arrangement also rewarded the other parties to the "system of conduct". It ensured, in substance, that the appellant's equity in the Narre Warren properties would ultimately be used to pay fees to AJ Lawyers, Mr </w:t>
      </w:r>
      <w:proofErr w:type="spellStart"/>
      <w:r w:rsidRPr="00650C25">
        <w:rPr>
          <w:rFonts w:ascii="Times New Roman" w:hAnsi="Times New Roman"/>
        </w:rPr>
        <w:t>Zourkas</w:t>
      </w:r>
      <w:proofErr w:type="spellEnd"/>
      <w:r w:rsidRPr="00650C25">
        <w:rPr>
          <w:rFonts w:ascii="Times New Roman" w:hAnsi="Times New Roman"/>
        </w:rPr>
        <w:t>, Mr </w:t>
      </w:r>
      <w:proofErr w:type="spellStart"/>
      <w:r w:rsidRPr="00650C25">
        <w:rPr>
          <w:rFonts w:ascii="Times New Roman" w:hAnsi="Times New Roman"/>
        </w:rPr>
        <w:t>Kiatos</w:t>
      </w:r>
      <w:proofErr w:type="spellEnd"/>
      <w:r w:rsidRPr="00650C25">
        <w:rPr>
          <w:rFonts w:ascii="Times New Roman" w:hAnsi="Times New Roman"/>
        </w:rPr>
        <w:t xml:space="preserve"> and Mr </w:t>
      </w:r>
      <w:proofErr w:type="spellStart"/>
      <w:r w:rsidRPr="00650C25">
        <w:rPr>
          <w:rFonts w:ascii="Times New Roman" w:hAnsi="Times New Roman"/>
        </w:rPr>
        <w:t>Topalides</w:t>
      </w:r>
      <w:proofErr w:type="spellEnd"/>
      <w:r w:rsidRPr="00650C25">
        <w:rPr>
          <w:rFonts w:ascii="Times New Roman" w:hAnsi="Times New Roman"/>
        </w:rPr>
        <w:t>, and interest to the respondents. In the particular circumstances that prevailed, not only was the fee paid to Mr </w:t>
      </w:r>
      <w:proofErr w:type="spellStart"/>
      <w:r w:rsidRPr="00650C25">
        <w:rPr>
          <w:rFonts w:ascii="Times New Roman" w:hAnsi="Times New Roman"/>
        </w:rPr>
        <w:t>Zourkas</w:t>
      </w:r>
      <w:proofErr w:type="spellEnd"/>
      <w:r w:rsidRPr="00650C25">
        <w:rPr>
          <w:rFonts w:ascii="Times New Roman" w:hAnsi="Times New Roman"/>
        </w:rPr>
        <w:t xml:space="preserve"> "obscene"</w:t>
      </w:r>
      <w:r w:rsidRPr="00650C25">
        <w:rPr>
          <w:rStyle w:val="FootnoteReference"/>
          <w:rFonts w:ascii="Times New Roman" w:hAnsi="Times New Roman"/>
          <w:sz w:val="24"/>
        </w:rPr>
        <w:footnoteReference w:id="203"/>
      </w:r>
      <w:r w:rsidRPr="00650C25">
        <w:rPr>
          <w:rFonts w:ascii="Times New Roman" w:hAnsi="Times New Roman"/>
        </w:rPr>
        <w:t>, but the same description should apply to the fees charged by AJ Lawyers. As a result, the arrangement secured the only outcome that it objectively could: the enrichment of individuals at the expense of the appellant and his loss of two properties and potentially also his home. The appellant was never warned that this was a likely, or indeed even a possible, outcome. Such a warning or explanation should have been given. In such circumstances, there has been an unconscionable exploitation of the appellant's special disadvantage. The primary judge's finding that Mr </w:t>
      </w:r>
      <w:proofErr w:type="spellStart"/>
      <w:r w:rsidRPr="00650C25">
        <w:rPr>
          <w:rFonts w:ascii="Times New Roman" w:hAnsi="Times New Roman"/>
        </w:rPr>
        <w:t>Jeruzalski's</w:t>
      </w:r>
      <w:proofErr w:type="spellEnd"/>
      <w:r w:rsidRPr="00650C25">
        <w:rPr>
          <w:rFonts w:ascii="Times New Roman" w:hAnsi="Times New Roman"/>
        </w:rPr>
        <w:t xml:space="preserve"> conduct was unconscionable was correct.</w:t>
      </w:r>
    </w:p>
    <w:p w14:paraId="46612303"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The question then is whether, as the Court of Appeal found, the two Certificates can operate to undo this conclusion. The Legal Certificate was directed at two matters. The first was confirmation that the appellant had received the "Security Documents" and had been given an opportunity to read them. The term "Security Documents" was defined to mean the loan agreement and the debenture charge. The second matter was directed at confirmation that the appellant understood the "terms, nature and effect" of the Security Documents and, in particular, that the respondents would be entitled to call on the appellant, as guarantor, to recover monies owed in the event of VBC's default.</w:t>
      </w:r>
      <w:r w:rsidRPr="00650C25" w:rsidDel="00BB2F26">
        <w:rPr>
          <w:rFonts w:ascii="Times New Roman" w:hAnsi="Times New Roman"/>
        </w:rPr>
        <w:t xml:space="preserve"> </w:t>
      </w:r>
    </w:p>
    <w:p w14:paraId="17890B0D"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This Certificate suffered from a critical defect. Whilst on its face it confirmed that the appellant had understood the effect of the Security Documents, it said nothing at all about VBC's or the appellant's capacity to service the loans. It did not address the suspicion held by Mr Jeruzalski and it did nothing to reverse his conclusion that the transaction was risky and dangerous for the appellant. The Certificate avoided these issues.</w:t>
      </w:r>
    </w:p>
    <w:p w14:paraId="7F79A6D8"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On its face, the Financial Certificate purported to confirm that Mr </w:t>
      </w:r>
      <w:proofErr w:type="spellStart"/>
      <w:r w:rsidRPr="00650C25">
        <w:rPr>
          <w:rFonts w:ascii="Times New Roman" w:hAnsi="Times New Roman"/>
        </w:rPr>
        <w:t>Topalides</w:t>
      </w:r>
      <w:proofErr w:type="spellEnd"/>
      <w:r w:rsidRPr="00650C25">
        <w:rPr>
          <w:rFonts w:ascii="Times New Roman" w:hAnsi="Times New Roman"/>
        </w:rPr>
        <w:t xml:space="preserve"> had explained the financial risks being assumed by VBC by executing the "security documents". But again, this Certificate suffers from two critical defects. First, it stated that the advice was given to VBC. It made no reference to the appellant </w:t>
      </w:r>
      <w:r w:rsidRPr="00650C25">
        <w:rPr>
          <w:rFonts w:ascii="Times New Roman" w:hAnsi="Times New Roman"/>
        </w:rPr>
        <w:lastRenderedPageBreak/>
        <w:t>receiving any advice in his capacity as guarantor. According to this Certificate, the appellant never received any independent advice about the financial risks he was assuming. The respondents sought to avoid that conclusion by contending that the appellant was the sole director and shareholder of VBC and that the advice must have been given to him by Mr </w:t>
      </w:r>
      <w:proofErr w:type="spellStart"/>
      <w:r w:rsidRPr="00650C25">
        <w:rPr>
          <w:rFonts w:ascii="Times New Roman" w:hAnsi="Times New Roman"/>
        </w:rPr>
        <w:t>Topalides</w:t>
      </w:r>
      <w:proofErr w:type="spellEnd"/>
      <w:r w:rsidRPr="00650C25">
        <w:rPr>
          <w:rFonts w:ascii="Times New Roman" w:hAnsi="Times New Roman"/>
        </w:rPr>
        <w:t>. With respect, there is no evidence which suggests that Mr </w:t>
      </w:r>
      <w:proofErr w:type="spellStart"/>
      <w:r w:rsidRPr="00650C25">
        <w:rPr>
          <w:rFonts w:ascii="Times New Roman" w:hAnsi="Times New Roman"/>
        </w:rPr>
        <w:t>Topalides</w:t>
      </w:r>
      <w:proofErr w:type="spellEnd"/>
      <w:r w:rsidRPr="00650C25">
        <w:rPr>
          <w:rFonts w:ascii="Times New Roman" w:hAnsi="Times New Roman"/>
        </w:rPr>
        <w:t xml:space="preserve"> ever gave such advice. Indeed, on the findings of the primary judge, it is possible that no advice was given at all. Secondly, this Certificate must be judged from the perspective of Mr Jeruzalski. He knew that the appellant was to be the guarantor of the loans and he suspected that the appellant had no income. But like the Legal Certificate, nothing in this Certificate addressed VBC's or the appellant's ability to service the loans. Nor again did it address the dangerous nature of the transaction from the appellant's perspective. The somewhat glib reference in it to the "financial risk" to be "assumed" falls far short of any written record of the warning or explanation that was needed here. As such, the contents could not undo in any way Mr </w:t>
      </w:r>
      <w:proofErr w:type="spellStart"/>
      <w:r w:rsidRPr="00650C25">
        <w:rPr>
          <w:rFonts w:ascii="Times New Roman" w:hAnsi="Times New Roman"/>
        </w:rPr>
        <w:t>Jeruzalski's</w:t>
      </w:r>
      <w:proofErr w:type="spellEnd"/>
      <w:r w:rsidRPr="00650C25">
        <w:rPr>
          <w:rFonts w:ascii="Times New Roman" w:hAnsi="Times New Roman"/>
        </w:rPr>
        <w:t xml:space="preserve"> suspicion or his belief that the transaction was dangerous. </w:t>
      </w:r>
    </w:p>
    <w:p w14:paraId="7902A45A" w14:textId="77777777" w:rsidR="00CD32FB" w:rsidRPr="00650C25" w:rsidRDefault="00CD32FB" w:rsidP="00CD32FB">
      <w:pPr>
        <w:pStyle w:val="FixListStyle"/>
        <w:numPr>
          <w:ilvl w:val="0"/>
          <w:numId w:val="18"/>
        </w:numPr>
        <w:spacing w:after="260" w:line="280" w:lineRule="exact"/>
        <w:ind w:left="0" w:right="0" w:hanging="720"/>
        <w:jc w:val="both"/>
        <w:rPr>
          <w:rFonts w:ascii="Times New Roman" w:hAnsi="Times New Roman"/>
        </w:rPr>
      </w:pPr>
      <w:r w:rsidRPr="00650C25">
        <w:rPr>
          <w:rFonts w:ascii="Times New Roman" w:hAnsi="Times New Roman"/>
        </w:rPr>
        <w:tab/>
        <w:t>Given these defects or shortcomings, the Court of Appeal, with great respect, erred in deciding that Mr Jeruzalski was entitled to rely on the Certificates and not make enquiries about the appellant's personal and financial circumstances. Neither Certificate provided Mr Jeruzalski with any comfort or assurance that VBC or the appellant would be able to service the loans and not default. By their terms, neither Certificate could have led Mr Jeruzalski to believe that the guarantee, from the perspective of the appellant, had ceased to be risky or dangerous. Neither Certificate had the effect of validating the system used by AJ Lawyers on the facts of this case. Instead, each Certificate was part of the very "system of conduct" designed to inhibit the grant of equitable relief arising from the unconscionable conduct of Mr Jeruzalski and AJ Lawyers in the circumstances of this case.</w:t>
      </w:r>
    </w:p>
    <w:p w14:paraId="388A781C" w14:textId="77777777" w:rsidR="008F4DC2" w:rsidRDefault="00CD32FB" w:rsidP="008F4DC2">
      <w:pPr>
        <w:pStyle w:val="FixListStyle"/>
        <w:numPr>
          <w:ilvl w:val="0"/>
          <w:numId w:val="18"/>
        </w:numPr>
        <w:spacing w:after="260" w:line="280" w:lineRule="exact"/>
        <w:ind w:left="0" w:right="0" w:hanging="720"/>
        <w:jc w:val="both"/>
        <w:rPr>
          <w:rFonts w:ascii="Times New Roman" w:hAnsi="Times New Roman"/>
        </w:rPr>
        <w:sectPr w:rsidR="008F4DC2" w:rsidSect="001810A3">
          <w:headerReference w:type="even" r:id="rId26"/>
          <w:headerReference w:type="default" r:id="rId27"/>
          <w:headerReference w:type="first" r:id="rId28"/>
          <w:pgSz w:w="11907" w:h="16839" w:code="9"/>
          <w:pgMar w:top="1440" w:right="1701" w:bottom="1984" w:left="1701" w:header="720" w:footer="720" w:gutter="0"/>
          <w:cols w:space="720"/>
          <w:docGrid w:linePitch="354"/>
        </w:sectPr>
      </w:pPr>
      <w:r w:rsidRPr="00650C25">
        <w:rPr>
          <w:rFonts w:ascii="Times New Roman" w:hAnsi="Times New Roman"/>
        </w:rPr>
        <w:tab/>
        <w:t>The appeal must be allowed. I agree with the orders proposed by Kiefel CJ, Keane and Gleeson JJ.</w:t>
      </w:r>
    </w:p>
    <w:p w14:paraId="206BB00B" w14:textId="1A8D4486" w:rsidR="00455147" w:rsidRPr="008F4DC2" w:rsidRDefault="00455147" w:rsidP="00265D56">
      <w:pPr>
        <w:pStyle w:val="NormalBody"/>
      </w:pPr>
    </w:p>
    <w:sectPr w:rsidR="00455147" w:rsidRPr="008F4DC2" w:rsidSect="001810A3">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BCF5" w14:textId="77777777" w:rsidR="000E6ABB" w:rsidRDefault="000E6ABB">
      <w:pPr>
        <w:spacing w:line="240" w:lineRule="auto"/>
      </w:pPr>
      <w:r>
        <w:separator/>
      </w:r>
    </w:p>
  </w:endnote>
  <w:endnote w:type="continuationSeparator" w:id="0">
    <w:p w14:paraId="03E5797C" w14:textId="77777777" w:rsidR="000E6ABB" w:rsidRDefault="000E6ABB">
      <w:pPr>
        <w:spacing w:line="240" w:lineRule="auto"/>
      </w:pPr>
      <w:r>
        <w:continuationSeparator/>
      </w:r>
    </w:p>
  </w:endnote>
  <w:endnote w:type="continuationNotice" w:id="1">
    <w:p w14:paraId="5BD44229" w14:textId="77777777" w:rsidR="000E6ABB" w:rsidRDefault="000E6A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A017" w14:textId="77777777" w:rsidR="00776741" w:rsidRDefault="0077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C2C9" w14:textId="77777777" w:rsidR="00776741" w:rsidRDefault="00776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56C6" w14:textId="77777777" w:rsidR="00776741" w:rsidRDefault="00776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EF77" w14:textId="77777777" w:rsidR="00776741" w:rsidRDefault="007767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8760" w14:textId="77777777" w:rsidR="00776741" w:rsidRDefault="007767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46D3" w14:textId="77777777" w:rsidR="00776741" w:rsidRDefault="0077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7106" w14:textId="77777777" w:rsidR="000E6ABB" w:rsidRPr="00EC48A0" w:rsidRDefault="000E6ABB" w:rsidP="00EC48A0">
      <w:pPr>
        <w:pStyle w:val="Footer"/>
        <w:spacing w:before="120" w:after="20"/>
        <w:ind w:right="0"/>
        <w:rPr>
          <w:rFonts w:ascii="Times New Roman" w:hAnsi="Times New Roman"/>
        </w:rPr>
      </w:pPr>
      <w:r>
        <w:continuationSeparator/>
      </w:r>
    </w:p>
  </w:footnote>
  <w:footnote w:type="continuationSeparator" w:id="0">
    <w:p w14:paraId="4F4C6BF7" w14:textId="77777777" w:rsidR="000E6ABB" w:rsidRPr="00EC48A0" w:rsidRDefault="000E6ABB" w:rsidP="00EC48A0">
      <w:pPr>
        <w:pStyle w:val="Footer"/>
        <w:spacing w:before="120" w:after="20"/>
        <w:ind w:right="0"/>
        <w:rPr>
          <w:rFonts w:ascii="Times New Roman" w:hAnsi="Times New Roman"/>
        </w:rPr>
      </w:pPr>
      <w:r w:rsidRPr="00EC48A0">
        <w:rPr>
          <w:rFonts w:ascii="Times New Roman" w:hAnsi="Times New Roman"/>
        </w:rPr>
        <w:continuationSeparator/>
      </w:r>
    </w:p>
  </w:footnote>
  <w:footnote w:type="continuationNotice" w:id="1">
    <w:p w14:paraId="69BBD44A" w14:textId="77777777" w:rsidR="000E6ABB" w:rsidRPr="001810A3" w:rsidRDefault="000E6ABB">
      <w:pPr>
        <w:jc w:val="right"/>
        <w:rPr>
          <w:rFonts w:ascii="Times New Roman" w:hAnsi="Times New Roman"/>
          <w:sz w:val="24"/>
        </w:rPr>
      </w:pPr>
    </w:p>
  </w:footnote>
  <w:footnote w:id="2">
    <w:p w14:paraId="32C3B3D5" w14:textId="4636033B"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Perpetual Trustee Co Ltd v Khoshaba </w:t>
      </w:r>
      <w:r w:rsidRPr="00EC48A0">
        <w:rPr>
          <w:rFonts w:ascii="Times New Roman" w:hAnsi="Times New Roman"/>
          <w:sz w:val="24"/>
        </w:rPr>
        <w:t>(2006) 14 BPR 26,639 at 26,660 [128].</w:t>
      </w:r>
    </w:p>
  </w:footnote>
  <w:footnote w:id="3">
    <w:p w14:paraId="0C348B68" w14:textId="3CD3E84D"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[3].</w:t>
      </w:r>
    </w:p>
  </w:footnote>
  <w:footnote w:id="4">
    <w:p w14:paraId="04291242" w14:textId="2BCEA6C8"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[317].</w:t>
      </w:r>
    </w:p>
  </w:footnote>
  <w:footnote w:id="5">
    <w:p w14:paraId="00447A38" w14:textId="31E11BB3"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w:t>
      </w:r>
      <w:r w:rsidRPr="00EC48A0">
        <w:rPr>
          <w:rFonts w:ascii="Times New Roman" w:hAnsi="Times New Roman"/>
          <w:sz w:val="24"/>
        </w:rPr>
        <w:t>126]</w:t>
      </w:r>
      <w:r w:rsidRPr="00EC48A0">
        <w:rPr>
          <w:rFonts w:ascii="Times New Roman" w:hAnsi="Times New Roman"/>
          <w:sz w:val="24"/>
        </w:rPr>
        <w:noBreakHyphen/>
        <w:t>[135].</w:t>
      </w:r>
    </w:p>
  </w:footnote>
  <w:footnote w:id="6">
    <w:p w14:paraId="39932485" w14:textId="0B85BF40"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Louth v </w:t>
      </w:r>
      <w:r w:rsidRPr="00EC48A0">
        <w:rPr>
          <w:rFonts w:ascii="Times New Roman" w:hAnsi="Times New Roman"/>
          <w:i/>
          <w:iCs/>
          <w:sz w:val="24"/>
        </w:rPr>
        <w:t xml:space="preserve">Diprose </w:t>
      </w:r>
      <w:r w:rsidRPr="00EC48A0">
        <w:rPr>
          <w:rFonts w:ascii="Times New Roman" w:hAnsi="Times New Roman"/>
          <w:sz w:val="24"/>
        </w:rPr>
        <w:t xml:space="preserve">(1992) 175 CLR 621 at 638; </w:t>
      </w:r>
      <w:r w:rsidRPr="00EC48A0">
        <w:rPr>
          <w:rFonts w:ascii="Times New Roman" w:hAnsi="Times New Roman"/>
          <w:i/>
          <w:iCs/>
          <w:sz w:val="24"/>
        </w:rPr>
        <w:t xml:space="preserve">Kakavas v Crown Melbourne Ltd </w:t>
      </w:r>
      <w:r w:rsidRPr="00EC48A0">
        <w:rPr>
          <w:rFonts w:ascii="Times New Roman" w:hAnsi="Times New Roman"/>
          <w:sz w:val="24"/>
        </w:rPr>
        <w:t>(2013) 250 CLR 392 at 401 [18].</w:t>
      </w:r>
    </w:p>
  </w:footnote>
  <w:footnote w:id="7">
    <w:p w14:paraId="1465134F" w14:textId="2754614A"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[8], [</w:t>
      </w:r>
      <w:r w:rsidRPr="00EC48A0">
        <w:rPr>
          <w:rFonts w:ascii="Times New Roman" w:hAnsi="Times New Roman"/>
          <w:sz w:val="24"/>
        </w:rPr>
        <w:t>105]</w:t>
      </w:r>
      <w:r w:rsidRPr="00EC48A0">
        <w:rPr>
          <w:rFonts w:ascii="Times New Roman" w:hAnsi="Times New Roman"/>
          <w:sz w:val="24"/>
        </w:rPr>
        <w:noBreakHyphen/>
        <w:t xml:space="preserve">[106]; </w:t>
      </w:r>
      <w:r w:rsidRPr="00EC48A0">
        <w:rPr>
          <w:rFonts w:ascii="Times New Roman" w:hAnsi="Times New Roman"/>
          <w:i/>
          <w:sz w:val="24"/>
        </w:rPr>
        <w:t xml:space="preserve">Jams 2 Pty Ltd v Stubbings </w:t>
      </w:r>
      <w:r w:rsidRPr="00EC48A0">
        <w:rPr>
          <w:rFonts w:ascii="Times New Roman" w:hAnsi="Times New Roman"/>
          <w:sz w:val="24"/>
        </w:rPr>
        <w:t>[2020] VSCA 200 at [7].</w:t>
      </w:r>
    </w:p>
  </w:footnote>
  <w:footnote w:id="8">
    <w:p w14:paraId="04A287A8"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[8].</w:t>
      </w:r>
    </w:p>
  </w:footnote>
  <w:footnote w:id="9">
    <w:p w14:paraId="6A3AF638" w14:textId="08F0EB1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108]</w:t>
      </w:r>
      <w:r w:rsidRPr="00EC48A0">
        <w:rPr>
          <w:rFonts w:ascii="Times New Roman" w:hAnsi="Times New Roman"/>
          <w:sz w:val="24"/>
        </w:rPr>
        <w:noBreakHyphen/>
        <w:t xml:space="preserve">[109]; </w:t>
      </w:r>
      <w:r w:rsidRPr="00EC48A0">
        <w:rPr>
          <w:rFonts w:ascii="Times New Roman" w:hAnsi="Times New Roman"/>
          <w:i/>
          <w:sz w:val="24"/>
        </w:rPr>
        <w:t xml:space="preserve">Jams 2 Pty Ltd v Stubbings </w:t>
      </w:r>
      <w:r w:rsidRPr="00EC48A0">
        <w:rPr>
          <w:rFonts w:ascii="Times New Roman" w:hAnsi="Times New Roman"/>
          <w:sz w:val="24"/>
        </w:rPr>
        <w:t>[2020] VSCA 200 at [9].</w:t>
      </w:r>
    </w:p>
  </w:footnote>
  <w:footnote w:id="10">
    <w:p w14:paraId="17499650" w14:textId="21D1F9A6"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10]</w:t>
      </w:r>
      <w:r w:rsidRPr="00EC48A0">
        <w:rPr>
          <w:rFonts w:ascii="Times New Roman" w:hAnsi="Times New Roman"/>
          <w:sz w:val="24"/>
        </w:rPr>
        <w:noBreakHyphen/>
        <w:t>[11].</w:t>
      </w:r>
    </w:p>
  </w:footnote>
  <w:footnote w:id="11">
    <w:p w14:paraId="7D183222" w14:textId="6623A904"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 xml:space="preserve">[2019] VSC 150 at [114]; </w:t>
      </w:r>
      <w:r w:rsidRPr="00EC48A0">
        <w:rPr>
          <w:rFonts w:ascii="Times New Roman" w:hAnsi="Times New Roman"/>
          <w:i/>
          <w:sz w:val="24"/>
        </w:rPr>
        <w:t xml:space="preserve">Jams 2 Pty Ltd v Stubbings </w:t>
      </w:r>
      <w:r w:rsidRPr="00EC48A0">
        <w:rPr>
          <w:rFonts w:ascii="Times New Roman" w:hAnsi="Times New Roman"/>
          <w:sz w:val="24"/>
        </w:rPr>
        <w:t>[2020] VSCA 200 at [10].</w:t>
      </w:r>
    </w:p>
  </w:footnote>
  <w:footnote w:id="12">
    <w:p w14:paraId="24482F99" w14:textId="0C47361C"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[116], [</w:t>
      </w:r>
      <w:r w:rsidRPr="00EC48A0">
        <w:rPr>
          <w:rFonts w:ascii="Times New Roman" w:hAnsi="Times New Roman"/>
          <w:sz w:val="24"/>
        </w:rPr>
        <w:t>120]</w:t>
      </w:r>
      <w:r w:rsidRPr="00EC48A0">
        <w:rPr>
          <w:rFonts w:ascii="Times New Roman" w:hAnsi="Times New Roman"/>
          <w:sz w:val="24"/>
        </w:rPr>
        <w:noBreakHyphen/>
        <w:t>[124], [137]</w:t>
      </w:r>
      <w:r w:rsidRPr="00EC48A0">
        <w:rPr>
          <w:rFonts w:ascii="Times New Roman" w:hAnsi="Times New Roman"/>
          <w:sz w:val="24"/>
        </w:rPr>
        <w:noBreakHyphen/>
        <w:t xml:space="preserve">[138]; </w:t>
      </w:r>
      <w:r w:rsidRPr="00EC48A0">
        <w:rPr>
          <w:rFonts w:ascii="Times New Roman" w:hAnsi="Times New Roman"/>
          <w:i/>
          <w:sz w:val="24"/>
        </w:rPr>
        <w:t xml:space="preserve">Jams 2 Pty Ltd v Stubbings </w:t>
      </w:r>
      <w:r w:rsidRPr="00EC48A0">
        <w:rPr>
          <w:rFonts w:ascii="Times New Roman" w:hAnsi="Times New Roman"/>
          <w:sz w:val="24"/>
        </w:rPr>
        <w:t>[2020] VSCA 200 at [11].</w:t>
      </w:r>
    </w:p>
  </w:footnote>
  <w:footnote w:id="13">
    <w:p w14:paraId="0056D422" w14:textId="246EC4CF"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[15].</w:t>
      </w:r>
    </w:p>
  </w:footnote>
  <w:footnote w:id="14">
    <w:p w14:paraId="7734DFC7" w14:textId="16186E1B"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[105].</w:t>
      </w:r>
    </w:p>
  </w:footnote>
  <w:footnote w:id="15">
    <w:p w14:paraId="2D38B4B6" w14:textId="64CE167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[304].</w:t>
      </w:r>
    </w:p>
  </w:footnote>
  <w:footnote w:id="16">
    <w:p w14:paraId="1E14BDC6"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[12].</w:t>
      </w:r>
    </w:p>
  </w:footnote>
  <w:footnote w:id="17">
    <w:p w14:paraId="1CC108DC"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[13].</w:t>
      </w:r>
    </w:p>
  </w:footnote>
  <w:footnote w:id="18">
    <w:p w14:paraId="347D9D10"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[15].</w:t>
      </w:r>
    </w:p>
  </w:footnote>
  <w:footnote w:id="19">
    <w:p w14:paraId="45FAA313" w14:textId="77777777" w:rsidR="00B861A6" w:rsidRPr="00EC48A0" w:rsidRDefault="00B861A6"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w:t>
      </w:r>
      <w:r w:rsidRPr="00EC48A0">
        <w:rPr>
          <w:rFonts w:ascii="Times New Roman" w:hAnsi="Times New Roman"/>
          <w:sz w:val="24"/>
        </w:rPr>
        <w:t>[2020] VSCA 200 at [111], [126], [131].</w:t>
      </w:r>
    </w:p>
  </w:footnote>
  <w:footnote w:id="20">
    <w:p w14:paraId="51FF510B" w14:textId="4B1D2415"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w:t>
      </w:r>
      <w:r w:rsidRPr="00EC48A0">
        <w:rPr>
          <w:rFonts w:ascii="Times New Roman" w:hAnsi="Times New Roman"/>
          <w:sz w:val="24"/>
        </w:rPr>
        <w:t>17]</w:t>
      </w:r>
      <w:r w:rsidRPr="00EC48A0">
        <w:rPr>
          <w:rFonts w:ascii="Times New Roman" w:hAnsi="Times New Roman"/>
          <w:sz w:val="24"/>
        </w:rPr>
        <w:noBreakHyphen/>
        <w:t>[18].</w:t>
      </w:r>
    </w:p>
  </w:footnote>
  <w:footnote w:id="21">
    <w:p w14:paraId="4AD4F1DB" w14:textId="4EB163A2"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131]</w:t>
      </w:r>
      <w:r w:rsidRPr="00EC48A0">
        <w:rPr>
          <w:rFonts w:ascii="Times New Roman" w:hAnsi="Times New Roman"/>
          <w:sz w:val="24"/>
        </w:rPr>
        <w:noBreakHyphen/>
        <w:t xml:space="preserve">[132], [290]; </w:t>
      </w:r>
      <w:r w:rsidRPr="00EC48A0">
        <w:rPr>
          <w:rFonts w:ascii="Times New Roman" w:hAnsi="Times New Roman"/>
          <w:i/>
          <w:sz w:val="24"/>
        </w:rPr>
        <w:t xml:space="preserve">Jams 2 Pty Ltd v Stubbings </w:t>
      </w:r>
      <w:r w:rsidRPr="00EC48A0">
        <w:rPr>
          <w:rFonts w:ascii="Times New Roman" w:hAnsi="Times New Roman"/>
          <w:sz w:val="24"/>
        </w:rPr>
        <w:t>[2020] VSCA 200 at [19].</w:t>
      </w:r>
    </w:p>
  </w:footnote>
  <w:footnote w:id="22">
    <w:p w14:paraId="664F36BF" w14:textId="1859E09C"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[130].</w:t>
      </w:r>
    </w:p>
  </w:footnote>
  <w:footnote w:id="23">
    <w:p w14:paraId="07F43593" w14:textId="2395805D"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[21].</w:t>
      </w:r>
    </w:p>
  </w:footnote>
  <w:footnote w:id="24">
    <w:p w14:paraId="208369FE" w14:textId="0217B3C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w:t>
      </w:r>
      <w:r w:rsidRPr="00EC48A0">
        <w:rPr>
          <w:rFonts w:ascii="Times New Roman" w:hAnsi="Times New Roman"/>
          <w:sz w:val="24"/>
        </w:rPr>
        <w:t>22]</w:t>
      </w:r>
      <w:r w:rsidRPr="00EC48A0">
        <w:rPr>
          <w:rFonts w:ascii="Times New Roman" w:hAnsi="Times New Roman"/>
          <w:sz w:val="24"/>
        </w:rPr>
        <w:noBreakHyphen/>
        <w:t>[23], [25].</w:t>
      </w:r>
    </w:p>
  </w:footnote>
  <w:footnote w:id="25">
    <w:p w14:paraId="449FE1DA" w14:textId="53F877C9"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77]</w:t>
      </w:r>
      <w:r w:rsidRPr="00EC48A0">
        <w:rPr>
          <w:rFonts w:ascii="Times New Roman" w:hAnsi="Times New Roman"/>
          <w:sz w:val="24"/>
        </w:rPr>
        <w:noBreakHyphen/>
        <w:t>[81].</w:t>
      </w:r>
    </w:p>
  </w:footnote>
  <w:footnote w:id="26">
    <w:p w14:paraId="44A8537E" w14:textId="7DD9C634"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[85].</w:t>
      </w:r>
    </w:p>
  </w:footnote>
  <w:footnote w:id="27">
    <w:p w14:paraId="0897E6D0" w14:textId="0C54C74D"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 xml:space="preserve">[2019] VSC 150 at [134], [170]; </w:t>
      </w:r>
      <w:r w:rsidRPr="00EC48A0">
        <w:rPr>
          <w:rFonts w:ascii="Times New Roman" w:hAnsi="Times New Roman"/>
          <w:i/>
          <w:sz w:val="24"/>
        </w:rPr>
        <w:t xml:space="preserve">Jams 2 Pty Ltd v Stubbings </w:t>
      </w:r>
      <w:r w:rsidRPr="00EC48A0">
        <w:rPr>
          <w:rFonts w:ascii="Times New Roman" w:hAnsi="Times New Roman"/>
          <w:sz w:val="24"/>
        </w:rPr>
        <w:t>[2020] VSCA 200 at [25].</w:t>
      </w:r>
    </w:p>
  </w:footnote>
  <w:footnote w:id="28">
    <w:p w14:paraId="77278DC6" w14:textId="6013209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w:t>
      </w:r>
      <w:r w:rsidRPr="00EC48A0">
        <w:rPr>
          <w:rFonts w:ascii="Times New Roman" w:hAnsi="Times New Roman"/>
          <w:sz w:val="24"/>
        </w:rPr>
        <w:t>[2020] VSCA 200 at [23].</w:t>
      </w:r>
    </w:p>
  </w:footnote>
  <w:footnote w:id="29">
    <w:p w14:paraId="0CB6E147"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w:t>
      </w:r>
      <w:r w:rsidRPr="00EC48A0">
        <w:rPr>
          <w:rFonts w:ascii="Times New Roman" w:hAnsi="Times New Roman"/>
          <w:sz w:val="24"/>
        </w:rPr>
        <w:t>26]</w:t>
      </w:r>
      <w:r w:rsidRPr="00EC48A0">
        <w:rPr>
          <w:rFonts w:ascii="Times New Roman" w:hAnsi="Times New Roman"/>
          <w:sz w:val="24"/>
        </w:rPr>
        <w:noBreakHyphen/>
        <w:t>[30].</w:t>
      </w:r>
    </w:p>
  </w:footnote>
  <w:footnote w:id="30">
    <w:p w14:paraId="2EE2C23B" w14:textId="7CE5D3D9"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w:t>
      </w:r>
      <w:r w:rsidRPr="00EC48A0">
        <w:rPr>
          <w:rFonts w:ascii="Times New Roman" w:hAnsi="Times New Roman"/>
          <w:sz w:val="24"/>
        </w:rPr>
        <w:t>31]</w:t>
      </w:r>
      <w:r w:rsidRPr="00EC48A0">
        <w:rPr>
          <w:rFonts w:ascii="Times New Roman" w:hAnsi="Times New Roman"/>
          <w:sz w:val="24"/>
        </w:rPr>
        <w:noBreakHyphen/>
        <w:t>[32].</w:t>
      </w:r>
    </w:p>
  </w:footnote>
  <w:footnote w:id="31">
    <w:p w14:paraId="7E02FDAE" w14:textId="2C89D6BE"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[88].</w:t>
      </w:r>
    </w:p>
  </w:footnote>
  <w:footnote w:id="32">
    <w:p w14:paraId="3A79F9C1" w14:textId="4EACF1D5"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w:t>
      </w:r>
      <w:r w:rsidRPr="00EC48A0">
        <w:rPr>
          <w:rFonts w:ascii="Times New Roman" w:hAnsi="Times New Roman"/>
          <w:sz w:val="24"/>
        </w:rPr>
        <w:t>[2020] VSCA 200 at [22].</w:t>
      </w:r>
    </w:p>
  </w:footnote>
  <w:footnote w:id="33">
    <w:p w14:paraId="143F1BAD" w14:textId="3D0A0FDF"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[10], [</w:t>
      </w:r>
      <w:r w:rsidRPr="00EC48A0">
        <w:rPr>
          <w:rFonts w:ascii="Times New Roman" w:hAnsi="Times New Roman"/>
          <w:sz w:val="24"/>
        </w:rPr>
        <w:t>70]</w:t>
      </w:r>
      <w:r w:rsidRPr="00EC48A0">
        <w:rPr>
          <w:rFonts w:ascii="Times New Roman" w:hAnsi="Times New Roman"/>
          <w:sz w:val="24"/>
        </w:rPr>
        <w:noBreakHyphen/>
        <w:t xml:space="preserve">[72]. See </w:t>
      </w:r>
      <w:r w:rsidRPr="00EC48A0">
        <w:rPr>
          <w:rFonts w:ascii="Times New Roman" w:hAnsi="Times New Roman"/>
          <w:i/>
          <w:iCs/>
          <w:sz w:val="24"/>
        </w:rPr>
        <w:t xml:space="preserve">National Consumer Credit Protection Act 2009 </w:t>
      </w:r>
      <w:r w:rsidRPr="00EC48A0">
        <w:rPr>
          <w:rFonts w:ascii="Times New Roman" w:hAnsi="Times New Roman"/>
          <w:sz w:val="24"/>
        </w:rPr>
        <w:t>(Cth), Sch 1.</w:t>
      </w:r>
    </w:p>
  </w:footnote>
  <w:footnote w:id="34">
    <w:p w14:paraId="4C420AFA" w14:textId="60894058"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242]</w:t>
      </w:r>
      <w:r w:rsidRPr="00EC48A0">
        <w:rPr>
          <w:rFonts w:ascii="Times New Roman" w:hAnsi="Times New Roman"/>
          <w:sz w:val="24"/>
        </w:rPr>
        <w:noBreakHyphen/>
        <w:t xml:space="preserve">[243]; </w:t>
      </w:r>
      <w:r w:rsidRPr="00EC48A0">
        <w:rPr>
          <w:rFonts w:ascii="Times New Roman" w:hAnsi="Times New Roman"/>
          <w:i/>
          <w:sz w:val="24"/>
        </w:rPr>
        <w:t xml:space="preserve">Jams 2 Pty Ltd v Stubbings </w:t>
      </w:r>
      <w:r w:rsidRPr="00EC48A0">
        <w:rPr>
          <w:rFonts w:ascii="Times New Roman" w:hAnsi="Times New Roman"/>
          <w:sz w:val="24"/>
        </w:rPr>
        <w:t>[2020] VSCA 200 at [33].</w:t>
      </w:r>
    </w:p>
  </w:footnote>
  <w:footnote w:id="35">
    <w:p w14:paraId="0E68EDF6"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[3].</w:t>
      </w:r>
    </w:p>
  </w:footnote>
  <w:footnote w:id="36">
    <w:p w14:paraId="74B834CE" w14:textId="309A9E83"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w:t>
      </w:r>
      <w:r w:rsidRPr="00EC48A0">
        <w:rPr>
          <w:rFonts w:ascii="Times New Roman" w:hAnsi="Times New Roman"/>
          <w:sz w:val="24"/>
        </w:rPr>
        <w:t>40</w:t>
      </w:r>
      <w:r w:rsidR="00061019" w:rsidRPr="00EC48A0">
        <w:rPr>
          <w:rFonts w:ascii="Times New Roman" w:hAnsi="Times New Roman"/>
          <w:sz w:val="24"/>
        </w:rPr>
        <w:t>]</w:t>
      </w:r>
      <w:r w:rsidR="00061019" w:rsidRPr="00EC48A0">
        <w:rPr>
          <w:rFonts w:ascii="Times New Roman" w:hAnsi="Times New Roman"/>
          <w:sz w:val="24"/>
        </w:rPr>
        <w:noBreakHyphen/>
      </w:r>
      <w:r w:rsidRPr="00EC48A0">
        <w:rPr>
          <w:rFonts w:ascii="Times New Roman" w:hAnsi="Times New Roman"/>
          <w:sz w:val="24"/>
        </w:rPr>
        <w:t>[42].</w:t>
      </w:r>
    </w:p>
  </w:footnote>
  <w:footnote w:id="37">
    <w:p w14:paraId="7C6997C1" w14:textId="22895B79"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 xml:space="preserve">[2019] VSC 150 at [17], [23]; </w:t>
      </w:r>
      <w:r w:rsidRPr="00EC48A0">
        <w:rPr>
          <w:rFonts w:ascii="Times New Roman" w:hAnsi="Times New Roman"/>
          <w:i/>
          <w:sz w:val="24"/>
        </w:rPr>
        <w:t xml:space="preserve">Jams 2 Pty Ltd v Stubbings </w:t>
      </w:r>
      <w:r w:rsidRPr="00EC48A0">
        <w:rPr>
          <w:rFonts w:ascii="Times New Roman" w:hAnsi="Times New Roman"/>
          <w:sz w:val="24"/>
        </w:rPr>
        <w:t>[2020] VSCA 200 at [43].</w:t>
      </w:r>
    </w:p>
  </w:footnote>
  <w:footnote w:id="38">
    <w:p w14:paraId="040C0A49" w14:textId="76494D39"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97]</w:t>
      </w:r>
      <w:r w:rsidRPr="00EC48A0">
        <w:rPr>
          <w:rFonts w:ascii="Times New Roman" w:hAnsi="Times New Roman"/>
          <w:sz w:val="24"/>
        </w:rPr>
        <w:noBreakHyphen/>
        <w:t>[105].</w:t>
      </w:r>
    </w:p>
  </w:footnote>
  <w:footnote w:id="39">
    <w:p w14:paraId="3CC9907A" w14:textId="137843BE" w:rsidR="00562814" w:rsidRPr="00EC48A0" w:rsidRDefault="00562814" w:rsidP="00EC48A0">
      <w:pPr>
        <w:pStyle w:val="FootnoteText"/>
        <w:spacing w:line="280" w:lineRule="exact"/>
        <w:ind w:right="0"/>
        <w:jc w:val="both"/>
        <w:rPr>
          <w:rFonts w:ascii="Times New Roman" w:hAnsi="Times New Roman"/>
          <w:i/>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[264]. See also [266], [269].</w:t>
      </w:r>
    </w:p>
  </w:footnote>
  <w:footnote w:id="40">
    <w:p w14:paraId="1BB87276" w14:textId="26077F2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[265].</w:t>
      </w:r>
    </w:p>
  </w:footnote>
  <w:footnote w:id="41">
    <w:p w14:paraId="36D263CB" w14:textId="36E7552B"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[57].</w:t>
      </w:r>
    </w:p>
  </w:footnote>
  <w:footnote w:id="42">
    <w:p w14:paraId="13C8EAEE" w14:textId="1C69764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61]</w:t>
      </w:r>
      <w:r w:rsidRPr="00EC48A0">
        <w:rPr>
          <w:rFonts w:ascii="Times New Roman" w:hAnsi="Times New Roman"/>
          <w:sz w:val="24"/>
        </w:rPr>
        <w:noBreakHyphen/>
        <w:t>[62], [65].</w:t>
      </w:r>
    </w:p>
  </w:footnote>
  <w:footnote w:id="43">
    <w:p w14:paraId="4102E7FC" w14:textId="2080F18E"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[308].</w:t>
      </w:r>
    </w:p>
  </w:footnote>
  <w:footnote w:id="44">
    <w:p w14:paraId="278A8038" w14:textId="0D00C3DE"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300]</w:t>
      </w:r>
      <w:r w:rsidRPr="00EC48A0">
        <w:rPr>
          <w:rFonts w:ascii="Times New Roman" w:hAnsi="Times New Roman"/>
          <w:sz w:val="24"/>
        </w:rPr>
        <w:noBreakHyphen/>
        <w:t>[307].</w:t>
      </w:r>
    </w:p>
  </w:footnote>
  <w:footnote w:id="45">
    <w:p w14:paraId="0C601E4E" w14:textId="6D9F260D"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[312].</w:t>
      </w:r>
    </w:p>
  </w:footnote>
  <w:footnote w:id="46">
    <w:p w14:paraId="6FF0AF85" w14:textId="1250B8A3"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[58]. See also [312].</w:t>
      </w:r>
    </w:p>
  </w:footnote>
  <w:footnote w:id="47">
    <w:p w14:paraId="210B6D08" w14:textId="3F1A67C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[314].</w:t>
      </w:r>
    </w:p>
  </w:footnote>
  <w:footnote w:id="48">
    <w:p w14:paraId="299BDFCD" w14:textId="0CF7CE1F"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[313].</w:t>
      </w:r>
    </w:p>
  </w:footnote>
  <w:footnote w:id="49">
    <w:p w14:paraId="611A1616" w14:textId="57AB54A4" w:rsidR="00562814" w:rsidRPr="00EC48A0" w:rsidRDefault="00562814" w:rsidP="00EC48A0">
      <w:pPr>
        <w:pStyle w:val="FootnoteText"/>
        <w:spacing w:line="280" w:lineRule="exact"/>
        <w:ind w:right="0"/>
        <w:jc w:val="both"/>
        <w:rPr>
          <w:rFonts w:ascii="Times New Roman" w:hAnsi="Times New Roman"/>
          <w:i/>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[315].</w:t>
      </w:r>
    </w:p>
  </w:footnote>
  <w:footnote w:id="50">
    <w:p w14:paraId="3520192A" w14:textId="05ED9638"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4] </w:t>
      </w:r>
      <w:r w:rsidRPr="00EC48A0">
        <w:rPr>
          <w:rFonts w:ascii="Times New Roman" w:hAnsi="Times New Roman"/>
          <w:sz w:val="24"/>
        </w:rPr>
        <w:t>(2019) 59 VR 1 at 14</w:t>
      </w:r>
      <w:r w:rsidRPr="00EC48A0">
        <w:rPr>
          <w:rFonts w:ascii="Times New Roman" w:hAnsi="Times New Roman"/>
          <w:sz w:val="24"/>
        </w:rPr>
        <w:noBreakHyphen/>
        <w:t>15 [46].</w:t>
      </w:r>
    </w:p>
  </w:footnote>
  <w:footnote w:id="51">
    <w:p w14:paraId="2FF07CC8" w14:textId="341F03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[126].</w:t>
      </w:r>
    </w:p>
  </w:footnote>
  <w:footnote w:id="52">
    <w:p w14:paraId="4E508248"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[130].</w:t>
      </w:r>
    </w:p>
  </w:footnote>
  <w:footnote w:id="53">
    <w:p w14:paraId="01A2EC63"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[132].</w:t>
      </w:r>
    </w:p>
  </w:footnote>
  <w:footnote w:id="54">
    <w:p w14:paraId="617584CC" w14:textId="3819861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w:t>
      </w:r>
      <w:r w:rsidRPr="00EC48A0">
        <w:rPr>
          <w:rFonts w:ascii="Times New Roman" w:hAnsi="Times New Roman"/>
          <w:sz w:val="24"/>
        </w:rPr>
        <w:t>[2020] VSCA 200 at [</w:t>
      </w:r>
      <w:r w:rsidRPr="00EC48A0">
        <w:rPr>
          <w:rFonts w:ascii="Times New Roman" w:hAnsi="Times New Roman"/>
          <w:sz w:val="24"/>
        </w:rPr>
        <w:t>132]</w:t>
      </w:r>
      <w:r w:rsidR="00533035" w:rsidRPr="00EC48A0">
        <w:rPr>
          <w:rFonts w:ascii="Times New Roman" w:hAnsi="Times New Roman"/>
          <w:sz w:val="24"/>
        </w:rPr>
        <w:noBreakHyphen/>
        <w:t>[133]</w:t>
      </w:r>
      <w:r w:rsidRPr="00EC48A0">
        <w:rPr>
          <w:rFonts w:ascii="Times New Roman" w:hAnsi="Times New Roman"/>
          <w:sz w:val="24"/>
        </w:rPr>
        <w:t>.</w:t>
      </w:r>
    </w:p>
  </w:footnote>
  <w:footnote w:id="55">
    <w:p w14:paraId="6253387A" w14:textId="117114D8"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[314].</w:t>
      </w:r>
    </w:p>
  </w:footnote>
  <w:footnote w:id="56">
    <w:p w14:paraId="2DAA8819" w14:textId="37D1A223"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[134].</w:t>
      </w:r>
    </w:p>
  </w:footnote>
  <w:footnote w:id="57">
    <w:p w14:paraId="32CFEC80" w14:textId="72D9B03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[131(</w:t>
      </w:r>
      <w:r w:rsidRPr="00EC48A0">
        <w:rPr>
          <w:rFonts w:ascii="Times New Roman" w:hAnsi="Times New Roman"/>
          <w:sz w:val="24"/>
        </w:rPr>
        <w:t>2)</w:t>
      </w:r>
      <w:r w:rsidRPr="00EC48A0">
        <w:rPr>
          <w:rFonts w:ascii="Times New Roman" w:hAnsi="Times New Roman"/>
          <w:sz w:val="24"/>
        </w:rPr>
        <w:noBreakHyphen/>
        <w:t>(4)].</w:t>
      </w:r>
    </w:p>
  </w:footnote>
  <w:footnote w:id="58">
    <w:p w14:paraId="4D067A31" w14:textId="12A94FB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Stubbings</w:t>
      </w:r>
      <w:r w:rsidRPr="00EC48A0">
        <w:rPr>
          <w:rFonts w:ascii="Times New Roman" w:hAnsi="Times New Roman"/>
          <w:sz w:val="24"/>
        </w:rPr>
        <w:t xml:space="preserve"> [2020] VSCA 200 at [131(1)].</w:t>
      </w:r>
    </w:p>
  </w:footnote>
  <w:footnote w:id="59">
    <w:p w14:paraId="33864D5B" w14:textId="5C32504F"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 xml:space="preserve">See </w:t>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77]</w:t>
      </w:r>
      <w:r w:rsidRPr="00EC48A0">
        <w:rPr>
          <w:rFonts w:ascii="Times New Roman" w:hAnsi="Times New Roman"/>
          <w:sz w:val="24"/>
        </w:rPr>
        <w:noBreakHyphen/>
        <w:t>[85].</w:t>
      </w:r>
    </w:p>
  </w:footnote>
  <w:footnote w:id="60">
    <w:p w14:paraId="4EB3C404" w14:textId="102D7CC2"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w:t>
      </w:r>
      <w:r w:rsidRPr="00EC48A0">
        <w:rPr>
          <w:rFonts w:ascii="Times New Roman" w:hAnsi="Times New Roman"/>
          <w:sz w:val="24"/>
        </w:rPr>
        <w:t>[2020] VSCA 200 at [</w:t>
      </w:r>
      <w:r w:rsidRPr="00EC48A0">
        <w:rPr>
          <w:rFonts w:ascii="Times New Roman" w:hAnsi="Times New Roman"/>
          <w:sz w:val="24"/>
        </w:rPr>
        <w:t>133]</w:t>
      </w:r>
      <w:r w:rsidRPr="00EC48A0">
        <w:rPr>
          <w:rFonts w:ascii="Times New Roman" w:hAnsi="Times New Roman"/>
          <w:sz w:val="24"/>
        </w:rPr>
        <w:noBreakHyphen/>
        <w:t>[134].</w:t>
      </w:r>
    </w:p>
  </w:footnote>
  <w:footnote w:id="61">
    <w:p w14:paraId="313A21E5" w14:textId="113FCDBB"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(2013) 250 CLR 392 at 401</w:t>
      </w:r>
      <w:r w:rsidRPr="00EC48A0">
        <w:rPr>
          <w:rFonts w:ascii="Times New Roman" w:hAnsi="Times New Roman"/>
          <w:sz w:val="24"/>
        </w:rPr>
        <w:noBreakHyphen/>
        <w:t>402 [20].</w:t>
      </w:r>
    </w:p>
  </w:footnote>
  <w:footnote w:id="62">
    <w:p w14:paraId="6E86BC2E" w14:textId="64624A5C"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(1983) 151 CLR 447 at 459</w:t>
      </w:r>
      <w:r w:rsidRPr="00EC48A0">
        <w:rPr>
          <w:rFonts w:ascii="Times New Roman" w:hAnsi="Times New Roman"/>
          <w:sz w:val="24"/>
        </w:rPr>
        <w:noBreakHyphen/>
        <w:t>46</w:t>
      </w:r>
      <w:r w:rsidR="00410208" w:rsidRPr="00EC48A0">
        <w:rPr>
          <w:rFonts w:ascii="Times New Roman" w:hAnsi="Times New Roman"/>
          <w:sz w:val="24"/>
        </w:rPr>
        <w:t>0, 461</w:t>
      </w:r>
      <w:r w:rsidRPr="00EC48A0">
        <w:rPr>
          <w:rFonts w:ascii="Times New Roman" w:hAnsi="Times New Roman"/>
          <w:sz w:val="24"/>
        </w:rPr>
        <w:t>, 474.</w:t>
      </w:r>
    </w:p>
  </w:footnote>
  <w:footnote w:id="63">
    <w:p w14:paraId="41EE11F8" w14:textId="06D57F5F"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 xml:space="preserve">See also </w:t>
      </w:r>
      <w:r w:rsidRPr="00EC48A0">
        <w:rPr>
          <w:rFonts w:ascii="Times New Roman" w:hAnsi="Times New Roman"/>
          <w:i/>
          <w:sz w:val="24"/>
        </w:rPr>
        <w:t xml:space="preserve">Louth v </w:t>
      </w:r>
      <w:r w:rsidRPr="00EC48A0">
        <w:rPr>
          <w:rFonts w:ascii="Times New Roman" w:hAnsi="Times New Roman"/>
          <w:i/>
          <w:sz w:val="24"/>
        </w:rPr>
        <w:t xml:space="preserve">Diprose </w:t>
      </w:r>
      <w:r w:rsidRPr="00EC48A0">
        <w:rPr>
          <w:rFonts w:ascii="Times New Roman" w:hAnsi="Times New Roman"/>
          <w:sz w:val="24"/>
        </w:rPr>
        <w:t xml:space="preserve">(1992) 175 CLR 621 at 626; </w:t>
      </w:r>
      <w:r w:rsidRPr="00EC48A0">
        <w:rPr>
          <w:rFonts w:ascii="Times New Roman" w:hAnsi="Times New Roman"/>
          <w:i/>
          <w:sz w:val="24"/>
        </w:rPr>
        <w:t>Micarone v Perpetual Trustees Australia Ltd</w:t>
      </w:r>
      <w:r w:rsidRPr="00EC48A0">
        <w:rPr>
          <w:rFonts w:ascii="Times New Roman" w:hAnsi="Times New Roman"/>
          <w:sz w:val="24"/>
        </w:rPr>
        <w:t xml:space="preserve"> (1999) 75 SASR 1 at 109</w:t>
      </w:r>
      <w:r w:rsidR="008E0DA1" w:rsidRPr="00EC48A0">
        <w:rPr>
          <w:rFonts w:ascii="Times New Roman" w:hAnsi="Times New Roman"/>
          <w:sz w:val="24"/>
        </w:rPr>
        <w:t> [589]</w:t>
      </w:r>
      <w:r w:rsidRPr="00EC48A0">
        <w:rPr>
          <w:rFonts w:ascii="Times New Roman" w:hAnsi="Times New Roman"/>
          <w:sz w:val="24"/>
        </w:rPr>
        <w:t xml:space="preserve">; </w:t>
      </w:r>
      <w:r w:rsidRPr="00EC48A0">
        <w:rPr>
          <w:rFonts w:ascii="Times New Roman" w:hAnsi="Times New Roman"/>
          <w:i/>
          <w:sz w:val="24"/>
        </w:rPr>
        <w:t xml:space="preserve">Turner v Windever </w:t>
      </w:r>
      <w:r w:rsidRPr="00EC48A0">
        <w:rPr>
          <w:rFonts w:ascii="Times New Roman" w:hAnsi="Times New Roman"/>
          <w:sz w:val="24"/>
        </w:rPr>
        <w:t xml:space="preserve">[2003] NSWSC 1147 at [105]; </w:t>
      </w:r>
      <w:r w:rsidRPr="00EC48A0">
        <w:rPr>
          <w:rFonts w:ascii="Times New Roman" w:hAnsi="Times New Roman"/>
          <w:i/>
          <w:sz w:val="24"/>
        </w:rPr>
        <w:t xml:space="preserve">Kakavas v Crown Melbourne Ltd </w:t>
      </w:r>
      <w:r w:rsidRPr="00EC48A0">
        <w:rPr>
          <w:rFonts w:ascii="Times New Roman" w:hAnsi="Times New Roman"/>
          <w:sz w:val="24"/>
        </w:rPr>
        <w:t>(2013) 250 CLR 392.</w:t>
      </w:r>
    </w:p>
  </w:footnote>
  <w:footnote w:id="64">
    <w:p w14:paraId="54BB2506" w14:textId="7777777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(1953) 90 CLR 113 at 118</w:t>
      </w:r>
      <w:r w:rsidRPr="00EC48A0">
        <w:rPr>
          <w:rFonts w:ascii="Times New Roman" w:hAnsi="Times New Roman"/>
          <w:sz w:val="24"/>
        </w:rPr>
        <w:noBreakHyphen/>
        <w:t>119.</w:t>
      </w:r>
    </w:p>
  </w:footnote>
  <w:footnote w:id="65">
    <w:p w14:paraId="2A8846F9" w14:textId="1B2A85F8"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(2013) 250 CLR 392 at 426 [122]. See also 401 [18].</w:t>
      </w:r>
    </w:p>
  </w:footnote>
  <w:footnote w:id="66">
    <w:p w14:paraId="49179898" w14:textId="5667EB4C"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(2017) 263 CLR 85 at 105 [43].</w:t>
      </w:r>
    </w:p>
  </w:footnote>
  <w:footnote w:id="67">
    <w:p w14:paraId="1CF8A180" w14:textId="78B3101D"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Commercial Bank of Australia Ltd v Amadio </w:t>
      </w:r>
      <w:r w:rsidRPr="00EC48A0">
        <w:rPr>
          <w:rFonts w:ascii="Times New Roman" w:hAnsi="Times New Roman"/>
          <w:sz w:val="24"/>
        </w:rPr>
        <w:t>(1983) 151 CLR 447 at 462.</w:t>
      </w:r>
    </w:p>
  </w:footnote>
  <w:footnote w:id="68">
    <w:p w14:paraId="29A47EB8" w14:textId="15C2590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 xml:space="preserve">(1956) 99 CLR 362 at 405; see also </w:t>
      </w:r>
      <w:r w:rsidRPr="00EC48A0">
        <w:rPr>
          <w:rFonts w:ascii="Times New Roman" w:hAnsi="Times New Roman"/>
          <w:i/>
          <w:sz w:val="24"/>
        </w:rPr>
        <w:t xml:space="preserve">Commercial Bank of Australia Ltd v Amadio </w:t>
      </w:r>
      <w:r w:rsidRPr="00EC48A0">
        <w:rPr>
          <w:rFonts w:ascii="Times New Roman" w:hAnsi="Times New Roman"/>
          <w:sz w:val="24"/>
        </w:rPr>
        <w:t>(1983) 151 CLR 447 at 462, 474</w:t>
      </w:r>
      <w:r w:rsidRPr="00EC48A0">
        <w:rPr>
          <w:rFonts w:ascii="Times New Roman" w:hAnsi="Times New Roman"/>
          <w:sz w:val="24"/>
        </w:rPr>
        <w:noBreakHyphen/>
        <w:t xml:space="preserve">475; </w:t>
      </w:r>
      <w:r w:rsidRPr="00EC48A0">
        <w:rPr>
          <w:rFonts w:ascii="Times New Roman" w:hAnsi="Times New Roman"/>
          <w:i/>
          <w:sz w:val="24"/>
        </w:rPr>
        <w:t xml:space="preserve">Louth v </w:t>
      </w:r>
      <w:r w:rsidRPr="00EC48A0">
        <w:rPr>
          <w:rFonts w:ascii="Times New Roman" w:hAnsi="Times New Roman"/>
          <w:i/>
          <w:sz w:val="24"/>
        </w:rPr>
        <w:t xml:space="preserve">Diprose </w:t>
      </w:r>
      <w:r w:rsidRPr="00EC48A0">
        <w:rPr>
          <w:rFonts w:ascii="Times New Roman" w:hAnsi="Times New Roman"/>
          <w:sz w:val="24"/>
        </w:rPr>
        <w:t>(1992) 175 CLR 621 at 628-629, 637</w:t>
      </w:r>
      <w:r w:rsidRPr="00EC48A0">
        <w:rPr>
          <w:rFonts w:ascii="Times New Roman" w:hAnsi="Times New Roman"/>
          <w:sz w:val="24"/>
        </w:rPr>
        <w:noBreakHyphen/>
        <w:t>638, 650.</w:t>
      </w:r>
    </w:p>
  </w:footnote>
  <w:footnote w:id="69">
    <w:p w14:paraId="269E1DDB" w14:textId="3135AD08"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 xml:space="preserve">Dal Pont, </w:t>
      </w:r>
      <w:r w:rsidRPr="00EC48A0">
        <w:rPr>
          <w:rFonts w:ascii="Times New Roman" w:hAnsi="Times New Roman"/>
          <w:i/>
          <w:sz w:val="24"/>
        </w:rPr>
        <w:t>Equity and Trusts in Australia</w:t>
      </w:r>
      <w:r w:rsidRPr="00EC48A0">
        <w:rPr>
          <w:rFonts w:ascii="Times New Roman" w:hAnsi="Times New Roman"/>
          <w:sz w:val="24"/>
        </w:rPr>
        <w:t>, 7th ed (2019) at 298 [9.30].</w:t>
      </w:r>
    </w:p>
  </w:footnote>
  <w:footnote w:id="70">
    <w:p w14:paraId="24071C07" w14:textId="682CFFD2"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w:t>
      </w:r>
      <w:r w:rsidRPr="00EC48A0">
        <w:rPr>
          <w:rFonts w:ascii="Times New Roman" w:hAnsi="Times New Roman"/>
          <w:sz w:val="24"/>
        </w:rPr>
        <w:t>264]</w:t>
      </w:r>
      <w:r w:rsidRPr="00EC48A0">
        <w:rPr>
          <w:rFonts w:ascii="Times New Roman" w:hAnsi="Times New Roman"/>
          <w:sz w:val="24"/>
        </w:rPr>
        <w:noBreakHyphen/>
        <w:t xml:space="preserve">[272]. </w:t>
      </w:r>
    </w:p>
  </w:footnote>
  <w:footnote w:id="71">
    <w:p w14:paraId="73C0EBC6" w14:textId="55198BB3"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[103], [269].</w:t>
      </w:r>
    </w:p>
  </w:footnote>
  <w:footnote w:id="72">
    <w:p w14:paraId="08264F91" w14:textId="3F454461"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[266].</w:t>
      </w:r>
    </w:p>
  </w:footnote>
  <w:footnote w:id="73">
    <w:p w14:paraId="6FD5D845" w14:textId="10CF9180"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[101].</w:t>
      </w:r>
    </w:p>
  </w:footnote>
  <w:footnote w:id="74">
    <w:p w14:paraId="55546695" w14:textId="05632D97"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iCs/>
          <w:sz w:val="24"/>
        </w:rPr>
        <w:t xml:space="preserve">Jams 2 Pty Ltd v </w:t>
      </w:r>
      <w:r w:rsidRPr="00EC48A0">
        <w:rPr>
          <w:rFonts w:ascii="Times New Roman" w:hAnsi="Times New Roman"/>
          <w:i/>
          <w:iCs/>
          <w:sz w:val="24"/>
        </w:rPr>
        <w:t xml:space="preserve">Stubbings [No 3] </w:t>
      </w:r>
      <w:r w:rsidRPr="00EC48A0">
        <w:rPr>
          <w:rFonts w:ascii="Times New Roman" w:hAnsi="Times New Roman"/>
          <w:sz w:val="24"/>
        </w:rPr>
        <w:t>[2019] VSC 150 at [17].</w:t>
      </w:r>
    </w:p>
  </w:footnote>
  <w:footnote w:id="75">
    <w:p w14:paraId="0A42C632" w14:textId="40EBBFBC"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 xml:space="preserve">(2013) 250 CLR 392 at 398 [6]. See also </w:t>
      </w:r>
      <w:r w:rsidRPr="00EC48A0">
        <w:rPr>
          <w:rFonts w:ascii="Times New Roman" w:hAnsi="Times New Roman"/>
          <w:i/>
          <w:iCs/>
          <w:sz w:val="24"/>
        </w:rPr>
        <w:t xml:space="preserve">Thorne v Kennedy </w:t>
      </w:r>
      <w:r w:rsidRPr="00EC48A0">
        <w:rPr>
          <w:rFonts w:ascii="Times New Roman" w:hAnsi="Times New Roman"/>
          <w:sz w:val="24"/>
        </w:rPr>
        <w:t>(2017) 263 CLR 85 at 103 [38].</w:t>
      </w:r>
    </w:p>
  </w:footnote>
  <w:footnote w:id="76">
    <w:p w14:paraId="159B3AD1" w14:textId="527DFD76"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(1983) 151 CLR 447 at 462. See also 467.</w:t>
      </w:r>
    </w:p>
  </w:footnote>
  <w:footnote w:id="77">
    <w:p w14:paraId="1AD6C573" w14:textId="75D84D69"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w:t>
      </w:r>
      <w:r w:rsidRPr="00EC48A0">
        <w:rPr>
          <w:rFonts w:ascii="Times New Roman" w:hAnsi="Times New Roman"/>
          <w:sz w:val="24"/>
        </w:rPr>
        <w:t>88]</w:t>
      </w:r>
      <w:r w:rsidRPr="00EC48A0">
        <w:rPr>
          <w:rFonts w:ascii="Times New Roman" w:hAnsi="Times New Roman"/>
          <w:sz w:val="24"/>
        </w:rPr>
        <w:noBreakHyphen/>
        <w:t>[90], [92]</w:t>
      </w:r>
      <w:r w:rsidRPr="00EC48A0">
        <w:rPr>
          <w:rFonts w:ascii="Times New Roman" w:hAnsi="Times New Roman"/>
          <w:sz w:val="24"/>
        </w:rPr>
        <w:noBreakHyphen/>
        <w:t>[96], [313].</w:t>
      </w:r>
    </w:p>
  </w:footnote>
  <w:footnote w:id="78">
    <w:p w14:paraId="3C618A12" w14:textId="6E111B56"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 xml:space="preserve">See, </w:t>
      </w:r>
      <w:r w:rsidRPr="00EC48A0">
        <w:rPr>
          <w:rFonts w:ascii="Times New Roman" w:hAnsi="Times New Roman"/>
          <w:sz w:val="24"/>
        </w:rPr>
        <w:t xml:space="preserve">eg, </w:t>
      </w:r>
      <w:r w:rsidRPr="00EC48A0">
        <w:rPr>
          <w:rFonts w:ascii="Times New Roman" w:hAnsi="Times New Roman"/>
          <w:i/>
          <w:sz w:val="24"/>
        </w:rPr>
        <w:t xml:space="preserve">Castle v The Queen </w:t>
      </w:r>
      <w:r w:rsidRPr="00EC48A0">
        <w:rPr>
          <w:rFonts w:ascii="Times New Roman" w:hAnsi="Times New Roman"/>
          <w:sz w:val="24"/>
        </w:rPr>
        <w:t>(2016) 259 CLR 449 esp at 472 [66].</w:t>
      </w:r>
    </w:p>
  </w:footnote>
  <w:footnote w:id="79">
    <w:p w14:paraId="04FA9E59" w14:textId="32F6C4AC"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t xml:space="preserve">See </w:t>
      </w:r>
      <w:r w:rsidRPr="00EC48A0">
        <w:rPr>
          <w:rFonts w:ascii="Times New Roman" w:hAnsi="Times New Roman"/>
          <w:i/>
          <w:sz w:val="24"/>
        </w:rPr>
        <w:t xml:space="preserve">Bridgewater v Leahy </w:t>
      </w:r>
      <w:r w:rsidRPr="00EC48A0">
        <w:rPr>
          <w:rFonts w:ascii="Times New Roman" w:hAnsi="Times New Roman"/>
          <w:sz w:val="24"/>
        </w:rPr>
        <w:t>(1998) 194 CLR 457 at 470</w:t>
      </w:r>
      <w:r w:rsidRPr="00EC48A0">
        <w:rPr>
          <w:rFonts w:ascii="Times New Roman" w:hAnsi="Times New Roman"/>
          <w:sz w:val="24"/>
        </w:rPr>
        <w:noBreakHyphen/>
        <w:t xml:space="preserve">471 [41]; </w:t>
      </w:r>
      <w:r w:rsidRPr="00EC48A0">
        <w:rPr>
          <w:rFonts w:ascii="Times New Roman" w:hAnsi="Times New Roman"/>
          <w:i/>
          <w:sz w:val="24"/>
        </w:rPr>
        <w:t xml:space="preserve">Thorne v Kennedy </w:t>
      </w:r>
      <w:r w:rsidRPr="00EC48A0">
        <w:rPr>
          <w:rFonts w:ascii="Times New Roman" w:hAnsi="Times New Roman"/>
          <w:sz w:val="24"/>
        </w:rPr>
        <w:t>(2017) 263 CLR 85 at 112</w:t>
      </w:r>
      <w:r w:rsidR="006D10A2" w:rsidRPr="00EC48A0">
        <w:rPr>
          <w:rFonts w:ascii="Times New Roman" w:hAnsi="Times New Roman"/>
          <w:sz w:val="24"/>
        </w:rPr>
        <w:t> [</w:t>
      </w:r>
      <w:r w:rsidR="006D10A2" w:rsidRPr="00EC48A0">
        <w:rPr>
          <w:rFonts w:ascii="Times New Roman" w:hAnsi="Times New Roman"/>
          <w:sz w:val="24"/>
        </w:rPr>
        <w:t>64]</w:t>
      </w:r>
      <w:r w:rsidR="006D10A2" w:rsidRPr="00EC48A0">
        <w:rPr>
          <w:rFonts w:ascii="Times New Roman" w:hAnsi="Times New Roman"/>
          <w:sz w:val="24"/>
        </w:rPr>
        <w:noBreakHyphen/>
        <w:t>[65]</w:t>
      </w:r>
      <w:r w:rsidRPr="00EC48A0">
        <w:rPr>
          <w:rFonts w:ascii="Times New Roman" w:hAnsi="Times New Roman"/>
          <w:sz w:val="24"/>
        </w:rPr>
        <w:t>, 128</w:t>
      </w:r>
      <w:r w:rsidRPr="00EC48A0">
        <w:rPr>
          <w:rFonts w:ascii="Times New Roman" w:hAnsi="Times New Roman"/>
          <w:sz w:val="24"/>
        </w:rPr>
        <w:noBreakHyphen/>
        <w:t>129</w:t>
      </w:r>
      <w:r w:rsidR="008728FB" w:rsidRPr="00EC48A0">
        <w:rPr>
          <w:rFonts w:ascii="Times New Roman" w:hAnsi="Times New Roman"/>
          <w:sz w:val="24"/>
        </w:rPr>
        <w:t> [123]</w:t>
      </w:r>
      <w:r w:rsidR="00641836" w:rsidRPr="00EC48A0">
        <w:rPr>
          <w:rFonts w:ascii="Times New Roman" w:hAnsi="Times New Roman"/>
          <w:sz w:val="24"/>
        </w:rPr>
        <w:t>.</w:t>
      </w:r>
    </w:p>
  </w:footnote>
  <w:footnote w:id="80">
    <w:p w14:paraId="5BCE957D" w14:textId="2DEFAC48"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 xml:space="preserve">[2019] VSC 150 at [315], cf </w:t>
      </w:r>
      <w:r w:rsidRPr="00EC48A0">
        <w:rPr>
          <w:rFonts w:ascii="Times New Roman" w:hAnsi="Times New Roman"/>
          <w:i/>
          <w:sz w:val="24"/>
        </w:rPr>
        <w:t xml:space="preserve">Jams 2 Pty Ltd v Stubbings </w:t>
      </w:r>
      <w:r w:rsidRPr="00EC48A0">
        <w:rPr>
          <w:rFonts w:ascii="Times New Roman" w:hAnsi="Times New Roman"/>
          <w:sz w:val="24"/>
        </w:rPr>
        <w:t>[2020] VSCA 200 at [</w:t>
      </w:r>
      <w:r w:rsidRPr="00EC48A0">
        <w:rPr>
          <w:rFonts w:ascii="Times New Roman" w:hAnsi="Times New Roman"/>
          <w:sz w:val="24"/>
        </w:rPr>
        <w:t>133]</w:t>
      </w:r>
      <w:r w:rsidRPr="00EC48A0">
        <w:rPr>
          <w:rFonts w:ascii="Times New Roman" w:hAnsi="Times New Roman"/>
          <w:sz w:val="24"/>
        </w:rPr>
        <w:noBreakHyphen/>
        <w:t>[134].</w:t>
      </w:r>
    </w:p>
  </w:footnote>
  <w:footnote w:id="81">
    <w:p w14:paraId="1F49B7AD" w14:textId="4C2B0B0D" w:rsidR="00562814" w:rsidRPr="00EC48A0" w:rsidRDefault="00562814" w:rsidP="00EC48A0">
      <w:pPr>
        <w:pStyle w:val="FootnoteText"/>
        <w:spacing w:line="280" w:lineRule="exact"/>
        <w:ind w:right="0"/>
        <w:jc w:val="both"/>
        <w:rPr>
          <w:rFonts w:ascii="Times New Roman" w:hAnsi="Times New Roman"/>
          <w:sz w:val="24"/>
        </w:rPr>
      </w:pPr>
      <w:r w:rsidRPr="00EC48A0">
        <w:rPr>
          <w:rStyle w:val="FootnoteReference"/>
          <w:rFonts w:ascii="Times New Roman" w:hAnsi="Times New Roman"/>
          <w:sz w:val="22"/>
          <w:vertAlign w:val="baseline"/>
        </w:rPr>
        <w:footnoteRef/>
      </w:r>
      <w:r w:rsidRPr="00EC48A0">
        <w:rPr>
          <w:rFonts w:ascii="Times New Roman" w:hAnsi="Times New Roman"/>
          <w:sz w:val="24"/>
        </w:rPr>
        <w:t xml:space="preserve"> </w:t>
      </w:r>
      <w:r w:rsidRPr="00EC48A0">
        <w:rPr>
          <w:rFonts w:ascii="Times New Roman" w:hAnsi="Times New Roman"/>
          <w:sz w:val="24"/>
        </w:rPr>
        <w:tab/>
      </w:r>
      <w:r w:rsidRPr="00EC48A0">
        <w:rPr>
          <w:rFonts w:ascii="Times New Roman" w:hAnsi="Times New Roman"/>
          <w:i/>
          <w:sz w:val="24"/>
        </w:rPr>
        <w:t xml:space="preserve">Jams 2 Pty Ltd v </w:t>
      </w:r>
      <w:r w:rsidRPr="00EC48A0">
        <w:rPr>
          <w:rFonts w:ascii="Times New Roman" w:hAnsi="Times New Roman"/>
          <w:i/>
          <w:sz w:val="24"/>
        </w:rPr>
        <w:t xml:space="preserve">Stubbings [No 3] </w:t>
      </w:r>
      <w:r w:rsidRPr="00EC48A0">
        <w:rPr>
          <w:rFonts w:ascii="Times New Roman" w:hAnsi="Times New Roman"/>
          <w:sz w:val="24"/>
        </w:rPr>
        <w:t>[2019] VSC 150 at [93].</w:t>
      </w:r>
    </w:p>
  </w:footnote>
  <w:footnote w:id="82">
    <w:p w14:paraId="00799225"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 xml:space="preserve">Australian Securities and Investments Commission v </w:t>
      </w:r>
      <w:r w:rsidRPr="00256C02">
        <w:rPr>
          <w:rFonts w:ascii="Times New Roman" w:hAnsi="Times New Roman"/>
          <w:i/>
          <w:sz w:val="24"/>
        </w:rPr>
        <w:t>Kobelt</w:t>
      </w:r>
      <w:r w:rsidRPr="00256C02">
        <w:rPr>
          <w:rFonts w:ascii="Times New Roman" w:hAnsi="Times New Roman"/>
          <w:sz w:val="24"/>
        </w:rPr>
        <w:t xml:space="preserve"> (2019) 267 CLR 1 at 56 [143], citing </w:t>
      </w:r>
      <w:r w:rsidRPr="00256C02">
        <w:rPr>
          <w:rFonts w:ascii="Times New Roman" w:hAnsi="Times New Roman"/>
          <w:i/>
          <w:sz w:val="24"/>
        </w:rPr>
        <w:t>Unique International College Pty Ltd v Australian Competition and Consumer Commission</w:t>
      </w:r>
      <w:r w:rsidRPr="00256C02">
        <w:rPr>
          <w:rFonts w:ascii="Times New Roman" w:hAnsi="Times New Roman"/>
          <w:sz w:val="24"/>
        </w:rPr>
        <w:t xml:space="preserve"> (2018) 266 FCR 631 at 654 [104].</w:t>
      </w:r>
    </w:p>
  </w:footnote>
  <w:footnote w:id="83">
    <w:p w14:paraId="52E84AA4"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78 [232]; see also 101 [293].</w:t>
      </w:r>
    </w:p>
  </w:footnote>
  <w:footnote w:id="84">
    <w:p w14:paraId="34845992"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12CB(4)(a).</w:t>
      </w:r>
    </w:p>
  </w:footnote>
  <w:footnote w:id="85">
    <w:p w14:paraId="546CF50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Cs/>
          <w:sz w:val="24"/>
        </w:rPr>
        <w:t xml:space="preserve">See </w:t>
      </w:r>
      <w:r w:rsidRPr="00256C02">
        <w:rPr>
          <w:rFonts w:ascii="Times New Roman" w:hAnsi="Times New Roman"/>
          <w:i/>
          <w:sz w:val="24"/>
        </w:rPr>
        <w:t>Kobelt</w:t>
      </w:r>
      <w:r w:rsidRPr="00256C02">
        <w:rPr>
          <w:rFonts w:ascii="Times New Roman" w:hAnsi="Times New Roman"/>
          <w:sz w:val="24"/>
        </w:rPr>
        <w:t xml:space="preserve"> (2019) 267 CLR 1 at 37 [83], 39 [89], 56 [144], 97 [284].</w:t>
      </w:r>
    </w:p>
  </w:footnote>
  <w:footnote w:id="86">
    <w:p w14:paraId="7301EAB5"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37 [83], 38-39 [87]-[89], 56 [144], 102 [295].</w:t>
      </w:r>
    </w:p>
  </w:footnote>
  <w:footnote w:id="87">
    <w:p w14:paraId="2B960CA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 xml:space="preserve">Kobelt </w:t>
      </w:r>
      <w:r w:rsidRPr="00256C02">
        <w:rPr>
          <w:rFonts w:ascii="Times New Roman" w:hAnsi="Times New Roman"/>
          <w:sz w:val="24"/>
        </w:rPr>
        <w:t xml:space="preserve">(2019) 267 CLR 1 at 15 [8], 37 [83], 60-61 [154]-[155]. See also </w:t>
      </w:r>
      <w:r w:rsidRPr="00256C02">
        <w:rPr>
          <w:rFonts w:ascii="Times New Roman" w:hAnsi="Times New Roman"/>
          <w:i/>
          <w:sz w:val="24"/>
        </w:rPr>
        <w:t xml:space="preserve">Jenyns v Public Curator (Qld) </w:t>
      </w:r>
      <w:r w:rsidRPr="00256C02">
        <w:rPr>
          <w:rFonts w:ascii="Times New Roman" w:hAnsi="Times New Roman"/>
          <w:sz w:val="24"/>
        </w:rPr>
        <w:t xml:space="preserve">(1953) 90 CLR 113 at 118-119, quoted in </w:t>
      </w:r>
      <w:r w:rsidRPr="00256C02">
        <w:rPr>
          <w:rFonts w:ascii="Times New Roman" w:hAnsi="Times New Roman"/>
          <w:i/>
          <w:sz w:val="24"/>
        </w:rPr>
        <w:t xml:space="preserve">Kakavas v Crown Melbourne Ltd </w:t>
      </w:r>
      <w:r w:rsidRPr="00256C02">
        <w:rPr>
          <w:rFonts w:ascii="Times New Roman" w:hAnsi="Times New Roman"/>
          <w:sz w:val="24"/>
        </w:rPr>
        <w:t xml:space="preserve">(2013) 250 CLR 392 at 426 [122] and </w:t>
      </w:r>
      <w:r w:rsidRPr="00256C02">
        <w:rPr>
          <w:rFonts w:ascii="Times New Roman" w:hAnsi="Times New Roman"/>
          <w:i/>
          <w:sz w:val="24"/>
        </w:rPr>
        <w:t xml:space="preserve">Thorne v Kennedy </w:t>
      </w:r>
      <w:r w:rsidRPr="00256C02">
        <w:rPr>
          <w:rFonts w:ascii="Times New Roman" w:hAnsi="Times New Roman"/>
          <w:sz w:val="24"/>
        </w:rPr>
        <w:t xml:space="preserve">(2017) 263 CLR 85 at 105 [43]; </w:t>
      </w:r>
      <w:r w:rsidRPr="00256C02">
        <w:rPr>
          <w:rFonts w:ascii="Times New Roman" w:hAnsi="Times New Roman"/>
          <w:i/>
          <w:sz w:val="24"/>
        </w:rPr>
        <w:t xml:space="preserve">Paciocco v Australia &amp; New Zealand Banking Group Ltd </w:t>
      </w:r>
      <w:r w:rsidRPr="00256C02">
        <w:rPr>
          <w:rFonts w:ascii="Times New Roman" w:hAnsi="Times New Roman"/>
          <w:sz w:val="24"/>
        </w:rPr>
        <w:t xml:space="preserve">(2016) 258 CLR 525 at 587 [188], 620 [294]. "[T]he court must not have regard to any circumstances that were not reasonably foreseeable at the time of the alleged contravention": </w:t>
      </w:r>
      <w:r w:rsidRPr="00256C02">
        <w:rPr>
          <w:rFonts w:ascii="Times New Roman" w:hAnsi="Times New Roman"/>
          <w:i/>
          <w:sz w:val="24"/>
        </w:rPr>
        <w:t>ASIC Act</w:t>
      </w:r>
      <w:r w:rsidRPr="00256C02">
        <w:rPr>
          <w:rFonts w:ascii="Times New Roman" w:hAnsi="Times New Roman"/>
          <w:sz w:val="24"/>
        </w:rPr>
        <w:t xml:space="preserve">, s 12CB(3)(a). </w:t>
      </w:r>
    </w:p>
  </w:footnote>
  <w:footnote w:id="88">
    <w:p w14:paraId="36712A7B"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38 [87]; see also 49 [120], 60-61 [154]-[155], 105 [302].</w:t>
      </w:r>
    </w:p>
  </w:footnote>
  <w:footnote w:id="89">
    <w:p w14:paraId="2E777E29"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60 [154], quoting </w:t>
      </w:r>
      <w:r w:rsidRPr="00256C02">
        <w:rPr>
          <w:rFonts w:ascii="Times New Roman" w:hAnsi="Times New Roman"/>
          <w:i/>
          <w:sz w:val="24"/>
        </w:rPr>
        <w:t>Paciocco</w:t>
      </w:r>
      <w:r w:rsidRPr="00256C02">
        <w:rPr>
          <w:rFonts w:ascii="Times New Roman" w:hAnsi="Times New Roman"/>
          <w:sz w:val="24"/>
        </w:rPr>
        <w:t xml:space="preserve"> </w:t>
      </w:r>
      <w:r w:rsidRPr="00256C02">
        <w:rPr>
          <w:rFonts w:ascii="Times New Roman" w:hAnsi="Times New Roman"/>
          <w:i/>
          <w:sz w:val="24"/>
        </w:rPr>
        <w:t xml:space="preserve">v Australia and New Zealand Banking Group Ltd </w:t>
      </w:r>
      <w:r w:rsidRPr="00256C02">
        <w:rPr>
          <w:rFonts w:ascii="Times New Roman" w:hAnsi="Times New Roman"/>
          <w:sz w:val="24"/>
        </w:rPr>
        <w:t xml:space="preserve">(2015) 236 FCR 199 at 270 [279]. </w:t>
      </w:r>
    </w:p>
  </w:footnote>
  <w:footnote w:id="90">
    <w:p w14:paraId="392FBDB1"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60 [154]; see also 37-38 [84]-[87], 105 [302].</w:t>
      </w:r>
    </w:p>
  </w:footnote>
  <w:footnote w:id="91">
    <w:p w14:paraId="778CFE1F"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78 [234] (footnote omitted).</w:t>
      </w:r>
    </w:p>
  </w:footnote>
  <w:footnote w:id="92">
    <w:p w14:paraId="76FDEEC2"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40 [92]; see also 59 [153], 78 [234]. See also </w:t>
      </w:r>
      <w:r w:rsidRPr="00256C02">
        <w:rPr>
          <w:rFonts w:ascii="Times New Roman" w:hAnsi="Times New Roman"/>
          <w:i/>
          <w:sz w:val="24"/>
        </w:rPr>
        <w:t>Australian Competition and Consumer Commission v Lux Distributors Pty Ltd</w:t>
      </w:r>
      <w:r w:rsidRPr="00256C02">
        <w:rPr>
          <w:rFonts w:ascii="Times New Roman" w:hAnsi="Times New Roman"/>
          <w:sz w:val="24"/>
        </w:rPr>
        <w:t xml:space="preserve"> (2013) ATPR ¶42-447 at 43,463 [23]; </w:t>
      </w:r>
      <w:r w:rsidRPr="00256C02">
        <w:rPr>
          <w:rFonts w:ascii="Times New Roman" w:hAnsi="Times New Roman"/>
          <w:i/>
          <w:sz w:val="24"/>
        </w:rPr>
        <w:t xml:space="preserve">Paciocco </w:t>
      </w:r>
      <w:r w:rsidRPr="00256C02">
        <w:rPr>
          <w:rFonts w:ascii="Times New Roman" w:hAnsi="Times New Roman"/>
          <w:sz w:val="24"/>
        </w:rPr>
        <w:t>(2015) 236 FCR 199 at 275 [298], 276 [304].</w:t>
      </w:r>
    </w:p>
  </w:footnote>
  <w:footnote w:id="93">
    <w:p w14:paraId="06BD804A"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40 [93].</w:t>
      </w:r>
    </w:p>
  </w:footnote>
  <w:footnote w:id="94">
    <w:p w14:paraId="2EEF5B72"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See </w:t>
      </w:r>
      <w:r w:rsidRPr="00256C02">
        <w:rPr>
          <w:rFonts w:ascii="Times New Roman" w:hAnsi="Times New Roman"/>
          <w:i/>
          <w:sz w:val="24"/>
        </w:rPr>
        <w:t>National Consumer Credit Protection Act 2009</w:t>
      </w:r>
      <w:r w:rsidRPr="00256C02">
        <w:rPr>
          <w:rFonts w:ascii="Times New Roman" w:hAnsi="Times New Roman"/>
          <w:sz w:val="24"/>
        </w:rPr>
        <w:t xml:space="preserve"> (Cth), Sch 1, s 5(1)(a) and (b).</w:t>
      </w:r>
    </w:p>
  </w:footnote>
  <w:footnote w:id="95">
    <w:p w14:paraId="2F93DF9C"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Deed, </w:t>
      </w:r>
      <w:r w:rsidRPr="00256C02">
        <w:rPr>
          <w:rFonts w:ascii="Times New Roman" w:hAnsi="Times New Roman"/>
          <w:sz w:val="24"/>
        </w:rPr>
        <w:t>cll 1-4.</w:t>
      </w:r>
    </w:p>
  </w:footnote>
  <w:footnote w:id="96">
    <w:p w14:paraId="56F62A2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Deed, </w:t>
      </w:r>
      <w:r w:rsidRPr="00256C02">
        <w:rPr>
          <w:rFonts w:ascii="Times New Roman" w:hAnsi="Times New Roman"/>
          <w:sz w:val="24"/>
        </w:rPr>
        <w:t>cll 5-8.</w:t>
      </w:r>
    </w:p>
  </w:footnote>
  <w:footnote w:id="97">
    <w:p w14:paraId="3CBCFDA1"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cf </w:t>
      </w:r>
      <w:r w:rsidRPr="00256C02">
        <w:rPr>
          <w:rFonts w:ascii="Times New Roman" w:hAnsi="Times New Roman"/>
          <w:i/>
          <w:sz w:val="24"/>
        </w:rPr>
        <w:t>National Credit Code</w:t>
      </w:r>
      <w:r w:rsidRPr="00256C02">
        <w:rPr>
          <w:rFonts w:ascii="Times New Roman" w:hAnsi="Times New Roman"/>
          <w:sz w:val="24"/>
        </w:rPr>
        <w:t>, s 5(1)(b)(</w:t>
      </w:r>
      <w:r w:rsidRPr="00256C02">
        <w:rPr>
          <w:rFonts w:ascii="Times New Roman" w:hAnsi="Times New Roman"/>
          <w:sz w:val="24"/>
        </w:rPr>
        <w:t>i).</w:t>
      </w:r>
    </w:p>
  </w:footnote>
  <w:footnote w:id="98">
    <w:p w14:paraId="395AD7F0"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cf </w:t>
      </w:r>
      <w:r w:rsidRPr="00256C02">
        <w:rPr>
          <w:rFonts w:ascii="Times New Roman" w:hAnsi="Times New Roman"/>
          <w:i/>
          <w:sz w:val="24"/>
        </w:rPr>
        <w:t>National Credit Code</w:t>
      </w:r>
      <w:r w:rsidRPr="00256C02">
        <w:rPr>
          <w:rFonts w:ascii="Times New Roman" w:hAnsi="Times New Roman"/>
          <w:sz w:val="24"/>
        </w:rPr>
        <w:t>, s 5(1)(b)(ii).</w:t>
      </w:r>
    </w:p>
  </w:footnote>
  <w:footnote w:id="99">
    <w:p w14:paraId="6D1AF2D8"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cf </w:t>
      </w:r>
      <w:r w:rsidRPr="00256C02">
        <w:rPr>
          <w:rFonts w:ascii="Times New Roman" w:hAnsi="Times New Roman"/>
          <w:i/>
          <w:sz w:val="24"/>
        </w:rPr>
        <w:t>National Credit Code</w:t>
      </w:r>
      <w:r w:rsidRPr="00256C02">
        <w:rPr>
          <w:rFonts w:ascii="Times New Roman" w:hAnsi="Times New Roman"/>
          <w:sz w:val="24"/>
        </w:rPr>
        <w:t>, s 5(1)(b)(iii).</w:t>
      </w:r>
    </w:p>
  </w:footnote>
  <w:footnote w:id="100">
    <w:p w14:paraId="3DE32E72"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62 [157], citing</w:t>
      </w:r>
      <w:r w:rsidRPr="00256C02">
        <w:rPr>
          <w:rFonts w:ascii="Times New Roman" w:hAnsi="Times New Roman"/>
          <w:i/>
          <w:sz w:val="24"/>
        </w:rPr>
        <w:t xml:space="preserve"> Bridgewater v Leahy</w:t>
      </w:r>
      <w:r w:rsidRPr="00256C02">
        <w:rPr>
          <w:rFonts w:ascii="Times New Roman" w:hAnsi="Times New Roman"/>
          <w:sz w:val="24"/>
        </w:rPr>
        <w:t xml:space="preserve"> (1998) 194 CLR 457 at 491 [118], quoting </w:t>
      </w:r>
      <w:r w:rsidRPr="00256C02">
        <w:rPr>
          <w:rFonts w:ascii="Times New Roman" w:hAnsi="Times New Roman"/>
          <w:i/>
          <w:sz w:val="24"/>
        </w:rPr>
        <w:t>Huguenin v Baseley</w:t>
      </w:r>
      <w:r w:rsidRPr="00256C02">
        <w:rPr>
          <w:rFonts w:ascii="Times New Roman" w:hAnsi="Times New Roman"/>
          <w:sz w:val="24"/>
        </w:rPr>
        <w:t xml:space="preserve"> (1807) 14 Ves Jun 273 at 299-300 [33 ER 526 at 536].</w:t>
      </w:r>
    </w:p>
  </w:footnote>
  <w:footnote w:id="101">
    <w:p w14:paraId="4F79AD7F"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Australian Competition and Consumer Commission v Cornerstone Investment Aust Pty Ltd (In </w:t>
      </w:r>
      <w:r w:rsidRPr="00256C02">
        <w:rPr>
          <w:rFonts w:ascii="Times New Roman" w:hAnsi="Times New Roman"/>
          <w:i/>
          <w:sz w:val="24"/>
        </w:rPr>
        <w:t>liq) [No 4]</w:t>
      </w:r>
      <w:r w:rsidRPr="00256C02">
        <w:rPr>
          <w:rFonts w:ascii="Times New Roman" w:hAnsi="Times New Roman"/>
          <w:sz w:val="24"/>
        </w:rPr>
        <w:t xml:space="preserve"> [2018] FCA 1408 at [729].</w:t>
      </w:r>
    </w:p>
  </w:footnote>
  <w:footnote w:id="102">
    <w:p w14:paraId="0A01B210" w14:textId="77777777" w:rsidR="006037F3" w:rsidRPr="00256C02" w:rsidRDefault="006037F3" w:rsidP="00256C02">
      <w:pPr>
        <w:pStyle w:val="FootnoteText"/>
        <w:spacing w:line="280" w:lineRule="exact"/>
        <w:ind w:right="0"/>
        <w:jc w:val="both"/>
        <w:rPr>
          <w:rFonts w:ascii="Times New Roman" w:hAnsi="Times New Roman"/>
          <w:i/>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Australia, House of Representatives, </w:t>
      </w:r>
      <w:r w:rsidRPr="00256C02">
        <w:rPr>
          <w:rFonts w:ascii="Times New Roman" w:hAnsi="Times New Roman"/>
          <w:i/>
          <w:sz w:val="24"/>
        </w:rPr>
        <w:t>Competition and Consumer Legislation Amendment Bill 2011</w:t>
      </w:r>
      <w:r w:rsidRPr="00256C02">
        <w:rPr>
          <w:rFonts w:ascii="Times New Roman" w:hAnsi="Times New Roman"/>
          <w:sz w:val="24"/>
        </w:rPr>
        <w:t xml:space="preserve">, Explanatory Memorandum at 21 [2.21], quoted in </w:t>
      </w:r>
      <w:r w:rsidRPr="00256C02">
        <w:rPr>
          <w:rFonts w:ascii="Times New Roman" w:hAnsi="Times New Roman"/>
          <w:i/>
          <w:sz w:val="24"/>
        </w:rPr>
        <w:t>Kobelt</w:t>
      </w:r>
      <w:r w:rsidRPr="00256C02">
        <w:rPr>
          <w:rFonts w:ascii="Times New Roman" w:hAnsi="Times New Roman"/>
          <w:sz w:val="24"/>
        </w:rPr>
        <w:t xml:space="preserve"> (2019) 267 CLR 1 at 78 [232].</w:t>
      </w:r>
    </w:p>
  </w:footnote>
  <w:footnote w:id="103">
    <w:p w14:paraId="7E18C9E1"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 xml:space="preserve">Kobelt </w:t>
      </w:r>
      <w:r w:rsidRPr="00256C02">
        <w:rPr>
          <w:rFonts w:ascii="Times New Roman" w:hAnsi="Times New Roman"/>
          <w:sz w:val="24"/>
        </w:rPr>
        <w:t xml:space="preserve">(2019) 267 CLR 1 at 78 [234], citing </w:t>
      </w:r>
      <w:r w:rsidRPr="00256C02">
        <w:rPr>
          <w:rFonts w:ascii="Times New Roman" w:hAnsi="Times New Roman"/>
          <w:i/>
          <w:sz w:val="24"/>
        </w:rPr>
        <w:t xml:space="preserve">Lux Distributors </w:t>
      </w:r>
      <w:r w:rsidRPr="00256C02">
        <w:rPr>
          <w:rFonts w:ascii="Times New Roman" w:hAnsi="Times New Roman"/>
          <w:sz w:val="24"/>
        </w:rPr>
        <w:t>(2013) ATPR ¶42</w:t>
      </w:r>
      <w:r>
        <w:rPr>
          <w:rFonts w:ascii="Times New Roman" w:hAnsi="Times New Roman"/>
          <w:sz w:val="24"/>
        </w:rPr>
        <w:noBreakHyphen/>
      </w:r>
      <w:r w:rsidRPr="00256C02">
        <w:rPr>
          <w:rFonts w:ascii="Times New Roman" w:hAnsi="Times New Roman"/>
          <w:sz w:val="24"/>
        </w:rPr>
        <w:t xml:space="preserve">447 at 43,463 [23], cited in </w:t>
      </w:r>
      <w:r w:rsidRPr="00256C02">
        <w:rPr>
          <w:rFonts w:ascii="Times New Roman" w:hAnsi="Times New Roman"/>
          <w:i/>
          <w:sz w:val="24"/>
        </w:rPr>
        <w:t xml:space="preserve">Paciocco </w:t>
      </w:r>
      <w:r w:rsidRPr="00256C02">
        <w:rPr>
          <w:rFonts w:ascii="Times New Roman" w:hAnsi="Times New Roman"/>
          <w:sz w:val="24"/>
        </w:rPr>
        <w:t>(2015) 236 FCR 199 at 275 [298]; see also 31 [59], 40 [92], 45 [107], 46 [111], 85 [259], 88 [268].</w:t>
      </w:r>
    </w:p>
  </w:footnote>
  <w:footnote w:id="104">
    <w:p w14:paraId="1805B42D"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56 [143], citing </w:t>
      </w:r>
      <w:r w:rsidRPr="00256C02">
        <w:rPr>
          <w:rFonts w:ascii="Times New Roman" w:hAnsi="Times New Roman"/>
          <w:i/>
          <w:sz w:val="24"/>
        </w:rPr>
        <w:t xml:space="preserve">Unique International College </w:t>
      </w:r>
      <w:r w:rsidRPr="00256C02">
        <w:rPr>
          <w:rFonts w:ascii="Times New Roman" w:hAnsi="Times New Roman"/>
          <w:sz w:val="24"/>
        </w:rPr>
        <w:t>(2018) 266 FCR 631 at 654 [104].</w:t>
      </w:r>
    </w:p>
  </w:footnote>
  <w:footnote w:id="105">
    <w:p w14:paraId="2DDDEA81"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12CC(1)(b).</w:t>
      </w:r>
    </w:p>
  </w:footnote>
  <w:footnote w:id="106">
    <w:p w14:paraId="357A2DA2"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12CC(1)(e).</w:t>
      </w:r>
    </w:p>
  </w:footnote>
  <w:footnote w:id="107">
    <w:p w14:paraId="2B35605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cf </w:t>
      </w:r>
      <w:r w:rsidRPr="00256C02" w:rsidDel="006E29CE">
        <w:rPr>
          <w:rFonts w:ascii="Times New Roman" w:hAnsi="Times New Roman"/>
          <w:i/>
          <w:sz w:val="24"/>
        </w:rPr>
        <w:t xml:space="preserve">Australian </w:t>
      </w:r>
      <w:r w:rsidRPr="00256C02">
        <w:rPr>
          <w:rFonts w:ascii="Times New Roman" w:hAnsi="Times New Roman"/>
          <w:i/>
          <w:sz w:val="24"/>
        </w:rPr>
        <w:t xml:space="preserve">Securities and Investments Commission v National Exchange Pty Ltd </w:t>
      </w:r>
      <w:r w:rsidRPr="00256C02">
        <w:rPr>
          <w:rFonts w:ascii="Times New Roman" w:hAnsi="Times New Roman"/>
          <w:sz w:val="24"/>
        </w:rPr>
        <w:t>(2005) 148 FCR 132 at 142-143 [43].</w:t>
      </w:r>
    </w:p>
  </w:footnote>
  <w:footnote w:id="108">
    <w:p w14:paraId="39BEB8AF"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12CC(1)(d).</w:t>
      </w:r>
    </w:p>
  </w:footnote>
  <w:footnote w:id="109">
    <w:p w14:paraId="64BFF6CD"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12CC(1)(l).</w:t>
      </w:r>
    </w:p>
  </w:footnote>
  <w:footnote w:id="110">
    <w:p w14:paraId="336BFF86"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ss 12CC(1)(a), 12CC(1)(c), 12CC(1)(e), 12CC(1)(</w:t>
      </w:r>
      <w:r w:rsidRPr="00256C02">
        <w:rPr>
          <w:rFonts w:ascii="Times New Roman" w:hAnsi="Times New Roman"/>
          <w:sz w:val="24"/>
        </w:rPr>
        <w:t>i), 12CC(1)(j)(i).</w:t>
      </w:r>
    </w:p>
  </w:footnote>
  <w:footnote w:id="111">
    <w:p w14:paraId="5136847B"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ss 12CC(1)(c), 12CC(1)(</w:t>
      </w:r>
      <w:r w:rsidRPr="00256C02">
        <w:rPr>
          <w:rFonts w:ascii="Times New Roman" w:hAnsi="Times New Roman"/>
          <w:sz w:val="24"/>
        </w:rPr>
        <w:t>i),</w:t>
      </w:r>
      <w:r w:rsidRPr="00256C02" w:rsidDel="0045173C">
        <w:rPr>
          <w:rFonts w:ascii="Times New Roman" w:hAnsi="Times New Roman"/>
          <w:sz w:val="24"/>
        </w:rPr>
        <w:t xml:space="preserve"> </w:t>
      </w:r>
      <w:r w:rsidRPr="00256C02">
        <w:rPr>
          <w:rFonts w:ascii="Times New Roman" w:hAnsi="Times New Roman"/>
          <w:sz w:val="24"/>
        </w:rPr>
        <w:t>12CC(1)(j)(i).</w:t>
      </w:r>
    </w:p>
  </w:footnote>
  <w:footnote w:id="112">
    <w:p w14:paraId="3385437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Kobelt</w:t>
      </w:r>
      <w:r w:rsidRPr="00256C02">
        <w:rPr>
          <w:rFonts w:ascii="Times New Roman" w:hAnsi="Times New Roman"/>
          <w:sz w:val="24"/>
        </w:rPr>
        <w:t xml:space="preserve"> (2019) 267 CLR 1 at 40 [92]; see also 59 [153], 78 [234]. See also </w:t>
      </w:r>
      <w:r w:rsidRPr="00256C02">
        <w:rPr>
          <w:rFonts w:ascii="Times New Roman" w:hAnsi="Times New Roman"/>
          <w:i/>
          <w:sz w:val="24"/>
        </w:rPr>
        <w:t>Lux</w:t>
      </w:r>
      <w:r>
        <w:rPr>
          <w:rFonts w:ascii="Times New Roman" w:hAnsi="Times New Roman"/>
          <w:i/>
          <w:sz w:val="24"/>
        </w:rPr>
        <w:t> </w:t>
      </w:r>
      <w:r w:rsidRPr="00256C02">
        <w:rPr>
          <w:rFonts w:ascii="Times New Roman" w:hAnsi="Times New Roman"/>
          <w:i/>
          <w:sz w:val="24"/>
        </w:rPr>
        <w:t>Distributors</w:t>
      </w:r>
      <w:r w:rsidRPr="00256C02">
        <w:rPr>
          <w:rFonts w:ascii="Times New Roman" w:hAnsi="Times New Roman"/>
          <w:sz w:val="24"/>
        </w:rPr>
        <w:t xml:space="preserve"> (2013) ATPR ¶42-447 at 43,463 [23]; </w:t>
      </w:r>
      <w:r w:rsidRPr="00256C02">
        <w:rPr>
          <w:rFonts w:ascii="Times New Roman" w:hAnsi="Times New Roman"/>
          <w:i/>
          <w:sz w:val="24"/>
        </w:rPr>
        <w:t xml:space="preserve">Paciocco </w:t>
      </w:r>
      <w:r w:rsidRPr="00256C02">
        <w:rPr>
          <w:rFonts w:ascii="Times New Roman" w:hAnsi="Times New Roman"/>
          <w:sz w:val="24"/>
        </w:rPr>
        <w:t>(2015) 236 FCR 199 at 275 [298], 276 [304].</w:t>
      </w:r>
    </w:p>
  </w:footnote>
  <w:footnote w:id="113">
    <w:p w14:paraId="1A7B0654"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12CC(1)(e).</w:t>
      </w:r>
    </w:p>
  </w:footnote>
  <w:footnote w:id="114">
    <w:p w14:paraId="7CAE77EA"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12CC(1)(d) and (l).</w:t>
      </w:r>
    </w:p>
  </w:footnote>
  <w:footnote w:id="115">
    <w:p w14:paraId="4C3B3D13"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12CC(1)(j)(ii).</w:t>
      </w:r>
    </w:p>
  </w:footnote>
  <w:footnote w:id="116">
    <w:p w14:paraId="17A2DF7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12CC(1)(e).</w:t>
      </w:r>
    </w:p>
  </w:footnote>
  <w:footnote w:id="117">
    <w:p w14:paraId="5E64933A"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xml:space="preserve">, s 12CC(1)(c). See </w:t>
      </w:r>
      <w:r w:rsidRPr="00256C02">
        <w:rPr>
          <w:rFonts w:ascii="Times New Roman" w:hAnsi="Times New Roman"/>
          <w:i/>
          <w:sz w:val="24"/>
        </w:rPr>
        <w:t xml:space="preserve">Thorne </w:t>
      </w:r>
      <w:r w:rsidRPr="00256C02">
        <w:rPr>
          <w:rFonts w:ascii="Times New Roman" w:hAnsi="Times New Roman"/>
          <w:sz w:val="24"/>
        </w:rPr>
        <w:t xml:space="preserve">(2017) 263 CLR 85 at 128 [121], quoting </w:t>
      </w:r>
      <w:r w:rsidRPr="00256C02">
        <w:rPr>
          <w:rFonts w:ascii="Times New Roman" w:hAnsi="Times New Roman"/>
          <w:i/>
          <w:sz w:val="24"/>
        </w:rPr>
        <w:t xml:space="preserve">Bridgewater </w:t>
      </w:r>
      <w:r w:rsidRPr="00256C02">
        <w:rPr>
          <w:rFonts w:ascii="Times New Roman" w:hAnsi="Times New Roman"/>
          <w:sz w:val="24"/>
        </w:rPr>
        <w:t xml:space="preserve">(1998) 194 CLR 457 at 493 [123]. See also </w:t>
      </w:r>
      <w:r w:rsidRPr="00256C02">
        <w:rPr>
          <w:rFonts w:ascii="Times New Roman" w:hAnsi="Times New Roman"/>
          <w:i/>
          <w:sz w:val="24"/>
        </w:rPr>
        <w:t>Commercial Bank of Australia Ltd v Amadio</w:t>
      </w:r>
      <w:r w:rsidRPr="00256C02">
        <w:rPr>
          <w:rFonts w:ascii="Times New Roman" w:hAnsi="Times New Roman"/>
          <w:sz w:val="24"/>
        </w:rPr>
        <w:t xml:space="preserve"> (1983) 151 CLR 447 at 466.</w:t>
      </w:r>
    </w:p>
  </w:footnote>
  <w:footnote w:id="118">
    <w:p w14:paraId="53710996"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See </w:t>
      </w:r>
      <w:r w:rsidRPr="00256C02">
        <w:rPr>
          <w:rFonts w:ascii="Times New Roman" w:hAnsi="Times New Roman"/>
          <w:i/>
          <w:sz w:val="24"/>
        </w:rPr>
        <w:t xml:space="preserve">Blomley v Ryan </w:t>
      </w:r>
      <w:r w:rsidRPr="00256C02">
        <w:rPr>
          <w:rFonts w:ascii="Times New Roman" w:hAnsi="Times New Roman"/>
          <w:sz w:val="24"/>
        </w:rPr>
        <w:t xml:space="preserve">(1956) 99 CLR 362 at 405; </w:t>
      </w:r>
      <w:r w:rsidRPr="00256C02">
        <w:rPr>
          <w:rFonts w:ascii="Times New Roman" w:hAnsi="Times New Roman"/>
          <w:i/>
          <w:sz w:val="24"/>
        </w:rPr>
        <w:t>Amadio</w:t>
      </w:r>
      <w:r w:rsidRPr="00256C02">
        <w:rPr>
          <w:rFonts w:ascii="Times New Roman" w:hAnsi="Times New Roman"/>
          <w:sz w:val="24"/>
        </w:rPr>
        <w:t xml:space="preserve"> (1983) 151 CLR 447 at 459, 461-462, 474-475; </w:t>
      </w:r>
      <w:r w:rsidRPr="00256C02">
        <w:rPr>
          <w:rFonts w:ascii="Times New Roman" w:hAnsi="Times New Roman"/>
          <w:i/>
          <w:sz w:val="24"/>
        </w:rPr>
        <w:t>Louth v Diprose</w:t>
      </w:r>
      <w:r w:rsidRPr="00256C02">
        <w:rPr>
          <w:rFonts w:ascii="Times New Roman" w:hAnsi="Times New Roman"/>
          <w:sz w:val="24"/>
        </w:rPr>
        <w:t xml:space="preserve"> (1992) 175 CLR 621 at 628-629, 637-638, 650; </w:t>
      </w:r>
      <w:r w:rsidRPr="00256C02">
        <w:rPr>
          <w:rFonts w:ascii="Times New Roman" w:hAnsi="Times New Roman"/>
          <w:i/>
          <w:sz w:val="24"/>
        </w:rPr>
        <w:t>Kakavas</w:t>
      </w:r>
      <w:r w:rsidRPr="00256C02">
        <w:rPr>
          <w:rFonts w:ascii="Times New Roman" w:hAnsi="Times New Roman"/>
          <w:sz w:val="24"/>
        </w:rPr>
        <w:t xml:space="preserve"> (2013) 250 CLR 392 at 398 [6], 424-425 [117]-[118]; </w:t>
      </w:r>
      <w:r w:rsidRPr="00256C02">
        <w:rPr>
          <w:rFonts w:ascii="Times New Roman" w:hAnsi="Times New Roman"/>
          <w:i/>
          <w:sz w:val="24"/>
        </w:rPr>
        <w:t xml:space="preserve">Thorne </w:t>
      </w:r>
      <w:r w:rsidRPr="00256C02">
        <w:rPr>
          <w:rFonts w:ascii="Times New Roman" w:hAnsi="Times New Roman"/>
          <w:sz w:val="24"/>
        </w:rPr>
        <w:t>(2017) 263 CLR 85 at 103 [38], 115-116 [74], 122 [94], 125</w:t>
      </w:r>
      <w:r w:rsidRPr="00256C02">
        <w:rPr>
          <w:rFonts w:ascii="Times New Roman" w:hAnsi="Times New Roman"/>
          <w:sz w:val="24"/>
        </w:rPr>
        <w:noBreakHyphen/>
        <w:t>126 [109]-[113].</w:t>
      </w:r>
    </w:p>
  </w:footnote>
  <w:footnote w:id="119">
    <w:p w14:paraId="3289A073"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12CC(1)(a).</w:t>
      </w:r>
    </w:p>
  </w:footnote>
  <w:footnote w:id="120">
    <w:p w14:paraId="64DD3743"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xml:space="preserve">, s 12CC(1)(d) and (l). See </w:t>
      </w:r>
      <w:r w:rsidRPr="00256C02">
        <w:rPr>
          <w:rFonts w:ascii="Times New Roman" w:hAnsi="Times New Roman"/>
          <w:i/>
          <w:sz w:val="24"/>
        </w:rPr>
        <w:t xml:space="preserve">Blomley </w:t>
      </w:r>
      <w:r w:rsidRPr="00256C02">
        <w:rPr>
          <w:rFonts w:ascii="Times New Roman" w:hAnsi="Times New Roman"/>
          <w:sz w:val="24"/>
        </w:rPr>
        <w:t>(1956) 99 CLR 362 at 405.</w:t>
      </w:r>
    </w:p>
  </w:footnote>
  <w:footnote w:id="121">
    <w:p w14:paraId="159DFD3A"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cf </w:t>
      </w:r>
      <w:r w:rsidRPr="00256C02">
        <w:rPr>
          <w:rFonts w:ascii="Times New Roman" w:hAnsi="Times New Roman"/>
          <w:i/>
          <w:sz w:val="24"/>
        </w:rPr>
        <w:t>Amadio</w:t>
      </w:r>
      <w:r w:rsidRPr="00256C02">
        <w:rPr>
          <w:rFonts w:ascii="Times New Roman" w:hAnsi="Times New Roman"/>
          <w:sz w:val="24"/>
        </w:rPr>
        <w:t xml:space="preserve"> (1983) 151 CLR 447 at 466, 468.</w:t>
      </w:r>
    </w:p>
  </w:footnote>
  <w:footnote w:id="122">
    <w:p w14:paraId="69086585"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12CC(1)(d) and (l).</w:t>
      </w:r>
    </w:p>
  </w:footnote>
  <w:footnote w:id="123">
    <w:p w14:paraId="022B9C27"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ss 12CC(1)(a), 12CC(1)(</w:t>
      </w:r>
      <w:r w:rsidRPr="00256C02">
        <w:rPr>
          <w:rFonts w:ascii="Times New Roman" w:hAnsi="Times New Roman"/>
          <w:sz w:val="24"/>
        </w:rPr>
        <w:t>i), 12CC(1)(j)(i).</w:t>
      </w:r>
    </w:p>
  </w:footnote>
  <w:footnote w:id="124">
    <w:p w14:paraId="5E1228C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12CC(1)(d), (</w:t>
      </w:r>
      <w:r w:rsidRPr="00256C02">
        <w:rPr>
          <w:rFonts w:ascii="Times New Roman" w:hAnsi="Times New Roman"/>
          <w:sz w:val="24"/>
        </w:rPr>
        <w:t>i) and (l).</w:t>
      </w:r>
    </w:p>
  </w:footnote>
  <w:footnote w:id="125">
    <w:p w14:paraId="79B46038"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t xml:space="preserve">See </w:t>
      </w:r>
      <w:r w:rsidRPr="00256C02">
        <w:rPr>
          <w:rFonts w:ascii="Times New Roman" w:hAnsi="Times New Roman"/>
          <w:i/>
          <w:sz w:val="24"/>
        </w:rPr>
        <w:t>Thorne</w:t>
      </w:r>
      <w:r w:rsidRPr="00256C02">
        <w:rPr>
          <w:rFonts w:ascii="Times New Roman" w:hAnsi="Times New Roman"/>
          <w:sz w:val="24"/>
        </w:rPr>
        <w:t xml:space="preserve"> (2017) 263 CLR 85 at 125-126 [109]-[112].</w:t>
      </w:r>
    </w:p>
  </w:footnote>
  <w:footnote w:id="126">
    <w:p w14:paraId="17DC3F14"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 xml:space="preserve">Blomley </w:t>
      </w:r>
      <w:r w:rsidRPr="00256C02">
        <w:rPr>
          <w:rFonts w:ascii="Times New Roman" w:hAnsi="Times New Roman"/>
          <w:sz w:val="24"/>
        </w:rPr>
        <w:t>(1956) 99 CLR 362 at 405.</w:t>
      </w:r>
    </w:p>
  </w:footnote>
  <w:footnote w:id="127">
    <w:p w14:paraId="776CAA1E" w14:textId="77777777" w:rsidR="006037F3" w:rsidRPr="00256C02" w:rsidRDefault="006037F3" w:rsidP="00256C02">
      <w:pPr>
        <w:pStyle w:val="FootnoteText"/>
        <w:spacing w:line="280" w:lineRule="exact"/>
        <w:ind w:right="0"/>
        <w:jc w:val="both"/>
        <w:rPr>
          <w:rFonts w:ascii="Times New Roman" w:hAnsi="Times New Roman"/>
          <w:sz w:val="24"/>
        </w:rPr>
      </w:pPr>
      <w:r w:rsidRPr="00256C02">
        <w:rPr>
          <w:rStyle w:val="FootnoteReference"/>
          <w:rFonts w:ascii="Times New Roman" w:hAnsi="Times New Roman"/>
          <w:sz w:val="22"/>
          <w:vertAlign w:val="baseline"/>
        </w:rPr>
        <w:footnoteRef/>
      </w:r>
      <w:r w:rsidRPr="00256C02">
        <w:rPr>
          <w:rFonts w:ascii="Times New Roman" w:hAnsi="Times New Roman"/>
          <w:sz w:val="24"/>
        </w:rPr>
        <w:t xml:space="preserve"> </w:t>
      </w:r>
      <w:r w:rsidRPr="00256C02">
        <w:rPr>
          <w:rFonts w:ascii="Times New Roman" w:hAnsi="Times New Roman"/>
          <w:sz w:val="24"/>
        </w:rPr>
        <w:tab/>
      </w:r>
      <w:r w:rsidRPr="00256C02">
        <w:rPr>
          <w:rFonts w:ascii="Times New Roman" w:hAnsi="Times New Roman"/>
          <w:i/>
          <w:sz w:val="24"/>
        </w:rPr>
        <w:t>ASIC Act</w:t>
      </w:r>
      <w:r w:rsidRPr="00256C02">
        <w:rPr>
          <w:rFonts w:ascii="Times New Roman" w:hAnsi="Times New Roman"/>
          <w:sz w:val="24"/>
        </w:rPr>
        <w:t>, s 12CC(1)(c).</w:t>
      </w:r>
    </w:p>
  </w:footnote>
  <w:footnote w:id="128">
    <w:p w14:paraId="3DD11466"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The respondents, as mortgagees, had already sold the other two properties previously owned by the appellant.</w:t>
      </w:r>
    </w:p>
  </w:footnote>
  <w:footnote w:id="129">
    <w:p w14:paraId="190862E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[16]-[17] per Robson J.</w:t>
      </w:r>
    </w:p>
  </w:footnote>
  <w:footnote w:id="130">
    <w:p w14:paraId="71C7D7B7" w14:textId="77777777" w:rsidR="00CD32FB" w:rsidRPr="00650C25" w:rsidRDefault="00CD32FB" w:rsidP="00650C25">
      <w:pPr>
        <w:pStyle w:val="FootnoteText"/>
        <w:spacing w:line="280" w:lineRule="exact"/>
        <w:ind w:right="0"/>
        <w:jc w:val="both"/>
        <w:rPr>
          <w:rFonts w:ascii="Times New Roman" w:hAnsi="Times New Roman"/>
          <w:b/>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[315]</w:t>
      </w:r>
      <w:r w:rsidRPr="00650C25">
        <w:rPr>
          <w:rFonts w:ascii="Times New Roman" w:hAnsi="Times New Roman"/>
          <w:sz w:val="24"/>
        </w:rPr>
        <w:noBreakHyphen/>
        <w:t>[316] per Robson J.</w:t>
      </w:r>
    </w:p>
  </w:footnote>
  <w:footnote w:id="131">
    <w:p w14:paraId="1AAB7B79"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[132] per Beach, Kyrou and Hargrave JJA.</w:t>
      </w:r>
    </w:p>
  </w:footnote>
  <w:footnote w:id="132">
    <w:p w14:paraId="3FAC8B54"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[132]-[133] per Beach, Kyrou and Hargrave JJA.</w:t>
      </w:r>
    </w:p>
  </w:footnote>
  <w:footnote w:id="133">
    <w:p w14:paraId="5969DC19" w14:textId="77777777" w:rsidR="00CD32FB" w:rsidRPr="00650C25" w:rsidRDefault="00CD32FB" w:rsidP="00650C25">
      <w:pPr>
        <w:pStyle w:val="FootnoteText"/>
        <w:spacing w:line="280" w:lineRule="exact"/>
        <w:ind w:right="0"/>
        <w:jc w:val="both"/>
        <w:rPr>
          <w:rFonts w:ascii="Times New Roman" w:hAnsi="Times New Roman"/>
          <w:b/>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[293] per Robson J.</w:t>
      </w:r>
    </w:p>
  </w:footnote>
  <w:footnote w:id="134">
    <w:p w14:paraId="4D2D88F7"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[313] per Robson J.</w:t>
      </w:r>
    </w:p>
  </w:footnote>
  <w:footnote w:id="135">
    <w:p w14:paraId="66EC5C6C"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[163] per Robson J.</w:t>
      </w:r>
    </w:p>
  </w:footnote>
  <w:footnote w:id="136">
    <w:p w14:paraId="14A27C45"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[178] per Robson J.</w:t>
      </w:r>
    </w:p>
  </w:footnote>
  <w:footnote w:id="137">
    <w:p w14:paraId="38861F29"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[180] per Robson J.</w:t>
      </w:r>
    </w:p>
  </w:footnote>
  <w:footnote w:id="138">
    <w:p w14:paraId="0C66354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[271] per Robson J.</w:t>
      </w:r>
    </w:p>
  </w:footnote>
  <w:footnote w:id="139">
    <w:p w14:paraId="48177070"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[265] per Robson J.</w:t>
      </w:r>
    </w:p>
  </w:footnote>
  <w:footnote w:id="140">
    <w:p w14:paraId="46414BA2"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[265] per Robson J.</w:t>
      </w:r>
    </w:p>
  </w:footnote>
  <w:footnote w:id="141">
    <w:p w14:paraId="51FF629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[141] per Robson J.</w:t>
      </w:r>
    </w:p>
  </w:footnote>
  <w:footnote w:id="142">
    <w:p w14:paraId="4D76F5EE"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[289] per Robson J.</w:t>
      </w:r>
    </w:p>
  </w:footnote>
  <w:footnote w:id="143">
    <w:p w14:paraId="67C57D95"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[270] per Robson J.</w:t>
      </w:r>
    </w:p>
  </w:footnote>
  <w:footnote w:id="144">
    <w:p w14:paraId="1E6F99F8"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[182] per Robson J.</w:t>
      </w:r>
    </w:p>
  </w:footnote>
  <w:footnote w:id="145">
    <w:p w14:paraId="3A727498"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Paterson, "Knowledge and neglect in asset-based lending: When is it unconscionable or unjust to lend to a borrower who cannot repay?" (2009) 20 </w:t>
      </w:r>
      <w:r w:rsidRPr="00650C25">
        <w:rPr>
          <w:rFonts w:ascii="Times New Roman" w:hAnsi="Times New Roman"/>
          <w:i/>
          <w:sz w:val="24"/>
        </w:rPr>
        <w:t>Journal of Banking and Finance Law and Practice</w:t>
      </w:r>
      <w:r w:rsidRPr="00650C25">
        <w:rPr>
          <w:rFonts w:ascii="Times New Roman" w:hAnsi="Times New Roman"/>
          <w:sz w:val="24"/>
        </w:rPr>
        <w:t xml:space="preserve"> 18 at 18; MacLeod, Patterson and Aiken, "Asset-Based Lending Credit Facilities: The Borrower's Perspective" [2017] (February) </w:t>
      </w:r>
      <w:r w:rsidRPr="00650C25">
        <w:rPr>
          <w:rFonts w:ascii="Times New Roman" w:hAnsi="Times New Roman"/>
          <w:i/>
          <w:sz w:val="24"/>
        </w:rPr>
        <w:t>Business Law Today</w:t>
      </w:r>
      <w:r w:rsidRPr="00650C25">
        <w:rPr>
          <w:rFonts w:ascii="Times New Roman" w:hAnsi="Times New Roman"/>
          <w:sz w:val="24"/>
        </w:rPr>
        <w:t xml:space="preserve"> 1 at 1; </w:t>
      </w:r>
      <w:r w:rsidRPr="00650C25">
        <w:rPr>
          <w:rFonts w:ascii="Times New Roman" w:hAnsi="Times New Roman"/>
          <w:sz w:val="24"/>
        </w:rPr>
        <w:t xml:space="preserve">Rajapakse, "Unconscionable or unfair dealing in asset-based lending in Australia" (2014) 22 </w:t>
      </w:r>
      <w:r w:rsidRPr="00650C25">
        <w:rPr>
          <w:rFonts w:ascii="Times New Roman" w:hAnsi="Times New Roman"/>
          <w:i/>
          <w:sz w:val="24"/>
        </w:rPr>
        <w:t>Competition &amp; Consumer Law Journal</w:t>
      </w:r>
      <w:r w:rsidRPr="00650C25">
        <w:rPr>
          <w:rFonts w:ascii="Times New Roman" w:hAnsi="Times New Roman"/>
          <w:sz w:val="24"/>
        </w:rPr>
        <w:t xml:space="preserve"> 151 at 151-152. </w:t>
      </w:r>
    </w:p>
  </w:footnote>
  <w:footnote w:id="146">
    <w:p w14:paraId="53EFB938"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For example, while asset-based lending traditionally relied on "tangible" security such as inventory or real estate, the security relied on can also include intangible assets such as patents and contracts: </w:t>
      </w:r>
      <w:r w:rsidRPr="00650C25">
        <w:rPr>
          <w:rFonts w:ascii="Times New Roman" w:hAnsi="Times New Roman"/>
          <w:sz w:val="24"/>
        </w:rPr>
        <w:t xml:space="preserve">Gertzof, "The Changing Face of Asset-based Lending" (2000) 15(4) </w:t>
      </w:r>
      <w:r w:rsidRPr="00650C25">
        <w:rPr>
          <w:rFonts w:ascii="Times New Roman" w:hAnsi="Times New Roman"/>
          <w:i/>
          <w:sz w:val="24"/>
        </w:rPr>
        <w:t xml:space="preserve">Commercial Lending Review </w:t>
      </w:r>
      <w:r w:rsidRPr="00650C25">
        <w:rPr>
          <w:rFonts w:ascii="Times New Roman" w:hAnsi="Times New Roman"/>
          <w:sz w:val="24"/>
        </w:rPr>
        <w:t>52 at 53.</w:t>
      </w:r>
    </w:p>
  </w:footnote>
  <w:footnote w:id="147">
    <w:p w14:paraId="2EA1768E"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Whether this feature is commonly found in asset-based lending need not be considered.</w:t>
      </w:r>
    </w:p>
  </w:footnote>
  <w:footnote w:id="148">
    <w:p w14:paraId="034DFDEE"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[92] per Robson J; see also at [93]-[94].</w:t>
      </w:r>
    </w:p>
  </w:footnote>
  <w:footnote w:id="149">
    <w:p w14:paraId="62134CDB"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[308]</w:t>
      </w:r>
      <w:r w:rsidRPr="00650C25">
        <w:rPr>
          <w:rFonts w:ascii="Times New Roman" w:hAnsi="Times New Roman"/>
          <w:sz w:val="24"/>
        </w:rPr>
        <w:noBreakHyphen/>
        <w:t>[310] per Robson J; see also at [94]-[96].</w:t>
      </w:r>
    </w:p>
  </w:footnote>
  <w:footnote w:id="150">
    <w:p w14:paraId="19784CA6"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[283] per Robson J.</w:t>
      </w:r>
    </w:p>
  </w:footnote>
  <w:footnote w:id="151">
    <w:p w14:paraId="372133A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[313] per Robson J.</w:t>
      </w:r>
    </w:p>
  </w:footnote>
  <w:footnote w:id="152">
    <w:p w14:paraId="0FC8569B"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[18] per Beach, Kyrou and Hargrave JJA.</w:t>
      </w:r>
    </w:p>
  </w:footnote>
  <w:footnote w:id="153">
    <w:p w14:paraId="13AF3B39"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[217] per Robson J.</w:t>
      </w:r>
    </w:p>
  </w:footnote>
  <w:footnote w:id="154">
    <w:p w14:paraId="447FB50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[223] per Robson J.</w:t>
      </w:r>
    </w:p>
  </w:footnote>
  <w:footnote w:id="155">
    <w:p w14:paraId="7251882A"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[17] per Robson J. </w:t>
      </w:r>
    </w:p>
  </w:footnote>
  <w:footnote w:id="156">
    <w:p w14:paraId="3CE1A84C"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[17] per Robson J.</w:t>
      </w:r>
    </w:p>
  </w:footnote>
  <w:footnote w:id="157">
    <w:p w14:paraId="38023AF6"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[310] per Robson J.</w:t>
      </w:r>
    </w:p>
  </w:footnote>
  <w:footnote w:id="158">
    <w:p w14:paraId="489CB08E"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[299], [308] per Robson J.</w:t>
      </w:r>
    </w:p>
  </w:footnote>
  <w:footnote w:id="159">
    <w:p w14:paraId="3E2E1279"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[303] per Robson J.</w:t>
      </w:r>
    </w:p>
  </w:footnote>
  <w:footnote w:id="160">
    <w:p w14:paraId="08879276"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[305] per Robson J. </w:t>
      </w:r>
    </w:p>
  </w:footnote>
  <w:footnote w:id="161">
    <w:p w14:paraId="540A7EE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[165], [199] per Robson J.</w:t>
      </w:r>
    </w:p>
  </w:footnote>
  <w:footnote w:id="162">
    <w:p w14:paraId="31B41D92"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[290] per Robson J. </w:t>
      </w:r>
    </w:p>
  </w:footnote>
  <w:footnote w:id="163">
    <w:p w14:paraId="65DF2ADA"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[314] per Robson J.</w:t>
      </w:r>
    </w:p>
  </w:footnote>
  <w:footnote w:id="164">
    <w:p w14:paraId="3D7BCB9B"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[134] per Beach, Kyrou and Hargrave JJA.</w:t>
      </w:r>
    </w:p>
  </w:footnote>
  <w:footnote w:id="165">
    <w:p w14:paraId="513ECE0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Robinson Helicopter Co Inc v McDermott</w:t>
      </w:r>
      <w:r w:rsidRPr="00650C25">
        <w:rPr>
          <w:rFonts w:ascii="Times New Roman" w:hAnsi="Times New Roman"/>
          <w:sz w:val="24"/>
        </w:rPr>
        <w:t xml:space="preserve"> (2016) 90 ALJR 679 at 687 [43] per French CJ, Bell, Keane, Nettle and Gordon JJ; 331 ALR 550 at 558-559. </w:t>
      </w:r>
    </w:p>
  </w:footnote>
  <w:footnote w:id="166">
    <w:p w14:paraId="7173B345"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[265] per Robson J.</w:t>
      </w:r>
    </w:p>
  </w:footnote>
  <w:footnote w:id="167">
    <w:p w14:paraId="7EB14324"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[266] per Robson J.</w:t>
      </w:r>
    </w:p>
  </w:footnote>
  <w:footnote w:id="168">
    <w:p w14:paraId="7169BDA0"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[266] per Robson J.</w:t>
      </w:r>
    </w:p>
  </w:footnote>
  <w:footnote w:id="169">
    <w:p w14:paraId="009CA594"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[315] per Robson J.</w:t>
      </w:r>
    </w:p>
  </w:footnote>
  <w:footnote w:id="170">
    <w:p w14:paraId="1488DB63"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[316] per Robson J.</w:t>
      </w:r>
    </w:p>
  </w:footnote>
  <w:footnote w:id="171">
    <w:p w14:paraId="6155166B"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[316] per Robson J.</w:t>
      </w:r>
    </w:p>
  </w:footnote>
  <w:footnote w:id="172">
    <w:p w14:paraId="1849E7B8"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[308] per Robson J.</w:t>
      </w:r>
    </w:p>
  </w:footnote>
  <w:footnote w:id="173">
    <w:p w14:paraId="664B3BBC"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[309] per Robson J.</w:t>
      </w:r>
    </w:p>
  </w:footnote>
  <w:footnote w:id="174">
    <w:p w14:paraId="6F3F767B"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[310] per Robson J.</w:t>
      </w:r>
    </w:p>
  </w:footnote>
  <w:footnote w:id="175">
    <w:p w14:paraId="70B14F0E"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[311] per Robson J.</w:t>
      </w:r>
    </w:p>
  </w:footnote>
  <w:footnote w:id="176">
    <w:p w14:paraId="5D32CE63" w14:textId="77777777" w:rsidR="00CD32FB" w:rsidRPr="00650C25" w:rsidRDefault="00CD32FB" w:rsidP="00650C25">
      <w:pPr>
        <w:pStyle w:val="FootnoteText"/>
        <w:spacing w:line="280" w:lineRule="exact"/>
        <w:ind w:right="0"/>
        <w:jc w:val="both"/>
        <w:rPr>
          <w:rFonts w:ascii="Times New Roman" w:hAnsi="Times New Roman"/>
          <w:b/>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[312] per Robson J.</w:t>
      </w:r>
    </w:p>
  </w:footnote>
  <w:footnote w:id="177">
    <w:p w14:paraId="01248103"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[313] per Robson J.</w:t>
      </w:r>
    </w:p>
  </w:footnote>
  <w:footnote w:id="178">
    <w:p w14:paraId="707609C8"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[314] per Robson J.</w:t>
      </w:r>
    </w:p>
  </w:footnote>
  <w:footnote w:id="179">
    <w:p w14:paraId="7B62389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[65] per Beach, Kyrou and Hargrave JJA.</w:t>
      </w:r>
    </w:p>
  </w:footnote>
  <w:footnote w:id="180">
    <w:p w14:paraId="0222C744"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[127] per Beach, Kyrou and Hargrave JJA.</w:t>
      </w:r>
    </w:p>
  </w:footnote>
  <w:footnote w:id="181">
    <w:p w14:paraId="0B43224B"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[131] per Beach, Kyrou and Hargrave JJA.</w:t>
      </w:r>
    </w:p>
  </w:footnote>
  <w:footnote w:id="182">
    <w:p w14:paraId="29875FA2"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[132] per Beach, Kyrou and Hargrave JJA.</w:t>
      </w:r>
    </w:p>
  </w:footnote>
  <w:footnote w:id="183">
    <w:p w14:paraId="496C7FCA"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[132] per Beach, Kyrou and Hargrave JJA.</w:t>
      </w:r>
    </w:p>
  </w:footnote>
  <w:footnote w:id="184">
    <w:p w14:paraId="626F50F2"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[132] per Beach, Kyrou and Hargrave JJA.</w:t>
      </w:r>
    </w:p>
  </w:footnote>
  <w:footnote w:id="185">
    <w:p w14:paraId="63812CED"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[132] per Beach, Kyrou and Hargrave JJA.</w:t>
      </w:r>
    </w:p>
  </w:footnote>
  <w:footnote w:id="186">
    <w:p w14:paraId="6DA57835"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[126] per Beach, Kyrou and Hargrave JJA.</w:t>
      </w:r>
    </w:p>
  </w:footnote>
  <w:footnote w:id="187">
    <w:p w14:paraId="0001699E"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[126] per Beach, Kyrou and Hargrave JJA.</w:t>
      </w:r>
    </w:p>
  </w:footnote>
  <w:footnote w:id="188">
    <w:p w14:paraId="513D764A"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[126] per Beach, Kyrou and Hargrave JJA, citing </w:t>
      </w:r>
      <w:r w:rsidRPr="00650C25">
        <w:rPr>
          <w:rFonts w:ascii="Times New Roman" w:hAnsi="Times New Roman"/>
          <w:i/>
          <w:sz w:val="24"/>
        </w:rPr>
        <w:t>Kowalczuk v Accom Finance Pty Ltd</w:t>
      </w:r>
      <w:r w:rsidRPr="00650C25">
        <w:rPr>
          <w:rFonts w:ascii="Times New Roman" w:hAnsi="Times New Roman"/>
          <w:sz w:val="24"/>
        </w:rPr>
        <w:t xml:space="preserve"> (2008) 77 NSWLR 205 at 227-228 [96]-[99] per Campbell JA (Hodgson and McColl JJA agreeing); </w:t>
      </w:r>
      <w:r w:rsidRPr="00650C25">
        <w:rPr>
          <w:rFonts w:ascii="Times New Roman" w:hAnsi="Times New Roman"/>
          <w:i/>
          <w:sz w:val="24"/>
        </w:rPr>
        <w:t>Tonto Home Loans Australia Pty Ltd v Tavares</w:t>
      </w:r>
      <w:r w:rsidRPr="00650C25">
        <w:rPr>
          <w:rFonts w:ascii="Times New Roman" w:hAnsi="Times New Roman"/>
          <w:sz w:val="24"/>
        </w:rPr>
        <w:t xml:space="preserve"> (2011) 15 BPR 29,699 at 29,706 [3], 29,765-29,766 [291]-[293] per Allsop P (Bathurst CJ and Campbell JA agreeing); </w:t>
      </w:r>
      <w:r w:rsidRPr="00650C25">
        <w:rPr>
          <w:rFonts w:ascii="Times New Roman" w:hAnsi="Times New Roman"/>
          <w:i/>
          <w:sz w:val="24"/>
        </w:rPr>
        <w:t>Violet Home Loans Pty Ltd v Schmidt</w:t>
      </w:r>
      <w:r w:rsidRPr="00650C25">
        <w:rPr>
          <w:rFonts w:ascii="Times New Roman" w:hAnsi="Times New Roman"/>
          <w:sz w:val="24"/>
        </w:rPr>
        <w:t xml:space="preserve"> (2013) 44 VR 202 at 219-220 [59] per Warren CJ, Cavanough and Ferguson A</w:t>
      </w:r>
      <w:r w:rsidRPr="00650C25">
        <w:rPr>
          <w:rFonts w:ascii="Times New Roman" w:hAnsi="Times New Roman"/>
          <w:sz w:val="24"/>
        </w:rPr>
        <w:noBreakHyphen/>
        <w:t xml:space="preserve">JJA; </w:t>
      </w:r>
      <w:r w:rsidRPr="00650C25">
        <w:rPr>
          <w:rFonts w:ascii="Times New Roman" w:hAnsi="Times New Roman"/>
          <w:i/>
          <w:sz w:val="24"/>
        </w:rPr>
        <w:t>Perpetual Trustees Australia Ltd v Schmidt</w:t>
      </w:r>
      <w:r w:rsidRPr="00650C25">
        <w:rPr>
          <w:rFonts w:ascii="Times New Roman" w:hAnsi="Times New Roman"/>
          <w:sz w:val="24"/>
        </w:rPr>
        <w:t xml:space="preserve"> [2010] VSC 67 at [200], [207] per J Forrest J.</w:t>
      </w:r>
    </w:p>
  </w:footnote>
  <w:footnote w:id="189">
    <w:p w14:paraId="3DEFCEF3"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[126] per Beach, Kyrou and Hargrave JJA.</w:t>
      </w:r>
    </w:p>
  </w:footnote>
  <w:footnote w:id="190">
    <w:p w14:paraId="33E30E5B"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[126] per Beach, Kyrou and Hargrave JJA.</w:t>
      </w:r>
    </w:p>
  </w:footnote>
  <w:footnote w:id="191">
    <w:p w14:paraId="28AA76E0"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Kakavas v Crown Melbourne Ltd</w:t>
      </w:r>
      <w:r w:rsidRPr="00650C25">
        <w:rPr>
          <w:rFonts w:ascii="Times New Roman" w:hAnsi="Times New Roman"/>
          <w:sz w:val="24"/>
        </w:rPr>
        <w:t xml:space="preserve"> (2013) 250 CLR 392 at 400 [14] per French CJ, Hayne, Crennan, Kiefel, Bell, Gageler and Keane JJ. It is noted that the Court of Appeal appeared to understand the importance of considering the particular facts of a given case in other parts of its reasons: see, eg, </w:t>
      </w:r>
      <w:r w:rsidRPr="00650C25">
        <w:rPr>
          <w:rFonts w:ascii="Times New Roman" w:hAnsi="Times New Roman"/>
          <w:i/>
          <w:sz w:val="24"/>
        </w:rPr>
        <w:t>Jams 2 Pty Ltd v Stubbings</w:t>
      </w:r>
      <w:r w:rsidRPr="00650C25">
        <w:rPr>
          <w:rFonts w:ascii="Times New Roman" w:hAnsi="Times New Roman"/>
          <w:sz w:val="24"/>
        </w:rPr>
        <w:t xml:space="preserve"> [2020] VSCA 200 at [2] per Beach, Kyrou and Hargrave JJA.</w:t>
      </w:r>
    </w:p>
  </w:footnote>
  <w:footnote w:id="192">
    <w:p w14:paraId="2E9F4399"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(2017) 263 CLR 85 at 103 [38]. </w:t>
      </w:r>
    </w:p>
  </w:footnote>
  <w:footnote w:id="193">
    <w:p w14:paraId="2EF0FE5A"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See </w:t>
      </w:r>
      <w:r w:rsidRPr="00650C25">
        <w:rPr>
          <w:rFonts w:ascii="Times New Roman" w:hAnsi="Times New Roman"/>
          <w:i/>
          <w:sz w:val="24"/>
        </w:rPr>
        <w:t xml:space="preserve">Thorne v Kennedy </w:t>
      </w:r>
      <w:r w:rsidRPr="00650C25">
        <w:rPr>
          <w:rFonts w:ascii="Times New Roman" w:hAnsi="Times New Roman"/>
          <w:sz w:val="24"/>
        </w:rPr>
        <w:t>(2017) 263 CLR 85 at 125 [110] per Gordon J.</w:t>
      </w:r>
    </w:p>
  </w:footnote>
  <w:footnote w:id="194">
    <w:p w14:paraId="6E5A9E41"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(1956) 99 CLR 362 at 405. See also </w:t>
      </w:r>
      <w:r w:rsidRPr="00650C25">
        <w:rPr>
          <w:rFonts w:ascii="Times New Roman" w:hAnsi="Times New Roman"/>
          <w:i/>
          <w:sz w:val="24"/>
        </w:rPr>
        <w:t>Commercial Bank of Australia Ltd v Amadio</w:t>
      </w:r>
      <w:r w:rsidRPr="00650C25">
        <w:rPr>
          <w:rFonts w:ascii="Times New Roman" w:hAnsi="Times New Roman"/>
          <w:sz w:val="24"/>
        </w:rPr>
        <w:t xml:space="preserve"> (1983) 151 CLR 447 at 474-475 per Deane J; </w:t>
      </w:r>
      <w:r w:rsidRPr="00650C25">
        <w:rPr>
          <w:rFonts w:ascii="Times New Roman" w:hAnsi="Times New Roman"/>
          <w:i/>
          <w:sz w:val="24"/>
        </w:rPr>
        <w:t>Kakavas v Crown Melbourne Ltd</w:t>
      </w:r>
      <w:r w:rsidRPr="00650C25">
        <w:rPr>
          <w:rFonts w:ascii="Times New Roman" w:hAnsi="Times New Roman"/>
          <w:sz w:val="24"/>
        </w:rPr>
        <w:t xml:space="preserve"> (2013) 250 CLR 392 at 424-425 [117]-[118] per French CJ, Hayne, Crennan, Kiefel, Bell, Gageler and Keane JJ.</w:t>
      </w:r>
    </w:p>
  </w:footnote>
  <w:footnote w:id="195">
    <w:p w14:paraId="25762278"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w:t>
      </w:r>
      <w:r w:rsidRPr="00650C25">
        <w:rPr>
          <w:rFonts w:ascii="Times New Roman" w:hAnsi="Times New Roman"/>
          <w:sz w:val="24"/>
        </w:rPr>
        <w:t xml:space="preserve"> [2020] VSCA 200 at [123] per Beach, Kyrou and Hargrave JJA.</w:t>
      </w:r>
    </w:p>
  </w:footnote>
  <w:footnote w:id="196">
    <w:p w14:paraId="40151D00"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Commercial Bank of Australia Ltd v Amadio</w:t>
      </w:r>
      <w:r w:rsidRPr="00650C25">
        <w:rPr>
          <w:rFonts w:ascii="Times New Roman" w:hAnsi="Times New Roman"/>
          <w:sz w:val="24"/>
        </w:rPr>
        <w:t xml:space="preserve"> (1983) 151 CLR 447 at 462 per Mason</w:t>
      </w:r>
      <w:r>
        <w:rPr>
          <w:rFonts w:ascii="Times New Roman" w:hAnsi="Times New Roman"/>
          <w:sz w:val="24"/>
        </w:rPr>
        <w:t> </w:t>
      </w:r>
      <w:r w:rsidRPr="00650C25">
        <w:rPr>
          <w:rFonts w:ascii="Times New Roman" w:hAnsi="Times New Roman"/>
          <w:sz w:val="24"/>
        </w:rPr>
        <w:t xml:space="preserve">J; </w:t>
      </w:r>
      <w:r w:rsidRPr="00650C25">
        <w:rPr>
          <w:rFonts w:ascii="Times New Roman" w:hAnsi="Times New Roman"/>
          <w:i/>
          <w:sz w:val="24"/>
        </w:rPr>
        <w:t xml:space="preserve">Thorne v Kennedy </w:t>
      </w:r>
      <w:r w:rsidRPr="00650C25">
        <w:rPr>
          <w:rFonts w:ascii="Times New Roman" w:hAnsi="Times New Roman"/>
          <w:sz w:val="24"/>
        </w:rPr>
        <w:t>(2017) 263 CLR 85 at 112 [64] per Kiefel CJ, Bell, Gageler, Keane and Edelman JJ.</w:t>
      </w:r>
    </w:p>
  </w:footnote>
  <w:footnote w:id="197">
    <w:p w14:paraId="050666D0"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(1983) 151 CLR 447 at 467, quoted in </w:t>
      </w:r>
      <w:r w:rsidRPr="00650C25">
        <w:rPr>
          <w:rFonts w:ascii="Times New Roman" w:hAnsi="Times New Roman"/>
          <w:i/>
          <w:sz w:val="24"/>
        </w:rPr>
        <w:t>Kakavas v Crown Melbourne Ltd</w:t>
      </w:r>
      <w:r w:rsidRPr="00650C25">
        <w:rPr>
          <w:rFonts w:ascii="Times New Roman" w:hAnsi="Times New Roman"/>
          <w:sz w:val="24"/>
        </w:rPr>
        <w:t xml:space="preserve"> (2013) 250 CLR 392 at 436-437 [151] per French CJ, Hayne, Crennan, Kiefel, Bell, Gageler and Keane JJ.</w:t>
      </w:r>
    </w:p>
  </w:footnote>
  <w:footnote w:id="198">
    <w:p w14:paraId="61A2FCEC"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[17] per Robson J.</w:t>
      </w:r>
    </w:p>
  </w:footnote>
  <w:footnote w:id="199">
    <w:p w14:paraId="44CDCEE3"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(1985) 156 CLR 464 at 470 per Gibbs CJ, Wilson, Brennan, Deane and Dawson JJ.</w:t>
      </w:r>
    </w:p>
  </w:footnote>
  <w:footnote w:id="200">
    <w:p w14:paraId="2686BC8C"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(1985) 156 CLR 464 at 470-471 per Gibbs CJ, Wilson, Brennan, Deane and Dawson JJ.</w:t>
      </w:r>
    </w:p>
  </w:footnote>
  <w:footnote w:id="201">
    <w:p w14:paraId="19FC17C9"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Glanville Williams, </w:t>
      </w:r>
      <w:r w:rsidRPr="00650C25">
        <w:rPr>
          <w:rFonts w:ascii="Times New Roman" w:hAnsi="Times New Roman"/>
          <w:i/>
          <w:sz w:val="24"/>
        </w:rPr>
        <w:t>Criminal Law: The General Part</w:t>
      </w:r>
      <w:r w:rsidRPr="00650C25">
        <w:rPr>
          <w:rFonts w:ascii="Times New Roman" w:hAnsi="Times New Roman"/>
          <w:iCs/>
          <w:sz w:val="24"/>
        </w:rPr>
        <w:t xml:space="preserve">, </w:t>
      </w:r>
      <w:r w:rsidRPr="00650C25">
        <w:rPr>
          <w:rFonts w:ascii="Times New Roman" w:hAnsi="Times New Roman"/>
          <w:sz w:val="24"/>
        </w:rPr>
        <w:t>2nd ed (1961) at 159.</w:t>
      </w:r>
    </w:p>
  </w:footnote>
  <w:footnote w:id="202">
    <w:p w14:paraId="77293416"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t xml:space="preserve">See </w:t>
      </w:r>
      <w:r w:rsidRPr="00650C25">
        <w:rPr>
          <w:rFonts w:ascii="Times New Roman" w:hAnsi="Times New Roman"/>
          <w:i/>
          <w:sz w:val="24"/>
        </w:rPr>
        <w:t xml:space="preserve">English and Scottish Mercantile Investment Company v Brunton </w:t>
      </w:r>
      <w:r w:rsidRPr="00650C25">
        <w:rPr>
          <w:rFonts w:ascii="Times New Roman" w:hAnsi="Times New Roman"/>
          <w:sz w:val="24"/>
        </w:rPr>
        <w:t xml:space="preserve">[1892] 2 QB 700 at 707-708 per Lord Esher MR; </w:t>
      </w:r>
      <w:r w:rsidRPr="00650C25">
        <w:rPr>
          <w:rFonts w:ascii="Times New Roman" w:hAnsi="Times New Roman"/>
          <w:i/>
          <w:sz w:val="24"/>
        </w:rPr>
        <w:t>Pereira v Director of Public Prosecutions</w:t>
      </w:r>
      <w:r w:rsidRPr="00650C25">
        <w:rPr>
          <w:rFonts w:ascii="Times New Roman" w:hAnsi="Times New Roman"/>
          <w:sz w:val="24"/>
        </w:rPr>
        <w:t xml:space="preserve"> (1988) 63 ALJR 1 at 3 per Mason CJ, Deane, Dawson, Toohey and Gaudron JJ; 82 ALR 217 at 219-220.</w:t>
      </w:r>
    </w:p>
  </w:footnote>
  <w:footnote w:id="203">
    <w:p w14:paraId="02C0276F" w14:textId="77777777" w:rsidR="00CD32FB" w:rsidRPr="00650C25" w:rsidRDefault="00CD32FB" w:rsidP="00650C25">
      <w:pPr>
        <w:pStyle w:val="FootnoteText"/>
        <w:spacing w:line="280" w:lineRule="exact"/>
        <w:ind w:right="0"/>
        <w:jc w:val="both"/>
        <w:rPr>
          <w:rFonts w:ascii="Times New Roman" w:hAnsi="Times New Roman"/>
          <w:sz w:val="24"/>
        </w:rPr>
      </w:pPr>
      <w:r w:rsidRPr="00650C25">
        <w:rPr>
          <w:rStyle w:val="FootnoteReference"/>
          <w:rFonts w:ascii="Times New Roman" w:hAnsi="Times New Roman"/>
          <w:sz w:val="22"/>
          <w:vertAlign w:val="baseline"/>
        </w:rPr>
        <w:footnoteRef/>
      </w:r>
      <w:r w:rsidRPr="00650C25">
        <w:rPr>
          <w:rFonts w:ascii="Times New Roman" w:hAnsi="Times New Roman"/>
          <w:sz w:val="24"/>
        </w:rPr>
        <w:t xml:space="preserve"> </w:t>
      </w:r>
      <w:r w:rsidRPr="00650C25">
        <w:rPr>
          <w:rFonts w:ascii="Times New Roman" w:hAnsi="Times New Roman"/>
          <w:sz w:val="24"/>
        </w:rPr>
        <w:tab/>
      </w:r>
      <w:r w:rsidRPr="00650C25">
        <w:rPr>
          <w:rFonts w:ascii="Times New Roman" w:hAnsi="Times New Roman"/>
          <w:i/>
          <w:sz w:val="24"/>
        </w:rPr>
        <w:t>Jams 2 Pty Ltd v Stubbings [No 3]</w:t>
      </w:r>
      <w:r w:rsidRPr="00650C25">
        <w:rPr>
          <w:rFonts w:ascii="Times New Roman" w:hAnsi="Times New Roman"/>
          <w:sz w:val="24"/>
        </w:rPr>
        <w:t xml:space="preserve"> [2019] VSC 150 at [290] per Robson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0F4E" w14:textId="77777777" w:rsidR="00EC48A0" w:rsidRPr="00776741" w:rsidRDefault="00EC48A0" w:rsidP="007767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6F1E" w14:textId="77777777" w:rsidR="00650C25" w:rsidRDefault="008E71F5" w:rsidP="00650C2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6B74A8AA" w14:textId="77777777" w:rsidR="00650C25" w:rsidRDefault="000E6ABB" w:rsidP="00650C25">
    <w:pPr>
      <w:pStyle w:val="Header"/>
      <w:tabs>
        <w:tab w:val="clear" w:pos="4153"/>
        <w:tab w:val="clear" w:pos="8306"/>
        <w:tab w:val="right" w:pos="1304"/>
      </w:tabs>
      <w:spacing w:line="280" w:lineRule="exact"/>
      <w:ind w:firstLine="0"/>
      <w:rPr>
        <w:rFonts w:ascii="Times New Roman" w:hAnsi="Times New Roman"/>
        <w:i/>
        <w:sz w:val="22"/>
      </w:rPr>
    </w:pPr>
  </w:p>
  <w:p w14:paraId="75777FA2" w14:textId="77777777" w:rsidR="00650C25" w:rsidRDefault="008E71F5" w:rsidP="00650C2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468700D" w14:textId="77777777" w:rsidR="00650C25" w:rsidRPr="00650C25" w:rsidRDefault="000E6ABB" w:rsidP="00650C2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1EFD" w14:textId="77777777" w:rsidR="00650C25" w:rsidRDefault="008E71F5" w:rsidP="00650C2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06BBB7FD" w14:textId="77777777" w:rsidR="00650C25" w:rsidRDefault="000E6ABB" w:rsidP="00650C25">
    <w:pPr>
      <w:pStyle w:val="Header"/>
      <w:tabs>
        <w:tab w:val="clear" w:pos="4153"/>
        <w:tab w:val="clear" w:pos="8306"/>
        <w:tab w:val="left" w:pos="7200"/>
        <w:tab w:val="right" w:pos="8504"/>
      </w:tabs>
      <w:spacing w:line="280" w:lineRule="exact"/>
      <w:jc w:val="right"/>
      <w:rPr>
        <w:rFonts w:ascii="Times New Roman" w:hAnsi="Times New Roman"/>
        <w:i/>
        <w:sz w:val="22"/>
      </w:rPr>
    </w:pPr>
  </w:p>
  <w:p w14:paraId="6A8E23D9" w14:textId="77777777" w:rsidR="00650C25" w:rsidRDefault="008E71F5" w:rsidP="00650C2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A022BD9" w14:textId="77777777" w:rsidR="00650C25" w:rsidRPr="00650C25" w:rsidRDefault="000E6ABB" w:rsidP="00650C2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FC8F" w14:textId="77777777" w:rsidR="00650C25" w:rsidRDefault="000E6ABB" w:rsidP="00650C25">
    <w:pPr>
      <w:pStyle w:val="Header"/>
      <w:tabs>
        <w:tab w:val="clear" w:pos="4153"/>
        <w:tab w:val="clear" w:pos="8306"/>
        <w:tab w:val="center" w:pos="1134"/>
      </w:tabs>
      <w:spacing w:line="280" w:lineRule="exact"/>
      <w:ind w:firstLine="0"/>
      <w:rPr>
        <w:rFonts w:ascii="Times New Roman" w:hAnsi="Times New Roman"/>
        <w:i/>
        <w:sz w:val="22"/>
      </w:rPr>
    </w:pPr>
  </w:p>
  <w:p w14:paraId="4626C40E" w14:textId="77777777" w:rsidR="00650C25" w:rsidRDefault="000E6ABB" w:rsidP="00650C25">
    <w:pPr>
      <w:pStyle w:val="Header"/>
      <w:tabs>
        <w:tab w:val="clear" w:pos="4153"/>
        <w:tab w:val="clear" w:pos="8306"/>
        <w:tab w:val="center" w:pos="1134"/>
      </w:tabs>
      <w:spacing w:line="280" w:lineRule="exact"/>
      <w:ind w:firstLine="0"/>
      <w:rPr>
        <w:rFonts w:ascii="Times New Roman" w:hAnsi="Times New Roman"/>
        <w:i/>
        <w:sz w:val="22"/>
      </w:rPr>
    </w:pPr>
  </w:p>
  <w:p w14:paraId="583C1936" w14:textId="77777777" w:rsidR="00650C25" w:rsidRDefault="000E6ABB" w:rsidP="00650C25">
    <w:pPr>
      <w:pStyle w:val="Header"/>
      <w:tabs>
        <w:tab w:val="clear" w:pos="4153"/>
        <w:tab w:val="clear" w:pos="8306"/>
        <w:tab w:val="center" w:pos="1134"/>
      </w:tabs>
      <w:spacing w:line="280" w:lineRule="exact"/>
      <w:ind w:firstLine="0"/>
      <w:rPr>
        <w:rFonts w:ascii="Times New Roman" w:hAnsi="Times New Roman"/>
        <w:i/>
        <w:sz w:val="22"/>
      </w:rPr>
    </w:pPr>
  </w:p>
  <w:p w14:paraId="14A01B70" w14:textId="77777777" w:rsidR="00510C07" w:rsidRPr="00650C25" w:rsidRDefault="000E6ABB" w:rsidP="00650C25">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425AF" w14:textId="77777777" w:rsidR="008F4DC2" w:rsidRPr="008F4DC2" w:rsidRDefault="008F4DC2" w:rsidP="008F4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3FC8" w14:textId="2122B9AD" w:rsidR="00EC48A0" w:rsidRPr="00776741" w:rsidRDefault="00776741" w:rsidP="0077674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AD651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AD651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D8C1" w14:textId="6D1C4388" w:rsidR="00562814" w:rsidRPr="00776741" w:rsidRDefault="00562814" w:rsidP="007767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C8C8" w14:textId="77777777" w:rsidR="00776741" w:rsidRPr="00EC48A0" w:rsidRDefault="00776741" w:rsidP="00EC48A0">
    <w:pPr>
      <w:pStyle w:val="Header"/>
      <w:tabs>
        <w:tab w:val="clear" w:pos="4153"/>
        <w:tab w:val="clear" w:pos="8306"/>
        <w:tab w:val="right" w:pos="1304"/>
      </w:tabs>
      <w:spacing w:line="280" w:lineRule="exact"/>
      <w:ind w:firstLine="0"/>
      <w:rPr>
        <w:rFonts w:ascii="Times New Roman" w:hAnsi="Times New Roman"/>
        <w:i/>
        <w:sz w:val="22"/>
      </w:rPr>
    </w:pPr>
    <w:r w:rsidRPr="00EC48A0">
      <w:rPr>
        <w:rFonts w:ascii="Times New Roman" w:hAnsi="Times New Roman"/>
        <w:i/>
        <w:sz w:val="22"/>
      </w:rPr>
      <w:t>Kiefel</w:t>
    </w:r>
    <w:r w:rsidRPr="00EC48A0">
      <w:rPr>
        <w:rFonts w:ascii="Times New Roman" w:hAnsi="Times New Roman"/>
        <w:i/>
        <w:sz w:val="22"/>
      </w:rPr>
      <w:tab/>
      <w:t>CJ</w:t>
    </w:r>
  </w:p>
  <w:p w14:paraId="358AA967" w14:textId="77777777" w:rsidR="00776741" w:rsidRPr="00EC48A0" w:rsidRDefault="00776741" w:rsidP="00EC48A0">
    <w:pPr>
      <w:pStyle w:val="Header"/>
      <w:tabs>
        <w:tab w:val="clear" w:pos="4153"/>
        <w:tab w:val="clear" w:pos="8306"/>
        <w:tab w:val="right" w:pos="1304"/>
      </w:tabs>
      <w:spacing w:line="280" w:lineRule="exact"/>
      <w:ind w:firstLine="0"/>
      <w:rPr>
        <w:rFonts w:ascii="Times New Roman" w:hAnsi="Times New Roman"/>
        <w:i/>
        <w:sz w:val="22"/>
      </w:rPr>
    </w:pPr>
    <w:r w:rsidRPr="00EC48A0">
      <w:rPr>
        <w:rFonts w:ascii="Times New Roman" w:hAnsi="Times New Roman"/>
        <w:i/>
        <w:sz w:val="22"/>
      </w:rPr>
      <w:t>Keane</w:t>
    </w:r>
    <w:r w:rsidRPr="00EC48A0">
      <w:rPr>
        <w:rFonts w:ascii="Times New Roman" w:hAnsi="Times New Roman"/>
        <w:i/>
        <w:sz w:val="22"/>
      </w:rPr>
      <w:tab/>
      <w:t>J</w:t>
    </w:r>
  </w:p>
  <w:p w14:paraId="23919AED" w14:textId="77777777" w:rsidR="00776741" w:rsidRDefault="00776741" w:rsidP="00EC48A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3F14D04" w14:textId="77777777" w:rsidR="00776741" w:rsidRDefault="00776741" w:rsidP="00EC48A0">
    <w:pPr>
      <w:pStyle w:val="Header"/>
      <w:tabs>
        <w:tab w:val="clear" w:pos="4153"/>
        <w:tab w:val="clear" w:pos="8306"/>
        <w:tab w:val="right" w:pos="1304"/>
      </w:tabs>
      <w:spacing w:line="280" w:lineRule="exact"/>
      <w:ind w:firstLine="0"/>
      <w:rPr>
        <w:rFonts w:ascii="Times New Roman" w:hAnsi="Times New Roman"/>
        <w:i/>
        <w:sz w:val="22"/>
      </w:rPr>
    </w:pPr>
  </w:p>
  <w:p w14:paraId="7B2460E6" w14:textId="77777777" w:rsidR="00776741" w:rsidRDefault="00776741" w:rsidP="00EC48A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DA65E93" w14:textId="77777777" w:rsidR="00776741" w:rsidRPr="00EC48A0" w:rsidRDefault="00776741" w:rsidP="00EC48A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2D55" w14:textId="77777777" w:rsidR="00776741" w:rsidRPr="00EC48A0" w:rsidRDefault="00776741" w:rsidP="00EC48A0">
    <w:pPr>
      <w:pStyle w:val="Header"/>
      <w:tabs>
        <w:tab w:val="clear" w:pos="4153"/>
        <w:tab w:val="clear" w:pos="8306"/>
        <w:tab w:val="left" w:pos="7200"/>
        <w:tab w:val="right" w:pos="8504"/>
      </w:tabs>
      <w:spacing w:line="280" w:lineRule="exact"/>
      <w:jc w:val="right"/>
      <w:rPr>
        <w:rFonts w:ascii="Times New Roman" w:hAnsi="Times New Roman"/>
        <w:i/>
        <w:sz w:val="22"/>
      </w:rPr>
    </w:pPr>
    <w:r w:rsidRPr="00EC48A0">
      <w:rPr>
        <w:rFonts w:ascii="Times New Roman" w:hAnsi="Times New Roman"/>
        <w:i/>
        <w:sz w:val="22"/>
      </w:rPr>
      <w:tab/>
      <w:t>Kiefel</w:t>
    </w:r>
    <w:r w:rsidRPr="00EC48A0">
      <w:rPr>
        <w:rFonts w:ascii="Times New Roman" w:hAnsi="Times New Roman"/>
        <w:i/>
        <w:sz w:val="22"/>
      </w:rPr>
      <w:tab/>
      <w:t>CJ</w:t>
    </w:r>
  </w:p>
  <w:p w14:paraId="3EA6F6EA" w14:textId="77777777" w:rsidR="00776741" w:rsidRPr="00EC48A0" w:rsidRDefault="00776741" w:rsidP="00EC48A0">
    <w:pPr>
      <w:pStyle w:val="Header"/>
      <w:tabs>
        <w:tab w:val="clear" w:pos="4153"/>
        <w:tab w:val="clear" w:pos="8306"/>
        <w:tab w:val="left" w:pos="7200"/>
        <w:tab w:val="right" w:pos="8504"/>
      </w:tabs>
      <w:spacing w:line="280" w:lineRule="exact"/>
      <w:jc w:val="right"/>
      <w:rPr>
        <w:rFonts w:ascii="Times New Roman" w:hAnsi="Times New Roman"/>
        <w:i/>
        <w:sz w:val="22"/>
      </w:rPr>
    </w:pPr>
    <w:r w:rsidRPr="00EC48A0">
      <w:rPr>
        <w:rFonts w:ascii="Times New Roman" w:hAnsi="Times New Roman"/>
        <w:i/>
        <w:sz w:val="22"/>
      </w:rPr>
      <w:tab/>
      <w:t>Keane</w:t>
    </w:r>
    <w:r w:rsidRPr="00EC48A0">
      <w:rPr>
        <w:rFonts w:ascii="Times New Roman" w:hAnsi="Times New Roman"/>
        <w:i/>
        <w:sz w:val="22"/>
      </w:rPr>
      <w:tab/>
      <w:t>J</w:t>
    </w:r>
  </w:p>
  <w:p w14:paraId="265B421B" w14:textId="77777777" w:rsidR="00776741" w:rsidRDefault="00776741" w:rsidP="00EC48A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603CA25" w14:textId="77777777" w:rsidR="00776741" w:rsidRDefault="00776741" w:rsidP="00EC48A0">
    <w:pPr>
      <w:pStyle w:val="Header"/>
      <w:tabs>
        <w:tab w:val="clear" w:pos="4153"/>
        <w:tab w:val="clear" w:pos="8306"/>
        <w:tab w:val="left" w:pos="7200"/>
        <w:tab w:val="right" w:pos="8504"/>
      </w:tabs>
      <w:spacing w:line="280" w:lineRule="exact"/>
      <w:jc w:val="right"/>
      <w:rPr>
        <w:rFonts w:ascii="Times New Roman" w:hAnsi="Times New Roman"/>
        <w:i/>
        <w:sz w:val="22"/>
      </w:rPr>
    </w:pPr>
  </w:p>
  <w:p w14:paraId="2A6EBA18" w14:textId="77777777" w:rsidR="00776741" w:rsidRDefault="00776741" w:rsidP="00EC48A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E5FD96" w14:textId="77777777" w:rsidR="00776741" w:rsidRPr="00EC48A0" w:rsidRDefault="00776741" w:rsidP="00EC48A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8F51" w14:textId="77777777" w:rsidR="00776741" w:rsidRDefault="00776741" w:rsidP="00EC48A0">
    <w:pPr>
      <w:pStyle w:val="Header"/>
      <w:tabs>
        <w:tab w:val="clear" w:pos="4153"/>
        <w:tab w:val="clear" w:pos="8306"/>
        <w:tab w:val="center" w:pos="1134"/>
      </w:tabs>
      <w:spacing w:line="280" w:lineRule="exact"/>
      <w:ind w:firstLine="0"/>
      <w:rPr>
        <w:rFonts w:ascii="Times New Roman" w:hAnsi="Times New Roman"/>
        <w:i/>
        <w:sz w:val="22"/>
      </w:rPr>
    </w:pPr>
  </w:p>
  <w:p w14:paraId="0DBEDB37" w14:textId="77777777" w:rsidR="00776741" w:rsidRDefault="00776741" w:rsidP="00EC48A0">
    <w:pPr>
      <w:pStyle w:val="Header"/>
      <w:tabs>
        <w:tab w:val="clear" w:pos="4153"/>
        <w:tab w:val="clear" w:pos="8306"/>
        <w:tab w:val="center" w:pos="1134"/>
      </w:tabs>
      <w:spacing w:line="280" w:lineRule="exact"/>
      <w:ind w:firstLine="0"/>
      <w:rPr>
        <w:rFonts w:ascii="Times New Roman" w:hAnsi="Times New Roman"/>
        <w:i/>
        <w:sz w:val="22"/>
      </w:rPr>
    </w:pPr>
  </w:p>
  <w:p w14:paraId="6DEC76B7" w14:textId="77777777" w:rsidR="00776741" w:rsidRDefault="00776741" w:rsidP="00EC48A0">
    <w:pPr>
      <w:pStyle w:val="Header"/>
      <w:tabs>
        <w:tab w:val="clear" w:pos="4153"/>
        <w:tab w:val="clear" w:pos="8306"/>
        <w:tab w:val="center" w:pos="1134"/>
      </w:tabs>
      <w:spacing w:line="280" w:lineRule="exact"/>
      <w:ind w:firstLine="0"/>
      <w:rPr>
        <w:rFonts w:ascii="Times New Roman" w:hAnsi="Times New Roman"/>
        <w:i/>
        <w:sz w:val="22"/>
      </w:rPr>
    </w:pPr>
  </w:p>
  <w:p w14:paraId="23932AFD" w14:textId="77777777" w:rsidR="00776741" w:rsidRDefault="00776741" w:rsidP="00EC48A0">
    <w:pPr>
      <w:pStyle w:val="Header"/>
      <w:tabs>
        <w:tab w:val="clear" w:pos="4153"/>
        <w:tab w:val="clear" w:pos="8306"/>
        <w:tab w:val="center" w:pos="1134"/>
      </w:tabs>
      <w:spacing w:line="280" w:lineRule="exact"/>
      <w:ind w:firstLine="0"/>
      <w:rPr>
        <w:rFonts w:ascii="Times New Roman" w:hAnsi="Times New Roman"/>
        <w:i/>
        <w:sz w:val="22"/>
      </w:rPr>
    </w:pPr>
  </w:p>
  <w:p w14:paraId="5FE503F3" w14:textId="77777777" w:rsidR="00776741" w:rsidRDefault="00776741" w:rsidP="00EC48A0">
    <w:pPr>
      <w:pStyle w:val="Header"/>
      <w:tabs>
        <w:tab w:val="clear" w:pos="4153"/>
        <w:tab w:val="clear" w:pos="8306"/>
        <w:tab w:val="center" w:pos="1134"/>
      </w:tabs>
      <w:spacing w:line="280" w:lineRule="exact"/>
      <w:ind w:firstLine="0"/>
      <w:rPr>
        <w:rFonts w:ascii="Times New Roman" w:hAnsi="Times New Roman"/>
        <w:i/>
        <w:sz w:val="22"/>
      </w:rPr>
    </w:pPr>
  </w:p>
  <w:p w14:paraId="6FD56B86" w14:textId="77777777" w:rsidR="00776741" w:rsidRPr="00EC48A0" w:rsidRDefault="00776741" w:rsidP="00EC48A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4885" w14:textId="77777777" w:rsidR="00256C02" w:rsidRDefault="008E71F5" w:rsidP="00256C0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5E35E776" w14:textId="77777777" w:rsidR="00256C02" w:rsidRDefault="000E6ABB" w:rsidP="00256C02">
    <w:pPr>
      <w:pStyle w:val="Header"/>
      <w:tabs>
        <w:tab w:val="clear" w:pos="4153"/>
        <w:tab w:val="clear" w:pos="8306"/>
        <w:tab w:val="right" w:pos="1304"/>
      </w:tabs>
      <w:spacing w:line="280" w:lineRule="exact"/>
      <w:ind w:firstLine="0"/>
      <w:rPr>
        <w:rFonts w:ascii="Times New Roman" w:hAnsi="Times New Roman"/>
        <w:i/>
        <w:sz w:val="22"/>
      </w:rPr>
    </w:pPr>
  </w:p>
  <w:p w14:paraId="54FD8F34" w14:textId="77777777" w:rsidR="00256C02" w:rsidRDefault="008E71F5" w:rsidP="00256C0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6BA8F7" w14:textId="77777777" w:rsidR="00256C02" w:rsidRPr="00256C02" w:rsidRDefault="000E6ABB" w:rsidP="00256C0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E08E" w14:textId="77777777" w:rsidR="00256C02" w:rsidRDefault="008E71F5" w:rsidP="00256C0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468258E4" w14:textId="77777777" w:rsidR="00256C02" w:rsidRDefault="000E6ABB" w:rsidP="00256C02">
    <w:pPr>
      <w:pStyle w:val="Header"/>
      <w:tabs>
        <w:tab w:val="clear" w:pos="4153"/>
        <w:tab w:val="clear" w:pos="8306"/>
        <w:tab w:val="left" w:pos="7200"/>
        <w:tab w:val="right" w:pos="8504"/>
      </w:tabs>
      <w:spacing w:line="280" w:lineRule="exact"/>
      <w:jc w:val="right"/>
      <w:rPr>
        <w:rFonts w:ascii="Times New Roman" w:hAnsi="Times New Roman"/>
        <w:i/>
        <w:sz w:val="22"/>
      </w:rPr>
    </w:pPr>
  </w:p>
  <w:p w14:paraId="1198EA3D" w14:textId="77777777" w:rsidR="00256C02" w:rsidRDefault="008E71F5" w:rsidP="00256C0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25EDD9C" w14:textId="77777777" w:rsidR="00256C02" w:rsidRPr="00256C02" w:rsidRDefault="000E6ABB" w:rsidP="00256C0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B10F" w14:textId="77777777" w:rsidR="00256C02" w:rsidRDefault="000E6ABB" w:rsidP="00256C02">
    <w:pPr>
      <w:pStyle w:val="Header"/>
      <w:tabs>
        <w:tab w:val="clear" w:pos="4153"/>
        <w:tab w:val="clear" w:pos="8306"/>
        <w:tab w:val="center" w:pos="1134"/>
      </w:tabs>
      <w:spacing w:line="280" w:lineRule="exact"/>
      <w:ind w:firstLine="0"/>
      <w:rPr>
        <w:rFonts w:ascii="Times New Roman" w:hAnsi="Times New Roman"/>
        <w:i/>
        <w:sz w:val="22"/>
      </w:rPr>
    </w:pPr>
  </w:p>
  <w:p w14:paraId="20346EAF" w14:textId="77777777" w:rsidR="00256C02" w:rsidRDefault="000E6ABB" w:rsidP="00256C02">
    <w:pPr>
      <w:pStyle w:val="Header"/>
      <w:tabs>
        <w:tab w:val="clear" w:pos="4153"/>
        <w:tab w:val="clear" w:pos="8306"/>
        <w:tab w:val="center" w:pos="1134"/>
      </w:tabs>
      <w:spacing w:line="280" w:lineRule="exact"/>
      <w:ind w:firstLine="0"/>
      <w:rPr>
        <w:rFonts w:ascii="Times New Roman" w:hAnsi="Times New Roman"/>
        <w:i/>
        <w:sz w:val="22"/>
      </w:rPr>
    </w:pPr>
  </w:p>
  <w:p w14:paraId="1686E813" w14:textId="77777777" w:rsidR="00256C02" w:rsidRDefault="000E6ABB" w:rsidP="00256C02">
    <w:pPr>
      <w:pStyle w:val="Header"/>
      <w:tabs>
        <w:tab w:val="clear" w:pos="4153"/>
        <w:tab w:val="clear" w:pos="8306"/>
        <w:tab w:val="center" w:pos="1134"/>
      </w:tabs>
      <w:spacing w:line="280" w:lineRule="exact"/>
      <w:ind w:firstLine="0"/>
      <w:rPr>
        <w:rFonts w:ascii="Times New Roman" w:hAnsi="Times New Roman"/>
        <w:i/>
        <w:sz w:val="22"/>
      </w:rPr>
    </w:pPr>
  </w:p>
  <w:p w14:paraId="5081D2BB" w14:textId="77777777" w:rsidR="00E31D1A" w:rsidRPr="00256C02" w:rsidRDefault="000E6ABB" w:rsidP="00256C0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2A12C39"/>
    <w:multiLevelType w:val="hybridMultilevel"/>
    <w:tmpl w:val="7F52F2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8A94171"/>
    <w:multiLevelType w:val="hybridMultilevel"/>
    <w:tmpl w:val="A1247F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C966856"/>
    <w:multiLevelType w:val="hybridMultilevel"/>
    <w:tmpl w:val="0958CE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20"/>
  </w:num>
  <w:num w:numId="4">
    <w:abstractNumId w:val="14"/>
  </w:num>
  <w:num w:numId="5">
    <w:abstractNumId w:val="18"/>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1"/>
  </w:num>
  <w:num w:numId="19">
    <w:abstractNumId w:val="11"/>
  </w:num>
  <w:num w:numId="20">
    <w:abstractNumId w:val="16"/>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1E"/>
    <w:rsid w:val="00000ABA"/>
    <w:rsid w:val="000013C3"/>
    <w:rsid w:val="0000145A"/>
    <w:rsid w:val="000016B5"/>
    <w:rsid w:val="00001849"/>
    <w:rsid w:val="0000195F"/>
    <w:rsid w:val="00001D52"/>
    <w:rsid w:val="00002069"/>
    <w:rsid w:val="00002CE6"/>
    <w:rsid w:val="0000316A"/>
    <w:rsid w:val="00003175"/>
    <w:rsid w:val="000037FA"/>
    <w:rsid w:val="000047BF"/>
    <w:rsid w:val="000049B7"/>
    <w:rsid w:val="00005DD4"/>
    <w:rsid w:val="00005E1A"/>
    <w:rsid w:val="00007233"/>
    <w:rsid w:val="00007A31"/>
    <w:rsid w:val="00007D03"/>
    <w:rsid w:val="00010931"/>
    <w:rsid w:val="00012369"/>
    <w:rsid w:val="00013DB0"/>
    <w:rsid w:val="0001453E"/>
    <w:rsid w:val="00014751"/>
    <w:rsid w:val="00014B34"/>
    <w:rsid w:val="000168C9"/>
    <w:rsid w:val="00016C20"/>
    <w:rsid w:val="00016CC3"/>
    <w:rsid w:val="00016DBB"/>
    <w:rsid w:val="00017144"/>
    <w:rsid w:val="00017F7F"/>
    <w:rsid w:val="00020278"/>
    <w:rsid w:val="000204BA"/>
    <w:rsid w:val="000219A9"/>
    <w:rsid w:val="000222AA"/>
    <w:rsid w:val="00022487"/>
    <w:rsid w:val="00022A04"/>
    <w:rsid w:val="00022ECC"/>
    <w:rsid w:val="00023AE1"/>
    <w:rsid w:val="00024D7D"/>
    <w:rsid w:val="00024EB4"/>
    <w:rsid w:val="000250AF"/>
    <w:rsid w:val="00025490"/>
    <w:rsid w:val="0002561E"/>
    <w:rsid w:val="000268E1"/>
    <w:rsid w:val="00026B97"/>
    <w:rsid w:val="00027DB9"/>
    <w:rsid w:val="00027F84"/>
    <w:rsid w:val="00031308"/>
    <w:rsid w:val="00033380"/>
    <w:rsid w:val="00033428"/>
    <w:rsid w:val="00033CB4"/>
    <w:rsid w:val="0003447D"/>
    <w:rsid w:val="00034C08"/>
    <w:rsid w:val="0003575A"/>
    <w:rsid w:val="000360EB"/>
    <w:rsid w:val="0003638A"/>
    <w:rsid w:val="00037A5F"/>
    <w:rsid w:val="00037D87"/>
    <w:rsid w:val="0004287B"/>
    <w:rsid w:val="00043111"/>
    <w:rsid w:val="00043D2C"/>
    <w:rsid w:val="000443E6"/>
    <w:rsid w:val="0004469B"/>
    <w:rsid w:val="00044B29"/>
    <w:rsid w:val="00044F85"/>
    <w:rsid w:val="000456DC"/>
    <w:rsid w:val="00046812"/>
    <w:rsid w:val="00047D6F"/>
    <w:rsid w:val="00050F26"/>
    <w:rsid w:val="000519B4"/>
    <w:rsid w:val="00051FDF"/>
    <w:rsid w:val="00053570"/>
    <w:rsid w:val="0005369E"/>
    <w:rsid w:val="00053D03"/>
    <w:rsid w:val="00054318"/>
    <w:rsid w:val="00055300"/>
    <w:rsid w:val="00055ACD"/>
    <w:rsid w:val="00056087"/>
    <w:rsid w:val="00056E29"/>
    <w:rsid w:val="00056F27"/>
    <w:rsid w:val="000573AF"/>
    <w:rsid w:val="00057FC4"/>
    <w:rsid w:val="00060E8F"/>
    <w:rsid w:val="00061019"/>
    <w:rsid w:val="0006169E"/>
    <w:rsid w:val="00062427"/>
    <w:rsid w:val="000626FD"/>
    <w:rsid w:val="00062994"/>
    <w:rsid w:val="000631E2"/>
    <w:rsid w:val="000639AC"/>
    <w:rsid w:val="0006432B"/>
    <w:rsid w:val="0006458F"/>
    <w:rsid w:val="0006519A"/>
    <w:rsid w:val="000653D4"/>
    <w:rsid w:val="000655D9"/>
    <w:rsid w:val="00065B59"/>
    <w:rsid w:val="00065BED"/>
    <w:rsid w:val="0006626B"/>
    <w:rsid w:val="000678B0"/>
    <w:rsid w:val="00067A6D"/>
    <w:rsid w:val="00067FAA"/>
    <w:rsid w:val="0007013F"/>
    <w:rsid w:val="00070B3B"/>
    <w:rsid w:val="00070BDC"/>
    <w:rsid w:val="00071C35"/>
    <w:rsid w:val="00072448"/>
    <w:rsid w:val="00073776"/>
    <w:rsid w:val="00073F6F"/>
    <w:rsid w:val="0007566C"/>
    <w:rsid w:val="00075F50"/>
    <w:rsid w:val="00077C45"/>
    <w:rsid w:val="0008007C"/>
    <w:rsid w:val="00080B33"/>
    <w:rsid w:val="00080D77"/>
    <w:rsid w:val="0008165F"/>
    <w:rsid w:val="00083438"/>
    <w:rsid w:val="00083F26"/>
    <w:rsid w:val="0008435D"/>
    <w:rsid w:val="000843B4"/>
    <w:rsid w:val="00084B1F"/>
    <w:rsid w:val="0008558C"/>
    <w:rsid w:val="00085F13"/>
    <w:rsid w:val="00086947"/>
    <w:rsid w:val="00086D6F"/>
    <w:rsid w:val="000878BC"/>
    <w:rsid w:val="00090379"/>
    <w:rsid w:val="00091F2F"/>
    <w:rsid w:val="00092749"/>
    <w:rsid w:val="0009376E"/>
    <w:rsid w:val="00093AB2"/>
    <w:rsid w:val="0009489A"/>
    <w:rsid w:val="00095266"/>
    <w:rsid w:val="0009551F"/>
    <w:rsid w:val="00095F00"/>
    <w:rsid w:val="00096D44"/>
    <w:rsid w:val="000970AB"/>
    <w:rsid w:val="00097A5E"/>
    <w:rsid w:val="000A0165"/>
    <w:rsid w:val="000A1384"/>
    <w:rsid w:val="000A28D4"/>
    <w:rsid w:val="000A2949"/>
    <w:rsid w:val="000A2BD6"/>
    <w:rsid w:val="000A2D10"/>
    <w:rsid w:val="000A2EB4"/>
    <w:rsid w:val="000A31FD"/>
    <w:rsid w:val="000A3DA3"/>
    <w:rsid w:val="000A3FDD"/>
    <w:rsid w:val="000A4392"/>
    <w:rsid w:val="000A476D"/>
    <w:rsid w:val="000A49DC"/>
    <w:rsid w:val="000A5969"/>
    <w:rsid w:val="000A63C6"/>
    <w:rsid w:val="000A7215"/>
    <w:rsid w:val="000B028C"/>
    <w:rsid w:val="000B0F13"/>
    <w:rsid w:val="000B152E"/>
    <w:rsid w:val="000B28D3"/>
    <w:rsid w:val="000B2EFD"/>
    <w:rsid w:val="000B3B16"/>
    <w:rsid w:val="000B3B43"/>
    <w:rsid w:val="000B3F40"/>
    <w:rsid w:val="000B4630"/>
    <w:rsid w:val="000B497F"/>
    <w:rsid w:val="000B4EDA"/>
    <w:rsid w:val="000B58D4"/>
    <w:rsid w:val="000B6BC3"/>
    <w:rsid w:val="000B6FE0"/>
    <w:rsid w:val="000B710D"/>
    <w:rsid w:val="000B7157"/>
    <w:rsid w:val="000B7558"/>
    <w:rsid w:val="000B76B3"/>
    <w:rsid w:val="000C04DC"/>
    <w:rsid w:val="000C0D98"/>
    <w:rsid w:val="000C291F"/>
    <w:rsid w:val="000C2995"/>
    <w:rsid w:val="000C7132"/>
    <w:rsid w:val="000C77D2"/>
    <w:rsid w:val="000C7BFC"/>
    <w:rsid w:val="000C7F92"/>
    <w:rsid w:val="000D0A3A"/>
    <w:rsid w:val="000D2013"/>
    <w:rsid w:val="000D25E6"/>
    <w:rsid w:val="000D3670"/>
    <w:rsid w:val="000D3BC1"/>
    <w:rsid w:val="000D4CA4"/>
    <w:rsid w:val="000D51A2"/>
    <w:rsid w:val="000D5E27"/>
    <w:rsid w:val="000D6BFC"/>
    <w:rsid w:val="000D7715"/>
    <w:rsid w:val="000D7B7C"/>
    <w:rsid w:val="000D7D7B"/>
    <w:rsid w:val="000D7F4C"/>
    <w:rsid w:val="000E0976"/>
    <w:rsid w:val="000E137A"/>
    <w:rsid w:val="000E2279"/>
    <w:rsid w:val="000E2DC8"/>
    <w:rsid w:val="000E3A64"/>
    <w:rsid w:val="000E3CDE"/>
    <w:rsid w:val="000E3E71"/>
    <w:rsid w:val="000E413F"/>
    <w:rsid w:val="000E4C79"/>
    <w:rsid w:val="000E5904"/>
    <w:rsid w:val="000E62BD"/>
    <w:rsid w:val="000E65F7"/>
    <w:rsid w:val="000E6ABB"/>
    <w:rsid w:val="000E6AE4"/>
    <w:rsid w:val="000E70FE"/>
    <w:rsid w:val="000E71CB"/>
    <w:rsid w:val="000E773C"/>
    <w:rsid w:val="000F12CC"/>
    <w:rsid w:val="000F1345"/>
    <w:rsid w:val="000F1B8A"/>
    <w:rsid w:val="000F2DF5"/>
    <w:rsid w:val="000F3574"/>
    <w:rsid w:val="000F3B25"/>
    <w:rsid w:val="000F4E21"/>
    <w:rsid w:val="000F5770"/>
    <w:rsid w:val="000F5C4F"/>
    <w:rsid w:val="000F648F"/>
    <w:rsid w:val="000F6641"/>
    <w:rsid w:val="000F6B5B"/>
    <w:rsid w:val="000F73B9"/>
    <w:rsid w:val="001001B9"/>
    <w:rsid w:val="00100304"/>
    <w:rsid w:val="00100405"/>
    <w:rsid w:val="001008F8"/>
    <w:rsid w:val="00102254"/>
    <w:rsid w:val="001024BA"/>
    <w:rsid w:val="001046F3"/>
    <w:rsid w:val="00104F62"/>
    <w:rsid w:val="00105077"/>
    <w:rsid w:val="001054C0"/>
    <w:rsid w:val="00106FB6"/>
    <w:rsid w:val="0010702C"/>
    <w:rsid w:val="00107377"/>
    <w:rsid w:val="001078FB"/>
    <w:rsid w:val="0011004B"/>
    <w:rsid w:val="00110970"/>
    <w:rsid w:val="00111568"/>
    <w:rsid w:val="00111BFE"/>
    <w:rsid w:val="00111E93"/>
    <w:rsid w:val="001120C0"/>
    <w:rsid w:val="00112990"/>
    <w:rsid w:val="00113A91"/>
    <w:rsid w:val="00113C31"/>
    <w:rsid w:val="00114C6D"/>
    <w:rsid w:val="001150BF"/>
    <w:rsid w:val="00115689"/>
    <w:rsid w:val="00115EB0"/>
    <w:rsid w:val="001168F2"/>
    <w:rsid w:val="00117899"/>
    <w:rsid w:val="00120207"/>
    <w:rsid w:val="001206F9"/>
    <w:rsid w:val="00120D04"/>
    <w:rsid w:val="00121BF7"/>
    <w:rsid w:val="00121C98"/>
    <w:rsid w:val="001221C2"/>
    <w:rsid w:val="00122C10"/>
    <w:rsid w:val="0012389A"/>
    <w:rsid w:val="00123C1B"/>
    <w:rsid w:val="00124376"/>
    <w:rsid w:val="0012475E"/>
    <w:rsid w:val="001251CA"/>
    <w:rsid w:val="001257C6"/>
    <w:rsid w:val="00125E3C"/>
    <w:rsid w:val="00126AB2"/>
    <w:rsid w:val="0012708C"/>
    <w:rsid w:val="00127211"/>
    <w:rsid w:val="001275FA"/>
    <w:rsid w:val="001304C2"/>
    <w:rsid w:val="00133805"/>
    <w:rsid w:val="00133BEA"/>
    <w:rsid w:val="00133E7E"/>
    <w:rsid w:val="00133EA3"/>
    <w:rsid w:val="0013456F"/>
    <w:rsid w:val="00135345"/>
    <w:rsid w:val="0013583C"/>
    <w:rsid w:val="0013611D"/>
    <w:rsid w:val="00136291"/>
    <w:rsid w:val="00137977"/>
    <w:rsid w:val="0014046E"/>
    <w:rsid w:val="00140A3F"/>
    <w:rsid w:val="00140CE3"/>
    <w:rsid w:val="00141C69"/>
    <w:rsid w:val="00142072"/>
    <w:rsid w:val="00143FCB"/>
    <w:rsid w:val="001443CC"/>
    <w:rsid w:val="00145304"/>
    <w:rsid w:val="00145627"/>
    <w:rsid w:val="00146407"/>
    <w:rsid w:val="00146754"/>
    <w:rsid w:val="00146A3E"/>
    <w:rsid w:val="00146A41"/>
    <w:rsid w:val="00151200"/>
    <w:rsid w:val="001515EA"/>
    <w:rsid w:val="00151679"/>
    <w:rsid w:val="00152F67"/>
    <w:rsid w:val="0015318E"/>
    <w:rsid w:val="00153C1C"/>
    <w:rsid w:val="00154978"/>
    <w:rsid w:val="00154B90"/>
    <w:rsid w:val="001550C9"/>
    <w:rsid w:val="00155459"/>
    <w:rsid w:val="00155995"/>
    <w:rsid w:val="00157663"/>
    <w:rsid w:val="00160519"/>
    <w:rsid w:val="00163D92"/>
    <w:rsid w:val="00164144"/>
    <w:rsid w:val="001646C5"/>
    <w:rsid w:val="00164A19"/>
    <w:rsid w:val="00164BE8"/>
    <w:rsid w:val="0016532F"/>
    <w:rsid w:val="00166FAB"/>
    <w:rsid w:val="00170A2F"/>
    <w:rsid w:val="001717BD"/>
    <w:rsid w:val="00172ADE"/>
    <w:rsid w:val="00173081"/>
    <w:rsid w:val="00173478"/>
    <w:rsid w:val="00175703"/>
    <w:rsid w:val="001758DE"/>
    <w:rsid w:val="001765EF"/>
    <w:rsid w:val="00176D25"/>
    <w:rsid w:val="001775CE"/>
    <w:rsid w:val="001810A3"/>
    <w:rsid w:val="0018159C"/>
    <w:rsid w:val="001816FF"/>
    <w:rsid w:val="0018342E"/>
    <w:rsid w:val="001840C2"/>
    <w:rsid w:val="00184B46"/>
    <w:rsid w:val="00185560"/>
    <w:rsid w:val="00185939"/>
    <w:rsid w:val="001876F6"/>
    <w:rsid w:val="00187E98"/>
    <w:rsid w:val="00190D2C"/>
    <w:rsid w:val="00191E23"/>
    <w:rsid w:val="001925A9"/>
    <w:rsid w:val="00192EA1"/>
    <w:rsid w:val="00193875"/>
    <w:rsid w:val="00193CBE"/>
    <w:rsid w:val="00193E58"/>
    <w:rsid w:val="00194211"/>
    <w:rsid w:val="00194C33"/>
    <w:rsid w:val="00194C3C"/>
    <w:rsid w:val="00194EEC"/>
    <w:rsid w:val="00195079"/>
    <w:rsid w:val="001953B1"/>
    <w:rsid w:val="0019560F"/>
    <w:rsid w:val="00196206"/>
    <w:rsid w:val="001963C0"/>
    <w:rsid w:val="00197190"/>
    <w:rsid w:val="001977FC"/>
    <w:rsid w:val="00197956"/>
    <w:rsid w:val="001A0F67"/>
    <w:rsid w:val="001A22D7"/>
    <w:rsid w:val="001A3D48"/>
    <w:rsid w:val="001A446E"/>
    <w:rsid w:val="001A4737"/>
    <w:rsid w:val="001A5DCB"/>
    <w:rsid w:val="001A60B7"/>
    <w:rsid w:val="001B068C"/>
    <w:rsid w:val="001B12C6"/>
    <w:rsid w:val="001B17A8"/>
    <w:rsid w:val="001B256E"/>
    <w:rsid w:val="001B3830"/>
    <w:rsid w:val="001B45C8"/>
    <w:rsid w:val="001B581D"/>
    <w:rsid w:val="001B5F23"/>
    <w:rsid w:val="001B5FE0"/>
    <w:rsid w:val="001B63C6"/>
    <w:rsid w:val="001B64BB"/>
    <w:rsid w:val="001B6756"/>
    <w:rsid w:val="001B6B97"/>
    <w:rsid w:val="001B6EB3"/>
    <w:rsid w:val="001B757D"/>
    <w:rsid w:val="001C10F6"/>
    <w:rsid w:val="001C3746"/>
    <w:rsid w:val="001C48D4"/>
    <w:rsid w:val="001C4A34"/>
    <w:rsid w:val="001C4D5C"/>
    <w:rsid w:val="001C5D2C"/>
    <w:rsid w:val="001C7C93"/>
    <w:rsid w:val="001C7F54"/>
    <w:rsid w:val="001D14DA"/>
    <w:rsid w:val="001D19CF"/>
    <w:rsid w:val="001D2993"/>
    <w:rsid w:val="001D2D88"/>
    <w:rsid w:val="001D36CD"/>
    <w:rsid w:val="001D3765"/>
    <w:rsid w:val="001D4148"/>
    <w:rsid w:val="001D4572"/>
    <w:rsid w:val="001D4F49"/>
    <w:rsid w:val="001D5CF7"/>
    <w:rsid w:val="001D5ED0"/>
    <w:rsid w:val="001D78A1"/>
    <w:rsid w:val="001D7982"/>
    <w:rsid w:val="001E19ED"/>
    <w:rsid w:val="001E1D3D"/>
    <w:rsid w:val="001E303A"/>
    <w:rsid w:val="001E47B1"/>
    <w:rsid w:val="001E47D1"/>
    <w:rsid w:val="001E4E0D"/>
    <w:rsid w:val="001E5265"/>
    <w:rsid w:val="001E6A64"/>
    <w:rsid w:val="001E7248"/>
    <w:rsid w:val="001E73F9"/>
    <w:rsid w:val="001E75C5"/>
    <w:rsid w:val="001E78FC"/>
    <w:rsid w:val="001E7A90"/>
    <w:rsid w:val="001F0B0B"/>
    <w:rsid w:val="001F1D9D"/>
    <w:rsid w:val="001F2841"/>
    <w:rsid w:val="001F3298"/>
    <w:rsid w:val="001F3F2A"/>
    <w:rsid w:val="001F4A98"/>
    <w:rsid w:val="001F4AAE"/>
    <w:rsid w:val="001F69C2"/>
    <w:rsid w:val="001F6E11"/>
    <w:rsid w:val="001F75F7"/>
    <w:rsid w:val="001F763D"/>
    <w:rsid w:val="0020176E"/>
    <w:rsid w:val="002048D1"/>
    <w:rsid w:val="00204CF9"/>
    <w:rsid w:val="00207305"/>
    <w:rsid w:val="0020750F"/>
    <w:rsid w:val="002079CB"/>
    <w:rsid w:val="0021009C"/>
    <w:rsid w:val="0021096E"/>
    <w:rsid w:val="00210DE8"/>
    <w:rsid w:val="00210F38"/>
    <w:rsid w:val="00211530"/>
    <w:rsid w:val="00211D73"/>
    <w:rsid w:val="00211EAE"/>
    <w:rsid w:val="0021229C"/>
    <w:rsid w:val="00212A3E"/>
    <w:rsid w:val="002139DC"/>
    <w:rsid w:val="002142D4"/>
    <w:rsid w:val="00214BF2"/>
    <w:rsid w:val="002156FC"/>
    <w:rsid w:val="0021577D"/>
    <w:rsid w:val="00215A7F"/>
    <w:rsid w:val="00216522"/>
    <w:rsid w:val="0021665A"/>
    <w:rsid w:val="002167D3"/>
    <w:rsid w:val="00221D19"/>
    <w:rsid w:val="00221EF0"/>
    <w:rsid w:val="0022222D"/>
    <w:rsid w:val="00223710"/>
    <w:rsid w:val="00223B19"/>
    <w:rsid w:val="00225536"/>
    <w:rsid w:val="00225773"/>
    <w:rsid w:val="0022666B"/>
    <w:rsid w:val="00226964"/>
    <w:rsid w:val="0022734D"/>
    <w:rsid w:val="00227528"/>
    <w:rsid w:val="002301E5"/>
    <w:rsid w:val="00231AF3"/>
    <w:rsid w:val="0023230E"/>
    <w:rsid w:val="0023447F"/>
    <w:rsid w:val="002350B3"/>
    <w:rsid w:val="00235916"/>
    <w:rsid w:val="00236D7C"/>
    <w:rsid w:val="0023736C"/>
    <w:rsid w:val="0023798E"/>
    <w:rsid w:val="00237C38"/>
    <w:rsid w:val="00240036"/>
    <w:rsid w:val="00240175"/>
    <w:rsid w:val="00242D8C"/>
    <w:rsid w:val="00242EE4"/>
    <w:rsid w:val="002437C0"/>
    <w:rsid w:val="0024462E"/>
    <w:rsid w:val="00244A9A"/>
    <w:rsid w:val="00246F91"/>
    <w:rsid w:val="002474FA"/>
    <w:rsid w:val="00251653"/>
    <w:rsid w:val="0025188B"/>
    <w:rsid w:val="00253493"/>
    <w:rsid w:val="00253B3D"/>
    <w:rsid w:val="00254330"/>
    <w:rsid w:val="00254409"/>
    <w:rsid w:val="00254DEC"/>
    <w:rsid w:val="0025558B"/>
    <w:rsid w:val="00255C86"/>
    <w:rsid w:val="002565B3"/>
    <w:rsid w:val="0025689B"/>
    <w:rsid w:val="00257127"/>
    <w:rsid w:val="0025726E"/>
    <w:rsid w:val="00257AFB"/>
    <w:rsid w:val="00260487"/>
    <w:rsid w:val="00260DF4"/>
    <w:rsid w:val="002616B0"/>
    <w:rsid w:val="002619AF"/>
    <w:rsid w:val="0026223C"/>
    <w:rsid w:val="0026293D"/>
    <w:rsid w:val="00262E5C"/>
    <w:rsid w:val="00263106"/>
    <w:rsid w:val="00263E3E"/>
    <w:rsid w:val="00263E69"/>
    <w:rsid w:val="00265982"/>
    <w:rsid w:val="00265D56"/>
    <w:rsid w:val="002661D2"/>
    <w:rsid w:val="00267096"/>
    <w:rsid w:val="00267FE4"/>
    <w:rsid w:val="00270154"/>
    <w:rsid w:val="002701DD"/>
    <w:rsid w:val="002705E8"/>
    <w:rsid w:val="00271F70"/>
    <w:rsid w:val="002723F8"/>
    <w:rsid w:val="0027357C"/>
    <w:rsid w:val="00273C23"/>
    <w:rsid w:val="00273D62"/>
    <w:rsid w:val="0027408B"/>
    <w:rsid w:val="0027412C"/>
    <w:rsid w:val="00274696"/>
    <w:rsid w:val="00274AAE"/>
    <w:rsid w:val="00274B83"/>
    <w:rsid w:val="00274E71"/>
    <w:rsid w:val="00276B56"/>
    <w:rsid w:val="00277672"/>
    <w:rsid w:val="002778D9"/>
    <w:rsid w:val="00277C29"/>
    <w:rsid w:val="00277CC6"/>
    <w:rsid w:val="00280D6F"/>
    <w:rsid w:val="00280F46"/>
    <w:rsid w:val="00281261"/>
    <w:rsid w:val="002819FD"/>
    <w:rsid w:val="00283CEB"/>
    <w:rsid w:val="00283E69"/>
    <w:rsid w:val="00284DBD"/>
    <w:rsid w:val="00284F7D"/>
    <w:rsid w:val="002856C6"/>
    <w:rsid w:val="0028583A"/>
    <w:rsid w:val="00286459"/>
    <w:rsid w:val="00287368"/>
    <w:rsid w:val="00287873"/>
    <w:rsid w:val="002916CC"/>
    <w:rsid w:val="00291C12"/>
    <w:rsid w:val="00292297"/>
    <w:rsid w:val="0029278C"/>
    <w:rsid w:val="00292E65"/>
    <w:rsid w:val="0029435B"/>
    <w:rsid w:val="002949FA"/>
    <w:rsid w:val="002962FE"/>
    <w:rsid w:val="0029697C"/>
    <w:rsid w:val="00296C9A"/>
    <w:rsid w:val="002979F1"/>
    <w:rsid w:val="002A0475"/>
    <w:rsid w:val="002A0E65"/>
    <w:rsid w:val="002A1047"/>
    <w:rsid w:val="002A13E1"/>
    <w:rsid w:val="002A1574"/>
    <w:rsid w:val="002A1D67"/>
    <w:rsid w:val="002A2340"/>
    <w:rsid w:val="002A30A1"/>
    <w:rsid w:val="002A3248"/>
    <w:rsid w:val="002A3C0A"/>
    <w:rsid w:val="002A5535"/>
    <w:rsid w:val="002A6602"/>
    <w:rsid w:val="002A74A4"/>
    <w:rsid w:val="002A7869"/>
    <w:rsid w:val="002A7A06"/>
    <w:rsid w:val="002A7AD2"/>
    <w:rsid w:val="002B011E"/>
    <w:rsid w:val="002B01FA"/>
    <w:rsid w:val="002B0846"/>
    <w:rsid w:val="002B0B87"/>
    <w:rsid w:val="002B0BC3"/>
    <w:rsid w:val="002B1304"/>
    <w:rsid w:val="002B130C"/>
    <w:rsid w:val="002B1F26"/>
    <w:rsid w:val="002B2FE5"/>
    <w:rsid w:val="002B3F95"/>
    <w:rsid w:val="002B5405"/>
    <w:rsid w:val="002B58F9"/>
    <w:rsid w:val="002B6CF3"/>
    <w:rsid w:val="002B6E31"/>
    <w:rsid w:val="002B703A"/>
    <w:rsid w:val="002B7285"/>
    <w:rsid w:val="002B751D"/>
    <w:rsid w:val="002B7751"/>
    <w:rsid w:val="002B7BF0"/>
    <w:rsid w:val="002C044F"/>
    <w:rsid w:val="002C152E"/>
    <w:rsid w:val="002C23FD"/>
    <w:rsid w:val="002C3093"/>
    <w:rsid w:val="002C4801"/>
    <w:rsid w:val="002C5981"/>
    <w:rsid w:val="002C6484"/>
    <w:rsid w:val="002C67A8"/>
    <w:rsid w:val="002C6991"/>
    <w:rsid w:val="002C7408"/>
    <w:rsid w:val="002C768E"/>
    <w:rsid w:val="002C7E19"/>
    <w:rsid w:val="002D0410"/>
    <w:rsid w:val="002D0899"/>
    <w:rsid w:val="002D0CBC"/>
    <w:rsid w:val="002D0DAB"/>
    <w:rsid w:val="002D1707"/>
    <w:rsid w:val="002D17E2"/>
    <w:rsid w:val="002D2408"/>
    <w:rsid w:val="002D2B1E"/>
    <w:rsid w:val="002D2C47"/>
    <w:rsid w:val="002D34DE"/>
    <w:rsid w:val="002D3B02"/>
    <w:rsid w:val="002D3F5B"/>
    <w:rsid w:val="002D63A2"/>
    <w:rsid w:val="002D6ADE"/>
    <w:rsid w:val="002D7974"/>
    <w:rsid w:val="002E0EC8"/>
    <w:rsid w:val="002E1055"/>
    <w:rsid w:val="002E1ABB"/>
    <w:rsid w:val="002E1CE7"/>
    <w:rsid w:val="002E278F"/>
    <w:rsid w:val="002E2EBD"/>
    <w:rsid w:val="002E3B4D"/>
    <w:rsid w:val="002E3DFA"/>
    <w:rsid w:val="002E4105"/>
    <w:rsid w:val="002E5051"/>
    <w:rsid w:val="002E5815"/>
    <w:rsid w:val="002E5D01"/>
    <w:rsid w:val="002E614C"/>
    <w:rsid w:val="002E6FA5"/>
    <w:rsid w:val="002E7478"/>
    <w:rsid w:val="002E7BCF"/>
    <w:rsid w:val="002E7E0D"/>
    <w:rsid w:val="002F0522"/>
    <w:rsid w:val="002F0734"/>
    <w:rsid w:val="002F115C"/>
    <w:rsid w:val="002F16CD"/>
    <w:rsid w:val="002F1C4D"/>
    <w:rsid w:val="002F20A1"/>
    <w:rsid w:val="002F3CD6"/>
    <w:rsid w:val="002F514D"/>
    <w:rsid w:val="002F65CB"/>
    <w:rsid w:val="002F700F"/>
    <w:rsid w:val="00301975"/>
    <w:rsid w:val="00301E72"/>
    <w:rsid w:val="003038B0"/>
    <w:rsid w:val="00304312"/>
    <w:rsid w:val="00304821"/>
    <w:rsid w:val="00304945"/>
    <w:rsid w:val="00304B8D"/>
    <w:rsid w:val="0030542C"/>
    <w:rsid w:val="003067B9"/>
    <w:rsid w:val="00306D80"/>
    <w:rsid w:val="00307BC1"/>
    <w:rsid w:val="00307E74"/>
    <w:rsid w:val="00310418"/>
    <w:rsid w:val="0031200F"/>
    <w:rsid w:val="00312537"/>
    <w:rsid w:val="00312BF6"/>
    <w:rsid w:val="00312F83"/>
    <w:rsid w:val="00312FFC"/>
    <w:rsid w:val="0031331C"/>
    <w:rsid w:val="0031374A"/>
    <w:rsid w:val="003137B7"/>
    <w:rsid w:val="00313D90"/>
    <w:rsid w:val="00313F11"/>
    <w:rsid w:val="003150BF"/>
    <w:rsid w:val="003150CE"/>
    <w:rsid w:val="003155B1"/>
    <w:rsid w:val="00315A01"/>
    <w:rsid w:val="00315E92"/>
    <w:rsid w:val="00316CA4"/>
    <w:rsid w:val="00316D6F"/>
    <w:rsid w:val="00316F79"/>
    <w:rsid w:val="003178EF"/>
    <w:rsid w:val="0032053E"/>
    <w:rsid w:val="00320CDB"/>
    <w:rsid w:val="00323B9E"/>
    <w:rsid w:val="00324640"/>
    <w:rsid w:val="0032479F"/>
    <w:rsid w:val="003253E2"/>
    <w:rsid w:val="00325EA0"/>
    <w:rsid w:val="0032659E"/>
    <w:rsid w:val="00326949"/>
    <w:rsid w:val="00327343"/>
    <w:rsid w:val="00327537"/>
    <w:rsid w:val="00330804"/>
    <w:rsid w:val="0033264A"/>
    <w:rsid w:val="00333850"/>
    <w:rsid w:val="0033400D"/>
    <w:rsid w:val="00334365"/>
    <w:rsid w:val="00334A6B"/>
    <w:rsid w:val="0033602A"/>
    <w:rsid w:val="003366B2"/>
    <w:rsid w:val="00336A0B"/>
    <w:rsid w:val="00336B23"/>
    <w:rsid w:val="00340066"/>
    <w:rsid w:val="00341653"/>
    <w:rsid w:val="00341AD2"/>
    <w:rsid w:val="003426FA"/>
    <w:rsid w:val="0034288B"/>
    <w:rsid w:val="0034332B"/>
    <w:rsid w:val="00343592"/>
    <w:rsid w:val="00344788"/>
    <w:rsid w:val="00344D38"/>
    <w:rsid w:val="00344EAE"/>
    <w:rsid w:val="0034544D"/>
    <w:rsid w:val="00345EC7"/>
    <w:rsid w:val="0034681C"/>
    <w:rsid w:val="00346A3D"/>
    <w:rsid w:val="003514A3"/>
    <w:rsid w:val="00351777"/>
    <w:rsid w:val="00354B09"/>
    <w:rsid w:val="00355660"/>
    <w:rsid w:val="00355D84"/>
    <w:rsid w:val="00356DE3"/>
    <w:rsid w:val="003571C7"/>
    <w:rsid w:val="00357C63"/>
    <w:rsid w:val="00357F69"/>
    <w:rsid w:val="0036001F"/>
    <w:rsid w:val="003600A8"/>
    <w:rsid w:val="00361AF0"/>
    <w:rsid w:val="00361C89"/>
    <w:rsid w:val="0036252C"/>
    <w:rsid w:val="00362D60"/>
    <w:rsid w:val="00363181"/>
    <w:rsid w:val="003639E3"/>
    <w:rsid w:val="00364820"/>
    <w:rsid w:val="00366524"/>
    <w:rsid w:val="003666D7"/>
    <w:rsid w:val="00366A48"/>
    <w:rsid w:val="00367128"/>
    <w:rsid w:val="00367517"/>
    <w:rsid w:val="003717E7"/>
    <w:rsid w:val="00372E73"/>
    <w:rsid w:val="003733EC"/>
    <w:rsid w:val="00373E58"/>
    <w:rsid w:val="00374A12"/>
    <w:rsid w:val="00374B09"/>
    <w:rsid w:val="00374B17"/>
    <w:rsid w:val="003755ED"/>
    <w:rsid w:val="00375CAF"/>
    <w:rsid w:val="00376073"/>
    <w:rsid w:val="00377452"/>
    <w:rsid w:val="00377723"/>
    <w:rsid w:val="00377D1C"/>
    <w:rsid w:val="00377D54"/>
    <w:rsid w:val="00377EBF"/>
    <w:rsid w:val="00380853"/>
    <w:rsid w:val="00380CF1"/>
    <w:rsid w:val="00380D69"/>
    <w:rsid w:val="00381223"/>
    <w:rsid w:val="003815B9"/>
    <w:rsid w:val="00381849"/>
    <w:rsid w:val="00381C45"/>
    <w:rsid w:val="00381FBB"/>
    <w:rsid w:val="0038209B"/>
    <w:rsid w:val="003823A0"/>
    <w:rsid w:val="00384C42"/>
    <w:rsid w:val="00384F36"/>
    <w:rsid w:val="00385271"/>
    <w:rsid w:val="00385509"/>
    <w:rsid w:val="0038634E"/>
    <w:rsid w:val="00386411"/>
    <w:rsid w:val="00386A8A"/>
    <w:rsid w:val="0038793E"/>
    <w:rsid w:val="00387CD6"/>
    <w:rsid w:val="003903F7"/>
    <w:rsid w:val="003910EC"/>
    <w:rsid w:val="00391CBA"/>
    <w:rsid w:val="0039226E"/>
    <w:rsid w:val="00392CC8"/>
    <w:rsid w:val="00392EA7"/>
    <w:rsid w:val="00392FE5"/>
    <w:rsid w:val="0039457C"/>
    <w:rsid w:val="00394E0E"/>
    <w:rsid w:val="0039502E"/>
    <w:rsid w:val="003952D6"/>
    <w:rsid w:val="00395FD1"/>
    <w:rsid w:val="00396387"/>
    <w:rsid w:val="00396BCF"/>
    <w:rsid w:val="003975F1"/>
    <w:rsid w:val="003A0CEE"/>
    <w:rsid w:val="003A1878"/>
    <w:rsid w:val="003A18FD"/>
    <w:rsid w:val="003A2017"/>
    <w:rsid w:val="003A35EB"/>
    <w:rsid w:val="003A3788"/>
    <w:rsid w:val="003A3D07"/>
    <w:rsid w:val="003A45F5"/>
    <w:rsid w:val="003A48CC"/>
    <w:rsid w:val="003A58AA"/>
    <w:rsid w:val="003A65EB"/>
    <w:rsid w:val="003A72EF"/>
    <w:rsid w:val="003B0C23"/>
    <w:rsid w:val="003B1E95"/>
    <w:rsid w:val="003B2180"/>
    <w:rsid w:val="003B3E38"/>
    <w:rsid w:val="003B4EED"/>
    <w:rsid w:val="003B63AB"/>
    <w:rsid w:val="003B6B2C"/>
    <w:rsid w:val="003B70AB"/>
    <w:rsid w:val="003B7C5C"/>
    <w:rsid w:val="003C0D80"/>
    <w:rsid w:val="003C11C4"/>
    <w:rsid w:val="003C266A"/>
    <w:rsid w:val="003C3924"/>
    <w:rsid w:val="003C596F"/>
    <w:rsid w:val="003C602A"/>
    <w:rsid w:val="003C6057"/>
    <w:rsid w:val="003C77F9"/>
    <w:rsid w:val="003D16B2"/>
    <w:rsid w:val="003D1759"/>
    <w:rsid w:val="003D1896"/>
    <w:rsid w:val="003D2013"/>
    <w:rsid w:val="003D3B14"/>
    <w:rsid w:val="003D3BC7"/>
    <w:rsid w:val="003D5A34"/>
    <w:rsid w:val="003D5CB8"/>
    <w:rsid w:val="003D62F7"/>
    <w:rsid w:val="003D6645"/>
    <w:rsid w:val="003E07DB"/>
    <w:rsid w:val="003E1035"/>
    <w:rsid w:val="003E109A"/>
    <w:rsid w:val="003E1658"/>
    <w:rsid w:val="003E17F2"/>
    <w:rsid w:val="003E19F7"/>
    <w:rsid w:val="003E1EB2"/>
    <w:rsid w:val="003E2A01"/>
    <w:rsid w:val="003E3280"/>
    <w:rsid w:val="003E492C"/>
    <w:rsid w:val="003E4D24"/>
    <w:rsid w:val="003E578B"/>
    <w:rsid w:val="003E68B2"/>
    <w:rsid w:val="003E710D"/>
    <w:rsid w:val="003E78B2"/>
    <w:rsid w:val="003E7A9C"/>
    <w:rsid w:val="003F0B4E"/>
    <w:rsid w:val="003F0D87"/>
    <w:rsid w:val="003F131C"/>
    <w:rsid w:val="003F206E"/>
    <w:rsid w:val="003F273C"/>
    <w:rsid w:val="003F2904"/>
    <w:rsid w:val="003F2A03"/>
    <w:rsid w:val="003F328F"/>
    <w:rsid w:val="003F3DA2"/>
    <w:rsid w:val="003F484A"/>
    <w:rsid w:val="003F531A"/>
    <w:rsid w:val="003F6543"/>
    <w:rsid w:val="003F6BA2"/>
    <w:rsid w:val="003F6FCF"/>
    <w:rsid w:val="003F7C9E"/>
    <w:rsid w:val="00400751"/>
    <w:rsid w:val="00401D05"/>
    <w:rsid w:val="00401FCB"/>
    <w:rsid w:val="00402514"/>
    <w:rsid w:val="004025E8"/>
    <w:rsid w:val="00402768"/>
    <w:rsid w:val="00402ACC"/>
    <w:rsid w:val="00402B3B"/>
    <w:rsid w:val="00403D40"/>
    <w:rsid w:val="00403DD5"/>
    <w:rsid w:val="00404615"/>
    <w:rsid w:val="00404C36"/>
    <w:rsid w:val="004054C1"/>
    <w:rsid w:val="0040582E"/>
    <w:rsid w:val="00406F38"/>
    <w:rsid w:val="004072E8"/>
    <w:rsid w:val="00410208"/>
    <w:rsid w:val="0041036D"/>
    <w:rsid w:val="0041045C"/>
    <w:rsid w:val="004107CA"/>
    <w:rsid w:val="004111BC"/>
    <w:rsid w:val="004114CB"/>
    <w:rsid w:val="00412011"/>
    <w:rsid w:val="004125F4"/>
    <w:rsid w:val="004126D4"/>
    <w:rsid w:val="00412822"/>
    <w:rsid w:val="00412AE4"/>
    <w:rsid w:val="004137F7"/>
    <w:rsid w:val="00413CA4"/>
    <w:rsid w:val="0041432C"/>
    <w:rsid w:val="00414703"/>
    <w:rsid w:val="004149EA"/>
    <w:rsid w:val="00414D4B"/>
    <w:rsid w:val="00414D58"/>
    <w:rsid w:val="00415D2B"/>
    <w:rsid w:val="00415D4A"/>
    <w:rsid w:val="00416C0A"/>
    <w:rsid w:val="00417599"/>
    <w:rsid w:val="00417F33"/>
    <w:rsid w:val="0042010F"/>
    <w:rsid w:val="004211FD"/>
    <w:rsid w:val="00421941"/>
    <w:rsid w:val="00421952"/>
    <w:rsid w:val="00421FB1"/>
    <w:rsid w:val="00422F84"/>
    <w:rsid w:val="004230D3"/>
    <w:rsid w:val="004231C1"/>
    <w:rsid w:val="004231DE"/>
    <w:rsid w:val="00423D80"/>
    <w:rsid w:val="00424DE2"/>
    <w:rsid w:val="004256A7"/>
    <w:rsid w:val="00425857"/>
    <w:rsid w:val="00425CE7"/>
    <w:rsid w:val="00425E34"/>
    <w:rsid w:val="00426B09"/>
    <w:rsid w:val="00427D3C"/>
    <w:rsid w:val="0043218E"/>
    <w:rsid w:val="00432528"/>
    <w:rsid w:val="00432836"/>
    <w:rsid w:val="0043399E"/>
    <w:rsid w:val="00433AC5"/>
    <w:rsid w:val="004348C8"/>
    <w:rsid w:val="00434959"/>
    <w:rsid w:val="00434D83"/>
    <w:rsid w:val="0043657C"/>
    <w:rsid w:val="00436A01"/>
    <w:rsid w:val="004373D1"/>
    <w:rsid w:val="004373F0"/>
    <w:rsid w:val="0043756C"/>
    <w:rsid w:val="0043778D"/>
    <w:rsid w:val="00437AF6"/>
    <w:rsid w:val="00437F2A"/>
    <w:rsid w:val="00440ED4"/>
    <w:rsid w:val="004414E1"/>
    <w:rsid w:val="00444E2C"/>
    <w:rsid w:val="00445073"/>
    <w:rsid w:val="004454C2"/>
    <w:rsid w:val="00447347"/>
    <w:rsid w:val="004478F3"/>
    <w:rsid w:val="00447F33"/>
    <w:rsid w:val="00450A27"/>
    <w:rsid w:val="00451491"/>
    <w:rsid w:val="00451C89"/>
    <w:rsid w:val="00451D38"/>
    <w:rsid w:val="00451EC2"/>
    <w:rsid w:val="00453015"/>
    <w:rsid w:val="00455147"/>
    <w:rsid w:val="00455C18"/>
    <w:rsid w:val="0045633E"/>
    <w:rsid w:val="00456AF2"/>
    <w:rsid w:val="00456D03"/>
    <w:rsid w:val="00457C7A"/>
    <w:rsid w:val="00460DB0"/>
    <w:rsid w:val="00460F18"/>
    <w:rsid w:val="00461022"/>
    <w:rsid w:val="00461E35"/>
    <w:rsid w:val="0046266D"/>
    <w:rsid w:val="00463357"/>
    <w:rsid w:val="00463690"/>
    <w:rsid w:val="00463773"/>
    <w:rsid w:val="00463A04"/>
    <w:rsid w:val="0046470D"/>
    <w:rsid w:val="004649EA"/>
    <w:rsid w:val="00464F05"/>
    <w:rsid w:val="00465255"/>
    <w:rsid w:val="0046531F"/>
    <w:rsid w:val="00465CD7"/>
    <w:rsid w:val="004662E7"/>
    <w:rsid w:val="00467F08"/>
    <w:rsid w:val="0047029A"/>
    <w:rsid w:val="004704AA"/>
    <w:rsid w:val="00470BEA"/>
    <w:rsid w:val="00471468"/>
    <w:rsid w:val="00471488"/>
    <w:rsid w:val="004714B6"/>
    <w:rsid w:val="00471A25"/>
    <w:rsid w:val="00471B2E"/>
    <w:rsid w:val="004735FC"/>
    <w:rsid w:val="00473718"/>
    <w:rsid w:val="00473869"/>
    <w:rsid w:val="0047410E"/>
    <w:rsid w:val="004753E1"/>
    <w:rsid w:val="00476B59"/>
    <w:rsid w:val="004778FB"/>
    <w:rsid w:val="0048054A"/>
    <w:rsid w:val="00480930"/>
    <w:rsid w:val="00480B92"/>
    <w:rsid w:val="00480ECD"/>
    <w:rsid w:val="0048107C"/>
    <w:rsid w:val="004811C9"/>
    <w:rsid w:val="004818E8"/>
    <w:rsid w:val="0048195A"/>
    <w:rsid w:val="004819F9"/>
    <w:rsid w:val="00482F67"/>
    <w:rsid w:val="00483006"/>
    <w:rsid w:val="00483886"/>
    <w:rsid w:val="00484915"/>
    <w:rsid w:val="00485961"/>
    <w:rsid w:val="004866C9"/>
    <w:rsid w:val="004870A7"/>
    <w:rsid w:val="00487387"/>
    <w:rsid w:val="00490EA6"/>
    <w:rsid w:val="004919FD"/>
    <w:rsid w:val="00492ACB"/>
    <w:rsid w:val="004936DF"/>
    <w:rsid w:val="00493D2A"/>
    <w:rsid w:val="00494442"/>
    <w:rsid w:val="004947DE"/>
    <w:rsid w:val="00494FC9"/>
    <w:rsid w:val="00496C51"/>
    <w:rsid w:val="004A092A"/>
    <w:rsid w:val="004A0F1A"/>
    <w:rsid w:val="004A132C"/>
    <w:rsid w:val="004A2E83"/>
    <w:rsid w:val="004A34A5"/>
    <w:rsid w:val="004A3C2A"/>
    <w:rsid w:val="004A4396"/>
    <w:rsid w:val="004A4A6A"/>
    <w:rsid w:val="004A4BBB"/>
    <w:rsid w:val="004A7506"/>
    <w:rsid w:val="004B07EA"/>
    <w:rsid w:val="004B15FC"/>
    <w:rsid w:val="004B1DD6"/>
    <w:rsid w:val="004B26D9"/>
    <w:rsid w:val="004B2C5E"/>
    <w:rsid w:val="004B2CA3"/>
    <w:rsid w:val="004B4798"/>
    <w:rsid w:val="004B4B3D"/>
    <w:rsid w:val="004B54EA"/>
    <w:rsid w:val="004B57B5"/>
    <w:rsid w:val="004B58D3"/>
    <w:rsid w:val="004B5DF8"/>
    <w:rsid w:val="004B6370"/>
    <w:rsid w:val="004B6C1B"/>
    <w:rsid w:val="004B6CDC"/>
    <w:rsid w:val="004B774B"/>
    <w:rsid w:val="004C12DA"/>
    <w:rsid w:val="004C16C1"/>
    <w:rsid w:val="004C1A13"/>
    <w:rsid w:val="004C2D55"/>
    <w:rsid w:val="004C31E0"/>
    <w:rsid w:val="004C348C"/>
    <w:rsid w:val="004C383A"/>
    <w:rsid w:val="004C3BF9"/>
    <w:rsid w:val="004C423E"/>
    <w:rsid w:val="004C4629"/>
    <w:rsid w:val="004C4B60"/>
    <w:rsid w:val="004C4B71"/>
    <w:rsid w:val="004C63F1"/>
    <w:rsid w:val="004C697A"/>
    <w:rsid w:val="004C6DC1"/>
    <w:rsid w:val="004C7457"/>
    <w:rsid w:val="004C758B"/>
    <w:rsid w:val="004C7E68"/>
    <w:rsid w:val="004C7F79"/>
    <w:rsid w:val="004D087E"/>
    <w:rsid w:val="004D19DB"/>
    <w:rsid w:val="004D1E88"/>
    <w:rsid w:val="004D1E8E"/>
    <w:rsid w:val="004D26EB"/>
    <w:rsid w:val="004D2E55"/>
    <w:rsid w:val="004D36A7"/>
    <w:rsid w:val="004D3CD7"/>
    <w:rsid w:val="004D4949"/>
    <w:rsid w:val="004D4D90"/>
    <w:rsid w:val="004D58DE"/>
    <w:rsid w:val="004D597C"/>
    <w:rsid w:val="004D63E2"/>
    <w:rsid w:val="004D781B"/>
    <w:rsid w:val="004E0F44"/>
    <w:rsid w:val="004E2CD3"/>
    <w:rsid w:val="004E3E00"/>
    <w:rsid w:val="004E3F30"/>
    <w:rsid w:val="004E46F8"/>
    <w:rsid w:val="004E4A9C"/>
    <w:rsid w:val="004E50C8"/>
    <w:rsid w:val="004E6311"/>
    <w:rsid w:val="004E653E"/>
    <w:rsid w:val="004E65F5"/>
    <w:rsid w:val="004E6D01"/>
    <w:rsid w:val="004E701A"/>
    <w:rsid w:val="004E76BC"/>
    <w:rsid w:val="004E77A7"/>
    <w:rsid w:val="004F0F29"/>
    <w:rsid w:val="004F1390"/>
    <w:rsid w:val="004F1CAF"/>
    <w:rsid w:val="004F2D77"/>
    <w:rsid w:val="004F3CDC"/>
    <w:rsid w:val="004F3E28"/>
    <w:rsid w:val="004F3E6F"/>
    <w:rsid w:val="004F4E4E"/>
    <w:rsid w:val="004F5244"/>
    <w:rsid w:val="004F621F"/>
    <w:rsid w:val="004F6291"/>
    <w:rsid w:val="004F6CBA"/>
    <w:rsid w:val="004F6D9C"/>
    <w:rsid w:val="004F74C6"/>
    <w:rsid w:val="0050199C"/>
    <w:rsid w:val="00502DAA"/>
    <w:rsid w:val="00502EAE"/>
    <w:rsid w:val="00503689"/>
    <w:rsid w:val="00503A1B"/>
    <w:rsid w:val="005043BB"/>
    <w:rsid w:val="00504B7E"/>
    <w:rsid w:val="0050500F"/>
    <w:rsid w:val="00505279"/>
    <w:rsid w:val="00505E91"/>
    <w:rsid w:val="005063E1"/>
    <w:rsid w:val="005065D0"/>
    <w:rsid w:val="005073D1"/>
    <w:rsid w:val="00507CC5"/>
    <w:rsid w:val="00510077"/>
    <w:rsid w:val="00511D35"/>
    <w:rsid w:val="005135F3"/>
    <w:rsid w:val="00513749"/>
    <w:rsid w:val="005138C8"/>
    <w:rsid w:val="005141F4"/>
    <w:rsid w:val="00515BDD"/>
    <w:rsid w:val="0051650B"/>
    <w:rsid w:val="00516A12"/>
    <w:rsid w:val="00516AAA"/>
    <w:rsid w:val="00516BBB"/>
    <w:rsid w:val="005178BB"/>
    <w:rsid w:val="00520289"/>
    <w:rsid w:val="0052089F"/>
    <w:rsid w:val="005209EB"/>
    <w:rsid w:val="0052100D"/>
    <w:rsid w:val="00521A1C"/>
    <w:rsid w:val="00523875"/>
    <w:rsid w:val="00523B3D"/>
    <w:rsid w:val="00523E83"/>
    <w:rsid w:val="005248BB"/>
    <w:rsid w:val="00525209"/>
    <w:rsid w:val="00526080"/>
    <w:rsid w:val="00526722"/>
    <w:rsid w:val="00526FA0"/>
    <w:rsid w:val="0052785B"/>
    <w:rsid w:val="005308A5"/>
    <w:rsid w:val="005314E9"/>
    <w:rsid w:val="00531723"/>
    <w:rsid w:val="00531C01"/>
    <w:rsid w:val="0053275E"/>
    <w:rsid w:val="00532E35"/>
    <w:rsid w:val="00533035"/>
    <w:rsid w:val="0053324F"/>
    <w:rsid w:val="00534BCB"/>
    <w:rsid w:val="00534CC7"/>
    <w:rsid w:val="005354D4"/>
    <w:rsid w:val="00535EA1"/>
    <w:rsid w:val="0054048A"/>
    <w:rsid w:val="00540F48"/>
    <w:rsid w:val="00541EF9"/>
    <w:rsid w:val="00542553"/>
    <w:rsid w:val="0054270A"/>
    <w:rsid w:val="005431CF"/>
    <w:rsid w:val="00543744"/>
    <w:rsid w:val="00543D0A"/>
    <w:rsid w:val="00543FD4"/>
    <w:rsid w:val="005446C5"/>
    <w:rsid w:val="00544C71"/>
    <w:rsid w:val="005454F3"/>
    <w:rsid w:val="005455E5"/>
    <w:rsid w:val="005463F5"/>
    <w:rsid w:val="0054681B"/>
    <w:rsid w:val="00546D68"/>
    <w:rsid w:val="0054779A"/>
    <w:rsid w:val="00547915"/>
    <w:rsid w:val="00547A96"/>
    <w:rsid w:val="00547A99"/>
    <w:rsid w:val="00547BA1"/>
    <w:rsid w:val="00550CD4"/>
    <w:rsid w:val="005515B0"/>
    <w:rsid w:val="00551A04"/>
    <w:rsid w:val="005539B4"/>
    <w:rsid w:val="00553D6C"/>
    <w:rsid w:val="0055403B"/>
    <w:rsid w:val="0055433D"/>
    <w:rsid w:val="005546A5"/>
    <w:rsid w:val="00554B37"/>
    <w:rsid w:val="00555B84"/>
    <w:rsid w:val="00556101"/>
    <w:rsid w:val="00556393"/>
    <w:rsid w:val="00556E79"/>
    <w:rsid w:val="0055707E"/>
    <w:rsid w:val="005572F7"/>
    <w:rsid w:val="00557CB1"/>
    <w:rsid w:val="00557E47"/>
    <w:rsid w:val="0056091E"/>
    <w:rsid w:val="00561371"/>
    <w:rsid w:val="0056172D"/>
    <w:rsid w:val="00561B32"/>
    <w:rsid w:val="00562814"/>
    <w:rsid w:val="005635F3"/>
    <w:rsid w:val="00563F26"/>
    <w:rsid w:val="00563F65"/>
    <w:rsid w:val="0056411C"/>
    <w:rsid w:val="00564641"/>
    <w:rsid w:val="00565669"/>
    <w:rsid w:val="00565B4C"/>
    <w:rsid w:val="005661D7"/>
    <w:rsid w:val="005663FF"/>
    <w:rsid w:val="005677E5"/>
    <w:rsid w:val="00570D22"/>
    <w:rsid w:val="00570D24"/>
    <w:rsid w:val="00571015"/>
    <w:rsid w:val="0057107E"/>
    <w:rsid w:val="005719F7"/>
    <w:rsid w:val="005726BC"/>
    <w:rsid w:val="00573104"/>
    <w:rsid w:val="0057335A"/>
    <w:rsid w:val="00573B50"/>
    <w:rsid w:val="00574C1A"/>
    <w:rsid w:val="0057580A"/>
    <w:rsid w:val="0057621C"/>
    <w:rsid w:val="00577684"/>
    <w:rsid w:val="00580190"/>
    <w:rsid w:val="00580948"/>
    <w:rsid w:val="00580DA0"/>
    <w:rsid w:val="00580EEB"/>
    <w:rsid w:val="00580FCF"/>
    <w:rsid w:val="005823FB"/>
    <w:rsid w:val="005835DE"/>
    <w:rsid w:val="00583673"/>
    <w:rsid w:val="00583D08"/>
    <w:rsid w:val="0058463F"/>
    <w:rsid w:val="005847F3"/>
    <w:rsid w:val="005847F4"/>
    <w:rsid w:val="005854FF"/>
    <w:rsid w:val="00585D97"/>
    <w:rsid w:val="0058715E"/>
    <w:rsid w:val="00587890"/>
    <w:rsid w:val="00587BE7"/>
    <w:rsid w:val="00587CBC"/>
    <w:rsid w:val="005901CB"/>
    <w:rsid w:val="00592194"/>
    <w:rsid w:val="00592943"/>
    <w:rsid w:val="00593477"/>
    <w:rsid w:val="00593891"/>
    <w:rsid w:val="0059497B"/>
    <w:rsid w:val="00595A7E"/>
    <w:rsid w:val="00595DF1"/>
    <w:rsid w:val="00595F32"/>
    <w:rsid w:val="00596524"/>
    <w:rsid w:val="00597599"/>
    <w:rsid w:val="0059772C"/>
    <w:rsid w:val="00597D35"/>
    <w:rsid w:val="005A0C0B"/>
    <w:rsid w:val="005A1D91"/>
    <w:rsid w:val="005A30A0"/>
    <w:rsid w:val="005A4A36"/>
    <w:rsid w:val="005A4DE3"/>
    <w:rsid w:val="005A510C"/>
    <w:rsid w:val="005A6427"/>
    <w:rsid w:val="005A6742"/>
    <w:rsid w:val="005A6D6D"/>
    <w:rsid w:val="005A6D81"/>
    <w:rsid w:val="005A7264"/>
    <w:rsid w:val="005A72F7"/>
    <w:rsid w:val="005B03F5"/>
    <w:rsid w:val="005B1181"/>
    <w:rsid w:val="005B1601"/>
    <w:rsid w:val="005B164C"/>
    <w:rsid w:val="005B1987"/>
    <w:rsid w:val="005B28AF"/>
    <w:rsid w:val="005B2F9E"/>
    <w:rsid w:val="005B39AC"/>
    <w:rsid w:val="005B3B54"/>
    <w:rsid w:val="005B4820"/>
    <w:rsid w:val="005B4CFC"/>
    <w:rsid w:val="005B4DC3"/>
    <w:rsid w:val="005B58B0"/>
    <w:rsid w:val="005B5919"/>
    <w:rsid w:val="005B7392"/>
    <w:rsid w:val="005B7FB0"/>
    <w:rsid w:val="005C0298"/>
    <w:rsid w:val="005C0769"/>
    <w:rsid w:val="005C360A"/>
    <w:rsid w:val="005C4F20"/>
    <w:rsid w:val="005C5C09"/>
    <w:rsid w:val="005C727C"/>
    <w:rsid w:val="005C74C7"/>
    <w:rsid w:val="005D01A8"/>
    <w:rsid w:val="005D01F3"/>
    <w:rsid w:val="005D221C"/>
    <w:rsid w:val="005D2532"/>
    <w:rsid w:val="005D2A43"/>
    <w:rsid w:val="005D3247"/>
    <w:rsid w:val="005D34BE"/>
    <w:rsid w:val="005D4503"/>
    <w:rsid w:val="005D475A"/>
    <w:rsid w:val="005D4855"/>
    <w:rsid w:val="005D4EBB"/>
    <w:rsid w:val="005D6EA0"/>
    <w:rsid w:val="005D74FC"/>
    <w:rsid w:val="005E0276"/>
    <w:rsid w:val="005E12B2"/>
    <w:rsid w:val="005E32F7"/>
    <w:rsid w:val="005E38F3"/>
    <w:rsid w:val="005E42C4"/>
    <w:rsid w:val="005E5855"/>
    <w:rsid w:val="005E5E86"/>
    <w:rsid w:val="005E62A1"/>
    <w:rsid w:val="005E7A16"/>
    <w:rsid w:val="005E7B36"/>
    <w:rsid w:val="005F02E6"/>
    <w:rsid w:val="005F0963"/>
    <w:rsid w:val="005F10F1"/>
    <w:rsid w:val="005F1711"/>
    <w:rsid w:val="005F1911"/>
    <w:rsid w:val="005F1D39"/>
    <w:rsid w:val="005F2316"/>
    <w:rsid w:val="005F26D0"/>
    <w:rsid w:val="005F298D"/>
    <w:rsid w:val="005F2CBA"/>
    <w:rsid w:val="005F3216"/>
    <w:rsid w:val="005F37E8"/>
    <w:rsid w:val="005F462E"/>
    <w:rsid w:val="005F4D87"/>
    <w:rsid w:val="005F4DFE"/>
    <w:rsid w:val="005F4EF9"/>
    <w:rsid w:val="005F50BA"/>
    <w:rsid w:val="005F5B1C"/>
    <w:rsid w:val="005F6828"/>
    <w:rsid w:val="005F69B2"/>
    <w:rsid w:val="005F7F96"/>
    <w:rsid w:val="00600541"/>
    <w:rsid w:val="006015AE"/>
    <w:rsid w:val="006017B1"/>
    <w:rsid w:val="00601CF1"/>
    <w:rsid w:val="00602665"/>
    <w:rsid w:val="0060295E"/>
    <w:rsid w:val="006033D4"/>
    <w:rsid w:val="006037F3"/>
    <w:rsid w:val="00605ECA"/>
    <w:rsid w:val="00605F1C"/>
    <w:rsid w:val="0060685F"/>
    <w:rsid w:val="00607066"/>
    <w:rsid w:val="00607197"/>
    <w:rsid w:val="00607A16"/>
    <w:rsid w:val="0061050C"/>
    <w:rsid w:val="006109F8"/>
    <w:rsid w:val="00610D1F"/>
    <w:rsid w:val="00611758"/>
    <w:rsid w:val="00611E1F"/>
    <w:rsid w:val="006123A1"/>
    <w:rsid w:val="006125AF"/>
    <w:rsid w:val="006129F8"/>
    <w:rsid w:val="006135ED"/>
    <w:rsid w:val="0061387F"/>
    <w:rsid w:val="00613A6B"/>
    <w:rsid w:val="006144C4"/>
    <w:rsid w:val="00614613"/>
    <w:rsid w:val="006147EA"/>
    <w:rsid w:val="00614D90"/>
    <w:rsid w:val="00616ED3"/>
    <w:rsid w:val="00617957"/>
    <w:rsid w:val="0062042E"/>
    <w:rsid w:val="0062082A"/>
    <w:rsid w:val="00620881"/>
    <w:rsid w:val="00620B91"/>
    <w:rsid w:val="006210CB"/>
    <w:rsid w:val="00621C17"/>
    <w:rsid w:val="006221DC"/>
    <w:rsid w:val="0062258D"/>
    <w:rsid w:val="00623075"/>
    <w:rsid w:val="00623685"/>
    <w:rsid w:val="00623910"/>
    <w:rsid w:val="006239D4"/>
    <w:rsid w:val="006241BC"/>
    <w:rsid w:val="0062445E"/>
    <w:rsid w:val="00624A27"/>
    <w:rsid w:val="00624D74"/>
    <w:rsid w:val="0062716D"/>
    <w:rsid w:val="00627AF2"/>
    <w:rsid w:val="00631D45"/>
    <w:rsid w:val="00632A97"/>
    <w:rsid w:val="00632F94"/>
    <w:rsid w:val="00633E33"/>
    <w:rsid w:val="00634055"/>
    <w:rsid w:val="0063632F"/>
    <w:rsid w:val="0063657E"/>
    <w:rsid w:val="00637F4F"/>
    <w:rsid w:val="00641836"/>
    <w:rsid w:val="0064268D"/>
    <w:rsid w:val="00642980"/>
    <w:rsid w:val="00642A2D"/>
    <w:rsid w:val="006438F6"/>
    <w:rsid w:val="006442F9"/>
    <w:rsid w:val="00644A10"/>
    <w:rsid w:val="00644E7F"/>
    <w:rsid w:val="00644ED4"/>
    <w:rsid w:val="00645078"/>
    <w:rsid w:val="006453C1"/>
    <w:rsid w:val="0064667B"/>
    <w:rsid w:val="006468BB"/>
    <w:rsid w:val="00650A15"/>
    <w:rsid w:val="00650C56"/>
    <w:rsid w:val="00652858"/>
    <w:rsid w:val="006528C5"/>
    <w:rsid w:val="00652AAE"/>
    <w:rsid w:val="00652C93"/>
    <w:rsid w:val="00654288"/>
    <w:rsid w:val="00654540"/>
    <w:rsid w:val="00655183"/>
    <w:rsid w:val="006558DC"/>
    <w:rsid w:val="00656969"/>
    <w:rsid w:val="00656B27"/>
    <w:rsid w:val="00657F8B"/>
    <w:rsid w:val="00660401"/>
    <w:rsid w:val="0066066F"/>
    <w:rsid w:val="006618FC"/>
    <w:rsid w:val="0066226A"/>
    <w:rsid w:val="006622CB"/>
    <w:rsid w:val="00663D00"/>
    <w:rsid w:val="00663E86"/>
    <w:rsid w:val="00664621"/>
    <w:rsid w:val="00664EAF"/>
    <w:rsid w:val="0066502D"/>
    <w:rsid w:val="00666BFE"/>
    <w:rsid w:val="006710A9"/>
    <w:rsid w:val="00671866"/>
    <w:rsid w:val="00671B7E"/>
    <w:rsid w:val="006755D1"/>
    <w:rsid w:val="0067576E"/>
    <w:rsid w:val="006767BC"/>
    <w:rsid w:val="006803A8"/>
    <w:rsid w:val="00681D75"/>
    <w:rsid w:val="0068242E"/>
    <w:rsid w:val="0068270A"/>
    <w:rsid w:val="00682A67"/>
    <w:rsid w:val="006832A3"/>
    <w:rsid w:val="00683C89"/>
    <w:rsid w:val="00683E41"/>
    <w:rsid w:val="0068444F"/>
    <w:rsid w:val="006848B9"/>
    <w:rsid w:val="00684BAF"/>
    <w:rsid w:val="006862D4"/>
    <w:rsid w:val="00687E99"/>
    <w:rsid w:val="00690124"/>
    <w:rsid w:val="006906F0"/>
    <w:rsid w:val="0069170C"/>
    <w:rsid w:val="0069217F"/>
    <w:rsid w:val="00692937"/>
    <w:rsid w:val="00692B0D"/>
    <w:rsid w:val="00693A6A"/>
    <w:rsid w:val="00694028"/>
    <w:rsid w:val="006947D4"/>
    <w:rsid w:val="00696232"/>
    <w:rsid w:val="006964E6"/>
    <w:rsid w:val="00696998"/>
    <w:rsid w:val="00696EBB"/>
    <w:rsid w:val="00697193"/>
    <w:rsid w:val="00697B06"/>
    <w:rsid w:val="00697F84"/>
    <w:rsid w:val="006A173E"/>
    <w:rsid w:val="006A1DEB"/>
    <w:rsid w:val="006A1F10"/>
    <w:rsid w:val="006A2A01"/>
    <w:rsid w:val="006A3BDE"/>
    <w:rsid w:val="006A4628"/>
    <w:rsid w:val="006A4D4E"/>
    <w:rsid w:val="006A7199"/>
    <w:rsid w:val="006A7E78"/>
    <w:rsid w:val="006B185C"/>
    <w:rsid w:val="006B19DE"/>
    <w:rsid w:val="006B1D11"/>
    <w:rsid w:val="006B2800"/>
    <w:rsid w:val="006B2AC6"/>
    <w:rsid w:val="006B4DD2"/>
    <w:rsid w:val="006B5088"/>
    <w:rsid w:val="006B61E1"/>
    <w:rsid w:val="006B630A"/>
    <w:rsid w:val="006B6B38"/>
    <w:rsid w:val="006B7833"/>
    <w:rsid w:val="006B7CC4"/>
    <w:rsid w:val="006B7D99"/>
    <w:rsid w:val="006C1577"/>
    <w:rsid w:val="006C191D"/>
    <w:rsid w:val="006C1C74"/>
    <w:rsid w:val="006C20A0"/>
    <w:rsid w:val="006C21B0"/>
    <w:rsid w:val="006C46B4"/>
    <w:rsid w:val="006C543C"/>
    <w:rsid w:val="006C5ACD"/>
    <w:rsid w:val="006C6300"/>
    <w:rsid w:val="006C67BA"/>
    <w:rsid w:val="006C759C"/>
    <w:rsid w:val="006D10A2"/>
    <w:rsid w:val="006D1544"/>
    <w:rsid w:val="006D195F"/>
    <w:rsid w:val="006D1C99"/>
    <w:rsid w:val="006D2232"/>
    <w:rsid w:val="006D36B7"/>
    <w:rsid w:val="006D3A49"/>
    <w:rsid w:val="006D3D3B"/>
    <w:rsid w:val="006D3E2F"/>
    <w:rsid w:val="006D4A0D"/>
    <w:rsid w:val="006D607F"/>
    <w:rsid w:val="006D6418"/>
    <w:rsid w:val="006D6C8B"/>
    <w:rsid w:val="006D73E7"/>
    <w:rsid w:val="006E164D"/>
    <w:rsid w:val="006E16F1"/>
    <w:rsid w:val="006E1AD3"/>
    <w:rsid w:val="006E2E30"/>
    <w:rsid w:val="006E359B"/>
    <w:rsid w:val="006E3AC6"/>
    <w:rsid w:val="006E3D6F"/>
    <w:rsid w:val="006E4425"/>
    <w:rsid w:val="006E49DE"/>
    <w:rsid w:val="006E4ADE"/>
    <w:rsid w:val="006E614C"/>
    <w:rsid w:val="006E75BF"/>
    <w:rsid w:val="006E7A3D"/>
    <w:rsid w:val="006F048F"/>
    <w:rsid w:val="006F09B5"/>
    <w:rsid w:val="006F0F07"/>
    <w:rsid w:val="006F1349"/>
    <w:rsid w:val="006F201F"/>
    <w:rsid w:val="006F20C6"/>
    <w:rsid w:val="006F233A"/>
    <w:rsid w:val="006F2585"/>
    <w:rsid w:val="006F2C03"/>
    <w:rsid w:val="006F33B3"/>
    <w:rsid w:val="006F3CF4"/>
    <w:rsid w:val="006F423F"/>
    <w:rsid w:val="006F48B3"/>
    <w:rsid w:val="006F48B8"/>
    <w:rsid w:val="006F553C"/>
    <w:rsid w:val="006F5924"/>
    <w:rsid w:val="006F618D"/>
    <w:rsid w:val="006F6258"/>
    <w:rsid w:val="006F65E1"/>
    <w:rsid w:val="006F6F42"/>
    <w:rsid w:val="006F7150"/>
    <w:rsid w:val="006F7742"/>
    <w:rsid w:val="006F7F8E"/>
    <w:rsid w:val="00700C3E"/>
    <w:rsid w:val="00701552"/>
    <w:rsid w:val="00701D91"/>
    <w:rsid w:val="00702720"/>
    <w:rsid w:val="00703BF9"/>
    <w:rsid w:val="00704FDE"/>
    <w:rsid w:val="0070538A"/>
    <w:rsid w:val="00705448"/>
    <w:rsid w:val="0070573E"/>
    <w:rsid w:val="00705A02"/>
    <w:rsid w:val="00705BBE"/>
    <w:rsid w:val="00705F1B"/>
    <w:rsid w:val="00707AC2"/>
    <w:rsid w:val="00710143"/>
    <w:rsid w:val="00710330"/>
    <w:rsid w:val="00710553"/>
    <w:rsid w:val="0071064C"/>
    <w:rsid w:val="00710B53"/>
    <w:rsid w:val="007113C7"/>
    <w:rsid w:val="00711B2A"/>
    <w:rsid w:val="00712151"/>
    <w:rsid w:val="007122EC"/>
    <w:rsid w:val="007134D4"/>
    <w:rsid w:val="00713959"/>
    <w:rsid w:val="00713CC1"/>
    <w:rsid w:val="00713CDA"/>
    <w:rsid w:val="0071414B"/>
    <w:rsid w:val="00714504"/>
    <w:rsid w:val="0071495F"/>
    <w:rsid w:val="00715256"/>
    <w:rsid w:val="00715522"/>
    <w:rsid w:val="00715848"/>
    <w:rsid w:val="00716EB7"/>
    <w:rsid w:val="0071742A"/>
    <w:rsid w:val="00721F2E"/>
    <w:rsid w:val="00722F69"/>
    <w:rsid w:val="007231BF"/>
    <w:rsid w:val="007240CE"/>
    <w:rsid w:val="00724347"/>
    <w:rsid w:val="0072435A"/>
    <w:rsid w:val="00725094"/>
    <w:rsid w:val="00725139"/>
    <w:rsid w:val="0072643E"/>
    <w:rsid w:val="00727C67"/>
    <w:rsid w:val="00727F00"/>
    <w:rsid w:val="007305A3"/>
    <w:rsid w:val="007305BB"/>
    <w:rsid w:val="007309EB"/>
    <w:rsid w:val="00730BDA"/>
    <w:rsid w:val="00730E8F"/>
    <w:rsid w:val="00731D48"/>
    <w:rsid w:val="0073219B"/>
    <w:rsid w:val="00733037"/>
    <w:rsid w:val="00733092"/>
    <w:rsid w:val="00734484"/>
    <w:rsid w:val="007345B2"/>
    <w:rsid w:val="00734CAF"/>
    <w:rsid w:val="0073528B"/>
    <w:rsid w:val="007352DD"/>
    <w:rsid w:val="007354FC"/>
    <w:rsid w:val="0073654E"/>
    <w:rsid w:val="00736D3E"/>
    <w:rsid w:val="00737407"/>
    <w:rsid w:val="00737CE5"/>
    <w:rsid w:val="00737E57"/>
    <w:rsid w:val="00737E71"/>
    <w:rsid w:val="00740110"/>
    <w:rsid w:val="00740F7C"/>
    <w:rsid w:val="00741708"/>
    <w:rsid w:val="00741942"/>
    <w:rsid w:val="00742076"/>
    <w:rsid w:val="007421F4"/>
    <w:rsid w:val="007423E4"/>
    <w:rsid w:val="00745136"/>
    <w:rsid w:val="00745A15"/>
    <w:rsid w:val="00745DD2"/>
    <w:rsid w:val="00746D3F"/>
    <w:rsid w:val="00747B26"/>
    <w:rsid w:val="00751354"/>
    <w:rsid w:val="00751A2B"/>
    <w:rsid w:val="00752C7E"/>
    <w:rsid w:val="0075341A"/>
    <w:rsid w:val="007535D0"/>
    <w:rsid w:val="00754D86"/>
    <w:rsid w:val="00755335"/>
    <w:rsid w:val="00755A1B"/>
    <w:rsid w:val="00755AA1"/>
    <w:rsid w:val="00755B43"/>
    <w:rsid w:val="00756909"/>
    <w:rsid w:val="00757F20"/>
    <w:rsid w:val="00760D10"/>
    <w:rsid w:val="0076172A"/>
    <w:rsid w:val="00761A42"/>
    <w:rsid w:val="00762108"/>
    <w:rsid w:val="00762C45"/>
    <w:rsid w:val="0076336A"/>
    <w:rsid w:val="0076399A"/>
    <w:rsid w:val="007651E1"/>
    <w:rsid w:val="007657B4"/>
    <w:rsid w:val="00765D76"/>
    <w:rsid w:val="00767191"/>
    <w:rsid w:val="00767539"/>
    <w:rsid w:val="00767C1C"/>
    <w:rsid w:val="00767F8B"/>
    <w:rsid w:val="00767FE5"/>
    <w:rsid w:val="00770315"/>
    <w:rsid w:val="00770500"/>
    <w:rsid w:val="00770E38"/>
    <w:rsid w:val="00771322"/>
    <w:rsid w:val="00771617"/>
    <w:rsid w:val="00771919"/>
    <w:rsid w:val="00771B64"/>
    <w:rsid w:val="00771D79"/>
    <w:rsid w:val="00773263"/>
    <w:rsid w:val="007732C5"/>
    <w:rsid w:val="00773DF6"/>
    <w:rsid w:val="007748CB"/>
    <w:rsid w:val="007751DE"/>
    <w:rsid w:val="007756A9"/>
    <w:rsid w:val="00776741"/>
    <w:rsid w:val="0078061C"/>
    <w:rsid w:val="0078133D"/>
    <w:rsid w:val="00781DD0"/>
    <w:rsid w:val="00781E34"/>
    <w:rsid w:val="007820F7"/>
    <w:rsid w:val="0078257F"/>
    <w:rsid w:val="0078344E"/>
    <w:rsid w:val="00783F26"/>
    <w:rsid w:val="007843B4"/>
    <w:rsid w:val="00784728"/>
    <w:rsid w:val="00784ACE"/>
    <w:rsid w:val="00785785"/>
    <w:rsid w:val="007868EB"/>
    <w:rsid w:val="00791DED"/>
    <w:rsid w:val="00792933"/>
    <w:rsid w:val="00792AA8"/>
    <w:rsid w:val="007932CF"/>
    <w:rsid w:val="00793A9A"/>
    <w:rsid w:val="00793AAE"/>
    <w:rsid w:val="00794972"/>
    <w:rsid w:val="00795B7C"/>
    <w:rsid w:val="00796258"/>
    <w:rsid w:val="00796EE7"/>
    <w:rsid w:val="00797022"/>
    <w:rsid w:val="007A0C50"/>
    <w:rsid w:val="007A13A5"/>
    <w:rsid w:val="007A13FA"/>
    <w:rsid w:val="007A1E2E"/>
    <w:rsid w:val="007A2232"/>
    <w:rsid w:val="007A27BC"/>
    <w:rsid w:val="007A31B3"/>
    <w:rsid w:val="007A33F2"/>
    <w:rsid w:val="007A3672"/>
    <w:rsid w:val="007A3ABE"/>
    <w:rsid w:val="007A3F9B"/>
    <w:rsid w:val="007A473F"/>
    <w:rsid w:val="007A4CB0"/>
    <w:rsid w:val="007A51DD"/>
    <w:rsid w:val="007A578D"/>
    <w:rsid w:val="007A5B52"/>
    <w:rsid w:val="007A62C3"/>
    <w:rsid w:val="007A64E1"/>
    <w:rsid w:val="007B12EA"/>
    <w:rsid w:val="007B1C24"/>
    <w:rsid w:val="007B261D"/>
    <w:rsid w:val="007B2CDC"/>
    <w:rsid w:val="007B39ED"/>
    <w:rsid w:val="007B4102"/>
    <w:rsid w:val="007B47D9"/>
    <w:rsid w:val="007B51A8"/>
    <w:rsid w:val="007B651A"/>
    <w:rsid w:val="007B6567"/>
    <w:rsid w:val="007B6648"/>
    <w:rsid w:val="007B6669"/>
    <w:rsid w:val="007B7653"/>
    <w:rsid w:val="007C0942"/>
    <w:rsid w:val="007C2B84"/>
    <w:rsid w:val="007C311B"/>
    <w:rsid w:val="007C31E9"/>
    <w:rsid w:val="007C32F6"/>
    <w:rsid w:val="007C3349"/>
    <w:rsid w:val="007C3D7D"/>
    <w:rsid w:val="007C506B"/>
    <w:rsid w:val="007C5BE4"/>
    <w:rsid w:val="007C5E02"/>
    <w:rsid w:val="007C6354"/>
    <w:rsid w:val="007C6C94"/>
    <w:rsid w:val="007C713D"/>
    <w:rsid w:val="007C737A"/>
    <w:rsid w:val="007C7423"/>
    <w:rsid w:val="007D0037"/>
    <w:rsid w:val="007D020B"/>
    <w:rsid w:val="007D0629"/>
    <w:rsid w:val="007D0986"/>
    <w:rsid w:val="007D12B0"/>
    <w:rsid w:val="007D193B"/>
    <w:rsid w:val="007D1D3E"/>
    <w:rsid w:val="007D1E35"/>
    <w:rsid w:val="007D1E52"/>
    <w:rsid w:val="007D221A"/>
    <w:rsid w:val="007D2867"/>
    <w:rsid w:val="007D2872"/>
    <w:rsid w:val="007D3FE1"/>
    <w:rsid w:val="007D59A7"/>
    <w:rsid w:val="007D698B"/>
    <w:rsid w:val="007D6A39"/>
    <w:rsid w:val="007D7BB6"/>
    <w:rsid w:val="007E17A0"/>
    <w:rsid w:val="007E1FDB"/>
    <w:rsid w:val="007E345F"/>
    <w:rsid w:val="007E36B3"/>
    <w:rsid w:val="007E5435"/>
    <w:rsid w:val="007E5D35"/>
    <w:rsid w:val="007E6088"/>
    <w:rsid w:val="007E70AF"/>
    <w:rsid w:val="007F040C"/>
    <w:rsid w:val="007F0865"/>
    <w:rsid w:val="007F0B4A"/>
    <w:rsid w:val="007F149C"/>
    <w:rsid w:val="007F159E"/>
    <w:rsid w:val="007F187A"/>
    <w:rsid w:val="007F1D2D"/>
    <w:rsid w:val="007F2418"/>
    <w:rsid w:val="007F2434"/>
    <w:rsid w:val="007F25BC"/>
    <w:rsid w:val="007F2920"/>
    <w:rsid w:val="007F2EC6"/>
    <w:rsid w:val="007F3D53"/>
    <w:rsid w:val="007F4387"/>
    <w:rsid w:val="007F52A6"/>
    <w:rsid w:val="007F55A3"/>
    <w:rsid w:val="007F5692"/>
    <w:rsid w:val="007F5789"/>
    <w:rsid w:val="007F57DB"/>
    <w:rsid w:val="007F595E"/>
    <w:rsid w:val="007F5BB4"/>
    <w:rsid w:val="007F68DA"/>
    <w:rsid w:val="007F7A3E"/>
    <w:rsid w:val="008004E7"/>
    <w:rsid w:val="00800968"/>
    <w:rsid w:val="0080107B"/>
    <w:rsid w:val="0080276C"/>
    <w:rsid w:val="00803808"/>
    <w:rsid w:val="00804C25"/>
    <w:rsid w:val="00805DFC"/>
    <w:rsid w:val="008060C8"/>
    <w:rsid w:val="008071C8"/>
    <w:rsid w:val="00810F5C"/>
    <w:rsid w:val="00810FF4"/>
    <w:rsid w:val="008126AA"/>
    <w:rsid w:val="00812723"/>
    <w:rsid w:val="008127DC"/>
    <w:rsid w:val="00812BCD"/>
    <w:rsid w:val="008131D9"/>
    <w:rsid w:val="008137FC"/>
    <w:rsid w:val="00814516"/>
    <w:rsid w:val="00814526"/>
    <w:rsid w:val="00814A6A"/>
    <w:rsid w:val="00814BC4"/>
    <w:rsid w:val="00814ED4"/>
    <w:rsid w:val="008152E3"/>
    <w:rsid w:val="0081557C"/>
    <w:rsid w:val="008159B1"/>
    <w:rsid w:val="00815C25"/>
    <w:rsid w:val="00817A52"/>
    <w:rsid w:val="0082017B"/>
    <w:rsid w:val="00820282"/>
    <w:rsid w:val="00820AA2"/>
    <w:rsid w:val="0082117F"/>
    <w:rsid w:val="00821E1B"/>
    <w:rsid w:val="00822B1E"/>
    <w:rsid w:val="00822BB6"/>
    <w:rsid w:val="00823C5E"/>
    <w:rsid w:val="0082443B"/>
    <w:rsid w:val="008244E5"/>
    <w:rsid w:val="0082586B"/>
    <w:rsid w:val="0082619C"/>
    <w:rsid w:val="00826FDD"/>
    <w:rsid w:val="00830FFE"/>
    <w:rsid w:val="008318DC"/>
    <w:rsid w:val="00831A0D"/>
    <w:rsid w:val="008322F1"/>
    <w:rsid w:val="008328F9"/>
    <w:rsid w:val="00833D7C"/>
    <w:rsid w:val="00833E40"/>
    <w:rsid w:val="008346DB"/>
    <w:rsid w:val="008351CB"/>
    <w:rsid w:val="00835B20"/>
    <w:rsid w:val="0083658B"/>
    <w:rsid w:val="00836AD2"/>
    <w:rsid w:val="008375CC"/>
    <w:rsid w:val="008400D2"/>
    <w:rsid w:val="0084026C"/>
    <w:rsid w:val="008409EF"/>
    <w:rsid w:val="008415CC"/>
    <w:rsid w:val="008418C0"/>
    <w:rsid w:val="00841A09"/>
    <w:rsid w:val="00842862"/>
    <w:rsid w:val="00843195"/>
    <w:rsid w:val="00843FA0"/>
    <w:rsid w:val="00844075"/>
    <w:rsid w:val="008444A8"/>
    <w:rsid w:val="0084495C"/>
    <w:rsid w:val="00844CB4"/>
    <w:rsid w:val="00845199"/>
    <w:rsid w:val="00845ECA"/>
    <w:rsid w:val="008469DF"/>
    <w:rsid w:val="00847DFE"/>
    <w:rsid w:val="00847FA9"/>
    <w:rsid w:val="00850CB3"/>
    <w:rsid w:val="008510E1"/>
    <w:rsid w:val="00851111"/>
    <w:rsid w:val="008513CF"/>
    <w:rsid w:val="00851C0E"/>
    <w:rsid w:val="008525CF"/>
    <w:rsid w:val="00852786"/>
    <w:rsid w:val="008542CC"/>
    <w:rsid w:val="00854836"/>
    <w:rsid w:val="0085561B"/>
    <w:rsid w:val="0085592D"/>
    <w:rsid w:val="00857A2B"/>
    <w:rsid w:val="00860973"/>
    <w:rsid w:val="00860B77"/>
    <w:rsid w:val="00860D79"/>
    <w:rsid w:val="0086183E"/>
    <w:rsid w:val="00861C79"/>
    <w:rsid w:val="00862899"/>
    <w:rsid w:val="00863DD4"/>
    <w:rsid w:val="00864325"/>
    <w:rsid w:val="008648B5"/>
    <w:rsid w:val="00864E0A"/>
    <w:rsid w:val="0086528B"/>
    <w:rsid w:val="008652BA"/>
    <w:rsid w:val="008661ED"/>
    <w:rsid w:val="0086641A"/>
    <w:rsid w:val="00867D28"/>
    <w:rsid w:val="00867F68"/>
    <w:rsid w:val="008712E8"/>
    <w:rsid w:val="008728FB"/>
    <w:rsid w:val="00872C1F"/>
    <w:rsid w:val="00873039"/>
    <w:rsid w:val="008732CE"/>
    <w:rsid w:val="0087368F"/>
    <w:rsid w:val="0087372F"/>
    <w:rsid w:val="008737D3"/>
    <w:rsid w:val="008742EF"/>
    <w:rsid w:val="00874D7B"/>
    <w:rsid w:val="0087590F"/>
    <w:rsid w:val="0087745E"/>
    <w:rsid w:val="00877CBF"/>
    <w:rsid w:val="00880300"/>
    <w:rsid w:val="00880788"/>
    <w:rsid w:val="00882277"/>
    <w:rsid w:val="008823A3"/>
    <w:rsid w:val="00882ABB"/>
    <w:rsid w:val="00882D53"/>
    <w:rsid w:val="00883437"/>
    <w:rsid w:val="008834C5"/>
    <w:rsid w:val="00883C24"/>
    <w:rsid w:val="0088523D"/>
    <w:rsid w:val="008853F8"/>
    <w:rsid w:val="008868DC"/>
    <w:rsid w:val="008903C4"/>
    <w:rsid w:val="00890E1B"/>
    <w:rsid w:val="00890E30"/>
    <w:rsid w:val="008911D2"/>
    <w:rsid w:val="00891BA0"/>
    <w:rsid w:val="00891D42"/>
    <w:rsid w:val="00891E47"/>
    <w:rsid w:val="00892E5D"/>
    <w:rsid w:val="0089390F"/>
    <w:rsid w:val="00894B14"/>
    <w:rsid w:val="008953BD"/>
    <w:rsid w:val="00895BEE"/>
    <w:rsid w:val="0089770A"/>
    <w:rsid w:val="0089775C"/>
    <w:rsid w:val="008A0B2D"/>
    <w:rsid w:val="008A4628"/>
    <w:rsid w:val="008A6317"/>
    <w:rsid w:val="008A64CF"/>
    <w:rsid w:val="008A693B"/>
    <w:rsid w:val="008A6BFA"/>
    <w:rsid w:val="008A70C5"/>
    <w:rsid w:val="008B280C"/>
    <w:rsid w:val="008B3A6B"/>
    <w:rsid w:val="008B47CB"/>
    <w:rsid w:val="008B4E1F"/>
    <w:rsid w:val="008B5920"/>
    <w:rsid w:val="008B596A"/>
    <w:rsid w:val="008B5AF5"/>
    <w:rsid w:val="008B6A6C"/>
    <w:rsid w:val="008B7075"/>
    <w:rsid w:val="008B7EAC"/>
    <w:rsid w:val="008C035A"/>
    <w:rsid w:val="008C05CA"/>
    <w:rsid w:val="008C0FAE"/>
    <w:rsid w:val="008C15BB"/>
    <w:rsid w:val="008C2078"/>
    <w:rsid w:val="008C23B8"/>
    <w:rsid w:val="008C280E"/>
    <w:rsid w:val="008C28E5"/>
    <w:rsid w:val="008C4E5F"/>
    <w:rsid w:val="008C5096"/>
    <w:rsid w:val="008C582E"/>
    <w:rsid w:val="008C6920"/>
    <w:rsid w:val="008C6C82"/>
    <w:rsid w:val="008C7869"/>
    <w:rsid w:val="008D0D9F"/>
    <w:rsid w:val="008D15F7"/>
    <w:rsid w:val="008D1FDE"/>
    <w:rsid w:val="008D25B9"/>
    <w:rsid w:val="008D2A5F"/>
    <w:rsid w:val="008D3126"/>
    <w:rsid w:val="008D351D"/>
    <w:rsid w:val="008D3872"/>
    <w:rsid w:val="008D4262"/>
    <w:rsid w:val="008D783D"/>
    <w:rsid w:val="008D7A4E"/>
    <w:rsid w:val="008E0DA1"/>
    <w:rsid w:val="008E0EA1"/>
    <w:rsid w:val="008E1C45"/>
    <w:rsid w:val="008E242E"/>
    <w:rsid w:val="008E2504"/>
    <w:rsid w:val="008E2D98"/>
    <w:rsid w:val="008E33C9"/>
    <w:rsid w:val="008E4611"/>
    <w:rsid w:val="008E4AA8"/>
    <w:rsid w:val="008E54FB"/>
    <w:rsid w:val="008E582D"/>
    <w:rsid w:val="008E59A0"/>
    <w:rsid w:val="008E603F"/>
    <w:rsid w:val="008E647B"/>
    <w:rsid w:val="008E6D29"/>
    <w:rsid w:val="008E6F42"/>
    <w:rsid w:val="008E71F5"/>
    <w:rsid w:val="008E74B3"/>
    <w:rsid w:val="008E7B61"/>
    <w:rsid w:val="008F1455"/>
    <w:rsid w:val="008F171B"/>
    <w:rsid w:val="008F1E3B"/>
    <w:rsid w:val="008F36C3"/>
    <w:rsid w:val="008F3AE2"/>
    <w:rsid w:val="008F4DC2"/>
    <w:rsid w:val="008F60FF"/>
    <w:rsid w:val="008F6221"/>
    <w:rsid w:val="008F62D5"/>
    <w:rsid w:val="008F709A"/>
    <w:rsid w:val="008F722B"/>
    <w:rsid w:val="008F75B0"/>
    <w:rsid w:val="008F777B"/>
    <w:rsid w:val="008F7CCE"/>
    <w:rsid w:val="008F7DC0"/>
    <w:rsid w:val="00900290"/>
    <w:rsid w:val="00901893"/>
    <w:rsid w:val="00901AEE"/>
    <w:rsid w:val="00902008"/>
    <w:rsid w:val="009020EA"/>
    <w:rsid w:val="009033D8"/>
    <w:rsid w:val="00903AC1"/>
    <w:rsid w:val="009040C8"/>
    <w:rsid w:val="0090442F"/>
    <w:rsid w:val="00904504"/>
    <w:rsid w:val="009048C7"/>
    <w:rsid w:val="00904BE2"/>
    <w:rsid w:val="00905716"/>
    <w:rsid w:val="00905F83"/>
    <w:rsid w:val="009064E2"/>
    <w:rsid w:val="009065A3"/>
    <w:rsid w:val="009077C7"/>
    <w:rsid w:val="009079EE"/>
    <w:rsid w:val="0091045D"/>
    <w:rsid w:val="00911B75"/>
    <w:rsid w:val="0091220E"/>
    <w:rsid w:val="009122B8"/>
    <w:rsid w:val="009133A1"/>
    <w:rsid w:val="00913567"/>
    <w:rsid w:val="00914396"/>
    <w:rsid w:val="0091465A"/>
    <w:rsid w:val="00914CC1"/>
    <w:rsid w:val="009175EE"/>
    <w:rsid w:val="00920216"/>
    <w:rsid w:val="00920463"/>
    <w:rsid w:val="00922BDC"/>
    <w:rsid w:val="009231E5"/>
    <w:rsid w:val="009238C7"/>
    <w:rsid w:val="00923BCB"/>
    <w:rsid w:val="00923D68"/>
    <w:rsid w:val="00924022"/>
    <w:rsid w:val="009245CA"/>
    <w:rsid w:val="009248C6"/>
    <w:rsid w:val="00924CD6"/>
    <w:rsid w:val="0092568D"/>
    <w:rsid w:val="009256AD"/>
    <w:rsid w:val="0092636C"/>
    <w:rsid w:val="009263DB"/>
    <w:rsid w:val="009264D4"/>
    <w:rsid w:val="00926E28"/>
    <w:rsid w:val="00926E4D"/>
    <w:rsid w:val="00927740"/>
    <w:rsid w:val="0093005F"/>
    <w:rsid w:val="0093022D"/>
    <w:rsid w:val="00931334"/>
    <w:rsid w:val="00931B71"/>
    <w:rsid w:val="009325AB"/>
    <w:rsid w:val="00932604"/>
    <w:rsid w:val="00932A04"/>
    <w:rsid w:val="00932EE4"/>
    <w:rsid w:val="0093352D"/>
    <w:rsid w:val="00933C31"/>
    <w:rsid w:val="00933CFA"/>
    <w:rsid w:val="009361DC"/>
    <w:rsid w:val="0093669F"/>
    <w:rsid w:val="0093714A"/>
    <w:rsid w:val="009376FF"/>
    <w:rsid w:val="00940185"/>
    <w:rsid w:val="00940BCD"/>
    <w:rsid w:val="00941279"/>
    <w:rsid w:val="00941851"/>
    <w:rsid w:val="0094231F"/>
    <w:rsid w:val="009441CF"/>
    <w:rsid w:val="009457DC"/>
    <w:rsid w:val="0094609F"/>
    <w:rsid w:val="009462D5"/>
    <w:rsid w:val="00946531"/>
    <w:rsid w:val="00947E9F"/>
    <w:rsid w:val="00950AA9"/>
    <w:rsid w:val="00950EC9"/>
    <w:rsid w:val="0095204C"/>
    <w:rsid w:val="00952311"/>
    <w:rsid w:val="0095456C"/>
    <w:rsid w:val="009547B3"/>
    <w:rsid w:val="009552CA"/>
    <w:rsid w:val="00955816"/>
    <w:rsid w:val="009559D6"/>
    <w:rsid w:val="009566AB"/>
    <w:rsid w:val="00956905"/>
    <w:rsid w:val="00957661"/>
    <w:rsid w:val="009600D7"/>
    <w:rsid w:val="00960973"/>
    <w:rsid w:val="009614C6"/>
    <w:rsid w:val="00961CED"/>
    <w:rsid w:val="00962BFB"/>
    <w:rsid w:val="00962E1C"/>
    <w:rsid w:val="0096349D"/>
    <w:rsid w:val="009636B9"/>
    <w:rsid w:val="0096399F"/>
    <w:rsid w:val="00963BDF"/>
    <w:rsid w:val="00964134"/>
    <w:rsid w:val="00964954"/>
    <w:rsid w:val="0096650C"/>
    <w:rsid w:val="00966DEC"/>
    <w:rsid w:val="009673F8"/>
    <w:rsid w:val="00967793"/>
    <w:rsid w:val="009677F5"/>
    <w:rsid w:val="00967B4A"/>
    <w:rsid w:val="00970DF7"/>
    <w:rsid w:val="00971604"/>
    <w:rsid w:val="00972C75"/>
    <w:rsid w:val="009735FF"/>
    <w:rsid w:val="00973A75"/>
    <w:rsid w:val="00974CA6"/>
    <w:rsid w:val="00975630"/>
    <w:rsid w:val="009756EF"/>
    <w:rsid w:val="0097673B"/>
    <w:rsid w:val="009767A3"/>
    <w:rsid w:val="0097684E"/>
    <w:rsid w:val="00976AE3"/>
    <w:rsid w:val="00977063"/>
    <w:rsid w:val="00977D16"/>
    <w:rsid w:val="00977F08"/>
    <w:rsid w:val="00981632"/>
    <w:rsid w:val="00981FE3"/>
    <w:rsid w:val="00982FE9"/>
    <w:rsid w:val="0098381C"/>
    <w:rsid w:val="009840A0"/>
    <w:rsid w:val="00985692"/>
    <w:rsid w:val="00987C7D"/>
    <w:rsid w:val="00990380"/>
    <w:rsid w:val="00991682"/>
    <w:rsid w:val="009921DB"/>
    <w:rsid w:val="009936AF"/>
    <w:rsid w:val="009938EF"/>
    <w:rsid w:val="009939C1"/>
    <w:rsid w:val="00994053"/>
    <w:rsid w:val="009940EF"/>
    <w:rsid w:val="00994A8D"/>
    <w:rsid w:val="00994D06"/>
    <w:rsid w:val="00995185"/>
    <w:rsid w:val="009953B6"/>
    <w:rsid w:val="0099553A"/>
    <w:rsid w:val="0099567A"/>
    <w:rsid w:val="00995FDC"/>
    <w:rsid w:val="00996A95"/>
    <w:rsid w:val="00997270"/>
    <w:rsid w:val="00997C77"/>
    <w:rsid w:val="00997CD5"/>
    <w:rsid w:val="00997CF0"/>
    <w:rsid w:val="00997D64"/>
    <w:rsid w:val="009A0BBC"/>
    <w:rsid w:val="009A1705"/>
    <w:rsid w:val="009A1D90"/>
    <w:rsid w:val="009A2917"/>
    <w:rsid w:val="009A3331"/>
    <w:rsid w:val="009A41C5"/>
    <w:rsid w:val="009A46B9"/>
    <w:rsid w:val="009A499F"/>
    <w:rsid w:val="009A5AFD"/>
    <w:rsid w:val="009A6C8D"/>
    <w:rsid w:val="009A6E06"/>
    <w:rsid w:val="009A6EC2"/>
    <w:rsid w:val="009A6EFD"/>
    <w:rsid w:val="009A7AA2"/>
    <w:rsid w:val="009A7B98"/>
    <w:rsid w:val="009B03C8"/>
    <w:rsid w:val="009B0DEC"/>
    <w:rsid w:val="009B1A85"/>
    <w:rsid w:val="009B30FA"/>
    <w:rsid w:val="009B3775"/>
    <w:rsid w:val="009B39DC"/>
    <w:rsid w:val="009B3F38"/>
    <w:rsid w:val="009B4581"/>
    <w:rsid w:val="009B4F55"/>
    <w:rsid w:val="009B507F"/>
    <w:rsid w:val="009B5C10"/>
    <w:rsid w:val="009B61E7"/>
    <w:rsid w:val="009B648A"/>
    <w:rsid w:val="009B65F9"/>
    <w:rsid w:val="009B77F2"/>
    <w:rsid w:val="009C0C02"/>
    <w:rsid w:val="009C13DC"/>
    <w:rsid w:val="009C287D"/>
    <w:rsid w:val="009C39B4"/>
    <w:rsid w:val="009C4CBE"/>
    <w:rsid w:val="009C5251"/>
    <w:rsid w:val="009C58AE"/>
    <w:rsid w:val="009C6276"/>
    <w:rsid w:val="009C6B12"/>
    <w:rsid w:val="009C6E72"/>
    <w:rsid w:val="009C742F"/>
    <w:rsid w:val="009C7DCE"/>
    <w:rsid w:val="009D0DFD"/>
    <w:rsid w:val="009D32CF"/>
    <w:rsid w:val="009D3C3F"/>
    <w:rsid w:val="009D4661"/>
    <w:rsid w:val="009D4D67"/>
    <w:rsid w:val="009D5B2D"/>
    <w:rsid w:val="009D6021"/>
    <w:rsid w:val="009D619D"/>
    <w:rsid w:val="009D635B"/>
    <w:rsid w:val="009D66DC"/>
    <w:rsid w:val="009D6FDA"/>
    <w:rsid w:val="009D7599"/>
    <w:rsid w:val="009D7A82"/>
    <w:rsid w:val="009D7B21"/>
    <w:rsid w:val="009D7F6F"/>
    <w:rsid w:val="009E0393"/>
    <w:rsid w:val="009E0487"/>
    <w:rsid w:val="009E07D3"/>
    <w:rsid w:val="009E144C"/>
    <w:rsid w:val="009E2058"/>
    <w:rsid w:val="009E2B18"/>
    <w:rsid w:val="009E3A08"/>
    <w:rsid w:val="009E401D"/>
    <w:rsid w:val="009E4290"/>
    <w:rsid w:val="009E49D9"/>
    <w:rsid w:val="009E532B"/>
    <w:rsid w:val="009E5522"/>
    <w:rsid w:val="009E5878"/>
    <w:rsid w:val="009E5AF9"/>
    <w:rsid w:val="009E6755"/>
    <w:rsid w:val="009E6A2E"/>
    <w:rsid w:val="009E6B8E"/>
    <w:rsid w:val="009E6CED"/>
    <w:rsid w:val="009E6F8D"/>
    <w:rsid w:val="009E7F7C"/>
    <w:rsid w:val="009F035E"/>
    <w:rsid w:val="009F06F2"/>
    <w:rsid w:val="009F097D"/>
    <w:rsid w:val="009F32CD"/>
    <w:rsid w:val="009F3C68"/>
    <w:rsid w:val="009F4112"/>
    <w:rsid w:val="009F56A0"/>
    <w:rsid w:val="009F635E"/>
    <w:rsid w:val="009F66AF"/>
    <w:rsid w:val="009F6721"/>
    <w:rsid w:val="009F67C9"/>
    <w:rsid w:val="009F710B"/>
    <w:rsid w:val="009F784E"/>
    <w:rsid w:val="009F7BC3"/>
    <w:rsid w:val="009F7E7C"/>
    <w:rsid w:val="00A0060A"/>
    <w:rsid w:val="00A00835"/>
    <w:rsid w:val="00A008ED"/>
    <w:rsid w:val="00A02C5D"/>
    <w:rsid w:val="00A03B9C"/>
    <w:rsid w:val="00A05426"/>
    <w:rsid w:val="00A061EB"/>
    <w:rsid w:val="00A06EF7"/>
    <w:rsid w:val="00A0709E"/>
    <w:rsid w:val="00A07721"/>
    <w:rsid w:val="00A106C4"/>
    <w:rsid w:val="00A11EED"/>
    <w:rsid w:val="00A12F50"/>
    <w:rsid w:val="00A140D3"/>
    <w:rsid w:val="00A1446B"/>
    <w:rsid w:val="00A14862"/>
    <w:rsid w:val="00A14AFE"/>
    <w:rsid w:val="00A15454"/>
    <w:rsid w:val="00A1563F"/>
    <w:rsid w:val="00A15783"/>
    <w:rsid w:val="00A1660B"/>
    <w:rsid w:val="00A167F2"/>
    <w:rsid w:val="00A16AC5"/>
    <w:rsid w:val="00A16C7E"/>
    <w:rsid w:val="00A17437"/>
    <w:rsid w:val="00A17EFE"/>
    <w:rsid w:val="00A2066C"/>
    <w:rsid w:val="00A206C2"/>
    <w:rsid w:val="00A208E1"/>
    <w:rsid w:val="00A20C78"/>
    <w:rsid w:val="00A21122"/>
    <w:rsid w:val="00A211A9"/>
    <w:rsid w:val="00A225E2"/>
    <w:rsid w:val="00A2312E"/>
    <w:rsid w:val="00A23B7D"/>
    <w:rsid w:val="00A24323"/>
    <w:rsid w:val="00A24F4D"/>
    <w:rsid w:val="00A2512C"/>
    <w:rsid w:val="00A2515B"/>
    <w:rsid w:val="00A2588E"/>
    <w:rsid w:val="00A25D4C"/>
    <w:rsid w:val="00A26020"/>
    <w:rsid w:val="00A2642A"/>
    <w:rsid w:val="00A26AFD"/>
    <w:rsid w:val="00A26EDF"/>
    <w:rsid w:val="00A272A1"/>
    <w:rsid w:val="00A277F8"/>
    <w:rsid w:val="00A27A48"/>
    <w:rsid w:val="00A30EF7"/>
    <w:rsid w:val="00A31255"/>
    <w:rsid w:val="00A31691"/>
    <w:rsid w:val="00A31D38"/>
    <w:rsid w:val="00A32954"/>
    <w:rsid w:val="00A33CB3"/>
    <w:rsid w:val="00A34789"/>
    <w:rsid w:val="00A34F77"/>
    <w:rsid w:val="00A359A8"/>
    <w:rsid w:val="00A3630E"/>
    <w:rsid w:val="00A368BE"/>
    <w:rsid w:val="00A37191"/>
    <w:rsid w:val="00A379D3"/>
    <w:rsid w:val="00A37BB8"/>
    <w:rsid w:val="00A403E0"/>
    <w:rsid w:val="00A41058"/>
    <w:rsid w:val="00A41109"/>
    <w:rsid w:val="00A41A75"/>
    <w:rsid w:val="00A41FF8"/>
    <w:rsid w:val="00A42584"/>
    <w:rsid w:val="00A42D87"/>
    <w:rsid w:val="00A431BC"/>
    <w:rsid w:val="00A44BD3"/>
    <w:rsid w:val="00A4521D"/>
    <w:rsid w:val="00A46238"/>
    <w:rsid w:val="00A4691A"/>
    <w:rsid w:val="00A46D6F"/>
    <w:rsid w:val="00A47F03"/>
    <w:rsid w:val="00A502FE"/>
    <w:rsid w:val="00A50364"/>
    <w:rsid w:val="00A508F8"/>
    <w:rsid w:val="00A50E43"/>
    <w:rsid w:val="00A51F0A"/>
    <w:rsid w:val="00A52003"/>
    <w:rsid w:val="00A5323A"/>
    <w:rsid w:val="00A53EBA"/>
    <w:rsid w:val="00A545C1"/>
    <w:rsid w:val="00A54D77"/>
    <w:rsid w:val="00A54DB5"/>
    <w:rsid w:val="00A54EF2"/>
    <w:rsid w:val="00A55D48"/>
    <w:rsid w:val="00A56AA6"/>
    <w:rsid w:val="00A56AE8"/>
    <w:rsid w:val="00A57875"/>
    <w:rsid w:val="00A5791E"/>
    <w:rsid w:val="00A57BEB"/>
    <w:rsid w:val="00A60030"/>
    <w:rsid w:val="00A60D47"/>
    <w:rsid w:val="00A61673"/>
    <w:rsid w:val="00A62D4C"/>
    <w:rsid w:val="00A6314A"/>
    <w:rsid w:val="00A644B9"/>
    <w:rsid w:val="00A64926"/>
    <w:rsid w:val="00A64CEC"/>
    <w:rsid w:val="00A66315"/>
    <w:rsid w:val="00A665CF"/>
    <w:rsid w:val="00A665D0"/>
    <w:rsid w:val="00A66CD1"/>
    <w:rsid w:val="00A673B3"/>
    <w:rsid w:val="00A67937"/>
    <w:rsid w:val="00A67CA7"/>
    <w:rsid w:val="00A67D6E"/>
    <w:rsid w:val="00A70D7B"/>
    <w:rsid w:val="00A70F86"/>
    <w:rsid w:val="00A73482"/>
    <w:rsid w:val="00A73989"/>
    <w:rsid w:val="00A744D4"/>
    <w:rsid w:val="00A745EC"/>
    <w:rsid w:val="00A7483E"/>
    <w:rsid w:val="00A75B2E"/>
    <w:rsid w:val="00A76B5D"/>
    <w:rsid w:val="00A7752F"/>
    <w:rsid w:val="00A82342"/>
    <w:rsid w:val="00A8234F"/>
    <w:rsid w:val="00A82FD3"/>
    <w:rsid w:val="00A8397B"/>
    <w:rsid w:val="00A84FAE"/>
    <w:rsid w:val="00A8501E"/>
    <w:rsid w:val="00A85091"/>
    <w:rsid w:val="00A85C35"/>
    <w:rsid w:val="00A85DC7"/>
    <w:rsid w:val="00A86087"/>
    <w:rsid w:val="00A86CB8"/>
    <w:rsid w:val="00A86FE8"/>
    <w:rsid w:val="00A90349"/>
    <w:rsid w:val="00A90627"/>
    <w:rsid w:val="00A90D94"/>
    <w:rsid w:val="00A92061"/>
    <w:rsid w:val="00A927AD"/>
    <w:rsid w:val="00A94249"/>
    <w:rsid w:val="00A94BC9"/>
    <w:rsid w:val="00A9501F"/>
    <w:rsid w:val="00A958A1"/>
    <w:rsid w:val="00A959BC"/>
    <w:rsid w:val="00A9782C"/>
    <w:rsid w:val="00A9786C"/>
    <w:rsid w:val="00A97996"/>
    <w:rsid w:val="00AA0EB3"/>
    <w:rsid w:val="00AA284E"/>
    <w:rsid w:val="00AA3238"/>
    <w:rsid w:val="00AA3324"/>
    <w:rsid w:val="00AA3361"/>
    <w:rsid w:val="00AA3C60"/>
    <w:rsid w:val="00AA447D"/>
    <w:rsid w:val="00AA4ACC"/>
    <w:rsid w:val="00AA4B09"/>
    <w:rsid w:val="00AA5419"/>
    <w:rsid w:val="00AA5A7C"/>
    <w:rsid w:val="00AA61EC"/>
    <w:rsid w:val="00AA693C"/>
    <w:rsid w:val="00AA6AD1"/>
    <w:rsid w:val="00AA6BB4"/>
    <w:rsid w:val="00AA7B74"/>
    <w:rsid w:val="00AB0D31"/>
    <w:rsid w:val="00AB2235"/>
    <w:rsid w:val="00AB2FF4"/>
    <w:rsid w:val="00AB4476"/>
    <w:rsid w:val="00AB4FA1"/>
    <w:rsid w:val="00AB5255"/>
    <w:rsid w:val="00AB5F9C"/>
    <w:rsid w:val="00AB68A6"/>
    <w:rsid w:val="00AB7866"/>
    <w:rsid w:val="00AC02FC"/>
    <w:rsid w:val="00AC19CA"/>
    <w:rsid w:val="00AC1AD6"/>
    <w:rsid w:val="00AC3D33"/>
    <w:rsid w:val="00AC4F36"/>
    <w:rsid w:val="00AC5329"/>
    <w:rsid w:val="00AC71EC"/>
    <w:rsid w:val="00AC73D1"/>
    <w:rsid w:val="00AC7467"/>
    <w:rsid w:val="00AD00E1"/>
    <w:rsid w:val="00AD076F"/>
    <w:rsid w:val="00AD1046"/>
    <w:rsid w:val="00AD1D01"/>
    <w:rsid w:val="00AD1D8F"/>
    <w:rsid w:val="00AD2F6C"/>
    <w:rsid w:val="00AD345C"/>
    <w:rsid w:val="00AD3D1A"/>
    <w:rsid w:val="00AD4D50"/>
    <w:rsid w:val="00AD5262"/>
    <w:rsid w:val="00AD57F4"/>
    <w:rsid w:val="00AD5A81"/>
    <w:rsid w:val="00AD6102"/>
    <w:rsid w:val="00AD64DF"/>
    <w:rsid w:val="00AD650A"/>
    <w:rsid w:val="00AD651D"/>
    <w:rsid w:val="00AD6B5B"/>
    <w:rsid w:val="00AD6E1A"/>
    <w:rsid w:val="00AD727E"/>
    <w:rsid w:val="00AD7D79"/>
    <w:rsid w:val="00AE0C5C"/>
    <w:rsid w:val="00AE1025"/>
    <w:rsid w:val="00AE15CA"/>
    <w:rsid w:val="00AE2315"/>
    <w:rsid w:val="00AE3150"/>
    <w:rsid w:val="00AE3F03"/>
    <w:rsid w:val="00AE48AE"/>
    <w:rsid w:val="00AE55B7"/>
    <w:rsid w:val="00AE5A3B"/>
    <w:rsid w:val="00AE6383"/>
    <w:rsid w:val="00AE64F0"/>
    <w:rsid w:val="00AE65BF"/>
    <w:rsid w:val="00AE6CD1"/>
    <w:rsid w:val="00AE74E1"/>
    <w:rsid w:val="00AE7DA7"/>
    <w:rsid w:val="00AE7E5A"/>
    <w:rsid w:val="00AF03AA"/>
    <w:rsid w:val="00AF0AB9"/>
    <w:rsid w:val="00AF1083"/>
    <w:rsid w:val="00AF2164"/>
    <w:rsid w:val="00AF23C8"/>
    <w:rsid w:val="00AF2AE2"/>
    <w:rsid w:val="00AF303B"/>
    <w:rsid w:val="00AF38D3"/>
    <w:rsid w:val="00AF3B78"/>
    <w:rsid w:val="00AF4AE9"/>
    <w:rsid w:val="00AF5B90"/>
    <w:rsid w:val="00AF5C33"/>
    <w:rsid w:val="00AF6701"/>
    <w:rsid w:val="00AF75D5"/>
    <w:rsid w:val="00AF7F52"/>
    <w:rsid w:val="00B003BA"/>
    <w:rsid w:val="00B02599"/>
    <w:rsid w:val="00B0377E"/>
    <w:rsid w:val="00B03E3C"/>
    <w:rsid w:val="00B040A0"/>
    <w:rsid w:val="00B04543"/>
    <w:rsid w:val="00B049D4"/>
    <w:rsid w:val="00B05640"/>
    <w:rsid w:val="00B06044"/>
    <w:rsid w:val="00B060B5"/>
    <w:rsid w:val="00B0770A"/>
    <w:rsid w:val="00B07BA9"/>
    <w:rsid w:val="00B10055"/>
    <w:rsid w:val="00B100D6"/>
    <w:rsid w:val="00B10203"/>
    <w:rsid w:val="00B1097C"/>
    <w:rsid w:val="00B1141E"/>
    <w:rsid w:val="00B11E22"/>
    <w:rsid w:val="00B1278B"/>
    <w:rsid w:val="00B13D92"/>
    <w:rsid w:val="00B14757"/>
    <w:rsid w:val="00B14794"/>
    <w:rsid w:val="00B147D4"/>
    <w:rsid w:val="00B152FA"/>
    <w:rsid w:val="00B155E9"/>
    <w:rsid w:val="00B15952"/>
    <w:rsid w:val="00B16206"/>
    <w:rsid w:val="00B16FAC"/>
    <w:rsid w:val="00B1726F"/>
    <w:rsid w:val="00B17295"/>
    <w:rsid w:val="00B1794D"/>
    <w:rsid w:val="00B17CEE"/>
    <w:rsid w:val="00B215F5"/>
    <w:rsid w:val="00B21D8C"/>
    <w:rsid w:val="00B221A0"/>
    <w:rsid w:val="00B22D66"/>
    <w:rsid w:val="00B24B03"/>
    <w:rsid w:val="00B24F05"/>
    <w:rsid w:val="00B251C0"/>
    <w:rsid w:val="00B27A54"/>
    <w:rsid w:val="00B30783"/>
    <w:rsid w:val="00B30B89"/>
    <w:rsid w:val="00B30D4F"/>
    <w:rsid w:val="00B317D9"/>
    <w:rsid w:val="00B3226E"/>
    <w:rsid w:val="00B322C8"/>
    <w:rsid w:val="00B3231C"/>
    <w:rsid w:val="00B3303F"/>
    <w:rsid w:val="00B33C5A"/>
    <w:rsid w:val="00B33D1E"/>
    <w:rsid w:val="00B33FB5"/>
    <w:rsid w:val="00B34783"/>
    <w:rsid w:val="00B3707F"/>
    <w:rsid w:val="00B37F80"/>
    <w:rsid w:val="00B41E7C"/>
    <w:rsid w:val="00B41F0F"/>
    <w:rsid w:val="00B42560"/>
    <w:rsid w:val="00B44CCA"/>
    <w:rsid w:val="00B455AA"/>
    <w:rsid w:val="00B45778"/>
    <w:rsid w:val="00B457A1"/>
    <w:rsid w:val="00B45CDB"/>
    <w:rsid w:val="00B4630F"/>
    <w:rsid w:val="00B46480"/>
    <w:rsid w:val="00B464B1"/>
    <w:rsid w:val="00B46BC9"/>
    <w:rsid w:val="00B477E0"/>
    <w:rsid w:val="00B47A4A"/>
    <w:rsid w:val="00B47B99"/>
    <w:rsid w:val="00B506F2"/>
    <w:rsid w:val="00B50DDA"/>
    <w:rsid w:val="00B51085"/>
    <w:rsid w:val="00B510E3"/>
    <w:rsid w:val="00B521AC"/>
    <w:rsid w:val="00B52702"/>
    <w:rsid w:val="00B52FC7"/>
    <w:rsid w:val="00B54631"/>
    <w:rsid w:val="00B5498D"/>
    <w:rsid w:val="00B5501D"/>
    <w:rsid w:val="00B57805"/>
    <w:rsid w:val="00B57D9B"/>
    <w:rsid w:val="00B6095D"/>
    <w:rsid w:val="00B60E0B"/>
    <w:rsid w:val="00B6151E"/>
    <w:rsid w:val="00B61812"/>
    <w:rsid w:val="00B62D86"/>
    <w:rsid w:val="00B6361A"/>
    <w:rsid w:val="00B64056"/>
    <w:rsid w:val="00B644DF"/>
    <w:rsid w:val="00B64962"/>
    <w:rsid w:val="00B64B28"/>
    <w:rsid w:val="00B64D39"/>
    <w:rsid w:val="00B64E6D"/>
    <w:rsid w:val="00B65A0A"/>
    <w:rsid w:val="00B6623F"/>
    <w:rsid w:val="00B676EC"/>
    <w:rsid w:val="00B67A07"/>
    <w:rsid w:val="00B7016C"/>
    <w:rsid w:val="00B7039B"/>
    <w:rsid w:val="00B71371"/>
    <w:rsid w:val="00B718B1"/>
    <w:rsid w:val="00B71D02"/>
    <w:rsid w:val="00B72F82"/>
    <w:rsid w:val="00B73048"/>
    <w:rsid w:val="00B74D1E"/>
    <w:rsid w:val="00B74D7E"/>
    <w:rsid w:val="00B758AC"/>
    <w:rsid w:val="00B758F1"/>
    <w:rsid w:val="00B76A18"/>
    <w:rsid w:val="00B80E24"/>
    <w:rsid w:val="00B8143B"/>
    <w:rsid w:val="00B8218C"/>
    <w:rsid w:val="00B82864"/>
    <w:rsid w:val="00B82BD3"/>
    <w:rsid w:val="00B83CD6"/>
    <w:rsid w:val="00B84AAB"/>
    <w:rsid w:val="00B84C6C"/>
    <w:rsid w:val="00B853EE"/>
    <w:rsid w:val="00B8589E"/>
    <w:rsid w:val="00B85B3F"/>
    <w:rsid w:val="00B85CD4"/>
    <w:rsid w:val="00B861A6"/>
    <w:rsid w:val="00B8640A"/>
    <w:rsid w:val="00B906AF"/>
    <w:rsid w:val="00B90BCF"/>
    <w:rsid w:val="00B91084"/>
    <w:rsid w:val="00B91B3B"/>
    <w:rsid w:val="00B92687"/>
    <w:rsid w:val="00B94096"/>
    <w:rsid w:val="00B94248"/>
    <w:rsid w:val="00B942A1"/>
    <w:rsid w:val="00B94B4F"/>
    <w:rsid w:val="00B954DE"/>
    <w:rsid w:val="00B95BAF"/>
    <w:rsid w:val="00B960C0"/>
    <w:rsid w:val="00B9724F"/>
    <w:rsid w:val="00B976F6"/>
    <w:rsid w:val="00BA2183"/>
    <w:rsid w:val="00BA2D23"/>
    <w:rsid w:val="00BA386C"/>
    <w:rsid w:val="00BA5005"/>
    <w:rsid w:val="00BA561D"/>
    <w:rsid w:val="00BA5F41"/>
    <w:rsid w:val="00BA65C7"/>
    <w:rsid w:val="00BA6E69"/>
    <w:rsid w:val="00BA7385"/>
    <w:rsid w:val="00BA7C6E"/>
    <w:rsid w:val="00BB0BC4"/>
    <w:rsid w:val="00BB1813"/>
    <w:rsid w:val="00BB187C"/>
    <w:rsid w:val="00BB1B33"/>
    <w:rsid w:val="00BB296B"/>
    <w:rsid w:val="00BB2EF3"/>
    <w:rsid w:val="00BB3622"/>
    <w:rsid w:val="00BB418F"/>
    <w:rsid w:val="00BB4D2E"/>
    <w:rsid w:val="00BB54A0"/>
    <w:rsid w:val="00BB682C"/>
    <w:rsid w:val="00BB7B1D"/>
    <w:rsid w:val="00BB7CA9"/>
    <w:rsid w:val="00BC07FD"/>
    <w:rsid w:val="00BC081C"/>
    <w:rsid w:val="00BC236B"/>
    <w:rsid w:val="00BC2BB4"/>
    <w:rsid w:val="00BC39D7"/>
    <w:rsid w:val="00BC3BAB"/>
    <w:rsid w:val="00BC4108"/>
    <w:rsid w:val="00BC4267"/>
    <w:rsid w:val="00BC44E4"/>
    <w:rsid w:val="00BC4A07"/>
    <w:rsid w:val="00BC59EE"/>
    <w:rsid w:val="00BC5BF4"/>
    <w:rsid w:val="00BC5F96"/>
    <w:rsid w:val="00BC65D9"/>
    <w:rsid w:val="00BC685F"/>
    <w:rsid w:val="00BC7558"/>
    <w:rsid w:val="00BC7C52"/>
    <w:rsid w:val="00BD0C76"/>
    <w:rsid w:val="00BD0CF6"/>
    <w:rsid w:val="00BD0D7E"/>
    <w:rsid w:val="00BD0EA0"/>
    <w:rsid w:val="00BD1471"/>
    <w:rsid w:val="00BD14C5"/>
    <w:rsid w:val="00BD17D8"/>
    <w:rsid w:val="00BD196A"/>
    <w:rsid w:val="00BD1A39"/>
    <w:rsid w:val="00BD2081"/>
    <w:rsid w:val="00BD2311"/>
    <w:rsid w:val="00BD470B"/>
    <w:rsid w:val="00BD4955"/>
    <w:rsid w:val="00BD4C52"/>
    <w:rsid w:val="00BD5379"/>
    <w:rsid w:val="00BD6262"/>
    <w:rsid w:val="00BD67E7"/>
    <w:rsid w:val="00BD7339"/>
    <w:rsid w:val="00BE0D27"/>
    <w:rsid w:val="00BE0DB9"/>
    <w:rsid w:val="00BE24A0"/>
    <w:rsid w:val="00BE26BA"/>
    <w:rsid w:val="00BE3CBD"/>
    <w:rsid w:val="00BE4B19"/>
    <w:rsid w:val="00BE4C48"/>
    <w:rsid w:val="00BE4E40"/>
    <w:rsid w:val="00BE51DA"/>
    <w:rsid w:val="00BE607D"/>
    <w:rsid w:val="00BE60EE"/>
    <w:rsid w:val="00BE61C1"/>
    <w:rsid w:val="00BE64AF"/>
    <w:rsid w:val="00BE6717"/>
    <w:rsid w:val="00BE6A32"/>
    <w:rsid w:val="00BE6E61"/>
    <w:rsid w:val="00BE6FE8"/>
    <w:rsid w:val="00BF0327"/>
    <w:rsid w:val="00BF0381"/>
    <w:rsid w:val="00BF11D6"/>
    <w:rsid w:val="00BF1F78"/>
    <w:rsid w:val="00BF309C"/>
    <w:rsid w:val="00BF3F18"/>
    <w:rsid w:val="00BF442B"/>
    <w:rsid w:val="00BF4CD6"/>
    <w:rsid w:val="00BF6E7B"/>
    <w:rsid w:val="00BF78DC"/>
    <w:rsid w:val="00C01021"/>
    <w:rsid w:val="00C0141F"/>
    <w:rsid w:val="00C0205E"/>
    <w:rsid w:val="00C023A1"/>
    <w:rsid w:val="00C02B99"/>
    <w:rsid w:val="00C02FB7"/>
    <w:rsid w:val="00C03CDA"/>
    <w:rsid w:val="00C047A5"/>
    <w:rsid w:val="00C047F7"/>
    <w:rsid w:val="00C048AF"/>
    <w:rsid w:val="00C0496C"/>
    <w:rsid w:val="00C04CCB"/>
    <w:rsid w:val="00C077E0"/>
    <w:rsid w:val="00C07DE6"/>
    <w:rsid w:val="00C10C75"/>
    <w:rsid w:val="00C12E9E"/>
    <w:rsid w:val="00C13330"/>
    <w:rsid w:val="00C154B5"/>
    <w:rsid w:val="00C15BA1"/>
    <w:rsid w:val="00C1666A"/>
    <w:rsid w:val="00C17872"/>
    <w:rsid w:val="00C17A94"/>
    <w:rsid w:val="00C205E9"/>
    <w:rsid w:val="00C212FC"/>
    <w:rsid w:val="00C2257A"/>
    <w:rsid w:val="00C226E7"/>
    <w:rsid w:val="00C22DD5"/>
    <w:rsid w:val="00C2302C"/>
    <w:rsid w:val="00C232EA"/>
    <w:rsid w:val="00C237BA"/>
    <w:rsid w:val="00C23F48"/>
    <w:rsid w:val="00C24176"/>
    <w:rsid w:val="00C24EE0"/>
    <w:rsid w:val="00C25BBC"/>
    <w:rsid w:val="00C26007"/>
    <w:rsid w:val="00C262BD"/>
    <w:rsid w:val="00C2671C"/>
    <w:rsid w:val="00C273B6"/>
    <w:rsid w:val="00C274E6"/>
    <w:rsid w:val="00C27B43"/>
    <w:rsid w:val="00C27EDF"/>
    <w:rsid w:val="00C3007F"/>
    <w:rsid w:val="00C310C2"/>
    <w:rsid w:val="00C3131B"/>
    <w:rsid w:val="00C322AC"/>
    <w:rsid w:val="00C34C2E"/>
    <w:rsid w:val="00C35893"/>
    <w:rsid w:val="00C36525"/>
    <w:rsid w:val="00C37131"/>
    <w:rsid w:val="00C40EB3"/>
    <w:rsid w:val="00C41612"/>
    <w:rsid w:val="00C41763"/>
    <w:rsid w:val="00C41BD9"/>
    <w:rsid w:val="00C42279"/>
    <w:rsid w:val="00C434FD"/>
    <w:rsid w:val="00C43A72"/>
    <w:rsid w:val="00C43EDD"/>
    <w:rsid w:val="00C448AE"/>
    <w:rsid w:val="00C4504C"/>
    <w:rsid w:val="00C454E1"/>
    <w:rsid w:val="00C46849"/>
    <w:rsid w:val="00C46AF3"/>
    <w:rsid w:val="00C470A0"/>
    <w:rsid w:val="00C475FA"/>
    <w:rsid w:val="00C478F1"/>
    <w:rsid w:val="00C47AC7"/>
    <w:rsid w:val="00C501C6"/>
    <w:rsid w:val="00C513F8"/>
    <w:rsid w:val="00C5192E"/>
    <w:rsid w:val="00C52636"/>
    <w:rsid w:val="00C52DE6"/>
    <w:rsid w:val="00C52EED"/>
    <w:rsid w:val="00C530F3"/>
    <w:rsid w:val="00C55343"/>
    <w:rsid w:val="00C55AF8"/>
    <w:rsid w:val="00C577A1"/>
    <w:rsid w:val="00C578B7"/>
    <w:rsid w:val="00C6016B"/>
    <w:rsid w:val="00C608A4"/>
    <w:rsid w:val="00C60960"/>
    <w:rsid w:val="00C6140C"/>
    <w:rsid w:val="00C62FC9"/>
    <w:rsid w:val="00C63350"/>
    <w:rsid w:val="00C634A7"/>
    <w:rsid w:val="00C638D7"/>
    <w:rsid w:val="00C638DF"/>
    <w:rsid w:val="00C64720"/>
    <w:rsid w:val="00C64D2F"/>
    <w:rsid w:val="00C65056"/>
    <w:rsid w:val="00C6517F"/>
    <w:rsid w:val="00C666F1"/>
    <w:rsid w:val="00C67BA6"/>
    <w:rsid w:val="00C70AA9"/>
    <w:rsid w:val="00C70DA3"/>
    <w:rsid w:val="00C7166A"/>
    <w:rsid w:val="00C71711"/>
    <w:rsid w:val="00C71920"/>
    <w:rsid w:val="00C7287B"/>
    <w:rsid w:val="00C72A63"/>
    <w:rsid w:val="00C72EFC"/>
    <w:rsid w:val="00C735F4"/>
    <w:rsid w:val="00C744DA"/>
    <w:rsid w:val="00C74DE3"/>
    <w:rsid w:val="00C75347"/>
    <w:rsid w:val="00C76597"/>
    <w:rsid w:val="00C766FA"/>
    <w:rsid w:val="00C76895"/>
    <w:rsid w:val="00C770B0"/>
    <w:rsid w:val="00C77F1E"/>
    <w:rsid w:val="00C80AE4"/>
    <w:rsid w:val="00C8140B"/>
    <w:rsid w:val="00C8256E"/>
    <w:rsid w:val="00C82635"/>
    <w:rsid w:val="00C828AF"/>
    <w:rsid w:val="00C8395C"/>
    <w:rsid w:val="00C83D18"/>
    <w:rsid w:val="00C84E83"/>
    <w:rsid w:val="00C857F1"/>
    <w:rsid w:val="00C871C4"/>
    <w:rsid w:val="00C875FE"/>
    <w:rsid w:val="00C90648"/>
    <w:rsid w:val="00C90E9A"/>
    <w:rsid w:val="00C91BCB"/>
    <w:rsid w:val="00C922C3"/>
    <w:rsid w:val="00C928A9"/>
    <w:rsid w:val="00C9290B"/>
    <w:rsid w:val="00C93176"/>
    <w:rsid w:val="00C93F75"/>
    <w:rsid w:val="00C94463"/>
    <w:rsid w:val="00C94609"/>
    <w:rsid w:val="00C94AA1"/>
    <w:rsid w:val="00C94B10"/>
    <w:rsid w:val="00C94F5E"/>
    <w:rsid w:val="00C95641"/>
    <w:rsid w:val="00C959E2"/>
    <w:rsid w:val="00C95EC2"/>
    <w:rsid w:val="00C96662"/>
    <w:rsid w:val="00C97338"/>
    <w:rsid w:val="00C97BEA"/>
    <w:rsid w:val="00CA0000"/>
    <w:rsid w:val="00CA00C2"/>
    <w:rsid w:val="00CA1130"/>
    <w:rsid w:val="00CA1783"/>
    <w:rsid w:val="00CA1C09"/>
    <w:rsid w:val="00CA1DF6"/>
    <w:rsid w:val="00CA2DD7"/>
    <w:rsid w:val="00CA3665"/>
    <w:rsid w:val="00CA415F"/>
    <w:rsid w:val="00CA5793"/>
    <w:rsid w:val="00CA5EA7"/>
    <w:rsid w:val="00CA7A6B"/>
    <w:rsid w:val="00CA7F32"/>
    <w:rsid w:val="00CB026C"/>
    <w:rsid w:val="00CB1B86"/>
    <w:rsid w:val="00CB2C14"/>
    <w:rsid w:val="00CB2F5C"/>
    <w:rsid w:val="00CB4BD0"/>
    <w:rsid w:val="00CB53FA"/>
    <w:rsid w:val="00CB5A49"/>
    <w:rsid w:val="00CB5C15"/>
    <w:rsid w:val="00CB6424"/>
    <w:rsid w:val="00CB6466"/>
    <w:rsid w:val="00CB678B"/>
    <w:rsid w:val="00CB7218"/>
    <w:rsid w:val="00CC0E47"/>
    <w:rsid w:val="00CC1228"/>
    <w:rsid w:val="00CC1A21"/>
    <w:rsid w:val="00CC1C0B"/>
    <w:rsid w:val="00CC27E1"/>
    <w:rsid w:val="00CC2C5F"/>
    <w:rsid w:val="00CC38C0"/>
    <w:rsid w:val="00CC49A1"/>
    <w:rsid w:val="00CC49CD"/>
    <w:rsid w:val="00CC5036"/>
    <w:rsid w:val="00CC5BB8"/>
    <w:rsid w:val="00CC66DE"/>
    <w:rsid w:val="00CC6E9D"/>
    <w:rsid w:val="00CC7C0C"/>
    <w:rsid w:val="00CD068A"/>
    <w:rsid w:val="00CD0EFF"/>
    <w:rsid w:val="00CD2284"/>
    <w:rsid w:val="00CD2838"/>
    <w:rsid w:val="00CD2BBC"/>
    <w:rsid w:val="00CD32FB"/>
    <w:rsid w:val="00CD6746"/>
    <w:rsid w:val="00CD75E3"/>
    <w:rsid w:val="00CD7D23"/>
    <w:rsid w:val="00CE00C2"/>
    <w:rsid w:val="00CE0C83"/>
    <w:rsid w:val="00CE207F"/>
    <w:rsid w:val="00CE22E8"/>
    <w:rsid w:val="00CE2627"/>
    <w:rsid w:val="00CE2EB2"/>
    <w:rsid w:val="00CE3EE1"/>
    <w:rsid w:val="00CE525D"/>
    <w:rsid w:val="00CE57C6"/>
    <w:rsid w:val="00CE5C99"/>
    <w:rsid w:val="00CF1078"/>
    <w:rsid w:val="00CF1179"/>
    <w:rsid w:val="00CF11FB"/>
    <w:rsid w:val="00CF1755"/>
    <w:rsid w:val="00CF1BD5"/>
    <w:rsid w:val="00CF23EE"/>
    <w:rsid w:val="00CF26C3"/>
    <w:rsid w:val="00CF32A9"/>
    <w:rsid w:val="00CF353D"/>
    <w:rsid w:val="00CF3874"/>
    <w:rsid w:val="00CF41F5"/>
    <w:rsid w:val="00CF514D"/>
    <w:rsid w:val="00CF5A07"/>
    <w:rsid w:val="00CF6081"/>
    <w:rsid w:val="00CF648F"/>
    <w:rsid w:val="00CF6CEE"/>
    <w:rsid w:val="00CF6ED0"/>
    <w:rsid w:val="00D00A61"/>
    <w:rsid w:val="00D00D46"/>
    <w:rsid w:val="00D01169"/>
    <w:rsid w:val="00D012B6"/>
    <w:rsid w:val="00D023C8"/>
    <w:rsid w:val="00D032B8"/>
    <w:rsid w:val="00D05BDF"/>
    <w:rsid w:val="00D05C99"/>
    <w:rsid w:val="00D05D9D"/>
    <w:rsid w:val="00D06758"/>
    <w:rsid w:val="00D06A19"/>
    <w:rsid w:val="00D072EA"/>
    <w:rsid w:val="00D101C9"/>
    <w:rsid w:val="00D10545"/>
    <w:rsid w:val="00D107BC"/>
    <w:rsid w:val="00D10914"/>
    <w:rsid w:val="00D11357"/>
    <w:rsid w:val="00D1138A"/>
    <w:rsid w:val="00D123A0"/>
    <w:rsid w:val="00D126F7"/>
    <w:rsid w:val="00D128CA"/>
    <w:rsid w:val="00D129F5"/>
    <w:rsid w:val="00D12A29"/>
    <w:rsid w:val="00D12B29"/>
    <w:rsid w:val="00D12ED9"/>
    <w:rsid w:val="00D13106"/>
    <w:rsid w:val="00D141DD"/>
    <w:rsid w:val="00D147E5"/>
    <w:rsid w:val="00D1494A"/>
    <w:rsid w:val="00D15378"/>
    <w:rsid w:val="00D20A6E"/>
    <w:rsid w:val="00D217FB"/>
    <w:rsid w:val="00D21887"/>
    <w:rsid w:val="00D21A67"/>
    <w:rsid w:val="00D23A39"/>
    <w:rsid w:val="00D2467B"/>
    <w:rsid w:val="00D26288"/>
    <w:rsid w:val="00D26643"/>
    <w:rsid w:val="00D266DE"/>
    <w:rsid w:val="00D2676B"/>
    <w:rsid w:val="00D26D04"/>
    <w:rsid w:val="00D26D41"/>
    <w:rsid w:val="00D274D4"/>
    <w:rsid w:val="00D304F0"/>
    <w:rsid w:val="00D30721"/>
    <w:rsid w:val="00D30D04"/>
    <w:rsid w:val="00D313A6"/>
    <w:rsid w:val="00D31689"/>
    <w:rsid w:val="00D31921"/>
    <w:rsid w:val="00D31DCB"/>
    <w:rsid w:val="00D3305F"/>
    <w:rsid w:val="00D35550"/>
    <w:rsid w:val="00D355E8"/>
    <w:rsid w:val="00D36544"/>
    <w:rsid w:val="00D41021"/>
    <w:rsid w:val="00D434B0"/>
    <w:rsid w:val="00D43CBD"/>
    <w:rsid w:val="00D43D0D"/>
    <w:rsid w:val="00D43DD6"/>
    <w:rsid w:val="00D4481D"/>
    <w:rsid w:val="00D454A7"/>
    <w:rsid w:val="00D459C2"/>
    <w:rsid w:val="00D46758"/>
    <w:rsid w:val="00D51C2C"/>
    <w:rsid w:val="00D52102"/>
    <w:rsid w:val="00D52456"/>
    <w:rsid w:val="00D53D07"/>
    <w:rsid w:val="00D54310"/>
    <w:rsid w:val="00D54358"/>
    <w:rsid w:val="00D54799"/>
    <w:rsid w:val="00D54ADF"/>
    <w:rsid w:val="00D5592B"/>
    <w:rsid w:val="00D55A36"/>
    <w:rsid w:val="00D5689A"/>
    <w:rsid w:val="00D56A1E"/>
    <w:rsid w:val="00D5702E"/>
    <w:rsid w:val="00D57072"/>
    <w:rsid w:val="00D600B4"/>
    <w:rsid w:val="00D60ABA"/>
    <w:rsid w:val="00D61249"/>
    <w:rsid w:val="00D61AE5"/>
    <w:rsid w:val="00D61DE5"/>
    <w:rsid w:val="00D623A2"/>
    <w:rsid w:val="00D62588"/>
    <w:rsid w:val="00D62D31"/>
    <w:rsid w:val="00D64636"/>
    <w:rsid w:val="00D6522F"/>
    <w:rsid w:val="00D65429"/>
    <w:rsid w:val="00D65E44"/>
    <w:rsid w:val="00D65F08"/>
    <w:rsid w:val="00D668E4"/>
    <w:rsid w:val="00D67466"/>
    <w:rsid w:val="00D7047B"/>
    <w:rsid w:val="00D7287C"/>
    <w:rsid w:val="00D729A9"/>
    <w:rsid w:val="00D7331C"/>
    <w:rsid w:val="00D73884"/>
    <w:rsid w:val="00D73D7C"/>
    <w:rsid w:val="00D741F4"/>
    <w:rsid w:val="00D74FEC"/>
    <w:rsid w:val="00D75505"/>
    <w:rsid w:val="00D75CDD"/>
    <w:rsid w:val="00D765C8"/>
    <w:rsid w:val="00D76695"/>
    <w:rsid w:val="00D76BC9"/>
    <w:rsid w:val="00D77605"/>
    <w:rsid w:val="00D77DAB"/>
    <w:rsid w:val="00D77F40"/>
    <w:rsid w:val="00D809D2"/>
    <w:rsid w:val="00D81978"/>
    <w:rsid w:val="00D81C05"/>
    <w:rsid w:val="00D8228F"/>
    <w:rsid w:val="00D82881"/>
    <w:rsid w:val="00D83026"/>
    <w:rsid w:val="00D8351B"/>
    <w:rsid w:val="00D83CB1"/>
    <w:rsid w:val="00D83E44"/>
    <w:rsid w:val="00D8412F"/>
    <w:rsid w:val="00D84885"/>
    <w:rsid w:val="00D848EC"/>
    <w:rsid w:val="00D84C89"/>
    <w:rsid w:val="00D862DA"/>
    <w:rsid w:val="00D8640C"/>
    <w:rsid w:val="00D86456"/>
    <w:rsid w:val="00D866ED"/>
    <w:rsid w:val="00D87085"/>
    <w:rsid w:val="00D870BD"/>
    <w:rsid w:val="00D874EF"/>
    <w:rsid w:val="00D90641"/>
    <w:rsid w:val="00D90C5A"/>
    <w:rsid w:val="00D90ED8"/>
    <w:rsid w:val="00D910DF"/>
    <w:rsid w:val="00D91DF7"/>
    <w:rsid w:val="00D92976"/>
    <w:rsid w:val="00D934BB"/>
    <w:rsid w:val="00D9393C"/>
    <w:rsid w:val="00D9400F"/>
    <w:rsid w:val="00D94F7A"/>
    <w:rsid w:val="00D95620"/>
    <w:rsid w:val="00D95E76"/>
    <w:rsid w:val="00D95E92"/>
    <w:rsid w:val="00D9634B"/>
    <w:rsid w:val="00DA137A"/>
    <w:rsid w:val="00DA1771"/>
    <w:rsid w:val="00DA1944"/>
    <w:rsid w:val="00DA1B13"/>
    <w:rsid w:val="00DA214C"/>
    <w:rsid w:val="00DA2CDF"/>
    <w:rsid w:val="00DA3D7B"/>
    <w:rsid w:val="00DA3E92"/>
    <w:rsid w:val="00DA4C19"/>
    <w:rsid w:val="00DA6721"/>
    <w:rsid w:val="00DA7189"/>
    <w:rsid w:val="00DA7370"/>
    <w:rsid w:val="00DB0E9D"/>
    <w:rsid w:val="00DB1190"/>
    <w:rsid w:val="00DB2EAE"/>
    <w:rsid w:val="00DB4594"/>
    <w:rsid w:val="00DB47D8"/>
    <w:rsid w:val="00DB4AA3"/>
    <w:rsid w:val="00DB4C28"/>
    <w:rsid w:val="00DB4E56"/>
    <w:rsid w:val="00DB5854"/>
    <w:rsid w:val="00DB68FF"/>
    <w:rsid w:val="00DB7230"/>
    <w:rsid w:val="00DC0883"/>
    <w:rsid w:val="00DC0B58"/>
    <w:rsid w:val="00DC32BA"/>
    <w:rsid w:val="00DC5FD8"/>
    <w:rsid w:val="00DC62A8"/>
    <w:rsid w:val="00DD07BC"/>
    <w:rsid w:val="00DD09F7"/>
    <w:rsid w:val="00DD0B15"/>
    <w:rsid w:val="00DD16A0"/>
    <w:rsid w:val="00DD24D4"/>
    <w:rsid w:val="00DD584B"/>
    <w:rsid w:val="00DD6537"/>
    <w:rsid w:val="00DD6667"/>
    <w:rsid w:val="00DD74A2"/>
    <w:rsid w:val="00DE0FE8"/>
    <w:rsid w:val="00DE17A1"/>
    <w:rsid w:val="00DE19DA"/>
    <w:rsid w:val="00DE26BB"/>
    <w:rsid w:val="00DE350A"/>
    <w:rsid w:val="00DE36E7"/>
    <w:rsid w:val="00DE383B"/>
    <w:rsid w:val="00DE3998"/>
    <w:rsid w:val="00DE4314"/>
    <w:rsid w:val="00DE49BE"/>
    <w:rsid w:val="00DE59D3"/>
    <w:rsid w:val="00DE641A"/>
    <w:rsid w:val="00DE6576"/>
    <w:rsid w:val="00DE75BF"/>
    <w:rsid w:val="00DE7E7A"/>
    <w:rsid w:val="00DE7EBF"/>
    <w:rsid w:val="00DF19D9"/>
    <w:rsid w:val="00DF2294"/>
    <w:rsid w:val="00DF3612"/>
    <w:rsid w:val="00DF4614"/>
    <w:rsid w:val="00DF56F1"/>
    <w:rsid w:val="00DF5A7D"/>
    <w:rsid w:val="00DF5AFE"/>
    <w:rsid w:val="00DF5F64"/>
    <w:rsid w:val="00DF6B78"/>
    <w:rsid w:val="00DF6BC0"/>
    <w:rsid w:val="00DF6D10"/>
    <w:rsid w:val="00DF7149"/>
    <w:rsid w:val="00DF7709"/>
    <w:rsid w:val="00DF7B25"/>
    <w:rsid w:val="00E0006A"/>
    <w:rsid w:val="00E00B67"/>
    <w:rsid w:val="00E00C09"/>
    <w:rsid w:val="00E02283"/>
    <w:rsid w:val="00E02F40"/>
    <w:rsid w:val="00E0327F"/>
    <w:rsid w:val="00E03C09"/>
    <w:rsid w:val="00E0454E"/>
    <w:rsid w:val="00E05303"/>
    <w:rsid w:val="00E0580E"/>
    <w:rsid w:val="00E058F7"/>
    <w:rsid w:val="00E05BC7"/>
    <w:rsid w:val="00E05E61"/>
    <w:rsid w:val="00E108E0"/>
    <w:rsid w:val="00E113D5"/>
    <w:rsid w:val="00E116AA"/>
    <w:rsid w:val="00E121DF"/>
    <w:rsid w:val="00E135A1"/>
    <w:rsid w:val="00E13C60"/>
    <w:rsid w:val="00E1496E"/>
    <w:rsid w:val="00E152E3"/>
    <w:rsid w:val="00E15449"/>
    <w:rsid w:val="00E162BB"/>
    <w:rsid w:val="00E16EF1"/>
    <w:rsid w:val="00E1725E"/>
    <w:rsid w:val="00E17528"/>
    <w:rsid w:val="00E1756D"/>
    <w:rsid w:val="00E177A0"/>
    <w:rsid w:val="00E17866"/>
    <w:rsid w:val="00E17A51"/>
    <w:rsid w:val="00E17F63"/>
    <w:rsid w:val="00E20E24"/>
    <w:rsid w:val="00E212DD"/>
    <w:rsid w:val="00E2172E"/>
    <w:rsid w:val="00E2183F"/>
    <w:rsid w:val="00E23033"/>
    <w:rsid w:val="00E23BF1"/>
    <w:rsid w:val="00E23F04"/>
    <w:rsid w:val="00E24274"/>
    <w:rsid w:val="00E24F95"/>
    <w:rsid w:val="00E25791"/>
    <w:rsid w:val="00E26E7B"/>
    <w:rsid w:val="00E27683"/>
    <w:rsid w:val="00E30742"/>
    <w:rsid w:val="00E3163E"/>
    <w:rsid w:val="00E32F84"/>
    <w:rsid w:val="00E33170"/>
    <w:rsid w:val="00E33373"/>
    <w:rsid w:val="00E337A7"/>
    <w:rsid w:val="00E348D3"/>
    <w:rsid w:val="00E34A83"/>
    <w:rsid w:val="00E351EC"/>
    <w:rsid w:val="00E3573B"/>
    <w:rsid w:val="00E358FB"/>
    <w:rsid w:val="00E35F3A"/>
    <w:rsid w:val="00E36C8D"/>
    <w:rsid w:val="00E37537"/>
    <w:rsid w:val="00E37B12"/>
    <w:rsid w:val="00E41FA8"/>
    <w:rsid w:val="00E424AE"/>
    <w:rsid w:val="00E43370"/>
    <w:rsid w:val="00E43C06"/>
    <w:rsid w:val="00E44756"/>
    <w:rsid w:val="00E449B1"/>
    <w:rsid w:val="00E45283"/>
    <w:rsid w:val="00E45311"/>
    <w:rsid w:val="00E46C3A"/>
    <w:rsid w:val="00E4731D"/>
    <w:rsid w:val="00E47B31"/>
    <w:rsid w:val="00E501F7"/>
    <w:rsid w:val="00E503EF"/>
    <w:rsid w:val="00E50628"/>
    <w:rsid w:val="00E5082D"/>
    <w:rsid w:val="00E50F6B"/>
    <w:rsid w:val="00E52060"/>
    <w:rsid w:val="00E52F23"/>
    <w:rsid w:val="00E531E2"/>
    <w:rsid w:val="00E53E92"/>
    <w:rsid w:val="00E556F4"/>
    <w:rsid w:val="00E55B26"/>
    <w:rsid w:val="00E5620A"/>
    <w:rsid w:val="00E574A9"/>
    <w:rsid w:val="00E57AEC"/>
    <w:rsid w:val="00E60E1F"/>
    <w:rsid w:val="00E61355"/>
    <w:rsid w:val="00E613BC"/>
    <w:rsid w:val="00E61F1E"/>
    <w:rsid w:val="00E61FE9"/>
    <w:rsid w:val="00E62791"/>
    <w:rsid w:val="00E63250"/>
    <w:rsid w:val="00E653EC"/>
    <w:rsid w:val="00E654B8"/>
    <w:rsid w:val="00E6570C"/>
    <w:rsid w:val="00E659D7"/>
    <w:rsid w:val="00E65D51"/>
    <w:rsid w:val="00E66861"/>
    <w:rsid w:val="00E66E21"/>
    <w:rsid w:val="00E67063"/>
    <w:rsid w:val="00E67319"/>
    <w:rsid w:val="00E70F38"/>
    <w:rsid w:val="00E710FC"/>
    <w:rsid w:val="00E71915"/>
    <w:rsid w:val="00E71C3A"/>
    <w:rsid w:val="00E71DFF"/>
    <w:rsid w:val="00E72E6D"/>
    <w:rsid w:val="00E731D2"/>
    <w:rsid w:val="00E732F8"/>
    <w:rsid w:val="00E73959"/>
    <w:rsid w:val="00E74111"/>
    <w:rsid w:val="00E7426C"/>
    <w:rsid w:val="00E74343"/>
    <w:rsid w:val="00E771DF"/>
    <w:rsid w:val="00E805F2"/>
    <w:rsid w:val="00E80916"/>
    <w:rsid w:val="00E80C9A"/>
    <w:rsid w:val="00E8183F"/>
    <w:rsid w:val="00E838A0"/>
    <w:rsid w:val="00E839BD"/>
    <w:rsid w:val="00E839F5"/>
    <w:rsid w:val="00E83E56"/>
    <w:rsid w:val="00E840DF"/>
    <w:rsid w:val="00E8450E"/>
    <w:rsid w:val="00E84530"/>
    <w:rsid w:val="00E8560F"/>
    <w:rsid w:val="00E86FE7"/>
    <w:rsid w:val="00E870C9"/>
    <w:rsid w:val="00E87278"/>
    <w:rsid w:val="00E8780A"/>
    <w:rsid w:val="00E87885"/>
    <w:rsid w:val="00E91E4B"/>
    <w:rsid w:val="00E925B8"/>
    <w:rsid w:val="00E9329E"/>
    <w:rsid w:val="00E93743"/>
    <w:rsid w:val="00E93AEE"/>
    <w:rsid w:val="00E93F54"/>
    <w:rsid w:val="00E9468C"/>
    <w:rsid w:val="00E94CC4"/>
    <w:rsid w:val="00E957FC"/>
    <w:rsid w:val="00E95C1F"/>
    <w:rsid w:val="00E96316"/>
    <w:rsid w:val="00E969E0"/>
    <w:rsid w:val="00E96E0E"/>
    <w:rsid w:val="00E9765E"/>
    <w:rsid w:val="00EA0277"/>
    <w:rsid w:val="00EA0289"/>
    <w:rsid w:val="00EA0585"/>
    <w:rsid w:val="00EA22B9"/>
    <w:rsid w:val="00EA3337"/>
    <w:rsid w:val="00EA375C"/>
    <w:rsid w:val="00EA3C72"/>
    <w:rsid w:val="00EA4625"/>
    <w:rsid w:val="00EA5853"/>
    <w:rsid w:val="00EA5CCD"/>
    <w:rsid w:val="00EA65EE"/>
    <w:rsid w:val="00EA6DE9"/>
    <w:rsid w:val="00EA7000"/>
    <w:rsid w:val="00EA71A3"/>
    <w:rsid w:val="00EA72C1"/>
    <w:rsid w:val="00EB06F6"/>
    <w:rsid w:val="00EB0E6E"/>
    <w:rsid w:val="00EB1115"/>
    <w:rsid w:val="00EB11D1"/>
    <w:rsid w:val="00EB181B"/>
    <w:rsid w:val="00EB1B33"/>
    <w:rsid w:val="00EB1CA4"/>
    <w:rsid w:val="00EB28F3"/>
    <w:rsid w:val="00EB2A7D"/>
    <w:rsid w:val="00EB2DEA"/>
    <w:rsid w:val="00EB39BD"/>
    <w:rsid w:val="00EB39FD"/>
    <w:rsid w:val="00EB3FE9"/>
    <w:rsid w:val="00EB4E66"/>
    <w:rsid w:val="00EB623C"/>
    <w:rsid w:val="00EB6E16"/>
    <w:rsid w:val="00EC0214"/>
    <w:rsid w:val="00EC0480"/>
    <w:rsid w:val="00EC2D0E"/>
    <w:rsid w:val="00EC3298"/>
    <w:rsid w:val="00EC341C"/>
    <w:rsid w:val="00EC41B7"/>
    <w:rsid w:val="00EC48A0"/>
    <w:rsid w:val="00EC4CFB"/>
    <w:rsid w:val="00EC5C3E"/>
    <w:rsid w:val="00EC5DDB"/>
    <w:rsid w:val="00EC7953"/>
    <w:rsid w:val="00ED06CC"/>
    <w:rsid w:val="00ED1657"/>
    <w:rsid w:val="00ED1CA2"/>
    <w:rsid w:val="00ED1DCB"/>
    <w:rsid w:val="00ED2DB6"/>
    <w:rsid w:val="00ED47C1"/>
    <w:rsid w:val="00ED47F0"/>
    <w:rsid w:val="00ED4A39"/>
    <w:rsid w:val="00ED5637"/>
    <w:rsid w:val="00ED62EC"/>
    <w:rsid w:val="00ED660B"/>
    <w:rsid w:val="00ED6618"/>
    <w:rsid w:val="00ED68E5"/>
    <w:rsid w:val="00ED6A9B"/>
    <w:rsid w:val="00ED735F"/>
    <w:rsid w:val="00EE090A"/>
    <w:rsid w:val="00EE1149"/>
    <w:rsid w:val="00EE1D64"/>
    <w:rsid w:val="00EE1F5D"/>
    <w:rsid w:val="00EE2053"/>
    <w:rsid w:val="00EE231C"/>
    <w:rsid w:val="00EE3481"/>
    <w:rsid w:val="00EE3B81"/>
    <w:rsid w:val="00EE3C9A"/>
    <w:rsid w:val="00EE5362"/>
    <w:rsid w:val="00EE59B9"/>
    <w:rsid w:val="00EE707E"/>
    <w:rsid w:val="00EE71C9"/>
    <w:rsid w:val="00EF0354"/>
    <w:rsid w:val="00EF13F4"/>
    <w:rsid w:val="00EF1878"/>
    <w:rsid w:val="00EF352D"/>
    <w:rsid w:val="00EF3DF2"/>
    <w:rsid w:val="00EF4AEE"/>
    <w:rsid w:val="00EF4C9A"/>
    <w:rsid w:val="00EF51A0"/>
    <w:rsid w:val="00EF5A83"/>
    <w:rsid w:val="00EF67F5"/>
    <w:rsid w:val="00EF6E41"/>
    <w:rsid w:val="00EF75EB"/>
    <w:rsid w:val="00F00912"/>
    <w:rsid w:val="00F00A3C"/>
    <w:rsid w:val="00F00DAA"/>
    <w:rsid w:val="00F0130F"/>
    <w:rsid w:val="00F0178F"/>
    <w:rsid w:val="00F020B0"/>
    <w:rsid w:val="00F0235F"/>
    <w:rsid w:val="00F02B6C"/>
    <w:rsid w:val="00F030BD"/>
    <w:rsid w:val="00F037D6"/>
    <w:rsid w:val="00F03F3B"/>
    <w:rsid w:val="00F04694"/>
    <w:rsid w:val="00F048B6"/>
    <w:rsid w:val="00F04A56"/>
    <w:rsid w:val="00F04D9D"/>
    <w:rsid w:val="00F05862"/>
    <w:rsid w:val="00F05A0E"/>
    <w:rsid w:val="00F05EDF"/>
    <w:rsid w:val="00F07468"/>
    <w:rsid w:val="00F075C4"/>
    <w:rsid w:val="00F0792C"/>
    <w:rsid w:val="00F07C64"/>
    <w:rsid w:val="00F07EF5"/>
    <w:rsid w:val="00F10D59"/>
    <w:rsid w:val="00F11913"/>
    <w:rsid w:val="00F11BA1"/>
    <w:rsid w:val="00F11DDC"/>
    <w:rsid w:val="00F12CAE"/>
    <w:rsid w:val="00F1302B"/>
    <w:rsid w:val="00F133A5"/>
    <w:rsid w:val="00F13F76"/>
    <w:rsid w:val="00F14358"/>
    <w:rsid w:val="00F173DA"/>
    <w:rsid w:val="00F17CC1"/>
    <w:rsid w:val="00F20ED8"/>
    <w:rsid w:val="00F20FC9"/>
    <w:rsid w:val="00F2176B"/>
    <w:rsid w:val="00F21809"/>
    <w:rsid w:val="00F2280F"/>
    <w:rsid w:val="00F228E4"/>
    <w:rsid w:val="00F22B10"/>
    <w:rsid w:val="00F22CF0"/>
    <w:rsid w:val="00F22D82"/>
    <w:rsid w:val="00F2320D"/>
    <w:rsid w:val="00F23A8E"/>
    <w:rsid w:val="00F24300"/>
    <w:rsid w:val="00F26D40"/>
    <w:rsid w:val="00F30AB4"/>
    <w:rsid w:val="00F31341"/>
    <w:rsid w:val="00F319D2"/>
    <w:rsid w:val="00F3215A"/>
    <w:rsid w:val="00F32244"/>
    <w:rsid w:val="00F32E6C"/>
    <w:rsid w:val="00F33347"/>
    <w:rsid w:val="00F33431"/>
    <w:rsid w:val="00F33538"/>
    <w:rsid w:val="00F336E0"/>
    <w:rsid w:val="00F340A0"/>
    <w:rsid w:val="00F340B6"/>
    <w:rsid w:val="00F342F0"/>
    <w:rsid w:val="00F34FD1"/>
    <w:rsid w:val="00F352B3"/>
    <w:rsid w:val="00F361B7"/>
    <w:rsid w:val="00F36450"/>
    <w:rsid w:val="00F405E7"/>
    <w:rsid w:val="00F40832"/>
    <w:rsid w:val="00F40BAE"/>
    <w:rsid w:val="00F412E7"/>
    <w:rsid w:val="00F42904"/>
    <w:rsid w:val="00F42B9C"/>
    <w:rsid w:val="00F438E1"/>
    <w:rsid w:val="00F450B7"/>
    <w:rsid w:val="00F45B85"/>
    <w:rsid w:val="00F45C12"/>
    <w:rsid w:val="00F47C34"/>
    <w:rsid w:val="00F47EC6"/>
    <w:rsid w:val="00F47FB6"/>
    <w:rsid w:val="00F505B8"/>
    <w:rsid w:val="00F52F93"/>
    <w:rsid w:val="00F531ED"/>
    <w:rsid w:val="00F53966"/>
    <w:rsid w:val="00F54608"/>
    <w:rsid w:val="00F552F2"/>
    <w:rsid w:val="00F557D4"/>
    <w:rsid w:val="00F55E52"/>
    <w:rsid w:val="00F56C0A"/>
    <w:rsid w:val="00F56E5A"/>
    <w:rsid w:val="00F5747A"/>
    <w:rsid w:val="00F57EF0"/>
    <w:rsid w:val="00F6004B"/>
    <w:rsid w:val="00F60F68"/>
    <w:rsid w:val="00F61141"/>
    <w:rsid w:val="00F61590"/>
    <w:rsid w:val="00F61D4A"/>
    <w:rsid w:val="00F627E2"/>
    <w:rsid w:val="00F62C64"/>
    <w:rsid w:val="00F63EEA"/>
    <w:rsid w:val="00F64134"/>
    <w:rsid w:val="00F652C1"/>
    <w:rsid w:val="00F66DFC"/>
    <w:rsid w:val="00F670FD"/>
    <w:rsid w:val="00F67D64"/>
    <w:rsid w:val="00F70928"/>
    <w:rsid w:val="00F710F1"/>
    <w:rsid w:val="00F71320"/>
    <w:rsid w:val="00F71520"/>
    <w:rsid w:val="00F726EF"/>
    <w:rsid w:val="00F728AC"/>
    <w:rsid w:val="00F72D67"/>
    <w:rsid w:val="00F744A9"/>
    <w:rsid w:val="00F74AE1"/>
    <w:rsid w:val="00F74B83"/>
    <w:rsid w:val="00F74D96"/>
    <w:rsid w:val="00F7590F"/>
    <w:rsid w:val="00F75D49"/>
    <w:rsid w:val="00F75FE2"/>
    <w:rsid w:val="00F772CC"/>
    <w:rsid w:val="00F77355"/>
    <w:rsid w:val="00F77467"/>
    <w:rsid w:val="00F779A7"/>
    <w:rsid w:val="00F77F51"/>
    <w:rsid w:val="00F80C1F"/>
    <w:rsid w:val="00F81BBA"/>
    <w:rsid w:val="00F82153"/>
    <w:rsid w:val="00F8231E"/>
    <w:rsid w:val="00F826A3"/>
    <w:rsid w:val="00F82B3B"/>
    <w:rsid w:val="00F834CB"/>
    <w:rsid w:val="00F83AFD"/>
    <w:rsid w:val="00F8513B"/>
    <w:rsid w:val="00F8543D"/>
    <w:rsid w:val="00F8569E"/>
    <w:rsid w:val="00F85A14"/>
    <w:rsid w:val="00F85CF3"/>
    <w:rsid w:val="00F87488"/>
    <w:rsid w:val="00F90004"/>
    <w:rsid w:val="00F905FD"/>
    <w:rsid w:val="00F90EB0"/>
    <w:rsid w:val="00F913C6"/>
    <w:rsid w:val="00F91E7F"/>
    <w:rsid w:val="00F921DB"/>
    <w:rsid w:val="00F92672"/>
    <w:rsid w:val="00F92795"/>
    <w:rsid w:val="00F92C22"/>
    <w:rsid w:val="00F93E02"/>
    <w:rsid w:val="00F94864"/>
    <w:rsid w:val="00F95036"/>
    <w:rsid w:val="00F95627"/>
    <w:rsid w:val="00F95BDD"/>
    <w:rsid w:val="00F960C3"/>
    <w:rsid w:val="00F96E3F"/>
    <w:rsid w:val="00F97483"/>
    <w:rsid w:val="00FA02EE"/>
    <w:rsid w:val="00FA08EE"/>
    <w:rsid w:val="00FA0B4E"/>
    <w:rsid w:val="00FA25F8"/>
    <w:rsid w:val="00FA33A6"/>
    <w:rsid w:val="00FA5FAF"/>
    <w:rsid w:val="00FA78EA"/>
    <w:rsid w:val="00FA78FA"/>
    <w:rsid w:val="00FA7A14"/>
    <w:rsid w:val="00FA7B80"/>
    <w:rsid w:val="00FA7FC2"/>
    <w:rsid w:val="00FB00F0"/>
    <w:rsid w:val="00FB0218"/>
    <w:rsid w:val="00FB0B18"/>
    <w:rsid w:val="00FB1BE3"/>
    <w:rsid w:val="00FB2ACA"/>
    <w:rsid w:val="00FB34DF"/>
    <w:rsid w:val="00FB6280"/>
    <w:rsid w:val="00FB673E"/>
    <w:rsid w:val="00FB753B"/>
    <w:rsid w:val="00FB7A0E"/>
    <w:rsid w:val="00FC0955"/>
    <w:rsid w:val="00FC15FC"/>
    <w:rsid w:val="00FC16AB"/>
    <w:rsid w:val="00FC1B3C"/>
    <w:rsid w:val="00FC1C3C"/>
    <w:rsid w:val="00FC2A61"/>
    <w:rsid w:val="00FC3D57"/>
    <w:rsid w:val="00FC3EB4"/>
    <w:rsid w:val="00FC4E61"/>
    <w:rsid w:val="00FC51B8"/>
    <w:rsid w:val="00FC5E39"/>
    <w:rsid w:val="00FC5FD1"/>
    <w:rsid w:val="00FC65AF"/>
    <w:rsid w:val="00FC6C2D"/>
    <w:rsid w:val="00FD0E72"/>
    <w:rsid w:val="00FD16AB"/>
    <w:rsid w:val="00FD18D8"/>
    <w:rsid w:val="00FD25C8"/>
    <w:rsid w:val="00FD2E3A"/>
    <w:rsid w:val="00FD31A6"/>
    <w:rsid w:val="00FD3804"/>
    <w:rsid w:val="00FD38DC"/>
    <w:rsid w:val="00FD3B46"/>
    <w:rsid w:val="00FD4553"/>
    <w:rsid w:val="00FD6457"/>
    <w:rsid w:val="00FD6469"/>
    <w:rsid w:val="00FD65B1"/>
    <w:rsid w:val="00FD755E"/>
    <w:rsid w:val="00FD7CD3"/>
    <w:rsid w:val="00FE0109"/>
    <w:rsid w:val="00FE058F"/>
    <w:rsid w:val="00FE07DE"/>
    <w:rsid w:val="00FE09CE"/>
    <w:rsid w:val="00FE1095"/>
    <w:rsid w:val="00FE1FDA"/>
    <w:rsid w:val="00FE2142"/>
    <w:rsid w:val="00FE2EA5"/>
    <w:rsid w:val="00FE3471"/>
    <w:rsid w:val="00FE3F2D"/>
    <w:rsid w:val="00FE44C5"/>
    <w:rsid w:val="00FE4910"/>
    <w:rsid w:val="00FE4C11"/>
    <w:rsid w:val="00FE5D5B"/>
    <w:rsid w:val="00FE5FF9"/>
    <w:rsid w:val="00FE61A3"/>
    <w:rsid w:val="00FE68D9"/>
    <w:rsid w:val="00FE70F7"/>
    <w:rsid w:val="00FE77E9"/>
    <w:rsid w:val="00FE795C"/>
    <w:rsid w:val="00FE7AF8"/>
    <w:rsid w:val="00FE7C4A"/>
    <w:rsid w:val="00FE7C53"/>
    <w:rsid w:val="00FF08FD"/>
    <w:rsid w:val="00FF1021"/>
    <w:rsid w:val="00FF141F"/>
    <w:rsid w:val="00FF1BF0"/>
    <w:rsid w:val="00FF1CF8"/>
    <w:rsid w:val="00FF288C"/>
    <w:rsid w:val="00FF406D"/>
    <w:rsid w:val="00FF4638"/>
    <w:rsid w:val="00FF49AF"/>
    <w:rsid w:val="00FF4C0D"/>
    <w:rsid w:val="00FF4D5C"/>
    <w:rsid w:val="00FF4E22"/>
    <w:rsid w:val="00FF5220"/>
    <w:rsid w:val="00FF54C7"/>
    <w:rsid w:val="00FF5AB6"/>
    <w:rsid w:val="00FF5CE3"/>
    <w:rsid w:val="00FF5D45"/>
    <w:rsid w:val="00FF7360"/>
    <w:rsid w:val="00FF7E37"/>
    <w:rsid w:val="00FF7EB7"/>
    <w:rsid w:val="00FF7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1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135345"/>
    <w:rPr>
      <w:sz w:val="16"/>
      <w:szCs w:val="16"/>
    </w:rPr>
  </w:style>
  <w:style w:type="paragraph" w:styleId="CommentText">
    <w:name w:val="annotation text"/>
    <w:basedOn w:val="Normal"/>
    <w:link w:val="CommentTextChar"/>
    <w:uiPriority w:val="99"/>
    <w:unhideWhenUsed/>
    <w:locked/>
    <w:rsid w:val="0000195F"/>
    <w:pPr>
      <w:spacing w:line="240" w:lineRule="auto"/>
    </w:pPr>
    <w:rPr>
      <w:sz w:val="24"/>
      <w:szCs w:val="20"/>
    </w:rPr>
  </w:style>
  <w:style w:type="character" w:customStyle="1" w:styleId="CommentTextChar">
    <w:name w:val="Comment Text Char"/>
    <w:basedOn w:val="DefaultParagraphFont"/>
    <w:link w:val="CommentText"/>
    <w:uiPriority w:val="99"/>
    <w:rsid w:val="0000195F"/>
    <w:rPr>
      <w:sz w:val="24"/>
      <w:szCs w:val="20"/>
    </w:rPr>
  </w:style>
  <w:style w:type="paragraph" w:styleId="CommentSubject">
    <w:name w:val="annotation subject"/>
    <w:basedOn w:val="CommentText"/>
    <w:next w:val="CommentText"/>
    <w:link w:val="CommentSubjectChar"/>
    <w:uiPriority w:val="99"/>
    <w:semiHidden/>
    <w:unhideWhenUsed/>
    <w:locked/>
    <w:rsid w:val="00135345"/>
    <w:rPr>
      <w:b/>
      <w:bCs/>
    </w:rPr>
  </w:style>
  <w:style w:type="character" w:customStyle="1" w:styleId="CommentSubjectChar">
    <w:name w:val="Comment Subject Char"/>
    <w:basedOn w:val="CommentTextChar"/>
    <w:link w:val="CommentSubject"/>
    <w:uiPriority w:val="99"/>
    <w:semiHidden/>
    <w:rsid w:val="00135345"/>
    <w:rPr>
      <w:b/>
      <w:bCs/>
      <w:sz w:val="20"/>
      <w:szCs w:val="20"/>
    </w:rPr>
  </w:style>
  <w:style w:type="paragraph" w:styleId="Revision">
    <w:name w:val="Revision"/>
    <w:hidden/>
    <w:uiPriority w:val="99"/>
    <w:semiHidden/>
    <w:rsid w:val="00737CE5"/>
  </w:style>
  <w:style w:type="paragraph" w:customStyle="1" w:styleId="NoNorm">
    <w:name w:val="No Norm"/>
    <w:basedOn w:val="Normal"/>
    <w:qFormat/>
    <w:rsid w:val="006037F3"/>
    <w:pPr>
      <w:tabs>
        <w:tab w:val="clear" w:pos="720"/>
        <w:tab w:val="clear" w:pos="1440"/>
        <w:tab w:val="left" w:pos="709"/>
      </w:tabs>
      <w:spacing w:before="120" w:line="240" w:lineRule="auto"/>
      <w:ind w:left="720" w:hanging="720"/>
      <w:jc w:val="both"/>
    </w:pPr>
    <w:rPr>
      <w:rFonts w:ascii="Arial" w:hAnsi="Arial" w:cs="Arial"/>
      <w:sz w:val="22"/>
      <w:szCs w:val="22"/>
    </w:rPr>
  </w:style>
  <w:style w:type="character" w:customStyle="1" w:styleId="FootnoteTextChar">
    <w:name w:val="Footnote Text Char"/>
    <w:link w:val="FootnoteText"/>
    <w:uiPriority w:val="53"/>
    <w:rsid w:val="006037F3"/>
  </w:style>
  <w:style w:type="paragraph" w:styleId="Quote">
    <w:name w:val="Quote"/>
    <w:basedOn w:val="Normal"/>
    <w:next w:val="NoNorm"/>
    <w:link w:val="QuoteChar"/>
    <w:uiPriority w:val="29"/>
    <w:qFormat/>
    <w:locked/>
    <w:rsid w:val="006037F3"/>
    <w:pPr>
      <w:tabs>
        <w:tab w:val="clear" w:pos="720"/>
        <w:tab w:val="clear" w:pos="1440"/>
        <w:tab w:val="left" w:pos="1276"/>
      </w:tabs>
      <w:spacing w:before="120" w:after="240" w:line="240" w:lineRule="auto"/>
      <w:ind w:left="1276" w:right="566" w:firstLine="0"/>
      <w:jc w:val="both"/>
    </w:pPr>
    <w:rPr>
      <w:rFonts w:ascii="Arial" w:hAnsi="Arial" w:cs="Arial"/>
      <w:sz w:val="20"/>
      <w:szCs w:val="22"/>
    </w:rPr>
  </w:style>
  <w:style w:type="character" w:customStyle="1" w:styleId="QuoteChar">
    <w:name w:val="Quote Char"/>
    <w:basedOn w:val="DefaultParagraphFont"/>
    <w:link w:val="Quote"/>
    <w:uiPriority w:val="29"/>
    <w:rsid w:val="006037F3"/>
    <w:rPr>
      <w:rFonts w:ascii="Arial" w:hAnsi="Arial" w:cs="Arial"/>
      <w:sz w:val="20"/>
      <w:szCs w:val="22"/>
    </w:rPr>
  </w:style>
  <w:style w:type="paragraph" w:customStyle="1" w:styleId="Noindentnormal">
    <w:name w:val="No indent normal"/>
    <w:basedOn w:val="NoNorm"/>
    <w:qFormat/>
    <w:rsid w:val="006037F3"/>
    <w:pPr>
      <w:tabs>
        <w:tab w:val="clear" w:pos="2160"/>
        <w:tab w:val="left" w:pos="1418"/>
      </w:tabs>
      <w:ind w:left="1418" w:hanging="709"/>
    </w:pPr>
  </w:style>
  <w:style w:type="paragraph" w:styleId="ListBullet5">
    <w:name w:val="List Bullet 5"/>
    <w:basedOn w:val="Normal"/>
    <w:uiPriority w:val="99"/>
    <w:unhideWhenUsed/>
    <w:locked/>
    <w:rsid w:val="006037F3"/>
    <w:pPr>
      <w:tabs>
        <w:tab w:val="clear" w:pos="720"/>
        <w:tab w:val="num" w:pos="1492"/>
      </w:tabs>
      <w:spacing w:before="120" w:line="312" w:lineRule="auto"/>
      <w:ind w:left="1492" w:hanging="360"/>
      <w:contextualSpacing/>
      <w:jc w:val="both"/>
    </w:pPr>
    <w:rPr>
      <w:rFonts w:ascii="Arial" w:hAnsi="Arial" w:cs="Arial"/>
      <w:sz w:val="22"/>
      <w:szCs w:val="22"/>
    </w:rPr>
  </w:style>
  <w:style w:type="paragraph" w:customStyle="1" w:styleId="Indentlista">
    <w:name w:val="Indent list a)"/>
    <w:basedOn w:val="Noindentnormal"/>
    <w:qFormat/>
    <w:rsid w:val="006037F3"/>
    <w:pPr>
      <w:tabs>
        <w:tab w:val="left" w:pos="2268"/>
      </w:tabs>
      <w:spacing w:before="60"/>
      <w:ind w:left="2268" w:hanging="567"/>
    </w:pPr>
  </w:style>
  <w:style w:type="paragraph" w:customStyle="1" w:styleId="SS-Paragraph">
    <w:name w:val="SS - Paragraph"/>
    <w:basedOn w:val="NoNorm"/>
    <w:qFormat/>
    <w:rsid w:val="006037F3"/>
  </w:style>
  <w:style w:type="paragraph" w:customStyle="1" w:styleId="Default">
    <w:name w:val="Default"/>
    <w:rsid w:val="006037F3"/>
    <w:pPr>
      <w:autoSpaceDE w:val="0"/>
      <w:autoSpaceDN w:val="0"/>
      <w:adjustRightInd w:val="0"/>
    </w:pPr>
    <w:rPr>
      <w:rFonts w:ascii="Arial" w:hAnsi="Arial" w:cs="Arial"/>
      <w:color w:val="000000"/>
      <w:sz w:val="24"/>
      <w:szCs w:val="24"/>
    </w:rPr>
  </w:style>
  <w:style w:type="paragraph" w:customStyle="1" w:styleId="Body">
    <w:name w:val="Body"/>
    <w:basedOn w:val="Normal"/>
    <w:qFormat/>
    <w:rsid w:val="0077674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7674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7674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7674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7674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76741"/>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2">
      <w:bodyDiv w:val="1"/>
      <w:marLeft w:val="0"/>
      <w:marRight w:val="0"/>
      <w:marTop w:val="0"/>
      <w:marBottom w:val="0"/>
      <w:divBdr>
        <w:top w:val="none" w:sz="0" w:space="0" w:color="auto"/>
        <w:left w:val="none" w:sz="0" w:space="0" w:color="auto"/>
        <w:bottom w:val="none" w:sz="0" w:space="0" w:color="auto"/>
        <w:right w:val="none" w:sz="0" w:space="0" w:color="auto"/>
      </w:divBdr>
    </w:div>
    <w:div w:id="637535211">
      <w:bodyDiv w:val="1"/>
      <w:marLeft w:val="0"/>
      <w:marRight w:val="0"/>
      <w:marTop w:val="0"/>
      <w:marBottom w:val="0"/>
      <w:divBdr>
        <w:top w:val="none" w:sz="0" w:space="0" w:color="auto"/>
        <w:left w:val="none" w:sz="0" w:space="0" w:color="auto"/>
        <w:bottom w:val="none" w:sz="0" w:space="0" w:color="auto"/>
        <w:right w:val="none" w:sz="0" w:space="0" w:color="auto"/>
      </w:divBdr>
    </w:div>
    <w:div w:id="12402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DBD0D-3CAE-4E0E-BC8B-A74A77B7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290F7-60C5-432F-86D8-220B0EA7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63</Pages>
  <Words>17401</Words>
  <Characters>99190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2022-03-10T21:50:00Z</dcterms:created>
  <dcterms:modified xsi:type="dcterms:W3CDTF">2022-03-15T20:44:00Z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