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B26A" w14:textId="77777777" w:rsidR="00A72180" w:rsidRPr="00704FF8" w:rsidRDefault="00A72180" w:rsidP="00704FF8">
      <w:pPr>
        <w:pStyle w:val="OrdersTopLine"/>
      </w:pPr>
      <w:r w:rsidRPr="00704FF8">
        <w:t>HIGH COURT OF AUSTRALIA</w:t>
      </w:r>
    </w:p>
    <w:p w14:paraId="437B6C1E" w14:textId="77777777" w:rsidR="00A72180" w:rsidRPr="00704FF8" w:rsidRDefault="00A72180" w:rsidP="00704FF8">
      <w:pPr>
        <w:pStyle w:val="OrderCentre"/>
      </w:pPr>
    </w:p>
    <w:p w14:paraId="70EF8C0B" w14:textId="77777777" w:rsidR="00A72180" w:rsidRPr="00704FF8" w:rsidRDefault="00A72180" w:rsidP="00704FF8">
      <w:pPr>
        <w:pStyle w:val="OrderCentre"/>
      </w:pPr>
      <w:r w:rsidRPr="00704FF8">
        <w:t>KIEFEL CJ</w:t>
      </w:r>
      <w:r>
        <w:t>,</w:t>
      </w:r>
    </w:p>
    <w:p w14:paraId="30DC7756" w14:textId="77777777" w:rsidR="00A72180" w:rsidRPr="00704FF8" w:rsidRDefault="00A72180" w:rsidP="00704FF8">
      <w:pPr>
        <w:pStyle w:val="OrderCentre"/>
      </w:pPr>
      <w:r w:rsidRPr="00704FF8">
        <w:t>GAGELER, GORDON</w:t>
      </w:r>
      <w:r>
        <w:t xml:space="preserve">, </w:t>
      </w:r>
      <w:proofErr w:type="gramStart"/>
      <w:r w:rsidRPr="00704FF8">
        <w:t>EDELMAN</w:t>
      </w:r>
      <w:proofErr w:type="gramEnd"/>
      <w:r>
        <w:t xml:space="preserve"> </w:t>
      </w:r>
      <w:r w:rsidRPr="00704FF8">
        <w:t>AND</w:t>
      </w:r>
      <w:r>
        <w:t xml:space="preserve"> </w:t>
      </w:r>
      <w:r w:rsidRPr="004C496B">
        <w:t>STEWARD</w:t>
      </w:r>
      <w:r w:rsidRPr="00704FF8">
        <w:t xml:space="preserve"> JJ</w:t>
      </w:r>
    </w:p>
    <w:p w14:paraId="14DAE31B" w14:textId="77777777" w:rsidR="00A72180" w:rsidRPr="00427F3A" w:rsidRDefault="00A72180" w:rsidP="00EE5374">
      <w:pPr>
        <w:pStyle w:val="Centre"/>
        <w:rPr>
          <w:lang w:val="en-AU"/>
        </w:rPr>
      </w:pPr>
    </w:p>
    <w:p w14:paraId="2C473383" w14:textId="77777777" w:rsidR="00A72180" w:rsidRPr="00704FF8" w:rsidRDefault="00A72180" w:rsidP="00704FF8">
      <w:pPr>
        <w:pStyle w:val="OrdersCenteredBorder"/>
      </w:pPr>
    </w:p>
    <w:p w14:paraId="429004FA" w14:textId="77777777" w:rsidR="00A72180" w:rsidRPr="00EA147E" w:rsidRDefault="00A72180" w:rsidP="0032341F">
      <w:pPr>
        <w:pStyle w:val="OrdersBodyHeading"/>
      </w:pPr>
    </w:p>
    <w:p w14:paraId="2A1BC33D" w14:textId="77777777" w:rsidR="00A72180" w:rsidRPr="00EA147E" w:rsidRDefault="00A72180" w:rsidP="009362E8">
      <w:pPr>
        <w:pStyle w:val="OrdersPartyName"/>
        <w:ind w:right="-1"/>
      </w:pPr>
      <w:r w:rsidRPr="00EA147E">
        <w:t>METAL MANUFACTURES PTY LIMITED</w:t>
      </w:r>
      <w:r w:rsidRPr="00EA147E">
        <w:tab/>
        <w:t>APPELLANT</w:t>
      </w:r>
    </w:p>
    <w:p w14:paraId="061DBB87" w14:textId="77777777" w:rsidR="00A72180" w:rsidRPr="00EA147E" w:rsidRDefault="00A72180" w:rsidP="009362E8">
      <w:pPr>
        <w:pStyle w:val="OrdersPartyName"/>
        <w:ind w:right="-1"/>
      </w:pPr>
    </w:p>
    <w:p w14:paraId="3DAFDEA5" w14:textId="77777777" w:rsidR="00A72180" w:rsidRPr="00EA147E" w:rsidRDefault="00A72180" w:rsidP="009362E8">
      <w:pPr>
        <w:pStyle w:val="OrdersPartyName"/>
        <w:ind w:right="-1"/>
      </w:pPr>
      <w:r w:rsidRPr="00EA147E">
        <w:t>AND</w:t>
      </w:r>
    </w:p>
    <w:p w14:paraId="1EFD270D" w14:textId="77777777" w:rsidR="00A72180" w:rsidRPr="00EA147E" w:rsidRDefault="00A72180" w:rsidP="009362E8">
      <w:pPr>
        <w:pStyle w:val="OrdersPartyName"/>
        <w:ind w:right="-1"/>
      </w:pPr>
    </w:p>
    <w:p w14:paraId="70CFDFA8" w14:textId="77777777" w:rsidR="00A72180" w:rsidRDefault="00A72180" w:rsidP="00EA147E">
      <w:pPr>
        <w:pStyle w:val="OrdersPartyName"/>
        <w:ind w:right="-1"/>
        <w:jc w:val="left"/>
        <w:rPr>
          <w:spacing w:val="-2"/>
        </w:rPr>
      </w:pPr>
      <w:r w:rsidRPr="00EA147E">
        <w:rPr>
          <w:spacing w:val="-2"/>
        </w:rPr>
        <w:t xml:space="preserve">GAVIN MORTON AS LIQUIDATOR OF </w:t>
      </w:r>
    </w:p>
    <w:p w14:paraId="71C42A3D" w14:textId="77777777" w:rsidR="00A72180" w:rsidRDefault="00A72180" w:rsidP="00EA147E">
      <w:pPr>
        <w:pStyle w:val="OrdersPartyName"/>
        <w:ind w:right="-1"/>
        <w:jc w:val="left"/>
        <w:rPr>
          <w:spacing w:val="-2"/>
        </w:rPr>
      </w:pPr>
      <w:r w:rsidRPr="00EA147E">
        <w:rPr>
          <w:spacing w:val="-2"/>
        </w:rPr>
        <w:t xml:space="preserve">MJ WOODMAN ELECTRICAL CONTRACTORS </w:t>
      </w:r>
    </w:p>
    <w:p w14:paraId="0D9549E5" w14:textId="77777777" w:rsidR="00A72180" w:rsidRPr="00EA147E" w:rsidRDefault="00A72180" w:rsidP="00EA147E">
      <w:pPr>
        <w:pStyle w:val="OrdersPartyName"/>
        <w:ind w:right="-1"/>
        <w:jc w:val="left"/>
      </w:pPr>
      <w:r w:rsidRPr="00EA147E">
        <w:rPr>
          <w:spacing w:val="-2"/>
        </w:rPr>
        <w:t>PTY LTD (IN LIQUIDATION) &amp; ANOR</w:t>
      </w:r>
      <w:r w:rsidRPr="00EA147E">
        <w:tab/>
        <w:t>RESPONDENTS</w:t>
      </w:r>
    </w:p>
    <w:p w14:paraId="334080AD" w14:textId="77777777" w:rsidR="00A72180" w:rsidRPr="00427F3A" w:rsidRDefault="00A72180" w:rsidP="00AF0A5E">
      <w:pPr>
        <w:pStyle w:val="BodyHeading"/>
      </w:pPr>
    </w:p>
    <w:p w14:paraId="4C954650" w14:textId="77777777" w:rsidR="00A72180" w:rsidRPr="00427F3A" w:rsidRDefault="00A72180" w:rsidP="00BE0A6C">
      <w:pPr>
        <w:pStyle w:val="BodyHeading"/>
      </w:pPr>
    </w:p>
    <w:p w14:paraId="15B74042" w14:textId="77777777" w:rsidR="00A72180" w:rsidRPr="00427F3A" w:rsidRDefault="00A72180" w:rsidP="00EE5374">
      <w:pPr>
        <w:pStyle w:val="CentreItalics"/>
      </w:pPr>
      <w:r w:rsidRPr="00EA147E">
        <w:t>Metal Manufactures Pty Limited v Morton</w:t>
      </w:r>
    </w:p>
    <w:p w14:paraId="3228EB9C" w14:textId="77777777" w:rsidR="00A72180" w:rsidRPr="00427F3A" w:rsidRDefault="00A72180" w:rsidP="00E90E4F">
      <w:pPr>
        <w:pStyle w:val="OrdersCentre"/>
      </w:pPr>
      <w:r>
        <w:t>[2023</w:t>
      </w:r>
      <w:r w:rsidRPr="00427F3A">
        <w:t xml:space="preserve">] HCA </w:t>
      </w:r>
      <w:r>
        <w:t>1</w:t>
      </w:r>
    </w:p>
    <w:p w14:paraId="66E38C06" w14:textId="77777777" w:rsidR="00A72180" w:rsidRDefault="00A72180" w:rsidP="00E90E4F">
      <w:pPr>
        <w:pStyle w:val="OrdersCentreItalics"/>
      </w:pPr>
      <w:r>
        <w:t xml:space="preserve">Date of Hearing: </w:t>
      </w:r>
      <w:r w:rsidRPr="004551D4">
        <w:t>12 October 2022</w:t>
      </w:r>
    </w:p>
    <w:p w14:paraId="427F9F8A" w14:textId="77777777" w:rsidR="00A72180" w:rsidRPr="00E92EBB" w:rsidRDefault="00A72180" w:rsidP="00E90E4F">
      <w:pPr>
        <w:pStyle w:val="OrdersCentreItalics"/>
      </w:pPr>
      <w:r>
        <w:t>Date of Judgment: 8 February 2023</w:t>
      </w:r>
    </w:p>
    <w:p w14:paraId="35185769" w14:textId="77777777" w:rsidR="00A72180" w:rsidRDefault="00A72180" w:rsidP="00E90E4F">
      <w:pPr>
        <w:pStyle w:val="OrdersCentre"/>
      </w:pPr>
      <w:r w:rsidRPr="00D710E1">
        <w:t>B19/2022</w:t>
      </w:r>
    </w:p>
    <w:p w14:paraId="01DE2EAA" w14:textId="77777777" w:rsidR="00A72180" w:rsidRPr="00427F3A" w:rsidRDefault="00A72180" w:rsidP="00E90E4F">
      <w:pPr>
        <w:pStyle w:val="OrdersCentre"/>
      </w:pPr>
    </w:p>
    <w:p w14:paraId="43B0E93A" w14:textId="77777777" w:rsidR="00A72180" w:rsidRPr="00BE0A6C" w:rsidRDefault="00A72180" w:rsidP="00E90E4F">
      <w:pPr>
        <w:pStyle w:val="OrderCentreBold"/>
      </w:pPr>
      <w:r w:rsidRPr="00BE0A6C">
        <w:t>ORDER</w:t>
      </w:r>
    </w:p>
    <w:p w14:paraId="74F03C1F" w14:textId="77777777" w:rsidR="00A72180" w:rsidRPr="00427F3A" w:rsidRDefault="00A72180" w:rsidP="00736C52">
      <w:pPr>
        <w:pStyle w:val="Centre"/>
        <w:rPr>
          <w:lang w:val="en-AU"/>
        </w:rPr>
      </w:pPr>
    </w:p>
    <w:p w14:paraId="3F3F713D" w14:textId="77777777" w:rsidR="00A72180" w:rsidRDefault="00A72180" w:rsidP="002834C2">
      <w:pPr>
        <w:pStyle w:val="OrdersText"/>
      </w:pPr>
      <w:r>
        <w:t xml:space="preserve">1. </w:t>
      </w:r>
      <w:r>
        <w:tab/>
        <w:t xml:space="preserve">Appeal dismissed. </w:t>
      </w:r>
    </w:p>
    <w:p w14:paraId="7FE81449" w14:textId="77777777" w:rsidR="00A72180" w:rsidRDefault="00A72180" w:rsidP="002834C2">
      <w:pPr>
        <w:pStyle w:val="OrdersText"/>
      </w:pPr>
    </w:p>
    <w:p w14:paraId="055F40A4" w14:textId="77777777" w:rsidR="00A72180" w:rsidRDefault="00A72180" w:rsidP="002834C2">
      <w:pPr>
        <w:pStyle w:val="OrdersText"/>
      </w:pPr>
      <w:r>
        <w:t>2.</w:t>
      </w:r>
      <w:r>
        <w:tab/>
        <w:t>The costs of this appeal be costs in the cause.</w:t>
      </w:r>
    </w:p>
    <w:p w14:paraId="323F7A78" w14:textId="77777777" w:rsidR="00A72180" w:rsidRPr="00427F3A" w:rsidRDefault="00A72180" w:rsidP="00EE5374">
      <w:pPr>
        <w:pStyle w:val="Body"/>
      </w:pPr>
    </w:p>
    <w:p w14:paraId="484A0B7C" w14:textId="77777777" w:rsidR="00A72180" w:rsidRPr="00427F3A" w:rsidRDefault="00A72180" w:rsidP="0032341F">
      <w:pPr>
        <w:pStyle w:val="OrdersBody"/>
      </w:pPr>
      <w:r w:rsidRPr="00427F3A">
        <w:t>On appeal from the</w:t>
      </w:r>
      <w:r>
        <w:t xml:space="preserve"> </w:t>
      </w:r>
      <w:r w:rsidRPr="00EA147E">
        <w:t>Federal Court of Australia</w:t>
      </w:r>
    </w:p>
    <w:p w14:paraId="5BA76F3C" w14:textId="77777777" w:rsidR="00A72180" w:rsidRDefault="00A72180" w:rsidP="00EE5374">
      <w:pPr>
        <w:pStyle w:val="Body"/>
      </w:pPr>
    </w:p>
    <w:p w14:paraId="41632CCF" w14:textId="77777777" w:rsidR="00A72180" w:rsidRPr="00427F3A" w:rsidRDefault="00A72180" w:rsidP="00E90E4F">
      <w:pPr>
        <w:pStyle w:val="OrdersBodyHeading"/>
      </w:pPr>
      <w:r w:rsidRPr="00427F3A">
        <w:t>Representation</w:t>
      </w:r>
    </w:p>
    <w:p w14:paraId="14BADD24" w14:textId="77777777" w:rsidR="00A72180" w:rsidRDefault="00A72180" w:rsidP="00EE5374">
      <w:pPr>
        <w:pStyle w:val="Body"/>
      </w:pPr>
    </w:p>
    <w:p w14:paraId="5FC25CAF" w14:textId="77777777" w:rsidR="00A72180" w:rsidRPr="00EA147E" w:rsidRDefault="00A72180" w:rsidP="00E90E4F">
      <w:pPr>
        <w:pStyle w:val="OrdersBody"/>
      </w:pPr>
      <w:r w:rsidRPr="00EA147E">
        <w:t xml:space="preserve">J T Gleeson SC with G P McNally SC and J W </w:t>
      </w:r>
      <w:proofErr w:type="spellStart"/>
      <w:r w:rsidRPr="00EA147E">
        <w:t>Pokoney</w:t>
      </w:r>
      <w:proofErr w:type="spellEnd"/>
      <w:r w:rsidRPr="00EA147E">
        <w:t xml:space="preserve"> for the appellant (instructed by </w:t>
      </w:r>
      <w:proofErr w:type="spellStart"/>
      <w:r w:rsidRPr="00EA147E">
        <w:t>Breene</w:t>
      </w:r>
      <w:proofErr w:type="spellEnd"/>
      <w:r w:rsidRPr="00EA147E">
        <w:t xml:space="preserve"> &amp; </w:t>
      </w:r>
      <w:proofErr w:type="spellStart"/>
      <w:r w:rsidRPr="00EA147E">
        <w:t>Breene</w:t>
      </w:r>
      <w:proofErr w:type="spellEnd"/>
      <w:r w:rsidRPr="00EA147E">
        <w:t xml:space="preserve"> Solicitors)</w:t>
      </w:r>
    </w:p>
    <w:p w14:paraId="3E6A7EAA" w14:textId="77777777" w:rsidR="00A72180" w:rsidRPr="00EA147E" w:rsidRDefault="00A72180" w:rsidP="001B3C97">
      <w:pPr>
        <w:pStyle w:val="Body"/>
      </w:pPr>
    </w:p>
    <w:p w14:paraId="168A187A" w14:textId="77777777" w:rsidR="00A72180" w:rsidRPr="00EA147E" w:rsidRDefault="00A72180" w:rsidP="00E90E4F">
      <w:pPr>
        <w:pStyle w:val="OrdersBody"/>
      </w:pPr>
      <w:r w:rsidRPr="00EA147E">
        <w:t>J D McKenna KC with P E O</w:t>
      </w:r>
      <w:r w:rsidRPr="00427F3A">
        <w:rPr>
          <w:lang w:val="en-AU"/>
        </w:rPr>
        <w:t>'</w:t>
      </w:r>
      <w:r w:rsidRPr="00EA147E">
        <w:t>Brien for the respondents (instructed by Taylor David Lawyers)</w:t>
      </w:r>
    </w:p>
    <w:p w14:paraId="4AD9B632" w14:textId="77777777" w:rsidR="00A72180" w:rsidRDefault="00A72180" w:rsidP="00A01277">
      <w:pPr>
        <w:pStyle w:val="Body"/>
      </w:pPr>
    </w:p>
    <w:p w14:paraId="1D2F66A5" w14:textId="77777777" w:rsidR="00A72180" w:rsidRPr="00427F3A" w:rsidRDefault="00A72180" w:rsidP="00EE5374">
      <w:pPr>
        <w:pStyle w:val="Body"/>
      </w:pPr>
    </w:p>
    <w:p w14:paraId="3E81908C" w14:textId="77777777" w:rsidR="00A72180" w:rsidRPr="00427F3A" w:rsidRDefault="00A72180" w:rsidP="00F9713B">
      <w:pPr>
        <w:pStyle w:val="Notice"/>
        <w:rPr>
          <w:lang w:val="en-AU"/>
        </w:rPr>
      </w:pPr>
      <w:r w:rsidRPr="00427F3A">
        <w:rPr>
          <w:lang w:val="en-AU"/>
        </w:rPr>
        <w:t>Notice:  This copy of the Court's Reasons for Judgment is subject to formal revision prior to publication in the Commonwealth Law Reports.</w:t>
      </w:r>
    </w:p>
    <w:p w14:paraId="2BDDC339" w14:textId="62B3EA83" w:rsidR="00A72180" w:rsidRDefault="00A7218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06A6D40" w14:textId="77777777" w:rsidR="00A72180" w:rsidRDefault="00A7218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72180" w:rsidSect="00A72180">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C4D62C6" w14:textId="77777777" w:rsidR="00A72180" w:rsidRPr="00054C14" w:rsidRDefault="00A72180" w:rsidP="00A72180">
      <w:pPr>
        <w:pStyle w:val="CatchwordsBold"/>
      </w:pPr>
      <w:r w:rsidRPr="00054C14">
        <w:lastRenderedPageBreak/>
        <w:t>CATCHWORDS</w:t>
      </w:r>
    </w:p>
    <w:p w14:paraId="2FD3016D" w14:textId="77777777" w:rsidR="00A72180" w:rsidRPr="00054C14" w:rsidRDefault="00A72180" w:rsidP="00A72180">
      <w:pPr>
        <w:pStyle w:val="CatchwordsBold"/>
      </w:pPr>
    </w:p>
    <w:p w14:paraId="4CEA6E9D" w14:textId="5A521804" w:rsidR="00A72180" w:rsidRDefault="00A72180" w:rsidP="00A72180">
      <w:pPr>
        <w:pStyle w:val="CatchwordsBold"/>
      </w:pPr>
      <w:r w:rsidRPr="006F11AE">
        <w:t xml:space="preserve">Metal Manufactures Pty Limited </w:t>
      </w:r>
      <w:r>
        <w:t>v</w:t>
      </w:r>
      <w:r w:rsidRPr="006F11AE">
        <w:t xml:space="preserve"> Morton</w:t>
      </w:r>
    </w:p>
    <w:p w14:paraId="58A269D4" w14:textId="77777777" w:rsidR="00A72180" w:rsidRDefault="00A72180" w:rsidP="00A72180">
      <w:pPr>
        <w:spacing w:line="240" w:lineRule="auto"/>
        <w:ind w:right="0" w:firstLine="0"/>
        <w:jc w:val="both"/>
        <w:rPr>
          <w:rFonts w:ascii="Times New Roman" w:hAnsi="Times New Roman"/>
        </w:rPr>
      </w:pPr>
    </w:p>
    <w:p w14:paraId="69C2E053" w14:textId="77777777" w:rsidR="00A72180" w:rsidRPr="000845B6" w:rsidRDefault="00A72180" w:rsidP="00A72180">
      <w:pPr>
        <w:pStyle w:val="CatchwordsText"/>
      </w:pPr>
      <w:r w:rsidRPr="00CA6091">
        <w:t>Corporations</w:t>
      </w:r>
      <w:r>
        <w:t xml:space="preserve"> – Winding up – Insolvency – Set-off – Unfair preferences – Where appellant received payments from</w:t>
      </w:r>
      <w:r w:rsidRPr="000F4049">
        <w:t xml:space="preserve"> company </w:t>
      </w:r>
      <w:r>
        <w:t xml:space="preserve">within six-month period prior to winding up – Where liquidator of company </w:t>
      </w:r>
      <w:r w:rsidRPr="006C4287">
        <w:t>sought to recover payments from appellant under s</w:t>
      </w:r>
      <w:r>
        <w:t> </w:t>
      </w:r>
      <w:r w:rsidRPr="006C4287">
        <w:t xml:space="preserve">588FF(1)(a) </w:t>
      </w:r>
      <w:r w:rsidRPr="00A96230">
        <w:t xml:space="preserve">of </w:t>
      </w:r>
      <w:r w:rsidRPr="00A96230">
        <w:rPr>
          <w:i/>
          <w:iCs/>
        </w:rPr>
        <w:t>Corporations Act 2001</w:t>
      </w:r>
      <w:r w:rsidRPr="00A96230">
        <w:t xml:space="preserve"> (Cth) (</w:t>
      </w:r>
      <w:r>
        <w:t>"</w:t>
      </w:r>
      <w:r w:rsidRPr="00A96230">
        <w:t>Act</w:t>
      </w:r>
      <w:r>
        <w:t>"</w:t>
      </w:r>
      <w:r w:rsidRPr="00A96230">
        <w:t>)</w:t>
      </w:r>
      <w:r>
        <w:t xml:space="preserve"> as</w:t>
      </w:r>
      <w:r w:rsidRPr="006C4287">
        <w:t xml:space="preserve"> unfair preference</w:t>
      </w:r>
      <w:r>
        <w:t>s</w:t>
      </w:r>
      <w:r w:rsidRPr="006C4287">
        <w:t xml:space="preserve"> under s</w:t>
      </w:r>
      <w:r>
        <w:t> </w:t>
      </w:r>
      <w:r w:rsidRPr="006C4287">
        <w:t>588FA of Act</w:t>
      </w:r>
      <w:r>
        <w:t xml:space="preserve"> – Where appellant owed separate and distinct debt by company – W</w:t>
      </w:r>
      <w:r w:rsidRPr="00A96230">
        <w:t>hether set-off under s</w:t>
      </w:r>
      <w:r>
        <w:t> </w:t>
      </w:r>
      <w:r w:rsidRPr="00A96230">
        <w:t xml:space="preserve">553C(1) </w:t>
      </w:r>
      <w:r>
        <w:t xml:space="preserve">of Act </w:t>
      </w:r>
      <w:r w:rsidRPr="00A96230">
        <w:t xml:space="preserve">available to </w:t>
      </w:r>
      <w:r>
        <w:t xml:space="preserve">appellant </w:t>
      </w:r>
      <w:r w:rsidRPr="00A96230">
        <w:t xml:space="preserve">against </w:t>
      </w:r>
      <w:r>
        <w:t xml:space="preserve">liquidator's </w:t>
      </w:r>
      <w:r w:rsidRPr="00A96230">
        <w:t>claim for recovery of unfair preference</w:t>
      </w:r>
      <w:r>
        <w:t>s.</w:t>
      </w:r>
    </w:p>
    <w:p w14:paraId="7424C915" w14:textId="77777777" w:rsidR="00A72180" w:rsidRDefault="00A72180" w:rsidP="00A72180">
      <w:pPr>
        <w:pStyle w:val="CatchwordsText"/>
      </w:pPr>
    </w:p>
    <w:p w14:paraId="42433146" w14:textId="77777777" w:rsidR="00A72180" w:rsidRDefault="00A72180" w:rsidP="00A72180">
      <w:pPr>
        <w:pStyle w:val="CatchwordsText"/>
      </w:pPr>
      <w:r w:rsidRPr="00294DEA">
        <w:t>Words and phrases –</w:t>
      </w:r>
      <w:r>
        <w:t xml:space="preserve"> "commencement of the winding up", "contingent right", "insolvency", "insolvent transaction", "liquidation", "liquidator's duties and powers", "mutual dealing", "mutuality", "pari passu principle", "set-off", "statutory scheme of liquidation", "unfair preference", "voidable transaction", "winding up".</w:t>
      </w:r>
    </w:p>
    <w:p w14:paraId="26C63401" w14:textId="77777777" w:rsidR="00A72180" w:rsidRDefault="00A72180" w:rsidP="00A72180">
      <w:pPr>
        <w:pStyle w:val="CatchwordsText"/>
        <w:rPr>
          <w:i/>
        </w:rPr>
      </w:pPr>
    </w:p>
    <w:p w14:paraId="1CC5E195" w14:textId="77777777" w:rsidR="00A72180" w:rsidRPr="00331F64" w:rsidRDefault="00A72180" w:rsidP="00A72180">
      <w:pPr>
        <w:pStyle w:val="CatchwordsText"/>
        <w:rPr>
          <w:b/>
          <w:bCs/>
          <w:i/>
          <w:iCs/>
        </w:rPr>
      </w:pPr>
      <w:r>
        <w:rPr>
          <w:i/>
        </w:rPr>
        <w:t>Corporations Act 2001</w:t>
      </w:r>
      <w:r w:rsidRPr="00825BE2">
        <w:rPr>
          <w:iCs/>
        </w:rPr>
        <w:t xml:space="preserve"> (Cth), </w:t>
      </w:r>
      <w:r w:rsidRPr="00861B24">
        <w:rPr>
          <w:iCs/>
        </w:rPr>
        <w:t>ss</w:t>
      </w:r>
      <w:r>
        <w:t> 474, 477, 478, 553, 553C, 555, 556, 588FA,</w:t>
      </w:r>
      <w:r w:rsidRPr="00730FBE">
        <w:t xml:space="preserve"> </w:t>
      </w:r>
      <w:r>
        <w:t>588FC, 588FE, 588FF, 588FI.</w:t>
      </w:r>
    </w:p>
    <w:p w14:paraId="2B389602" w14:textId="34DF8C37" w:rsidR="00A72180" w:rsidRDefault="00A72180" w:rsidP="00A7218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7F12EA60" w14:textId="6E6BD516" w:rsidR="00A72180" w:rsidRDefault="00A7218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9DAA388" w14:textId="13C059AC" w:rsidR="00A72180" w:rsidRDefault="00A72180">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53CD6FA" w14:textId="77777777" w:rsidR="00A72180" w:rsidRDefault="00A72180" w:rsidP="00FB4B14">
      <w:pPr>
        <w:pStyle w:val="FixListStyle"/>
        <w:tabs>
          <w:tab w:val="clear" w:pos="720"/>
          <w:tab w:val="left" w:pos="0"/>
        </w:tabs>
        <w:spacing w:after="260" w:line="280" w:lineRule="exact"/>
        <w:ind w:right="0"/>
        <w:jc w:val="both"/>
        <w:rPr>
          <w:rFonts w:ascii="Times New Roman" w:hAnsi="Times New Roman"/>
        </w:rPr>
        <w:sectPr w:rsidR="00A72180" w:rsidSect="00A72180">
          <w:pgSz w:w="11907" w:h="16839" w:code="9"/>
          <w:pgMar w:top="1440" w:right="1701" w:bottom="1984" w:left="1701" w:header="720" w:footer="720" w:gutter="0"/>
          <w:pgNumType w:start="1"/>
          <w:cols w:space="720"/>
          <w:titlePg/>
          <w:docGrid w:linePitch="354"/>
        </w:sectPr>
      </w:pPr>
    </w:p>
    <w:p w14:paraId="5360A648" w14:textId="3CFE8EEA" w:rsidR="00A73989" w:rsidRPr="00FB4B14" w:rsidRDefault="00FB4B14" w:rsidP="00FB4B14">
      <w:pPr>
        <w:pStyle w:val="FixListStyle"/>
        <w:tabs>
          <w:tab w:val="clear" w:pos="720"/>
          <w:tab w:val="left" w:pos="0"/>
        </w:tabs>
        <w:spacing w:after="260" w:line="280" w:lineRule="exact"/>
        <w:ind w:right="0"/>
        <w:jc w:val="both"/>
        <w:rPr>
          <w:rFonts w:ascii="Times New Roman" w:hAnsi="Times New Roman"/>
        </w:rPr>
      </w:pPr>
      <w:r w:rsidRPr="00FB4B14">
        <w:rPr>
          <w:rFonts w:ascii="Times New Roman" w:hAnsi="Times New Roman"/>
        </w:rPr>
        <w:lastRenderedPageBreak/>
        <w:t xml:space="preserve">KIEFEL CJ, GORDON, </w:t>
      </w:r>
      <w:proofErr w:type="gramStart"/>
      <w:r w:rsidRPr="00FB4B14">
        <w:rPr>
          <w:rFonts w:ascii="Times New Roman" w:hAnsi="Times New Roman"/>
        </w:rPr>
        <w:t>EDELMAN</w:t>
      </w:r>
      <w:proofErr w:type="gramEnd"/>
      <w:r w:rsidRPr="00FB4B14">
        <w:rPr>
          <w:rFonts w:ascii="Times New Roman" w:hAnsi="Times New Roman"/>
        </w:rPr>
        <w:t xml:space="preserve"> AND STEWARD JJ.   </w:t>
      </w:r>
      <w:r w:rsidR="00805B80" w:rsidRPr="00FB4B14">
        <w:rPr>
          <w:rFonts w:ascii="Times New Roman" w:hAnsi="Times New Roman"/>
        </w:rPr>
        <w:t>Metal Manufactu</w:t>
      </w:r>
      <w:r w:rsidR="008F77C5" w:rsidRPr="00FB4B14">
        <w:rPr>
          <w:rFonts w:ascii="Times New Roman" w:hAnsi="Times New Roman"/>
        </w:rPr>
        <w:t>res Pty L</w:t>
      </w:r>
      <w:r w:rsidR="00952E86" w:rsidRPr="00FB4B14">
        <w:rPr>
          <w:rFonts w:ascii="Times New Roman" w:hAnsi="Times New Roman"/>
        </w:rPr>
        <w:t>imi</w:t>
      </w:r>
      <w:r w:rsidR="008F77C5" w:rsidRPr="00FB4B14">
        <w:rPr>
          <w:rFonts w:ascii="Times New Roman" w:hAnsi="Times New Roman"/>
        </w:rPr>
        <w:t>t</w:t>
      </w:r>
      <w:r w:rsidR="00952E86" w:rsidRPr="00FB4B14">
        <w:rPr>
          <w:rFonts w:ascii="Times New Roman" w:hAnsi="Times New Roman"/>
        </w:rPr>
        <w:t>e</w:t>
      </w:r>
      <w:r w:rsidR="008F77C5" w:rsidRPr="00FB4B14">
        <w:rPr>
          <w:rFonts w:ascii="Times New Roman" w:hAnsi="Times New Roman"/>
        </w:rPr>
        <w:t>d (</w:t>
      </w:r>
      <w:r w:rsidR="00854F16" w:rsidRPr="00FB4B14">
        <w:rPr>
          <w:rFonts w:ascii="Times New Roman" w:hAnsi="Times New Roman"/>
        </w:rPr>
        <w:t>"</w:t>
      </w:r>
      <w:r w:rsidR="008F77C5" w:rsidRPr="00FB4B14">
        <w:rPr>
          <w:rFonts w:ascii="Times New Roman" w:hAnsi="Times New Roman"/>
        </w:rPr>
        <w:t>the appellant</w:t>
      </w:r>
      <w:r w:rsidR="00854F16" w:rsidRPr="00FB4B14">
        <w:rPr>
          <w:rFonts w:ascii="Times New Roman" w:hAnsi="Times New Roman"/>
        </w:rPr>
        <w:t>"</w:t>
      </w:r>
      <w:r w:rsidR="008F77C5" w:rsidRPr="00FB4B14">
        <w:rPr>
          <w:rFonts w:ascii="Times New Roman" w:hAnsi="Times New Roman"/>
        </w:rPr>
        <w:t>)</w:t>
      </w:r>
      <w:r w:rsidR="00937018" w:rsidRPr="00FB4B14">
        <w:rPr>
          <w:rFonts w:ascii="Times New Roman" w:hAnsi="Times New Roman"/>
        </w:rPr>
        <w:t xml:space="preserve"> </w:t>
      </w:r>
      <w:r w:rsidR="00BF6311" w:rsidRPr="00FB4B14">
        <w:rPr>
          <w:rFonts w:ascii="Times New Roman" w:hAnsi="Times New Roman"/>
        </w:rPr>
        <w:t xml:space="preserve">was paid $50,000 </w:t>
      </w:r>
      <w:r w:rsidR="00104E21" w:rsidRPr="00FB4B14">
        <w:rPr>
          <w:rFonts w:ascii="Times New Roman" w:hAnsi="Times New Roman"/>
        </w:rPr>
        <w:t>and $140,000</w:t>
      </w:r>
      <w:r w:rsidR="009854B8" w:rsidRPr="00FB4B14">
        <w:rPr>
          <w:rFonts w:ascii="Times New Roman" w:hAnsi="Times New Roman"/>
        </w:rPr>
        <w:t xml:space="preserve"> </w:t>
      </w:r>
      <w:r w:rsidR="00E12FC0" w:rsidRPr="00FB4B14">
        <w:rPr>
          <w:rFonts w:ascii="Times New Roman" w:hAnsi="Times New Roman"/>
        </w:rPr>
        <w:t xml:space="preserve">by </w:t>
      </w:r>
      <w:r w:rsidR="007C6A4C" w:rsidRPr="00FB4B14">
        <w:rPr>
          <w:rFonts w:ascii="Times New Roman" w:hAnsi="Times New Roman"/>
        </w:rPr>
        <w:t>MJ</w:t>
      </w:r>
      <w:r w:rsidR="00CB0EB7" w:rsidRPr="00FB4B14">
        <w:rPr>
          <w:rFonts w:ascii="Times New Roman" w:hAnsi="Times New Roman"/>
        </w:rPr>
        <w:t> </w:t>
      </w:r>
      <w:r w:rsidR="007C6A4C" w:rsidRPr="00FB4B14">
        <w:rPr>
          <w:rFonts w:ascii="Times New Roman" w:hAnsi="Times New Roman"/>
        </w:rPr>
        <w:t>Woodman Electrical Contractors Pty</w:t>
      </w:r>
      <w:r w:rsidR="00CF461A" w:rsidRPr="00FB4B14">
        <w:rPr>
          <w:rFonts w:ascii="Times New Roman" w:hAnsi="Times New Roman"/>
        </w:rPr>
        <w:t> </w:t>
      </w:r>
      <w:r w:rsidR="007C6A4C" w:rsidRPr="00FB4B14">
        <w:rPr>
          <w:rFonts w:ascii="Times New Roman" w:hAnsi="Times New Roman"/>
        </w:rPr>
        <w:t>Ltd, a company now in liquidation (</w:t>
      </w:r>
      <w:r w:rsidR="00854F16" w:rsidRPr="00FB4B14">
        <w:rPr>
          <w:rFonts w:ascii="Times New Roman" w:hAnsi="Times New Roman"/>
        </w:rPr>
        <w:t>"</w:t>
      </w:r>
      <w:r w:rsidR="009854B8" w:rsidRPr="00FB4B14">
        <w:rPr>
          <w:rFonts w:ascii="Times New Roman" w:hAnsi="Times New Roman"/>
        </w:rPr>
        <w:t>MJ</w:t>
      </w:r>
      <w:r w:rsidR="00D51F3D" w:rsidRPr="00FB4B14">
        <w:rPr>
          <w:rFonts w:ascii="Times New Roman" w:hAnsi="Times New Roman"/>
        </w:rPr>
        <w:t> </w:t>
      </w:r>
      <w:r w:rsidR="009854B8" w:rsidRPr="00FB4B14">
        <w:rPr>
          <w:rFonts w:ascii="Times New Roman" w:hAnsi="Times New Roman"/>
        </w:rPr>
        <w:t>Woodman</w:t>
      </w:r>
      <w:r w:rsidR="00854F16" w:rsidRPr="00FB4B14">
        <w:rPr>
          <w:rFonts w:ascii="Times New Roman" w:hAnsi="Times New Roman"/>
        </w:rPr>
        <w:t>"</w:t>
      </w:r>
      <w:r w:rsidR="009854B8" w:rsidRPr="00FB4B14">
        <w:rPr>
          <w:rFonts w:ascii="Times New Roman" w:hAnsi="Times New Roman"/>
        </w:rPr>
        <w:t>).</w:t>
      </w:r>
      <w:r w:rsidR="00240182" w:rsidRPr="00FB4B14">
        <w:rPr>
          <w:rFonts w:ascii="Times New Roman" w:hAnsi="Times New Roman"/>
        </w:rPr>
        <w:t xml:space="preserve"> Both payments were </w:t>
      </w:r>
      <w:r w:rsidR="0078135C" w:rsidRPr="00FB4B14">
        <w:rPr>
          <w:rFonts w:ascii="Times New Roman" w:hAnsi="Times New Roman"/>
        </w:rPr>
        <w:t xml:space="preserve">made </w:t>
      </w:r>
      <w:r w:rsidR="006A7C02" w:rsidRPr="00FB4B14">
        <w:rPr>
          <w:rFonts w:ascii="Times New Roman" w:hAnsi="Times New Roman"/>
        </w:rPr>
        <w:t>with</w:t>
      </w:r>
      <w:r w:rsidR="00240182" w:rsidRPr="00FB4B14">
        <w:rPr>
          <w:rFonts w:ascii="Times New Roman" w:hAnsi="Times New Roman"/>
        </w:rPr>
        <w:t xml:space="preserve">in the </w:t>
      </w:r>
      <w:r w:rsidR="007837C5" w:rsidRPr="00FB4B14">
        <w:rPr>
          <w:rFonts w:ascii="Times New Roman" w:hAnsi="Times New Roman"/>
        </w:rPr>
        <w:t>six</w:t>
      </w:r>
      <w:r w:rsidR="0008379C" w:rsidRPr="00FB4B14">
        <w:rPr>
          <w:rFonts w:ascii="Times New Roman" w:hAnsi="Times New Roman"/>
        </w:rPr>
        <w:noBreakHyphen/>
      </w:r>
      <w:r w:rsidR="007837C5" w:rsidRPr="00FB4B14">
        <w:rPr>
          <w:rFonts w:ascii="Times New Roman" w:hAnsi="Times New Roman"/>
        </w:rPr>
        <w:t>month period prior to the winding up of MJ</w:t>
      </w:r>
      <w:r w:rsidR="00D51F3D" w:rsidRPr="00FB4B14">
        <w:rPr>
          <w:rFonts w:ascii="Times New Roman" w:hAnsi="Times New Roman"/>
        </w:rPr>
        <w:t> </w:t>
      </w:r>
      <w:r w:rsidR="007837C5" w:rsidRPr="00FB4B14">
        <w:rPr>
          <w:rFonts w:ascii="Times New Roman" w:hAnsi="Times New Roman"/>
        </w:rPr>
        <w:t>Woodman</w:t>
      </w:r>
      <w:r w:rsidR="00041B89" w:rsidRPr="00FB4B14">
        <w:rPr>
          <w:rFonts w:ascii="Times New Roman" w:hAnsi="Times New Roman"/>
        </w:rPr>
        <w:t xml:space="preserve"> ("the relation</w:t>
      </w:r>
      <w:r w:rsidR="00B15714" w:rsidRPr="00FB4B14">
        <w:rPr>
          <w:rFonts w:ascii="Times New Roman" w:hAnsi="Times New Roman"/>
        </w:rPr>
        <w:t>-</w:t>
      </w:r>
      <w:r w:rsidR="00041B89" w:rsidRPr="00FB4B14">
        <w:rPr>
          <w:rFonts w:ascii="Times New Roman" w:hAnsi="Times New Roman"/>
        </w:rPr>
        <w:t>back period")</w:t>
      </w:r>
      <w:r w:rsidR="007837C5" w:rsidRPr="00FB4B14">
        <w:rPr>
          <w:rFonts w:ascii="Times New Roman" w:hAnsi="Times New Roman"/>
        </w:rPr>
        <w:t>.</w:t>
      </w:r>
      <w:r w:rsidR="00507424" w:rsidRPr="00FB4B14">
        <w:rPr>
          <w:rFonts w:ascii="Times New Roman" w:hAnsi="Times New Roman"/>
        </w:rPr>
        <w:t xml:space="preserve"> </w:t>
      </w:r>
      <w:r w:rsidR="00726FBF" w:rsidRPr="00FB4B14">
        <w:rPr>
          <w:rFonts w:ascii="Times New Roman" w:hAnsi="Times New Roman"/>
        </w:rPr>
        <w:t>The liquidator of MJ</w:t>
      </w:r>
      <w:r w:rsidR="00D51F3D" w:rsidRPr="00FB4B14">
        <w:rPr>
          <w:rFonts w:ascii="Times New Roman" w:hAnsi="Times New Roman"/>
        </w:rPr>
        <w:t> </w:t>
      </w:r>
      <w:r w:rsidR="00726FBF" w:rsidRPr="00FB4B14">
        <w:rPr>
          <w:rFonts w:ascii="Times New Roman" w:hAnsi="Times New Roman"/>
        </w:rPr>
        <w:t>Woodman (</w:t>
      </w:r>
      <w:r w:rsidR="00854F16" w:rsidRPr="00FB4B14">
        <w:rPr>
          <w:rFonts w:ascii="Times New Roman" w:hAnsi="Times New Roman"/>
        </w:rPr>
        <w:t>"</w:t>
      </w:r>
      <w:r w:rsidR="00726FBF" w:rsidRPr="00FB4B14">
        <w:rPr>
          <w:rFonts w:ascii="Times New Roman" w:hAnsi="Times New Roman"/>
        </w:rPr>
        <w:t xml:space="preserve">the </w:t>
      </w:r>
      <w:r w:rsidR="00942808" w:rsidRPr="00FB4B14">
        <w:rPr>
          <w:rFonts w:ascii="Times New Roman" w:hAnsi="Times New Roman"/>
        </w:rPr>
        <w:t>first respondent</w:t>
      </w:r>
      <w:r w:rsidR="00854F16" w:rsidRPr="00FB4B14">
        <w:rPr>
          <w:rFonts w:ascii="Times New Roman" w:hAnsi="Times New Roman"/>
        </w:rPr>
        <w:t>"</w:t>
      </w:r>
      <w:r w:rsidR="00942808" w:rsidRPr="00FB4B14">
        <w:rPr>
          <w:rFonts w:ascii="Times New Roman" w:hAnsi="Times New Roman"/>
        </w:rPr>
        <w:t>)</w:t>
      </w:r>
      <w:r w:rsidR="00E670C6" w:rsidRPr="00FB4B14">
        <w:rPr>
          <w:rFonts w:ascii="Times New Roman" w:hAnsi="Times New Roman"/>
        </w:rPr>
        <w:t xml:space="preserve"> </w:t>
      </w:r>
      <w:r w:rsidR="005834F0" w:rsidRPr="00FB4B14">
        <w:rPr>
          <w:rFonts w:ascii="Times New Roman" w:hAnsi="Times New Roman"/>
        </w:rPr>
        <w:t>sought</w:t>
      </w:r>
      <w:r w:rsidR="00942808" w:rsidRPr="00FB4B14">
        <w:rPr>
          <w:rFonts w:ascii="Times New Roman" w:hAnsi="Times New Roman"/>
        </w:rPr>
        <w:t xml:space="preserve"> to recover </w:t>
      </w:r>
      <w:r w:rsidR="00E670C6" w:rsidRPr="00FB4B14">
        <w:rPr>
          <w:rFonts w:ascii="Times New Roman" w:hAnsi="Times New Roman"/>
        </w:rPr>
        <w:t>both payments</w:t>
      </w:r>
      <w:r w:rsidR="00FB2660" w:rsidRPr="00FB4B14">
        <w:rPr>
          <w:rFonts w:ascii="Times New Roman" w:hAnsi="Times New Roman"/>
        </w:rPr>
        <w:t xml:space="preserve"> from the appellant</w:t>
      </w:r>
      <w:r w:rsidR="00E670C6" w:rsidRPr="00FB4B14">
        <w:rPr>
          <w:rFonts w:ascii="Times New Roman" w:hAnsi="Times New Roman"/>
        </w:rPr>
        <w:t xml:space="preserve"> </w:t>
      </w:r>
      <w:r w:rsidR="00E54F13" w:rsidRPr="00FB4B14">
        <w:rPr>
          <w:rFonts w:ascii="Times New Roman" w:hAnsi="Times New Roman"/>
        </w:rPr>
        <w:t xml:space="preserve">under s 588FF(1)(a) of the </w:t>
      </w:r>
      <w:r w:rsidR="00E54F13" w:rsidRPr="00FB4B14">
        <w:rPr>
          <w:rFonts w:ascii="Times New Roman" w:hAnsi="Times New Roman"/>
          <w:i/>
          <w:iCs/>
        </w:rPr>
        <w:t>Corporations Act 2001</w:t>
      </w:r>
      <w:r w:rsidR="00E54F13" w:rsidRPr="00FB4B14">
        <w:rPr>
          <w:rFonts w:ascii="Times New Roman" w:hAnsi="Times New Roman"/>
        </w:rPr>
        <w:t xml:space="preserve"> (</w:t>
      </w:r>
      <w:proofErr w:type="spellStart"/>
      <w:r w:rsidR="00E54F13" w:rsidRPr="00FB4B14">
        <w:rPr>
          <w:rFonts w:ascii="Times New Roman" w:hAnsi="Times New Roman"/>
        </w:rPr>
        <w:t>Cth</w:t>
      </w:r>
      <w:proofErr w:type="spellEnd"/>
      <w:r w:rsidR="00E54F13" w:rsidRPr="00FB4B14">
        <w:rPr>
          <w:rFonts w:ascii="Times New Roman" w:hAnsi="Times New Roman"/>
        </w:rPr>
        <w:t xml:space="preserve">) ("the Act") </w:t>
      </w:r>
      <w:r w:rsidR="00B21B9E" w:rsidRPr="00FB4B14">
        <w:rPr>
          <w:rFonts w:ascii="Times New Roman" w:hAnsi="Times New Roman"/>
        </w:rPr>
        <w:t>on the basis that each was</w:t>
      </w:r>
      <w:r w:rsidR="0001145F" w:rsidRPr="00FB4B14">
        <w:rPr>
          <w:rFonts w:ascii="Times New Roman" w:hAnsi="Times New Roman"/>
        </w:rPr>
        <w:t xml:space="preserve"> </w:t>
      </w:r>
      <w:r w:rsidR="004433C7" w:rsidRPr="00FB4B14">
        <w:rPr>
          <w:rFonts w:ascii="Times New Roman" w:hAnsi="Times New Roman"/>
        </w:rPr>
        <w:t>a</w:t>
      </w:r>
      <w:r w:rsidR="004651BB" w:rsidRPr="00FB4B14">
        <w:rPr>
          <w:rFonts w:ascii="Times New Roman" w:hAnsi="Times New Roman"/>
        </w:rPr>
        <w:t xml:space="preserve">n unfair preference </w:t>
      </w:r>
      <w:r w:rsidR="006F3CCA" w:rsidRPr="00FB4B14">
        <w:rPr>
          <w:rFonts w:ascii="Times New Roman" w:hAnsi="Times New Roman"/>
        </w:rPr>
        <w:t>under</w:t>
      </w:r>
      <w:r w:rsidR="00CB568A" w:rsidRPr="00FB4B14">
        <w:rPr>
          <w:rFonts w:ascii="Times New Roman" w:hAnsi="Times New Roman"/>
        </w:rPr>
        <w:t xml:space="preserve"> s </w:t>
      </w:r>
      <w:r w:rsidR="0001145F" w:rsidRPr="00FB4B14">
        <w:rPr>
          <w:rFonts w:ascii="Times New Roman" w:hAnsi="Times New Roman"/>
        </w:rPr>
        <w:t>588F</w:t>
      </w:r>
      <w:r w:rsidR="00E54F13" w:rsidRPr="00FB4B14">
        <w:rPr>
          <w:rFonts w:ascii="Times New Roman" w:hAnsi="Times New Roman"/>
        </w:rPr>
        <w:t>A</w:t>
      </w:r>
      <w:r w:rsidR="0001145F" w:rsidRPr="00FB4B14">
        <w:rPr>
          <w:rFonts w:ascii="Times New Roman" w:hAnsi="Times New Roman"/>
        </w:rPr>
        <w:t xml:space="preserve"> of the </w:t>
      </w:r>
      <w:r w:rsidR="00852E94" w:rsidRPr="00FB4B14">
        <w:rPr>
          <w:rFonts w:ascii="Times New Roman" w:hAnsi="Times New Roman"/>
        </w:rPr>
        <w:t>Act</w:t>
      </w:r>
      <w:r w:rsidR="000D6092" w:rsidRPr="00FB4B14">
        <w:rPr>
          <w:rFonts w:ascii="Times New Roman" w:hAnsi="Times New Roman"/>
        </w:rPr>
        <w:t>.</w:t>
      </w:r>
      <w:r w:rsidR="004433C7" w:rsidRPr="00FB4B14">
        <w:rPr>
          <w:rFonts w:ascii="Times New Roman" w:hAnsi="Times New Roman"/>
        </w:rPr>
        <w:t xml:space="preserve"> The appellant </w:t>
      </w:r>
      <w:r w:rsidR="004825D3" w:rsidRPr="00FB4B14">
        <w:rPr>
          <w:rFonts w:ascii="Times New Roman" w:hAnsi="Times New Roman"/>
        </w:rPr>
        <w:t xml:space="preserve">alleges, and the respondents concede, that </w:t>
      </w:r>
      <w:r w:rsidR="001422BC" w:rsidRPr="00FB4B14">
        <w:rPr>
          <w:rFonts w:ascii="Times New Roman" w:hAnsi="Times New Roman"/>
        </w:rPr>
        <w:t>MJ</w:t>
      </w:r>
      <w:r w:rsidR="00CB0EB7" w:rsidRPr="00FB4B14">
        <w:rPr>
          <w:rFonts w:ascii="Times New Roman" w:hAnsi="Times New Roman"/>
        </w:rPr>
        <w:t> </w:t>
      </w:r>
      <w:r w:rsidR="001422BC" w:rsidRPr="00FB4B14">
        <w:rPr>
          <w:rFonts w:ascii="Times New Roman" w:hAnsi="Times New Roman"/>
        </w:rPr>
        <w:t>Woodman owes the appellant $19</w:t>
      </w:r>
      <w:r w:rsidR="006C1A9E" w:rsidRPr="00FB4B14">
        <w:rPr>
          <w:rFonts w:ascii="Times New Roman" w:hAnsi="Times New Roman"/>
        </w:rPr>
        <w:t xml:space="preserve">4,727.23. </w:t>
      </w:r>
      <w:r w:rsidR="00965075" w:rsidRPr="00FB4B14">
        <w:rPr>
          <w:rFonts w:ascii="Times New Roman" w:hAnsi="Times New Roman"/>
        </w:rPr>
        <w:t xml:space="preserve">This is a </w:t>
      </w:r>
      <w:r w:rsidR="00FB5BB1" w:rsidRPr="00FB4B14">
        <w:rPr>
          <w:rFonts w:ascii="Times New Roman" w:hAnsi="Times New Roman"/>
        </w:rPr>
        <w:t>separate</w:t>
      </w:r>
      <w:r w:rsidR="00965075" w:rsidRPr="00FB4B14">
        <w:rPr>
          <w:rFonts w:ascii="Times New Roman" w:hAnsi="Times New Roman"/>
        </w:rPr>
        <w:t xml:space="preserve"> and distinct</w:t>
      </w:r>
      <w:r w:rsidR="00FB5BB1" w:rsidRPr="00FB4B14">
        <w:rPr>
          <w:rFonts w:ascii="Times New Roman" w:hAnsi="Times New Roman"/>
        </w:rPr>
        <w:t xml:space="preserve"> debt from the liability</w:t>
      </w:r>
      <w:r w:rsidR="0076318F" w:rsidRPr="00FB4B14">
        <w:rPr>
          <w:rFonts w:ascii="Times New Roman" w:hAnsi="Times New Roman"/>
        </w:rPr>
        <w:t xml:space="preserve"> which</w:t>
      </w:r>
      <w:r w:rsidR="00CF673D" w:rsidRPr="00FB4B14">
        <w:rPr>
          <w:rFonts w:ascii="Times New Roman" w:hAnsi="Times New Roman"/>
        </w:rPr>
        <w:t xml:space="preserve"> is said to</w:t>
      </w:r>
      <w:r w:rsidR="00FB5BB1" w:rsidRPr="00FB4B14">
        <w:rPr>
          <w:rFonts w:ascii="Times New Roman" w:hAnsi="Times New Roman"/>
        </w:rPr>
        <w:t xml:space="preserve"> arise under</w:t>
      </w:r>
      <w:r w:rsidR="00CB568A" w:rsidRPr="00FB4B14">
        <w:rPr>
          <w:rFonts w:ascii="Times New Roman" w:hAnsi="Times New Roman"/>
        </w:rPr>
        <w:t xml:space="preserve"> s </w:t>
      </w:r>
      <w:r w:rsidR="0076318F" w:rsidRPr="00FB4B14">
        <w:rPr>
          <w:rFonts w:ascii="Times New Roman" w:hAnsi="Times New Roman"/>
        </w:rPr>
        <w:t>5</w:t>
      </w:r>
      <w:r w:rsidR="00245B8E" w:rsidRPr="00FB4B14">
        <w:rPr>
          <w:rFonts w:ascii="Times New Roman" w:hAnsi="Times New Roman"/>
        </w:rPr>
        <w:t>8</w:t>
      </w:r>
      <w:r w:rsidR="0076318F" w:rsidRPr="00FB4B14">
        <w:rPr>
          <w:rFonts w:ascii="Times New Roman" w:hAnsi="Times New Roman"/>
        </w:rPr>
        <w:t>8FF(1)(a)</w:t>
      </w:r>
      <w:r w:rsidR="009931D9" w:rsidRPr="00FB4B14">
        <w:rPr>
          <w:rFonts w:ascii="Times New Roman" w:hAnsi="Times New Roman"/>
        </w:rPr>
        <w:t>.</w:t>
      </w:r>
      <w:r w:rsidR="0076318F" w:rsidRPr="00FB4B14">
        <w:rPr>
          <w:rFonts w:ascii="Times New Roman" w:hAnsi="Times New Roman"/>
        </w:rPr>
        <w:t xml:space="preserve"> </w:t>
      </w:r>
      <w:r w:rsidR="00042A9D" w:rsidRPr="00FB4B14">
        <w:rPr>
          <w:rFonts w:ascii="Times New Roman" w:hAnsi="Times New Roman"/>
        </w:rPr>
        <w:t>The appellant contends that it has, pursuant to</w:t>
      </w:r>
      <w:r w:rsidR="00CB568A" w:rsidRPr="00FB4B14">
        <w:rPr>
          <w:rFonts w:ascii="Times New Roman" w:hAnsi="Times New Roman"/>
        </w:rPr>
        <w:t xml:space="preserve"> s </w:t>
      </w:r>
      <w:r w:rsidR="00042A9D" w:rsidRPr="00FB4B14">
        <w:rPr>
          <w:rFonts w:ascii="Times New Roman" w:hAnsi="Times New Roman"/>
        </w:rPr>
        <w:t>553C of the Act, a right to set</w:t>
      </w:r>
      <w:r w:rsidR="00141A3A" w:rsidRPr="00FB4B14">
        <w:rPr>
          <w:rFonts w:ascii="Times New Roman" w:hAnsi="Times New Roman"/>
        </w:rPr>
        <w:t xml:space="preserve"> </w:t>
      </w:r>
      <w:r w:rsidR="00042A9D" w:rsidRPr="00FB4B14">
        <w:rPr>
          <w:rFonts w:ascii="Times New Roman" w:hAnsi="Times New Roman"/>
        </w:rPr>
        <w:t xml:space="preserve">off </w:t>
      </w:r>
      <w:r w:rsidR="008378FE" w:rsidRPr="00FB4B14">
        <w:rPr>
          <w:rFonts w:ascii="Times New Roman" w:hAnsi="Times New Roman"/>
        </w:rPr>
        <w:t xml:space="preserve">its </w:t>
      </w:r>
      <w:r w:rsidR="00616AA1" w:rsidRPr="00FB4B14">
        <w:rPr>
          <w:rFonts w:ascii="Times New Roman" w:hAnsi="Times New Roman"/>
        </w:rPr>
        <w:t xml:space="preserve">potential liability to repay </w:t>
      </w:r>
      <w:r w:rsidR="00D56336" w:rsidRPr="00FB4B14">
        <w:rPr>
          <w:rFonts w:ascii="Times New Roman" w:hAnsi="Times New Roman"/>
        </w:rPr>
        <w:t>the</w:t>
      </w:r>
      <w:r w:rsidR="00042A9D" w:rsidRPr="00FB4B14">
        <w:rPr>
          <w:rFonts w:ascii="Times New Roman" w:hAnsi="Times New Roman"/>
        </w:rPr>
        <w:t xml:space="preserve"> </w:t>
      </w:r>
      <w:r w:rsidR="002479B4" w:rsidRPr="00FB4B14">
        <w:rPr>
          <w:rFonts w:ascii="Times New Roman" w:hAnsi="Times New Roman"/>
        </w:rPr>
        <w:t xml:space="preserve">alleged </w:t>
      </w:r>
      <w:r w:rsidR="007662B1" w:rsidRPr="00FB4B14">
        <w:rPr>
          <w:rFonts w:ascii="Times New Roman" w:hAnsi="Times New Roman"/>
        </w:rPr>
        <w:t>unfair preferences</w:t>
      </w:r>
      <w:r w:rsidR="00042A9D" w:rsidRPr="00FB4B14">
        <w:rPr>
          <w:rFonts w:ascii="Times New Roman" w:hAnsi="Times New Roman"/>
        </w:rPr>
        <w:t xml:space="preserve"> against</w:t>
      </w:r>
      <w:r w:rsidR="00021437" w:rsidRPr="00FB4B14">
        <w:rPr>
          <w:rFonts w:ascii="Times New Roman" w:hAnsi="Times New Roman"/>
        </w:rPr>
        <w:t xml:space="preserve"> the </w:t>
      </w:r>
      <w:r w:rsidR="004804BF" w:rsidRPr="00FB4B14">
        <w:rPr>
          <w:rFonts w:ascii="Times New Roman" w:hAnsi="Times New Roman"/>
        </w:rPr>
        <w:t xml:space="preserve">separate </w:t>
      </w:r>
      <w:r w:rsidR="001D1A1F" w:rsidRPr="00FB4B14">
        <w:rPr>
          <w:rFonts w:ascii="Times New Roman" w:hAnsi="Times New Roman"/>
        </w:rPr>
        <w:t xml:space="preserve">debt </w:t>
      </w:r>
      <w:r w:rsidR="00021437" w:rsidRPr="00FB4B14">
        <w:rPr>
          <w:rFonts w:ascii="Times New Roman" w:hAnsi="Times New Roman"/>
        </w:rPr>
        <w:t>owed to it.</w:t>
      </w:r>
      <w:r w:rsidR="00351297" w:rsidRPr="00FB4B14">
        <w:rPr>
          <w:rFonts w:ascii="Times New Roman" w:hAnsi="Times New Roman"/>
        </w:rPr>
        <w:t xml:space="preserve"> </w:t>
      </w:r>
    </w:p>
    <w:p w14:paraId="60259740" w14:textId="38968DBC" w:rsidR="00043FE4" w:rsidRPr="00FB4B14" w:rsidRDefault="00043FE4"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BC218E" w:rsidRPr="00FB4B14">
        <w:rPr>
          <w:rFonts w:ascii="Times New Roman" w:hAnsi="Times New Roman"/>
        </w:rPr>
        <w:t xml:space="preserve">Given that the separate debt exceeds the </w:t>
      </w:r>
      <w:r w:rsidR="002479B4" w:rsidRPr="00FB4B14">
        <w:rPr>
          <w:rFonts w:ascii="Times New Roman" w:hAnsi="Times New Roman"/>
        </w:rPr>
        <w:t xml:space="preserve">amount of the alleged </w:t>
      </w:r>
      <w:r w:rsidR="00BE7072" w:rsidRPr="00FB4B14">
        <w:rPr>
          <w:rFonts w:ascii="Times New Roman" w:hAnsi="Times New Roman"/>
        </w:rPr>
        <w:t>unfair preferences</w:t>
      </w:r>
      <w:r w:rsidR="00BC218E" w:rsidRPr="00FB4B14">
        <w:rPr>
          <w:rFonts w:ascii="Times New Roman" w:hAnsi="Times New Roman"/>
        </w:rPr>
        <w:t xml:space="preserve">, if the </w:t>
      </w:r>
      <w:r w:rsidR="002479B4" w:rsidRPr="00FB4B14">
        <w:rPr>
          <w:rFonts w:ascii="Times New Roman" w:hAnsi="Times New Roman"/>
        </w:rPr>
        <w:t>appellant</w:t>
      </w:r>
      <w:r w:rsidR="00BC218E" w:rsidRPr="00FB4B14">
        <w:rPr>
          <w:rFonts w:ascii="Times New Roman" w:hAnsi="Times New Roman"/>
        </w:rPr>
        <w:t xml:space="preserve"> </w:t>
      </w:r>
      <w:r w:rsidR="00D93F64" w:rsidRPr="00FB4B14">
        <w:rPr>
          <w:rFonts w:ascii="Times New Roman" w:hAnsi="Times New Roman"/>
        </w:rPr>
        <w:t xml:space="preserve">could </w:t>
      </w:r>
      <w:r w:rsidR="00BC218E" w:rsidRPr="00FB4B14">
        <w:rPr>
          <w:rFonts w:ascii="Times New Roman" w:hAnsi="Times New Roman"/>
        </w:rPr>
        <w:t>set</w:t>
      </w:r>
      <w:r w:rsidR="00951E47" w:rsidRPr="00FB4B14">
        <w:rPr>
          <w:rFonts w:ascii="Times New Roman" w:hAnsi="Times New Roman"/>
        </w:rPr>
        <w:t xml:space="preserve"> </w:t>
      </w:r>
      <w:r w:rsidR="00BC218E" w:rsidRPr="00FB4B14">
        <w:rPr>
          <w:rFonts w:ascii="Times New Roman" w:hAnsi="Times New Roman"/>
        </w:rPr>
        <w:t xml:space="preserve">off </w:t>
      </w:r>
      <w:r w:rsidR="00D93F64" w:rsidRPr="00FB4B14">
        <w:rPr>
          <w:rFonts w:ascii="Times New Roman" w:hAnsi="Times New Roman"/>
        </w:rPr>
        <w:t xml:space="preserve">that debt </w:t>
      </w:r>
      <w:r w:rsidR="00BC218E" w:rsidRPr="00FB4B14">
        <w:rPr>
          <w:rFonts w:ascii="Times New Roman" w:hAnsi="Times New Roman"/>
        </w:rPr>
        <w:t>under s 553</w:t>
      </w:r>
      <w:proofErr w:type="gramStart"/>
      <w:r w:rsidR="00BC218E" w:rsidRPr="00FB4B14">
        <w:rPr>
          <w:rFonts w:ascii="Times New Roman" w:hAnsi="Times New Roman"/>
        </w:rPr>
        <w:t>C(</w:t>
      </w:r>
      <w:proofErr w:type="gramEnd"/>
      <w:r w:rsidR="00BC218E" w:rsidRPr="00FB4B14">
        <w:rPr>
          <w:rFonts w:ascii="Times New Roman" w:hAnsi="Times New Roman"/>
        </w:rPr>
        <w:t xml:space="preserve">1), the </w:t>
      </w:r>
      <w:r w:rsidR="001847B9" w:rsidRPr="00FB4B14">
        <w:rPr>
          <w:rFonts w:ascii="Times New Roman" w:hAnsi="Times New Roman"/>
        </w:rPr>
        <w:t>first respondent</w:t>
      </w:r>
      <w:r w:rsidR="00BC218E" w:rsidRPr="00FB4B14">
        <w:rPr>
          <w:rFonts w:ascii="Times New Roman" w:hAnsi="Times New Roman"/>
        </w:rPr>
        <w:t xml:space="preserve"> </w:t>
      </w:r>
      <w:r w:rsidR="008F6EF1" w:rsidRPr="00FB4B14">
        <w:rPr>
          <w:rFonts w:ascii="Times New Roman" w:hAnsi="Times New Roman"/>
        </w:rPr>
        <w:t>w</w:t>
      </w:r>
      <w:r w:rsidR="00D93F64" w:rsidRPr="00FB4B14">
        <w:rPr>
          <w:rFonts w:ascii="Times New Roman" w:hAnsi="Times New Roman"/>
        </w:rPr>
        <w:t xml:space="preserve">ould </w:t>
      </w:r>
      <w:r w:rsidR="008F6EF1" w:rsidRPr="00FB4B14">
        <w:rPr>
          <w:rFonts w:ascii="Times New Roman" w:hAnsi="Times New Roman"/>
        </w:rPr>
        <w:t>not</w:t>
      </w:r>
      <w:r w:rsidR="00BC218E" w:rsidRPr="00FB4B14">
        <w:rPr>
          <w:rFonts w:ascii="Times New Roman" w:hAnsi="Times New Roman"/>
        </w:rPr>
        <w:t xml:space="preserve"> obtain an order for payment under s 588FF</w:t>
      </w:r>
      <w:r w:rsidR="00504A08" w:rsidRPr="00FB4B14">
        <w:rPr>
          <w:rFonts w:ascii="Times New Roman" w:hAnsi="Times New Roman"/>
        </w:rPr>
        <w:t>(1)(a)</w:t>
      </w:r>
      <w:r w:rsidR="00BC218E" w:rsidRPr="00FB4B14">
        <w:rPr>
          <w:rFonts w:ascii="Times New Roman" w:hAnsi="Times New Roman"/>
        </w:rPr>
        <w:t>.</w:t>
      </w:r>
      <w:r w:rsidR="002479B4" w:rsidRPr="00FB4B14">
        <w:rPr>
          <w:rFonts w:ascii="Times New Roman" w:hAnsi="Times New Roman"/>
          <w:b/>
          <w:bCs/>
        </w:rPr>
        <w:t xml:space="preserve"> </w:t>
      </w:r>
      <w:r w:rsidR="002479B4" w:rsidRPr="00FB4B14">
        <w:rPr>
          <w:rFonts w:ascii="Times New Roman" w:hAnsi="Times New Roman"/>
        </w:rPr>
        <w:t>Accordingly</w:t>
      </w:r>
      <w:r w:rsidR="002479B4" w:rsidRPr="00FB4B14">
        <w:rPr>
          <w:rFonts w:ascii="Times New Roman" w:hAnsi="Times New Roman"/>
          <w:b/>
          <w:bCs/>
        </w:rPr>
        <w:t xml:space="preserve">, </w:t>
      </w:r>
      <w:r w:rsidR="002479B4" w:rsidRPr="00FB4B14">
        <w:rPr>
          <w:rFonts w:ascii="Times New Roman" w:hAnsi="Times New Roman"/>
        </w:rPr>
        <w:t>b</w:t>
      </w:r>
      <w:r w:rsidRPr="00FB4B14">
        <w:rPr>
          <w:rFonts w:ascii="Times New Roman" w:hAnsi="Times New Roman"/>
        </w:rPr>
        <w:t xml:space="preserve">y an Amended Special Case, </w:t>
      </w:r>
      <w:proofErr w:type="spellStart"/>
      <w:r w:rsidRPr="00FB4B14">
        <w:rPr>
          <w:rFonts w:ascii="Times New Roman" w:hAnsi="Times New Roman"/>
        </w:rPr>
        <w:t>Derrington</w:t>
      </w:r>
      <w:proofErr w:type="spellEnd"/>
      <w:r w:rsidR="00124125" w:rsidRPr="00FB4B14">
        <w:rPr>
          <w:rFonts w:ascii="Times New Roman" w:hAnsi="Times New Roman"/>
        </w:rPr>
        <w:t> </w:t>
      </w:r>
      <w:r w:rsidRPr="00FB4B14">
        <w:rPr>
          <w:rFonts w:ascii="Times New Roman" w:hAnsi="Times New Roman"/>
        </w:rPr>
        <w:t>J reserved for consideration</w:t>
      </w:r>
      <w:r w:rsidR="00D168BB" w:rsidRPr="00FB4B14">
        <w:rPr>
          <w:rFonts w:ascii="Times New Roman" w:hAnsi="Times New Roman"/>
        </w:rPr>
        <w:t xml:space="preserve"> by the Full Court of the Federal Court</w:t>
      </w:r>
      <w:r w:rsidRPr="00FB4B14">
        <w:rPr>
          <w:rFonts w:ascii="Times New Roman" w:hAnsi="Times New Roman"/>
        </w:rPr>
        <w:t xml:space="preserve"> the following question</w:t>
      </w:r>
      <w:r w:rsidR="003F0E0A" w:rsidRPr="00FB4B14">
        <w:rPr>
          <w:rFonts w:ascii="Times New Roman" w:hAnsi="Times New Roman"/>
        </w:rPr>
        <w:t>:</w:t>
      </w:r>
    </w:p>
    <w:p w14:paraId="5535C24C" w14:textId="77777777" w:rsidR="00FB4B14" w:rsidRDefault="00854F16" w:rsidP="00FB4B14">
      <w:pPr>
        <w:pStyle w:val="LeftrightafterHC"/>
        <w:spacing w:before="0" w:after="260" w:line="280" w:lineRule="exact"/>
        <w:ind w:right="0"/>
        <w:jc w:val="both"/>
        <w:rPr>
          <w:rFonts w:ascii="Times New Roman" w:hAnsi="Times New Roman"/>
        </w:rPr>
      </w:pPr>
      <w:r w:rsidRPr="00FB4B14">
        <w:rPr>
          <w:rFonts w:ascii="Times New Roman" w:hAnsi="Times New Roman"/>
        </w:rPr>
        <w:t>"</w:t>
      </w:r>
      <w:r w:rsidR="00316781" w:rsidRPr="00FB4B14">
        <w:rPr>
          <w:rFonts w:ascii="Times New Roman" w:hAnsi="Times New Roman"/>
        </w:rPr>
        <w:t>I</w:t>
      </w:r>
      <w:r w:rsidR="003F0E0A" w:rsidRPr="00FB4B14">
        <w:rPr>
          <w:rFonts w:ascii="Times New Roman" w:hAnsi="Times New Roman"/>
        </w:rPr>
        <w:t>s statutory set-off, under</w:t>
      </w:r>
      <w:r w:rsidR="00CB568A" w:rsidRPr="00FB4B14">
        <w:rPr>
          <w:rFonts w:ascii="Times New Roman" w:hAnsi="Times New Roman"/>
        </w:rPr>
        <w:t xml:space="preserve"> s </w:t>
      </w:r>
      <w:r w:rsidR="003F0E0A" w:rsidRPr="00FB4B14">
        <w:rPr>
          <w:rFonts w:ascii="Times New Roman" w:hAnsi="Times New Roman"/>
        </w:rPr>
        <w:t>553</w:t>
      </w:r>
      <w:proofErr w:type="gramStart"/>
      <w:r w:rsidR="003F0E0A" w:rsidRPr="00FB4B14">
        <w:rPr>
          <w:rFonts w:ascii="Times New Roman" w:hAnsi="Times New Roman"/>
        </w:rPr>
        <w:t>C(</w:t>
      </w:r>
      <w:proofErr w:type="gramEnd"/>
      <w:r w:rsidR="003F0E0A" w:rsidRPr="00FB4B14">
        <w:rPr>
          <w:rFonts w:ascii="Times New Roman" w:hAnsi="Times New Roman"/>
        </w:rPr>
        <w:t xml:space="preserve">1) of the </w:t>
      </w:r>
      <w:r w:rsidR="003F0E0A" w:rsidRPr="00FB4B14">
        <w:rPr>
          <w:rFonts w:ascii="Times New Roman" w:hAnsi="Times New Roman"/>
          <w:i/>
          <w:iCs/>
        </w:rPr>
        <w:t>Corporations A</w:t>
      </w:r>
      <w:r w:rsidR="00316781" w:rsidRPr="00FB4B14">
        <w:rPr>
          <w:rFonts w:ascii="Times New Roman" w:hAnsi="Times New Roman"/>
          <w:i/>
          <w:iCs/>
        </w:rPr>
        <w:t>c</w:t>
      </w:r>
      <w:r w:rsidR="003F0E0A" w:rsidRPr="00FB4B14">
        <w:rPr>
          <w:rFonts w:ascii="Times New Roman" w:hAnsi="Times New Roman"/>
          <w:i/>
          <w:iCs/>
        </w:rPr>
        <w:t>t 2001</w:t>
      </w:r>
      <w:r w:rsidR="003F0E0A" w:rsidRPr="00FB4B14">
        <w:rPr>
          <w:rFonts w:ascii="Times New Roman" w:hAnsi="Times New Roman"/>
        </w:rPr>
        <w:t xml:space="preserve"> (</w:t>
      </w:r>
      <w:proofErr w:type="spellStart"/>
      <w:r w:rsidR="003F0E0A" w:rsidRPr="00FB4B14">
        <w:rPr>
          <w:rFonts w:ascii="Times New Roman" w:hAnsi="Times New Roman"/>
        </w:rPr>
        <w:t>Cth</w:t>
      </w:r>
      <w:proofErr w:type="spellEnd"/>
      <w:r w:rsidR="003F0E0A" w:rsidRPr="00FB4B14">
        <w:rPr>
          <w:rFonts w:ascii="Times New Roman" w:hAnsi="Times New Roman"/>
        </w:rPr>
        <w:t>) (</w:t>
      </w:r>
      <w:r w:rsidRPr="00FB4B14">
        <w:rPr>
          <w:rFonts w:ascii="Times New Roman" w:hAnsi="Times New Roman"/>
        </w:rPr>
        <w:t>"</w:t>
      </w:r>
      <w:r w:rsidR="003F0E0A" w:rsidRPr="00FB4B14">
        <w:rPr>
          <w:rFonts w:ascii="Times New Roman" w:hAnsi="Times New Roman"/>
        </w:rPr>
        <w:t>Act</w:t>
      </w:r>
      <w:r w:rsidRPr="00FB4B14">
        <w:rPr>
          <w:rFonts w:ascii="Times New Roman" w:hAnsi="Times New Roman"/>
        </w:rPr>
        <w:t>"</w:t>
      </w:r>
      <w:r w:rsidR="003F0E0A" w:rsidRPr="00FB4B14">
        <w:rPr>
          <w:rFonts w:ascii="Times New Roman" w:hAnsi="Times New Roman"/>
        </w:rPr>
        <w:t>)</w:t>
      </w:r>
      <w:r w:rsidR="002E6B97" w:rsidRPr="00FB4B14">
        <w:rPr>
          <w:rFonts w:ascii="Times New Roman" w:hAnsi="Times New Roman"/>
        </w:rPr>
        <w:t>,</w:t>
      </w:r>
      <w:r w:rsidR="003F0E0A" w:rsidRPr="00FB4B14">
        <w:rPr>
          <w:rFonts w:ascii="Times New Roman" w:hAnsi="Times New Roman"/>
        </w:rPr>
        <w:t xml:space="preserve"> a</w:t>
      </w:r>
      <w:r w:rsidR="001957A6" w:rsidRPr="00FB4B14">
        <w:rPr>
          <w:rFonts w:ascii="Times New Roman" w:hAnsi="Times New Roman"/>
        </w:rPr>
        <w:t xml:space="preserve">vailable to the </w:t>
      </w:r>
      <w:r w:rsidR="00D872DE" w:rsidRPr="00FB4B14">
        <w:rPr>
          <w:rFonts w:ascii="Times New Roman" w:hAnsi="Times New Roman"/>
        </w:rPr>
        <w:t xml:space="preserve">[appellant] </w:t>
      </w:r>
      <w:r w:rsidR="001957A6" w:rsidRPr="00FB4B14">
        <w:rPr>
          <w:rFonts w:ascii="Times New Roman" w:hAnsi="Times New Roman"/>
        </w:rPr>
        <w:t>in this proceeding against the [first respondent</w:t>
      </w:r>
      <w:r w:rsidRPr="00FB4B14">
        <w:rPr>
          <w:rFonts w:ascii="Times New Roman" w:hAnsi="Times New Roman"/>
        </w:rPr>
        <w:t>'</w:t>
      </w:r>
      <w:r w:rsidR="001957A6" w:rsidRPr="00FB4B14">
        <w:rPr>
          <w:rFonts w:ascii="Times New Roman" w:hAnsi="Times New Roman"/>
        </w:rPr>
        <w:t xml:space="preserve">s] claim as liquidator for the recovery of an </w:t>
      </w:r>
      <w:r w:rsidR="00316781" w:rsidRPr="00FB4B14">
        <w:rPr>
          <w:rFonts w:ascii="Times New Roman" w:hAnsi="Times New Roman"/>
        </w:rPr>
        <w:t>unfair preference under</w:t>
      </w:r>
      <w:r w:rsidR="00CB568A" w:rsidRPr="00FB4B14">
        <w:rPr>
          <w:rFonts w:ascii="Times New Roman" w:hAnsi="Times New Roman"/>
        </w:rPr>
        <w:t xml:space="preserve"> s </w:t>
      </w:r>
      <w:r w:rsidR="00316781" w:rsidRPr="00FB4B14">
        <w:rPr>
          <w:rFonts w:ascii="Times New Roman" w:hAnsi="Times New Roman"/>
        </w:rPr>
        <w:t>588FA of the Act?</w:t>
      </w:r>
      <w:r w:rsidRPr="00FB4B14">
        <w:rPr>
          <w:rFonts w:ascii="Times New Roman" w:hAnsi="Times New Roman"/>
        </w:rPr>
        <w:t>"</w:t>
      </w:r>
    </w:p>
    <w:p w14:paraId="45B81BB0" w14:textId="2C15A3B3" w:rsidR="003F0E0A" w:rsidRPr="00FB4B14" w:rsidRDefault="00316781" w:rsidP="00FB4B14">
      <w:pPr>
        <w:pStyle w:val="FixListStyle"/>
        <w:spacing w:after="260" w:line="280" w:lineRule="exact"/>
        <w:ind w:right="0"/>
        <w:jc w:val="both"/>
        <w:rPr>
          <w:rFonts w:ascii="Times New Roman" w:hAnsi="Times New Roman"/>
        </w:rPr>
      </w:pPr>
      <w:r w:rsidRPr="00FB4B14">
        <w:rPr>
          <w:rFonts w:ascii="Times New Roman" w:hAnsi="Times New Roman"/>
        </w:rPr>
        <w:tab/>
        <w:t>In a comprehe</w:t>
      </w:r>
      <w:r w:rsidR="00FD42CE" w:rsidRPr="00FB4B14">
        <w:rPr>
          <w:rFonts w:ascii="Times New Roman" w:hAnsi="Times New Roman"/>
        </w:rPr>
        <w:t xml:space="preserve">nsive set of </w:t>
      </w:r>
      <w:r w:rsidR="001F0C08" w:rsidRPr="00FB4B14">
        <w:rPr>
          <w:rFonts w:ascii="Times New Roman" w:hAnsi="Times New Roman"/>
        </w:rPr>
        <w:t>reasons,</w:t>
      </w:r>
      <w:r w:rsidR="00FD42CE" w:rsidRPr="00FB4B14">
        <w:rPr>
          <w:rFonts w:ascii="Times New Roman" w:hAnsi="Times New Roman"/>
        </w:rPr>
        <w:t xml:space="preserve"> the Full Court </w:t>
      </w:r>
      <w:r w:rsidR="003A1520" w:rsidRPr="00FB4B14">
        <w:rPr>
          <w:rFonts w:ascii="Times New Roman" w:hAnsi="Times New Roman"/>
        </w:rPr>
        <w:t>said that</w:t>
      </w:r>
      <w:r w:rsidR="00FD42CE" w:rsidRPr="00FB4B14">
        <w:rPr>
          <w:rFonts w:ascii="Times New Roman" w:hAnsi="Times New Roman"/>
        </w:rPr>
        <w:t xml:space="preserve"> the question posed</w:t>
      </w:r>
      <w:r w:rsidR="003A1520" w:rsidRPr="00FB4B14">
        <w:rPr>
          <w:rFonts w:ascii="Times New Roman" w:hAnsi="Times New Roman"/>
        </w:rPr>
        <w:t xml:space="preserve"> should be answered </w:t>
      </w:r>
      <w:r w:rsidR="00854F16" w:rsidRPr="00FB4B14">
        <w:rPr>
          <w:rFonts w:ascii="Times New Roman" w:hAnsi="Times New Roman"/>
        </w:rPr>
        <w:t>"</w:t>
      </w:r>
      <w:r w:rsidR="003A1520" w:rsidRPr="00FB4B14">
        <w:rPr>
          <w:rFonts w:ascii="Times New Roman" w:hAnsi="Times New Roman"/>
        </w:rPr>
        <w:t>No</w:t>
      </w:r>
      <w:r w:rsidR="00854F16" w:rsidRPr="00FB4B14">
        <w:rPr>
          <w:rFonts w:ascii="Times New Roman" w:hAnsi="Times New Roman"/>
        </w:rPr>
        <w:t>"</w:t>
      </w:r>
      <w:r w:rsidR="0014041A" w:rsidRPr="00FB4B14">
        <w:rPr>
          <w:rStyle w:val="FootnoteReference"/>
          <w:rFonts w:ascii="Times New Roman" w:hAnsi="Times New Roman"/>
          <w:sz w:val="24"/>
        </w:rPr>
        <w:footnoteReference w:id="2"/>
      </w:r>
      <w:r w:rsidR="003A1520" w:rsidRPr="00FB4B14">
        <w:rPr>
          <w:rFonts w:ascii="Times New Roman" w:hAnsi="Times New Roman"/>
        </w:rPr>
        <w:t>.</w:t>
      </w:r>
      <w:r w:rsidR="00FE7B2B" w:rsidRPr="00FB4B14">
        <w:rPr>
          <w:rFonts w:ascii="Times New Roman" w:hAnsi="Times New Roman"/>
        </w:rPr>
        <w:t xml:space="preserve"> In </w:t>
      </w:r>
      <w:r w:rsidR="005F782A" w:rsidRPr="00FB4B14">
        <w:rPr>
          <w:rFonts w:ascii="Times New Roman" w:hAnsi="Times New Roman"/>
        </w:rPr>
        <w:t>separate</w:t>
      </w:r>
      <w:r w:rsidR="00FE7B2B" w:rsidRPr="00FB4B14">
        <w:rPr>
          <w:rFonts w:ascii="Times New Roman" w:hAnsi="Times New Roman"/>
        </w:rPr>
        <w:t xml:space="preserve"> rea</w:t>
      </w:r>
      <w:r w:rsidR="005F782A" w:rsidRPr="00FB4B14">
        <w:rPr>
          <w:rFonts w:ascii="Times New Roman" w:hAnsi="Times New Roman"/>
        </w:rPr>
        <w:t>s</w:t>
      </w:r>
      <w:r w:rsidR="00FE7B2B" w:rsidRPr="00FB4B14">
        <w:rPr>
          <w:rFonts w:ascii="Times New Roman" w:hAnsi="Times New Roman"/>
        </w:rPr>
        <w:t xml:space="preserve">ons, the Full Court </w:t>
      </w:r>
      <w:r w:rsidR="001F0C08" w:rsidRPr="00FB4B14">
        <w:rPr>
          <w:rFonts w:ascii="Times New Roman" w:hAnsi="Times New Roman"/>
        </w:rPr>
        <w:t xml:space="preserve">also </w:t>
      </w:r>
      <w:r w:rsidR="00FE7B2B" w:rsidRPr="00FB4B14">
        <w:rPr>
          <w:rFonts w:ascii="Times New Roman" w:hAnsi="Times New Roman"/>
        </w:rPr>
        <w:t xml:space="preserve">ordered that the </w:t>
      </w:r>
      <w:r w:rsidR="005F782A" w:rsidRPr="00FB4B14">
        <w:rPr>
          <w:rFonts w:ascii="Times New Roman" w:hAnsi="Times New Roman"/>
        </w:rPr>
        <w:t xml:space="preserve">issue of </w:t>
      </w:r>
      <w:r w:rsidR="00FE7B2B" w:rsidRPr="00FB4B14">
        <w:rPr>
          <w:rFonts w:ascii="Times New Roman" w:hAnsi="Times New Roman"/>
        </w:rPr>
        <w:t>costs</w:t>
      </w:r>
      <w:r w:rsidR="005F782A" w:rsidRPr="00FB4B14">
        <w:rPr>
          <w:rFonts w:ascii="Times New Roman" w:hAnsi="Times New Roman"/>
        </w:rPr>
        <w:t xml:space="preserve"> in the special case be remitted for determination by the docket judge</w:t>
      </w:r>
      <w:r w:rsidR="005F782A" w:rsidRPr="00FB4B14">
        <w:rPr>
          <w:rStyle w:val="FootnoteReference"/>
          <w:rFonts w:ascii="Times New Roman" w:hAnsi="Times New Roman"/>
          <w:sz w:val="24"/>
        </w:rPr>
        <w:footnoteReference w:id="3"/>
      </w:r>
      <w:r w:rsidR="005F782A" w:rsidRPr="00FB4B14">
        <w:rPr>
          <w:rFonts w:ascii="Times New Roman" w:hAnsi="Times New Roman"/>
        </w:rPr>
        <w:t>.</w:t>
      </w:r>
      <w:r w:rsidR="001F0C08" w:rsidRPr="00FB4B14">
        <w:rPr>
          <w:rFonts w:ascii="Times New Roman" w:hAnsi="Times New Roman"/>
        </w:rPr>
        <w:t xml:space="preserve"> For the reasons </w:t>
      </w:r>
      <w:r w:rsidR="0032126B" w:rsidRPr="00FB4B14">
        <w:rPr>
          <w:rFonts w:ascii="Times New Roman" w:hAnsi="Times New Roman"/>
        </w:rPr>
        <w:t>which follow</w:t>
      </w:r>
      <w:r w:rsidR="001F0C08" w:rsidRPr="00FB4B14">
        <w:rPr>
          <w:rFonts w:ascii="Times New Roman" w:hAnsi="Times New Roman"/>
        </w:rPr>
        <w:t xml:space="preserve">, </w:t>
      </w:r>
      <w:r w:rsidR="00FB0A19" w:rsidRPr="00FB4B14">
        <w:rPr>
          <w:rFonts w:ascii="Times New Roman" w:hAnsi="Times New Roman"/>
        </w:rPr>
        <w:t xml:space="preserve">the answer given by the Full Court was correct, the </w:t>
      </w:r>
      <w:r w:rsidR="001D33C6" w:rsidRPr="00FB4B14">
        <w:rPr>
          <w:rFonts w:ascii="Times New Roman" w:hAnsi="Times New Roman"/>
        </w:rPr>
        <w:t xml:space="preserve">costs </w:t>
      </w:r>
      <w:r w:rsidR="00FB0A19" w:rsidRPr="00FB4B14">
        <w:rPr>
          <w:rFonts w:ascii="Times New Roman" w:hAnsi="Times New Roman"/>
        </w:rPr>
        <w:t xml:space="preserve">order should not be disturbed, and the costs of this appeal should </w:t>
      </w:r>
      <w:r w:rsidR="004531D9" w:rsidRPr="00FB4B14">
        <w:rPr>
          <w:rFonts w:ascii="Times New Roman" w:hAnsi="Times New Roman"/>
        </w:rPr>
        <w:t>be costs in the cause</w:t>
      </w:r>
      <w:r w:rsidR="00FB0A19" w:rsidRPr="00FB4B14">
        <w:rPr>
          <w:rFonts w:ascii="Times New Roman" w:hAnsi="Times New Roman"/>
        </w:rPr>
        <w:t>.</w:t>
      </w:r>
    </w:p>
    <w:p w14:paraId="1269436A" w14:textId="3D867313" w:rsidR="002A6BD9" w:rsidRPr="00FB4B14" w:rsidRDefault="002A6BD9" w:rsidP="00FB4B14">
      <w:pPr>
        <w:pStyle w:val="HeadingL1"/>
        <w:spacing w:after="260" w:line="280" w:lineRule="exact"/>
        <w:ind w:right="0"/>
        <w:jc w:val="both"/>
        <w:rPr>
          <w:rFonts w:ascii="Times New Roman" w:hAnsi="Times New Roman"/>
        </w:rPr>
      </w:pPr>
      <w:r w:rsidRPr="00FB4B14">
        <w:rPr>
          <w:rFonts w:ascii="Times New Roman" w:hAnsi="Times New Roman"/>
        </w:rPr>
        <w:lastRenderedPageBreak/>
        <w:t xml:space="preserve">The </w:t>
      </w:r>
      <w:r w:rsidR="00854F16" w:rsidRPr="00FB4B14">
        <w:rPr>
          <w:rFonts w:ascii="Times New Roman" w:hAnsi="Times New Roman"/>
        </w:rPr>
        <w:t>s</w:t>
      </w:r>
      <w:r w:rsidRPr="00FB4B14">
        <w:rPr>
          <w:rFonts w:ascii="Times New Roman" w:hAnsi="Times New Roman"/>
        </w:rPr>
        <w:t xml:space="preserve">tatutory </w:t>
      </w:r>
      <w:r w:rsidR="00854F16" w:rsidRPr="00FB4B14">
        <w:rPr>
          <w:rFonts w:ascii="Times New Roman" w:hAnsi="Times New Roman"/>
        </w:rPr>
        <w:t>s</w:t>
      </w:r>
      <w:r w:rsidRPr="00FB4B14">
        <w:rPr>
          <w:rFonts w:ascii="Times New Roman" w:hAnsi="Times New Roman"/>
        </w:rPr>
        <w:t>cheme</w:t>
      </w:r>
    </w:p>
    <w:p w14:paraId="5539A621" w14:textId="0796B4B5" w:rsidR="002A6BD9" w:rsidRPr="00FB4B14" w:rsidRDefault="002A6BD9"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9257B2" w:rsidRPr="00FB4B14">
        <w:rPr>
          <w:rFonts w:ascii="Times New Roman" w:hAnsi="Times New Roman"/>
        </w:rPr>
        <w:t>Whether a right of set</w:t>
      </w:r>
      <w:r w:rsidR="00C96980" w:rsidRPr="00FB4B14">
        <w:rPr>
          <w:rFonts w:ascii="Times New Roman" w:hAnsi="Times New Roman"/>
        </w:rPr>
        <w:t>-</w:t>
      </w:r>
      <w:r w:rsidR="009257B2" w:rsidRPr="00FB4B14">
        <w:rPr>
          <w:rFonts w:ascii="Times New Roman" w:hAnsi="Times New Roman"/>
        </w:rPr>
        <w:t xml:space="preserve">off is available requires consideration of the </w:t>
      </w:r>
      <w:r w:rsidR="002126F9" w:rsidRPr="00FB4B14">
        <w:rPr>
          <w:rFonts w:ascii="Times New Roman" w:hAnsi="Times New Roman"/>
        </w:rPr>
        <w:t>applicable statutory scheme.</w:t>
      </w:r>
    </w:p>
    <w:p w14:paraId="070EA365" w14:textId="5909111C" w:rsidR="00316BE4" w:rsidRPr="00FB4B14" w:rsidRDefault="006F168C" w:rsidP="00FB4B14">
      <w:pPr>
        <w:pStyle w:val="HeadingL2"/>
        <w:spacing w:after="260" w:line="280" w:lineRule="exact"/>
        <w:ind w:right="0"/>
        <w:jc w:val="both"/>
        <w:rPr>
          <w:rFonts w:ascii="Times New Roman" w:hAnsi="Times New Roman"/>
        </w:rPr>
      </w:pPr>
      <w:r w:rsidRPr="00FB4B14">
        <w:rPr>
          <w:rFonts w:ascii="Times New Roman" w:hAnsi="Times New Roman"/>
        </w:rPr>
        <w:t>Liquidator's duties and powers</w:t>
      </w:r>
    </w:p>
    <w:p w14:paraId="6FE61380" w14:textId="0DF24C01" w:rsidR="004A0AF7" w:rsidRPr="00FB4B14" w:rsidRDefault="00102BCC" w:rsidP="00FB4B14">
      <w:pPr>
        <w:pStyle w:val="FixListStyle"/>
        <w:spacing w:after="260" w:line="280" w:lineRule="exact"/>
        <w:ind w:right="0"/>
        <w:jc w:val="both"/>
        <w:rPr>
          <w:rFonts w:ascii="Times New Roman" w:hAnsi="Times New Roman"/>
        </w:rPr>
      </w:pPr>
      <w:r w:rsidRPr="00FB4B14">
        <w:rPr>
          <w:rFonts w:ascii="Times New Roman" w:hAnsi="Times New Roman"/>
        </w:rPr>
        <w:tab/>
        <w:t>The survey commence</w:t>
      </w:r>
      <w:r w:rsidR="00715E92" w:rsidRPr="00FB4B14">
        <w:rPr>
          <w:rFonts w:ascii="Times New Roman" w:hAnsi="Times New Roman"/>
        </w:rPr>
        <w:t>s</w:t>
      </w:r>
      <w:r w:rsidRPr="00FB4B14">
        <w:rPr>
          <w:rFonts w:ascii="Times New Roman" w:hAnsi="Times New Roman"/>
        </w:rPr>
        <w:t xml:space="preserve"> with</w:t>
      </w:r>
      <w:r w:rsidR="00DE11A2" w:rsidRPr="00FB4B14">
        <w:rPr>
          <w:rFonts w:ascii="Times New Roman" w:hAnsi="Times New Roman"/>
        </w:rPr>
        <w:t xml:space="preserve"> </w:t>
      </w:r>
      <w:proofErr w:type="spellStart"/>
      <w:r w:rsidR="00DE11A2" w:rsidRPr="00FB4B14">
        <w:rPr>
          <w:rFonts w:ascii="Times New Roman" w:hAnsi="Times New Roman"/>
        </w:rPr>
        <w:t>Div</w:t>
      </w:r>
      <w:proofErr w:type="spellEnd"/>
      <w:r w:rsidR="00DE11A2" w:rsidRPr="00FB4B14">
        <w:rPr>
          <w:rFonts w:ascii="Times New Roman" w:hAnsi="Times New Roman"/>
        </w:rPr>
        <w:t xml:space="preserve"> 2 of </w:t>
      </w:r>
      <w:r w:rsidR="007F7E5A" w:rsidRPr="00FB4B14">
        <w:rPr>
          <w:rFonts w:ascii="Times New Roman" w:hAnsi="Times New Roman"/>
        </w:rPr>
        <w:t xml:space="preserve">Pt 5.4B of </w:t>
      </w:r>
      <w:r w:rsidR="00DE11A2" w:rsidRPr="00FB4B14">
        <w:rPr>
          <w:rFonts w:ascii="Times New Roman" w:hAnsi="Times New Roman"/>
        </w:rPr>
        <w:t>Ch</w:t>
      </w:r>
      <w:r w:rsidR="00E70FAC" w:rsidRPr="00FB4B14">
        <w:rPr>
          <w:rFonts w:ascii="Times New Roman" w:hAnsi="Times New Roman"/>
        </w:rPr>
        <w:t> </w:t>
      </w:r>
      <w:r w:rsidR="00DE11A2" w:rsidRPr="00FB4B14">
        <w:rPr>
          <w:rFonts w:ascii="Times New Roman" w:hAnsi="Times New Roman"/>
        </w:rPr>
        <w:t>5 of the Act</w:t>
      </w:r>
      <w:r w:rsidR="00C83651" w:rsidRPr="00FB4B14">
        <w:rPr>
          <w:rStyle w:val="FootnoteReference"/>
          <w:rFonts w:ascii="Times New Roman" w:hAnsi="Times New Roman"/>
          <w:sz w:val="24"/>
        </w:rPr>
        <w:footnoteReference w:id="4"/>
      </w:r>
      <w:r w:rsidR="00DE11A2" w:rsidRPr="00FB4B14">
        <w:rPr>
          <w:rFonts w:ascii="Times New Roman" w:hAnsi="Times New Roman"/>
        </w:rPr>
        <w:t>.</w:t>
      </w:r>
      <w:r w:rsidR="00715E92" w:rsidRPr="00FB4B14">
        <w:rPr>
          <w:rFonts w:ascii="Times New Roman" w:hAnsi="Times New Roman"/>
        </w:rPr>
        <w:t xml:space="preserve"> Chapter</w:t>
      </w:r>
      <w:r w:rsidR="00BE7DF0" w:rsidRPr="00FB4B14">
        <w:rPr>
          <w:rFonts w:ascii="Times New Roman" w:hAnsi="Times New Roman"/>
        </w:rPr>
        <w:t> </w:t>
      </w:r>
      <w:r w:rsidR="00715E92" w:rsidRPr="00FB4B14">
        <w:rPr>
          <w:rFonts w:ascii="Times New Roman" w:hAnsi="Times New Roman"/>
        </w:rPr>
        <w:t xml:space="preserve">5 addresses the various forms of external administration of a company, and </w:t>
      </w:r>
      <w:proofErr w:type="spellStart"/>
      <w:r w:rsidR="00715E92" w:rsidRPr="00FB4B14">
        <w:rPr>
          <w:rFonts w:ascii="Times New Roman" w:hAnsi="Times New Roman"/>
        </w:rPr>
        <w:t>Div</w:t>
      </w:r>
      <w:proofErr w:type="spellEnd"/>
      <w:r w:rsidR="00E70FAC" w:rsidRPr="00FB4B14">
        <w:rPr>
          <w:rFonts w:ascii="Times New Roman" w:hAnsi="Times New Roman"/>
        </w:rPr>
        <w:t> </w:t>
      </w:r>
      <w:r w:rsidR="00715E92" w:rsidRPr="00FB4B14">
        <w:rPr>
          <w:rFonts w:ascii="Times New Roman" w:hAnsi="Times New Roman"/>
        </w:rPr>
        <w:t xml:space="preserve">2 </w:t>
      </w:r>
      <w:r w:rsidR="006E2DFB" w:rsidRPr="00FB4B14">
        <w:rPr>
          <w:rFonts w:ascii="Times New Roman" w:hAnsi="Times New Roman"/>
        </w:rPr>
        <w:t>of Pt</w:t>
      </w:r>
      <w:r w:rsidR="00BE7DF0" w:rsidRPr="00FB4B14">
        <w:rPr>
          <w:rFonts w:ascii="Times New Roman" w:hAnsi="Times New Roman"/>
        </w:rPr>
        <w:t> </w:t>
      </w:r>
      <w:r w:rsidR="006E2DFB" w:rsidRPr="00FB4B14">
        <w:rPr>
          <w:rFonts w:ascii="Times New Roman" w:hAnsi="Times New Roman"/>
        </w:rPr>
        <w:t xml:space="preserve">5.4B </w:t>
      </w:r>
      <w:r w:rsidR="00715E92" w:rsidRPr="00FB4B14">
        <w:rPr>
          <w:rFonts w:ascii="Times New Roman" w:hAnsi="Times New Roman"/>
        </w:rPr>
        <w:t xml:space="preserve">deals with an instance of such administration, </w:t>
      </w:r>
      <w:r w:rsidR="00AE2171" w:rsidRPr="00FB4B14">
        <w:rPr>
          <w:rFonts w:ascii="Times New Roman" w:hAnsi="Times New Roman"/>
        </w:rPr>
        <w:t xml:space="preserve">namely </w:t>
      </w:r>
      <w:r w:rsidR="00727559" w:rsidRPr="00FB4B14">
        <w:rPr>
          <w:rFonts w:ascii="Times New Roman" w:hAnsi="Times New Roman"/>
        </w:rPr>
        <w:t>the appointment of a liquidator by a Court following the making of an order for the winding up of a company</w:t>
      </w:r>
      <w:r w:rsidR="00861589" w:rsidRPr="00FB4B14">
        <w:rPr>
          <w:rStyle w:val="FootnoteReference"/>
          <w:rFonts w:ascii="Times New Roman" w:hAnsi="Times New Roman"/>
          <w:sz w:val="24"/>
        </w:rPr>
        <w:footnoteReference w:id="5"/>
      </w:r>
      <w:r w:rsidR="00B42E86" w:rsidRPr="00FB4B14">
        <w:rPr>
          <w:rFonts w:ascii="Times New Roman" w:hAnsi="Times New Roman"/>
        </w:rPr>
        <w:t>.</w:t>
      </w:r>
      <w:r w:rsidR="00CA1463" w:rsidRPr="00FB4B14">
        <w:rPr>
          <w:rFonts w:ascii="Times New Roman" w:hAnsi="Times New Roman"/>
        </w:rPr>
        <w:t xml:space="preserve"> Pursuant to</w:t>
      </w:r>
      <w:r w:rsidR="00CB568A" w:rsidRPr="00FB4B14">
        <w:rPr>
          <w:rFonts w:ascii="Times New Roman" w:hAnsi="Times New Roman"/>
        </w:rPr>
        <w:t xml:space="preserve"> s </w:t>
      </w:r>
      <w:r w:rsidR="00CA1463" w:rsidRPr="00FB4B14">
        <w:rPr>
          <w:rFonts w:ascii="Times New Roman" w:hAnsi="Times New Roman"/>
        </w:rPr>
        <w:t>474</w:t>
      </w:r>
      <w:r w:rsidR="00B26FF2" w:rsidRPr="00FB4B14">
        <w:rPr>
          <w:rFonts w:ascii="Times New Roman" w:hAnsi="Times New Roman"/>
        </w:rPr>
        <w:t xml:space="preserve"> of the Act, relevantly the liquidator </w:t>
      </w:r>
      <w:r w:rsidR="00484929" w:rsidRPr="00FB4B14">
        <w:rPr>
          <w:rFonts w:ascii="Times New Roman" w:hAnsi="Times New Roman"/>
        </w:rPr>
        <w:t>must take into his or her custody</w:t>
      </w:r>
      <w:r w:rsidR="008A7023" w:rsidRPr="00FB4B14">
        <w:rPr>
          <w:rFonts w:ascii="Times New Roman" w:hAnsi="Times New Roman"/>
        </w:rPr>
        <w:t xml:space="preserve">, or under his or her control, </w:t>
      </w:r>
      <w:proofErr w:type="gramStart"/>
      <w:r w:rsidR="008A7023" w:rsidRPr="00FB4B14">
        <w:rPr>
          <w:rFonts w:ascii="Times New Roman" w:hAnsi="Times New Roman"/>
        </w:rPr>
        <w:t>all of</w:t>
      </w:r>
      <w:proofErr w:type="gramEnd"/>
      <w:r w:rsidR="008A7023" w:rsidRPr="00FB4B14">
        <w:rPr>
          <w:rFonts w:ascii="Times New Roman" w:hAnsi="Times New Roman"/>
        </w:rPr>
        <w:t xml:space="preserve"> the property which is, or appears to be, </w:t>
      </w:r>
      <w:r w:rsidR="00E95FB4" w:rsidRPr="00FB4B14">
        <w:rPr>
          <w:rFonts w:ascii="Times New Roman" w:hAnsi="Times New Roman"/>
        </w:rPr>
        <w:t xml:space="preserve">the </w:t>
      </w:r>
      <w:r w:rsidR="008A7023" w:rsidRPr="00FB4B14">
        <w:rPr>
          <w:rFonts w:ascii="Times New Roman" w:hAnsi="Times New Roman"/>
        </w:rPr>
        <w:t>propert</w:t>
      </w:r>
      <w:r w:rsidR="004F44F8" w:rsidRPr="00FB4B14">
        <w:rPr>
          <w:rFonts w:ascii="Times New Roman" w:hAnsi="Times New Roman"/>
        </w:rPr>
        <w:t xml:space="preserve">y of the company being wound up. </w:t>
      </w:r>
      <w:r w:rsidR="002B4B14" w:rsidRPr="00FB4B14">
        <w:rPr>
          <w:rFonts w:ascii="Times New Roman" w:hAnsi="Times New Roman"/>
        </w:rPr>
        <w:t xml:space="preserve">Unlike </w:t>
      </w:r>
      <w:r w:rsidR="000B3346" w:rsidRPr="00FB4B14">
        <w:rPr>
          <w:rFonts w:ascii="Times New Roman" w:hAnsi="Times New Roman"/>
        </w:rPr>
        <w:t>the case of a person who becomes a bankrupt</w:t>
      </w:r>
      <w:r w:rsidR="002C012E" w:rsidRPr="00FB4B14">
        <w:rPr>
          <w:rFonts w:ascii="Times New Roman" w:hAnsi="Times New Roman"/>
        </w:rPr>
        <w:t xml:space="preserve">, where the property of the bankrupt vests in </w:t>
      </w:r>
      <w:r w:rsidR="00964634" w:rsidRPr="00FB4B14">
        <w:rPr>
          <w:rFonts w:ascii="Times New Roman" w:hAnsi="Times New Roman"/>
        </w:rPr>
        <w:t>the Official Trustee</w:t>
      </w:r>
      <w:r w:rsidR="00964634" w:rsidRPr="00FB4B14">
        <w:rPr>
          <w:rStyle w:val="FootnoteReference"/>
          <w:rFonts w:ascii="Times New Roman" w:hAnsi="Times New Roman"/>
          <w:sz w:val="24"/>
        </w:rPr>
        <w:footnoteReference w:id="6"/>
      </w:r>
      <w:r w:rsidR="0074168B" w:rsidRPr="00FB4B14">
        <w:rPr>
          <w:rFonts w:ascii="Times New Roman" w:hAnsi="Times New Roman"/>
        </w:rPr>
        <w:t>,</w:t>
      </w:r>
      <w:r w:rsidR="002C012E" w:rsidRPr="00FB4B14">
        <w:rPr>
          <w:rFonts w:ascii="Times New Roman" w:hAnsi="Times New Roman"/>
        </w:rPr>
        <w:t xml:space="preserve"> the property of the company does not vest in the liquidator</w:t>
      </w:r>
      <w:r w:rsidR="0074168B" w:rsidRPr="00FB4B14">
        <w:rPr>
          <w:rStyle w:val="FootnoteReference"/>
          <w:rFonts w:ascii="Times New Roman" w:hAnsi="Times New Roman"/>
          <w:sz w:val="24"/>
        </w:rPr>
        <w:footnoteReference w:id="7"/>
      </w:r>
      <w:r w:rsidR="0074168B" w:rsidRPr="00FB4B14">
        <w:rPr>
          <w:rFonts w:ascii="Times New Roman" w:hAnsi="Times New Roman"/>
        </w:rPr>
        <w:t>.</w:t>
      </w:r>
      <w:r w:rsidR="003E659F" w:rsidRPr="00FB4B14">
        <w:rPr>
          <w:rFonts w:ascii="Times New Roman" w:hAnsi="Times New Roman"/>
        </w:rPr>
        <w:t xml:space="preserve"> </w:t>
      </w:r>
      <w:r w:rsidR="00301DBA" w:rsidRPr="00FB4B14">
        <w:rPr>
          <w:rFonts w:ascii="Times New Roman" w:hAnsi="Times New Roman"/>
        </w:rPr>
        <w:t>Thereafter, pursuant to</w:t>
      </w:r>
      <w:r w:rsidR="00CB568A" w:rsidRPr="00FB4B14">
        <w:rPr>
          <w:rFonts w:ascii="Times New Roman" w:hAnsi="Times New Roman"/>
        </w:rPr>
        <w:t xml:space="preserve"> s </w:t>
      </w:r>
      <w:r w:rsidR="00301DBA" w:rsidRPr="00FB4B14">
        <w:rPr>
          <w:rFonts w:ascii="Times New Roman" w:hAnsi="Times New Roman"/>
        </w:rPr>
        <w:t>477 of the Act, the liquidator is empowered</w:t>
      </w:r>
      <w:r w:rsidR="00D678F6" w:rsidRPr="00FB4B14">
        <w:rPr>
          <w:rFonts w:ascii="Times New Roman" w:hAnsi="Times New Roman"/>
        </w:rPr>
        <w:t>, amongst other things</w:t>
      </w:r>
      <w:r w:rsidR="00461BBA" w:rsidRPr="00FB4B14">
        <w:rPr>
          <w:rFonts w:ascii="Times New Roman" w:hAnsi="Times New Roman"/>
        </w:rPr>
        <w:t>:</w:t>
      </w:r>
      <w:r w:rsidR="00301DBA" w:rsidRPr="00FB4B14">
        <w:rPr>
          <w:rFonts w:ascii="Times New Roman" w:hAnsi="Times New Roman"/>
        </w:rPr>
        <w:t xml:space="preserve"> to carry on the business of the company</w:t>
      </w:r>
      <w:r w:rsidR="00772274" w:rsidRPr="00FB4B14">
        <w:rPr>
          <w:rStyle w:val="FootnoteReference"/>
          <w:rFonts w:ascii="Times New Roman" w:hAnsi="Times New Roman"/>
          <w:sz w:val="24"/>
        </w:rPr>
        <w:footnoteReference w:id="8"/>
      </w:r>
      <w:r w:rsidR="00772274" w:rsidRPr="00FB4B14">
        <w:rPr>
          <w:rFonts w:ascii="Times New Roman" w:hAnsi="Times New Roman"/>
        </w:rPr>
        <w:t>;</w:t>
      </w:r>
      <w:r w:rsidR="00126F7C" w:rsidRPr="00FB4B14">
        <w:rPr>
          <w:rFonts w:ascii="Times New Roman" w:hAnsi="Times New Roman"/>
        </w:rPr>
        <w:t xml:space="preserve"> to pay any class of creditors subject to</w:t>
      </w:r>
      <w:r w:rsidR="00CB568A" w:rsidRPr="00FB4B14">
        <w:rPr>
          <w:rFonts w:ascii="Times New Roman" w:hAnsi="Times New Roman"/>
        </w:rPr>
        <w:t xml:space="preserve"> s </w:t>
      </w:r>
      <w:r w:rsidR="00126F7C" w:rsidRPr="00FB4B14">
        <w:rPr>
          <w:rFonts w:ascii="Times New Roman" w:hAnsi="Times New Roman"/>
        </w:rPr>
        <w:t>55</w:t>
      </w:r>
      <w:r w:rsidR="00A43125" w:rsidRPr="00FB4B14">
        <w:rPr>
          <w:rFonts w:ascii="Times New Roman" w:hAnsi="Times New Roman"/>
        </w:rPr>
        <w:t>6</w:t>
      </w:r>
      <w:r w:rsidR="00E95FB4" w:rsidRPr="00FB4B14">
        <w:rPr>
          <w:rFonts w:ascii="Times New Roman" w:hAnsi="Times New Roman"/>
        </w:rPr>
        <w:t xml:space="preserve"> of the Act</w:t>
      </w:r>
      <w:r w:rsidR="00A43125" w:rsidRPr="00FB4B14">
        <w:rPr>
          <w:rFonts w:ascii="Times New Roman" w:hAnsi="Times New Roman"/>
        </w:rPr>
        <w:t xml:space="preserve"> (as to which see below)</w:t>
      </w:r>
      <w:r w:rsidR="00772274" w:rsidRPr="00FB4B14">
        <w:rPr>
          <w:rStyle w:val="FootnoteReference"/>
          <w:rFonts w:ascii="Times New Roman" w:hAnsi="Times New Roman"/>
          <w:sz w:val="24"/>
        </w:rPr>
        <w:footnoteReference w:id="9"/>
      </w:r>
      <w:r w:rsidR="00A43125" w:rsidRPr="00FB4B14">
        <w:rPr>
          <w:rFonts w:ascii="Times New Roman" w:hAnsi="Times New Roman"/>
        </w:rPr>
        <w:t>;</w:t>
      </w:r>
      <w:r w:rsidR="00861A50" w:rsidRPr="00FB4B14">
        <w:rPr>
          <w:rFonts w:ascii="Times New Roman" w:hAnsi="Times New Roman"/>
        </w:rPr>
        <w:t xml:space="preserve"> </w:t>
      </w:r>
      <w:r w:rsidR="00D6000B" w:rsidRPr="00FB4B14">
        <w:rPr>
          <w:rFonts w:ascii="Times New Roman" w:hAnsi="Times New Roman"/>
        </w:rPr>
        <w:t xml:space="preserve">to </w:t>
      </w:r>
      <w:r w:rsidR="00A43125" w:rsidRPr="00FB4B14">
        <w:rPr>
          <w:rFonts w:ascii="Times New Roman" w:hAnsi="Times New Roman"/>
        </w:rPr>
        <w:t xml:space="preserve">make any compromise </w:t>
      </w:r>
      <w:r w:rsidR="00AF371C" w:rsidRPr="00FB4B14">
        <w:rPr>
          <w:rFonts w:ascii="Times New Roman" w:hAnsi="Times New Roman"/>
        </w:rPr>
        <w:t xml:space="preserve">or </w:t>
      </w:r>
      <w:r w:rsidR="00772274" w:rsidRPr="00FB4B14">
        <w:rPr>
          <w:rFonts w:ascii="Times New Roman" w:hAnsi="Times New Roman"/>
        </w:rPr>
        <w:t>arrangement with the creditors of the company</w:t>
      </w:r>
      <w:r w:rsidR="003B4AC8" w:rsidRPr="00FB4B14">
        <w:rPr>
          <w:rStyle w:val="FootnoteReference"/>
          <w:rFonts w:ascii="Times New Roman" w:hAnsi="Times New Roman"/>
          <w:sz w:val="24"/>
        </w:rPr>
        <w:footnoteReference w:id="10"/>
      </w:r>
      <w:r w:rsidR="00650F25" w:rsidRPr="00FB4B14">
        <w:rPr>
          <w:rFonts w:ascii="Times New Roman" w:hAnsi="Times New Roman"/>
        </w:rPr>
        <w:t xml:space="preserve">; </w:t>
      </w:r>
      <w:r w:rsidR="00D6000B" w:rsidRPr="00FB4B14">
        <w:rPr>
          <w:rFonts w:ascii="Times New Roman" w:hAnsi="Times New Roman"/>
        </w:rPr>
        <w:t xml:space="preserve">to </w:t>
      </w:r>
      <w:r w:rsidR="00766171" w:rsidRPr="00FB4B14">
        <w:rPr>
          <w:rFonts w:ascii="Times New Roman" w:hAnsi="Times New Roman"/>
        </w:rPr>
        <w:t>compromise any calls, liabilities and debts</w:t>
      </w:r>
      <w:r w:rsidR="00352DCB" w:rsidRPr="00FB4B14">
        <w:rPr>
          <w:rFonts w:ascii="Times New Roman" w:hAnsi="Times New Roman"/>
        </w:rPr>
        <w:t xml:space="preserve"> subsisting between </w:t>
      </w:r>
      <w:r w:rsidR="003601C1" w:rsidRPr="00FB4B14">
        <w:rPr>
          <w:rFonts w:ascii="Times New Roman" w:hAnsi="Times New Roman"/>
        </w:rPr>
        <w:t xml:space="preserve">the company and </w:t>
      </w:r>
      <w:r w:rsidR="00352DCB" w:rsidRPr="00FB4B14">
        <w:rPr>
          <w:rFonts w:ascii="Times New Roman" w:hAnsi="Times New Roman"/>
        </w:rPr>
        <w:t>a contributory or other debtor</w:t>
      </w:r>
      <w:r w:rsidR="00352DCB" w:rsidRPr="00FB4B14">
        <w:rPr>
          <w:rStyle w:val="FootnoteReference"/>
          <w:rFonts w:ascii="Times New Roman" w:hAnsi="Times New Roman"/>
          <w:sz w:val="24"/>
        </w:rPr>
        <w:footnoteReference w:id="11"/>
      </w:r>
      <w:r w:rsidR="00D678F6" w:rsidRPr="00FB4B14">
        <w:rPr>
          <w:rFonts w:ascii="Times New Roman" w:hAnsi="Times New Roman"/>
        </w:rPr>
        <w:t xml:space="preserve">; to </w:t>
      </w:r>
      <w:r w:rsidR="00A17F3C" w:rsidRPr="00FB4B14">
        <w:rPr>
          <w:rFonts w:ascii="Times New Roman" w:hAnsi="Times New Roman"/>
        </w:rPr>
        <w:t>bring or defend proceedings in the name and on behalf of the company</w:t>
      </w:r>
      <w:r w:rsidR="00A17F3C" w:rsidRPr="00FB4B14">
        <w:rPr>
          <w:rStyle w:val="FootnoteReference"/>
          <w:rFonts w:ascii="Times New Roman" w:hAnsi="Times New Roman"/>
          <w:sz w:val="24"/>
        </w:rPr>
        <w:footnoteReference w:id="12"/>
      </w:r>
      <w:r w:rsidR="00A17F3C" w:rsidRPr="00FB4B14">
        <w:rPr>
          <w:rFonts w:ascii="Times New Roman" w:hAnsi="Times New Roman"/>
        </w:rPr>
        <w:t xml:space="preserve">; </w:t>
      </w:r>
      <w:r w:rsidR="00D6000B" w:rsidRPr="00FB4B14">
        <w:rPr>
          <w:rFonts w:ascii="Times New Roman" w:hAnsi="Times New Roman"/>
        </w:rPr>
        <w:t xml:space="preserve">to </w:t>
      </w:r>
      <w:r w:rsidR="00197BC2" w:rsidRPr="00FB4B14">
        <w:rPr>
          <w:rFonts w:ascii="Times New Roman" w:hAnsi="Times New Roman"/>
        </w:rPr>
        <w:t xml:space="preserve">sell all or any </w:t>
      </w:r>
      <w:r w:rsidR="00197BC2" w:rsidRPr="00FB4B14">
        <w:rPr>
          <w:rFonts w:ascii="Times New Roman" w:hAnsi="Times New Roman"/>
        </w:rPr>
        <w:lastRenderedPageBreak/>
        <w:t>part of the property of the company</w:t>
      </w:r>
      <w:r w:rsidR="00197BC2" w:rsidRPr="00FB4B14">
        <w:rPr>
          <w:rStyle w:val="FootnoteReference"/>
          <w:rFonts w:ascii="Times New Roman" w:hAnsi="Times New Roman"/>
          <w:sz w:val="24"/>
        </w:rPr>
        <w:footnoteReference w:id="13"/>
      </w:r>
      <w:r w:rsidR="00F178AC" w:rsidRPr="00FB4B14">
        <w:rPr>
          <w:rFonts w:ascii="Times New Roman" w:hAnsi="Times New Roman"/>
        </w:rPr>
        <w:t xml:space="preserve">; </w:t>
      </w:r>
      <w:r w:rsidR="00D6000B" w:rsidRPr="00FB4B14">
        <w:rPr>
          <w:rFonts w:ascii="Times New Roman" w:hAnsi="Times New Roman"/>
        </w:rPr>
        <w:t xml:space="preserve">to </w:t>
      </w:r>
      <w:r w:rsidR="00F178AC" w:rsidRPr="00FB4B14">
        <w:rPr>
          <w:rFonts w:ascii="Times New Roman" w:hAnsi="Times New Roman"/>
        </w:rPr>
        <w:t xml:space="preserve">do all acts and execute in the name and on behalf of the company </w:t>
      </w:r>
      <w:r w:rsidR="00F40B97" w:rsidRPr="00FB4B14">
        <w:rPr>
          <w:rFonts w:ascii="Times New Roman" w:hAnsi="Times New Roman"/>
        </w:rPr>
        <w:t>all deeds, receipts and other documents</w:t>
      </w:r>
      <w:r w:rsidR="00E85964" w:rsidRPr="00FB4B14">
        <w:rPr>
          <w:rStyle w:val="FootnoteReference"/>
          <w:rFonts w:ascii="Times New Roman" w:hAnsi="Times New Roman"/>
          <w:sz w:val="24"/>
        </w:rPr>
        <w:footnoteReference w:id="14"/>
      </w:r>
      <w:r w:rsidR="00E85964" w:rsidRPr="00FB4B14">
        <w:rPr>
          <w:rFonts w:ascii="Times New Roman" w:hAnsi="Times New Roman"/>
        </w:rPr>
        <w:t xml:space="preserve">; and otherwise </w:t>
      </w:r>
      <w:r w:rsidR="00D6000B" w:rsidRPr="00FB4B14">
        <w:rPr>
          <w:rFonts w:ascii="Times New Roman" w:hAnsi="Times New Roman"/>
        </w:rPr>
        <w:t xml:space="preserve">to </w:t>
      </w:r>
      <w:r w:rsidR="00E85964" w:rsidRPr="00FB4B14">
        <w:rPr>
          <w:rFonts w:ascii="Times New Roman" w:hAnsi="Times New Roman"/>
        </w:rPr>
        <w:t>do all things as are necessary for winding up the affairs of the company and distributing its property</w:t>
      </w:r>
      <w:r w:rsidR="00E85964" w:rsidRPr="00FB4B14">
        <w:rPr>
          <w:rStyle w:val="FootnoteReference"/>
          <w:rFonts w:ascii="Times New Roman" w:hAnsi="Times New Roman"/>
          <w:sz w:val="24"/>
        </w:rPr>
        <w:footnoteReference w:id="15"/>
      </w:r>
      <w:r w:rsidR="00123D3A" w:rsidRPr="00FB4B14">
        <w:rPr>
          <w:rFonts w:ascii="Times New Roman" w:hAnsi="Times New Roman"/>
        </w:rPr>
        <w:t xml:space="preserve">. Generally, in exercising these powers, the liquidator must </w:t>
      </w:r>
      <w:r w:rsidR="00E81EF5" w:rsidRPr="00FB4B14">
        <w:rPr>
          <w:rFonts w:ascii="Times New Roman" w:hAnsi="Times New Roman"/>
        </w:rPr>
        <w:t xml:space="preserve">use his or her own discretion in the management of </w:t>
      </w:r>
      <w:r w:rsidR="00C166EB" w:rsidRPr="00FB4B14">
        <w:rPr>
          <w:rFonts w:ascii="Times New Roman" w:hAnsi="Times New Roman"/>
        </w:rPr>
        <w:t xml:space="preserve">the </w:t>
      </w:r>
      <w:r w:rsidR="00E81EF5" w:rsidRPr="00FB4B14">
        <w:rPr>
          <w:rFonts w:ascii="Times New Roman" w:hAnsi="Times New Roman"/>
        </w:rPr>
        <w:t>affairs and property of the company and the distribution of its property</w:t>
      </w:r>
      <w:r w:rsidR="00E81EF5" w:rsidRPr="00FB4B14">
        <w:rPr>
          <w:rStyle w:val="FootnoteReference"/>
          <w:rFonts w:ascii="Times New Roman" w:hAnsi="Times New Roman"/>
          <w:sz w:val="24"/>
        </w:rPr>
        <w:footnoteReference w:id="16"/>
      </w:r>
      <w:r w:rsidR="00F345A0" w:rsidRPr="00FB4B14">
        <w:rPr>
          <w:rFonts w:ascii="Times New Roman" w:hAnsi="Times New Roman"/>
        </w:rPr>
        <w:t>.</w:t>
      </w:r>
    </w:p>
    <w:p w14:paraId="1CE989B0" w14:textId="73993797" w:rsidR="00F345A0" w:rsidRPr="00FB4B14" w:rsidRDefault="00F345A0" w:rsidP="00FB4B14">
      <w:pPr>
        <w:pStyle w:val="FixListStyle"/>
        <w:spacing w:after="260" w:line="280" w:lineRule="exact"/>
        <w:ind w:right="0"/>
        <w:jc w:val="both"/>
        <w:rPr>
          <w:rFonts w:ascii="Times New Roman" w:hAnsi="Times New Roman"/>
        </w:rPr>
      </w:pPr>
      <w:r w:rsidRPr="00FB4B14">
        <w:rPr>
          <w:rFonts w:ascii="Times New Roman" w:hAnsi="Times New Roman"/>
        </w:rPr>
        <w:tab/>
        <w:t>As soon as practicable a</w:t>
      </w:r>
      <w:r w:rsidR="008E3276" w:rsidRPr="00FB4B14">
        <w:rPr>
          <w:rFonts w:ascii="Times New Roman" w:hAnsi="Times New Roman"/>
        </w:rPr>
        <w:t>fter the company is ordered to be wound up</w:t>
      </w:r>
      <w:r w:rsidR="00DA5957" w:rsidRPr="00FB4B14">
        <w:rPr>
          <w:rFonts w:ascii="Times New Roman" w:hAnsi="Times New Roman"/>
        </w:rPr>
        <w:t>,</w:t>
      </w:r>
      <w:r w:rsidR="008E3276" w:rsidRPr="00FB4B14">
        <w:rPr>
          <w:rFonts w:ascii="Times New Roman" w:hAnsi="Times New Roman"/>
        </w:rPr>
        <w:t xml:space="preserve"> a liquidator must cause the property </w:t>
      </w:r>
      <w:r w:rsidR="001F77E9" w:rsidRPr="00FB4B14">
        <w:rPr>
          <w:rFonts w:ascii="Times New Roman" w:hAnsi="Times New Roman"/>
        </w:rPr>
        <w:t xml:space="preserve">of the company </w:t>
      </w:r>
      <w:r w:rsidR="008E3276" w:rsidRPr="00FB4B14">
        <w:rPr>
          <w:rFonts w:ascii="Times New Roman" w:hAnsi="Times New Roman"/>
        </w:rPr>
        <w:t>to be collected and applied in discharging the company</w:t>
      </w:r>
      <w:r w:rsidR="00854F16" w:rsidRPr="00FB4B14">
        <w:rPr>
          <w:rFonts w:ascii="Times New Roman" w:hAnsi="Times New Roman"/>
        </w:rPr>
        <w:t>'</w:t>
      </w:r>
      <w:r w:rsidR="008E3276" w:rsidRPr="00FB4B14">
        <w:rPr>
          <w:rFonts w:ascii="Times New Roman" w:hAnsi="Times New Roman"/>
        </w:rPr>
        <w:t>s liabilities</w:t>
      </w:r>
      <w:r w:rsidR="00D92DA3" w:rsidRPr="00FB4B14">
        <w:rPr>
          <w:rStyle w:val="FootnoteReference"/>
          <w:rFonts w:ascii="Times New Roman" w:hAnsi="Times New Roman"/>
          <w:sz w:val="24"/>
        </w:rPr>
        <w:footnoteReference w:id="17"/>
      </w:r>
      <w:r w:rsidR="008E3276" w:rsidRPr="00FB4B14">
        <w:rPr>
          <w:rFonts w:ascii="Times New Roman" w:hAnsi="Times New Roman"/>
        </w:rPr>
        <w:t>.</w:t>
      </w:r>
      <w:r w:rsidR="00B5645B" w:rsidRPr="00FB4B14">
        <w:rPr>
          <w:rFonts w:ascii="Times New Roman" w:hAnsi="Times New Roman"/>
        </w:rPr>
        <w:t xml:space="preserve"> </w:t>
      </w:r>
      <w:r w:rsidR="00BE4EA3" w:rsidRPr="00FB4B14">
        <w:rPr>
          <w:rFonts w:ascii="Times New Roman" w:hAnsi="Times New Roman"/>
        </w:rPr>
        <w:t>T</w:t>
      </w:r>
      <w:r w:rsidR="00157446" w:rsidRPr="00FB4B14">
        <w:rPr>
          <w:rFonts w:ascii="Times New Roman" w:hAnsi="Times New Roman"/>
        </w:rPr>
        <w:t>he company</w:t>
      </w:r>
      <w:r w:rsidR="000E5693" w:rsidRPr="00FB4B14">
        <w:rPr>
          <w:rFonts w:ascii="Times New Roman" w:hAnsi="Times New Roman"/>
        </w:rPr>
        <w:t>,</w:t>
      </w:r>
      <w:r w:rsidR="00157446" w:rsidRPr="00FB4B14">
        <w:rPr>
          <w:rFonts w:ascii="Times New Roman" w:hAnsi="Times New Roman"/>
        </w:rPr>
        <w:t xml:space="preserve"> </w:t>
      </w:r>
      <w:r w:rsidR="00C166EB" w:rsidRPr="00FB4B14">
        <w:rPr>
          <w:rFonts w:ascii="Times New Roman" w:hAnsi="Times New Roman"/>
        </w:rPr>
        <w:t>whilst being wound up</w:t>
      </w:r>
      <w:r w:rsidR="000E5693" w:rsidRPr="00FB4B14">
        <w:rPr>
          <w:rFonts w:ascii="Times New Roman" w:hAnsi="Times New Roman"/>
        </w:rPr>
        <w:t>,</w:t>
      </w:r>
      <w:r w:rsidR="00C166EB" w:rsidRPr="00FB4B14">
        <w:rPr>
          <w:rFonts w:ascii="Times New Roman" w:hAnsi="Times New Roman"/>
        </w:rPr>
        <w:t xml:space="preserve"> </w:t>
      </w:r>
      <w:r w:rsidR="00157446" w:rsidRPr="00FB4B14">
        <w:rPr>
          <w:rFonts w:ascii="Times New Roman" w:hAnsi="Times New Roman"/>
        </w:rPr>
        <w:t>does not hold its property on trust for creditors and members. The stat</w:t>
      </w:r>
      <w:r w:rsidR="007E1225" w:rsidRPr="00FB4B14">
        <w:rPr>
          <w:rFonts w:ascii="Times New Roman" w:hAnsi="Times New Roman"/>
        </w:rPr>
        <w:t xml:space="preserve">utory regime for the administration of a company in liquidation is both an exhaustive and sufficient </w:t>
      </w:r>
      <w:r w:rsidR="007D2C0B" w:rsidRPr="00FB4B14">
        <w:rPr>
          <w:rFonts w:ascii="Times New Roman" w:hAnsi="Times New Roman"/>
        </w:rPr>
        <w:t>measure</w:t>
      </w:r>
      <w:r w:rsidR="005060F4" w:rsidRPr="00FB4B14">
        <w:rPr>
          <w:rFonts w:ascii="Times New Roman" w:hAnsi="Times New Roman"/>
        </w:rPr>
        <w:t xml:space="preserve"> for the distribution of the company</w:t>
      </w:r>
      <w:r w:rsidR="00854F16" w:rsidRPr="00FB4B14">
        <w:rPr>
          <w:rFonts w:ascii="Times New Roman" w:hAnsi="Times New Roman"/>
        </w:rPr>
        <w:t>'</w:t>
      </w:r>
      <w:r w:rsidR="005060F4" w:rsidRPr="00FB4B14">
        <w:rPr>
          <w:rFonts w:ascii="Times New Roman" w:hAnsi="Times New Roman"/>
        </w:rPr>
        <w:t>s property</w:t>
      </w:r>
      <w:r w:rsidR="007D2C0B" w:rsidRPr="00FB4B14">
        <w:rPr>
          <w:rFonts w:ascii="Times New Roman" w:hAnsi="Times New Roman"/>
        </w:rPr>
        <w:t xml:space="preserve"> which does not necessitate or justify the intervention of equity.</w:t>
      </w:r>
      <w:r w:rsidR="00B71510" w:rsidRPr="00FB4B14">
        <w:rPr>
          <w:rFonts w:ascii="Times New Roman" w:hAnsi="Times New Roman"/>
        </w:rPr>
        <w:t xml:space="preserve"> As Menzies</w:t>
      </w:r>
      <w:r w:rsidR="00124125" w:rsidRPr="00FB4B14">
        <w:rPr>
          <w:rFonts w:ascii="Times New Roman" w:hAnsi="Times New Roman"/>
        </w:rPr>
        <w:t> </w:t>
      </w:r>
      <w:r w:rsidR="00B71510" w:rsidRPr="00FB4B14">
        <w:rPr>
          <w:rFonts w:ascii="Times New Roman" w:hAnsi="Times New Roman"/>
        </w:rPr>
        <w:t xml:space="preserve">J observed in </w:t>
      </w:r>
      <w:r w:rsidR="001860F1" w:rsidRPr="00FB4B14">
        <w:rPr>
          <w:rFonts w:ascii="Times New Roman" w:hAnsi="Times New Roman"/>
          <w:i/>
          <w:iCs/>
        </w:rPr>
        <w:t>Franklin</w:t>
      </w:r>
      <w:r w:rsidR="00854F16" w:rsidRPr="00FB4B14">
        <w:rPr>
          <w:rFonts w:ascii="Times New Roman" w:hAnsi="Times New Roman"/>
          <w:i/>
          <w:iCs/>
        </w:rPr>
        <w:t>'</w:t>
      </w:r>
      <w:r w:rsidR="001860F1" w:rsidRPr="00FB4B14">
        <w:rPr>
          <w:rFonts w:ascii="Times New Roman" w:hAnsi="Times New Roman"/>
          <w:i/>
          <w:iCs/>
        </w:rPr>
        <w:t xml:space="preserve">s </w:t>
      </w:r>
      <w:proofErr w:type="spellStart"/>
      <w:r w:rsidR="001860F1" w:rsidRPr="00FB4B14">
        <w:rPr>
          <w:rFonts w:ascii="Times New Roman" w:hAnsi="Times New Roman"/>
          <w:i/>
          <w:iCs/>
        </w:rPr>
        <w:t>Selfserve</w:t>
      </w:r>
      <w:proofErr w:type="spellEnd"/>
      <w:r w:rsidR="001860F1" w:rsidRPr="00FB4B14">
        <w:rPr>
          <w:rFonts w:ascii="Times New Roman" w:hAnsi="Times New Roman"/>
          <w:i/>
          <w:iCs/>
        </w:rPr>
        <w:t xml:space="preserve"> Pty Ltd v Federal Commissioner of Taxation</w:t>
      </w:r>
      <w:r w:rsidR="001860F1" w:rsidRPr="00FB4B14">
        <w:rPr>
          <w:rStyle w:val="FootnoteReference"/>
          <w:rFonts w:ascii="Times New Roman" w:hAnsi="Times New Roman"/>
          <w:sz w:val="24"/>
        </w:rPr>
        <w:footnoteReference w:id="18"/>
      </w:r>
      <w:r w:rsidR="0090380D" w:rsidRPr="00FB4B14">
        <w:rPr>
          <w:rFonts w:ascii="Times New Roman" w:hAnsi="Times New Roman"/>
        </w:rPr>
        <w:t>:</w:t>
      </w:r>
    </w:p>
    <w:p w14:paraId="2D4063BB" w14:textId="77777777" w:rsidR="00FB4B14" w:rsidRDefault="00854F16" w:rsidP="00FB4B14">
      <w:pPr>
        <w:pStyle w:val="LeftrightafterHC"/>
        <w:spacing w:before="0" w:after="260" w:line="280" w:lineRule="exact"/>
        <w:ind w:right="0"/>
        <w:jc w:val="both"/>
        <w:rPr>
          <w:rFonts w:ascii="Times New Roman" w:hAnsi="Times New Roman"/>
        </w:rPr>
      </w:pPr>
      <w:r w:rsidRPr="00FB4B14">
        <w:rPr>
          <w:rFonts w:ascii="Times New Roman" w:hAnsi="Times New Roman"/>
        </w:rPr>
        <w:t>"</w:t>
      </w:r>
      <w:r w:rsidR="0090380D" w:rsidRPr="00FB4B14">
        <w:rPr>
          <w:rFonts w:ascii="Times New Roman" w:hAnsi="Times New Roman"/>
        </w:rPr>
        <w:t xml:space="preserve">It seems to me, however, that once a company is in liquidation the statutory provisions apply whether it be solvent or insolvent and it is not an easy distinction to say that if a company is insolvent it has ceased to have a beneficial interest in its assets, but, if it is not, it continues to do so. In each case it is for the liquidator to carry out the </w:t>
      </w:r>
      <w:r w:rsidR="0090380D" w:rsidRPr="00FB4B14">
        <w:rPr>
          <w:rFonts w:ascii="Times New Roman" w:hAnsi="Times New Roman"/>
          <w:i/>
          <w:iCs/>
        </w:rPr>
        <w:t>statutory scheme of liquidation</w:t>
      </w:r>
      <w:r w:rsidR="0090380D" w:rsidRPr="00FB4B14">
        <w:rPr>
          <w:rFonts w:ascii="Times New Roman" w:hAnsi="Times New Roman"/>
        </w:rPr>
        <w:t>, to pay creditors and to divide any surplus that there may be among contributories. Whether or not there may be a surplus hardly seems to me to bear upon the relationship between the company in liquidation and its assets.</w:t>
      </w:r>
      <w:r w:rsidRPr="00FB4B14">
        <w:rPr>
          <w:rFonts w:ascii="Times New Roman" w:hAnsi="Times New Roman"/>
        </w:rPr>
        <w:t>"</w:t>
      </w:r>
      <w:r w:rsidR="00CC4F63" w:rsidRPr="00FB4B14">
        <w:rPr>
          <w:rFonts w:ascii="Times New Roman" w:hAnsi="Times New Roman"/>
        </w:rPr>
        <w:t xml:space="preserve"> (</w:t>
      </w:r>
      <w:proofErr w:type="gramStart"/>
      <w:r w:rsidR="00CC4F63" w:rsidRPr="00FB4B14">
        <w:rPr>
          <w:rFonts w:ascii="Times New Roman" w:hAnsi="Times New Roman"/>
        </w:rPr>
        <w:t>emphasis</w:t>
      </w:r>
      <w:proofErr w:type="gramEnd"/>
      <w:r w:rsidR="00CC4F63" w:rsidRPr="00FB4B14">
        <w:rPr>
          <w:rFonts w:ascii="Times New Roman" w:hAnsi="Times New Roman"/>
        </w:rPr>
        <w:t xml:space="preserve"> added)</w:t>
      </w:r>
    </w:p>
    <w:p w14:paraId="2535176E" w14:textId="5F85DB71" w:rsidR="00D52480" w:rsidRPr="00FB4B14" w:rsidRDefault="00A5273F"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D52480" w:rsidRPr="00FB4B14">
        <w:rPr>
          <w:rFonts w:ascii="Times New Roman" w:hAnsi="Times New Roman"/>
        </w:rPr>
        <w:t xml:space="preserve">A </w:t>
      </w:r>
      <w:r w:rsidR="00260A0B" w:rsidRPr="00FB4B14">
        <w:rPr>
          <w:rFonts w:ascii="Times New Roman" w:hAnsi="Times New Roman"/>
        </w:rPr>
        <w:t>plurality</w:t>
      </w:r>
      <w:r w:rsidR="00D52480" w:rsidRPr="00FB4B14">
        <w:rPr>
          <w:rFonts w:ascii="Times New Roman" w:hAnsi="Times New Roman"/>
        </w:rPr>
        <w:t xml:space="preserve"> of this Court </w:t>
      </w:r>
      <w:r w:rsidR="006F606F" w:rsidRPr="00FB4B14">
        <w:rPr>
          <w:rFonts w:ascii="Times New Roman" w:hAnsi="Times New Roman"/>
        </w:rPr>
        <w:t xml:space="preserve">referred to </w:t>
      </w:r>
      <w:r w:rsidR="00D52480" w:rsidRPr="00FB4B14">
        <w:rPr>
          <w:rFonts w:ascii="Times New Roman" w:hAnsi="Times New Roman"/>
        </w:rPr>
        <w:t xml:space="preserve">the foregoing passage in </w:t>
      </w:r>
      <w:r w:rsidR="00D52480" w:rsidRPr="00FB4B14">
        <w:rPr>
          <w:rFonts w:ascii="Times New Roman" w:hAnsi="Times New Roman"/>
          <w:i/>
          <w:iCs/>
        </w:rPr>
        <w:t xml:space="preserve">Federal Commissioner of Taxation v Linter Textiles Australia </w:t>
      </w:r>
      <w:r w:rsidR="001B32FF" w:rsidRPr="00FB4B14">
        <w:rPr>
          <w:rFonts w:ascii="Times New Roman" w:hAnsi="Times New Roman"/>
          <w:i/>
          <w:iCs/>
        </w:rPr>
        <w:t>Ltd</w:t>
      </w:r>
      <w:r w:rsidR="004C11B1" w:rsidRPr="00FB4B14">
        <w:rPr>
          <w:rFonts w:ascii="Times New Roman" w:hAnsi="Times New Roman"/>
          <w:i/>
          <w:iCs/>
        </w:rPr>
        <w:t xml:space="preserve"> (In </w:t>
      </w:r>
      <w:proofErr w:type="spellStart"/>
      <w:r w:rsidR="004C11B1" w:rsidRPr="00FB4B14">
        <w:rPr>
          <w:rFonts w:ascii="Times New Roman" w:hAnsi="Times New Roman"/>
          <w:i/>
          <w:iCs/>
        </w:rPr>
        <w:t>liq</w:t>
      </w:r>
      <w:proofErr w:type="spellEnd"/>
      <w:r w:rsidR="004C11B1" w:rsidRPr="00FB4B14">
        <w:rPr>
          <w:rFonts w:ascii="Times New Roman" w:hAnsi="Times New Roman"/>
          <w:i/>
          <w:iCs/>
        </w:rPr>
        <w:t>)</w:t>
      </w:r>
      <w:r w:rsidR="00260A0B" w:rsidRPr="00FB4B14">
        <w:rPr>
          <w:rStyle w:val="FootnoteReference"/>
          <w:rFonts w:ascii="Times New Roman" w:hAnsi="Times New Roman"/>
          <w:sz w:val="24"/>
        </w:rPr>
        <w:footnoteReference w:id="19"/>
      </w:r>
      <w:r w:rsidR="00260A0B" w:rsidRPr="00FB4B14">
        <w:rPr>
          <w:rFonts w:ascii="Times New Roman" w:hAnsi="Times New Roman"/>
        </w:rPr>
        <w:t>.</w:t>
      </w:r>
      <w:r w:rsidR="00236668" w:rsidRPr="00FB4B14">
        <w:rPr>
          <w:rFonts w:ascii="Times New Roman" w:hAnsi="Times New Roman"/>
        </w:rPr>
        <w:t xml:space="preserve"> Gleeson</w:t>
      </w:r>
      <w:r w:rsidR="00CC4F63" w:rsidRPr="00FB4B14">
        <w:rPr>
          <w:rFonts w:ascii="Times New Roman" w:hAnsi="Times New Roman"/>
        </w:rPr>
        <w:t> CJ</w:t>
      </w:r>
      <w:r w:rsidR="00236668" w:rsidRPr="00FB4B14">
        <w:rPr>
          <w:rFonts w:ascii="Times New Roman" w:hAnsi="Times New Roman"/>
        </w:rPr>
        <w:t xml:space="preserve">, </w:t>
      </w:r>
      <w:proofErr w:type="spellStart"/>
      <w:r w:rsidR="00236668" w:rsidRPr="00FB4B14">
        <w:rPr>
          <w:rFonts w:ascii="Times New Roman" w:hAnsi="Times New Roman"/>
        </w:rPr>
        <w:t>Gummow</w:t>
      </w:r>
      <w:proofErr w:type="spellEnd"/>
      <w:r w:rsidR="00236668" w:rsidRPr="00FB4B14">
        <w:rPr>
          <w:rFonts w:ascii="Times New Roman" w:hAnsi="Times New Roman"/>
        </w:rPr>
        <w:t xml:space="preserve">, Hayne, </w:t>
      </w:r>
      <w:proofErr w:type="spellStart"/>
      <w:r w:rsidR="00365C92" w:rsidRPr="00FB4B14">
        <w:rPr>
          <w:rFonts w:ascii="Times New Roman" w:hAnsi="Times New Roman"/>
        </w:rPr>
        <w:t>Callinan</w:t>
      </w:r>
      <w:proofErr w:type="spellEnd"/>
      <w:r w:rsidR="00365C92" w:rsidRPr="00FB4B14">
        <w:rPr>
          <w:rFonts w:ascii="Times New Roman" w:hAnsi="Times New Roman"/>
        </w:rPr>
        <w:t xml:space="preserve"> and </w:t>
      </w:r>
      <w:proofErr w:type="spellStart"/>
      <w:r w:rsidR="00365C92" w:rsidRPr="00FB4B14">
        <w:rPr>
          <w:rFonts w:ascii="Times New Roman" w:hAnsi="Times New Roman"/>
        </w:rPr>
        <w:t>Heydon</w:t>
      </w:r>
      <w:proofErr w:type="spellEnd"/>
      <w:r w:rsidR="00CC4F63" w:rsidRPr="00FB4B14">
        <w:rPr>
          <w:rFonts w:ascii="Times New Roman" w:hAnsi="Times New Roman"/>
        </w:rPr>
        <w:t> JJ</w:t>
      </w:r>
      <w:r w:rsidR="00365C92" w:rsidRPr="00FB4B14">
        <w:rPr>
          <w:rFonts w:ascii="Times New Roman" w:hAnsi="Times New Roman"/>
        </w:rPr>
        <w:t xml:space="preserve"> said</w:t>
      </w:r>
      <w:r w:rsidR="007122D2" w:rsidRPr="00FB4B14">
        <w:rPr>
          <w:rFonts w:ascii="Times New Roman" w:hAnsi="Times New Roman"/>
        </w:rPr>
        <w:t xml:space="preserve"> that although the appointment of </w:t>
      </w:r>
      <w:r w:rsidR="007122D2" w:rsidRPr="00FB4B14">
        <w:rPr>
          <w:rFonts w:ascii="Times New Roman" w:hAnsi="Times New Roman"/>
        </w:rPr>
        <w:lastRenderedPageBreak/>
        <w:t>the liquidator circumscribed or suspended the exercise of the incidents of ownership of assets by the usual organs of the company, that did not mean that the company held its assets on trust</w:t>
      </w:r>
      <w:r w:rsidR="00CD5740" w:rsidRPr="00FB4B14">
        <w:rPr>
          <w:rStyle w:val="FootnoteReference"/>
          <w:rFonts w:ascii="Times New Roman" w:hAnsi="Times New Roman"/>
          <w:sz w:val="24"/>
        </w:rPr>
        <w:footnoteReference w:id="20"/>
      </w:r>
      <w:r w:rsidR="007122D2" w:rsidRPr="00FB4B14">
        <w:rPr>
          <w:rFonts w:ascii="Times New Roman" w:hAnsi="Times New Roman"/>
        </w:rPr>
        <w:t>.</w:t>
      </w:r>
    </w:p>
    <w:p w14:paraId="295BBC4C" w14:textId="258E1184" w:rsidR="00A5273F" w:rsidRPr="00FB4B14" w:rsidRDefault="00D52480"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A5273F" w:rsidRPr="00FB4B14">
        <w:rPr>
          <w:rFonts w:ascii="Times New Roman" w:hAnsi="Times New Roman"/>
        </w:rPr>
        <w:t xml:space="preserve">Nor does the liquidator hold any </w:t>
      </w:r>
      <w:r w:rsidR="00E21DD1" w:rsidRPr="00FB4B14">
        <w:rPr>
          <w:rFonts w:ascii="Times New Roman" w:hAnsi="Times New Roman"/>
        </w:rPr>
        <w:t xml:space="preserve">of the </w:t>
      </w:r>
      <w:r w:rsidR="00A5273F" w:rsidRPr="00FB4B14">
        <w:rPr>
          <w:rFonts w:ascii="Times New Roman" w:hAnsi="Times New Roman"/>
        </w:rPr>
        <w:t xml:space="preserve">property </w:t>
      </w:r>
      <w:r w:rsidR="00BC1D71" w:rsidRPr="00FB4B14">
        <w:rPr>
          <w:rFonts w:ascii="Times New Roman" w:hAnsi="Times New Roman"/>
        </w:rPr>
        <w:t xml:space="preserve">that </w:t>
      </w:r>
      <w:r w:rsidR="00A5273F" w:rsidRPr="00FB4B14">
        <w:rPr>
          <w:rFonts w:ascii="Times New Roman" w:hAnsi="Times New Roman"/>
        </w:rPr>
        <w:t xml:space="preserve">he or she gathers in </w:t>
      </w:r>
      <w:r w:rsidR="003432F8" w:rsidRPr="00FB4B14">
        <w:rPr>
          <w:rFonts w:ascii="Times New Roman" w:hAnsi="Times New Roman"/>
        </w:rPr>
        <w:t>and controls on trust for the creditors and members of the company</w:t>
      </w:r>
      <w:r w:rsidR="00660E43" w:rsidRPr="00FB4B14">
        <w:rPr>
          <w:rStyle w:val="FootnoteReference"/>
          <w:rFonts w:ascii="Times New Roman" w:hAnsi="Times New Roman"/>
          <w:sz w:val="24"/>
        </w:rPr>
        <w:footnoteReference w:id="21"/>
      </w:r>
      <w:r w:rsidR="00F936A3" w:rsidRPr="00FB4B14">
        <w:rPr>
          <w:rFonts w:ascii="Times New Roman" w:hAnsi="Times New Roman"/>
          <w:i/>
          <w:iCs/>
        </w:rPr>
        <w:t>.</w:t>
      </w:r>
    </w:p>
    <w:p w14:paraId="008DD78B" w14:textId="5CB162D7" w:rsidR="00124125" w:rsidRPr="00FB4B14" w:rsidRDefault="00B114D3"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0A2AF7" w:rsidRPr="00FB4B14">
        <w:rPr>
          <w:rFonts w:ascii="Times New Roman" w:hAnsi="Times New Roman"/>
        </w:rPr>
        <w:t>It follows from acceptance of the proposition that the company remain</w:t>
      </w:r>
      <w:r w:rsidR="00743CB3" w:rsidRPr="00FB4B14">
        <w:rPr>
          <w:rFonts w:ascii="Times New Roman" w:hAnsi="Times New Roman"/>
        </w:rPr>
        <w:t>s</w:t>
      </w:r>
      <w:r w:rsidR="000A2AF7" w:rsidRPr="00FB4B14">
        <w:rPr>
          <w:rFonts w:ascii="Times New Roman" w:hAnsi="Times New Roman"/>
        </w:rPr>
        <w:t xml:space="preserve"> the beneficial owner of all the property gathered in and controlled by the liquidator that it also is the beneficial owner of all payments received by it </w:t>
      </w:r>
      <w:proofErr w:type="gramStart"/>
      <w:r w:rsidR="000A2AF7" w:rsidRPr="00FB4B14">
        <w:rPr>
          <w:rFonts w:ascii="Times New Roman" w:hAnsi="Times New Roman"/>
        </w:rPr>
        <w:t>during the course of</w:t>
      </w:r>
      <w:proofErr w:type="gramEnd"/>
      <w:r w:rsidR="000A2AF7" w:rsidRPr="00FB4B14">
        <w:rPr>
          <w:rFonts w:ascii="Times New Roman" w:hAnsi="Times New Roman"/>
        </w:rPr>
        <w:t xml:space="preserve"> the winding up. This includes payments made to the company by order of a </w:t>
      </w:r>
      <w:r w:rsidR="00B52691" w:rsidRPr="00FB4B14">
        <w:rPr>
          <w:rFonts w:ascii="Times New Roman" w:hAnsi="Times New Roman"/>
        </w:rPr>
        <w:t>c</w:t>
      </w:r>
      <w:r w:rsidR="000A2AF7" w:rsidRPr="00FB4B14">
        <w:rPr>
          <w:rFonts w:ascii="Times New Roman" w:hAnsi="Times New Roman"/>
        </w:rPr>
        <w:t>ourt pursuant to</w:t>
      </w:r>
      <w:r w:rsidR="00CB568A" w:rsidRPr="00FB4B14">
        <w:rPr>
          <w:rFonts w:ascii="Times New Roman" w:hAnsi="Times New Roman"/>
        </w:rPr>
        <w:t xml:space="preserve"> s </w:t>
      </w:r>
      <w:r w:rsidR="000A2AF7" w:rsidRPr="00FB4B14">
        <w:rPr>
          <w:rFonts w:ascii="Times New Roman" w:hAnsi="Times New Roman"/>
        </w:rPr>
        <w:t>588</w:t>
      </w:r>
      <w:proofErr w:type="gramStart"/>
      <w:r w:rsidR="000A2AF7" w:rsidRPr="00FB4B14">
        <w:rPr>
          <w:rFonts w:ascii="Times New Roman" w:hAnsi="Times New Roman"/>
        </w:rPr>
        <w:t>FF(</w:t>
      </w:r>
      <w:proofErr w:type="gramEnd"/>
      <w:r w:rsidR="000A2AF7" w:rsidRPr="00FB4B14">
        <w:rPr>
          <w:rFonts w:ascii="Times New Roman" w:hAnsi="Times New Roman"/>
        </w:rPr>
        <w:t>1) of the Act.</w:t>
      </w:r>
      <w:r w:rsidR="009D1128" w:rsidRPr="00FB4B14">
        <w:rPr>
          <w:rFonts w:ascii="Times New Roman" w:hAnsi="Times New Roman"/>
        </w:rPr>
        <w:t xml:space="preserve"> That is not to deny, however, that the property of the company and any payments or transfers of property made to the company</w:t>
      </w:r>
      <w:r w:rsidR="00AD0DF9" w:rsidRPr="00FB4B14">
        <w:rPr>
          <w:rFonts w:ascii="Times New Roman" w:hAnsi="Times New Roman"/>
        </w:rPr>
        <w:t xml:space="preserve"> during the process of winding up are subject to </w:t>
      </w:r>
      <w:r w:rsidR="00A94810" w:rsidRPr="00FB4B14">
        <w:rPr>
          <w:rFonts w:ascii="Times New Roman" w:hAnsi="Times New Roman"/>
        </w:rPr>
        <w:t xml:space="preserve">the </w:t>
      </w:r>
      <w:r w:rsidR="00854F16" w:rsidRPr="00FB4B14">
        <w:rPr>
          <w:rFonts w:ascii="Times New Roman" w:hAnsi="Times New Roman"/>
        </w:rPr>
        <w:t>"</w:t>
      </w:r>
      <w:r w:rsidR="00A94810" w:rsidRPr="00FB4B14">
        <w:rPr>
          <w:rFonts w:ascii="Times New Roman" w:hAnsi="Times New Roman"/>
        </w:rPr>
        <w:t>statutory scheme of liquidation</w:t>
      </w:r>
      <w:r w:rsidR="00854F16" w:rsidRPr="00FB4B14">
        <w:rPr>
          <w:rFonts w:ascii="Times New Roman" w:hAnsi="Times New Roman"/>
        </w:rPr>
        <w:t>"</w:t>
      </w:r>
      <w:r w:rsidR="00A94810" w:rsidRPr="00FB4B14">
        <w:rPr>
          <w:rFonts w:ascii="Times New Roman" w:hAnsi="Times New Roman"/>
        </w:rPr>
        <w:t>.</w:t>
      </w:r>
      <w:r w:rsidR="00593822" w:rsidRPr="00FB4B14">
        <w:rPr>
          <w:rFonts w:ascii="Times New Roman" w:hAnsi="Times New Roman"/>
        </w:rPr>
        <w:t xml:space="preserve"> </w:t>
      </w:r>
    </w:p>
    <w:p w14:paraId="622BDC7D" w14:textId="77777777" w:rsidR="00FB4B14" w:rsidRDefault="00D86FA9"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18544C" w:rsidRPr="00FB4B14">
        <w:rPr>
          <w:rFonts w:ascii="Times New Roman" w:hAnsi="Times New Roman"/>
        </w:rPr>
        <w:t>In that respect</w:t>
      </w:r>
      <w:r w:rsidR="00E069CE" w:rsidRPr="00FB4B14">
        <w:rPr>
          <w:rFonts w:ascii="Times New Roman" w:hAnsi="Times New Roman"/>
        </w:rPr>
        <w:t>,</w:t>
      </w:r>
      <w:r w:rsidR="0018544C" w:rsidRPr="00FB4B14">
        <w:rPr>
          <w:rFonts w:ascii="Times New Roman" w:hAnsi="Times New Roman"/>
        </w:rPr>
        <w:t xml:space="preserve"> it has been recognised that creditors of a company in liquidation enjoy a </w:t>
      </w:r>
      <w:r w:rsidR="00854F16" w:rsidRPr="00FB4B14">
        <w:rPr>
          <w:rFonts w:ascii="Times New Roman" w:hAnsi="Times New Roman"/>
        </w:rPr>
        <w:t>"</w:t>
      </w:r>
      <w:r w:rsidR="0018544C" w:rsidRPr="00FB4B14">
        <w:rPr>
          <w:rFonts w:ascii="Times New Roman" w:hAnsi="Times New Roman"/>
        </w:rPr>
        <w:t>special interest</w:t>
      </w:r>
      <w:r w:rsidR="00854F16" w:rsidRPr="00FB4B14">
        <w:rPr>
          <w:rFonts w:ascii="Times New Roman" w:hAnsi="Times New Roman"/>
        </w:rPr>
        <w:t>"</w:t>
      </w:r>
      <w:r w:rsidR="00B4297F" w:rsidRPr="00FB4B14">
        <w:rPr>
          <w:rFonts w:ascii="Times New Roman" w:hAnsi="Times New Roman"/>
        </w:rPr>
        <w:t xml:space="preserve"> </w:t>
      </w:r>
      <w:r w:rsidR="007775AA" w:rsidRPr="00FB4B14">
        <w:rPr>
          <w:rFonts w:ascii="Times New Roman" w:hAnsi="Times New Roman"/>
        </w:rPr>
        <w:t>–</w:t>
      </w:r>
      <w:r w:rsidR="0018544C" w:rsidRPr="00FB4B14">
        <w:rPr>
          <w:rFonts w:ascii="Times New Roman" w:hAnsi="Times New Roman"/>
        </w:rPr>
        <w:t xml:space="preserve"> namely to have </w:t>
      </w:r>
      <w:r w:rsidR="008D5224" w:rsidRPr="00FB4B14">
        <w:rPr>
          <w:rFonts w:ascii="Times New Roman" w:hAnsi="Times New Roman"/>
        </w:rPr>
        <w:t xml:space="preserve">the </w:t>
      </w:r>
      <w:r w:rsidR="00CA0DC6" w:rsidRPr="00FB4B14">
        <w:rPr>
          <w:rFonts w:ascii="Times New Roman" w:hAnsi="Times New Roman"/>
        </w:rPr>
        <w:t xml:space="preserve">assets of the company </w:t>
      </w:r>
      <w:proofErr w:type="gramStart"/>
      <w:r w:rsidR="00CA0DC6" w:rsidRPr="00FB4B14">
        <w:rPr>
          <w:rFonts w:ascii="Times New Roman" w:hAnsi="Times New Roman"/>
        </w:rPr>
        <w:t>gathered together</w:t>
      </w:r>
      <w:proofErr w:type="gramEnd"/>
      <w:r w:rsidR="00CA0DC6" w:rsidRPr="00FB4B14">
        <w:rPr>
          <w:rFonts w:ascii="Times New Roman" w:hAnsi="Times New Roman"/>
        </w:rPr>
        <w:t xml:space="preserve"> and then distributed</w:t>
      </w:r>
      <w:r w:rsidR="005C1D66" w:rsidRPr="00FB4B14">
        <w:rPr>
          <w:rStyle w:val="FootnoteReference"/>
          <w:rFonts w:ascii="Times New Roman" w:hAnsi="Times New Roman"/>
          <w:sz w:val="24"/>
        </w:rPr>
        <w:footnoteReference w:id="22"/>
      </w:r>
      <w:r w:rsidR="008E17AF" w:rsidRPr="00FB4B14">
        <w:rPr>
          <w:rFonts w:ascii="Times New Roman" w:hAnsi="Times New Roman"/>
        </w:rPr>
        <w:t>.</w:t>
      </w:r>
    </w:p>
    <w:p w14:paraId="38365192" w14:textId="48B1A5A1" w:rsidR="00FB74C5" w:rsidRPr="00FB4B14" w:rsidRDefault="00FB74C5" w:rsidP="00FB4B14">
      <w:pPr>
        <w:pStyle w:val="HeadingL2"/>
        <w:spacing w:after="260" w:line="280" w:lineRule="exact"/>
        <w:ind w:right="0"/>
        <w:jc w:val="both"/>
        <w:rPr>
          <w:rFonts w:ascii="Times New Roman" w:hAnsi="Times New Roman"/>
        </w:rPr>
      </w:pPr>
      <w:bookmarkStart w:id="1" w:name="_Hlk117847511"/>
      <w:r w:rsidRPr="00FB4B14">
        <w:rPr>
          <w:rFonts w:ascii="Times New Roman" w:hAnsi="Times New Roman"/>
        </w:rPr>
        <w:t>Proof and ranking of claims</w:t>
      </w:r>
    </w:p>
    <w:bookmarkEnd w:id="1"/>
    <w:p w14:paraId="33BC7CD5" w14:textId="4FA4BA89" w:rsidR="00D86FA9" w:rsidRPr="00FB4B14" w:rsidRDefault="00754D43"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D86FA9" w:rsidRPr="00FB4B14">
        <w:rPr>
          <w:rFonts w:ascii="Times New Roman" w:hAnsi="Times New Roman"/>
        </w:rPr>
        <w:t xml:space="preserve">Division 6 of </w:t>
      </w:r>
      <w:r w:rsidR="00B13FF0" w:rsidRPr="00FB4B14">
        <w:rPr>
          <w:rFonts w:ascii="Times New Roman" w:hAnsi="Times New Roman"/>
        </w:rPr>
        <w:t xml:space="preserve">Pt 5.6 of </w:t>
      </w:r>
      <w:r w:rsidR="00D86FA9" w:rsidRPr="00FB4B14">
        <w:rPr>
          <w:rFonts w:ascii="Times New Roman" w:hAnsi="Times New Roman"/>
        </w:rPr>
        <w:t>Ch</w:t>
      </w:r>
      <w:r w:rsidR="00EB3E5F" w:rsidRPr="00FB4B14">
        <w:rPr>
          <w:rFonts w:ascii="Times New Roman" w:hAnsi="Times New Roman"/>
        </w:rPr>
        <w:t> </w:t>
      </w:r>
      <w:r w:rsidR="00D86FA9" w:rsidRPr="00FB4B14">
        <w:rPr>
          <w:rFonts w:ascii="Times New Roman" w:hAnsi="Times New Roman"/>
        </w:rPr>
        <w:t xml:space="preserve">5 of the Act deals with the proof and ranking of claims against </w:t>
      </w:r>
      <w:r w:rsidR="00607A06" w:rsidRPr="00FB4B14">
        <w:rPr>
          <w:rFonts w:ascii="Times New Roman" w:hAnsi="Times New Roman"/>
        </w:rPr>
        <w:t>the company. Section 553(1) is a key provision and is as follows:</w:t>
      </w:r>
    </w:p>
    <w:p w14:paraId="49CEB9A6" w14:textId="77777777" w:rsidR="00FB4B14" w:rsidRDefault="00854F16" w:rsidP="00FB4B14">
      <w:pPr>
        <w:pStyle w:val="LeftrightafterHC"/>
        <w:spacing w:before="0" w:after="260" w:line="280" w:lineRule="exact"/>
        <w:ind w:right="0"/>
        <w:jc w:val="both"/>
        <w:rPr>
          <w:rFonts w:ascii="Times New Roman" w:hAnsi="Times New Roman"/>
        </w:rPr>
      </w:pPr>
      <w:r w:rsidRPr="00FB4B14">
        <w:rPr>
          <w:rFonts w:ascii="Times New Roman" w:hAnsi="Times New Roman"/>
        </w:rPr>
        <w:t>"</w:t>
      </w:r>
      <w:r w:rsidR="00820305" w:rsidRPr="00FB4B14">
        <w:rPr>
          <w:rFonts w:ascii="Times New Roman" w:hAnsi="Times New Roman"/>
        </w:rPr>
        <w:t>Subject to this Division and Division 8,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r w:rsidRPr="00FB4B14">
        <w:rPr>
          <w:rFonts w:ascii="Times New Roman" w:hAnsi="Times New Roman"/>
        </w:rPr>
        <w:t>"</w:t>
      </w:r>
    </w:p>
    <w:p w14:paraId="6D0C69E4" w14:textId="56490196" w:rsidR="00124125" w:rsidRPr="00FB4B14" w:rsidRDefault="00EB370E" w:rsidP="00FB4B14">
      <w:pPr>
        <w:pStyle w:val="FixListStyle"/>
        <w:spacing w:after="260" w:line="280" w:lineRule="exact"/>
        <w:ind w:right="0"/>
        <w:jc w:val="both"/>
        <w:rPr>
          <w:rFonts w:ascii="Times New Roman" w:hAnsi="Times New Roman"/>
        </w:rPr>
      </w:pPr>
      <w:r w:rsidRPr="00FB4B14">
        <w:rPr>
          <w:rFonts w:ascii="Times New Roman" w:hAnsi="Times New Roman"/>
        </w:rPr>
        <w:lastRenderedPageBreak/>
        <w:tab/>
      </w:r>
      <w:r w:rsidR="002F1A1E" w:rsidRPr="00FB4B14">
        <w:rPr>
          <w:rFonts w:ascii="Times New Roman" w:hAnsi="Times New Roman"/>
        </w:rPr>
        <w:t xml:space="preserve">Section 553 creates an important cut-off date to determine what debts and claims are provable in the winding up. </w:t>
      </w:r>
      <w:r w:rsidR="00132EF2" w:rsidRPr="00FB4B14">
        <w:rPr>
          <w:rFonts w:ascii="Times New Roman" w:hAnsi="Times New Roman"/>
        </w:rPr>
        <w:t xml:space="preserve">As </w:t>
      </w:r>
      <w:proofErr w:type="spellStart"/>
      <w:r w:rsidR="00132EF2" w:rsidRPr="00FB4B14">
        <w:rPr>
          <w:rFonts w:ascii="Times New Roman" w:hAnsi="Times New Roman"/>
        </w:rPr>
        <w:t>Allsop</w:t>
      </w:r>
      <w:proofErr w:type="spellEnd"/>
      <w:r w:rsidR="00CC4F63" w:rsidRPr="00FB4B14">
        <w:rPr>
          <w:rFonts w:ascii="Times New Roman" w:hAnsi="Times New Roman"/>
        </w:rPr>
        <w:t> CJ</w:t>
      </w:r>
      <w:r w:rsidR="00132EF2" w:rsidRPr="00FB4B14">
        <w:rPr>
          <w:rFonts w:ascii="Times New Roman" w:hAnsi="Times New Roman"/>
        </w:rPr>
        <w:t xml:space="preserve"> </w:t>
      </w:r>
      <w:r w:rsidR="009364CE" w:rsidRPr="00FB4B14">
        <w:rPr>
          <w:rFonts w:ascii="Times New Roman" w:hAnsi="Times New Roman"/>
        </w:rPr>
        <w:t xml:space="preserve">observed below, a critical feature of this provision is that it addresses </w:t>
      </w:r>
      <w:r w:rsidR="007474A5" w:rsidRPr="00FB4B14">
        <w:rPr>
          <w:rFonts w:ascii="Times New Roman" w:hAnsi="Times New Roman"/>
        </w:rPr>
        <w:t xml:space="preserve">only </w:t>
      </w:r>
      <w:r w:rsidR="0036107E" w:rsidRPr="00FB4B14">
        <w:rPr>
          <w:rFonts w:ascii="Times New Roman" w:hAnsi="Times New Roman"/>
        </w:rPr>
        <w:t xml:space="preserve">debts and </w:t>
      </w:r>
      <w:r w:rsidR="009364CE" w:rsidRPr="00FB4B14">
        <w:rPr>
          <w:rFonts w:ascii="Times New Roman" w:hAnsi="Times New Roman"/>
        </w:rPr>
        <w:t xml:space="preserve">claims against the company arising from </w:t>
      </w:r>
      <w:r w:rsidR="00854F16" w:rsidRPr="00FB4B14">
        <w:rPr>
          <w:rFonts w:ascii="Times New Roman" w:hAnsi="Times New Roman"/>
        </w:rPr>
        <w:t>"</w:t>
      </w:r>
      <w:r w:rsidR="009364CE" w:rsidRPr="00FB4B14">
        <w:rPr>
          <w:rFonts w:ascii="Times New Roman" w:hAnsi="Times New Roman"/>
        </w:rPr>
        <w:t>circumstances</w:t>
      </w:r>
      <w:r w:rsidR="00854F16" w:rsidRPr="00FB4B14">
        <w:rPr>
          <w:rFonts w:ascii="Times New Roman" w:hAnsi="Times New Roman"/>
        </w:rPr>
        <w:t>"</w:t>
      </w:r>
      <w:r w:rsidR="00F75A5B" w:rsidRPr="00FB4B14">
        <w:rPr>
          <w:rFonts w:ascii="Times New Roman" w:hAnsi="Times New Roman"/>
        </w:rPr>
        <w:t xml:space="preserve"> which had occurred </w:t>
      </w:r>
      <w:r w:rsidR="00854F16" w:rsidRPr="00FB4B14">
        <w:rPr>
          <w:rFonts w:ascii="Times New Roman" w:hAnsi="Times New Roman"/>
        </w:rPr>
        <w:t>"</w:t>
      </w:r>
      <w:r w:rsidR="00F75A5B" w:rsidRPr="00FB4B14">
        <w:rPr>
          <w:rFonts w:ascii="Times New Roman" w:hAnsi="Times New Roman"/>
        </w:rPr>
        <w:t>before the relevant date</w:t>
      </w:r>
      <w:r w:rsidR="00854F16" w:rsidRPr="00FB4B14">
        <w:rPr>
          <w:rFonts w:ascii="Times New Roman" w:hAnsi="Times New Roman"/>
        </w:rPr>
        <w:t>"</w:t>
      </w:r>
      <w:r w:rsidR="00F75A5B" w:rsidRPr="00FB4B14">
        <w:rPr>
          <w:rStyle w:val="FootnoteReference"/>
          <w:rFonts w:ascii="Times New Roman" w:hAnsi="Times New Roman"/>
          <w:sz w:val="24"/>
        </w:rPr>
        <w:footnoteReference w:id="23"/>
      </w:r>
      <w:r w:rsidR="008B02B0" w:rsidRPr="00FB4B14">
        <w:rPr>
          <w:rFonts w:ascii="Times New Roman" w:hAnsi="Times New Roman"/>
        </w:rPr>
        <w:t>.</w:t>
      </w:r>
      <w:r w:rsidR="007474A5" w:rsidRPr="00FB4B14">
        <w:rPr>
          <w:rFonts w:ascii="Times New Roman" w:hAnsi="Times New Roman"/>
        </w:rPr>
        <w:t xml:space="preserve"> Here,</w:t>
      </w:r>
      <w:r w:rsidR="00F41EE9" w:rsidRPr="00FB4B14">
        <w:rPr>
          <w:rFonts w:ascii="Times New Roman" w:hAnsi="Times New Roman"/>
        </w:rPr>
        <w:t xml:space="preserve"> </w:t>
      </w:r>
      <w:r w:rsidR="00FB4022" w:rsidRPr="00FB4B14">
        <w:rPr>
          <w:rFonts w:ascii="Times New Roman" w:hAnsi="Times New Roman"/>
        </w:rPr>
        <w:t>the</w:t>
      </w:r>
      <w:r w:rsidR="00F41EE9" w:rsidRPr="00FB4B14">
        <w:rPr>
          <w:rFonts w:ascii="Times New Roman" w:hAnsi="Times New Roman"/>
        </w:rPr>
        <w:t xml:space="preserve"> </w:t>
      </w:r>
      <w:r w:rsidR="00854F16" w:rsidRPr="00FB4B14">
        <w:rPr>
          <w:rFonts w:ascii="Times New Roman" w:hAnsi="Times New Roman"/>
        </w:rPr>
        <w:t>"</w:t>
      </w:r>
      <w:r w:rsidR="00F41EE9" w:rsidRPr="00FB4B14">
        <w:rPr>
          <w:rFonts w:ascii="Times New Roman" w:hAnsi="Times New Roman"/>
        </w:rPr>
        <w:t>relevant date</w:t>
      </w:r>
      <w:r w:rsidR="00854F16" w:rsidRPr="00FB4B14">
        <w:rPr>
          <w:rFonts w:ascii="Times New Roman" w:hAnsi="Times New Roman"/>
        </w:rPr>
        <w:t>"</w:t>
      </w:r>
      <w:r w:rsidR="00AC7635" w:rsidRPr="00FB4B14">
        <w:rPr>
          <w:rFonts w:ascii="Times New Roman" w:hAnsi="Times New Roman"/>
        </w:rPr>
        <w:t xml:space="preserve"> is the date when the winding up of a company is taken</w:t>
      </w:r>
      <w:r w:rsidR="00456909" w:rsidRPr="00FB4B14">
        <w:rPr>
          <w:rFonts w:ascii="Times New Roman" w:hAnsi="Times New Roman"/>
        </w:rPr>
        <w:t xml:space="preserve"> because of </w:t>
      </w:r>
      <w:proofErr w:type="spellStart"/>
      <w:r w:rsidR="00456909" w:rsidRPr="00FB4B14">
        <w:rPr>
          <w:rFonts w:ascii="Times New Roman" w:hAnsi="Times New Roman"/>
        </w:rPr>
        <w:t>Div</w:t>
      </w:r>
      <w:proofErr w:type="spellEnd"/>
      <w:r w:rsidR="00391E54" w:rsidRPr="00FB4B14">
        <w:rPr>
          <w:rFonts w:ascii="Times New Roman" w:hAnsi="Times New Roman"/>
        </w:rPr>
        <w:t> </w:t>
      </w:r>
      <w:r w:rsidR="00456909" w:rsidRPr="00FB4B14">
        <w:rPr>
          <w:rFonts w:ascii="Times New Roman" w:hAnsi="Times New Roman"/>
        </w:rPr>
        <w:t>1A of Pt 5.6 of the Act to have begun</w:t>
      </w:r>
      <w:r w:rsidR="00456909" w:rsidRPr="00FB4B14">
        <w:rPr>
          <w:rStyle w:val="FootnoteReference"/>
          <w:rFonts w:ascii="Times New Roman" w:hAnsi="Times New Roman"/>
          <w:sz w:val="24"/>
        </w:rPr>
        <w:footnoteReference w:id="24"/>
      </w:r>
      <w:r w:rsidR="00456909" w:rsidRPr="00FB4B14">
        <w:rPr>
          <w:rFonts w:ascii="Times New Roman" w:hAnsi="Times New Roman"/>
        </w:rPr>
        <w:t>.</w:t>
      </w:r>
      <w:r w:rsidR="00F41EE9" w:rsidRPr="00FB4B14">
        <w:rPr>
          <w:rFonts w:ascii="Times New Roman" w:hAnsi="Times New Roman"/>
        </w:rPr>
        <w:t xml:space="preserve"> </w:t>
      </w:r>
      <w:r w:rsidR="009676B0" w:rsidRPr="00FB4B14">
        <w:rPr>
          <w:rFonts w:ascii="Times New Roman" w:hAnsi="Times New Roman"/>
        </w:rPr>
        <w:t>The breadth of the language of</w:t>
      </w:r>
      <w:r w:rsidR="00CB568A" w:rsidRPr="00FB4B14">
        <w:rPr>
          <w:rFonts w:ascii="Times New Roman" w:hAnsi="Times New Roman"/>
        </w:rPr>
        <w:t xml:space="preserve"> s </w:t>
      </w:r>
      <w:r w:rsidR="009676B0" w:rsidRPr="00FB4B14">
        <w:rPr>
          <w:rFonts w:ascii="Times New Roman" w:hAnsi="Times New Roman"/>
        </w:rPr>
        <w:t>553 is noteworthy</w:t>
      </w:r>
      <w:r w:rsidR="000058F9" w:rsidRPr="00FB4B14">
        <w:rPr>
          <w:rStyle w:val="FootnoteReference"/>
          <w:rFonts w:ascii="Times New Roman" w:hAnsi="Times New Roman"/>
          <w:sz w:val="24"/>
        </w:rPr>
        <w:footnoteReference w:id="25"/>
      </w:r>
      <w:r w:rsidR="009676B0" w:rsidRPr="00FB4B14">
        <w:rPr>
          <w:rFonts w:ascii="Times New Roman" w:hAnsi="Times New Roman"/>
        </w:rPr>
        <w:t>.</w:t>
      </w:r>
      <w:r w:rsidR="00C17F3A" w:rsidRPr="00FB4B14">
        <w:rPr>
          <w:rFonts w:ascii="Times New Roman" w:hAnsi="Times New Roman"/>
        </w:rPr>
        <w:t xml:space="preserve"> It extends to all debts </w:t>
      </w:r>
      <w:r w:rsidR="00A77A39" w:rsidRPr="00FB4B14">
        <w:rPr>
          <w:rFonts w:ascii="Times New Roman" w:hAnsi="Times New Roman"/>
        </w:rPr>
        <w:t xml:space="preserve">payable by </w:t>
      </w:r>
      <w:r w:rsidR="00C17F3A" w:rsidRPr="00FB4B14">
        <w:rPr>
          <w:rFonts w:ascii="Times New Roman" w:hAnsi="Times New Roman"/>
        </w:rPr>
        <w:t xml:space="preserve">and </w:t>
      </w:r>
      <w:r w:rsidR="00ED6E5D" w:rsidRPr="00FB4B14">
        <w:rPr>
          <w:rFonts w:ascii="Times New Roman" w:hAnsi="Times New Roman"/>
        </w:rPr>
        <w:t xml:space="preserve">all </w:t>
      </w:r>
      <w:r w:rsidR="00C17F3A" w:rsidRPr="00FB4B14">
        <w:rPr>
          <w:rFonts w:ascii="Times New Roman" w:hAnsi="Times New Roman"/>
        </w:rPr>
        <w:t>claims</w:t>
      </w:r>
      <w:r w:rsidR="00ED6E5D" w:rsidRPr="00FB4B14">
        <w:rPr>
          <w:rFonts w:ascii="Times New Roman" w:hAnsi="Times New Roman"/>
        </w:rPr>
        <w:t xml:space="preserve"> against </w:t>
      </w:r>
      <w:r w:rsidR="00F12DF2" w:rsidRPr="00FB4B14">
        <w:rPr>
          <w:rFonts w:ascii="Times New Roman" w:hAnsi="Times New Roman"/>
        </w:rPr>
        <w:t>the</w:t>
      </w:r>
      <w:r w:rsidR="00ED6E5D" w:rsidRPr="00FB4B14">
        <w:rPr>
          <w:rFonts w:ascii="Times New Roman" w:hAnsi="Times New Roman"/>
        </w:rPr>
        <w:t xml:space="preserve"> company</w:t>
      </w:r>
      <w:r w:rsidR="00C17F3A" w:rsidRPr="00FB4B14">
        <w:rPr>
          <w:rFonts w:ascii="Times New Roman" w:hAnsi="Times New Roman"/>
        </w:rPr>
        <w:t xml:space="preserve">, whether </w:t>
      </w:r>
      <w:r w:rsidR="00854F16" w:rsidRPr="00FB4B14">
        <w:rPr>
          <w:rFonts w:ascii="Times New Roman" w:hAnsi="Times New Roman"/>
        </w:rPr>
        <w:t>"</w:t>
      </w:r>
      <w:r w:rsidR="00C17F3A" w:rsidRPr="00FB4B14">
        <w:rPr>
          <w:rFonts w:ascii="Times New Roman" w:hAnsi="Times New Roman"/>
        </w:rPr>
        <w:t>present or future, certain or contingent</w:t>
      </w:r>
      <w:r w:rsidR="009E6DD2" w:rsidRPr="00FB4B14">
        <w:rPr>
          <w:rFonts w:ascii="Times New Roman" w:hAnsi="Times New Roman"/>
        </w:rPr>
        <w:t xml:space="preserve">, ascertained or sounding </w:t>
      </w:r>
      <w:r w:rsidR="00D43CD9" w:rsidRPr="00FB4B14">
        <w:rPr>
          <w:rFonts w:ascii="Times New Roman" w:hAnsi="Times New Roman"/>
        </w:rPr>
        <w:t xml:space="preserve">only </w:t>
      </w:r>
      <w:r w:rsidR="009E6DD2" w:rsidRPr="00FB4B14">
        <w:rPr>
          <w:rFonts w:ascii="Times New Roman" w:hAnsi="Times New Roman"/>
        </w:rPr>
        <w:t>in damages</w:t>
      </w:r>
      <w:r w:rsidR="00854F16" w:rsidRPr="00FB4B14">
        <w:rPr>
          <w:rFonts w:ascii="Times New Roman" w:hAnsi="Times New Roman"/>
        </w:rPr>
        <w:t>"</w:t>
      </w:r>
      <w:r w:rsidR="00D43CD9" w:rsidRPr="00FB4B14">
        <w:rPr>
          <w:rFonts w:ascii="Times New Roman" w:hAnsi="Times New Roman"/>
        </w:rPr>
        <w:t>,</w:t>
      </w:r>
      <w:r w:rsidR="00E41A1F" w:rsidRPr="00FB4B14">
        <w:rPr>
          <w:rFonts w:ascii="Times New Roman" w:hAnsi="Times New Roman"/>
        </w:rPr>
        <w:t xml:space="preserve"> which arise from </w:t>
      </w:r>
      <w:r w:rsidR="00854F16" w:rsidRPr="00FB4B14">
        <w:rPr>
          <w:rFonts w:ascii="Times New Roman" w:hAnsi="Times New Roman"/>
        </w:rPr>
        <w:t>"</w:t>
      </w:r>
      <w:r w:rsidR="00E41A1F" w:rsidRPr="00FB4B14">
        <w:rPr>
          <w:rFonts w:ascii="Times New Roman" w:hAnsi="Times New Roman"/>
        </w:rPr>
        <w:t>circumstances</w:t>
      </w:r>
      <w:r w:rsidR="00854F16" w:rsidRPr="00FB4B14">
        <w:rPr>
          <w:rFonts w:ascii="Times New Roman" w:hAnsi="Times New Roman"/>
        </w:rPr>
        <w:t>"</w:t>
      </w:r>
      <w:r w:rsidR="00E41A1F" w:rsidRPr="00FB4B14">
        <w:rPr>
          <w:rFonts w:ascii="Times New Roman" w:hAnsi="Times New Roman"/>
        </w:rPr>
        <w:t xml:space="preserve"> before the commencement of the winding up.</w:t>
      </w:r>
      <w:r w:rsidR="00C92A77" w:rsidRPr="00FB4B14">
        <w:rPr>
          <w:rFonts w:ascii="Times New Roman" w:hAnsi="Times New Roman"/>
        </w:rPr>
        <w:t xml:space="preserve"> In contrast,</w:t>
      </w:r>
      <w:r w:rsidR="00CB568A" w:rsidRPr="00FB4B14">
        <w:rPr>
          <w:rFonts w:ascii="Times New Roman" w:hAnsi="Times New Roman"/>
        </w:rPr>
        <w:t xml:space="preserve"> s </w:t>
      </w:r>
      <w:r w:rsidR="00C92A77" w:rsidRPr="00FB4B14">
        <w:rPr>
          <w:rFonts w:ascii="Times New Roman" w:hAnsi="Times New Roman"/>
        </w:rPr>
        <w:t xml:space="preserve">82 of the </w:t>
      </w:r>
      <w:r w:rsidR="00C92A77" w:rsidRPr="00FB4B14">
        <w:rPr>
          <w:rFonts w:ascii="Times New Roman" w:hAnsi="Times New Roman"/>
          <w:i/>
          <w:iCs/>
        </w:rPr>
        <w:t>Bankruptcy Act</w:t>
      </w:r>
      <w:r w:rsidR="00F24BF1" w:rsidRPr="00FB4B14">
        <w:rPr>
          <w:rFonts w:ascii="Times New Roman" w:hAnsi="Times New Roman"/>
          <w:i/>
          <w:iCs/>
        </w:rPr>
        <w:t xml:space="preserve"> 1966 </w:t>
      </w:r>
      <w:r w:rsidR="00F24BF1" w:rsidRPr="00FB4B14">
        <w:rPr>
          <w:rFonts w:ascii="Times New Roman" w:hAnsi="Times New Roman"/>
        </w:rPr>
        <w:t>(</w:t>
      </w:r>
      <w:proofErr w:type="spellStart"/>
      <w:r w:rsidR="00F24BF1" w:rsidRPr="00FB4B14">
        <w:rPr>
          <w:rFonts w:ascii="Times New Roman" w:hAnsi="Times New Roman"/>
        </w:rPr>
        <w:t>Cth</w:t>
      </w:r>
      <w:proofErr w:type="spellEnd"/>
      <w:r w:rsidR="00F24BF1" w:rsidRPr="00FB4B14">
        <w:rPr>
          <w:rFonts w:ascii="Times New Roman" w:hAnsi="Times New Roman"/>
        </w:rPr>
        <w:t>)</w:t>
      </w:r>
      <w:r w:rsidR="00C92A77" w:rsidRPr="00FB4B14">
        <w:rPr>
          <w:rFonts w:ascii="Times New Roman" w:hAnsi="Times New Roman"/>
        </w:rPr>
        <w:t xml:space="preserve">, which addresses debts provable in bankruptcy, </w:t>
      </w:r>
      <w:r w:rsidR="00705629" w:rsidRPr="00FB4B14">
        <w:rPr>
          <w:rFonts w:ascii="Times New Roman" w:hAnsi="Times New Roman"/>
        </w:rPr>
        <w:t xml:space="preserve">is limited to debts to which the bankrupt was subject </w:t>
      </w:r>
      <w:r w:rsidR="00303FC6" w:rsidRPr="00FB4B14">
        <w:rPr>
          <w:rFonts w:ascii="Times New Roman" w:hAnsi="Times New Roman"/>
        </w:rPr>
        <w:t xml:space="preserve">as </w:t>
      </w:r>
      <w:r w:rsidR="00705629" w:rsidRPr="00FB4B14">
        <w:rPr>
          <w:rFonts w:ascii="Times New Roman" w:hAnsi="Times New Roman"/>
        </w:rPr>
        <w:t xml:space="preserve">at the date of bankruptcy, or </w:t>
      </w:r>
      <w:r w:rsidR="00303FC6" w:rsidRPr="00FB4B14">
        <w:rPr>
          <w:rFonts w:ascii="Times New Roman" w:hAnsi="Times New Roman"/>
        </w:rPr>
        <w:t xml:space="preserve">to </w:t>
      </w:r>
      <w:r w:rsidR="00705629" w:rsidRPr="00FB4B14">
        <w:rPr>
          <w:rFonts w:ascii="Times New Roman" w:hAnsi="Times New Roman"/>
        </w:rPr>
        <w:t xml:space="preserve">which he or she may become subject </w:t>
      </w:r>
      <w:r w:rsidR="00854F16" w:rsidRPr="00FB4B14">
        <w:rPr>
          <w:rFonts w:ascii="Times New Roman" w:hAnsi="Times New Roman"/>
        </w:rPr>
        <w:t>"</w:t>
      </w:r>
      <w:r w:rsidR="00A03895" w:rsidRPr="00FB4B14">
        <w:rPr>
          <w:rFonts w:ascii="Times New Roman" w:hAnsi="Times New Roman"/>
        </w:rPr>
        <w:t>by reason of an obligation incurred before the date of the bankruptcy</w:t>
      </w:r>
      <w:r w:rsidR="00854F16" w:rsidRPr="00FB4B14">
        <w:rPr>
          <w:rFonts w:ascii="Times New Roman" w:hAnsi="Times New Roman"/>
        </w:rPr>
        <w:t>"</w:t>
      </w:r>
      <w:r w:rsidR="00B72CB2" w:rsidRPr="00FB4B14">
        <w:rPr>
          <w:rFonts w:ascii="Times New Roman" w:hAnsi="Times New Roman"/>
        </w:rPr>
        <w:t>.</w:t>
      </w:r>
      <w:r w:rsidR="0075382C" w:rsidRPr="00FB4B14">
        <w:rPr>
          <w:rFonts w:ascii="Times New Roman" w:hAnsi="Times New Roman"/>
        </w:rPr>
        <w:t xml:space="preserve"> </w:t>
      </w:r>
    </w:p>
    <w:p w14:paraId="0D207E4D" w14:textId="2B0C9FDF" w:rsidR="00E945C3" w:rsidRPr="00FB4B14" w:rsidRDefault="00E00932"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5B3711" w:rsidRPr="00FB4B14">
        <w:rPr>
          <w:rFonts w:ascii="Times New Roman" w:hAnsi="Times New Roman"/>
        </w:rPr>
        <w:t>The purpose of</w:t>
      </w:r>
      <w:r w:rsidR="00CB568A" w:rsidRPr="00FB4B14">
        <w:rPr>
          <w:rFonts w:ascii="Times New Roman" w:hAnsi="Times New Roman"/>
        </w:rPr>
        <w:t xml:space="preserve"> s </w:t>
      </w:r>
      <w:r w:rsidR="005B3711" w:rsidRPr="00FB4B14">
        <w:rPr>
          <w:rFonts w:ascii="Times New Roman" w:hAnsi="Times New Roman"/>
        </w:rPr>
        <w:t xml:space="preserve">553 is important. </w:t>
      </w:r>
      <w:r w:rsidR="00213DC8" w:rsidRPr="00FB4B14">
        <w:rPr>
          <w:rFonts w:ascii="Times New Roman" w:hAnsi="Times New Roman"/>
        </w:rPr>
        <w:t>As</w:t>
      </w:r>
      <w:r w:rsidR="005B3711" w:rsidRPr="00FB4B14">
        <w:rPr>
          <w:rFonts w:ascii="Times New Roman" w:hAnsi="Times New Roman"/>
        </w:rPr>
        <w:t xml:space="preserve"> Campbell</w:t>
      </w:r>
      <w:r w:rsidR="00BD55E2" w:rsidRPr="00FB4B14">
        <w:rPr>
          <w:rFonts w:ascii="Times New Roman" w:hAnsi="Times New Roman"/>
        </w:rPr>
        <w:t> </w:t>
      </w:r>
      <w:r w:rsidR="005B3711" w:rsidRPr="00FB4B14">
        <w:rPr>
          <w:rFonts w:ascii="Times New Roman" w:hAnsi="Times New Roman"/>
        </w:rPr>
        <w:t xml:space="preserve">JA observed in </w:t>
      </w:r>
      <w:r w:rsidR="005B3711" w:rsidRPr="00FB4B14">
        <w:rPr>
          <w:rFonts w:ascii="Times New Roman" w:hAnsi="Times New Roman"/>
          <w:i/>
          <w:iCs/>
        </w:rPr>
        <w:t>BE Aust</w:t>
      </w:r>
      <w:r w:rsidR="00DD5130" w:rsidRPr="00FB4B14">
        <w:rPr>
          <w:rFonts w:ascii="Times New Roman" w:hAnsi="Times New Roman"/>
          <w:i/>
          <w:iCs/>
        </w:rPr>
        <w:t xml:space="preserve"> WD Pty Ltd v Sutton</w:t>
      </w:r>
      <w:r w:rsidR="00DD5130" w:rsidRPr="00FB4B14">
        <w:rPr>
          <w:rStyle w:val="FootnoteReference"/>
          <w:rFonts w:ascii="Times New Roman" w:hAnsi="Times New Roman"/>
          <w:sz w:val="24"/>
        </w:rPr>
        <w:footnoteReference w:id="26"/>
      </w:r>
      <w:r w:rsidR="00894009" w:rsidRPr="00FB4B14">
        <w:rPr>
          <w:rFonts w:ascii="Times New Roman" w:hAnsi="Times New Roman"/>
        </w:rPr>
        <w:t>,</w:t>
      </w:r>
      <w:r w:rsidR="00CB568A" w:rsidRPr="00FB4B14">
        <w:rPr>
          <w:rFonts w:ascii="Times New Roman" w:hAnsi="Times New Roman"/>
        </w:rPr>
        <w:t xml:space="preserve"> s </w:t>
      </w:r>
      <w:r w:rsidR="00137A82" w:rsidRPr="00FB4B14">
        <w:rPr>
          <w:rFonts w:ascii="Times New Roman" w:hAnsi="Times New Roman"/>
        </w:rPr>
        <w:t xml:space="preserve">553 ensures </w:t>
      </w:r>
      <w:r w:rsidR="00CA3D92" w:rsidRPr="00FB4B14">
        <w:rPr>
          <w:rFonts w:ascii="Times New Roman" w:hAnsi="Times New Roman"/>
        </w:rPr>
        <w:t xml:space="preserve">that all legal obligations to which a company is subject </w:t>
      </w:r>
      <w:r w:rsidR="00137A82" w:rsidRPr="00FB4B14">
        <w:rPr>
          <w:rFonts w:ascii="Times New Roman" w:hAnsi="Times New Roman"/>
        </w:rPr>
        <w:t>are</w:t>
      </w:r>
      <w:r w:rsidR="00CA3D92" w:rsidRPr="00FB4B14">
        <w:rPr>
          <w:rFonts w:ascii="Times New Roman" w:hAnsi="Times New Roman"/>
        </w:rPr>
        <w:t xml:space="preserve"> ascertained and then valued </w:t>
      </w:r>
      <w:r w:rsidR="00854F16" w:rsidRPr="00FB4B14">
        <w:rPr>
          <w:rFonts w:ascii="Times New Roman" w:hAnsi="Times New Roman"/>
        </w:rPr>
        <w:t>"</w:t>
      </w:r>
      <w:r w:rsidR="00CA3D92" w:rsidRPr="00FB4B14">
        <w:rPr>
          <w:rFonts w:ascii="Times New Roman" w:hAnsi="Times New Roman"/>
        </w:rPr>
        <w:t>at a common da</w:t>
      </w:r>
      <w:r w:rsidR="00757656" w:rsidRPr="00FB4B14">
        <w:rPr>
          <w:rFonts w:ascii="Times New Roman" w:hAnsi="Times New Roman"/>
        </w:rPr>
        <w:t>te</w:t>
      </w:r>
      <w:r w:rsidR="00854F16" w:rsidRPr="00FB4B14">
        <w:rPr>
          <w:rFonts w:ascii="Times New Roman" w:hAnsi="Times New Roman"/>
        </w:rPr>
        <w:t>"</w:t>
      </w:r>
      <w:r w:rsidR="00757656" w:rsidRPr="00FB4B14">
        <w:rPr>
          <w:rFonts w:ascii="Times New Roman" w:hAnsi="Times New Roman"/>
        </w:rPr>
        <w:t xml:space="preserve">, so that they can be </w:t>
      </w:r>
      <w:proofErr w:type="gramStart"/>
      <w:r w:rsidR="00757656" w:rsidRPr="00FB4B14">
        <w:rPr>
          <w:rFonts w:ascii="Times New Roman" w:hAnsi="Times New Roman"/>
        </w:rPr>
        <w:t>taken into account</w:t>
      </w:r>
      <w:proofErr w:type="gramEnd"/>
      <w:r w:rsidR="00757656" w:rsidRPr="00FB4B14">
        <w:rPr>
          <w:rFonts w:ascii="Times New Roman" w:hAnsi="Times New Roman"/>
        </w:rPr>
        <w:t xml:space="preserve"> in the winding up. Critically, </w:t>
      </w:r>
      <w:r w:rsidR="0089561C" w:rsidRPr="00FB4B14">
        <w:rPr>
          <w:rFonts w:ascii="Times New Roman" w:hAnsi="Times New Roman"/>
        </w:rPr>
        <w:t>and subject to one possible exception</w:t>
      </w:r>
      <w:r w:rsidR="00C03F7A" w:rsidRPr="00FB4B14">
        <w:rPr>
          <w:rStyle w:val="FootnoteReference"/>
          <w:rFonts w:ascii="Times New Roman" w:hAnsi="Times New Roman"/>
          <w:sz w:val="24"/>
        </w:rPr>
        <w:footnoteReference w:id="27"/>
      </w:r>
      <w:r w:rsidR="0089561C" w:rsidRPr="00FB4B14">
        <w:rPr>
          <w:rFonts w:ascii="Times New Roman" w:hAnsi="Times New Roman"/>
        </w:rPr>
        <w:t xml:space="preserve">, </w:t>
      </w:r>
      <w:r w:rsidR="00757656" w:rsidRPr="00FB4B14">
        <w:rPr>
          <w:rFonts w:ascii="Times New Roman" w:hAnsi="Times New Roman"/>
        </w:rPr>
        <w:t>no debt or claim arising</w:t>
      </w:r>
      <w:r w:rsidR="00BE4791" w:rsidRPr="00FB4B14">
        <w:rPr>
          <w:rFonts w:ascii="Times New Roman" w:hAnsi="Times New Roman"/>
        </w:rPr>
        <w:t xml:space="preserve"> from circumstances arising</w:t>
      </w:r>
      <w:r w:rsidR="00757656" w:rsidRPr="00FB4B14">
        <w:rPr>
          <w:rFonts w:ascii="Times New Roman" w:hAnsi="Times New Roman"/>
        </w:rPr>
        <w:t xml:space="preserve"> </w:t>
      </w:r>
      <w:r w:rsidR="00757656" w:rsidRPr="00FB4B14">
        <w:rPr>
          <w:rFonts w:ascii="Times New Roman" w:hAnsi="Times New Roman"/>
          <w:i/>
          <w:iCs/>
        </w:rPr>
        <w:t>after</w:t>
      </w:r>
      <w:r w:rsidR="00757656" w:rsidRPr="00FB4B14">
        <w:rPr>
          <w:rFonts w:ascii="Times New Roman" w:hAnsi="Times New Roman"/>
        </w:rPr>
        <w:t xml:space="preserve"> the </w:t>
      </w:r>
      <w:r w:rsidR="00523F2F" w:rsidRPr="00FB4B14">
        <w:rPr>
          <w:rFonts w:ascii="Times New Roman" w:hAnsi="Times New Roman"/>
        </w:rPr>
        <w:t xml:space="preserve">commencement of the winding up of the </w:t>
      </w:r>
      <w:r w:rsidR="00757656" w:rsidRPr="00FB4B14">
        <w:rPr>
          <w:rFonts w:ascii="Times New Roman" w:hAnsi="Times New Roman"/>
        </w:rPr>
        <w:t xml:space="preserve">company </w:t>
      </w:r>
      <w:r w:rsidR="00137A82" w:rsidRPr="00FB4B14">
        <w:rPr>
          <w:rFonts w:ascii="Times New Roman" w:hAnsi="Times New Roman"/>
        </w:rPr>
        <w:t xml:space="preserve">is </w:t>
      </w:r>
      <w:r w:rsidR="00395CAB" w:rsidRPr="00FB4B14">
        <w:rPr>
          <w:rFonts w:ascii="Times New Roman" w:hAnsi="Times New Roman"/>
        </w:rPr>
        <w:t>admissible</w:t>
      </w:r>
      <w:r w:rsidR="008766B5" w:rsidRPr="00FB4B14">
        <w:rPr>
          <w:rFonts w:ascii="Times New Roman" w:hAnsi="Times New Roman"/>
        </w:rPr>
        <w:t xml:space="preserve"> </w:t>
      </w:r>
      <w:r w:rsidR="00395CAB" w:rsidRPr="00FB4B14">
        <w:rPr>
          <w:rFonts w:ascii="Times New Roman" w:hAnsi="Times New Roman"/>
        </w:rPr>
        <w:t>to</w:t>
      </w:r>
      <w:r w:rsidR="008766B5" w:rsidRPr="00FB4B14">
        <w:rPr>
          <w:rFonts w:ascii="Times New Roman" w:hAnsi="Times New Roman"/>
        </w:rPr>
        <w:t xml:space="preserve"> proof </w:t>
      </w:r>
      <w:r w:rsidR="00395CAB" w:rsidRPr="00FB4B14">
        <w:rPr>
          <w:rFonts w:ascii="Times New Roman" w:hAnsi="Times New Roman"/>
        </w:rPr>
        <w:t>against the company</w:t>
      </w:r>
      <w:r w:rsidR="003873DF" w:rsidRPr="00FB4B14">
        <w:rPr>
          <w:rFonts w:ascii="Times New Roman" w:hAnsi="Times New Roman"/>
        </w:rPr>
        <w:t xml:space="preserve"> in the liquidation</w:t>
      </w:r>
      <w:r w:rsidR="00395CAB" w:rsidRPr="00FB4B14">
        <w:rPr>
          <w:rFonts w:ascii="Times New Roman" w:hAnsi="Times New Roman"/>
        </w:rPr>
        <w:t>.</w:t>
      </w:r>
    </w:p>
    <w:p w14:paraId="4C70E3D6" w14:textId="1D5DA2FD" w:rsidR="002803A7" w:rsidRPr="00FB4B14" w:rsidRDefault="002803A7"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Section 555 of the Act provides for the distribution of the assets of the company in accordance with the </w:t>
      </w:r>
      <w:proofErr w:type="spellStart"/>
      <w:r w:rsidRPr="00FB4B14">
        <w:rPr>
          <w:rFonts w:ascii="Times New Roman" w:hAnsi="Times New Roman"/>
          <w:i/>
          <w:iCs/>
        </w:rPr>
        <w:t>pari</w:t>
      </w:r>
      <w:proofErr w:type="spellEnd"/>
      <w:r w:rsidRPr="00FB4B14">
        <w:rPr>
          <w:rFonts w:ascii="Times New Roman" w:hAnsi="Times New Roman"/>
          <w:i/>
          <w:iCs/>
        </w:rPr>
        <w:t xml:space="preserve"> passu</w:t>
      </w:r>
      <w:r w:rsidRPr="00FB4B14">
        <w:rPr>
          <w:rFonts w:ascii="Times New Roman" w:hAnsi="Times New Roman"/>
        </w:rPr>
        <w:t xml:space="preserve"> principle. It provides that, except as otherwise provided, all debts and claims proved in a winding up rank equally, and that if the property of the company is insufficient to meet such debts and claims, they must be paid proportionately. Many of the exceptions to this principle are set out in s 556 of the Act, which lists a series of payments to be made in priority to all unsecured debts and claims. These </w:t>
      </w:r>
      <w:proofErr w:type="gramStart"/>
      <w:r w:rsidRPr="00FB4B14">
        <w:rPr>
          <w:rFonts w:ascii="Times New Roman" w:hAnsi="Times New Roman"/>
        </w:rPr>
        <w:t>include</w:t>
      </w:r>
      <w:r w:rsidR="00F56359" w:rsidRPr="00FB4B14">
        <w:rPr>
          <w:rFonts w:ascii="Times New Roman" w:hAnsi="Times New Roman"/>
        </w:rPr>
        <w:t>:</w:t>
      </w:r>
      <w:proofErr w:type="gramEnd"/>
      <w:r w:rsidRPr="00FB4B14">
        <w:rPr>
          <w:rFonts w:ascii="Times New Roman" w:hAnsi="Times New Roman"/>
        </w:rPr>
        <w:t xml:space="preserve"> certain of the liquidator's </w:t>
      </w:r>
      <w:r w:rsidRPr="00FB4B14">
        <w:rPr>
          <w:rFonts w:ascii="Times New Roman" w:hAnsi="Times New Roman"/>
        </w:rPr>
        <w:lastRenderedPageBreak/>
        <w:t>expenses</w:t>
      </w:r>
      <w:r w:rsidRPr="00FB4B14">
        <w:rPr>
          <w:rStyle w:val="FootnoteReference"/>
          <w:rFonts w:ascii="Times New Roman" w:hAnsi="Times New Roman"/>
          <w:sz w:val="24"/>
        </w:rPr>
        <w:footnoteReference w:id="28"/>
      </w:r>
      <w:r w:rsidRPr="00FB4B14">
        <w:rPr>
          <w:rFonts w:ascii="Times New Roman" w:hAnsi="Times New Roman"/>
        </w:rPr>
        <w:t>; the costs of the application for the winding up order</w:t>
      </w:r>
      <w:r w:rsidRPr="00FB4B14">
        <w:rPr>
          <w:rStyle w:val="FootnoteReference"/>
          <w:rFonts w:ascii="Times New Roman" w:hAnsi="Times New Roman"/>
          <w:sz w:val="24"/>
        </w:rPr>
        <w:footnoteReference w:id="29"/>
      </w:r>
      <w:r w:rsidRPr="00FB4B14">
        <w:rPr>
          <w:rFonts w:ascii="Times New Roman" w:hAnsi="Times New Roman"/>
        </w:rPr>
        <w:t>; certain amounts owing to employees of the company before the date of winding up</w:t>
      </w:r>
      <w:r w:rsidRPr="00FB4B14">
        <w:rPr>
          <w:rStyle w:val="FootnoteReference"/>
          <w:rFonts w:ascii="Times New Roman" w:hAnsi="Times New Roman"/>
          <w:sz w:val="24"/>
        </w:rPr>
        <w:footnoteReference w:id="30"/>
      </w:r>
      <w:r w:rsidRPr="00FB4B14">
        <w:rPr>
          <w:rFonts w:ascii="Times New Roman" w:hAnsi="Times New Roman"/>
        </w:rPr>
        <w:t>; and certain retrenchment payments payable to employees of the company</w:t>
      </w:r>
      <w:r w:rsidRPr="00FB4B14">
        <w:rPr>
          <w:rStyle w:val="FootnoteReference"/>
          <w:rFonts w:ascii="Times New Roman" w:hAnsi="Times New Roman"/>
          <w:sz w:val="24"/>
        </w:rPr>
        <w:footnoteReference w:id="31"/>
      </w:r>
      <w:r w:rsidRPr="00FB4B14">
        <w:rPr>
          <w:rFonts w:ascii="Times New Roman" w:hAnsi="Times New Roman"/>
        </w:rPr>
        <w:t>.</w:t>
      </w:r>
    </w:p>
    <w:p w14:paraId="54C62D13" w14:textId="2FC7301F" w:rsidR="00B906F0" w:rsidRPr="00FB4B14" w:rsidRDefault="00B906F0" w:rsidP="00FB4B14">
      <w:pPr>
        <w:pStyle w:val="HeadingL2"/>
        <w:spacing w:after="260" w:line="280" w:lineRule="exact"/>
        <w:ind w:right="0"/>
        <w:jc w:val="both"/>
        <w:rPr>
          <w:rFonts w:ascii="Times New Roman" w:hAnsi="Times New Roman"/>
        </w:rPr>
      </w:pPr>
      <w:r w:rsidRPr="00FB4B14">
        <w:rPr>
          <w:rFonts w:ascii="Times New Roman" w:hAnsi="Times New Roman"/>
        </w:rPr>
        <w:t xml:space="preserve">Set-off </w:t>
      </w:r>
    </w:p>
    <w:p w14:paraId="71CC7246" w14:textId="6827C671" w:rsidR="00530A71" w:rsidRPr="00FB4B14" w:rsidRDefault="00E945C3"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530A71" w:rsidRPr="00FB4B14">
        <w:rPr>
          <w:rFonts w:ascii="Times New Roman" w:hAnsi="Times New Roman"/>
        </w:rPr>
        <w:t xml:space="preserve">Section 553C </w:t>
      </w:r>
      <w:r w:rsidR="006012A5" w:rsidRPr="00FB4B14">
        <w:rPr>
          <w:rFonts w:ascii="Times New Roman" w:hAnsi="Times New Roman"/>
        </w:rPr>
        <w:t>of the Act confers the right of set-off relied upon by the appellant. It should be set out in full:</w:t>
      </w:r>
    </w:p>
    <w:p w14:paraId="38DE1069" w14:textId="14AA3737" w:rsidR="00FA1B6A" w:rsidRPr="00FB4B14" w:rsidRDefault="00854F16" w:rsidP="00FB4B14">
      <w:pPr>
        <w:pStyle w:val="LeftrightafterHC"/>
        <w:spacing w:before="0" w:after="260" w:line="280" w:lineRule="exact"/>
        <w:ind w:left="1440" w:right="0" w:hanging="720"/>
        <w:jc w:val="both"/>
        <w:rPr>
          <w:rFonts w:ascii="Times New Roman" w:hAnsi="Times New Roman"/>
          <w:b/>
          <w:bCs/>
        </w:rPr>
      </w:pPr>
      <w:r w:rsidRPr="00FB4B14">
        <w:rPr>
          <w:rFonts w:ascii="Times New Roman" w:hAnsi="Times New Roman"/>
        </w:rPr>
        <w:t>"</w:t>
      </w:r>
      <w:r w:rsidR="00FA1B6A" w:rsidRPr="00FB4B14">
        <w:rPr>
          <w:rFonts w:ascii="Times New Roman" w:hAnsi="Times New Roman"/>
          <w:b/>
          <w:bCs/>
        </w:rPr>
        <w:t>Insolvent companies</w:t>
      </w:r>
      <w:r w:rsidR="00216DB3" w:rsidRPr="00FB4B14">
        <w:rPr>
          <w:rFonts w:ascii="Times New Roman" w:hAnsi="Times New Roman"/>
          <w:b/>
          <w:bCs/>
        </w:rPr>
        <w:t xml:space="preserve"> – </w:t>
      </w:r>
      <w:r w:rsidR="00FA1B6A" w:rsidRPr="00FB4B14">
        <w:rPr>
          <w:rFonts w:ascii="Times New Roman" w:hAnsi="Times New Roman"/>
          <w:b/>
          <w:bCs/>
        </w:rPr>
        <w:t>mutual credit and set</w:t>
      </w:r>
      <w:r w:rsidR="009A1AD1" w:rsidRPr="00FB4B14">
        <w:rPr>
          <w:rFonts w:ascii="Times New Roman" w:hAnsi="Times New Roman"/>
          <w:b/>
          <w:bCs/>
        </w:rPr>
        <w:t>-</w:t>
      </w:r>
      <w:r w:rsidR="00FA1B6A" w:rsidRPr="00FB4B14">
        <w:rPr>
          <w:rFonts w:ascii="Times New Roman" w:hAnsi="Times New Roman"/>
          <w:b/>
          <w:bCs/>
        </w:rPr>
        <w:t>off</w:t>
      </w:r>
    </w:p>
    <w:p w14:paraId="161ECAF9" w14:textId="14D134AA" w:rsidR="00124125" w:rsidRPr="00FB4B14" w:rsidRDefault="003D6150" w:rsidP="00FB4B14">
      <w:pPr>
        <w:pStyle w:val="LeftrightafterHC"/>
        <w:spacing w:before="0" w:after="260" w:line="280" w:lineRule="exact"/>
        <w:ind w:left="1440" w:right="0" w:hanging="720"/>
        <w:jc w:val="both"/>
        <w:rPr>
          <w:rFonts w:ascii="Times New Roman" w:hAnsi="Times New Roman"/>
        </w:rPr>
      </w:pPr>
      <w:r w:rsidRPr="00FB4B14">
        <w:rPr>
          <w:rFonts w:ascii="Times New Roman" w:hAnsi="Times New Roman"/>
        </w:rPr>
        <w:t>(1)</w:t>
      </w:r>
      <w:r w:rsidR="00124125" w:rsidRPr="00FB4B14">
        <w:rPr>
          <w:rFonts w:ascii="Times New Roman" w:hAnsi="Times New Roman"/>
        </w:rPr>
        <w:tab/>
      </w:r>
      <w:r w:rsidRPr="00FB4B14">
        <w:rPr>
          <w:rFonts w:ascii="Times New Roman" w:hAnsi="Times New Roman"/>
        </w:rPr>
        <w:t>Subject to subsection (2), where there have been mutual credits, mutual debts or other mutual dealings between an insolvent company that is being wound up and a person who wants to have a debt or claim admitted against the company:</w:t>
      </w:r>
    </w:p>
    <w:p w14:paraId="45063586" w14:textId="73DF4308" w:rsidR="003D6150" w:rsidRPr="00FB4B14" w:rsidRDefault="003D6150"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(a)</w:t>
      </w:r>
      <w:r w:rsidR="00124125" w:rsidRPr="00FB4B14">
        <w:rPr>
          <w:rFonts w:ascii="Times New Roman" w:hAnsi="Times New Roman"/>
        </w:rPr>
        <w:tab/>
      </w:r>
      <w:r w:rsidRPr="00FB4B14">
        <w:rPr>
          <w:rFonts w:ascii="Times New Roman" w:hAnsi="Times New Roman"/>
        </w:rPr>
        <w:t xml:space="preserve">an account is to be taken of what is due from the one party to the other in respect of those mutual </w:t>
      </w:r>
      <w:proofErr w:type="gramStart"/>
      <w:r w:rsidRPr="00FB4B14">
        <w:rPr>
          <w:rFonts w:ascii="Times New Roman" w:hAnsi="Times New Roman"/>
        </w:rPr>
        <w:t>dealings;</w:t>
      </w:r>
      <w:proofErr w:type="gramEnd"/>
      <w:r w:rsidRPr="00FB4B14">
        <w:rPr>
          <w:rFonts w:ascii="Times New Roman" w:hAnsi="Times New Roman"/>
        </w:rPr>
        <w:t xml:space="preserve"> and</w:t>
      </w:r>
    </w:p>
    <w:p w14:paraId="2C1C9B13" w14:textId="554394B7" w:rsidR="003D6150" w:rsidRPr="00FB4B14" w:rsidRDefault="003D6150"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(b)</w:t>
      </w:r>
      <w:r w:rsidR="00124125" w:rsidRPr="00FB4B14">
        <w:rPr>
          <w:rFonts w:ascii="Times New Roman" w:hAnsi="Times New Roman"/>
        </w:rPr>
        <w:tab/>
      </w:r>
      <w:r w:rsidRPr="00FB4B14">
        <w:rPr>
          <w:rFonts w:ascii="Times New Roman" w:hAnsi="Times New Roman"/>
        </w:rPr>
        <w:t xml:space="preserve">the sum due from the one party is to be set off against any sum due from the other </w:t>
      </w:r>
      <w:proofErr w:type="gramStart"/>
      <w:r w:rsidRPr="00FB4B14">
        <w:rPr>
          <w:rFonts w:ascii="Times New Roman" w:hAnsi="Times New Roman"/>
        </w:rPr>
        <w:t>party;</w:t>
      </w:r>
      <w:proofErr w:type="gramEnd"/>
      <w:r w:rsidRPr="00FB4B14">
        <w:rPr>
          <w:rFonts w:ascii="Times New Roman" w:hAnsi="Times New Roman"/>
        </w:rPr>
        <w:t xml:space="preserve"> and</w:t>
      </w:r>
    </w:p>
    <w:p w14:paraId="27258A9D" w14:textId="3768C6D4" w:rsidR="003D6150" w:rsidRPr="00FB4B14" w:rsidRDefault="003D6150"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(c)</w:t>
      </w:r>
      <w:r w:rsidR="00124125" w:rsidRPr="00FB4B14">
        <w:rPr>
          <w:rFonts w:ascii="Times New Roman" w:hAnsi="Times New Roman"/>
        </w:rPr>
        <w:tab/>
      </w:r>
      <w:r w:rsidRPr="00FB4B14">
        <w:rPr>
          <w:rFonts w:ascii="Times New Roman" w:hAnsi="Times New Roman"/>
        </w:rPr>
        <w:t xml:space="preserve">only the balance of the account is admissible to proof against the company, or is payable to the </w:t>
      </w:r>
      <w:proofErr w:type="gramStart"/>
      <w:r w:rsidRPr="00FB4B14">
        <w:rPr>
          <w:rFonts w:ascii="Times New Roman" w:hAnsi="Times New Roman"/>
        </w:rPr>
        <w:t>company, as the case may be</w:t>
      </w:r>
      <w:proofErr w:type="gramEnd"/>
      <w:r w:rsidRPr="00FB4B14">
        <w:rPr>
          <w:rFonts w:ascii="Times New Roman" w:hAnsi="Times New Roman"/>
        </w:rPr>
        <w:t>.</w:t>
      </w:r>
    </w:p>
    <w:p w14:paraId="0C3FBAB2" w14:textId="77777777" w:rsidR="00FB4B14" w:rsidRDefault="003D6150" w:rsidP="00FB4B14">
      <w:pPr>
        <w:pStyle w:val="leftright"/>
        <w:spacing w:before="0" w:after="260" w:line="280" w:lineRule="exact"/>
        <w:ind w:left="1440" w:right="0" w:hanging="720"/>
        <w:jc w:val="both"/>
        <w:rPr>
          <w:rFonts w:ascii="Times New Roman" w:hAnsi="Times New Roman"/>
        </w:rPr>
      </w:pPr>
      <w:r w:rsidRPr="00FB4B14">
        <w:rPr>
          <w:rFonts w:ascii="Times New Roman" w:hAnsi="Times New Roman"/>
        </w:rPr>
        <w:t>(2)</w:t>
      </w:r>
      <w:r w:rsidR="00124125" w:rsidRPr="00FB4B14">
        <w:rPr>
          <w:rFonts w:ascii="Times New Roman" w:hAnsi="Times New Roman"/>
        </w:rPr>
        <w:tab/>
      </w:r>
      <w:r w:rsidRPr="00FB4B14">
        <w:rPr>
          <w:rFonts w:ascii="Times New Roman" w:hAnsi="Times New Roman"/>
        </w:rPr>
        <w:t>A person is not entitled under this section to claim the benefit of a set-off if, at the time of giving credit to the company, or at the time of receiving credit from the company, the person had notice of the fact that the company was insolvent.</w:t>
      </w:r>
      <w:r w:rsidR="00854F16" w:rsidRPr="00FB4B14">
        <w:rPr>
          <w:rFonts w:ascii="Times New Roman" w:hAnsi="Times New Roman"/>
        </w:rPr>
        <w:t>"</w:t>
      </w:r>
    </w:p>
    <w:p w14:paraId="36961DDD" w14:textId="7D0D8F4F" w:rsidR="00DD0255" w:rsidRPr="00FB4B14" w:rsidRDefault="00736422"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6B7E4A" w:rsidRPr="00FB4B14">
        <w:rPr>
          <w:rFonts w:ascii="Times New Roman" w:hAnsi="Times New Roman"/>
        </w:rPr>
        <w:t>It might be thought that</w:t>
      </w:r>
      <w:r w:rsidR="00CB568A" w:rsidRPr="00FB4B14">
        <w:rPr>
          <w:rFonts w:ascii="Times New Roman" w:hAnsi="Times New Roman"/>
        </w:rPr>
        <w:t xml:space="preserve"> s </w:t>
      </w:r>
      <w:r w:rsidR="006B7E4A" w:rsidRPr="00FB4B14">
        <w:rPr>
          <w:rFonts w:ascii="Times New Roman" w:hAnsi="Times New Roman"/>
        </w:rPr>
        <w:t xml:space="preserve">553C offends the </w:t>
      </w:r>
      <w:proofErr w:type="spellStart"/>
      <w:r w:rsidR="006B7E4A" w:rsidRPr="00FB4B14">
        <w:rPr>
          <w:rFonts w:ascii="Times New Roman" w:hAnsi="Times New Roman"/>
          <w:i/>
          <w:iCs/>
        </w:rPr>
        <w:t>pari</w:t>
      </w:r>
      <w:proofErr w:type="spellEnd"/>
      <w:r w:rsidR="006B7E4A" w:rsidRPr="00FB4B14">
        <w:rPr>
          <w:rFonts w:ascii="Times New Roman" w:hAnsi="Times New Roman"/>
          <w:i/>
          <w:iCs/>
        </w:rPr>
        <w:t xml:space="preserve"> passu</w:t>
      </w:r>
      <w:r w:rsidR="006B7E4A" w:rsidRPr="00FB4B14">
        <w:rPr>
          <w:rFonts w:ascii="Times New Roman" w:hAnsi="Times New Roman"/>
        </w:rPr>
        <w:t xml:space="preserve"> principle</w:t>
      </w:r>
      <w:r w:rsidR="00C60BA6" w:rsidRPr="00FB4B14">
        <w:rPr>
          <w:rFonts w:ascii="Times New Roman" w:hAnsi="Times New Roman"/>
        </w:rPr>
        <w:t xml:space="preserve"> because it gives the creditor a complete discharge of what it is owed</w:t>
      </w:r>
      <w:r w:rsidR="009075B1" w:rsidRPr="00FB4B14">
        <w:rPr>
          <w:rFonts w:ascii="Times New Roman" w:hAnsi="Times New Roman"/>
        </w:rPr>
        <w:t>,</w:t>
      </w:r>
      <w:r w:rsidR="00C60BA6" w:rsidRPr="00FB4B14">
        <w:rPr>
          <w:rFonts w:ascii="Times New Roman" w:hAnsi="Times New Roman"/>
        </w:rPr>
        <w:t xml:space="preserve"> </w:t>
      </w:r>
      <w:r w:rsidR="00C74E7C" w:rsidRPr="00FB4B14">
        <w:rPr>
          <w:rFonts w:ascii="Times New Roman" w:hAnsi="Times New Roman"/>
        </w:rPr>
        <w:t xml:space="preserve">dollar for dollar. Such an observation is mistaken. </w:t>
      </w:r>
      <w:r w:rsidR="009075B1" w:rsidRPr="00FB4B14">
        <w:rPr>
          <w:rFonts w:ascii="Times New Roman" w:hAnsi="Times New Roman"/>
        </w:rPr>
        <w:t>The purpose of</w:t>
      </w:r>
      <w:r w:rsidR="00CB568A" w:rsidRPr="00FB4B14">
        <w:rPr>
          <w:rFonts w:ascii="Times New Roman" w:hAnsi="Times New Roman"/>
        </w:rPr>
        <w:t xml:space="preserve"> s </w:t>
      </w:r>
      <w:r w:rsidR="00D8551B" w:rsidRPr="00FB4B14">
        <w:rPr>
          <w:rFonts w:ascii="Times New Roman" w:hAnsi="Times New Roman"/>
        </w:rPr>
        <w:t xml:space="preserve">553C is to ascertain what is available for distribution on a </w:t>
      </w:r>
      <w:proofErr w:type="spellStart"/>
      <w:r w:rsidR="00D8551B" w:rsidRPr="00FB4B14">
        <w:rPr>
          <w:rFonts w:ascii="Times New Roman" w:hAnsi="Times New Roman"/>
          <w:i/>
          <w:iCs/>
        </w:rPr>
        <w:t>pari</w:t>
      </w:r>
      <w:proofErr w:type="spellEnd"/>
      <w:r w:rsidR="00D8551B" w:rsidRPr="00FB4B14">
        <w:rPr>
          <w:rFonts w:ascii="Times New Roman" w:hAnsi="Times New Roman"/>
          <w:i/>
          <w:iCs/>
        </w:rPr>
        <w:t xml:space="preserve"> passu</w:t>
      </w:r>
      <w:r w:rsidR="00D8551B" w:rsidRPr="00FB4B14">
        <w:rPr>
          <w:rFonts w:ascii="Times New Roman" w:hAnsi="Times New Roman"/>
        </w:rPr>
        <w:t xml:space="preserve"> basis.</w:t>
      </w:r>
      <w:r w:rsidR="00927B30" w:rsidRPr="00FB4B14">
        <w:rPr>
          <w:rFonts w:ascii="Times New Roman" w:hAnsi="Times New Roman"/>
        </w:rPr>
        <w:t xml:space="preserve"> It is only</w:t>
      </w:r>
      <w:r w:rsidR="00FB25E1" w:rsidRPr="00FB4B14">
        <w:rPr>
          <w:rFonts w:ascii="Times New Roman" w:hAnsi="Times New Roman"/>
        </w:rPr>
        <w:t xml:space="preserve"> </w:t>
      </w:r>
      <w:r w:rsidR="00927B30" w:rsidRPr="00FB4B14">
        <w:rPr>
          <w:rFonts w:ascii="Times New Roman" w:hAnsi="Times New Roman"/>
        </w:rPr>
        <w:t>the balance of any set</w:t>
      </w:r>
      <w:r w:rsidR="001A0BCE" w:rsidRPr="00FB4B14">
        <w:rPr>
          <w:rFonts w:ascii="Times New Roman" w:hAnsi="Times New Roman"/>
        </w:rPr>
        <w:t>-</w:t>
      </w:r>
      <w:r w:rsidR="00927B30" w:rsidRPr="00FB4B14">
        <w:rPr>
          <w:rFonts w:ascii="Times New Roman" w:hAnsi="Times New Roman"/>
        </w:rPr>
        <w:t xml:space="preserve">off </w:t>
      </w:r>
      <w:r w:rsidR="00FB25E1" w:rsidRPr="00FB4B14">
        <w:rPr>
          <w:rFonts w:ascii="Times New Roman" w:hAnsi="Times New Roman"/>
        </w:rPr>
        <w:t xml:space="preserve">(when it </w:t>
      </w:r>
      <w:r w:rsidR="00927B30" w:rsidRPr="00FB4B14">
        <w:rPr>
          <w:rFonts w:ascii="Times New Roman" w:hAnsi="Times New Roman"/>
        </w:rPr>
        <w:lastRenderedPageBreak/>
        <w:t xml:space="preserve">favours the </w:t>
      </w:r>
      <w:r w:rsidR="00FB25E1" w:rsidRPr="00FB4B14">
        <w:rPr>
          <w:rFonts w:ascii="Times New Roman" w:hAnsi="Times New Roman"/>
        </w:rPr>
        <w:t xml:space="preserve">creditor) which is </w:t>
      </w:r>
      <w:r w:rsidR="004C7612" w:rsidRPr="00FB4B14">
        <w:rPr>
          <w:rFonts w:ascii="Times New Roman" w:hAnsi="Times New Roman"/>
        </w:rPr>
        <w:t>then admissible to proof against the company for the purposes of</w:t>
      </w:r>
      <w:r w:rsidR="00CB568A" w:rsidRPr="00FB4B14">
        <w:rPr>
          <w:rFonts w:ascii="Times New Roman" w:hAnsi="Times New Roman"/>
        </w:rPr>
        <w:t xml:space="preserve"> s </w:t>
      </w:r>
      <w:r w:rsidR="004C7612" w:rsidRPr="00FB4B14">
        <w:rPr>
          <w:rFonts w:ascii="Times New Roman" w:hAnsi="Times New Roman"/>
        </w:rPr>
        <w:t xml:space="preserve">553. </w:t>
      </w:r>
      <w:r w:rsidR="0040036F" w:rsidRPr="00FB4B14">
        <w:rPr>
          <w:rFonts w:ascii="Times New Roman" w:hAnsi="Times New Roman"/>
        </w:rPr>
        <w:t>Before then, the law permits a set</w:t>
      </w:r>
      <w:r w:rsidR="00C96980" w:rsidRPr="00FB4B14">
        <w:rPr>
          <w:rFonts w:ascii="Times New Roman" w:hAnsi="Times New Roman"/>
        </w:rPr>
        <w:t>-</w:t>
      </w:r>
      <w:r w:rsidR="0040036F" w:rsidRPr="00FB4B14">
        <w:rPr>
          <w:rFonts w:ascii="Times New Roman" w:hAnsi="Times New Roman"/>
        </w:rPr>
        <w:t xml:space="preserve">off of mutually incurred </w:t>
      </w:r>
      <w:r w:rsidR="009F3358" w:rsidRPr="00FB4B14">
        <w:rPr>
          <w:rFonts w:ascii="Times New Roman" w:hAnsi="Times New Roman"/>
        </w:rPr>
        <w:t>credits</w:t>
      </w:r>
      <w:r w:rsidR="003C7D6A" w:rsidRPr="00FB4B14">
        <w:rPr>
          <w:rFonts w:ascii="Times New Roman" w:hAnsi="Times New Roman"/>
        </w:rPr>
        <w:t>,</w:t>
      </w:r>
      <w:r w:rsidR="009F3358" w:rsidRPr="00FB4B14">
        <w:rPr>
          <w:rFonts w:ascii="Times New Roman" w:hAnsi="Times New Roman"/>
        </w:rPr>
        <w:t xml:space="preserve"> </w:t>
      </w:r>
      <w:proofErr w:type="gramStart"/>
      <w:r w:rsidR="009F3358" w:rsidRPr="00FB4B14">
        <w:rPr>
          <w:rFonts w:ascii="Times New Roman" w:hAnsi="Times New Roman"/>
        </w:rPr>
        <w:t>debts</w:t>
      </w:r>
      <w:proofErr w:type="gramEnd"/>
      <w:r w:rsidR="009F3358" w:rsidRPr="00FB4B14">
        <w:rPr>
          <w:rFonts w:ascii="Times New Roman" w:hAnsi="Times New Roman"/>
        </w:rPr>
        <w:t xml:space="preserve"> </w:t>
      </w:r>
      <w:r w:rsidR="00C156DE" w:rsidRPr="00FB4B14">
        <w:rPr>
          <w:rFonts w:ascii="Times New Roman" w:hAnsi="Times New Roman"/>
        </w:rPr>
        <w:t xml:space="preserve">or dealings </w:t>
      </w:r>
      <w:r w:rsidR="009F3358" w:rsidRPr="00FB4B14">
        <w:rPr>
          <w:rFonts w:ascii="Times New Roman" w:hAnsi="Times New Roman"/>
        </w:rPr>
        <w:t>because that is a just outcome</w:t>
      </w:r>
      <w:r w:rsidR="00301CAF" w:rsidRPr="00FB4B14">
        <w:rPr>
          <w:rFonts w:ascii="Times New Roman" w:hAnsi="Times New Roman"/>
        </w:rPr>
        <w:t xml:space="preserve"> chosen by </w:t>
      </w:r>
      <w:r w:rsidR="00A91151" w:rsidRPr="00FB4B14">
        <w:rPr>
          <w:rFonts w:ascii="Times New Roman" w:hAnsi="Times New Roman"/>
        </w:rPr>
        <w:t>Parliament</w:t>
      </w:r>
      <w:r w:rsidR="009F3358" w:rsidRPr="00FB4B14">
        <w:rPr>
          <w:rFonts w:ascii="Times New Roman" w:hAnsi="Times New Roman"/>
        </w:rPr>
        <w:t>.</w:t>
      </w:r>
      <w:r w:rsidR="00CD50E7" w:rsidRPr="00FB4B14">
        <w:rPr>
          <w:rFonts w:ascii="Times New Roman" w:hAnsi="Times New Roman"/>
        </w:rPr>
        <w:t xml:space="preserve"> As </w:t>
      </w:r>
      <w:r w:rsidR="00550440" w:rsidRPr="00FB4B14">
        <w:rPr>
          <w:rFonts w:ascii="Times New Roman" w:hAnsi="Times New Roman"/>
        </w:rPr>
        <w:t>this Court observed</w:t>
      </w:r>
      <w:r w:rsidR="00D52413" w:rsidRPr="00FB4B14">
        <w:rPr>
          <w:rFonts w:ascii="Times New Roman" w:hAnsi="Times New Roman"/>
        </w:rPr>
        <w:t xml:space="preserve"> in </w:t>
      </w:r>
      <w:proofErr w:type="spellStart"/>
      <w:r w:rsidR="00D52413" w:rsidRPr="00FB4B14">
        <w:rPr>
          <w:rFonts w:ascii="Times New Roman" w:hAnsi="Times New Roman"/>
          <w:i/>
          <w:iCs/>
        </w:rPr>
        <w:t>Gye</w:t>
      </w:r>
      <w:proofErr w:type="spellEnd"/>
      <w:r w:rsidR="00D52413" w:rsidRPr="00FB4B14">
        <w:rPr>
          <w:rFonts w:ascii="Times New Roman" w:hAnsi="Times New Roman"/>
          <w:i/>
          <w:iCs/>
        </w:rPr>
        <w:t xml:space="preserve"> v McIntyre</w:t>
      </w:r>
      <w:r w:rsidR="00D52413" w:rsidRPr="00FB4B14">
        <w:rPr>
          <w:rStyle w:val="FootnoteReference"/>
          <w:rFonts w:ascii="Times New Roman" w:hAnsi="Times New Roman"/>
          <w:sz w:val="24"/>
        </w:rPr>
        <w:footnoteReference w:id="32"/>
      </w:r>
      <w:r w:rsidR="00550440" w:rsidRPr="00FB4B14">
        <w:rPr>
          <w:rFonts w:ascii="Times New Roman" w:hAnsi="Times New Roman"/>
        </w:rPr>
        <w:t>, when considering the equivalent right of set-off conferred by</w:t>
      </w:r>
      <w:r w:rsidR="00CB568A" w:rsidRPr="00FB4B14">
        <w:rPr>
          <w:rFonts w:ascii="Times New Roman" w:hAnsi="Times New Roman"/>
        </w:rPr>
        <w:t xml:space="preserve"> s </w:t>
      </w:r>
      <w:r w:rsidR="00550440" w:rsidRPr="00FB4B14">
        <w:rPr>
          <w:rFonts w:ascii="Times New Roman" w:hAnsi="Times New Roman"/>
        </w:rPr>
        <w:t xml:space="preserve">86 of the </w:t>
      </w:r>
      <w:r w:rsidR="00550440" w:rsidRPr="00FB4B14">
        <w:rPr>
          <w:rFonts w:ascii="Times New Roman" w:hAnsi="Times New Roman"/>
          <w:i/>
          <w:iCs/>
        </w:rPr>
        <w:t>Bankruptcy Act</w:t>
      </w:r>
      <w:r w:rsidR="00A4401F" w:rsidRPr="00FB4B14">
        <w:rPr>
          <w:rStyle w:val="FootnoteReference"/>
          <w:rFonts w:ascii="Times New Roman" w:hAnsi="Times New Roman"/>
          <w:sz w:val="24"/>
        </w:rPr>
        <w:footnoteReference w:id="33"/>
      </w:r>
      <w:r w:rsidR="00A4401F" w:rsidRPr="00FB4B14">
        <w:rPr>
          <w:rFonts w:ascii="Times New Roman" w:hAnsi="Times New Roman"/>
        </w:rPr>
        <w:t xml:space="preserve">: </w:t>
      </w:r>
    </w:p>
    <w:p w14:paraId="11A81074" w14:textId="77777777" w:rsidR="00FB4B14" w:rsidRDefault="001D5862" w:rsidP="00FB4B14">
      <w:pPr>
        <w:pStyle w:val="LRIndentafterHC"/>
        <w:spacing w:before="0" w:after="260" w:line="280" w:lineRule="exact"/>
        <w:ind w:right="0"/>
        <w:jc w:val="both"/>
        <w:rPr>
          <w:rFonts w:ascii="Times New Roman" w:hAnsi="Times New Roman"/>
        </w:rPr>
      </w:pPr>
      <w:r w:rsidRPr="00FB4B14">
        <w:rPr>
          <w:rFonts w:ascii="Times New Roman" w:hAnsi="Times New Roman"/>
        </w:rPr>
        <w:t xml:space="preserve">"It has often been pointed out that the object of set-off in bankruptcy is, in the words of Parke B in </w:t>
      </w:r>
      <w:r w:rsidRPr="00FB4B14">
        <w:rPr>
          <w:rFonts w:ascii="Times New Roman" w:hAnsi="Times New Roman"/>
          <w:i/>
          <w:iCs/>
        </w:rPr>
        <w:t>Forster v Wilson</w:t>
      </w:r>
      <w:r w:rsidRPr="00FB4B14">
        <w:rPr>
          <w:rFonts w:ascii="Times New Roman" w:hAnsi="Times New Roman"/>
        </w:rPr>
        <w:t xml:space="preserve">, 'to do substantial justice between the parties, where a debt is really due from the bankrupt to the debtor to his estate'. Where there are genuine mutual debts, credits or other dealings, it would be unjust if the trustee in bankruptcy could insist upon having </w:t>
      </w:r>
      <w:r w:rsidR="00FB70AD" w:rsidRPr="00FB4B14">
        <w:rPr>
          <w:rFonts w:ascii="Times New Roman" w:hAnsi="Times New Roman"/>
        </w:rPr>
        <w:t>100</w:t>
      </w:r>
      <w:r w:rsidRPr="00FB4B14">
        <w:rPr>
          <w:rFonts w:ascii="Times New Roman" w:hAnsi="Times New Roman"/>
        </w:rPr>
        <w:t xml:space="preserve"> cents in the dollar upon the whole of the debt owed to the bankrupt but at the same time insist that the bankrupt's debtor must be satisfied with a dividend of some few cents in the dollar on the whole of the debt owed by the bankrupt to him. It was to prevent such injustice that the 'mutual credits' and 'mutual debts', and later 'mutual dealings', provisions were introduced into bankruptcy legislation".</w:t>
      </w:r>
      <w:r w:rsidR="002879BD" w:rsidRPr="00FB4B14">
        <w:rPr>
          <w:rFonts w:ascii="Times New Roman" w:hAnsi="Times New Roman"/>
        </w:rPr>
        <w:t xml:space="preserve"> (</w:t>
      </w:r>
      <w:proofErr w:type="gramStart"/>
      <w:r w:rsidR="002879BD" w:rsidRPr="00FB4B14">
        <w:rPr>
          <w:rFonts w:ascii="Times New Roman" w:hAnsi="Times New Roman"/>
        </w:rPr>
        <w:t>footnote</w:t>
      </w:r>
      <w:proofErr w:type="gramEnd"/>
      <w:r w:rsidR="002879BD" w:rsidRPr="00FB4B14">
        <w:rPr>
          <w:rFonts w:ascii="Times New Roman" w:hAnsi="Times New Roman"/>
        </w:rPr>
        <w:t xml:space="preserve"> omitted)</w:t>
      </w:r>
    </w:p>
    <w:p w14:paraId="04AF4D7F" w14:textId="059A75DB" w:rsidR="00E337E1" w:rsidRPr="00FB4B14" w:rsidRDefault="00F273AF"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335848" w:rsidRPr="00FB4B14">
        <w:rPr>
          <w:rFonts w:ascii="Times New Roman" w:hAnsi="Times New Roman"/>
        </w:rPr>
        <w:t>Two</w:t>
      </w:r>
      <w:r w:rsidR="00082A6D" w:rsidRPr="00FB4B14">
        <w:rPr>
          <w:rFonts w:ascii="Times New Roman" w:hAnsi="Times New Roman"/>
        </w:rPr>
        <w:t xml:space="preserve"> key features of the set-off provision should be noted</w:t>
      </w:r>
      <w:r w:rsidR="001C7E1A" w:rsidRPr="00FB4B14">
        <w:rPr>
          <w:rFonts w:ascii="Times New Roman" w:hAnsi="Times New Roman"/>
        </w:rPr>
        <w:t xml:space="preserve"> at this point</w:t>
      </w:r>
      <w:r w:rsidR="002B5E35" w:rsidRPr="00FB4B14">
        <w:rPr>
          <w:rFonts w:ascii="Times New Roman" w:hAnsi="Times New Roman"/>
        </w:rPr>
        <w:t>.</w:t>
      </w:r>
    </w:p>
    <w:p w14:paraId="338E6A0A" w14:textId="32BF4F6B" w:rsidR="00FA47D6" w:rsidRPr="00FB4B14" w:rsidRDefault="002B5E35"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First, </w:t>
      </w:r>
      <w:r w:rsidR="00C55849" w:rsidRPr="00FB4B14">
        <w:rPr>
          <w:rFonts w:ascii="Times New Roman" w:hAnsi="Times New Roman"/>
        </w:rPr>
        <w:t>s 553C</w:t>
      </w:r>
      <w:r w:rsidR="00FA2603" w:rsidRPr="00FB4B14">
        <w:rPr>
          <w:rFonts w:ascii="Times New Roman" w:hAnsi="Times New Roman"/>
        </w:rPr>
        <w:t xml:space="preserve"> has</w:t>
      </w:r>
      <w:r w:rsidRPr="00FB4B14">
        <w:rPr>
          <w:rFonts w:ascii="Times New Roman" w:hAnsi="Times New Roman"/>
        </w:rPr>
        <w:t xml:space="preserve"> a</w:t>
      </w:r>
      <w:r w:rsidR="001A1D26" w:rsidRPr="00FB4B14">
        <w:rPr>
          <w:rFonts w:ascii="Times New Roman" w:hAnsi="Times New Roman"/>
        </w:rPr>
        <w:t xml:space="preserve"> </w:t>
      </w:r>
      <w:r w:rsidR="00D90BEA" w:rsidRPr="00FB4B14">
        <w:rPr>
          <w:rFonts w:ascii="Times New Roman" w:hAnsi="Times New Roman"/>
        </w:rPr>
        <w:t xml:space="preserve">temporal </w:t>
      </w:r>
      <w:r w:rsidR="00581372" w:rsidRPr="00FB4B14">
        <w:rPr>
          <w:rFonts w:ascii="Times New Roman" w:hAnsi="Times New Roman"/>
        </w:rPr>
        <w:t>element</w:t>
      </w:r>
      <w:r w:rsidR="001A1D26" w:rsidRPr="00FB4B14">
        <w:rPr>
          <w:rFonts w:ascii="Times New Roman" w:hAnsi="Times New Roman"/>
        </w:rPr>
        <w:t xml:space="preserve">. </w:t>
      </w:r>
      <w:r w:rsidR="00FA47D6" w:rsidRPr="00FB4B14">
        <w:rPr>
          <w:rFonts w:ascii="Times New Roman" w:hAnsi="Times New Roman"/>
        </w:rPr>
        <w:t xml:space="preserve">As has been explained, s 553 </w:t>
      </w:r>
      <w:r w:rsidR="006A5C8E" w:rsidRPr="00FB4B14">
        <w:rPr>
          <w:rFonts w:ascii="Times New Roman" w:hAnsi="Times New Roman"/>
        </w:rPr>
        <w:t xml:space="preserve">circumscribes </w:t>
      </w:r>
      <w:r w:rsidR="00FA47D6" w:rsidRPr="00FB4B14">
        <w:rPr>
          <w:rFonts w:ascii="Times New Roman" w:hAnsi="Times New Roman"/>
        </w:rPr>
        <w:t>the pool of claims which are provable</w:t>
      </w:r>
      <w:r w:rsidR="00796E6F" w:rsidRPr="00FB4B14">
        <w:rPr>
          <w:rFonts w:ascii="Times New Roman" w:hAnsi="Times New Roman"/>
        </w:rPr>
        <w:t xml:space="preserve"> </w:t>
      </w:r>
      <w:r w:rsidR="00B560DB" w:rsidRPr="00FB4B14">
        <w:rPr>
          <w:rFonts w:ascii="Times New Roman" w:hAnsi="Times New Roman"/>
        </w:rPr>
        <w:t>in a winding up to</w:t>
      </w:r>
      <w:r w:rsidR="00796E6F" w:rsidRPr="00FB4B14">
        <w:rPr>
          <w:rFonts w:ascii="Times New Roman" w:hAnsi="Times New Roman"/>
        </w:rPr>
        <w:t xml:space="preserve"> those </w:t>
      </w:r>
      <w:r w:rsidR="00D30DE4" w:rsidRPr="00FB4B14">
        <w:rPr>
          <w:rFonts w:ascii="Times New Roman" w:hAnsi="Times New Roman"/>
        </w:rPr>
        <w:t xml:space="preserve">debts payable by and claims against the </w:t>
      </w:r>
      <w:r w:rsidR="00CF0B82" w:rsidRPr="00FB4B14">
        <w:rPr>
          <w:rFonts w:ascii="Times New Roman" w:hAnsi="Times New Roman"/>
        </w:rPr>
        <w:t xml:space="preserve">company "the circumstances giving rise to which occurred </w:t>
      </w:r>
      <w:r w:rsidR="00CF0B82" w:rsidRPr="00FB4B14">
        <w:rPr>
          <w:rFonts w:ascii="Times New Roman" w:hAnsi="Times New Roman"/>
          <w:i/>
        </w:rPr>
        <w:t>before the [winding up</w:t>
      </w:r>
      <w:r w:rsidR="00CF0B82" w:rsidRPr="00FB4B14">
        <w:rPr>
          <w:rFonts w:ascii="Times New Roman" w:hAnsi="Times New Roman"/>
          <w:i/>
          <w:iCs/>
        </w:rPr>
        <w:t>]</w:t>
      </w:r>
      <w:r w:rsidR="00CF0B82" w:rsidRPr="00FB4B14">
        <w:rPr>
          <w:rFonts w:ascii="Times New Roman" w:hAnsi="Times New Roman"/>
        </w:rPr>
        <w:t>"</w:t>
      </w:r>
      <w:r w:rsidR="00C946B4" w:rsidRPr="00FB4B14">
        <w:rPr>
          <w:rFonts w:ascii="Times New Roman" w:hAnsi="Times New Roman"/>
        </w:rPr>
        <w:t xml:space="preserve"> (emphasis added)</w:t>
      </w:r>
      <w:r w:rsidR="00EF1E21" w:rsidRPr="00FB4B14">
        <w:rPr>
          <w:rFonts w:ascii="Times New Roman" w:hAnsi="Times New Roman"/>
        </w:rPr>
        <w:t>.</w:t>
      </w:r>
      <w:r w:rsidR="00FA47D6" w:rsidRPr="00FB4B14">
        <w:rPr>
          <w:rFonts w:ascii="Times New Roman" w:hAnsi="Times New Roman"/>
        </w:rPr>
        <w:t xml:space="preserve"> </w:t>
      </w:r>
      <w:r w:rsidR="00EF1E21" w:rsidRPr="00FB4B14">
        <w:rPr>
          <w:rFonts w:ascii="Times New Roman" w:hAnsi="Times New Roman"/>
        </w:rPr>
        <w:t>T</w:t>
      </w:r>
      <w:r w:rsidR="00FA47D6" w:rsidRPr="00FB4B14">
        <w:rPr>
          <w:rFonts w:ascii="Times New Roman" w:hAnsi="Times New Roman"/>
        </w:rPr>
        <w:t>h</w:t>
      </w:r>
      <w:r w:rsidR="00F94859" w:rsidRPr="00FB4B14">
        <w:rPr>
          <w:rFonts w:ascii="Times New Roman" w:hAnsi="Times New Roman"/>
        </w:rPr>
        <w:t>e operation of s</w:t>
      </w:r>
      <w:r w:rsidR="00693BBA" w:rsidRPr="00FB4B14">
        <w:rPr>
          <w:rFonts w:ascii="Times New Roman" w:hAnsi="Times New Roman"/>
        </w:rPr>
        <w:t> </w:t>
      </w:r>
      <w:r w:rsidR="00F94859" w:rsidRPr="00FB4B14">
        <w:rPr>
          <w:rFonts w:ascii="Times New Roman" w:hAnsi="Times New Roman"/>
        </w:rPr>
        <w:t>553</w:t>
      </w:r>
      <w:r w:rsidR="00FA47D6" w:rsidRPr="00FB4B14">
        <w:rPr>
          <w:rFonts w:ascii="Times New Roman" w:hAnsi="Times New Roman"/>
        </w:rPr>
        <w:t xml:space="preserve"> informs </w:t>
      </w:r>
      <w:r w:rsidR="00EF1E21" w:rsidRPr="00FB4B14">
        <w:rPr>
          <w:rFonts w:ascii="Times New Roman" w:hAnsi="Times New Roman"/>
        </w:rPr>
        <w:t xml:space="preserve">the availability of </w:t>
      </w:r>
      <w:r w:rsidR="00FA47D6" w:rsidRPr="00FB4B14">
        <w:rPr>
          <w:rFonts w:ascii="Times New Roman" w:hAnsi="Times New Roman"/>
        </w:rPr>
        <w:t>set-off</w:t>
      </w:r>
      <w:r w:rsidR="000F4365" w:rsidRPr="00FB4B14">
        <w:rPr>
          <w:rFonts w:ascii="Times New Roman" w:hAnsi="Times New Roman"/>
        </w:rPr>
        <w:t xml:space="preserve"> because </w:t>
      </w:r>
      <w:r w:rsidR="009D65D5" w:rsidRPr="00FB4B14">
        <w:rPr>
          <w:rFonts w:ascii="Times New Roman" w:hAnsi="Times New Roman"/>
        </w:rPr>
        <w:t>after</w:t>
      </w:r>
      <w:r w:rsidR="00FA47D6" w:rsidRPr="00FB4B14">
        <w:rPr>
          <w:rFonts w:ascii="Times New Roman" w:hAnsi="Times New Roman"/>
        </w:rPr>
        <w:t xml:space="preserve"> set-off</w:t>
      </w:r>
      <w:r w:rsidR="000F4365" w:rsidRPr="00FB4B14">
        <w:rPr>
          <w:rFonts w:ascii="Times New Roman" w:hAnsi="Times New Roman"/>
        </w:rPr>
        <w:t xml:space="preserve"> </w:t>
      </w:r>
      <w:r w:rsidR="00FA47D6" w:rsidRPr="00FB4B14">
        <w:rPr>
          <w:rFonts w:ascii="Times New Roman" w:hAnsi="Times New Roman"/>
        </w:rPr>
        <w:t>under s</w:t>
      </w:r>
      <w:r w:rsidR="00F24C19" w:rsidRPr="00FB4B14">
        <w:rPr>
          <w:rFonts w:ascii="Times New Roman" w:hAnsi="Times New Roman"/>
        </w:rPr>
        <w:t> </w:t>
      </w:r>
      <w:r w:rsidR="00FA47D6" w:rsidRPr="00FB4B14">
        <w:rPr>
          <w:rFonts w:ascii="Times New Roman" w:hAnsi="Times New Roman"/>
        </w:rPr>
        <w:t>553C</w:t>
      </w:r>
      <w:r w:rsidR="003F3F61" w:rsidRPr="00FB4B14">
        <w:rPr>
          <w:rFonts w:ascii="Times New Roman" w:hAnsi="Times New Roman"/>
        </w:rPr>
        <w:t>(1)(c)</w:t>
      </w:r>
      <w:r w:rsidR="00FA47D6" w:rsidRPr="00FB4B14">
        <w:rPr>
          <w:rFonts w:ascii="Times New Roman" w:hAnsi="Times New Roman"/>
        </w:rPr>
        <w:t xml:space="preserve"> </w:t>
      </w:r>
      <w:r w:rsidR="003F3F61" w:rsidRPr="00FB4B14">
        <w:rPr>
          <w:rFonts w:ascii="Times New Roman" w:hAnsi="Times New Roman"/>
        </w:rPr>
        <w:t>the</w:t>
      </w:r>
      <w:r w:rsidR="00FA47D6" w:rsidRPr="00FB4B14">
        <w:rPr>
          <w:rFonts w:ascii="Times New Roman" w:hAnsi="Times New Roman"/>
        </w:rPr>
        <w:t xml:space="preserve"> balance of </w:t>
      </w:r>
      <w:r w:rsidR="003F3F61" w:rsidRPr="00FB4B14">
        <w:rPr>
          <w:rFonts w:ascii="Times New Roman" w:hAnsi="Times New Roman"/>
        </w:rPr>
        <w:t>an</w:t>
      </w:r>
      <w:r w:rsidR="00FA47D6" w:rsidRPr="00FB4B14">
        <w:rPr>
          <w:rFonts w:ascii="Times New Roman" w:hAnsi="Times New Roman"/>
        </w:rPr>
        <w:t xml:space="preserve"> account is admissible to proof </w:t>
      </w:r>
      <w:r w:rsidR="008F6812" w:rsidRPr="00FB4B14">
        <w:rPr>
          <w:rFonts w:ascii="Times New Roman" w:hAnsi="Times New Roman"/>
        </w:rPr>
        <w:t>–</w:t>
      </w:r>
      <w:r w:rsidR="00FA47D6" w:rsidRPr="00FB4B14">
        <w:rPr>
          <w:rFonts w:ascii="Times New Roman" w:hAnsi="Times New Roman"/>
        </w:rPr>
        <w:t xml:space="preserve"> being proof admissible against the company under s</w:t>
      </w:r>
      <w:r w:rsidR="005F3EE8" w:rsidRPr="00FB4B14">
        <w:rPr>
          <w:rFonts w:ascii="Times New Roman" w:hAnsi="Times New Roman"/>
        </w:rPr>
        <w:t> </w:t>
      </w:r>
      <w:r w:rsidR="00FA47D6" w:rsidRPr="00FB4B14">
        <w:rPr>
          <w:rFonts w:ascii="Times New Roman" w:hAnsi="Times New Roman"/>
        </w:rPr>
        <w:t>553</w:t>
      </w:r>
      <w:r w:rsidR="00D302FA" w:rsidRPr="00FB4B14">
        <w:rPr>
          <w:rFonts w:ascii="Times New Roman" w:hAnsi="Times New Roman"/>
        </w:rPr>
        <w:t>.</w:t>
      </w:r>
      <w:r w:rsidR="00BF5B57" w:rsidRPr="00FB4B14">
        <w:rPr>
          <w:rFonts w:ascii="Times New Roman" w:hAnsi="Times New Roman"/>
        </w:rPr>
        <w:t xml:space="preserve"> Accordingly, for the purposes of assessing </w:t>
      </w:r>
      <w:r w:rsidR="000E475F" w:rsidRPr="00FB4B14">
        <w:rPr>
          <w:rFonts w:ascii="Times New Roman" w:hAnsi="Times New Roman"/>
        </w:rPr>
        <w:t>whether there is</w:t>
      </w:r>
      <w:r w:rsidR="00BF5B57" w:rsidRPr="00FB4B14">
        <w:rPr>
          <w:rFonts w:ascii="Times New Roman" w:hAnsi="Times New Roman"/>
        </w:rPr>
        <w:t xml:space="preserve"> </w:t>
      </w:r>
      <w:r w:rsidR="000E475F" w:rsidRPr="00FB4B14">
        <w:rPr>
          <w:rFonts w:ascii="Times New Roman" w:hAnsi="Times New Roman"/>
        </w:rPr>
        <w:t>mutuality</w:t>
      </w:r>
      <w:r w:rsidR="0052382D" w:rsidRPr="00FB4B14">
        <w:rPr>
          <w:rFonts w:ascii="Times New Roman" w:hAnsi="Times New Roman"/>
        </w:rPr>
        <w:t>, the</w:t>
      </w:r>
      <w:r w:rsidR="000E475F" w:rsidRPr="00FB4B14">
        <w:rPr>
          <w:rFonts w:ascii="Times New Roman" w:hAnsi="Times New Roman"/>
        </w:rPr>
        <w:t xml:space="preserve"> </w:t>
      </w:r>
      <w:r w:rsidR="00FA47D6" w:rsidRPr="00FB4B14">
        <w:rPr>
          <w:rFonts w:ascii="Times New Roman" w:hAnsi="Times New Roman"/>
        </w:rPr>
        <w:t>rights of</w:t>
      </w:r>
      <w:r w:rsidR="000E475F" w:rsidRPr="00FB4B14">
        <w:rPr>
          <w:rFonts w:ascii="Times New Roman" w:hAnsi="Times New Roman"/>
        </w:rPr>
        <w:t xml:space="preserve"> the</w:t>
      </w:r>
      <w:r w:rsidR="00FA47D6" w:rsidRPr="00FB4B14">
        <w:rPr>
          <w:rFonts w:ascii="Times New Roman" w:hAnsi="Times New Roman"/>
        </w:rPr>
        <w:t xml:space="preserve"> parties </w:t>
      </w:r>
      <w:r w:rsidR="0052382D" w:rsidRPr="00FB4B14">
        <w:rPr>
          <w:rFonts w:ascii="Times New Roman" w:hAnsi="Times New Roman"/>
        </w:rPr>
        <w:t xml:space="preserve">are </w:t>
      </w:r>
      <w:r w:rsidR="00FA47D6" w:rsidRPr="00FB4B14">
        <w:rPr>
          <w:rFonts w:ascii="Times New Roman" w:hAnsi="Times New Roman"/>
        </w:rPr>
        <w:t>to be taken and ascertained as at the time of winding up</w:t>
      </w:r>
      <w:r w:rsidR="0052382D" w:rsidRPr="00FB4B14">
        <w:rPr>
          <w:rStyle w:val="FootnoteReference"/>
          <w:rFonts w:ascii="Times New Roman" w:hAnsi="Times New Roman"/>
          <w:sz w:val="24"/>
        </w:rPr>
        <w:footnoteReference w:id="34"/>
      </w:r>
      <w:r w:rsidR="000D712B" w:rsidRPr="00FB4B14">
        <w:rPr>
          <w:rFonts w:ascii="Times New Roman" w:hAnsi="Times New Roman"/>
        </w:rPr>
        <w:t>;</w:t>
      </w:r>
      <w:r w:rsidR="000B5066" w:rsidRPr="00FB4B14">
        <w:rPr>
          <w:rFonts w:ascii="Times New Roman" w:hAnsi="Times New Roman"/>
        </w:rPr>
        <w:t xml:space="preserve"> </w:t>
      </w:r>
      <w:r w:rsidR="000D712B" w:rsidRPr="00FB4B14">
        <w:rPr>
          <w:rFonts w:ascii="Times New Roman" w:hAnsi="Times New Roman"/>
        </w:rPr>
        <w:t xml:space="preserve">the important factor </w:t>
      </w:r>
      <w:r w:rsidR="00351D5F" w:rsidRPr="00FB4B14">
        <w:rPr>
          <w:rFonts w:ascii="Times New Roman" w:hAnsi="Times New Roman"/>
        </w:rPr>
        <w:t xml:space="preserve">is </w:t>
      </w:r>
      <w:r w:rsidR="000D712B" w:rsidRPr="00FB4B14">
        <w:rPr>
          <w:rFonts w:ascii="Times New Roman" w:hAnsi="Times New Roman"/>
        </w:rPr>
        <w:t xml:space="preserve">whether there is an obligation or liability </w:t>
      </w:r>
      <w:r w:rsidR="000D712B" w:rsidRPr="00FB4B14">
        <w:rPr>
          <w:rFonts w:ascii="Times New Roman" w:hAnsi="Times New Roman"/>
          <w:i/>
        </w:rPr>
        <w:t>prior to liquidation</w:t>
      </w:r>
      <w:r w:rsidR="000D712B" w:rsidRPr="00FB4B14">
        <w:rPr>
          <w:rFonts w:ascii="Times New Roman" w:hAnsi="Times New Roman"/>
        </w:rPr>
        <w:t xml:space="preserve"> which might mature into a debt owing</w:t>
      </w:r>
      <w:r w:rsidR="000D712B" w:rsidRPr="00FB4B14">
        <w:rPr>
          <w:rStyle w:val="FootnoteReference"/>
          <w:rFonts w:ascii="Times New Roman" w:hAnsi="Times New Roman"/>
          <w:sz w:val="24"/>
        </w:rPr>
        <w:footnoteReference w:id="35"/>
      </w:r>
      <w:r w:rsidR="000D712B" w:rsidRPr="00FB4B14">
        <w:rPr>
          <w:rFonts w:ascii="Times New Roman" w:hAnsi="Times New Roman"/>
        </w:rPr>
        <w:t xml:space="preserve">. </w:t>
      </w:r>
      <w:r w:rsidR="000B5066" w:rsidRPr="00FB4B14">
        <w:rPr>
          <w:rFonts w:ascii="Times New Roman" w:hAnsi="Times New Roman"/>
        </w:rPr>
        <w:t xml:space="preserve">Thus, any acquisition by a </w:t>
      </w:r>
      <w:r w:rsidR="000B5066" w:rsidRPr="00FB4B14">
        <w:rPr>
          <w:rFonts w:ascii="Times New Roman" w:hAnsi="Times New Roman"/>
        </w:rPr>
        <w:lastRenderedPageBreak/>
        <w:t xml:space="preserve">liquidator of new claims on behalf of </w:t>
      </w:r>
      <w:r w:rsidR="00B732DF" w:rsidRPr="00FB4B14">
        <w:rPr>
          <w:rFonts w:ascii="Times New Roman" w:hAnsi="Times New Roman"/>
        </w:rPr>
        <w:t xml:space="preserve">a </w:t>
      </w:r>
      <w:r w:rsidR="000B5066" w:rsidRPr="00FB4B14">
        <w:rPr>
          <w:rFonts w:ascii="Times New Roman" w:hAnsi="Times New Roman"/>
        </w:rPr>
        <w:t>company cannot vary</w:t>
      </w:r>
      <w:r w:rsidR="00B732DF" w:rsidRPr="00FB4B14">
        <w:rPr>
          <w:rFonts w:ascii="Times New Roman" w:hAnsi="Times New Roman"/>
        </w:rPr>
        <w:t xml:space="preserve"> the parties'</w:t>
      </w:r>
      <w:r w:rsidR="000B5066" w:rsidRPr="00FB4B14">
        <w:rPr>
          <w:rFonts w:ascii="Times New Roman" w:hAnsi="Times New Roman"/>
        </w:rPr>
        <w:t xml:space="preserve"> antecedent rights such as to be available </w:t>
      </w:r>
      <w:r w:rsidR="00B732DF" w:rsidRPr="00FB4B14">
        <w:rPr>
          <w:rFonts w:ascii="Times New Roman" w:hAnsi="Times New Roman"/>
        </w:rPr>
        <w:t>for</w:t>
      </w:r>
      <w:r w:rsidR="000B5066" w:rsidRPr="00FB4B14">
        <w:rPr>
          <w:rFonts w:ascii="Times New Roman" w:hAnsi="Times New Roman"/>
        </w:rPr>
        <w:t xml:space="preserve"> set</w:t>
      </w:r>
      <w:r w:rsidR="00B732DF" w:rsidRPr="00FB4B14">
        <w:rPr>
          <w:rFonts w:ascii="Times New Roman" w:hAnsi="Times New Roman"/>
        </w:rPr>
        <w:t>-</w:t>
      </w:r>
      <w:r w:rsidR="000B5066" w:rsidRPr="00FB4B14">
        <w:rPr>
          <w:rFonts w:ascii="Times New Roman" w:hAnsi="Times New Roman"/>
        </w:rPr>
        <w:t>off</w:t>
      </w:r>
      <w:r w:rsidR="00B732DF" w:rsidRPr="00FB4B14">
        <w:rPr>
          <w:rStyle w:val="FootnoteReference"/>
          <w:rFonts w:ascii="Times New Roman" w:hAnsi="Times New Roman"/>
          <w:sz w:val="24"/>
        </w:rPr>
        <w:footnoteReference w:id="36"/>
      </w:r>
      <w:r w:rsidR="00B732DF" w:rsidRPr="00FB4B14">
        <w:rPr>
          <w:rFonts w:ascii="Times New Roman" w:hAnsi="Times New Roman"/>
        </w:rPr>
        <w:t>.</w:t>
      </w:r>
    </w:p>
    <w:p w14:paraId="0ECE028E" w14:textId="51271302" w:rsidR="00913A02" w:rsidRPr="00FB4B14" w:rsidRDefault="000D712B"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335848" w:rsidRPr="00FB4B14">
        <w:rPr>
          <w:rFonts w:ascii="Times New Roman" w:hAnsi="Times New Roman"/>
        </w:rPr>
        <w:t>And</w:t>
      </w:r>
      <w:r w:rsidR="00815B15" w:rsidRPr="00FB4B14">
        <w:rPr>
          <w:rFonts w:ascii="Times New Roman" w:hAnsi="Times New Roman"/>
        </w:rPr>
        <w:t>,</w:t>
      </w:r>
      <w:r w:rsidR="00335848" w:rsidRPr="00FB4B14">
        <w:rPr>
          <w:rFonts w:ascii="Times New Roman" w:hAnsi="Times New Roman"/>
        </w:rPr>
        <w:t xml:space="preserve"> s</w:t>
      </w:r>
      <w:r w:rsidRPr="00FB4B14">
        <w:rPr>
          <w:rFonts w:ascii="Times New Roman" w:hAnsi="Times New Roman"/>
        </w:rPr>
        <w:t>econd</w:t>
      </w:r>
      <w:r w:rsidR="009406A3" w:rsidRPr="00FB4B14">
        <w:rPr>
          <w:rFonts w:ascii="Times New Roman" w:hAnsi="Times New Roman"/>
        </w:rPr>
        <w:t>ly</w:t>
      </w:r>
      <w:r w:rsidRPr="00FB4B14">
        <w:rPr>
          <w:rFonts w:ascii="Times New Roman" w:hAnsi="Times New Roman"/>
        </w:rPr>
        <w:t xml:space="preserve">, </w:t>
      </w:r>
      <w:r w:rsidR="00082A6D" w:rsidRPr="00FB4B14">
        <w:rPr>
          <w:rFonts w:ascii="Times New Roman" w:hAnsi="Times New Roman"/>
        </w:rPr>
        <w:t>as this Court explain</w:t>
      </w:r>
      <w:r w:rsidR="004E431E" w:rsidRPr="00FB4B14">
        <w:rPr>
          <w:rFonts w:ascii="Times New Roman" w:hAnsi="Times New Roman"/>
        </w:rPr>
        <w:t>ed</w:t>
      </w:r>
      <w:r w:rsidR="00082A6D" w:rsidRPr="00FB4B14">
        <w:rPr>
          <w:rFonts w:ascii="Times New Roman" w:hAnsi="Times New Roman"/>
        </w:rPr>
        <w:t xml:space="preserve"> in </w:t>
      </w:r>
      <w:proofErr w:type="spellStart"/>
      <w:r w:rsidR="00082A6D" w:rsidRPr="00FB4B14">
        <w:rPr>
          <w:rFonts w:ascii="Times New Roman" w:hAnsi="Times New Roman"/>
          <w:i/>
          <w:iCs/>
        </w:rPr>
        <w:t>Gye</w:t>
      </w:r>
      <w:proofErr w:type="spellEnd"/>
      <w:r w:rsidR="00913A02" w:rsidRPr="00FB4B14">
        <w:rPr>
          <w:rFonts w:ascii="Times New Roman" w:hAnsi="Times New Roman"/>
        </w:rPr>
        <w:t>, there are three aspects to a "mutual dealing"</w:t>
      </w:r>
      <w:r w:rsidR="00913A02" w:rsidRPr="00FB4B14">
        <w:rPr>
          <w:rStyle w:val="FootnoteReference"/>
          <w:rFonts w:ascii="Times New Roman" w:hAnsi="Times New Roman"/>
          <w:sz w:val="24"/>
        </w:rPr>
        <w:footnoteReference w:id="37"/>
      </w:r>
      <w:r w:rsidR="00913A02" w:rsidRPr="00FB4B14">
        <w:rPr>
          <w:rFonts w:ascii="Times New Roman" w:hAnsi="Times New Roman"/>
        </w:rPr>
        <w:t>:</w:t>
      </w:r>
    </w:p>
    <w:p w14:paraId="0D144499" w14:textId="77777777" w:rsidR="00FB4B14" w:rsidRDefault="00913A02" w:rsidP="00FB4B14">
      <w:pPr>
        <w:pStyle w:val="LeftrightafterHC"/>
        <w:spacing w:before="0" w:after="260" w:line="280" w:lineRule="exact"/>
        <w:ind w:right="0"/>
        <w:jc w:val="both"/>
        <w:rPr>
          <w:rFonts w:ascii="Times New Roman" w:hAnsi="Times New Roman"/>
        </w:rPr>
      </w:pPr>
      <w:r w:rsidRPr="00FB4B14">
        <w:rPr>
          <w:rFonts w:ascii="Times New Roman" w:hAnsi="Times New Roman"/>
        </w:rPr>
        <w:t>"The first is that the credits, the debts, or the claims arising from other dealings be between the same persons. The second is that the benefit or burden of them lie in the same interests. In determining whether credits, debts or claims arising from other dealings are between the same persons and in the same interests, it is the equitable or beneficial interests of the parties which must be considered</w:t>
      </w:r>
      <w:r w:rsidR="000325C0" w:rsidRPr="00FB4B14">
        <w:rPr>
          <w:rFonts w:ascii="Times New Roman" w:hAnsi="Times New Roman"/>
        </w:rPr>
        <w:t>:</w:t>
      </w:r>
      <w:r w:rsidRPr="00FB4B14">
        <w:rPr>
          <w:rFonts w:ascii="Times New Roman" w:hAnsi="Times New Roman"/>
        </w:rPr>
        <w:t xml:space="preserve"> see, </w:t>
      </w:r>
      <w:proofErr w:type="spellStart"/>
      <w:r w:rsidRPr="00FB4B14">
        <w:rPr>
          <w:rFonts w:ascii="Times New Roman" w:hAnsi="Times New Roman"/>
        </w:rPr>
        <w:t>eg</w:t>
      </w:r>
      <w:proofErr w:type="spellEnd"/>
      <w:r w:rsidRPr="00FB4B14">
        <w:rPr>
          <w:rFonts w:ascii="Times New Roman" w:hAnsi="Times New Roman"/>
        </w:rPr>
        <w:t xml:space="preserve">, </w:t>
      </w:r>
      <w:proofErr w:type="spellStart"/>
      <w:r w:rsidRPr="00FB4B14">
        <w:rPr>
          <w:rFonts w:ascii="Times New Roman" w:hAnsi="Times New Roman"/>
          <w:i/>
          <w:iCs/>
        </w:rPr>
        <w:t>Hiley</w:t>
      </w:r>
      <w:proofErr w:type="spellEnd"/>
      <w:r w:rsidRPr="00FB4B14">
        <w:rPr>
          <w:rFonts w:ascii="Times New Roman" w:hAnsi="Times New Roman"/>
        </w:rPr>
        <w:t>. The third requirement of mutuality is that the credits, debts, or claims arising from other dealings must be commensurable for the purposes of set-off under the section. That means that they must ultimately sound in money."</w:t>
      </w:r>
    </w:p>
    <w:p w14:paraId="011A5D51" w14:textId="4CFC7B55" w:rsidR="000D712B" w:rsidRPr="00FB4B14" w:rsidRDefault="00601E0A"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077163" w:rsidRPr="00FB4B14">
        <w:rPr>
          <w:rFonts w:ascii="Times New Roman" w:hAnsi="Times New Roman"/>
        </w:rPr>
        <w:t>It will be necessary to return to these features</w:t>
      </w:r>
      <w:r w:rsidR="001C7E1A" w:rsidRPr="00FB4B14">
        <w:rPr>
          <w:rFonts w:ascii="Times New Roman" w:hAnsi="Times New Roman"/>
        </w:rPr>
        <w:t xml:space="preserve"> below</w:t>
      </w:r>
      <w:r w:rsidR="00077163" w:rsidRPr="00FB4B14">
        <w:rPr>
          <w:rFonts w:ascii="Times New Roman" w:hAnsi="Times New Roman"/>
        </w:rPr>
        <w:t>.</w:t>
      </w:r>
    </w:p>
    <w:p w14:paraId="696652F8" w14:textId="613FFF00" w:rsidR="00E337E1" w:rsidRPr="00FB4B14" w:rsidRDefault="001D5862" w:rsidP="00FB4B14">
      <w:pPr>
        <w:pStyle w:val="HeadingL2"/>
        <w:spacing w:after="260" w:line="280" w:lineRule="exact"/>
        <w:ind w:right="0"/>
        <w:jc w:val="both"/>
        <w:rPr>
          <w:rFonts w:ascii="Times New Roman" w:hAnsi="Times New Roman"/>
        </w:rPr>
      </w:pPr>
      <w:bookmarkStart w:id="2" w:name="_Hlk117847622"/>
      <w:r w:rsidRPr="00FB4B14">
        <w:rPr>
          <w:rFonts w:ascii="Times New Roman" w:hAnsi="Times New Roman"/>
        </w:rPr>
        <w:t>Voidable transactions</w:t>
      </w:r>
      <w:bookmarkEnd w:id="2"/>
    </w:p>
    <w:p w14:paraId="0F34852F" w14:textId="4BF2F136" w:rsidR="00AD5975" w:rsidRPr="00FB4B14" w:rsidRDefault="001D5862"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736422" w:rsidRPr="00FB4B14">
        <w:rPr>
          <w:rFonts w:ascii="Times New Roman" w:hAnsi="Times New Roman"/>
        </w:rPr>
        <w:t xml:space="preserve">Division 2 of Pt 5.7B of </w:t>
      </w:r>
      <w:r w:rsidR="00312430" w:rsidRPr="00FB4B14">
        <w:rPr>
          <w:rFonts w:ascii="Times New Roman" w:hAnsi="Times New Roman"/>
        </w:rPr>
        <w:t xml:space="preserve">Ch 5 </w:t>
      </w:r>
      <w:r w:rsidR="002D4E53" w:rsidRPr="00FB4B14">
        <w:rPr>
          <w:rFonts w:ascii="Times New Roman" w:hAnsi="Times New Roman"/>
        </w:rPr>
        <w:t xml:space="preserve">of </w:t>
      </w:r>
      <w:r w:rsidR="00736422" w:rsidRPr="00FB4B14">
        <w:rPr>
          <w:rFonts w:ascii="Times New Roman" w:hAnsi="Times New Roman"/>
        </w:rPr>
        <w:t>the Act deals with voidable transactions. The relevant operative provision is</w:t>
      </w:r>
      <w:r w:rsidR="00CB568A" w:rsidRPr="00FB4B14">
        <w:rPr>
          <w:rFonts w:ascii="Times New Roman" w:hAnsi="Times New Roman"/>
        </w:rPr>
        <w:t xml:space="preserve"> s </w:t>
      </w:r>
      <w:r w:rsidR="00736422" w:rsidRPr="00FB4B14">
        <w:rPr>
          <w:rFonts w:ascii="Times New Roman" w:hAnsi="Times New Roman"/>
        </w:rPr>
        <w:t>588FF</w:t>
      </w:r>
      <w:r w:rsidR="00363F5B" w:rsidRPr="00FB4B14">
        <w:rPr>
          <w:rFonts w:ascii="Times New Roman" w:hAnsi="Times New Roman"/>
        </w:rPr>
        <w:t xml:space="preserve"> </w:t>
      </w:r>
      <w:r w:rsidR="00C84273" w:rsidRPr="00FB4B14">
        <w:rPr>
          <w:rFonts w:ascii="Times New Roman" w:hAnsi="Times New Roman"/>
        </w:rPr>
        <w:t>when read with a series of definitional provisions.</w:t>
      </w:r>
      <w:r w:rsidR="00AD5975" w:rsidRPr="00FB4B14">
        <w:rPr>
          <w:rFonts w:ascii="Times New Roman" w:hAnsi="Times New Roman"/>
        </w:rPr>
        <w:t xml:space="preserve"> It relevantly provides</w:t>
      </w:r>
      <w:r w:rsidR="001F0D6F" w:rsidRPr="00FB4B14">
        <w:rPr>
          <w:rFonts w:ascii="Times New Roman" w:hAnsi="Times New Roman"/>
        </w:rPr>
        <w:t xml:space="preserve"> as follows</w:t>
      </w:r>
      <w:r w:rsidR="00AD5975" w:rsidRPr="00FB4B14">
        <w:rPr>
          <w:rFonts w:ascii="Times New Roman" w:hAnsi="Times New Roman"/>
        </w:rPr>
        <w:t>:</w:t>
      </w:r>
    </w:p>
    <w:p w14:paraId="030F7C61" w14:textId="7C916886" w:rsidR="00F25BA7" w:rsidRPr="00FB4B14" w:rsidRDefault="00F25BA7" w:rsidP="00FB4B14">
      <w:pPr>
        <w:pStyle w:val="leftright"/>
        <w:spacing w:before="0" w:after="260" w:line="280" w:lineRule="exact"/>
        <w:ind w:right="0"/>
        <w:jc w:val="both"/>
        <w:rPr>
          <w:rFonts w:ascii="Times New Roman" w:hAnsi="Times New Roman"/>
        </w:rPr>
      </w:pPr>
      <w:r w:rsidRPr="00FB4B14">
        <w:rPr>
          <w:rFonts w:ascii="Times New Roman" w:hAnsi="Times New Roman"/>
        </w:rPr>
        <w:t>"</w:t>
      </w:r>
      <w:r w:rsidRPr="00FB4B14">
        <w:rPr>
          <w:rFonts w:ascii="Times New Roman" w:hAnsi="Times New Roman"/>
          <w:b/>
          <w:bCs/>
        </w:rPr>
        <w:t>Courts may make orders about voidable transactions</w:t>
      </w:r>
    </w:p>
    <w:p w14:paraId="04233610" w14:textId="4CD85929" w:rsidR="00F25BA7" w:rsidRPr="00FB4B14" w:rsidRDefault="00F25BA7" w:rsidP="00FB4B14">
      <w:pPr>
        <w:pStyle w:val="leftright"/>
        <w:spacing w:before="0" w:after="260" w:line="280" w:lineRule="exact"/>
        <w:ind w:left="1440" w:right="0" w:hanging="720"/>
        <w:jc w:val="both"/>
        <w:rPr>
          <w:rFonts w:ascii="Times New Roman" w:hAnsi="Times New Roman"/>
        </w:rPr>
      </w:pPr>
      <w:r w:rsidRPr="00FB4B14">
        <w:rPr>
          <w:rFonts w:ascii="Times New Roman" w:hAnsi="Times New Roman"/>
        </w:rPr>
        <w:t>(1)</w:t>
      </w:r>
      <w:r w:rsidRPr="00FB4B14">
        <w:rPr>
          <w:rFonts w:ascii="Times New Roman" w:hAnsi="Times New Roman"/>
        </w:rPr>
        <w:tab/>
        <w:t>Where, on the application of a company</w:t>
      </w:r>
      <w:r w:rsidR="003A2038" w:rsidRPr="00FB4B14">
        <w:rPr>
          <w:rFonts w:ascii="Times New Roman" w:hAnsi="Times New Roman"/>
        </w:rPr>
        <w:t>'</w:t>
      </w:r>
      <w:r w:rsidRPr="00FB4B14">
        <w:rPr>
          <w:rFonts w:ascii="Times New Roman" w:hAnsi="Times New Roman"/>
        </w:rPr>
        <w:t>s liquidator, a court is satisfied that a transaction of the company is voidable because of section 588FE, the court may make one or more of the following orders:</w:t>
      </w:r>
    </w:p>
    <w:p w14:paraId="217B02E9" w14:textId="22E15FB9" w:rsidR="00AD5975" w:rsidRPr="00FB4B14" w:rsidRDefault="00F25BA7"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(a)</w:t>
      </w:r>
      <w:r w:rsidRPr="00FB4B14">
        <w:rPr>
          <w:rFonts w:ascii="Times New Roman" w:hAnsi="Times New Roman"/>
        </w:rPr>
        <w:tab/>
        <w:t xml:space="preserve">an order directing a person to pay to the company an amount equal to some or all of the money that the company has paid under the </w:t>
      </w:r>
      <w:proofErr w:type="gramStart"/>
      <w:r w:rsidRPr="00FB4B14">
        <w:rPr>
          <w:rFonts w:ascii="Times New Roman" w:hAnsi="Times New Roman"/>
        </w:rPr>
        <w:t>transaction;</w:t>
      </w:r>
      <w:proofErr w:type="gramEnd"/>
      <w:r w:rsidRPr="00FB4B14">
        <w:rPr>
          <w:rFonts w:ascii="Times New Roman" w:hAnsi="Times New Roman"/>
        </w:rPr>
        <w:t xml:space="preserve"> </w:t>
      </w:r>
    </w:p>
    <w:p w14:paraId="6EEFE7F2" w14:textId="1ABC7ABA" w:rsidR="00F25BA7" w:rsidRPr="00FB4B14" w:rsidRDefault="00255F08"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w:t>
      </w:r>
    </w:p>
    <w:p w14:paraId="10A75941" w14:textId="24D745FE" w:rsidR="0079574E" w:rsidRPr="00FB4B14" w:rsidRDefault="0079574E" w:rsidP="00FB4B14">
      <w:pPr>
        <w:pStyle w:val="leftright"/>
        <w:spacing w:before="0" w:after="260" w:line="280" w:lineRule="exact"/>
        <w:ind w:left="1440" w:right="0" w:hanging="720"/>
        <w:jc w:val="both"/>
        <w:rPr>
          <w:rFonts w:ascii="Times New Roman" w:hAnsi="Times New Roman"/>
        </w:rPr>
      </w:pPr>
      <w:r w:rsidRPr="00FB4B14">
        <w:rPr>
          <w:rFonts w:ascii="Times New Roman" w:hAnsi="Times New Roman"/>
        </w:rPr>
        <w:lastRenderedPageBreak/>
        <w:t>(3)</w:t>
      </w:r>
      <w:r w:rsidRPr="00FB4B14">
        <w:rPr>
          <w:rFonts w:ascii="Times New Roman" w:hAnsi="Times New Roman"/>
        </w:rPr>
        <w:tab/>
        <w:t>An application under subsection (1) may only be made:</w:t>
      </w:r>
    </w:p>
    <w:p w14:paraId="7F17CE2E" w14:textId="5D00EA38" w:rsidR="0079574E" w:rsidRPr="00FB4B14" w:rsidRDefault="0079574E"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(a)</w:t>
      </w:r>
      <w:r w:rsidRPr="00FB4B14">
        <w:rPr>
          <w:rFonts w:ascii="Times New Roman" w:hAnsi="Times New Roman"/>
        </w:rPr>
        <w:tab/>
        <w:t>during the period beginning on the relation‑back day and ending:</w:t>
      </w:r>
    </w:p>
    <w:p w14:paraId="5522B627" w14:textId="72732263" w:rsidR="0079574E" w:rsidRPr="00FB4B14" w:rsidRDefault="0079574E" w:rsidP="00FB4B14">
      <w:pPr>
        <w:pStyle w:val="leftright"/>
        <w:spacing w:before="0" w:after="260" w:line="280" w:lineRule="exact"/>
        <w:ind w:left="2160" w:right="0"/>
        <w:jc w:val="both"/>
        <w:rPr>
          <w:rFonts w:ascii="Times New Roman" w:hAnsi="Times New Roman"/>
        </w:rPr>
      </w:pPr>
      <w:r w:rsidRPr="00FB4B14">
        <w:rPr>
          <w:rFonts w:ascii="Times New Roman" w:hAnsi="Times New Roman"/>
        </w:rPr>
        <w:t>(</w:t>
      </w:r>
      <w:proofErr w:type="spellStart"/>
      <w:r w:rsidRPr="00FB4B14">
        <w:rPr>
          <w:rFonts w:ascii="Times New Roman" w:hAnsi="Times New Roman"/>
        </w:rPr>
        <w:t>i</w:t>
      </w:r>
      <w:proofErr w:type="spellEnd"/>
      <w:r w:rsidRPr="00FB4B14">
        <w:rPr>
          <w:rFonts w:ascii="Times New Roman" w:hAnsi="Times New Roman"/>
        </w:rPr>
        <w:t>)</w:t>
      </w:r>
      <w:r w:rsidRPr="00FB4B14">
        <w:rPr>
          <w:rFonts w:ascii="Times New Roman" w:hAnsi="Times New Roman"/>
        </w:rPr>
        <w:tab/>
        <w:t>3 years after the relation‑back day; or</w:t>
      </w:r>
    </w:p>
    <w:p w14:paraId="709BBC45" w14:textId="5142AA0E" w:rsidR="0079574E" w:rsidRPr="00FB4B14" w:rsidRDefault="0079574E" w:rsidP="00FB4B14">
      <w:pPr>
        <w:pStyle w:val="leftright"/>
        <w:spacing w:before="0" w:after="260" w:line="280" w:lineRule="exact"/>
        <w:ind w:left="2880" w:right="0" w:hanging="720"/>
        <w:jc w:val="both"/>
        <w:rPr>
          <w:rFonts w:ascii="Times New Roman" w:hAnsi="Times New Roman"/>
        </w:rPr>
      </w:pPr>
      <w:r w:rsidRPr="00FB4B14">
        <w:rPr>
          <w:rFonts w:ascii="Times New Roman" w:hAnsi="Times New Roman"/>
        </w:rPr>
        <w:t>(ii)</w:t>
      </w:r>
      <w:r w:rsidRPr="00FB4B14">
        <w:rPr>
          <w:rFonts w:ascii="Times New Roman" w:hAnsi="Times New Roman"/>
        </w:rPr>
        <w:tab/>
        <w:t xml:space="preserve">12 months after the first appointment of a liquidator in relation to the winding up of the </w:t>
      </w:r>
      <w:proofErr w:type="gramStart"/>
      <w:r w:rsidRPr="00FB4B14">
        <w:rPr>
          <w:rFonts w:ascii="Times New Roman" w:hAnsi="Times New Roman"/>
        </w:rPr>
        <w:t>company;</w:t>
      </w:r>
      <w:proofErr w:type="gramEnd"/>
    </w:p>
    <w:p w14:paraId="2192A7B1" w14:textId="2C188797" w:rsidR="0079574E" w:rsidRPr="00FB4B14" w:rsidRDefault="0079574E" w:rsidP="00FB4B14">
      <w:pPr>
        <w:pStyle w:val="leftright"/>
        <w:spacing w:before="0" w:after="260" w:line="280" w:lineRule="exact"/>
        <w:ind w:left="1440" w:right="0"/>
        <w:jc w:val="both"/>
        <w:rPr>
          <w:rFonts w:ascii="Times New Roman" w:hAnsi="Times New Roman"/>
        </w:rPr>
      </w:pPr>
      <w:r w:rsidRPr="00FB4B14">
        <w:rPr>
          <w:rFonts w:ascii="Times New Roman" w:hAnsi="Times New Roman"/>
        </w:rPr>
        <w:tab/>
        <w:t>whichever is the later; or</w:t>
      </w:r>
    </w:p>
    <w:p w14:paraId="3A7CEA39" w14:textId="6583EE30" w:rsidR="00967901" w:rsidRPr="00FB4B14" w:rsidRDefault="0079574E" w:rsidP="00FB4B14">
      <w:pPr>
        <w:pStyle w:val="leftright"/>
        <w:spacing w:before="0" w:after="260" w:line="280" w:lineRule="exact"/>
        <w:ind w:left="2160" w:right="0" w:hanging="720"/>
        <w:jc w:val="both"/>
        <w:rPr>
          <w:rFonts w:ascii="Times New Roman" w:hAnsi="Times New Roman"/>
        </w:rPr>
      </w:pPr>
      <w:r w:rsidRPr="00FB4B14">
        <w:rPr>
          <w:rFonts w:ascii="Times New Roman" w:hAnsi="Times New Roman"/>
        </w:rPr>
        <w:t>(b)</w:t>
      </w:r>
      <w:r w:rsidRPr="00FB4B14">
        <w:rPr>
          <w:rFonts w:ascii="Times New Roman" w:hAnsi="Times New Roman"/>
        </w:rPr>
        <w:tab/>
        <w:t>within such longer period as the Court orders on an application under this paragraph made by the liquidator during the paragraph (a) period.</w:t>
      </w:r>
    </w:p>
    <w:p w14:paraId="0DD414E7" w14:textId="77777777" w:rsidR="00FB4B14" w:rsidRDefault="00967901" w:rsidP="00FB4B14">
      <w:pPr>
        <w:pStyle w:val="leftright"/>
        <w:spacing w:before="0" w:after="260" w:line="280" w:lineRule="exact"/>
        <w:ind w:left="1440" w:right="0" w:hanging="720"/>
        <w:jc w:val="both"/>
        <w:rPr>
          <w:rFonts w:ascii="Times New Roman" w:hAnsi="Times New Roman"/>
        </w:rPr>
      </w:pPr>
      <w:r w:rsidRPr="00FB4B14">
        <w:rPr>
          <w:rFonts w:ascii="Times New Roman" w:hAnsi="Times New Roman"/>
        </w:rPr>
        <w:t>...</w:t>
      </w:r>
      <w:r w:rsidR="00EB7FED" w:rsidRPr="00FB4B14">
        <w:rPr>
          <w:rFonts w:ascii="Times New Roman" w:hAnsi="Times New Roman"/>
        </w:rPr>
        <w:t>"</w:t>
      </w:r>
    </w:p>
    <w:p w14:paraId="25912BA0" w14:textId="3965B4C1" w:rsidR="00906B9C" w:rsidRPr="00FB4B14" w:rsidRDefault="00906B9C"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The liquidator's right to seek recovery pursuant to s 588FF of an unfair preference is part of the statutory scheme of liquidation concerned with maximising the distributable pool of assets. </w:t>
      </w:r>
      <w:r w:rsidR="00071AB2" w:rsidRPr="00FB4B14">
        <w:rPr>
          <w:rFonts w:ascii="Times New Roman" w:hAnsi="Times New Roman"/>
        </w:rPr>
        <w:t xml:space="preserve">It is thus "in the nature of a corollary" to </w:t>
      </w:r>
      <w:r w:rsidR="008568D7" w:rsidRPr="00FB4B14">
        <w:rPr>
          <w:rFonts w:ascii="Times New Roman" w:hAnsi="Times New Roman"/>
        </w:rPr>
        <w:t>that scheme</w:t>
      </w:r>
      <w:r w:rsidR="00071AB2" w:rsidRPr="00FB4B14">
        <w:rPr>
          <w:rFonts w:ascii="Times New Roman" w:hAnsi="Times New Roman"/>
        </w:rPr>
        <w:t xml:space="preserve">, including </w:t>
      </w:r>
      <w:r w:rsidR="00176FCF" w:rsidRPr="00FB4B14">
        <w:rPr>
          <w:rFonts w:ascii="Times New Roman" w:hAnsi="Times New Roman"/>
        </w:rPr>
        <w:t xml:space="preserve">the </w:t>
      </w:r>
      <w:r w:rsidR="00071AB2" w:rsidRPr="00FB4B14">
        <w:rPr>
          <w:rFonts w:ascii="Times New Roman" w:hAnsi="Times New Roman"/>
        </w:rPr>
        <w:t xml:space="preserve">provisions which prescribe the order of priorities to be observed by the liquidator in the application of the </w:t>
      </w:r>
      <w:r w:rsidR="0037686F" w:rsidRPr="00FB4B14">
        <w:rPr>
          <w:rFonts w:ascii="Times New Roman" w:hAnsi="Times New Roman"/>
        </w:rPr>
        <w:t>company's property</w:t>
      </w:r>
      <w:r w:rsidR="002427A3" w:rsidRPr="00FB4B14">
        <w:rPr>
          <w:rStyle w:val="FootnoteReference"/>
          <w:rFonts w:ascii="Times New Roman" w:hAnsi="Times New Roman"/>
          <w:sz w:val="24"/>
        </w:rPr>
        <w:footnoteReference w:id="38"/>
      </w:r>
      <w:r w:rsidR="00071AB2" w:rsidRPr="00FB4B14">
        <w:rPr>
          <w:rFonts w:ascii="Times New Roman" w:hAnsi="Times New Roman"/>
        </w:rPr>
        <w:t xml:space="preserve">. </w:t>
      </w:r>
      <w:r w:rsidRPr="00FB4B14">
        <w:rPr>
          <w:rFonts w:ascii="Times New Roman" w:hAnsi="Times New Roman"/>
        </w:rPr>
        <w:t>It is directed at ensuring that the administration of the company is not distorted by putting a debt "ahead of the place appropriate to it in the prescribed order"</w:t>
      </w:r>
      <w:r w:rsidRPr="00FB4B14">
        <w:rPr>
          <w:rStyle w:val="FootnoteReference"/>
          <w:rFonts w:ascii="Times New Roman" w:hAnsi="Times New Roman"/>
          <w:sz w:val="24"/>
        </w:rPr>
        <w:footnoteReference w:id="39"/>
      </w:r>
      <w:r w:rsidRPr="00FB4B14">
        <w:rPr>
          <w:rFonts w:ascii="Times New Roman" w:hAnsi="Times New Roman"/>
        </w:rPr>
        <w:t>. In this way, the provision achieves its primary objective of "securing equality of distribution amongst creditors of the same class"</w:t>
      </w:r>
      <w:r w:rsidRPr="00FB4B14">
        <w:rPr>
          <w:rStyle w:val="FootnoteReference"/>
          <w:rFonts w:ascii="Times New Roman" w:hAnsi="Times New Roman"/>
          <w:sz w:val="24"/>
        </w:rPr>
        <w:footnoteReference w:id="40"/>
      </w:r>
      <w:r w:rsidRPr="00FB4B14">
        <w:rPr>
          <w:rFonts w:ascii="Times New Roman" w:hAnsi="Times New Roman"/>
        </w:rPr>
        <w:t>.</w:t>
      </w:r>
      <w:r w:rsidR="0045573D" w:rsidRPr="00FB4B14">
        <w:rPr>
          <w:rFonts w:ascii="Times New Roman" w:hAnsi="Times New Roman"/>
        </w:rPr>
        <w:t xml:space="preserve"> </w:t>
      </w:r>
    </w:p>
    <w:p w14:paraId="5A001BFA" w14:textId="0CC98BFE" w:rsidR="006E5508" w:rsidRPr="00FB4B14" w:rsidRDefault="00784E8A" w:rsidP="00FB4B14">
      <w:pPr>
        <w:pStyle w:val="FixListStyle"/>
        <w:spacing w:after="260" w:line="280" w:lineRule="exact"/>
        <w:ind w:right="0"/>
        <w:jc w:val="both"/>
        <w:rPr>
          <w:rFonts w:ascii="Times New Roman" w:hAnsi="Times New Roman"/>
        </w:rPr>
      </w:pPr>
      <w:r w:rsidRPr="00FB4B14">
        <w:rPr>
          <w:rFonts w:ascii="Times New Roman" w:hAnsi="Times New Roman"/>
        </w:rPr>
        <w:tab/>
        <w:t>The nature of the liability created by an order for the payment of money under</w:t>
      </w:r>
      <w:r w:rsidR="00CB568A" w:rsidRPr="00FB4B14">
        <w:rPr>
          <w:rFonts w:ascii="Times New Roman" w:hAnsi="Times New Roman"/>
        </w:rPr>
        <w:t xml:space="preserve"> s </w:t>
      </w:r>
      <w:r w:rsidRPr="00FB4B14">
        <w:rPr>
          <w:rFonts w:ascii="Times New Roman" w:hAnsi="Times New Roman"/>
        </w:rPr>
        <w:t>588FF(1)(a) of the Act</w:t>
      </w:r>
      <w:r w:rsidR="0023263F" w:rsidRPr="00FB4B14">
        <w:rPr>
          <w:rFonts w:ascii="Times New Roman" w:hAnsi="Times New Roman"/>
        </w:rPr>
        <w:t xml:space="preserve"> was disputed</w:t>
      </w:r>
      <w:r w:rsidR="008618D1" w:rsidRPr="00FB4B14">
        <w:rPr>
          <w:rFonts w:ascii="Times New Roman" w:hAnsi="Times New Roman"/>
        </w:rPr>
        <w:t xml:space="preserve"> in this appeal</w:t>
      </w:r>
      <w:r w:rsidR="0023263F" w:rsidRPr="00FB4B14">
        <w:rPr>
          <w:rFonts w:ascii="Times New Roman" w:hAnsi="Times New Roman"/>
        </w:rPr>
        <w:t xml:space="preserve">. </w:t>
      </w:r>
      <w:r w:rsidR="003C11B2" w:rsidRPr="00FB4B14">
        <w:rPr>
          <w:rFonts w:ascii="Times New Roman" w:hAnsi="Times New Roman"/>
        </w:rPr>
        <w:t xml:space="preserve">The appellant emphasised that the </w:t>
      </w:r>
      <w:r w:rsidR="00C25E25" w:rsidRPr="00FB4B14">
        <w:rPr>
          <w:rFonts w:ascii="Times New Roman" w:hAnsi="Times New Roman"/>
        </w:rPr>
        <w:t xml:space="preserve">liability was one owed to the company, and that when discharged, the payment was </w:t>
      </w:r>
      <w:r w:rsidR="0050574B" w:rsidRPr="00FB4B14">
        <w:rPr>
          <w:rFonts w:ascii="Times New Roman" w:hAnsi="Times New Roman"/>
        </w:rPr>
        <w:t>received</w:t>
      </w:r>
      <w:r w:rsidR="00C25E25" w:rsidRPr="00FB4B14">
        <w:rPr>
          <w:rFonts w:ascii="Times New Roman" w:hAnsi="Times New Roman"/>
        </w:rPr>
        <w:t xml:space="preserve"> beneficially </w:t>
      </w:r>
      <w:r w:rsidR="0050574B" w:rsidRPr="00FB4B14">
        <w:rPr>
          <w:rFonts w:ascii="Times New Roman" w:hAnsi="Times New Roman"/>
        </w:rPr>
        <w:t xml:space="preserve">by the company in accordance with the principle established by </w:t>
      </w:r>
      <w:r w:rsidR="0050574B" w:rsidRPr="00FB4B14">
        <w:rPr>
          <w:rFonts w:ascii="Times New Roman" w:hAnsi="Times New Roman"/>
          <w:i/>
          <w:iCs/>
        </w:rPr>
        <w:t>Linter Textiles</w:t>
      </w:r>
      <w:r w:rsidR="0050574B" w:rsidRPr="00FB4B14">
        <w:rPr>
          <w:rFonts w:ascii="Times New Roman" w:hAnsi="Times New Roman"/>
        </w:rPr>
        <w:t>.</w:t>
      </w:r>
      <w:r w:rsidR="005D162D" w:rsidRPr="00FB4B14">
        <w:rPr>
          <w:rFonts w:ascii="Times New Roman" w:hAnsi="Times New Roman"/>
        </w:rPr>
        <w:t xml:space="preserve"> As such, it was available to be </w:t>
      </w:r>
      <w:r w:rsidR="005D162D" w:rsidRPr="00FB4B14">
        <w:rPr>
          <w:rFonts w:ascii="Times New Roman" w:hAnsi="Times New Roman"/>
        </w:rPr>
        <w:lastRenderedPageBreak/>
        <w:t>applied in making priority payments and in making payments to creditors and contributories.</w:t>
      </w:r>
      <w:r w:rsidR="002E68B5" w:rsidRPr="00FB4B14">
        <w:rPr>
          <w:rFonts w:ascii="Times New Roman" w:hAnsi="Times New Roman"/>
        </w:rPr>
        <w:t xml:space="preserve"> It was not destined, as a legal necessity, to be distributed to creditors. </w:t>
      </w:r>
      <w:r w:rsidR="00D4541C" w:rsidRPr="00FB4B14">
        <w:rPr>
          <w:rFonts w:ascii="Times New Roman" w:hAnsi="Times New Roman"/>
        </w:rPr>
        <w:t>Reference was made to s</w:t>
      </w:r>
      <w:r w:rsidR="00B335A5" w:rsidRPr="00FB4B14">
        <w:rPr>
          <w:rFonts w:ascii="Times New Roman" w:hAnsi="Times New Roman"/>
        </w:rPr>
        <w:t> </w:t>
      </w:r>
      <w:r w:rsidR="00D4541C" w:rsidRPr="00FB4B14">
        <w:rPr>
          <w:rFonts w:ascii="Times New Roman" w:hAnsi="Times New Roman"/>
        </w:rPr>
        <w:t>482 of the Act</w:t>
      </w:r>
      <w:r w:rsidR="0018181B" w:rsidRPr="00FB4B14">
        <w:rPr>
          <w:rStyle w:val="FootnoteReference"/>
          <w:rFonts w:ascii="Times New Roman" w:hAnsi="Times New Roman"/>
          <w:sz w:val="24"/>
        </w:rPr>
        <w:footnoteReference w:id="41"/>
      </w:r>
      <w:r w:rsidR="002E68B5" w:rsidRPr="00FB4B14">
        <w:rPr>
          <w:rFonts w:ascii="Times New Roman" w:hAnsi="Times New Roman"/>
        </w:rPr>
        <w:t xml:space="preserve">, </w:t>
      </w:r>
      <w:r w:rsidR="001414BA" w:rsidRPr="00FB4B14">
        <w:rPr>
          <w:rFonts w:ascii="Times New Roman" w:hAnsi="Times New Roman"/>
        </w:rPr>
        <w:t>which</w:t>
      </w:r>
      <w:r w:rsidR="00F564E3" w:rsidRPr="00FB4B14">
        <w:rPr>
          <w:rFonts w:ascii="Times New Roman" w:hAnsi="Times New Roman"/>
        </w:rPr>
        <w:t>,</w:t>
      </w:r>
      <w:r w:rsidR="001414BA" w:rsidRPr="00FB4B14">
        <w:rPr>
          <w:rFonts w:ascii="Times New Roman" w:hAnsi="Times New Roman"/>
        </w:rPr>
        <w:t xml:space="preserve"> it was said</w:t>
      </w:r>
      <w:r w:rsidR="00F564E3" w:rsidRPr="00FB4B14">
        <w:rPr>
          <w:rFonts w:ascii="Times New Roman" w:hAnsi="Times New Roman"/>
        </w:rPr>
        <w:t>,</w:t>
      </w:r>
      <w:r w:rsidR="001414BA" w:rsidRPr="00FB4B14">
        <w:rPr>
          <w:rFonts w:ascii="Times New Roman" w:hAnsi="Times New Roman"/>
        </w:rPr>
        <w:t xml:space="preserve"> indicates that </w:t>
      </w:r>
      <w:r w:rsidR="002E68B5" w:rsidRPr="00FB4B14">
        <w:rPr>
          <w:rFonts w:ascii="Times New Roman" w:hAnsi="Times New Roman"/>
        </w:rPr>
        <w:t>in the event of the termination of a liquidation</w:t>
      </w:r>
      <w:r w:rsidR="00E5308A" w:rsidRPr="00FB4B14">
        <w:rPr>
          <w:rFonts w:ascii="Times New Roman" w:hAnsi="Times New Roman"/>
        </w:rPr>
        <w:t xml:space="preserve"> under that section,</w:t>
      </w:r>
      <w:r w:rsidR="002E68B5" w:rsidRPr="00FB4B14">
        <w:rPr>
          <w:rFonts w:ascii="Times New Roman" w:hAnsi="Times New Roman"/>
        </w:rPr>
        <w:t xml:space="preserve"> </w:t>
      </w:r>
      <w:r w:rsidR="004576AF" w:rsidRPr="00FB4B14">
        <w:rPr>
          <w:rFonts w:ascii="Times New Roman" w:hAnsi="Times New Roman"/>
        </w:rPr>
        <w:t xml:space="preserve">a payment made pursuant to an order </w:t>
      </w:r>
      <w:r w:rsidR="001466A4" w:rsidRPr="00FB4B14">
        <w:rPr>
          <w:rFonts w:ascii="Times New Roman" w:hAnsi="Times New Roman"/>
        </w:rPr>
        <w:t>under</w:t>
      </w:r>
      <w:r w:rsidR="00CB568A" w:rsidRPr="00FB4B14">
        <w:rPr>
          <w:rFonts w:ascii="Times New Roman" w:hAnsi="Times New Roman"/>
        </w:rPr>
        <w:t xml:space="preserve"> s </w:t>
      </w:r>
      <w:r w:rsidR="001466A4" w:rsidRPr="00FB4B14">
        <w:rPr>
          <w:rFonts w:ascii="Times New Roman" w:hAnsi="Times New Roman"/>
        </w:rPr>
        <w:t xml:space="preserve">588FF(1)(a) </w:t>
      </w:r>
      <w:r w:rsidR="001C7680" w:rsidRPr="00FB4B14">
        <w:rPr>
          <w:rFonts w:ascii="Times New Roman" w:hAnsi="Times New Roman"/>
        </w:rPr>
        <w:t>c</w:t>
      </w:r>
      <w:r w:rsidR="001466A4" w:rsidRPr="00FB4B14">
        <w:rPr>
          <w:rFonts w:ascii="Times New Roman" w:hAnsi="Times New Roman"/>
        </w:rPr>
        <w:t xml:space="preserve">ould </w:t>
      </w:r>
      <w:r w:rsidR="001C7680" w:rsidRPr="00FB4B14">
        <w:rPr>
          <w:rFonts w:ascii="Times New Roman" w:hAnsi="Times New Roman"/>
        </w:rPr>
        <w:t xml:space="preserve">conceivably </w:t>
      </w:r>
      <w:r w:rsidR="001466A4" w:rsidRPr="00FB4B14">
        <w:rPr>
          <w:rFonts w:ascii="Times New Roman" w:hAnsi="Times New Roman"/>
        </w:rPr>
        <w:t>be available to be deployed for the purposes of the company</w:t>
      </w:r>
      <w:r w:rsidR="00854F16" w:rsidRPr="00FB4B14">
        <w:rPr>
          <w:rFonts w:ascii="Times New Roman" w:hAnsi="Times New Roman"/>
        </w:rPr>
        <w:t>'</w:t>
      </w:r>
      <w:r w:rsidR="001466A4" w:rsidRPr="00FB4B14">
        <w:rPr>
          <w:rFonts w:ascii="Times New Roman" w:hAnsi="Times New Roman"/>
        </w:rPr>
        <w:t xml:space="preserve">s </w:t>
      </w:r>
      <w:r w:rsidR="003E4415" w:rsidRPr="00FB4B14">
        <w:rPr>
          <w:rFonts w:ascii="Times New Roman" w:hAnsi="Times New Roman"/>
        </w:rPr>
        <w:t xml:space="preserve">ongoing </w:t>
      </w:r>
      <w:r w:rsidR="001466A4" w:rsidRPr="00FB4B14">
        <w:rPr>
          <w:rFonts w:ascii="Times New Roman" w:hAnsi="Times New Roman"/>
        </w:rPr>
        <w:t>business.</w:t>
      </w:r>
    </w:p>
    <w:p w14:paraId="73618DB5" w14:textId="1189047E" w:rsidR="001C68B4" w:rsidRPr="00FB4B14" w:rsidRDefault="001C68B4" w:rsidP="00FB4B14">
      <w:pPr>
        <w:pStyle w:val="FixListStyle"/>
        <w:spacing w:after="260" w:line="280" w:lineRule="exact"/>
        <w:ind w:right="0"/>
        <w:jc w:val="both"/>
        <w:rPr>
          <w:rFonts w:ascii="Times New Roman" w:hAnsi="Times New Roman"/>
        </w:rPr>
      </w:pPr>
      <w:r w:rsidRPr="00FB4B14">
        <w:rPr>
          <w:rFonts w:ascii="Times New Roman" w:hAnsi="Times New Roman"/>
        </w:rPr>
        <w:tab/>
        <w:t>In contrast, the respondent</w:t>
      </w:r>
      <w:r w:rsidR="00982003" w:rsidRPr="00FB4B14">
        <w:rPr>
          <w:rFonts w:ascii="Times New Roman" w:hAnsi="Times New Roman"/>
        </w:rPr>
        <w:t>s</w:t>
      </w:r>
      <w:r w:rsidRPr="00FB4B14">
        <w:rPr>
          <w:rFonts w:ascii="Times New Roman" w:hAnsi="Times New Roman"/>
        </w:rPr>
        <w:t xml:space="preserve"> emphasised that the cause of action created by</w:t>
      </w:r>
      <w:r w:rsidR="00CB568A" w:rsidRPr="00FB4B14">
        <w:rPr>
          <w:rFonts w:ascii="Times New Roman" w:hAnsi="Times New Roman"/>
        </w:rPr>
        <w:t xml:space="preserve"> s </w:t>
      </w:r>
      <w:r w:rsidRPr="00FB4B14">
        <w:rPr>
          <w:rFonts w:ascii="Times New Roman" w:hAnsi="Times New Roman"/>
        </w:rPr>
        <w:t>588FF was</w:t>
      </w:r>
      <w:r w:rsidR="00982003" w:rsidRPr="00FB4B14">
        <w:rPr>
          <w:rFonts w:ascii="Times New Roman" w:hAnsi="Times New Roman"/>
        </w:rPr>
        <w:t xml:space="preserve"> one</w:t>
      </w:r>
      <w:r w:rsidRPr="00FB4B14">
        <w:rPr>
          <w:rFonts w:ascii="Times New Roman" w:hAnsi="Times New Roman"/>
        </w:rPr>
        <w:t xml:space="preserve"> conferred upon the liquidator</w:t>
      </w:r>
      <w:r w:rsidR="00982003" w:rsidRPr="00FB4B14">
        <w:rPr>
          <w:rFonts w:ascii="Times New Roman" w:hAnsi="Times New Roman"/>
        </w:rPr>
        <w:t xml:space="preserve"> and not the company</w:t>
      </w:r>
      <w:r w:rsidRPr="00FB4B14">
        <w:rPr>
          <w:rFonts w:ascii="Times New Roman" w:hAnsi="Times New Roman"/>
        </w:rPr>
        <w:t>.</w:t>
      </w:r>
      <w:r w:rsidR="00526A78" w:rsidRPr="00FB4B14">
        <w:rPr>
          <w:rFonts w:ascii="Times New Roman" w:hAnsi="Times New Roman"/>
        </w:rPr>
        <w:t xml:space="preserve"> Contrary to the contention</w:t>
      </w:r>
      <w:r w:rsidR="00B70242" w:rsidRPr="00FB4B14">
        <w:rPr>
          <w:rFonts w:ascii="Times New Roman" w:hAnsi="Times New Roman"/>
        </w:rPr>
        <w:t xml:space="preserve"> of the appellant,</w:t>
      </w:r>
      <w:r w:rsidR="00B21A62" w:rsidRPr="00FB4B14">
        <w:rPr>
          <w:rFonts w:ascii="Times New Roman" w:hAnsi="Times New Roman"/>
        </w:rPr>
        <w:t xml:space="preserve"> they submitted</w:t>
      </w:r>
      <w:r w:rsidR="00FE3660" w:rsidRPr="00FB4B14">
        <w:rPr>
          <w:rFonts w:ascii="Times New Roman" w:hAnsi="Times New Roman"/>
        </w:rPr>
        <w:t xml:space="preserve"> that the </w:t>
      </w:r>
      <w:r w:rsidR="005A6B76" w:rsidRPr="00FB4B14">
        <w:rPr>
          <w:rFonts w:ascii="Times New Roman" w:hAnsi="Times New Roman"/>
        </w:rPr>
        <w:t>cause of action</w:t>
      </w:r>
      <w:r w:rsidR="00FE3660" w:rsidRPr="00FB4B14">
        <w:rPr>
          <w:rFonts w:ascii="Times New Roman" w:hAnsi="Times New Roman"/>
        </w:rPr>
        <w:t xml:space="preserve"> conferred by</w:t>
      </w:r>
      <w:r w:rsidR="00CB568A" w:rsidRPr="00FB4B14">
        <w:rPr>
          <w:rFonts w:ascii="Times New Roman" w:hAnsi="Times New Roman"/>
        </w:rPr>
        <w:t xml:space="preserve"> s </w:t>
      </w:r>
      <w:r w:rsidR="00FE3660" w:rsidRPr="00FB4B14">
        <w:rPr>
          <w:rFonts w:ascii="Times New Roman" w:hAnsi="Times New Roman"/>
        </w:rPr>
        <w:t>588FF</w:t>
      </w:r>
      <w:r w:rsidR="005A6B76" w:rsidRPr="00FB4B14">
        <w:rPr>
          <w:rFonts w:ascii="Times New Roman" w:hAnsi="Times New Roman"/>
        </w:rPr>
        <w:t xml:space="preserve"> was not one exercisable by the liquidator as agent of the company</w:t>
      </w:r>
      <w:r w:rsidR="003C20A9" w:rsidRPr="00FB4B14">
        <w:rPr>
          <w:rStyle w:val="FootnoteReference"/>
          <w:rFonts w:ascii="Times New Roman" w:hAnsi="Times New Roman"/>
          <w:sz w:val="24"/>
        </w:rPr>
        <w:footnoteReference w:id="42"/>
      </w:r>
      <w:r w:rsidR="005A6B76" w:rsidRPr="00FB4B14">
        <w:rPr>
          <w:rFonts w:ascii="Times New Roman" w:hAnsi="Times New Roman"/>
        </w:rPr>
        <w:t xml:space="preserve">, </w:t>
      </w:r>
      <w:r w:rsidR="003A5C6D" w:rsidRPr="00FB4B14">
        <w:rPr>
          <w:rFonts w:ascii="Times New Roman" w:hAnsi="Times New Roman"/>
        </w:rPr>
        <w:t xml:space="preserve">but rather as an officer of the </w:t>
      </w:r>
      <w:r w:rsidR="000E162B" w:rsidRPr="00FB4B14">
        <w:rPr>
          <w:rFonts w:ascii="Times New Roman" w:hAnsi="Times New Roman"/>
        </w:rPr>
        <w:t>c</w:t>
      </w:r>
      <w:r w:rsidR="003A5C6D" w:rsidRPr="00FB4B14">
        <w:rPr>
          <w:rFonts w:ascii="Times New Roman" w:hAnsi="Times New Roman"/>
        </w:rPr>
        <w:t>ourt.</w:t>
      </w:r>
      <w:r w:rsidR="00033AA3" w:rsidRPr="00FB4B14">
        <w:rPr>
          <w:rFonts w:ascii="Times New Roman" w:hAnsi="Times New Roman"/>
        </w:rPr>
        <w:t xml:space="preserve"> </w:t>
      </w:r>
      <w:r w:rsidR="00123FD8" w:rsidRPr="00FB4B14">
        <w:rPr>
          <w:rFonts w:ascii="Times New Roman" w:hAnsi="Times New Roman"/>
        </w:rPr>
        <w:t>T</w:t>
      </w:r>
      <w:r w:rsidR="00B21A62" w:rsidRPr="00FB4B14">
        <w:rPr>
          <w:rFonts w:ascii="Times New Roman" w:hAnsi="Times New Roman"/>
        </w:rPr>
        <w:t xml:space="preserve">hat submission should be accepted. When deciding to </w:t>
      </w:r>
      <w:r w:rsidR="0021294A" w:rsidRPr="00FB4B14">
        <w:rPr>
          <w:rFonts w:ascii="Times New Roman" w:hAnsi="Times New Roman"/>
        </w:rPr>
        <w:t>institute proceedings pursuant to</w:t>
      </w:r>
      <w:r w:rsidR="00CB568A" w:rsidRPr="00FB4B14">
        <w:rPr>
          <w:rFonts w:ascii="Times New Roman" w:hAnsi="Times New Roman"/>
        </w:rPr>
        <w:t xml:space="preserve"> s </w:t>
      </w:r>
      <w:r w:rsidR="0021294A" w:rsidRPr="00FB4B14">
        <w:rPr>
          <w:rFonts w:ascii="Times New Roman" w:hAnsi="Times New Roman"/>
        </w:rPr>
        <w:t>588FF, the liquidator acts</w:t>
      </w:r>
      <w:r w:rsidR="00583A26" w:rsidRPr="00FB4B14">
        <w:rPr>
          <w:rFonts w:ascii="Times New Roman" w:hAnsi="Times New Roman"/>
        </w:rPr>
        <w:t xml:space="preserve"> as</w:t>
      </w:r>
      <w:r w:rsidR="0021294A" w:rsidRPr="00FB4B14">
        <w:rPr>
          <w:rFonts w:ascii="Times New Roman" w:hAnsi="Times New Roman"/>
        </w:rPr>
        <w:t xml:space="preserve"> an officer </w:t>
      </w:r>
      <w:r w:rsidR="009C4ED3" w:rsidRPr="00FB4B14">
        <w:rPr>
          <w:rFonts w:ascii="Times New Roman" w:hAnsi="Times New Roman"/>
        </w:rPr>
        <w:t xml:space="preserve">of the </w:t>
      </w:r>
      <w:r w:rsidR="000E162B" w:rsidRPr="00FB4B14">
        <w:rPr>
          <w:rFonts w:ascii="Times New Roman" w:hAnsi="Times New Roman"/>
        </w:rPr>
        <w:t>c</w:t>
      </w:r>
      <w:r w:rsidR="009C4ED3" w:rsidRPr="00FB4B14">
        <w:rPr>
          <w:rFonts w:ascii="Times New Roman" w:hAnsi="Times New Roman"/>
        </w:rPr>
        <w:t xml:space="preserve">ourt </w:t>
      </w:r>
      <w:r w:rsidR="0021294A" w:rsidRPr="00FB4B14">
        <w:rPr>
          <w:rFonts w:ascii="Times New Roman" w:hAnsi="Times New Roman"/>
        </w:rPr>
        <w:t xml:space="preserve">charged with </w:t>
      </w:r>
      <w:r w:rsidR="007F3F1A" w:rsidRPr="00FB4B14">
        <w:rPr>
          <w:rFonts w:ascii="Times New Roman" w:hAnsi="Times New Roman"/>
        </w:rPr>
        <w:t xml:space="preserve">the </w:t>
      </w:r>
      <w:r w:rsidR="000C2DFC" w:rsidRPr="00FB4B14">
        <w:rPr>
          <w:rFonts w:ascii="Times New Roman" w:hAnsi="Times New Roman"/>
        </w:rPr>
        <w:t xml:space="preserve">duties and responsibilities </w:t>
      </w:r>
      <w:r w:rsidR="007F3F1A" w:rsidRPr="00FB4B14">
        <w:rPr>
          <w:rFonts w:ascii="Times New Roman" w:hAnsi="Times New Roman"/>
        </w:rPr>
        <w:t>created by</w:t>
      </w:r>
      <w:r w:rsidR="007B6A4B" w:rsidRPr="00FB4B14">
        <w:rPr>
          <w:rFonts w:ascii="Times New Roman" w:hAnsi="Times New Roman"/>
        </w:rPr>
        <w:t xml:space="preserve"> the statutory scheme of liquidation. </w:t>
      </w:r>
      <w:r w:rsidR="007F3F1A" w:rsidRPr="00FB4B14">
        <w:rPr>
          <w:rFonts w:ascii="Times New Roman" w:hAnsi="Times New Roman"/>
        </w:rPr>
        <w:t>It follows that w</w:t>
      </w:r>
      <w:r w:rsidR="007B6A4B" w:rsidRPr="00FB4B14">
        <w:rPr>
          <w:rFonts w:ascii="Times New Roman" w:hAnsi="Times New Roman"/>
        </w:rPr>
        <w:t xml:space="preserve">hilst the liquidator </w:t>
      </w:r>
      <w:r w:rsidR="007F3F1A" w:rsidRPr="00FB4B14">
        <w:rPr>
          <w:rFonts w:ascii="Times New Roman" w:hAnsi="Times New Roman"/>
        </w:rPr>
        <w:t xml:space="preserve">might </w:t>
      </w:r>
      <w:r w:rsidR="007B6A4B" w:rsidRPr="00FB4B14">
        <w:rPr>
          <w:rFonts w:ascii="Times New Roman" w:hAnsi="Times New Roman"/>
        </w:rPr>
        <w:t xml:space="preserve">in other </w:t>
      </w:r>
      <w:r w:rsidR="003E4415" w:rsidRPr="00FB4B14">
        <w:rPr>
          <w:rFonts w:ascii="Times New Roman" w:hAnsi="Times New Roman"/>
        </w:rPr>
        <w:t>situations</w:t>
      </w:r>
      <w:r w:rsidR="007B6A4B" w:rsidRPr="00FB4B14">
        <w:rPr>
          <w:rFonts w:ascii="Times New Roman" w:hAnsi="Times New Roman"/>
        </w:rPr>
        <w:t xml:space="preserve"> be characterised as an agent of the company, for the purposes of</w:t>
      </w:r>
      <w:r w:rsidR="00CB568A" w:rsidRPr="00FB4B14">
        <w:rPr>
          <w:rFonts w:ascii="Times New Roman" w:hAnsi="Times New Roman"/>
        </w:rPr>
        <w:t xml:space="preserve"> s </w:t>
      </w:r>
      <w:r w:rsidR="007B6A4B" w:rsidRPr="00FB4B14">
        <w:rPr>
          <w:rFonts w:ascii="Times New Roman" w:hAnsi="Times New Roman"/>
        </w:rPr>
        <w:t>588FF</w:t>
      </w:r>
      <w:r w:rsidR="00152242" w:rsidRPr="00FB4B14">
        <w:rPr>
          <w:rFonts w:ascii="Times New Roman" w:hAnsi="Times New Roman"/>
        </w:rPr>
        <w:t xml:space="preserve"> no reason exists</w:t>
      </w:r>
      <w:r w:rsidR="007B6A4B" w:rsidRPr="00FB4B14">
        <w:rPr>
          <w:rFonts w:ascii="Times New Roman" w:hAnsi="Times New Roman"/>
        </w:rPr>
        <w:t xml:space="preserve"> to </w:t>
      </w:r>
      <w:r w:rsidR="00B8624B" w:rsidRPr="00FB4B14">
        <w:rPr>
          <w:rFonts w:ascii="Times New Roman" w:hAnsi="Times New Roman"/>
        </w:rPr>
        <w:t>characterise</w:t>
      </w:r>
      <w:r w:rsidR="0016594A" w:rsidRPr="00FB4B14">
        <w:rPr>
          <w:rFonts w:ascii="Times New Roman" w:hAnsi="Times New Roman"/>
        </w:rPr>
        <w:t xml:space="preserve"> the liquidator as acting in such a capacity. </w:t>
      </w:r>
      <w:r w:rsidR="00384964" w:rsidRPr="00FB4B14">
        <w:rPr>
          <w:rFonts w:ascii="Times New Roman" w:hAnsi="Times New Roman"/>
        </w:rPr>
        <w:t xml:space="preserve">But </w:t>
      </w:r>
      <w:r w:rsidR="001E4507" w:rsidRPr="00FB4B14">
        <w:rPr>
          <w:rFonts w:ascii="Times New Roman" w:hAnsi="Times New Roman"/>
        </w:rPr>
        <w:t>amounts recovered by action under s 588FF are then to be dealt with according to the statutory scheme of liquidation.</w:t>
      </w:r>
    </w:p>
    <w:p w14:paraId="40A395D8" w14:textId="34ABF8DB" w:rsidR="00710BDA" w:rsidRPr="00FB4B14" w:rsidRDefault="00710BDA" w:rsidP="00FB4B14">
      <w:pPr>
        <w:pStyle w:val="FixListStyle"/>
        <w:spacing w:after="260" w:line="280" w:lineRule="exact"/>
        <w:ind w:right="0"/>
        <w:jc w:val="both"/>
        <w:rPr>
          <w:rFonts w:ascii="Times New Roman" w:hAnsi="Times New Roman"/>
        </w:rPr>
      </w:pPr>
      <w:r w:rsidRPr="00FB4B14">
        <w:rPr>
          <w:rFonts w:ascii="Times New Roman" w:hAnsi="Times New Roman"/>
        </w:rPr>
        <w:tab/>
        <w:t>The foregoing is cons</w:t>
      </w:r>
      <w:r w:rsidR="00F32B8C" w:rsidRPr="00FB4B14">
        <w:rPr>
          <w:rFonts w:ascii="Times New Roman" w:hAnsi="Times New Roman"/>
        </w:rPr>
        <w:t xml:space="preserve">istent with history. Originally preferences were </w:t>
      </w:r>
      <w:r w:rsidR="00854F16" w:rsidRPr="00FB4B14">
        <w:rPr>
          <w:rFonts w:ascii="Times New Roman" w:hAnsi="Times New Roman"/>
        </w:rPr>
        <w:t>"</w:t>
      </w:r>
      <w:r w:rsidR="00F32B8C" w:rsidRPr="00FB4B14">
        <w:rPr>
          <w:rFonts w:ascii="Times New Roman" w:hAnsi="Times New Roman"/>
        </w:rPr>
        <w:t>void as against</w:t>
      </w:r>
      <w:r w:rsidR="000B1005" w:rsidRPr="00FB4B14">
        <w:rPr>
          <w:rFonts w:ascii="Times New Roman" w:hAnsi="Times New Roman"/>
        </w:rPr>
        <w:t xml:space="preserve"> </w:t>
      </w:r>
      <w:r w:rsidR="001A13CA" w:rsidRPr="00FB4B14">
        <w:rPr>
          <w:rFonts w:ascii="Times New Roman" w:hAnsi="Times New Roman"/>
        </w:rPr>
        <w:t>the assignee or trustee of the insolvent</w:t>
      </w:r>
      <w:r w:rsidR="00854F16" w:rsidRPr="00FB4B14">
        <w:rPr>
          <w:rFonts w:ascii="Times New Roman" w:hAnsi="Times New Roman"/>
        </w:rPr>
        <w:t>"</w:t>
      </w:r>
      <w:r w:rsidR="00CA2FC9" w:rsidRPr="00FB4B14">
        <w:rPr>
          <w:rStyle w:val="FootnoteReference"/>
          <w:rFonts w:ascii="Times New Roman" w:hAnsi="Times New Roman"/>
          <w:sz w:val="24"/>
        </w:rPr>
        <w:footnoteReference w:id="43"/>
      </w:r>
      <w:r w:rsidR="00F32B8C" w:rsidRPr="00FB4B14">
        <w:rPr>
          <w:rFonts w:ascii="Times New Roman" w:hAnsi="Times New Roman"/>
        </w:rPr>
        <w:t xml:space="preserve">, rather than </w:t>
      </w:r>
      <w:r w:rsidR="009F1E63" w:rsidRPr="00FB4B14">
        <w:rPr>
          <w:rFonts w:ascii="Times New Roman" w:hAnsi="Times New Roman"/>
        </w:rPr>
        <w:t xml:space="preserve">the </w:t>
      </w:r>
      <w:r w:rsidR="00F32B8C" w:rsidRPr="00FB4B14">
        <w:rPr>
          <w:rFonts w:ascii="Times New Roman" w:hAnsi="Times New Roman"/>
        </w:rPr>
        <w:t>company</w:t>
      </w:r>
      <w:r w:rsidR="00414C98" w:rsidRPr="00FB4B14">
        <w:rPr>
          <w:rFonts w:ascii="Times New Roman" w:hAnsi="Times New Roman"/>
        </w:rPr>
        <w:t xml:space="preserve">. </w:t>
      </w:r>
      <w:r w:rsidR="005C68B8" w:rsidRPr="00FB4B14">
        <w:rPr>
          <w:rFonts w:ascii="Times New Roman" w:hAnsi="Times New Roman"/>
        </w:rPr>
        <w:t xml:space="preserve">But </w:t>
      </w:r>
      <w:r w:rsidR="005C68B8" w:rsidRPr="00FB4B14">
        <w:rPr>
          <w:rFonts w:ascii="Times New Roman" w:hAnsi="Times New Roman"/>
        </w:rPr>
        <w:lastRenderedPageBreak/>
        <w:t>"void" in this sense meant only that p</w:t>
      </w:r>
      <w:r w:rsidR="00154DD6" w:rsidRPr="00FB4B14">
        <w:rPr>
          <w:rFonts w:ascii="Times New Roman" w:hAnsi="Times New Roman"/>
        </w:rPr>
        <w:t xml:space="preserve">references were voidable at the instance or election of the </w:t>
      </w:r>
      <w:r w:rsidR="00F35205" w:rsidRPr="00FB4B14">
        <w:rPr>
          <w:rFonts w:ascii="Times New Roman" w:hAnsi="Times New Roman"/>
        </w:rPr>
        <w:t xml:space="preserve">trustee or the </w:t>
      </w:r>
      <w:r w:rsidR="00154DD6" w:rsidRPr="00FB4B14">
        <w:rPr>
          <w:rFonts w:ascii="Times New Roman" w:hAnsi="Times New Roman"/>
        </w:rPr>
        <w:t>liquidator</w:t>
      </w:r>
      <w:r w:rsidR="006E2F11" w:rsidRPr="00FB4B14">
        <w:rPr>
          <w:rStyle w:val="FootnoteReference"/>
          <w:rFonts w:ascii="Times New Roman" w:hAnsi="Times New Roman"/>
          <w:sz w:val="24"/>
        </w:rPr>
        <w:footnoteReference w:id="44"/>
      </w:r>
      <w:r w:rsidR="006E2F11" w:rsidRPr="00FB4B14">
        <w:rPr>
          <w:rFonts w:ascii="Times New Roman" w:hAnsi="Times New Roman"/>
        </w:rPr>
        <w:t xml:space="preserve">. </w:t>
      </w:r>
    </w:p>
    <w:p w14:paraId="7C5ABF4A" w14:textId="2F778C6B" w:rsidR="0016594A" w:rsidRPr="00FB4B14" w:rsidRDefault="0016594A"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123B0F" w:rsidRPr="00FB4B14">
        <w:rPr>
          <w:rFonts w:ascii="Times New Roman" w:hAnsi="Times New Roman"/>
        </w:rPr>
        <w:t>Section 5</w:t>
      </w:r>
      <w:r w:rsidR="00826479" w:rsidRPr="00FB4B14">
        <w:rPr>
          <w:rFonts w:ascii="Times New Roman" w:hAnsi="Times New Roman"/>
        </w:rPr>
        <w:t>8</w:t>
      </w:r>
      <w:r w:rsidR="00123B0F" w:rsidRPr="00FB4B14">
        <w:rPr>
          <w:rFonts w:ascii="Times New Roman" w:hAnsi="Times New Roman"/>
        </w:rPr>
        <w:t xml:space="preserve">8FE defines what is a </w:t>
      </w:r>
      <w:r w:rsidR="00854F16" w:rsidRPr="00FB4B14">
        <w:rPr>
          <w:rFonts w:ascii="Times New Roman" w:hAnsi="Times New Roman"/>
        </w:rPr>
        <w:t>"</w:t>
      </w:r>
      <w:r w:rsidR="00123B0F" w:rsidRPr="00FB4B14">
        <w:rPr>
          <w:rFonts w:ascii="Times New Roman" w:hAnsi="Times New Roman"/>
        </w:rPr>
        <w:t>voidable transaction</w:t>
      </w:r>
      <w:r w:rsidR="00854F16" w:rsidRPr="00FB4B14">
        <w:rPr>
          <w:rFonts w:ascii="Times New Roman" w:hAnsi="Times New Roman"/>
        </w:rPr>
        <w:t>"</w:t>
      </w:r>
      <w:r w:rsidR="00123B0F" w:rsidRPr="00FB4B14">
        <w:rPr>
          <w:rFonts w:ascii="Times New Roman" w:hAnsi="Times New Roman"/>
        </w:rPr>
        <w:t xml:space="preserve">. </w:t>
      </w:r>
      <w:r w:rsidR="001B0F6E" w:rsidRPr="00FB4B14">
        <w:rPr>
          <w:rFonts w:ascii="Times New Roman" w:hAnsi="Times New Roman"/>
        </w:rPr>
        <w:t xml:space="preserve">It only applies where a company </w:t>
      </w:r>
      <w:r w:rsidR="00854F16" w:rsidRPr="00FB4B14">
        <w:rPr>
          <w:rFonts w:ascii="Times New Roman" w:hAnsi="Times New Roman"/>
        </w:rPr>
        <w:t>"</w:t>
      </w:r>
      <w:r w:rsidR="001B0F6E" w:rsidRPr="00FB4B14">
        <w:rPr>
          <w:rFonts w:ascii="Times New Roman" w:hAnsi="Times New Roman"/>
        </w:rPr>
        <w:t>is being wound up</w:t>
      </w:r>
      <w:r w:rsidR="00854F16" w:rsidRPr="00FB4B14">
        <w:rPr>
          <w:rFonts w:ascii="Times New Roman" w:hAnsi="Times New Roman"/>
        </w:rPr>
        <w:t>"</w:t>
      </w:r>
      <w:r w:rsidR="001B0F6E" w:rsidRPr="00FB4B14">
        <w:rPr>
          <w:rFonts w:ascii="Times New Roman" w:hAnsi="Times New Roman"/>
        </w:rPr>
        <w:t xml:space="preserve">. </w:t>
      </w:r>
      <w:r w:rsidR="00CA6888" w:rsidRPr="00FB4B14">
        <w:rPr>
          <w:rFonts w:ascii="Times New Roman" w:hAnsi="Times New Roman"/>
        </w:rPr>
        <w:t>Relevantly here,</w:t>
      </w:r>
      <w:r w:rsidR="00CB568A" w:rsidRPr="00FB4B14">
        <w:rPr>
          <w:rFonts w:ascii="Times New Roman" w:hAnsi="Times New Roman"/>
        </w:rPr>
        <w:t xml:space="preserve"> s </w:t>
      </w:r>
      <w:r w:rsidR="00CA6888" w:rsidRPr="00FB4B14">
        <w:rPr>
          <w:rFonts w:ascii="Times New Roman" w:hAnsi="Times New Roman"/>
        </w:rPr>
        <w:t>5</w:t>
      </w:r>
      <w:r w:rsidR="00882B7D" w:rsidRPr="00FB4B14">
        <w:rPr>
          <w:rFonts w:ascii="Times New Roman" w:hAnsi="Times New Roman"/>
        </w:rPr>
        <w:t>88</w:t>
      </w:r>
      <w:proofErr w:type="gramStart"/>
      <w:r w:rsidR="00CA6888" w:rsidRPr="00FB4B14">
        <w:rPr>
          <w:rFonts w:ascii="Times New Roman" w:hAnsi="Times New Roman"/>
        </w:rPr>
        <w:t>F</w:t>
      </w:r>
      <w:r w:rsidR="004A6EBD" w:rsidRPr="00FB4B14">
        <w:rPr>
          <w:rFonts w:ascii="Times New Roman" w:hAnsi="Times New Roman"/>
        </w:rPr>
        <w:t>E</w:t>
      </w:r>
      <w:r w:rsidR="00882B7D" w:rsidRPr="00FB4B14">
        <w:rPr>
          <w:rFonts w:ascii="Times New Roman" w:hAnsi="Times New Roman"/>
        </w:rPr>
        <w:t>(</w:t>
      </w:r>
      <w:proofErr w:type="gramEnd"/>
      <w:r w:rsidR="00882B7D" w:rsidRPr="00FB4B14">
        <w:rPr>
          <w:rFonts w:ascii="Times New Roman" w:hAnsi="Times New Roman"/>
        </w:rPr>
        <w:t xml:space="preserve">2) provides that a transaction is voidable if </w:t>
      </w:r>
      <w:r w:rsidR="00C92ABD" w:rsidRPr="00FB4B14">
        <w:rPr>
          <w:rFonts w:ascii="Times New Roman" w:hAnsi="Times New Roman"/>
        </w:rPr>
        <w:t xml:space="preserve">it is an </w:t>
      </w:r>
      <w:r w:rsidR="00854F16" w:rsidRPr="00FB4B14">
        <w:rPr>
          <w:rFonts w:ascii="Times New Roman" w:hAnsi="Times New Roman"/>
        </w:rPr>
        <w:t>"</w:t>
      </w:r>
      <w:r w:rsidR="00C92ABD" w:rsidRPr="00FB4B14">
        <w:rPr>
          <w:rFonts w:ascii="Times New Roman" w:hAnsi="Times New Roman"/>
        </w:rPr>
        <w:t>insolvent transaction</w:t>
      </w:r>
      <w:r w:rsidR="00854F16" w:rsidRPr="00FB4B14">
        <w:rPr>
          <w:rFonts w:ascii="Times New Roman" w:hAnsi="Times New Roman"/>
        </w:rPr>
        <w:t>"</w:t>
      </w:r>
      <w:r w:rsidR="00C92ABD" w:rsidRPr="00FB4B14">
        <w:rPr>
          <w:rFonts w:ascii="Times New Roman" w:hAnsi="Times New Roman"/>
        </w:rPr>
        <w:t xml:space="preserve"> of the company and it was entered into during the six months</w:t>
      </w:r>
      <w:r w:rsidR="0072138E" w:rsidRPr="00FB4B14">
        <w:rPr>
          <w:rFonts w:ascii="Times New Roman" w:hAnsi="Times New Roman"/>
        </w:rPr>
        <w:t xml:space="preserve"> ending on the </w:t>
      </w:r>
      <w:r w:rsidR="00854F16" w:rsidRPr="00FB4B14">
        <w:rPr>
          <w:rFonts w:ascii="Times New Roman" w:hAnsi="Times New Roman"/>
        </w:rPr>
        <w:t>"</w:t>
      </w:r>
      <w:r w:rsidR="0072138E" w:rsidRPr="00FB4B14">
        <w:rPr>
          <w:rFonts w:ascii="Times New Roman" w:hAnsi="Times New Roman"/>
        </w:rPr>
        <w:t>relation-back day</w:t>
      </w:r>
      <w:r w:rsidR="00854F16" w:rsidRPr="00FB4B14">
        <w:rPr>
          <w:rFonts w:ascii="Times New Roman" w:hAnsi="Times New Roman"/>
        </w:rPr>
        <w:t>"</w:t>
      </w:r>
      <w:r w:rsidR="00D2688B" w:rsidRPr="00FB4B14">
        <w:rPr>
          <w:rFonts w:ascii="Times New Roman" w:hAnsi="Times New Roman"/>
        </w:rPr>
        <w:t>, which here was the day the winding up of MJ</w:t>
      </w:r>
      <w:r w:rsidR="00D51F3D" w:rsidRPr="00FB4B14">
        <w:rPr>
          <w:rFonts w:ascii="Times New Roman" w:hAnsi="Times New Roman"/>
        </w:rPr>
        <w:t> </w:t>
      </w:r>
      <w:r w:rsidR="00D2688B" w:rsidRPr="00FB4B14">
        <w:rPr>
          <w:rFonts w:ascii="Times New Roman" w:hAnsi="Times New Roman"/>
        </w:rPr>
        <w:t>Woodman commenced</w:t>
      </w:r>
      <w:r w:rsidR="00D2688B" w:rsidRPr="00FB4B14">
        <w:rPr>
          <w:rStyle w:val="FootnoteReference"/>
          <w:rFonts w:ascii="Times New Roman" w:hAnsi="Times New Roman"/>
          <w:sz w:val="24"/>
        </w:rPr>
        <w:footnoteReference w:id="45"/>
      </w:r>
      <w:r w:rsidR="00CE099A" w:rsidRPr="00FB4B14">
        <w:rPr>
          <w:rFonts w:ascii="Times New Roman" w:hAnsi="Times New Roman"/>
        </w:rPr>
        <w:t xml:space="preserve">. </w:t>
      </w:r>
      <w:r w:rsidR="00A6709A" w:rsidRPr="00FB4B14">
        <w:rPr>
          <w:rFonts w:ascii="Times New Roman" w:hAnsi="Times New Roman"/>
        </w:rPr>
        <w:t>It was an agreed fact in the Amended Special Case that</w:t>
      </w:r>
      <w:r w:rsidR="003C7FAE" w:rsidRPr="00FB4B14">
        <w:rPr>
          <w:rFonts w:ascii="Times New Roman" w:hAnsi="Times New Roman"/>
        </w:rPr>
        <w:t xml:space="preserve"> the relation-back period for the purposes of</w:t>
      </w:r>
      <w:r w:rsidR="00CB568A" w:rsidRPr="00FB4B14">
        <w:rPr>
          <w:rFonts w:ascii="Times New Roman" w:hAnsi="Times New Roman"/>
        </w:rPr>
        <w:t xml:space="preserve"> s </w:t>
      </w:r>
      <w:r w:rsidR="003C7FAE" w:rsidRPr="00FB4B14">
        <w:rPr>
          <w:rFonts w:ascii="Times New Roman" w:hAnsi="Times New Roman"/>
        </w:rPr>
        <w:t>588</w:t>
      </w:r>
      <w:proofErr w:type="gramStart"/>
      <w:r w:rsidR="003C7FAE" w:rsidRPr="00FB4B14">
        <w:rPr>
          <w:rFonts w:ascii="Times New Roman" w:hAnsi="Times New Roman"/>
        </w:rPr>
        <w:t>FE(</w:t>
      </w:r>
      <w:proofErr w:type="gramEnd"/>
      <w:r w:rsidR="003C7FAE" w:rsidRPr="00FB4B14">
        <w:rPr>
          <w:rFonts w:ascii="Times New Roman" w:hAnsi="Times New Roman"/>
        </w:rPr>
        <w:t xml:space="preserve">2) ran from 13 August 2018 to </w:t>
      </w:r>
      <w:r w:rsidR="00135E7C" w:rsidRPr="00FB4B14">
        <w:rPr>
          <w:rFonts w:ascii="Times New Roman" w:hAnsi="Times New Roman"/>
        </w:rPr>
        <w:t>12 February 2019.</w:t>
      </w:r>
    </w:p>
    <w:p w14:paraId="545EF17A" w14:textId="4476BF80" w:rsidR="008E3213" w:rsidRPr="00FB4B14" w:rsidRDefault="00321609"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767F74" w:rsidRPr="00FB4B14">
        <w:rPr>
          <w:rFonts w:ascii="Times New Roman" w:hAnsi="Times New Roman"/>
        </w:rPr>
        <w:t xml:space="preserve">Section 588FC defines what is an </w:t>
      </w:r>
      <w:r w:rsidR="00854F16" w:rsidRPr="00FB4B14">
        <w:rPr>
          <w:rFonts w:ascii="Times New Roman" w:hAnsi="Times New Roman"/>
        </w:rPr>
        <w:t>"</w:t>
      </w:r>
      <w:r w:rsidR="00767F74" w:rsidRPr="00FB4B14">
        <w:rPr>
          <w:rFonts w:ascii="Times New Roman" w:hAnsi="Times New Roman"/>
        </w:rPr>
        <w:t>insolvent transaction</w:t>
      </w:r>
      <w:r w:rsidR="00854F16" w:rsidRPr="00FB4B14">
        <w:rPr>
          <w:rFonts w:ascii="Times New Roman" w:hAnsi="Times New Roman"/>
        </w:rPr>
        <w:t>"</w:t>
      </w:r>
      <w:r w:rsidR="00767F74" w:rsidRPr="00FB4B14">
        <w:rPr>
          <w:rFonts w:ascii="Times New Roman" w:hAnsi="Times New Roman"/>
        </w:rPr>
        <w:t xml:space="preserve">. </w:t>
      </w:r>
      <w:r w:rsidR="00D71703" w:rsidRPr="00FB4B14">
        <w:rPr>
          <w:rFonts w:ascii="Times New Roman" w:hAnsi="Times New Roman"/>
        </w:rPr>
        <w:t>Relevantly, a</w:t>
      </w:r>
      <w:r w:rsidR="00F05E1A" w:rsidRPr="00FB4B14">
        <w:rPr>
          <w:rFonts w:ascii="Times New Roman" w:hAnsi="Times New Roman"/>
        </w:rPr>
        <w:t xml:space="preserve"> transaction is an </w:t>
      </w:r>
      <w:r w:rsidR="00854F16" w:rsidRPr="00FB4B14">
        <w:rPr>
          <w:rFonts w:ascii="Times New Roman" w:hAnsi="Times New Roman"/>
        </w:rPr>
        <w:t>"</w:t>
      </w:r>
      <w:r w:rsidR="00F05E1A" w:rsidRPr="00FB4B14">
        <w:rPr>
          <w:rFonts w:ascii="Times New Roman" w:hAnsi="Times New Roman"/>
        </w:rPr>
        <w:t>insolvent transaction</w:t>
      </w:r>
      <w:r w:rsidR="00854F16" w:rsidRPr="00FB4B14">
        <w:rPr>
          <w:rFonts w:ascii="Times New Roman" w:hAnsi="Times New Roman"/>
        </w:rPr>
        <w:t>"</w:t>
      </w:r>
      <w:r w:rsidR="00F05E1A" w:rsidRPr="00FB4B14">
        <w:rPr>
          <w:rFonts w:ascii="Times New Roman" w:hAnsi="Times New Roman"/>
        </w:rPr>
        <w:t xml:space="preserve"> i</w:t>
      </w:r>
      <w:r w:rsidR="00D71703" w:rsidRPr="00FB4B14">
        <w:rPr>
          <w:rFonts w:ascii="Times New Roman" w:hAnsi="Times New Roman"/>
        </w:rPr>
        <w:t>f it</w:t>
      </w:r>
      <w:r w:rsidR="00135E7C" w:rsidRPr="00FB4B14">
        <w:rPr>
          <w:rFonts w:ascii="Times New Roman" w:hAnsi="Times New Roman"/>
        </w:rPr>
        <w:t xml:space="preserve"> i</w:t>
      </w:r>
      <w:r w:rsidR="00D71703" w:rsidRPr="00FB4B14">
        <w:rPr>
          <w:rFonts w:ascii="Times New Roman" w:hAnsi="Times New Roman"/>
        </w:rPr>
        <w:t xml:space="preserve">s an </w:t>
      </w:r>
      <w:r w:rsidR="00854F16" w:rsidRPr="00FB4B14">
        <w:rPr>
          <w:rFonts w:ascii="Times New Roman" w:hAnsi="Times New Roman"/>
        </w:rPr>
        <w:t>"</w:t>
      </w:r>
      <w:r w:rsidR="00D71703" w:rsidRPr="00FB4B14">
        <w:rPr>
          <w:rFonts w:ascii="Times New Roman" w:hAnsi="Times New Roman"/>
        </w:rPr>
        <w:t>unfair preference</w:t>
      </w:r>
      <w:r w:rsidR="00854F16" w:rsidRPr="00FB4B14">
        <w:rPr>
          <w:rFonts w:ascii="Times New Roman" w:hAnsi="Times New Roman"/>
        </w:rPr>
        <w:t>"</w:t>
      </w:r>
      <w:r w:rsidR="00D71703" w:rsidRPr="00FB4B14">
        <w:rPr>
          <w:rFonts w:ascii="Times New Roman" w:hAnsi="Times New Roman"/>
        </w:rPr>
        <w:t xml:space="preserve"> given by the company </w:t>
      </w:r>
      <w:r w:rsidR="001631B4" w:rsidRPr="00FB4B14">
        <w:rPr>
          <w:rFonts w:ascii="Times New Roman" w:hAnsi="Times New Roman"/>
        </w:rPr>
        <w:t>and</w:t>
      </w:r>
      <w:r w:rsidR="009D5985" w:rsidRPr="00FB4B14">
        <w:rPr>
          <w:rFonts w:ascii="Times New Roman" w:hAnsi="Times New Roman"/>
        </w:rPr>
        <w:t>,</w:t>
      </w:r>
      <w:r w:rsidR="001631B4" w:rsidRPr="00FB4B14">
        <w:rPr>
          <w:rFonts w:ascii="Times New Roman" w:hAnsi="Times New Roman"/>
        </w:rPr>
        <w:t xml:space="preserve"> </w:t>
      </w:r>
      <w:r w:rsidR="009D5985" w:rsidRPr="00FB4B14">
        <w:rPr>
          <w:rFonts w:ascii="Times New Roman" w:hAnsi="Times New Roman"/>
        </w:rPr>
        <w:t>at a time when</w:t>
      </w:r>
      <w:r w:rsidR="001631B4" w:rsidRPr="00FB4B14">
        <w:rPr>
          <w:rFonts w:ascii="Times New Roman" w:hAnsi="Times New Roman"/>
        </w:rPr>
        <w:t xml:space="preserve"> the transaction </w:t>
      </w:r>
      <w:r w:rsidR="009D5985" w:rsidRPr="00FB4B14">
        <w:rPr>
          <w:rFonts w:ascii="Times New Roman" w:hAnsi="Times New Roman"/>
        </w:rPr>
        <w:t>was</w:t>
      </w:r>
      <w:r w:rsidR="001631B4" w:rsidRPr="00FB4B14">
        <w:rPr>
          <w:rFonts w:ascii="Times New Roman" w:hAnsi="Times New Roman"/>
        </w:rPr>
        <w:t xml:space="preserve"> </w:t>
      </w:r>
      <w:proofErr w:type="gramStart"/>
      <w:r w:rsidR="001631B4" w:rsidRPr="00FB4B14">
        <w:rPr>
          <w:rFonts w:ascii="Times New Roman" w:hAnsi="Times New Roman"/>
        </w:rPr>
        <w:t>entered into</w:t>
      </w:r>
      <w:proofErr w:type="gramEnd"/>
      <w:r w:rsidR="009D5985" w:rsidRPr="00FB4B14">
        <w:rPr>
          <w:rFonts w:ascii="Times New Roman" w:hAnsi="Times New Roman"/>
        </w:rPr>
        <w:t>,</w:t>
      </w:r>
      <w:r w:rsidR="00B93D72" w:rsidRPr="00FB4B14">
        <w:rPr>
          <w:rFonts w:ascii="Times New Roman" w:hAnsi="Times New Roman"/>
        </w:rPr>
        <w:t xml:space="preserve"> or when an act </w:t>
      </w:r>
      <w:r w:rsidR="009D5985" w:rsidRPr="00FB4B14">
        <w:rPr>
          <w:rFonts w:ascii="Times New Roman" w:hAnsi="Times New Roman"/>
        </w:rPr>
        <w:t>was</w:t>
      </w:r>
      <w:r w:rsidR="00B93D72" w:rsidRPr="00FB4B14">
        <w:rPr>
          <w:rFonts w:ascii="Times New Roman" w:hAnsi="Times New Roman"/>
        </w:rPr>
        <w:t xml:space="preserve"> done, or omission </w:t>
      </w:r>
      <w:r w:rsidR="009D5985" w:rsidRPr="00FB4B14">
        <w:rPr>
          <w:rFonts w:ascii="Times New Roman" w:hAnsi="Times New Roman"/>
        </w:rPr>
        <w:t>was</w:t>
      </w:r>
      <w:r w:rsidR="00B93D72" w:rsidRPr="00FB4B14">
        <w:rPr>
          <w:rFonts w:ascii="Times New Roman" w:hAnsi="Times New Roman"/>
        </w:rPr>
        <w:t xml:space="preserve"> made, for the purpose of giving effect to the transaction</w:t>
      </w:r>
      <w:r w:rsidR="009D5985" w:rsidRPr="00FB4B14">
        <w:rPr>
          <w:rFonts w:ascii="Times New Roman" w:hAnsi="Times New Roman"/>
        </w:rPr>
        <w:t>, the company was insolvent</w:t>
      </w:r>
      <w:r w:rsidR="00B93D72" w:rsidRPr="00FB4B14">
        <w:rPr>
          <w:rFonts w:ascii="Times New Roman" w:hAnsi="Times New Roman"/>
        </w:rPr>
        <w:t>.</w:t>
      </w:r>
      <w:r w:rsidR="009D5985" w:rsidRPr="00FB4B14">
        <w:rPr>
          <w:rFonts w:ascii="Times New Roman" w:hAnsi="Times New Roman"/>
        </w:rPr>
        <w:t xml:space="preserve"> The Amended Special Case does </w:t>
      </w:r>
      <w:r w:rsidR="00B8055C" w:rsidRPr="00FB4B14">
        <w:rPr>
          <w:rFonts w:ascii="Times New Roman" w:hAnsi="Times New Roman"/>
        </w:rPr>
        <w:t xml:space="preserve">not state when </w:t>
      </w:r>
      <w:r w:rsidR="00CE0EC1" w:rsidRPr="00FB4B14">
        <w:rPr>
          <w:rFonts w:ascii="Times New Roman" w:hAnsi="Times New Roman"/>
        </w:rPr>
        <w:t>MJ </w:t>
      </w:r>
      <w:r w:rsidR="00B8055C" w:rsidRPr="00FB4B14">
        <w:rPr>
          <w:rFonts w:ascii="Times New Roman" w:hAnsi="Times New Roman"/>
        </w:rPr>
        <w:t xml:space="preserve">Woodman became insolvent. However, for the purposes of assessing </w:t>
      </w:r>
      <w:r w:rsidR="0042220F" w:rsidRPr="00FB4B14">
        <w:rPr>
          <w:rFonts w:ascii="Times New Roman" w:hAnsi="Times New Roman"/>
        </w:rPr>
        <w:t>whether set-off is available</w:t>
      </w:r>
      <w:r w:rsidR="00CC405B" w:rsidRPr="00FB4B14">
        <w:rPr>
          <w:rFonts w:ascii="Times New Roman" w:hAnsi="Times New Roman"/>
        </w:rPr>
        <w:t>,</w:t>
      </w:r>
      <w:r w:rsidR="0042220F" w:rsidRPr="00FB4B14">
        <w:rPr>
          <w:rFonts w:ascii="Times New Roman" w:hAnsi="Times New Roman"/>
        </w:rPr>
        <w:t xml:space="preserve"> th</w:t>
      </w:r>
      <w:r w:rsidR="00D90B59" w:rsidRPr="00FB4B14">
        <w:rPr>
          <w:rFonts w:ascii="Times New Roman" w:hAnsi="Times New Roman"/>
        </w:rPr>
        <w:t>is</w:t>
      </w:r>
      <w:r w:rsidR="0042220F" w:rsidRPr="00FB4B14">
        <w:rPr>
          <w:rFonts w:ascii="Times New Roman" w:hAnsi="Times New Roman"/>
        </w:rPr>
        <w:t xml:space="preserve"> Court </w:t>
      </w:r>
      <w:r w:rsidR="009E374C" w:rsidRPr="00FB4B14">
        <w:rPr>
          <w:rFonts w:ascii="Times New Roman" w:hAnsi="Times New Roman"/>
        </w:rPr>
        <w:t xml:space="preserve">was asked to </w:t>
      </w:r>
      <w:r w:rsidR="0042220F" w:rsidRPr="00FB4B14">
        <w:rPr>
          <w:rFonts w:ascii="Times New Roman" w:hAnsi="Times New Roman"/>
        </w:rPr>
        <w:t xml:space="preserve">assume that this provision </w:t>
      </w:r>
      <w:r w:rsidR="00B5097F" w:rsidRPr="00FB4B14">
        <w:rPr>
          <w:rFonts w:ascii="Times New Roman" w:hAnsi="Times New Roman"/>
        </w:rPr>
        <w:t>was</w:t>
      </w:r>
      <w:r w:rsidR="0042220F" w:rsidRPr="00FB4B14">
        <w:rPr>
          <w:rFonts w:ascii="Times New Roman" w:hAnsi="Times New Roman"/>
        </w:rPr>
        <w:t xml:space="preserve"> satisfied</w:t>
      </w:r>
      <w:r w:rsidR="00B5097F" w:rsidRPr="00FB4B14">
        <w:rPr>
          <w:rFonts w:ascii="Times New Roman" w:hAnsi="Times New Roman"/>
        </w:rPr>
        <w:t xml:space="preserve"> in relation to each of the two payments in the sum of $50,000 and $140,000</w:t>
      </w:r>
      <w:r w:rsidR="0042220F" w:rsidRPr="00FB4B14">
        <w:rPr>
          <w:rFonts w:ascii="Times New Roman" w:hAnsi="Times New Roman"/>
        </w:rPr>
        <w:t>.</w:t>
      </w:r>
    </w:p>
    <w:p w14:paraId="590FC440" w14:textId="775C2B4C" w:rsidR="005154D6" w:rsidRPr="00FB4B14" w:rsidRDefault="0042220F" w:rsidP="00FB4B14">
      <w:pPr>
        <w:pStyle w:val="FixListStyle"/>
        <w:spacing w:after="260" w:line="280" w:lineRule="exact"/>
        <w:ind w:right="0"/>
        <w:jc w:val="both"/>
        <w:rPr>
          <w:rFonts w:ascii="Times New Roman" w:hAnsi="Times New Roman"/>
        </w:rPr>
      </w:pPr>
      <w:r w:rsidRPr="00FB4B14">
        <w:rPr>
          <w:rFonts w:ascii="Times New Roman" w:hAnsi="Times New Roman"/>
        </w:rPr>
        <w:tab/>
        <w:t>Section 588FA defines what is a</w:t>
      </w:r>
      <w:r w:rsidR="001056B4" w:rsidRPr="00FB4B14">
        <w:rPr>
          <w:rFonts w:ascii="Times New Roman" w:hAnsi="Times New Roman"/>
        </w:rPr>
        <w:t xml:space="preserve">n </w:t>
      </w:r>
      <w:r w:rsidR="00854F16" w:rsidRPr="00FB4B14">
        <w:rPr>
          <w:rFonts w:ascii="Times New Roman" w:hAnsi="Times New Roman"/>
        </w:rPr>
        <w:t>"</w:t>
      </w:r>
      <w:r w:rsidR="001056B4" w:rsidRPr="00FB4B14">
        <w:rPr>
          <w:rFonts w:ascii="Times New Roman" w:hAnsi="Times New Roman"/>
        </w:rPr>
        <w:t>unfair preference</w:t>
      </w:r>
      <w:r w:rsidR="00854F16" w:rsidRPr="00FB4B14">
        <w:rPr>
          <w:rFonts w:ascii="Times New Roman" w:hAnsi="Times New Roman"/>
        </w:rPr>
        <w:t>"</w:t>
      </w:r>
      <w:r w:rsidR="001056B4" w:rsidRPr="00FB4B14">
        <w:rPr>
          <w:rFonts w:ascii="Times New Roman" w:hAnsi="Times New Roman"/>
        </w:rPr>
        <w:t>. A transaction will</w:t>
      </w:r>
      <w:r w:rsidR="00860E76" w:rsidRPr="00FB4B14">
        <w:rPr>
          <w:rFonts w:ascii="Times New Roman" w:hAnsi="Times New Roman"/>
        </w:rPr>
        <w:t xml:space="preserve"> relevantly</w:t>
      </w:r>
      <w:r w:rsidR="001056B4" w:rsidRPr="00FB4B14">
        <w:rPr>
          <w:rFonts w:ascii="Times New Roman" w:hAnsi="Times New Roman"/>
        </w:rPr>
        <w:t xml:space="preserve"> be an unfair prefer</w:t>
      </w:r>
      <w:r w:rsidR="009245B5" w:rsidRPr="00FB4B14">
        <w:rPr>
          <w:rFonts w:ascii="Times New Roman" w:hAnsi="Times New Roman"/>
        </w:rPr>
        <w:t>ence if</w:t>
      </w:r>
      <w:r w:rsidR="005B5C08" w:rsidRPr="00FB4B14">
        <w:rPr>
          <w:rFonts w:ascii="Times New Roman" w:hAnsi="Times New Roman"/>
        </w:rPr>
        <w:t>:</w:t>
      </w:r>
      <w:r w:rsidR="009245B5" w:rsidRPr="00FB4B14">
        <w:rPr>
          <w:rFonts w:ascii="Times New Roman" w:hAnsi="Times New Roman"/>
        </w:rPr>
        <w:t xml:space="preserve"> the company and the creditor are parties to it</w:t>
      </w:r>
      <w:r w:rsidR="005B5C08" w:rsidRPr="00FB4B14">
        <w:rPr>
          <w:rFonts w:ascii="Times New Roman" w:hAnsi="Times New Roman"/>
        </w:rPr>
        <w:t>;</w:t>
      </w:r>
      <w:r w:rsidR="009245B5" w:rsidRPr="00FB4B14">
        <w:rPr>
          <w:rFonts w:ascii="Times New Roman" w:hAnsi="Times New Roman"/>
        </w:rPr>
        <w:t xml:space="preserve"> and it results in the creditor receiving from the company</w:t>
      </w:r>
      <w:r w:rsidR="00860E76" w:rsidRPr="00FB4B14">
        <w:rPr>
          <w:rFonts w:ascii="Times New Roman" w:hAnsi="Times New Roman"/>
        </w:rPr>
        <w:t xml:space="preserve"> </w:t>
      </w:r>
      <w:r w:rsidR="00144334" w:rsidRPr="00FB4B14">
        <w:rPr>
          <w:rFonts w:ascii="Times New Roman" w:hAnsi="Times New Roman"/>
        </w:rPr>
        <w:t>more tha</w:t>
      </w:r>
      <w:r w:rsidR="00937F57" w:rsidRPr="00FB4B14">
        <w:rPr>
          <w:rFonts w:ascii="Times New Roman" w:hAnsi="Times New Roman"/>
        </w:rPr>
        <w:t>n</w:t>
      </w:r>
      <w:r w:rsidR="00144334" w:rsidRPr="00FB4B14">
        <w:rPr>
          <w:rFonts w:ascii="Times New Roman" w:hAnsi="Times New Roman"/>
        </w:rPr>
        <w:t xml:space="preserve"> the creditor would receive </w:t>
      </w:r>
      <w:r w:rsidR="00DC0FF7" w:rsidRPr="00FB4B14">
        <w:rPr>
          <w:rFonts w:ascii="Times New Roman" w:hAnsi="Times New Roman"/>
        </w:rPr>
        <w:t xml:space="preserve">in respect of </w:t>
      </w:r>
      <w:r w:rsidR="007D72B5" w:rsidRPr="00FB4B14">
        <w:rPr>
          <w:rFonts w:ascii="Times New Roman" w:hAnsi="Times New Roman"/>
        </w:rPr>
        <w:t xml:space="preserve">an unsecured </w:t>
      </w:r>
      <w:r w:rsidR="00DC0FF7" w:rsidRPr="00FB4B14">
        <w:rPr>
          <w:rFonts w:ascii="Times New Roman" w:hAnsi="Times New Roman"/>
        </w:rPr>
        <w:t xml:space="preserve">debt if the transaction were set aside and the creditor </w:t>
      </w:r>
      <w:r w:rsidR="00854F16" w:rsidRPr="00FB4B14">
        <w:rPr>
          <w:rFonts w:ascii="Times New Roman" w:hAnsi="Times New Roman"/>
        </w:rPr>
        <w:t>"</w:t>
      </w:r>
      <w:r w:rsidR="00DC0FF7" w:rsidRPr="00FB4B14">
        <w:rPr>
          <w:rFonts w:ascii="Times New Roman" w:hAnsi="Times New Roman"/>
        </w:rPr>
        <w:t>were to prove for the debt in a winding up of the company</w:t>
      </w:r>
      <w:r w:rsidR="00854F16" w:rsidRPr="00FB4B14">
        <w:rPr>
          <w:rFonts w:ascii="Times New Roman" w:hAnsi="Times New Roman"/>
        </w:rPr>
        <w:t>"</w:t>
      </w:r>
      <w:r w:rsidR="00DC0FF7" w:rsidRPr="00FB4B14">
        <w:rPr>
          <w:rStyle w:val="FootnoteReference"/>
          <w:rFonts w:ascii="Times New Roman" w:hAnsi="Times New Roman"/>
          <w:sz w:val="24"/>
        </w:rPr>
        <w:footnoteReference w:id="46"/>
      </w:r>
      <w:r w:rsidR="008B02B0" w:rsidRPr="00FB4B14">
        <w:rPr>
          <w:rFonts w:ascii="Times New Roman" w:hAnsi="Times New Roman"/>
        </w:rPr>
        <w:t>.</w:t>
      </w:r>
      <w:r w:rsidR="007A5902" w:rsidRPr="00FB4B14">
        <w:rPr>
          <w:rFonts w:ascii="Times New Roman" w:hAnsi="Times New Roman"/>
        </w:rPr>
        <w:t xml:space="preserve"> Two observations should be made. The Amended Special Case does not concede that any payments made to the appellant </w:t>
      </w:r>
      <w:r w:rsidR="004F6B87" w:rsidRPr="00FB4B14">
        <w:rPr>
          <w:rFonts w:ascii="Times New Roman" w:hAnsi="Times New Roman"/>
        </w:rPr>
        <w:t xml:space="preserve">are unfair preferences. Rather, this </w:t>
      </w:r>
      <w:r w:rsidR="000C4782" w:rsidRPr="00FB4B14">
        <w:rPr>
          <w:rFonts w:ascii="Times New Roman" w:hAnsi="Times New Roman"/>
        </w:rPr>
        <w:t xml:space="preserve">again </w:t>
      </w:r>
      <w:r w:rsidR="004F6B87" w:rsidRPr="00FB4B14">
        <w:rPr>
          <w:rFonts w:ascii="Times New Roman" w:hAnsi="Times New Roman"/>
        </w:rPr>
        <w:t>has been assumed for the purposes of answering the ques</w:t>
      </w:r>
      <w:r w:rsidR="00266356" w:rsidRPr="00FB4B14">
        <w:rPr>
          <w:rFonts w:ascii="Times New Roman" w:hAnsi="Times New Roman"/>
        </w:rPr>
        <w:t>ti</w:t>
      </w:r>
      <w:r w:rsidR="004F6B87" w:rsidRPr="00FB4B14">
        <w:rPr>
          <w:rFonts w:ascii="Times New Roman" w:hAnsi="Times New Roman"/>
        </w:rPr>
        <w:t>on</w:t>
      </w:r>
      <w:r w:rsidR="00266356" w:rsidRPr="00FB4B14">
        <w:rPr>
          <w:rFonts w:ascii="Times New Roman" w:hAnsi="Times New Roman"/>
        </w:rPr>
        <w:t xml:space="preserve"> reserved for consideration by the Full Court. Secondly, </w:t>
      </w:r>
      <w:r w:rsidR="005E68B9" w:rsidRPr="00FB4B14">
        <w:rPr>
          <w:rFonts w:ascii="Times New Roman" w:hAnsi="Times New Roman"/>
        </w:rPr>
        <w:t>s</w:t>
      </w:r>
      <w:r w:rsidR="00756F25" w:rsidRPr="00FB4B14">
        <w:rPr>
          <w:rFonts w:ascii="Times New Roman" w:hAnsi="Times New Roman"/>
        </w:rPr>
        <w:t xml:space="preserve"> 588FA</w:t>
      </w:r>
      <w:r w:rsidR="00AA1FD3" w:rsidRPr="00FB4B14">
        <w:rPr>
          <w:rFonts w:ascii="Times New Roman" w:hAnsi="Times New Roman"/>
        </w:rPr>
        <w:t xml:space="preserve"> is directed at what might </w:t>
      </w:r>
      <w:r w:rsidR="00B5097F" w:rsidRPr="00FB4B14">
        <w:rPr>
          <w:rFonts w:ascii="Times New Roman" w:hAnsi="Times New Roman"/>
        </w:rPr>
        <w:t>have been</w:t>
      </w:r>
      <w:r w:rsidR="00AA1FD3" w:rsidRPr="00FB4B14">
        <w:rPr>
          <w:rFonts w:ascii="Times New Roman" w:hAnsi="Times New Roman"/>
        </w:rPr>
        <w:t xml:space="preserve"> provable in the winding up. Of necessity, for the reasons already given, that </w:t>
      </w:r>
      <w:r w:rsidR="005A4C6D" w:rsidRPr="00FB4B14">
        <w:rPr>
          <w:rFonts w:ascii="Times New Roman" w:hAnsi="Times New Roman"/>
        </w:rPr>
        <w:t xml:space="preserve">means that it is concerned with a transaction </w:t>
      </w:r>
      <w:r w:rsidR="00351F54" w:rsidRPr="00FB4B14">
        <w:rPr>
          <w:rFonts w:ascii="Times New Roman" w:hAnsi="Times New Roman"/>
        </w:rPr>
        <w:t xml:space="preserve">that is an unfair preference </w:t>
      </w:r>
      <w:r w:rsidR="005A4C6D" w:rsidRPr="00FB4B14">
        <w:rPr>
          <w:rFonts w:ascii="Times New Roman" w:hAnsi="Times New Roman"/>
        </w:rPr>
        <w:t>entered into before the commencement of the winding up.</w:t>
      </w:r>
    </w:p>
    <w:p w14:paraId="43ACB1B5" w14:textId="3F743559" w:rsidR="00314F77" w:rsidRPr="00FB4B14" w:rsidRDefault="005154D6"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254A1A" w:rsidRPr="00FB4B14">
        <w:rPr>
          <w:rFonts w:ascii="Times New Roman" w:hAnsi="Times New Roman"/>
        </w:rPr>
        <w:t xml:space="preserve">Section </w:t>
      </w:r>
      <w:r w:rsidR="006F3B34" w:rsidRPr="00FB4B14">
        <w:rPr>
          <w:rFonts w:ascii="Times New Roman" w:hAnsi="Times New Roman"/>
        </w:rPr>
        <w:t xml:space="preserve">588FI </w:t>
      </w:r>
      <w:r w:rsidR="00BC4D0D" w:rsidRPr="00FB4B14">
        <w:rPr>
          <w:rFonts w:ascii="Times New Roman" w:hAnsi="Times New Roman"/>
        </w:rPr>
        <w:t xml:space="preserve">applies where </w:t>
      </w:r>
      <w:r w:rsidR="005908C3" w:rsidRPr="00FB4B14">
        <w:rPr>
          <w:rFonts w:ascii="Times New Roman" w:hAnsi="Times New Roman"/>
        </w:rPr>
        <w:t>a creditor receives an unfair preference from a company and</w:t>
      </w:r>
      <w:r w:rsidR="00D71D78" w:rsidRPr="00FB4B14">
        <w:rPr>
          <w:rFonts w:ascii="Times New Roman" w:hAnsi="Times New Roman"/>
        </w:rPr>
        <w:t xml:space="preserve"> at the request of the company</w:t>
      </w:r>
      <w:r w:rsidR="00854F16" w:rsidRPr="00FB4B14">
        <w:rPr>
          <w:rFonts w:ascii="Times New Roman" w:hAnsi="Times New Roman"/>
        </w:rPr>
        <w:t>'</w:t>
      </w:r>
      <w:r w:rsidR="00D71D78" w:rsidRPr="00FB4B14">
        <w:rPr>
          <w:rFonts w:ascii="Times New Roman" w:hAnsi="Times New Roman"/>
        </w:rPr>
        <w:t>s liquidator, because of an order under</w:t>
      </w:r>
      <w:r w:rsidR="00CB568A" w:rsidRPr="00FB4B14">
        <w:rPr>
          <w:rFonts w:ascii="Times New Roman" w:hAnsi="Times New Roman"/>
        </w:rPr>
        <w:t xml:space="preserve"> </w:t>
      </w:r>
      <w:r w:rsidR="00CB568A" w:rsidRPr="00FB4B14">
        <w:rPr>
          <w:rFonts w:ascii="Times New Roman" w:hAnsi="Times New Roman"/>
        </w:rPr>
        <w:lastRenderedPageBreak/>
        <w:t>s </w:t>
      </w:r>
      <w:r w:rsidR="00D71D78" w:rsidRPr="00FB4B14">
        <w:rPr>
          <w:rFonts w:ascii="Times New Roman" w:hAnsi="Times New Roman"/>
        </w:rPr>
        <w:t xml:space="preserve">588FF, or for any other reason, the creditor </w:t>
      </w:r>
      <w:r w:rsidR="00083023" w:rsidRPr="00FB4B14">
        <w:rPr>
          <w:rFonts w:ascii="Times New Roman" w:hAnsi="Times New Roman"/>
        </w:rPr>
        <w:t xml:space="preserve">has put the company in the same position as if the transaction had not been </w:t>
      </w:r>
      <w:proofErr w:type="gramStart"/>
      <w:r w:rsidR="00083023" w:rsidRPr="00FB4B14">
        <w:rPr>
          <w:rFonts w:ascii="Times New Roman" w:hAnsi="Times New Roman"/>
        </w:rPr>
        <w:t>entered into</w:t>
      </w:r>
      <w:proofErr w:type="gramEnd"/>
      <w:r w:rsidR="00083023" w:rsidRPr="00FB4B14">
        <w:rPr>
          <w:rFonts w:ascii="Times New Roman" w:hAnsi="Times New Roman"/>
        </w:rPr>
        <w:t>.</w:t>
      </w:r>
      <w:r w:rsidR="00ED30FD" w:rsidRPr="00FB4B14">
        <w:rPr>
          <w:rFonts w:ascii="Times New Roman" w:hAnsi="Times New Roman"/>
        </w:rPr>
        <w:t xml:space="preserve"> Where</w:t>
      </w:r>
      <w:r w:rsidR="00CB568A" w:rsidRPr="00FB4B14">
        <w:rPr>
          <w:rFonts w:ascii="Times New Roman" w:hAnsi="Times New Roman"/>
        </w:rPr>
        <w:t xml:space="preserve"> s </w:t>
      </w:r>
      <w:r w:rsidR="00ED30FD" w:rsidRPr="00FB4B14">
        <w:rPr>
          <w:rFonts w:ascii="Times New Roman" w:hAnsi="Times New Roman"/>
        </w:rPr>
        <w:t xml:space="preserve">588FI is engaged, the </w:t>
      </w:r>
      <w:r w:rsidR="00854F16" w:rsidRPr="00FB4B14">
        <w:rPr>
          <w:rFonts w:ascii="Times New Roman" w:hAnsi="Times New Roman"/>
        </w:rPr>
        <w:t>"</w:t>
      </w:r>
      <w:r w:rsidR="00ED30FD" w:rsidRPr="00FB4B14">
        <w:rPr>
          <w:rFonts w:ascii="Times New Roman" w:hAnsi="Times New Roman"/>
        </w:rPr>
        <w:t xml:space="preserve">creditor may </w:t>
      </w:r>
      <w:r w:rsidR="00403FB8" w:rsidRPr="00FB4B14">
        <w:rPr>
          <w:rFonts w:ascii="Times New Roman" w:hAnsi="Times New Roman"/>
        </w:rPr>
        <w:t>prove in the winding up as if the transaction had not been entered into</w:t>
      </w:r>
      <w:r w:rsidR="00854F16" w:rsidRPr="00FB4B14">
        <w:rPr>
          <w:rFonts w:ascii="Times New Roman" w:hAnsi="Times New Roman"/>
        </w:rPr>
        <w:t>"</w:t>
      </w:r>
      <w:r w:rsidR="00403FB8" w:rsidRPr="00FB4B14">
        <w:rPr>
          <w:rStyle w:val="FootnoteReference"/>
          <w:rFonts w:ascii="Times New Roman" w:hAnsi="Times New Roman"/>
          <w:sz w:val="24"/>
        </w:rPr>
        <w:footnoteReference w:id="47"/>
      </w:r>
      <w:r w:rsidR="00403FB8" w:rsidRPr="00FB4B14">
        <w:rPr>
          <w:rFonts w:ascii="Times New Roman" w:hAnsi="Times New Roman"/>
        </w:rPr>
        <w:t>.</w:t>
      </w:r>
      <w:r w:rsidR="00DD5552" w:rsidRPr="00FB4B14">
        <w:rPr>
          <w:rFonts w:ascii="Times New Roman" w:hAnsi="Times New Roman"/>
        </w:rPr>
        <w:t xml:space="preserve"> </w:t>
      </w:r>
      <w:r w:rsidR="00FC2874" w:rsidRPr="00FB4B14">
        <w:rPr>
          <w:rFonts w:ascii="Times New Roman" w:hAnsi="Times New Roman"/>
        </w:rPr>
        <w:t xml:space="preserve">This section reflects the </w:t>
      </w:r>
      <w:r w:rsidR="005327FC" w:rsidRPr="00FB4B14">
        <w:rPr>
          <w:rFonts w:ascii="Times New Roman" w:hAnsi="Times New Roman"/>
        </w:rPr>
        <w:t xml:space="preserve">well-established </w:t>
      </w:r>
      <w:r w:rsidR="00FC2874" w:rsidRPr="00FB4B14">
        <w:rPr>
          <w:rFonts w:ascii="Times New Roman" w:hAnsi="Times New Roman"/>
        </w:rPr>
        <w:t xml:space="preserve">position </w:t>
      </w:r>
      <w:r w:rsidR="00BF78D1" w:rsidRPr="00FB4B14">
        <w:rPr>
          <w:rFonts w:ascii="Times New Roman" w:hAnsi="Times New Roman"/>
        </w:rPr>
        <w:t xml:space="preserve">under the former </w:t>
      </w:r>
      <w:proofErr w:type="gramStart"/>
      <w:r w:rsidR="00BF78D1" w:rsidRPr="00FB4B14">
        <w:rPr>
          <w:rFonts w:ascii="Times New Roman" w:hAnsi="Times New Roman"/>
        </w:rPr>
        <w:t>companies</w:t>
      </w:r>
      <w:proofErr w:type="gramEnd"/>
      <w:r w:rsidR="00BF78D1" w:rsidRPr="00FB4B14">
        <w:rPr>
          <w:rFonts w:ascii="Times New Roman" w:hAnsi="Times New Roman"/>
        </w:rPr>
        <w:t xml:space="preserve"> legislation that a creditor </w:t>
      </w:r>
      <w:r w:rsidR="009C7E14" w:rsidRPr="00FB4B14">
        <w:rPr>
          <w:rFonts w:ascii="Times New Roman" w:hAnsi="Times New Roman"/>
        </w:rPr>
        <w:t xml:space="preserve">who receives an unfair preference </w:t>
      </w:r>
      <w:r w:rsidR="004E2BD6" w:rsidRPr="00FB4B14">
        <w:rPr>
          <w:rFonts w:ascii="Times New Roman" w:hAnsi="Times New Roman"/>
        </w:rPr>
        <w:t xml:space="preserve">cannot </w:t>
      </w:r>
      <w:r w:rsidR="00D94B8B" w:rsidRPr="00FB4B14">
        <w:rPr>
          <w:rFonts w:ascii="Times New Roman" w:hAnsi="Times New Roman"/>
        </w:rPr>
        <w:t xml:space="preserve">prove in the winding up of </w:t>
      </w:r>
      <w:r w:rsidR="004E2BD6" w:rsidRPr="00FB4B14">
        <w:rPr>
          <w:rFonts w:ascii="Times New Roman" w:hAnsi="Times New Roman"/>
        </w:rPr>
        <w:t xml:space="preserve">a </w:t>
      </w:r>
      <w:r w:rsidR="00D94B8B" w:rsidRPr="00FB4B14">
        <w:rPr>
          <w:rFonts w:ascii="Times New Roman" w:hAnsi="Times New Roman"/>
        </w:rPr>
        <w:t xml:space="preserve">company until </w:t>
      </w:r>
      <w:r w:rsidR="001818DE" w:rsidRPr="00FB4B14">
        <w:rPr>
          <w:rFonts w:ascii="Times New Roman" w:hAnsi="Times New Roman"/>
        </w:rPr>
        <w:t xml:space="preserve">it has </w:t>
      </w:r>
      <w:r w:rsidR="00D94B8B" w:rsidRPr="00FB4B14">
        <w:rPr>
          <w:rFonts w:ascii="Times New Roman" w:hAnsi="Times New Roman"/>
        </w:rPr>
        <w:t xml:space="preserve">repaid </w:t>
      </w:r>
      <w:r w:rsidR="00192A24" w:rsidRPr="00FB4B14">
        <w:rPr>
          <w:rFonts w:ascii="Times New Roman" w:hAnsi="Times New Roman"/>
        </w:rPr>
        <w:t>the amount</w:t>
      </w:r>
      <w:r w:rsidR="00A37EA0" w:rsidRPr="00FB4B14">
        <w:rPr>
          <w:rFonts w:ascii="Times New Roman" w:hAnsi="Times New Roman"/>
        </w:rPr>
        <w:t xml:space="preserve"> preferentially paid to </w:t>
      </w:r>
      <w:r w:rsidR="001818DE" w:rsidRPr="00FB4B14">
        <w:rPr>
          <w:rFonts w:ascii="Times New Roman" w:hAnsi="Times New Roman"/>
        </w:rPr>
        <w:t xml:space="preserve">it </w:t>
      </w:r>
      <w:r w:rsidR="00D94B8B" w:rsidRPr="00FB4B14">
        <w:rPr>
          <w:rFonts w:ascii="Times New Roman" w:hAnsi="Times New Roman"/>
        </w:rPr>
        <w:t>in full</w:t>
      </w:r>
      <w:r w:rsidR="00D94B8B" w:rsidRPr="00FB4B14">
        <w:rPr>
          <w:rStyle w:val="FootnoteReference"/>
          <w:rFonts w:ascii="Times New Roman" w:hAnsi="Times New Roman"/>
          <w:sz w:val="24"/>
        </w:rPr>
        <w:footnoteReference w:id="48"/>
      </w:r>
      <w:r w:rsidR="00D94B8B" w:rsidRPr="00FB4B14">
        <w:rPr>
          <w:rFonts w:ascii="Times New Roman" w:hAnsi="Times New Roman"/>
        </w:rPr>
        <w:t>.</w:t>
      </w:r>
      <w:r w:rsidR="00FC2874" w:rsidRPr="00FB4B14">
        <w:rPr>
          <w:rFonts w:ascii="Times New Roman" w:hAnsi="Times New Roman"/>
        </w:rPr>
        <w:t xml:space="preserve"> </w:t>
      </w:r>
      <w:r w:rsidR="008A57EE" w:rsidRPr="00FB4B14">
        <w:rPr>
          <w:rFonts w:ascii="Times New Roman" w:hAnsi="Times New Roman"/>
        </w:rPr>
        <w:t>It is also an exception to the principle enshrined in</w:t>
      </w:r>
      <w:r w:rsidR="00CB568A" w:rsidRPr="00FB4B14">
        <w:rPr>
          <w:rFonts w:ascii="Times New Roman" w:hAnsi="Times New Roman"/>
        </w:rPr>
        <w:t xml:space="preserve"> s </w:t>
      </w:r>
      <w:r w:rsidR="008A57EE" w:rsidRPr="00FB4B14">
        <w:rPr>
          <w:rFonts w:ascii="Times New Roman" w:hAnsi="Times New Roman"/>
        </w:rPr>
        <w:t xml:space="preserve">553 that only </w:t>
      </w:r>
      <w:r w:rsidR="0029565A" w:rsidRPr="00FB4B14">
        <w:rPr>
          <w:rFonts w:ascii="Times New Roman" w:hAnsi="Times New Roman"/>
        </w:rPr>
        <w:t xml:space="preserve">debts </w:t>
      </w:r>
      <w:r w:rsidR="00151E05" w:rsidRPr="00FB4B14">
        <w:rPr>
          <w:rFonts w:ascii="Times New Roman" w:hAnsi="Times New Roman"/>
        </w:rPr>
        <w:t>and</w:t>
      </w:r>
      <w:r w:rsidR="0029565A" w:rsidRPr="00FB4B14">
        <w:rPr>
          <w:rFonts w:ascii="Times New Roman" w:hAnsi="Times New Roman"/>
        </w:rPr>
        <w:t xml:space="preserve"> </w:t>
      </w:r>
      <w:r w:rsidR="008A57EE" w:rsidRPr="00FB4B14">
        <w:rPr>
          <w:rFonts w:ascii="Times New Roman" w:hAnsi="Times New Roman"/>
        </w:rPr>
        <w:t xml:space="preserve">claims which existed before the commencement </w:t>
      </w:r>
      <w:r w:rsidR="00D2576F" w:rsidRPr="00FB4B14">
        <w:rPr>
          <w:rFonts w:ascii="Times New Roman" w:hAnsi="Times New Roman"/>
        </w:rPr>
        <w:t>of the winding up are provable.</w:t>
      </w:r>
    </w:p>
    <w:p w14:paraId="1C157548" w14:textId="12CFFEEA" w:rsidR="009E2570" w:rsidRPr="00FB4B14" w:rsidRDefault="005C47B7" w:rsidP="00FB4B14">
      <w:pPr>
        <w:pStyle w:val="HeadingL2"/>
        <w:spacing w:after="260" w:line="280" w:lineRule="exact"/>
        <w:ind w:right="0"/>
        <w:jc w:val="both"/>
        <w:rPr>
          <w:rFonts w:ascii="Times New Roman" w:hAnsi="Times New Roman"/>
        </w:rPr>
      </w:pPr>
      <w:r w:rsidRPr="00FB4B14">
        <w:rPr>
          <w:rFonts w:ascii="Times New Roman" w:hAnsi="Times New Roman"/>
        </w:rPr>
        <w:t>Key features</w:t>
      </w:r>
      <w:r w:rsidR="004A35F8" w:rsidRPr="00FB4B14">
        <w:rPr>
          <w:rFonts w:ascii="Times New Roman" w:hAnsi="Times New Roman"/>
        </w:rPr>
        <w:t xml:space="preserve"> of the statutory scheme</w:t>
      </w:r>
      <w:r w:rsidR="0039780E" w:rsidRPr="00FB4B14">
        <w:rPr>
          <w:rFonts w:ascii="Times New Roman" w:hAnsi="Times New Roman"/>
        </w:rPr>
        <w:t xml:space="preserve"> </w:t>
      </w:r>
    </w:p>
    <w:p w14:paraId="38C75F00" w14:textId="7E411A0D" w:rsidR="00284848" w:rsidRPr="00FB4B14" w:rsidRDefault="009E2570"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111827" w:rsidRPr="00FB4B14">
        <w:rPr>
          <w:rFonts w:ascii="Times New Roman" w:hAnsi="Times New Roman"/>
        </w:rPr>
        <w:t>Five</w:t>
      </w:r>
      <w:r w:rsidR="00E86E64" w:rsidRPr="00FB4B14">
        <w:rPr>
          <w:rFonts w:ascii="Times New Roman" w:hAnsi="Times New Roman"/>
        </w:rPr>
        <w:t xml:space="preserve"> features of the foregoing statutory </w:t>
      </w:r>
      <w:r w:rsidR="00A436E4" w:rsidRPr="00FB4B14">
        <w:rPr>
          <w:rFonts w:ascii="Times New Roman" w:hAnsi="Times New Roman"/>
        </w:rPr>
        <w:t>scheme of liquidation should be emphasised.</w:t>
      </w:r>
    </w:p>
    <w:p w14:paraId="7F766037" w14:textId="14793C8D" w:rsidR="00A436E4" w:rsidRPr="00FB4B14" w:rsidRDefault="00A436E4"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First, the liquidator is given power and responsibility to </w:t>
      </w:r>
      <w:r w:rsidR="000D072E" w:rsidRPr="00FB4B14">
        <w:rPr>
          <w:rFonts w:ascii="Times New Roman" w:hAnsi="Times New Roman"/>
        </w:rPr>
        <w:t>identify and gather in the assets of the company for distribution to creditors and contributor</w:t>
      </w:r>
      <w:r w:rsidR="00162E21" w:rsidRPr="00FB4B14">
        <w:rPr>
          <w:rFonts w:ascii="Times New Roman" w:hAnsi="Times New Roman"/>
        </w:rPr>
        <w:t>ie</w:t>
      </w:r>
      <w:r w:rsidR="000D072E" w:rsidRPr="00FB4B14">
        <w:rPr>
          <w:rFonts w:ascii="Times New Roman" w:hAnsi="Times New Roman"/>
        </w:rPr>
        <w:t>s. Secondly</w:t>
      </w:r>
      <w:r w:rsidR="00B41F57" w:rsidRPr="00FB4B14">
        <w:rPr>
          <w:rFonts w:ascii="Times New Roman" w:hAnsi="Times New Roman"/>
        </w:rPr>
        <w:t xml:space="preserve">, the liquidator is also obliged to distribute those assets </w:t>
      </w:r>
      <w:r w:rsidR="00C969BD" w:rsidRPr="00FB4B14">
        <w:rPr>
          <w:rFonts w:ascii="Times New Roman" w:hAnsi="Times New Roman"/>
        </w:rPr>
        <w:t>by the making of priority payments and the</w:t>
      </w:r>
      <w:r w:rsidR="00A74D2D" w:rsidRPr="00FB4B14">
        <w:rPr>
          <w:rFonts w:ascii="Times New Roman" w:hAnsi="Times New Roman"/>
        </w:rPr>
        <w:t xml:space="preserve">n </w:t>
      </w:r>
      <w:r w:rsidR="0091077E" w:rsidRPr="00FB4B14">
        <w:rPr>
          <w:rFonts w:ascii="Times New Roman" w:hAnsi="Times New Roman"/>
        </w:rPr>
        <w:t xml:space="preserve">on a </w:t>
      </w:r>
      <w:proofErr w:type="spellStart"/>
      <w:r w:rsidR="0091077E" w:rsidRPr="00FB4B14">
        <w:rPr>
          <w:rFonts w:ascii="Times New Roman" w:hAnsi="Times New Roman"/>
          <w:i/>
          <w:iCs/>
        </w:rPr>
        <w:t>pari</w:t>
      </w:r>
      <w:proofErr w:type="spellEnd"/>
      <w:r w:rsidR="0091077E" w:rsidRPr="00FB4B14">
        <w:rPr>
          <w:rFonts w:ascii="Times New Roman" w:hAnsi="Times New Roman"/>
          <w:i/>
          <w:iCs/>
        </w:rPr>
        <w:t xml:space="preserve"> passu</w:t>
      </w:r>
      <w:r w:rsidR="0091077E" w:rsidRPr="00FB4B14">
        <w:rPr>
          <w:rFonts w:ascii="Times New Roman" w:hAnsi="Times New Roman"/>
        </w:rPr>
        <w:t xml:space="preserve"> basis</w:t>
      </w:r>
      <w:r w:rsidR="00387CD2" w:rsidRPr="00FB4B14">
        <w:rPr>
          <w:rFonts w:ascii="Times New Roman" w:hAnsi="Times New Roman"/>
        </w:rPr>
        <w:t xml:space="preserve"> </w:t>
      </w:r>
      <w:r w:rsidR="00890A90" w:rsidRPr="00FB4B14">
        <w:rPr>
          <w:rFonts w:ascii="Times New Roman" w:hAnsi="Times New Roman"/>
        </w:rPr>
        <w:t>by paying</w:t>
      </w:r>
      <w:r w:rsidR="00A74D2D" w:rsidRPr="00FB4B14">
        <w:rPr>
          <w:rFonts w:ascii="Times New Roman" w:hAnsi="Times New Roman"/>
        </w:rPr>
        <w:t xml:space="preserve"> creditors and contributories.</w:t>
      </w:r>
      <w:r w:rsidR="005A3D6E" w:rsidRPr="00FB4B14">
        <w:rPr>
          <w:rFonts w:ascii="Times New Roman" w:hAnsi="Times New Roman"/>
        </w:rPr>
        <w:t xml:space="preserve"> Thirdly, </w:t>
      </w:r>
      <w:r w:rsidR="00392BA8" w:rsidRPr="00FB4B14">
        <w:rPr>
          <w:rFonts w:ascii="Times New Roman" w:hAnsi="Times New Roman"/>
        </w:rPr>
        <w:t xml:space="preserve">a bright line is drawn </w:t>
      </w:r>
      <w:r w:rsidR="00BF66DF" w:rsidRPr="00FB4B14">
        <w:rPr>
          <w:rFonts w:ascii="Times New Roman" w:hAnsi="Times New Roman"/>
        </w:rPr>
        <w:t xml:space="preserve">to enable the liquidator to determine what debts are payable by the company and what claims must be met against it; here </w:t>
      </w:r>
      <w:r w:rsidR="00146FFA" w:rsidRPr="00FB4B14">
        <w:rPr>
          <w:rFonts w:ascii="Times New Roman" w:hAnsi="Times New Roman"/>
        </w:rPr>
        <w:t>it is</w:t>
      </w:r>
      <w:r w:rsidR="00E63042" w:rsidRPr="00FB4B14">
        <w:rPr>
          <w:rFonts w:ascii="Times New Roman" w:hAnsi="Times New Roman"/>
        </w:rPr>
        <w:t xml:space="preserve"> those arising from </w:t>
      </w:r>
      <w:r w:rsidR="00854F16" w:rsidRPr="00FB4B14">
        <w:rPr>
          <w:rFonts w:ascii="Times New Roman" w:hAnsi="Times New Roman"/>
        </w:rPr>
        <w:t>"</w:t>
      </w:r>
      <w:r w:rsidR="00E63042" w:rsidRPr="00FB4B14">
        <w:rPr>
          <w:rFonts w:ascii="Times New Roman" w:hAnsi="Times New Roman"/>
        </w:rPr>
        <w:t>circumstances</w:t>
      </w:r>
      <w:r w:rsidR="00854F16" w:rsidRPr="00FB4B14">
        <w:rPr>
          <w:rFonts w:ascii="Times New Roman" w:hAnsi="Times New Roman"/>
        </w:rPr>
        <w:t>"</w:t>
      </w:r>
      <w:r w:rsidR="00E63042" w:rsidRPr="00FB4B14">
        <w:rPr>
          <w:rFonts w:ascii="Times New Roman" w:hAnsi="Times New Roman"/>
        </w:rPr>
        <w:t xml:space="preserve"> which existed </w:t>
      </w:r>
      <w:r w:rsidR="00854F16" w:rsidRPr="00FB4B14">
        <w:rPr>
          <w:rFonts w:ascii="Times New Roman" w:hAnsi="Times New Roman"/>
        </w:rPr>
        <w:t>"</w:t>
      </w:r>
      <w:r w:rsidR="00E63042" w:rsidRPr="00FB4B14">
        <w:rPr>
          <w:rFonts w:ascii="Times New Roman" w:hAnsi="Times New Roman"/>
        </w:rPr>
        <w:t>before</w:t>
      </w:r>
      <w:r w:rsidR="00854F16" w:rsidRPr="00FB4B14">
        <w:rPr>
          <w:rFonts w:ascii="Times New Roman" w:hAnsi="Times New Roman"/>
        </w:rPr>
        <w:t>"</w:t>
      </w:r>
      <w:r w:rsidR="00BF66DF" w:rsidRPr="00FB4B14">
        <w:rPr>
          <w:rFonts w:ascii="Times New Roman" w:hAnsi="Times New Roman"/>
        </w:rPr>
        <w:t xml:space="preserve"> the date of winding up. Fourthly, in </w:t>
      </w:r>
      <w:r w:rsidR="00F77624" w:rsidRPr="00FB4B14">
        <w:rPr>
          <w:rFonts w:ascii="Times New Roman" w:hAnsi="Times New Roman"/>
        </w:rPr>
        <w:t xml:space="preserve">aid of </w:t>
      </w:r>
      <w:r w:rsidR="009E386A" w:rsidRPr="00FB4B14">
        <w:rPr>
          <w:rFonts w:ascii="Times New Roman" w:hAnsi="Times New Roman"/>
        </w:rPr>
        <w:t>the duty to gather in the assets of the company, the liquidator may recover preference payments</w:t>
      </w:r>
      <w:r w:rsidR="00AF7E52" w:rsidRPr="00FB4B14">
        <w:rPr>
          <w:rFonts w:ascii="Times New Roman" w:hAnsi="Times New Roman"/>
        </w:rPr>
        <w:t xml:space="preserve"> as a debt owed to the company. Finally, </w:t>
      </w:r>
      <w:r w:rsidR="004A6819" w:rsidRPr="00FB4B14">
        <w:rPr>
          <w:rFonts w:ascii="Times New Roman" w:hAnsi="Times New Roman"/>
        </w:rPr>
        <w:t xml:space="preserve">in determining what debts are payable and what claims must be met, </w:t>
      </w:r>
      <w:r w:rsidR="00C53FC4" w:rsidRPr="00FB4B14">
        <w:rPr>
          <w:rFonts w:ascii="Times New Roman" w:hAnsi="Times New Roman"/>
        </w:rPr>
        <w:t>a set-off must take place between what is due as between the company and a</w:t>
      </w:r>
      <w:r w:rsidR="001529BC" w:rsidRPr="00FB4B14">
        <w:rPr>
          <w:rFonts w:ascii="Times New Roman" w:hAnsi="Times New Roman"/>
        </w:rPr>
        <w:t>nother</w:t>
      </w:r>
      <w:r w:rsidR="00C53FC4" w:rsidRPr="00FB4B14">
        <w:rPr>
          <w:rFonts w:ascii="Times New Roman" w:hAnsi="Times New Roman"/>
        </w:rPr>
        <w:t xml:space="preserve"> </w:t>
      </w:r>
      <w:r w:rsidR="0006667B" w:rsidRPr="00FB4B14">
        <w:rPr>
          <w:rFonts w:ascii="Times New Roman" w:hAnsi="Times New Roman"/>
        </w:rPr>
        <w:t xml:space="preserve">person </w:t>
      </w:r>
      <w:r w:rsidR="00DD4B49" w:rsidRPr="00FB4B14">
        <w:rPr>
          <w:rFonts w:ascii="Times New Roman" w:hAnsi="Times New Roman"/>
        </w:rPr>
        <w:t xml:space="preserve">arising from </w:t>
      </w:r>
      <w:r w:rsidR="00854F16" w:rsidRPr="00FB4B14">
        <w:rPr>
          <w:rFonts w:ascii="Times New Roman" w:hAnsi="Times New Roman"/>
        </w:rPr>
        <w:t>"</w:t>
      </w:r>
      <w:r w:rsidR="00DD4B49" w:rsidRPr="00FB4B14">
        <w:rPr>
          <w:rFonts w:ascii="Times New Roman" w:hAnsi="Times New Roman"/>
        </w:rPr>
        <w:t>mutual credits, mutual debts or other mutual dealings</w:t>
      </w:r>
      <w:r w:rsidR="00854F16" w:rsidRPr="00FB4B14">
        <w:rPr>
          <w:rFonts w:ascii="Times New Roman" w:hAnsi="Times New Roman"/>
        </w:rPr>
        <w:t>"</w:t>
      </w:r>
      <w:r w:rsidR="007E4892" w:rsidRPr="00FB4B14">
        <w:rPr>
          <w:rFonts w:ascii="Times New Roman" w:hAnsi="Times New Roman"/>
        </w:rPr>
        <w:t>.</w:t>
      </w:r>
    </w:p>
    <w:p w14:paraId="5BA0CB72" w14:textId="4F4DA7E3" w:rsidR="00C51DFB" w:rsidRPr="00FB4B14" w:rsidRDefault="00C51DFB" w:rsidP="00FB4B14">
      <w:pPr>
        <w:pStyle w:val="HeadingL1"/>
        <w:spacing w:after="260" w:line="280" w:lineRule="exact"/>
        <w:ind w:right="0"/>
        <w:jc w:val="both"/>
        <w:rPr>
          <w:rFonts w:ascii="Times New Roman" w:hAnsi="Times New Roman"/>
        </w:rPr>
      </w:pPr>
      <w:r w:rsidRPr="00FB4B14">
        <w:rPr>
          <w:rFonts w:ascii="Times New Roman" w:hAnsi="Times New Roman"/>
        </w:rPr>
        <w:t xml:space="preserve">The </w:t>
      </w:r>
      <w:r w:rsidR="00854F16" w:rsidRPr="00FB4B14">
        <w:rPr>
          <w:rFonts w:ascii="Times New Roman" w:hAnsi="Times New Roman"/>
        </w:rPr>
        <w:t>a</w:t>
      </w:r>
      <w:r w:rsidRPr="00FB4B14">
        <w:rPr>
          <w:rFonts w:ascii="Times New Roman" w:hAnsi="Times New Roman"/>
        </w:rPr>
        <w:t>ppellant</w:t>
      </w:r>
      <w:r w:rsidR="00854F16" w:rsidRPr="00FB4B14">
        <w:rPr>
          <w:rFonts w:ascii="Times New Roman" w:hAnsi="Times New Roman"/>
        </w:rPr>
        <w:t>'</w:t>
      </w:r>
      <w:r w:rsidRPr="00FB4B14">
        <w:rPr>
          <w:rFonts w:ascii="Times New Roman" w:hAnsi="Times New Roman"/>
        </w:rPr>
        <w:t xml:space="preserve">s </w:t>
      </w:r>
      <w:r w:rsidR="00854F16" w:rsidRPr="00FB4B14">
        <w:rPr>
          <w:rFonts w:ascii="Times New Roman" w:hAnsi="Times New Roman"/>
        </w:rPr>
        <w:t>c</w:t>
      </w:r>
      <w:r w:rsidRPr="00FB4B14">
        <w:rPr>
          <w:rFonts w:ascii="Times New Roman" w:hAnsi="Times New Roman"/>
        </w:rPr>
        <w:t>ase</w:t>
      </w:r>
    </w:p>
    <w:p w14:paraId="68BB9357" w14:textId="757C2891" w:rsidR="00615F10" w:rsidRPr="00FB4B14" w:rsidRDefault="003D3A6F" w:rsidP="00FB4B14">
      <w:pPr>
        <w:pStyle w:val="FixListStyle"/>
        <w:spacing w:after="260" w:line="280" w:lineRule="exact"/>
        <w:ind w:right="0"/>
        <w:jc w:val="both"/>
        <w:rPr>
          <w:rFonts w:ascii="Times New Roman" w:hAnsi="Times New Roman"/>
        </w:rPr>
      </w:pPr>
      <w:r w:rsidRPr="00FB4B14">
        <w:rPr>
          <w:rFonts w:ascii="Times New Roman" w:hAnsi="Times New Roman"/>
        </w:rPr>
        <w:tab/>
        <w:t>The appellant submitted that it was entitled to set</w:t>
      </w:r>
      <w:r w:rsidR="00E40C00" w:rsidRPr="00FB4B14">
        <w:rPr>
          <w:rFonts w:ascii="Times New Roman" w:hAnsi="Times New Roman"/>
        </w:rPr>
        <w:t xml:space="preserve"> </w:t>
      </w:r>
      <w:r w:rsidRPr="00FB4B14">
        <w:rPr>
          <w:rFonts w:ascii="Times New Roman" w:hAnsi="Times New Roman"/>
        </w:rPr>
        <w:t xml:space="preserve">off its </w:t>
      </w:r>
      <w:r w:rsidR="0033041B" w:rsidRPr="00FB4B14">
        <w:rPr>
          <w:rFonts w:ascii="Times New Roman" w:hAnsi="Times New Roman"/>
        </w:rPr>
        <w:t xml:space="preserve">potential </w:t>
      </w:r>
      <w:r w:rsidR="00681963" w:rsidRPr="00FB4B14">
        <w:rPr>
          <w:rFonts w:ascii="Times New Roman" w:hAnsi="Times New Roman"/>
        </w:rPr>
        <w:t>liability said to arise under</w:t>
      </w:r>
      <w:r w:rsidR="00CB568A" w:rsidRPr="00FB4B14">
        <w:rPr>
          <w:rFonts w:ascii="Times New Roman" w:hAnsi="Times New Roman"/>
        </w:rPr>
        <w:t xml:space="preserve"> s </w:t>
      </w:r>
      <w:r w:rsidR="00681963" w:rsidRPr="00FB4B14">
        <w:rPr>
          <w:rFonts w:ascii="Times New Roman" w:hAnsi="Times New Roman"/>
        </w:rPr>
        <w:t>588FF(1)(a) against amounts owing to it by MJ</w:t>
      </w:r>
      <w:r w:rsidR="008E0CC9" w:rsidRPr="00FB4B14">
        <w:rPr>
          <w:rFonts w:ascii="Times New Roman" w:hAnsi="Times New Roman"/>
        </w:rPr>
        <w:t> </w:t>
      </w:r>
      <w:r w:rsidR="00681963" w:rsidRPr="00FB4B14">
        <w:rPr>
          <w:rFonts w:ascii="Times New Roman" w:hAnsi="Times New Roman"/>
        </w:rPr>
        <w:t>Woodman because</w:t>
      </w:r>
      <w:r w:rsidR="00840AA2" w:rsidRPr="00FB4B14">
        <w:rPr>
          <w:rFonts w:ascii="Times New Roman" w:hAnsi="Times New Roman"/>
        </w:rPr>
        <w:t xml:space="preserve"> there had been a mutual dealing between it and that company</w:t>
      </w:r>
      <w:r w:rsidR="00C55DE4" w:rsidRPr="00FB4B14">
        <w:rPr>
          <w:rFonts w:ascii="Times New Roman" w:hAnsi="Times New Roman"/>
        </w:rPr>
        <w:t xml:space="preserve">. </w:t>
      </w:r>
      <w:r w:rsidR="00615F10" w:rsidRPr="00FB4B14">
        <w:rPr>
          <w:rFonts w:ascii="Times New Roman" w:hAnsi="Times New Roman"/>
        </w:rPr>
        <w:t xml:space="preserve">That mutual dealing was </w:t>
      </w:r>
      <w:r w:rsidR="00AD47DC" w:rsidRPr="00FB4B14">
        <w:rPr>
          <w:rFonts w:ascii="Times New Roman" w:hAnsi="Times New Roman"/>
        </w:rPr>
        <w:t xml:space="preserve">said to </w:t>
      </w:r>
      <w:r w:rsidR="00262230" w:rsidRPr="00FB4B14">
        <w:rPr>
          <w:rFonts w:ascii="Times New Roman" w:hAnsi="Times New Roman"/>
        </w:rPr>
        <w:t>include</w:t>
      </w:r>
      <w:r w:rsidR="00AD47DC" w:rsidRPr="00FB4B14">
        <w:rPr>
          <w:rFonts w:ascii="Times New Roman" w:hAnsi="Times New Roman"/>
        </w:rPr>
        <w:t xml:space="preserve"> </w:t>
      </w:r>
      <w:r w:rsidR="00615F10" w:rsidRPr="00FB4B14">
        <w:rPr>
          <w:rFonts w:ascii="Times New Roman" w:hAnsi="Times New Roman"/>
        </w:rPr>
        <w:t>the</w:t>
      </w:r>
      <w:r w:rsidR="00BC5080" w:rsidRPr="00FB4B14">
        <w:rPr>
          <w:rFonts w:ascii="Times New Roman" w:hAnsi="Times New Roman"/>
        </w:rPr>
        <w:t xml:space="preserve"> trading</w:t>
      </w:r>
      <w:r w:rsidR="00615F10" w:rsidRPr="00FB4B14">
        <w:rPr>
          <w:rFonts w:ascii="Times New Roman" w:hAnsi="Times New Roman"/>
        </w:rPr>
        <w:t xml:space="preserve"> transaction</w:t>
      </w:r>
      <w:r w:rsidR="00A9166B" w:rsidRPr="00FB4B14">
        <w:rPr>
          <w:rFonts w:ascii="Times New Roman" w:hAnsi="Times New Roman"/>
        </w:rPr>
        <w:t>s</w:t>
      </w:r>
      <w:r w:rsidR="00615F10" w:rsidRPr="00FB4B14">
        <w:rPr>
          <w:rFonts w:ascii="Times New Roman" w:hAnsi="Times New Roman"/>
        </w:rPr>
        <w:t xml:space="preserve"> which had taken place </w:t>
      </w:r>
      <w:r w:rsidR="00E957A0" w:rsidRPr="00FB4B14">
        <w:rPr>
          <w:rFonts w:ascii="Times New Roman" w:hAnsi="Times New Roman"/>
        </w:rPr>
        <w:t>during the relation-back period for which the appellant had been paid by MJ</w:t>
      </w:r>
      <w:r w:rsidR="008E0CC9" w:rsidRPr="00FB4B14">
        <w:rPr>
          <w:rFonts w:ascii="Times New Roman" w:hAnsi="Times New Roman"/>
        </w:rPr>
        <w:t> </w:t>
      </w:r>
      <w:r w:rsidR="00E957A0" w:rsidRPr="00FB4B14">
        <w:rPr>
          <w:rFonts w:ascii="Times New Roman" w:hAnsi="Times New Roman"/>
        </w:rPr>
        <w:t>Woodman</w:t>
      </w:r>
      <w:r w:rsidR="00A9166B" w:rsidRPr="00FB4B14">
        <w:rPr>
          <w:rFonts w:ascii="Times New Roman" w:hAnsi="Times New Roman"/>
        </w:rPr>
        <w:t xml:space="preserve"> </w:t>
      </w:r>
      <w:r w:rsidR="009D459D" w:rsidRPr="00FB4B14">
        <w:rPr>
          <w:rFonts w:ascii="Times New Roman" w:hAnsi="Times New Roman"/>
        </w:rPr>
        <w:t>–</w:t>
      </w:r>
      <w:r w:rsidR="00A9166B" w:rsidRPr="00FB4B14">
        <w:rPr>
          <w:rFonts w:ascii="Times New Roman" w:hAnsi="Times New Roman"/>
        </w:rPr>
        <w:t xml:space="preserve"> the alleged unfair preferences</w:t>
      </w:r>
      <w:r w:rsidR="00E957A0" w:rsidRPr="00FB4B14">
        <w:rPr>
          <w:rFonts w:ascii="Times New Roman" w:hAnsi="Times New Roman"/>
        </w:rPr>
        <w:t xml:space="preserve">. </w:t>
      </w:r>
      <w:r w:rsidR="008E117A" w:rsidRPr="00FB4B14">
        <w:rPr>
          <w:rFonts w:ascii="Times New Roman" w:hAnsi="Times New Roman"/>
        </w:rPr>
        <w:t>The liability under</w:t>
      </w:r>
      <w:r w:rsidR="00CB568A" w:rsidRPr="00FB4B14">
        <w:rPr>
          <w:rFonts w:ascii="Times New Roman" w:hAnsi="Times New Roman"/>
        </w:rPr>
        <w:t xml:space="preserve"> s </w:t>
      </w:r>
      <w:r w:rsidR="008E117A" w:rsidRPr="00FB4B14">
        <w:rPr>
          <w:rFonts w:ascii="Times New Roman" w:hAnsi="Times New Roman"/>
        </w:rPr>
        <w:t xml:space="preserve">588FF(1)(a) </w:t>
      </w:r>
      <w:r w:rsidR="0035313A" w:rsidRPr="00FB4B14">
        <w:rPr>
          <w:rFonts w:ascii="Times New Roman" w:hAnsi="Times New Roman"/>
        </w:rPr>
        <w:t>will arise</w:t>
      </w:r>
      <w:r w:rsidR="008E117A" w:rsidRPr="00FB4B14">
        <w:rPr>
          <w:rFonts w:ascii="Times New Roman" w:hAnsi="Times New Roman"/>
        </w:rPr>
        <w:t xml:space="preserve"> </w:t>
      </w:r>
      <w:r w:rsidR="00F6740A" w:rsidRPr="00FB4B14">
        <w:rPr>
          <w:rFonts w:ascii="Times New Roman" w:hAnsi="Times New Roman"/>
        </w:rPr>
        <w:t xml:space="preserve">because </w:t>
      </w:r>
      <w:r w:rsidR="00F6740A" w:rsidRPr="00FB4B14">
        <w:rPr>
          <w:rFonts w:ascii="Times New Roman" w:hAnsi="Times New Roman"/>
        </w:rPr>
        <w:lastRenderedPageBreak/>
        <w:t>of</w:t>
      </w:r>
      <w:r w:rsidR="008E117A" w:rsidRPr="00FB4B14">
        <w:rPr>
          <w:rFonts w:ascii="Times New Roman" w:hAnsi="Times New Roman"/>
        </w:rPr>
        <w:t xml:space="preserve"> th</w:t>
      </w:r>
      <w:r w:rsidR="00044829" w:rsidRPr="00FB4B14">
        <w:rPr>
          <w:rFonts w:ascii="Times New Roman" w:hAnsi="Times New Roman"/>
        </w:rPr>
        <w:t>ose</w:t>
      </w:r>
      <w:r w:rsidR="008E117A" w:rsidRPr="00FB4B14">
        <w:rPr>
          <w:rFonts w:ascii="Times New Roman" w:hAnsi="Times New Roman"/>
        </w:rPr>
        <w:t xml:space="preserve"> voidable transaction</w:t>
      </w:r>
      <w:r w:rsidR="00044829" w:rsidRPr="00FB4B14">
        <w:rPr>
          <w:rFonts w:ascii="Times New Roman" w:hAnsi="Times New Roman"/>
        </w:rPr>
        <w:t>s</w:t>
      </w:r>
      <w:r w:rsidR="00EE09F4" w:rsidRPr="00FB4B14">
        <w:rPr>
          <w:rFonts w:ascii="Times New Roman" w:hAnsi="Times New Roman"/>
        </w:rPr>
        <w:t>;</w:t>
      </w:r>
      <w:r w:rsidR="008E117A" w:rsidRPr="00FB4B14">
        <w:rPr>
          <w:rFonts w:ascii="Times New Roman" w:hAnsi="Times New Roman"/>
        </w:rPr>
        <w:t xml:space="preserve"> when this </w:t>
      </w:r>
      <w:r w:rsidR="00EE09F4" w:rsidRPr="00FB4B14">
        <w:rPr>
          <w:rFonts w:ascii="Times New Roman" w:hAnsi="Times New Roman"/>
        </w:rPr>
        <w:t xml:space="preserve">liability </w:t>
      </w:r>
      <w:r w:rsidR="008E117A" w:rsidRPr="00FB4B14">
        <w:rPr>
          <w:rFonts w:ascii="Times New Roman" w:hAnsi="Times New Roman"/>
        </w:rPr>
        <w:t>crystal</w:t>
      </w:r>
      <w:r w:rsidR="00044829" w:rsidRPr="00FB4B14">
        <w:rPr>
          <w:rFonts w:ascii="Times New Roman" w:hAnsi="Times New Roman"/>
        </w:rPr>
        <w:t>l</w:t>
      </w:r>
      <w:r w:rsidR="008E117A" w:rsidRPr="00FB4B14">
        <w:rPr>
          <w:rFonts w:ascii="Times New Roman" w:hAnsi="Times New Roman"/>
        </w:rPr>
        <w:t>ises</w:t>
      </w:r>
      <w:r w:rsidR="00EE09F4" w:rsidRPr="00FB4B14">
        <w:rPr>
          <w:rFonts w:ascii="Times New Roman" w:hAnsi="Times New Roman"/>
        </w:rPr>
        <w:t xml:space="preserve">, it was said, </w:t>
      </w:r>
      <w:r w:rsidR="00117D0F" w:rsidRPr="00FB4B14">
        <w:rPr>
          <w:rFonts w:ascii="Times New Roman" w:hAnsi="Times New Roman"/>
        </w:rPr>
        <w:t>a</w:t>
      </w:r>
      <w:r w:rsidR="00C55DE4" w:rsidRPr="00FB4B14">
        <w:rPr>
          <w:rFonts w:ascii="Times New Roman" w:hAnsi="Times New Roman"/>
        </w:rPr>
        <w:t xml:space="preserve">n account </w:t>
      </w:r>
      <w:r w:rsidR="00BC0264" w:rsidRPr="00FB4B14">
        <w:rPr>
          <w:rFonts w:ascii="Times New Roman" w:hAnsi="Times New Roman"/>
        </w:rPr>
        <w:t>will</w:t>
      </w:r>
      <w:r w:rsidR="00C55DE4" w:rsidRPr="00FB4B14">
        <w:rPr>
          <w:rFonts w:ascii="Times New Roman" w:hAnsi="Times New Roman"/>
        </w:rPr>
        <w:t xml:space="preserve"> therefore </w:t>
      </w:r>
      <w:r w:rsidR="00BC0264" w:rsidRPr="00FB4B14">
        <w:rPr>
          <w:rFonts w:ascii="Times New Roman" w:hAnsi="Times New Roman"/>
        </w:rPr>
        <w:t>need to be</w:t>
      </w:r>
      <w:r w:rsidR="00C55DE4" w:rsidRPr="00FB4B14">
        <w:rPr>
          <w:rFonts w:ascii="Times New Roman" w:hAnsi="Times New Roman"/>
        </w:rPr>
        <w:t xml:space="preserve"> taken</w:t>
      </w:r>
      <w:r w:rsidR="0068078B" w:rsidRPr="00FB4B14">
        <w:rPr>
          <w:rFonts w:ascii="Times New Roman" w:hAnsi="Times New Roman"/>
        </w:rPr>
        <w:t xml:space="preserve"> of </w:t>
      </w:r>
      <w:r w:rsidR="00351594" w:rsidRPr="00FB4B14">
        <w:rPr>
          <w:rFonts w:ascii="Times New Roman" w:hAnsi="Times New Roman"/>
        </w:rPr>
        <w:t>it</w:t>
      </w:r>
      <w:r w:rsidR="0068078B" w:rsidRPr="00FB4B14">
        <w:rPr>
          <w:rFonts w:ascii="Times New Roman" w:hAnsi="Times New Roman"/>
        </w:rPr>
        <w:t xml:space="preserve"> as against the remaining amount owed to the appellant </w:t>
      </w:r>
      <w:r w:rsidR="0001373A" w:rsidRPr="00FB4B14">
        <w:rPr>
          <w:rFonts w:ascii="Times New Roman" w:hAnsi="Times New Roman"/>
        </w:rPr>
        <w:t>for the purposes of</w:t>
      </w:r>
      <w:r w:rsidR="00CB568A" w:rsidRPr="00FB4B14">
        <w:rPr>
          <w:rFonts w:ascii="Times New Roman" w:hAnsi="Times New Roman"/>
        </w:rPr>
        <w:t xml:space="preserve"> s </w:t>
      </w:r>
      <w:r w:rsidR="0001373A" w:rsidRPr="00FB4B14">
        <w:rPr>
          <w:rFonts w:ascii="Times New Roman" w:hAnsi="Times New Roman"/>
        </w:rPr>
        <w:t>553</w:t>
      </w:r>
      <w:proofErr w:type="gramStart"/>
      <w:r w:rsidR="0001373A" w:rsidRPr="00FB4B14">
        <w:rPr>
          <w:rFonts w:ascii="Times New Roman" w:hAnsi="Times New Roman"/>
        </w:rPr>
        <w:t>C</w:t>
      </w:r>
      <w:r w:rsidR="0035313A" w:rsidRPr="00FB4B14">
        <w:rPr>
          <w:rFonts w:ascii="Times New Roman" w:hAnsi="Times New Roman"/>
        </w:rPr>
        <w:t>(</w:t>
      </w:r>
      <w:proofErr w:type="gramEnd"/>
      <w:r w:rsidR="0035313A" w:rsidRPr="00FB4B14">
        <w:rPr>
          <w:rFonts w:ascii="Times New Roman" w:hAnsi="Times New Roman"/>
        </w:rPr>
        <w:t>1)</w:t>
      </w:r>
      <w:r w:rsidR="0001373A" w:rsidRPr="00FB4B14">
        <w:rPr>
          <w:rFonts w:ascii="Times New Roman" w:hAnsi="Times New Roman"/>
        </w:rPr>
        <w:t xml:space="preserve">. The appellant, in that respect, emphasised that its future liability </w:t>
      </w:r>
      <w:r w:rsidR="004C61F8" w:rsidRPr="00FB4B14">
        <w:rPr>
          <w:rFonts w:ascii="Times New Roman" w:hAnsi="Times New Roman"/>
        </w:rPr>
        <w:t>under</w:t>
      </w:r>
      <w:r w:rsidR="00CB568A" w:rsidRPr="00FB4B14">
        <w:rPr>
          <w:rFonts w:ascii="Times New Roman" w:hAnsi="Times New Roman"/>
        </w:rPr>
        <w:t xml:space="preserve"> s </w:t>
      </w:r>
      <w:r w:rsidR="004C61F8" w:rsidRPr="00FB4B14">
        <w:rPr>
          <w:rFonts w:ascii="Times New Roman" w:hAnsi="Times New Roman"/>
        </w:rPr>
        <w:t>588F</w:t>
      </w:r>
      <w:r w:rsidR="00262230" w:rsidRPr="00FB4B14">
        <w:rPr>
          <w:rFonts w:ascii="Times New Roman" w:hAnsi="Times New Roman"/>
        </w:rPr>
        <w:t>F</w:t>
      </w:r>
      <w:r w:rsidR="004C61F8" w:rsidRPr="00FB4B14">
        <w:rPr>
          <w:rFonts w:ascii="Times New Roman" w:hAnsi="Times New Roman"/>
        </w:rPr>
        <w:t xml:space="preserve">(1)(a) was no different to any other claim </w:t>
      </w:r>
      <w:r w:rsidR="00652F27" w:rsidRPr="00FB4B14">
        <w:rPr>
          <w:rFonts w:ascii="Times New Roman" w:hAnsi="Times New Roman"/>
        </w:rPr>
        <w:t>owed to</w:t>
      </w:r>
      <w:r w:rsidR="004C61F8" w:rsidRPr="00FB4B14">
        <w:rPr>
          <w:rFonts w:ascii="Times New Roman" w:hAnsi="Times New Roman"/>
        </w:rPr>
        <w:t xml:space="preserve"> the company</w:t>
      </w:r>
      <w:r w:rsidR="00681963" w:rsidRPr="00FB4B14">
        <w:rPr>
          <w:rFonts w:ascii="Times New Roman" w:hAnsi="Times New Roman"/>
        </w:rPr>
        <w:t xml:space="preserve"> </w:t>
      </w:r>
      <w:r w:rsidR="004C61F8" w:rsidRPr="00FB4B14">
        <w:rPr>
          <w:rFonts w:ascii="Times New Roman" w:hAnsi="Times New Roman"/>
        </w:rPr>
        <w:t>precisely because</w:t>
      </w:r>
      <w:r w:rsidR="00C50BF1" w:rsidRPr="00FB4B14">
        <w:rPr>
          <w:rFonts w:ascii="Times New Roman" w:hAnsi="Times New Roman"/>
        </w:rPr>
        <w:t xml:space="preserve">, </w:t>
      </w:r>
      <w:r w:rsidR="00816FCC" w:rsidRPr="00FB4B14">
        <w:rPr>
          <w:rFonts w:ascii="Times New Roman" w:hAnsi="Times New Roman"/>
        </w:rPr>
        <w:t xml:space="preserve">for the reasons given in </w:t>
      </w:r>
      <w:r w:rsidR="00816FCC" w:rsidRPr="00FB4B14">
        <w:rPr>
          <w:rFonts w:ascii="Times New Roman" w:hAnsi="Times New Roman"/>
          <w:i/>
          <w:iCs/>
        </w:rPr>
        <w:t>Linter Textile</w:t>
      </w:r>
      <w:r w:rsidR="007B518F" w:rsidRPr="00FB4B14">
        <w:rPr>
          <w:rFonts w:ascii="Times New Roman" w:hAnsi="Times New Roman"/>
          <w:i/>
          <w:iCs/>
        </w:rPr>
        <w:t>s</w:t>
      </w:r>
      <w:r w:rsidR="00816FCC" w:rsidRPr="00FB4B14">
        <w:rPr>
          <w:rFonts w:ascii="Times New Roman" w:hAnsi="Times New Roman"/>
        </w:rPr>
        <w:t xml:space="preserve">, </w:t>
      </w:r>
      <w:r w:rsidR="00C50BF1" w:rsidRPr="00FB4B14">
        <w:rPr>
          <w:rFonts w:ascii="Times New Roman" w:hAnsi="Times New Roman"/>
        </w:rPr>
        <w:t xml:space="preserve">when </w:t>
      </w:r>
      <w:r w:rsidR="005B2DF8" w:rsidRPr="00FB4B14">
        <w:rPr>
          <w:rFonts w:ascii="Times New Roman" w:hAnsi="Times New Roman"/>
        </w:rPr>
        <w:t xml:space="preserve">it </w:t>
      </w:r>
      <w:r w:rsidR="00351594" w:rsidRPr="00FB4B14">
        <w:rPr>
          <w:rFonts w:ascii="Times New Roman" w:hAnsi="Times New Roman"/>
        </w:rPr>
        <w:t xml:space="preserve">is </w:t>
      </w:r>
      <w:r w:rsidR="005B2DF8" w:rsidRPr="00FB4B14">
        <w:rPr>
          <w:rFonts w:ascii="Times New Roman" w:hAnsi="Times New Roman"/>
        </w:rPr>
        <w:t>paid</w:t>
      </w:r>
      <w:r w:rsidR="00351594" w:rsidRPr="00FB4B14">
        <w:rPr>
          <w:rFonts w:ascii="Times New Roman" w:hAnsi="Times New Roman"/>
        </w:rPr>
        <w:t>,</w:t>
      </w:r>
      <w:r w:rsidR="00C50BF1" w:rsidRPr="00FB4B14">
        <w:rPr>
          <w:rFonts w:ascii="Times New Roman" w:hAnsi="Times New Roman"/>
        </w:rPr>
        <w:t xml:space="preserve"> the company will </w:t>
      </w:r>
      <w:r w:rsidR="00816FCC" w:rsidRPr="00FB4B14">
        <w:rPr>
          <w:rFonts w:ascii="Times New Roman" w:hAnsi="Times New Roman"/>
        </w:rPr>
        <w:t xml:space="preserve">receive </w:t>
      </w:r>
      <w:r w:rsidR="00C50BF1" w:rsidRPr="00FB4B14">
        <w:rPr>
          <w:rFonts w:ascii="Times New Roman" w:hAnsi="Times New Roman"/>
        </w:rPr>
        <w:t>it</w:t>
      </w:r>
      <w:r w:rsidR="00AC1CC6" w:rsidRPr="00FB4B14">
        <w:rPr>
          <w:rFonts w:ascii="Times New Roman" w:hAnsi="Times New Roman"/>
        </w:rPr>
        <w:t xml:space="preserve"> beneficially.</w:t>
      </w:r>
    </w:p>
    <w:p w14:paraId="27B2518F" w14:textId="248664D8" w:rsidR="00573C77" w:rsidRPr="00FB4B14" w:rsidRDefault="00615F10"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AC1CC6" w:rsidRPr="00FB4B14">
        <w:rPr>
          <w:rFonts w:ascii="Times New Roman" w:hAnsi="Times New Roman"/>
        </w:rPr>
        <w:t>It</w:t>
      </w:r>
      <w:r w:rsidR="00DE182B" w:rsidRPr="00FB4B14">
        <w:rPr>
          <w:rFonts w:ascii="Times New Roman" w:hAnsi="Times New Roman"/>
        </w:rPr>
        <w:t xml:space="preserve"> was said that it</w:t>
      </w:r>
      <w:r w:rsidR="00AC1CC6" w:rsidRPr="00FB4B14">
        <w:rPr>
          <w:rFonts w:ascii="Times New Roman" w:hAnsi="Times New Roman"/>
        </w:rPr>
        <w:t xml:space="preserve"> did not matter that, as at the date of the </w:t>
      </w:r>
      <w:r w:rsidR="00CB1F76" w:rsidRPr="00FB4B14">
        <w:rPr>
          <w:rFonts w:ascii="Times New Roman" w:hAnsi="Times New Roman"/>
        </w:rPr>
        <w:t xml:space="preserve">commencement of the </w:t>
      </w:r>
      <w:r w:rsidR="00AC1CC6" w:rsidRPr="00FB4B14">
        <w:rPr>
          <w:rFonts w:ascii="Times New Roman" w:hAnsi="Times New Roman"/>
        </w:rPr>
        <w:t>winding up</w:t>
      </w:r>
      <w:r w:rsidR="004E3AAD" w:rsidRPr="00FB4B14">
        <w:rPr>
          <w:rFonts w:ascii="Times New Roman" w:hAnsi="Times New Roman"/>
        </w:rPr>
        <w:t>,</w:t>
      </w:r>
      <w:r w:rsidR="00AC1CC6" w:rsidRPr="00FB4B14">
        <w:rPr>
          <w:rFonts w:ascii="Times New Roman" w:hAnsi="Times New Roman"/>
        </w:rPr>
        <w:t xml:space="preserve"> that liability had not yet sprung into existence. It was sufficient</w:t>
      </w:r>
      <w:r w:rsidR="00CB1F76" w:rsidRPr="00FB4B14">
        <w:rPr>
          <w:rFonts w:ascii="Times New Roman" w:hAnsi="Times New Roman"/>
        </w:rPr>
        <w:t>, the appellant submitted,</w:t>
      </w:r>
      <w:r w:rsidR="00AC1CC6" w:rsidRPr="00FB4B14">
        <w:rPr>
          <w:rFonts w:ascii="Times New Roman" w:hAnsi="Times New Roman"/>
        </w:rPr>
        <w:t xml:space="preserve"> that it </w:t>
      </w:r>
      <w:r w:rsidR="00BE62D4" w:rsidRPr="00FB4B14">
        <w:rPr>
          <w:rFonts w:ascii="Times New Roman" w:hAnsi="Times New Roman"/>
        </w:rPr>
        <w:t xml:space="preserve">existed as a contingent liability which might </w:t>
      </w:r>
      <w:r w:rsidR="00EF31BB" w:rsidRPr="00FB4B14">
        <w:rPr>
          <w:rFonts w:ascii="Times New Roman" w:hAnsi="Times New Roman"/>
        </w:rPr>
        <w:t xml:space="preserve">in the future </w:t>
      </w:r>
      <w:r w:rsidR="00BE62D4" w:rsidRPr="00FB4B14">
        <w:rPr>
          <w:rFonts w:ascii="Times New Roman" w:hAnsi="Times New Roman"/>
        </w:rPr>
        <w:t xml:space="preserve">mature into an actual present liability. </w:t>
      </w:r>
      <w:r w:rsidR="000340F6" w:rsidRPr="00FB4B14">
        <w:rPr>
          <w:rFonts w:ascii="Times New Roman" w:hAnsi="Times New Roman"/>
        </w:rPr>
        <w:t>Relevantl</w:t>
      </w:r>
      <w:r w:rsidR="00AF57FD" w:rsidRPr="00FB4B14">
        <w:rPr>
          <w:rFonts w:ascii="Times New Roman" w:hAnsi="Times New Roman"/>
        </w:rPr>
        <w:t xml:space="preserve">y, the essential contingencies </w:t>
      </w:r>
      <w:r w:rsidR="00113327" w:rsidRPr="00FB4B14">
        <w:rPr>
          <w:rFonts w:ascii="Times New Roman" w:hAnsi="Times New Roman"/>
        </w:rPr>
        <w:t>were</w:t>
      </w:r>
      <w:r w:rsidR="0003240C" w:rsidRPr="00FB4B14">
        <w:rPr>
          <w:rFonts w:ascii="Times New Roman" w:hAnsi="Times New Roman"/>
        </w:rPr>
        <w:t xml:space="preserve"> said to be</w:t>
      </w:r>
      <w:r w:rsidR="00AF57FD" w:rsidRPr="00FB4B14">
        <w:rPr>
          <w:rFonts w:ascii="Times New Roman" w:hAnsi="Times New Roman"/>
        </w:rPr>
        <w:t xml:space="preserve"> the bring</w:t>
      </w:r>
      <w:r w:rsidR="007A283C" w:rsidRPr="00FB4B14">
        <w:rPr>
          <w:rFonts w:ascii="Times New Roman" w:hAnsi="Times New Roman"/>
        </w:rPr>
        <w:t>ing</w:t>
      </w:r>
      <w:r w:rsidR="00AF57FD" w:rsidRPr="00FB4B14">
        <w:rPr>
          <w:rFonts w:ascii="Times New Roman" w:hAnsi="Times New Roman"/>
        </w:rPr>
        <w:t xml:space="preserve"> of an action</w:t>
      </w:r>
      <w:r w:rsidR="007A283C" w:rsidRPr="00FB4B14">
        <w:rPr>
          <w:rFonts w:ascii="Times New Roman" w:hAnsi="Times New Roman"/>
        </w:rPr>
        <w:t xml:space="preserve"> by the liquidator</w:t>
      </w:r>
      <w:r w:rsidR="00AF57FD" w:rsidRPr="00FB4B14">
        <w:rPr>
          <w:rFonts w:ascii="Times New Roman" w:hAnsi="Times New Roman"/>
        </w:rPr>
        <w:t xml:space="preserve"> under</w:t>
      </w:r>
      <w:r w:rsidR="00CB568A" w:rsidRPr="00FB4B14">
        <w:rPr>
          <w:rFonts w:ascii="Times New Roman" w:hAnsi="Times New Roman"/>
        </w:rPr>
        <w:t xml:space="preserve"> s </w:t>
      </w:r>
      <w:r w:rsidR="00AF57FD" w:rsidRPr="00FB4B14">
        <w:rPr>
          <w:rFonts w:ascii="Times New Roman" w:hAnsi="Times New Roman"/>
        </w:rPr>
        <w:t>588</w:t>
      </w:r>
      <w:proofErr w:type="gramStart"/>
      <w:r w:rsidR="00AF57FD" w:rsidRPr="00FB4B14">
        <w:rPr>
          <w:rFonts w:ascii="Times New Roman" w:hAnsi="Times New Roman"/>
        </w:rPr>
        <w:t>FF(</w:t>
      </w:r>
      <w:proofErr w:type="gramEnd"/>
      <w:r w:rsidR="00AF57FD" w:rsidRPr="00FB4B14">
        <w:rPr>
          <w:rFonts w:ascii="Times New Roman" w:hAnsi="Times New Roman"/>
        </w:rPr>
        <w:t xml:space="preserve">1) and the </w:t>
      </w:r>
      <w:r w:rsidR="002F733F" w:rsidRPr="00FB4B14">
        <w:rPr>
          <w:rFonts w:ascii="Times New Roman" w:hAnsi="Times New Roman"/>
        </w:rPr>
        <w:t>c</w:t>
      </w:r>
      <w:r w:rsidR="00AF57FD" w:rsidRPr="00FB4B14">
        <w:rPr>
          <w:rFonts w:ascii="Times New Roman" w:hAnsi="Times New Roman"/>
        </w:rPr>
        <w:t>ourt</w:t>
      </w:r>
      <w:r w:rsidR="00854F16" w:rsidRPr="00FB4B14">
        <w:rPr>
          <w:rFonts w:ascii="Times New Roman" w:hAnsi="Times New Roman"/>
        </w:rPr>
        <w:t>'</w:t>
      </w:r>
      <w:r w:rsidR="00AF57FD" w:rsidRPr="00FB4B14">
        <w:rPr>
          <w:rFonts w:ascii="Times New Roman" w:hAnsi="Times New Roman"/>
        </w:rPr>
        <w:t>s satis</w:t>
      </w:r>
      <w:r w:rsidR="00113327" w:rsidRPr="00FB4B14">
        <w:rPr>
          <w:rFonts w:ascii="Times New Roman" w:hAnsi="Times New Roman"/>
        </w:rPr>
        <w:t>faction that there had been a voidable transaction for the purposes of</w:t>
      </w:r>
      <w:r w:rsidR="00CB568A" w:rsidRPr="00FB4B14">
        <w:rPr>
          <w:rFonts w:ascii="Times New Roman" w:hAnsi="Times New Roman"/>
        </w:rPr>
        <w:t xml:space="preserve"> s </w:t>
      </w:r>
      <w:r w:rsidR="00113327" w:rsidRPr="00FB4B14">
        <w:rPr>
          <w:rFonts w:ascii="Times New Roman" w:hAnsi="Times New Roman"/>
        </w:rPr>
        <w:t>588FE of the Act</w:t>
      </w:r>
      <w:r w:rsidR="007A283C" w:rsidRPr="00FB4B14">
        <w:rPr>
          <w:rFonts w:ascii="Times New Roman" w:hAnsi="Times New Roman"/>
        </w:rPr>
        <w:t xml:space="preserve"> which justified an order obliging </w:t>
      </w:r>
      <w:r w:rsidR="009E2B6B" w:rsidRPr="00FB4B14">
        <w:rPr>
          <w:rFonts w:ascii="Times New Roman" w:hAnsi="Times New Roman"/>
        </w:rPr>
        <w:t>the appellant to pay MJ</w:t>
      </w:r>
      <w:r w:rsidR="008E0CC9" w:rsidRPr="00FB4B14">
        <w:rPr>
          <w:rFonts w:ascii="Times New Roman" w:hAnsi="Times New Roman"/>
        </w:rPr>
        <w:t> </w:t>
      </w:r>
      <w:r w:rsidR="009E2B6B" w:rsidRPr="00FB4B14">
        <w:rPr>
          <w:rFonts w:ascii="Times New Roman" w:hAnsi="Times New Roman"/>
        </w:rPr>
        <w:t xml:space="preserve">Woodman. </w:t>
      </w:r>
      <w:proofErr w:type="gramStart"/>
      <w:r w:rsidR="009E2B6B" w:rsidRPr="00FB4B14">
        <w:rPr>
          <w:rFonts w:ascii="Times New Roman" w:hAnsi="Times New Roman"/>
        </w:rPr>
        <w:t>All of</w:t>
      </w:r>
      <w:proofErr w:type="gramEnd"/>
      <w:r w:rsidR="009E2B6B" w:rsidRPr="00FB4B14">
        <w:rPr>
          <w:rFonts w:ascii="Times New Roman" w:hAnsi="Times New Roman"/>
        </w:rPr>
        <w:t xml:space="preserve"> the facts necessary to make good th</w:t>
      </w:r>
      <w:r w:rsidR="00CB1F76" w:rsidRPr="00FB4B14">
        <w:rPr>
          <w:rFonts w:ascii="Times New Roman" w:hAnsi="Times New Roman"/>
        </w:rPr>
        <w:t>o</w:t>
      </w:r>
      <w:r w:rsidR="009E2B6B" w:rsidRPr="00FB4B14">
        <w:rPr>
          <w:rFonts w:ascii="Times New Roman" w:hAnsi="Times New Roman"/>
        </w:rPr>
        <w:t xml:space="preserve">se </w:t>
      </w:r>
      <w:r w:rsidR="007B5592" w:rsidRPr="00FB4B14">
        <w:rPr>
          <w:rFonts w:ascii="Times New Roman" w:hAnsi="Times New Roman"/>
        </w:rPr>
        <w:t>contingencies</w:t>
      </w:r>
      <w:r w:rsidR="009E2B6B" w:rsidRPr="00FB4B14">
        <w:rPr>
          <w:rFonts w:ascii="Times New Roman" w:hAnsi="Times New Roman"/>
        </w:rPr>
        <w:t>, including satisfaction of ss</w:t>
      </w:r>
      <w:r w:rsidR="005E6095" w:rsidRPr="00FB4B14">
        <w:rPr>
          <w:rFonts w:ascii="Times New Roman" w:hAnsi="Times New Roman"/>
        </w:rPr>
        <w:t> </w:t>
      </w:r>
      <w:r w:rsidR="009E2B6B" w:rsidRPr="00FB4B14">
        <w:rPr>
          <w:rFonts w:ascii="Times New Roman" w:hAnsi="Times New Roman"/>
        </w:rPr>
        <w:t xml:space="preserve">588FE, </w:t>
      </w:r>
      <w:r w:rsidR="007B5592" w:rsidRPr="00FB4B14">
        <w:rPr>
          <w:rFonts w:ascii="Times New Roman" w:hAnsi="Times New Roman"/>
        </w:rPr>
        <w:t>588FC and 5</w:t>
      </w:r>
      <w:r w:rsidR="00245B8E" w:rsidRPr="00FB4B14">
        <w:rPr>
          <w:rFonts w:ascii="Times New Roman" w:hAnsi="Times New Roman"/>
        </w:rPr>
        <w:t>8</w:t>
      </w:r>
      <w:r w:rsidR="007B5592" w:rsidRPr="00FB4B14">
        <w:rPr>
          <w:rFonts w:ascii="Times New Roman" w:hAnsi="Times New Roman"/>
        </w:rPr>
        <w:t>8FA</w:t>
      </w:r>
      <w:r w:rsidR="00CB1F76" w:rsidRPr="00FB4B14">
        <w:rPr>
          <w:rFonts w:ascii="Times New Roman" w:hAnsi="Times New Roman"/>
        </w:rPr>
        <w:t>,</w:t>
      </w:r>
      <w:r w:rsidR="007B5592" w:rsidRPr="00FB4B14">
        <w:rPr>
          <w:rFonts w:ascii="Times New Roman" w:hAnsi="Times New Roman"/>
        </w:rPr>
        <w:t xml:space="preserve"> existed as at </w:t>
      </w:r>
      <w:r w:rsidR="000E6525" w:rsidRPr="00FB4B14">
        <w:rPr>
          <w:rFonts w:ascii="Times New Roman" w:hAnsi="Times New Roman"/>
        </w:rPr>
        <w:t xml:space="preserve">the </w:t>
      </w:r>
      <w:r w:rsidR="007B5592" w:rsidRPr="00FB4B14">
        <w:rPr>
          <w:rFonts w:ascii="Times New Roman" w:hAnsi="Times New Roman"/>
        </w:rPr>
        <w:t>date the company was wound up.</w:t>
      </w:r>
    </w:p>
    <w:p w14:paraId="1E650E2F" w14:textId="2F99621E" w:rsidR="00D22CEA" w:rsidRPr="00FB4B14" w:rsidRDefault="00573C77"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The appellant </w:t>
      </w:r>
      <w:r w:rsidR="0033735E" w:rsidRPr="00FB4B14">
        <w:rPr>
          <w:rFonts w:ascii="Times New Roman" w:hAnsi="Times New Roman"/>
        </w:rPr>
        <w:t xml:space="preserve">relevantly </w:t>
      </w:r>
      <w:r w:rsidRPr="00FB4B14">
        <w:rPr>
          <w:rFonts w:ascii="Times New Roman" w:hAnsi="Times New Roman"/>
        </w:rPr>
        <w:t>relied upon three authorities</w:t>
      </w:r>
      <w:r w:rsidR="00CB1F76" w:rsidRPr="00FB4B14">
        <w:rPr>
          <w:rFonts w:ascii="Times New Roman" w:hAnsi="Times New Roman"/>
        </w:rPr>
        <w:t xml:space="preserve"> of this Court</w:t>
      </w:r>
      <w:r w:rsidRPr="00FB4B14">
        <w:rPr>
          <w:rFonts w:ascii="Times New Roman" w:hAnsi="Times New Roman"/>
        </w:rPr>
        <w:t xml:space="preserve"> in support of the foregoing submission</w:t>
      </w:r>
      <w:r w:rsidR="00732D9B" w:rsidRPr="00FB4B14">
        <w:rPr>
          <w:rFonts w:ascii="Times New Roman" w:hAnsi="Times New Roman"/>
        </w:rPr>
        <w:t>s</w:t>
      </w:r>
      <w:r w:rsidRPr="00FB4B14">
        <w:rPr>
          <w:rFonts w:ascii="Times New Roman" w:hAnsi="Times New Roman"/>
        </w:rPr>
        <w:t>.</w:t>
      </w:r>
      <w:r w:rsidR="00547E46" w:rsidRPr="00FB4B14">
        <w:rPr>
          <w:rFonts w:ascii="Times New Roman" w:hAnsi="Times New Roman"/>
        </w:rPr>
        <w:t xml:space="preserve"> The first was </w:t>
      </w:r>
      <w:proofErr w:type="spellStart"/>
      <w:r w:rsidR="00547E46" w:rsidRPr="00FB4B14">
        <w:rPr>
          <w:rFonts w:ascii="Times New Roman" w:hAnsi="Times New Roman"/>
          <w:i/>
          <w:iCs/>
        </w:rPr>
        <w:t>Gye</w:t>
      </w:r>
      <w:proofErr w:type="spellEnd"/>
      <w:r w:rsidR="00C11222" w:rsidRPr="00FB4B14">
        <w:rPr>
          <w:rStyle w:val="FootnoteReference"/>
          <w:rFonts w:ascii="Times New Roman" w:hAnsi="Times New Roman"/>
          <w:sz w:val="24"/>
        </w:rPr>
        <w:footnoteReference w:id="49"/>
      </w:r>
      <w:r w:rsidR="004B2993" w:rsidRPr="00FB4B14">
        <w:rPr>
          <w:rFonts w:ascii="Times New Roman" w:hAnsi="Times New Roman"/>
        </w:rPr>
        <w:t>,</w:t>
      </w:r>
      <w:r w:rsidR="00C11222" w:rsidRPr="00FB4B14">
        <w:rPr>
          <w:rFonts w:ascii="Times New Roman" w:hAnsi="Times New Roman"/>
        </w:rPr>
        <w:t xml:space="preserve"> which</w:t>
      </w:r>
      <w:r w:rsidR="007A496E" w:rsidRPr="00FB4B14">
        <w:rPr>
          <w:rFonts w:ascii="Times New Roman" w:hAnsi="Times New Roman"/>
        </w:rPr>
        <w:t>, as mentioned above,</w:t>
      </w:r>
      <w:r w:rsidR="00C11222" w:rsidRPr="00FB4B14">
        <w:rPr>
          <w:rFonts w:ascii="Times New Roman" w:hAnsi="Times New Roman"/>
        </w:rPr>
        <w:t xml:space="preserve"> concerned the equivalent right of set-off conferred by</w:t>
      </w:r>
      <w:r w:rsidR="00CB568A" w:rsidRPr="00FB4B14">
        <w:rPr>
          <w:rFonts w:ascii="Times New Roman" w:hAnsi="Times New Roman"/>
        </w:rPr>
        <w:t xml:space="preserve"> s </w:t>
      </w:r>
      <w:r w:rsidR="00C11222" w:rsidRPr="00FB4B14">
        <w:rPr>
          <w:rFonts w:ascii="Times New Roman" w:hAnsi="Times New Roman"/>
        </w:rPr>
        <w:t xml:space="preserve">86 of the </w:t>
      </w:r>
      <w:r w:rsidR="00C11222" w:rsidRPr="00FB4B14">
        <w:rPr>
          <w:rFonts w:ascii="Times New Roman" w:hAnsi="Times New Roman"/>
          <w:i/>
          <w:iCs/>
        </w:rPr>
        <w:t>Bankruptcy Act</w:t>
      </w:r>
      <w:r w:rsidR="00C11222" w:rsidRPr="00FB4B14">
        <w:rPr>
          <w:rFonts w:ascii="Times New Roman" w:hAnsi="Times New Roman"/>
        </w:rPr>
        <w:t>.</w:t>
      </w:r>
      <w:r w:rsidR="00C04A05" w:rsidRPr="00FB4B14">
        <w:rPr>
          <w:rFonts w:ascii="Times New Roman" w:hAnsi="Times New Roman"/>
        </w:rPr>
        <w:t xml:space="preserve"> That provision, like</w:t>
      </w:r>
      <w:r w:rsidR="00CB568A" w:rsidRPr="00FB4B14">
        <w:rPr>
          <w:rFonts w:ascii="Times New Roman" w:hAnsi="Times New Roman"/>
        </w:rPr>
        <w:t xml:space="preserve"> s </w:t>
      </w:r>
      <w:r w:rsidR="00C04A05" w:rsidRPr="00FB4B14">
        <w:rPr>
          <w:rFonts w:ascii="Times New Roman" w:hAnsi="Times New Roman"/>
        </w:rPr>
        <w:t>553</w:t>
      </w:r>
      <w:proofErr w:type="gramStart"/>
      <w:r w:rsidR="00C04A05" w:rsidRPr="00FB4B14">
        <w:rPr>
          <w:rFonts w:ascii="Times New Roman" w:hAnsi="Times New Roman"/>
        </w:rPr>
        <w:t>C(</w:t>
      </w:r>
      <w:proofErr w:type="gramEnd"/>
      <w:r w:rsidR="00C04A05" w:rsidRPr="00FB4B14">
        <w:rPr>
          <w:rFonts w:ascii="Times New Roman" w:hAnsi="Times New Roman"/>
        </w:rPr>
        <w:t xml:space="preserve">1), required the existence of </w:t>
      </w:r>
      <w:r w:rsidR="00854F16" w:rsidRPr="00FB4B14">
        <w:rPr>
          <w:rFonts w:ascii="Times New Roman" w:hAnsi="Times New Roman"/>
        </w:rPr>
        <w:t>"</w:t>
      </w:r>
      <w:r w:rsidR="00E75377" w:rsidRPr="00FB4B14">
        <w:rPr>
          <w:rFonts w:ascii="Times New Roman" w:hAnsi="Times New Roman"/>
        </w:rPr>
        <w:t>mutual credits, mutual debts or other mutual dealings</w:t>
      </w:r>
      <w:r w:rsidR="00854F16" w:rsidRPr="00FB4B14">
        <w:rPr>
          <w:rFonts w:ascii="Times New Roman" w:hAnsi="Times New Roman"/>
        </w:rPr>
        <w:t>"</w:t>
      </w:r>
      <w:r w:rsidR="00E75377" w:rsidRPr="00FB4B14">
        <w:rPr>
          <w:rFonts w:ascii="Times New Roman" w:hAnsi="Times New Roman"/>
        </w:rPr>
        <w:t xml:space="preserve"> between </w:t>
      </w:r>
      <w:r w:rsidR="00AF4265" w:rsidRPr="00FB4B14">
        <w:rPr>
          <w:rFonts w:ascii="Times New Roman" w:hAnsi="Times New Roman"/>
        </w:rPr>
        <w:t>a</w:t>
      </w:r>
      <w:r w:rsidR="00E75377" w:rsidRPr="00FB4B14">
        <w:rPr>
          <w:rFonts w:ascii="Times New Roman" w:hAnsi="Times New Roman"/>
        </w:rPr>
        <w:t xml:space="preserve"> bankrupt and a creditor.</w:t>
      </w:r>
      <w:r w:rsidR="007A496E" w:rsidRPr="00FB4B14">
        <w:rPr>
          <w:rFonts w:ascii="Times New Roman" w:hAnsi="Times New Roman"/>
        </w:rPr>
        <w:t xml:space="preserve"> This Court empha</w:t>
      </w:r>
      <w:r w:rsidR="00AE7448" w:rsidRPr="00FB4B14">
        <w:rPr>
          <w:rFonts w:ascii="Times New Roman" w:hAnsi="Times New Roman"/>
        </w:rPr>
        <w:t>s</w:t>
      </w:r>
      <w:r w:rsidR="007A496E" w:rsidRPr="00FB4B14">
        <w:rPr>
          <w:rFonts w:ascii="Times New Roman" w:hAnsi="Times New Roman"/>
        </w:rPr>
        <w:t xml:space="preserve">ised that </w:t>
      </w:r>
      <w:proofErr w:type="gramStart"/>
      <w:r w:rsidR="00AE7448" w:rsidRPr="00FB4B14">
        <w:rPr>
          <w:rFonts w:ascii="Times New Roman" w:hAnsi="Times New Roman"/>
        </w:rPr>
        <w:t>in order to</w:t>
      </w:r>
      <w:proofErr w:type="gramEnd"/>
      <w:r w:rsidR="00AE7448" w:rsidRPr="00FB4B14">
        <w:rPr>
          <w:rFonts w:ascii="Times New Roman" w:hAnsi="Times New Roman"/>
        </w:rPr>
        <w:t xml:space="preserve"> </w:t>
      </w:r>
      <w:r w:rsidR="00A377FC" w:rsidRPr="00FB4B14">
        <w:rPr>
          <w:rFonts w:ascii="Times New Roman" w:hAnsi="Times New Roman"/>
        </w:rPr>
        <w:t xml:space="preserve">do </w:t>
      </w:r>
      <w:r w:rsidR="00854F16" w:rsidRPr="00FB4B14">
        <w:rPr>
          <w:rFonts w:ascii="Times New Roman" w:hAnsi="Times New Roman"/>
        </w:rPr>
        <w:t>"</w:t>
      </w:r>
      <w:r w:rsidR="00AE7448" w:rsidRPr="00FB4B14">
        <w:rPr>
          <w:rFonts w:ascii="Times New Roman" w:hAnsi="Times New Roman"/>
        </w:rPr>
        <w:t>substantial justice</w:t>
      </w:r>
      <w:r w:rsidR="00854F16" w:rsidRPr="00FB4B14">
        <w:rPr>
          <w:rFonts w:ascii="Times New Roman" w:hAnsi="Times New Roman"/>
        </w:rPr>
        <w:t>"</w:t>
      </w:r>
      <w:r w:rsidR="00AE7448" w:rsidRPr="00FB4B14">
        <w:rPr>
          <w:rFonts w:ascii="Times New Roman" w:hAnsi="Times New Roman"/>
        </w:rPr>
        <w:t xml:space="preserve"> it was necessary to give</w:t>
      </w:r>
      <w:r w:rsidR="00CB568A" w:rsidRPr="00FB4B14">
        <w:rPr>
          <w:rFonts w:ascii="Times New Roman" w:hAnsi="Times New Roman"/>
        </w:rPr>
        <w:t xml:space="preserve"> s </w:t>
      </w:r>
      <w:r w:rsidR="00AE7448" w:rsidRPr="00FB4B14">
        <w:rPr>
          <w:rFonts w:ascii="Times New Roman" w:hAnsi="Times New Roman"/>
        </w:rPr>
        <w:t xml:space="preserve">86 the </w:t>
      </w:r>
      <w:r w:rsidR="000D7C4E" w:rsidRPr="00FB4B14">
        <w:rPr>
          <w:rFonts w:ascii="Times New Roman" w:hAnsi="Times New Roman"/>
        </w:rPr>
        <w:t>"</w:t>
      </w:r>
      <w:r w:rsidR="00AE7448" w:rsidRPr="00FB4B14">
        <w:rPr>
          <w:rFonts w:ascii="Times New Roman" w:hAnsi="Times New Roman"/>
        </w:rPr>
        <w:t>widest possible scope</w:t>
      </w:r>
      <w:r w:rsidR="000D7C4E" w:rsidRPr="00FB4B14">
        <w:rPr>
          <w:rFonts w:ascii="Times New Roman" w:hAnsi="Times New Roman"/>
        </w:rPr>
        <w:t>"</w:t>
      </w:r>
      <w:r w:rsidR="00EB05F6" w:rsidRPr="00FB4B14">
        <w:rPr>
          <w:rStyle w:val="FootnoteReference"/>
          <w:rFonts w:ascii="Times New Roman" w:hAnsi="Times New Roman"/>
          <w:sz w:val="24"/>
        </w:rPr>
        <w:footnoteReference w:id="50"/>
      </w:r>
      <w:r w:rsidR="00AE7448" w:rsidRPr="00FB4B14">
        <w:rPr>
          <w:rFonts w:ascii="Times New Roman" w:hAnsi="Times New Roman"/>
        </w:rPr>
        <w:t xml:space="preserve">. </w:t>
      </w:r>
      <w:r w:rsidR="00613DBE" w:rsidRPr="00FB4B14">
        <w:rPr>
          <w:rFonts w:ascii="Times New Roman" w:hAnsi="Times New Roman"/>
        </w:rPr>
        <w:t>Consistently with this, th</w:t>
      </w:r>
      <w:r w:rsidR="00DA4D89" w:rsidRPr="00FB4B14">
        <w:rPr>
          <w:rFonts w:ascii="Times New Roman" w:hAnsi="Times New Roman"/>
        </w:rPr>
        <w:t xml:space="preserve">e term </w:t>
      </w:r>
      <w:r w:rsidR="00854F16" w:rsidRPr="00FB4B14">
        <w:rPr>
          <w:rFonts w:ascii="Times New Roman" w:hAnsi="Times New Roman"/>
        </w:rPr>
        <w:t>"</w:t>
      </w:r>
      <w:r w:rsidR="00DA4D89" w:rsidRPr="00FB4B14">
        <w:rPr>
          <w:rFonts w:ascii="Times New Roman" w:hAnsi="Times New Roman"/>
        </w:rPr>
        <w:t>mutual dealings</w:t>
      </w:r>
      <w:r w:rsidR="00854F16" w:rsidRPr="00FB4B14">
        <w:rPr>
          <w:rFonts w:ascii="Times New Roman" w:hAnsi="Times New Roman"/>
        </w:rPr>
        <w:t>"</w:t>
      </w:r>
      <w:r w:rsidR="00DA4D89" w:rsidRPr="00FB4B14">
        <w:rPr>
          <w:rFonts w:ascii="Times New Roman" w:hAnsi="Times New Roman"/>
        </w:rPr>
        <w:t xml:space="preserve"> was introduced into the </w:t>
      </w:r>
      <w:r w:rsidR="00DA4D89" w:rsidRPr="00FB4B14">
        <w:rPr>
          <w:rFonts w:ascii="Times New Roman" w:hAnsi="Times New Roman"/>
          <w:i/>
          <w:iCs/>
        </w:rPr>
        <w:t>Bankruptcy Act</w:t>
      </w:r>
      <w:r w:rsidR="00DA4D89" w:rsidRPr="00FB4B14">
        <w:rPr>
          <w:rFonts w:ascii="Times New Roman" w:hAnsi="Times New Roman"/>
        </w:rPr>
        <w:t xml:space="preserve"> to avoid </w:t>
      </w:r>
      <w:r w:rsidR="00D22CEA" w:rsidRPr="00FB4B14">
        <w:rPr>
          <w:rFonts w:ascii="Times New Roman" w:hAnsi="Times New Roman"/>
        </w:rPr>
        <w:t>merely technical outcomes. This Court said</w:t>
      </w:r>
      <w:r w:rsidR="00D22CEA" w:rsidRPr="00FB4B14">
        <w:rPr>
          <w:rStyle w:val="FootnoteReference"/>
          <w:rFonts w:ascii="Times New Roman" w:hAnsi="Times New Roman"/>
          <w:sz w:val="24"/>
        </w:rPr>
        <w:footnoteReference w:id="51"/>
      </w:r>
      <w:r w:rsidR="00D22CEA" w:rsidRPr="00FB4B14">
        <w:rPr>
          <w:rFonts w:ascii="Times New Roman" w:hAnsi="Times New Roman"/>
        </w:rPr>
        <w:t>:</w:t>
      </w:r>
    </w:p>
    <w:p w14:paraId="099E75AD" w14:textId="77777777" w:rsidR="00FB4B14" w:rsidRDefault="00854F16" w:rsidP="00FB4B14">
      <w:pPr>
        <w:pStyle w:val="LRIndentafterHC"/>
        <w:spacing w:before="0" w:after="260" w:line="280" w:lineRule="exact"/>
        <w:ind w:right="0"/>
        <w:jc w:val="both"/>
        <w:rPr>
          <w:rFonts w:ascii="Times New Roman" w:hAnsi="Times New Roman"/>
        </w:rPr>
      </w:pPr>
      <w:r w:rsidRPr="00FB4B14">
        <w:rPr>
          <w:rFonts w:ascii="Times New Roman" w:hAnsi="Times New Roman"/>
        </w:rPr>
        <w:t>"</w:t>
      </w:r>
      <w:r w:rsidR="00503B47" w:rsidRPr="00FB4B14">
        <w:rPr>
          <w:rFonts w:ascii="Times New Roman" w:hAnsi="Times New Roman"/>
        </w:rPr>
        <w:t xml:space="preserve">The introduction of the reference to </w:t>
      </w:r>
      <w:r w:rsidRPr="00FB4B14">
        <w:rPr>
          <w:rFonts w:ascii="Times New Roman" w:hAnsi="Times New Roman"/>
        </w:rPr>
        <w:t>'</w:t>
      </w:r>
      <w:r w:rsidR="00503B47" w:rsidRPr="00FB4B14">
        <w:rPr>
          <w:rFonts w:ascii="Times New Roman" w:hAnsi="Times New Roman"/>
        </w:rPr>
        <w:t>other mutual dealings</w:t>
      </w:r>
      <w:r w:rsidRPr="00FB4B14">
        <w:rPr>
          <w:rFonts w:ascii="Times New Roman" w:hAnsi="Times New Roman"/>
        </w:rPr>
        <w:t>'</w:t>
      </w:r>
      <w:r w:rsidR="00503B47" w:rsidRPr="00FB4B14">
        <w:rPr>
          <w:rFonts w:ascii="Times New Roman" w:hAnsi="Times New Roman"/>
        </w:rPr>
        <w:t xml:space="preserve"> in bankruptcy set-off provisions such as s</w:t>
      </w:r>
      <w:r w:rsidR="008E0CC9" w:rsidRPr="00FB4B14">
        <w:rPr>
          <w:rFonts w:ascii="Times New Roman" w:hAnsi="Times New Roman"/>
        </w:rPr>
        <w:t> </w:t>
      </w:r>
      <w:r w:rsidR="00503B47" w:rsidRPr="00FB4B14">
        <w:rPr>
          <w:rFonts w:ascii="Times New Roman" w:hAnsi="Times New Roman"/>
        </w:rPr>
        <w:t xml:space="preserve">86 was intended both to give a more extended right of set-off and to ensure that the intended scope of such </w:t>
      </w:r>
      <w:r w:rsidR="00503B47" w:rsidRPr="00FB4B14">
        <w:rPr>
          <w:rFonts w:ascii="Times New Roman" w:hAnsi="Times New Roman"/>
        </w:rPr>
        <w:lastRenderedPageBreak/>
        <w:t xml:space="preserve">provisions was not frustrated by a narrow or technical approach to what constituted </w:t>
      </w:r>
      <w:r w:rsidRPr="00FB4B14">
        <w:rPr>
          <w:rFonts w:ascii="Times New Roman" w:hAnsi="Times New Roman"/>
        </w:rPr>
        <w:t>'</w:t>
      </w:r>
      <w:r w:rsidR="00503B47" w:rsidRPr="00FB4B14">
        <w:rPr>
          <w:rFonts w:ascii="Times New Roman" w:hAnsi="Times New Roman"/>
        </w:rPr>
        <w:t>credits</w:t>
      </w:r>
      <w:r w:rsidRPr="00FB4B14">
        <w:rPr>
          <w:rFonts w:ascii="Times New Roman" w:hAnsi="Times New Roman"/>
        </w:rPr>
        <w:t>'</w:t>
      </w:r>
      <w:r w:rsidR="00503B47" w:rsidRPr="00FB4B14">
        <w:rPr>
          <w:rFonts w:ascii="Times New Roman" w:hAnsi="Times New Roman"/>
        </w:rPr>
        <w:t xml:space="preserve"> or </w:t>
      </w:r>
      <w:r w:rsidRPr="00FB4B14">
        <w:rPr>
          <w:rFonts w:ascii="Times New Roman" w:hAnsi="Times New Roman"/>
        </w:rPr>
        <w:t>'</w:t>
      </w:r>
      <w:r w:rsidR="00503B47" w:rsidRPr="00FB4B14">
        <w:rPr>
          <w:rFonts w:ascii="Times New Roman" w:hAnsi="Times New Roman"/>
        </w:rPr>
        <w:t>debts</w:t>
      </w:r>
      <w:r w:rsidRPr="00FB4B14">
        <w:rPr>
          <w:rFonts w:ascii="Times New Roman" w:hAnsi="Times New Roman"/>
        </w:rPr>
        <w:t>'".</w:t>
      </w:r>
    </w:p>
    <w:p w14:paraId="6F51EEC2" w14:textId="792E8B2F" w:rsidR="00607AE3" w:rsidRPr="00FB4B14" w:rsidRDefault="005F4BF2"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5768C9" w:rsidRPr="00FB4B14">
        <w:rPr>
          <w:rFonts w:ascii="Times New Roman" w:hAnsi="Times New Roman"/>
        </w:rPr>
        <w:t xml:space="preserve">The word </w:t>
      </w:r>
      <w:r w:rsidR="00854F16" w:rsidRPr="00FB4B14">
        <w:rPr>
          <w:rFonts w:ascii="Times New Roman" w:hAnsi="Times New Roman"/>
        </w:rPr>
        <w:t>"</w:t>
      </w:r>
      <w:r w:rsidR="005768C9" w:rsidRPr="00FB4B14">
        <w:rPr>
          <w:rFonts w:ascii="Times New Roman" w:hAnsi="Times New Roman"/>
        </w:rPr>
        <w:t>dealing</w:t>
      </w:r>
      <w:r w:rsidR="003A7D3B" w:rsidRPr="00FB4B14">
        <w:rPr>
          <w:rFonts w:ascii="Times New Roman" w:hAnsi="Times New Roman"/>
        </w:rPr>
        <w:t>s</w:t>
      </w:r>
      <w:r w:rsidR="00854F16" w:rsidRPr="00FB4B14">
        <w:rPr>
          <w:rFonts w:ascii="Times New Roman" w:hAnsi="Times New Roman"/>
        </w:rPr>
        <w:t>"</w:t>
      </w:r>
      <w:r w:rsidR="005768C9" w:rsidRPr="00FB4B14">
        <w:rPr>
          <w:rFonts w:ascii="Times New Roman" w:hAnsi="Times New Roman"/>
        </w:rPr>
        <w:t xml:space="preserve"> thus extended to </w:t>
      </w:r>
      <w:r w:rsidR="00854F16" w:rsidRPr="00FB4B14">
        <w:rPr>
          <w:rFonts w:ascii="Times New Roman" w:hAnsi="Times New Roman"/>
        </w:rPr>
        <w:t>"</w:t>
      </w:r>
      <w:r w:rsidR="005768C9" w:rsidRPr="00FB4B14">
        <w:rPr>
          <w:rFonts w:ascii="Times New Roman" w:hAnsi="Times New Roman"/>
        </w:rPr>
        <w:t>matters having a commercial or business flavour</w:t>
      </w:r>
      <w:r w:rsidR="00854F16" w:rsidRPr="00FB4B14">
        <w:rPr>
          <w:rFonts w:ascii="Times New Roman" w:hAnsi="Times New Roman"/>
        </w:rPr>
        <w:t>"</w:t>
      </w:r>
      <w:r w:rsidR="00916EB2" w:rsidRPr="00FB4B14">
        <w:rPr>
          <w:rStyle w:val="FootnoteReference"/>
          <w:rFonts w:ascii="Times New Roman" w:hAnsi="Times New Roman"/>
          <w:sz w:val="24"/>
        </w:rPr>
        <w:footnoteReference w:id="52"/>
      </w:r>
      <w:r w:rsidR="005768C9" w:rsidRPr="00FB4B14">
        <w:rPr>
          <w:rFonts w:ascii="Times New Roman" w:hAnsi="Times New Roman"/>
        </w:rPr>
        <w:t xml:space="preserve">. </w:t>
      </w:r>
      <w:r w:rsidR="001F4EE2" w:rsidRPr="00FB4B14">
        <w:rPr>
          <w:rFonts w:ascii="Times New Roman" w:hAnsi="Times New Roman"/>
        </w:rPr>
        <w:t>It</w:t>
      </w:r>
      <w:r w:rsidR="00124125" w:rsidRPr="00FB4B14">
        <w:rPr>
          <w:rFonts w:ascii="Times New Roman" w:hAnsi="Times New Roman"/>
        </w:rPr>
        <w:t>s</w:t>
      </w:r>
      <w:r w:rsidR="001F4EE2" w:rsidRPr="00FB4B14">
        <w:rPr>
          <w:rFonts w:ascii="Times New Roman" w:hAnsi="Times New Roman"/>
        </w:rPr>
        <w:t xml:space="preserve"> meaning extended </w:t>
      </w:r>
      <w:r w:rsidR="00916EB2" w:rsidRPr="00FB4B14">
        <w:rPr>
          <w:rFonts w:ascii="Times New Roman" w:hAnsi="Times New Roman"/>
        </w:rPr>
        <w:t xml:space="preserve">to </w:t>
      </w:r>
      <w:r w:rsidR="00854F16" w:rsidRPr="00FB4B14">
        <w:rPr>
          <w:rFonts w:ascii="Times New Roman" w:hAnsi="Times New Roman"/>
        </w:rPr>
        <w:t>"</w:t>
      </w:r>
      <w:r w:rsidR="00916EB2" w:rsidRPr="00FB4B14">
        <w:rPr>
          <w:rFonts w:ascii="Times New Roman" w:hAnsi="Times New Roman"/>
        </w:rPr>
        <w:t xml:space="preserve">the </w:t>
      </w:r>
      <w:proofErr w:type="spellStart"/>
      <w:r w:rsidR="00916EB2" w:rsidRPr="00FB4B14">
        <w:rPr>
          <w:rFonts w:ascii="Times New Roman" w:hAnsi="Times New Roman"/>
        </w:rPr>
        <w:t>communings</w:t>
      </w:r>
      <w:proofErr w:type="spellEnd"/>
      <w:r w:rsidR="00916EB2" w:rsidRPr="00FB4B14">
        <w:rPr>
          <w:rFonts w:ascii="Times New Roman" w:hAnsi="Times New Roman"/>
        </w:rPr>
        <w:t>, the negotiations, verbal and by correspondence, and other relations which occur or exist in</w:t>
      </w:r>
      <w:r w:rsidR="00854F16" w:rsidRPr="00FB4B14">
        <w:rPr>
          <w:rFonts w:ascii="Times New Roman" w:hAnsi="Times New Roman"/>
        </w:rPr>
        <w:t>"</w:t>
      </w:r>
      <w:r w:rsidR="00916EB2" w:rsidRPr="00FB4B14">
        <w:rPr>
          <w:rFonts w:ascii="Times New Roman" w:hAnsi="Times New Roman"/>
        </w:rPr>
        <w:t xml:space="preserve"> any commercial or business setting</w:t>
      </w:r>
      <w:r w:rsidR="00916EB2" w:rsidRPr="00FB4B14">
        <w:rPr>
          <w:rStyle w:val="FootnoteReference"/>
          <w:rFonts w:ascii="Times New Roman" w:hAnsi="Times New Roman"/>
          <w:sz w:val="24"/>
        </w:rPr>
        <w:footnoteReference w:id="53"/>
      </w:r>
      <w:r w:rsidR="00916EB2" w:rsidRPr="00FB4B14">
        <w:rPr>
          <w:rFonts w:ascii="Times New Roman" w:hAnsi="Times New Roman"/>
        </w:rPr>
        <w:t>.</w:t>
      </w:r>
      <w:r w:rsidR="00CD5A5E" w:rsidRPr="00FB4B14">
        <w:rPr>
          <w:rFonts w:ascii="Times New Roman" w:hAnsi="Times New Roman"/>
        </w:rPr>
        <w:t xml:space="preserve"> No reason existed, </w:t>
      </w:r>
      <w:r w:rsidR="00492BAE" w:rsidRPr="00FB4B14">
        <w:rPr>
          <w:rFonts w:ascii="Times New Roman" w:hAnsi="Times New Roman"/>
        </w:rPr>
        <w:t>the appellant said</w:t>
      </w:r>
      <w:r w:rsidR="00CD5A5E" w:rsidRPr="00FB4B14">
        <w:rPr>
          <w:rFonts w:ascii="Times New Roman" w:hAnsi="Times New Roman"/>
        </w:rPr>
        <w:t>, for the adoption of a different approach when applying</w:t>
      </w:r>
      <w:r w:rsidR="00CB568A" w:rsidRPr="00FB4B14">
        <w:rPr>
          <w:rFonts w:ascii="Times New Roman" w:hAnsi="Times New Roman"/>
        </w:rPr>
        <w:t xml:space="preserve"> s </w:t>
      </w:r>
      <w:r w:rsidR="00CD5A5E" w:rsidRPr="00FB4B14">
        <w:rPr>
          <w:rFonts w:ascii="Times New Roman" w:hAnsi="Times New Roman"/>
        </w:rPr>
        <w:t>553</w:t>
      </w:r>
      <w:proofErr w:type="gramStart"/>
      <w:r w:rsidR="00CD5A5E" w:rsidRPr="00FB4B14">
        <w:rPr>
          <w:rFonts w:ascii="Times New Roman" w:hAnsi="Times New Roman"/>
        </w:rPr>
        <w:t>C(</w:t>
      </w:r>
      <w:proofErr w:type="gramEnd"/>
      <w:r w:rsidR="00CD5A5E" w:rsidRPr="00FB4B14">
        <w:rPr>
          <w:rFonts w:ascii="Times New Roman" w:hAnsi="Times New Roman"/>
        </w:rPr>
        <w:t xml:space="preserve">1). </w:t>
      </w:r>
    </w:p>
    <w:p w14:paraId="0568DAC4" w14:textId="0DB586C8" w:rsidR="00124125" w:rsidRPr="00FB4B14" w:rsidRDefault="00607AE3"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CD5A5E" w:rsidRPr="00FB4B14">
        <w:rPr>
          <w:rFonts w:ascii="Times New Roman" w:hAnsi="Times New Roman"/>
        </w:rPr>
        <w:t>The appellant submitt</w:t>
      </w:r>
      <w:r w:rsidR="00CF6464" w:rsidRPr="00FB4B14">
        <w:rPr>
          <w:rFonts w:ascii="Times New Roman" w:hAnsi="Times New Roman"/>
        </w:rPr>
        <w:t>e</w:t>
      </w:r>
      <w:r w:rsidR="00CD5A5E" w:rsidRPr="00FB4B14">
        <w:rPr>
          <w:rFonts w:ascii="Times New Roman" w:hAnsi="Times New Roman"/>
        </w:rPr>
        <w:t>d that it was impo</w:t>
      </w:r>
      <w:r w:rsidR="00CF6464" w:rsidRPr="00FB4B14">
        <w:rPr>
          <w:rFonts w:ascii="Times New Roman" w:hAnsi="Times New Roman"/>
        </w:rPr>
        <w:t>rtant that</w:t>
      </w:r>
      <w:r w:rsidR="005E4186" w:rsidRPr="00FB4B14">
        <w:rPr>
          <w:rFonts w:ascii="Times New Roman" w:hAnsi="Times New Roman"/>
        </w:rPr>
        <w:t>,</w:t>
      </w:r>
      <w:r w:rsidR="00CF6464" w:rsidRPr="00FB4B14">
        <w:rPr>
          <w:rFonts w:ascii="Times New Roman" w:hAnsi="Times New Roman"/>
        </w:rPr>
        <w:t xml:space="preserve"> in </w:t>
      </w:r>
      <w:proofErr w:type="spellStart"/>
      <w:r w:rsidR="00CF6464" w:rsidRPr="00FB4B14">
        <w:rPr>
          <w:rFonts w:ascii="Times New Roman" w:hAnsi="Times New Roman"/>
          <w:i/>
          <w:iCs/>
        </w:rPr>
        <w:t>Gye</w:t>
      </w:r>
      <w:proofErr w:type="spellEnd"/>
      <w:r w:rsidR="00CF6464" w:rsidRPr="00FB4B14">
        <w:rPr>
          <w:rFonts w:ascii="Times New Roman" w:hAnsi="Times New Roman"/>
        </w:rPr>
        <w:t xml:space="preserve">, this </w:t>
      </w:r>
      <w:r w:rsidR="00AB6386" w:rsidRPr="00FB4B14">
        <w:rPr>
          <w:rFonts w:ascii="Times New Roman" w:hAnsi="Times New Roman"/>
        </w:rPr>
        <w:t>C</w:t>
      </w:r>
      <w:r w:rsidR="00CF6464" w:rsidRPr="00FB4B14">
        <w:rPr>
          <w:rFonts w:ascii="Times New Roman" w:hAnsi="Times New Roman"/>
        </w:rPr>
        <w:t xml:space="preserve">ourt </w:t>
      </w:r>
      <w:r w:rsidR="005F4BF2" w:rsidRPr="00FB4B14">
        <w:rPr>
          <w:rFonts w:ascii="Times New Roman" w:hAnsi="Times New Roman"/>
        </w:rPr>
        <w:t>also recognised that it was sufficient if the mutual dealing</w:t>
      </w:r>
      <w:r w:rsidR="00BD66FB" w:rsidRPr="00FB4B14">
        <w:rPr>
          <w:rFonts w:ascii="Times New Roman" w:hAnsi="Times New Roman"/>
        </w:rPr>
        <w:t xml:space="preserve"> was one which </w:t>
      </w:r>
      <w:r w:rsidR="00CF10D2" w:rsidRPr="00FB4B14">
        <w:rPr>
          <w:rFonts w:ascii="Times New Roman" w:hAnsi="Times New Roman"/>
        </w:rPr>
        <w:t xml:space="preserve">was </w:t>
      </w:r>
      <w:r w:rsidR="00854F16" w:rsidRPr="00FB4B14">
        <w:rPr>
          <w:rFonts w:ascii="Times New Roman" w:hAnsi="Times New Roman"/>
        </w:rPr>
        <w:t>"</w:t>
      </w:r>
      <w:r w:rsidR="00BD66FB" w:rsidRPr="00FB4B14">
        <w:rPr>
          <w:rFonts w:ascii="Times New Roman" w:hAnsi="Times New Roman"/>
        </w:rPr>
        <w:t>capable of giving rise</w:t>
      </w:r>
      <w:r w:rsidR="008D6443" w:rsidRPr="00FB4B14">
        <w:rPr>
          <w:rFonts w:ascii="Times New Roman" w:hAnsi="Times New Roman"/>
        </w:rPr>
        <w:t xml:space="preserve"> to</w:t>
      </w:r>
      <w:r w:rsidR="00EF4692" w:rsidRPr="00FB4B14">
        <w:rPr>
          <w:rFonts w:ascii="Times New Roman" w:hAnsi="Times New Roman"/>
        </w:rPr>
        <w:t>"</w:t>
      </w:r>
      <w:r w:rsidR="008B1610" w:rsidRPr="00FB4B14">
        <w:rPr>
          <w:rFonts w:ascii="Times New Roman" w:hAnsi="Times New Roman"/>
        </w:rPr>
        <w:t xml:space="preserve"> claims</w:t>
      </w:r>
      <w:r w:rsidR="00BD66FB" w:rsidRPr="00FB4B14">
        <w:rPr>
          <w:rFonts w:ascii="Times New Roman" w:hAnsi="Times New Roman"/>
        </w:rPr>
        <w:t xml:space="preserve"> in the future </w:t>
      </w:r>
      <w:r w:rsidR="00713B81" w:rsidRPr="00FB4B14">
        <w:rPr>
          <w:rFonts w:ascii="Times New Roman" w:hAnsi="Times New Roman"/>
        </w:rPr>
        <w:t>which might be eligible to be set</w:t>
      </w:r>
      <w:r w:rsidR="00E40C00" w:rsidRPr="00FB4B14">
        <w:rPr>
          <w:rFonts w:ascii="Times New Roman" w:hAnsi="Times New Roman"/>
        </w:rPr>
        <w:t xml:space="preserve"> </w:t>
      </w:r>
      <w:r w:rsidR="00713B81" w:rsidRPr="00FB4B14">
        <w:rPr>
          <w:rFonts w:ascii="Times New Roman" w:hAnsi="Times New Roman"/>
        </w:rPr>
        <w:t>off</w:t>
      </w:r>
      <w:r w:rsidR="008B1610" w:rsidRPr="00FB4B14">
        <w:rPr>
          <w:rStyle w:val="FootnoteReference"/>
          <w:rFonts w:ascii="Times New Roman" w:hAnsi="Times New Roman"/>
          <w:sz w:val="24"/>
        </w:rPr>
        <w:footnoteReference w:id="54"/>
      </w:r>
      <w:r w:rsidR="00713B81" w:rsidRPr="00FB4B14">
        <w:rPr>
          <w:rFonts w:ascii="Times New Roman" w:hAnsi="Times New Roman"/>
        </w:rPr>
        <w:t xml:space="preserve">. </w:t>
      </w:r>
      <w:r w:rsidR="00113FD8" w:rsidRPr="00FB4B14">
        <w:rPr>
          <w:rFonts w:ascii="Times New Roman" w:hAnsi="Times New Roman"/>
        </w:rPr>
        <w:t xml:space="preserve">The word </w:t>
      </w:r>
      <w:r w:rsidR="00854F16" w:rsidRPr="00FB4B14">
        <w:rPr>
          <w:rFonts w:ascii="Times New Roman" w:hAnsi="Times New Roman"/>
        </w:rPr>
        <w:t>"</w:t>
      </w:r>
      <w:r w:rsidR="00113FD8" w:rsidRPr="00FB4B14">
        <w:rPr>
          <w:rFonts w:ascii="Times New Roman" w:hAnsi="Times New Roman"/>
        </w:rPr>
        <w:t>mutual</w:t>
      </w:r>
      <w:r w:rsidR="00854F16" w:rsidRPr="00FB4B14">
        <w:rPr>
          <w:rFonts w:ascii="Times New Roman" w:hAnsi="Times New Roman"/>
        </w:rPr>
        <w:t>"</w:t>
      </w:r>
      <w:r w:rsidR="00113FD8" w:rsidRPr="00FB4B14">
        <w:rPr>
          <w:rFonts w:ascii="Times New Roman" w:hAnsi="Times New Roman"/>
        </w:rPr>
        <w:t xml:space="preserve">, in that respect, </w:t>
      </w:r>
      <w:r w:rsidR="00450A9E" w:rsidRPr="00FB4B14">
        <w:rPr>
          <w:rFonts w:ascii="Times New Roman" w:hAnsi="Times New Roman"/>
        </w:rPr>
        <w:t>conveyed the notion of</w:t>
      </w:r>
      <w:r w:rsidR="00113FD8" w:rsidRPr="00FB4B14">
        <w:rPr>
          <w:rFonts w:ascii="Times New Roman" w:hAnsi="Times New Roman"/>
        </w:rPr>
        <w:t xml:space="preserve"> </w:t>
      </w:r>
      <w:r w:rsidR="00854F16" w:rsidRPr="00FB4B14">
        <w:rPr>
          <w:rFonts w:ascii="Times New Roman" w:hAnsi="Times New Roman"/>
        </w:rPr>
        <w:t>"</w:t>
      </w:r>
      <w:r w:rsidR="00113FD8" w:rsidRPr="00FB4B14">
        <w:rPr>
          <w:rFonts w:ascii="Times New Roman" w:hAnsi="Times New Roman"/>
        </w:rPr>
        <w:t>reciprocity rather than that of correspondence</w:t>
      </w:r>
      <w:r w:rsidR="00854F16" w:rsidRPr="00FB4B14">
        <w:rPr>
          <w:rFonts w:ascii="Times New Roman" w:hAnsi="Times New Roman"/>
        </w:rPr>
        <w:t>"</w:t>
      </w:r>
      <w:r w:rsidR="00CF10D2" w:rsidRPr="00FB4B14">
        <w:rPr>
          <w:rStyle w:val="FootnoteReference"/>
          <w:rFonts w:ascii="Times New Roman" w:hAnsi="Times New Roman"/>
          <w:sz w:val="24"/>
        </w:rPr>
        <w:footnoteReference w:id="55"/>
      </w:r>
      <w:r w:rsidR="00CF10D2" w:rsidRPr="00FB4B14">
        <w:rPr>
          <w:rFonts w:ascii="Times New Roman" w:hAnsi="Times New Roman"/>
        </w:rPr>
        <w:t xml:space="preserve">. </w:t>
      </w:r>
    </w:p>
    <w:p w14:paraId="2A56C2C1" w14:textId="27FBAEFD" w:rsidR="00B824BB" w:rsidRPr="00FB4B14" w:rsidRDefault="00B824BB" w:rsidP="00FB4B14">
      <w:pPr>
        <w:pStyle w:val="FixListStyle"/>
        <w:spacing w:after="260" w:line="280" w:lineRule="exact"/>
        <w:ind w:right="0"/>
        <w:jc w:val="both"/>
        <w:rPr>
          <w:rFonts w:ascii="Times New Roman" w:hAnsi="Times New Roman"/>
        </w:rPr>
      </w:pPr>
      <w:r w:rsidRPr="00FB4B14">
        <w:rPr>
          <w:rFonts w:ascii="Times New Roman" w:hAnsi="Times New Roman"/>
        </w:rPr>
        <w:tab/>
        <w:t>Here, it was submitted</w:t>
      </w:r>
      <w:r w:rsidR="00A87226" w:rsidRPr="00FB4B14">
        <w:rPr>
          <w:rFonts w:ascii="Times New Roman" w:hAnsi="Times New Roman"/>
        </w:rPr>
        <w:t xml:space="preserve"> by the appellant</w:t>
      </w:r>
      <w:r w:rsidR="00FF2C27" w:rsidRPr="00FB4B14">
        <w:rPr>
          <w:rFonts w:ascii="Times New Roman" w:hAnsi="Times New Roman"/>
        </w:rPr>
        <w:t xml:space="preserve"> that</w:t>
      </w:r>
      <w:r w:rsidRPr="00FB4B14">
        <w:rPr>
          <w:rFonts w:ascii="Times New Roman" w:hAnsi="Times New Roman"/>
        </w:rPr>
        <w:t xml:space="preserve"> each of the three aspects</w:t>
      </w:r>
      <w:r w:rsidR="00E8404A" w:rsidRPr="00FB4B14">
        <w:rPr>
          <w:rFonts w:ascii="Times New Roman" w:hAnsi="Times New Roman"/>
        </w:rPr>
        <w:t xml:space="preserve"> required by </w:t>
      </w:r>
      <w:proofErr w:type="spellStart"/>
      <w:r w:rsidR="00E8404A" w:rsidRPr="00FB4B14">
        <w:rPr>
          <w:rFonts w:ascii="Times New Roman" w:hAnsi="Times New Roman"/>
          <w:i/>
          <w:iCs/>
        </w:rPr>
        <w:t>Gye</w:t>
      </w:r>
      <w:proofErr w:type="spellEnd"/>
      <w:r w:rsidR="00BB7471" w:rsidRPr="00FB4B14">
        <w:rPr>
          <w:rFonts w:ascii="Times New Roman" w:hAnsi="Times New Roman"/>
        </w:rPr>
        <w:t>, referred to above</w:t>
      </w:r>
      <w:r w:rsidR="005A242C" w:rsidRPr="00FB4B14">
        <w:rPr>
          <w:rStyle w:val="FootnoteReference"/>
          <w:rFonts w:ascii="Times New Roman" w:hAnsi="Times New Roman"/>
          <w:sz w:val="24"/>
        </w:rPr>
        <w:footnoteReference w:id="56"/>
      </w:r>
      <w:r w:rsidR="00BB7471" w:rsidRPr="00FB4B14">
        <w:rPr>
          <w:rFonts w:ascii="Times New Roman" w:hAnsi="Times New Roman"/>
        </w:rPr>
        <w:t>,</w:t>
      </w:r>
      <w:r w:rsidRPr="00FB4B14">
        <w:rPr>
          <w:rFonts w:ascii="Times New Roman" w:hAnsi="Times New Roman"/>
        </w:rPr>
        <w:t xml:space="preserve"> </w:t>
      </w:r>
      <w:r w:rsidR="00C979D1" w:rsidRPr="00FB4B14">
        <w:rPr>
          <w:rFonts w:ascii="Times New Roman" w:hAnsi="Times New Roman"/>
        </w:rPr>
        <w:t xml:space="preserve">was satisfied. </w:t>
      </w:r>
      <w:r w:rsidR="002A1708" w:rsidRPr="00FB4B14">
        <w:rPr>
          <w:rFonts w:ascii="Times New Roman" w:hAnsi="Times New Roman"/>
        </w:rPr>
        <w:t>First, t</w:t>
      </w:r>
      <w:r w:rsidR="00C979D1" w:rsidRPr="00FB4B14">
        <w:rPr>
          <w:rFonts w:ascii="Times New Roman" w:hAnsi="Times New Roman"/>
        </w:rPr>
        <w:t>he transaction</w:t>
      </w:r>
      <w:r w:rsidR="002B5EC2" w:rsidRPr="00FB4B14">
        <w:rPr>
          <w:rFonts w:ascii="Times New Roman" w:hAnsi="Times New Roman"/>
        </w:rPr>
        <w:t>s</w:t>
      </w:r>
      <w:r w:rsidR="00C979D1" w:rsidRPr="00FB4B14">
        <w:rPr>
          <w:rFonts w:ascii="Times New Roman" w:hAnsi="Times New Roman"/>
        </w:rPr>
        <w:t xml:space="preserve"> which had taken place </w:t>
      </w:r>
      <w:r w:rsidR="00886458" w:rsidRPr="00FB4B14">
        <w:rPr>
          <w:rFonts w:ascii="Times New Roman" w:hAnsi="Times New Roman"/>
        </w:rPr>
        <w:t xml:space="preserve">during the relation-back period </w:t>
      </w:r>
      <w:r w:rsidR="002B5EC2" w:rsidRPr="00FB4B14">
        <w:rPr>
          <w:rFonts w:ascii="Times New Roman" w:hAnsi="Times New Roman"/>
        </w:rPr>
        <w:t xml:space="preserve">were </w:t>
      </w:r>
      <w:r w:rsidR="00886458" w:rsidRPr="00FB4B14">
        <w:rPr>
          <w:rFonts w:ascii="Times New Roman" w:hAnsi="Times New Roman"/>
        </w:rPr>
        <w:t xml:space="preserve">between the same parties. </w:t>
      </w:r>
      <w:r w:rsidR="002A1708" w:rsidRPr="00FB4B14">
        <w:rPr>
          <w:rFonts w:ascii="Times New Roman" w:hAnsi="Times New Roman"/>
        </w:rPr>
        <w:t>Secondly, t</w:t>
      </w:r>
      <w:r w:rsidR="00886458" w:rsidRPr="00FB4B14">
        <w:rPr>
          <w:rFonts w:ascii="Times New Roman" w:hAnsi="Times New Roman"/>
        </w:rPr>
        <w:t xml:space="preserve">he benefit or burden </w:t>
      </w:r>
      <w:r w:rsidR="00F70AF2" w:rsidRPr="00FB4B14">
        <w:rPr>
          <w:rFonts w:ascii="Times New Roman" w:hAnsi="Times New Roman"/>
        </w:rPr>
        <w:t>of the dealing</w:t>
      </w:r>
      <w:r w:rsidR="00917947" w:rsidRPr="00FB4B14">
        <w:rPr>
          <w:rFonts w:ascii="Times New Roman" w:hAnsi="Times New Roman"/>
        </w:rPr>
        <w:t>s</w:t>
      </w:r>
      <w:r w:rsidR="00F70AF2" w:rsidRPr="00FB4B14">
        <w:rPr>
          <w:rFonts w:ascii="Times New Roman" w:hAnsi="Times New Roman"/>
        </w:rPr>
        <w:t xml:space="preserve"> lay in the same interest</w:t>
      </w:r>
      <w:r w:rsidR="00917947" w:rsidRPr="00FB4B14">
        <w:rPr>
          <w:rFonts w:ascii="Times New Roman" w:hAnsi="Times New Roman"/>
        </w:rPr>
        <w:t>s</w:t>
      </w:r>
      <w:r w:rsidR="00F70AF2" w:rsidRPr="00FB4B14">
        <w:rPr>
          <w:rFonts w:ascii="Times New Roman" w:hAnsi="Times New Roman"/>
        </w:rPr>
        <w:t xml:space="preserve"> because the company and the creditor are owed monies which</w:t>
      </w:r>
      <w:r w:rsidR="00A87226" w:rsidRPr="00FB4B14">
        <w:rPr>
          <w:rFonts w:ascii="Times New Roman" w:hAnsi="Times New Roman"/>
        </w:rPr>
        <w:t>,</w:t>
      </w:r>
      <w:r w:rsidR="00F70AF2" w:rsidRPr="00FB4B14">
        <w:rPr>
          <w:rFonts w:ascii="Times New Roman" w:hAnsi="Times New Roman"/>
        </w:rPr>
        <w:t xml:space="preserve"> when </w:t>
      </w:r>
      <w:r w:rsidR="005959D9" w:rsidRPr="00FB4B14">
        <w:rPr>
          <w:rFonts w:ascii="Times New Roman" w:hAnsi="Times New Roman"/>
        </w:rPr>
        <w:t>paid</w:t>
      </w:r>
      <w:r w:rsidR="00A87226" w:rsidRPr="00FB4B14">
        <w:rPr>
          <w:rFonts w:ascii="Times New Roman" w:hAnsi="Times New Roman"/>
        </w:rPr>
        <w:t>,</w:t>
      </w:r>
      <w:r w:rsidR="00F70AF2" w:rsidRPr="00FB4B14">
        <w:rPr>
          <w:rFonts w:ascii="Times New Roman" w:hAnsi="Times New Roman"/>
        </w:rPr>
        <w:t xml:space="preserve"> will be </w:t>
      </w:r>
      <w:r w:rsidR="005959D9" w:rsidRPr="00FB4B14">
        <w:rPr>
          <w:rFonts w:ascii="Times New Roman" w:hAnsi="Times New Roman"/>
        </w:rPr>
        <w:t xml:space="preserve">received beneficially. This aspect of the requirement of mutuality was limited, it was contended, to asking whether the parties </w:t>
      </w:r>
      <w:r w:rsidR="00431347" w:rsidRPr="00FB4B14">
        <w:rPr>
          <w:rFonts w:ascii="Times New Roman" w:hAnsi="Times New Roman"/>
        </w:rPr>
        <w:t xml:space="preserve">would receive the benefit of any payment </w:t>
      </w:r>
      <w:r w:rsidR="009854B2" w:rsidRPr="00FB4B14">
        <w:rPr>
          <w:rFonts w:ascii="Times New Roman" w:hAnsi="Times New Roman"/>
        </w:rPr>
        <w:t xml:space="preserve">beneficially or in the capacity </w:t>
      </w:r>
      <w:r w:rsidR="00CE52CA" w:rsidRPr="00FB4B14">
        <w:rPr>
          <w:rFonts w:ascii="Times New Roman" w:hAnsi="Times New Roman"/>
        </w:rPr>
        <w:t xml:space="preserve">of </w:t>
      </w:r>
      <w:r w:rsidR="009854B2" w:rsidRPr="00FB4B14">
        <w:rPr>
          <w:rFonts w:ascii="Times New Roman" w:hAnsi="Times New Roman"/>
        </w:rPr>
        <w:t>a</w:t>
      </w:r>
      <w:r w:rsidR="00431347" w:rsidRPr="00FB4B14">
        <w:rPr>
          <w:rFonts w:ascii="Times New Roman" w:hAnsi="Times New Roman"/>
        </w:rPr>
        <w:t xml:space="preserve"> trustee. This aspect of the requirement of mutuality will need to be revisited. Thirdly</w:t>
      </w:r>
      <w:r w:rsidR="00D12B35" w:rsidRPr="00FB4B14">
        <w:rPr>
          <w:rFonts w:ascii="Times New Roman" w:hAnsi="Times New Roman"/>
        </w:rPr>
        <w:t>, the liability of MJ</w:t>
      </w:r>
      <w:r w:rsidR="00124125" w:rsidRPr="00FB4B14">
        <w:rPr>
          <w:rFonts w:ascii="Times New Roman" w:hAnsi="Times New Roman"/>
        </w:rPr>
        <w:t> </w:t>
      </w:r>
      <w:r w:rsidR="00D12B35" w:rsidRPr="00FB4B14">
        <w:rPr>
          <w:rFonts w:ascii="Times New Roman" w:hAnsi="Times New Roman"/>
        </w:rPr>
        <w:t>Woodman and that which will arise under</w:t>
      </w:r>
      <w:r w:rsidR="00CB568A" w:rsidRPr="00FB4B14">
        <w:rPr>
          <w:rFonts w:ascii="Times New Roman" w:hAnsi="Times New Roman"/>
        </w:rPr>
        <w:t xml:space="preserve"> s </w:t>
      </w:r>
      <w:r w:rsidR="00D12B35" w:rsidRPr="00FB4B14">
        <w:rPr>
          <w:rFonts w:ascii="Times New Roman" w:hAnsi="Times New Roman"/>
        </w:rPr>
        <w:t xml:space="preserve">588FF(1)(a) </w:t>
      </w:r>
      <w:r w:rsidR="009854B2" w:rsidRPr="00FB4B14">
        <w:rPr>
          <w:rFonts w:ascii="Times New Roman" w:hAnsi="Times New Roman"/>
        </w:rPr>
        <w:t xml:space="preserve">both </w:t>
      </w:r>
      <w:r w:rsidR="00D12B35" w:rsidRPr="00FB4B14">
        <w:rPr>
          <w:rFonts w:ascii="Times New Roman" w:hAnsi="Times New Roman"/>
        </w:rPr>
        <w:t>sound in money.</w:t>
      </w:r>
    </w:p>
    <w:p w14:paraId="6F90B638" w14:textId="7D74EAAF" w:rsidR="00AE777A" w:rsidRPr="00FB4B14" w:rsidRDefault="00AE777A" w:rsidP="00FB4B14">
      <w:pPr>
        <w:pStyle w:val="FixListStyle"/>
        <w:spacing w:after="260" w:line="280" w:lineRule="exact"/>
        <w:ind w:right="0"/>
        <w:jc w:val="both"/>
        <w:rPr>
          <w:rFonts w:ascii="Times New Roman" w:hAnsi="Times New Roman"/>
        </w:rPr>
      </w:pPr>
      <w:r w:rsidRPr="00FB4B14">
        <w:rPr>
          <w:rFonts w:ascii="Times New Roman" w:hAnsi="Times New Roman"/>
        </w:rPr>
        <w:lastRenderedPageBreak/>
        <w:tab/>
        <w:t xml:space="preserve">The second case relied upon by the appellant </w:t>
      </w:r>
      <w:r w:rsidR="00CA5E38" w:rsidRPr="00FB4B14">
        <w:rPr>
          <w:rFonts w:ascii="Times New Roman" w:hAnsi="Times New Roman"/>
        </w:rPr>
        <w:t>was</w:t>
      </w:r>
      <w:r w:rsidRPr="00FB4B14">
        <w:rPr>
          <w:rFonts w:ascii="Times New Roman" w:hAnsi="Times New Roman"/>
        </w:rPr>
        <w:t xml:space="preserve"> </w:t>
      </w:r>
      <w:proofErr w:type="spellStart"/>
      <w:r w:rsidRPr="00FB4B14">
        <w:rPr>
          <w:rFonts w:ascii="Times New Roman" w:hAnsi="Times New Roman"/>
          <w:i/>
          <w:iCs/>
        </w:rPr>
        <w:t>Hiley</w:t>
      </w:r>
      <w:proofErr w:type="spellEnd"/>
      <w:r w:rsidRPr="00FB4B14">
        <w:rPr>
          <w:rFonts w:ascii="Times New Roman" w:hAnsi="Times New Roman"/>
          <w:i/>
          <w:iCs/>
        </w:rPr>
        <w:t xml:space="preserve"> v People</w:t>
      </w:r>
      <w:r w:rsidR="00874C9F" w:rsidRPr="00FB4B14">
        <w:rPr>
          <w:rFonts w:ascii="Times New Roman" w:hAnsi="Times New Roman"/>
          <w:i/>
          <w:iCs/>
        </w:rPr>
        <w:t xml:space="preserve">s Prudential Assurance </w:t>
      </w:r>
      <w:r w:rsidR="008C7628" w:rsidRPr="00FB4B14">
        <w:rPr>
          <w:rFonts w:ascii="Times New Roman" w:hAnsi="Times New Roman"/>
          <w:i/>
          <w:iCs/>
        </w:rPr>
        <w:t>Co Ltd</w:t>
      </w:r>
      <w:r w:rsidR="00874C9F" w:rsidRPr="00FB4B14">
        <w:rPr>
          <w:rStyle w:val="FootnoteReference"/>
          <w:rFonts w:ascii="Times New Roman" w:hAnsi="Times New Roman"/>
          <w:sz w:val="24"/>
        </w:rPr>
        <w:footnoteReference w:id="57"/>
      </w:r>
      <w:r w:rsidR="00874C9F" w:rsidRPr="00FB4B14">
        <w:rPr>
          <w:rFonts w:ascii="Times New Roman" w:hAnsi="Times New Roman"/>
        </w:rPr>
        <w:t xml:space="preserve">. </w:t>
      </w:r>
      <w:r w:rsidR="009643C6" w:rsidRPr="00FB4B14">
        <w:rPr>
          <w:rFonts w:ascii="Times New Roman" w:hAnsi="Times New Roman"/>
        </w:rPr>
        <w:t xml:space="preserve">The majority decided that </w:t>
      </w:r>
      <w:r w:rsidR="00E454B3" w:rsidRPr="00FB4B14">
        <w:rPr>
          <w:rFonts w:ascii="Times New Roman" w:hAnsi="Times New Roman"/>
        </w:rPr>
        <w:t xml:space="preserve">the appellant (Mr </w:t>
      </w:r>
      <w:proofErr w:type="spellStart"/>
      <w:r w:rsidR="00E454B3" w:rsidRPr="00FB4B14">
        <w:rPr>
          <w:rFonts w:ascii="Times New Roman" w:hAnsi="Times New Roman"/>
        </w:rPr>
        <w:t>Hiley</w:t>
      </w:r>
      <w:proofErr w:type="spellEnd"/>
      <w:r w:rsidR="00E454B3" w:rsidRPr="00FB4B14">
        <w:rPr>
          <w:rFonts w:ascii="Times New Roman" w:hAnsi="Times New Roman"/>
        </w:rPr>
        <w:t>) was entitled</w:t>
      </w:r>
      <w:r w:rsidR="00B53408" w:rsidRPr="00FB4B14">
        <w:rPr>
          <w:rFonts w:ascii="Times New Roman" w:hAnsi="Times New Roman"/>
        </w:rPr>
        <w:t xml:space="preserve"> –</w:t>
      </w:r>
      <w:r w:rsidR="00E454B3" w:rsidRPr="00FB4B14">
        <w:rPr>
          <w:rFonts w:ascii="Times New Roman" w:hAnsi="Times New Roman"/>
        </w:rPr>
        <w:t xml:space="preserve"> pursuant to</w:t>
      </w:r>
      <w:r w:rsidR="00CB568A" w:rsidRPr="00FB4B14">
        <w:rPr>
          <w:rFonts w:ascii="Times New Roman" w:hAnsi="Times New Roman"/>
        </w:rPr>
        <w:t xml:space="preserve"> s </w:t>
      </w:r>
      <w:r w:rsidR="00E454B3" w:rsidRPr="00FB4B14">
        <w:rPr>
          <w:rFonts w:ascii="Times New Roman" w:hAnsi="Times New Roman"/>
        </w:rPr>
        <w:t xml:space="preserve">82 of the </w:t>
      </w:r>
      <w:r w:rsidR="00E454B3" w:rsidRPr="00FB4B14">
        <w:rPr>
          <w:rFonts w:ascii="Times New Roman" w:hAnsi="Times New Roman"/>
          <w:i/>
          <w:iCs/>
        </w:rPr>
        <w:t>Bankrupt</w:t>
      </w:r>
      <w:r w:rsidR="004B6829" w:rsidRPr="00FB4B14">
        <w:rPr>
          <w:rFonts w:ascii="Times New Roman" w:hAnsi="Times New Roman"/>
          <w:i/>
          <w:iCs/>
        </w:rPr>
        <w:t xml:space="preserve">cy Act </w:t>
      </w:r>
      <w:r w:rsidR="00912E09" w:rsidRPr="00FB4B14">
        <w:rPr>
          <w:rFonts w:ascii="Times New Roman" w:hAnsi="Times New Roman"/>
          <w:i/>
          <w:iCs/>
        </w:rPr>
        <w:t>1924</w:t>
      </w:r>
      <w:r w:rsidR="00912E09" w:rsidRPr="00FB4B14">
        <w:rPr>
          <w:rFonts w:ascii="Times New Roman" w:hAnsi="Times New Roman"/>
        </w:rPr>
        <w:t xml:space="preserve"> (</w:t>
      </w:r>
      <w:proofErr w:type="spellStart"/>
      <w:r w:rsidR="00912E09" w:rsidRPr="00FB4B14">
        <w:rPr>
          <w:rFonts w:ascii="Times New Roman" w:hAnsi="Times New Roman"/>
        </w:rPr>
        <w:t>Cth</w:t>
      </w:r>
      <w:proofErr w:type="spellEnd"/>
      <w:r w:rsidR="00912E09" w:rsidRPr="00FB4B14">
        <w:rPr>
          <w:rFonts w:ascii="Times New Roman" w:hAnsi="Times New Roman"/>
        </w:rPr>
        <w:t>), as applied to companies at that time by</w:t>
      </w:r>
      <w:r w:rsidR="00CB568A" w:rsidRPr="00FB4B14">
        <w:rPr>
          <w:rFonts w:ascii="Times New Roman" w:hAnsi="Times New Roman"/>
        </w:rPr>
        <w:t xml:space="preserve"> s </w:t>
      </w:r>
      <w:r w:rsidR="00912E09" w:rsidRPr="00FB4B14">
        <w:rPr>
          <w:rFonts w:ascii="Times New Roman" w:hAnsi="Times New Roman"/>
        </w:rPr>
        <w:t xml:space="preserve">264 of the </w:t>
      </w:r>
      <w:r w:rsidR="00912E09" w:rsidRPr="00FB4B14">
        <w:rPr>
          <w:rFonts w:ascii="Times New Roman" w:hAnsi="Times New Roman"/>
          <w:i/>
          <w:iCs/>
        </w:rPr>
        <w:t>Companies Act 1899</w:t>
      </w:r>
      <w:r w:rsidR="00912E09" w:rsidRPr="00FB4B14">
        <w:rPr>
          <w:rFonts w:ascii="Times New Roman" w:hAnsi="Times New Roman"/>
        </w:rPr>
        <w:t xml:space="preserve"> (NSW)</w:t>
      </w:r>
      <w:r w:rsidR="00B53408" w:rsidRPr="00FB4B14">
        <w:rPr>
          <w:rFonts w:ascii="Times New Roman" w:hAnsi="Times New Roman"/>
        </w:rPr>
        <w:t xml:space="preserve"> –</w:t>
      </w:r>
      <w:r w:rsidR="00912E09" w:rsidRPr="00FB4B14">
        <w:rPr>
          <w:rFonts w:ascii="Times New Roman" w:hAnsi="Times New Roman"/>
        </w:rPr>
        <w:t xml:space="preserve"> </w:t>
      </w:r>
      <w:r w:rsidR="00F6509E" w:rsidRPr="00FB4B14">
        <w:rPr>
          <w:rFonts w:ascii="Times New Roman" w:hAnsi="Times New Roman"/>
        </w:rPr>
        <w:t>to set</w:t>
      </w:r>
      <w:r w:rsidR="00E40C00" w:rsidRPr="00FB4B14">
        <w:rPr>
          <w:rFonts w:ascii="Times New Roman" w:hAnsi="Times New Roman"/>
        </w:rPr>
        <w:t xml:space="preserve"> </w:t>
      </w:r>
      <w:r w:rsidR="00F6509E" w:rsidRPr="00FB4B14">
        <w:rPr>
          <w:rFonts w:ascii="Times New Roman" w:hAnsi="Times New Roman"/>
        </w:rPr>
        <w:t>off an amount</w:t>
      </w:r>
      <w:r w:rsidR="00A10E9D" w:rsidRPr="00FB4B14">
        <w:rPr>
          <w:rFonts w:ascii="Times New Roman" w:hAnsi="Times New Roman"/>
        </w:rPr>
        <w:t>,</w:t>
      </w:r>
      <w:r w:rsidR="00F6509E" w:rsidRPr="00FB4B14">
        <w:rPr>
          <w:rFonts w:ascii="Times New Roman" w:hAnsi="Times New Roman"/>
        </w:rPr>
        <w:t xml:space="preserve"> payable by way of damages to him by the respondent company in liquidation</w:t>
      </w:r>
      <w:r w:rsidR="00A10E9D" w:rsidRPr="00FB4B14">
        <w:rPr>
          <w:rFonts w:ascii="Times New Roman" w:hAnsi="Times New Roman"/>
        </w:rPr>
        <w:t>,</w:t>
      </w:r>
      <w:r w:rsidR="00F6509E" w:rsidRPr="00FB4B14">
        <w:rPr>
          <w:rFonts w:ascii="Times New Roman" w:hAnsi="Times New Roman"/>
        </w:rPr>
        <w:t xml:space="preserve"> against amounts </w:t>
      </w:r>
      <w:r w:rsidR="00185556" w:rsidRPr="00FB4B14">
        <w:rPr>
          <w:rFonts w:ascii="Times New Roman" w:hAnsi="Times New Roman"/>
        </w:rPr>
        <w:t xml:space="preserve">previously </w:t>
      </w:r>
      <w:r w:rsidR="00F6509E" w:rsidRPr="00FB4B14">
        <w:rPr>
          <w:rFonts w:ascii="Times New Roman" w:hAnsi="Times New Roman"/>
        </w:rPr>
        <w:t xml:space="preserve">owing by </w:t>
      </w:r>
      <w:r w:rsidR="00045CC8" w:rsidRPr="00FB4B14">
        <w:rPr>
          <w:rFonts w:ascii="Times New Roman" w:hAnsi="Times New Roman"/>
        </w:rPr>
        <w:t>him</w:t>
      </w:r>
      <w:r w:rsidR="00185556" w:rsidRPr="00FB4B14">
        <w:rPr>
          <w:rFonts w:ascii="Times New Roman" w:hAnsi="Times New Roman"/>
        </w:rPr>
        <w:t xml:space="preserve"> to the company</w:t>
      </w:r>
      <w:r w:rsidR="00F6509E" w:rsidRPr="00FB4B14">
        <w:rPr>
          <w:rFonts w:ascii="Times New Roman" w:hAnsi="Times New Roman"/>
        </w:rPr>
        <w:t xml:space="preserve"> which had been secured by a mortgage. </w:t>
      </w:r>
    </w:p>
    <w:p w14:paraId="26C898EF" w14:textId="360378F2" w:rsidR="00783672" w:rsidRPr="00FB4B14" w:rsidRDefault="002B5C10"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3C2FF3" w:rsidRPr="00FB4B14">
        <w:rPr>
          <w:rFonts w:ascii="Times New Roman" w:hAnsi="Times New Roman"/>
        </w:rPr>
        <w:t xml:space="preserve">For the purposes of </w:t>
      </w:r>
      <w:r w:rsidR="009058A7" w:rsidRPr="00FB4B14">
        <w:rPr>
          <w:rFonts w:ascii="Times New Roman" w:hAnsi="Times New Roman"/>
        </w:rPr>
        <w:t>deciding whether there have been mutual debts, mutual credits or mutual dealings, Dixon</w:t>
      </w:r>
      <w:r w:rsidR="00124125" w:rsidRPr="00FB4B14">
        <w:rPr>
          <w:rFonts w:ascii="Times New Roman" w:hAnsi="Times New Roman"/>
        </w:rPr>
        <w:t> </w:t>
      </w:r>
      <w:r w:rsidR="009058A7" w:rsidRPr="00FB4B14">
        <w:rPr>
          <w:rFonts w:ascii="Times New Roman" w:hAnsi="Times New Roman"/>
        </w:rPr>
        <w:t>J said</w:t>
      </w:r>
      <w:r w:rsidR="00B4061C" w:rsidRPr="00FB4B14">
        <w:rPr>
          <w:rFonts w:ascii="Times New Roman" w:hAnsi="Times New Roman"/>
        </w:rPr>
        <w:t xml:space="preserve"> that </w:t>
      </w:r>
      <w:r w:rsidR="00854F16" w:rsidRPr="00FB4B14">
        <w:rPr>
          <w:rFonts w:ascii="Times New Roman" w:hAnsi="Times New Roman"/>
        </w:rPr>
        <w:t>"</w:t>
      </w:r>
      <w:r w:rsidR="00B4061C" w:rsidRPr="00FB4B14">
        <w:rPr>
          <w:rFonts w:ascii="Times New Roman" w:hAnsi="Times New Roman"/>
        </w:rPr>
        <w:t>the deci</w:t>
      </w:r>
      <w:r w:rsidR="0026501A" w:rsidRPr="00FB4B14">
        <w:rPr>
          <w:rFonts w:ascii="Times New Roman" w:hAnsi="Times New Roman"/>
        </w:rPr>
        <w:t>sive date is that of the commencement of the winding up</w:t>
      </w:r>
      <w:r w:rsidR="00854F16" w:rsidRPr="00FB4B14">
        <w:rPr>
          <w:rFonts w:ascii="Times New Roman" w:hAnsi="Times New Roman"/>
        </w:rPr>
        <w:t>"</w:t>
      </w:r>
      <w:r w:rsidR="00AE7580" w:rsidRPr="00FB4B14">
        <w:rPr>
          <w:rStyle w:val="FootnoteReference"/>
          <w:rFonts w:ascii="Times New Roman" w:hAnsi="Times New Roman"/>
          <w:sz w:val="24"/>
        </w:rPr>
        <w:footnoteReference w:id="58"/>
      </w:r>
      <w:r w:rsidR="00E11858" w:rsidRPr="00FB4B14">
        <w:rPr>
          <w:rFonts w:ascii="Times New Roman" w:hAnsi="Times New Roman"/>
        </w:rPr>
        <w:t>.</w:t>
      </w:r>
      <w:r w:rsidR="0026501A" w:rsidRPr="00FB4B14">
        <w:rPr>
          <w:rFonts w:ascii="Times New Roman" w:hAnsi="Times New Roman"/>
        </w:rPr>
        <w:t xml:space="preserve"> </w:t>
      </w:r>
      <w:r w:rsidR="00BF5A4A" w:rsidRPr="00FB4B14">
        <w:rPr>
          <w:rFonts w:ascii="Times New Roman" w:hAnsi="Times New Roman"/>
        </w:rPr>
        <w:t>This proposition was critical to the appellant</w:t>
      </w:r>
      <w:r w:rsidR="00854F16" w:rsidRPr="00FB4B14">
        <w:rPr>
          <w:rFonts w:ascii="Times New Roman" w:hAnsi="Times New Roman"/>
        </w:rPr>
        <w:t>'</w:t>
      </w:r>
      <w:r w:rsidR="00BF5A4A" w:rsidRPr="00FB4B14">
        <w:rPr>
          <w:rFonts w:ascii="Times New Roman" w:hAnsi="Times New Roman"/>
        </w:rPr>
        <w:t xml:space="preserve">s case that one is not confined to looking at claims arising </w:t>
      </w:r>
      <w:r w:rsidR="00BF5A4A" w:rsidRPr="00FB4B14">
        <w:rPr>
          <w:rFonts w:ascii="Times New Roman" w:hAnsi="Times New Roman"/>
          <w:i/>
          <w:iCs/>
        </w:rPr>
        <w:t>before</w:t>
      </w:r>
      <w:r w:rsidR="00BF5A4A" w:rsidRPr="00FB4B14">
        <w:rPr>
          <w:rFonts w:ascii="Times New Roman" w:hAnsi="Times New Roman"/>
        </w:rPr>
        <w:t xml:space="preserve"> the </w:t>
      </w:r>
      <w:r w:rsidR="006A27E3" w:rsidRPr="00FB4B14">
        <w:rPr>
          <w:rFonts w:ascii="Times New Roman" w:hAnsi="Times New Roman"/>
        </w:rPr>
        <w:t>start of a winding</w:t>
      </w:r>
      <w:r w:rsidR="008749EC" w:rsidRPr="00FB4B14">
        <w:rPr>
          <w:rFonts w:ascii="Times New Roman" w:hAnsi="Times New Roman"/>
        </w:rPr>
        <w:t xml:space="preserve"> </w:t>
      </w:r>
      <w:r w:rsidR="006A27E3" w:rsidRPr="00FB4B14">
        <w:rPr>
          <w:rFonts w:ascii="Times New Roman" w:hAnsi="Times New Roman"/>
        </w:rPr>
        <w:t>up.</w:t>
      </w:r>
      <w:r w:rsidR="00454B1D" w:rsidRPr="00FB4B14">
        <w:rPr>
          <w:rFonts w:ascii="Times New Roman" w:hAnsi="Times New Roman"/>
        </w:rPr>
        <w:t xml:space="preserve"> His Honour explained why</w:t>
      </w:r>
      <w:r w:rsidR="00F01CDB" w:rsidRPr="00FB4B14">
        <w:rPr>
          <w:rFonts w:ascii="Times New Roman" w:hAnsi="Times New Roman"/>
        </w:rPr>
        <w:t xml:space="preserve"> the commenc</w:t>
      </w:r>
      <w:r w:rsidR="00AC3685" w:rsidRPr="00FB4B14">
        <w:rPr>
          <w:rFonts w:ascii="Times New Roman" w:hAnsi="Times New Roman"/>
        </w:rPr>
        <w:t>ement</w:t>
      </w:r>
      <w:r w:rsidR="00F01CDB" w:rsidRPr="00FB4B14">
        <w:rPr>
          <w:rFonts w:ascii="Times New Roman" w:hAnsi="Times New Roman"/>
        </w:rPr>
        <w:t xml:space="preserve"> date was decisive</w:t>
      </w:r>
      <w:r w:rsidR="00454B1D" w:rsidRPr="00FB4B14">
        <w:rPr>
          <w:rFonts w:ascii="Times New Roman" w:hAnsi="Times New Roman"/>
        </w:rPr>
        <w:t xml:space="preserve"> in the following terms</w:t>
      </w:r>
      <w:r w:rsidR="0088789C" w:rsidRPr="00FB4B14">
        <w:rPr>
          <w:rStyle w:val="FootnoteReference"/>
          <w:rFonts w:ascii="Times New Roman" w:hAnsi="Times New Roman"/>
          <w:sz w:val="24"/>
        </w:rPr>
        <w:footnoteReference w:id="59"/>
      </w:r>
      <w:r w:rsidR="00454B1D" w:rsidRPr="00FB4B14">
        <w:rPr>
          <w:rFonts w:ascii="Times New Roman" w:hAnsi="Times New Roman"/>
        </w:rPr>
        <w:t>:</w:t>
      </w:r>
    </w:p>
    <w:p w14:paraId="2040CEB5" w14:textId="77777777" w:rsidR="00FB4B14" w:rsidRDefault="00854F16" w:rsidP="00FB4B14">
      <w:pPr>
        <w:pStyle w:val="LeftrightafterHC"/>
        <w:spacing w:before="0" w:after="260" w:line="280" w:lineRule="exact"/>
        <w:ind w:right="0"/>
        <w:jc w:val="both"/>
        <w:rPr>
          <w:rFonts w:ascii="Times New Roman" w:hAnsi="Times New Roman"/>
        </w:rPr>
      </w:pPr>
      <w:r w:rsidRPr="00FB4B14">
        <w:rPr>
          <w:rFonts w:ascii="Times New Roman" w:hAnsi="Times New Roman"/>
        </w:rPr>
        <w:t>"</w:t>
      </w:r>
      <w:r w:rsidR="0088789C" w:rsidRPr="00FB4B14">
        <w:rPr>
          <w:rFonts w:ascii="Times New Roman" w:hAnsi="Times New Roman"/>
        </w:rPr>
        <w:t>At that date the assets of the company, including the choses of actions or claims of the company, become a fund in the hands of a liquidator, and the liabilities of the company are converted into claims upon that fund. The rights and liabilities of the persons liable to contribute to the fund and of those entitled to share in its distribution are to be ascertained as at that time.</w:t>
      </w:r>
      <w:r w:rsidRPr="00FB4B14">
        <w:rPr>
          <w:rFonts w:ascii="Times New Roman" w:hAnsi="Times New Roman"/>
        </w:rPr>
        <w:t>"</w:t>
      </w:r>
    </w:p>
    <w:p w14:paraId="2C16D356" w14:textId="70163D76" w:rsidR="00454B1D" w:rsidRPr="00FB4B14" w:rsidRDefault="0088789C" w:rsidP="00FB4B14">
      <w:pPr>
        <w:pStyle w:val="FixListStyle"/>
        <w:spacing w:after="260" w:line="280" w:lineRule="exact"/>
        <w:ind w:right="0"/>
        <w:jc w:val="both"/>
        <w:rPr>
          <w:rFonts w:ascii="Times New Roman" w:hAnsi="Times New Roman"/>
        </w:rPr>
      </w:pPr>
      <w:r w:rsidRPr="00FB4B14">
        <w:rPr>
          <w:rFonts w:ascii="Times New Roman" w:hAnsi="Times New Roman"/>
        </w:rPr>
        <w:tab/>
        <w:t>The foregoing explanation</w:t>
      </w:r>
      <w:r w:rsidR="00F01CDB" w:rsidRPr="00FB4B14">
        <w:rPr>
          <w:rFonts w:ascii="Times New Roman" w:hAnsi="Times New Roman"/>
        </w:rPr>
        <w:t xml:space="preserve">, however, demonstrates </w:t>
      </w:r>
      <w:r w:rsidR="006B39F2" w:rsidRPr="00FB4B14">
        <w:rPr>
          <w:rFonts w:ascii="Times New Roman" w:hAnsi="Times New Roman"/>
        </w:rPr>
        <w:t>that when Dixon</w:t>
      </w:r>
      <w:r w:rsidR="00124125" w:rsidRPr="00FB4B14">
        <w:rPr>
          <w:rFonts w:ascii="Times New Roman" w:hAnsi="Times New Roman"/>
        </w:rPr>
        <w:t> </w:t>
      </w:r>
      <w:r w:rsidR="006B39F2" w:rsidRPr="00FB4B14">
        <w:rPr>
          <w:rFonts w:ascii="Times New Roman" w:hAnsi="Times New Roman"/>
        </w:rPr>
        <w:t xml:space="preserve">J referred to the </w:t>
      </w:r>
      <w:r w:rsidR="00854F16" w:rsidRPr="00FB4B14">
        <w:rPr>
          <w:rFonts w:ascii="Times New Roman" w:hAnsi="Times New Roman"/>
        </w:rPr>
        <w:t>"</w:t>
      </w:r>
      <w:r w:rsidR="006B39F2" w:rsidRPr="00FB4B14">
        <w:rPr>
          <w:rFonts w:ascii="Times New Roman" w:hAnsi="Times New Roman"/>
        </w:rPr>
        <w:t>commencement</w:t>
      </w:r>
      <w:r w:rsidR="00854F16" w:rsidRPr="00FB4B14">
        <w:rPr>
          <w:rFonts w:ascii="Times New Roman" w:hAnsi="Times New Roman"/>
        </w:rPr>
        <w:t>"</w:t>
      </w:r>
      <w:r w:rsidR="006B39F2" w:rsidRPr="00FB4B14">
        <w:rPr>
          <w:rFonts w:ascii="Times New Roman" w:hAnsi="Times New Roman"/>
        </w:rPr>
        <w:t xml:space="preserve"> of the winding up, his Honour in fact was</w:t>
      </w:r>
      <w:r w:rsidR="00F01CDB" w:rsidRPr="00FB4B14">
        <w:rPr>
          <w:rFonts w:ascii="Times New Roman" w:hAnsi="Times New Roman"/>
        </w:rPr>
        <w:t xml:space="preserve"> </w:t>
      </w:r>
      <w:r w:rsidR="006B39F2" w:rsidRPr="00FB4B14">
        <w:rPr>
          <w:rFonts w:ascii="Times New Roman" w:hAnsi="Times New Roman"/>
        </w:rPr>
        <w:t xml:space="preserve">referring to the moment immediately before the commencement of the winding up. That is made even more clear in the </w:t>
      </w:r>
      <w:r w:rsidR="00F01CDB" w:rsidRPr="00FB4B14">
        <w:rPr>
          <w:rFonts w:ascii="Times New Roman" w:hAnsi="Times New Roman"/>
        </w:rPr>
        <w:t xml:space="preserve">following </w:t>
      </w:r>
      <w:r w:rsidR="006B39F2" w:rsidRPr="00FB4B14">
        <w:rPr>
          <w:rFonts w:ascii="Times New Roman" w:hAnsi="Times New Roman"/>
        </w:rPr>
        <w:t>passage in which Dixon</w:t>
      </w:r>
      <w:r w:rsidR="00124125" w:rsidRPr="00FB4B14">
        <w:rPr>
          <w:rFonts w:ascii="Times New Roman" w:hAnsi="Times New Roman"/>
        </w:rPr>
        <w:t> </w:t>
      </w:r>
      <w:r w:rsidR="006B39F2" w:rsidRPr="00FB4B14">
        <w:rPr>
          <w:rFonts w:ascii="Times New Roman" w:hAnsi="Times New Roman"/>
        </w:rPr>
        <w:t xml:space="preserve">J </w:t>
      </w:r>
      <w:r w:rsidR="000F50D5" w:rsidRPr="00FB4B14">
        <w:rPr>
          <w:rFonts w:ascii="Times New Roman" w:hAnsi="Times New Roman"/>
        </w:rPr>
        <w:t>observed</w:t>
      </w:r>
      <w:r w:rsidR="006B39F2" w:rsidRPr="00FB4B14">
        <w:rPr>
          <w:rFonts w:ascii="Times New Roman" w:hAnsi="Times New Roman"/>
        </w:rPr>
        <w:t xml:space="preserve"> that new claims</w:t>
      </w:r>
      <w:r w:rsidR="00FC6EFE" w:rsidRPr="00FB4B14">
        <w:rPr>
          <w:rFonts w:ascii="Times New Roman" w:hAnsi="Times New Roman"/>
        </w:rPr>
        <w:t xml:space="preserve"> for and against a company, arising </w:t>
      </w:r>
      <w:r w:rsidR="00FC6EFE" w:rsidRPr="00FB4B14">
        <w:rPr>
          <w:rFonts w:ascii="Times New Roman" w:hAnsi="Times New Roman"/>
          <w:i/>
          <w:iCs/>
        </w:rPr>
        <w:t>after</w:t>
      </w:r>
      <w:r w:rsidR="00FC6EFE" w:rsidRPr="00FB4B14">
        <w:rPr>
          <w:rFonts w:ascii="Times New Roman" w:hAnsi="Times New Roman"/>
        </w:rPr>
        <w:t xml:space="preserve"> </w:t>
      </w:r>
      <w:r w:rsidR="009952F7" w:rsidRPr="00FB4B14">
        <w:rPr>
          <w:rFonts w:ascii="Times New Roman" w:hAnsi="Times New Roman"/>
        </w:rPr>
        <w:t xml:space="preserve">the start of winding up, </w:t>
      </w:r>
      <w:r w:rsidR="00F01CDB" w:rsidRPr="00FB4B14">
        <w:rPr>
          <w:rFonts w:ascii="Times New Roman" w:hAnsi="Times New Roman"/>
        </w:rPr>
        <w:t xml:space="preserve">could </w:t>
      </w:r>
      <w:r w:rsidR="009952F7" w:rsidRPr="00FB4B14">
        <w:rPr>
          <w:rFonts w:ascii="Times New Roman" w:hAnsi="Times New Roman"/>
        </w:rPr>
        <w:t>not be the subject of any set-off</w:t>
      </w:r>
      <w:r w:rsidR="00292EE1" w:rsidRPr="00FB4B14">
        <w:rPr>
          <w:rFonts w:ascii="Times New Roman" w:hAnsi="Times New Roman"/>
        </w:rPr>
        <w:t xml:space="preserve"> against previous claims</w:t>
      </w:r>
      <w:r w:rsidR="009952F7" w:rsidRPr="00FB4B14">
        <w:rPr>
          <w:rFonts w:ascii="Times New Roman" w:hAnsi="Times New Roman"/>
        </w:rPr>
        <w:t>. His Honour said</w:t>
      </w:r>
      <w:r w:rsidR="006E369F" w:rsidRPr="00FB4B14">
        <w:rPr>
          <w:rStyle w:val="FootnoteReference"/>
          <w:rFonts w:ascii="Times New Roman" w:hAnsi="Times New Roman"/>
          <w:sz w:val="24"/>
        </w:rPr>
        <w:footnoteReference w:id="60"/>
      </w:r>
      <w:r w:rsidR="009952F7" w:rsidRPr="00FB4B14">
        <w:rPr>
          <w:rFonts w:ascii="Times New Roman" w:hAnsi="Times New Roman"/>
        </w:rPr>
        <w:t>:</w:t>
      </w:r>
    </w:p>
    <w:p w14:paraId="195414EB" w14:textId="77777777" w:rsidR="00FB4B14" w:rsidRDefault="00854F16" w:rsidP="00FB4B14">
      <w:pPr>
        <w:pStyle w:val="LeftrightafterHC"/>
        <w:spacing w:before="0" w:after="260" w:line="280" w:lineRule="exact"/>
        <w:ind w:right="0"/>
        <w:jc w:val="both"/>
        <w:rPr>
          <w:rFonts w:ascii="Times New Roman" w:hAnsi="Times New Roman"/>
        </w:rPr>
      </w:pPr>
      <w:r w:rsidRPr="00FB4B14">
        <w:rPr>
          <w:rFonts w:ascii="Times New Roman" w:hAnsi="Times New Roman"/>
        </w:rPr>
        <w:t>"</w:t>
      </w:r>
      <w:r w:rsidR="006E369F" w:rsidRPr="00FB4B14">
        <w:rPr>
          <w:rFonts w:ascii="Times New Roman" w:hAnsi="Times New Roman"/>
        </w:rPr>
        <w:t xml:space="preserve">In the course of administering the assets, the liquidator may find it necessary to create new claims upon the fund which thus may chance to be depleted. But liabilities incurred by the liquidator on behalf of the company are of a different order and they in no way disturb the mode or proportion in which the claims of the creditors existing at the date of liquidation share in the assets remaining available to answer their claims. In the same way, </w:t>
      </w:r>
      <w:r w:rsidR="006E369F" w:rsidRPr="00FB4B14">
        <w:rPr>
          <w:rFonts w:ascii="Times New Roman" w:hAnsi="Times New Roman"/>
        </w:rPr>
        <w:lastRenderedPageBreak/>
        <w:t xml:space="preserve">the acquisition by the liquidator on behalf of the company of new claims against others cannot vary the rights of creditors </w:t>
      </w:r>
      <w:proofErr w:type="spellStart"/>
      <w:r w:rsidR="006E369F" w:rsidRPr="00FB4B14">
        <w:rPr>
          <w:rFonts w:ascii="Times New Roman" w:hAnsi="Times New Roman"/>
        </w:rPr>
        <w:t>antecedently</w:t>
      </w:r>
      <w:proofErr w:type="spellEnd"/>
      <w:r w:rsidR="006E369F" w:rsidRPr="00FB4B14">
        <w:rPr>
          <w:rFonts w:ascii="Times New Roman" w:hAnsi="Times New Roman"/>
        </w:rPr>
        <w:t xml:space="preserve"> existing. If a liquidator in the course of the winding up sells assets of the company to a purchaser, who happens also to be a proving creditor, the purchaser cannot set off the purchase price against the debt for which he is entitled to prove.</w:t>
      </w:r>
      <w:r w:rsidRPr="00FB4B14">
        <w:rPr>
          <w:rFonts w:ascii="Times New Roman" w:hAnsi="Times New Roman"/>
        </w:rPr>
        <w:t>"</w:t>
      </w:r>
    </w:p>
    <w:p w14:paraId="42BDC3E1" w14:textId="562D0CE2" w:rsidR="006E369F" w:rsidRPr="00FB4B14" w:rsidRDefault="006E369F"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The </w:t>
      </w:r>
      <w:r w:rsidR="00445ECD" w:rsidRPr="00FB4B14">
        <w:rPr>
          <w:rFonts w:ascii="Times New Roman" w:hAnsi="Times New Roman"/>
        </w:rPr>
        <w:t xml:space="preserve">parts of </w:t>
      </w:r>
      <w:proofErr w:type="spellStart"/>
      <w:r w:rsidR="00445ECD" w:rsidRPr="00FB4B14">
        <w:rPr>
          <w:rFonts w:ascii="Times New Roman" w:hAnsi="Times New Roman"/>
          <w:i/>
          <w:iCs/>
        </w:rPr>
        <w:t>Hiley</w:t>
      </w:r>
      <w:proofErr w:type="spellEnd"/>
      <w:r w:rsidR="00445ECD" w:rsidRPr="00FB4B14">
        <w:rPr>
          <w:rFonts w:ascii="Times New Roman" w:hAnsi="Times New Roman"/>
        </w:rPr>
        <w:t xml:space="preserve"> relied upon by the appellant must be considered </w:t>
      </w:r>
      <w:proofErr w:type="gramStart"/>
      <w:r w:rsidR="00445ECD" w:rsidRPr="00FB4B14">
        <w:rPr>
          <w:rFonts w:ascii="Times New Roman" w:hAnsi="Times New Roman"/>
        </w:rPr>
        <w:t>in light of</w:t>
      </w:r>
      <w:proofErr w:type="gramEnd"/>
      <w:r w:rsidR="00445ECD" w:rsidRPr="00FB4B14">
        <w:rPr>
          <w:rFonts w:ascii="Times New Roman" w:hAnsi="Times New Roman"/>
        </w:rPr>
        <w:t xml:space="preserve"> the foregoing reasoning.</w:t>
      </w:r>
      <w:r w:rsidR="00A36AB8" w:rsidRPr="00FB4B14">
        <w:rPr>
          <w:rFonts w:ascii="Times New Roman" w:hAnsi="Times New Roman"/>
        </w:rPr>
        <w:t xml:space="preserve"> </w:t>
      </w:r>
      <w:r w:rsidR="001378AB" w:rsidRPr="00FB4B14">
        <w:rPr>
          <w:rFonts w:ascii="Times New Roman" w:hAnsi="Times New Roman"/>
        </w:rPr>
        <w:t>Dixon</w:t>
      </w:r>
      <w:r w:rsidR="00124125" w:rsidRPr="00FB4B14">
        <w:rPr>
          <w:rFonts w:ascii="Times New Roman" w:hAnsi="Times New Roman"/>
        </w:rPr>
        <w:t> </w:t>
      </w:r>
      <w:r w:rsidR="001378AB" w:rsidRPr="00FB4B14">
        <w:rPr>
          <w:rFonts w:ascii="Times New Roman" w:hAnsi="Times New Roman"/>
        </w:rPr>
        <w:t xml:space="preserve">J decided that the liabilities in </w:t>
      </w:r>
      <w:proofErr w:type="spellStart"/>
      <w:r w:rsidR="001378AB" w:rsidRPr="00FB4B14">
        <w:rPr>
          <w:rFonts w:ascii="Times New Roman" w:hAnsi="Times New Roman"/>
          <w:i/>
          <w:iCs/>
        </w:rPr>
        <w:t>Hiley</w:t>
      </w:r>
      <w:proofErr w:type="spellEnd"/>
      <w:r w:rsidR="001378AB" w:rsidRPr="00FB4B14">
        <w:rPr>
          <w:rFonts w:ascii="Times New Roman" w:hAnsi="Times New Roman"/>
        </w:rPr>
        <w:t xml:space="preserve"> were not </w:t>
      </w:r>
      <w:r w:rsidR="00854F16" w:rsidRPr="00FB4B14">
        <w:rPr>
          <w:rFonts w:ascii="Times New Roman" w:hAnsi="Times New Roman"/>
        </w:rPr>
        <w:t>"</w:t>
      </w:r>
      <w:r w:rsidR="001378AB" w:rsidRPr="00FB4B14">
        <w:rPr>
          <w:rFonts w:ascii="Times New Roman" w:hAnsi="Times New Roman"/>
        </w:rPr>
        <w:t>new</w:t>
      </w:r>
      <w:r w:rsidR="00854F16" w:rsidRPr="00FB4B14">
        <w:rPr>
          <w:rFonts w:ascii="Times New Roman" w:hAnsi="Times New Roman"/>
        </w:rPr>
        <w:t>"</w:t>
      </w:r>
      <w:r w:rsidR="001378AB" w:rsidRPr="00FB4B14">
        <w:rPr>
          <w:rFonts w:ascii="Times New Roman" w:hAnsi="Times New Roman"/>
        </w:rPr>
        <w:t xml:space="preserve"> </w:t>
      </w:r>
      <w:r w:rsidR="00FC066D" w:rsidRPr="00FB4B14">
        <w:rPr>
          <w:rFonts w:ascii="Times New Roman" w:hAnsi="Times New Roman"/>
        </w:rPr>
        <w:t>because they each</w:t>
      </w:r>
      <w:r w:rsidR="001378AB" w:rsidRPr="00FB4B14">
        <w:rPr>
          <w:rFonts w:ascii="Times New Roman" w:hAnsi="Times New Roman"/>
        </w:rPr>
        <w:t xml:space="preserve"> arose out of </w:t>
      </w:r>
      <w:r w:rsidR="00854F16" w:rsidRPr="00FB4B14">
        <w:rPr>
          <w:rFonts w:ascii="Times New Roman" w:hAnsi="Times New Roman"/>
        </w:rPr>
        <w:t>"</w:t>
      </w:r>
      <w:r w:rsidR="00177152" w:rsidRPr="00FB4B14">
        <w:rPr>
          <w:rFonts w:ascii="Times New Roman" w:hAnsi="Times New Roman"/>
        </w:rPr>
        <w:t>rights or claims subsisting at the commencement of the winding up</w:t>
      </w:r>
      <w:r w:rsidR="00854F16" w:rsidRPr="00FB4B14">
        <w:rPr>
          <w:rFonts w:ascii="Times New Roman" w:hAnsi="Times New Roman"/>
        </w:rPr>
        <w:t>"</w:t>
      </w:r>
      <w:r w:rsidR="00177152" w:rsidRPr="00FB4B14">
        <w:rPr>
          <w:rStyle w:val="FootnoteReference"/>
          <w:rFonts w:ascii="Times New Roman" w:hAnsi="Times New Roman"/>
          <w:sz w:val="24"/>
        </w:rPr>
        <w:footnoteReference w:id="61"/>
      </w:r>
      <w:r w:rsidR="00886190" w:rsidRPr="00FB4B14">
        <w:rPr>
          <w:rFonts w:ascii="Times New Roman" w:hAnsi="Times New Roman"/>
        </w:rPr>
        <w:t>.</w:t>
      </w:r>
      <w:r w:rsidR="00177152" w:rsidRPr="00FB4B14">
        <w:rPr>
          <w:rFonts w:ascii="Times New Roman" w:hAnsi="Times New Roman"/>
        </w:rPr>
        <w:t xml:space="preserve"> That was sufficient. As his Honour said</w:t>
      </w:r>
      <w:r w:rsidR="00BD62BA" w:rsidRPr="00FB4B14">
        <w:rPr>
          <w:rStyle w:val="FootnoteReference"/>
          <w:rFonts w:ascii="Times New Roman" w:hAnsi="Times New Roman"/>
          <w:sz w:val="24"/>
        </w:rPr>
        <w:footnoteReference w:id="62"/>
      </w:r>
      <w:r w:rsidR="00177152" w:rsidRPr="00FB4B14">
        <w:rPr>
          <w:rFonts w:ascii="Times New Roman" w:hAnsi="Times New Roman"/>
        </w:rPr>
        <w:t>:</w:t>
      </w:r>
    </w:p>
    <w:p w14:paraId="0BC8D68E" w14:textId="77777777" w:rsidR="00FB4B14" w:rsidRDefault="00854F16" w:rsidP="00FB4B14">
      <w:pPr>
        <w:pStyle w:val="LeftrightafterHC"/>
        <w:spacing w:before="0" w:after="260" w:line="280" w:lineRule="exact"/>
        <w:ind w:right="0"/>
        <w:jc w:val="both"/>
        <w:rPr>
          <w:rFonts w:ascii="Times New Roman" w:hAnsi="Times New Roman"/>
        </w:rPr>
      </w:pPr>
      <w:r w:rsidRPr="00FB4B14">
        <w:rPr>
          <w:rFonts w:ascii="Times New Roman" w:hAnsi="Times New Roman"/>
        </w:rPr>
        <w:t>"</w:t>
      </w:r>
      <w:r w:rsidR="00A81F2E" w:rsidRPr="00FB4B14">
        <w:rPr>
          <w:rFonts w:ascii="Times New Roman" w:hAnsi="Times New Roman"/>
        </w:rPr>
        <w:t>[T]</w:t>
      </w:r>
      <w:r w:rsidR="00BD62BA" w:rsidRPr="00FB4B14">
        <w:rPr>
          <w:rFonts w:ascii="Times New Roman" w:hAnsi="Times New Roman"/>
        </w:rPr>
        <w:t xml:space="preserve">he general rule does not require that at the moment when the winding up commences there shall be two enforceable debts, a debt provable in the liquidation and a debt enforceable by the liquidator against the creditor claiming to prove. It is enough that at the commencement of the winding up mutual dealings exist which involve </w:t>
      </w:r>
      <w:r w:rsidR="00BD62BA" w:rsidRPr="00FB4B14">
        <w:rPr>
          <w:rFonts w:ascii="Times New Roman" w:hAnsi="Times New Roman"/>
          <w:i/>
          <w:iCs/>
        </w:rPr>
        <w:t>rights and obligations</w:t>
      </w:r>
      <w:r w:rsidR="00BD62BA" w:rsidRPr="00FB4B14">
        <w:rPr>
          <w:rFonts w:ascii="Times New Roman" w:hAnsi="Times New Roman"/>
        </w:rPr>
        <w:t xml:space="preserve"> whether absolute or contingent of such a nature that afterwards in the events that happen they mature or develop into pecuniary demands capable of set off. If the end contemplated by the transaction is a claim sounding in money so that, in the phrase employed in the cases, it is commensurable with the cross-demand, no more is required than that at the commencement of the winding up liabilities shall have been contracted by the company and the other party respectively from which cross money claims accrue </w:t>
      </w:r>
      <w:proofErr w:type="gramStart"/>
      <w:r w:rsidR="00BD62BA" w:rsidRPr="00FB4B14">
        <w:rPr>
          <w:rFonts w:ascii="Times New Roman" w:hAnsi="Times New Roman"/>
        </w:rPr>
        <w:t>during the course of</w:t>
      </w:r>
      <w:proofErr w:type="gramEnd"/>
      <w:r w:rsidR="00BD62BA" w:rsidRPr="00FB4B14">
        <w:rPr>
          <w:rFonts w:ascii="Times New Roman" w:hAnsi="Times New Roman"/>
        </w:rPr>
        <w:t xml:space="preserve"> the winding up</w:t>
      </w:r>
      <w:r w:rsidRPr="00FB4B14">
        <w:rPr>
          <w:rFonts w:ascii="Times New Roman" w:hAnsi="Times New Roman"/>
        </w:rPr>
        <w:t>"</w:t>
      </w:r>
      <w:r w:rsidR="0090770C" w:rsidRPr="00FB4B14">
        <w:rPr>
          <w:rFonts w:ascii="Times New Roman" w:hAnsi="Times New Roman"/>
        </w:rPr>
        <w:t>.</w:t>
      </w:r>
      <w:r w:rsidR="00DF6350" w:rsidRPr="00FB4B14">
        <w:rPr>
          <w:rFonts w:ascii="Times New Roman" w:hAnsi="Times New Roman"/>
        </w:rPr>
        <w:t xml:space="preserve"> </w:t>
      </w:r>
      <w:r w:rsidR="00FC066D" w:rsidRPr="00FB4B14">
        <w:rPr>
          <w:rFonts w:ascii="Times New Roman" w:hAnsi="Times New Roman"/>
        </w:rPr>
        <w:t>(</w:t>
      </w:r>
      <w:proofErr w:type="gramStart"/>
      <w:r w:rsidR="00FC066D" w:rsidRPr="00FB4B14">
        <w:rPr>
          <w:rFonts w:ascii="Times New Roman" w:hAnsi="Times New Roman"/>
        </w:rPr>
        <w:t>emphasis</w:t>
      </w:r>
      <w:proofErr w:type="gramEnd"/>
      <w:r w:rsidR="00FC066D" w:rsidRPr="00FB4B14">
        <w:rPr>
          <w:rFonts w:ascii="Times New Roman" w:hAnsi="Times New Roman"/>
        </w:rPr>
        <w:t xml:space="preserve"> added)</w:t>
      </w:r>
    </w:p>
    <w:p w14:paraId="15F054FA" w14:textId="7AD9ACD8" w:rsidR="00623ABD" w:rsidRPr="00FB4B14" w:rsidRDefault="00F17DB3"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623ABD" w:rsidRPr="00FB4B14">
        <w:rPr>
          <w:rFonts w:ascii="Times New Roman" w:hAnsi="Times New Roman"/>
        </w:rPr>
        <w:t>Relying on the foregoing reasons, the appellant conte</w:t>
      </w:r>
      <w:r w:rsidR="00292EE1" w:rsidRPr="00FB4B14">
        <w:rPr>
          <w:rFonts w:ascii="Times New Roman" w:hAnsi="Times New Roman"/>
        </w:rPr>
        <w:t>n</w:t>
      </w:r>
      <w:r w:rsidR="00623ABD" w:rsidRPr="00FB4B14">
        <w:rPr>
          <w:rFonts w:ascii="Times New Roman" w:hAnsi="Times New Roman"/>
        </w:rPr>
        <w:t xml:space="preserve">ded that as at the commencement of the winding up here, it was contingently liable to </w:t>
      </w:r>
      <w:r w:rsidR="008C47DF" w:rsidRPr="00FB4B14">
        <w:rPr>
          <w:rFonts w:ascii="Times New Roman" w:hAnsi="Times New Roman"/>
        </w:rPr>
        <w:t>M</w:t>
      </w:r>
      <w:r w:rsidR="00623ABD" w:rsidRPr="00FB4B14">
        <w:rPr>
          <w:rFonts w:ascii="Times New Roman" w:hAnsi="Times New Roman"/>
        </w:rPr>
        <w:t>J</w:t>
      </w:r>
      <w:r w:rsidR="00BE2E0F" w:rsidRPr="00FB4B14">
        <w:rPr>
          <w:rFonts w:ascii="Times New Roman" w:hAnsi="Times New Roman"/>
        </w:rPr>
        <w:t> </w:t>
      </w:r>
      <w:r w:rsidR="00623ABD" w:rsidRPr="00FB4B14">
        <w:rPr>
          <w:rFonts w:ascii="Times New Roman" w:hAnsi="Times New Roman"/>
        </w:rPr>
        <w:t>Woodman under</w:t>
      </w:r>
      <w:r w:rsidR="00CB568A" w:rsidRPr="00FB4B14">
        <w:rPr>
          <w:rFonts w:ascii="Times New Roman" w:hAnsi="Times New Roman"/>
        </w:rPr>
        <w:t xml:space="preserve"> s </w:t>
      </w:r>
      <w:r w:rsidR="00623ABD" w:rsidRPr="00FB4B14">
        <w:rPr>
          <w:rFonts w:ascii="Times New Roman" w:hAnsi="Times New Roman"/>
        </w:rPr>
        <w:t>588F</w:t>
      </w:r>
      <w:r w:rsidR="005A53F4" w:rsidRPr="00FB4B14">
        <w:rPr>
          <w:rFonts w:ascii="Times New Roman" w:hAnsi="Times New Roman"/>
        </w:rPr>
        <w:t>F</w:t>
      </w:r>
      <w:r w:rsidR="00623ABD" w:rsidRPr="00FB4B14">
        <w:rPr>
          <w:rFonts w:ascii="Times New Roman" w:hAnsi="Times New Roman"/>
        </w:rPr>
        <w:t>(1)(a), in the sense described above.</w:t>
      </w:r>
      <w:r w:rsidR="002A04DC" w:rsidRPr="00FB4B14">
        <w:rPr>
          <w:rFonts w:ascii="Times New Roman" w:hAnsi="Times New Roman"/>
        </w:rPr>
        <w:t xml:space="preserve"> Just like the causes of action in </w:t>
      </w:r>
      <w:proofErr w:type="spellStart"/>
      <w:r w:rsidR="002A04DC" w:rsidRPr="00FB4B14">
        <w:rPr>
          <w:rFonts w:ascii="Times New Roman" w:hAnsi="Times New Roman"/>
          <w:i/>
          <w:iCs/>
        </w:rPr>
        <w:t>Hiley</w:t>
      </w:r>
      <w:proofErr w:type="spellEnd"/>
      <w:r w:rsidR="002A04DC" w:rsidRPr="00FB4B14">
        <w:rPr>
          <w:rFonts w:ascii="Times New Roman" w:hAnsi="Times New Roman"/>
        </w:rPr>
        <w:t>, it was submitted, the liquidator</w:t>
      </w:r>
      <w:r w:rsidR="00D44644" w:rsidRPr="00FB4B14">
        <w:rPr>
          <w:rFonts w:ascii="Times New Roman" w:hAnsi="Times New Roman"/>
        </w:rPr>
        <w:t>'</w:t>
      </w:r>
      <w:r w:rsidR="002A04DC" w:rsidRPr="00FB4B14">
        <w:rPr>
          <w:rFonts w:ascii="Times New Roman" w:hAnsi="Times New Roman"/>
        </w:rPr>
        <w:t>s contingent right to sue under</w:t>
      </w:r>
      <w:r w:rsidR="00CB568A" w:rsidRPr="00FB4B14">
        <w:rPr>
          <w:rFonts w:ascii="Times New Roman" w:hAnsi="Times New Roman"/>
        </w:rPr>
        <w:t xml:space="preserve"> s </w:t>
      </w:r>
      <w:r w:rsidR="002A04DC" w:rsidRPr="00FB4B14">
        <w:rPr>
          <w:rFonts w:ascii="Times New Roman" w:hAnsi="Times New Roman"/>
        </w:rPr>
        <w:t>588F</w:t>
      </w:r>
      <w:r w:rsidR="005A53F4" w:rsidRPr="00FB4B14">
        <w:rPr>
          <w:rFonts w:ascii="Times New Roman" w:hAnsi="Times New Roman"/>
        </w:rPr>
        <w:t>F</w:t>
      </w:r>
      <w:r w:rsidR="002A04DC" w:rsidRPr="00FB4B14">
        <w:rPr>
          <w:rFonts w:ascii="Times New Roman" w:hAnsi="Times New Roman"/>
        </w:rPr>
        <w:t xml:space="preserve">(1)(a) was one which over time would </w:t>
      </w:r>
      <w:r w:rsidR="00854F16" w:rsidRPr="00FB4B14">
        <w:rPr>
          <w:rFonts w:ascii="Times New Roman" w:hAnsi="Times New Roman"/>
        </w:rPr>
        <w:t>"</w:t>
      </w:r>
      <w:r w:rsidR="002A04DC" w:rsidRPr="00FB4B14">
        <w:rPr>
          <w:rFonts w:ascii="Times New Roman" w:hAnsi="Times New Roman"/>
        </w:rPr>
        <w:t>grow</w:t>
      </w:r>
      <w:r w:rsidR="00854F16" w:rsidRPr="00FB4B14">
        <w:rPr>
          <w:rFonts w:ascii="Times New Roman" w:hAnsi="Times New Roman"/>
        </w:rPr>
        <w:t>"</w:t>
      </w:r>
      <w:r w:rsidR="002A04DC" w:rsidRPr="00FB4B14">
        <w:rPr>
          <w:rFonts w:ascii="Times New Roman" w:hAnsi="Times New Roman"/>
        </w:rPr>
        <w:t xml:space="preserve"> or </w:t>
      </w:r>
      <w:r w:rsidR="00854F16" w:rsidRPr="00FB4B14">
        <w:rPr>
          <w:rFonts w:ascii="Times New Roman" w:hAnsi="Times New Roman"/>
        </w:rPr>
        <w:t>"</w:t>
      </w:r>
      <w:r w:rsidR="002A04DC" w:rsidRPr="00FB4B14">
        <w:rPr>
          <w:rFonts w:ascii="Times New Roman" w:hAnsi="Times New Roman"/>
        </w:rPr>
        <w:t>mature</w:t>
      </w:r>
      <w:r w:rsidR="00854F16" w:rsidRPr="00FB4B14">
        <w:rPr>
          <w:rFonts w:ascii="Times New Roman" w:hAnsi="Times New Roman"/>
        </w:rPr>
        <w:t>"</w:t>
      </w:r>
      <w:r w:rsidR="002A04DC" w:rsidRPr="00FB4B14">
        <w:rPr>
          <w:rFonts w:ascii="Times New Roman" w:hAnsi="Times New Roman"/>
        </w:rPr>
        <w:t xml:space="preserve"> into a money claim</w:t>
      </w:r>
      <w:r w:rsidR="00B33BE9" w:rsidRPr="00FB4B14">
        <w:rPr>
          <w:rFonts w:ascii="Times New Roman" w:hAnsi="Times New Roman"/>
        </w:rPr>
        <w:t xml:space="preserve"> or pecuniary demand</w:t>
      </w:r>
      <w:r w:rsidR="00CC1A3C" w:rsidRPr="00FB4B14">
        <w:rPr>
          <w:rStyle w:val="FootnoteReference"/>
          <w:rFonts w:ascii="Times New Roman" w:hAnsi="Times New Roman"/>
          <w:sz w:val="24"/>
        </w:rPr>
        <w:footnoteReference w:id="63"/>
      </w:r>
      <w:r w:rsidR="00B33BE9" w:rsidRPr="00FB4B14">
        <w:rPr>
          <w:rFonts w:ascii="Times New Roman" w:hAnsi="Times New Roman"/>
        </w:rPr>
        <w:t xml:space="preserve">. Critically, it was accepted that no such contingent right or obligation </w:t>
      </w:r>
      <w:r w:rsidR="00C20B6B" w:rsidRPr="00FB4B14">
        <w:rPr>
          <w:rFonts w:ascii="Times New Roman" w:hAnsi="Times New Roman"/>
        </w:rPr>
        <w:t>could have</w:t>
      </w:r>
      <w:r w:rsidR="00B33BE9" w:rsidRPr="00FB4B14">
        <w:rPr>
          <w:rFonts w:ascii="Times New Roman" w:hAnsi="Times New Roman"/>
        </w:rPr>
        <w:t xml:space="preserve"> existed </w:t>
      </w:r>
      <w:r w:rsidR="00B33BE9" w:rsidRPr="00FB4B14">
        <w:rPr>
          <w:rFonts w:ascii="Times New Roman" w:hAnsi="Times New Roman"/>
          <w:i/>
          <w:iCs/>
        </w:rPr>
        <w:t>before</w:t>
      </w:r>
      <w:r w:rsidR="00B33BE9" w:rsidRPr="00FB4B14">
        <w:rPr>
          <w:rFonts w:ascii="Times New Roman" w:hAnsi="Times New Roman"/>
        </w:rPr>
        <w:t xml:space="preserve"> the commencement of the winding up.</w:t>
      </w:r>
    </w:p>
    <w:p w14:paraId="707B6692" w14:textId="383FBD8F" w:rsidR="001A7391" w:rsidRPr="00FB4B14" w:rsidRDefault="001A7391" w:rsidP="00FB4B14">
      <w:pPr>
        <w:pStyle w:val="FixListStyle"/>
        <w:spacing w:after="260" w:line="280" w:lineRule="exact"/>
        <w:ind w:right="0"/>
        <w:jc w:val="both"/>
        <w:rPr>
          <w:rFonts w:ascii="Times New Roman" w:hAnsi="Times New Roman"/>
        </w:rPr>
      </w:pPr>
      <w:r w:rsidRPr="00FB4B14">
        <w:rPr>
          <w:rFonts w:ascii="Times New Roman" w:hAnsi="Times New Roman"/>
        </w:rPr>
        <w:lastRenderedPageBreak/>
        <w:tab/>
        <w:t xml:space="preserve">The third </w:t>
      </w:r>
      <w:r w:rsidR="007A6D4F" w:rsidRPr="00FB4B14">
        <w:rPr>
          <w:rFonts w:ascii="Times New Roman" w:hAnsi="Times New Roman"/>
        </w:rPr>
        <w:t>authority</w:t>
      </w:r>
      <w:r w:rsidRPr="00FB4B14">
        <w:rPr>
          <w:rFonts w:ascii="Times New Roman" w:hAnsi="Times New Roman"/>
        </w:rPr>
        <w:t xml:space="preserve"> relied upon by the appellant was </w:t>
      </w:r>
      <w:r w:rsidR="003A2F9F" w:rsidRPr="00FB4B14">
        <w:rPr>
          <w:rFonts w:ascii="Times New Roman" w:hAnsi="Times New Roman"/>
          <w:i/>
          <w:iCs/>
        </w:rPr>
        <w:t xml:space="preserve">Day &amp; Dent Constructions Pty Ltd </w:t>
      </w:r>
      <w:r w:rsidR="00BC3170" w:rsidRPr="00FB4B14">
        <w:rPr>
          <w:rFonts w:ascii="Times New Roman" w:hAnsi="Times New Roman"/>
          <w:i/>
          <w:iCs/>
        </w:rPr>
        <w:t>v North Austral</w:t>
      </w:r>
      <w:r w:rsidR="00CB6E94" w:rsidRPr="00FB4B14">
        <w:rPr>
          <w:rFonts w:ascii="Times New Roman" w:hAnsi="Times New Roman"/>
          <w:i/>
          <w:iCs/>
        </w:rPr>
        <w:t>ia</w:t>
      </w:r>
      <w:r w:rsidR="00BC3170" w:rsidRPr="00FB4B14">
        <w:rPr>
          <w:rFonts w:ascii="Times New Roman" w:hAnsi="Times New Roman"/>
          <w:i/>
          <w:iCs/>
        </w:rPr>
        <w:t>n Properties Pty Ltd</w:t>
      </w:r>
      <w:r w:rsidR="00BC3170" w:rsidRPr="00FB4B14">
        <w:rPr>
          <w:rStyle w:val="FootnoteReference"/>
          <w:rFonts w:ascii="Times New Roman" w:hAnsi="Times New Roman"/>
          <w:sz w:val="24"/>
        </w:rPr>
        <w:footnoteReference w:id="64"/>
      </w:r>
      <w:r w:rsidR="00F306F4" w:rsidRPr="00FB4B14">
        <w:rPr>
          <w:rFonts w:ascii="Times New Roman" w:hAnsi="Times New Roman"/>
        </w:rPr>
        <w:t>.</w:t>
      </w:r>
      <w:r w:rsidR="00CB6E94" w:rsidRPr="00FB4B14">
        <w:rPr>
          <w:rFonts w:ascii="Times New Roman" w:hAnsi="Times New Roman"/>
        </w:rPr>
        <w:t xml:space="preserve"> </w:t>
      </w:r>
      <w:r w:rsidR="003C45A4" w:rsidRPr="00FB4B14">
        <w:rPr>
          <w:rFonts w:ascii="Times New Roman" w:hAnsi="Times New Roman"/>
        </w:rPr>
        <w:t xml:space="preserve">In </w:t>
      </w:r>
      <w:r w:rsidR="008C47DF" w:rsidRPr="00FB4B14">
        <w:rPr>
          <w:rFonts w:ascii="Times New Roman" w:hAnsi="Times New Roman"/>
        </w:rPr>
        <w:t xml:space="preserve">that </w:t>
      </w:r>
      <w:r w:rsidR="003C45A4" w:rsidRPr="00FB4B14">
        <w:rPr>
          <w:rFonts w:ascii="Times New Roman" w:hAnsi="Times New Roman"/>
        </w:rPr>
        <w:t>case</w:t>
      </w:r>
      <w:r w:rsidR="008C47DF" w:rsidRPr="00FB4B14">
        <w:rPr>
          <w:rFonts w:ascii="Times New Roman" w:hAnsi="Times New Roman"/>
        </w:rPr>
        <w:t>,</w:t>
      </w:r>
      <w:r w:rsidR="003C45A4" w:rsidRPr="00FB4B14">
        <w:rPr>
          <w:rFonts w:ascii="Times New Roman" w:hAnsi="Times New Roman"/>
        </w:rPr>
        <w:t xml:space="preserve"> one of the liabilities to be set</w:t>
      </w:r>
      <w:r w:rsidR="00E40C00" w:rsidRPr="00FB4B14">
        <w:rPr>
          <w:rFonts w:ascii="Times New Roman" w:hAnsi="Times New Roman"/>
        </w:rPr>
        <w:t xml:space="preserve"> </w:t>
      </w:r>
      <w:r w:rsidR="003C45A4" w:rsidRPr="00FB4B14">
        <w:rPr>
          <w:rFonts w:ascii="Times New Roman" w:hAnsi="Times New Roman"/>
        </w:rPr>
        <w:t xml:space="preserve">off comprised, as at the commencement of the winding up, </w:t>
      </w:r>
      <w:r w:rsidR="00E27C03" w:rsidRPr="00FB4B14">
        <w:rPr>
          <w:rFonts w:ascii="Times New Roman" w:hAnsi="Times New Roman"/>
        </w:rPr>
        <w:t xml:space="preserve">a guarantee </w:t>
      </w:r>
      <w:r w:rsidR="009D09B1" w:rsidRPr="00FB4B14">
        <w:rPr>
          <w:rFonts w:ascii="Times New Roman" w:hAnsi="Times New Roman"/>
        </w:rPr>
        <w:t>which thereafter might or might not have been called upon. It was said that there was only a possibility that the guarantee might need to be performed. But that was sufficient.</w:t>
      </w:r>
      <w:r w:rsidR="00A90AB9" w:rsidRPr="00FB4B14">
        <w:rPr>
          <w:rFonts w:ascii="Times New Roman" w:hAnsi="Times New Roman"/>
        </w:rPr>
        <w:t xml:space="preserve"> Mason</w:t>
      </w:r>
      <w:r w:rsidR="00124125" w:rsidRPr="00FB4B14">
        <w:rPr>
          <w:rFonts w:ascii="Times New Roman" w:hAnsi="Times New Roman"/>
        </w:rPr>
        <w:t> </w:t>
      </w:r>
      <w:r w:rsidR="00A90AB9" w:rsidRPr="00FB4B14">
        <w:rPr>
          <w:rFonts w:ascii="Times New Roman" w:hAnsi="Times New Roman"/>
        </w:rPr>
        <w:t>J (with whom Stephen</w:t>
      </w:r>
      <w:r w:rsidR="00124125" w:rsidRPr="00FB4B14">
        <w:rPr>
          <w:rFonts w:ascii="Times New Roman" w:hAnsi="Times New Roman"/>
        </w:rPr>
        <w:t> </w:t>
      </w:r>
      <w:r w:rsidR="00A90AB9" w:rsidRPr="00FB4B14">
        <w:rPr>
          <w:rFonts w:ascii="Times New Roman" w:hAnsi="Times New Roman"/>
        </w:rPr>
        <w:t xml:space="preserve">J </w:t>
      </w:r>
      <w:r w:rsidR="00D83B21" w:rsidRPr="00FB4B14">
        <w:rPr>
          <w:rFonts w:ascii="Times New Roman" w:hAnsi="Times New Roman"/>
        </w:rPr>
        <w:t xml:space="preserve">and </w:t>
      </w:r>
      <w:proofErr w:type="spellStart"/>
      <w:r w:rsidR="00D83B21" w:rsidRPr="00FB4B14">
        <w:rPr>
          <w:rFonts w:ascii="Times New Roman" w:hAnsi="Times New Roman"/>
        </w:rPr>
        <w:t>Aickin</w:t>
      </w:r>
      <w:proofErr w:type="spellEnd"/>
      <w:r w:rsidR="00D83B21" w:rsidRPr="00FB4B14">
        <w:rPr>
          <w:rFonts w:ascii="Times New Roman" w:hAnsi="Times New Roman"/>
        </w:rPr>
        <w:t> J</w:t>
      </w:r>
      <w:r w:rsidR="00A90AB9" w:rsidRPr="00FB4B14">
        <w:rPr>
          <w:rFonts w:ascii="Times New Roman" w:hAnsi="Times New Roman"/>
        </w:rPr>
        <w:t xml:space="preserve"> agreed) said</w:t>
      </w:r>
      <w:r w:rsidR="00EA3C55" w:rsidRPr="00FB4B14">
        <w:rPr>
          <w:rStyle w:val="FootnoteReference"/>
          <w:rFonts w:ascii="Times New Roman" w:hAnsi="Times New Roman"/>
          <w:sz w:val="24"/>
        </w:rPr>
        <w:footnoteReference w:id="65"/>
      </w:r>
      <w:r w:rsidR="00A90AB9" w:rsidRPr="00FB4B14">
        <w:rPr>
          <w:rFonts w:ascii="Times New Roman" w:hAnsi="Times New Roman"/>
        </w:rPr>
        <w:t>:</w:t>
      </w:r>
    </w:p>
    <w:p w14:paraId="3E02DA9F" w14:textId="77777777" w:rsidR="00FB4B14" w:rsidRDefault="00854F16" w:rsidP="00FB4B14">
      <w:pPr>
        <w:pStyle w:val="LRIndentafterHC"/>
        <w:spacing w:before="0" w:after="260" w:line="280" w:lineRule="exact"/>
        <w:ind w:right="0" w:firstLine="0"/>
        <w:jc w:val="both"/>
        <w:rPr>
          <w:rFonts w:ascii="Times New Roman" w:hAnsi="Times New Roman"/>
        </w:rPr>
      </w:pPr>
      <w:r w:rsidRPr="00FB4B14">
        <w:rPr>
          <w:rFonts w:ascii="Times New Roman" w:hAnsi="Times New Roman"/>
        </w:rPr>
        <w:t>"</w:t>
      </w:r>
      <w:r w:rsidR="00EA3C55" w:rsidRPr="00FB4B14">
        <w:rPr>
          <w:rFonts w:ascii="Times New Roman" w:hAnsi="Times New Roman"/>
        </w:rPr>
        <w:t xml:space="preserve">After default, the possibility remains that the principal debtor may himself discharge his liability to the principal creditor. Until the surety makes </w:t>
      </w:r>
      <w:proofErr w:type="gramStart"/>
      <w:r w:rsidR="00EA3C55" w:rsidRPr="00FB4B14">
        <w:rPr>
          <w:rFonts w:ascii="Times New Roman" w:hAnsi="Times New Roman"/>
        </w:rPr>
        <w:t>payment</w:t>
      </w:r>
      <w:proofErr w:type="gramEnd"/>
      <w:r w:rsidR="00EA3C55" w:rsidRPr="00FB4B14">
        <w:rPr>
          <w:rFonts w:ascii="Times New Roman" w:hAnsi="Times New Roman"/>
        </w:rPr>
        <w:t xml:space="preserve"> he (the surety) is owed no debt at all. But this does not matter. The important factor is that, by virtue of a guarantee given before bankruptcy or </w:t>
      </w:r>
      <w:proofErr w:type="gramStart"/>
      <w:r w:rsidR="00EA3C55" w:rsidRPr="00FB4B14">
        <w:rPr>
          <w:rFonts w:ascii="Times New Roman" w:hAnsi="Times New Roman"/>
        </w:rPr>
        <w:t>liquidation as the case may be, the</w:t>
      </w:r>
      <w:proofErr w:type="gramEnd"/>
      <w:r w:rsidR="00EA3C55" w:rsidRPr="00FB4B14">
        <w:rPr>
          <w:rFonts w:ascii="Times New Roman" w:hAnsi="Times New Roman"/>
        </w:rPr>
        <w:t xml:space="preserve"> surety has undertaken an obligation which on payment to the principal creditor will result in a debt owing to him (the surety) by the principal debtor. There is no reason why the liability thus undertaken, once payment is made, should not ground the right to set off the debt created by the payment.</w:t>
      </w:r>
      <w:r w:rsidRPr="00FB4B14">
        <w:rPr>
          <w:rFonts w:ascii="Times New Roman" w:hAnsi="Times New Roman"/>
        </w:rPr>
        <w:t>"</w:t>
      </w:r>
    </w:p>
    <w:p w14:paraId="0A03752B" w14:textId="05D45663" w:rsidR="007A36C8" w:rsidRPr="00FB4B14" w:rsidRDefault="002536E0"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EB6349" w:rsidRPr="00FB4B14">
        <w:rPr>
          <w:rFonts w:ascii="Times New Roman" w:hAnsi="Times New Roman"/>
        </w:rPr>
        <w:t xml:space="preserve">Finally, the appellant also relied upon </w:t>
      </w:r>
      <w:r w:rsidR="002556CF" w:rsidRPr="00FB4B14">
        <w:rPr>
          <w:rFonts w:ascii="Times New Roman" w:hAnsi="Times New Roman"/>
        </w:rPr>
        <w:t>the Australian Law Reform Commission</w:t>
      </w:r>
      <w:r w:rsidR="00854F16" w:rsidRPr="00FB4B14">
        <w:rPr>
          <w:rFonts w:ascii="Times New Roman" w:hAnsi="Times New Roman"/>
        </w:rPr>
        <w:t>'</w:t>
      </w:r>
      <w:r w:rsidR="002556CF" w:rsidRPr="00FB4B14">
        <w:rPr>
          <w:rFonts w:ascii="Times New Roman" w:hAnsi="Times New Roman"/>
        </w:rPr>
        <w:t xml:space="preserve">s 1988 report entitled </w:t>
      </w:r>
      <w:r w:rsidR="00854F16" w:rsidRPr="00FB4B14">
        <w:rPr>
          <w:rFonts w:ascii="Times New Roman" w:hAnsi="Times New Roman"/>
        </w:rPr>
        <w:t>"</w:t>
      </w:r>
      <w:r w:rsidR="002556CF" w:rsidRPr="00FB4B14">
        <w:rPr>
          <w:rFonts w:ascii="Times New Roman" w:hAnsi="Times New Roman"/>
        </w:rPr>
        <w:t>General Insolvency Inquiry</w:t>
      </w:r>
      <w:r w:rsidR="00854F16" w:rsidRPr="00FB4B14">
        <w:rPr>
          <w:rFonts w:ascii="Times New Roman" w:hAnsi="Times New Roman"/>
        </w:rPr>
        <w:t>"</w:t>
      </w:r>
      <w:r w:rsidR="002556CF" w:rsidRPr="00FB4B14">
        <w:rPr>
          <w:rFonts w:ascii="Times New Roman" w:hAnsi="Times New Roman"/>
        </w:rPr>
        <w:t xml:space="preserve"> (more </w:t>
      </w:r>
      <w:r w:rsidR="00C547C6" w:rsidRPr="00FB4B14">
        <w:rPr>
          <w:rFonts w:ascii="Times New Roman" w:hAnsi="Times New Roman"/>
        </w:rPr>
        <w:t xml:space="preserve">commonly </w:t>
      </w:r>
      <w:r w:rsidR="002556CF" w:rsidRPr="00FB4B14">
        <w:rPr>
          <w:rFonts w:ascii="Times New Roman" w:hAnsi="Times New Roman"/>
        </w:rPr>
        <w:t xml:space="preserve">known as the </w:t>
      </w:r>
      <w:r w:rsidR="00854F16" w:rsidRPr="00FB4B14">
        <w:rPr>
          <w:rFonts w:ascii="Times New Roman" w:hAnsi="Times New Roman"/>
        </w:rPr>
        <w:t>"</w:t>
      </w:r>
      <w:r w:rsidR="00BF18C2" w:rsidRPr="00FB4B14">
        <w:rPr>
          <w:rFonts w:ascii="Times New Roman" w:hAnsi="Times New Roman"/>
        </w:rPr>
        <w:t>Harmer Report</w:t>
      </w:r>
      <w:r w:rsidR="00854F16" w:rsidRPr="00FB4B14">
        <w:rPr>
          <w:rFonts w:ascii="Times New Roman" w:hAnsi="Times New Roman"/>
        </w:rPr>
        <w:t>"</w:t>
      </w:r>
      <w:r w:rsidR="00BF18C2" w:rsidRPr="00FB4B14">
        <w:rPr>
          <w:rFonts w:ascii="Times New Roman" w:hAnsi="Times New Roman"/>
        </w:rPr>
        <w:t>)</w:t>
      </w:r>
      <w:r w:rsidR="00544F31" w:rsidRPr="00FB4B14">
        <w:rPr>
          <w:rFonts w:ascii="Times New Roman" w:hAnsi="Times New Roman"/>
        </w:rPr>
        <w:t>. It was common ground that th</w:t>
      </w:r>
      <w:r w:rsidR="00D045B3" w:rsidRPr="00FB4B14">
        <w:rPr>
          <w:rFonts w:ascii="Times New Roman" w:hAnsi="Times New Roman"/>
        </w:rPr>
        <w:t>e Harmer</w:t>
      </w:r>
      <w:r w:rsidR="00544F31" w:rsidRPr="00FB4B14">
        <w:rPr>
          <w:rFonts w:ascii="Times New Roman" w:hAnsi="Times New Roman"/>
        </w:rPr>
        <w:t xml:space="preserve"> Report </w:t>
      </w:r>
      <w:r w:rsidR="00662DDB" w:rsidRPr="00FB4B14">
        <w:rPr>
          <w:rFonts w:ascii="Times New Roman" w:hAnsi="Times New Roman"/>
        </w:rPr>
        <w:t>led to the introduction of</w:t>
      </w:r>
      <w:r w:rsidR="00CB568A" w:rsidRPr="00FB4B14">
        <w:rPr>
          <w:rFonts w:ascii="Times New Roman" w:hAnsi="Times New Roman"/>
        </w:rPr>
        <w:t xml:space="preserve"> s </w:t>
      </w:r>
      <w:r w:rsidR="00662DDB" w:rsidRPr="00FB4B14">
        <w:rPr>
          <w:rFonts w:ascii="Times New Roman" w:hAnsi="Times New Roman"/>
        </w:rPr>
        <w:t>553C</w:t>
      </w:r>
      <w:r w:rsidR="00662DDB" w:rsidRPr="00FB4B14">
        <w:rPr>
          <w:rStyle w:val="FootnoteReference"/>
          <w:rFonts w:ascii="Times New Roman" w:hAnsi="Times New Roman"/>
          <w:sz w:val="24"/>
        </w:rPr>
        <w:footnoteReference w:id="66"/>
      </w:r>
      <w:r w:rsidR="00653376" w:rsidRPr="00FB4B14">
        <w:rPr>
          <w:rFonts w:ascii="Times New Roman" w:hAnsi="Times New Roman"/>
        </w:rPr>
        <w:t xml:space="preserve">. </w:t>
      </w:r>
      <w:r w:rsidR="001E7E67" w:rsidRPr="00FB4B14">
        <w:rPr>
          <w:rFonts w:ascii="Times New Roman" w:hAnsi="Times New Roman"/>
        </w:rPr>
        <w:t xml:space="preserve">Amongst other things, it </w:t>
      </w:r>
      <w:r w:rsidR="007649C3" w:rsidRPr="00FB4B14">
        <w:rPr>
          <w:rFonts w:ascii="Times New Roman" w:hAnsi="Times New Roman"/>
        </w:rPr>
        <w:t>recommended</w:t>
      </w:r>
      <w:r w:rsidR="001E7E67" w:rsidRPr="00FB4B14">
        <w:rPr>
          <w:rFonts w:ascii="Times New Roman" w:hAnsi="Times New Roman"/>
        </w:rPr>
        <w:t xml:space="preserve"> that the </w:t>
      </w:r>
      <w:r w:rsidR="00854F16" w:rsidRPr="00FB4B14">
        <w:rPr>
          <w:rFonts w:ascii="Times New Roman" w:hAnsi="Times New Roman"/>
        </w:rPr>
        <w:t>"</w:t>
      </w:r>
      <w:r w:rsidR="007649C3" w:rsidRPr="00FB4B14">
        <w:rPr>
          <w:rFonts w:ascii="Times New Roman" w:hAnsi="Times New Roman"/>
        </w:rPr>
        <w:t>situations</w:t>
      </w:r>
      <w:r w:rsidR="001E7E67" w:rsidRPr="00FB4B14">
        <w:rPr>
          <w:rFonts w:ascii="Times New Roman" w:hAnsi="Times New Roman"/>
        </w:rPr>
        <w:t xml:space="preserve"> for excluding a right of set-off should correspond to the situations where a transaction may be avoided on the basis that it is preferential</w:t>
      </w:r>
      <w:r w:rsidR="00854F16" w:rsidRPr="00FB4B14">
        <w:rPr>
          <w:rFonts w:ascii="Times New Roman" w:hAnsi="Times New Roman"/>
        </w:rPr>
        <w:t>"</w:t>
      </w:r>
      <w:r w:rsidR="007649C3" w:rsidRPr="00FB4B14">
        <w:rPr>
          <w:rStyle w:val="FootnoteReference"/>
          <w:rFonts w:ascii="Times New Roman" w:hAnsi="Times New Roman"/>
          <w:sz w:val="24"/>
        </w:rPr>
        <w:footnoteReference w:id="67"/>
      </w:r>
      <w:r w:rsidR="007649C3" w:rsidRPr="00FB4B14">
        <w:rPr>
          <w:rFonts w:ascii="Times New Roman" w:hAnsi="Times New Roman"/>
        </w:rPr>
        <w:t>. Yet</w:t>
      </w:r>
      <w:r w:rsidR="006B41DF" w:rsidRPr="00FB4B14">
        <w:rPr>
          <w:rFonts w:ascii="Times New Roman" w:hAnsi="Times New Roman"/>
        </w:rPr>
        <w:t xml:space="preserve">, no such simple exclusion for </w:t>
      </w:r>
      <w:r w:rsidR="009B5253" w:rsidRPr="00FB4B14">
        <w:rPr>
          <w:rFonts w:ascii="Times New Roman" w:hAnsi="Times New Roman"/>
        </w:rPr>
        <w:t>liabilities</w:t>
      </w:r>
      <w:r w:rsidR="006B41DF" w:rsidRPr="00FB4B14">
        <w:rPr>
          <w:rFonts w:ascii="Times New Roman" w:hAnsi="Times New Roman"/>
        </w:rPr>
        <w:t xml:space="preserve"> </w:t>
      </w:r>
      <w:r w:rsidR="003816B9" w:rsidRPr="00FB4B14">
        <w:rPr>
          <w:rFonts w:ascii="Times New Roman" w:hAnsi="Times New Roman"/>
        </w:rPr>
        <w:t>that arise because a transaction was voidable for the purposes of</w:t>
      </w:r>
      <w:r w:rsidR="00CB568A" w:rsidRPr="00FB4B14">
        <w:rPr>
          <w:rFonts w:ascii="Times New Roman" w:hAnsi="Times New Roman"/>
        </w:rPr>
        <w:t xml:space="preserve"> s </w:t>
      </w:r>
      <w:r w:rsidR="003816B9" w:rsidRPr="00FB4B14">
        <w:rPr>
          <w:rFonts w:ascii="Times New Roman" w:hAnsi="Times New Roman"/>
        </w:rPr>
        <w:t>588FF was ever enacted. Th</w:t>
      </w:r>
      <w:r w:rsidR="00997D06" w:rsidRPr="00FB4B14">
        <w:rPr>
          <w:rFonts w:ascii="Times New Roman" w:hAnsi="Times New Roman"/>
        </w:rPr>
        <w:t>is</w:t>
      </w:r>
      <w:r w:rsidR="003816B9" w:rsidRPr="00FB4B14">
        <w:rPr>
          <w:rFonts w:ascii="Times New Roman" w:hAnsi="Times New Roman"/>
        </w:rPr>
        <w:t xml:space="preserve"> Court was asked to infer from this </w:t>
      </w:r>
      <w:r w:rsidR="00B77D1D" w:rsidRPr="00FB4B14">
        <w:rPr>
          <w:rFonts w:ascii="Times New Roman" w:hAnsi="Times New Roman"/>
        </w:rPr>
        <w:t xml:space="preserve">omission </w:t>
      </w:r>
      <w:r w:rsidR="003816B9" w:rsidRPr="00FB4B14">
        <w:rPr>
          <w:rFonts w:ascii="Times New Roman" w:hAnsi="Times New Roman"/>
        </w:rPr>
        <w:t xml:space="preserve">that a legislative choice had been made to permit </w:t>
      </w:r>
      <w:r w:rsidR="002F3873" w:rsidRPr="00FB4B14">
        <w:rPr>
          <w:rFonts w:ascii="Times New Roman" w:hAnsi="Times New Roman"/>
        </w:rPr>
        <w:t>a set-off where, as here, liability arises under</w:t>
      </w:r>
      <w:r w:rsidR="00CB568A" w:rsidRPr="00FB4B14">
        <w:rPr>
          <w:rFonts w:ascii="Times New Roman" w:hAnsi="Times New Roman"/>
        </w:rPr>
        <w:t xml:space="preserve"> s </w:t>
      </w:r>
      <w:r w:rsidR="002F3873" w:rsidRPr="00FB4B14">
        <w:rPr>
          <w:rFonts w:ascii="Times New Roman" w:hAnsi="Times New Roman"/>
        </w:rPr>
        <w:t>588FF(1)(a). It was then said that Parliament had considered the possibility o</w:t>
      </w:r>
      <w:r w:rsidR="001E3048" w:rsidRPr="00FB4B14">
        <w:rPr>
          <w:rFonts w:ascii="Times New Roman" w:hAnsi="Times New Roman"/>
        </w:rPr>
        <w:t xml:space="preserve">f the right of set-off being abused but had chosen to address that concern only by the enactment of </w:t>
      </w:r>
      <w:r w:rsidR="004406C6" w:rsidRPr="00FB4B14">
        <w:rPr>
          <w:rFonts w:ascii="Times New Roman" w:hAnsi="Times New Roman"/>
        </w:rPr>
        <w:t>s </w:t>
      </w:r>
      <w:r w:rsidR="000951BC" w:rsidRPr="00FB4B14">
        <w:rPr>
          <w:rFonts w:ascii="Times New Roman" w:hAnsi="Times New Roman"/>
        </w:rPr>
        <w:t>553</w:t>
      </w:r>
      <w:proofErr w:type="gramStart"/>
      <w:r w:rsidR="000951BC" w:rsidRPr="00FB4B14">
        <w:rPr>
          <w:rFonts w:ascii="Times New Roman" w:hAnsi="Times New Roman"/>
        </w:rPr>
        <w:t>C(</w:t>
      </w:r>
      <w:proofErr w:type="gramEnd"/>
      <w:r w:rsidR="00044C05" w:rsidRPr="00FB4B14">
        <w:rPr>
          <w:rFonts w:ascii="Times New Roman" w:hAnsi="Times New Roman"/>
        </w:rPr>
        <w:t>2</w:t>
      </w:r>
      <w:r w:rsidR="000951BC" w:rsidRPr="00FB4B14">
        <w:rPr>
          <w:rFonts w:ascii="Times New Roman" w:hAnsi="Times New Roman"/>
        </w:rPr>
        <w:t>) and nothing else. That provision denies a set</w:t>
      </w:r>
      <w:r w:rsidR="00C96980" w:rsidRPr="00FB4B14">
        <w:rPr>
          <w:rFonts w:ascii="Times New Roman" w:hAnsi="Times New Roman"/>
        </w:rPr>
        <w:t>-</w:t>
      </w:r>
      <w:r w:rsidR="000951BC" w:rsidRPr="00FB4B14">
        <w:rPr>
          <w:rFonts w:ascii="Times New Roman" w:hAnsi="Times New Roman"/>
        </w:rPr>
        <w:t xml:space="preserve">off where </w:t>
      </w:r>
      <w:r w:rsidR="003A03E6" w:rsidRPr="00FB4B14">
        <w:rPr>
          <w:rFonts w:ascii="Times New Roman" w:hAnsi="Times New Roman"/>
        </w:rPr>
        <w:t xml:space="preserve">at the time of the mutual dealing the creditor had </w:t>
      </w:r>
      <w:r w:rsidR="00854F16" w:rsidRPr="00FB4B14">
        <w:rPr>
          <w:rFonts w:ascii="Times New Roman" w:hAnsi="Times New Roman"/>
        </w:rPr>
        <w:t>"</w:t>
      </w:r>
      <w:r w:rsidR="003A03E6" w:rsidRPr="00FB4B14">
        <w:rPr>
          <w:rFonts w:ascii="Times New Roman" w:hAnsi="Times New Roman"/>
        </w:rPr>
        <w:t>notice of the fact that the company was insolvent</w:t>
      </w:r>
      <w:r w:rsidR="00854F16" w:rsidRPr="00FB4B14">
        <w:rPr>
          <w:rFonts w:ascii="Times New Roman" w:hAnsi="Times New Roman"/>
        </w:rPr>
        <w:t>"</w:t>
      </w:r>
      <w:r w:rsidR="00ED2359" w:rsidRPr="00FB4B14">
        <w:rPr>
          <w:rFonts w:ascii="Times New Roman" w:hAnsi="Times New Roman"/>
        </w:rPr>
        <w:t>.</w:t>
      </w:r>
    </w:p>
    <w:p w14:paraId="59182F6E" w14:textId="4E5DEAC7" w:rsidR="005020DA" w:rsidRPr="00FB4B14" w:rsidRDefault="00C55359" w:rsidP="00FB4B14">
      <w:pPr>
        <w:pStyle w:val="HeadingL1"/>
        <w:spacing w:after="260" w:line="280" w:lineRule="exact"/>
        <w:ind w:right="0"/>
        <w:jc w:val="both"/>
        <w:rPr>
          <w:rFonts w:ascii="Times New Roman" w:hAnsi="Times New Roman"/>
        </w:rPr>
      </w:pPr>
      <w:r w:rsidRPr="00FB4B14">
        <w:rPr>
          <w:rFonts w:ascii="Times New Roman" w:hAnsi="Times New Roman"/>
        </w:rPr>
        <w:lastRenderedPageBreak/>
        <w:t xml:space="preserve">Mutual </w:t>
      </w:r>
      <w:r w:rsidR="00854F16" w:rsidRPr="00FB4B14">
        <w:rPr>
          <w:rFonts w:ascii="Times New Roman" w:hAnsi="Times New Roman"/>
        </w:rPr>
        <w:t>c</w:t>
      </w:r>
      <w:r w:rsidRPr="00FB4B14">
        <w:rPr>
          <w:rFonts w:ascii="Times New Roman" w:hAnsi="Times New Roman"/>
        </w:rPr>
        <w:t xml:space="preserve">redits, </w:t>
      </w:r>
      <w:r w:rsidR="00854F16" w:rsidRPr="00FB4B14">
        <w:rPr>
          <w:rFonts w:ascii="Times New Roman" w:hAnsi="Times New Roman"/>
        </w:rPr>
        <w:t>m</w:t>
      </w:r>
      <w:r w:rsidRPr="00FB4B14">
        <w:rPr>
          <w:rFonts w:ascii="Times New Roman" w:hAnsi="Times New Roman"/>
        </w:rPr>
        <w:t xml:space="preserve">utual </w:t>
      </w:r>
      <w:proofErr w:type="gramStart"/>
      <w:r w:rsidR="00854F16" w:rsidRPr="00FB4B14">
        <w:rPr>
          <w:rFonts w:ascii="Times New Roman" w:hAnsi="Times New Roman"/>
        </w:rPr>
        <w:t>d</w:t>
      </w:r>
      <w:r w:rsidRPr="00FB4B14">
        <w:rPr>
          <w:rFonts w:ascii="Times New Roman" w:hAnsi="Times New Roman"/>
        </w:rPr>
        <w:t>ebts</w:t>
      </w:r>
      <w:proofErr w:type="gramEnd"/>
      <w:r w:rsidRPr="00FB4B14">
        <w:rPr>
          <w:rFonts w:ascii="Times New Roman" w:hAnsi="Times New Roman"/>
        </w:rPr>
        <w:t xml:space="preserve"> and </w:t>
      </w:r>
      <w:r w:rsidR="00854F16" w:rsidRPr="00FB4B14">
        <w:rPr>
          <w:rFonts w:ascii="Times New Roman" w:hAnsi="Times New Roman"/>
        </w:rPr>
        <w:t>m</w:t>
      </w:r>
      <w:r w:rsidRPr="00FB4B14">
        <w:rPr>
          <w:rFonts w:ascii="Times New Roman" w:hAnsi="Times New Roman"/>
        </w:rPr>
        <w:t xml:space="preserve">utual </w:t>
      </w:r>
      <w:r w:rsidR="00854F16" w:rsidRPr="00FB4B14">
        <w:rPr>
          <w:rFonts w:ascii="Times New Roman" w:hAnsi="Times New Roman"/>
        </w:rPr>
        <w:t>d</w:t>
      </w:r>
      <w:r w:rsidRPr="00FB4B14">
        <w:rPr>
          <w:rFonts w:ascii="Times New Roman" w:hAnsi="Times New Roman"/>
        </w:rPr>
        <w:t>ealings</w:t>
      </w:r>
    </w:p>
    <w:p w14:paraId="3D110142" w14:textId="32215D38" w:rsidR="006C7D89" w:rsidRPr="00FB4B14" w:rsidRDefault="00BE4081"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173452" w:rsidRPr="00FB4B14">
        <w:rPr>
          <w:rFonts w:ascii="Times New Roman" w:hAnsi="Times New Roman"/>
        </w:rPr>
        <w:t>The appellant</w:t>
      </w:r>
      <w:r w:rsidR="00854F16" w:rsidRPr="00FB4B14">
        <w:rPr>
          <w:rFonts w:ascii="Times New Roman" w:hAnsi="Times New Roman"/>
        </w:rPr>
        <w:t>'</w:t>
      </w:r>
      <w:r w:rsidR="00173452" w:rsidRPr="00FB4B14">
        <w:rPr>
          <w:rFonts w:ascii="Times New Roman" w:hAnsi="Times New Roman"/>
        </w:rPr>
        <w:t>s case turned upon</w:t>
      </w:r>
      <w:r w:rsidR="00944F20" w:rsidRPr="00FB4B14">
        <w:rPr>
          <w:rFonts w:ascii="Times New Roman" w:hAnsi="Times New Roman"/>
        </w:rPr>
        <w:t xml:space="preserve"> the presence as at the date of the commencement of the winding up of an inchoate or contingent right </w:t>
      </w:r>
      <w:r w:rsidR="00DA72B9" w:rsidRPr="00FB4B14">
        <w:rPr>
          <w:rFonts w:ascii="Times New Roman" w:hAnsi="Times New Roman"/>
        </w:rPr>
        <w:t>to sue under</w:t>
      </w:r>
      <w:r w:rsidR="00CB568A" w:rsidRPr="00FB4B14">
        <w:rPr>
          <w:rFonts w:ascii="Times New Roman" w:hAnsi="Times New Roman"/>
        </w:rPr>
        <w:t xml:space="preserve"> s </w:t>
      </w:r>
      <w:r w:rsidR="00DA72B9" w:rsidRPr="00FB4B14">
        <w:rPr>
          <w:rFonts w:ascii="Times New Roman" w:hAnsi="Times New Roman"/>
        </w:rPr>
        <w:t>588</w:t>
      </w:r>
      <w:proofErr w:type="gramStart"/>
      <w:r w:rsidR="00DA72B9" w:rsidRPr="00FB4B14">
        <w:rPr>
          <w:rFonts w:ascii="Times New Roman" w:hAnsi="Times New Roman"/>
        </w:rPr>
        <w:t>FF(</w:t>
      </w:r>
      <w:proofErr w:type="gramEnd"/>
      <w:r w:rsidR="00DA72B9" w:rsidRPr="00FB4B14">
        <w:rPr>
          <w:rFonts w:ascii="Times New Roman" w:hAnsi="Times New Roman"/>
        </w:rPr>
        <w:t>1) which was capable of growing or ma</w:t>
      </w:r>
      <w:r w:rsidR="004D0F21" w:rsidRPr="00FB4B14">
        <w:rPr>
          <w:rFonts w:ascii="Times New Roman" w:hAnsi="Times New Roman"/>
        </w:rPr>
        <w:t xml:space="preserve">turing into a money claim </w:t>
      </w:r>
      <w:r w:rsidR="003579AC" w:rsidRPr="00FB4B14">
        <w:rPr>
          <w:rFonts w:ascii="Times New Roman" w:hAnsi="Times New Roman"/>
        </w:rPr>
        <w:t xml:space="preserve">that </w:t>
      </w:r>
      <w:r w:rsidR="004D0F21" w:rsidRPr="00FB4B14">
        <w:rPr>
          <w:rFonts w:ascii="Times New Roman" w:hAnsi="Times New Roman"/>
        </w:rPr>
        <w:t>could then be set</w:t>
      </w:r>
      <w:r w:rsidR="006E4A1D" w:rsidRPr="00FB4B14">
        <w:rPr>
          <w:rFonts w:ascii="Times New Roman" w:hAnsi="Times New Roman"/>
        </w:rPr>
        <w:t xml:space="preserve"> off</w:t>
      </w:r>
      <w:r w:rsidR="004D0F21" w:rsidRPr="00FB4B14">
        <w:rPr>
          <w:rFonts w:ascii="Times New Roman" w:hAnsi="Times New Roman"/>
        </w:rPr>
        <w:t xml:space="preserve"> against the amount owed by </w:t>
      </w:r>
      <w:r w:rsidR="00226881" w:rsidRPr="00FB4B14">
        <w:rPr>
          <w:rFonts w:ascii="Times New Roman" w:hAnsi="Times New Roman"/>
        </w:rPr>
        <w:t>M</w:t>
      </w:r>
      <w:r w:rsidR="004D0F21" w:rsidRPr="00FB4B14">
        <w:rPr>
          <w:rFonts w:ascii="Times New Roman" w:hAnsi="Times New Roman"/>
        </w:rPr>
        <w:t>J</w:t>
      </w:r>
      <w:r w:rsidR="007F5E94" w:rsidRPr="00FB4B14">
        <w:rPr>
          <w:rFonts w:ascii="Times New Roman" w:hAnsi="Times New Roman"/>
        </w:rPr>
        <w:t> </w:t>
      </w:r>
      <w:r w:rsidR="004D0F21" w:rsidRPr="00FB4B14">
        <w:rPr>
          <w:rFonts w:ascii="Times New Roman" w:hAnsi="Times New Roman"/>
        </w:rPr>
        <w:t>Woodman to it.</w:t>
      </w:r>
      <w:r w:rsidR="003E3FE1" w:rsidRPr="00FB4B14">
        <w:rPr>
          <w:rFonts w:ascii="Times New Roman" w:hAnsi="Times New Roman"/>
        </w:rPr>
        <w:t xml:space="preserve"> That proposition suffers from a fatal flaw. </w:t>
      </w:r>
      <w:r w:rsidR="00043C48" w:rsidRPr="00FB4B14">
        <w:rPr>
          <w:rFonts w:ascii="Times New Roman" w:hAnsi="Times New Roman"/>
        </w:rPr>
        <w:t>Construed in the context of the statutory scheme of liquidation,</w:t>
      </w:r>
      <w:r w:rsidR="00CB568A" w:rsidRPr="00FB4B14">
        <w:rPr>
          <w:rFonts w:ascii="Times New Roman" w:hAnsi="Times New Roman"/>
        </w:rPr>
        <w:t xml:space="preserve"> s </w:t>
      </w:r>
      <w:r w:rsidR="001A5E5F" w:rsidRPr="00FB4B14">
        <w:rPr>
          <w:rFonts w:ascii="Times New Roman" w:hAnsi="Times New Roman"/>
        </w:rPr>
        <w:t>553</w:t>
      </w:r>
      <w:proofErr w:type="gramStart"/>
      <w:r w:rsidR="001A5E5F" w:rsidRPr="00FB4B14">
        <w:rPr>
          <w:rFonts w:ascii="Times New Roman" w:hAnsi="Times New Roman"/>
        </w:rPr>
        <w:t>C(</w:t>
      </w:r>
      <w:proofErr w:type="gramEnd"/>
      <w:r w:rsidR="001A5E5F" w:rsidRPr="00FB4B14">
        <w:rPr>
          <w:rFonts w:ascii="Times New Roman" w:hAnsi="Times New Roman"/>
        </w:rPr>
        <w:t xml:space="preserve">1) requires that </w:t>
      </w:r>
      <w:r w:rsidR="00043C48" w:rsidRPr="00FB4B14">
        <w:rPr>
          <w:rFonts w:ascii="Times New Roman" w:hAnsi="Times New Roman"/>
        </w:rPr>
        <w:t>t</w:t>
      </w:r>
      <w:r w:rsidR="003E3FE1" w:rsidRPr="00FB4B14">
        <w:rPr>
          <w:rFonts w:ascii="Times New Roman" w:hAnsi="Times New Roman"/>
        </w:rPr>
        <w:t xml:space="preserve">he mutual credits, mutual debts or other mutual dealings </w:t>
      </w:r>
      <w:r w:rsidR="001A5E5F" w:rsidRPr="00FB4B14">
        <w:rPr>
          <w:rFonts w:ascii="Times New Roman" w:hAnsi="Times New Roman"/>
        </w:rPr>
        <w:t xml:space="preserve">be credits, debts or dealings arising from circumstances that </w:t>
      </w:r>
      <w:r w:rsidR="003E3FE1" w:rsidRPr="00FB4B14">
        <w:rPr>
          <w:rFonts w:ascii="Times New Roman" w:hAnsi="Times New Roman"/>
        </w:rPr>
        <w:t xml:space="preserve">subsisted in some way or form before the commencement of the winding up. That is because under </w:t>
      </w:r>
      <w:r w:rsidR="003F5BA8" w:rsidRPr="00FB4B14">
        <w:rPr>
          <w:rFonts w:ascii="Times New Roman" w:hAnsi="Times New Roman"/>
        </w:rPr>
        <w:t>that</w:t>
      </w:r>
      <w:r w:rsidR="003E3FE1" w:rsidRPr="00FB4B14">
        <w:rPr>
          <w:rFonts w:ascii="Times New Roman" w:hAnsi="Times New Roman"/>
        </w:rPr>
        <w:t xml:space="preserve"> statutory scheme</w:t>
      </w:r>
      <w:r w:rsidR="00757293" w:rsidRPr="00FB4B14">
        <w:rPr>
          <w:rFonts w:ascii="Times New Roman" w:hAnsi="Times New Roman"/>
        </w:rPr>
        <w:t>,</w:t>
      </w:r>
      <w:r w:rsidR="00CB568A" w:rsidRPr="00FB4B14">
        <w:rPr>
          <w:rFonts w:ascii="Times New Roman" w:hAnsi="Times New Roman"/>
        </w:rPr>
        <w:t xml:space="preserve"> s </w:t>
      </w:r>
      <w:r w:rsidR="003E3FE1" w:rsidRPr="00FB4B14">
        <w:rPr>
          <w:rFonts w:ascii="Times New Roman" w:hAnsi="Times New Roman"/>
        </w:rPr>
        <w:t xml:space="preserve">553C </w:t>
      </w:r>
      <w:r w:rsidR="001324A3" w:rsidRPr="00FB4B14">
        <w:rPr>
          <w:rFonts w:ascii="Times New Roman" w:hAnsi="Times New Roman"/>
        </w:rPr>
        <w:t>exists in aid of</w:t>
      </w:r>
      <w:r w:rsidR="00CB568A" w:rsidRPr="00FB4B14">
        <w:rPr>
          <w:rFonts w:ascii="Times New Roman" w:hAnsi="Times New Roman"/>
        </w:rPr>
        <w:t xml:space="preserve"> s </w:t>
      </w:r>
      <w:r w:rsidR="001324A3" w:rsidRPr="00FB4B14">
        <w:rPr>
          <w:rFonts w:ascii="Times New Roman" w:hAnsi="Times New Roman"/>
        </w:rPr>
        <w:t>553</w:t>
      </w:r>
      <w:r w:rsidR="001970A8" w:rsidRPr="00FB4B14">
        <w:rPr>
          <w:rFonts w:ascii="Times New Roman" w:hAnsi="Times New Roman"/>
        </w:rPr>
        <w:t>, which</w:t>
      </w:r>
      <w:r w:rsidR="001324A3" w:rsidRPr="00FB4B14">
        <w:rPr>
          <w:rFonts w:ascii="Times New Roman" w:hAnsi="Times New Roman"/>
        </w:rPr>
        <w:t xml:space="preserve"> is concerned with </w:t>
      </w:r>
      <w:r w:rsidR="009B1D83" w:rsidRPr="00FB4B14">
        <w:rPr>
          <w:rFonts w:ascii="Times New Roman" w:hAnsi="Times New Roman"/>
        </w:rPr>
        <w:t xml:space="preserve">debts </w:t>
      </w:r>
      <w:r w:rsidR="003475BB" w:rsidRPr="00FB4B14">
        <w:rPr>
          <w:rFonts w:ascii="Times New Roman" w:hAnsi="Times New Roman"/>
        </w:rPr>
        <w:t xml:space="preserve">and </w:t>
      </w:r>
      <w:r w:rsidR="001324A3" w:rsidRPr="00FB4B14">
        <w:rPr>
          <w:rFonts w:ascii="Times New Roman" w:hAnsi="Times New Roman"/>
        </w:rPr>
        <w:t>claims, whether</w:t>
      </w:r>
      <w:r w:rsidR="004E1737" w:rsidRPr="00FB4B14">
        <w:rPr>
          <w:rFonts w:ascii="Times New Roman" w:hAnsi="Times New Roman"/>
        </w:rPr>
        <w:t xml:space="preserve"> </w:t>
      </w:r>
      <w:r w:rsidR="00854F16" w:rsidRPr="00FB4B14">
        <w:rPr>
          <w:rFonts w:ascii="Times New Roman" w:hAnsi="Times New Roman"/>
        </w:rPr>
        <w:t>"</w:t>
      </w:r>
      <w:r w:rsidR="004E1737" w:rsidRPr="00FB4B14">
        <w:rPr>
          <w:rFonts w:ascii="Times New Roman" w:hAnsi="Times New Roman"/>
        </w:rPr>
        <w:t xml:space="preserve">present or future, certain or contingent, ascertained </w:t>
      </w:r>
      <w:r w:rsidR="007C6FCD" w:rsidRPr="00FB4B14">
        <w:rPr>
          <w:rFonts w:ascii="Times New Roman" w:hAnsi="Times New Roman"/>
        </w:rPr>
        <w:t xml:space="preserve">or sounding </w:t>
      </w:r>
      <w:r w:rsidR="003F4B21" w:rsidRPr="00FB4B14">
        <w:rPr>
          <w:rFonts w:ascii="Times New Roman" w:hAnsi="Times New Roman"/>
        </w:rPr>
        <w:t xml:space="preserve">only </w:t>
      </w:r>
      <w:r w:rsidR="007C6FCD" w:rsidRPr="00FB4B14">
        <w:rPr>
          <w:rFonts w:ascii="Times New Roman" w:hAnsi="Times New Roman"/>
        </w:rPr>
        <w:t>in damages</w:t>
      </w:r>
      <w:r w:rsidR="00854F16" w:rsidRPr="00FB4B14">
        <w:rPr>
          <w:rFonts w:ascii="Times New Roman" w:hAnsi="Times New Roman"/>
        </w:rPr>
        <w:t>"</w:t>
      </w:r>
      <w:r w:rsidR="001970A8" w:rsidRPr="00FB4B14">
        <w:rPr>
          <w:rFonts w:ascii="Times New Roman" w:hAnsi="Times New Roman"/>
        </w:rPr>
        <w:t>,</w:t>
      </w:r>
      <w:r w:rsidR="007C6FCD" w:rsidRPr="00FB4B14">
        <w:rPr>
          <w:rFonts w:ascii="Times New Roman" w:hAnsi="Times New Roman"/>
        </w:rPr>
        <w:t xml:space="preserve"> </w:t>
      </w:r>
      <w:r w:rsidR="003F5BA8" w:rsidRPr="00FB4B14">
        <w:rPr>
          <w:rFonts w:ascii="Times New Roman" w:hAnsi="Times New Roman"/>
        </w:rPr>
        <w:t>arising</w:t>
      </w:r>
      <w:r w:rsidR="007C6FCD" w:rsidRPr="00FB4B14">
        <w:rPr>
          <w:rFonts w:ascii="Times New Roman" w:hAnsi="Times New Roman"/>
        </w:rPr>
        <w:t xml:space="preserve"> from </w:t>
      </w:r>
      <w:r w:rsidR="00854F16" w:rsidRPr="00FB4B14">
        <w:rPr>
          <w:rFonts w:ascii="Times New Roman" w:hAnsi="Times New Roman"/>
        </w:rPr>
        <w:t>"</w:t>
      </w:r>
      <w:r w:rsidR="007C6FCD" w:rsidRPr="00FB4B14">
        <w:rPr>
          <w:rFonts w:ascii="Times New Roman" w:hAnsi="Times New Roman"/>
        </w:rPr>
        <w:t>circumstances</w:t>
      </w:r>
      <w:r w:rsidR="00854F16" w:rsidRPr="00FB4B14">
        <w:rPr>
          <w:rFonts w:ascii="Times New Roman" w:hAnsi="Times New Roman"/>
        </w:rPr>
        <w:t>"</w:t>
      </w:r>
      <w:r w:rsidR="007C6FCD" w:rsidRPr="00FB4B14">
        <w:rPr>
          <w:rFonts w:ascii="Times New Roman" w:hAnsi="Times New Roman"/>
        </w:rPr>
        <w:t xml:space="preserve"> </w:t>
      </w:r>
      <w:r w:rsidR="00B41F48" w:rsidRPr="00FB4B14">
        <w:rPr>
          <w:rFonts w:ascii="Times New Roman" w:hAnsi="Times New Roman"/>
        </w:rPr>
        <w:t xml:space="preserve">that </w:t>
      </w:r>
      <w:r w:rsidR="00F857AD" w:rsidRPr="00FB4B14">
        <w:rPr>
          <w:rFonts w:ascii="Times New Roman" w:hAnsi="Times New Roman"/>
        </w:rPr>
        <w:t xml:space="preserve">had </w:t>
      </w:r>
      <w:r w:rsidR="007C6FCD" w:rsidRPr="00FB4B14">
        <w:rPr>
          <w:rFonts w:ascii="Times New Roman" w:hAnsi="Times New Roman"/>
        </w:rPr>
        <w:t xml:space="preserve">occurred </w:t>
      </w:r>
      <w:r w:rsidR="007C6FCD" w:rsidRPr="00FB4B14">
        <w:rPr>
          <w:rFonts w:ascii="Times New Roman" w:hAnsi="Times New Roman"/>
          <w:i/>
          <w:iCs/>
        </w:rPr>
        <w:t>before</w:t>
      </w:r>
      <w:r w:rsidR="007C6FCD" w:rsidRPr="00FB4B14">
        <w:rPr>
          <w:rFonts w:ascii="Times New Roman" w:hAnsi="Times New Roman"/>
        </w:rPr>
        <w:t xml:space="preserve"> the </w:t>
      </w:r>
      <w:r w:rsidR="00F857AD" w:rsidRPr="00FB4B14">
        <w:rPr>
          <w:rFonts w:ascii="Times New Roman" w:hAnsi="Times New Roman"/>
        </w:rPr>
        <w:t>commencement of the winding up.</w:t>
      </w:r>
      <w:r w:rsidR="00FF1E42" w:rsidRPr="00FB4B14">
        <w:rPr>
          <w:rFonts w:ascii="Times New Roman" w:hAnsi="Times New Roman"/>
        </w:rPr>
        <w:t xml:space="preserve"> That is why</w:t>
      </w:r>
      <w:r w:rsidR="00CB568A" w:rsidRPr="00FB4B14">
        <w:rPr>
          <w:rFonts w:ascii="Times New Roman" w:hAnsi="Times New Roman"/>
        </w:rPr>
        <w:t xml:space="preserve"> s </w:t>
      </w:r>
      <w:r w:rsidR="00FF1E42" w:rsidRPr="00FB4B14">
        <w:rPr>
          <w:rFonts w:ascii="Times New Roman" w:hAnsi="Times New Roman"/>
        </w:rPr>
        <w:t>553</w:t>
      </w:r>
      <w:proofErr w:type="gramStart"/>
      <w:r w:rsidR="00FF1E42" w:rsidRPr="00FB4B14">
        <w:rPr>
          <w:rFonts w:ascii="Times New Roman" w:hAnsi="Times New Roman"/>
        </w:rPr>
        <w:t>C(</w:t>
      </w:r>
      <w:proofErr w:type="gramEnd"/>
      <w:r w:rsidR="00FF1E42" w:rsidRPr="00FB4B14">
        <w:rPr>
          <w:rFonts w:ascii="Times New Roman" w:hAnsi="Times New Roman"/>
        </w:rPr>
        <w:t xml:space="preserve">1) refers to a </w:t>
      </w:r>
      <w:r w:rsidR="00854F16" w:rsidRPr="00FB4B14">
        <w:rPr>
          <w:rFonts w:ascii="Times New Roman" w:hAnsi="Times New Roman"/>
        </w:rPr>
        <w:t>"</w:t>
      </w:r>
      <w:r w:rsidR="00FF1E42" w:rsidRPr="00FB4B14">
        <w:rPr>
          <w:rFonts w:ascii="Times New Roman" w:hAnsi="Times New Roman"/>
        </w:rPr>
        <w:t>person who wants to have a debt or claim admitted against the company</w:t>
      </w:r>
      <w:r w:rsidR="00854F16" w:rsidRPr="00FB4B14">
        <w:rPr>
          <w:rFonts w:ascii="Times New Roman" w:hAnsi="Times New Roman"/>
        </w:rPr>
        <w:t>"</w:t>
      </w:r>
      <w:r w:rsidR="00B47AB9" w:rsidRPr="00FB4B14">
        <w:rPr>
          <w:rFonts w:ascii="Times New Roman" w:hAnsi="Times New Roman"/>
        </w:rPr>
        <w:t xml:space="preserve"> and then provides that only the balance of any set-off is </w:t>
      </w:r>
      <w:r w:rsidR="00B0556F" w:rsidRPr="00FB4B14">
        <w:rPr>
          <w:rFonts w:ascii="Times New Roman" w:hAnsi="Times New Roman"/>
        </w:rPr>
        <w:t>"</w:t>
      </w:r>
      <w:r w:rsidR="00B47AB9" w:rsidRPr="00FB4B14">
        <w:rPr>
          <w:rFonts w:ascii="Times New Roman" w:hAnsi="Times New Roman"/>
        </w:rPr>
        <w:t xml:space="preserve">admissible to proof against the company, or is payable </w:t>
      </w:r>
      <w:r w:rsidR="00076869" w:rsidRPr="00FB4B14">
        <w:rPr>
          <w:rFonts w:ascii="Times New Roman" w:hAnsi="Times New Roman"/>
        </w:rPr>
        <w:t>to</w:t>
      </w:r>
      <w:r w:rsidR="00B47AB9" w:rsidRPr="00FB4B14">
        <w:rPr>
          <w:rFonts w:ascii="Times New Roman" w:hAnsi="Times New Roman"/>
        </w:rPr>
        <w:t xml:space="preserve"> the company</w:t>
      </w:r>
      <w:r w:rsidR="00B0556F" w:rsidRPr="00FB4B14">
        <w:rPr>
          <w:rFonts w:ascii="Times New Roman" w:hAnsi="Times New Roman"/>
        </w:rPr>
        <w:t>,</w:t>
      </w:r>
      <w:r w:rsidR="00B47AB9" w:rsidRPr="00FB4B14">
        <w:rPr>
          <w:rFonts w:ascii="Times New Roman" w:hAnsi="Times New Roman"/>
        </w:rPr>
        <w:t xml:space="preserve"> as the case may be</w:t>
      </w:r>
      <w:r w:rsidR="00854F16" w:rsidRPr="00FB4B14">
        <w:rPr>
          <w:rFonts w:ascii="Times New Roman" w:hAnsi="Times New Roman"/>
        </w:rPr>
        <w:t>"</w:t>
      </w:r>
      <w:r w:rsidR="00B47AB9" w:rsidRPr="00FB4B14">
        <w:rPr>
          <w:rFonts w:ascii="Times New Roman" w:hAnsi="Times New Roman"/>
        </w:rPr>
        <w:t>. As such</w:t>
      </w:r>
      <w:r w:rsidR="00B41F48" w:rsidRPr="00FB4B14">
        <w:rPr>
          <w:rFonts w:ascii="Times New Roman" w:hAnsi="Times New Roman"/>
        </w:rPr>
        <w:t>,</w:t>
      </w:r>
      <w:r w:rsidR="00B47AB9" w:rsidRPr="00FB4B14">
        <w:rPr>
          <w:rFonts w:ascii="Times New Roman" w:hAnsi="Times New Roman"/>
        </w:rPr>
        <w:t xml:space="preserve"> the function and purpose of</w:t>
      </w:r>
      <w:r w:rsidR="00CB568A" w:rsidRPr="00FB4B14">
        <w:rPr>
          <w:rFonts w:ascii="Times New Roman" w:hAnsi="Times New Roman"/>
        </w:rPr>
        <w:t xml:space="preserve"> s </w:t>
      </w:r>
      <w:r w:rsidR="00B47AB9" w:rsidRPr="00FB4B14">
        <w:rPr>
          <w:rFonts w:ascii="Times New Roman" w:hAnsi="Times New Roman"/>
        </w:rPr>
        <w:t xml:space="preserve">553C is to permit a reckoning of amounts owing to </w:t>
      </w:r>
      <w:r w:rsidR="0036469D" w:rsidRPr="00FB4B14">
        <w:rPr>
          <w:rFonts w:ascii="Times New Roman" w:hAnsi="Times New Roman"/>
        </w:rPr>
        <w:t xml:space="preserve">and by the company during the relation-back period prior to the </w:t>
      </w:r>
      <w:r w:rsidR="003A66EF" w:rsidRPr="00FB4B14">
        <w:rPr>
          <w:rFonts w:ascii="Times New Roman" w:hAnsi="Times New Roman"/>
        </w:rPr>
        <w:t>appointment of the liquidator</w:t>
      </w:r>
      <w:r w:rsidR="0036469D" w:rsidRPr="00FB4B14">
        <w:rPr>
          <w:rFonts w:ascii="Times New Roman" w:hAnsi="Times New Roman"/>
        </w:rPr>
        <w:t xml:space="preserve">. </w:t>
      </w:r>
    </w:p>
    <w:p w14:paraId="5823B493" w14:textId="4501E9A9" w:rsidR="00C55359" w:rsidRPr="00FB4B14" w:rsidRDefault="006C7D89"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3C7928" w:rsidRPr="00FB4B14">
        <w:rPr>
          <w:rFonts w:ascii="Times New Roman" w:hAnsi="Times New Roman"/>
        </w:rPr>
        <w:t xml:space="preserve">Here, immediately before </w:t>
      </w:r>
      <w:r w:rsidR="00F84C9F" w:rsidRPr="00FB4B14">
        <w:rPr>
          <w:rFonts w:ascii="Times New Roman" w:hAnsi="Times New Roman"/>
        </w:rPr>
        <w:t>the commencement of the winding up</w:t>
      </w:r>
      <w:r w:rsidR="003C7928" w:rsidRPr="00FB4B14">
        <w:rPr>
          <w:rFonts w:ascii="Times New Roman" w:hAnsi="Times New Roman"/>
        </w:rPr>
        <w:t xml:space="preserve"> there was nothing to set</w:t>
      </w:r>
      <w:r w:rsidR="00045FFA" w:rsidRPr="00FB4B14">
        <w:rPr>
          <w:rFonts w:ascii="Times New Roman" w:hAnsi="Times New Roman"/>
        </w:rPr>
        <w:t xml:space="preserve"> </w:t>
      </w:r>
      <w:r w:rsidR="003C7928" w:rsidRPr="00FB4B14">
        <w:rPr>
          <w:rFonts w:ascii="Times New Roman" w:hAnsi="Times New Roman"/>
        </w:rPr>
        <w:t>off</w:t>
      </w:r>
      <w:r w:rsidR="0036469D" w:rsidRPr="00FB4B14">
        <w:rPr>
          <w:rFonts w:ascii="Times New Roman" w:hAnsi="Times New Roman"/>
        </w:rPr>
        <w:t xml:space="preserve"> </w:t>
      </w:r>
      <w:r w:rsidR="003C7928" w:rsidRPr="00FB4B14">
        <w:rPr>
          <w:rFonts w:ascii="Times New Roman" w:hAnsi="Times New Roman"/>
        </w:rPr>
        <w:t xml:space="preserve">as between the appellant and </w:t>
      </w:r>
      <w:r w:rsidR="00226881" w:rsidRPr="00FB4B14">
        <w:rPr>
          <w:rFonts w:ascii="Times New Roman" w:hAnsi="Times New Roman"/>
        </w:rPr>
        <w:t>M</w:t>
      </w:r>
      <w:r w:rsidR="00D67D7C" w:rsidRPr="00FB4B14">
        <w:rPr>
          <w:rFonts w:ascii="Times New Roman" w:hAnsi="Times New Roman"/>
        </w:rPr>
        <w:t>J</w:t>
      </w:r>
      <w:r w:rsidR="00246180" w:rsidRPr="00FB4B14">
        <w:rPr>
          <w:rFonts w:ascii="Times New Roman" w:hAnsi="Times New Roman"/>
        </w:rPr>
        <w:t> </w:t>
      </w:r>
      <w:r w:rsidR="00D67D7C" w:rsidRPr="00FB4B14">
        <w:rPr>
          <w:rFonts w:ascii="Times New Roman" w:hAnsi="Times New Roman"/>
        </w:rPr>
        <w:t xml:space="preserve">Woodman; the company </w:t>
      </w:r>
      <w:r w:rsidR="00B26EA8" w:rsidRPr="00FB4B14">
        <w:rPr>
          <w:rFonts w:ascii="Times New Roman" w:hAnsi="Times New Roman"/>
        </w:rPr>
        <w:t xml:space="preserve">owed </w:t>
      </w:r>
      <w:r w:rsidR="00D67D7C" w:rsidRPr="00FB4B14">
        <w:rPr>
          <w:rFonts w:ascii="Times New Roman" w:hAnsi="Times New Roman"/>
        </w:rPr>
        <w:t xml:space="preserve">money to the appellant, but the appellant owed nothing to </w:t>
      </w:r>
      <w:r w:rsidR="004B68C0" w:rsidRPr="00FB4B14">
        <w:rPr>
          <w:rFonts w:ascii="Times New Roman" w:hAnsi="Times New Roman"/>
        </w:rPr>
        <w:t>the company</w:t>
      </w:r>
      <w:r w:rsidR="00D67D7C" w:rsidRPr="00FB4B14">
        <w:rPr>
          <w:rFonts w:ascii="Times New Roman" w:hAnsi="Times New Roman"/>
        </w:rPr>
        <w:t xml:space="preserve">. </w:t>
      </w:r>
      <w:r w:rsidR="00B26EA8" w:rsidRPr="00FB4B14">
        <w:rPr>
          <w:rFonts w:ascii="Times New Roman" w:hAnsi="Times New Roman"/>
        </w:rPr>
        <w:t>Moreover, t</w:t>
      </w:r>
      <w:r w:rsidRPr="00FB4B14">
        <w:rPr>
          <w:rFonts w:ascii="Times New Roman" w:hAnsi="Times New Roman"/>
        </w:rPr>
        <w:t>he</w:t>
      </w:r>
      <w:r w:rsidR="0036469D" w:rsidRPr="00FB4B14">
        <w:rPr>
          <w:rFonts w:ascii="Times New Roman" w:hAnsi="Times New Roman"/>
        </w:rPr>
        <w:t xml:space="preserve"> inchoate or contingent </w:t>
      </w:r>
      <w:r w:rsidR="004B68C0" w:rsidRPr="00FB4B14">
        <w:rPr>
          <w:rFonts w:ascii="Times New Roman" w:hAnsi="Times New Roman"/>
        </w:rPr>
        <w:t>capacity</w:t>
      </w:r>
      <w:r w:rsidR="0036469D" w:rsidRPr="00FB4B14">
        <w:rPr>
          <w:rFonts w:ascii="Times New Roman" w:hAnsi="Times New Roman"/>
        </w:rPr>
        <w:t xml:space="preserve"> held by the liquidator </w:t>
      </w:r>
      <w:r w:rsidR="00F94EBB" w:rsidRPr="00FB4B14">
        <w:rPr>
          <w:rFonts w:ascii="Times New Roman" w:hAnsi="Times New Roman"/>
        </w:rPr>
        <w:t>to sue under</w:t>
      </w:r>
      <w:r w:rsidR="00CB568A" w:rsidRPr="00FB4B14">
        <w:rPr>
          <w:rFonts w:ascii="Times New Roman" w:hAnsi="Times New Roman"/>
        </w:rPr>
        <w:t xml:space="preserve"> s </w:t>
      </w:r>
      <w:r w:rsidR="00F94EBB" w:rsidRPr="00FB4B14">
        <w:rPr>
          <w:rFonts w:ascii="Times New Roman" w:hAnsi="Times New Roman"/>
        </w:rPr>
        <w:t>588</w:t>
      </w:r>
      <w:r w:rsidR="00DE59C1" w:rsidRPr="00FB4B14">
        <w:rPr>
          <w:rFonts w:ascii="Times New Roman" w:hAnsi="Times New Roman"/>
        </w:rPr>
        <w:t>F</w:t>
      </w:r>
      <w:r w:rsidR="00F94EBB" w:rsidRPr="00FB4B14">
        <w:rPr>
          <w:rFonts w:ascii="Times New Roman" w:hAnsi="Times New Roman"/>
        </w:rPr>
        <w:t>F could not and did not exist before then</w:t>
      </w:r>
      <w:r w:rsidR="009A7791" w:rsidRPr="00FB4B14">
        <w:rPr>
          <w:rStyle w:val="FootnoteReference"/>
          <w:rFonts w:ascii="Times New Roman" w:hAnsi="Times New Roman"/>
          <w:sz w:val="24"/>
        </w:rPr>
        <w:footnoteReference w:id="68"/>
      </w:r>
      <w:r w:rsidR="00F94EBB" w:rsidRPr="00FB4B14">
        <w:rPr>
          <w:rFonts w:ascii="Times New Roman" w:hAnsi="Times New Roman"/>
        </w:rPr>
        <w:t>.</w:t>
      </w:r>
      <w:r w:rsidR="00395468" w:rsidRPr="00FB4B14">
        <w:rPr>
          <w:rFonts w:ascii="Times New Roman" w:hAnsi="Times New Roman"/>
        </w:rPr>
        <w:t xml:space="preserve"> </w:t>
      </w:r>
      <w:r w:rsidR="00217E07" w:rsidRPr="00FB4B14">
        <w:rPr>
          <w:rFonts w:ascii="Times New Roman" w:hAnsi="Times New Roman"/>
        </w:rPr>
        <w:t xml:space="preserve">It could only be made following the commencement of the winding up. </w:t>
      </w:r>
      <w:r w:rsidR="00395468" w:rsidRPr="00FB4B14">
        <w:rPr>
          <w:rFonts w:ascii="Times New Roman" w:hAnsi="Times New Roman"/>
        </w:rPr>
        <w:t xml:space="preserve">It was wholly </w:t>
      </w:r>
      <w:r w:rsidR="00854F16" w:rsidRPr="00FB4B14">
        <w:rPr>
          <w:rFonts w:ascii="Times New Roman" w:hAnsi="Times New Roman"/>
        </w:rPr>
        <w:t>"</w:t>
      </w:r>
      <w:r w:rsidR="00395468" w:rsidRPr="00FB4B14">
        <w:rPr>
          <w:rFonts w:ascii="Times New Roman" w:hAnsi="Times New Roman"/>
        </w:rPr>
        <w:t>new</w:t>
      </w:r>
      <w:r w:rsidR="00854F16" w:rsidRPr="00FB4B14">
        <w:rPr>
          <w:rFonts w:ascii="Times New Roman" w:hAnsi="Times New Roman"/>
        </w:rPr>
        <w:t>"</w:t>
      </w:r>
      <w:r w:rsidR="00395468" w:rsidRPr="00FB4B14">
        <w:rPr>
          <w:rFonts w:ascii="Times New Roman" w:hAnsi="Times New Roman"/>
        </w:rPr>
        <w:t xml:space="preserve"> in the sense described by Dixon</w:t>
      </w:r>
      <w:r w:rsidR="00124125" w:rsidRPr="00FB4B14">
        <w:rPr>
          <w:rFonts w:ascii="Times New Roman" w:hAnsi="Times New Roman"/>
        </w:rPr>
        <w:t> </w:t>
      </w:r>
      <w:r w:rsidR="00395468" w:rsidRPr="00FB4B14">
        <w:rPr>
          <w:rFonts w:ascii="Times New Roman" w:hAnsi="Times New Roman"/>
        </w:rPr>
        <w:t xml:space="preserve">J in </w:t>
      </w:r>
      <w:proofErr w:type="spellStart"/>
      <w:r w:rsidR="00395468" w:rsidRPr="00FB4B14">
        <w:rPr>
          <w:rFonts w:ascii="Times New Roman" w:hAnsi="Times New Roman"/>
          <w:i/>
          <w:iCs/>
        </w:rPr>
        <w:t>Hiley</w:t>
      </w:r>
      <w:proofErr w:type="spellEnd"/>
      <w:r w:rsidR="00395468" w:rsidRPr="00FB4B14">
        <w:rPr>
          <w:rFonts w:ascii="Times New Roman" w:hAnsi="Times New Roman"/>
        </w:rPr>
        <w:t>.</w:t>
      </w:r>
      <w:r w:rsidR="00190E76" w:rsidRPr="00FB4B14">
        <w:rPr>
          <w:rFonts w:ascii="Times New Roman" w:hAnsi="Times New Roman"/>
        </w:rPr>
        <w:t xml:space="preserve"> </w:t>
      </w:r>
      <w:r w:rsidRPr="00FB4B14">
        <w:rPr>
          <w:rFonts w:ascii="Times New Roman" w:hAnsi="Times New Roman"/>
        </w:rPr>
        <w:t xml:space="preserve">It sprang into existence as </w:t>
      </w:r>
      <w:r w:rsidR="007E6CDC" w:rsidRPr="00FB4B14">
        <w:rPr>
          <w:rFonts w:ascii="Times New Roman" w:hAnsi="Times New Roman"/>
        </w:rPr>
        <w:t>a</w:t>
      </w:r>
      <w:r w:rsidR="00E9684A" w:rsidRPr="00FB4B14">
        <w:rPr>
          <w:rFonts w:ascii="Times New Roman" w:hAnsi="Times New Roman"/>
        </w:rPr>
        <w:t xml:space="preserve"> specific statutory right held by the liquidator for the purposes of </w:t>
      </w:r>
      <w:r w:rsidR="00F64B33" w:rsidRPr="00FB4B14">
        <w:rPr>
          <w:rFonts w:ascii="Times New Roman" w:hAnsi="Times New Roman"/>
        </w:rPr>
        <w:t>recovering</w:t>
      </w:r>
      <w:r w:rsidR="00E9684A" w:rsidRPr="00FB4B14">
        <w:rPr>
          <w:rFonts w:ascii="Times New Roman" w:hAnsi="Times New Roman"/>
        </w:rPr>
        <w:t xml:space="preserve"> preference payments to secure the </w:t>
      </w:r>
      <w:r w:rsidR="007E6CDC" w:rsidRPr="00FB4B14">
        <w:rPr>
          <w:rFonts w:ascii="Times New Roman" w:hAnsi="Times New Roman"/>
        </w:rPr>
        <w:t>equitable distribution of assets amongst creditors.</w:t>
      </w:r>
      <w:r w:rsidR="000F174D" w:rsidRPr="00FB4B14">
        <w:rPr>
          <w:rFonts w:ascii="Times New Roman" w:hAnsi="Times New Roman"/>
        </w:rPr>
        <w:t xml:space="preserve"> </w:t>
      </w:r>
      <w:r w:rsidR="00851AC2" w:rsidRPr="00FB4B14">
        <w:rPr>
          <w:rFonts w:ascii="Times New Roman" w:hAnsi="Times New Roman"/>
        </w:rPr>
        <w:t>As such, it was not eligible to be set</w:t>
      </w:r>
      <w:r w:rsidR="00045FFA" w:rsidRPr="00FB4B14">
        <w:rPr>
          <w:rFonts w:ascii="Times New Roman" w:hAnsi="Times New Roman"/>
        </w:rPr>
        <w:t xml:space="preserve"> </w:t>
      </w:r>
      <w:r w:rsidR="00851AC2" w:rsidRPr="00FB4B14">
        <w:rPr>
          <w:rFonts w:ascii="Times New Roman" w:hAnsi="Times New Roman"/>
        </w:rPr>
        <w:t>off</w:t>
      </w:r>
      <w:r w:rsidR="004B68C0" w:rsidRPr="00FB4B14">
        <w:rPr>
          <w:rFonts w:ascii="Times New Roman" w:hAnsi="Times New Roman"/>
        </w:rPr>
        <w:t xml:space="preserve"> against the pre-existing amount owed to the appellant</w:t>
      </w:r>
      <w:r w:rsidR="00851AC2" w:rsidRPr="00FB4B14">
        <w:rPr>
          <w:rFonts w:ascii="Times New Roman" w:hAnsi="Times New Roman"/>
        </w:rPr>
        <w:t>.</w:t>
      </w:r>
    </w:p>
    <w:p w14:paraId="4AA0DCC1" w14:textId="442A80CF" w:rsidR="000F174D" w:rsidRPr="00FB4B14" w:rsidRDefault="000F174D" w:rsidP="00FB4B14">
      <w:pPr>
        <w:pStyle w:val="FixListStyle"/>
        <w:spacing w:after="260" w:line="280" w:lineRule="exact"/>
        <w:ind w:right="0"/>
        <w:jc w:val="both"/>
        <w:rPr>
          <w:rFonts w:ascii="Times New Roman" w:hAnsi="Times New Roman"/>
        </w:rPr>
      </w:pPr>
      <w:r w:rsidRPr="00FB4B14">
        <w:rPr>
          <w:rFonts w:ascii="Times New Roman" w:hAnsi="Times New Roman"/>
        </w:rPr>
        <w:tab/>
        <w:t>It follows that the appellant</w:t>
      </w:r>
      <w:r w:rsidR="00685A1B" w:rsidRPr="00FB4B14">
        <w:rPr>
          <w:rFonts w:ascii="Times New Roman" w:hAnsi="Times New Roman"/>
        </w:rPr>
        <w:t xml:space="preserve"> could not identify a relevant mutual dealing</w:t>
      </w:r>
      <w:r w:rsidRPr="00FB4B14">
        <w:rPr>
          <w:rFonts w:ascii="Times New Roman" w:hAnsi="Times New Roman"/>
        </w:rPr>
        <w:t xml:space="preserve">. </w:t>
      </w:r>
      <w:r w:rsidR="006C2837" w:rsidRPr="00FB4B14">
        <w:rPr>
          <w:rFonts w:ascii="Times New Roman" w:hAnsi="Times New Roman"/>
        </w:rPr>
        <w:t xml:space="preserve">Contrary to its contentions, </w:t>
      </w:r>
      <w:r w:rsidR="00620668" w:rsidRPr="00FB4B14">
        <w:rPr>
          <w:rFonts w:ascii="Times New Roman" w:hAnsi="Times New Roman"/>
        </w:rPr>
        <w:t xml:space="preserve">neither </w:t>
      </w:r>
      <w:r w:rsidRPr="00FB4B14">
        <w:rPr>
          <w:rFonts w:ascii="Times New Roman" w:hAnsi="Times New Roman"/>
        </w:rPr>
        <w:t>the trade transaction</w:t>
      </w:r>
      <w:r w:rsidR="00C515D7" w:rsidRPr="00FB4B14">
        <w:rPr>
          <w:rFonts w:ascii="Times New Roman" w:hAnsi="Times New Roman"/>
        </w:rPr>
        <w:t>s</w:t>
      </w:r>
      <w:r w:rsidRPr="00FB4B14">
        <w:rPr>
          <w:rFonts w:ascii="Times New Roman" w:hAnsi="Times New Roman"/>
        </w:rPr>
        <w:t xml:space="preserve"> which </w:t>
      </w:r>
      <w:r w:rsidR="00C515D7" w:rsidRPr="00FB4B14">
        <w:rPr>
          <w:rFonts w:ascii="Times New Roman" w:hAnsi="Times New Roman"/>
        </w:rPr>
        <w:t xml:space="preserve">were </w:t>
      </w:r>
      <w:r w:rsidR="004D52C0" w:rsidRPr="00FB4B14">
        <w:rPr>
          <w:rFonts w:ascii="Times New Roman" w:hAnsi="Times New Roman"/>
        </w:rPr>
        <w:t>un</w:t>
      </w:r>
      <w:r w:rsidRPr="00FB4B14">
        <w:rPr>
          <w:rFonts w:ascii="Times New Roman" w:hAnsi="Times New Roman"/>
        </w:rPr>
        <w:t>discharge</w:t>
      </w:r>
      <w:r w:rsidR="00B41F48" w:rsidRPr="00FB4B14">
        <w:rPr>
          <w:rFonts w:ascii="Times New Roman" w:hAnsi="Times New Roman"/>
        </w:rPr>
        <w:t>d</w:t>
      </w:r>
      <w:r w:rsidRPr="00FB4B14">
        <w:rPr>
          <w:rFonts w:ascii="Times New Roman" w:hAnsi="Times New Roman"/>
        </w:rPr>
        <w:t xml:space="preserve"> by MJ</w:t>
      </w:r>
      <w:r w:rsidR="008E4593" w:rsidRPr="00FB4B14">
        <w:rPr>
          <w:rFonts w:ascii="Times New Roman" w:hAnsi="Times New Roman"/>
        </w:rPr>
        <w:t> </w:t>
      </w:r>
      <w:r w:rsidR="00B00CD8" w:rsidRPr="00FB4B14">
        <w:rPr>
          <w:rFonts w:ascii="Times New Roman" w:hAnsi="Times New Roman"/>
        </w:rPr>
        <w:t>Woodman during the relation-back period</w:t>
      </w:r>
      <w:r w:rsidR="00620668" w:rsidRPr="00FB4B14">
        <w:rPr>
          <w:rFonts w:ascii="Times New Roman" w:hAnsi="Times New Roman"/>
        </w:rPr>
        <w:t xml:space="preserve"> nor, </w:t>
      </w:r>
      <w:r w:rsidR="00B00CD8" w:rsidRPr="00FB4B14">
        <w:rPr>
          <w:rFonts w:ascii="Times New Roman" w:hAnsi="Times New Roman"/>
        </w:rPr>
        <w:t>for the reasons already expressed</w:t>
      </w:r>
      <w:r w:rsidR="00F5118D" w:rsidRPr="00FB4B14">
        <w:rPr>
          <w:rFonts w:ascii="Times New Roman" w:hAnsi="Times New Roman"/>
        </w:rPr>
        <w:t>,</w:t>
      </w:r>
      <w:r w:rsidR="00B00CD8" w:rsidRPr="00FB4B14">
        <w:rPr>
          <w:rFonts w:ascii="Times New Roman" w:hAnsi="Times New Roman"/>
        </w:rPr>
        <w:t xml:space="preserve"> the dischar</w:t>
      </w:r>
      <w:r w:rsidR="00AE188B" w:rsidRPr="00FB4B14">
        <w:rPr>
          <w:rFonts w:ascii="Times New Roman" w:hAnsi="Times New Roman"/>
        </w:rPr>
        <w:t>g</w:t>
      </w:r>
      <w:r w:rsidR="00B00CD8" w:rsidRPr="00FB4B14">
        <w:rPr>
          <w:rFonts w:ascii="Times New Roman" w:hAnsi="Times New Roman"/>
        </w:rPr>
        <w:t>ed trade transaction</w:t>
      </w:r>
      <w:r w:rsidR="003D6B4E" w:rsidRPr="00FB4B14">
        <w:rPr>
          <w:rFonts w:ascii="Times New Roman" w:hAnsi="Times New Roman"/>
        </w:rPr>
        <w:t>s</w:t>
      </w:r>
      <w:r w:rsidR="00B00CD8" w:rsidRPr="00FB4B14">
        <w:rPr>
          <w:rFonts w:ascii="Times New Roman" w:hAnsi="Times New Roman"/>
        </w:rPr>
        <w:t xml:space="preserve"> (giving rise to the </w:t>
      </w:r>
      <w:r w:rsidR="00AE188B" w:rsidRPr="00FB4B14">
        <w:rPr>
          <w:rFonts w:ascii="Times New Roman" w:hAnsi="Times New Roman"/>
        </w:rPr>
        <w:t>liabilities</w:t>
      </w:r>
      <w:r w:rsidR="00B00CD8" w:rsidRPr="00FB4B14">
        <w:rPr>
          <w:rFonts w:ascii="Times New Roman" w:hAnsi="Times New Roman"/>
        </w:rPr>
        <w:t xml:space="preserve"> of $50,000 and $140,000)</w:t>
      </w:r>
      <w:r w:rsidR="008B7C72" w:rsidRPr="00FB4B14">
        <w:rPr>
          <w:rFonts w:ascii="Times New Roman" w:hAnsi="Times New Roman"/>
        </w:rPr>
        <w:t>,</w:t>
      </w:r>
      <w:r w:rsidR="00AE188B" w:rsidRPr="00FB4B14">
        <w:rPr>
          <w:rFonts w:ascii="Times New Roman" w:hAnsi="Times New Roman"/>
        </w:rPr>
        <w:t xml:space="preserve"> together with the liability which </w:t>
      </w:r>
      <w:r w:rsidR="009A3939" w:rsidRPr="00FB4B14">
        <w:rPr>
          <w:rFonts w:ascii="Times New Roman" w:hAnsi="Times New Roman"/>
        </w:rPr>
        <w:t xml:space="preserve">may </w:t>
      </w:r>
      <w:r w:rsidR="00AE188B" w:rsidRPr="00FB4B14">
        <w:rPr>
          <w:rFonts w:ascii="Times New Roman" w:hAnsi="Times New Roman"/>
        </w:rPr>
        <w:t>arise under</w:t>
      </w:r>
      <w:r w:rsidR="00CB568A" w:rsidRPr="00FB4B14">
        <w:rPr>
          <w:rFonts w:ascii="Times New Roman" w:hAnsi="Times New Roman"/>
        </w:rPr>
        <w:t xml:space="preserve"> s </w:t>
      </w:r>
      <w:r w:rsidR="00AE188B" w:rsidRPr="00FB4B14">
        <w:rPr>
          <w:rFonts w:ascii="Times New Roman" w:hAnsi="Times New Roman"/>
        </w:rPr>
        <w:t>588FF(1)(a)</w:t>
      </w:r>
      <w:r w:rsidR="00105C55" w:rsidRPr="00FB4B14">
        <w:rPr>
          <w:rFonts w:ascii="Times New Roman" w:hAnsi="Times New Roman"/>
        </w:rPr>
        <w:t>, were mutual dealings</w:t>
      </w:r>
      <w:r w:rsidR="00AE188B" w:rsidRPr="00FB4B14">
        <w:rPr>
          <w:rFonts w:ascii="Times New Roman" w:hAnsi="Times New Roman"/>
        </w:rPr>
        <w:t>. Section 553</w:t>
      </w:r>
      <w:proofErr w:type="gramStart"/>
      <w:r w:rsidR="00AE188B" w:rsidRPr="00FB4B14">
        <w:rPr>
          <w:rFonts w:ascii="Times New Roman" w:hAnsi="Times New Roman"/>
        </w:rPr>
        <w:t>C(</w:t>
      </w:r>
      <w:proofErr w:type="gramEnd"/>
      <w:r w:rsidR="00AE188B" w:rsidRPr="00FB4B14">
        <w:rPr>
          <w:rFonts w:ascii="Times New Roman" w:hAnsi="Times New Roman"/>
        </w:rPr>
        <w:t xml:space="preserve">1), correctly construed, does </w:t>
      </w:r>
      <w:r w:rsidR="00AE188B" w:rsidRPr="00FB4B14">
        <w:rPr>
          <w:rFonts w:ascii="Times New Roman" w:hAnsi="Times New Roman"/>
        </w:rPr>
        <w:lastRenderedPageBreak/>
        <w:t>not address dealing</w:t>
      </w:r>
      <w:r w:rsidR="00B41F48" w:rsidRPr="00FB4B14">
        <w:rPr>
          <w:rFonts w:ascii="Times New Roman" w:hAnsi="Times New Roman"/>
        </w:rPr>
        <w:t>s</w:t>
      </w:r>
      <w:r w:rsidR="00AE188B" w:rsidRPr="00FB4B14">
        <w:rPr>
          <w:rFonts w:ascii="Times New Roman" w:hAnsi="Times New Roman"/>
        </w:rPr>
        <w:t xml:space="preserve"> which straddle the period before and after the commencement of the winding up.</w:t>
      </w:r>
    </w:p>
    <w:p w14:paraId="72C66ECC" w14:textId="67CF8293" w:rsidR="0082069E" w:rsidRPr="00FB4B14" w:rsidRDefault="0082069E" w:rsidP="00FB4B14">
      <w:pPr>
        <w:pStyle w:val="FixListStyle"/>
        <w:spacing w:after="260" w:line="280" w:lineRule="exact"/>
        <w:ind w:right="0"/>
        <w:jc w:val="both"/>
        <w:rPr>
          <w:rFonts w:ascii="Times New Roman" w:hAnsi="Times New Roman"/>
        </w:rPr>
      </w:pPr>
      <w:r w:rsidRPr="00FB4B14">
        <w:rPr>
          <w:rFonts w:ascii="Times New Roman" w:hAnsi="Times New Roman"/>
        </w:rPr>
        <w:tab/>
        <w:t>Contrary to the appellant</w:t>
      </w:r>
      <w:r w:rsidR="00854F16" w:rsidRPr="00FB4B14">
        <w:rPr>
          <w:rFonts w:ascii="Times New Roman" w:hAnsi="Times New Roman"/>
        </w:rPr>
        <w:t>'</w:t>
      </w:r>
      <w:r w:rsidRPr="00FB4B14">
        <w:rPr>
          <w:rFonts w:ascii="Times New Roman" w:hAnsi="Times New Roman"/>
        </w:rPr>
        <w:t xml:space="preserve">s submissions, </w:t>
      </w:r>
      <w:proofErr w:type="spellStart"/>
      <w:r w:rsidRPr="00FB4B14">
        <w:rPr>
          <w:rFonts w:ascii="Times New Roman" w:hAnsi="Times New Roman"/>
          <w:i/>
          <w:iCs/>
        </w:rPr>
        <w:t>Hiley</w:t>
      </w:r>
      <w:proofErr w:type="spellEnd"/>
      <w:r w:rsidRPr="00FB4B14">
        <w:rPr>
          <w:rFonts w:ascii="Times New Roman" w:hAnsi="Times New Roman"/>
        </w:rPr>
        <w:t xml:space="preserve"> does not otherwise assist it. What existed </w:t>
      </w:r>
      <w:r w:rsidRPr="00FB4B14">
        <w:rPr>
          <w:rFonts w:ascii="Times New Roman" w:hAnsi="Times New Roman"/>
          <w:i/>
          <w:iCs/>
        </w:rPr>
        <w:t>before</w:t>
      </w:r>
      <w:r w:rsidRPr="00FB4B14">
        <w:rPr>
          <w:rFonts w:ascii="Times New Roman" w:hAnsi="Times New Roman"/>
        </w:rPr>
        <w:t xml:space="preserve"> the winding up in that case was the cause of action </w:t>
      </w:r>
      <w:r w:rsidR="00AF35DB" w:rsidRPr="00FB4B14">
        <w:rPr>
          <w:rFonts w:ascii="Times New Roman" w:hAnsi="Times New Roman"/>
        </w:rPr>
        <w:t xml:space="preserve">for the re-transfer of the </w:t>
      </w:r>
      <w:r w:rsidR="003D6C96" w:rsidRPr="00FB4B14">
        <w:rPr>
          <w:rFonts w:ascii="Times New Roman" w:hAnsi="Times New Roman"/>
        </w:rPr>
        <w:t>mortgage over Mr</w:t>
      </w:r>
      <w:r w:rsidR="00124125" w:rsidRPr="00FB4B14">
        <w:rPr>
          <w:rFonts w:ascii="Times New Roman" w:hAnsi="Times New Roman"/>
        </w:rPr>
        <w:t> </w:t>
      </w:r>
      <w:proofErr w:type="spellStart"/>
      <w:r w:rsidR="003D6C96" w:rsidRPr="00FB4B14">
        <w:rPr>
          <w:rFonts w:ascii="Times New Roman" w:hAnsi="Times New Roman"/>
        </w:rPr>
        <w:t>Hiley</w:t>
      </w:r>
      <w:r w:rsidR="00854F16" w:rsidRPr="00FB4B14">
        <w:rPr>
          <w:rFonts w:ascii="Times New Roman" w:hAnsi="Times New Roman"/>
        </w:rPr>
        <w:t>'</w:t>
      </w:r>
      <w:r w:rsidR="003D6C96" w:rsidRPr="00FB4B14">
        <w:rPr>
          <w:rFonts w:ascii="Times New Roman" w:hAnsi="Times New Roman"/>
        </w:rPr>
        <w:t>s</w:t>
      </w:r>
      <w:proofErr w:type="spellEnd"/>
      <w:r w:rsidR="003D6C96" w:rsidRPr="00FB4B14">
        <w:rPr>
          <w:rFonts w:ascii="Times New Roman" w:hAnsi="Times New Roman"/>
        </w:rPr>
        <w:t xml:space="preserve"> land </w:t>
      </w:r>
      <w:r w:rsidR="00844035" w:rsidRPr="00FB4B14">
        <w:rPr>
          <w:rFonts w:ascii="Times New Roman" w:hAnsi="Times New Roman"/>
        </w:rPr>
        <w:t xml:space="preserve">and </w:t>
      </w:r>
      <w:r w:rsidR="009F2E6D" w:rsidRPr="00FB4B14">
        <w:rPr>
          <w:rFonts w:ascii="Times New Roman" w:hAnsi="Times New Roman"/>
        </w:rPr>
        <w:t>Mr</w:t>
      </w:r>
      <w:r w:rsidR="00124125" w:rsidRPr="00FB4B14">
        <w:rPr>
          <w:rFonts w:ascii="Times New Roman" w:hAnsi="Times New Roman"/>
        </w:rPr>
        <w:t> </w:t>
      </w:r>
      <w:proofErr w:type="spellStart"/>
      <w:r w:rsidR="009F2E6D" w:rsidRPr="00FB4B14">
        <w:rPr>
          <w:rFonts w:ascii="Times New Roman" w:hAnsi="Times New Roman"/>
        </w:rPr>
        <w:t>Hiley</w:t>
      </w:r>
      <w:r w:rsidR="00854F16" w:rsidRPr="00FB4B14">
        <w:rPr>
          <w:rFonts w:ascii="Times New Roman" w:hAnsi="Times New Roman"/>
        </w:rPr>
        <w:t>'</w:t>
      </w:r>
      <w:r w:rsidR="009F2E6D" w:rsidRPr="00FB4B14">
        <w:rPr>
          <w:rFonts w:ascii="Times New Roman" w:hAnsi="Times New Roman"/>
        </w:rPr>
        <w:t>s</w:t>
      </w:r>
      <w:proofErr w:type="spellEnd"/>
      <w:r w:rsidR="009F2E6D" w:rsidRPr="00FB4B14">
        <w:rPr>
          <w:rFonts w:ascii="Times New Roman" w:hAnsi="Times New Roman"/>
        </w:rPr>
        <w:t xml:space="preserve"> rights under his contract of life</w:t>
      </w:r>
      <w:r w:rsidR="00FB6D21" w:rsidRPr="00FB4B14">
        <w:rPr>
          <w:rFonts w:ascii="Times New Roman" w:hAnsi="Times New Roman"/>
        </w:rPr>
        <w:t xml:space="preserve"> </w:t>
      </w:r>
      <w:r w:rsidR="009F2E6D" w:rsidRPr="00FB4B14">
        <w:rPr>
          <w:rFonts w:ascii="Times New Roman" w:hAnsi="Times New Roman"/>
        </w:rPr>
        <w:t>assurance</w:t>
      </w:r>
      <w:r w:rsidR="00B05E92" w:rsidRPr="00FB4B14">
        <w:rPr>
          <w:rFonts w:ascii="Times New Roman" w:hAnsi="Times New Roman"/>
        </w:rPr>
        <w:t>,</w:t>
      </w:r>
      <w:r w:rsidR="009F2E6D" w:rsidRPr="00FB4B14">
        <w:rPr>
          <w:rFonts w:ascii="Times New Roman" w:hAnsi="Times New Roman"/>
        </w:rPr>
        <w:t xml:space="preserve"> </w:t>
      </w:r>
      <w:r w:rsidR="0085431C" w:rsidRPr="00FB4B14">
        <w:rPr>
          <w:rFonts w:ascii="Times New Roman" w:hAnsi="Times New Roman"/>
        </w:rPr>
        <w:t xml:space="preserve">the latter of </w:t>
      </w:r>
      <w:r w:rsidR="009F2E6D" w:rsidRPr="00FB4B14">
        <w:rPr>
          <w:rFonts w:ascii="Times New Roman" w:hAnsi="Times New Roman"/>
        </w:rPr>
        <w:t>which</w:t>
      </w:r>
      <w:r w:rsidR="00F218C1" w:rsidRPr="00FB4B14">
        <w:rPr>
          <w:rFonts w:ascii="Times New Roman" w:hAnsi="Times New Roman"/>
        </w:rPr>
        <w:t>,</w:t>
      </w:r>
      <w:r w:rsidR="009F2E6D" w:rsidRPr="00FB4B14">
        <w:rPr>
          <w:rFonts w:ascii="Times New Roman" w:hAnsi="Times New Roman"/>
        </w:rPr>
        <w:t xml:space="preserve"> </w:t>
      </w:r>
      <w:r w:rsidR="0008381A" w:rsidRPr="00FB4B14">
        <w:rPr>
          <w:rFonts w:ascii="Times New Roman" w:hAnsi="Times New Roman"/>
        </w:rPr>
        <w:t>when</w:t>
      </w:r>
      <w:r w:rsidR="00664776" w:rsidRPr="00FB4B14">
        <w:rPr>
          <w:rFonts w:ascii="Times New Roman" w:hAnsi="Times New Roman"/>
        </w:rPr>
        <w:t xml:space="preserve"> repudiated </w:t>
      </w:r>
      <w:r w:rsidR="0008381A" w:rsidRPr="00FB4B14">
        <w:rPr>
          <w:rFonts w:ascii="Times New Roman" w:hAnsi="Times New Roman"/>
        </w:rPr>
        <w:t>up</w:t>
      </w:r>
      <w:r w:rsidR="003D6C96" w:rsidRPr="00FB4B14">
        <w:rPr>
          <w:rFonts w:ascii="Times New Roman" w:hAnsi="Times New Roman"/>
        </w:rPr>
        <w:t>on</w:t>
      </w:r>
      <w:r w:rsidR="008B3955" w:rsidRPr="00FB4B14">
        <w:rPr>
          <w:rFonts w:ascii="Times New Roman" w:hAnsi="Times New Roman"/>
        </w:rPr>
        <w:t xml:space="preserve"> the making of the</w:t>
      </w:r>
      <w:r w:rsidR="003D6C96" w:rsidRPr="00FB4B14">
        <w:rPr>
          <w:rFonts w:ascii="Times New Roman" w:hAnsi="Times New Roman"/>
        </w:rPr>
        <w:t xml:space="preserve"> winding up</w:t>
      </w:r>
      <w:r w:rsidR="008B3955" w:rsidRPr="00FB4B14">
        <w:rPr>
          <w:rFonts w:ascii="Times New Roman" w:hAnsi="Times New Roman"/>
        </w:rPr>
        <w:t xml:space="preserve"> order</w:t>
      </w:r>
      <w:r w:rsidR="00206261" w:rsidRPr="00FB4B14">
        <w:rPr>
          <w:rFonts w:ascii="Times New Roman" w:hAnsi="Times New Roman"/>
        </w:rPr>
        <w:t>,</w:t>
      </w:r>
      <w:r w:rsidR="008B3955" w:rsidRPr="00FB4B14">
        <w:rPr>
          <w:rFonts w:ascii="Times New Roman" w:hAnsi="Times New Roman"/>
        </w:rPr>
        <w:t xml:space="preserve"> </w:t>
      </w:r>
      <w:r w:rsidR="003541C7" w:rsidRPr="00FB4B14">
        <w:rPr>
          <w:rFonts w:ascii="Times New Roman" w:hAnsi="Times New Roman"/>
        </w:rPr>
        <w:t>gave</w:t>
      </w:r>
      <w:r w:rsidR="00E8064A" w:rsidRPr="00FB4B14">
        <w:rPr>
          <w:rFonts w:ascii="Times New Roman" w:hAnsi="Times New Roman"/>
        </w:rPr>
        <w:t xml:space="preserve"> rise to a provable claim for unliquidated damages</w:t>
      </w:r>
      <w:r w:rsidR="00160806" w:rsidRPr="00FB4B14">
        <w:rPr>
          <w:rStyle w:val="FootnoteReference"/>
          <w:rFonts w:ascii="Times New Roman" w:hAnsi="Times New Roman"/>
          <w:sz w:val="24"/>
        </w:rPr>
        <w:footnoteReference w:id="69"/>
      </w:r>
      <w:r w:rsidR="00E8064A" w:rsidRPr="00FB4B14">
        <w:rPr>
          <w:rFonts w:ascii="Times New Roman" w:hAnsi="Times New Roman"/>
        </w:rPr>
        <w:t>.</w:t>
      </w:r>
      <w:r w:rsidR="00C75003" w:rsidRPr="00FB4B14">
        <w:rPr>
          <w:rFonts w:ascii="Times New Roman" w:hAnsi="Times New Roman"/>
        </w:rPr>
        <w:t xml:space="preserve"> In contrast,</w:t>
      </w:r>
      <w:r w:rsidR="00325C8B" w:rsidRPr="00FB4B14">
        <w:rPr>
          <w:rFonts w:ascii="Times New Roman" w:hAnsi="Times New Roman"/>
        </w:rPr>
        <w:t xml:space="preserve"> here</w:t>
      </w:r>
      <w:r w:rsidR="00C75003" w:rsidRPr="00FB4B14">
        <w:rPr>
          <w:rFonts w:ascii="Times New Roman" w:hAnsi="Times New Roman"/>
        </w:rPr>
        <w:t xml:space="preserve"> the liquidator</w:t>
      </w:r>
      <w:r w:rsidR="00C91C29" w:rsidRPr="00FB4B14">
        <w:rPr>
          <w:rFonts w:ascii="Times New Roman" w:hAnsi="Times New Roman"/>
        </w:rPr>
        <w:t>'</w:t>
      </w:r>
      <w:r w:rsidR="00C75003" w:rsidRPr="00FB4B14">
        <w:rPr>
          <w:rFonts w:ascii="Times New Roman" w:hAnsi="Times New Roman"/>
        </w:rPr>
        <w:t xml:space="preserve">s right to sue </w:t>
      </w:r>
      <w:r w:rsidR="008343F7" w:rsidRPr="00FB4B14">
        <w:rPr>
          <w:rFonts w:ascii="Times New Roman" w:hAnsi="Times New Roman"/>
        </w:rPr>
        <w:t xml:space="preserve">for an order </w:t>
      </w:r>
      <w:r w:rsidR="00C75003" w:rsidRPr="00FB4B14">
        <w:rPr>
          <w:rFonts w:ascii="Times New Roman" w:hAnsi="Times New Roman"/>
        </w:rPr>
        <w:t>under</w:t>
      </w:r>
      <w:r w:rsidR="00CB568A" w:rsidRPr="00FB4B14">
        <w:rPr>
          <w:rFonts w:ascii="Times New Roman" w:hAnsi="Times New Roman"/>
        </w:rPr>
        <w:t xml:space="preserve"> s </w:t>
      </w:r>
      <w:r w:rsidR="00C75003" w:rsidRPr="00FB4B14">
        <w:rPr>
          <w:rFonts w:ascii="Times New Roman" w:hAnsi="Times New Roman"/>
        </w:rPr>
        <w:t>588</w:t>
      </w:r>
      <w:proofErr w:type="gramStart"/>
      <w:r w:rsidR="00C75003" w:rsidRPr="00FB4B14">
        <w:rPr>
          <w:rFonts w:ascii="Times New Roman" w:hAnsi="Times New Roman"/>
        </w:rPr>
        <w:t>FF(</w:t>
      </w:r>
      <w:proofErr w:type="gramEnd"/>
      <w:r w:rsidR="00C75003" w:rsidRPr="00FB4B14">
        <w:rPr>
          <w:rFonts w:ascii="Times New Roman" w:hAnsi="Times New Roman"/>
        </w:rPr>
        <w:t>1)</w:t>
      </w:r>
      <w:r w:rsidR="00650460" w:rsidRPr="00FB4B14">
        <w:rPr>
          <w:rFonts w:ascii="Times New Roman" w:hAnsi="Times New Roman"/>
        </w:rPr>
        <w:t>, arising from the commencement of the winding up, was not</w:t>
      </w:r>
      <w:r w:rsidR="00F02729" w:rsidRPr="00FB4B14">
        <w:rPr>
          <w:rFonts w:ascii="Times New Roman" w:hAnsi="Times New Roman"/>
        </w:rPr>
        <w:t xml:space="preserve">, </w:t>
      </w:r>
      <w:r w:rsidR="00063182" w:rsidRPr="00FB4B14">
        <w:rPr>
          <w:rFonts w:ascii="Times New Roman" w:hAnsi="Times New Roman"/>
        </w:rPr>
        <w:t xml:space="preserve">and </w:t>
      </w:r>
      <w:r w:rsidR="00F02729" w:rsidRPr="00FB4B14">
        <w:rPr>
          <w:rFonts w:ascii="Times New Roman" w:hAnsi="Times New Roman"/>
        </w:rPr>
        <w:t>never could be,</w:t>
      </w:r>
      <w:r w:rsidR="00650460" w:rsidRPr="00FB4B14">
        <w:rPr>
          <w:rFonts w:ascii="Times New Roman" w:hAnsi="Times New Roman"/>
        </w:rPr>
        <w:t xml:space="preserve"> </w:t>
      </w:r>
      <w:r w:rsidR="00854F16" w:rsidRPr="00FB4B14">
        <w:rPr>
          <w:rFonts w:ascii="Times New Roman" w:hAnsi="Times New Roman"/>
        </w:rPr>
        <w:t>"</w:t>
      </w:r>
      <w:r w:rsidR="00067054" w:rsidRPr="00FB4B14">
        <w:rPr>
          <w:rFonts w:ascii="Times New Roman" w:hAnsi="Times New Roman"/>
        </w:rPr>
        <w:t>payable to the company</w:t>
      </w:r>
      <w:r w:rsidR="00854F16" w:rsidRPr="00FB4B14">
        <w:rPr>
          <w:rFonts w:ascii="Times New Roman" w:hAnsi="Times New Roman"/>
        </w:rPr>
        <w:t>"</w:t>
      </w:r>
      <w:r w:rsidR="00067054" w:rsidRPr="00FB4B14">
        <w:rPr>
          <w:rFonts w:ascii="Times New Roman" w:hAnsi="Times New Roman"/>
        </w:rPr>
        <w:t xml:space="preserve"> for the purpose</w:t>
      </w:r>
      <w:r w:rsidR="00F02729" w:rsidRPr="00FB4B14">
        <w:rPr>
          <w:rFonts w:ascii="Times New Roman" w:hAnsi="Times New Roman"/>
        </w:rPr>
        <w:t>s of</w:t>
      </w:r>
      <w:r w:rsidR="00CB568A" w:rsidRPr="00FB4B14">
        <w:rPr>
          <w:rFonts w:ascii="Times New Roman" w:hAnsi="Times New Roman"/>
        </w:rPr>
        <w:t xml:space="preserve"> s </w:t>
      </w:r>
      <w:r w:rsidR="00F02729" w:rsidRPr="00FB4B14">
        <w:rPr>
          <w:rFonts w:ascii="Times New Roman" w:hAnsi="Times New Roman"/>
        </w:rPr>
        <w:t>553C(1) and</w:t>
      </w:r>
      <w:r w:rsidR="00CB568A" w:rsidRPr="00FB4B14">
        <w:rPr>
          <w:rFonts w:ascii="Times New Roman" w:hAnsi="Times New Roman"/>
        </w:rPr>
        <w:t xml:space="preserve"> s </w:t>
      </w:r>
      <w:r w:rsidR="00F02729" w:rsidRPr="00FB4B14">
        <w:rPr>
          <w:rFonts w:ascii="Times New Roman" w:hAnsi="Times New Roman"/>
        </w:rPr>
        <w:t>553 more generally</w:t>
      </w:r>
      <w:r w:rsidR="00206261" w:rsidRPr="00FB4B14">
        <w:rPr>
          <w:rFonts w:ascii="Times New Roman" w:hAnsi="Times New Roman"/>
        </w:rPr>
        <w:t>, for the reasons set out above</w:t>
      </w:r>
      <w:r w:rsidR="00F02729" w:rsidRPr="00FB4B14">
        <w:rPr>
          <w:rFonts w:ascii="Times New Roman" w:hAnsi="Times New Roman"/>
        </w:rPr>
        <w:t>.</w:t>
      </w:r>
      <w:r w:rsidR="00063182" w:rsidRPr="00FB4B14">
        <w:rPr>
          <w:rFonts w:ascii="Times New Roman" w:hAnsi="Times New Roman"/>
        </w:rPr>
        <w:t xml:space="preserve"> </w:t>
      </w:r>
    </w:p>
    <w:p w14:paraId="2D13DF31" w14:textId="79B77D8D" w:rsidR="00395468" w:rsidRPr="00FB4B14" w:rsidRDefault="00BE4081"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AE23E9" w:rsidRPr="00FB4B14">
        <w:rPr>
          <w:rFonts w:ascii="Times New Roman" w:hAnsi="Times New Roman"/>
        </w:rPr>
        <w:t>Moreover</w:t>
      </w:r>
      <w:r w:rsidRPr="00FB4B14">
        <w:rPr>
          <w:rFonts w:ascii="Times New Roman" w:hAnsi="Times New Roman"/>
        </w:rPr>
        <w:t xml:space="preserve">, as at the date of the </w:t>
      </w:r>
      <w:r w:rsidR="00AE23E9" w:rsidRPr="00FB4B14">
        <w:rPr>
          <w:rFonts w:ascii="Times New Roman" w:hAnsi="Times New Roman"/>
        </w:rPr>
        <w:t xml:space="preserve">commencement of the </w:t>
      </w:r>
      <w:r w:rsidRPr="00FB4B14">
        <w:rPr>
          <w:rFonts w:ascii="Times New Roman" w:hAnsi="Times New Roman"/>
        </w:rPr>
        <w:t>winding up</w:t>
      </w:r>
      <w:r w:rsidR="00AE23E9" w:rsidRPr="00FB4B14">
        <w:rPr>
          <w:rFonts w:ascii="Times New Roman" w:hAnsi="Times New Roman"/>
        </w:rPr>
        <w:t xml:space="preserve">, the liquidator did not hold any </w:t>
      </w:r>
      <w:r w:rsidR="00933655" w:rsidRPr="00FB4B14">
        <w:rPr>
          <w:rFonts w:ascii="Times New Roman" w:hAnsi="Times New Roman"/>
        </w:rPr>
        <w:t>vested</w:t>
      </w:r>
      <w:r w:rsidR="00811E3D" w:rsidRPr="00FB4B14">
        <w:rPr>
          <w:rFonts w:ascii="Times New Roman" w:hAnsi="Times New Roman"/>
        </w:rPr>
        <w:t xml:space="preserve"> or contingent</w:t>
      </w:r>
      <w:r w:rsidR="00933655" w:rsidRPr="00FB4B14">
        <w:rPr>
          <w:rFonts w:ascii="Times New Roman" w:hAnsi="Times New Roman"/>
        </w:rPr>
        <w:t xml:space="preserve"> </w:t>
      </w:r>
      <w:r w:rsidR="00854F16" w:rsidRPr="00FB4B14">
        <w:rPr>
          <w:rFonts w:ascii="Times New Roman" w:hAnsi="Times New Roman"/>
        </w:rPr>
        <w:t>"</w:t>
      </w:r>
      <w:r w:rsidR="00AE23E9" w:rsidRPr="00FB4B14">
        <w:rPr>
          <w:rFonts w:ascii="Times New Roman" w:hAnsi="Times New Roman"/>
        </w:rPr>
        <w:t>right</w:t>
      </w:r>
      <w:r w:rsidR="00854F16" w:rsidRPr="00FB4B14">
        <w:rPr>
          <w:rFonts w:ascii="Times New Roman" w:hAnsi="Times New Roman"/>
        </w:rPr>
        <w:t>"</w:t>
      </w:r>
      <w:r w:rsidR="00AE23E9" w:rsidRPr="00FB4B14">
        <w:rPr>
          <w:rFonts w:ascii="Times New Roman" w:hAnsi="Times New Roman"/>
        </w:rPr>
        <w:t xml:space="preserve"> </w:t>
      </w:r>
      <w:r w:rsidR="00933655" w:rsidRPr="00FB4B14">
        <w:rPr>
          <w:rFonts w:ascii="Times New Roman" w:hAnsi="Times New Roman"/>
        </w:rPr>
        <w:t xml:space="preserve">and the appellant owed no </w:t>
      </w:r>
      <w:r w:rsidR="00854F16" w:rsidRPr="00FB4B14">
        <w:rPr>
          <w:rFonts w:ascii="Times New Roman" w:hAnsi="Times New Roman"/>
        </w:rPr>
        <w:t>"</w:t>
      </w:r>
      <w:r w:rsidR="00933655" w:rsidRPr="00FB4B14">
        <w:rPr>
          <w:rFonts w:ascii="Times New Roman" w:hAnsi="Times New Roman"/>
        </w:rPr>
        <w:t>obligation</w:t>
      </w:r>
      <w:r w:rsidR="00854F16" w:rsidRPr="00FB4B14">
        <w:rPr>
          <w:rFonts w:ascii="Times New Roman" w:hAnsi="Times New Roman"/>
        </w:rPr>
        <w:t>"</w:t>
      </w:r>
      <w:r w:rsidR="00933655" w:rsidRPr="00FB4B14">
        <w:rPr>
          <w:rFonts w:ascii="Times New Roman" w:hAnsi="Times New Roman"/>
        </w:rPr>
        <w:t xml:space="preserve">, in the sense in which those words were used in </w:t>
      </w:r>
      <w:proofErr w:type="spellStart"/>
      <w:r w:rsidR="00933655" w:rsidRPr="00FB4B14">
        <w:rPr>
          <w:rFonts w:ascii="Times New Roman" w:hAnsi="Times New Roman"/>
          <w:i/>
          <w:iCs/>
        </w:rPr>
        <w:t>Hiley</w:t>
      </w:r>
      <w:proofErr w:type="spellEnd"/>
      <w:r w:rsidR="00482252" w:rsidRPr="00FB4B14">
        <w:rPr>
          <w:rFonts w:ascii="Times New Roman" w:hAnsi="Times New Roman"/>
          <w:i/>
          <w:iCs/>
        </w:rPr>
        <w:t xml:space="preserve"> </w:t>
      </w:r>
      <w:r w:rsidR="00482252" w:rsidRPr="00FB4B14">
        <w:rPr>
          <w:rFonts w:ascii="Times New Roman" w:hAnsi="Times New Roman"/>
        </w:rPr>
        <w:t>(as set out in the passage above</w:t>
      </w:r>
      <w:r w:rsidR="002A3225" w:rsidRPr="00FB4B14">
        <w:rPr>
          <w:rStyle w:val="FootnoteReference"/>
          <w:rFonts w:ascii="Times New Roman" w:hAnsi="Times New Roman"/>
          <w:sz w:val="24"/>
        </w:rPr>
        <w:footnoteReference w:id="70"/>
      </w:r>
      <w:r w:rsidR="00482252" w:rsidRPr="00FB4B14">
        <w:rPr>
          <w:rFonts w:ascii="Times New Roman" w:hAnsi="Times New Roman"/>
        </w:rPr>
        <w:t>)</w:t>
      </w:r>
      <w:r w:rsidR="00933655" w:rsidRPr="00FB4B14">
        <w:rPr>
          <w:rFonts w:ascii="Times New Roman" w:hAnsi="Times New Roman"/>
        </w:rPr>
        <w:t>, which</w:t>
      </w:r>
      <w:r w:rsidR="00F218C1" w:rsidRPr="00FB4B14">
        <w:rPr>
          <w:rFonts w:ascii="Times New Roman" w:hAnsi="Times New Roman"/>
        </w:rPr>
        <w:t xml:space="preserve"> together</w:t>
      </w:r>
      <w:r w:rsidR="00933655" w:rsidRPr="00FB4B14">
        <w:rPr>
          <w:rFonts w:ascii="Times New Roman" w:hAnsi="Times New Roman"/>
        </w:rPr>
        <w:t xml:space="preserve"> might have constituted a mutual dealing of some kind. </w:t>
      </w:r>
      <w:r w:rsidR="000F5804" w:rsidRPr="00FB4B14">
        <w:rPr>
          <w:rFonts w:ascii="Times New Roman" w:hAnsi="Times New Roman"/>
        </w:rPr>
        <w:t xml:space="preserve">In order that a liability be characterised as contingent, there </w:t>
      </w:r>
      <w:r w:rsidR="00DE0760" w:rsidRPr="00FB4B14">
        <w:rPr>
          <w:rFonts w:ascii="Times New Roman" w:hAnsi="Times New Roman"/>
        </w:rPr>
        <w:t xml:space="preserve">must </w:t>
      </w:r>
      <w:r w:rsidR="000F5804" w:rsidRPr="00FB4B14">
        <w:rPr>
          <w:rFonts w:ascii="Times New Roman" w:hAnsi="Times New Roman"/>
        </w:rPr>
        <w:t>be, at the time of winding up, an existing obligation out of which, on the happening of a future event, an obligation to pay a sum of money will arise</w:t>
      </w:r>
      <w:r w:rsidR="000F5804" w:rsidRPr="00FB4B14">
        <w:rPr>
          <w:rStyle w:val="FootnoteReference"/>
          <w:rFonts w:ascii="Times New Roman" w:hAnsi="Times New Roman"/>
          <w:sz w:val="24"/>
        </w:rPr>
        <w:footnoteReference w:id="71"/>
      </w:r>
      <w:r w:rsidR="000F5804" w:rsidRPr="00FB4B14">
        <w:rPr>
          <w:rFonts w:ascii="Times New Roman" w:hAnsi="Times New Roman"/>
        </w:rPr>
        <w:t>.</w:t>
      </w:r>
      <w:r w:rsidR="0038211E" w:rsidRPr="00FB4B14">
        <w:rPr>
          <w:rFonts w:ascii="Times New Roman" w:hAnsi="Times New Roman"/>
        </w:rPr>
        <w:t xml:space="preserve"> </w:t>
      </w:r>
      <w:r w:rsidR="00065241" w:rsidRPr="00FB4B14">
        <w:rPr>
          <w:rFonts w:ascii="Times New Roman" w:hAnsi="Times New Roman"/>
        </w:rPr>
        <w:t>At most</w:t>
      </w:r>
      <w:r w:rsidR="00F656F2" w:rsidRPr="00FB4B14">
        <w:rPr>
          <w:rFonts w:ascii="Times New Roman" w:hAnsi="Times New Roman"/>
        </w:rPr>
        <w:t>,</w:t>
      </w:r>
      <w:r w:rsidR="00065241" w:rsidRPr="00FB4B14">
        <w:rPr>
          <w:rFonts w:ascii="Times New Roman" w:hAnsi="Times New Roman"/>
        </w:rPr>
        <w:t xml:space="preserve"> the liquidator held an expectancy</w:t>
      </w:r>
      <w:r w:rsidR="00E85BCC" w:rsidRPr="00FB4B14">
        <w:rPr>
          <w:rFonts w:ascii="Times New Roman" w:hAnsi="Times New Roman"/>
        </w:rPr>
        <w:t>, unsupported by any underlying right or obligation which pre-existed the liquidation, which</w:t>
      </w:r>
      <w:r w:rsidR="00065241" w:rsidRPr="00FB4B14">
        <w:rPr>
          <w:rFonts w:ascii="Times New Roman" w:hAnsi="Times New Roman"/>
        </w:rPr>
        <w:t xml:space="preserve"> might</w:t>
      </w:r>
      <w:r w:rsidR="00E85BCC" w:rsidRPr="00FB4B14">
        <w:rPr>
          <w:rFonts w:ascii="Times New Roman" w:hAnsi="Times New Roman"/>
        </w:rPr>
        <w:t xml:space="preserve"> at some point</w:t>
      </w:r>
      <w:r w:rsidR="00065241" w:rsidRPr="00FB4B14">
        <w:rPr>
          <w:rFonts w:ascii="Times New Roman" w:hAnsi="Times New Roman"/>
        </w:rPr>
        <w:t xml:space="preserve"> </w:t>
      </w:r>
      <w:r w:rsidR="003247D2" w:rsidRPr="00FB4B14">
        <w:rPr>
          <w:rFonts w:ascii="Times New Roman" w:hAnsi="Times New Roman"/>
        </w:rPr>
        <w:t>grow into a money claim of some kind</w:t>
      </w:r>
      <w:r w:rsidR="003247D2" w:rsidRPr="00FB4B14">
        <w:rPr>
          <w:rStyle w:val="FootnoteReference"/>
          <w:rFonts w:ascii="Times New Roman" w:hAnsi="Times New Roman"/>
          <w:sz w:val="24"/>
        </w:rPr>
        <w:footnoteReference w:id="72"/>
      </w:r>
      <w:r w:rsidR="008B02B0" w:rsidRPr="00FB4B14">
        <w:rPr>
          <w:rFonts w:ascii="Times New Roman" w:hAnsi="Times New Roman"/>
        </w:rPr>
        <w:t>.</w:t>
      </w:r>
      <w:r w:rsidR="003367ED" w:rsidRPr="00FB4B14">
        <w:rPr>
          <w:rFonts w:ascii="Times New Roman" w:hAnsi="Times New Roman"/>
        </w:rPr>
        <w:t xml:space="preserve"> In that respect, this case is unlike </w:t>
      </w:r>
      <w:r w:rsidR="00694E95" w:rsidRPr="00FB4B14">
        <w:rPr>
          <w:rFonts w:ascii="Times New Roman" w:hAnsi="Times New Roman"/>
        </w:rPr>
        <w:t xml:space="preserve">that of </w:t>
      </w:r>
      <w:r w:rsidR="003367ED" w:rsidRPr="00FB4B14">
        <w:rPr>
          <w:rFonts w:ascii="Times New Roman" w:hAnsi="Times New Roman"/>
          <w:i/>
          <w:iCs/>
        </w:rPr>
        <w:t xml:space="preserve">Day </w:t>
      </w:r>
      <w:r w:rsidR="005A1C50" w:rsidRPr="00FB4B14">
        <w:rPr>
          <w:rFonts w:ascii="Times New Roman" w:hAnsi="Times New Roman"/>
          <w:i/>
          <w:iCs/>
        </w:rPr>
        <w:t>&amp; Dent</w:t>
      </w:r>
      <w:r w:rsidR="005A1C50" w:rsidRPr="00FB4B14">
        <w:rPr>
          <w:rFonts w:ascii="Times New Roman" w:hAnsi="Times New Roman"/>
        </w:rPr>
        <w:t xml:space="preserve"> where</w:t>
      </w:r>
      <w:r w:rsidR="00E85BCC" w:rsidRPr="00FB4B14">
        <w:rPr>
          <w:rFonts w:ascii="Times New Roman" w:hAnsi="Times New Roman"/>
        </w:rPr>
        <w:t>,</w:t>
      </w:r>
      <w:r w:rsidR="005A1C50" w:rsidRPr="00FB4B14">
        <w:rPr>
          <w:rFonts w:ascii="Times New Roman" w:hAnsi="Times New Roman"/>
        </w:rPr>
        <w:t xml:space="preserve"> as at the commencement of the winding up</w:t>
      </w:r>
      <w:r w:rsidR="00E85BCC" w:rsidRPr="00FB4B14">
        <w:rPr>
          <w:rFonts w:ascii="Times New Roman" w:hAnsi="Times New Roman"/>
        </w:rPr>
        <w:t>,</w:t>
      </w:r>
      <w:r w:rsidR="005A1C50" w:rsidRPr="00FB4B14">
        <w:rPr>
          <w:rFonts w:ascii="Times New Roman" w:hAnsi="Times New Roman"/>
        </w:rPr>
        <w:t xml:space="preserve"> </w:t>
      </w:r>
      <w:r w:rsidR="00812F2B" w:rsidRPr="00FB4B14">
        <w:rPr>
          <w:rFonts w:ascii="Times New Roman" w:hAnsi="Times New Roman"/>
        </w:rPr>
        <w:t xml:space="preserve">vested rights existed under a </w:t>
      </w:r>
      <w:r w:rsidR="00203935" w:rsidRPr="00FB4B14">
        <w:rPr>
          <w:rFonts w:ascii="Times New Roman" w:hAnsi="Times New Roman"/>
        </w:rPr>
        <w:t>guarantee</w:t>
      </w:r>
      <w:r w:rsidR="00372480" w:rsidRPr="00FB4B14">
        <w:rPr>
          <w:rFonts w:ascii="Times New Roman" w:hAnsi="Times New Roman"/>
        </w:rPr>
        <w:t xml:space="preserve"> given previously</w:t>
      </w:r>
      <w:r w:rsidR="00812F2B" w:rsidRPr="00FB4B14">
        <w:rPr>
          <w:rFonts w:ascii="Times New Roman" w:hAnsi="Times New Roman"/>
        </w:rPr>
        <w:t>.</w:t>
      </w:r>
      <w:r w:rsidR="00372480" w:rsidRPr="00FB4B14">
        <w:rPr>
          <w:rFonts w:ascii="Times New Roman" w:hAnsi="Times New Roman"/>
        </w:rPr>
        <w:t xml:space="preserve"> By reason of the guarantee, the surety, to use the language of Mason</w:t>
      </w:r>
      <w:r w:rsidR="00F70BF4" w:rsidRPr="00FB4B14">
        <w:rPr>
          <w:rFonts w:ascii="Times New Roman" w:hAnsi="Times New Roman"/>
        </w:rPr>
        <w:t> </w:t>
      </w:r>
      <w:r w:rsidR="00372480" w:rsidRPr="00FB4B14">
        <w:rPr>
          <w:rFonts w:ascii="Times New Roman" w:hAnsi="Times New Roman"/>
        </w:rPr>
        <w:t>J</w:t>
      </w:r>
      <w:r w:rsidR="00824896" w:rsidRPr="00FB4B14">
        <w:rPr>
          <w:rFonts w:ascii="Times New Roman" w:hAnsi="Times New Roman"/>
        </w:rPr>
        <w:t xml:space="preserve">, had </w:t>
      </w:r>
      <w:r w:rsidR="00854F16" w:rsidRPr="00FB4B14">
        <w:rPr>
          <w:rFonts w:ascii="Times New Roman" w:hAnsi="Times New Roman"/>
        </w:rPr>
        <w:t>"</w:t>
      </w:r>
      <w:r w:rsidR="00824896" w:rsidRPr="00FB4B14">
        <w:rPr>
          <w:rFonts w:ascii="Times New Roman" w:hAnsi="Times New Roman"/>
        </w:rPr>
        <w:t>undertaken an obligation</w:t>
      </w:r>
      <w:r w:rsidR="00854F16" w:rsidRPr="00FB4B14">
        <w:rPr>
          <w:rFonts w:ascii="Times New Roman" w:hAnsi="Times New Roman"/>
        </w:rPr>
        <w:t>"</w:t>
      </w:r>
      <w:r w:rsidR="00824896" w:rsidRPr="00FB4B14">
        <w:rPr>
          <w:rFonts w:ascii="Times New Roman" w:hAnsi="Times New Roman"/>
        </w:rPr>
        <w:t xml:space="preserve"> which on payment </w:t>
      </w:r>
      <w:r w:rsidR="008D6300" w:rsidRPr="00FB4B14">
        <w:rPr>
          <w:rFonts w:ascii="Times New Roman" w:hAnsi="Times New Roman"/>
        </w:rPr>
        <w:t xml:space="preserve">to </w:t>
      </w:r>
      <w:r w:rsidR="00824896" w:rsidRPr="00FB4B14">
        <w:rPr>
          <w:rFonts w:ascii="Times New Roman" w:hAnsi="Times New Roman"/>
        </w:rPr>
        <w:t>the principal creditor</w:t>
      </w:r>
      <w:r w:rsidR="00325B6D" w:rsidRPr="00FB4B14">
        <w:rPr>
          <w:rFonts w:ascii="Times New Roman" w:hAnsi="Times New Roman"/>
        </w:rPr>
        <w:t xml:space="preserve"> would result in a debt owing to the surety by the principal </w:t>
      </w:r>
      <w:r w:rsidR="0084616A" w:rsidRPr="00FB4B14">
        <w:rPr>
          <w:rFonts w:ascii="Times New Roman" w:hAnsi="Times New Roman"/>
        </w:rPr>
        <w:t>debtor</w:t>
      </w:r>
      <w:r w:rsidR="00325B6D" w:rsidRPr="00FB4B14">
        <w:rPr>
          <w:rFonts w:ascii="Times New Roman" w:hAnsi="Times New Roman"/>
        </w:rPr>
        <w:t xml:space="preserve">. </w:t>
      </w:r>
      <w:r w:rsidR="00203935" w:rsidRPr="00FB4B14">
        <w:rPr>
          <w:rFonts w:ascii="Times New Roman" w:hAnsi="Times New Roman"/>
        </w:rPr>
        <w:t xml:space="preserve">The </w:t>
      </w:r>
      <w:r w:rsidR="00203935" w:rsidRPr="00FB4B14">
        <w:rPr>
          <w:rFonts w:ascii="Times New Roman" w:hAnsi="Times New Roman"/>
        </w:rPr>
        <w:lastRenderedPageBreak/>
        <w:t xml:space="preserve">ability to sue </w:t>
      </w:r>
      <w:r w:rsidR="00725647" w:rsidRPr="00FB4B14">
        <w:rPr>
          <w:rFonts w:ascii="Times New Roman" w:hAnsi="Times New Roman"/>
        </w:rPr>
        <w:t xml:space="preserve">for an order </w:t>
      </w:r>
      <w:r w:rsidR="00203935" w:rsidRPr="00FB4B14">
        <w:rPr>
          <w:rFonts w:ascii="Times New Roman" w:hAnsi="Times New Roman"/>
        </w:rPr>
        <w:t>under</w:t>
      </w:r>
      <w:r w:rsidR="00CB568A" w:rsidRPr="00FB4B14">
        <w:rPr>
          <w:rFonts w:ascii="Times New Roman" w:hAnsi="Times New Roman"/>
        </w:rPr>
        <w:t xml:space="preserve"> s </w:t>
      </w:r>
      <w:r w:rsidR="00203935" w:rsidRPr="00FB4B14">
        <w:rPr>
          <w:rFonts w:ascii="Times New Roman" w:hAnsi="Times New Roman"/>
        </w:rPr>
        <w:t xml:space="preserve">588FF </w:t>
      </w:r>
      <w:r w:rsidR="00694E95" w:rsidRPr="00FB4B14">
        <w:rPr>
          <w:rFonts w:ascii="Times New Roman" w:hAnsi="Times New Roman"/>
        </w:rPr>
        <w:t>conferred no equivalent</w:t>
      </w:r>
      <w:r w:rsidR="001806BB" w:rsidRPr="00FB4B14">
        <w:rPr>
          <w:rFonts w:ascii="Times New Roman" w:hAnsi="Times New Roman"/>
        </w:rPr>
        <w:t xml:space="preserve"> </w:t>
      </w:r>
      <w:r w:rsidR="00854F16" w:rsidRPr="00FB4B14">
        <w:rPr>
          <w:rFonts w:ascii="Times New Roman" w:hAnsi="Times New Roman"/>
        </w:rPr>
        <w:t>"</w:t>
      </w:r>
      <w:r w:rsidR="001806BB" w:rsidRPr="00FB4B14">
        <w:rPr>
          <w:rFonts w:ascii="Times New Roman" w:hAnsi="Times New Roman"/>
        </w:rPr>
        <w:t>right</w:t>
      </w:r>
      <w:r w:rsidR="00854F16" w:rsidRPr="00FB4B14">
        <w:rPr>
          <w:rFonts w:ascii="Times New Roman" w:hAnsi="Times New Roman"/>
        </w:rPr>
        <w:t>"</w:t>
      </w:r>
      <w:r w:rsidR="00BB4139" w:rsidRPr="00FB4B14">
        <w:rPr>
          <w:rFonts w:ascii="Times New Roman" w:hAnsi="Times New Roman"/>
        </w:rPr>
        <w:t xml:space="preserve"> or </w:t>
      </w:r>
      <w:r w:rsidR="00854F16" w:rsidRPr="00FB4B14">
        <w:rPr>
          <w:rFonts w:ascii="Times New Roman" w:hAnsi="Times New Roman"/>
        </w:rPr>
        <w:t>"</w:t>
      </w:r>
      <w:r w:rsidR="00BB4139" w:rsidRPr="00FB4B14">
        <w:rPr>
          <w:rFonts w:ascii="Times New Roman" w:hAnsi="Times New Roman"/>
        </w:rPr>
        <w:t>obligation</w:t>
      </w:r>
      <w:r w:rsidR="00854F16" w:rsidRPr="00FB4B14">
        <w:rPr>
          <w:rFonts w:ascii="Times New Roman" w:hAnsi="Times New Roman"/>
        </w:rPr>
        <w:t>"</w:t>
      </w:r>
      <w:r w:rsidR="00530B0A" w:rsidRPr="00FB4B14">
        <w:rPr>
          <w:rFonts w:ascii="Times New Roman" w:hAnsi="Times New Roman"/>
        </w:rPr>
        <w:t>;</w:t>
      </w:r>
      <w:r w:rsidR="002279C9" w:rsidRPr="00FB4B14">
        <w:rPr>
          <w:rFonts w:ascii="Times New Roman" w:hAnsi="Times New Roman"/>
        </w:rPr>
        <w:t xml:space="preserve"> </w:t>
      </w:r>
      <w:r w:rsidR="00530B0A" w:rsidRPr="00FB4B14">
        <w:rPr>
          <w:rFonts w:ascii="Times New Roman" w:hAnsi="Times New Roman"/>
        </w:rPr>
        <w:t>rather</w:t>
      </w:r>
      <w:r w:rsidR="009F70EE" w:rsidRPr="00FB4B14">
        <w:rPr>
          <w:rFonts w:ascii="Times New Roman" w:hAnsi="Times New Roman"/>
        </w:rPr>
        <w:t>,</w:t>
      </w:r>
      <w:r w:rsidR="002279C9" w:rsidRPr="00FB4B14">
        <w:rPr>
          <w:rFonts w:ascii="Times New Roman" w:hAnsi="Times New Roman"/>
        </w:rPr>
        <w:t xml:space="preserve"> conditioned as it </w:t>
      </w:r>
      <w:r w:rsidR="003C3007" w:rsidRPr="00FB4B14">
        <w:rPr>
          <w:rFonts w:ascii="Times New Roman" w:hAnsi="Times New Roman"/>
        </w:rPr>
        <w:t xml:space="preserve">was </w:t>
      </w:r>
      <w:r w:rsidR="002279C9" w:rsidRPr="00FB4B14">
        <w:rPr>
          <w:rFonts w:ascii="Times New Roman" w:hAnsi="Times New Roman"/>
        </w:rPr>
        <w:t>on both the liquidator</w:t>
      </w:r>
      <w:r w:rsidR="00854F16" w:rsidRPr="00FB4B14">
        <w:rPr>
          <w:rFonts w:ascii="Times New Roman" w:hAnsi="Times New Roman"/>
        </w:rPr>
        <w:t>'</w:t>
      </w:r>
      <w:r w:rsidR="002279C9" w:rsidRPr="00FB4B14">
        <w:rPr>
          <w:rFonts w:ascii="Times New Roman" w:hAnsi="Times New Roman"/>
        </w:rPr>
        <w:t xml:space="preserve">s decision to sue and the </w:t>
      </w:r>
      <w:r w:rsidR="000249EF" w:rsidRPr="00FB4B14">
        <w:rPr>
          <w:rFonts w:ascii="Times New Roman" w:hAnsi="Times New Roman"/>
        </w:rPr>
        <w:t>c</w:t>
      </w:r>
      <w:r w:rsidR="002279C9" w:rsidRPr="00FB4B14">
        <w:rPr>
          <w:rFonts w:ascii="Times New Roman" w:hAnsi="Times New Roman"/>
        </w:rPr>
        <w:t>ourt</w:t>
      </w:r>
      <w:r w:rsidR="00854F16" w:rsidRPr="00FB4B14">
        <w:rPr>
          <w:rFonts w:ascii="Times New Roman" w:hAnsi="Times New Roman"/>
        </w:rPr>
        <w:t>'</w:t>
      </w:r>
      <w:r w:rsidR="002279C9" w:rsidRPr="00FB4B14">
        <w:rPr>
          <w:rFonts w:ascii="Times New Roman" w:hAnsi="Times New Roman"/>
        </w:rPr>
        <w:t>s satisfaction that the elements of</w:t>
      </w:r>
      <w:r w:rsidR="00CB568A" w:rsidRPr="00FB4B14">
        <w:rPr>
          <w:rFonts w:ascii="Times New Roman" w:hAnsi="Times New Roman"/>
        </w:rPr>
        <w:t xml:space="preserve"> s </w:t>
      </w:r>
      <w:r w:rsidR="002279C9" w:rsidRPr="00FB4B14">
        <w:rPr>
          <w:rFonts w:ascii="Times New Roman" w:hAnsi="Times New Roman"/>
        </w:rPr>
        <w:t>588</w:t>
      </w:r>
      <w:proofErr w:type="gramStart"/>
      <w:r w:rsidR="002279C9" w:rsidRPr="00FB4B14">
        <w:rPr>
          <w:rFonts w:ascii="Times New Roman" w:hAnsi="Times New Roman"/>
        </w:rPr>
        <w:t>F</w:t>
      </w:r>
      <w:r w:rsidR="00512637" w:rsidRPr="00FB4B14">
        <w:rPr>
          <w:rFonts w:ascii="Times New Roman" w:hAnsi="Times New Roman"/>
        </w:rPr>
        <w:t>E(</w:t>
      </w:r>
      <w:proofErr w:type="gramEnd"/>
      <w:r w:rsidR="00512637" w:rsidRPr="00FB4B14">
        <w:rPr>
          <w:rFonts w:ascii="Times New Roman" w:hAnsi="Times New Roman"/>
        </w:rPr>
        <w:t>2) had been satisfied, it rose no higher</w:t>
      </w:r>
      <w:r w:rsidR="009F70EE" w:rsidRPr="00FB4B14">
        <w:rPr>
          <w:rFonts w:ascii="Times New Roman" w:hAnsi="Times New Roman"/>
        </w:rPr>
        <w:t>,</w:t>
      </w:r>
      <w:r w:rsidR="00512637" w:rsidRPr="00FB4B14">
        <w:rPr>
          <w:rFonts w:ascii="Times New Roman" w:hAnsi="Times New Roman"/>
        </w:rPr>
        <w:t xml:space="preserve"> as at the commencement of the winding up</w:t>
      </w:r>
      <w:r w:rsidR="009F70EE" w:rsidRPr="00FB4B14">
        <w:rPr>
          <w:rFonts w:ascii="Times New Roman" w:hAnsi="Times New Roman"/>
        </w:rPr>
        <w:t>,</w:t>
      </w:r>
      <w:r w:rsidR="00512637" w:rsidRPr="00FB4B14">
        <w:rPr>
          <w:rFonts w:ascii="Times New Roman" w:hAnsi="Times New Roman"/>
        </w:rPr>
        <w:t xml:space="preserve"> than a mere possibility</w:t>
      </w:r>
      <w:r w:rsidR="009F70EE" w:rsidRPr="00FB4B14">
        <w:rPr>
          <w:rFonts w:ascii="Times New Roman" w:hAnsi="Times New Roman"/>
        </w:rPr>
        <w:t xml:space="preserve"> without more</w:t>
      </w:r>
      <w:r w:rsidR="00512637" w:rsidRPr="00FB4B14">
        <w:rPr>
          <w:rStyle w:val="FootnoteReference"/>
          <w:rFonts w:ascii="Times New Roman" w:hAnsi="Times New Roman"/>
          <w:sz w:val="24"/>
        </w:rPr>
        <w:footnoteReference w:id="73"/>
      </w:r>
      <w:r w:rsidR="007C4EA0" w:rsidRPr="00FB4B14">
        <w:rPr>
          <w:rFonts w:ascii="Times New Roman" w:hAnsi="Times New Roman"/>
        </w:rPr>
        <w:t>.</w:t>
      </w:r>
      <w:r w:rsidR="003F2853" w:rsidRPr="00FB4B14">
        <w:rPr>
          <w:rFonts w:ascii="Times New Roman" w:hAnsi="Times New Roman"/>
        </w:rPr>
        <w:t xml:space="preserve"> </w:t>
      </w:r>
      <w:r w:rsidR="00263C38" w:rsidRPr="00FB4B14">
        <w:rPr>
          <w:rFonts w:ascii="Times New Roman" w:hAnsi="Times New Roman"/>
        </w:rPr>
        <w:t xml:space="preserve">That </w:t>
      </w:r>
      <w:r w:rsidR="003F2853" w:rsidRPr="00FB4B14">
        <w:rPr>
          <w:rFonts w:ascii="Times New Roman" w:hAnsi="Times New Roman"/>
        </w:rPr>
        <w:t>is not sufficient</w:t>
      </w:r>
      <w:r w:rsidR="003F2853" w:rsidRPr="00FB4B14">
        <w:rPr>
          <w:rStyle w:val="FootnoteReference"/>
          <w:rFonts w:ascii="Times New Roman" w:hAnsi="Times New Roman"/>
          <w:sz w:val="24"/>
        </w:rPr>
        <w:footnoteReference w:id="74"/>
      </w:r>
      <w:r w:rsidR="003F2853" w:rsidRPr="00FB4B14">
        <w:rPr>
          <w:rFonts w:ascii="Times New Roman" w:hAnsi="Times New Roman"/>
        </w:rPr>
        <w:t>.</w:t>
      </w:r>
    </w:p>
    <w:p w14:paraId="5C49C86C" w14:textId="0F589046" w:rsidR="007C4EA0" w:rsidRPr="00FB4B14" w:rsidRDefault="00EB236F"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It follows that under the statutory scheme of liquidation, any liability arising from the making of an order by a </w:t>
      </w:r>
      <w:r w:rsidR="001E167D" w:rsidRPr="00FB4B14">
        <w:rPr>
          <w:rFonts w:ascii="Times New Roman" w:hAnsi="Times New Roman"/>
        </w:rPr>
        <w:t>c</w:t>
      </w:r>
      <w:r w:rsidRPr="00FB4B14">
        <w:rPr>
          <w:rFonts w:ascii="Times New Roman" w:hAnsi="Times New Roman"/>
        </w:rPr>
        <w:t>ourt under</w:t>
      </w:r>
      <w:r w:rsidR="00CB568A" w:rsidRPr="00FB4B14">
        <w:rPr>
          <w:rFonts w:ascii="Times New Roman" w:hAnsi="Times New Roman"/>
        </w:rPr>
        <w:t xml:space="preserve"> s </w:t>
      </w:r>
      <w:r w:rsidRPr="00FB4B14">
        <w:rPr>
          <w:rFonts w:ascii="Times New Roman" w:hAnsi="Times New Roman"/>
        </w:rPr>
        <w:t>588FF(1)(a)</w:t>
      </w:r>
      <w:r w:rsidR="00CB5B5A" w:rsidRPr="00FB4B14">
        <w:rPr>
          <w:rFonts w:ascii="Times New Roman" w:hAnsi="Times New Roman"/>
        </w:rPr>
        <w:t xml:space="preserve"> cannot form part of the process for the identification of provable debts and claims for the purposes of</w:t>
      </w:r>
      <w:r w:rsidR="00CB568A" w:rsidRPr="00FB4B14">
        <w:rPr>
          <w:rFonts w:ascii="Times New Roman" w:hAnsi="Times New Roman"/>
        </w:rPr>
        <w:t xml:space="preserve"> s </w:t>
      </w:r>
      <w:r w:rsidR="00CB5B5A" w:rsidRPr="00FB4B14">
        <w:rPr>
          <w:rFonts w:ascii="Times New Roman" w:hAnsi="Times New Roman"/>
        </w:rPr>
        <w:t>553</w:t>
      </w:r>
      <w:r w:rsidR="009F70EE" w:rsidRPr="00FB4B14">
        <w:rPr>
          <w:rFonts w:ascii="Times New Roman" w:hAnsi="Times New Roman"/>
        </w:rPr>
        <w:t>,</w:t>
      </w:r>
      <w:r w:rsidR="00CB5B5A" w:rsidRPr="00FB4B14">
        <w:rPr>
          <w:rFonts w:ascii="Times New Roman" w:hAnsi="Times New Roman"/>
        </w:rPr>
        <w:t xml:space="preserve"> and thus cannot be the subject of a valid set-off against </w:t>
      </w:r>
      <w:r w:rsidR="00A9356B" w:rsidRPr="00FB4B14">
        <w:rPr>
          <w:rFonts w:ascii="Times New Roman" w:hAnsi="Times New Roman"/>
        </w:rPr>
        <w:t>pre-existing amounts owed by the company to the preferred creditor for the purposes of</w:t>
      </w:r>
      <w:r w:rsidR="00CB568A" w:rsidRPr="00FB4B14">
        <w:rPr>
          <w:rFonts w:ascii="Times New Roman" w:hAnsi="Times New Roman"/>
        </w:rPr>
        <w:t xml:space="preserve"> s </w:t>
      </w:r>
      <w:r w:rsidR="00A9356B" w:rsidRPr="00FB4B14">
        <w:rPr>
          <w:rFonts w:ascii="Times New Roman" w:hAnsi="Times New Roman"/>
        </w:rPr>
        <w:t>553C.</w:t>
      </w:r>
    </w:p>
    <w:p w14:paraId="746549F4" w14:textId="726AF16F" w:rsidR="00940DAF" w:rsidRPr="00FB4B14" w:rsidRDefault="00940DAF" w:rsidP="00FB4B14">
      <w:pPr>
        <w:pStyle w:val="FixListStyle"/>
        <w:spacing w:after="260" w:line="280" w:lineRule="exact"/>
        <w:ind w:right="0"/>
        <w:jc w:val="both"/>
        <w:rPr>
          <w:rFonts w:ascii="Times New Roman" w:hAnsi="Times New Roman"/>
        </w:rPr>
      </w:pPr>
      <w:r w:rsidRPr="00FB4B14">
        <w:rPr>
          <w:rFonts w:ascii="Times New Roman" w:hAnsi="Times New Roman"/>
        </w:rPr>
        <w:tab/>
        <w:t xml:space="preserve">The foregoing is consistent with the function and purpose </w:t>
      </w:r>
      <w:r w:rsidR="008229BF" w:rsidRPr="00FB4B14">
        <w:rPr>
          <w:rFonts w:ascii="Times New Roman" w:hAnsi="Times New Roman"/>
        </w:rPr>
        <w:t xml:space="preserve">of the regime for dealing with voidable transactions </w:t>
      </w:r>
      <w:r w:rsidR="006E0938" w:rsidRPr="00FB4B14">
        <w:rPr>
          <w:rFonts w:ascii="Times New Roman" w:hAnsi="Times New Roman"/>
        </w:rPr>
        <w:t xml:space="preserve">in </w:t>
      </w:r>
      <w:proofErr w:type="spellStart"/>
      <w:r w:rsidR="006E0938" w:rsidRPr="00FB4B14">
        <w:rPr>
          <w:rFonts w:ascii="Times New Roman" w:hAnsi="Times New Roman"/>
        </w:rPr>
        <w:t>Div</w:t>
      </w:r>
      <w:proofErr w:type="spellEnd"/>
      <w:r w:rsidR="00FA7FAC" w:rsidRPr="00FB4B14">
        <w:rPr>
          <w:rFonts w:ascii="Times New Roman" w:hAnsi="Times New Roman"/>
        </w:rPr>
        <w:t> </w:t>
      </w:r>
      <w:r w:rsidR="006E0938" w:rsidRPr="00FB4B14">
        <w:rPr>
          <w:rFonts w:ascii="Times New Roman" w:hAnsi="Times New Roman"/>
        </w:rPr>
        <w:t xml:space="preserve">2 of </w:t>
      </w:r>
      <w:r w:rsidR="00FA7FAC" w:rsidRPr="00FB4B14">
        <w:rPr>
          <w:rFonts w:ascii="Times New Roman" w:hAnsi="Times New Roman"/>
        </w:rPr>
        <w:t>Pt </w:t>
      </w:r>
      <w:r w:rsidR="006E0938" w:rsidRPr="00FB4B14">
        <w:rPr>
          <w:rFonts w:ascii="Times New Roman" w:hAnsi="Times New Roman"/>
        </w:rPr>
        <w:t xml:space="preserve">5.7B of the Act and </w:t>
      </w:r>
      <w:r w:rsidR="00A81236" w:rsidRPr="00FB4B14">
        <w:rPr>
          <w:rFonts w:ascii="Times New Roman" w:hAnsi="Times New Roman"/>
        </w:rPr>
        <w:t xml:space="preserve">the regime for the proof and ranking of claims in </w:t>
      </w:r>
      <w:proofErr w:type="spellStart"/>
      <w:r w:rsidR="00A81236" w:rsidRPr="00FB4B14">
        <w:rPr>
          <w:rFonts w:ascii="Times New Roman" w:hAnsi="Times New Roman"/>
        </w:rPr>
        <w:t>Div</w:t>
      </w:r>
      <w:proofErr w:type="spellEnd"/>
      <w:r w:rsidR="00FA7FAC" w:rsidRPr="00FB4B14">
        <w:rPr>
          <w:rFonts w:ascii="Times New Roman" w:hAnsi="Times New Roman"/>
        </w:rPr>
        <w:t> </w:t>
      </w:r>
      <w:r w:rsidR="00A81236" w:rsidRPr="00FB4B14">
        <w:rPr>
          <w:rFonts w:ascii="Times New Roman" w:hAnsi="Times New Roman"/>
        </w:rPr>
        <w:t xml:space="preserve">6 of </w:t>
      </w:r>
      <w:r w:rsidR="00FA7FAC" w:rsidRPr="00FB4B14">
        <w:rPr>
          <w:rFonts w:ascii="Times New Roman" w:hAnsi="Times New Roman"/>
        </w:rPr>
        <w:t>Pt </w:t>
      </w:r>
      <w:r w:rsidR="00A81236" w:rsidRPr="00FB4B14">
        <w:rPr>
          <w:rFonts w:ascii="Times New Roman" w:hAnsi="Times New Roman"/>
        </w:rPr>
        <w:t xml:space="preserve">5.6 of the Act. The former is directed at </w:t>
      </w:r>
      <w:r w:rsidR="00B9797A" w:rsidRPr="00FB4B14">
        <w:rPr>
          <w:rFonts w:ascii="Times New Roman" w:hAnsi="Times New Roman"/>
        </w:rPr>
        <w:t>the liquidator</w:t>
      </w:r>
      <w:r w:rsidR="00854F16" w:rsidRPr="00FB4B14">
        <w:rPr>
          <w:rFonts w:ascii="Times New Roman" w:hAnsi="Times New Roman"/>
        </w:rPr>
        <w:t>'</w:t>
      </w:r>
      <w:r w:rsidR="00B9797A" w:rsidRPr="00FB4B14">
        <w:rPr>
          <w:rFonts w:ascii="Times New Roman" w:hAnsi="Times New Roman"/>
        </w:rPr>
        <w:t xml:space="preserve">s duty and capacity to recover </w:t>
      </w:r>
      <w:r w:rsidR="00267C5E" w:rsidRPr="00FB4B14">
        <w:rPr>
          <w:rFonts w:ascii="Times New Roman" w:hAnsi="Times New Roman"/>
        </w:rPr>
        <w:t xml:space="preserve">preferential </w:t>
      </w:r>
      <w:r w:rsidR="00B9797A" w:rsidRPr="00FB4B14">
        <w:rPr>
          <w:rFonts w:ascii="Times New Roman" w:hAnsi="Times New Roman"/>
        </w:rPr>
        <w:t xml:space="preserve">payments </w:t>
      </w:r>
      <w:r w:rsidR="00E13B3F" w:rsidRPr="00FB4B14">
        <w:rPr>
          <w:rFonts w:ascii="Times New Roman" w:hAnsi="Times New Roman"/>
        </w:rPr>
        <w:t xml:space="preserve">and </w:t>
      </w:r>
      <w:r w:rsidR="00267C5E" w:rsidRPr="00FB4B14">
        <w:rPr>
          <w:rFonts w:ascii="Times New Roman" w:hAnsi="Times New Roman"/>
        </w:rPr>
        <w:t xml:space="preserve">at </w:t>
      </w:r>
      <w:r w:rsidR="00E13B3F" w:rsidRPr="00FB4B14">
        <w:rPr>
          <w:rFonts w:ascii="Times New Roman" w:hAnsi="Times New Roman"/>
        </w:rPr>
        <w:t>the need to ensure equ</w:t>
      </w:r>
      <w:r w:rsidR="005250EA" w:rsidRPr="00FB4B14">
        <w:rPr>
          <w:rFonts w:ascii="Times New Roman" w:hAnsi="Times New Roman"/>
        </w:rPr>
        <w:t>ality</w:t>
      </w:r>
      <w:r w:rsidR="00E13B3F" w:rsidRPr="00FB4B14">
        <w:rPr>
          <w:rFonts w:ascii="Times New Roman" w:hAnsi="Times New Roman"/>
        </w:rPr>
        <w:t xml:space="preserve"> in the making of distributions to the same class of creditors. In contrast, the lat</w:t>
      </w:r>
      <w:r w:rsidR="00FF7A41" w:rsidRPr="00FB4B14">
        <w:rPr>
          <w:rFonts w:ascii="Times New Roman" w:hAnsi="Times New Roman"/>
        </w:rPr>
        <w:t>t</w:t>
      </w:r>
      <w:r w:rsidR="00E13B3F" w:rsidRPr="00FB4B14">
        <w:rPr>
          <w:rFonts w:ascii="Times New Roman" w:hAnsi="Times New Roman"/>
        </w:rPr>
        <w:t xml:space="preserve">er is directed at the identification of </w:t>
      </w:r>
      <w:r w:rsidR="00C24B04" w:rsidRPr="00FB4B14">
        <w:rPr>
          <w:rFonts w:ascii="Times New Roman" w:hAnsi="Times New Roman"/>
        </w:rPr>
        <w:t xml:space="preserve">which </w:t>
      </w:r>
      <w:r w:rsidR="0029565A" w:rsidRPr="00FB4B14">
        <w:rPr>
          <w:rFonts w:ascii="Times New Roman" w:hAnsi="Times New Roman"/>
        </w:rPr>
        <w:t xml:space="preserve">debts and </w:t>
      </w:r>
      <w:r w:rsidR="00E13B3F" w:rsidRPr="00FB4B14">
        <w:rPr>
          <w:rFonts w:ascii="Times New Roman" w:hAnsi="Times New Roman"/>
        </w:rPr>
        <w:t>claims must be addressed by the liquidator.</w:t>
      </w:r>
      <w:r w:rsidR="00381224" w:rsidRPr="00FB4B14">
        <w:rPr>
          <w:rFonts w:ascii="Times New Roman" w:hAnsi="Times New Roman"/>
        </w:rPr>
        <w:t xml:space="preserve"> It would be a gross distortion of the statutory scheme of liquidation if a creditor could, in effect, avoid the consequences of having received a</w:t>
      </w:r>
      <w:r w:rsidR="00913D41" w:rsidRPr="00FB4B14">
        <w:rPr>
          <w:rFonts w:ascii="Times New Roman" w:hAnsi="Times New Roman"/>
        </w:rPr>
        <w:t xml:space="preserve"> preferential</w:t>
      </w:r>
      <w:r w:rsidR="00381224" w:rsidRPr="00FB4B14">
        <w:rPr>
          <w:rFonts w:ascii="Times New Roman" w:hAnsi="Times New Roman"/>
        </w:rPr>
        <w:t xml:space="preserve"> payment by the happenstance that it was also owed money by the company in liquidation.</w:t>
      </w:r>
      <w:r w:rsidR="00C31EDF" w:rsidRPr="00FB4B14">
        <w:rPr>
          <w:rFonts w:ascii="Times New Roman" w:hAnsi="Times New Roman"/>
        </w:rPr>
        <w:t xml:space="preserve"> </w:t>
      </w:r>
      <w:r w:rsidR="004D68D3" w:rsidRPr="00FB4B14">
        <w:rPr>
          <w:rFonts w:ascii="Times New Roman" w:hAnsi="Times New Roman"/>
        </w:rPr>
        <w:t>S</w:t>
      </w:r>
      <w:r w:rsidR="00C31EDF" w:rsidRPr="00FB4B14">
        <w:rPr>
          <w:rFonts w:ascii="Times New Roman" w:hAnsi="Times New Roman"/>
        </w:rPr>
        <w:t>uch an outcome would diminish the pool of assets available for priority payments and rateable distribution.</w:t>
      </w:r>
      <w:r w:rsidR="008E7349" w:rsidRPr="00FB4B14">
        <w:rPr>
          <w:rFonts w:ascii="Times New Roman" w:hAnsi="Times New Roman"/>
        </w:rPr>
        <w:t xml:space="preserve"> It would permit a</w:t>
      </w:r>
      <w:r w:rsidR="005250EA" w:rsidRPr="00FB4B14">
        <w:rPr>
          <w:rFonts w:ascii="Times New Roman" w:hAnsi="Times New Roman"/>
        </w:rPr>
        <w:t xml:space="preserve"> preferred</w:t>
      </w:r>
      <w:r w:rsidR="008E7349" w:rsidRPr="00FB4B14">
        <w:rPr>
          <w:rFonts w:ascii="Times New Roman" w:hAnsi="Times New Roman"/>
        </w:rPr>
        <w:t xml:space="preserve"> creditor to use</w:t>
      </w:r>
      <w:r w:rsidR="00124B66" w:rsidRPr="00FB4B14">
        <w:rPr>
          <w:rFonts w:ascii="Times New Roman" w:hAnsi="Times New Roman"/>
        </w:rPr>
        <w:t xml:space="preserve"> each dollar owed to it </w:t>
      </w:r>
      <w:r w:rsidR="00DF1E7F" w:rsidRPr="00FB4B14">
        <w:rPr>
          <w:rFonts w:ascii="Times New Roman" w:hAnsi="Times New Roman"/>
        </w:rPr>
        <w:t xml:space="preserve">by </w:t>
      </w:r>
      <w:r w:rsidR="00124B66" w:rsidRPr="00FB4B14">
        <w:rPr>
          <w:rFonts w:ascii="Times New Roman" w:hAnsi="Times New Roman"/>
        </w:rPr>
        <w:t xml:space="preserve">the company to </w:t>
      </w:r>
      <w:r w:rsidR="00C44E4B" w:rsidRPr="00FB4B14">
        <w:rPr>
          <w:rFonts w:ascii="Times New Roman" w:hAnsi="Times New Roman"/>
        </w:rPr>
        <w:t xml:space="preserve">set off </w:t>
      </w:r>
      <w:r w:rsidR="00124B66" w:rsidRPr="00FB4B14">
        <w:rPr>
          <w:rFonts w:ascii="Times New Roman" w:hAnsi="Times New Roman"/>
        </w:rPr>
        <w:t>in full each dollar</w:t>
      </w:r>
      <w:r w:rsidR="00145910" w:rsidRPr="00FB4B14">
        <w:rPr>
          <w:rFonts w:ascii="Times New Roman" w:hAnsi="Times New Roman"/>
        </w:rPr>
        <w:t xml:space="preserve"> of liability arising from receipt of an</w:t>
      </w:r>
      <w:r w:rsidR="00124B66" w:rsidRPr="00FB4B14">
        <w:rPr>
          <w:rFonts w:ascii="Times New Roman" w:hAnsi="Times New Roman"/>
        </w:rPr>
        <w:t xml:space="preserve"> </w:t>
      </w:r>
      <w:r w:rsidR="008E7349" w:rsidRPr="00FB4B14">
        <w:rPr>
          <w:rFonts w:ascii="Times New Roman" w:hAnsi="Times New Roman"/>
        </w:rPr>
        <w:t>unfair</w:t>
      </w:r>
      <w:r w:rsidR="00831044" w:rsidRPr="00FB4B14">
        <w:rPr>
          <w:rFonts w:ascii="Times New Roman" w:hAnsi="Times New Roman"/>
        </w:rPr>
        <w:t xml:space="preserve"> preference.</w:t>
      </w:r>
    </w:p>
    <w:p w14:paraId="55AC4912" w14:textId="30A9540D" w:rsidR="00156D7A" w:rsidRPr="00FB4B14" w:rsidRDefault="00A9356B"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2049B8" w:rsidRPr="00FB4B14">
        <w:rPr>
          <w:rFonts w:ascii="Times New Roman" w:hAnsi="Times New Roman"/>
        </w:rPr>
        <w:t>In any event, any such liability c</w:t>
      </w:r>
      <w:r w:rsidR="00EA68E2" w:rsidRPr="00FB4B14">
        <w:rPr>
          <w:rFonts w:ascii="Times New Roman" w:hAnsi="Times New Roman"/>
        </w:rPr>
        <w:t xml:space="preserve">ould </w:t>
      </w:r>
      <w:r w:rsidR="002049B8" w:rsidRPr="00FB4B14">
        <w:rPr>
          <w:rFonts w:ascii="Times New Roman" w:hAnsi="Times New Roman"/>
        </w:rPr>
        <w:t xml:space="preserve">not constitute a </w:t>
      </w:r>
      <w:r w:rsidR="00241435" w:rsidRPr="00FB4B14">
        <w:rPr>
          <w:rFonts w:ascii="Times New Roman" w:hAnsi="Times New Roman"/>
        </w:rPr>
        <w:t xml:space="preserve">mutual credit, </w:t>
      </w:r>
      <w:r w:rsidR="002049B8" w:rsidRPr="00FB4B14">
        <w:rPr>
          <w:rFonts w:ascii="Times New Roman" w:hAnsi="Times New Roman"/>
        </w:rPr>
        <w:t xml:space="preserve">mutual </w:t>
      </w:r>
      <w:r w:rsidR="00381224" w:rsidRPr="00FB4B14">
        <w:rPr>
          <w:rFonts w:ascii="Times New Roman" w:hAnsi="Times New Roman"/>
        </w:rPr>
        <w:t>debt</w:t>
      </w:r>
      <w:r w:rsidR="00241435" w:rsidRPr="00FB4B14">
        <w:rPr>
          <w:rFonts w:ascii="Times New Roman" w:hAnsi="Times New Roman"/>
        </w:rPr>
        <w:t xml:space="preserve"> </w:t>
      </w:r>
      <w:r w:rsidR="00381224" w:rsidRPr="00FB4B14">
        <w:rPr>
          <w:rFonts w:ascii="Times New Roman" w:hAnsi="Times New Roman"/>
        </w:rPr>
        <w:t>or mutual dealing</w:t>
      </w:r>
      <w:r w:rsidR="00A82FBF" w:rsidRPr="00FB4B14">
        <w:rPr>
          <w:rFonts w:ascii="Times New Roman" w:hAnsi="Times New Roman"/>
        </w:rPr>
        <w:t xml:space="preserve"> with the pre-existing amount owed by the company</w:t>
      </w:r>
      <w:r w:rsidR="005250EA" w:rsidRPr="00FB4B14">
        <w:rPr>
          <w:rFonts w:ascii="Times New Roman" w:hAnsi="Times New Roman"/>
        </w:rPr>
        <w:t xml:space="preserve"> for </w:t>
      </w:r>
      <w:r w:rsidR="00EA68E2" w:rsidRPr="00FB4B14">
        <w:rPr>
          <w:rFonts w:ascii="Times New Roman" w:hAnsi="Times New Roman"/>
        </w:rPr>
        <w:t xml:space="preserve">two </w:t>
      </w:r>
      <w:r w:rsidR="005250EA" w:rsidRPr="00FB4B14">
        <w:rPr>
          <w:rFonts w:ascii="Times New Roman" w:hAnsi="Times New Roman"/>
        </w:rPr>
        <w:t xml:space="preserve">further </w:t>
      </w:r>
      <w:r w:rsidR="00EA68E2" w:rsidRPr="00FB4B14">
        <w:rPr>
          <w:rFonts w:ascii="Times New Roman" w:hAnsi="Times New Roman"/>
        </w:rPr>
        <w:t xml:space="preserve">reasons. </w:t>
      </w:r>
      <w:r w:rsidR="00661DE4" w:rsidRPr="00FB4B14">
        <w:rPr>
          <w:rFonts w:ascii="Times New Roman" w:hAnsi="Times New Roman"/>
        </w:rPr>
        <w:t xml:space="preserve">First, there </w:t>
      </w:r>
      <w:r w:rsidR="001E724B" w:rsidRPr="00FB4B14">
        <w:rPr>
          <w:rFonts w:ascii="Times New Roman" w:hAnsi="Times New Roman"/>
        </w:rPr>
        <w:t>ha</w:t>
      </w:r>
      <w:r w:rsidR="005250EA" w:rsidRPr="00FB4B14">
        <w:rPr>
          <w:rFonts w:ascii="Times New Roman" w:hAnsi="Times New Roman"/>
        </w:rPr>
        <w:t>d</w:t>
      </w:r>
      <w:r w:rsidR="001E724B" w:rsidRPr="00FB4B14">
        <w:rPr>
          <w:rFonts w:ascii="Times New Roman" w:hAnsi="Times New Roman"/>
        </w:rPr>
        <w:t xml:space="preserve"> been</w:t>
      </w:r>
      <w:r w:rsidR="00661DE4" w:rsidRPr="00FB4B14">
        <w:rPr>
          <w:rFonts w:ascii="Times New Roman" w:hAnsi="Times New Roman"/>
        </w:rPr>
        <w:t xml:space="preserve"> no </w:t>
      </w:r>
      <w:r w:rsidR="001E724B" w:rsidRPr="00FB4B14">
        <w:rPr>
          <w:rFonts w:ascii="Times New Roman" w:hAnsi="Times New Roman"/>
        </w:rPr>
        <w:t xml:space="preserve">dealing </w:t>
      </w:r>
      <w:r w:rsidR="009331DD" w:rsidRPr="00FB4B14">
        <w:rPr>
          <w:rFonts w:ascii="Times New Roman" w:hAnsi="Times New Roman"/>
        </w:rPr>
        <w:t xml:space="preserve">between </w:t>
      </w:r>
      <w:r w:rsidR="001E724B" w:rsidRPr="00FB4B14">
        <w:rPr>
          <w:rFonts w:ascii="Times New Roman" w:hAnsi="Times New Roman"/>
        </w:rPr>
        <w:t xml:space="preserve">the same </w:t>
      </w:r>
      <w:r w:rsidR="009331DD" w:rsidRPr="00FB4B14">
        <w:rPr>
          <w:rFonts w:ascii="Times New Roman" w:hAnsi="Times New Roman"/>
        </w:rPr>
        <w:t>persons</w:t>
      </w:r>
      <w:r w:rsidR="001B1BB5" w:rsidRPr="00FB4B14">
        <w:rPr>
          <w:rStyle w:val="FootnoteReference"/>
          <w:rFonts w:ascii="Times New Roman" w:hAnsi="Times New Roman"/>
          <w:sz w:val="24"/>
        </w:rPr>
        <w:footnoteReference w:id="75"/>
      </w:r>
      <w:r w:rsidR="001E724B" w:rsidRPr="00FB4B14">
        <w:rPr>
          <w:rFonts w:ascii="Times New Roman" w:hAnsi="Times New Roman"/>
        </w:rPr>
        <w:t xml:space="preserve">. </w:t>
      </w:r>
      <w:r w:rsidR="001417DA" w:rsidRPr="00FB4B14">
        <w:rPr>
          <w:rFonts w:ascii="Times New Roman" w:hAnsi="Times New Roman"/>
        </w:rPr>
        <w:t xml:space="preserve">The </w:t>
      </w:r>
      <w:r w:rsidR="001F37E5" w:rsidRPr="00FB4B14">
        <w:rPr>
          <w:rFonts w:ascii="Times New Roman" w:hAnsi="Times New Roman"/>
        </w:rPr>
        <w:t xml:space="preserve">alleged unfair preferences </w:t>
      </w:r>
      <w:r w:rsidR="001417DA" w:rsidRPr="00FB4B14">
        <w:rPr>
          <w:rFonts w:ascii="Times New Roman" w:hAnsi="Times New Roman"/>
        </w:rPr>
        <w:t>w</w:t>
      </w:r>
      <w:r w:rsidR="001F37E5" w:rsidRPr="00FB4B14">
        <w:rPr>
          <w:rFonts w:ascii="Times New Roman" w:hAnsi="Times New Roman"/>
        </w:rPr>
        <w:t>ere</w:t>
      </w:r>
      <w:r w:rsidR="001417DA" w:rsidRPr="00FB4B14">
        <w:rPr>
          <w:rFonts w:ascii="Times New Roman" w:hAnsi="Times New Roman"/>
        </w:rPr>
        <w:t xml:space="preserve"> paid during the relation-back period </w:t>
      </w:r>
      <w:r w:rsidR="00562690" w:rsidRPr="00FB4B14">
        <w:rPr>
          <w:rFonts w:ascii="Times New Roman" w:hAnsi="Times New Roman"/>
        </w:rPr>
        <w:t>by MJ</w:t>
      </w:r>
      <w:r w:rsidR="00C5466B" w:rsidRPr="00FB4B14">
        <w:rPr>
          <w:rFonts w:ascii="Times New Roman" w:hAnsi="Times New Roman"/>
        </w:rPr>
        <w:t> </w:t>
      </w:r>
      <w:r w:rsidR="00562690" w:rsidRPr="00FB4B14">
        <w:rPr>
          <w:rFonts w:ascii="Times New Roman" w:hAnsi="Times New Roman"/>
        </w:rPr>
        <w:t xml:space="preserve">Woodman </w:t>
      </w:r>
      <w:r w:rsidR="0039261E" w:rsidRPr="00FB4B14">
        <w:rPr>
          <w:rFonts w:ascii="Times New Roman" w:hAnsi="Times New Roman"/>
        </w:rPr>
        <w:t xml:space="preserve">to </w:t>
      </w:r>
      <w:r w:rsidR="00562690" w:rsidRPr="00FB4B14">
        <w:rPr>
          <w:rFonts w:ascii="Times New Roman" w:hAnsi="Times New Roman"/>
        </w:rPr>
        <w:t>the appellant.</w:t>
      </w:r>
      <w:r w:rsidR="00034385" w:rsidRPr="00FB4B14">
        <w:rPr>
          <w:rFonts w:ascii="Times New Roman" w:hAnsi="Times New Roman"/>
        </w:rPr>
        <w:t xml:space="preserve"> The liability </w:t>
      </w:r>
      <w:r w:rsidR="00A80320" w:rsidRPr="00FB4B14">
        <w:rPr>
          <w:rFonts w:ascii="Times New Roman" w:hAnsi="Times New Roman"/>
        </w:rPr>
        <w:t>created by</w:t>
      </w:r>
      <w:r w:rsidR="00CB568A" w:rsidRPr="00FB4B14">
        <w:rPr>
          <w:rFonts w:ascii="Times New Roman" w:hAnsi="Times New Roman"/>
        </w:rPr>
        <w:t xml:space="preserve"> s </w:t>
      </w:r>
      <w:r w:rsidR="00A80320" w:rsidRPr="00FB4B14">
        <w:rPr>
          <w:rFonts w:ascii="Times New Roman" w:hAnsi="Times New Roman"/>
        </w:rPr>
        <w:t xml:space="preserve">588FF(1)(a), whilst owed to the company </w:t>
      </w:r>
      <w:r w:rsidR="0010315C" w:rsidRPr="00FB4B14">
        <w:rPr>
          <w:rFonts w:ascii="Times New Roman" w:hAnsi="Times New Roman"/>
        </w:rPr>
        <w:t>(</w:t>
      </w:r>
      <w:r w:rsidR="00A80320" w:rsidRPr="00FB4B14">
        <w:rPr>
          <w:rFonts w:ascii="Times New Roman" w:hAnsi="Times New Roman"/>
        </w:rPr>
        <w:t xml:space="preserve">which will receive </w:t>
      </w:r>
      <w:r w:rsidR="005250EA" w:rsidRPr="00FB4B14">
        <w:rPr>
          <w:rFonts w:ascii="Times New Roman" w:hAnsi="Times New Roman"/>
        </w:rPr>
        <w:t xml:space="preserve">it </w:t>
      </w:r>
      <w:r w:rsidR="00A80320" w:rsidRPr="00FB4B14">
        <w:rPr>
          <w:rFonts w:ascii="Times New Roman" w:hAnsi="Times New Roman"/>
        </w:rPr>
        <w:t>beneficially</w:t>
      </w:r>
      <w:r w:rsidR="0010315C" w:rsidRPr="00FB4B14">
        <w:rPr>
          <w:rFonts w:ascii="Times New Roman" w:hAnsi="Times New Roman"/>
        </w:rPr>
        <w:t>)</w:t>
      </w:r>
      <w:r w:rsidR="00A80320" w:rsidRPr="00FB4B14">
        <w:rPr>
          <w:rFonts w:ascii="Times New Roman" w:hAnsi="Times New Roman"/>
        </w:rPr>
        <w:t xml:space="preserve">, is nonetheless one that arises </w:t>
      </w:r>
      <w:r w:rsidR="00A80320" w:rsidRPr="00FB4B14">
        <w:rPr>
          <w:rFonts w:ascii="Times New Roman" w:hAnsi="Times New Roman"/>
        </w:rPr>
        <w:lastRenderedPageBreak/>
        <w:t>upon the application of the liquidator</w:t>
      </w:r>
      <w:r w:rsidR="00ED5870" w:rsidRPr="00FB4B14">
        <w:rPr>
          <w:rFonts w:ascii="Times New Roman" w:hAnsi="Times New Roman"/>
        </w:rPr>
        <w:t xml:space="preserve">, </w:t>
      </w:r>
      <w:r w:rsidR="003C3007" w:rsidRPr="00FB4B14">
        <w:rPr>
          <w:rFonts w:ascii="Times New Roman" w:hAnsi="Times New Roman"/>
        </w:rPr>
        <w:t>who</w:t>
      </w:r>
      <w:r w:rsidR="00ED5870" w:rsidRPr="00FB4B14">
        <w:rPr>
          <w:rFonts w:ascii="Times New Roman" w:hAnsi="Times New Roman"/>
        </w:rPr>
        <w:t xml:space="preserve">, for the reasons given above, does not do so as an agent of the company but </w:t>
      </w:r>
      <w:r w:rsidR="00827D91" w:rsidRPr="00FB4B14">
        <w:rPr>
          <w:rFonts w:ascii="Times New Roman" w:hAnsi="Times New Roman"/>
        </w:rPr>
        <w:t xml:space="preserve">rather </w:t>
      </w:r>
      <w:r w:rsidR="00ED5870" w:rsidRPr="00FB4B14">
        <w:rPr>
          <w:rFonts w:ascii="Times New Roman" w:hAnsi="Times New Roman"/>
        </w:rPr>
        <w:t xml:space="preserve">in </w:t>
      </w:r>
      <w:r w:rsidR="003C3007" w:rsidRPr="00FB4B14">
        <w:rPr>
          <w:rFonts w:ascii="Times New Roman" w:hAnsi="Times New Roman"/>
        </w:rPr>
        <w:t xml:space="preserve">his or her </w:t>
      </w:r>
      <w:r w:rsidR="00ED5870" w:rsidRPr="00FB4B14">
        <w:rPr>
          <w:rFonts w:ascii="Times New Roman" w:hAnsi="Times New Roman"/>
        </w:rPr>
        <w:t>own right as an officer of the court</w:t>
      </w:r>
      <w:r w:rsidR="00A678EA" w:rsidRPr="00FB4B14">
        <w:rPr>
          <w:rStyle w:val="FootnoteReference"/>
          <w:rFonts w:ascii="Times New Roman" w:hAnsi="Times New Roman"/>
          <w:sz w:val="24"/>
        </w:rPr>
        <w:footnoteReference w:id="76"/>
      </w:r>
      <w:r w:rsidR="00ED5870" w:rsidRPr="00FB4B14">
        <w:rPr>
          <w:rFonts w:ascii="Times New Roman" w:hAnsi="Times New Roman"/>
        </w:rPr>
        <w:t>.</w:t>
      </w:r>
    </w:p>
    <w:p w14:paraId="3AA88CA0" w14:textId="43E9D8C5" w:rsidR="00DF6350" w:rsidRPr="00FB4B14" w:rsidRDefault="00156D7A"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ED5870" w:rsidRPr="00FB4B14">
        <w:rPr>
          <w:rFonts w:ascii="Times New Roman" w:hAnsi="Times New Roman"/>
        </w:rPr>
        <w:t>Secondly</w:t>
      </w:r>
      <w:r w:rsidR="00520E67" w:rsidRPr="00FB4B14">
        <w:rPr>
          <w:rFonts w:ascii="Times New Roman" w:hAnsi="Times New Roman"/>
        </w:rPr>
        <w:t>, there is no mutuality of interest</w:t>
      </w:r>
      <w:r w:rsidR="00F2781C" w:rsidRPr="00FB4B14">
        <w:rPr>
          <w:rStyle w:val="FootnoteReference"/>
          <w:rFonts w:ascii="Times New Roman" w:hAnsi="Times New Roman"/>
          <w:sz w:val="24"/>
        </w:rPr>
        <w:footnoteReference w:id="77"/>
      </w:r>
      <w:r w:rsidR="00520E67" w:rsidRPr="00FB4B14">
        <w:rPr>
          <w:rFonts w:ascii="Times New Roman" w:hAnsi="Times New Roman"/>
        </w:rPr>
        <w:t>. Contrary to the contentions of the appellant</w:t>
      </w:r>
      <w:r w:rsidR="006E2302" w:rsidRPr="00FB4B14">
        <w:rPr>
          <w:rFonts w:ascii="Times New Roman" w:hAnsi="Times New Roman"/>
        </w:rPr>
        <w:t>,</w:t>
      </w:r>
      <w:r w:rsidR="00520E67" w:rsidRPr="00FB4B14">
        <w:rPr>
          <w:rFonts w:ascii="Times New Roman" w:hAnsi="Times New Roman"/>
        </w:rPr>
        <w:t xml:space="preserve"> that consideration is not confined to </w:t>
      </w:r>
      <w:r w:rsidR="0032010D" w:rsidRPr="00FB4B14">
        <w:rPr>
          <w:rFonts w:ascii="Times New Roman" w:hAnsi="Times New Roman"/>
        </w:rPr>
        <w:t xml:space="preserve">determining whether both parties </w:t>
      </w:r>
      <w:r w:rsidR="004F2BC6" w:rsidRPr="00FB4B14">
        <w:rPr>
          <w:rFonts w:ascii="Times New Roman" w:hAnsi="Times New Roman"/>
        </w:rPr>
        <w:t xml:space="preserve">are beneficially </w:t>
      </w:r>
      <w:r w:rsidR="00B90C41" w:rsidRPr="00FB4B14">
        <w:rPr>
          <w:rFonts w:ascii="Times New Roman" w:hAnsi="Times New Roman"/>
        </w:rPr>
        <w:t xml:space="preserve">or legally </w:t>
      </w:r>
      <w:r w:rsidR="004F2BC6" w:rsidRPr="00FB4B14">
        <w:rPr>
          <w:rFonts w:ascii="Times New Roman" w:hAnsi="Times New Roman"/>
        </w:rPr>
        <w:t>entitled to what they are owed.</w:t>
      </w:r>
      <w:r w:rsidR="00D355A5" w:rsidRPr="00FB4B14">
        <w:rPr>
          <w:rFonts w:ascii="Times New Roman" w:hAnsi="Times New Roman"/>
        </w:rPr>
        <w:t xml:space="preserve"> </w:t>
      </w:r>
      <w:r w:rsidR="00B90C41" w:rsidRPr="00FB4B14">
        <w:rPr>
          <w:rFonts w:ascii="Times New Roman" w:hAnsi="Times New Roman"/>
        </w:rPr>
        <w:t xml:space="preserve">As the Court of Appeal of </w:t>
      </w:r>
      <w:r w:rsidR="006E2302" w:rsidRPr="00FB4B14">
        <w:rPr>
          <w:rFonts w:ascii="Times New Roman" w:hAnsi="Times New Roman"/>
        </w:rPr>
        <w:t xml:space="preserve">the Supreme Court of </w:t>
      </w:r>
      <w:r w:rsidR="00B90C41" w:rsidRPr="00FB4B14">
        <w:rPr>
          <w:rFonts w:ascii="Times New Roman" w:hAnsi="Times New Roman"/>
        </w:rPr>
        <w:t>Western Australia recently observed</w:t>
      </w:r>
      <w:r w:rsidR="004F383F" w:rsidRPr="00FB4B14">
        <w:rPr>
          <w:rFonts w:ascii="Times New Roman" w:hAnsi="Times New Roman"/>
        </w:rPr>
        <w:t>,</w:t>
      </w:r>
      <w:r w:rsidR="00AF67C1" w:rsidRPr="00FB4B14">
        <w:rPr>
          <w:rFonts w:ascii="Times New Roman" w:hAnsi="Times New Roman"/>
        </w:rPr>
        <w:t xml:space="preserve"> a consideration of </w:t>
      </w:r>
      <w:r w:rsidR="001D4289" w:rsidRPr="00FB4B14">
        <w:rPr>
          <w:rFonts w:ascii="Times New Roman" w:hAnsi="Times New Roman"/>
        </w:rPr>
        <w:t xml:space="preserve">the benefit </w:t>
      </w:r>
      <w:r w:rsidR="005144AE" w:rsidRPr="00FB4B14">
        <w:rPr>
          <w:rFonts w:ascii="Times New Roman" w:hAnsi="Times New Roman"/>
        </w:rPr>
        <w:t xml:space="preserve">of </w:t>
      </w:r>
      <w:r w:rsidR="00AF67C1" w:rsidRPr="00FB4B14">
        <w:rPr>
          <w:rFonts w:ascii="Times New Roman" w:hAnsi="Times New Roman"/>
        </w:rPr>
        <w:t xml:space="preserve">equitable interests </w:t>
      </w:r>
      <w:r w:rsidR="00896714" w:rsidRPr="00FB4B14">
        <w:rPr>
          <w:rFonts w:ascii="Times New Roman" w:hAnsi="Times New Roman"/>
        </w:rPr>
        <w:t>in a transaction</w:t>
      </w:r>
      <w:r w:rsidR="0039500E" w:rsidRPr="00FB4B14">
        <w:rPr>
          <w:rFonts w:ascii="Times New Roman" w:hAnsi="Times New Roman"/>
        </w:rPr>
        <w:t xml:space="preserve"> </w:t>
      </w:r>
      <w:r w:rsidR="00AF67C1" w:rsidRPr="00FB4B14">
        <w:rPr>
          <w:rFonts w:ascii="Times New Roman" w:hAnsi="Times New Roman"/>
        </w:rPr>
        <w:t xml:space="preserve">is </w:t>
      </w:r>
      <w:r w:rsidR="00896714" w:rsidRPr="00FB4B14">
        <w:rPr>
          <w:rFonts w:ascii="Times New Roman" w:hAnsi="Times New Roman"/>
        </w:rPr>
        <w:t>but</w:t>
      </w:r>
      <w:r w:rsidR="00AF67C1" w:rsidRPr="00FB4B14">
        <w:rPr>
          <w:rFonts w:ascii="Times New Roman" w:hAnsi="Times New Roman"/>
        </w:rPr>
        <w:t xml:space="preserve"> an example </w:t>
      </w:r>
      <w:r w:rsidR="00EB6177" w:rsidRPr="00FB4B14">
        <w:rPr>
          <w:rFonts w:ascii="Times New Roman" w:hAnsi="Times New Roman"/>
        </w:rPr>
        <w:t xml:space="preserve">of when two parties </w:t>
      </w:r>
      <w:r w:rsidR="0039500E" w:rsidRPr="00FB4B14">
        <w:rPr>
          <w:rFonts w:ascii="Times New Roman" w:hAnsi="Times New Roman"/>
        </w:rPr>
        <w:t xml:space="preserve">can </w:t>
      </w:r>
      <w:r w:rsidR="00EB6177" w:rsidRPr="00FB4B14">
        <w:rPr>
          <w:rFonts w:ascii="Times New Roman" w:hAnsi="Times New Roman"/>
        </w:rPr>
        <w:t xml:space="preserve">enjoy </w:t>
      </w:r>
      <w:r w:rsidR="0039500E" w:rsidRPr="00FB4B14">
        <w:rPr>
          <w:rFonts w:ascii="Times New Roman" w:hAnsi="Times New Roman"/>
        </w:rPr>
        <w:t xml:space="preserve">mutuality of </w:t>
      </w:r>
      <w:r w:rsidR="00EB6177" w:rsidRPr="00FB4B14">
        <w:rPr>
          <w:rFonts w:ascii="Times New Roman" w:hAnsi="Times New Roman"/>
        </w:rPr>
        <w:t>interest</w:t>
      </w:r>
      <w:r w:rsidR="00EB6177" w:rsidRPr="00FB4B14">
        <w:rPr>
          <w:rStyle w:val="FootnoteReference"/>
          <w:rFonts w:ascii="Times New Roman" w:hAnsi="Times New Roman"/>
          <w:sz w:val="24"/>
        </w:rPr>
        <w:footnoteReference w:id="78"/>
      </w:r>
      <w:r w:rsidR="00EB6177" w:rsidRPr="00FB4B14">
        <w:rPr>
          <w:rFonts w:ascii="Times New Roman" w:hAnsi="Times New Roman"/>
        </w:rPr>
        <w:t>.</w:t>
      </w:r>
      <w:r w:rsidR="00896714" w:rsidRPr="00FB4B14">
        <w:rPr>
          <w:rFonts w:ascii="Times New Roman" w:hAnsi="Times New Roman"/>
        </w:rPr>
        <w:t xml:space="preserve"> </w:t>
      </w:r>
    </w:p>
    <w:p w14:paraId="3C2CA2F7" w14:textId="463E819C" w:rsidR="00B90C41" w:rsidRPr="00FB4B14" w:rsidRDefault="00594C32" w:rsidP="00FB4B14">
      <w:pPr>
        <w:pStyle w:val="FixListStyle"/>
        <w:spacing w:after="260" w:line="280" w:lineRule="exact"/>
        <w:ind w:right="0"/>
        <w:jc w:val="both"/>
        <w:rPr>
          <w:rFonts w:ascii="Times New Roman" w:hAnsi="Times New Roman"/>
        </w:rPr>
      </w:pPr>
      <w:r w:rsidRPr="00FB4B14">
        <w:rPr>
          <w:rFonts w:ascii="Times New Roman" w:hAnsi="Times New Roman"/>
        </w:rPr>
        <w:tab/>
        <w:t>Here</w:t>
      </w:r>
      <w:r w:rsidR="00790B77" w:rsidRPr="00FB4B14">
        <w:rPr>
          <w:rFonts w:ascii="Times New Roman" w:hAnsi="Times New Roman"/>
        </w:rPr>
        <w:t>, on no view can it be said that the</w:t>
      </w:r>
      <w:r w:rsidR="009E708E" w:rsidRPr="00FB4B14">
        <w:rPr>
          <w:rFonts w:ascii="Times New Roman" w:hAnsi="Times New Roman"/>
        </w:rPr>
        <w:t xml:space="preserve"> entire</w:t>
      </w:r>
      <w:r w:rsidR="00790B77" w:rsidRPr="00FB4B14">
        <w:rPr>
          <w:rFonts w:ascii="Times New Roman" w:hAnsi="Times New Roman"/>
        </w:rPr>
        <w:t xml:space="preserve"> amount which the liquidator will reco</w:t>
      </w:r>
      <w:r w:rsidR="00DE4671" w:rsidRPr="00FB4B14">
        <w:rPr>
          <w:rFonts w:ascii="Times New Roman" w:hAnsi="Times New Roman"/>
        </w:rPr>
        <w:t>ver under</w:t>
      </w:r>
      <w:r w:rsidR="00CB568A" w:rsidRPr="00FB4B14">
        <w:rPr>
          <w:rFonts w:ascii="Times New Roman" w:hAnsi="Times New Roman"/>
        </w:rPr>
        <w:t xml:space="preserve"> s </w:t>
      </w:r>
      <w:r w:rsidR="00DE4671" w:rsidRPr="00FB4B14">
        <w:rPr>
          <w:rFonts w:ascii="Times New Roman" w:hAnsi="Times New Roman"/>
        </w:rPr>
        <w:t xml:space="preserve">588FF(1)(a) will be </w:t>
      </w:r>
      <w:r w:rsidR="00854F16" w:rsidRPr="00FB4B14">
        <w:rPr>
          <w:rFonts w:ascii="Times New Roman" w:hAnsi="Times New Roman"/>
        </w:rPr>
        <w:t>"</w:t>
      </w:r>
      <w:r w:rsidR="00DE4671" w:rsidRPr="00FB4B14">
        <w:rPr>
          <w:rFonts w:ascii="Times New Roman" w:hAnsi="Times New Roman"/>
        </w:rPr>
        <w:t>for his own benefit</w:t>
      </w:r>
      <w:r w:rsidR="00854F16" w:rsidRPr="00FB4B14">
        <w:rPr>
          <w:rFonts w:ascii="Times New Roman" w:hAnsi="Times New Roman"/>
        </w:rPr>
        <w:t>"</w:t>
      </w:r>
      <w:r w:rsidR="009E708E" w:rsidRPr="00FB4B14">
        <w:rPr>
          <w:rFonts w:ascii="Times New Roman" w:hAnsi="Times New Roman"/>
        </w:rPr>
        <w:t xml:space="preserve"> or indeed for the benefit of </w:t>
      </w:r>
      <w:r w:rsidR="00B952BE" w:rsidRPr="00FB4B14">
        <w:rPr>
          <w:rFonts w:ascii="Times New Roman" w:hAnsi="Times New Roman"/>
        </w:rPr>
        <w:t>M</w:t>
      </w:r>
      <w:r w:rsidR="009E708E" w:rsidRPr="00FB4B14">
        <w:rPr>
          <w:rFonts w:ascii="Times New Roman" w:hAnsi="Times New Roman"/>
        </w:rPr>
        <w:t>J</w:t>
      </w:r>
      <w:r w:rsidR="00E7086A" w:rsidRPr="00FB4B14">
        <w:rPr>
          <w:rFonts w:ascii="Times New Roman" w:hAnsi="Times New Roman"/>
        </w:rPr>
        <w:t> </w:t>
      </w:r>
      <w:r w:rsidR="009E708E" w:rsidRPr="00FB4B14">
        <w:rPr>
          <w:rFonts w:ascii="Times New Roman" w:hAnsi="Times New Roman"/>
        </w:rPr>
        <w:t xml:space="preserve">Woodman. That is because, for the reasons expressed above, that amount </w:t>
      </w:r>
      <w:r w:rsidR="00572B6A" w:rsidRPr="00FB4B14">
        <w:rPr>
          <w:rFonts w:ascii="Times New Roman" w:hAnsi="Times New Roman"/>
        </w:rPr>
        <w:t xml:space="preserve">must be applied under the statutory scheme of liquidation and be made available, amongst other things, for the making of priority payments and </w:t>
      </w:r>
      <w:r w:rsidR="00B523A3" w:rsidRPr="00FB4B14">
        <w:rPr>
          <w:rFonts w:ascii="Times New Roman" w:hAnsi="Times New Roman"/>
        </w:rPr>
        <w:t>for distribution to creditors</w:t>
      </w:r>
      <w:r w:rsidR="006752F1" w:rsidRPr="00FB4B14">
        <w:rPr>
          <w:rFonts w:ascii="Times New Roman" w:hAnsi="Times New Roman"/>
        </w:rPr>
        <w:t xml:space="preserve"> in accordance with the </w:t>
      </w:r>
      <w:proofErr w:type="spellStart"/>
      <w:r w:rsidR="009E360C" w:rsidRPr="00FB4B14">
        <w:rPr>
          <w:rFonts w:ascii="Times New Roman" w:hAnsi="Times New Roman"/>
          <w:i/>
          <w:iCs/>
        </w:rPr>
        <w:t>pari</w:t>
      </w:r>
      <w:proofErr w:type="spellEnd"/>
      <w:r w:rsidR="009E360C" w:rsidRPr="00FB4B14">
        <w:rPr>
          <w:rFonts w:ascii="Times New Roman" w:hAnsi="Times New Roman"/>
          <w:i/>
          <w:iCs/>
        </w:rPr>
        <w:t xml:space="preserve"> passu</w:t>
      </w:r>
      <w:r w:rsidR="009E360C" w:rsidRPr="00FB4B14">
        <w:rPr>
          <w:rFonts w:ascii="Times New Roman" w:hAnsi="Times New Roman"/>
        </w:rPr>
        <w:t xml:space="preserve"> principle</w:t>
      </w:r>
      <w:r w:rsidR="00B523A3" w:rsidRPr="00FB4B14">
        <w:rPr>
          <w:rFonts w:ascii="Times New Roman" w:hAnsi="Times New Roman"/>
        </w:rPr>
        <w:t>. Given the obligations and duties imposed by the statutory scheme</w:t>
      </w:r>
      <w:r w:rsidR="00202713" w:rsidRPr="00FB4B14">
        <w:rPr>
          <w:rFonts w:ascii="Times New Roman" w:hAnsi="Times New Roman"/>
        </w:rPr>
        <w:t>,</w:t>
      </w:r>
      <w:r w:rsidR="00B523A3" w:rsidRPr="00FB4B14">
        <w:rPr>
          <w:rFonts w:ascii="Times New Roman" w:hAnsi="Times New Roman"/>
        </w:rPr>
        <w:t xml:space="preserve"> it cannot be said </w:t>
      </w:r>
      <w:r w:rsidR="00C631B3" w:rsidRPr="00FB4B14">
        <w:rPr>
          <w:rFonts w:ascii="Times New Roman" w:hAnsi="Times New Roman"/>
        </w:rPr>
        <w:t xml:space="preserve">that </w:t>
      </w:r>
      <w:r w:rsidR="00536821" w:rsidRPr="00FB4B14">
        <w:rPr>
          <w:rFonts w:ascii="Times New Roman" w:hAnsi="Times New Roman"/>
        </w:rPr>
        <w:t>the interest the appellant has i</w:t>
      </w:r>
      <w:r w:rsidR="00B36A14" w:rsidRPr="00FB4B14">
        <w:rPr>
          <w:rFonts w:ascii="Times New Roman" w:hAnsi="Times New Roman"/>
        </w:rPr>
        <w:t>n</w:t>
      </w:r>
      <w:r w:rsidR="00536821" w:rsidRPr="00FB4B14">
        <w:rPr>
          <w:rFonts w:ascii="Times New Roman" w:hAnsi="Times New Roman"/>
        </w:rPr>
        <w:t xml:space="preserve"> being paid</w:t>
      </w:r>
      <w:r w:rsidR="00B36A14" w:rsidRPr="00FB4B14">
        <w:rPr>
          <w:rFonts w:ascii="Times New Roman" w:hAnsi="Times New Roman"/>
        </w:rPr>
        <w:t xml:space="preserve"> by MJ</w:t>
      </w:r>
      <w:r w:rsidR="00202713" w:rsidRPr="00FB4B14">
        <w:rPr>
          <w:rFonts w:ascii="Times New Roman" w:hAnsi="Times New Roman"/>
        </w:rPr>
        <w:t> </w:t>
      </w:r>
      <w:r w:rsidR="00B36A14" w:rsidRPr="00FB4B14">
        <w:rPr>
          <w:rFonts w:ascii="Times New Roman" w:hAnsi="Times New Roman"/>
        </w:rPr>
        <w:t>Woodman</w:t>
      </w:r>
      <w:r w:rsidR="00536821" w:rsidRPr="00FB4B14">
        <w:rPr>
          <w:rFonts w:ascii="Times New Roman" w:hAnsi="Times New Roman"/>
        </w:rPr>
        <w:t xml:space="preserve"> is the same as the interest of both the liquidat</w:t>
      </w:r>
      <w:r w:rsidR="00071A27" w:rsidRPr="00FB4B14">
        <w:rPr>
          <w:rFonts w:ascii="Times New Roman" w:hAnsi="Times New Roman"/>
        </w:rPr>
        <w:t>or</w:t>
      </w:r>
      <w:r w:rsidR="00536821" w:rsidRPr="00FB4B14">
        <w:rPr>
          <w:rFonts w:ascii="Times New Roman" w:hAnsi="Times New Roman"/>
        </w:rPr>
        <w:t xml:space="preserve"> and the company in recovering the</w:t>
      </w:r>
      <w:r w:rsidR="00913D41" w:rsidRPr="00FB4B14">
        <w:rPr>
          <w:rFonts w:ascii="Times New Roman" w:hAnsi="Times New Roman"/>
        </w:rPr>
        <w:t xml:space="preserve"> preferential</w:t>
      </w:r>
      <w:r w:rsidR="00536821" w:rsidRPr="00FB4B14">
        <w:rPr>
          <w:rFonts w:ascii="Times New Roman" w:hAnsi="Times New Roman"/>
        </w:rPr>
        <w:t xml:space="preserve"> payment.</w:t>
      </w:r>
      <w:r w:rsidR="0059587B" w:rsidRPr="00FB4B14">
        <w:rPr>
          <w:rFonts w:ascii="Times New Roman" w:hAnsi="Times New Roman"/>
        </w:rPr>
        <w:t xml:space="preserve"> The liquidator</w:t>
      </w:r>
      <w:r w:rsidR="00854F16" w:rsidRPr="00FB4B14">
        <w:rPr>
          <w:rFonts w:ascii="Times New Roman" w:hAnsi="Times New Roman"/>
        </w:rPr>
        <w:t>'</w:t>
      </w:r>
      <w:r w:rsidR="0059587B" w:rsidRPr="00FB4B14">
        <w:rPr>
          <w:rFonts w:ascii="Times New Roman" w:hAnsi="Times New Roman"/>
        </w:rPr>
        <w:t xml:space="preserve">s right of recovery is not comparable to a trading transaction </w:t>
      </w:r>
      <w:r w:rsidR="00B36A14" w:rsidRPr="00FB4B14">
        <w:rPr>
          <w:rFonts w:ascii="Times New Roman" w:hAnsi="Times New Roman"/>
        </w:rPr>
        <w:t>whereby</w:t>
      </w:r>
      <w:r w:rsidR="0059587B" w:rsidRPr="00FB4B14">
        <w:rPr>
          <w:rFonts w:ascii="Times New Roman" w:hAnsi="Times New Roman"/>
        </w:rPr>
        <w:t xml:space="preserve"> goods or services </w:t>
      </w:r>
      <w:r w:rsidR="00E964D6" w:rsidRPr="00FB4B14">
        <w:rPr>
          <w:rFonts w:ascii="Times New Roman" w:hAnsi="Times New Roman"/>
        </w:rPr>
        <w:t xml:space="preserve">have been previously supplied </w:t>
      </w:r>
      <w:r w:rsidR="0059587B" w:rsidRPr="00FB4B14">
        <w:rPr>
          <w:rFonts w:ascii="Times New Roman" w:hAnsi="Times New Roman"/>
        </w:rPr>
        <w:t xml:space="preserve">to a company; it is a unique statutory </w:t>
      </w:r>
      <w:r w:rsidR="00C35C43" w:rsidRPr="00FB4B14">
        <w:rPr>
          <w:rFonts w:ascii="Times New Roman" w:hAnsi="Times New Roman"/>
        </w:rPr>
        <w:t xml:space="preserve">ability to recover the proceeds of a voidable transaction. </w:t>
      </w:r>
    </w:p>
    <w:p w14:paraId="3D9D8004" w14:textId="6ECA574E" w:rsidR="002050ED" w:rsidRPr="00FB4B14" w:rsidRDefault="002050ED" w:rsidP="00FB4B14">
      <w:pPr>
        <w:pStyle w:val="FixListStyle"/>
        <w:spacing w:after="260" w:line="280" w:lineRule="exact"/>
        <w:ind w:right="0"/>
        <w:jc w:val="both"/>
        <w:rPr>
          <w:rFonts w:ascii="Times New Roman" w:hAnsi="Times New Roman"/>
        </w:rPr>
      </w:pPr>
      <w:r w:rsidRPr="00FB4B14">
        <w:rPr>
          <w:rFonts w:ascii="Times New Roman" w:hAnsi="Times New Roman"/>
        </w:rPr>
        <w:tab/>
        <w:t>Moreover, the fact that the statutory scheme of liquidation sufficiently provides for the winding up of a company without the need for equitable intervention does not support a conclusion that the interest of the company in receipt of a s</w:t>
      </w:r>
      <w:r w:rsidR="00E75630" w:rsidRPr="00FB4B14">
        <w:rPr>
          <w:rFonts w:ascii="Times New Roman" w:hAnsi="Times New Roman"/>
        </w:rPr>
        <w:t> </w:t>
      </w:r>
      <w:r w:rsidRPr="00FB4B14">
        <w:rPr>
          <w:rFonts w:ascii="Times New Roman" w:hAnsi="Times New Roman"/>
        </w:rPr>
        <w:t>588FF(1)(a) payment is the same as that of the preferred creditor. To the contrary, it is precisely the presence of that detailed scheme that denies mutuality of interest.</w:t>
      </w:r>
      <w:r w:rsidR="002B64A5" w:rsidRPr="00FB4B14">
        <w:rPr>
          <w:rFonts w:ascii="Times New Roman" w:hAnsi="Times New Roman"/>
        </w:rPr>
        <w:t xml:space="preserve"> </w:t>
      </w:r>
    </w:p>
    <w:p w14:paraId="2C0F5935" w14:textId="35AFD1B9" w:rsidR="001C6B11" w:rsidRPr="00FB4B14" w:rsidRDefault="00D91583" w:rsidP="00FB4B14">
      <w:pPr>
        <w:pStyle w:val="FixListStyle"/>
        <w:spacing w:after="260" w:line="280" w:lineRule="exact"/>
        <w:ind w:right="0"/>
        <w:jc w:val="both"/>
        <w:rPr>
          <w:rFonts w:ascii="Times New Roman" w:hAnsi="Times New Roman"/>
        </w:rPr>
      </w:pPr>
      <w:r w:rsidRPr="00FB4B14">
        <w:rPr>
          <w:rFonts w:ascii="Times New Roman" w:hAnsi="Times New Roman"/>
        </w:rPr>
        <w:lastRenderedPageBreak/>
        <w:tab/>
        <w:t>To the extent that the cases of</w:t>
      </w:r>
      <w:r w:rsidR="00056161" w:rsidRPr="00FB4B14">
        <w:rPr>
          <w:rFonts w:ascii="Times New Roman" w:hAnsi="Times New Roman"/>
          <w:i/>
          <w:iCs/>
        </w:rPr>
        <w:t xml:space="preserve"> Re Parker</w:t>
      </w:r>
      <w:r w:rsidR="00056161" w:rsidRPr="00FB4B14">
        <w:rPr>
          <w:rStyle w:val="FootnoteReference"/>
          <w:rFonts w:ascii="Times New Roman" w:hAnsi="Times New Roman"/>
          <w:sz w:val="24"/>
        </w:rPr>
        <w:footnoteReference w:id="79"/>
      </w:r>
      <w:r w:rsidRPr="00FB4B14">
        <w:rPr>
          <w:rFonts w:ascii="Times New Roman" w:hAnsi="Times New Roman"/>
          <w:i/>
          <w:iCs/>
        </w:rPr>
        <w:t xml:space="preserve">, </w:t>
      </w:r>
      <w:r w:rsidR="004140C0" w:rsidRPr="00FB4B14">
        <w:rPr>
          <w:rFonts w:ascii="Times New Roman" w:hAnsi="Times New Roman"/>
          <w:i/>
          <w:iCs/>
        </w:rPr>
        <w:t>Buzzle Operations Pty Ltd (</w:t>
      </w:r>
      <w:r w:rsidR="00967BFF" w:rsidRPr="00FB4B14">
        <w:rPr>
          <w:rFonts w:ascii="Times New Roman" w:hAnsi="Times New Roman"/>
          <w:i/>
          <w:iCs/>
        </w:rPr>
        <w:t>I</w:t>
      </w:r>
      <w:r w:rsidR="004140C0" w:rsidRPr="00FB4B14">
        <w:rPr>
          <w:rFonts w:ascii="Times New Roman" w:hAnsi="Times New Roman"/>
          <w:i/>
          <w:iCs/>
        </w:rPr>
        <w:t xml:space="preserve">n </w:t>
      </w:r>
      <w:proofErr w:type="spellStart"/>
      <w:r w:rsidR="00967BFF" w:rsidRPr="00FB4B14">
        <w:rPr>
          <w:rFonts w:ascii="Times New Roman" w:hAnsi="Times New Roman"/>
          <w:i/>
          <w:iCs/>
        </w:rPr>
        <w:t>l</w:t>
      </w:r>
      <w:r w:rsidR="004140C0" w:rsidRPr="00FB4B14">
        <w:rPr>
          <w:rFonts w:ascii="Times New Roman" w:hAnsi="Times New Roman"/>
          <w:i/>
          <w:iCs/>
        </w:rPr>
        <w:t>iq</w:t>
      </w:r>
      <w:proofErr w:type="spellEnd"/>
      <w:r w:rsidR="004140C0" w:rsidRPr="00FB4B14">
        <w:rPr>
          <w:rFonts w:ascii="Times New Roman" w:hAnsi="Times New Roman"/>
          <w:i/>
          <w:iCs/>
        </w:rPr>
        <w:t>) v Apple Computer Australia Pty Ltd</w:t>
      </w:r>
      <w:r w:rsidR="004140C0" w:rsidRPr="00FB4B14">
        <w:rPr>
          <w:rStyle w:val="FootnoteReference"/>
          <w:rFonts w:ascii="Times New Roman" w:hAnsi="Times New Roman"/>
          <w:sz w:val="24"/>
        </w:rPr>
        <w:footnoteReference w:id="80"/>
      </w:r>
      <w:r w:rsidR="003A257A" w:rsidRPr="00FB4B14">
        <w:rPr>
          <w:rFonts w:ascii="Times New Roman" w:hAnsi="Times New Roman"/>
        </w:rPr>
        <w:t>,</w:t>
      </w:r>
      <w:r w:rsidR="00043396" w:rsidRPr="00FB4B14">
        <w:rPr>
          <w:rFonts w:ascii="Times New Roman" w:hAnsi="Times New Roman"/>
          <w:i/>
          <w:iCs/>
        </w:rPr>
        <w:t xml:space="preserve"> </w:t>
      </w:r>
      <w:proofErr w:type="spellStart"/>
      <w:r w:rsidR="00043396" w:rsidRPr="00FB4B14">
        <w:rPr>
          <w:rFonts w:ascii="Times New Roman" w:hAnsi="Times New Roman"/>
          <w:i/>
          <w:iCs/>
        </w:rPr>
        <w:t>Shirlaw</w:t>
      </w:r>
      <w:proofErr w:type="spellEnd"/>
      <w:r w:rsidR="00043396" w:rsidRPr="00FB4B14">
        <w:rPr>
          <w:rFonts w:ascii="Times New Roman" w:hAnsi="Times New Roman"/>
          <w:i/>
          <w:iCs/>
        </w:rPr>
        <w:t xml:space="preserve"> v Lewis</w:t>
      </w:r>
      <w:r w:rsidR="00043396" w:rsidRPr="00FB4B14">
        <w:rPr>
          <w:rStyle w:val="FootnoteReference"/>
          <w:rFonts w:ascii="Times New Roman" w:hAnsi="Times New Roman"/>
          <w:sz w:val="24"/>
        </w:rPr>
        <w:footnoteReference w:id="81"/>
      </w:r>
      <w:r w:rsidR="00551CEA" w:rsidRPr="00FB4B14">
        <w:rPr>
          <w:rFonts w:ascii="Times New Roman" w:hAnsi="Times New Roman"/>
        </w:rPr>
        <w:t xml:space="preserve">, </w:t>
      </w:r>
      <w:r w:rsidR="00D9478B" w:rsidRPr="00FB4B14">
        <w:rPr>
          <w:rFonts w:ascii="Times New Roman" w:hAnsi="Times New Roman"/>
          <w:i/>
          <w:iCs/>
        </w:rPr>
        <w:t xml:space="preserve">Hall v </w:t>
      </w:r>
      <w:proofErr w:type="spellStart"/>
      <w:r w:rsidR="00D9478B" w:rsidRPr="00FB4B14">
        <w:rPr>
          <w:rFonts w:ascii="Times New Roman" w:hAnsi="Times New Roman"/>
          <w:i/>
          <w:iCs/>
        </w:rPr>
        <w:t>Poolman</w:t>
      </w:r>
      <w:proofErr w:type="spellEnd"/>
      <w:r w:rsidR="00F63168" w:rsidRPr="00FB4B14">
        <w:rPr>
          <w:rStyle w:val="FootnoteReference"/>
          <w:rFonts w:ascii="Times New Roman" w:hAnsi="Times New Roman"/>
          <w:sz w:val="24"/>
        </w:rPr>
        <w:footnoteReference w:id="82"/>
      </w:r>
      <w:r w:rsidR="00D9478B" w:rsidRPr="00FB4B14">
        <w:rPr>
          <w:rFonts w:ascii="Times New Roman" w:hAnsi="Times New Roman"/>
        </w:rPr>
        <w:t xml:space="preserve"> and </w:t>
      </w:r>
      <w:r w:rsidR="001F40E0" w:rsidRPr="00FB4B14">
        <w:rPr>
          <w:rFonts w:ascii="Times New Roman" w:hAnsi="Times New Roman"/>
          <w:i/>
        </w:rPr>
        <w:t>Stone v Melrose Cranes &amp; Rigging Pty Ltd [No 2]</w:t>
      </w:r>
      <w:r w:rsidR="00D9478B" w:rsidRPr="00FB4B14">
        <w:rPr>
          <w:rStyle w:val="FootnoteReference"/>
          <w:rFonts w:ascii="Times New Roman" w:hAnsi="Times New Roman"/>
          <w:sz w:val="24"/>
        </w:rPr>
        <w:footnoteReference w:id="83"/>
      </w:r>
      <w:r w:rsidR="00B15FD0" w:rsidRPr="00FB4B14">
        <w:rPr>
          <w:rFonts w:ascii="Times New Roman" w:hAnsi="Times New Roman"/>
        </w:rPr>
        <w:t xml:space="preserve"> are inconsistent with the above analysis, they should now </w:t>
      </w:r>
      <w:proofErr w:type="gramStart"/>
      <w:r w:rsidR="00B15FD0" w:rsidRPr="00FB4B14">
        <w:rPr>
          <w:rFonts w:ascii="Times New Roman" w:hAnsi="Times New Roman"/>
        </w:rPr>
        <w:t>be considered to be</w:t>
      </w:r>
      <w:proofErr w:type="gramEnd"/>
      <w:r w:rsidR="00B15FD0" w:rsidRPr="00FB4B14">
        <w:rPr>
          <w:rFonts w:ascii="Times New Roman" w:hAnsi="Times New Roman"/>
        </w:rPr>
        <w:t xml:space="preserve"> </w:t>
      </w:r>
      <w:r w:rsidR="006C41A8" w:rsidRPr="00FB4B14">
        <w:rPr>
          <w:rFonts w:ascii="Times New Roman" w:hAnsi="Times New Roman"/>
        </w:rPr>
        <w:t>wrongly decided.</w:t>
      </w:r>
    </w:p>
    <w:p w14:paraId="54D51771" w14:textId="700E5345" w:rsidR="00002F37" w:rsidRPr="00FB4B14" w:rsidRDefault="00FE792D"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002F37" w:rsidRPr="00FB4B14">
        <w:rPr>
          <w:rFonts w:ascii="Times New Roman" w:hAnsi="Times New Roman"/>
        </w:rPr>
        <w:t>Nor, again, does the appellant</w:t>
      </w:r>
      <w:r w:rsidR="00854F16" w:rsidRPr="00FB4B14">
        <w:rPr>
          <w:rFonts w:ascii="Times New Roman" w:hAnsi="Times New Roman"/>
        </w:rPr>
        <w:t>'</w:t>
      </w:r>
      <w:r w:rsidR="00002F37" w:rsidRPr="00FB4B14">
        <w:rPr>
          <w:rFonts w:ascii="Times New Roman" w:hAnsi="Times New Roman"/>
        </w:rPr>
        <w:t xml:space="preserve">s reliance upon the Harmer </w:t>
      </w:r>
      <w:r w:rsidR="006E2302" w:rsidRPr="00FB4B14">
        <w:rPr>
          <w:rFonts w:ascii="Times New Roman" w:hAnsi="Times New Roman"/>
        </w:rPr>
        <w:t>R</w:t>
      </w:r>
      <w:r w:rsidR="00002F37" w:rsidRPr="00FB4B14">
        <w:rPr>
          <w:rFonts w:ascii="Times New Roman" w:hAnsi="Times New Roman"/>
        </w:rPr>
        <w:t>eport</w:t>
      </w:r>
      <w:r w:rsidR="00C10CC8" w:rsidRPr="00FB4B14">
        <w:rPr>
          <w:rFonts w:ascii="Times New Roman" w:hAnsi="Times New Roman"/>
        </w:rPr>
        <w:t xml:space="preserve"> assist it. The decision said inferentially to have been made by Parliament not to enact</w:t>
      </w:r>
      <w:r w:rsidR="00551530" w:rsidRPr="00FB4B14">
        <w:rPr>
          <w:rFonts w:ascii="Times New Roman" w:hAnsi="Times New Roman"/>
        </w:rPr>
        <w:t>,</w:t>
      </w:r>
      <w:r w:rsidR="00C10CC8" w:rsidRPr="00FB4B14">
        <w:rPr>
          <w:rFonts w:ascii="Times New Roman" w:hAnsi="Times New Roman"/>
        </w:rPr>
        <w:t xml:space="preserve"> as part of</w:t>
      </w:r>
      <w:r w:rsidR="00CB568A" w:rsidRPr="00FB4B14">
        <w:rPr>
          <w:rFonts w:ascii="Times New Roman" w:hAnsi="Times New Roman"/>
        </w:rPr>
        <w:t xml:space="preserve"> s </w:t>
      </w:r>
      <w:r w:rsidR="00C10CC8" w:rsidRPr="00FB4B14">
        <w:rPr>
          <w:rFonts w:ascii="Times New Roman" w:hAnsi="Times New Roman"/>
        </w:rPr>
        <w:t>553C</w:t>
      </w:r>
      <w:r w:rsidR="00551530" w:rsidRPr="00FB4B14">
        <w:rPr>
          <w:rFonts w:ascii="Times New Roman" w:hAnsi="Times New Roman"/>
        </w:rPr>
        <w:t>,</w:t>
      </w:r>
      <w:r w:rsidR="00C10CC8" w:rsidRPr="00FB4B14">
        <w:rPr>
          <w:rFonts w:ascii="Times New Roman" w:hAnsi="Times New Roman"/>
        </w:rPr>
        <w:t xml:space="preserve"> an express exclusion for voidable transactions</w:t>
      </w:r>
      <w:r w:rsidR="008F58C4" w:rsidRPr="00FB4B14">
        <w:rPr>
          <w:rFonts w:ascii="Times New Roman" w:hAnsi="Times New Roman"/>
        </w:rPr>
        <w:t xml:space="preserve"> may have taken place because, for the reasons set out in this judgment, no such exclusion was ever needed.</w:t>
      </w:r>
    </w:p>
    <w:p w14:paraId="0A716C55" w14:textId="32772845" w:rsidR="00B90C41" w:rsidRPr="00FB4B14" w:rsidRDefault="00002F37"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950511" w:rsidRPr="00FB4B14">
        <w:rPr>
          <w:rFonts w:ascii="Times New Roman" w:hAnsi="Times New Roman"/>
        </w:rPr>
        <w:t>The presence of</w:t>
      </w:r>
      <w:r w:rsidR="00CB568A" w:rsidRPr="00FB4B14">
        <w:rPr>
          <w:rFonts w:ascii="Times New Roman" w:hAnsi="Times New Roman"/>
        </w:rPr>
        <w:t xml:space="preserve"> s </w:t>
      </w:r>
      <w:r w:rsidR="00950511" w:rsidRPr="00FB4B14">
        <w:rPr>
          <w:rFonts w:ascii="Times New Roman" w:hAnsi="Times New Roman"/>
        </w:rPr>
        <w:t xml:space="preserve">588FI within the statutory scheme of liquidation supports the </w:t>
      </w:r>
      <w:r w:rsidR="00E3282C" w:rsidRPr="00FB4B14">
        <w:rPr>
          <w:rFonts w:ascii="Times New Roman" w:hAnsi="Times New Roman"/>
        </w:rPr>
        <w:t>outcome here</w:t>
      </w:r>
      <w:r w:rsidR="00950511" w:rsidRPr="00FB4B14">
        <w:rPr>
          <w:rFonts w:ascii="Times New Roman" w:hAnsi="Times New Roman"/>
        </w:rPr>
        <w:t>.</w:t>
      </w:r>
      <w:r w:rsidR="00505419" w:rsidRPr="00FB4B14">
        <w:rPr>
          <w:rFonts w:ascii="Times New Roman" w:hAnsi="Times New Roman"/>
        </w:rPr>
        <w:t xml:space="preserve"> It will be recalled that this section applies when </w:t>
      </w:r>
      <w:r w:rsidR="00A32147" w:rsidRPr="00FB4B14">
        <w:rPr>
          <w:rFonts w:ascii="Times New Roman" w:hAnsi="Times New Roman"/>
        </w:rPr>
        <w:t>a</w:t>
      </w:r>
      <w:r w:rsidR="00505419" w:rsidRPr="00FB4B14">
        <w:rPr>
          <w:rFonts w:ascii="Times New Roman" w:hAnsi="Times New Roman"/>
        </w:rPr>
        <w:t xml:space="preserve"> creditor who has received </w:t>
      </w:r>
      <w:r w:rsidR="00FA6FCC" w:rsidRPr="00FB4B14">
        <w:rPr>
          <w:rFonts w:ascii="Times New Roman" w:hAnsi="Times New Roman"/>
        </w:rPr>
        <w:t xml:space="preserve">an unfair preference has </w:t>
      </w:r>
      <w:r w:rsidR="00854F16" w:rsidRPr="00FB4B14">
        <w:rPr>
          <w:rFonts w:ascii="Times New Roman" w:hAnsi="Times New Roman"/>
        </w:rPr>
        <w:t>"</w:t>
      </w:r>
      <w:r w:rsidR="00FA6FCC" w:rsidRPr="00FB4B14">
        <w:rPr>
          <w:rFonts w:ascii="Times New Roman" w:hAnsi="Times New Roman"/>
        </w:rPr>
        <w:t>put the company in the same position as if the transaction had not been entered into</w:t>
      </w:r>
      <w:r w:rsidR="00854F16" w:rsidRPr="00FB4B14">
        <w:rPr>
          <w:rFonts w:ascii="Times New Roman" w:hAnsi="Times New Roman"/>
        </w:rPr>
        <w:t>"</w:t>
      </w:r>
      <w:r w:rsidR="00FA6FCC" w:rsidRPr="00FB4B14">
        <w:rPr>
          <w:rStyle w:val="FootnoteReference"/>
          <w:rFonts w:ascii="Times New Roman" w:hAnsi="Times New Roman"/>
          <w:sz w:val="24"/>
        </w:rPr>
        <w:footnoteReference w:id="84"/>
      </w:r>
      <w:r w:rsidR="00481B6F" w:rsidRPr="00FB4B14">
        <w:rPr>
          <w:rFonts w:ascii="Times New Roman" w:hAnsi="Times New Roman"/>
        </w:rPr>
        <w:t>.</w:t>
      </w:r>
      <w:r w:rsidR="00AD4A60" w:rsidRPr="00FB4B14">
        <w:rPr>
          <w:rFonts w:ascii="Times New Roman" w:hAnsi="Times New Roman"/>
        </w:rPr>
        <w:t xml:space="preserve"> The creditor may then prove in the winding up as if </w:t>
      </w:r>
      <w:r w:rsidR="00941D27" w:rsidRPr="00FB4B14">
        <w:rPr>
          <w:rFonts w:ascii="Times New Roman" w:hAnsi="Times New Roman"/>
        </w:rPr>
        <w:t xml:space="preserve">the transaction </w:t>
      </w:r>
      <w:r w:rsidR="00CC4D59" w:rsidRPr="00FB4B14">
        <w:rPr>
          <w:rFonts w:ascii="Times New Roman" w:hAnsi="Times New Roman"/>
        </w:rPr>
        <w:t xml:space="preserve">had not been </w:t>
      </w:r>
      <w:r w:rsidR="00AD4A60" w:rsidRPr="00FB4B14">
        <w:rPr>
          <w:rFonts w:ascii="Times New Roman" w:hAnsi="Times New Roman"/>
        </w:rPr>
        <w:t>entered into</w:t>
      </w:r>
      <w:r w:rsidR="00AD4A60" w:rsidRPr="00FB4B14">
        <w:rPr>
          <w:rStyle w:val="FootnoteReference"/>
          <w:rFonts w:ascii="Times New Roman" w:hAnsi="Times New Roman"/>
          <w:sz w:val="24"/>
        </w:rPr>
        <w:footnoteReference w:id="85"/>
      </w:r>
      <w:r w:rsidR="00AD4A60" w:rsidRPr="00FB4B14">
        <w:rPr>
          <w:rFonts w:ascii="Times New Roman" w:hAnsi="Times New Roman"/>
        </w:rPr>
        <w:t>.</w:t>
      </w:r>
      <w:r w:rsidR="00B17620" w:rsidRPr="00FB4B14">
        <w:rPr>
          <w:rFonts w:ascii="Times New Roman" w:hAnsi="Times New Roman"/>
        </w:rPr>
        <w:t xml:space="preserve"> Permitting a</w:t>
      </w:r>
      <w:r w:rsidR="004F3EF5" w:rsidRPr="00FB4B14">
        <w:rPr>
          <w:rFonts w:ascii="Times New Roman" w:hAnsi="Times New Roman"/>
        </w:rPr>
        <w:t xml:space="preserve"> preferred creditor to set</w:t>
      </w:r>
      <w:r w:rsidR="00045FFA" w:rsidRPr="00FB4B14">
        <w:rPr>
          <w:rFonts w:ascii="Times New Roman" w:hAnsi="Times New Roman"/>
        </w:rPr>
        <w:t xml:space="preserve"> </w:t>
      </w:r>
      <w:r w:rsidR="004F3EF5" w:rsidRPr="00FB4B14">
        <w:rPr>
          <w:rFonts w:ascii="Times New Roman" w:hAnsi="Times New Roman"/>
        </w:rPr>
        <w:t xml:space="preserve">off </w:t>
      </w:r>
      <w:r w:rsidR="00CC4D59" w:rsidRPr="00FB4B14">
        <w:rPr>
          <w:rFonts w:ascii="Times New Roman" w:hAnsi="Times New Roman"/>
        </w:rPr>
        <w:t xml:space="preserve">its </w:t>
      </w:r>
      <w:r w:rsidR="004F3EF5" w:rsidRPr="00FB4B14">
        <w:rPr>
          <w:rFonts w:ascii="Times New Roman" w:hAnsi="Times New Roman"/>
        </w:rPr>
        <w:t>liability under</w:t>
      </w:r>
      <w:r w:rsidR="00CB568A" w:rsidRPr="00FB4B14">
        <w:rPr>
          <w:rFonts w:ascii="Times New Roman" w:hAnsi="Times New Roman"/>
        </w:rPr>
        <w:t xml:space="preserve"> s </w:t>
      </w:r>
      <w:r w:rsidR="004F3EF5" w:rsidRPr="00FB4B14">
        <w:rPr>
          <w:rFonts w:ascii="Times New Roman" w:hAnsi="Times New Roman"/>
        </w:rPr>
        <w:t>588FF(1)(a)</w:t>
      </w:r>
      <w:r w:rsidR="004E6612" w:rsidRPr="00FB4B14">
        <w:rPr>
          <w:rFonts w:ascii="Times New Roman" w:hAnsi="Times New Roman"/>
        </w:rPr>
        <w:t xml:space="preserve"> with the liability owed to </w:t>
      </w:r>
      <w:r w:rsidR="00CC4D59" w:rsidRPr="00FB4B14">
        <w:rPr>
          <w:rFonts w:ascii="Times New Roman" w:hAnsi="Times New Roman"/>
        </w:rPr>
        <w:t xml:space="preserve">it </w:t>
      </w:r>
      <w:r w:rsidR="004E6612" w:rsidRPr="00FB4B14">
        <w:rPr>
          <w:rFonts w:ascii="Times New Roman" w:hAnsi="Times New Roman"/>
        </w:rPr>
        <w:t>by the company would undermine</w:t>
      </w:r>
      <w:r w:rsidR="00876BE9" w:rsidRPr="00FB4B14">
        <w:rPr>
          <w:rFonts w:ascii="Times New Roman" w:hAnsi="Times New Roman"/>
        </w:rPr>
        <w:t xml:space="preserve"> a purpose of the recovery of unfair preferences</w:t>
      </w:r>
      <w:r w:rsidR="003E3FF3" w:rsidRPr="00FB4B14">
        <w:rPr>
          <w:rFonts w:ascii="Times New Roman" w:hAnsi="Times New Roman"/>
        </w:rPr>
        <w:t>, revealed by this section,</w:t>
      </w:r>
      <w:r w:rsidR="00876BE9" w:rsidRPr="00FB4B14">
        <w:rPr>
          <w:rFonts w:ascii="Times New Roman" w:hAnsi="Times New Roman"/>
        </w:rPr>
        <w:t xml:space="preserve"> which is to restore to the pool of distributable assets those payments </w:t>
      </w:r>
      <w:r w:rsidR="00603D88" w:rsidRPr="00FB4B14">
        <w:rPr>
          <w:rFonts w:ascii="Times New Roman" w:hAnsi="Times New Roman"/>
        </w:rPr>
        <w:t>made under voidable transactions. A set-off</w:t>
      </w:r>
      <w:r w:rsidR="00D8623F" w:rsidRPr="00FB4B14">
        <w:rPr>
          <w:rFonts w:ascii="Times New Roman" w:hAnsi="Times New Roman"/>
        </w:rPr>
        <w:t>,</w:t>
      </w:r>
      <w:r w:rsidR="00603D88" w:rsidRPr="00FB4B14">
        <w:rPr>
          <w:rFonts w:ascii="Times New Roman" w:hAnsi="Times New Roman"/>
        </w:rPr>
        <w:t xml:space="preserve"> in contrast, would leave that pool diminished</w:t>
      </w:r>
      <w:r w:rsidR="00FA15CA" w:rsidRPr="00FB4B14">
        <w:rPr>
          <w:rFonts w:ascii="Times New Roman" w:hAnsi="Times New Roman"/>
        </w:rPr>
        <w:t>, for the reasons already expressed.</w:t>
      </w:r>
      <w:r w:rsidR="00D50E82" w:rsidRPr="00FB4B14">
        <w:rPr>
          <w:rFonts w:ascii="Times New Roman" w:hAnsi="Times New Roman"/>
        </w:rPr>
        <w:t xml:space="preserve"> Such an outcome can hardly have been intended.</w:t>
      </w:r>
      <w:r w:rsidR="00603D88" w:rsidRPr="00FB4B14">
        <w:rPr>
          <w:rFonts w:ascii="Times New Roman" w:hAnsi="Times New Roman"/>
        </w:rPr>
        <w:t xml:space="preserve"> </w:t>
      </w:r>
    </w:p>
    <w:p w14:paraId="4B4D7EDB" w14:textId="674C469E" w:rsidR="002E62C8" w:rsidRPr="00FB4B14" w:rsidRDefault="002E62C8"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1460FC" w:rsidRPr="00FB4B14">
        <w:rPr>
          <w:rFonts w:ascii="Times New Roman" w:hAnsi="Times New Roman"/>
        </w:rPr>
        <w:t>The</w:t>
      </w:r>
      <w:r w:rsidRPr="00FB4B14">
        <w:rPr>
          <w:rFonts w:ascii="Times New Roman" w:hAnsi="Times New Roman"/>
        </w:rPr>
        <w:t xml:space="preserve"> appeal should be dismissed.</w:t>
      </w:r>
    </w:p>
    <w:p w14:paraId="3A539233" w14:textId="63ECB204" w:rsidR="00214751" w:rsidRPr="00FB4B14" w:rsidRDefault="00214751" w:rsidP="00FB4B14">
      <w:pPr>
        <w:pStyle w:val="HeadingL1"/>
        <w:spacing w:after="260" w:line="280" w:lineRule="exact"/>
        <w:ind w:right="0"/>
        <w:jc w:val="both"/>
        <w:rPr>
          <w:rFonts w:ascii="Times New Roman" w:hAnsi="Times New Roman"/>
        </w:rPr>
      </w:pPr>
      <w:r w:rsidRPr="00FB4B14">
        <w:rPr>
          <w:rFonts w:ascii="Times New Roman" w:hAnsi="Times New Roman"/>
        </w:rPr>
        <w:lastRenderedPageBreak/>
        <w:t>Costs</w:t>
      </w:r>
    </w:p>
    <w:p w14:paraId="7176AA98" w14:textId="5D4CC1FB" w:rsidR="00214751" w:rsidRPr="00FB4B14" w:rsidRDefault="00463E24" w:rsidP="00FB4B14">
      <w:pPr>
        <w:pStyle w:val="FixListStyle"/>
        <w:spacing w:after="260" w:line="280" w:lineRule="exact"/>
        <w:ind w:right="0"/>
        <w:jc w:val="both"/>
        <w:rPr>
          <w:rFonts w:ascii="Times New Roman" w:hAnsi="Times New Roman"/>
        </w:rPr>
      </w:pPr>
      <w:r w:rsidRPr="00FB4B14">
        <w:rPr>
          <w:rFonts w:ascii="Times New Roman" w:hAnsi="Times New Roman"/>
        </w:rPr>
        <w:tab/>
      </w:r>
      <w:r w:rsidR="00985F7C" w:rsidRPr="00FB4B14">
        <w:rPr>
          <w:rFonts w:ascii="Times New Roman" w:hAnsi="Times New Roman"/>
        </w:rPr>
        <w:t>As mentioned above, t</w:t>
      </w:r>
      <w:r w:rsidRPr="00FB4B14">
        <w:rPr>
          <w:rFonts w:ascii="Times New Roman" w:hAnsi="Times New Roman"/>
        </w:rPr>
        <w:t xml:space="preserve">he Full Court of the Federal Court </w:t>
      </w:r>
      <w:r w:rsidR="00985F7C" w:rsidRPr="00FB4B14">
        <w:rPr>
          <w:rFonts w:ascii="Times New Roman" w:hAnsi="Times New Roman"/>
        </w:rPr>
        <w:t xml:space="preserve">ordered </w:t>
      </w:r>
      <w:r w:rsidR="00197935" w:rsidRPr="00FB4B14">
        <w:rPr>
          <w:rFonts w:ascii="Times New Roman" w:hAnsi="Times New Roman"/>
        </w:rPr>
        <w:t xml:space="preserve">that the costs of the Amended Special Case be reserved for determination by the docket judge upon the resolution of </w:t>
      </w:r>
      <w:proofErr w:type="gramStart"/>
      <w:r w:rsidR="00197935" w:rsidRPr="00FB4B14">
        <w:rPr>
          <w:rFonts w:ascii="Times New Roman" w:hAnsi="Times New Roman"/>
        </w:rPr>
        <w:t>all of</w:t>
      </w:r>
      <w:proofErr w:type="gramEnd"/>
      <w:r w:rsidR="00197935" w:rsidRPr="00FB4B14">
        <w:rPr>
          <w:rFonts w:ascii="Times New Roman" w:hAnsi="Times New Roman"/>
        </w:rPr>
        <w:t xml:space="preserve"> the out</w:t>
      </w:r>
      <w:r w:rsidR="00DE6DCD" w:rsidRPr="00FB4B14">
        <w:rPr>
          <w:rFonts w:ascii="Times New Roman" w:hAnsi="Times New Roman"/>
        </w:rPr>
        <w:t xml:space="preserve">standing issues between the parties. That was because the appellant had two further defences </w:t>
      </w:r>
      <w:r w:rsidR="004907BD" w:rsidRPr="00FB4B14">
        <w:rPr>
          <w:rFonts w:ascii="Times New Roman" w:hAnsi="Times New Roman"/>
        </w:rPr>
        <w:t xml:space="preserve">which have yet to be resolved. If those defences are successful, </w:t>
      </w:r>
      <w:r w:rsidR="00381E37" w:rsidRPr="00FB4B14">
        <w:rPr>
          <w:rFonts w:ascii="Times New Roman" w:hAnsi="Times New Roman"/>
        </w:rPr>
        <w:t xml:space="preserve">then, </w:t>
      </w:r>
      <w:r w:rsidR="004907BD" w:rsidRPr="00FB4B14">
        <w:rPr>
          <w:rFonts w:ascii="Times New Roman" w:hAnsi="Times New Roman"/>
        </w:rPr>
        <w:t>as the Full Court acknowledged</w:t>
      </w:r>
      <w:r w:rsidR="00381E37" w:rsidRPr="00FB4B14">
        <w:rPr>
          <w:rFonts w:ascii="Times New Roman" w:hAnsi="Times New Roman"/>
        </w:rPr>
        <w:t>,</w:t>
      </w:r>
      <w:r w:rsidR="004907BD" w:rsidRPr="00FB4B14">
        <w:rPr>
          <w:rFonts w:ascii="Times New Roman" w:hAnsi="Times New Roman"/>
        </w:rPr>
        <w:t xml:space="preserve"> </w:t>
      </w:r>
      <w:r w:rsidR="00854F16" w:rsidRPr="00FB4B14">
        <w:rPr>
          <w:rFonts w:ascii="Times New Roman" w:hAnsi="Times New Roman"/>
        </w:rPr>
        <w:t>"</w:t>
      </w:r>
      <w:r w:rsidR="00E5038B" w:rsidRPr="00FB4B14">
        <w:rPr>
          <w:rFonts w:ascii="Times New Roman" w:hAnsi="Times New Roman"/>
        </w:rPr>
        <w:t>the special case, while fully argued, may be of no moment as between the parties (though of significance to insolvency practice generally in Australia)</w:t>
      </w:r>
      <w:r w:rsidR="00854F16" w:rsidRPr="00FB4B14">
        <w:rPr>
          <w:rFonts w:ascii="Times New Roman" w:hAnsi="Times New Roman"/>
        </w:rPr>
        <w:t>"</w:t>
      </w:r>
      <w:r w:rsidR="00E5038B" w:rsidRPr="00FB4B14">
        <w:rPr>
          <w:rStyle w:val="FootnoteReference"/>
          <w:rFonts w:ascii="Times New Roman" w:hAnsi="Times New Roman"/>
          <w:sz w:val="24"/>
        </w:rPr>
        <w:footnoteReference w:id="86"/>
      </w:r>
      <w:r w:rsidR="00F72B27" w:rsidRPr="00FB4B14">
        <w:rPr>
          <w:rFonts w:ascii="Times New Roman" w:hAnsi="Times New Roman"/>
        </w:rPr>
        <w:t>. In such circumstances</w:t>
      </w:r>
      <w:r w:rsidR="00DF209B" w:rsidRPr="00FB4B14">
        <w:rPr>
          <w:rFonts w:ascii="Times New Roman" w:hAnsi="Times New Roman"/>
        </w:rPr>
        <w:t>,</w:t>
      </w:r>
      <w:r w:rsidR="00F72B27" w:rsidRPr="00FB4B14">
        <w:rPr>
          <w:rFonts w:ascii="Times New Roman" w:hAnsi="Times New Roman"/>
        </w:rPr>
        <w:t xml:space="preserve"> the Full Court recognised that the success </w:t>
      </w:r>
      <w:r w:rsidR="00A87C0F" w:rsidRPr="00FB4B14">
        <w:rPr>
          <w:rFonts w:ascii="Times New Roman" w:hAnsi="Times New Roman"/>
        </w:rPr>
        <w:t xml:space="preserve">or failure </w:t>
      </w:r>
      <w:r w:rsidR="00F72B27" w:rsidRPr="00FB4B14">
        <w:rPr>
          <w:rFonts w:ascii="Times New Roman" w:hAnsi="Times New Roman"/>
        </w:rPr>
        <w:t>of those further defences</w:t>
      </w:r>
      <w:r w:rsidR="00A87C0F" w:rsidRPr="00FB4B14">
        <w:rPr>
          <w:rFonts w:ascii="Times New Roman" w:hAnsi="Times New Roman"/>
        </w:rPr>
        <w:t xml:space="preserve"> would bear upon the issue of costs. That conclusion should not be disturbed. Mor</w:t>
      </w:r>
      <w:r w:rsidR="004B4203" w:rsidRPr="00FB4B14">
        <w:rPr>
          <w:rFonts w:ascii="Times New Roman" w:hAnsi="Times New Roman"/>
        </w:rPr>
        <w:t>eo</w:t>
      </w:r>
      <w:r w:rsidR="00A87C0F" w:rsidRPr="00FB4B14">
        <w:rPr>
          <w:rFonts w:ascii="Times New Roman" w:hAnsi="Times New Roman"/>
        </w:rPr>
        <w:t xml:space="preserve">ver, it also justifies </w:t>
      </w:r>
      <w:r w:rsidR="004B4203" w:rsidRPr="00FB4B14">
        <w:rPr>
          <w:rFonts w:ascii="Times New Roman" w:hAnsi="Times New Roman"/>
        </w:rPr>
        <w:t xml:space="preserve">an order that the costs of this appeal </w:t>
      </w:r>
      <w:r w:rsidR="00985F7C" w:rsidRPr="00FB4B14">
        <w:rPr>
          <w:rFonts w:ascii="Times New Roman" w:hAnsi="Times New Roman"/>
        </w:rPr>
        <w:t xml:space="preserve">should </w:t>
      </w:r>
      <w:r w:rsidR="004B4203" w:rsidRPr="00FB4B14">
        <w:rPr>
          <w:rFonts w:ascii="Times New Roman" w:hAnsi="Times New Roman"/>
        </w:rPr>
        <w:t xml:space="preserve">be </w:t>
      </w:r>
      <w:r w:rsidR="00ED69C9" w:rsidRPr="00FB4B14">
        <w:rPr>
          <w:rFonts w:ascii="Times New Roman" w:hAnsi="Times New Roman"/>
        </w:rPr>
        <w:t>costs in the cause</w:t>
      </w:r>
      <w:r w:rsidR="00F25513" w:rsidRPr="00FB4B14">
        <w:rPr>
          <w:rFonts w:ascii="Times New Roman" w:hAnsi="Times New Roman"/>
        </w:rPr>
        <w:t xml:space="preserve"> so that the costs can follow </w:t>
      </w:r>
      <w:r w:rsidR="00A02B6D" w:rsidRPr="00FB4B14">
        <w:rPr>
          <w:rFonts w:ascii="Times New Roman" w:hAnsi="Times New Roman"/>
        </w:rPr>
        <w:t xml:space="preserve">resolution </w:t>
      </w:r>
      <w:r w:rsidR="00F25513" w:rsidRPr="00FB4B14">
        <w:rPr>
          <w:rFonts w:ascii="Times New Roman" w:hAnsi="Times New Roman"/>
        </w:rPr>
        <w:t>of a</w:t>
      </w:r>
      <w:r w:rsidR="00545932" w:rsidRPr="00FB4B14">
        <w:rPr>
          <w:rFonts w:ascii="Times New Roman" w:hAnsi="Times New Roman"/>
        </w:rPr>
        <w:t>ll</w:t>
      </w:r>
      <w:r w:rsidR="00F25513" w:rsidRPr="00FB4B14">
        <w:rPr>
          <w:rFonts w:ascii="Times New Roman" w:hAnsi="Times New Roman"/>
        </w:rPr>
        <w:t xml:space="preserve"> </w:t>
      </w:r>
      <w:r w:rsidR="00635CE3" w:rsidRPr="00FB4B14">
        <w:rPr>
          <w:rFonts w:ascii="Times New Roman" w:hAnsi="Times New Roman"/>
        </w:rPr>
        <w:t xml:space="preserve">yet to be determined </w:t>
      </w:r>
      <w:r w:rsidR="00F25513" w:rsidRPr="00FB4B14">
        <w:rPr>
          <w:rFonts w:ascii="Times New Roman" w:hAnsi="Times New Roman"/>
        </w:rPr>
        <w:t>question</w:t>
      </w:r>
      <w:r w:rsidR="00545932" w:rsidRPr="00FB4B14">
        <w:rPr>
          <w:rFonts w:ascii="Times New Roman" w:hAnsi="Times New Roman"/>
        </w:rPr>
        <w:t>s</w:t>
      </w:r>
      <w:r w:rsidR="00F25513" w:rsidRPr="00FB4B14">
        <w:rPr>
          <w:rFonts w:ascii="Times New Roman" w:hAnsi="Times New Roman"/>
        </w:rPr>
        <w:t xml:space="preserve">, </w:t>
      </w:r>
      <w:r w:rsidR="00D57040" w:rsidRPr="00FB4B14">
        <w:rPr>
          <w:rFonts w:ascii="Times New Roman" w:hAnsi="Times New Roman"/>
        </w:rPr>
        <w:t xml:space="preserve">including </w:t>
      </w:r>
      <w:r w:rsidR="00635CE3" w:rsidRPr="00FB4B14">
        <w:rPr>
          <w:rFonts w:ascii="Times New Roman" w:hAnsi="Times New Roman"/>
        </w:rPr>
        <w:t xml:space="preserve">whether </w:t>
      </w:r>
      <w:r w:rsidR="00FF2D03" w:rsidRPr="00FB4B14">
        <w:rPr>
          <w:rFonts w:ascii="Times New Roman" w:hAnsi="Times New Roman"/>
        </w:rPr>
        <w:t>the litigation should be treated as public interest litigation</w:t>
      </w:r>
      <w:r w:rsidR="00EF681F" w:rsidRPr="00FB4B14">
        <w:rPr>
          <w:rFonts w:ascii="Times New Roman" w:hAnsi="Times New Roman"/>
        </w:rPr>
        <w:t>.</w:t>
      </w:r>
    </w:p>
    <w:p w14:paraId="4A60B8DB" w14:textId="76A444A7" w:rsidR="00741D0C" w:rsidRPr="00FB4B14" w:rsidRDefault="00741D0C" w:rsidP="00FB4B14">
      <w:pPr>
        <w:pStyle w:val="HeadingL1"/>
        <w:spacing w:after="260" w:line="280" w:lineRule="exact"/>
        <w:ind w:right="0"/>
        <w:jc w:val="both"/>
        <w:rPr>
          <w:rFonts w:ascii="Times New Roman" w:hAnsi="Times New Roman"/>
        </w:rPr>
      </w:pPr>
      <w:r w:rsidRPr="00FB4B14">
        <w:rPr>
          <w:rFonts w:ascii="Times New Roman" w:hAnsi="Times New Roman"/>
        </w:rPr>
        <w:t>Conclusion</w:t>
      </w:r>
    </w:p>
    <w:p w14:paraId="686C415B" w14:textId="7587A187" w:rsidR="005868B7" w:rsidRPr="005868B7" w:rsidRDefault="00370D0F" w:rsidP="00C87A56">
      <w:pPr>
        <w:pStyle w:val="FixListStyle"/>
        <w:spacing w:after="260" w:line="280" w:lineRule="exact"/>
        <w:ind w:right="0"/>
        <w:jc w:val="both"/>
        <w:rPr>
          <w:rFonts w:ascii="Times New Roman" w:hAnsi="Times New Roman"/>
        </w:rPr>
      </w:pPr>
      <w:r w:rsidRPr="005868B7">
        <w:rPr>
          <w:rFonts w:ascii="Times New Roman" w:hAnsi="Times New Roman"/>
        </w:rPr>
        <w:tab/>
      </w:r>
      <w:r w:rsidR="00FB22A2" w:rsidRPr="005868B7">
        <w:rPr>
          <w:rFonts w:ascii="Times New Roman" w:hAnsi="Times New Roman"/>
        </w:rPr>
        <w:t>For these reasons, the appeal should be dismissed, with costs in the cause.</w:t>
      </w:r>
    </w:p>
    <w:p w14:paraId="4BB38CE5" w14:textId="77777777" w:rsidR="005868B7" w:rsidRDefault="005868B7" w:rsidP="00FB4B14">
      <w:pPr>
        <w:pStyle w:val="NormalBody"/>
        <w:spacing w:after="260" w:line="280" w:lineRule="exact"/>
        <w:ind w:right="0"/>
        <w:jc w:val="both"/>
        <w:rPr>
          <w:rFonts w:ascii="Times New Roman" w:hAnsi="Times New Roman"/>
        </w:rPr>
        <w:sectPr w:rsidR="005868B7" w:rsidSect="00A72180">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1842A6B9" w14:textId="77777777" w:rsidR="005868B7" w:rsidRPr="00B9440D" w:rsidRDefault="005868B7" w:rsidP="005868B7">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9440D">
        <w:rPr>
          <w:rFonts w:ascii="Times New Roman" w:hAnsi="Times New Roman"/>
        </w:rPr>
        <w:lastRenderedPageBreak/>
        <w:t xml:space="preserve">GAGELER J.   The question reserved for the consideration of the Full Court of the Federal Court of Australia was properly framed by reference to rights in issue in the ongoing proceeding in the Federal Court in which a liquidator (the first respondent in this Court) claims against a creditor (the appellant in this Court) an order, under s 588FF(1)(a) of the </w:t>
      </w:r>
      <w:r w:rsidRPr="00B9440D">
        <w:rPr>
          <w:rFonts w:ascii="Times New Roman" w:hAnsi="Times New Roman"/>
          <w:i/>
          <w:iCs/>
        </w:rPr>
        <w:t>Corporations Act 2001</w:t>
      </w:r>
      <w:r w:rsidRPr="00B9440D">
        <w:rPr>
          <w:rFonts w:ascii="Times New Roman" w:hAnsi="Times New Roman"/>
        </w:rPr>
        <w:t xml:space="preserve"> (</w:t>
      </w:r>
      <w:proofErr w:type="spellStart"/>
      <w:r w:rsidRPr="00B9440D">
        <w:rPr>
          <w:rFonts w:ascii="Times New Roman" w:hAnsi="Times New Roman"/>
        </w:rPr>
        <w:t>Cth</w:t>
      </w:r>
      <w:proofErr w:type="spellEnd"/>
      <w:r w:rsidRPr="00B9440D">
        <w:rPr>
          <w:rFonts w:ascii="Times New Roman" w:hAnsi="Times New Roman"/>
        </w:rPr>
        <w:t>) ("the Act"), directing the creditor to repay to a company in liquidation (the second respondent in this Court) an amount equal to amounts that the company paid to the creditor in transactions which the liquidator claims to have been voidable because of s 588FE of the Act on the basis of those payments having been unfair preferences and insolvent transactions within the meanings of s 588FA and s 588FC of the Act.</w:t>
      </w:r>
    </w:p>
    <w:p w14:paraId="5002BF7A"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Informing the answer to that question about specific rights in issue in the ongoing proceeding is an examination of the general question of statutory construction on which the outcome of this appeal turns. Does s 553C of the Act entitle a creditor to set off an amount equivalent to that received as an unfair preference in repayment of a debt, which the creditor is ordered under s 588FF(1)(a) of the Act to repay to a company in liquidation, against the amount of another debt which the creditor can prove in the winding up of the company?</w:t>
      </w:r>
    </w:p>
    <w:p w14:paraId="147894F9"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 xml:space="preserve">To be observed at the outset is that the consequence of the creditor being entitled to set off the two amounts would be at odds with the scheme of Pt 5.6 of the Act, of which s 553C forms part. Within a system of winding up in which unsecured creditors of an insolvent company in liquidation generally rank </w:t>
      </w:r>
      <w:proofErr w:type="spellStart"/>
      <w:r w:rsidRPr="00B9440D">
        <w:rPr>
          <w:rFonts w:ascii="Times New Roman" w:hAnsi="Times New Roman"/>
        </w:rPr>
        <w:t>pari</w:t>
      </w:r>
      <w:proofErr w:type="spellEnd"/>
      <w:r w:rsidRPr="00B9440D">
        <w:rPr>
          <w:rFonts w:ascii="Times New Roman" w:hAnsi="Times New Roman"/>
        </w:rPr>
        <w:t xml:space="preserve"> passu in the distribution of the property of the company</w:t>
      </w:r>
      <w:r w:rsidRPr="00B9440D">
        <w:rPr>
          <w:rStyle w:val="FootnoteReference"/>
          <w:rFonts w:ascii="Times New Roman" w:hAnsi="Times New Roman"/>
          <w:sz w:val="24"/>
        </w:rPr>
        <w:footnoteReference w:id="87"/>
      </w:r>
      <w:r w:rsidRPr="00B9440D">
        <w:rPr>
          <w:rFonts w:ascii="Times New Roman" w:hAnsi="Times New Roman"/>
        </w:rPr>
        <w:t>, an unfairly preferred creditor – who has by definition engaged in a transaction by which the creditor has received from the company more than the creditor would receive if the transaction were set aside and the creditor were to prove for the debt in the winding up of the company</w:t>
      </w:r>
      <w:r w:rsidRPr="00B9440D">
        <w:rPr>
          <w:rStyle w:val="FootnoteReference"/>
          <w:rFonts w:ascii="Times New Roman" w:hAnsi="Times New Roman"/>
          <w:sz w:val="24"/>
        </w:rPr>
        <w:footnoteReference w:id="88"/>
      </w:r>
      <w:r w:rsidRPr="00B9440D">
        <w:rPr>
          <w:rFonts w:ascii="Times New Roman" w:hAnsi="Times New Roman"/>
        </w:rPr>
        <w:t xml:space="preserve"> – would be entitled to rely on the unfair preference to improve that creditor's position in relation to other creditors. </w:t>
      </w:r>
    </w:p>
    <w:p w14:paraId="70F7CC47"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In the Full Court</w:t>
      </w:r>
      <w:r w:rsidRPr="00B9440D">
        <w:rPr>
          <w:rStyle w:val="FootnoteReference"/>
          <w:rFonts w:ascii="Times New Roman" w:hAnsi="Times New Roman"/>
          <w:sz w:val="24"/>
        </w:rPr>
        <w:footnoteReference w:id="89"/>
      </w:r>
      <w:r w:rsidRPr="00B9440D">
        <w:rPr>
          <w:rFonts w:ascii="Times New Roman" w:hAnsi="Times New Roman"/>
        </w:rPr>
        <w:t xml:space="preserve">, </w:t>
      </w:r>
      <w:proofErr w:type="spellStart"/>
      <w:r w:rsidRPr="00B9440D">
        <w:rPr>
          <w:rFonts w:ascii="Times New Roman" w:hAnsi="Times New Roman"/>
        </w:rPr>
        <w:t>Allsop</w:t>
      </w:r>
      <w:proofErr w:type="spellEnd"/>
      <w:r w:rsidRPr="00B9440D">
        <w:rPr>
          <w:rFonts w:ascii="Times New Roman" w:hAnsi="Times New Roman"/>
        </w:rPr>
        <w:t> CJ illustrated that consequence through a simple hypothetical example. The example assumes a creditor who has two debts each of $100 and who is unfairly preferred as to one in full. If the creditor is obliged by an order under s 588FF(1)(a) of the Act to repay the amount of the preferred debt in full, the property of the company available for distribution amongst all creditors is increased by $100. Upon repayment, the creditor can prove in the distribution for $200 as if the unfair preference had not occurred</w:t>
      </w:r>
      <w:r w:rsidRPr="00B9440D">
        <w:rPr>
          <w:rStyle w:val="FootnoteReference"/>
          <w:rFonts w:ascii="Times New Roman" w:hAnsi="Times New Roman"/>
          <w:sz w:val="24"/>
        </w:rPr>
        <w:footnoteReference w:id="90"/>
      </w:r>
      <w:r w:rsidRPr="00B9440D">
        <w:rPr>
          <w:rFonts w:ascii="Times New Roman" w:hAnsi="Times New Roman"/>
        </w:rPr>
        <w:t xml:space="preserve">. If, however, s 553C of the Act </w:t>
      </w:r>
      <w:r w:rsidRPr="00B9440D">
        <w:rPr>
          <w:rFonts w:ascii="Times New Roman" w:hAnsi="Times New Roman"/>
        </w:rPr>
        <w:lastRenderedPageBreak/>
        <w:t>entitles the creditor to set off the amount ordered to be repaid under s 588FF(1)(a), the creditor automatically receives the functional equivalent of 50 cents in the dollar. Given that s 553C is self-executing</w:t>
      </w:r>
      <w:r w:rsidRPr="00B9440D">
        <w:rPr>
          <w:rStyle w:val="FootnoteReference"/>
          <w:rFonts w:ascii="Times New Roman" w:hAnsi="Times New Roman"/>
          <w:sz w:val="24"/>
        </w:rPr>
        <w:footnoteReference w:id="91"/>
      </w:r>
      <w:r w:rsidRPr="00B9440D">
        <w:rPr>
          <w:rFonts w:ascii="Times New Roman" w:hAnsi="Times New Roman"/>
        </w:rPr>
        <w:t>, that occurs without the creditor needing to prove in the liquidation at all.</w:t>
      </w:r>
    </w:p>
    <w:p w14:paraId="6D64A5FE"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 xml:space="preserve">I agree with the joint reasons for judgment that the correct answer to the question of statutory construction is that s 553C of the Act does not entitle the creditor to such a set-off, that the Full Court accordingly gave the right answer to the question reserved for its consideration, that this appeal must therefore be dismissed, and that the costs of this appeal should be costs in the ongoing proceeding in the Federal Court. </w:t>
      </w:r>
    </w:p>
    <w:p w14:paraId="4940F82F"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 xml:space="preserve">I write to address an aspect of the concept of mutuality which is employed in the references to "mutual credits, mutual debts or other mutual dealings" in s 553C of the Act. The concept was central to the reasoning of the Full Court. </w:t>
      </w:r>
    </w:p>
    <w:p w14:paraId="5C7E071A"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Though ancient, the concept of mutuality employed in those references is statutory. The concept must be understood purposively within the statutory context in which it is employed.</w:t>
      </w:r>
    </w:p>
    <w:p w14:paraId="69E35D17"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 xml:space="preserve">The purpose of s 553C of the Act, like that of s 86 of the </w:t>
      </w:r>
      <w:r w:rsidRPr="00B9440D">
        <w:rPr>
          <w:rFonts w:ascii="Times New Roman" w:hAnsi="Times New Roman"/>
          <w:i/>
          <w:iCs/>
        </w:rPr>
        <w:t>Bankruptcy Act 1966</w:t>
      </w:r>
      <w:r w:rsidRPr="00B9440D">
        <w:rPr>
          <w:rFonts w:ascii="Times New Roman" w:hAnsi="Times New Roman"/>
        </w:rPr>
        <w:t xml:space="preserve"> (</w:t>
      </w:r>
      <w:proofErr w:type="spellStart"/>
      <w:r w:rsidRPr="00B9440D">
        <w:rPr>
          <w:rFonts w:ascii="Times New Roman" w:hAnsi="Times New Roman"/>
        </w:rPr>
        <w:t>Cth</w:t>
      </w:r>
      <w:proofErr w:type="spellEnd"/>
      <w:r w:rsidRPr="00B9440D">
        <w:rPr>
          <w:rFonts w:ascii="Times New Roman" w:hAnsi="Times New Roman"/>
        </w:rPr>
        <w:t>) on which it is modelled, is to prevent a creditor of an insolvent company who is also a debtor of that company being required to pay the full amount of the debt owed to the company and yet being entitled to receive only a fraction of the credit due from the company where that would result in substantial injustice</w:t>
      </w:r>
      <w:r w:rsidRPr="00B9440D">
        <w:rPr>
          <w:rStyle w:val="FootnoteReference"/>
          <w:rFonts w:ascii="Times New Roman" w:hAnsi="Times New Roman"/>
          <w:sz w:val="24"/>
        </w:rPr>
        <w:footnoteReference w:id="92"/>
      </w:r>
      <w:r w:rsidRPr="00B9440D">
        <w:rPr>
          <w:rFonts w:ascii="Times New Roman" w:hAnsi="Times New Roman"/>
        </w:rPr>
        <w:t>. With the object of confining the availability of set-off to circumstances where payment of the full amount of the debt without entitlement to the full amount of the credit would result in substantial injustice to a creditor, as distinct from unfairness to other creditors, the concept of mutuality has long been understood to entail that the burden of the debt and the benefit of the credit must lie in the same "equitable or beneficial interests"</w:t>
      </w:r>
      <w:r w:rsidRPr="00B9440D">
        <w:rPr>
          <w:rStyle w:val="FootnoteReference"/>
          <w:rFonts w:ascii="Times New Roman" w:hAnsi="Times New Roman"/>
          <w:sz w:val="24"/>
        </w:rPr>
        <w:footnoteReference w:id="93"/>
      </w:r>
      <w:r w:rsidRPr="00B9440D">
        <w:rPr>
          <w:rFonts w:ascii="Times New Roman" w:hAnsi="Times New Roman"/>
        </w:rPr>
        <w:t>.</w:t>
      </w:r>
    </w:p>
    <w:p w14:paraId="527723BB" w14:textId="64F10F29"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 xml:space="preserve">At the core of the argument of the appellant before the Full Court and in this appeal was the proposition that the analysis of interests in the context of </w:t>
      </w:r>
      <w:r w:rsidRPr="00B9440D">
        <w:rPr>
          <w:rFonts w:ascii="Times New Roman" w:hAnsi="Times New Roman"/>
        </w:rPr>
        <w:lastRenderedPageBreak/>
        <w:t xml:space="preserve">assessing mutuality must be confined to a consideration of interests enforceable in equity. The proposition was correctly rejected by </w:t>
      </w:r>
      <w:proofErr w:type="spellStart"/>
      <w:r w:rsidRPr="00B9440D">
        <w:rPr>
          <w:rFonts w:ascii="Times New Roman" w:hAnsi="Times New Roman"/>
        </w:rPr>
        <w:t>Allsop</w:t>
      </w:r>
      <w:proofErr w:type="spellEnd"/>
      <w:r w:rsidRPr="00B9440D">
        <w:rPr>
          <w:rFonts w:ascii="Times New Roman" w:hAnsi="Times New Roman"/>
        </w:rPr>
        <w:t> CJ in the Full Court</w:t>
      </w:r>
      <w:r w:rsidRPr="00B9440D">
        <w:rPr>
          <w:rStyle w:val="FootnoteReference"/>
          <w:rFonts w:ascii="Times New Roman" w:hAnsi="Times New Roman"/>
          <w:sz w:val="24"/>
        </w:rPr>
        <w:footnoteReference w:id="94"/>
      </w:r>
      <w:r w:rsidRPr="00B9440D">
        <w:rPr>
          <w:rFonts w:ascii="Times New Roman" w:hAnsi="Times New Roman"/>
        </w:rPr>
        <w:t>.</w:t>
      </w:r>
    </w:p>
    <w:p w14:paraId="3FA297BF"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To confine the analysis to a consideration of interests enforceable in equity would be to adopt an unduly narrow conception of "beneficial interests" which would divorce the statutory inquiry into mutuality from the statutory object of avoiding substantial injustice. Just as it is important always to recognise that an interest of a beneficiary of a trust "is not carved out of a legal estate but impressed upon it"</w:t>
      </w:r>
      <w:r w:rsidRPr="00B9440D">
        <w:rPr>
          <w:rStyle w:val="FootnoteReference"/>
          <w:rFonts w:ascii="Times New Roman" w:hAnsi="Times New Roman"/>
          <w:sz w:val="24"/>
        </w:rPr>
        <w:footnoteReference w:id="95"/>
      </w:r>
      <w:r w:rsidRPr="00B9440D">
        <w:rPr>
          <w:rFonts w:ascii="Times New Roman" w:hAnsi="Times New Roman"/>
        </w:rPr>
        <w:t>, as a restriction on the manner in which the trustee may deal with trust property</w:t>
      </w:r>
      <w:r w:rsidRPr="00B9440D">
        <w:rPr>
          <w:rStyle w:val="FootnoteReference"/>
          <w:rFonts w:ascii="Times New Roman" w:hAnsi="Times New Roman"/>
          <w:sz w:val="24"/>
        </w:rPr>
        <w:footnoteReference w:id="96"/>
      </w:r>
      <w:r w:rsidRPr="00B9440D">
        <w:rPr>
          <w:rFonts w:ascii="Times New Roman" w:hAnsi="Times New Roman"/>
        </w:rPr>
        <w:t>, it is important to recognise that legislation can impose restrictions on dealings with property for the benefit of persons other than the legal owner without occasion arising for any intervention of equity at all.</w:t>
      </w:r>
    </w:p>
    <w:p w14:paraId="5BA459EB"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tab/>
        <w:t xml:space="preserve">Whilst the making of an order for the winding up of a company in insolvency under </w:t>
      </w:r>
      <w:proofErr w:type="spellStart"/>
      <w:r w:rsidRPr="00B9440D">
        <w:rPr>
          <w:rFonts w:ascii="Times New Roman" w:hAnsi="Times New Roman"/>
        </w:rPr>
        <w:t>Div</w:t>
      </w:r>
      <w:proofErr w:type="spellEnd"/>
      <w:r w:rsidRPr="00B9440D">
        <w:rPr>
          <w:rFonts w:ascii="Times New Roman" w:hAnsi="Times New Roman"/>
        </w:rPr>
        <w:t> 1 of Pt 5.4 of the Act does not result in property of the company becoming held on trust</w:t>
      </w:r>
      <w:r w:rsidRPr="00B9440D">
        <w:rPr>
          <w:rStyle w:val="FootnoteReference"/>
          <w:rFonts w:ascii="Times New Roman" w:hAnsi="Times New Roman"/>
          <w:sz w:val="24"/>
        </w:rPr>
        <w:footnoteReference w:id="97"/>
      </w:r>
      <w:r w:rsidRPr="00B9440D">
        <w:rPr>
          <w:rFonts w:ascii="Times New Roman" w:hAnsi="Times New Roman"/>
        </w:rPr>
        <w:t xml:space="preserve">, it does result in dealings with property of the company thereafter being restricted by the scheme of </w:t>
      </w:r>
      <w:proofErr w:type="spellStart"/>
      <w:r w:rsidRPr="00B9440D">
        <w:rPr>
          <w:rFonts w:ascii="Times New Roman" w:hAnsi="Times New Roman"/>
        </w:rPr>
        <w:t>Div</w:t>
      </w:r>
      <w:proofErr w:type="spellEnd"/>
      <w:r w:rsidRPr="00B9440D">
        <w:rPr>
          <w:rFonts w:ascii="Times New Roman" w:hAnsi="Times New Roman"/>
        </w:rPr>
        <w:t> 6 of Pt 5.6 of the Act to dealings for the purposes of the winding up</w:t>
      </w:r>
      <w:r w:rsidRPr="00B9440D">
        <w:rPr>
          <w:rStyle w:val="FootnoteReference"/>
          <w:rFonts w:ascii="Times New Roman" w:hAnsi="Times New Roman"/>
          <w:sz w:val="24"/>
        </w:rPr>
        <w:footnoteReference w:id="98"/>
      </w:r>
      <w:r w:rsidRPr="00B9440D">
        <w:rPr>
          <w:rFonts w:ascii="Times New Roman" w:hAnsi="Times New Roman"/>
        </w:rPr>
        <w:t>. Section 588FF(1)(a) is located within Pt 5.7B of the Act, which is accordingly described in its heading as being concerned with "[r]</w:t>
      </w:r>
      <w:proofErr w:type="spellStart"/>
      <w:r w:rsidRPr="00B9440D">
        <w:rPr>
          <w:rFonts w:ascii="Times New Roman" w:hAnsi="Times New Roman"/>
        </w:rPr>
        <w:t>ecovering</w:t>
      </w:r>
      <w:proofErr w:type="spellEnd"/>
      <w:r w:rsidRPr="00B9440D">
        <w:rPr>
          <w:rFonts w:ascii="Times New Roman" w:hAnsi="Times New Roman"/>
        </w:rPr>
        <w:t xml:space="preserve"> property or compensation for the benefit of creditors of insolvent company". An order under s 588FF(1)(a) of the Act can only be sought by a liquidator in the context and for the purposes of the winding up, and an amount to be paid pursuant to such an order must be paid to the company to be dealt with as property of the company in the winding up as governed by </w:t>
      </w:r>
      <w:proofErr w:type="spellStart"/>
      <w:r w:rsidRPr="00B9440D">
        <w:rPr>
          <w:rFonts w:ascii="Times New Roman" w:hAnsi="Times New Roman"/>
        </w:rPr>
        <w:t>Div</w:t>
      </w:r>
      <w:proofErr w:type="spellEnd"/>
      <w:r w:rsidRPr="00B9440D">
        <w:rPr>
          <w:rFonts w:ascii="Times New Roman" w:hAnsi="Times New Roman"/>
        </w:rPr>
        <w:t> 6 of Pt 5.6 of the Act. The amount is not one which is or ever could be recovered by the company itself, or which is or ever could be paid to the company for the benefit of the company alone.</w:t>
      </w:r>
    </w:p>
    <w:p w14:paraId="4B1A7CEA" w14:textId="77777777" w:rsidR="005868B7" w:rsidRPr="00B9440D" w:rsidRDefault="005868B7" w:rsidP="005868B7">
      <w:pPr>
        <w:pStyle w:val="FixListStyle"/>
        <w:numPr>
          <w:ilvl w:val="0"/>
          <w:numId w:val="18"/>
        </w:numPr>
        <w:spacing w:after="260" w:line="280" w:lineRule="exact"/>
        <w:ind w:left="0" w:right="0" w:hanging="720"/>
        <w:jc w:val="both"/>
        <w:rPr>
          <w:rFonts w:ascii="Times New Roman" w:hAnsi="Times New Roman"/>
        </w:rPr>
      </w:pPr>
      <w:r w:rsidRPr="00B9440D">
        <w:rPr>
          <w:rFonts w:ascii="Times New Roman" w:hAnsi="Times New Roman"/>
        </w:rPr>
        <w:lastRenderedPageBreak/>
        <w:tab/>
        <w:t>Hence, the right conferred on the liquidator to apply for an order under s 588FF(1)(a) of the Act is a statutory right "given for the benefit of the general body of creditors"</w:t>
      </w:r>
      <w:r w:rsidRPr="00B9440D">
        <w:rPr>
          <w:rStyle w:val="FootnoteReference"/>
          <w:rFonts w:ascii="Times New Roman" w:hAnsi="Times New Roman"/>
          <w:sz w:val="24"/>
        </w:rPr>
        <w:footnoteReference w:id="99"/>
      </w:r>
      <w:r w:rsidRPr="00B9440D">
        <w:rPr>
          <w:rFonts w:ascii="Times New Roman" w:hAnsi="Times New Roman"/>
        </w:rPr>
        <w:t xml:space="preserve"> and recovery of an amount pursuant to such an order, if made, "inures wholly for the benefit of the persons who will participate under the winding-up"</w:t>
      </w:r>
      <w:r w:rsidRPr="00B9440D">
        <w:rPr>
          <w:rStyle w:val="FootnoteReference"/>
          <w:rFonts w:ascii="Times New Roman" w:hAnsi="Times New Roman"/>
          <w:sz w:val="24"/>
        </w:rPr>
        <w:footnoteReference w:id="100"/>
      </w:r>
      <w:r w:rsidRPr="00B9440D">
        <w:rPr>
          <w:rFonts w:ascii="Times New Roman" w:hAnsi="Times New Roman"/>
        </w:rPr>
        <w:t xml:space="preserve">. </w:t>
      </w:r>
    </w:p>
    <w:p w14:paraId="6BFCFB77" w14:textId="6953564A" w:rsidR="0081748D" w:rsidRPr="005868B7" w:rsidRDefault="005868B7" w:rsidP="000D765F">
      <w:pPr>
        <w:pStyle w:val="FixListStyle"/>
        <w:numPr>
          <w:ilvl w:val="0"/>
          <w:numId w:val="18"/>
        </w:numPr>
        <w:spacing w:after="260" w:line="280" w:lineRule="exact"/>
        <w:ind w:left="0" w:right="0" w:hanging="720"/>
        <w:jc w:val="both"/>
        <w:rPr>
          <w:rFonts w:ascii="Times New Roman" w:hAnsi="Times New Roman"/>
        </w:rPr>
      </w:pPr>
      <w:r w:rsidRPr="005868B7">
        <w:rPr>
          <w:rFonts w:ascii="Times New Roman" w:hAnsi="Times New Roman"/>
        </w:rPr>
        <w:tab/>
        <w:t>There is accordingly no mutuality of interest between an amount of an unfair preference which a creditor is ordered under s 588FF(1)(a) of the Act to repay to a company in liquidation and a debt incurred by the company provable by the creditor in the winding up of the company.</w:t>
      </w:r>
    </w:p>
    <w:sectPr w:rsidR="0081748D" w:rsidRPr="005868B7" w:rsidSect="005868B7">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6441" w14:textId="77777777" w:rsidR="00FB4391" w:rsidRDefault="00FB4391">
      <w:pPr>
        <w:spacing w:line="240" w:lineRule="auto"/>
      </w:pPr>
      <w:r>
        <w:separator/>
      </w:r>
    </w:p>
  </w:endnote>
  <w:endnote w:type="continuationSeparator" w:id="0">
    <w:p w14:paraId="5555EF01" w14:textId="77777777" w:rsidR="00FB4391" w:rsidRDefault="00FB4391">
      <w:pPr>
        <w:spacing w:line="240" w:lineRule="auto"/>
      </w:pPr>
      <w:r>
        <w:continuationSeparator/>
      </w:r>
    </w:p>
  </w:endnote>
  <w:endnote w:type="continuationNotice" w:id="1">
    <w:p w14:paraId="220F28AA" w14:textId="77777777" w:rsidR="00FB4391" w:rsidRDefault="00FB43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6805" w14:textId="77777777" w:rsidR="00A72180" w:rsidRDefault="00A72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BF52" w14:textId="77777777" w:rsidR="00A72180" w:rsidRDefault="00A72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9E48" w14:textId="77777777" w:rsidR="00A72180" w:rsidRDefault="00A721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1C51" w14:textId="77777777" w:rsidR="00A72180" w:rsidRDefault="00A721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9BA4" w14:textId="77777777" w:rsidR="00A72180" w:rsidRDefault="00A721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A4B3" w14:textId="77777777" w:rsidR="00A72180" w:rsidRDefault="00A7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72C3" w14:textId="77777777" w:rsidR="00FB4391" w:rsidRPr="00FB4B14" w:rsidRDefault="00FB4391" w:rsidP="00FB4B14">
      <w:pPr>
        <w:pStyle w:val="Footer"/>
        <w:spacing w:before="120" w:after="20"/>
        <w:ind w:right="0"/>
        <w:rPr>
          <w:rFonts w:ascii="Times New Roman" w:hAnsi="Times New Roman"/>
        </w:rPr>
      </w:pPr>
      <w:r>
        <w:continuationSeparator/>
      </w:r>
    </w:p>
  </w:footnote>
  <w:footnote w:type="continuationSeparator" w:id="0">
    <w:p w14:paraId="39653C86" w14:textId="77777777" w:rsidR="00FB4391" w:rsidRPr="00FB4B14" w:rsidRDefault="00FB4391" w:rsidP="00FB4B14">
      <w:pPr>
        <w:pStyle w:val="Footer"/>
        <w:spacing w:before="120" w:after="20"/>
        <w:ind w:right="0"/>
        <w:rPr>
          <w:rFonts w:ascii="Times New Roman" w:hAnsi="Times New Roman"/>
        </w:rPr>
      </w:pPr>
      <w:r w:rsidRPr="00FB4B14">
        <w:rPr>
          <w:rFonts w:ascii="Times New Roman" w:hAnsi="Times New Roman"/>
        </w:rPr>
        <w:continuationSeparator/>
      </w:r>
    </w:p>
  </w:footnote>
  <w:footnote w:type="continuationNotice" w:id="1">
    <w:p w14:paraId="693968BF" w14:textId="77777777" w:rsidR="00FB4391" w:rsidRPr="005868B7" w:rsidRDefault="00FB4391">
      <w:pPr>
        <w:jc w:val="right"/>
        <w:rPr>
          <w:rFonts w:ascii="Times New Roman" w:hAnsi="Times New Roman"/>
          <w:sz w:val="24"/>
        </w:rPr>
      </w:pPr>
    </w:p>
  </w:footnote>
  <w:footnote w:id="2">
    <w:p w14:paraId="5326F076" w14:textId="1732AD1E" w:rsidR="0014041A" w:rsidRPr="00FB4B14" w:rsidRDefault="0014041A"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6B24B6" w:rsidRPr="00FB4B14">
        <w:rPr>
          <w:rFonts w:ascii="Times New Roman" w:hAnsi="Times New Roman"/>
          <w:i/>
          <w:iCs/>
          <w:sz w:val="24"/>
        </w:rPr>
        <w:t xml:space="preserve">Morton v Metal Manufactures Pty </w:t>
      </w:r>
      <w:r w:rsidR="002158D2" w:rsidRPr="00FB4B14">
        <w:rPr>
          <w:rFonts w:ascii="Times New Roman" w:hAnsi="Times New Roman"/>
          <w:i/>
          <w:iCs/>
          <w:sz w:val="24"/>
        </w:rPr>
        <w:t>Ltd</w:t>
      </w:r>
      <w:r w:rsidR="002158D2" w:rsidRPr="00FB4B14">
        <w:rPr>
          <w:rFonts w:ascii="Times New Roman" w:hAnsi="Times New Roman"/>
          <w:sz w:val="24"/>
        </w:rPr>
        <w:t xml:space="preserve"> (</w:t>
      </w:r>
      <w:r w:rsidR="00865CC9" w:rsidRPr="00FB4B14">
        <w:rPr>
          <w:rFonts w:ascii="Times New Roman" w:hAnsi="Times New Roman"/>
          <w:sz w:val="24"/>
        </w:rPr>
        <w:t xml:space="preserve">2021) </w:t>
      </w:r>
      <w:r w:rsidR="003143FB" w:rsidRPr="00FB4B14">
        <w:rPr>
          <w:rFonts w:ascii="Times New Roman" w:hAnsi="Times New Roman"/>
          <w:sz w:val="24"/>
        </w:rPr>
        <w:t xml:space="preserve">289 FCR 556 </w:t>
      </w:r>
      <w:r w:rsidR="000C3360" w:rsidRPr="00FB4B14">
        <w:rPr>
          <w:rFonts w:ascii="Times New Roman" w:hAnsi="Times New Roman"/>
          <w:sz w:val="24"/>
        </w:rPr>
        <w:t xml:space="preserve">at </w:t>
      </w:r>
      <w:r w:rsidR="005548A0" w:rsidRPr="00FB4B14">
        <w:rPr>
          <w:rFonts w:ascii="Times New Roman" w:hAnsi="Times New Roman"/>
          <w:sz w:val="24"/>
        </w:rPr>
        <w:t>560</w:t>
      </w:r>
      <w:r w:rsidR="00046A75" w:rsidRPr="00FB4B14">
        <w:rPr>
          <w:rFonts w:ascii="Times New Roman" w:hAnsi="Times New Roman"/>
          <w:sz w:val="24"/>
        </w:rPr>
        <w:t xml:space="preserve"> </w:t>
      </w:r>
      <w:r w:rsidR="000C3360" w:rsidRPr="00FB4B14">
        <w:rPr>
          <w:rFonts w:ascii="Times New Roman" w:hAnsi="Times New Roman"/>
          <w:sz w:val="24"/>
        </w:rPr>
        <w:t xml:space="preserve">[5] per </w:t>
      </w:r>
      <w:proofErr w:type="spellStart"/>
      <w:r w:rsidR="000C0FF1" w:rsidRPr="00FB4B14">
        <w:rPr>
          <w:rFonts w:ascii="Times New Roman" w:hAnsi="Times New Roman"/>
          <w:sz w:val="24"/>
        </w:rPr>
        <w:t>Allsop</w:t>
      </w:r>
      <w:proofErr w:type="spellEnd"/>
      <w:r w:rsidR="00CC4F63" w:rsidRPr="00FB4B14">
        <w:rPr>
          <w:rFonts w:ascii="Times New Roman" w:hAnsi="Times New Roman"/>
          <w:sz w:val="24"/>
        </w:rPr>
        <w:t> CJ</w:t>
      </w:r>
      <w:r w:rsidR="006565C0" w:rsidRPr="00FB4B14">
        <w:rPr>
          <w:rFonts w:ascii="Times New Roman" w:hAnsi="Times New Roman"/>
          <w:sz w:val="24"/>
        </w:rPr>
        <w:t xml:space="preserve"> (Middleton and </w:t>
      </w:r>
      <w:proofErr w:type="spellStart"/>
      <w:r w:rsidR="006565C0" w:rsidRPr="00FB4B14">
        <w:rPr>
          <w:rFonts w:ascii="Times New Roman" w:hAnsi="Times New Roman"/>
          <w:sz w:val="24"/>
        </w:rPr>
        <w:t>Derrington</w:t>
      </w:r>
      <w:proofErr w:type="spellEnd"/>
      <w:r w:rsidR="00CC4F63" w:rsidRPr="00FB4B14">
        <w:rPr>
          <w:rFonts w:ascii="Times New Roman" w:hAnsi="Times New Roman"/>
          <w:sz w:val="24"/>
        </w:rPr>
        <w:t> JJ</w:t>
      </w:r>
      <w:r w:rsidR="006565C0" w:rsidRPr="00FB4B14">
        <w:rPr>
          <w:rFonts w:ascii="Times New Roman" w:hAnsi="Times New Roman"/>
          <w:sz w:val="24"/>
        </w:rPr>
        <w:t xml:space="preserve"> agreeing)</w:t>
      </w:r>
      <w:r w:rsidR="006A52AF" w:rsidRPr="00FB4B14">
        <w:rPr>
          <w:rFonts w:ascii="Times New Roman" w:hAnsi="Times New Roman"/>
          <w:sz w:val="24"/>
        </w:rPr>
        <w:t xml:space="preserve">. </w:t>
      </w:r>
    </w:p>
  </w:footnote>
  <w:footnote w:id="3">
    <w:p w14:paraId="27E9766C" w14:textId="3459F03E" w:rsidR="005F782A" w:rsidRPr="00FB4B14" w:rsidRDefault="005F782A"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8962FA" w:rsidRPr="00FB4B14">
        <w:rPr>
          <w:rFonts w:ascii="Times New Roman" w:hAnsi="Times New Roman"/>
          <w:i/>
          <w:iCs/>
          <w:sz w:val="24"/>
        </w:rPr>
        <w:t xml:space="preserve">Morton as Liquidator of MJ Woodman Electrical Contractors Pty Ltd v Metal Manufactures Pty Ltd </w:t>
      </w:r>
      <w:r w:rsidR="003728F4" w:rsidRPr="00FB4B14">
        <w:rPr>
          <w:rFonts w:ascii="Times New Roman" w:hAnsi="Times New Roman"/>
          <w:i/>
          <w:iCs/>
          <w:sz w:val="24"/>
        </w:rPr>
        <w:t>[</w:t>
      </w:r>
      <w:r w:rsidR="008962FA" w:rsidRPr="00FB4B14">
        <w:rPr>
          <w:rFonts w:ascii="Times New Roman" w:hAnsi="Times New Roman"/>
          <w:i/>
          <w:iCs/>
          <w:sz w:val="24"/>
        </w:rPr>
        <w:t>No 2</w:t>
      </w:r>
      <w:r w:rsidR="003728F4" w:rsidRPr="00FB4B14">
        <w:rPr>
          <w:rFonts w:ascii="Times New Roman" w:hAnsi="Times New Roman"/>
          <w:i/>
          <w:iCs/>
          <w:sz w:val="24"/>
        </w:rPr>
        <w:t>]</w:t>
      </w:r>
      <w:r w:rsidR="008962FA" w:rsidRPr="00FB4B14">
        <w:rPr>
          <w:rFonts w:ascii="Times New Roman" w:hAnsi="Times New Roman"/>
          <w:sz w:val="24"/>
        </w:rPr>
        <w:t xml:space="preserve"> </w:t>
      </w:r>
      <w:r w:rsidR="001F0C08" w:rsidRPr="00FB4B14">
        <w:rPr>
          <w:rFonts w:ascii="Times New Roman" w:hAnsi="Times New Roman"/>
          <w:sz w:val="24"/>
        </w:rPr>
        <w:t>[2022] FCAFC 1</w:t>
      </w:r>
      <w:r w:rsidR="008962FA" w:rsidRPr="00FB4B14">
        <w:rPr>
          <w:rFonts w:ascii="Times New Roman" w:hAnsi="Times New Roman"/>
          <w:sz w:val="24"/>
        </w:rPr>
        <w:t>.</w:t>
      </w:r>
    </w:p>
  </w:footnote>
  <w:footnote w:id="4">
    <w:p w14:paraId="66CACCBC" w14:textId="79624766" w:rsidR="00C83651" w:rsidRPr="00FB4B14" w:rsidRDefault="00C83651"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073654" w:rsidRPr="00FB4B14">
        <w:rPr>
          <w:rFonts w:ascii="Times New Roman" w:hAnsi="Times New Roman"/>
          <w:sz w:val="24"/>
        </w:rPr>
        <w:t>Whilst not part of the Amended Special Case, th</w:t>
      </w:r>
      <w:r w:rsidR="005E0AC3" w:rsidRPr="00FB4B14">
        <w:rPr>
          <w:rFonts w:ascii="Times New Roman" w:hAnsi="Times New Roman"/>
          <w:sz w:val="24"/>
        </w:rPr>
        <w:t>is</w:t>
      </w:r>
      <w:r w:rsidR="00073654" w:rsidRPr="00FB4B14">
        <w:rPr>
          <w:rFonts w:ascii="Times New Roman" w:hAnsi="Times New Roman"/>
          <w:sz w:val="24"/>
        </w:rPr>
        <w:t xml:space="preserve"> </w:t>
      </w:r>
      <w:r w:rsidR="0044398E" w:rsidRPr="00FB4B14">
        <w:rPr>
          <w:rFonts w:ascii="Times New Roman" w:hAnsi="Times New Roman"/>
          <w:sz w:val="24"/>
        </w:rPr>
        <w:t>Court has assumed that MJ</w:t>
      </w:r>
      <w:r w:rsidR="00D51F3D" w:rsidRPr="00FB4B14">
        <w:rPr>
          <w:rFonts w:ascii="Times New Roman" w:hAnsi="Times New Roman"/>
          <w:sz w:val="24"/>
        </w:rPr>
        <w:t> </w:t>
      </w:r>
      <w:r w:rsidR="0044398E" w:rsidRPr="00FB4B14">
        <w:rPr>
          <w:rFonts w:ascii="Times New Roman" w:hAnsi="Times New Roman"/>
          <w:sz w:val="24"/>
        </w:rPr>
        <w:t>Woodman was placed into liquidation by Court order</w:t>
      </w:r>
      <w:r w:rsidR="00D6000B" w:rsidRPr="00FB4B14">
        <w:rPr>
          <w:rFonts w:ascii="Times New Roman" w:hAnsi="Times New Roman"/>
          <w:sz w:val="24"/>
        </w:rPr>
        <w:t xml:space="preserve"> pursuant to s</w:t>
      </w:r>
      <w:r w:rsidR="00480E31" w:rsidRPr="00FB4B14">
        <w:rPr>
          <w:rFonts w:ascii="Times New Roman" w:hAnsi="Times New Roman"/>
          <w:sz w:val="24"/>
        </w:rPr>
        <w:t> </w:t>
      </w:r>
      <w:r w:rsidR="00D6000B" w:rsidRPr="00FB4B14">
        <w:rPr>
          <w:rFonts w:ascii="Times New Roman" w:hAnsi="Times New Roman"/>
          <w:sz w:val="24"/>
        </w:rPr>
        <w:t>472 of the Act</w:t>
      </w:r>
      <w:r w:rsidR="0044398E" w:rsidRPr="00FB4B14">
        <w:rPr>
          <w:rFonts w:ascii="Times New Roman" w:hAnsi="Times New Roman"/>
          <w:sz w:val="24"/>
        </w:rPr>
        <w:t>. That assumption does not affect the outcome of this appeal.</w:t>
      </w:r>
    </w:p>
  </w:footnote>
  <w:footnote w:id="5">
    <w:p w14:paraId="1B710D20" w14:textId="42BF4A1A" w:rsidR="00861589" w:rsidRPr="00FB4B14" w:rsidRDefault="00861589"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See s 472</w:t>
      </w:r>
      <w:r w:rsidR="00616558" w:rsidRPr="00FB4B14">
        <w:rPr>
          <w:rFonts w:ascii="Times New Roman" w:hAnsi="Times New Roman"/>
          <w:sz w:val="24"/>
        </w:rPr>
        <w:t xml:space="preserve"> of the Act</w:t>
      </w:r>
      <w:r w:rsidRPr="00FB4B14">
        <w:rPr>
          <w:rFonts w:ascii="Times New Roman" w:hAnsi="Times New Roman"/>
          <w:sz w:val="24"/>
        </w:rPr>
        <w:t xml:space="preserve">. </w:t>
      </w:r>
    </w:p>
  </w:footnote>
  <w:footnote w:id="6">
    <w:p w14:paraId="2A53ECCF" w14:textId="29D49E0F" w:rsidR="00964634" w:rsidRPr="00FB4B14" w:rsidRDefault="00964634"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B46452" w:rsidRPr="00FB4B14">
        <w:rPr>
          <w:rFonts w:ascii="Times New Roman" w:hAnsi="Times New Roman"/>
          <w:sz w:val="24"/>
        </w:rPr>
        <w:t>S</w:t>
      </w:r>
      <w:r w:rsidRPr="00FB4B14">
        <w:rPr>
          <w:rFonts w:ascii="Times New Roman" w:hAnsi="Times New Roman"/>
          <w:sz w:val="24"/>
        </w:rPr>
        <w:t xml:space="preserve">ee s 58 of the </w:t>
      </w:r>
      <w:r w:rsidRPr="00FB4B14">
        <w:rPr>
          <w:rFonts w:ascii="Times New Roman" w:hAnsi="Times New Roman"/>
          <w:i/>
          <w:sz w:val="24"/>
        </w:rPr>
        <w:t>Bankruptcy Act 1966</w:t>
      </w:r>
      <w:r w:rsidRPr="00FB4B14">
        <w:rPr>
          <w:rFonts w:ascii="Times New Roman" w:hAnsi="Times New Roman"/>
          <w:sz w:val="24"/>
        </w:rPr>
        <w:t xml:space="preserve"> (</w:t>
      </w:r>
      <w:proofErr w:type="spellStart"/>
      <w:r w:rsidRPr="00FB4B14">
        <w:rPr>
          <w:rFonts w:ascii="Times New Roman" w:hAnsi="Times New Roman"/>
          <w:sz w:val="24"/>
        </w:rPr>
        <w:t>Cth</w:t>
      </w:r>
      <w:proofErr w:type="spellEnd"/>
      <w:r w:rsidRPr="00FB4B14">
        <w:rPr>
          <w:rFonts w:ascii="Times New Roman" w:hAnsi="Times New Roman"/>
          <w:sz w:val="24"/>
        </w:rPr>
        <w:t>)</w:t>
      </w:r>
      <w:r w:rsidR="00802C20" w:rsidRPr="00FB4B14">
        <w:rPr>
          <w:rFonts w:ascii="Times New Roman" w:hAnsi="Times New Roman"/>
          <w:sz w:val="24"/>
        </w:rPr>
        <w:t>.</w:t>
      </w:r>
    </w:p>
  </w:footnote>
  <w:footnote w:id="7">
    <w:p w14:paraId="65B5C370" w14:textId="57BDFB9C" w:rsidR="0074168B" w:rsidRPr="00FB4B14" w:rsidRDefault="0074168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Pursuant to s 474(2) of the Act, a Court </w:t>
      </w:r>
      <w:proofErr w:type="gramStart"/>
      <w:r w:rsidRPr="00FB4B14">
        <w:rPr>
          <w:rFonts w:ascii="Times New Roman" w:hAnsi="Times New Roman"/>
          <w:sz w:val="24"/>
        </w:rPr>
        <w:t>may order,</w:t>
      </w:r>
      <w:proofErr w:type="gramEnd"/>
      <w:r w:rsidRPr="00FB4B14">
        <w:rPr>
          <w:rFonts w:ascii="Times New Roman" w:hAnsi="Times New Roman"/>
          <w:sz w:val="24"/>
        </w:rPr>
        <w:t xml:space="preserve"> on the application of a liquidator, the vesting of all or part of the property of the company in th</w:t>
      </w:r>
      <w:r w:rsidR="0058029D" w:rsidRPr="00FB4B14">
        <w:rPr>
          <w:rFonts w:ascii="Times New Roman" w:hAnsi="Times New Roman"/>
          <w:sz w:val="24"/>
        </w:rPr>
        <w:t>at</w:t>
      </w:r>
      <w:r w:rsidRPr="00FB4B14">
        <w:rPr>
          <w:rFonts w:ascii="Times New Roman" w:hAnsi="Times New Roman"/>
          <w:sz w:val="24"/>
        </w:rPr>
        <w:t xml:space="preserve"> liquidator.</w:t>
      </w:r>
    </w:p>
  </w:footnote>
  <w:footnote w:id="8">
    <w:p w14:paraId="27C03B08" w14:textId="6CA1A92C" w:rsidR="00772274" w:rsidRPr="00FB4B14" w:rsidRDefault="00772274"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(1)(a)</w:t>
      </w:r>
      <w:r w:rsidR="00874481" w:rsidRPr="00FB4B14">
        <w:rPr>
          <w:rFonts w:ascii="Times New Roman" w:hAnsi="Times New Roman"/>
          <w:sz w:val="24"/>
        </w:rPr>
        <w:t>.</w:t>
      </w:r>
    </w:p>
  </w:footnote>
  <w:footnote w:id="9">
    <w:p w14:paraId="2618740C" w14:textId="10E3FC37" w:rsidR="00772274" w:rsidRPr="00FB4B14" w:rsidRDefault="00772274"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(1)(</w:t>
      </w:r>
      <w:r w:rsidR="00AB743B" w:rsidRPr="00FB4B14">
        <w:rPr>
          <w:rFonts w:ascii="Times New Roman" w:hAnsi="Times New Roman"/>
          <w:sz w:val="24"/>
        </w:rPr>
        <w:t>b)</w:t>
      </w:r>
      <w:r w:rsidR="00874481" w:rsidRPr="00FB4B14">
        <w:rPr>
          <w:rFonts w:ascii="Times New Roman" w:hAnsi="Times New Roman"/>
          <w:sz w:val="24"/>
        </w:rPr>
        <w:t>.</w:t>
      </w:r>
    </w:p>
  </w:footnote>
  <w:footnote w:id="10">
    <w:p w14:paraId="15E377FF" w14:textId="154F8DF2" w:rsidR="003B4AC8" w:rsidRPr="00FB4B14" w:rsidRDefault="003B4AC8"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(1)(c)</w:t>
      </w:r>
      <w:r w:rsidR="00874481" w:rsidRPr="00FB4B14">
        <w:rPr>
          <w:rFonts w:ascii="Times New Roman" w:hAnsi="Times New Roman"/>
          <w:sz w:val="24"/>
        </w:rPr>
        <w:t>.</w:t>
      </w:r>
    </w:p>
  </w:footnote>
  <w:footnote w:id="11">
    <w:p w14:paraId="0A85A3CE" w14:textId="280526BA" w:rsidR="00352DCB" w:rsidRPr="00FB4B14" w:rsidRDefault="00352DC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(1)(d)</w:t>
      </w:r>
      <w:r w:rsidR="00874481" w:rsidRPr="00FB4B14">
        <w:rPr>
          <w:rFonts w:ascii="Times New Roman" w:hAnsi="Times New Roman"/>
          <w:sz w:val="24"/>
        </w:rPr>
        <w:t>.</w:t>
      </w:r>
    </w:p>
  </w:footnote>
  <w:footnote w:id="12">
    <w:p w14:paraId="540C3704" w14:textId="68AB6EAE" w:rsidR="00A17F3C" w:rsidRPr="00FB4B14" w:rsidRDefault="00A17F3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(2)(a)</w:t>
      </w:r>
      <w:r w:rsidR="00874481" w:rsidRPr="00FB4B14">
        <w:rPr>
          <w:rFonts w:ascii="Times New Roman" w:hAnsi="Times New Roman"/>
          <w:sz w:val="24"/>
        </w:rPr>
        <w:t>.</w:t>
      </w:r>
    </w:p>
  </w:footnote>
  <w:footnote w:id="13">
    <w:p w14:paraId="7CC19B15" w14:textId="13C2037F" w:rsidR="00197BC2" w:rsidRPr="00FB4B14" w:rsidRDefault="00197BC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(2)(c)</w:t>
      </w:r>
      <w:r w:rsidR="00874481" w:rsidRPr="00FB4B14">
        <w:rPr>
          <w:rFonts w:ascii="Times New Roman" w:hAnsi="Times New Roman"/>
          <w:sz w:val="24"/>
        </w:rPr>
        <w:t>.</w:t>
      </w:r>
    </w:p>
  </w:footnote>
  <w:footnote w:id="14">
    <w:p w14:paraId="17C38A2F" w14:textId="150CE366" w:rsidR="00E85964" w:rsidRPr="00FB4B14" w:rsidRDefault="00E85964"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(2)(d)</w:t>
      </w:r>
      <w:r w:rsidR="00874481" w:rsidRPr="00FB4B14">
        <w:rPr>
          <w:rFonts w:ascii="Times New Roman" w:hAnsi="Times New Roman"/>
          <w:sz w:val="24"/>
        </w:rPr>
        <w:t>.</w:t>
      </w:r>
    </w:p>
  </w:footnote>
  <w:footnote w:id="15">
    <w:p w14:paraId="403AFADA" w14:textId="2A7C85BD" w:rsidR="00E85964" w:rsidRPr="00FB4B14" w:rsidRDefault="00E85964"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(2)(</w:t>
      </w:r>
      <w:r w:rsidR="00123D3A" w:rsidRPr="00FB4B14">
        <w:rPr>
          <w:rFonts w:ascii="Times New Roman" w:hAnsi="Times New Roman"/>
          <w:sz w:val="24"/>
        </w:rPr>
        <w:t>m)</w:t>
      </w:r>
      <w:r w:rsidR="00976BE4" w:rsidRPr="00FB4B14">
        <w:rPr>
          <w:rFonts w:ascii="Times New Roman" w:hAnsi="Times New Roman"/>
          <w:sz w:val="24"/>
        </w:rPr>
        <w:t>.</w:t>
      </w:r>
    </w:p>
  </w:footnote>
  <w:footnote w:id="16">
    <w:p w14:paraId="2EC9DD0E" w14:textId="06237AA8" w:rsidR="00E81EF5" w:rsidRPr="00FB4B14" w:rsidRDefault="00E81EF5"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546FF" w:rsidRPr="00FB4B14">
        <w:rPr>
          <w:rFonts w:ascii="Times New Roman" w:hAnsi="Times New Roman"/>
          <w:sz w:val="24"/>
        </w:rPr>
        <w:t>Sub</w:t>
      </w:r>
      <w:r w:rsidR="00FC3954" w:rsidRPr="00FB4B14">
        <w:rPr>
          <w:rFonts w:ascii="Times New Roman" w:hAnsi="Times New Roman"/>
          <w:sz w:val="24"/>
        </w:rPr>
        <w:t>-</w:t>
      </w:r>
      <w:r w:rsidR="003546FF" w:rsidRPr="00FB4B14">
        <w:rPr>
          <w:rFonts w:ascii="Times New Roman" w:hAnsi="Times New Roman"/>
          <w:sz w:val="24"/>
        </w:rPr>
        <w:t xml:space="preserve">section </w:t>
      </w:r>
      <w:r w:rsidRPr="00FB4B14">
        <w:rPr>
          <w:rFonts w:ascii="Times New Roman" w:hAnsi="Times New Roman"/>
          <w:sz w:val="24"/>
        </w:rPr>
        <w:t>(6)</w:t>
      </w:r>
      <w:r w:rsidR="00976BE4" w:rsidRPr="00FB4B14">
        <w:rPr>
          <w:rFonts w:ascii="Times New Roman" w:hAnsi="Times New Roman"/>
          <w:sz w:val="24"/>
        </w:rPr>
        <w:t>.</w:t>
      </w:r>
    </w:p>
  </w:footnote>
  <w:footnote w:id="17">
    <w:p w14:paraId="773D4D71" w14:textId="2D7344E3" w:rsidR="00D92DA3" w:rsidRPr="00FB4B14" w:rsidRDefault="00D92DA3"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CB118C" w:rsidRPr="00FB4B14">
        <w:rPr>
          <w:rFonts w:ascii="Times New Roman" w:hAnsi="Times New Roman"/>
          <w:sz w:val="24"/>
        </w:rPr>
        <w:t>Section</w:t>
      </w:r>
      <w:r w:rsidR="00CB118C" w:rsidRPr="00FB4B14">
        <w:rPr>
          <w:rFonts w:ascii="Times New Roman" w:hAnsi="Times New Roman"/>
          <w:i/>
          <w:sz w:val="24"/>
        </w:rPr>
        <w:t xml:space="preserve"> </w:t>
      </w:r>
      <w:r w:rsidRPr="00FB4B14">
        <w:rPr>
          <w:rFonts w:ascii="Times New Roman" w:hAnsi="Times New Roman"/>
          <w:sz w:val="24"/>
        </w:rPr>
        <w:t>478(1)</w:t>
      </w:r>
      <w:r w:rsidR="00CA72DE" w:rsidRPr="00FB4B14">
        <w:rPr>
          <w:rFonts w:ascii="Times New Roman" w:hAnsi="Times New Roman"/>
          <w:sz w:val="24"/>
        </w:rPr>
        <w:t>(a)</w:t>
      </w:r>
      <w:r w:rsidR="00180990" w:rsidRPr="00FB4B14">
        <w:rPr>
          <w:rFonts w:ascii="Times New Roman" w:hAnsi="Times New Roman"/>
          <w:sz w:val="24"/>
        </w:rPr>
        <w:t xml:space="preserve"> of the Act</w:t>
      </w:r>
      <w:r w:rsidR="00976BE4" w:rsidRPr="00FB4B14">
        <w:rPr>
          <w:rFonts w:ascii="Times New Roman" w:hAnsi="Times New Roman"/>
          <w:sz w:val="24"/>
        </w:rPr>
        <w:t>.</w:t>
      </w:r>
    </w:p>
  </w:footnote>
  <w:footnote w:id="18">
    <w:p w14:paraId="18D4440F" w14:textId="1BF1AEA7" w:rsidR="001860F1" w:rsidRPr="00FB4B14" w:rsidRDefault="001860F1"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90380D" w:rsidRPr="00FB4B14">
        <w:rPr>
          <w:rFonts w:ascii="Times New Roman" w:hAnsi="Times New Roman"/>
          <w:sz w:val="24"/>
        </w:rPr>
        <w:t>(1970) 125 CLR 52 at 70</w:t>
      </w:r>
      <w:r w:rsidR="00C66FAB" w:rsidRPr="00FB4B14">
        <w:rPr>
          <w:rFonts w:ascii="Times New Roman" w:hAnsi="Times New Roman"/>
          <w:sz w:val="24"/>
        </w:rPr>
        <w:t>.</w:t>
      </w:r>
    </w:p>
  </w:footnote>
  <w:footnote w:id="19">
    <w:p w14:paraId="3633FD24" w14:textId="44DC0111" w:rsidR="00260A0B" w:rsidRPr="00FB4B14" w:rsidRDefault="00260A0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(2005) 220 CLR 592 at </w:t>
      </w:r>
      <w:r w:rsidR="00C515EF" w:rsidRPr="00FB4B14">
        <w:rPr>
          <w:rFonts w:ascii="Times New Roman" w:hAnsi="Times New Roman"/>
          <w:sz w:val="24"/>
        </w:rPr>
        <w:t xml:space="preserve">608 </w:t>
      </w:r>
      <w:r w:rsidRPr="00FB4B14">
        <w:rPr>
          <w:rFonts w:ascii="Times New Roman" w:hAnsi="Times New Roman"/>
          <w:sz w:val="24"/>
        </w:rPr>
        <w:t>[38]</w:t>
      </w:r>
      <w:r w:rsidR="00C66FAB" w:rsidRPr="00FB4B14">
        <w:rPr>
          <w:rFonts w:ascii="Times New Roman" w:hAnsi="Times New Roman"/>
          <w:sz w:val="24"/>
        </w:rPr>
        <w:t>.</w:t>
      </w:r>
    </w:p>
  </w:footnote>
  <w:footnote w:id="20">
    <w:p w14:paraId="18047126" w14:textId="437D2F6F" w:rsidR="00CD5740" w:rsidRPr="00FB4B14" w:rsidRDefault="00CD574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(2005) 220 CLR 592 at </w:t>
      </w:r>
      <w:r w:rsidR="00086DEA" w:rsidRPr="00FB4B14">
        <w:rPr>
          <w:rFonts w:ascii="Times New Roman" w:hAnsi="Times New Roman"/>
          <w:sz w:val="24"/>
        </w:rPr>
        <w:t xml:space="preserve">613 </w:t>
      </w:r>
      <w:r w:rsidRPr="00FB4B14">
        <w:rPr>
          <w:rFonts w:ascii="Times New Roman" w:hAnsi="Times New Roman"/>
          <w:sz w:val="24"/>
        </w:rPr>
        <w:t>[</w:t>
      </w:r>
      <w:r w:rsidR="002D2AB9" w:rsidRPr="00FB4B14">
        <w:rPr>
          <w:rFonts w:ascii="Times New Roman" w:hAnsi="Times New Roman"/>
          <w:sz w:val="24"/>
        </w:rPr>
        <w:t>55</w:t>
      </w:r>
      <w:r w:rsidRPr="00FB4B14">
        <w:rPr>
          <w:rFonts w:ascii="Times New Roman" w:hAnsi="Times New Roman"/>
          <w:sz w:val="24"/>
        </w:rPr>
        <w:t>]</w:t>
      </w:r>
      <w:r w:rsidR="00C66FAB" w:rsidRPr="00FB4B14">
        <w:rPr>
          <w:rFonts w:ascii="Times New Roman" w:hAnsi="Times New Roman"/>
          <w:sz w:val="24"/>
        </w:rPr>
        <w:t>.</w:t>
      </w:r>
    </w:p>
  </w:footnote>
  <w:footnote w:id="21">
    <w:p w14:paraId="7D38305F" w14:textId="4A59FBD4" w:rsidR="00660E43" w:rsidRPr="00FB4B14" w:rsidRDefault="00660E43"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bookmarkStart w:id="0" w:name="_Hlk116631890"/>
      <w:r w:rsidR="00B52691" w:rsidRPr="00FB4B14">
        <w:rPr>
          <w:rFonts w:ascii="Times New Roman" w:hAnsi="Times New Roman"/>
          <w:i/>
          <w:iCs/>
          <w:sz w:val="24"/>
        </w:rPr>
        <w:t xml:space="preserve">Federal Commissioner of Taxation v </w:t>
      </w:r>
      <w:r w:rsidR="00FE1DC0" w:rsidRPr="00FB4B14">
        <w:rPr>
          <w:rFonts w:ascii="Times New Roman" w:hAnsi="Times New Roman"/>
          <w:i/>
          <w:sz w:val="24"/>
        </w:rPr>
        <w:t>Linter Textiles</w:t>
      </w:r>
      <w:r w:rsidR="00B52691" w:rsidRPr="00FB4B14">
        <w:rPr>
          <w:rFonts w:ascii="Times New Roman" w:hAnsi="Times New Roman"/>
          <w:i/>
          <w:sz w:val="24"/>
        </w:rPr>
        <w:t xml:space="preserve"> Australia Ltd</w:t>
      </w:r>
      <w:r w:rsidR="00994C7C" w:rsidRPr="00FB4B14">
        <w:rPr>
          <w:rFonts w:ascii="Times New Roman" w:hAnsi="Times New Roman"/>
          <w:sz w:val="24"/>
        </w:rPr>
        <w:t xml:space="preserve"> </w:t>
      </w:r>
      <w:r w:rsidR="00994C7C" w:rsidRPr="00FB4B14">
        <w:rPr>
          <w:rFonts w:ascii="Times New Roman" w:hAnsi="Times New Roman"/>
          <w:i/>
          <w:iCs/>
          <w:sz w:val="24"/>
        </w:rPr>
        <w:t xml:space="preserve">(In </w:t>
      </w:r>
      <w:proofErr w:type="spellStart"/>
      <w:r w:rsidR="00994C7C" w:rsidRPr="00FB4B14">
        <w:rPr>
          <w:rFonts w:ascii="Times New Roman" w:hAnsi="Times New Roman"/>
          <w:i/>
          <w:iCs/>
          <w:sz w:val="24"/>
        </w:rPr>
        <w:t>liq</w:t>
      </w:r>
      <w:proofErr w:type="spellEnd"/>
      <w:r w:rsidR="00994C7C" w:rsidRPr="00FB4B14">
        <w:rPr>
          <w:rFonts w:ascii="Times New Roman" w:hAnsi="Times New Roman"/>
          <w:i/>
          <w:iCs/>
          <w:sz w:val="24"/>
        </w:rPr>
        <w:t>)</w:t>
      </w:r>
      <w:r w:rsidR="00994C7C" w:rsidRPr="00FB4B14">
        <w:rPr>
          <w:rFonts w:ascii="Times New Roman" w:hAnsi="Times New Roman"/>
          <w:sz w:val="24"/>
        </w:rPr>
        <w:t xml:space="preserve"> </w:t>
      </w:r>
      <w:r w:rsidRPr="00FB4B14">
        <w:rPr>
          <w:rFonts w:ascii="Times New Roman" w:hAnsi="Times New Roman"/>
          <w:sz w:val="24"/>
        </w:rPr>
        <w:t xml:space="preserve">(2005) 220 CLR </w:t>
      </w:r>
      <w:r w:rsidR="005A19BD" w:rsidRPr="00FB4B14">
        <w:rPr>
          <w:rFonts w:ascii="Times New Roman" w:hAnsi="Times New Roman"/>
          <w:sz w:val="24"/>
        </w:rPr>
        <w:t xml:space="preserve">592 at </w:t>
      </w:r>
      <w:r w:rsidR="00C515EF" w:rsidRPr="00FB4B14">
        <w:rPr>
          <w:rFonts w:ascii="Times New Roman" w:hAnsi="Times New Roman"/>
          <w:sz w:val="24"/>
        </w:rPr>
        <w:t xml:space="preserve">608 </w:t>
      </w:r>
      <w:r w:rsidR="005A19BD" w:rsidRPr="00FB4B14">
        <w:rPr>
          <w:rFonts w:ascii="Times New Roman" w:hAnsi="Times New Roman"/>
          <w:sz w:val="24"/>
        </w:rPr>
        <w:t>[35]</w:t>
      </w:r>
      <w:bookmarkEnd w:id="0"/>
      <w:r w:rsidR="00B52691" w:rsidRPr="00FB4B14">
        <w:rPr>
          <w:rFonts w:ascii="Times New Roman" w:hAnsi="Times New Roman"/>
          <w:sz w:val="24"/>
        </w:rPr>
        <w:t xml:space="preserve"> per Gleeson CJ, </w:t>
      </w:r>
      <w:proofErr w:type="spellStart"/>
      <w:r w:rsidR="00B52691" w:rsidRPr="00FB4B14">
        <w:rPr>
          <w:rFonts w:ascii="Times New Roman" w:hAnsi="Times New Roman"/>
          <w:sz w:val="24"/>
        </w:rPr>
        <w:t>Gummow</w:t>
      </w:r>
      <w:proofErr w:type="spellEnd"/>
      <w:r w:rsidR="00B52691" w:rsidRPr="00FB4B14">
        <w:rPr>
          <w:rFonts w:ascii="Times New Roman" w:hAnsi="Times New Roman"/>
          <w:sz w:val="24"/>
        </w:rPr>
        <w:t xml:space="preserve">, Hayne, </w:t>
      </w:r>
      <w:proofErr w:type="spellStart"/>
      <w:r w:rsidR="00B52691" w:rsidRPr="00FB4B14">
        <w:rPr>
          <w:rFonts w:ascii="Times New Roman" w:hAnsi="Times New Roman"/>
          <w:sz w:val="24"/>
        </w:rPr>
        <w:t>Callinan</w:t>
      </w:r>
      <w:proofErr w:type="spellEnd"/>
      <w:r w:rsidR="00B52691" w:rsidRPr="00FB4B14">
        <w:rPr>
          <w:rFonts w:ascii="Times New Roman" w:hAnsi="Times New Roman"/>
          <w:sz w:val="24"/>
        </w:rPr>
        <w:t xml:space="preserve"> and </w:t>
      </w:r>
      <w:proofErr w:type="spellStart"/>
      <w:r w:rsidR="00B52691" w:rsidRPr="00FB4B14">
        <w:rPr>
          <w:rFonts w:ascii="Times New Roman" w:hAnsi="Times New Roman"/>
          <w:sz w:val="24"/>
        </w:rPr>
        <w:t>Heydon</w:t>
      </w:r>
      <w:proofErr w:type="spellEnd"/>
      <w:r w:rsidR="00B52691" w:rsidRPr="00FB4B14">
        <w:rPr>
          <w:rFonts w:ascii="Times New Roman" w:hAnsi="Times New Roman"/>
          <w:sz w:val="24"/>
        </w:rPr>
        <w:t> JJ</w:t>
      </w:r>
      <w:r w:rsidR="00334563" w:rsidRPr="00FB4B14">
        <w:rPr>
          <w:rFonts w:ascii="Times New Roman" w:hAnsi="Times New Roman"/>
          <w:sz w:val="24"/>
        </w:rPr>
        <w:t>.</w:t>
      </w:r>
    </w:p>
  </w:footnote>
  <w:footnote w:id="22">
    <w:p w14:paraId="3BFDF59D" w14:textId="7B1A6F2B" w:rsidR="005C1D66" w:rsidRPr="00FB4B14" w:rsidRDefault="005C1D66"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E069CE" w:rsidRPr="00FB4B14">
        <w:rPr>
          <w:rFonts w:ascii="Times New Roman" w:hAnsi="Times New Roman"/>
          <w:i/>
          <w:iCs/>
          <w:sz w:val="24"/>
        </w:rPr>
        <w:t xml:space="preserve">Federal Commissioner of Taxation v </w:t>
      </w:r>
      <w:r w:rsidR="00E069CE" w:rsidRPr="00FB4B14">
        <w:rPr>
          <w:rFonts w:ascii="Times New Roman" w:hAnsi="Times New Roman"/>
          <w:i/>
          <w:sz w:val="24"/>
        </w:rPr>
        <w:t>Linter Textiles Australia Ltd</w:t>
      </w:r>
      <w:r w:rsidR="00E069CE" w:rsidRPr="00FB4B14">
        <w:rPr>
          <w:rFonts w:ascii="Times New Roman" w:hAnsi="Times New Roman"/>
          <w:sz w:val="24"/>
        </w:rPr>
        <w:t xml:space="preserve"> </w:t>
      </w:r>
      <w:r w:rsidR="00994C7C" w:rsidRPr="00FB4B14">
        <w:rPr>
          <w:rFonts w:ascii="Times New Roman" w:hAnsi="Times New Roman"/>
          <w:i/>
          <w:iCs/>
          <w:sz w:val="24"/>
        </w:rPr>
        <w:t xml:space="preserve">(In </w:t>
      </w:r>
      <w:proofErr w:type="spellStart"/>
      <w:r w:rsidR="00994C7C" w:rsidRPr="00FB4B14">
        <w:rPr>
          <w:rFonts w:ascii="Times New Roman" w:hAnsi="Times New Roman"/>
          <w:i/>
          <w:iCs/>
          <w:sz w:val="24"/>
        </w:rPr>
        <w:t>liq</w:t>
      </w:r>
      <w:proofErr w:type="spellEnd"/>
      <w:r w:rsidR="00994C7C" w:rsidRPr="00FB4B14">
        <w:rPr>
          <w:rFonts w:ascii="Times New Roman" w:hAnsi="Times New Roman"/>
          <w:i/>
          <w:iCs/>
          <w:sz w:val="24"/>
        </w:rPr>
        <w:t>)</w:t>
      </w:r>
      <w:r w:rsidR="00994C7C" w:rsidRPr="00FB4B14">
        <w:rPr>
          <w:rFonts w:ascii="Times New Roman" w:hAnsi="Times New Roman"/>
          <w:sz w:val="24"/>
        </w:rPr>
        <w:t xml:space="preserve"> </w:t>
      </w:r>
      <w:r w:rsidR="00F23CFF" w:rsidRPr="00FB4B14">
        <w:rPr>
          <w:rFonts w:ascii="Times New Roman" w:hAnsi="Times New Roman"/>
          <w:sz w:val="24"/>
        </w:rPr>
        <w:t xml:space="preserve">(2005) 220 CLR 592 </w:t>
      </w:r>
      <w:r w:rsidRPr="00FB4B14">
        <w:rPr>
          <w:rFonts w:ascii="Times New Roman" w:hAnsi="Times New Roman"/>
          <w:sz w:val="24"/>
        </w:rPr>
        <w:t xml:space="preserve">at </w:t>
      </w:r>
      <w:r w:rsidR="00FB2B93" w:rsidRPr="00FB4B14">
        <w:rPr>
          <w:rFonts w:ascii="Times New Roman" w:hAnsi="Times New Roman"/>
          <w:sz w:val="24"/>
        </w:rPr>
        <w:t xml:space="preserve">612 </w:t>
      </w:r>
      <w:r w:rsidRPr="00FB4B14">
        <w:rPr>
          <w:rFonts w:ascii="Times New Roman" w:hAnsi="Times New Roman"/>
          <w:sz w:val="24"/>
        </w:rPr>
        <w:t>[54]</w:t>
      </w:r>
      <w:r w:rsidR="00B52691" w:rsidRPr="00FB4B14">
        <w:rPr>
          <w:rFonts w:ascii="Times New Roman" w:hAnsi="Times New Roman"/>
          <w:sz w:val="24"/>
        </w:rPr>
        <w:t xml:space="preserve"> per Gleeson CJ, </w:t>
      </w:r>
      <w:proofErr w:type="spellStart"/>
      <w:r w:rsidR="00B52691" w:rsidRPr="00FB4B14">
        <w:rPr>
          <w:rFonts w:ascii="Times New Roman" w:hAnsi="Times New Roman"/>
          <w:sz w:val="24"/>
        </w:rPr>
        <w:t>Gummow</w:t>
      </w:r>
      <w:proofErr w:type="spellEnd"/>
      <w:r w:rsidR="00B52691" w:rsidRPr="00FB4B14">
        <w:rPr>
          <w:rFonts w:ascii="Times New Roman" w:hAnsi="Times New Roman"/>
          <w:sz w:val="24"/>
        </w:rPr>
        <w:t xml:space="preserve">, Hayne, </w:t>
      </w:r>
      <w:proofErr w:type="spellStart"/>
      <w:r w:rsidR="00B52691" w:rsidRPr="00FB4B14">
        <w:rPr>
          <w:rFonts w:ascii="Times New Roman" w:hAnsi="Times New Roman"/>
          <w:sz w:val="24"/>
        </w:rPr>
        <w:t>Callinan</w:t>
      </w:r>
      <w:proofErr w:type="spellEnd"/>
      <w:r w:rsidR="00B52691" w:rsidRPr="00FB4B14">
        <w:rPr>
          <w:rFonts w:ascii="Times New Roman" w:hAnsi="Times New Roman"/>
          <w:sz w:val="24"/>
        </w:rPr>
        <w:t xml:space="preserve"> and </w:t>
      </w:r>
      <w:proofErr w:type="spellStart"/>
      <w:r w:rsidR="00B52691" w:rsidRPr="00FB4B14">
        <w:rPr>
          <w:rFonts w:ascii="Times New Roman" w:hAnsi="Times New Roman"/>
          <w:sz w:val="24"/>
        </w:rPr>
        <w:t>Heydon</w:t>
      </w:r>
      <w:proofErr w:type="spellEnd"/>
      <w:r w:rsidR="00B52691" w:rsidRPr="00FB4B14">
        <w:rPr>
          <w:rFonts w:ascii="Times New Roman" w:hAnsi="Times New Roman"/>
          <w:sz w:val="24"/>
        </w:rPr>
        <w:t> JJ,</w:t>
      </w:r>
      <w:r w:rsidR="003B1A74" w:rsidRPr="00FB4B14">
        <w:rPr>
          <w:rFonts w:ascii="Times New Roman" w:hAnsi="Times New Roman"/>
          <w:sz w:val="24"/>
        </w:rPr>
        <w:t xml:space="preserve"> </w:t>
      </w:r>
      <w:r w:rsidR="00E4333C" w:rsidRPr="00FB4B14">
        <w:rPr>
          <w:rFonts w:ascii="Times New Roman" w:hAnsi="Times New Roman"/>
          <w:sz w:val="24"/>
        </w:rPr>
        <w:t>citing</w:t>
      </w:r>
      <w:r w:rsidR="003B1A74" w:rsidRPr="00FB4B14">
        <w:rPr>
          <w:rFonts w:ascii="Times New Roman" w:hAnsi="Times New Roman"/>
          <w:sz w:val="24"/>
        </w:rPr>
        <w:t xml:space="preserve"> </w:t>
      </w:r>
      <w:r w:rsidR="003B1A74" w:rsidRPr="00FB4B14">
        <w:rPr>
          <w:rFonts w:ascii="Times New Roman" w:hAnsi="Times New Roman"/>
          <w:i/>
          <w:iCs/>
          <w:sz w:val="24"/>
        </w:rPr>
        <w:t>Ford and Austin's Principles of Corporations Law</w:t>
      </w:r>
      <w:r w:rsidR="00625210" w:rsidRPr="00FB4B14">
        <w:rPr>
          <w:rFonts w:ascii="Times New Roman" w:hAnsi="Times New Roman"/>
          <w:sz w:val="24"/>
        </w:rPr>
        <w:t>, 7th ed (1995)</w:t>
      </w:r>
      <w:r w:rsidR="0068551B" w:rsidRPr="00FB4B14">
        <w:rPr>
          <w:rFonts w:ascii="Times New Roman" w:hAnsi="Times New Roman"/>
          <w:sz w:val="24"/>
        </w:rPr>
        <w:t xml:space="preserve"> at 1013</w:t>
      </w:r>
      <w:r w:rsidR="007A3999" w:rsidRPr="00FB4B14">
        <w:rPr>
          <w:rFonts w:ascii="Times New Roman" w:hAnsi="Times New Roman"/>
          <w:sz w:val="24"/>
        </w:rPr>
        <w:t>.</w:t>
      </w:r>
    </w:p>
  </w:footnote>
  <w:footnote w:id="23">
    <w:p w14:paraId="7D01BC83" w14:textId="7DBF747D" w:rsidR="00F75A5B" w:rsidRPr="00FB4B14" w:rsidRDefault="00F75A5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916D9" w:rsidRPr="00FB4B14">
        <w:rPr>
          <w:rFonts w:ascii="Times New Roman" w:hAnsi="Times New Roman"/>
          <w:i/>
          <w:iCs/>
          <w:sz w:val="24"/>
        </w:rPr>
        <w:t>Morton v Metal Manufactures Pty Ltd</w:t>
      </w:r>
      <w:r w:rsidR="003916D9" w:rsidRPr="00FB4B14">
        <w:rPr>
          <w:rFonts w:ascii="Times New Roman" w:hAnsi="Times New Roman"/>
          <w:sz w:val="24"/>
        </w:rPr>
        <w:t xml:space="preserve"> (2021) 289 FCR 556 at </w:t>
      </w:r>
      <w:r w:rsidR="00A627E4" w:rsidRPr="00FB4B14">
        <w:rPr>
          <w:rFonts w:ascii="Times New Roman" w:hAnsi="Times New Roman"/>
          <w:sz w:val="24"/>
        </w:rPr>
        <w:t>574</w:t>
      </w:r>
      <w:r w:rsidR="00334F24" w:rsidRPr="00FB4B14">
        <w:rPr>
          <w:rFonts w:ascii="Times New Roman" w:hAnsi="Times New Roman"/>
          <w:sz w:val="24"/>
        </w:rPr>
        <w:t xml:space="preserve"> </w:t>
      </w:r>
      <w:r w:rsidRPr="00FB4B14">
        <w:rPr>
          <w:rFonts w:ascii="Times New Roman" w:hAnsi="Times New Roman"/>
          <w:sz w:val="24"/>
        </w:rPr>
        <w:t>[60]</w:t>
      </w:r>
      <w:r w:rsidR="00F80E3D" w:rsidRPr="00FB4B14">
        <w:rPr>
          <w:rFonts w:ascii="Times New Roman" w:hAnsi="Times New Roman"/>
          <w:sz w:val="24"/>
        </w:rPr>
        <w:t>.</w:t>
      </w:r>
      <w:r w:rsidR="008878DD" w:rsidRPr="00FB4B14">
        <w:rPr>
          <w:rFonts w:ascii="Times New Roman" w:hAnsi="Times New Roman"/>
          <w:sz w:val="24"/>
        </w:rPr>
        <w:t xml:space="preserve"> See also </w:t>
      </w:r>
      <w:r w:rsidR="008878DD" w:rsidRPr="00FB4B14">
        <w:rPr>
          <w:rFonts w:ascii="Times New Roman" w:hAnsi="Times New Roman"/>
          <w:i/>
          <w:sz w:val="24"/>
        </w:rPr>
        <w:t xml:space="preserve">Sons of Gwalia Ltd v </w:t>
      </w:r>
      <w:proofErr w:type="spellStart"/>
      <w:r w:rsidR="008878DD" w:rsidRPr="00FB4B14">
        <w:rPr>
          <w:rFonts w:ascii="Times New Roman" w:hAnsi="Times New Roman"/>
          <w:i/>
          <w:sz w:val="24"/>
        </w:rPr>
        <w:t>Margaretic</w:t>
      </w:r>
      <w:proofErr w:type="spellEnd"/>
      <w:r w:rsidR="008878DD" w:rsidRPr="00FB4B14">
        <w:rPr>
          <w:rFonts w:ascii="Times New Roman" w:hAnsi="Times New Roman"/>
          <w:sz w:val="24"/>
        </w:rPr>
        <w:t xml:space="preserve"> (2007) 231 CLR 160 at 223 [168] per Hayne J.</w:t>
      </w:r>
    </w:p>
  </w:footnote>
  <w:footnote w:id="24">
    <w:p w14:paraId="6EF248F0" w14:textId="1FC9A212" w:rsidR="00456909" w:rsidRPr="00FB4B14" w:rsidRDefault="00456909"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1502CE" w:rsidRPr="00FB4B14">
        <w:rPr>
          <w:rFonts w:ascii="Times New Roman" w:hAnsi="Times New Roman"/>
          <w:sz w:val="24"/>
        </w:rPr>
        <w:t xml:space="preserve">See </w:t>
      </w:r>
      <w:r w:rsidRPr="00FB4B14">
        <w:rPr>
          <w:rFonts w:ascii="Times New Roman" w:hAnsi="Times New Roman"/>
          <w:sz w:val="24"/>
        </w:rPr>
        <w:t xml:space="preserve">definition of </w:t>
      </w:r>
      <w:r w:rsidR="00854F16" w:rsidRPr="00FB4B14">
        <w:rPr>
          <w:rFonts w:ascii="Times New Roman" w:hAnsi="Times New Roman"/>
          <w:sz w:val="24"/>
        </w:rPr>
        <w:t>"</w:t>
      </w:r>
      <w:r w:rsidRPr="00FB4B14">
        <w:rPr>
          <w:rFonts w:ascii="Times New Roman" w:hAnsi="Times New Roman"/>
          <w:sz w:val="24"/>
        </w:rPr>
        <w:t>relevant date</w:t>
      </w:r>
      <w:r w:rsidR="00854F16" w:rsidRPr="00FB4B14">
        <w:rPr>
          <w:rFonts w:ascii="Times New Roman" w:hAnsi="Times New Roman"/>
          <w:sz w:val="24"/>
        </w:rPr>
        <w:t>"</w:t>
      </w:r>
      <w:r w:rsidRPr="00FB4B14">
        <w:rPr>
          <w:rFonts w:ascii="Times New Roman" w:hAnsi="Times New Roman"/>
          <w:sz w:val="24"/>
        </w:rPr>
        <w:t xml:space="preserve"> in s 9 of the Act</w:t>
      </w:r>
      <w:r w:rsidR="00897841" w:rsidRPr="00FB4B14">
        <w:rPr>
          <w:rFonts w:ascii="Times New Roman" w:hAnsi="Times New Roman"/>
          <w:sz w:val="24"/>
        </w:rPr>
        <w:t>.</w:t>
      </w:r>
    </w:p>
  </w:footnote>
  <w:footnote w:id="25">
    <w:p w14:paraId="1AD83A74" w14:textId="0F121999" w:rsidR="000058F9" w:rsidRPr="00FB4B14" w:rsidRDefault="000058F9"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See</w:t>
      </w:r>
      <w:r w:rsidR="00B71596" w:rsidRPr="00FB4B14">
        <w:rPr>
          <w:rFonts w:ascii="Times New Roman" w:hAnsi="Times New Roman"/>
          <w:sz w:val="24"/>
        </w:rPr>
        <w:t xml:space="preserve">, </w:t>
      </w:r>
      <w:proofErr w:type="spellStart"/>
      <w:r w:rsidR="00B71596" w:rsidRPr="00FB4B14">
        <w:rPr>
          <w:rFonts w:ascii="Times New Roman" w:hAnsi="Times New Roman"/>
          <w:sz w:val="24"/>
        </w:rPr>
        <w:t>eg</w:t>
      </w:r>
      <w:proofErr w:type="spellEnd"/>
      <w:r w:rsidR="00B71596" w:rsidRPr="00FB4B14">
        <w:rPr>
          <w:rFonts w:ascii="Times New Roman" w:hAnsi="Times New Roman"/>
          <w:sz w:val="24"/>
        </w:rPr>
        <w:t>,</w:t>
      </w:r>
      <w:r w:rsidRPr="00FB4B14">
        <w:rPr>
          <w:rFonts w:ascii="Times New Roman" w:hAnsi="Times New Roman"/>
          <w:sz w:val="24"/>
        </w:rPr>
        <w:t xml:space="preserve"> </w:t>
      </w:r>
      <w:r w:rsidRPr="00FB4B14">
        <w:rPr>
          <w:rFonts w:ascii="Times New Roman" w:hAnsi="Times New Roman"/>
          <w:i/>
          <w:sz w:val="24"/>
        </w:rPr>
        <w:t xml:space="preserve">Sons of Gwalia Ltd v </w:t>
      </w:r>
      <w:proofErr w:type="spellStart"/>
      <w:r w:rsidRPr="00FB4B14">
        <w:rPr>
          <w:rFonts w:ascii="Times New Roman" w:hAnsi="Times New Roman"/>
          <w:i/>
          <w:sz w:val="24"/>
        </w:rPr>
        <w:t>Margaretic</w:t>
      </w:r>
      <w:proofErr w:type="spellEnd"/>
      <w:r w:rsidRPr="00FB4B14">
        <w:rPr>
          <w:rFonts w:ascii="Times New Roman" w:hAnsi="Times New Roman"/>
          <w:sz w:val="24"/>
        </w:rPr>
        <w:t xml:space="preserve"> </w:t>
      </w:r>
      <w:r w:rsidR="00245A96" w:rsidRPr="00FB4B14">
        <w:rPr>
          <w:rFonts w:ascii="Times New Roman" w:hAnsi="Times New Roman"/>
          <w:sz w:val="24"/>
        </w:rPr>
        <w:t xml:space="preserve">(2007) 231 CLR 160 at </w:t>
      </w:r>
      <w:r w:rsidR="00354DD9" w:rsidRPr="00FB4B14">
        <w:rPr>
          <w:rFonts w:ascii="Times New Roman" w:hAnsi="Times New Roman"/>
          <w:sz w:val="24"/>
        </w:rPr>
        <w:t>224 [172] per Hayne</w:t>
      </w:r>
      <w:r w:rsidR="00122047" w:rsidRPr="00FB4B14">
        <w:rPr>
          <w:rFonts w:ascii="Times New Roman" w:hAnsi="Times New Roman"/>
          <w:sz w:val="24"/>
        </w:rPr>
        <w:t> J.</w:t>
      </w:r>
    </w:p>
  </w:footnote>
  <w:footnote w:id="26">
    <w:p w14:paraId="15D27944" w14:textId="17F2C967" w:rsidR="00DD5130" w:rsidRPr="00FB4B14" w:rsidRDefault="00DD513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(2011) 82 NSWLR 336 a</w:t>
      </w:r>
      <w:r w:rsidR="005E1838" w:rsidRPr="00FB4B14">
        <w:rPr>
          <w:rFonts w:ascii="Times New Roman" w:hAnsi="Times New Roman"/>
          <w:sz w:val="24"/>
        </w:rPr>
        <w:t>t 363 [105]</w:t>
      </w:r>
      <w:r w:rsidR="00396469" w:rsidRPr="00FB4B14">
        <w:rPr>
          <w:rFonts w:ascii="Times New Roman" w:hAnsi="Times New Roman"/>
          <w:sz w:val="24"/>
        </w:rPr>
        <w:t>.</w:t>
      </w:r>
    </w:p>
  </w:footnote>
  <w:footnote w:id="27">
    <w:p w14:paraId="36E15EE1" w14:textId="446CAAD2" w:rsidR="00C03F7A" w:rsidRPr="00FB4B14" w:rsidRDefault="00C03F7A"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See s 588FI of the Act, discussed at [</w:t>
      </w:r>
      <w:r w:rsidR="00F279B4" w:rsidRPr="00FB4B14">
        <w:rPr>
          <w:rFonts w:ascii="Times New Roman" w:hAnsi="Times New Roman"/>
          <w:sz w:val="24"/>
        </w:rPr>
        <w:t>29</w:t>
      </w:r>
      <w:r w:rsidRPr="00FB4B14">
        <w:rPr>
          <w:rFonts w:ascii="Times New Roman" w:hAnsi="Times New Roman"/>
          <w:sz w:val="24"/>
        </w:rPr>
        <w:t>].</w:t>
      </w:r>
    </w:p>
  </w:footnote>
  <w:footnote w:id="28">
    <w:p w14:paraId="5F087A5E" w14:textId="2A32DE3B" w:rsidR="002803A7" w:rsidRPr="00FB4B14" w:rsidRDefault="002803A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Sub</w:t>
      </w:r>
      <w:r w:rsidR="00FC3954" w:rsidRPr="00FB4B14">
        <w:rPr>
          <w:rFonts w:ascii="Times New Roman" w:hAnsi="Times New Roman"/>
          <w:sz w:val="24"/>
        </w:rPr>
        <w:t>-</w:t>
      </w:r>
      <w:r w:rsidRPr="00FB4B14">
        <w:rPr>
          <w:rFonts w:ascii="Times New Roman" w:hAnsi="Times New Roman"/>
          <w:sz w:val="24"/>
        </w:rPr>
        <w:t>sections (1)(a) and (dd).</w:t>
      </w:r>
    </w:p>
  </w:footnote>
  <w:footnote w:id="29">
    <w:p w14:paraId="634B5445" w14:textId="7C845626" w:rsidR="002803A7" w:rsidRPr="00FB4B14" w:rsidRDefault="002803A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Sub</w:t>
      </w:r>
      <w:r w:rsidR="00FC3954" w:rsidRPr="00FB4B14">
        <w:rPr>
          <w:rFonts w:ascii="Times New Roman" w:hAnsi="Times New Roman"/>
          <w:sz w:val="24"/>
        </w:rPr>
        <w:t>-</w:t>
      </w:r>
      <w:r w:rsidRPr="00FB4B14">
        <w:rPr>
          <w:rFonts w:ascii="Times New Roman" w:hAnsi="Times New Roman"/>
          <w:sz w:val="24"/>
        </w:rPr>
        <w:t>section (1)(b).</w:t>
      </w:r>
    </w:p>
  </w:footnote>
  <w:footnote w:id="30">
    <w:p w14:paraId="5BECB906" w14:textId="507FCFA3" w:rsidR="002803A7" w:rsidRPr="00FB4B14" w:rsidRDefault="002803A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Sub</w:t>
      </w:r>
      <w:r w:rsidR="00FC3954" w:rsidRPr="00FB4B14">
        <w:rPr>
          <w:rFonts w:ascii="Times New Roman" w:hAnsi="Times New Roman"/>
          <w:sz w:val="24"/>
        </w:rPr>
        <w:t>-</w:t>
      </w:r>
      <w:r w:rsidRPr="00FB4B14">
        <w:rPr>
          <w:rFonts w:ascii="Times New Roman" w:hAnsi="Times New Roman"/>
          <w:sz w:val="24"/>
        </w:rPr>
        <w:t>section</w:t>
      </w:r>
      <w:r w:rsidR="00B671DF" w:rsidRPr="00FB4B14">
        <w:rPr>
          <w:rFonts w:ascii="Times New Roman" w:hAnsi="Times New Roman"/>
          <w:sz w:val="24"/>
        </w:rPr>
        <w:t>s</w:t>
      </w:r>
      <w:r w:rsidRPr="00FB4B14">
        <w:rPr>
          <w:rFonts w:ascii="Times New Roman" w:hAnsi="Times New Roman"/>
          <w:sz w:val="24"/>
        </w:rPr>
        <w:t xml:space="preserve"> (1)(g)</w:t>
      </w:r>
      <w:r w:rsidR="00B671DF" w:rsidRPr="00FB4B14">
        <w:rPr>
          <w:rFonts w:ascii="Times New Roman" w:hAnsi="Times New Roman"/>
          <w:sz w:val="24"/>
        </w:rPr>
        <w:t xml:space="preserve"> and (1</w:t>
      </w:r>
      <w:r w:rsidR="00BA3D1F" w:rsidRPr="00FB4B14">
        <w:rPr>
          <w:rFonts w:ascii="Times New Roman" w:hAnsi="Times New Roman"/>
          <w:sz w:val="24"/>
        </w:rPr>
        <w:t>B)</w:t>
      </w:r>
      <w:r w:rsidRPr="00FB4B14">
        <w:rPr>
          <w:rFonts w:ascii="Times New Roman" w:hAnsi="Times New Roman"/>
          <w:sz w:val="24"/>
        </w:rPr>
        <w:t>; see also s 558 of the Act.</w:t>
      </w:r>
    </w:p>
  </w:footnote>
  <w:footnote w:id="31">
    <w:p w14:paraId="238312D8" w14:textId="34E4D1FA" w:rsidR="002803A7" w:rsidRPr="00FB4B14" w:rsidRDefault="002803A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Sub</w:t>
      </w:r>
      <w:r w:rsidR="00FC3954" w:rsidRPr="00FB4B14">
        <w:rPr>
          <w:rFonts w:ascii="Times New Roman" w:hAnsi="Times New Roman"/>
          <w:sz w:val="24"/>
        </w:rPr>
        <w:t>-</w:t>
      </w:r>
      <w:r w:rsidRPr="00FB4B14">
        <w:rPr>
          <w:rFonts w:ascii="Times New Roman" w:hAnsi="Times New Roman"/>
          <w:sz w:val="24"/>
        </w:rPr>
        <w:t>sections (1)(h)</w:t>
      </w:r>
      <w:r w:rsidR="00BA3D1F" w:rsidRPr="00FB4B14">
        <w:rPr>
          <w:rFonts w:ascii="Times New Roman" w:hAnsi="Times New Roman"/>
          <w:sz w:val="24"/>
        </w:rPr>
        <w:t xml:space="preserve"> and</w:t>
      </w:r>
      <w:r w:rsidRPr="00FB4B14">
        <w:rPr>
          <w:rFonts w:ascii="Times New Roman" w:hAnsi="Times New Roman"/>
          <w:sz w:val="24"/>
        </w:rPr>
        <w:t xml:space="preserve"> (1C).</w:t>
      </w:r>
    </w:p>
  </w:footnote>
  <w:footnote w:id="32">
    <w:p w14:paraId="3FD6C344" w14:textId="17E20286" w:rsidR="00D52413" w:rsidRPr="00FB4B14" w:rsidRDefault="00D52413"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(199</w:t>
      </w:r>
      <w:r w:rsidR="001221F3" w:rsidRPr="00FB4B14">
        <w:rPr>
          <w:rFonts w:ascii="Times New Roman" w:hAnsi="Times New Roman"/>
          <w:sz w:val="24"/>
        </w:rPr>
        <w:t>1</w:t>
      </w:r>
      <w:r w:rsidRPr="00FB4B14">
        <w:rPr>
          <w:rFonts w:ascii="Times New Roman" w:hAnsi="Times New Roman"/>
          <w:sz w:val="24"/>
        </w:rPr>
        <w:t xml:space="preserve">) 171 CLR </w:t>
      </w:r>
      <w:r w:rsidR="002137E1" w:rsidRPr="00FB4B14">
        <w:rPr>
          <w:rFonts w:ascii="Times New Roman" w:hAnsi="Times New Roman"/>
          <w:sz w:val="24"/>
        </w:rPr>
        <w:t>609</w:t>
      </w:r>
      <w:r w:rsidR="00CB568A" w:rsidRPr="00FB4B14">
        <w:rPr>
          <w:rFonts w:ascii="Times New Roman" w:hAnsi="Times New Roman"/>
          <w:sz w:val="24"/>
        </w:rPr>
        <w:t>.</w:t>
      </w:r>
    </w:p>
  </w:footnote>
  <w:footnote w:id="33">
    <w:p w14:paraId="6BBFDA57" w14:textId="6069F26C" w:rsidR="00A4401F" w:rsidRPr="00FB4B14" w:rsidRDefault="00A4401F"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4802C7" w:rsidRPr="00FB4B14">
        <w:rPr>
          <w:rFonts w:ascii="Times New Roman" w:hAnsi="Times New Roman"/>
          <w:sz w:val="24"/>
        </w:rPr>
        <w:t>(199</w:t>
      </w:r>
      <w:r w:rsidR="001221F3" w:rsidRPr="00FB4B14">
        <w:rPr>
          <w:rFonts w:ascii="Times New Roman" w:hAnsi="Times New Roman"/>
          <w:sz w:val="24"/>
        </w:rPr>
        <w:t>1</w:t>
      </w:r>
      <w:r w:rsidR="004802C7" w:rsidRPr="00FB4B14">
        <w:rPr>
          <w:rFonts w:ascii="Times New Roman" w:hAnsi="Times New Roman"/>
          <w:sz w:val="24"/>
        </w:rPr>
        <w:t xml:space="preserve">) 171 CLR 609 </w:t>
      </w:r>
      <w:r w:rsidRPr="00FB4B14">
        <w:rPr>
          <w:rFonts w:ascii="Times New Roman" w:hAnsi="Times New Roman"/>
          <w:sz w:val="24"/>
        </w:rPr>
        <w:t>at 618</w:t>
      </w:r>
      <w:r w:rsidR="001738BC" w:rsidRPr="00FB4B14">
        <w:rPr>
          <w:rFonts w:ascii="Times New Roman" w:hAnsi="Times New Roman"/>
          <w:sz w:val="24"/>
        </w:rPr>
        <w:t>-619</w:t>
      </w:r>
      <w:r w:rsidR="00F5051E" w:rsidRPr="00FB4B14">
        <w:rPr>
          <w:rFonts w:ascii="Times New Roman" w:hAnsi="Times New Roman"/>
          <w:sz w:val="24"/>
        </w:rPr>
        <w:t xml:space="preserve"> per Mason CJ, Brennan, Deane, Dawson, Toohey, </w:t>
      </w:r>
      <w:proofErr w:type="spellStart"/>
      <w:r w:rsidR="00F5051E" w:rsidRPr="00FB4B14">
        <w:rPr>
          <w:rFonts w:ascii="Times New Roman" w:hAnsi="Times New Roman"/>
          <w:sz w:val="24"/>
        </w:rPr>
        <w:t>Gaudron</w:t>
      </w:r>
      <w:proofErr w:type="spellEnd"/>
      <w:r w:rsidR="00F5051E" w:rsidRPr="00FB4B14">
        <w:rPr>
          <w:rFonts w:ascii="Times New Roman" w:hAnsi="Times New Roman"/>
          <w:sz w:val="24"/>
        </w:rPr>
        <w:t xml:space="preserve"> and McHugh JJ</w:t>
      </w:r>
      <w:r w:rsidR="007372E9" w:rsidRPr="00FB4B14">
        <w:rPr>
          <w:rFonts w:ascii="Times New Roman" w:hAnsi="Times New Roman"/>
          <w:sz w:val="24"/>
        </w:rPr>
        <w:t>.</w:t>
      </w:r>
      <w:r w:rsidR="00DD0255" w:rsidRPr="00FB4B14">
        <w:rPr>
          <w:rFonts w:ascii="Times New Roman" w:hAnsi="Times New Roman"/>
          <w:sz w:val="24"/>
        </w:rPr>
        <w:t xml:space="preserve"> </w:t>
      </w:r>
      <w:r w:rsidR="007372E9" w:rsidRPr="00FB4B14">
        <w:rPr>
          <w:rFonts w:ascii="Times New Roman" w:hAnsi="Times New Roman"/>
          <w:sz w:val="24"/>
        </w:rPr>
        <w:t>S</w:t>
      </w:r>
      <w:r w:rsidR="00DD0255" w:rsidRPr="00FB4B14">
        <w:rPr>
          <w:rFonts w:ascii="Times New Roman" w:hAnsi="Times New Roman"/>
          <w:sz w:val="24"/>
        </w:rPr>
        <w:t xml:space="preserve">ee also </w:t>
      </w:r>
      <w:r w:rsidR="001B723A" w:rsidRPr="00FB4B14">
        <w:rPr>
          <w:rFonts w:ascii="Times New Roman" w:hAnsi="Times New Roman"/>
          <w:i/>
          <w:iCs/>
          <w:sz w:val="24"/>
        </w:rPr>
        <w:t>Morton v Metal Manufactures Pty Ltd</w:t>
      </w:r>
      <w:r w:rsidR="001B723A" w:rsidRPr="00FB4B14">
        <w:rPr>
          <w:rFonts w:ascii="Times New Roman" w:hAnsi="Times New Roman"/>
          <w:sz w:val="24"/>
        </w:rPr>
        <w:t xml:space="preserve"> (2021) 289 FCR 556</w:t>
      </w:r>
      <w:r w:rsidR="00D1331C" w:rsidRPr="00FB4B14">
        <w:rPr>
          <w:rFonts w:ascii="Times New Roman" w:hAnsi="Times New Roman"/>
          <w:sz w:val="24"/>
        </w:rPr>
        <w:t xml:space="preserve"> </w:t>
      </w:r>
      <w:r w:rsidR="007C4756" w:rsidRPr="00FB4B14">
        <w:rPr>
          <w:rFonts w:ascii="Times New Roman" w:hAnsi="Times New Roman"/>
          <w:sz w:val="24"/>
        </w:rPr>
        <w:t xml:space="preserve">at </w:t>
      </w:r>
      <w:r w:rsidR="00D1331C" w:rsidRPr="00FB4B14">
        <w:rPr>
          <w:rFonts w:ascii="Times New Roman" w:hAnsi="Times New Roman"/>
          <w:sz w:val="24"/>
        </w:rPr>
        <w:t xml:space="preserve">588-589 </w:t>
      </w:r>
      <w:r w:rsidR="00DD0255" w:rsidRPr="00FB4B14">
        <w:rPr>
          <w:rFonts w:ascii="Times New Roman" w:hAnsi="Times New Roman"/>
          <w:sz w:val="24"/>
        </w:rPr>
        <w:t xml:space="preserve">[109] per </w:t>
      </w:r>
      <w:proofErr w:type="spellStart"/>
      <w:r w:rsidR="00DD0255" w:rsidRPr="00FB4B14">
        <w:rPr>
          <w:rFonts w:ascii="Times New Roman" w:hAnsi="Times New Roman"/>
          <w:sz w:val="24"/>
        </w:rPr>
        <w:t>Allsop</w:t>
      </w:r>
      <w:proofErr w:type="spellEnd"/>
      <w:r w:rsidR="00CC4F63" w:rsidRPr="00FB4B14">
        <w:rPr>
          <w:rFonts w:ascii="Times New Roman" w:hAnsi="Times New Roman"/>
          <w:sz w:val="24"/>
        </w:rPr>
        <w:t> CJ</w:t>
      </w:r>
      <w:r w:rsidR="00CB568A" w:rsidRPr="00FB4B14">
        <w:rPr>
          <w:rFonts w:ascii="Times New Roman" w:hAnsi="Times New Roman"/>
          <w:sz w:val="24"/>
        </w:rPr>
        <w:t>.</w:t>
      </w:r>
    </w:p>
  </w:footnote>
  <w:footnote w:id="34">
    <w:p w14:paraId="313237B3" w14:textId="0976C899" w:rsidR="0052382D" w:rsidRPr="00FB4B14" w:rsidRDefault="0052382D"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00C658CD" w:rsidRPr="00FB4B14">
        <w:rPr>
          <w:rFonts w:ascii="Times New Roman" w:hAnsi="Times New Roman"/>
          <w:i/>
          <w:sz w:val="24"/>
        </w:rPr>
        <w:t>Hiley</w:t>
      </w:r>
      <w:proofErr w:type="spellEnd"/>
      <w:r w:rsidR="00C658CD" w:rsidRPr="00FB4B14">
        <w:rPr>
          <w:rFonts w:ascii="Times New Roman" w:hAnsi="Times New Roman"/>
          <w:i/>
          <w:sz w:val="24"/>
        </w:rPr>
        <w:t xml:space="preserve"> v Peoples Prudential Assurance Co Ltd</w:t>
      </w:r>
      <w:r w:rsidR="00C658CD" w:rsidRPr="00FB4B14">
        <w:rPr>
          <w:rFonts w:ascii="Times New Roman" w:hAnsi="Times New Roman"/>
          <w:sz w:val="24"/>
        </w:rPr>
        <w:t xml:space="preserve"> (1938) 60 CLR 468 at 480</w:t>
      </w:r>
      <w:r w:rsidR="00600F9B" w:rsidRPr="00FB4B14">
        <w:rPr>
          <w:rFonts w:ascii="Times New Roman" w:hAnsi="Times New Roman"/>
          <w:sz w:val="24"/>
        </w:rPr>
        <w:t xml:space="preserve"> per Latham CJ</w:t>
      </w:r>
      <w:r w:rsidR="00C658CD" w:rsidRPr="00FB4B14">
        <w:rPr>
          <w:rFonts w:ascii="Times New Roman" w:hAnsi="Times New Roman"/>
          <w:sz w:val="24"/>
        </w:rPr>
        <w:t xml:space="preserve">, </w:t>
      </w:r>
      <w:r w:rsidR="00FE2D40" w:rsidRPr="00FB4B14">
        <w:rPr>
          <w:rFonts w:ascii="Times New Roman" w:hAnsi="Times New Roman"/>
          <w:sz w:val="24"/>
        </w:rPr>
        <w:t>495-</w:t>
      </w:r>
      <w:r w:rsidR="00C658CD" w:rsidRPr="00FB4B14">
        <w:rPr>
          <w:rFonts w:ascii="Times New Roman" w:hAnsi="Times New Roman"/>
          <w:sz w:val="24"/>
        </w:rPr>
        <w:t>496, 499</w:t>
      </w:r>
      <w:r w:rsidR="00FE2D40" w:rsidRPr="00FB4B14">
        <w:rPr>
          <w:rFonts w:ascii="Times New Roman" w:hAnsi="Times New Roman"/>
          <w:sz w:val="24"/>
        </w:rPr>
        <w:t xml:space="preserve"> per Dixon J</w:t>
      </w:r>
      <w:r w:rsidR="00B732DF" w:rsidRPr="00FB4B14">
        <w:rPr>
          <w:rFonts w:ascii="Times New Roman" w:hAnsi="Times New Roman"/>
          <w:sz w:val="24"/>
        </w:rPr>
        <w:t>.</w:t>
      </w:r>
    </w:p>
  </w:footnote>
  <w:footnote w:id="35">
    <w:p w14:paraId="197D4EE2" w14:textId="64A0D50F" w:rsidR="000D712B" w:rsidRPr="00FB4B14" w:rsidRDefault="000D712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sz w:val="24"/>
        </w:rPr>
        <w:t>Day &amp; Dent Constructions</w:t>
      </w:r>
      <w:r w:rsidR="00D34933" w:rsidRPr="00FB4B14">
        <w:rPr>
          <w:rFonts w:ascii="Times New Roman" w:hAnsi="Times New Roman"/>
          <w:i/>
          <w:sz w:val="24"/>
        </w:rPr>
        <w:t xml:space="preserve"> Pty Ltd</w:t>
      </w:r>
      <w:r w:rsidRPr="00FB4B14">
        <w:rPr>
          <w:rFonts w:ascii="Times New Roman" w:hAnsi="Times New Roman"/>
          <w:i/>
          <w:sz w:val="24"/>
        </w:rPr>
        <w:t xml:space="preserve"> v North Australian Properties Pty Ltd </w:t>
      </w:r>
      <w:r w:rsidRPr="00FB4B14">
        <w:rPr>
          <w:rFonts w:ascii="Times New Roman" w:hAnsi="Times New Roman"/>
          <w:sz w:val="24"/>
        </w:rPr>
        <w:t>(1982) 150 CLR 85 at 91</w:t>
      </w:r>
      <w:r w:rsidR="00B36F28" w:rsidRPr="00FB4B14">
        <w:rPr>
          <w:rFonts w:ascii="Times New Roman" w:hAnsi="Times New Roman"/>
          <w:sz w:val="24"/>
        </w:rPr>
        <w:t xml:space="preserve"> per Gibbs CJ</w:t>
      </w:r>
      <w:r w:rsidRPr="00FB4B14">
        <w:rPr>
          <w:rFonts w:ascii="Times New Roman" w:hAnsi="Times New Roman"/>
          <w:sz w:val="24"/>
        </w:rPr>
        <w:t>, 109</w:t>
      </w:r>
      <w:r w:rsidR="009904B3" w:rsidRPr="00FB4B14">
        <w:rPr>
          <w:rFonts w:ascii="Times New Roman" w:hAnsi="Times New Roman"/>
          <w:sz w:val="24"/>
        </w:rPr>
        <w:t xml:space="preserve"> per Mason J</w:t>
      </w:r>
      <w:r w:rsidRPr="00FB4B14">
        <w:rPr>
          <w:rFonts w:ascii="Times New Roman" w:hAnsi="Times New Roman"/>
          <w:sz w:val="24"/>
        </w:rPr>
        <w:t>.</w:t>
      </w:r>
    </w:p>
  </w:footnote>
  <w:footnote w:id="36">
    <w:p w14:paraId="4C2FFC32" w14:textId="091A9664" w:rsidR="00B732DF" w:rsidRPr="00FB4B14" w:rsidRDefault="00B732DF"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Pr="00FB4B14">
        <w:rPr>
          <w:rFonts w:ascii="Times New Roman" w:hAnsi="Times New Roman"/>
          <w:i/>
          <w:sz w:val="24"/>
        </w:rPr>
        <w:t>Hiley</w:t>
      </w:r>
      <w:proofErr w:type="spellEnd"/>
      <w:r w:rsidRPr="00FB4B14">
        <w:rPr>
          <w:rFonts w:ascii="Times New Roman" w:hAnsi="Times New Roman"/>
          <w:i/>
          <w:sz w:val="24"/>
        </w:rPr>
        <w:t xml:space="preserve"> v Peoples Prudential Assurance Co Ltd</w:t>
      </w:r>
      <w:r w:rsidRPr="00FB4B14">
        <w:rPr>
          <w:rFonts w:ascii="Times New Roman" w:hAnsi="Times New Roman"/>
          <w:sz w:val="24"/>
        </w:rPr>
        <w:t xml:space="preserve"> (1938) 60 CLR 468 at 487</w:t>
      </w:r>
      <w:r w:rsidR="00AD4ED1" w:rsidRPr="00FB4B14">
        <w:rPr>
          <w:rFonts w:ascii="Times New Roman" w:hAnsi="Times New Roman"/>
          <w:sz w:val="24"/>
        </w:rPr>
        <w:t xml:space="preserve"> per Rich J</w:t>
      </w:r>
      <w:r w:rsidRPr="00FB4B14">
        <w:rPr>
          <w:rFonts w:ascii="Times New Roman" w:hAnsi="Times New Roman"/>
          <w:sz w:val="24"/>
        </w:rPr>
        <w:t xml:space="preserve">; see also </w:t>
      </w:r>
      <w:r w:rsidR="00AD4ED1" w:rsidRPr="00FB4B14">
        <w:rPr>
          <w:rFonts w:ascii="Times New Roman" w:hAnsi="Times New Roman"/>
          <w:sz w:val="24"/>
        </w:rPr>
        <w:t xml:space="preserve">at </w:t>
      </w:r>
      <w:r w:rsidRPr="00FB4B14">
        <w:rPr>
          <w:rFonts w:ascii="Times New Roman" w:hAnsi="Times New Roman"/>
          <w:sz w:val="24"/>
        </w:rPr>
        <w:t>491</w:t>
      </w:r>
      <w:r w:rsidR="00AD4ED1" w:rsidRPr="00FB4B14">
        <w:rPr>
          <w:rFonts w:ascii="Times New Roman" w:hAnsi="Times New Roman"/>
          <w:sz w:val="24"/>
        </w:rPr>
        <w:t xml:space="preserve"> per Starke J</w:t>
      </w:r>
      <w:r w:rsidRPr="00FB4B14">
        <w:rPr>
          <w:rFonts w:ascii="Times New Roman" w:hAnsi="Times New Roman"/>
          <w:sz w:val="24"/>
        </w:rPr>
        <w:t>.</w:t>
      </w:r>
    </w:p>
  </w:footnote>
  <w:footnote w:id="37">
    <w:p w14:paraId="5F86DC5B" w14:textId="5C082A0E" w:rsidR="00913A02" w:rsidRPr="00FB4B14" w:rsidRDefault="00913A0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131666" w:rsidRPr="00FB4B14">
        <w:rPr>
          <w:rFonts w:ascii="Times New Roman" w:hAnsi="Times New Roman"/>
          <w:sz w:val="24"/>
        </w:rPr>
        <w:t>(199</w:t>
      </w:r>
      <w:r w:rsidR="001221F3" w:rsidRPr="00FB4B14">
        <w:rPr>
          <w:rFonts w:ascii="Times New Roman" w:hAnsi="Times New Roman"/>
          <w:sz w:val="24"/>
        </w:rPr>
        <w:t>1</w:t>
      </w:r>
      <w:r w:rsidR="00131666" w:rsidRPr="00FB4B14">
        <w:rPr>
          <w:rFonts w:ascii="Times New Roman" w:hAnsi="Times New Roman"/>
          <w:sz w:val="24"/>
        </w:rPr>
        <w:t xml:space="preserve">) 171 CLR 609 at 623 per Mason CJ, Brennan, Deane, Dawson, Toohey, </w:t>
      </w:r>
      <w:proofErr w:type="spellStart"/>
      <w:r w:rsidR="00131666" w:rsidRPr="00FB4B14">
        <w:rPr>
          <w:rFonts w:ascii="Times New Roman" w:hAnsi="Times New Roman"/>
          <w:sz w:val="24"/>
        </w:rPr>
        <w:t>Gaudron</w:t>
      </w:r>
      <w:proofErr w:type="spellEnd"/>
      <w:r w:rsidR="00131666" w:rsidRPr="00FB4B14">
        <w:rPr>
          <w:rFonts w:ascii="Times New Roman" w:hAnsi="Times New Roman"/>
          <w:sz w:val="24"/>
        </w:rPr>
        <w:t xml:space="preserve"> and McHugh JJ.</w:t>
      </w:r>
    </w:p>
  </w:footnote>
  <w:footnote w:id="38">
    <w:p w14:paraId="6731C777" w14:textId="4B02EB15" w:rsidR="002427A3" w:rsidRPr="00FB4B14" w:rsidRDefault="002427A3"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sz w:val="24"/>
        </w:rPr>
        <w:t xml:space="preserve">Federal Commissioner of Taxation v </w:t>
      </w:r>
      <w:proofErr w:type="spellStart"/>
      <w:r w:rsidRPr="00FB4B14">
        <w:rPr>
          <w:rFonts w:ascii="Times New Roman" w:hAnsi="Times New Roman"/>
          <w:i/>
          <w:sz w:val="24"/>
        </w:rPr>
        <w:t>Jaques</w:t>
      </w:r>
      <w:proofErr w:type="spellEnd"/>
      <w:r w:rsidRPr="00FB4B14">
        <w:rPr>
          <w:rFonts w:ascii="Times New Roman" w:hAnsi="Times New Roman"/>
          <w:sz w:val="24"/>
        </w:rPr>
        <w:t xml:space="preserve"> (1956) 95 CLR 2</w:t>
      </w:r>
      <w:r w:rsidR="00CB6738" w:rsidRPr="00FB4B14">
        <w:rPr>
          <w:rFonts w:ascii="Times New Roman" w:hAnsi="Times New Roman"/>
          <w:sz w:val="24"/>
        </w:rPr>
        <w:t>2</w:t>
      </w:r>
      <w:r w:rsidRPr="00FB4B14">
        <w:rPr>
          <w:rFonts w:ascii="Times New Roman" w:hAnsi="Times New Roman"/>
          <w:sz w:val="24"/>
        </w:rPr>
        <w:t xml:space="preserve">3 at </w:t>
      </w:r>
      <w:r w:rsidR="009D5C41" w:rsidRPr="00FB4B14">
        <w:rPr>
          <w:rFonts w:ascii="Times New Roman" w:hAnsi="Times New Roman"/>
          <w:sz w:val="24"/>
        </w:rPr>
        <w:t>229</w:t>
      </w:r>
      <w:r w:rsidR="004A50E5" w:rsidRPr="00FB4B14">
        <w:rPr>
          <w:rFonts w:ascii="Times New Roman" w:hAnsi="Times New Roman"/>
          <w:sz w:val="24"/>
        </w:rPr>
        <w:t xml:space="preserve"> per Dixon CJ, </w:t>
      </w:r>
      <w:proofErr w:type="spellStart"/>
      <w:r w:rsidR="004A50E5" w:rsidRPr="00FB4B14">
        <w:rPr>
          <w:rFonts w:ascii="Times New Roman" w:hAnsi="Times New Roman"/>
          <w:sz w:val="24"/>
        </w:rPr>
        <w:t>Fullagar</w:t>
      </w:r>
      <w:proofErr w:type="spellEnd"/>
      <w:r w:rsidR="004A50E5" w:rsidRPr="00FB4B14">
        <w:rPr>
          <w:rFonts w:ascii="Times New Roman" w:hAnsi="Times New Roman"/>
          <w:sz w:val="24"/>
        </w:rPr>
        <w:t xml:space="preserve">, </w:t>
      </w:r>
      <w:proofErr w:type="spellStart"/>
      <w:r w:rsidR="004A50E5" w:rsidRPr="00FB4B14">
        <w:rPr>
          <w:rFonts w:ascii="Times New Roman" w:hAnsi="Times New Roman"/>
          <w:sz w:val="24"/>
        </w:rPr>
        <w:t>Kitto</w:t>
      </w:r>
      <w:proofErr w:type="spellEnd"/>
      <w:r w:rsidR="004A50E5" w:rsidRPr="00FB4B14">
        <w:rPr>
          <w:rFonts w:ascii="Times New Roman" w:hAnsi="Times New Roman"/>
          <w:sz w:val="24"/>
        </w:rPr>
        <w:t xml:space="preserve"> and Taylor JJ</w:t>
      </w:r>
      <w:r w:rsidRPr="00FB4B14">
        <w:rPr>
          <w:rFonts w:ascii="Times New Roman" w:hAnsi="Times New Roman"/>
          <w:sz w:val="24"/>
        </w:rPr>
        <w:t>.</w:t>
      </w:r>
    </w:p>
  </w:footnote>
  <w:footnote w:id="39">
    <w:p w14:paraId="2B798F20" w14:textId="32C5856E" w:rsidR="00906B9C" w:rsidRPr="00FB4B14" w:rsidRDefault="00906B9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sz w:val="24"/>
        </w:rPr>
        <w:t xml:space="preserve">Federal Commissioner of Taxation v </w:t>
      </w:r>
      <w:proofErr w:type="spellStart"/>
      <w:r w:rsidRPr="00FB4B14">
        <w:rPr>
          <w:rFonts w:ascii="Times New Roman" w:hAnsi="Times New Roman"/>
          <w:i/>
          <w:sz w:val="24"/>
        </w:rPr>
        <w:t>Jaques</w:t>
      </w:r>
      <w:proofErr w:type="spellEnd"/>
      <w:r w:rsidRPr="00FB4B14">
        <w:rPr>
          <w:rFonts w:ascii="Times New Roman" w:hAnsi="Times New Roman"/>
          <w:sz w:val="24"/>
        </w:rPr>
        <w:t xml:space="preserve"> (1956) 95 CLR 2</w:t>
      </w:r>
      <w:r w:rsidR="00CB6738" w:rsidRPr="00FB4B14">
        <w:rPr>
          <w:rFonts w:ascii="Times New Roman" w:hAnsi="Times New Roman"/>
          <w:sz w:val="24"/>
        </w:rPr>
        <w:t>2</w:t>
      </w:r>
      <w:r w:rsidRPr="00FB4B14">
        <w:rPr>
          <w:rFonts w:ascii="Times New Roman" w:hAnsi="Times New Roman"/>
          <w:sz w:val="24"/>
        </w:rPr>
        <w:t xml:space="preserve">3 at </w:t>
      </w:r>
      <w:r w:rsidR="002427A3" w:rsidRPr="00FB4B14">
        <w:rPr>
          <w:rFonts w:ascii="Times New Roman" w:hAnsi="Times New Roman"/>
          <w:sz w:val="24"/>
        </w:rPr>
        <w:t>229-</w:t>
      </w:r>
      <w:r w:rsidRPr="00FB4B14">
        <w:rPr>
          <w:rFonts w:ascii="Times New Roman" w:hAnsi="Times New Roman"/>
          <w:sz w:val="24"/>
        </w:rPr>
        <w:t>230</w:t>
      </w:r>
      <w:r w:rsidR="004A50E5" w:rsidRPr="00FB4B14">
        <w:rPr>
          <w:rFonts w:ascii="Times New Roman" w:hAnsi="Times New Roman"/>
          <w:sz w:val="24"/>
        </w:rPr>
        <w:t xml:space="preserve"> per Dixon CJ, </w:t>
      </w:r>
      <w:proofErr w:type="spellStart"/>
      <w:r w:rsidR="004A50E5" w:rsidRPr="00FB4B14">
        <w:rPr>
          <w:rFonts w:ascii="Times New Roman" w:hAnsi="Times New Roman"/>
          <w:sz w:val="24"/>
        </w:rPr>
        <w:t>Fullagar</w:t>
      </w:r>
      <w:proofErr w:type="spellEnd"/>
      <w:r w:rsidR="004A50E5" w:rsidRPr="00FB4B14">
        <w:rPr>
          <w:rFonts w:ascii="Times New Roman" w:hAnsi="Times New Roman"/>
          <w:sz w:val="24"/>
        </w:rPr>
        <w:t xml:space="preserve">, </w:t>
      </w:r>
      <w:proofErr w:type="spellStart"/>
      <w:r w:rsidR="004A50E5" w:rsidRPr="00FB4B14">
        <w:rPr>
          <w:rFonts w:ascii="Times New Roman" w:hAnsi="Times New Roman"/>
          <w:sz w:val="24"/>
        </w:rPr>
        <w:t>Kitto</w:t>
      </w:r>
      <w:proofErr w:type="spellEnd"/>
      <w:r w:rsidR="004A50E5" w:rsidRPr="00FB4B14">
        <w:rPr>
          <w:rFonts w:ascii="Times New Roman" w:hAnsi="Times New Roman"/>
          <w:sz w:val="24"/>
        </w:rPr>
        <w:t xml:space="preserve"> and Taylor JJ</w:t>
      </w:r>
      <w:r w:rsidRPr="00FB4B14">
        <w:rPr>
          <w:rFonts w:ascii="Times New Roman" w:hAnsi="Times New Roman"/>
          <w:sz w:val="24"/>
        </w:rPr>
        <w:t>.</w:t>
      </w:r>
    </w:p>
  </w:footnote>
  <w:footnote w:id="40">
    <w:p w14:paraId="71748A26" w14:textId="7B3149B6" w:rsidR="00906B9C" w:rsidRPr="00FB4B14" w:rsidRDefault="00906B9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sz w:val="24"/>
        </w:rPr>
        <w:t>G &amp; M Aldridge Pty Ltd v Walsh</w:t>
      </w:r>
      <w:r w:rsidRPr="00FB4B14">
        <w:rPr>
          <w:rFonts w:ascii="Times New Roman" w:hAnsi="Times New Roman"/>
          <w:sz w:val="24"/>
        </w:rPr>
        <w:t xml:space="preserve"> (2001) 203 CLR 662 at [30]</w:t>
      </w:r>
      <w:r w:rsidR="00CE2DAF" w:rsidRPr="00FB4B14">
        <w:rPr>
          <w:rFonts w:ascii="Times New Roman" w:hAnsi="Times New Roman"/>
          <w:sz w:val="24"/>
        </w:rPr>
        <w:t xml:space="preserve"> per Gleeson CJ, </w:t>
      </w:r>
      <w:proofErr w:type="spellStart"/>
      <w:r w:rsidR="00CE2DAF" w:rsidRPr="00FB4B14">
        <w:rPr>
          <w:rFonts w:ascii="Times New Roman" w:hAnsi="Times New Roman"/>
          <w:sz w:val="24"/>
        </w:rPr>
        <w:t>Gaudron</w:t>
      </w:r>
      <w:proofErr w:type="spellEnd"/>
      <w:r w:rsidR="00CE2DAF" w:rsidRPr="00FB4B14">
        <w:rPr>
          <w:rFonts w:ascii="Times New Roman" w:hAnsi="Times New Roman"/>
          <w:sz w:val="24"/>
        </w:rPr>
        <w:t xml:space="preserve">, </w:t>
      </w:r>
      <w:proofErr w:type="spellStart"/>
      <w:r w:rsidR="00CE2DAF" w:rsidRPr="00FB4B14">
        <w:rPr>
          <w:rFonts w:ascii="Times New Roman" w:hAnsi="Times New Roman"/>
          <w:sz w:val="24"/>
        </w:rPr>
        <w:t>Gummow</w:t>
      </w:r>
      <w:proofErr w:type="spellEnd"/>
      <w:r w:rsidR="00CE2DAF" w:rsidRPr="00FB4B14">
        <w:rPr>
          <w:rFonts w:ascii="Times New Roman" w:hAnsi="Times New Roman"/>
          <w:sz w:val="24"/>
        </w:rPr>
        <w:t xml:space="preserve">, Hayne and </w:t>
      </w:r>
      <w:proofErr w:type="spellStart"/>
      <w:r w:rsidR="00CE2DAF" w:rsidRPr="00FB4B14">
        <w:rPr>
          <w:rFonts w:ascii="Times New Roman" w:hAnsi="Times New Roman"/>
          <w:sz w:val="24"/>
        </w:rPr>
        <w:t>Callinan</w:t>
      </w:r>
      <w:proofErr w:type="spellEnd"/>
      <w:r w:rsidR="00CE2DAF" w:rsidRPr="00FB4B14">
        <w:rPr>
          <w:rFonts w:ascii="Times New Roman" w:hAnsi="Times New Roman"/>
          <w:sz w:val="24"/>
        </w:rPr>
        <w:t> JJ</w:t>
      </w:r>
      <w:r w:rsidRPr="00FB4B14">
        <w:rPr>
          <w:rFonts w:ascii="Times New Roman" w:hAnsi="Times New Roman"/>
          <w:sz w:val="24"/>
        </w:rPr>
        <w:t xml:space="preserve">; </w:t>
      </w:r>
      <w:r w:rsidRPr="00FB4B14">
        <w:rPr>
          <w:rFonts w:ascii="Times New Roman" w:hAnsi="Times New Roman"/>
          <w:i/>
          <w:sz w:val="24"/>
        </w:rPr>
        <w:t xml:space="preserve">Union Bank v </w:t>
      </w:r>
      <w:proofErr w:type="spellStart"/>
      <w:r w:rsidRPr="00FB4B14">
        <w:rPr>
          <w:rFonts w:ascii="Times New Roman" w:hAnsi="Times New Roman"/>
          <w:i/>
          <w:sz w:val="24"/>
        </w:rPr>
        <w:t>Wolas</w:t>
      </w:r>
      <w:proofErr w:type="spellEnd"/>
      <w:r w:rsidRPr="00FB4B14">
        <w:rPr>
          <w:rFonts w:ascii="Times New Roman" w:hAnsi="Times New Roman"/>
          <w:sz w:val="24"/>
        </w:rPr>
        <w:t xml:space="preserve"> (1991) 502 US 151 at 161.</w:t>
      </w:r>
    </w:p>
  </w:footnote>
  <w:footnote w:id="41">
    <w:p w14:paraId="2BC76F16" w14:textId="5E25BBD7" w:rsidR="0018181B" w:rsidRPr="00FB4B14" w:rsidRDefault="0018181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Section 482(1) of the Act relevantly empowers the Court to stay a winding up indefinitely or for a limited time, </w:t>
      </w:r>
      <w:r w:rsidR="0005496D" w:rsidRPr="00FB4B14">
        <w:rPr>
          <w:rFonts w:ascii="Times New Roman" w:hAnsi="Times New Roman"/>
          <w:sz w:val="24"/>
        </w:rPr>
        <w:t xml:space="preserve">or </w:t>
      </w:r>
      <w:r w:rsidRPr="00FB4B14">
        <w:rPr>
          <w:rFonts w:ascii="Times New Roman" w:hAnsi="Times New Roman"/>
          <w:sz w:val="24"/>
        </w:rPr>
        <w:t xml:space="preserve">to terminate a winding up. Pursuant to s 482(3), </w:t>
      </w:r>
      <w:r w:rsidR="00A85055" w:rsidRPr="00FB4B14">
        <w:rPr>
          <w:rFonts w:ascii="Times New Roman" w:hAnsi="Times New Roman"/>
          <w:sz w:val="24"/>
        </w:rPr>
        <w:t>w</w:t>
      </w:r>
      <w:r w:rsidR="00BF15C4" w:rsidRPr="00FB4B14">
        <w:rPr>
          <w:rFonts w:ascii="Times New Roman" w:hAnsi="Times New Roman"/>
          <w:sz w:val="24"/>
        </w:rPr>
        <w:t>here the Court has made an order terminating the winding up</w:t>
      </w:r>
      <w:r w:rsidR="00A85055" w:rsidRPr="00FB4B14">
        <w:rPr>
          <w:rFonts w:ascii="Times New Roman" w:hAnsi="Times New Roman"/>
          <w:sz w:val="24"/>
        </w:rPr>
        <w:t xml:space="preserve">, </w:t>
      </w:r>
      <w:r w:rsidRPr="00FB4B14">
        <w:rPr>
          <w:rFonts w:ascii="Times New Roman" w:hAnsi="Times New Roman"/>
          <w:sz w:val="24"/>
        </w:rPr>
        <w:t>the Court may give directions for the resumption of the management and control of the company by its officers. An order made pursuant to s 482 will have the effect of liberating whatever remains of the property of the company from the "statutory scheme of liquidation</w:t>
      </w:r>
      <w:r w:rsidR="0005496D" w:rsidRPr="00FB4B14">
        <w:rPr>
          <w:rFonts w:ascii="Times New Roman" w:hAnsi="Times New Roman"/>
          <w:sz w:val="24"/>
        </w:rPr>
        <w:t>"</w:t>
      </w:r>
      <w:r w:rsidRPr="00FB4B14">
        <w:rPr>
          <w:rFonts w:ascii="Times New Roman" w:hAnsi="Times New Roman"/>
          <w:sz w:val="24"/>
        </w:rPr>
        <w:t xml:space="preserve">: </w:t>
      </w:r>
      <w:r w:rsidR="001B3D53" w:rsidRPr="00FB4B14">
        <w:rPr>
          <w:rFonts w:ascii="Times New Roman" w:hAnsi="Times New Roman"/>
          <w:sz w:val="24"/>
        </w:rPr>
        <w:t xml:space="preserve">see </w:t>
      </w:r>
      <w:proofErr w:type="spellStart"/>
      <w:r w:rsidRPr="00FB4B14">
        <w:rPr>
          <w:rFonts w:ascii="Times New Roman" w:hAnsi="Times New Roman"/>
          <w:i/>
          <w:sz w:val="24"/>
        </w:rPr>
        <w:t>Krextile</w:t>
      </w:r>
      <w:proofErr w:type="spellEnd"/>
      <w:r w:rsidRPr="00FB4B14">
        <w:rPr>
          <w:rFonts w:ascii="Times New Roman" w:hAnsi="Times New Roman"/>
          <w:i/>
          <w:sz w:val="24"/>
        </w:rPr>
        <w:t xml:space="preserve"> Holdings Pty Ltd v </w:t>
      </w:r>
      <w:proofErr w:type="spellStart"/>
      <w:r w:rsidRPr="00FB4B14">
        <w:rPr>
          <w:rFonts w:ascii="Times New Roman" w:hAnsi="Times New Roman"/>
          <w:i/>
          <w:sz w:val="24"/>
        </w:rPr>
        <w:t>Widdows</w:t>
      </w:r>
      <w:proofErr w:type="spellEnd"/>
      <w:r w:rsidRPr="00FB4B14">
        <w:rPr>
          <w:rFonts w:ascii="Times New Roman" w:hAnsi="Times New Roman"/>
          <w:i/>
          <w:sz w:val="24"/>
        </w:rPr>
        <w:t>; Re Brush Fabrics Pty Ltd</w:t>
      </w:r>
      <w:r w:rsidRPr="00FB4B14">
        <w:rPr>
          <w:rFonts w:ascii="Times New Roman" w:hAnsi="Times New Roman"/>
          <w:sz w:val="24"/>
        </w:rPr>
        <w:t xml:space="preserve"> [1974] VR 689 at 695 per Gillard</w:t>
      </w:r>
      <w:r w:rsidR="00122047" w:rsidRPr="00FB4B14">
        <w:rPr>
          <w:rFonts w:ascii="Times New Roman" w:hAnsi="Times New Roman"/>
          <w:sz w:val="24"/>
        </w:rPr>
        <w:t> J.</w:t>
      </w:r>
      <w:r w:rsidRPr="00FB4B14">
        <w:rPr>
          <w:rFonts w:ascii="Times New Roman" w:hAnsi="Times New Roman"/>
          <w:sz w:val="24"/>
        </w:rPr>
        <w:t xml:space="preserve"> See also </w:t>
      </w:r>
      <w:r w:rsidRPr="00FB4B14">
        <w:rPr>
          <w:rFonts w:ascii="Times New Roman" w:hAnsi="Times New Roman"/>
          <w:i/>
          <w:sz w:val="24"/>
        </w:rPr>
        <w:t xml:space="preserve">Hughes, in the matter of </w:t>
      </w:r>
      <w:proofErr w:type="spellStart"/>
      <w:r w:rsidRPr="00FB4B14">
        <w:rPr>
          <w:rFonts w:ascii="Times New Roman" w:hAnsi="Times New Roman"/>
          <w:i/>
          <w:sz w:val="24"/>
        </w:rPr>
        <w:t>Substar</w:t>
      </w:r>
      <w:proofErr w:type="spellEnd"/>
      <w:r w:rsidRPr="00FB4B14">
        <w:rPr>
          <w:rFonts w:ascii="Times New Roman" w:hAnsi="Times New Roman"/>
          <w:i/>
          <w:sz w:val="24"/>
        </w:rPr>
        <w:t xml:space="preserve"> Holdings Pty Ltd (</w:t>
      </w:r>
      <w:r w:rsidR="00E74064" w:rsidRPr="00FB4B14">
        <w:rPr>
          <w:rFonts w:ascii="Times New Roman" w:hAnsi="Times New Roman"/>
          <w:i/>
          <w:sz w:val="24"/>
        </w:rPr>
        <w:t>I</w:t>
      </w:r>
      <w:r w:rsidRPr="00FB4B14">
        <w:rPr>
          <w:rFonts w:ascii="Times New Roman" w:hAnsi="Times New Roman"/>
          <w:i/>
          <w:sz w:val="24"/>
        </w:rPr>
        <w:t xml:space="preserve">n </w:t>
      </w:r>
      <w:proofErr w:type="spellStart"/>
      <w:r w:rsidRPr="00FB4B14">
        <w:rPr>
          <w:rFonts w:ascii="Times New Roman" w:hAnsi="Times New Roman"/>
          <w:i/>
          <w:sz w:val="24"/>
        </w:rPr>
        <w:t>liq</w:t>
      </w:r>
      <w:proofErr w:type="spellEnd"/>
      <w:r w:rsidRPr="00FB4B14">
        <w:rPr>
          <w:rFonts w:ascii="Times New Roman" w:hAnsi="Times New Roman"/>
          <w:i/>
          <w:sz w:val="24"/>
        </w:rPr>
        <w:t>) [No 2]</w:t>
      </w:r>
      <w:r w:rsidRPr="00FB4B14">
        <w:rPr>
          <w:rFonts w:ascii="Times New Roman" w:hAnsi="Times New Roman"/>
          <w:sz w:val="24"/>
        </w:rPr>
        <w:t xml:space="preserve"> [2021] FCA 658 at [18]-[20] per McKerracher</w:t>
      </w:r>
      <w:r w:rsidR="00CC4F63" w:rsidRPr="00FB4B14">
        <w:rPr>
          <w:rFonts w:ascii="Times New Roman" w:hAnsi="Times New Roman"/>
          <w:sz w:val="24"/>
        </w:rPr>
        <w:t xml:space="preserve"> J </w:t>
      </w:r>
      <w:r w:rsidRPr="00FB4B14">
        <w:rPr>
          <w:rFonts w:ascii="Times New Roman" w:hAnsi="Times New Roman"/>
          <w:sz w:val="24"/>
        </w:rPr>
        <w:t>and the authorities cited therein.</w:t>
      </w:r>
    </w:p>
  </w:footnote>
  <w:footnote w:id="42">
    <w:p w14:paraId="74FC2901" w14:textId="00E16107" w:rsidR="003C20A9" w:rsidRPr="00FB4B14" w:rsidRDefault="003C20A9"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006F6B43" w:rsidRPr="00FB4B14">
        <w:rPr>
          <w:rFonts w:ascii="Times New Roman" w:hAnsi="Times New Roman"/>
          <w:sz w:val="24"/>
        </w:rPr>
        <w:t>cf</w:t>
      </w:r>
      <w:proofErr w:type="spellEnd"/>
      <w:r w:rsidR="006F6B43" w:rsidRPr="00FB4B14">
        <w:rPr>
          <w:rFonts w:ascii="Times New Roman" w:hAnsi="Times New Roman"/>
          <w:sz w:val="24"/>
        </w:rPr>
        <w:t xml:space="preserve"> </w:t>
      </w:r>
      <w:r w:rsidR="006F6B43" w:rsidRPr="00FB4B14">
        <w:rPr>
          <w:rFonts w:ascii="Times New Roman" w:hAnsi="Times New Roman"/>
          <w:i/>
          <w:sz w:val="24"/>
        </w:rPr>
        <w:t>Thomas Franklin &amp; Sons Ltd v Cameron</w:t>
      </w:r>
      <w:r w:rsidR="006F6B43" w:rsidRPr="00FB4B14">
        <w:rPr>
          <w:rFonts w:ascii="Times New Roman" w:hAnsi="Times New Roman"/>
          <w:sz w:val="24"/>
        </w:rPr>
        <w:t xml:space="preserve"> (1935) 36 SR (NSW) 286 at 296</w:t>
      </w:r>
      <w:r w:rsidR="00625F15" w:rsidRPr="00FB4B14">
        <w:rPr>
          <w:rFonts w:ascii="Times New Roman" w:hAnsi="Times New Roman"/>
          <w:sz w:val="24"/>
        </w:rPr>
        <w:t xml:space="preserve"> per Davidson J</w:t>
      </w:r>
      <w:r w:rsidR="00A71E1A" w:rsidRPr="00FB4B14">
        <w:rPr>
          <w:rFonts w:ascii="Times New Roman" w:hAnsi="Times New Roman"/>
          <w:sz w:val="24"/>
        </w:rPr>
        <w:t xml:space="preserve"> (Street and Maxwell JJ agreeing)</w:t>
      </w:r>
      <w:r w:rsidR="00D709F0" w:rsidRPr="00FB4B14">
        <w:rPr>
          <w:rFonts w:ascii="Times New Roman" w:hAnsi="Times New Roman"/>
          <w:sz w:val="24"/>
        </w:rPr>
        <w:t>.</w:t>
      </w:r>
      <w:r w:rsidR="006F6B43" w:rsidRPr="00FB4B14">
        <w:rPr>
          <w:rFonts w:ascii="Times New Roman" w:hAnsi="Times New Roman"/>
          <w:sz w:val="24"/>
        </w:rPr>
        <w:t xml:space="preserve"> </w:t>
      </w:r>
    </w:p>
  </w:footnote>
  <w:footnote w:id="43">
    <w:p w14:paraId="5FD5218B" w14:textId="77777777" w:rsidR="00CA2FC9" w:rsidRPr="00FB4B14" w:rsidRDefault="00CA2FC9"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See, </w:t>
      </w:r>
      <w:proofErr w:type="spellStart"/>
      <w:r w:rsidRPr="00FB4B14">
        <w:rPr>
          <w:rFonts w:ascii="Times New Roman" w:hAnsi="Times New Roman"/>
          <w:sz w:val="24"/>
        </w:rPr>
        <w:t>eg</w:t>
      </w:r>
      <w:proofErr w:type="spellEnd"/>
      <w:r w:rsidRPr="00FB4B14">
        <w:rPr>
          <w:rFonts w:ascii="Times New Roman" w:hAnsi="Times New Roman"/>
          <w:sz w:val="24"/>
        </w:rPr>
        <w:t xml:space="preserve">, s 73 of the </w:t>
      </w:r>
      <w:r w:rsidRPr="00FB4B14">
        <w:rPr>
          <w:rFonts w:ascii="Times New Roman" w:hAnsi="Times New Roman"/>
          <w:i/>
          <w:iCs/>
          <w:sz w:val="24"/>
        </w:rPr>
        <w:t xml:space="preserve">Insolvency Act 1890 </w:t>
      </w:r>
      <w:r w:rsidRPr="00FB4B14">
        <w:rPr>
          <w:rFonts w:ascii="Times New Roman" w:hAnsi="Times New Roman"/>
          <w:sz w:val="24"/>
        </w:rPr>
        <w:t>(Vic).</w:t>
      </w:r>
    </w:p>
  </w:footnote>
  <w:footnote w:id="44">
    <w:p w14:paraId="1F880008" w14:textId="076B4D7D" w:rsidR="006E2F11" w:rsidRPr="00FB4B14" w:rsidRDefault="006E2F11"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sz w:val="24"/>
        </w:rPr>
        <w:t>Williams v Lloyd</w:t>
      </w:r>
      <w:r w:rsidRPr="00FB4B14">
        <w:rPr>
          <w:rFonts w:ascii="Times New Roman" w:hAnsi="Times New Roman"/>
          <w:sz w:val="24"/>
        </w:rPr>
        <w:t xml:space="preserve"> (1934) 50 CLR </w:t>
      </w:r>
      <w:r w:rsidR="00142539" w:rsidRPr="00FB4B14">
        <w:rPr>
          <w:rFonts w:ascii="Times New Roman" w:hAnsi="Times New Roman"/>
          <w:sz w:val="24"/>
        </w:rPr>
        <w:t>341</w:t>
      </w:r>
      <w:r w:rsidR="00200BEB" w:rsidRPr="00FB4B14">
        <w:rPr>
          <w:rFonts w:ascii="Times New Roman" w:hAnsi="Times New Roman"/>
          <w:sz w:val="24"/>
        </w:rPr>
        <w:t xml:space="preserve"> at</w:t>
      </w:r>
      <w:r w:rsidR="00142539" w:rsidRPr="00FB4B14">
        <w:rPr>
          <w:rFonts w:ascii="Times New Roman" w:hAnsi="Times New Roman"/>
          <w:sz w:val="24"/>
        </w:rPr>
        <w:t xml:space="preserve"> 373-</w:t>
      </w:r>
      <w:r w:rsidR="00CC4083" w:rsidRPr="00FB4B14">
        <w:rPr>
          <w:rFonts w:ascii="Times New Roman" w:hAnsi="Times New Roman"/>
          <w:sz w:val="24"/>
        </w:rPr>
        <w:t>3</w:t>
      </w:r>
      <w:r w:rsidR="00142539" w:rsidRPr="00FB4B14">
        <w:rPr>
          <w:rFonts w:ascii="Times New Roman" w:hAnsi="Times New Roman"/>
          <w:sz w:val="24"/>
        </w:rPr>
        <w:t>74</w:t>
      </w:r>
      <w:r w:rsidR="00200BEB" w:rsidRPr="00FB4B14">
        <w:rPr>
          <w:rFonts w:ascii="Times New Roman" w:hAnsi="Times New Roman"/>
          <w:sz w:val="24"/>
        </w:rPr>
        <w:t xml:space="preserve"> per Dixon J</w:t>
      </w:r>
      <w:r w:rsidR="00142539" w:rsidRPr="00FB4B14">
        <w:rPr>
          <w:rFonts w:ascii="Times New Roman" w:hAnsi="Times New Roman"/>
          <w:sz w:val="24"/>
        </w:rPr>
        <w:t xml:space="preserve">; </w:t>
      </w:r>
      <w:r w:rsidR="00142539" w:rsidRPr="00FB4B14">
        <w:rPr>
          <w:rFonts w:ascii="Times New Roman" w:hAnsi="Times New Roman"/>
          <w:i/>
          <w:sz w:val="24"/>
        </w:rPr>
        <w:t>Brady v Stapleton</w:t>
      </w:r>
      <w:r w:rsidR="00142539" w:rsidRPr="00FB4B14">
        <w:rPr>
          <w:rFonts w:ascii="Times New Roman" w:hAnsi="Times New Roman"/>
          <w:sz w:val="24"/>
        </w:rPr>
        <w:t xml:space="preserve"> (1952) 88 CLR 322</w:t>
      </w:r>
      <w:r w:rsidR="009A73A8" w:rsidRPr="00FB4B14">
        <w:rPr>
          <w:rFonts w:ascii="Times New Roman" w:hAnsi="Times New Roman"/>
          <w:sz w:val="24"/>
        </w:rPr>
        <w:t xml:space="preserve"> at</w:t>
      </w:r>
      <w:r w:rsidR="00142539" w:rsidRPr="00FB4B14">
        <w:rPr>
          <w:rFonts w:ascii="Times New Roman" w:hAnsi="Times New Roman"/>
          <w:sz w:val="24"/>
        </w:rPr>
        <w:t xml:space="preserve"> 333</w:t>
      </w:r>
      <w:r w:rsidR="009A73A8" w:rsidRPr="00FB4B14">
        <w:rPr>
          <w:rFonts w:ascii="Times New Roman" w:hAnsi="Times New Roman"/>
          <w:sz w:val="24"/>
        </w:rPr>
        <w:t xml:space="preserve"> per Dixon CJ and </w:t>
      </w:r>
      <w:proofErr w:type="spellStart"/>
      <w:r w:rsidR="009A73A8" w:rsidRPr="00FB4B14">
        <w:rPr>
          <w:rFonts w:ascii="Times New Roman" w:hAnsi="Times New Roman"/>
          <w:sz w:val="24"/>
        </w:rPr>
        <w:t>Fullagar</w:t>
      </w:r>
      <w:proofErr w:type="spellEnd"/>
      <w:r w:rsidR="009A73A8" w:rsidRPr="00FB4B14">
        <w:rPr>
          <w:rFonts w:ascii="Times New Roman" w:hAnsi="Times New Roman"/>
          <w:sz w:val="24"/>
        </w:rPr>
        <w:t> J</w:t>
      </w:r>
      <w:r w:rsidR="004802C7" w:rsidRPr="00FB4B14">
        <w:rPr>
          <w:rFonts w:ascii="Times New Roman" w:hAnsi="Times New Roman"/>
          <w:sz w:val="24"/>
        </w:rPr>
        <w:t>.</w:t>
      </w:r>
    </w:p>
  </w:footnote>
  <w:footnote w:id="45">
    <w:p w14:paraId="26500607" w14:textId="0C340572" w:rsidR="00D2688B" w:rsidRPr="00FB4B14" w:rsidRDefault="00D2688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25C4F" w:rsidRPr="00FB4B14">
        <w:rPr>
          <w:rFonts w:ascii="Times New Roman" w:hAnsi="Times New Roman"/>
          <w:sz w:val="24"/>
        </w:rPr>
        <w:t>S</w:t>
      </w:r>
      <w:r w:rsidRPr="00FB4B14">
        <w:rPr>
          <w:rFonts w:ascii="Times New Roman" w:hAnsi="Times New Roman"/>
          <w:sz w:val="24"/>
        </w:rPr>
        <w:t>ee the definiti</w:t>
      </w:r>
      <w:r w:rsidR="00F75BCD" w:rsidRPr="00FB4B14">
        <w:rPr>
          <w:rFonts w:ascii="Times New Roman" w:hAnsi="Times New Roman"/>
          <w:sz w:val="24"/>
        </w:rPr>
        <w:t>on</w:t>
      </w:r>
      <w:r w:rsidRPr="00FB4B14">
        <w:rPr>
          <w:rFonts w:ascii="Times New Roman" w:hAnsi="Times New Roman"/>
          <w:sz w:val="24"/>
        </w:rPr>
        <w:t xml:space="preserve"> of </w:t>
      </w:r>
      <w:r w:rsidR="00854F16" w:rsidRPr="00FB4B14">
        <w:rPr>
          <w:rFonts w:ascii="Times New Roman" w:hAnsi="Times New Roman"/>
          <w:sz w:val="24"/>
        </w:rPr>
        <w:t>"</w:t>
      </w:r>
      <w:r w:rsidRPr="00FB4B14">
        <w:rPr>
          <w:rFonts w:ascii="Times New Roman" w:hAnsi="Times New Roman"/>
          <w:sz w:val="24"/>
        </w:rPr>
        <w:t>relation-back day</w:t>
      </w:r>
      <w:r w:rsidR="00854F16" w:rsidRPr="00FB4B14">
        <w:rPr>
          <w:rFonts w:ascii="Times New Roman" w:hAnsi="Times New Roman"/>
          <w:sz w:val="24"/>
        </w:rPr>
        <w:t>"</w:t>
      </w:r>
      <w:r w:rsidR="00F75BCD" w:rsidRPr="00FB4B14">
        <w:rPr>
          <w:rFonts w:ascii="Times New Roman" w:hAnsi="Times New Roman"/>
          <w:sz w:val="24"/>
        </w:rPr>
        <w:t xml:space="preserve"> in s</w:t>
      </w:r>
      <w:r w:rsidR="00EC2BDA" w:rsidRPr="00FB4B14">
        <w:rPr>
          <w:rFonts w:ascii="Times New Roman" w:hAnsi="Times New Roman"/>
          <w:sz w:val="24"/>
        </w:rPr>
        <w:t>s</w:t>
      </w:r>
      <w:r w:rsidR="00F75BCD" w:rsidRPr="00FB4B14">
        <w:rPr>
          <w:rFonts w:ascii="Times New Roman" w:hAnsi="Times New Roman"/>
          <w:sz w:val="24"/>
        </w:rPr>
        <w:t xml:space="preserve"> </w:t>
      </w:r>
      <w:r w:rsidR="00EC2BDA" w:rsidRPr="00FB4B14">
        <w:rPr>
          <w:rFonts w:ascii="Times New Roman" w:hAnsi="Times New Roman"/>
          <w:sz w:val="24"/>
        </w:rPr>
        <w:t xml:space="preserve">9, </w:t>
      </w:r>
      <w:r w:rsidR="00F75BCD" w:rsidRPr="00FB4B14">
        <w:rPr>
          <w:rFonts w:ascii="Times New Roman" w:hAnsi="Times New Roman"/>
          <w:sz w:val="24"/>
        </w:rPr>
        <w:t>9</w:t>
      </w:r>
      <w:r w:rsidR="001B6C8E" w:rsidRPr="00FB4B14">
        <w:rPr>
          <w:rFonts w:ascii="Times New Roman" w:hAnsi="Times New Roman"/>
          <w:sz w:val="24"/>
        </w:rPr>
        <w:t>1</w:t>
      </w:r>
      <w:r w:rsidR="004F274A" w:rsidRPr="00FB4B14">
        <w:rPr>
          <w:rFonts w:ascii="Times New Roman" w:hAnsi="Times New Roman"/>
          <w:sz w:val="24"/>
        </w:rPr>
        <w:t>.</w:t>
      </w:r>
    </w:p>
  </w:footnote>
  <w:footnote w:id="46">
    <w:p w14:paraId="1854A3EE" w14:textId="10036A50" w:rsidR="00DC0FF7" w:rsidRPr="00FB4B14" w:rsidRDefault="00DC0FF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4802C7" w:rsidRPr="00FB4B14">
        <w:rPr>
          <w:rFonts w:ascii="Times New Roman" w:hAnsi="Times New Roman"/>
          <w:sz w:val="24"/>
        </w:rPr>
        <w:t xml:space="preserve">Section </w:t>
      </w:r>
      <w:r w:rsidRPr="00FB4B14">
        <w:rPr>
          <w:rFonts w:ascii="Times New Roman" w:hAnsi="Times New Roman"/>
          <w:sz w:val="24"/>
        </w:rPr>
        <w:t>588</w:t>
      </w:r>
      <w:proofErr w:type="gramStart"/>
      <w:r w:rsidRPr="00FB4B14">
        <w:rPr>
          <w:rFonts w:ascii="Times New Roman" w:hAnsi="Times New Roman"/>
          <w:sz w:val="24"/>
        </w:rPr>
        <w:t>FA(</w:t>
      </w:r>
      <w:proofErr w:type="gramEnd"/>
      <w:r w:rsidRPr="00FB4B14">
        <w:rPr>
          <w:rFonts w:ascii="Times New Roman" w:hAnsi="Times New Roman"/>
          <w:sz w:val="24"/>
        </w:rPr>
        <w:t>1)</w:t>
      </w:r>
      <w:r w:rsidR="007C3038" w:rsidRPr="00FB4B14">
        <w:rPr>
          <w:rFonts w:ascii="Times New Roman" w:hAnsi="Times New Roman"/>
          <w:sz w:val="24"/>
        </w:rPr>
        <w:t xml:space="preserve"> of the Act</w:t>
      </w:r>
      <w:r w:rsidR="00AD7B39" w:rsidRPr="00FB4B14">
        <w:rPr>
          <w:rFonts w:ascii="Times New Roman" w:hAnsi="Times New Roman"/>
          <w:sz w:val="24"/>
        </w:rPr>
        <w:t>.</w:t>
      </w:r>
    </w:p>
  </w:footnote>
  <w:footnote w:id="47">
    <w:p w14:paraId="1324D443" w14:textId="049DCFEB" w:rsidR="00403FB8" w:rsidRPr="00FB4B14" w:rsidRDefault="00403FB8"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4802C7" w:rsidRPr="00FB4B14">
        <w:rPr>
          <w:rFonts w:ascii="Times New Roman" w:hAnsi="Times New Roman"/>
          <w:sz w:val="24"/>
        </w:rPr>
        <w:t xml:space="preserve">Section </w:t>
      </w:r>
      <w:r w:rsidRPr="00FB4B14">
        <w:rPr>
          <w:rFonts w:ascii="Times New Roman" w:hAnsi="Times New Roman"/>
          <w:sz w:val="24"/>
        </w:rPr>
        <w:t>588</w:t>
      </w:r>
      <w:proofErr w:type="gramStart"/>
      <w:r w:rsidRPr="00FB4B14">
        <w:rPr>
          <w:rFonts w:ascii="Times New Roman" w:hAnsi="Times New Roman"/>
          <w:sz w:val="24"/>
        </w:rPr>
        <w:t>FI(</w:t>
      </w:r>
      <w:proofErr w:type="gramEnd"/>
      <w:r w:rsidRPr="00FB4B14">
        <w:rPr>
          <w:rFonts w:ascii="Times New Roman" w:hAnsi="Times New Roman"/>
          <w:sz w:val="24"/>
        </w:rPr>
        <w:t>3)</w:t>
      </w:r>
      <w:r w:rsidR="009A11F1" w:rsidRPr="00FB4B14">
        <w:rPr>
          <w:rFonts w:ascii="Times New Roman" w:hAnsi="Times New Roman"/>
          <w:sz w:val="24"/>
        </w:rPr>
        <w:t xml:space="preserve"> of the Act</w:t>
      </w:r>
      <w:r w:rsidRPr="00FB4B14">
        <w:rPr>
          <w:rFonts w:ascii="Times New Roman" w:hAnsi="Times New Roman"/>
          <w:sz w:val="24"/>
        </w:rPr>
        <w:t xml:space="preserve">. </w:t>
      </w:r>
    </w:p>
  </w:footnote>
  <w:footnote w:id="48">
    <w:p w14:paraId="2E963A4D" w14:textId="67838C07" w:rsidR="00D94B8B" w:rsidRPr="00FB4B14" w:rsidRDefault="00D94B8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3645EF" w:rsidRPr="00FB4B14">
        <w:rPr>
          <w:rFonts w:ascii="Times New Roman" w:hAnsi="Times New Roman"/>
          <w:i/>
          <w:sz w:val="24"/>
        </w:rPr>
        <w:t>N</w:t>
      </w:r>
      <w:r w:rsidR="00AA2298" w:rsidRPr="00FB4B14">
        <w:rPr>
          <w:rFonts w:ascii="Times New Roman" w:hAnsi="Times New Roman"/>
          <w:i/>
          <w:sz w:val="24"/>
        </w:rPr>
        <w:t xml:space="preserve"> </w:t>
      </w:r>
      <w:r w:rsidR="003645EF" w:rsidRPr="00FB4B14">
        <w:rPr>
          <w:rFonts w:ascii="Times New Roman" w:hAnsi="Times New Roman"/>
          <w:i/>
          <w:sz w:val="24"/>
        </w:rPr>
        <w:t xml:space="preserve">A </w:t>
      </w:r>
      <w:proofErr w:type="spellStart"/>
      <w:r w:rsidR="003645EF" w:rsidRPr="00FB4B14">
        <w:rPr>
          <w:rFonts w:ascii="Times New Roman" w:hAnsi="Times New Roman"/>
          <w:i/>
          <w:sz w:val="24"/>
        </w:rPr>
        <w:t>Kratzmann</w:t>
      </w:r>
      <w:proofErr w:type="spellEnd"/>
      <w:r w:rsidR="003645EF" w:rsidRPr="00FB4B14">
        <w:rPr>
          <w:rFonts w:ascii="Times New Roman" w:hAnsi="Times New Roman"/>
          <w:i/>
          <w:sz w:val="24"/>
        </w:rPr>
        <w:t xml:space="preserve"> Pty Ltd</w:t>
      </w:r>
      <w:r w:rsidR="00D2078A" w:rsidRPr="00FB4B14">
        <w:rPr>
          <w:rFonts w:ascii="Times New Roman" w:hAnsi="Times New Roman"/>
          <w:i/>
          <w:sz w:val="24"/>
        </w:rPr>
        <w:t xml:space="preserve"> (</w:t>
      </w:r>
      <w:r w:rsidR="004E528E" w:rsidRPr="00FB4B14">
        <w:rPr>
          <w:rFonts w:ascii="Times New Roman" w:hAnsi="Times New Roman"/>
          <w:i/>
          <w:sz w:val="24"/>
        </w:rPr>
        <w:t>I</w:t>
      </w:r>
      <w:r w:rsidR="00D2078A" w:rsidRPr="00FB4B14">
        <w:rPr>
          <w:rFonts w:ascii="Times New Roman" w:hAnsi="Times New Roman"/>
          <w:i/>
          <w:sz w:val="24"/>
        </w:rPr>
        <w:t xml:space="preserve">n </w:t>
      </w:r>
      <w:proofErr w:type="spellStart"/>
      <w:r w:rsidR="004E528E" w:rsidRPr="00FB4B14">
        <w:rPr>
          <w:rFonts w:ascii="Times New Roman" w:hAnsi="Times New Roman"/>
          <w:i/>
          <w:sz w:val="24"/>
        </w:rPr>
        <w:t>l</w:t>
      </w:r>
      <w:r w:rsidR="00D2078A" w:rsidRPr="00FB4B14">
        <w:rPr>
          <w:rFonts w:ascii="Times New Roman" w:hAnsi="Times New Roman"/>
          <w:i/>
          <w:sz w:val="24"/>
        </w:rPr>
        <w:t>iq</w:t>
      </w:r>
      <w:proofErr w:type="spellEnd"/>
      <w:r w:rsidR="00D2078A" w:rsidRPr="00FB4B14">
        <w:rPr>
          <w:rFonts w:ascii="Times New Roman" w:hAnsi="Times New Roman"/>
          <w:i/>
          <w:sz w:val="24"/>
        </w:rPr>
        <w:t>)</w:t>
      </w:r>
      <w:r w:rsidR="003645EF" w:rsidRPr="00FB4B14">
        <w:rPr>
          <w:rFonts w:ascii="Times New Roman" w:hAnsi="Times New Roman"/>
          <w:i/>
          <w:sz w:val="24"/>
        </w:rPr>
        <w:t xml:space="preserve"> v Tucker </w:t>
      </w:r>
      <w:r w:rsidR="00CE77ED" w:rsidRPr="00FB4B14">
        <w:rPr>
          <w:rFonts w:ascii="Times New Roman" w:hAnsi="Times New Roman"/>
          <w:i/>
          <w:sz w:val="24"/>
        </w:rPr>
        <w:t>[</w:t>
      </w:r>
      <w:r w:rsidR="003645EF" w:rsidRPr="00FB4B14">
        <w:rPr>
          <w:rFonts w:ascii="Times New Roman" w:hAnsi="Times New Roman"/>
          <w:i/>
          <w:sz w:val="24"/>
        </w:rPr>
        <w:t>No 2</w:t>
      </w:r>
      <w:r w:rsidR="00CE77ED" w:rsidRPr="00FB4B14">
        <w:rPr>
          <w:rFonts w:ascii="Times New Roman" w:hAnsi="Times New Roman"/>
          <w:i/>
          <w:sz w:val="24"/>
        </w:rPr>
        <w:t>]</w:t>
      </w:r>
      <w:r w:rsidR="003645EF" w:rsidRPr="00FB4B14">
        <w:rPr>
          <w:rFonts w:ascii="Times New Roman" w:hAnsi="Times New Roman"/>
          <w:sz w:val="24"/>
        </w:rPr>
        <w:t xml:space="preserve"> (1968) 123 CLR 295 at 297 </w:t>
      </w:r>
      <w:r w:rsidR="009C12D1" w:rsidRPr="00FB4B14">
        <w:rPr>
          <w:rFonts w:ascii="Times New Roman" w:hAnsi="Times New Roman"/>
          <w:sz w:val="24"/>
        </w:rPr>
        <w:t xml:space="preserve">per </w:t>
      </w:r>
      <w:proofErr w:type="spellStart"/>
      <w:r w:rsidR="009C12D1" w:rsidRPr="00FB4B14">
        <w:rPr>
          <w:rFonts w:ascii="Times New Roman" w:hAnsi="Times New Roman"/>
          <w:sz w:val="24"/>
        </w:rPr>
        <w:t>McTiernan</w:t>
      </w:r>
      <w:proofErr w:type="spellEnd"/>
      <w:r w:rsidR="009C12D1" w:rsidRPr="00FB4B14">
        <w:rPr>
          <w:rFonts w:ascii="Times New Roman" w:hAnsi="Times New Roman"/>
          <w:sz w:val="24"/>
        </w:rPr>
        <w:t>, Taylor and Menzies</w:t>
      </w:r>
      <w:r w:rsidR="00CC4F63" w:rsidRPr="00FB4B14">
        <w:rPr>
          <w:rFonts w:ascii="Times New Roman" w:hAnsi="Times New Roman"/>
          <w:sz w:val="24"/>
        </w:rPr>
        <w:t> JJ</w:t>
      </w:r>
      <w:r w:rsidR="0032393D" w:rsidRPr="00FB4B14">
        <w:rPr>
          <w:rFonts w:ascii="Times New Roman" w:hAnsi="Times New Roman"/>
          <w:sz w:val="24"/>
        </w:rPr>
        <w:t>. See also</w:t>
      </w:r>
      <w:r w:rsidR="009C12D1" w:rsidRPr="00FB4B14">
        <w:rPr>
          <w:rFonts w:ascii="Times New Roman" w:hAnsi="Times New Roman"/>
          <w:sz w:val="24"/>
        </w:rPr>
        <w:t xml:space="preserve"> </w:t>
      </w:r>
      <w:r w:rsidR="00751D6C" w:rsidRPr="00FB4B14">
        <w:rPr>
          <w:rFonts w:ascii="Times New Roman" w:hAnsi="Times New Roman"/>
          <w:i/>
          <w:sz w:val="24"/>
        </w:rPr>
        <w:t>Re</w:t>
      </w:r>
      <w:r w:rsidR="00234A4E" w:rsidRPr="00FB4B14">
        <w:rPr>
          <w:rFonts w:ascii="Times New Roman" w:hAnsi="Times New Roman"/>
          <w:i/>
          <w:sz w:val="24"/>
        </w:rPr>
        <w:t xml:space="preserve"> Force Corp Pty Ltd (</w:t>
      </w:r>
      <w:r w:rsidR="004E528E" w:rsidRPr="00FB4B14">
        <w:rPr>
          <w:rFonts w:ascii="Times New Roman" w:hAnsi="Times New Roman"/>
          <w:i/>
          <w:sz w:val="24"/>
        </w:rPr>
        <w:t>I</w:t>
      </w:r>
      <w:r w:rsidR="00234A4E" w:rsidRPr="00FB4B14">
        <w:rPr>
          <w:rFonts w:ascii="Times New Roman" w:hAnsi="Times New Roman"/>
          <w:i/>
          <w:sz w:val="24"/>
        </w:rPr>
        <w:t xml:space="preserve">n </w:t>
      </w:r>
      <w:proofErr w:type="spellStart"/>
      <w:r w:rsidR="00234A4E" w:rsidRPr="00FB4B14">
        <w:rPr>
          <w:rFonts w:ascii="Times New Roman" w:hAnsi="Times New Roman"/>
          <w:i/>
          <w:sz w:val="24"/>
        </w:rPr>
        <w:t>liq</w:t>
      </w:r>
      <w:proofErr w:type="spellEnd"/>
      <w:r w:rsidR="00234A4E" w:rsidRPr="00FB4B14">
        <w:rPr>
          <w:rFonts w:ascii="Times New Roman" w:hAnsi="Times New Roman"/>
          <w:i/>
          <w:sz w:val="24"/>
        </w:rPr>
        <w:t>)</w:t>
      </w:r>
      <w:r w:rsidR="00234A4E" w:rsidRPr="00FB4B14">
        <w:rPr>
          <w:rFonts w:ascii="Times New Roman" w:hAnsi="Times New Roman"/>
          <w:sz w:val="24"/>
        </w:rPr>
        <w:t xml:space="preserve"> </w:t>
      </w:r>
      <w:r w:rsidR="009C12D1" w:rsidRPr="00FB4B14">
        <w:rPr>
          <w:rFonts w:ascii="Times New Roman" w:hAnsi="Times New Roman"/>
          <w:sz w:val="24"/>
        </w:rPr>
        <w:t>(</w:t>
      </w:r>
      <w:r w:rsidR="00234A4E" w:rsidRPr="00FB4B14">
        <w:rPr>
          <w:rFonts w:ascii="Times New Roman" w:hAnsi="Times New Roman"/>
          <w:sz w:val="24"/>
        </w:rPr>
        <w:t>2020</w:t>
      </w:r>
      <w:r w:rsidR="009C12D1" w:rsidRPr="00FB4B14">
        <w:rPr>
          <w:rFonts w:ascii="Times New Roman" w:hAnsi="Times New Roman"/>
          <w:sz w:val="24"/>
        </w:rPr>
        <w:t xml:space="preserve">) </w:t>
      </w:r>
      <w:r w:rsidR="00234A4E" w:rsidRPr="00FB4B14">
        <w:rPr>
          <w:rFonts w:ascii="Times New Roman" w:hAnsi="Times New Roman"/>
          <w:sz w:val="24"/>
        </w:rPr>
        <w:t>149 ACSR 451</w:t>
      </w:r>
      <w:r w:rsidR="00AC7840" w:rsidRPr="00FB4B14">
        <w:rPr>
          <w:rFonts w:ascii="Times New Roman" w:hAnsi="Times New Roman"/>
          <w:sz w:val="24"/>
        </w:rPr>
        <w:t xml:space="preserve"> at </w:t>
      </w:r>
      <w:r w:rsidR="00817B33" w:rsidRPr="00FB4B14">
        <w:rPr>
          <w:rFonts w:ascii="Times New Roman" w:hAnsi="Times New Roman"/>
          <w:sz w:val="24"/>
        </w:rPr>
        <w:t>474 [95]</w:t>
      </w:r>
      <w:r w:rsidR="00DA3D56" w:rsidRPr="00FB4B14">
        <w:rPr>
          <w:rFonts w:ascii="Times New Roman" w:hAnsi="Times New Roman"/>
          <w:sz w:val="24"/>
        </w:rPr>
        <w:t xml:space="preserve"> per Gleeson</w:t>
      </w:r>
      <w:r w:rsidR="00122047" w:rsidRPr="00FB4B14">
        <w:rPr>
          <w:rFonts w:ascii="Times New Roman" w:hAnsi="Times New Roman"/>
          <w:sz w:val="24"/>
        </w:rPr>
        <w:t> J.</w:t>
      </w:r>
    </w:p>
  </w:footnote>
  <w:footnote w:id="49">
    <w:p w14:paraId="3C7CAEBF" w14:textId="49EC95B8" w:rsidR="00C11222" w:rsidRPr="00FB4B14" w:rsidRDefault="00C1122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(199</w:t>
      </w:r>
      <w:r w:rsidR="0096226F" w:rsidRPr="00FB4B14">
        <w:rPr>
          <w:rFonts w:ascii="Times New Roman" w:hAnsi="Times New Roman"/>
          <w:sz w:val="24"/>
        </w:rPr>
        <w:t>1</w:t>
      </w:r>
      <w:r w:rsidRPr="00FB4B14">
        <w:rPr>
          <w:rFonts w:ascii="Times New Roman" w:hAnsi="Times New Roman"/>
          <w:sz w:val="24"/>
        </w:rPr>
        <w:t>) 171 CLR 609</w:t>
      </w:r>
      <w:r w:rsidR="00CB568A" w:rsidRPr="00FB4B14">
        <w:rPr>
          <w:rFonts w:ascii="Times New Roman" w:hAnsi="Times New Roman"/>
          <w:sz w:val="24"/>
        </w:rPr>
        <w:t>.</w:t>
      </w:r>
    </w:p>
  </w:footnote>
  <w:footnote w:id="50">
    <w:p w14:paraId="786599ED" w14:textId="3C8DA282" w:rsidR="00EB05F6" w:rsidRPr="00FB4B14" w:rsidRDefault="00EB05F6"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(199</w:t>
      </w:r>
      <w:r w:rsidR="00AC482B" w:rsidRPr="00FB4B14">
        <w:rPr>
          <w:rFonts w:ascii="Times New Roman" w:hAnsi="Times New Roman"/>
          <w:sz w:val="24"/>
        </w:rPr>
        <w:t>1</w:t>
      </w:r>
      <w:r w:rsidRPr="00FB4B14">
        <w:rPr>
          <w:rFonts w:ascii="Times New Roman" w:hAnsi="Times New Roman"/>
          <w:sz w:val="24"/>
        </w:rPr>
        <w:t>) 171 CLR 609 at 619</w:t>
      </w:r>
      <w:r w:rsidR="00A61194" w:rsidRPr="00FB4B14">
        <w:rPr>
          <w:rFonts w:ascii="Times New Roman" w:hAnsi="Times New Roman"/>
          <w:sz w:val="24"/>
        </w:rPr>
        <w:t xml:space="preserve"> per Mason CJ, Brennan, Deane, Dawson, Toohey, </w:t>
      </w:r>
      <w:proofErr w:type="spellStart"/>
      <w:r w:rsidR="00A61194" w:rsidRPr="00FB4B14">
        <w:rPr>
          <w:rFonts w:ascii="Times New Roman" w:hAnsi="Times New Roman"/>
          <w:sz w:val="24"/>
        </w:rPr>
        <w:t>Gaudron</w:t>
      </w:r>
      <w:proofErr w:type="spellEnd"/>
      <w:r w:rsidR="00A61194" w:rsidRPr="00FB4B14">
        <w:rPr>
          <w:rFonts w:ascii="Times New Roman" w:hAnsi="Times New Roman"/>
          <w:sz w:val="24"/>
        </w:rPr>
        <w:t xml:space="preserve"> and McHugh JJ, quoting </w:t>
      </w:r>
      <w:r w:rsidR="00A61194" w:rsidRPr="00FB4B14">
        <w:rPr>
          <w:rFonts w:ascii="Times New Roman" w:hAnsi="Times New Roman"/>
          <w:i/>
          <w:sz w:val="24"/>
        </w:rPr>
        <w:t>Day &amp; Dent Constructions Pty Ltd v North Australian Properties Pty Ltd</w:t>
      </w:r>
      <w:r w:rsidR="00A61194" w:rsidRPr="00FB4B14">
        <w:rPr>
          <w:rFonts w:ascii="Times New Roman" w:hAnsi="Times New Roman"/>
          <w:sz w:val="24"/>
        </w:rPr>
        <w:t xml:space="preserve"> (198</w:t>
      </w:r>
      <w:r w:rsidR="00497E0C" w:rsidRPr="00FB4B14">
        <w:rPr>
          <w:rFonts w:ascii="Times New Roman" w:hAnsi="Times New Roman"/>
          <w:sz w:val="24"/>
        </w:rPr>
        <w:t>2</w:t>
      </w:r>
      <w:r w:rsidR="00A61194" w:rsidRPr="00FB4B14">
        <w:rPr>
          <w:rFonts w:ascii="Times New Roman" w:hAnsi="Times New Roman"/>
          <w:sz w:val="24"/>
        </w:rPr>
        <w:t xml:space="preserve">) 150 CLR 85 </w:t>
      </w:r>
      <w:r w:rsidR="00657272" w:rsidRPr="00FB4B14">
        <w:rPr>
          <w:rFonts w:ascii="Times New Roman" w:hAnsi="Times New Roman"/>
          <w:sz w:val="24"/>
        </w:rPr>
        <w:t>at 108</w:t>
      </w:r>
      <w:r w:rsidR="00D34933" w:rsidRPr="00FB4B14">
        <w:rPr>
          <w:rFonts w:ascii="Times New Roman" w:hAnsi="Times New Roman"/>
          <w:sz w:val="24"/>
        </w:rPr>
        <w:t xml:space="preserve"> </w:t>
      </w:r>
      <w:r w:rsidR="00657272" w:rsidRPr="00FB4B14">
        <w:rPr>
          <w:rFonts w:ascii="Times New Roman" w:hAnsi="Times New Roman"/>
          <w:sz w:val="24"/>
        </w:rPr>
        <w:t>per Mason</w:t>
      </w:r>
      <w:r w:rsidR="00F35A10" w:rsidRPr="00FB4B14">
        <w:rPr>
          <w:rFonts w:ascii="Times New Roman" w:hAnsi="Times New Roman"/>
          <w:sz w:val="24"/>
        </w:rPr>
        <w:t> </w:t>
      </w:r>
      <w:r w:rsidR="00657272" w:rsidRPr="00FB4B14">
        <w:rPr>
          <w:rFonts w:ascii="Times New Roman" w:hAnsi="Times New Roman"/>
          <w:sz w:val="24"/>
        </w:rPr>
        <w:t xml:space="preserve">J, in turn quoting </w:t>
      </w:r>
      <w:r w:rsidR="00B91923" w:rsidRPr="00FB4B14">
        <w:rPr>
          <w:rFonts w:ascii="Times New Roman" w:hAnsi="Times New Roman"/>
          <w:i/>
          <w:sz w:val="24"/>
        </w:rPr>
        <w:t>Eberle's Hotels and Restaurant Co</w:t>
      </w:r>
      <w:r w:rsidR="007A44EC" w:rsidRPr="00FB4B14">
        <w:rPr>
          <w:rFonts w:ascii="Times New Roman" w:hAnsi="Times New Roman"/>
          <w:i/>
          <w:sz w:val="24"/>
        </w:rPr>
        <w:t>mpany</w:t>
      </w:r>
      <w:r w:rsidR="00B91923" w:rsidRPr="00FB4B14">
        <w:rPr>
          <w:rFonts w:ascii="Times New Roman" w:hAnsi="Times New Roman"/>
          <w:i/>
          <w:sz w:val="24"/>
        </w:rPr>
        <w:t xml:space="preserve"> v Jonas </w:t>
      </w:r>
      <w:r w:rsidR="00B91923" w:rsidRPr="00FB4B14">
        <w:rPr>
          <w:rFonts w:ascii="Times New Roman" w:hAnsi="Times New Roman"/>
          <w:sz w:val="24"/>
        </w:rPr>
        <w:t>(1887) 18 QB</w:t>
      </w:r>
      <w:r w:rsidR="0076333B" w:rsidRPr="00FB4B14">
        <w:rPr>
          <w:rFonts w:ascii="Times New Roman" w:hAnsi="Times New Roman"/>
          <w:sz w:val="24"/>
        </w:rPr>
        <w:t>D</w:t>
      </w:r>
      <w:r w:rsidR="00B91923" w:rsidRPr="00FB4B14">
        <w:rPr>
          <w:rFonts w:ascii="Times New Roman" w:hAnsi="Times New Roman"/>
          <w:sz w:val="24"/>
        </w:rPr>
        <w:t xml:space="preserve"> 459 at 465 per Lord Esher</w:t>
      </w:r>
      <w:r w:rsidR="008E0CC9" w:rsidRPr="00FB4B14">
        <w:rPr>
          <w:rFonts w:ascii="Times New Roman" w:hAnsi="Times New Roman"/>
          <w:sz w:val="24"/>
        </w:rPr>
        <w:t> </w:t>
      </w:r>
      <w:r w:rsidR="00B91923" w:rsidRPr="00FB4B14">
        <w:rPr>
          <w:rFonts w:ascii="Times New Roman" w:hAnsi="Times New Roman"/>
          <w:sz w:val="24"/>
        </w:rPr>
        <w:t>MR.</w:t>
      </w:r>
    </w:p>
  </w:footnote>
  <w:footnote w:id="51">
    <w:p w14:paraId="301D3153" w14:textId="0384C1C1" w:rsidR="00D22CEA" w:rsidRPr="00FB4B14" w:rsidRDefault="00D22CEA"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2E0CE7" w:rsidRPr="00FB4B14">
        <w:rPr>
          <w:rFonts w:ascii="Times New Roman" w:hAnsi="Times New Roman"/>
          <w:sz w:val="24"/>
        </w:rPr>
        <w:t>(199</w:t>
      </w:r>
      <w:r w:rsidR="00AC482B" w:rsidRPr="00FB4B14">
        <w:rPr>
          <w:rFonts w:ascii="Times New Roman" w:hAnsi="Times New Roman"/>
          <w:sz w:val="24"/>
        </w:rPr>
        <w:t>1</w:t>
      </w:r>
      <w:r w:rsidR="002E0CE7" w:rsidRPr="00FB4B14">
        <w:rPr>
          <w:rFonts w:ascii="Times New Roman" w:hAnsi="Times New Roman"/>
          <w:sz w:val="24"/>
        </w:rPr>
        <w:t xml:space="preserve">) 171 CLR 609 </w:t>
      </w:r>
      <w:r w:rsidRPr="00FB4B14">
        <w:rPr>
          <w:rFonts w:ascii="Times New Roman" w:hAnsi="Times New Roman"/>
          <w:sz w:val="24"/>
        </w:rPr>
        <w:t>at 623</w:t>
      </w:r>
      <w:r w:rsidR="002E0CE7" w:rsidRPr="00FB4B14">
        <w:rPr>
          <w:rFonts w:ascii="Times New Roman" w:hAnsi="Times New Roman"/>
          <w:sz w:val="24"/>
        </w:rPr>
        <w:t xml:space="preserve"> per Mason CJ, Brennan, Deane, Dawson, Toohey, </w:t>
      </w:r>
      <w:proofErr w:type="spellStart"/>
      <w:r w:rsidR="002E0CE7" w:rsidRPr="00FB4B14">
        <w:rPr>
          <w:rFonts w:ascii="Times New Roman" w:hAnsi="Times New Roman"/>
          <w:sz w:val="24"/>
        </w:rPr>
        <w:t>Gaudron</w:t>
      </w:r>
      <w:proofErr w:type="spellEnd"/>
      <w:r w:rsidR="002E0CE7" w:rsidRPr="00FB4B14">
        <w:rPr>
          <w:rFonts w:ascii="Times New Roman" w:hAnsi="Times New Roman"/>
          <w:sz w:val="24"/>
        </w:rPr>
        <w:t xml:space="preserve"> and McHugh JJ</w:t>
      </w:r>
      <w:r w:rsidR="00CB568A" w:rsidRPr="00FB4B14">
        <w:rPr>
          <w:rFonts w:ascii="Times New Roman" w:hAnsi="Times New Roman"/>
          <w:sz w:val="24"/>
        </w:rPr>
        <w:t>.</w:t>
      </w:r>
    </w:p>
  </w:footnote>
  <w:footnote w:id="52">
    <w:p w14:paraId="790B729E" w14:textId="6CE22F86" w:rsidR="00916EB2" w:rsidRPr="00FB4B14" w:rsidRDefault="00916EB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2E0CE7" w:rsidRPr="00FB4B14">
        <w:rPr>
          <w:rFonts w:ascii="Times New Roman" w:hAnsi="Times New Roman"/>
          <w:sz w:val="24"/>
        </w:rPr>
        <w:t>(199</w:t>
      </w:r>
      <w:r w:rsidR="00AC482B" w:rsidRPr="00FB4B14">
        <w:rPr>
          <w:rFonts w:ascii="Times New Roman" w:hAnsi="Times New Roman"/>
          <w:sz w:val="24"/>
        </w:rPr>
        <w:t>1</w:t>
      </w:r>
      <w:r w:rsidR="002E0CE7" w:rsidRPr="00FB4B14">
        <w:rPr>
          <w:rFonts w:ascii="Times New Roman" w:hAnsi="Times New Roman"/>
          <w:sz w:val="24"/>
        </w:rPr>
        <w:t>) 171 CLR 609 at 62</w:t>
      </w:r>
      <w:r w:rsidR="009476D6" w:rsidRPr="00FB4B14">
        <w:rPr>
          <w:rFonts w:ascii="Times New Roman" w:hAnsi="Times New Roman"/>
          <w:sz w:val="24"/>
        </w:rPr>
        <w:t>5</w:t>
      </w:r>
      <w:r w:rsidR="002E0CE7" w:rsidRPr="00FB4B14">
        <w:rPr>
          <w:rFonts w:ascii="Times New Roman" w:hAnsi="Times New Roman"/>
          <w:sz w:val="24"/>
        </w:rPr>
        <w:t xml:space="preserve"> per Mason CJ, Brennan, Deane, Dawson, Toohey, </w:t>
      </w:r>
      <w:proofErr w:type="spellStart"/>
      <w:r w:rsidR="002E0CE7" w:rsidRPr="00FB4B14">
        <w:rPr>
          <w:rFonts w:ascii="Times New Roman" w:hAnsi="Times New Roman"/>
          <w:sz w:val="24"/>
        </w:rPr>
        <w:t>Gaudron</w:t>
      </w:r>
      <w:proofErr w:type="spellEnd"/>
      <w:r w:rsidR="002E0CE7" w:rsidRPr="00FB4B14">
        <w:rPr>
          <w:rFonts w:ascii="Times New Roman" w:hAnsi="Times New Roman"/>
          <w:sz w:val="24"/>
        </w:rPr>
        <w:t xml:space="preserve"> and McHugh JJ.</w:t>
      </w:r>
    </w:p>
  </w:footnote>
  <w:footnote w:id="53">
    <w:p w14:paraId="44B0A578" w14:textId="13BF4A82" w:rsidR="00916EB2" w:rsidRPr="00FB4B14" w:rsidRDefault="00916EB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2E0CE7" w:rsidRPr="00FB4B14">
        <w:rPr>
          <w:rFonts w:ascii="Times New Roman" w:hAnsi="Times New Roman"/>
          <w:sz w:val="24"/>
        </w:rPr>
        <w:t>(199</w:t>
      </w:r>
      <w:r w:rsidR="00823079" w:rsidRPr="00FB4B14">
        <w:rPr>
          <w:rFonts w:ascii="Times New Roman" w:hAnsi="Times New Roman"/>
          <w:sz w:val="24"/>
        </w:rPr>
        <w:t>1</w:t>
      </w:r>
      <w:r w:rsidR="002E0CE7" w:rsidRPr="00FB4B14">
        <w:rPr>
          <w:rFonts w:ascii="Times New Roman" w:hAnsi="Times New Roman"/>
          <w:sz w:val="24"/>
        </w:rPr>
        <w:t>) 171 CLR 609 at 62</w:t>
      </w:r>
      <w:r w:rsidR="009476D6" w:rsidRPr="00FB4B14">
        <w:rPr>
          <w:rFonts w:ascii="Times New Roman" w:hAnsi="Times New Roman"/>
          <w:sz w:val="24"/>
        </w:rPr>
        <w:t>5</w:t>
      </w:r>
      <w:r w:rsidR="002E0CE7" w:rsidRPr="00FB4B14">
        <w:rPr>
          <w:rFonts w:ascii="Times New Roman" w:hAnsi="Times New Roman"/>
          <w:sz w:val="24"/>
        </w:rPr>
        <w:t xml:space="preserve"> per Mason CJ, Brennan, Deane, Dawson, Toohey, </w:t>
      </w:r>
      <w:proofErr w:type="spellStart"/>
      <w:r w:rsidR="002E0CE7" w:rsidRPr="00FB4B14">
        <w:rPr>
          <w:rFonts w:ascii="Times New Roman" w:hAnsi="Times New Roman"/>
          <w:sz w:val="24"/>
        </w:rPr>
        <w:t>Gaudron</w:t>
      </w:r>
      <w:proofErr w:type="spellEnd"/>
      <w:r w:rsidR="002E0CE7" w:rsidRPr="00FB4B14">
        <w:rPr>
          <w:rFonts w:ascii="Times New Roman" w:hAnsi="Times New Roman"/>
          <w:sz w:val="24"/>
        </w:rPr>
        <w:t xml:space="preserve"> and McHugh JJ.</w:t>
      </w:r>
    </w:p>
  </w:footnote>
  <w:footnote w:id="54">
    <w:p w14:paraId="3C063FCD" w14:textId="30C9D52C" w:rsidR="008B1610" w:rsidRPr="00FB4B14" w:rsidRDefault="008B161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2E0CE7" w:rsidRPr="00FB4B14">
        <w:rPr>
          <w:rFonts w:ascii="Times New Roman" w:hAnsi="Times New Roman"/>
          <w:sz w:val="24"/>
        </w:rPr>
        <w:t>(199</w:t>
      </w:r>
      <w:r w:rsidR="00823079" w:rsidRPr="00FB4B14">
        <w:rPr>
          <w:rFonts w:ascii="Times New Roman" w:hAnsi="Times New Roman"/>
          <w:sz w:val="24"/>
        </w:rPr>
        <w:t>1</w:t>
      </w:r>
      <w:r w:rsidR="002E0CE7" w:rsidRPr="00FB4B14">
        <w:rPr>
          <w:rFonts w:ascii="Times New Roman" w:hAnsi="Times New Roman"/>
          <w:sz w:val="24"/>
        </w:rPr>
        <w:t xml:space="preserve">) 171 CLR 609 at 623 per Mason CJ, Brennan, Deane, Dawson, Toohey, </w:t>
      </w:r>
      <w:proofErr w:type="spellStart"/>
      <w:r w:rsidR="002E0CE7" w:rsidRPr="00FB4B14">
        <w:rPr>
          <w:rFonts w:ascii="Times New Roman" w:hAnsi="Times New Roman"/>
          <w:sz w:val="24"/>
        </w:rPr>
        <w:t>Gaudron</w:t>
      </w:r>
      <w:proofErr w:type="spellEnd"/>
      <w:r w:rsidR="002E0CE7" w:rsidRPr="00FB4B14">
        <w:rPr>
          <w:rFonts w:ascii="Times New Roman" w:hAnsi="Times New Roman"/>
          <w:sz w:val="24"/>
        </w:rPr>
        <w:t xml:space="preserve"> and McHugh JJ.</w:t>
      </w:r>
    </w:p>
  </w:footnote>
  <w:footnote w:id="55">
    <w:p w14:paraId="42A0EFB0" w14:textId="0CEFFA88" w:rsidR="00CF10D2" w:rsidRPr="00FB4B14" w:rsidRDefault="00CF10D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450A9E" w:rsidRPr="00FB4B14">
        <w:rPr>
          <w:rFonts w:ascii="Times New Roman" w:hAnsi="Times New Roman"/>
          <w:sz w:val="24"/>
        </w:rPr>
        <w:t>(199</w:t>
      </w:r>
      <w:r w:rsidR="00823079" w:rsidRPr="00FB4B14">
        <w:rPr>
          <w:rFonts w:ascii="Times New Roman" w:hAnsi="Times New Roman"/>
          <w:sz w:val="24"/>
        </w:rPr>
        <w:t>1</w:t>
      </w:r>
      <w:r w:rsidR="00450A9E" w:rsidRPr="00FB4B14">
        <w:rPr>
          <w:rFonts w:ascii="Times New Roman" w:hAnsi="Times New Roman"/>
          <w:sz w:val="24"/>
        </w:rPr>
        <w:t xml:space="preserve">) 171 CLR 609 at 623 per Mason CJ, Brennan, Deane, Dawson, Toohey, </w:t>
      </w:r>
      <w:proofErr w:type="spellStart"/>
      <w:r w:rsidR="00450A9E" w:rsidRPr="00FB4B14">
        <w:rPr>
          <w:rFonts w:ascii="Times New Roman" w:hAnsi="Times New Roman"/>
          <w:sz w:val="24"/>
        </w:rPr>
        <w:t>Gaudron</w:t>
      </w:r>
      <w:proofErr w:type="spellEnd"/>
      <w:r w:rsidR="00450A9E" w:rsidRPr="00FB4B14">
        <w:rPr>
          <w:rFonts w:ascii="Times New Roman" w:hAnsi="Times New Roman"/>
          <w:sz w:val="24"/>
        </w:rPr>
        <w:t xml:space="preserve"> and McHugh JJ.</w:t>
      </w:r>
    </w:p>
  </w:footnote>
  <w:footnote w:id="56">
    <w:p w14:paraId="739712CE" w14:textId="6177D8AD" w:rsidR="005A242C" w:rsidRPr="00FB4B14" w:rsidRDefault="005A242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See </w:t>
      </w:r>
      <w:r w:rsidR="004E3DA8" w:rsidRPr="00FB4B14">
        <w:rPr>
          <w:rFonts w:ascii="Times New Roman" w:hAnsi="Times New Roman"/>
          <w:sz w:val="24"/>
        </w:rPr>
        <w:t>[19].</w:t>
      </w:r>
    </w:p>
  </w:footnote>
  <w:footnote w:id="57">
    <w:p w14:paraId="2DD443F4" w14:textId="072C96D2" w:rsidR="00874C9F" w:rsidRPr="00FB4B14" w:rsidRDefault="00874C9F"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(1938) 60 CLR 468</w:t>
      </w:r>
      <w:r w:rsidR="00CB568A" w:rsidRPr="00FB4B14">
        <w:rPr>
          <w:rFonts w:ascii="Times New Roman" w:hAnsi="Times New Roman"/>
          <w:sz w:val="24"/>
        </w:rPr>
        <w:t>.</w:t>
      </w:r>
    </w:p>
  </w:footnote>
  <w:footnote w:id="58">
    <w:p w14:paraId="28C0F197" w14:textId="77777777" w:rsidR="00AE7580" w:rsidRPr="00FB4B14" w:rsidRDefault="00AE758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(1938) 60 CLR 468 at 495-496.</w:t>
      </w:r>
    </w:p>
  </w:footnote>
  <w:footnote w:id="59">
    <w:p w14:paraId="676256F0" w14:textId="731EB329" w:rsidR="0088789C" w:rsidRPr="00FB4B14" w:rsidRDefault="0088789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0F593D" w:rsidRPr="00FB4B14">
        <w:rPr>
          <w:rFonts w:ascii="Times New Roman" w:hAnsi="Times New Roman"/>
          <w:sz w:val="24"/>
        </w:rPr>
        <w:t xml:space="preserve">(1938) 60 CLR 468 </w:t>
      </w:r>
      <w:r w:rsidRPr="00FB4B14">
        <w:rPr>
          <w:rFonts w:ascii="Times New Roman" w:hAnsi="Times New Roman"/>
          <w:sz w:val="24"/>
        </w:rPr>
        <w:t xml:space="preserve">at </w:t>
      </w:r>
      <w:r w:rsidR="000F593D" w:rsidRPr="00FB4B14">
        <w:rPr>
          <w:rFonts w:ascii="Times New Roman" w:hAnsi="Times New Roman"/>
          <w:sz w:val="24"/>
        </w:rPr>
        <w:t>49</w:t>
      </w:r>
      <w:r w:rsidRPr="00FB4B14">
        <w:rPr>
          <w:rFonts w:ascii="Times New Roman" w:hAnsi="Times New Roman"/>
          <w:sz w:val="24"/>
        </w:rPr>
        <w:t>6</w:t>
      </w:r>
      <w:r w:rsidR="00CB568A" w:rsidRPr="00FB4B14">
        <w:rPr>
          <w:rFonts w:ascii="Times New Roman" w:hAnsi="Times New Roman"/>
          <w:sz w:val="24"/>
        </w:rPr>
        <w:t>.</w:t>
      </w:r>
    </w:p>
  </w:footnote>
  <w:footnote w:id="60">
    <w:p w14:paraId="1A32432D" w14:textId="24CE2E92" w:rsidR="006E369F" w:rsidRPr="00FB4B14" w:rsidRDefault="006E369F"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0F593D" w:rsidRPr="00FB4B14">
        <w:rPr>
          <w:rFonts w:ascii="Times New Roman" w:hAnsi="Times New Roman"/>
          <w:sz w:val="24"/>
        </w:rPr>
        <w:t xml:space="preserve">(1938) 60 CLR 468 </w:t>
      </w:r>
      <w:r w:rsidRPr="00FB4B14">
        <w:rPr>
          <w:rFonts w:ascii="Times New Roman" w:hAnsi="Times New Roman"/>
          <w:sz w:val="24"/>
        </w:rPr>
        <w:t>at 496</w:t>
      </w:r>
      <w:r w:rsidR="00CB568A" w:rsidRPr="00FB4B14">
        <w:rPr>
          <w:rFonts w:ascii="Times New Roman" w:hAnsi="Times New Roman"/>
          <w:sz w:val="24"/>
        </w:rPr>
        <w:t>.</w:t>
      </w:r>
    </w:p>
  </w:footnote>
  <w:footnote w:id="61">
    <w:p w14:paraId="57E76883" w14:textId="0B187DC1" w:rsidR="00177152" w:rsidRPr="00FB4B14" w:rsidRDefault="0017715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0F593D" w:rsidRPr="00FB4B14">
        <w:rPr>
          <w:rFonts w:ascii="Times New Roman" w:hAnsi="Times New Roman"/>
          <w:sz w:val="24"/>
        </w:rPr>
        <w:t xml:space="preserve">(1938) 60 CLR 468 </w:t>
      </w:r>
      <w:r w:rsidRPr="00FB4B14">
        <w:rPr>
          <w:rFonts w:ascii="Times New Roman" w:hAnsi="Times New Roman"/>
          <w:sz w:val="24"/>
        </w:rPr>
        <w:t>at 499</w:t>
      </w:r>
      <w:r w:rsidR="00CB568A" w:rsidRPr="00FB4B14">
        <w:rPr>
          <w:rFonts w:ascii="Times New Roman" w:hAnsi="Times New Roman"/>
          <w:sz w:val="24"/>
        </w:rPr>
        <w:t>.</w:t>
      </w:r>
    </w:p>
  </w:footnote>
  <w:footnote w:id="62">
    <w:p w14:paraId="5E21185F" w14:textId="6C27851C" w:rsidR="00BD62BA" w:rsidRPr="00FB4B14" w:rsidRDefault="00BD62BA"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0F593D" w:rsidRPr="00FB4B14">
        <w:rPr>
          <w:rFonts w:ascii="Times New Roman" w:hAnsi="Times New Roman"/>
          <w:sz w:val="24"/>
        </w:rPr>
        <w:t xml:space="preserve">(1938) 60 CLR 468 </w:t>
      </w:r>
      <w:r w:rsidRPr="00FB4B14">
        <w:rPr>
          <w:rFonts w:ascii="Times New Roman" w:hAnsi="Times New Roman"/>
          <w:sz w:val="24"/>
        </w:rPr>
        <w:t>at 496</w:t>
      </w:r>
      <w:r w:rsidR="00B85315" w:rsidRPr="00FB4B14">
        <w:rPr>
          <w:rFonts w:ascii="Times New Roman" w:hAnsi="Times New Roman"/>
          <w:sz w:val="24"/>
        </w:rPr>
        <w:t>-497</w:t>
      </w:r>
      <w:r w:rsidR="004D2F4C" w:rsidRPr="00FB4B14">
        <w:rPr>
          <w:rFonts w:ascii="Times New Roman" w:hAnsi="Times New Roman"/>
          <w:sz w:val="24"/>
        </w:rPr>
        <w:t>; see also at 487 per Rich</w:t>
      </w:r>
      <w:r w:rsidR="00CC4F63" w:rsidRPr="00FB4B14">
        <w:rPr>
          <w:rFonts w:ascii="Times New Roman" w:hAnsi="Times New Roman"/>
          <w:sz w:val="24"/>
        </w:rPr>
        <w:t> J</w:t>
      </w:r>
      <w:r w:rsidR="00316D53" w:rsidRPr="00FB4B14">
        <w:rPr>
          <w:rFonts w:ascii="Times New Roman" w:hAnsi="Times New Roman"/>
          <w:sz w:val="24"/>
        </w:rPr>
        <w:t>,</w:t>
      </w:r>
      <w:r w:rsidR="00CC4F63" w:rsidRPr="00FB4B14" w:rsidDel="00316D53">
        <w:rPr>
          <w:rFonts w:ascii="Times New Roman" w:hAnsi="Times New Roman"/>
          <w:sz w:val="24"/>
        </w:rPr>
        <w:t xml:space="preserve"> </w:t>
      </w:r>
      <w:r w:rsidR="004D2F4C" w:rsidRPr="00FB4B14">
        <w:rPr>
          <w:rFonts w:ascii="Times New Roman" w:hAnsi="Times New Roman"/>
          <w:sz w:val="24"/>
        </w:rPr>
        <w:t>491 per Starke</w:t>
      </w:r>
      <w:r w:rsidR="00122047" w:rsidRPr="00FB4B14">
        <w:rPr>
          <w:rFonts w:ascii="Times New Roman" w:hAnsi="Times New Roman"/>
          <w:sz w:val="24"/>
        </w:rPr>
        <w:t> J.</w:t>
      </w:r>
    </w:p>
  </w:footnote>
  <w:footnote w:id="63">
    <w:p w14:paraId="51150569" w14:textId="4AD120E2" w:rsidR="00CC1A3C" w:rsidRPr="00FB4B14" w:rsidRDefault="00CC1A3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(1938) 60 CLR 468</w:t>
      </w:r>
      <w:r w:rsidR="004168C3" w:rsidRPr="00FB4B14">
        <w:rPr>
          <w:rFonts w:ascii="Times New Roman" w:hAnsi="Times New Roman"/>
          <w:sz w:val="24"/>
        </w:rPr>
        <w:t xml:space="preserve"> at 487 per Rich J, 497 per Dixon J.</w:t>
      </w:r>
    </w:p>
  </w:footnote>
  <w:footnote w:id="64">
    <w:p w14:paraId="6E7FD489" w14:textId="432A713E" w:rsidR="00BC3170" w:rsidRPr="00FB4B14" w:rsidRDefault="00BC317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822C1C" w:rsidRPr="00FB4B14">
        <w:rPr>
          <w:rFonts w:ascii="Times New Roman" w:hAnsi="Times New Roman"/>
          <w:sz w:val="24"/>
        </w:rPr>
        <w:t>(198</w:t>
      </w:r>
      <w:r w:rsidR="00497E0C" w:rsidRPr="00FB4B14">
        <w:rPr>
          <w:rFonts w:ascii="Times New Roman" w:hAnsi="Times New Roman"/>
          <w:sz w:val="24"/>
        </w:rPr>
        <w:t>2</w:t>
      </w:r>
      <w:r w:rsidR="00822C1C" w:rsidRPr="00FB4B14">
        <w:rPr>
          <w:rFonts w:ascii="Times New Roman" w:hAnsi="Times New Roman"/>
          <w:sz w:val="24"/>
        </w:rPr>
        <w:t>) 150 CLR 85</w:t>
      </w:r>
      <w:r w:rsidR="00CB568A" w:rsidRPr="00FB4B14">
        <w:rPr>
          <w:rFonts w:ascii="Times New Roman" w:hAnsi="Times New Roman"/>
          <w:sz w:val="24"/>
        </w:rPr>
        <w:t>.</w:t>
      </w:r>
    </w:p>
  </w:footnote>
  <w:footnote w:id="65">
    <w:p w14:paraId="2086E0CD" w14:textId="5D95735A" w:rsidR="00EA3C55" w:rsidRPr="00FB4B14" w:rsidRDefault="00EA3C55"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EF0794" w:rsidRPr="00FB4B14">
        <w:rPr>
          <w:rFonts w:ascii="Times New Roman" w:hAnsi="Times New Roman"/>
          <w:sz w:val="24"/>
        </w:rPr>
        <w:t>(198</w:t>
      </w:r>
      <w:r w:rsidR="00497E0C" w:rsidRPr="00FB4B14">
        <w:rPr>
          <w:rFonts w:ascii="Times New Roman" w:hAnsi="Times New Roman"/>
          <w:sz w:val="24"/>
        </w:rPr>
        <w:t>2</w:t>
      </w:r>
      <w:r w:rsidR="00EF0794" w:rsidRPr="00FB4B14">
        <w:rPr>
          <w:rFonts w:ascii="Times New Roman" w:hAnsi="Times New Roman"/>
          <w:sz w:val="24"/>
        </w:rPr>
        <w:t xml:space="preserve">) 150 CLR 85 </w:t>
      </w:r>
      <w:r w:rsidR="00DE26E6" w:rsidRPr="00FB4B14">
        <w:rPr>
          <w:rFonts w:ascii="Times New Roman" w:hAnsi="Times New Roman"/>
          <w:sz w:val="24"/>
        </w:rPr>
        <w:t>at 108-</w:t>
      </w:r>
      <w:r w:rsidR="00396C01" w:rsidRPr="00FB4B14">
        <w:rPr>
          <w:rFonts w:ascii="Times New Roman" w:hAnsi="Times New Roman"/>
          <w:sz w:val="24"/>
        </w:rPr>
        <w:t>10</w:t>
      </w:r>
      <w:r w:rsidR="00DE26E6" w:rsidRPr="00FB4B14">
        <w:rPr>
          <w:rFonts w:ascii="Times New Roman" w:hAnsi="Times New Roman"/>
          <w:sz w:val="24"/>
        </w:rPr>
        <w:t>9</w:t>
      </w:r>
      <w:r w:rsidR="00315E23" w:rsidRPr="00FB4B14">
        <w:rPr>
          <w:rFonts w:ascii="Times New Roman" w:hAnsi="Times New Roman"/>
          <w:sz w:val="24"/>
        </w:rPr>
        <w:t>; s</w:t>
      </w:r>
      <w:r w:rsidR="00350568" w:rsidRPr="00FB4B14">
        <w:rPr>
          <w:rFonts w:ascii="Times New Roman" w:hAnsi="Times New Roman"/>
          <w:sz w:val="24"/>
        </w:rPr>
        <w:t>ee also</w:t>
      </w:r>
      <w:r w:rsidR="002E6656" w:rsidRPr="00FB4B14">
        <w:rPr>
          <w:rFonts w:ascii="Times New Roman" w:hAnsi="Times New Roman"/>
          <w:sz w:val="24"/>
        </w:rPr>
        <w:t xml:space="preserve"> </w:t>
      </w:r>
      <w:r w:rsidR="00FD08F6" w:rsidRPr="00FB4B14">
        <w:rPr>
          <w:rFonts w:ascii="Times New Roman" w:hAnsi="Times New Roman"/>
          <w:sz w:val="24"/>
        </w:rPr>
        <w:t xml:space="preserve">at </w:t>
      </w:r>
      <w:r w:rsidR="002E6656" w:rsidRPr="00FB4B14">
        <w:rPr>
          <w:rFonts w:ascii="Times New Roman" w:hAnsi="Times New Roman"/>
          <w:sz w:val="24"/>
        </w:rPr>
        <w:t>95-96 per Gibbs</w:t>
      </w:r>
      <w:r w:rsidR="00CC4F63" w:rsidRPr="00FB4B14">
        <w:rPr>
          <w:rFonts w:ascii="Times New Roman" w:hAnsi="Times New Roman"/>
          <w:sz w:val="24"/>
        </w:rPr>
        <w:t> CJ</w:t>
      </w:r>
      <w:r w:rsidR="00E822CB" w:rsidRPr="00FB4B14">
        <w:rPr>
          <w:rFonts w:ascii="Times New Roman" w:hAnsi="Times New Roman"/>
          <w:sz w:val="24"/>
        </w:rPr>
        <w:t xml:space="preserve">, </w:t>
      </w:r>
      <w:r w:rsidR="003B47A3" w:rsidRPr="00FB4B14">
        <w:rPr>
          <w:rFonts w:ascii="Times New Roman" w:hAnsi="Times New Roman"/>
          <w:sz w:val="24"/>
        </w:rPr>
        <w:t>109 per Murphy J</w:t>
      </w:r>
      <w:r w:rsidR="00122047" w:rsidRPr="00FB4B14">
        <w:rPr>
          <w:rFonts w:ascii="Times New Roman" w:hAnsi="Times New Roman"/>
          <w:sz w:val="24"/>
        </w:rPr>
        <w:t>.</w:t>
      </w:r>
      <w:r w:rsidR="003C06F8" w:rsidRPr="00FB4B14">
        <w:rPr>
          <w:rFonts w:ascii="Times New Roman" w:hAnsi="Times New Roman"/>
          <w:sz w:val="24"/>
        </w:rPr>
        <w:t xml:space="preserve"> </w:t>
      </w:r>
    </w:p>
  </w:footnote>
  <w:footnote w:id="66">
    <w:p w14:paraId="349665AE" w14:textId="0F1DE019" w:rsidR="00662DDB" w:rsidRPr="00FB4B14" w:rsidRDefault="00662DD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E312BA" w:rsidRPr="00FB4B14">
        <w:rPr>
          <w:rFonts w:ascii="Times New Roman" w:hAnsi="Times New Roman"/>
          <w:sz w:val="24"/>
        </w:rPr>
        <w:t xml:space="preserve">See </w:t>
      </w:r>
      <w:r w:rsidRPr="00FB4B14">
        <w:rPr>
          <w:rFonts w:ascii="Times New Roman" w:hAnsi="Times New Roman"/>
          <w:i/>
          <w:sz w:val="24"/>
        </w:rPr>
        <w:t>Corporate Law Reform Act 1992</w:t>
      </w:r>
      <w:r w:rsidRPr="00FB4B14">
        <w:rPr>
          <w:rFonts w:ascii="Times New Roman" w:hAnsi="Times New Roman"/>
          <w:sz w:val="24"/>
        </w:rPr>
        <w:t xml:space="preserve"> (</w:t>
      </w:r>
      <w:proofErr w:type="spellStart"/>
      <w:r w:rsidRPr="00FB4B14">
        <w:rPr>
          <w:rFonts w:ascii="Times New Roman" w:hAnsi="Times New Roman"/>
          <w:sz w:val="24"/>
        </w:rPr>
        <w:t>Cth</w:t>
      </w:r>
      <w:proofErr w:type="spellEnd"/>
      <w:r w:rsidRPr="00FB4B14">
        <w:rPr>
          <w:rFonts w:ascii="Times New Roman" w:hAnsi="Times New Roman"/>
          <w:sz w:val="24"/>
        </w:rPr>
        <w:t>)</w:t>
      </w:r>
      <w:r w:rsidR="006B099D" w:rsidRPr="00FB4B14">
        <w:rPr>
          <w:rFonts w:ascii="Times New Roman" w:hAnsi="Times New Roman"/>
          <w:sz w:val="24"/>
        </w:rPr>
        <w:t>, s</w:t>
      </w:r>
      <w:r w:rsidR="00B354FA" w:rsidRPr="00FB4B14">
        <w:rPr>
          <w:rFonts w:ascii="Times New Roman" w:hAnsi="Times New Roman"/>
          <w:sz w:val="24"/>
        </w:rPr>
        <w:t> </w:t>
      </w:r>
      <w:r w:rsidR="006B099D" w:rsidRPr="00FB4B14">
        <w:rPr>
          <w:rFonts w:ascii="Times New Roman" w:hAnsi="Times New Roman"/>
          <w:sz w:val="24"/>
        </w:rPr>
        <w:t>92</w:t>
      </w:r>
      <w:r w:rsidR="00CB568A" w:rsidRPr="00FB4B14">
        <w:rPr>
          <w:rFonts w:ascii="Times New Roman" w:hAnsi="Times New Roman"/>
          <w:sz w:val="24"/>
        </w:rPr>
        <w:t>.</w:t>
      </w:r>
    </w:p>
  </w:footnote>
  <w:footnote w:id="67">
    <w:p w14:paraId="5B201E2D" w14:textId="577038B3" w:rsidR="007649C3" w:rsidRPr="00FB4B14" w:rsidRDefault="007649C3"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234872" w:rsidRPr="00FB4B14">
        <w:rPr>
          <w:rFonts w:ascii="Times New Roman" w:hAnsi="Times New Roman"/>
          <w:sz w:val="24"/>
        </w:rPr>
        <w:t xml:space="preserve">Australian Law Reform Commission, </w:t>
      </w:r>
      <w:r w:rsidR="00234872" w:rsidRPr="00FB4B14">
        <w:rPr>
          <w:rFonts w:ascii="Times New Roman" w:hAnsi="Times New Roman"/>
          <w:i/>
          <w:sz w:val="24"/>
        </w:rPr>
        <w:t>General Insolvency Inquiry</w:t>
      </w:r>
      <w:r w:rsidR="00234872" w:rsidRPr="00FB4B14">
        <w:rPr>
          <w:rFonts w:ascii="Times New Roman" w:hAnsi="Times New Roman"/>
          <w:sz w:val="24"/>
        </w:rPr>
        <w:t>, Report No</w:t>
      </w:r>
      <w:r w:rsidR="00196E9B" w:rsidRPr="00FB4B14">
        <w:rPr>
          <w:rFonts w:ascii="Times New Roman" w:hAnsi="Times New Roman"/>
          <w:sz w:val="24"/>
        </w:rPr>
        <w:t xml:space="preserve"> 45</w:t>
      </w:r>
      <w:r w:rsidR="00234872" w:rsidRPr="00FB4B14">
        <w:rPr>
          <w:rFonts w:ascii="Times New Roman" w:hAnsi="Times New Roman"/>
          <w:sz w:val="24"/>
        </w:rPr>
        <w:t xml:space="preserve"> (1988) </w:t>
      </w:r>
      <w:r w:rsidRPr="00FB4B14">
        <w:rPr>
          <w:rFonts w:ascii="Times New Roman" w:hAnsi="Times New Roman"/>
          <w:sz w:val="24"/>
        </w:rPr>
        <w:t>at</w:t>
      </w:r>
      <w:r w:rsidR="00944236" w:rsidRPr="00FB4B14">
        <w:rPr>
          <w:rFonts w:ascii="Times New Roman" w:hAnsi="Times New Roman"/>
          <w:sz w:val="24"/>
        </w:rPr>
        <w:t xml:space="preserve"> 330</w:t>
      </w:r>
      <w:r w:rsidRPr="00FB4B14">
        <w:rPr>
          <w:rFonts w:ascii="Times New Roman" w:hAnsi="Times New Roman"/>
          <w:sz w:val="24"/>
        </w:rPr>
        <w:t xml:space="preserve"> </w:t>
      </w:r>
      <w:r w:rsidR="00944236" w:rsidRPr="00FB4B14">
        <w:rPr>
          <w:rFonts w:ascii="Times New Roman" w:hAnsi="Times New Roman"/>
          <w:sz w:val="24"/>
        </w:rPr>
        <w:t>[</w:t>
      </w:r>
      <w:r w:rsidRPr="00FB4B14">
        <w:rPr>
          <w:rFonts w:ascii="Times New Roman" w:hAnsi="Times New Roman"/>
          <w:sz w:val="24"/>
        </w:rPr>
        <w:t>818</w:t>
      </w:r>
      <w:r w:rsidR="003C7132" w:rsidRPr="00FB4B14">
        <w:rPr>
          <w:rFonts w:ascii="Times New Roman" w:hAnsi="Times New Roman"/>
          <w:sz w:val="24"/>
        </w:rPr>
        <w:t>]</w:t>
      </w:r>
      <w:r w:rsidR="00CB568A" w:rsidRPr="00FB4B14">
        <w:rPr>
          <w:rFonts w:ascii="Times New Roman" w:hAnsi="Times New Roman"/>
          <w:sz w:val="24"/>
        </w:rPr>
        <w:t>.</w:t>
      </w:r>
    </w:p>
  </w:footnote>
  <w:footnote w:id="68">
    <w:p w14:paraId="6E58D6BD" w14:textId="7ECE8F45" w:rsidR="009A7791" w:rsidRPr="00FB4B14" w:rsidRDefault="009A7791"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See s 588</w:t>
      </w:r>
      <w:proofErr w:type="gramStart"/>
      <w:r w:rsidRPr="00FB4B14">
        <w:rPr>
          <w:rFonts w:ascii="Times New Roman" w:hAnsi="Times New Roman"/>
          <w:sz w:val="24"/>
        </w:rPr>
        <w:t>FF(</w:t>
      </w:r>
      <w:proofErr w:type="gramEnd"/>
      <w:r w:rsidRPr="00FB4B14">
        <w:rPr>
          <w:rFonts w:ascii="Times New Roman" w:hAnsi="Times New Roman"/>
          <w:sz w:val="24"/>
        </w:rPr>
        <w:t>3) of the Act.</w:t>
      </w:r>
    </w:p>
  </w:footnote>
  <w:footnote w:id="69">
    <w:p w14:paraId="69D2A118" w14:textId="2784F4E5" w:rsidR="00160806" w:rsidRPr="00FB4B14" w:rsidRDefault="00160806"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008C7628" w:rsidRPr="00FB4B14">
        <w:rPr>
          <w:rFonts w:ascii="Times New Roman" w:hAnsi="Times New Roman"/>
          <w:i/>
          <w:iCs/>
          <w:sz w:val="24"/>
        </w:rPr>
        <w:t>Hiley</w:t>
      </w:r>
      <w:proofErr w:type="spellEnd"/>
      <w:r w:rsidR="008C7628" w:rsidRPr="00FB4B14">
        <w:rPr>
          <w:rFonts w:ascii="Times New Roman" w:hAnsi="Times New Roman"/>
          <w:i/>
          <w:sz w:val="24"/>
        </w:rPr>
        <w:t xml:space="preserve"> v Peoples Prudential Assurance Co Ltd</w:t>
      </w:r>
      <w:r w:rsidR="008C7628" w:rsidRPr="00FB4B14">
        <w:rPr>
          <w:rFonts w:ascii="Times New Roman" w:hAnsi="Times New Roman"/>
          <w:sz w:val="24"/>
        </w:rPr>
        <w:t xml:space="preserve"> (193</w:t>
      </w:r>
      <w:r w:rsidR="005B3753" w:rsidRPr="00FB4B14">
        <w:rPr>
          <w:rFonts w:ascii="Times New Roman" w:hAnsi="Times New Roman"/>
          <w:sz w:val="24"/>
        </w:rPr>
        <w:t xml:space="preserve">8) 60 CLR 468 </w:t>
      </w:r>
      <w:r w:rsidRPr="00FB4B14">
        <w:rPr>
          <w:rFonts w:ascii="Times New Roman" w:hAnsi="Times New Roman"/>
          <w:sz w:val="24"/>
        </w:rPr>
        <w:t>at 493</w:t>
      </w:r>
      <w:r w:rsidR="00D12B9A" w:rsidRPr="00FB4B14">
        <w:rPr>
          <w:rFonts w:ascii="Times New Roman" w:hAnsi="Times New Roman"/>
          <w:sz w:val="24"/>
        </w:rPr>
        <w:t xml:space="preserve"> per Dixon J</w:t>
      </w:r>
      <w:r w:rsidR="00CB568A" w:rsidRPr="00FB4B14">
        <w:rPr>
          <w:rFonts w:ascii="Times New Roman" w:hAnsi="Times New Roman"/>
          <w:sz w:val="24"/>
        </w:rPr>
        <w:t>.</w:t>
      </w:r>
    </w:p>
  </w:footnote>
  <w:footnote w:id="70">
    <w:p w14:paraId="10A063E3" w14:textId="19D2858B" w:rsidR="002A3225" w:rsidRPr="00FB4B14" w:rsidRDefault="002A3225"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A82B22" w:rsidRPr="00FB4B14">
        <w:rPr>
          <w:rFonts w:ascii="Times New Roman" w:hAnsi="Times New Roman"/>
          <w:sz w:val="24"/>
        </w:rPr>
        <w:t>See</w:t>
      </w:r>
      <w:r w:rsidRPr="00FB4B14">
        <w:rPr>
          <w:rFonts w:ascii="Times New Roman" w:hAnsi="Times New Roman"/>
          <w:sz w:val="24"/>
        </w:rPr>
        <w:t xml:space="preserve"> [</w:t>
      </w:r>
      <w:r w:rsidR="00E13A38" w:rsidRPr="00FB4B14">
        <w:rPr>
          <w:rFonts w:ascii="Times New Roman" w:hAnsi="Times New Roman"/>
          <w:sz w:val="24"/>
        </w:rPr>
        <w:t>41</w:t>
      </w:r>
      <w:r w:rsidRPr="00FB4B14">
        <w:rPr>
          <w:rFonts w:ascii="Times New Roman" w:hAnsi="Times New Roman"/>
          <w:sz w:val="24"/>
        </w:rPr>
        <w:t>].</w:t>
      </w:r>
    </w:p>
  </w:footnote>
  <w:footnote w:id="71">
    <w:p w14:paraId="55CAF544" w14:textId="4ED59AA9" w:rsidR="000F5804" w:rsidRPr="00FB4B14" w:rsidRDefault="000F5804"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iCs/>
          <w:sz w:val="24"/>
        </w:rPr>
        <w:t xml:space="preserve">Community Development Pty Ltd v </w:t>
      </w:r>
      <w:proofErr w:type="spellStart"/>
      <w:r w:rsidRPr="00FB4B14">
        <w:rPr>
          <w:rFonts w:ascii="Times New Roman" w:hAnsi="Times New Roman"/>
          <w:i/>
          <w:iCs/>
          <w:sz w:val="24"/>
        </w:rPr>
        <w:t>Engwirda</w:t>
      </w:r>
      <w:proofErr w:type="spellEnd"/>
      <w:r w:rsidRPr="00FB4B14">
        <w:rPr>
          <w:rFonts w:ascii="Times New Roman" w:hAnsi="Times New Roman"/>
          <w:i/>
          <w:iCs/>
          <w:sz w:val="24"/>
        </w:rPr>
        <w:t xml:space="preserve"> Construction Co</w:t>
      </w:r>
      <w:r w:rsidRPr="00FB4B14">
        <w:rPr>
          <w:rFonts w:ascii="Times New Roman" w:hAnsi="Times New Roman"/>
          <w:sz w:val="24"/>
        </w:rPr>
        <w:t xml:space="preserve"> (1969) 120 CLR 455 at 459 per </w:t>
      </w:r>
      <w:proofErr w:type="spellStart"/>
      <w:r w:rsidRPr="00FB4B14">
        <w:rPr>
          <w:rFonts w:ascii="Times New Roman" w:hAnsi="Times New Roman"/>
          <w:sz w:val="24"/>
        </w:rPr>
        <w:t>Kitto</w:t>
      </w:r>
      <w:proofErr w:type="spellEnd"/>
      <w:r w:rsidR="0027337F" w:rsidRPr="00FB4B14">
        <w:rPr>
          <w:rFonts w:ascii="Times New Roman" w:hAnsi="Times New Roman"/>
          <w:sz w:val="24"/>
        </w:rPr>
        <w:t> </w:t>
      </w:r>
      <w:r w:rsidRPr="00FB4B14">
        <w:rPr>
          <w:rFonts w:ascii="Times New Roman" w:hAnsi="Times New Roman"/>
          <w:sz w:val="24"/>
        </w:rPr>
        <w:t xml:space="preserve">J, quoting </w:t>
      </w:r>
      <w:proofErr w:type="gramStart"/>
      <w:r w:rsidRPr="00FB4B14">
        <w:rPr>
          <w:rFonts w:ascii="Times New Roman" w:hAnsi="Times New Roman"/>
          <w:i/>
          <w:sz w:val="24"/>
        </w:rPr>
        <w:t>In</w:t>
      </w:r>
      <w:proofErr w:type="gramEnd"/>
      <w:r w:rsidRPr="00FB4B14">
        <w:rPr>
          <w:rFonts w:ascii="Times New Roman" w:hAnsi="Times New Roman"/>
          <w:i/>
          <w:sz w:val="24"/>
        </w:rPr>
        <w:t xml:space="preserve"> re William Hockley Ltd</w:t>
      </w:r>
      <w:r w:rsidRPr="00FB4B14">
        <w:rPr>
          <w:rFonts w:ascii="Times New Roman" w:hAnsi="Times New Roman"/>
          <w:sz w:val="24"/>
        </w:rPr>
        <w:t xml:space="preserve"> [1962] </w:t>
      </w:r>
      <w:r w:rsidR="00026E1E" w:rsidRPr="00FB4B14">
        <w:rPr>
          <w:rFonts w:ascii="Times New Roman" w:hAnsi="Times New Roman"/>
          <w:sz w:val="24"/>
        </w:rPr>
        <w:t>1</w:t>
      </w:r>
      <w:r w:rsidRPr="00FB4B14">
        <w:rPr>
          <w:rFonts w:ascii="Times New Roman" w:hAnsi="Times New Roman"/>
          <w:sz w:val="24"/>
        </w:rPr>
        <w:t xml:space="preserve"> WLR 555 at 558</w:t>
      </w:r>
      <w:r w:rsidR="00A41172" w:rsidRPr="00FB4B14">
        <w:rPr>
          <w:rFonts w:ascii="Times New Roman" w:hAnsi="Times New Roman"/>
          <w:sz w:val="24"/>
        </w:rPr>
        <w:t xml:space="preserve"> per </w:t>
      </w:r>
      <w:proofErr w:type="spellStart"/>
      <w:r w:rsidR="00A41172" w:rsidRPr="00FB4B14">
        <w:rPr>
          <w:rFonts w:ascii="Times New Roman" w:hAnsi="Times New Roman"/>
          <w:sz w:val="24"/>
        </w:rPr>
        <w:t>Pennycuick</w:t>
      </w:r>
      <w:proofErr w:type="spellEnd"/>
      <w:r w:rsidR="00A41172" w:rsidRPr="00FB4B14">
        <w:rPr>
          <w:rFonts w:ascii="Times New Roman" w:hAnsi="Times New Roman"/>
          <w:sz w:val="24"/>
        </w:rPr>
        <w:t> J</w:t>
      </w:r>
      <w:r w:rsidR="00060B83" w:rsidRPr="00FB4B14">
        <w:rPr>
          <w:rFonts w:ascii="Times New Roman" w:hAnsi="Times New Roman"/>
          <w:sz w:val="24"/>
        </w:rPr>
        <w:t>; [1962] 2 All ER 111</w:t>
      </w:r>
      <w:r w:rsidR="005C7B1A" w:rsidRPr="00FB4B14">
        <w:rPr>
          <w:rFonts w:ascii="Times New Roman" w:hAnsi="Times New Roman"/>
          <w:sz w:val="24"/>
        </w:rPr>
        <w:t xml:space="preserve"> at </w:t>
      </w:r>
      <w:r w:rsidR="009128B5" w:rsidRPr="00FB4B14">
        <w:rPr>
          <w:rFonts w:ascii="Times New Roman" w:hAnsi="Times New Roman"/>
          <w:sz w:val="24"/>
        </w:rPr>
        <w:t>113</w:t>
      </w:r>
      <w:r w:rsidRPr="00FB4B14">
        <w:rPr>
          <w:rFonts w:ascii="Times New Roman" w:hAnsi="Times New Roman"/>
          <w:sz w:val="24"/>
        </w:rPr>
        <w:t xml:space="preserve">; </w:t>
      </w:r>
      <w:r w:rsidRPr="00FB4B14">
        <w:rPr>
          <w:rFonts w:ascii="Times New Roman" w:hAnsi="Times New Roman"/>
          <w:i/>
          <w:sz w:val="24"/>
        </w:rPr>
        <w:t>National Bank of Australasia Ltd v Mason</w:t>
      </w:r>
      <w:r w:rsidRPr="00FB4B14">
        <w:rPr>
          <w:rFonts w:ascii="Times New Roman" w:hAnsi="Times New Roman"/>
          <w:sz w:val="24"/>
        </w:rPr>
        <w:t xml:space="preserve"> (1975) 133 CLR 191 at 200-201 per Barwick</w:t>
      </w:r>
      <w:r w:rsidR="00CC4F63" w:rsidRPr="00FB4B14">
        <w:rPr>
          <w:rFonts w:ascii="Times New Roman" w:hAnsi="Times New Roman"/>
          <w:sz w:val="24"/>
        </w:rPr>
        <w:t> CJ</w:t>
      </w:r>
      <w:r w:rsidRPr="00FB4B14">
        <w:rPr>
          <w:rFonts w:ascii="Times New Roman" w:hAnsi="Times New Roman"/>
          <w:sz w:val="24"/>
        </w:rPr>
        <w:t xml:space="preserve">. See also </w:t>
      </w:r>
      <w:proofErr w:type="spellStart"/>
      <w:r w:rsidRPr="00FB4B14">
        <w:rPr>
          <w:rFonts w:ascii="Times New Roman" w:hAnsi="Times New Roman"/>
          <w:sz w:val="24"/>
        </w:rPr>
        <w:t>Derham</w:t>
      </w:r>
      <w:proofErr w:type="spellEnd"/>
      <w:r w:rsidRPr="00FB4B14">
        <w:rPr>
          <w:rFonts w:ascii="Times New Roman" w:hAnsi="Times New Roman"/>
          <w:sz w:val="24"/>
        </w:rPr>
        <w:t xml:space="preserve">, "Set-off against </w:t>
      </w:r>
      <w:r w:rsidR="007B22B3" w:rsidRPr="00FB4B14">
        <w:rPr>
          <w:rFonts w:ascii="Times New Roman" w:hAnsi="Times New Roman"/>
          <w:sz w:val="24"/>
        </w:rPr>
        <w:t>s</w:t>
      </w:r>
      <w:r w:rsidRPr="00FB4B14">
        <w:rPr>
          <w:rFonts w:ascii="Times New Roman" w:hAnsi="Times New Roman"/>
          <w:sz w:val="24"/>
        </w:rPr>
        <w:t xml:space="preserve">tatutory </w:t>
      </w:r>
      <w:r w:rsidR="007B22B3" w:rsidRPr="00FB4B14">
        <w:rPr>
          <w:rFonts w:ascii="Times New Roman" w:hAnsi="Times New Roman"/>
          <w:sz w:val="24"/>
        </w:rPr>
        <w:t>a</w:t>
      </w:r>
      <w:r w:rsidRPr="00FB4B14">
        <w:rPr>
          <w:rFonts w:ascii="Times New Roman" w:hAnsi="Times New Roman"/>
          <w:sz w:val="24"/>
        </w:rPr>
        <w:t xml:space="preserve">voidance and </w:t>
      </w:r>
      <w:r w:rsidR="007B22B3" w:rsidRPr="00FB4B14">
        <w:rPr>
          <w:rFonts w:ascii="Times New Roman" w:hAnsi="Times New Roman"/>
          <w:sz w:val="24"/>
        </w:rPr>
        <w:t>i</w:t>
      </w:r>
      <w:r w:rsidRPr="00FB4B14">
        <w:rPr>
          <w:rFonts w:ascii="Times New Roman" w:hAnsi="Times New Roman"/>
          <w:sz w:val="24"/>
        </w:rPr>
        <w:t xml:space="preserve">nsolvent </w:t>
      </w:r>
      <w:r w:rsidR="007B22B3" w:rsidRPr="00FB4B14">
        <w:rPr>
          <w:rFonts w:ascii="Times New Roman" w:hAnsi="Times New Roman"/>
          <w:sz w:val="24"/>
        </w:rPr>
        <w:t>t</w:t>
      </w:r>
      <w:r w:rsidRPr="00FB4B14">
        <w:rPr>
          <w:rFonts w:ascii="Times New Roman" w:hAnsi="Times New Roman"/>
          <w:sz w:val="24"/>
        </w:rPr>
        <w:t xml:space="preserve">rading </w:t>
      </w:r>
      <w:r w:rsidR="007B22B3" w:rsidRPr="00FB4B14">
        <w:rPr>
          <w:rFonts w:ascii="Times New Roman" w:hAnsi="Times New Roman"/>
          <w:sz w:val="24"/>
        </w:rPr>
        <w:t>c</w:t>
      </w:r>
      <w:r w:rsidRPr="00FB4B14">
        <w:rPr>
          <w:rFonts w:ascii="Times New Roman" w:hAnsi="Times New Roman"/>
          <w:sz w:val="24"/>
        </w:rPr>
        <w:t xml:space="preserve">laims in </w:t>
      </w:r>
      <w:r w:rsidR="007B22B3" w:rsidRPr="00FB4B14">
        <w:rPr>
          <w:rFonts w:ascii="Times New Roman" w:hAnsi="Times New Roman"/>
          <w:sz w:val="24"/>
        </w:rPr>
        <w:t>c</w:t>
      </w:r>
      <w:r w:rsidRPr="00FB4B14">
        <w:rPr>
          <w:rFonts w:ascii="Times New Roman" w:hAnsi="Times New Roman"/>
          <w:sz w:val="24"/>
        </w:rPr>
        <w:t xml:space="preserve">ompany </w:t>
      </w:r>
      <w:r w:rsidR="007B22B3" w:rsidRPr="00FB4B14">
        <w:rPr>
          <w:rFonts w:ascii="Times New Roman" w:hAnsi="Times New Roman"/>
          <w:sz w:val="24"/>
        </w:rPr>
        <w:t>l</w:t>
      </w:r>
      <w:r w:rsidRPr="00FB4B14">
        <w:rPr>
          <w:rFonts w:ascii="Times New Roman" w:hAnsi="Times New Roman"/>
          <w:sz w:val="24"/>
        </w:rPr>
        <w:t xml:space="preserve">iquidation" (2015) 89 </w:t>
      </w:r>
      <w:r w:rsidRPr="00FB4B14">
        <w:rPr>
          <w:rFonts w:ascii="Times New Roman" w:hAnsi="Times New Roman"/>
          <w:i/>
          <w:sz w:val="24"/>
        </w:rPr>
        <w:t>Australian Law Journal</w:t>
      </w:r>
      <w:r w:rsidRPr="00FB4B14">
        <w:rPr>
          <w:rFonts w:ascii="Times New Roman" w:hAnsi="Times New Roman"/>
          <w:sz w:val="24"/>
        </w:rPr>
        <w:t xml:space="preserve"> 459 at 480.</w:t>
      </w:r>
    </w:p>
  </w:footnote>
  <w:footnote w:id="72">
    <w:p w14:paraId="5611FB61" w14:textId="1AE52CFC" w:rsidR="003247D2" w:rsidRPr="00FB4B14" w:rsidRDefault="003247D2"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Pr="00FB4B14">
        <w:rPr>
          <w:rFonts w:ascii="Times New Roman" w:hAnsi="Times New Roman"/>
          <w:sz w:val="24"/>
        </w:rPr>
        <w:t>cf</w:t>
      </w:r>
      <w:proofErr w:type="spellEnd"/>
      <w:r w:rsidRPr="00FB4B14">
        <w:rPr>
          <w:rFonts w:ascii="Times New Roman" w:hAnsi="Times New Roman"/>
          <w:sz w:val="24"/>
        </w:rPr>
        <w:t xml:space="preserve"> </w:t>
      </w:r>
      <w:r w:rsidR="00574E5A" w:rsidRPr="00FB4B14">
        <w:rPr>
          <w:rFonts w:ascii="Times New Roman" w:hAnsi="Times New Roman"/>
          <w:i/>
          <w:iCs/>
          <w:sz w:val="24"/>
        </w:rPr>
        <w:t xml:space="preserve">National Bank of Australasia </w:t>
      </w:r>
      <w:r w:rsidR="00C870CC" w:rsidRPr="00FB4B14">
        <w:rPr>
          <w:rFonts w:ascii="Times New Roman" w:hAnsi="Times New Roman"/>
          <w:i/>
          <w:iCs/>
          <w:sz w:val="24"/>
        </w:rPr>
        <w:t>Ltd</w:t>
      </w:r>
      <w:r w:rsidR="00247EF9" w:rsidRPr="00FB4B14">
        <w:rPr>
          <w:rFonts w:ascii="Times New Roman" w:hAnsi="Times New Roman"/>
          <w:i/>
          <w:iCs/>
          <w:sz w:val="24"/>
        </w:rPr>
        <w:t xml:space="preserve"> </w:t>
      </w:r>
      <w:r w:rsidR="00574E5A" w:rsidRPr="00FB4B14">
        <w:rPr>
          <w:rFonts w:ascii="Times New Roman" w:hAnsi="Times New Roman"/>
          <w:i/>
          <w:iCs/>
          <w:sz w:val="24"/>
        </w:rPr>
        <w:t xml:space="preserve">v Mason </w:t>
      </w:r>
      <w:r w:rsidR="00574E5A" w:rsidRPr="00FB4B14">
        <w:rPr>
          <w:rFonts w:ascii="Times New Roman" w:hAnsi="Times New Roman"/>
          <w:sz w:val="24"/>
        </w:rPr>
        <w:t>(1975) 133 CLR 191 at 200-201</w:t>
      </w:r>
      <w:r w:rsidR="00E22EDC" w:rsidRPr="00FB4B14">
        <w:rPr>
          <w:rFonts w:ascii="Times New Roman" w:hAnsi="Times New Roman"/>
          <w:sz w:val="24"/>
        </w:rPr>
        <w:t xml:space="preserve"> per Barwick CJ</w:t>
      </w:r>
      <w:r w:rsidR="00CB568A" w:rsidRPr="00FB4B14">
        <w:rPr>
          <w:rFonts w:ascii="Times New Roman" w:hAnsi="Times New Roman"/>
          <w:sz w:val="24"/>
        </w:rPr>
        <w:t>.</w:t>
      </w:r>
    </w:p>
  </w:footnote>
  <w:footnote w:id="73">
    <w:p w14:paraId="722A9AC9" w14:textId="774ECE0C" w:rsidR="00512637" w:rsidRPr="00FB4B14" w:rsidRDefault="0051263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007C4EA0" w:rsidRPr="00FB4B14">
        <w:rPr>
          <w:rFonts w:ascii="Times New Roman" w:hAnsi="Times New Roman"/>
          <w:sz w:val="24"/>
        </w:rPr>
        <w:t>cf</w:t>
      </w:r>
      <w:proofErr w:type="spellEnd"/>
      <w:r w:rsidR="007C4EA0" w:rsidRPr="00FB4B14">
        <w:rPr>
          <w:rFonts w:ascii="Times New Roman" w:hAnsi="Times New Roman"/>
          <w:sz w:val="24"/>
        </w:rPr>
        <w:t xml:space="preserve"> </w:t>
      </w:r>
      <w:r w:rsidR="007C4EA0" w:rsidRPr="00FB4B14">
        <w:rPr>
          <w:rFonts w:ascii="Times New Roman" w:hAnsi="Times New Roman"/>
          <w:i/>
          <w:iCs/>
          <w:sz w:val="24"/>
        </w:rPr>
        <w:t>Norman v Federal Commissioner of Taxation</w:t>
      </w:r>
      <w:r w:rsidR="007C4EA0" w:rsidRPr="00FB4B14">
        <w:rPr>
          <w:rFonts w:ascii="Times New Roman" w:hAnsi="Times New Roman"/>
          <w:sz w:val="24"/>
        </w:rPr>
        <w:t xml:space="preserve"> (1963) 109 CLR 9</w:t>
      </w:r>
      <w:r w:rsidR="00794597" w:rsidRPr="00FB4B14">
        <w:rPr>
          <w:rFonts w:ascii="Times New Roman" w:hAnsi="Times New Roman"/>
          <w:sz w:val="24"/>
        </w:rPr>
        <w:t xml:space="preserve"> at 16 </w:t>
      </w:r>
      <w:r w:rsidR="00BC29B3" w:rsidRPr="00FB4B14">
        <w:rPr>
          <w:rFonts w:ascii="Times New Roman" w:hAnsi="Times New Roman"/>
          <w:sz w:val="24"/>
        </w:rPr>
        <w:t>per Dixon</w:t>
      </w:r>
      <w:r w:rsidR="00007FC2" w:rsidRPr="00FB4B14">
        <w:rPr>
          <w:rFonts w:ascii="Times New Roman" w:hAnsi="Times New Roman"/>
          <w:sz w:val="24"/>
        </w:rPr>
        <w:t> </w:t>
      </w:r>
      <w:r w:rsidR="00BC29B3" w:rsidRPr="00FB4B14">
        <w:rPr>
          <w:rFonts w:ascii="Times New Roman" w:hAnsi="Times New Roman"/>
          <w:sz w:val="24"/>
        </w:rPr>
        <w:t xml:space="preserve">CJ, </w:t>
      </w:r>
      <w:r w:rsidR="004F70DF" w:rsidRPr="00FB4B14">
        <w:rPr>
          <w:rFonts w:ascii="Times New Roman" w:hAnsi="Times New Roman"/>
          <w:sz w:val="24"/>
        </w:rPr>
        <w:t xml:space="preserve">18-19 per </w:t>
      </w:r>
      <w:proofErr w:type="spellStart"/>
      <w:r w:rsidR="004F70DF" w:rsidRPr="00FB4B14">
        <w:rPr>
          <w:rFonts w:ascii="Times New Roman" w:hAnsi="Times New Roman"/>
          <w:sz w:val="24"/>
        </w:rPr>
        <w:t>McTiernan</w:t>
      </w:r>
      <w:proofErr w:type="spellEnd"/>
      <w:r w:rsidR="00007FC2" w:rsidRPr="00FB4B14">
        <w:rPr>
          <w:rFonts w:ascii="Times New Roman" w:hAnsi="Times New Roman"/>
          <w:sz w:val="24"/>
        </w:rPr>
        <w:t> </w:t>
      </w:r>
      <w:r w:rsidR="004F70DF" w:rsidRPr="00FB4B14">
        <w:rPr>
          <w:rFonts w:ascii="Times New Roman" w:hAnsi="Times New Roman"/>
          <w:sz w:val="24"/>
        </w:rPr>
        <w:t xml:space="preserve">J, </w:t>
      </w:r>
      <w:r w:rsidR="00AE1A5E" w:rsidRPr="00FB4B14">
        <w:rPr>
          <w:rFonts w:ascii="Times New Roman" w:hAnsi="Times New Roman"/>
          <w:sz w:val="24"/>
        </w:rPr>
        <w:t>20-21 per Menzies</w:t>
      </w:r>
      <w:r w:rsidR="00007FC2" w:rsidRPr="00FB4B14">
        <w:rPr>
          <w:rFonts w:ascii="Times New Roman" w:hAnsi="Times New Roman"/>
          <w:sz w:val="24"/>
        </w:rPr>
        <w:t> </w:t>
      </w:r>
      <w:r w:rsidR="00AE1A5E" w:rsidRPr="00FB4B14">
        <w:rPr>
          <w:rFonts w:ascii="Times New Roman" w:hAnsi="Times New Roman"/>
          <w:sz w:val="24"/>
        </w:rPr>
        <w:t>J, 26 and 40 per Windeyer</w:t>
      </w:r>
      <w:r w:rsidR="00F12D29" w:rsidRPr="00FB4B14">
        <w:rPr>
          <w:rFonts w:ascii="Times New Roman" w:hAnsi="Times New Roman"/>
          <w:sz w:val="24"/>
        </w:rPr>
        <w:t> </w:t>
      </w:r>
      <w:r w:rsidR="00AE1A5E" w:rsidRPr="00FB4B14">
        <w:rPr>
          <w:rFonts w:ascii="Times New Roman" w:hAnsi="Times New Roman"/>
          <w:sz w:val="24"/>
        </w:rPr>
        <w:t>J</w:t>
      </w:r>
      <w:r w:rsidR="00CB568A" w:rsidRPr="00FB4B14">
        <w:rPr>
          <w:rFonts w:ascii="Times New Roman" w:hAnsi="Times New Roman"/>
          <w:sz w:val="24"/>
        </w:rPr>
        <w:t>.</w:t>
      </w:r>
    </w:p>
  </w:footnote>
  <w:footnote w:id="74">
    <w:p w14:paraId="7BF44D9E" w14:textId="3C4C1B81" w:rsidR="003F2853" w:rsidRPr="00FB4B14" w:rsidRDefault="003F2853"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iCs/>
          <w:sz w:val="24"/>
        </w:rPr>
        <w:t>National Bank of Australasia Ltd v Mason</w:t>
      </w:r>
      <w:r w:rsidRPr="00FB4B14">
        <w:rPr>
          <w:rFonts w:ascii="Times New Roman" w:hAnsi="Times New Roman"/>
          <w:sz w:val="24"/>
        </w:rPr>
        <w:t xml:space="preserve"> (1975) 133 CLR 191 at 200-201 per Barwick</w:t>
      </w:r>
      <w:r w:rsidR="00CC4F63" w:rsidRPr="00FB4B14">
        <w:rPr>
          <w:rFonts w:ascii="Times New Roman" w:hAnsi="Times New Roman"/>
          <w:sz w:val="24"/>
        </w:rPr>
        <w:t> CJ</w:t>
      </w:r>
      <w:r w:rsidRPr="00FB4B14">
        <w:rPr>
          <w:rFonts w:ascii="Times New Roman" w:hAnsi="Times New Roman"/>
          <w:sz w:val="24"/>
        </w:rPr>
        <w:t>.</w:t>
      </w:r>
    </w:p>
  </w:footnote>
  <w:footnote w:id="75">
    <w:p w14:paraId="6C75DF11" w14:textId="5C79FBE0" w:rsidR="001B1BB5" w:rsidRPr="00FB4B14" w:rsidRDefault="001B1BB5"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Pr="00FB4B14">
        <w:rPr>
          <w:rFonts w:ascii="Times New Roman" w:hAnsi="Times New Roman"/>
          <w:sz w:val="24"/>
        </w:rPr>
        <w:t>cf</w:t>
      </w:r>
      <w:proofErr w:type="spellEnd"/>
      <w:r w:rsidRPr="00FB4B14">
        <w:rPr>
          <w:rFonts w:ascii="Times New Roman" w:hAnsi="Times New Roman"/>
          <w:sz w:val="24"/>
        </w:rPr>
        <w:t xml:space="preserve"> </w:t>
      </w:r>
      <w:proofErr w:type="spellStart"/>
      <w:r w:rsidRPr="00FB4B14">
        <w:rPr>
          <w:rFonts w:ascii="Times New Roman" w:hAnsi="Times New Roman"/>
          <w:i/>
          <w:sz w:val="24"/>
        </w:rPr>
        <w:t>Gye</w:t>
      </w:r>
      <w:proofErr w:type="spellEnd"/>
      <w:r w:rsidR="001221F3" w:rsidRPr="00FB4B14">
        <w:rPr>
          <w:rFonts w:ascii="Times New Roman" w:hAnsi="Times New Roman"/>
          <w:i/>
          <w:sz w:val="24"/>
        </w:rPr>
        <w:t xml:space="preserve"> v McIntyre</w:t>
      </w:r>
      <w:r w:rsidRPr="00FB4B14">
        <w:rPr>
          <w:rFonts w:ascii="Times New Roman" w:hAnsi="Times New Roman"/>
          <w:i/>
          <w:sz w:val="24"/>
        </w:rPr>
        <w:t xml:space="preserve"> </w:t>
      </w:r>
      <w:r w:rsidR="005A3221" w:rsidRPr="00FB4B14">
        <w:rPr>
          <w:rFonts w:ascii="Times New Roman" w:hAnsi="Times New Roman"/>
          <w:sz w:val="24"/>
        </w:rPr>
        <w:t xml:space="preserve">(1991) 171 CLR 609 at 623 per </w:t>
      </w:r>
      <w:r w:rsidR="00A319A7" w:rsidRPr="00FB4B14">
        <w:rPr>
          <w:rFonts w:ascii="Times New Roman" w:hAnsi="Times New Roman"/>
          <w:sz w:val="24"/>
        </w:rPr>
        <w:t xml:space="preserve">Mason CJ, Brennan, Deane, Dawson, Toohey, </w:t>
      </w:r>
      <w:proofErr w:type="spellStart"/>
      <w:r w:rsidR="00A319A7" w:rsidRPr="00FB4B14">
        <w:rPr>
          <w:rFonts w:ascii="Times New Roman" w:hAnsi="Times New Roman"/>
          <w:sz w:val="24"/>
        </w:rPr>
        <w:t>Gaudron</w:t>
      </w:r>
      <w:proofErr w:type="spellEnd"/>
      <w:r w:rsidR="00A319A7" w:rsidRPr="00FB4B14">
        <w:rPr>
          <w:rFonts w:ascii="Times New Roman" w:hAnsi="Times New Roman"/>
          <w:sz w:val="24"/>
        </w:rPr>
        <w:t xml:space="preserve"> and McHugh JJ.</w:t>
      </w:r>
    </w:p>
  </w:footnote>
  <w:footnote w:id="76">
    <w:p w14:paraId="3264907A" w14:textId="4CC9450C" w:rsidR="00A678EA" w:rsidRPr="00FB4B14" w:rsidRDefault="00A678EA"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Pr="00FB4B14">
        <w:rPr>
          <w:rFonts w:ascii="Times New Roman" w:hAnsi="Times New Roman"/>
          <w:sz w:val="24"/>
        </w:rPr>
        <w:t>cf</w:t>
      </w:r>
      <w:proofErr w:type="spellEnd"/>
      <w:r w:rsidRPr="00FB4B14">
        <w:rPr>
          <w:rFonts w:ascii="Times New Roman" w:hAnsi="Times New Roman"/>
          <w:sz w:val="24"/>
        </w:rPr>
        <w:t xml:space="preserve"> </w:t>
      </w:r>
      <w:r w:rsidRPr="00FB4B14">
        <w:rPr>
          <w:rFonts w:ascii="Times New Roman" w:hAnsi="Times New Roman"/>
          <w:i/>
          <w:sz w:val="24"/>
        </w:rPr>
        <w:t xml:space="preserve">Lister v </w:t>
      </w:r>
      <w:r w:rsidR="00F9613C" w:rsidRPr="00FB4B14">
        <w:rPr>
          <w:rFonts w:ascii="Times New Roman" w:hAnsi="Times New Roman"/>
          <w:i/>
          <w:sz w:val="24"/>
        </w:rPr>
        <w:t>Hooson</w:t>
      </w:r>
      <w:r w:rsidR="00F9613C" w:rsidRPr="00FB4B14">
        <w:rPr>
          <w:rFonts w:ascii="Times New Roman" w:hAnsi="Times New Roman"/>
          <w:sz w:val="24"/>
        </w:rPr>
        <w:t xml:space="preserve"> [1908] 1 KB 174</w:t>
      </w:r>
      <w:r w:rsidR="00CB568A" w:rsidRPr="00FB4B14">
        <w:rPr>
          <w:rFonts w:ascii="Times New Roman" w:hAnsi="Times New Roman"/>
          <w:sz w:val="24"/>
        </w:rPr>
        <w:t>.</w:t>
      </w:r>
    </w:p>
  </w:footnote>
  <w:footnote w:id="77">
    <w:p w14:paraId="1B062064" w14:textId="2E1A9BA1" w:rsidR="00F2781C" w:rsidRPr="00FB4B14" w:rsidRDefault="00F2781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proofErr w:type="spellStart"/>
      <w:r w:rsidRPr="00FB4B14">
        <w:rPr>
          <w:rFonts w:ascii="Times New Roman" w:hAnsi="Times New Roman"/>
          <w:sz w:val="24"/>
        </w:rPr>
        <w:t>cf</w:t>
      </w:r>
      <w:proofErr w:type="spellEnd"/>
      <w:r w:rsidRPr="00FB4B14">
        <w:rPr>
          <w:rFonts w:ascii="Times New Roman" w:hAnsi="Times New Roman"/>
          <w:sz w:val="24"/>
        </w:rPr>
        <w:t xml:space="preserve"> </w:t>
      </w:r>
      <w:proofErr w:type="spellStart"/>
      <w:r w:rsidRPr="00FB4B14">
        <w:rPr>
          <w:rFonts w:ascii="Times New Roman" w:hAnsi="Times New Roman"/>
          <w:i/>
          <w:sz w:val="24"/>
        </w:rPr>
        <w:t>Gye</w:t>
      </w:r>
      <w:proofErr w:type="spellEnd"/>
      <w:r w:rsidR="001221F3" w:rsidRPr="00FB4B14">
        <w:rPr>
          <w:rFonts w:ascii="Times New Roman" w:hAnsi="Times New Roman"/>
          <w:i/>
          <w:sz w:val="24"/>
        </w:rPr>
        <w:t xml:space="preserve"> v McIntyre</w:t>
      </w:r>
      <w:r w:rsidRPr="00FB4B14">
        <w:rPr>
          <w:rFonts w:ascii="Times New Roman" w:hAnsi="Times New Roman"/>
          <w:i/>
          <w:sz w:val="24"/>
        </w:rPr>
        <w:t xml:space="preserve"> </w:t>
      </w:r>
      <w:r w:rsidRPr="00FB4B14">
        <w:rPr>
          <w:rFonts w:ascii="Times New Roman" w:hAnsi="Times New Roman"/>
          <w:sz w:val="24"/>
        </w:rPr>
        <w:t xml:space="preserve">(1991) 171 CLR 609 at 623 per Mason CJ, Brennan, Deane, Dawson, Toohey, </w:t>
      </w:r>
      <w:proofErr w:type="spellStart"/>
      <w:r w:rsidRPr="00FB4B14">
        <w:rPr>
          <w:rFonts w:ascii="Times New Roman" w:hAnsi="Times New Roman"/>
          <w:sz w:val="24"/>
        </w:rPr>
        <w:t>Gaudron</w:t>
      </w:r>
      <w:proofErr w:type="spellEnd"/>
      <w:r w:rsidRPr="00FB4B14">
        <w:rPr>
          <w:rFonts w:ascii="Times New Roman" w:hAnsi="Times New Roman"/>
          <w:sz w:val="24"/>
        </w:rPr>
        <w:t xml:space="preserve"> and McHugh JJ.</w:t>
      </w:r>
    </w:p>
  </w:footnote>
  <w:footnote w:id="78">
    <w:p w14:paraId="4820D625" w14:textId="613F1A92" w:rsidR="00EB6177" w:rsidRPr="00FB4B14" w:rsidRDefault="00EB6177"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Pr="00FB4B14">
        <w:rPr>
          <w:rFonts w:ascii="Times New Roman" w:hAnsi="Times New Roman"/>
          <w:i/>
          <w:sz w:val="24"/>
        </w:rPr>
        <w:t>Hamersley Iron</w:t>
      </w:r>
      <w:r w:rsidR="008E752B" w:rsidRPr="00FB4B14">
        <w:rPr>
          <w:rFonts w:ascii="Times New Roman" w:hAnsi="Times New Roman"/>
          <w:i/>
          <w:sz w:val="24"/>
        </w:rPr>
        <w:t xml:space="preserve"> Pty Ltd v Forge Group Power Pty Ltd (In </w:t>
      </w:r>
      <w:proofErr w:type="spellStart"/>
      <w:r w:rsidR="00C631B3" w:rsidRPr="00FB4B14">
        <w:rPr>
          <w:rFonts w:ascii="Times New Roman" w:hAnsi="Times New Roman"/>
          <w:i/>
          <w:sz w:val="24"/>
        </w:rPr>
        <w:t>l</w:t>
      </w:r>
      <w:r w:rsidR="008E752B" w:rsidRPr="00FB4B14">
        <w:rPr>
          <w:rFonts w:ascii="Times New Roman" w:hAnsi="Times New Roman"/>
          <w:i/>
          <w:sz w:val="24"/>
        </w:rPr>
        <w:t>i</w:t>
      </w:r>
      <w:r w:rsidR="00C631B3" w:rsidRPr="00FB4B14">
        <w:rPr>
          <w:rFonts w:ascii="Times New Roman" w:hAnsi="Times New Roman"/>
          <w:i/>
          <w:sz w:val="24"/>
        </w:rPr>
        <w:t>q</w:t>
      </w:r>
      <w:proofErr w:type="spellEnd"/>
      <w:r w:rsidR="008E752B" w:rsidRPr="00FB4B14">
        <w:rPr>
          <w:rFonts w:ascii="Times New Roman" w:hAnsi="Times New Roman"/>
          <w:i/>
          <w:sz w:val="24"/>
        </w:rPr>
        <w:t>) (Receivers and Managers Appointed)</w:t>
      </w:r>
      <w:r w:rsidR="008E752B" w:rsidRPr="00FB4B14">
        <w:rPr>
          <w:rFonts w:ascii="Times New Roman" w:hAnsi="Times New Roman"/>
          <w:sz w:val="24"/>
        </w:rPr>
        <w:t xml:space="preserve"> </w:t>
      </w:r>
      <w:r w:rsidR="00594C32" w:rsidRPr="00FB4B14">
        <w:rPr>
          <w:rFonts w:ascii="Times New Roman" w:hAnsi="Times New Roman"/>
          <w:sz w:val="24"/>
        </w:rPr>
        <w:t>(</w:t>
      </w:r>
      <w:r w:rsidR="008E752B" w:rsidRPr="00FB4B14">
        <w:rPr>
          <w:rFonts w:ascii="Times New Roman" w:hAnsi="Times New Roman"/>
          <w:sz w:val="24"/>
        </w:rPr>
        <w:t>2018</w:t>
      </w:r>
      <w:r w:rsidR="00594C32" w:rsidRPr="00FB4B14">
        <w:rPr>
          <w:rFonts w:ascii="Times New Roman" w:hAnsi="Times New Roman"/>
          <w:sz w:val="24"/>
        </w:rPr>
        <w:t>)</w:t>
      </w:r>
      <w:r w:rsidR="008E752B" w:rsidRPr="00FB4B14">
        <w:rPr>
          <w:rFonts w:ascii="Times New Roman" w:hAnsi="Times New Roman"/>
          <w:sz w:val="24"/>
        </w:rPr>
        <w:t xml:space="preserve"> 53 WAR 325 at</w:t>
      </w:r>
      <w:r w:rsidR="00896714" w:rsidRPr="00FB4B14">
        <w:rPr>
          <w:rFonts w:ascii="Times New Roman" w:hAnsi="Times New Roman"/>
          <w:sz w:val="24"/>
        </w:rPr>
        <w:t xml:space="preserve"> </w:t>
      </w:r>
      <w:r w:rsidR="00D022DD" w:rsidRPr="00FB4B14">
        <w:rPr>
          <w:rFonts w:ascii="Times New Roman" w:hAnsi="Times New Roman"/>
          <w:sz w:val="24"/>
        </w:rPr>
        <w:t>35</w:t>
      </w:r>
      <w:r w:rsidR="00C2767F" w:rsidRPr="00FB4B14">
        <w:rPr>
          <w:rFonts w:ascii="Times New Roman" w:hAnsi="Times New Roman"/>
          <w:sz w:val="24"/>
        </w:rPr>
        <w:t>1-352</w:t>
      </w:r>
      <w:r w:rsidR="00D022DD" w:rsidRPr="00FB4B14">
        <w:rPr>
          <w:rFonts w:ascii="Times New Roman" w:hAnsi="Times New Roman"/>
          <w:sz w:val="24"/>
        </w:rPr>
        <w:t xml:space="preserve"> </w:t>
      </w:r>
      <w:r w:rsidR="00896714" w:rsidRPr="00FB4B14">
        <w:rPr>
          <w:rFonts w:ascii="Times New Roman" w:hAnsi="Times New Roman"/>
          <w:sz w:val="24"/>
        </w:rPr>
        <w:t>[84]</w:t>
      </w:r>
      <w:r w:rsidR="00E21BA5" w:rsidRPr="00FB4B14">
        <w:rPr>
          <w:rFonts w:ascii="Times New Roman" w:hAnsi="Times New Roman"/>
          <w:sz w:val="24"/>
        </w:rPr>
        <w:t xml:space="preserve"> per Murphy and Mitchell JJA and Allanson J</w:t>
      </w:r>
      <w:r w:rsidR="0079316A" w:rsidRPr="00FB4B14">
        <w:rPr>
          <w:rFonts w:ascii="Times New Roman" w:hAnsi="Times New Roman"/>
          <w:sz w:val="24"/>
        </w:rPr>
        <w:t>.</w:t>
      </w:r>
    </w:p>
  </w:footnote>
  <w:footnote w:id="79">
    <w:p w14:paraId="1565D33E" w14:textId="77777777" w:rsidR="00056161" w:rsidRPr="00FB4B14" w:rsidRDefault="00056161"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(1997) 80 FCR 1.</w:t>
      </w:r>
    </w:p>
  </w:footnote>
  <w:footnote w:id="80">
    <w:p w14:paraId="72254B66" w14:textId="2EB1C62A" w:rsidR="004140C0" w:rsidRPr="00FB4B14" w:rsidRDefault="004140C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 xml:space="preserve">(2011) 81 NSWLR 47 at 81 [278] </w:t>
      </w:r>
      <w:r w:rsidR="00412134" w:rsidRPr="00FB4B14">
        <w:rPr>
          <w:rFonts w:ascii="Times New Roman" w:hAnsi="Times New Roman"/>
          <w:sz w:val="24"/>
        </w:rPr>
        <w:t xml:space="preserve">per </w:t>
      </w:r>
      <w:r w:rsidRPr="00FB4B14">
        <w:rPr>
          <w:rFonts w:ascii="Times New Roman" w:hAnsi="Times New Roman"/>
          <w:sz w:val="24"/>
        </w:rPr>
        <w:t>Young</w:t>
      </w:r>
      <w:r w:rsidR="00C126BB" w:rsidRPr="00FB4B14">
        <w:rPr>
          <w:rFonts w:ascii="Times New Roman" w:hAnsi="Times New Roman"/>
          <w:sz w:val="24"/>
        </w:rPr>
        <w:t> </w:t>
      </w:r>
      <w:r w:rsidRPr="00FB4B14">
        <w:rPr>
          <w:rFonts w:ascii="Times New Roman" w:hAnsi="Times New Roman"/>
          <w:sz w:val="24"/>
        </w:rPr>
        <w:t>JA</w:t>
      </w:r>
      <w:r w:rsidR="00FA1D6A" w:rsidRPr="00FB4B14">
        <w:rPr>
          <w:rFonts w:ascii="Times New Roman" w:hAnsi="Times New Roman"/>
          <w:sz w:val="24"/>
        </w:rPr>
        <w:t>;</w:t>
      </w:r>
      <w:r w:rsidRPr="00FB4B14">
        <w:rPr>
          <w:rFonts w:ascii="Times New Roman" w:hAnsi="Times New Roman"/>
          <w:sz w:val="24"/>
        </w:rPr>
        <w:t xml:space="preserve"> see also </w:t>
      </w:r>
      <w:r w:rsidR="00C126BB" w:rsidRPr="00FB4B14">
        <w:rPr>
          <w:rFonts w:ascii="Times New Roman" w:hAnsi="Times New Roman"/>
          <w:sz w:val="24"/>
        </w:rPr>
        <w:t xml:space="preserve">at </w:t>
      </w:r>
      <w:r w:rsidRPr="00FB4B14">
        <w:rPr>
          <w:rFonts w:ascii="Times New Roman" w:hAnsi="Times New Roman"/>
          <w:sz w:val="24"/>
        </w:rPr>
        <w:t xml:space="preserve">50 [2] </w:t>
      </w:r>
      <w:r w:rsidR="00FA1D6A" w:rsidRPr="00FB4B14">
        <w:rPr>
          <w:rFonts w:ascii="Times New Roman" w:hAnsi="Times New Roman"/>
          <w:sz w:val="24"/>
        </w:rPr>
        <w:t xml:space="preserve">per </w:t>
      </w:r>
      <w:r w:rsidRPr="00FB4B14">
        <w:rPr>
          <w:rFonts w:ascii="Times New Roman" w:hAnsi="Times New Roman"/>
          <w:sz w:val="24"/>
        </w:rPr>
        <w:t>Hodgson</w:t>
      </w:r>
      <w:r w:rsidR="00C126BB" w:rsidRPr="00FB4B14">
        <w:rPr>
          <w:rFonts w:ascii="Times New Roman" w:hAnsi="Times New Roman"/>
          <w:sz w:val="24"/>
        </w:rPr>
        <w:t> </w:t>
      </w:r>
      <w:r w:rsidRPr="00FB4B14">
        <w:rPr>
          <w:rFonts w:ascii="Times New Roman" w:hAnsi="Times New Roman"/>
          <w:sz w:val="24"/>
        </w:rPr>
        <w:t xml:space="preserve">JA, 81 [287] </w:t>
      </w:r>
      <w:r w:rsidR="00FA1D6A" w:rsidRPr="00FB4B14">
        <w:rPr>
          <w:rFonts w:ascii="Times New Roman" w:hAnsi="Times New Roman"/>
          <w:sz w:val="24"/>
        </w:rPr>
        <w:t xml:space="preserve">per </w:t>
      </w:r>
      <w:proofErr w:type="spellStart"/>
      <w:r w:rsidRPr="00FB4B14">
        <w:rPr>
          <w:rFonts w:ascii="Times New Roman" w:hAnsi="Times New Roman"/>
          <w:sz w:val="24"/>
        </w:rPr>
        <w:t>Whealy</w:t>
      </w:r>
      <w:proofErr w:type="spellEnd"/>
      <w:r w:rsidR="00C126BB" w:rsidRPr="00FB4B14">
        <w:rPr>
          <w:rFonts w:ascii="Times New Roman" w:hAnsi="Times New Roman"/>
          <w:sz w:val="24"/>
        </w:rPr>
        <w:t> </w:t>
      </w:r>
      <w:r w:rsidRPr="00FB4B14">
        <w:rPr>
          <w:rFonts w:ascii="Times New Roman" w:hAnsi="Times New Roman"/>
          <w:sz w:val="24"/>
        </w:rPr>
        <w:t>JA.</w:t>
      </w:r>
    </w:p>
  </w:footnote>
  <w:footnote w:id="81">
    <w:p w14:paraId="3B375CC3" w14:textId="22FE4E43" w:rsidR="00043396" w:rsidRPr="00FB4B14" w:rsidRDefault="00043396"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(1993) 10 ACSR 288</w:t>
      </w:r>
      <w:r w:rsidR="00DA370F" w:rsidRPr="00FB4B14">
        <w:rPr>
          <w:rFonts w:ascii="Times New Roman" w:hAnsi="Times New Roman"/>
          <w:sz w:val="24"/>
        </w:rPr>
        <w:t xml:space="preserve"> </w:t>
      </w:r>
      <w:r w:rsidR="00B45617" w:rsidRPr="00FB4B14">
        <w:rPr>
          <w:rFonts w:ascii="Times New Roman" w:hAnsi="Times New Roman"/>
          <w:sz w:val="24"/>
        </w:rPr>
        <w:t xml:space="preserve">at 295-296 per </w:t>
      </w:r>
      <w:r w:rsidR="00E638BE" w:rsidRPr="00FB4B14">
        <w:rPr>
          <w:rFonts w:ascii="Times New Roman" w:hAnsi="Times New Roman"/>
          <w:sz w:val="24"/>
        </w:rPr>
        <w:t>Hodgson J.</w:t>
      </w:r>
    </w:p>
  </w:footnote>
  <w:footnote w:id="82">
    <w:p w14:paraId="68B728B5" w14:textId="34CC785D" w:rsidR="00F63168" w:rsidRPr="00FB4B14" w:rsidRDefault="00F63168"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t>(2007) 65 ACSR 123</w:t>
      </w:r>
      <w:r w:rsidR="003666E7" w:rsidRPr="00FB4B14">
        <w:rPr>
          <w:rFonts w:ascii="Times New Roman" w:hAnsi="Times New Roman"/>
          <w:sz w:val="24"/>
        </w:rPr>
        <w:t xml:space="preserve"> at </w:t>
      </w:r>
      <w:r w:rsidR="005B1CC9" w:rsidRPr="00FB4B14">
        <w:rPr>
          <w:rFonts w:ascii="Times New Roman" w:hAnsi="Times New Roman"/>
          <w:sz w:val="24"/>
        </w:rPr>
        <w:t>215-</w:t>
      </w:r>
      <w:r w:rsidR="003666E7" w:rsidRPr="00FB4B14">
        <w:rPr>
          <w:rFonts w:ascii="Times New Roman" w:hAnsi="Times New Roman"/>
          <w:sz w:val="24"/>
        </w:rPr>
        <w:t xml:space="preserve">217 </w:t>
      </w:r>
      <w:r w:rsidR="005B1CC9" w:rsidRPr="00FB4B14">
        <w:rPr>
          <w:rFonts w:ascii="Times New Roman" w:hAnsi="Times New Roman"/>
          <w:sz w:val="24"/>
        </w:rPr>
        <w:t>[415]-</w:t>
      </w:r>
      <w:r w:rsidR="003666E7" w:rsidRPr="00FB4B14">
        <w:rPr>
          <w:rFonts w:ascii="Times New Roman" w:hAnsi="Times New Roman"/>
          <w:sz w:val="24"/>
        </w:rPr>
        <w:t>[431] per Palmer</w:t>
      </w:r>
      <w:r w:rsidR="009D7E6B" w:rsidRPr="00FB4B14">
        <w:rPr>
          <w:rFonts w:ascii="Times New Roman" w:hAnsi="Times New Roman"/>
          <w:sz w:val="24"/>
        </w:rPr>
        <w:t> </w:t>
      </w:r>
      <w:r w:rsidR="003666E7" w:rsidRPr="00FB4B14">
        <w:rPr>
          <w:rFonts w:ascii="Times New Roman" w:hAnsi="Times New Roman"/>
          <w:sz w:val="24"/>
        </w:rPr>
        <w:t>J</w:t>
      </w:r>
      <w:r w:rsidRPr="00FB4B14">
        <w:rPr>
          <w:rFonts w:ascii="Times New Roman" w:hAnsi="Times New Roman"/>
          <w:sz w:val="24"/>
        </w:rPr>
        <w:t>.</w:t>
      </w:r>
    </w:p>
  </w:footnote>
  <w:footnote w:id="83">
    <w:p w14:paraId="24CA3239" w14:textId="2B4C966C" w:rsidR="00D9478B" w:rsidRPr="00FB4B14" w:rsidRDefault="00D9478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F70DD2" w:rsidRPr="00FB4B14">
        <w:rPr>
          <w:rFonts w:ascii="Times New Roman" w:hAnsi="Times New Roman"/>
          <w:sz w:val="24"/>
        </w:rPr>
        <w:t>(2018) 125 ACSR 406</w:t>
      </w:r>
      <w:r w:rsidR="003E3523" w:rsidRPr="00FB4B14">
        <w:rPr>
          <w:rFonts w:ascii="Times New Roman" w:hAnsi="Times New Roman"/>
          <w:sz w:val="24"/>
        </w:rPr>
        <w:t xml:space="preserve"> at </w:t>
      </w:r>
      <w:r w:rsidR="001051FE" w:rsidRPr="00FB4B14">
        <w:rPr>
          <w:rFonts w:ascii="Times New Roman" w:hAnsi="Times New Roman"/>
          <w:sz w:val="24"/>
        </w:rPr>
        <w:t xml:space="preserve">479-481 </w:t>
      </w:r>
      <w:r w:rsidR="00A1244E" w:rsidRPr="00FB4B14">
        <w:rPr>
          <w:rFonts w:ascii="Times New Roman" w:hAnsi="Times New Roman"/>
          <w:sz w:val="24"/>
        </w:rPr>
        <w:t>[279]</w:t>
      </w:r>
      <w:r w:rsidR="001051FE" w:rsidRPr="00FB4B14">
        <w:rPr>
          <w:rFonts w:ascii="Times New Roman" w:hAnsi="Times New Roman"/>
          <w:sz w:val="24"/>
        </w:rPr>
        <w:t>-</w:t>
      </w:r>
      <w:r w:rsidR="003E3523" w:rsidRPr="00FB4B14">
        <w:rPr>
          <w:rFonts w:ascii="Times New Roman" w:hAnsi="Times New Roman"/>
          <w:sz w:val="24"/>
        </w:rPr>
        <w:t>[283] per Markovic</w:t>
      </w:r>
      <w:r w:rsidR="009D7E6B" w:rsidRPr="00FB4B14">
        <w:rPr>
          <w:rFonts w:ascii="Times New Roman" w:hAnsi="Times New Roman"/>
          <w:sz w:val="24"/>
        </w:rPr>
        <w:t> </w:t>
      </w:r>
      <w:r w:rsidR="003E3523" w:rsidRPr="00FB4B14">
        <w:rPr>
          <w:rFonts w:ascii="Times New Roman" w:hAnsi="Times New Roman"/>
          <w:sz w:val="24"/>
        </w:rPr>
        <w:t>J</w:t>
      </w:r>
      <w:r w:rsidR="00F70DD2" w:rsidRPr="00FB4B14">
        <w:rPr>
          <w:rFonts w:ascii="Times New Roman" w:hAnsi="Times New Roman"/>
          <w:sz w:val="24"/>
        </w:rPr>
        <w:t>.</w:t>
      </w:r>
    </w:p>
  </w:footnote>
  <w:footnote w:id="84">
    <w:p w14:paraId="3912DF4B" w14:textId="42773119" w:rsidR="00FA6FCC" w:rsidRPr="00FB4B14" w:rsidRDefault="00FA6FCC"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465BE3" w:rsidRPr="00FB4B14">
        <w:rPr>
          <w:rFonts w:ascii="Times New Roman" w:hAnsi="Times New Roman"/>
          <w:sz w:val="24"/>
        </w:rPr>
        <w:t>Sub-section (1)(b)</w:t>
      </w:r>
      <w:r w:rsidR="00370D0F" w:rsidRPr="00FB4B14">
        <w:rPr>
          <w:rFonts w:ascii="Times New Roman" w:hAnsi="Times New Roman"/>
          <w:sz w:val="24"/>
        </w:rPr>
        <w:t>.</w:t>
      </w:r>
    </w:p>
  </w:footnote>
  <w:footnote w:id="85">
    <w:p w14:paraId="19FC02E0" w14:textId="26D59AD5" w:rsidR="00AD4A60" w:rsidRPr="00FB4B14" w:rsidRDefault="00AD4A60"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465BE3" w:rsidRPr="00FB4B14">
        <w:rPr>
          <w:rFonts w:ascii="Times New Roman" w:hAnsi="Times New Roman"/>
          <w:sz w:val="24"/>
        </w:rPr>
        <w:t>Sub-section (3)</w:t>
      </w:r>
      <w:r w:rsidR="00370D0F" w:rsidRPr="00FB4B14">
        <w:rPr>
          <w:rFonts w:ascii="Times New Roman" w:hAnsi="Times New Roman"/>
          <w:sz w:val="24"/>
        </w:rPr>
        <w:t>.</w:t>
      </w:r>
    </w:p>
  </w:footnote>
  <w:footnote w:id="86">
    <w:p w14:paraId="2CEA4F0D" w14:textId="5DEFBDC1" w:rsidR="00E5038B" w:rsidRPr="00FB4B14" w:rsidRDefault="00E5038B" w:rsidP="00FB4B14">
      <w:pPr>
        <w:pStyle w:val="FootnoteText"/>
        <w:spacing w:line="280" w:lineRule="exact"/>
        <w:ind w:right="0"/>
        <w:jc w:val="both"/>
        <w:rPr>
          <w:rFonts w:ascii="Times New Roman" w:hAnsi="Times New Roman"/>
          <w:sz w:val="24"/>
        </w:rPr>
      </w:pPr>
      <w:r w:rsidRPr="00FB4B14">
        <w:rPr>
          <w:rStyle w:val="FootnoteReference"/>
          <w:rFonts w:ascii="Times New Roman" w:hAnsi="Times New Roman"/>
          <w:sz w:val="22"/>
          <w:vertAlign w:val="baseline"/>
        </w:rPr>
        <w:footnoteRef/>
      </w:r>
      <w:r w:rsidRPr="00FB4B14">
        <w:rPr>
          <w:rFonts w:ascii="Times New Roman" w:hAnsi="Times New Roman"/>
          <w:sz w:val="24"/>
        </w:rPr>
        <w:t xml:space="preserve"> </w:t>
      </w:r>
      <w:r w:rsidRPr="00FB4B14">
        <w:rPr>
          <w:rFonts w:ascii="Times New Roman" w:hAnsi="Times New Roman"/>
          <w:sz w:val="24"/>
        </w:rPr>
        <w:tab/>
      </w:r>
      <w:r w:rsidR="000D5454" w:rsidRPr="00FB4B14">
        <w:rPr>
          <w:rFonts w:ascii="Times New Roman" w:hAnsi="Times New Roman"/>
          <w:i/>
          <w:sz w:val="24"/>
        </w:rPr>
        <w:t>Morton as Liquidator of MJ Woodman Electrical Contractors Pty Ltd v Metal Manufactures Pty L</w:t>
      </w:r>
      <w:r w:rsidR="00A16768" w:rsidRPr="00FB4B14">
        <w:rPr>
          <w:rFonts w:ascii="Times New Roman" w:hAnsi="Times New Roman"/>
          <w:i/>
          <w:sz w:val="24"/>
        </w:rPr>
        <w:t>td</w:t>
      </w:r>
      <w:r w:rsidR="000D5454" w:rsidRPr="00FB4B14">
        <w:rPr>
          <w:rFonts w:ascii="Times New Roman" w:hAnsi="Times New Roman"/>
          <w:i/>
          <w:sz w:val="24"/>
        </w:rPr>
        <w:t xml:space="preserve"> </w:t>
      </w:r>
      <w:r w:rsidR="005064D7" w:rsidRPr="00FB4B14">
        <w:rPr>
          <w:rFonts w:ascii="Times New Roman" w:hAnsi="Times New Roman"/>
          <w:i/>
          <w:sz w:val="24"/>
        </w:rPr>
        <w:t>[</w:t>
      </w:r>
      <w:r w:rsidR="000D5454" w:rsidRPr="00FB4B14">
        <w:rPr>
          <w:rFonts w:ascii="Times New Roman" w:hAnsi="Times New Roman"/>
          <w:i/>
          <w:sz w:val="24"/>
        </w:rPr>
        <w:t>No 2</w:t>
      </w:r>
      <w:r w:rsidR="005064D7" w:rsidRPr="00FB4B14">
        <w:rPr>
          <w:rFonts w:ascii="Times New Roman" w:hAnsi="Times New Roman"/>
          <w:i/>
          <w:sz w:val="24"/>
        </w:rPr>
        <w:t>]</w:t>
      </w:r>
      <w:r w:rsidR="000D5454" w:rsidRPr="00FB4B14">
        <w:rPr>
          <w:rFonts w:ascii="Times New Roman" w:hAnsi="Times New Roman"/>
          <w:sz w:val="24"/>
        </w:rPr>
        <w:t xml:space="preserve"> [2022] FCAFC 1 at [8]</w:t>
      </w:r>
      <w:r w:rsidR="00E149A1" w:rsidRPr="00FB4B14">
        <w:rPr>
          <w:rFonts w:ascii="Times New Roman" w:hAnsi="Times New Roman"/>
          <w:sz w:val="24"/>
        </w:rPr>
        <w:t xml:space="preserve"> per </w:t>
      </w:r>
      <w:proofErr w:type="spellStart"/>
      <w:r w:rsidR="00E149A1" w:rsidRPr="00FB4B14">
        <w:rPr>
          <w:rFonts w:ascii="Times New Roman" w:hAnsi="Times New Roman"/>
          <w:sz w:val="24"/>
        </w:rPr>
        <w:t>Allsop</w:t>
      </w:r>
      <w:proofErr w:type="spellEnd"/>
      <w:r w:rsidR="00E149A1" w:rsidRPr="00FB4B14">
        <w:rPr>
          <w:rFonts w:ascii="Times New Roman" w:hAnsi="Times New Roman"/>
          <w:sz w:val="24"/>
        </w:rPr>
        <w:t xml:space="preserve"> CJ, Middleton and </w:t>
      </w:r>
      <w:proofErr w:type="spellStart"/>
      <w:r w:rsidR="00E149A1" w:rsidRPr="00FB4B14">
        <w:rPr>
          <w:rFonts w:ascii="Times New Roman" w:hAnsi="Times New Roman"/>
          <w:sz w:val="24"/>
        </w:rPr>
        <w:t>Derrington</w:t>
      </w:r>
      <w:proofErr w:type="spellEnd"/>
      <w:r w:rsidR="00E149A1" w:rsidRPr="00FB4B14">
        <w:rPr>
          <w:rFonts w:ascii="Times New Roman" w:hAnsi="Times New Roman"/>
          <w:sz w:val="24"/>
        </w:rPr>
        <w:t> JJ</w:t>
      </w:r>
      <w:r w:rsidR="00CB4049" w:rsidRPr="00FB4B14">
        <w:rPr>
          <w:rFonts w:ascii="Times New Roman" w:hAnsi="Times New Roman"/>
          <w:sz w:val="24"/>
        </w:rPr>
        <w:t>.</w:t>
      </w:r>
    </w:p>
  </w:footnote>
  <w:footnote w:id="87">
    <w:p w14:paraId="20A60025"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t>See s 555 of the Act.</w:t>
      </w:r>
    </w:p>
  </w:footnote>
  <w:footnote w:id="88">
    <w:p w14:paraId="1B605818"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t>See s 588FA(1)(b) of the Act.</w:t>
      </w:r>
    </w:p>
  </w:footnote>
  <w:footnote w:id="89">
    <w:p w14:paraId="5A206397"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t xml:space="preserve">See </w:t>
      </w:r>
      <w:r w:rsidRPr="00B9440D">
        <w:rPr>
          <w:rFonts w:ascii="Times New Roman" w:hAnsi="Times New Roman"/>
          <w:i/>
          <w:iCs/>
          <w:sz w:val="24"/>
        </w:rPr>
        <w:t>Morton v Metal Manufactures Pty Ltd</w:t>
      </w:r>
      <w:r w:rsidRPr="00B9440D">
        <w:rPr>
          <w:rFonts w:ascii="Times New Roman" w:hAnsi="Times New Roman"/>
          <w:sz w:val="24"/>
        </w:rPr>
        <w:t xml:space="preserve"> (2021) 289 FCR 556 at 565-566 [31].</w:t>
      </w:r>
    </w:p>
  </w:footnote>
  <w:footnote w:id="90">
    <w:p w14:paraId="27996DA6"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t>See s 588FI of the Act.</w:t>
      </w:r>
    </w:p>
  </w:footnote>
  <w:footnote w:id="91">
    <w:p w14:paraId="44105252"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 xml:space="preserve">Re </w:t>
      </w:r>
      <w:proofErr w:type="spellStart"/>
      <w:r w:rsidRPr="00B9440D">
        <w:rPr>
          <w:rFonts w:ascii="Times New Roman" w:hAnsi="Times New Roman"/>
          <w:i/>
          <w:iCs/>
          <w:sz w:val="24"/>
        </w:rPr>
        <w:t>Hawden</w:t>
      </w:r>
      <w:proofErr w:type="spellEnd"/>
      <w:r w:rsidRPr="00B9440D">
        <w:rPr>
          <w:rFonts w:ascii="Times New Roman" w:hAnsi="Times New Roman"/>
          <w:i/>
          <w:iCs/>
          <w:sz w:val="24"/>
        </w:rPr>
        <w:t xml:space="preserve"> Property Group Pty Ltd (In </w:t>
      </w:r>
      <w:proofErr w:type="spellStart"/>
      <w:r w:rsidRPr="00B9440D">
        <w:rPr>
          <w:rFonts w:ascii="Times New Roman" w:hAnsi="Times New Roman"/>
          <w:i/>
          <w:iCs/>
          <w:sz w:val="24"/>
        </w:rPr>
        <w:t>liq</w:t>
      </w:r>
      <w:proofErr w:type="spellEnd"/>
      <w:r w:rsidRPr="00B9440D">
        <w:rPr>
          <w:rFonts w:ascii="Times New Roman" w:hAnsi="Times New Roman"/>
          <w:i/>
          <w:iCs/>
          <w:sz w:val="24"/>
        </w:rPr>
        <w:t>)</w:t>
      </w:r>
      <w:r w:rsidRPr="00B9440D">
        <w:rPr>
          <w:rFonts w:ascii="Times New Roman" w:hAnsi="Times New Roman"/>
          <w:sz w:val="24"/>
        </w:rPr>
        <w:t xml:space="preserve"> (2018) 125 ACSR 355 at 360-361 [29].</w:t>
      </w:r>
    </w:p>
  </w:footnote>
  <w:footnote w:id="92">
    <w:p w14:paraId="4132E589"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proofErr w:type="spellStart"/>
      <w:r w:rsidRPr="00B9440D">
        <w:rPr>
          <w:rFonts w:ascii="Times New Roman" w:hAnsi="Times New Roman"/>
          <w:i/>
          <w:iCs/>
          <w:sz w:val="24"/>
        </w:rPr>
        <w:t>Gye</w:t>
      </w:r>
      <w:proofErr w:type="spellEnd"/>
      <w:r w:rsidRPr="00B9440D">
        <w:rPr>
          <w:rFonts w:ascii="Times New Roman" w:hAnsi="Times New Roman"/>
          <w:i/>
          <w:iCs/>
          <w:sz w:val="24"/>
        </w:rPr>
        <w:t xml:space="preserve"> v McIntyre </w:t>
      </w:r>
      <w:r w:rsidRPr="00B9440D">
        <w:rPr>
          <w:rFonts w:ascii="Times New Roman" w:hAnsi="Times New Roman"/>
          <w:sz w:val="24"/>
        </w:rPr>
        <w:t>(1991) 171 CLR 609 at 618-619.</w:t>
      </w:r>
    </w:p>
  </w:footnote>
  <w:footnote w:id="93">
    <w:p w14:paraId="589C9920"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proofErr w:type="spellStart"/>
      <w:r w:rsidRPr="00B9440D">
        <w:rPr>
          <w:rFonts w:ascii="Times New Roman" w:hAnsi="Times New Roman"/>
          <w:i/>
          <w:iCs/>
          <w:sz w:val="24"/>
        </w:rPr>
        <w:t>Gye</w:t>
      </w:r>
      <w:proofErr w:type="spellEnd"/>
      <w:r w:rsidRPr="00B9440D">
        <w:rPr>
          <w:rFonts w:ascii="Times New Roman" w:hAnsi="Times New Roman"/>
          <w:i/>
          <w:iCs/>
          <w:sz w:val="24"/>
        </w:rPr>
        <w:t xml:space="preserve"> v McIntyre </w:t>
      </w:r>
      <w:r w:rsidRPr="00B9440D">
        <w:rPr>
          <w:rFonts w:ascii="Times New Roman" w:hAnsi="Times New Roman"/>
          <w:sz w:val="24"/>
        </w:rPr>
        <w:t xml:space="preserve">(1991) 171 CLR 609 at 623. See also </w:t>
      </w:r>
      <w:r w:rsidRPr="00B9440D">
        <w:rPr>
          <w:rFonts w:ascii="Times New Roman" w:hAnsi="Times New Roman"/>
          <w:i/>
          <w:iCs/>
          <w:sz w:val="24"/>
        </w:rPr>
        <w:t>Coventry v Charter Pacific Corporation Ltd</w:t>
      </w:r>
      <w:r w:rsidRPr="00B9440D">
        <w:rPr>
          <w:rFonts w:ascii="Times New Roman" w:hAnsi="Times New Roman"/>
          <w:sz w:val="24"/>
        </w:rPr>
        <w:t xml:space="preserve"> (2005) 227 CLR 234 at 254-255 [56]. See earlier </w:t>
      </w:r>
      <w:proofErr w:type="spellStart"/>
      <w:r w:rsidRPr="00B9440D">
        <w:rPr>
          <w:rFonts w:ascii="Times New Roman" w:hAnsi="Times New Roman"/>
          <w:i/>
          <w:iCs/>
          <w:sz w:val="24"/>
        </w:rPr>
        <w:t>Hiley</w:t>
      </w:r>
      <w:proofErr w:type="spellEnd"/>
      <w:r w:rsidRPr="00B9440D">
        <w:rPr>
          <w:rFonts w:ascii="Times New Roman" w:hAnsi="Times New Roman"/>
          <w:i/>
          <w:iCs/>
          <w:sz w:val="24"/>
        </w:rPr>
        <w:t xml:space="preserve"> v Peoples Prudential Assurance Co Ltd</w:t>
      </w:r>
      <w:r w:rsidRPr="00B9440D">
        <w:rPr>
          <w:rFonts w:ascii="Times New Roman" w:hAnsi="Times New Roman"/>
          <w:sz w:val="24"/>
        </w:rPr>
        <w:t xml:space="preserve"> (1938) 60 CLR 468 at 497; </w:t>
      </w:r>
      <w:r w:rsidRPr="00B9440D">
        <w:rPr>
          <w:rFonts w:ascii="Times New Roman" w:hAnsi="Times New Roman"/>
          <w:i/>
          <w:iCs/>
          <w:sz w:val="24"/>
        </w:rPr>
        <w:t>Forster v Wilson</w:t>
      </w:r>
      <w:r w:rsidRPr="00B9440D">
        <w:rPr>
          <w:rFonts w:ascii="Times New Roman" w:hAnsi="Times New Roman"/>
          <w:sz w:val="24"/>
        </w:rPr>
        <w:t xml:space="preserve"> (1843) 12 M &amp; W 191 at 203-204 [152 ER 1165 at 1170-1171]. </w:t>
      </w:r>
    </w:p>
  </w:footnote>
  <w:footnote w:id="94">
    <w:p w14:paraId="0AAB5119"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Morton v Metal Manufactures Pty Ltd</w:t>
      </w:r>
      <w:r w:rsidRPr="00B9440D">
        <w:rPr>
          <w:rFonts w:ascii="Times New Roman" w:hAnsi="Times New Roman"/>
          <w:sz w:val="24"/>
        </w:rPr>
        <w:t xml:space="preserve"> (2021) 289 FCR 556 at 572 [55], 598-599 [147]-[151], 600 [153]. See also </w:t>
      </w:r>
      <w:proofErr w:type="spellStart"/>
      <w:r w:rsidRPr="00B9440D">
        <w:rPr>
          <w:rFonts w:ascii="Times New Roman" w:hAnsi="Times New Roman"/>
          <w:sz w:val="24"/>
        </w:rPr>
        <w:t>Derham</w:t>
      </w:r>
      <w:proofErr w:type="spellEnd"/>
      <w:r w:rsidRPr="00B9440D">
        <w:rPr>
          <w:rFonts w:ascii="Times New Roman" w:hAnsi="Times New Roman"/>
          <w:sz w:val="24"/>
        </w:rPr>
        <w:t xml:space="preserve">, "Set-off against statutory avoidance and insolvent trading claims in company liquidation" (2015) 89 </w:t>
      </w:r>
      <w:r w:rsidRPr="00B9440D">
        <w:rPr>
          <w:rFonts w:ascii="Times New Roman" w:hAnsi="Times New Roman"/>
          <w:i/>
          <w:iCs/>
          <w:sz w:val="24"/>
        </w:rPr>
        <w:t xml:space="preserve">Australian Law Journal </w:t>
      </w:r>
      <w:r w:rsidRPr="00B9440D">
        <w:rPr>
          <w:rFonts w:ascii="Times New Roman" w:hAnsi="Times New Roman"/>
          <w:sz w:val="24"/>
        </w:rPr>
        <w:t>459 at 469-476</w:t>
      </w:r>
      <w:r w:rsidRPr="00B9440D" w:rsidDel="00594045">
        <w:rPr>
          <w:rFonts w:ascii="Times New Roman" w:hAnsi="Times New Roman"/>
          <w:sz w:val="24"/>
        </w:rPr>
        <w:t>.</w:t>
      </w:r>
    </w:p>
  </w:footnote>
  <w:footnote w:id="95">
    <w:p w14:paraId="6952D1D8"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DKLR Holding Co (No 2) Pty Ltd v Commissioner of Stamp Duties (NSW)</w:t>
      </w:r>
      <w:r w:rsidRPr="00B9440D">
        <w:rPr>
          <w:rFonts w:ascii="Times New Roman" w:hAnsi="Times New Roman"/>
          <w:sz w:val="24"/>
        </w:rPr>
        <w:t xml:space="preserve"> (1982) 149 CLR 431 at 474; </w:t>
      </w:r>
      <w:proofErr w:type="spellStart"/>
      <w:r w:rsidRPr="00B9440D">
        <w:rPr>
          <w:rFonts w:ascii="Times New Roman" w:hAnsi="Times New Roman"/>
          <w:i/>
          <w:iCs/>
          <w:sz w:val="24"/>
        </w:rPr>
        <w:t>Boensch</w:t>
      </w:r>
      <w:proofErr w:type="spellEnd"/>
      <w:r w:rsidRPr="00B9440D">
        <w:rPr>
          <w:rFonts w:ascii="Times New Roman" w:hAnsi="Times New Roman"/>
          <w:i/>
          <w:iCs/>
          <w:sz w:val="24"/>
        </w:rPr>
        <w:t xml:space="preserve"> v Pascoe</w:t>
      </w:r>
      <w:r w:rsidRPr="00B9440D">
        <w:rPr>
          <w:rFonts w:ascii="Times New Roman" w:hAnsi="Times New Roman"/>
          <w:sz w:val="24"/>
        </w:rPr>
        <w:t xml:space="preserve"> (2019) 268 CLR 593 at 599 [4].</w:t>
      </w:r>
    </w:p>
  </w:footnote>
  <w:footnote w:id="96">
    <w:p w14:paraId="29493A4A"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 xml:space="preserve">Carter Holt Harvey </w:t>
      </w:r>
      <w:proofErr w:type="spellStart"/>
      <w:r w:rsidRPr="00B9440D">
        <w:rPr>
          <w:rFonts w:ascii="Times New Roman" w:hAnsi="Times New Roman"/>
          <w:i/>
          <w:iCs/>
          <w:sz w:val="24"/>
        </w:rPr>
        <w:t>Woodproducts</w:t>
      </w:r>
      <w:proofErr w:type="spellEnd"/>
      <w:r w:rsidRPr="00B9440D">
        <w:rPr>
          <w:rFonts w:ascii="Times New Roman" w:hAnsi="Times New Roman"/>
          <w:i/>
          <w:iCs/>
          <w:sz w:val="24"/>
        </w:rPr>
        <w:t xml:space="preserve"> Australia Pty Ltd v The Commonwealth </w:t>
      </w:r>
      <w:r w:rsidRPr="00B9440D">
        <w:rPr>
          <w:rFonts w:ascii="Times New Roman" w:hAnsi="Times New Roman"/>
          <w:sz w:val="24"/>
        </w:rPr>
        <w:t>(2019) 268 CLR 524</w:t>
      </w:r>
      <w:r w:rsidRPr="00B9440D">
        <w:rPr>
          <w:rFonts w:ascii="Times New Roman" w:hAnsi="Times New Roman"/>
          <w:i/>
          <w:iCs/>
          <w:sz w:val="24"/>
        </w:rPr>
        <w:t xml:space="preserve"> </w:t>
      </w:r>
      <w:r w:rsidRPr="00B9440D">
        <w:rPr>
          <w:rFonts w:ascii="Times New Roman" w:hAnsi="Times New Roman"/>
          <w:sz w:val="24"/>
        </w:rPr>
        <w:t xml:space="preserve">at 560-561 [82]. See also </w:t>
      </w:r>
      <w:r w:rsidRPr="00B9440D">
        <w:rPr>
          <w:rFonts w:ascii="Times New Roman" w:hAnsi="Times New Roman"/>
          <w:i/>
          <w:iCs/>
          <w:sz w:val="24"/>
        </w:rPr>
        <w:t xml:space="preserve">Equity Trust (Jersey) Ltd v </w:t>
      </w:r>
      <w:proofErr w:type="spellStart"/>
      <w:r w:rsidRPr="00B9440D">
        <w:rPr>
          <w:rFonts w:ascii="Times New Roman" w:hAnsi="Times New Roman"/>
          <w:i/>
          <w:iCs/>
          <w:sz w:val="24"/>
        </w:rPr>
        <w:t>Halabi</w:t>
      </w:r>
      <w:proofErr w:type="spellEnd"/>
      <w:r w:rsidRPr="00B9440D">
        <w:rPr>
          <w:rFonts w:ascii="Times New Roman" w:hAnsi="Times New Roman"/>
          <w:i/>
          <w:iCs/>
          <w:sz w:val="24"/>
        </w:rPr>
        <w:t xml:space="preserve"> </w:t>
      </w:r>
      <w:r w:rsidRPr="00B9440D">
        <w:rPr>
          <w:rFonts w:ascii="Times New Roman" w:hAnsi="Times New Roman"/>
          <w:sz w:val="24"/>
        </w:rPr>
        <w:t>[2022] UKPC 36 at [58].</w:t>
      </w:r>
    </w:p>
  </w:footnote>
  <w:footnote w:id="97">
    <w:p w14:paraId="794DF528"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 xml:space="preserve">Federal Commissioner of Taxation v Linter Textiles Australia Ltd (In </w:t>
      </w:r>
      <w:proofErr w:type="spellStart"/>
      <w:r w:rsidRPr="00B9440D">
        <w:rPr>
          <w:rFonts w:ascii="Times New Roman" w:hAnsi="Times New Roman"/>
          <w:i/>
          <w:iCs/>
          <w:sz w:val="24"/>
        </w:rPr>
        <w:t>liq</w:t>
      </w:r>
      <w:proofErr w:type="spellEnd"/>
      <w:r w:rsidRPr="00B9440D">
        <w:rPr>
          <w:rFonts w:ascii="Times New Roman" w:hAnsi="Times New Roman"/>
          <w:i/>
          <w:iCs/>
          <w:sz w:val="24"/>
        </w:rPr>
        <w:t>)</w:t>
      </w:r>
      <w:r w:rsidRPr="00B9440D">
        <w:rPr>
          <w:rFonts w:ascii="Times New Roman" w:hAnsi="Times New Roman"/>
          <w:sz w:val="24"/>
        </w:rPr>
        <w:t xml:space="preserve"> (2005) 220 CLR 592 at 612-613 [54]-[55], 634 [127].</w:t>
      </w:r>
    </w:p>
  </w:footnote>
  <w:footnote w:id="98">
    <w:p w14:paraId="3EC2FC4A"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proofErr w:type="spellStart"/>
      <w:r w:rsidRPr="00B9440D">
        <w:rPr>
          <w:rFonts w:ascii="Times New Roman" w:hAnsi="Times New Roman"/>
          <w:sz w:val="24"/>
        </w:rPr>
        <w:t>cf</w:t>
      </w:r>
      <w:proofErr w:type="spellEnd"/>
      <w:r w:rsidRPr="00B9440D">
        <w:rPr>
          <w:rFonts w:ascii="Times New Roman" w:hAnsi="Times New Roman"/>
          <w:sz w:val="24"/>
        </w:rPr>
        <w:t xml:space="preserve"> </w:t>
      </w:r>
      <w:r w:rsidRPr="00B9440D">
        <w:rPr>
          <w:rFonts w:ascii="Times New Roman" w:hAnsi="Times New Roman"/>
          <w:i/>
          <w:iCs/>
          <w:sz w:val="24"/>
        </w:rPr>
        <w:t xml:space="preserve">Federal Commissioner of Taxation v Linter Textiles Australia Ltd (In </w:t>
      </w:r>
      <w:proofErr w:type="spellStart"/>
      <w:r w:rsidRPr="00B9440D">
        <w:rPr>
          <w:rFonts w:ascii="Times New Roman" w:hAnsi="Times New Roman"/>
          <w:i/>
          <w:iCs/>
          <w:sz w:val="24"/>
        </w:rPr>
        <w:t>liq</w:t>
      </w:r>
      <w:proofErr w:type="spellEnd"/>
      <w:r w:rsidRPr="00B9440D">
        <w:rPr>
          <w:rFonts w:ascii="Times New Roman" w:hAnsi="Times New Roman"/>
          <w:i/>
          <w:iCs/>
          <w:sz w:val="24"/>
        </w:rPr>
        <w:t>)</w:t>
      </w:r>
      <w:r w:rsidRPr="00B9440D">
        <w:rPr>
          <w:rFonts w:ascii="Times New Roman" w:hAnsi="Times New Roman"/>
          <w:sz w:val="24"/>
        </w:rPr>
        <w:t xml:space="preserve"> (2005) 220 CLR 592 at 614 [58].</w:t>
      </w:r>
    </w:p>
  </w:footnote>
  <w:footnote w:id="99">
    <w:p w14:paraId="595566FE"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Sheahan v Carrier Air Conditioning Pty Ltd</w:t>
      </w:r>
      <w:r w:rsidRPr="00B9440D">
        <w:rPr>
          <w:rFonts w:ascii="Times New Roman" w:hAnsi="Times New Roman"/>
          <w:sz w:val="24"/>
        </w:rPr>
        <w:t xml:space="preserve"> (1997) 189 CLR 407 at 428.</w:t>
      </w:r>
    </w:p>
  </w:footnote>
  <w:footnote w:id="100">
    <w:p w14:paraId="3C5CFC62" w14:textId="77777777" w:rsidR="005868B7" w:rsidRPr="00B9440D" w:rsidRDefault="005868B7" w:rsidP="00B9440D">
      <w:pPr>
        <w:pStyle w:val="FootnoteText"/>
        <w:spacing w:line="280" w:lineRule="exact"/>
        <w:ind w:right="0"/>
        <w:jc w:val="both"/>
        <w:rPr>
          <w:rFonts w:ascii="Times New Roman" w:hAnsi="Times New Roman"/>
          <w:sz w:val="24"/>
        </w:rPr>
      </w:pPr>
      <w:r w:rsidRPr="00B9440D">
        <w:rPr>
          <w:rStyle w:val="FootnoteReference"/>
          <w:rFonts w:ascii="Times New Roman" w:hAnsi="Times New Roman"/>
          <w:sz w:val="22"/>
          <w:vertAlign w:val="baseline"/>
        </w:rPr>
        <w:footnoteRef/>
      </w:r>
      <w:r w:rsidRPr="00B9440D">
        <w:rPr>
          <w:rFonts w:ascii="Times New Roman" w:hAnsi="Times New Roman"/>
          <w:sz w:val="24"/>
        </w:rPr>
        <w:t xml:space="preserve"> </w:t>
      </w:r>
      <w:r w:rsidRPr="00B9440D">
        <w:rPr>
          <w:rFonts w:ascii="Times New Roman" w:hAnsi="Times New Roman"/>
          <w:sz w:val="24"/>
        </w:rPr>
        <w:tab/>
      </w:r>
      <w:r w:rsidRPr="00B9440D">
        <w:rPr>
          <w:rFonts w:ascii="Times New Roman" w:hAnsi="Times New Roman"/>
          <w:i/>
          <w:iCs/>
          <w:sz w:val="24"/>
        </w:rPr>
        <w:t>Morton v Metal Manufactures Pty Ltd</w:t>
      </w:r>
      <w:r w:rsidRPr="00B9440D">
        <w:rPr>
          <w:rFonts w:ascii="Times New Roman" w:hAnsi="Times New Roman"/>
          <w:sz w:val="24"/>
        </w:rPr>
        <w:t xml:space="preserve"> (2021) 289 FCR 556 at 595-599 [143]-[151], quoting </w:t>
      </w:r>
      <w:r w:rsidRPr="00B9440D">
        <w:rPr>
          <w:rFonts w:ascii="Times New Roman" w:hAnsi="Times New Roman"/>
          <w:i/>
          <w:iCs/>
          <w:sz w:val="24"/>
        </w:rPr>
        <w:t>Fortress Credit Corporation (Australia) II Pty Ltd v Fletcher</w:t>
      </w:r>
      <w:r w:rsidRPr="00B9440D">
        <w:rPr>
          <w:rFonts w:ascii="Times New Roman" w:hAnsi="Times New Roman"/>
          <w:sz w:val="24"/>
        </w:rPr>
        <w:t xml:space="preserve"> (2014) 87 NSWLR 728 at 749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AFEA" w14:textId="77777777" w:rsidR="00FB4B14" w:rsidRPr="00A72180" w:rsidRDefault="00FB4B14" w:rsidP="00A72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BF11" w14:textId="03D513EF" w:rsidR="00FB4B14" w:rsidRPr="00A72180" w:rsidRDefault="00A72180" w:rsidP="00A72180">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19</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10</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2D3A" w14:textId="77362374" w:rsidR="00970D85" w:rsidRPr="00A72180" w:rsidRDefault="00970D85" w:rsidP="00A72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B03A" w14:textId="77777777" w:rsidR="00A72180" w:rsidRPr="00FB4B14" w:rsidRDefault="00A72180" w:rsidP="00FB4B14">
    <w:pPr>
      <w:pStyle w:val="Header"/>
      <w:tabs>
        <w:tab w:val="clear" w:pos="4153"/>
        <w:tab w:val="clear" w:pos="8306"/>
        <w:tab w:val="right" w:pos="1304"/>
      </w:tabs>
      <w:spacing w:line="280" w:lineRule="exact"/>
      <w:ind w:firstLine="0"/>
      <w:rPr>
        <w:rFonts w:ascii="Times New Roman" w:hAnsi="Times New Roman"/>
        <w:i/>
        <w:sz w:val="22"/>
      </w:rPr>
    </w:pPr>
    <w:r w:rsidRPr="00FB4B14">
      <w:rPr>
        <w:rFonts w:ascii="Times New Roman" w:hAnsi="Times New Roman"/>
        <w:i/>
        <w:sz w:val="22"/>
      </w:rPr>
      <w:t>Kiefel</w:t>
    </w:r>
    <w:r w:rsidRPr="00FB4B14">
      <w:rPr>
        <w:rFonts w:ascii="Times New Roman" w:hAnsi="Times New Roman"/>
        <w:i/>
        <w:sz w:val="22"/>
      </w:rPr>
      <w:tab/>
      <w:t>CJ</w:t>
    </w:r>
  </w:p>
  <w:p w14:paraId="5CC48F23" w14:textId="77777777" w:rsidR="00A72180" w:rsidRPr="00FB4B14" w:rsidRDefault="00A72180" w:rsidP="00FB4B14">
    <w:pPr>
      <w:pStyle w:val="Header"/>
      <w:tabs>
        <w:tab w:val="clear" w:pos="4153"/>
        <w:tab w:val="clear" w:pos="8306"/>
        <w:tab w:val="right" w:pos="1304"/>
      </w:tabs>
      <w:spacing w:line="280" w:lineRule="exact"/>
      <w:ind w:firstLine="0"/>
      <w:rPr>
        <w:rFonts w:ascii="Times New Roman" w:hAnsi="Times New Roman"/>
        <w:i/>
        <w:sz w:val="22"/>
      </w:rPr>
    </w:pPr>
    <w:r w:rsidRPr="00FB4B14">
      <w:rPr>
        <w:rFonts w:ascii="Times New Roman" w:hAnsi="Times New Roman"/>
        <w:i/>
        <w:sz w:val="22"/>
      </w:rPr>
      <w:t>Gordon</w:t>
    </w:r>
    <w:r w:rsidRPr="00FB4B14">
      <w:rPr>
        <w:rFonts w:ascii="Times New Roman" w:hAnsi="Times New Roman"/>
        <w:i/>
        <w:sz w:val="22"/>
      </w:rPr>
      <w:tab/>
      <w:t>J</w:t>
    </w:r>
  </w:p>
  <w:p w14:paraId="7BB42B65" w14:textId="77777777" w:rsidR="00A72180" w:rsidRPr="00FB4B14" w:rsidRDefault="00A72180" w:rsidP="00FB4B14">
    <w:pPr>
      <w:pStyle w:val="Header"/>
      <w:tabs>
        <w:tab w:val="clear" w:pos="4153"/>
        <w:tab w:val="clear" w:pos="8306"/>
        <w:tab w:val="right" w:pos="1304"/>
      </w:tabs>
      <w:spacing w:line="280" w:lineRule="exact"/>
      <w:ind w:firstLine="0"/>
      <w:rPr>
        <w:rFonts w:ascii="Times New Roman" w:hAnsi="Times New Roman"/>
        <w:i/>
        <w:sz w:val="22"/>
      </w:rPr>
    </w:pPr>
    <w:r w:rsidRPr="00FB4B14">
      <w:rPr>
        <w:rFonts w:ascii="Times New Roman" w:hAnsi="Times New Roman"/>
        <w:i/>
        <w:sz w:val="22"/>
      </w:rPr>
      <w:t>Edelman</w:t>
    </w:r>
    <w:r w:rsidRPr="00FB4B14">
      <w:rPr>
        <w:rFonts w:ascii="Times New Roman" w:hAnsi="Times New Roman"/>
        <w:i/>
        <w:sz w:val="22"/>
      </w:rPr>
      <w:tab/>
      <w:t>J</w:t>
    </w:r>
  </w:p>
  <w:p w14:paraId="49F1C14B" w14:textId="77777777" w:rsidR="00A72180" w:rsidRDefault="00A72180" w:rsidP="00FB4B1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A9140F9" w14:textId="77777777" w:rsidR="00A72180" w:rsidRDefault="00A72180" w:rsidP="00FB4B14">
    <w:pPr>
      <w:pStyle w:val="Header"/>
      <w:tabs>
        <w:tab w:val="clear" w:pos="4153"/>
        <w:tab w:val="clear" w:pos="8306"/>
        <w:tab w:val="right" w:pos="1304"/>
      </w:tabs>
      <w:spacing w:line="280" w:lineRule="exact"/>
      <w:ind w:firstLine="0"/>
      <w:rPr>
        <w:rFonts w:ascii="Times New Roman" w:hAnsi="Times New Roman"/>
        <w:i/>
        <w:sz w:val="22"/>
      </w:rPr>
    </w:pPr>
  </w:p>
  <w:p w14:paraId="11766B6C" w14:textId="77777777" w:rsidR="00A72180" w:rsidRDefault="00A72180" w:rsidP="00FB4B1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03D558" w14:textId="77777777" w:rsidR="00A72180" w:rsidRPr="00FB4B14" w:rsidRDefault="00A72180" w:rsidP="00FB4B1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1679" w14:textId="77777777" w:rsidR="00A72180" w:rsidRPr="00FB4B14" w:rsidRDefault="00A72180" w:rsidP="00FB4B14">
    <w:pPr>
      <w:pStyle w:val="Header"/>
      <w:tabs>
        <w:tab w:val="clear" w:pos="4153"/>
        <w:tab w:val="clear" w:pos="8306"/>
        <w:tab w:val="left" w:pos="7200"/>
        <w:tab w:val="right" w:pos="8504"/>
      </w:tabs>
      <w:spacing w:line="280" w:lineRule="exact"/>
      <w:jc w:val="right"/>
      <w:rPr>
        <w:rFonts w:ascii="Times New Roman" w:hAnsi="Times New Roman"/>
        <w:i/>
        <w:sz w:val="22"/>
      </w:rPr>
    </w:pPr>
    <w:r w:rsidRPr="00FB4B14">
      <w:rPr>
        <w:rFonts w:ascii="Times New Roman" w:hAnsi="Times New Roman"/>
        <w:i/>
        <w:sz w:val="22"/>
      </w:rPr>
      <w:tab/>
      <w:t>Kiefel</w:t>
    </w:r>
    <w:r w:rsidRPr="00FB4B14">
      <w:rPr>
        <w:rFonts w:ascii="Times New Roman" w:hAnsi="Times New Roman"/>
        <w:i/>
        <w:sz w:val="22"/>
      </w:rPr>
      <w:tab/>
      <w:t>CJ</w:t>
    </w:r>
  </w:p>
  <w:p w14:paraId="5310DB00" w14:textId="77777777" w:rsidR="00A72180" w:rsidRPr="00FB4B14" w:rsidRDefault="00A72180" w:rsidP="00FB4B14">
    <w:pPr>
      <w:pStyle w:val="Header"/>
      <w:tabs>
        <w:tab w:val="clear" w:pos="4153"/>
        <w:tab w:val="clear" w:pos="8306"/>
        <w:tab w:val="left" w:pos="7200"/>
        <w:tab w:val="right" w:pos="8504"/>
      </w:tabs>
      <w:spacing w:line="280" w:lineRule="exact"/>
      <w:jc w:val="right"/>
      <w:rPr>
        <w:rFonts w:ascii="Times New Roman" w:hAnsi="Times New Roman"/>
        <w:i/>
        <w:sz w:val="22"/>
      </w:rPr>
    </w:pPr>
    <w:r w:rsidRPr="00FB4B14">
      <w:rPr>
        <w:rFonts w:ascii="Times New Roman" w:hAnsi="Times New Roman"/>
        <w:i/>
        <w:sz w:val="22"/>
      </w:rPr>
      <w:tab/>
      <w:t>Gordon</w:t>
    </w:r>
    <w:r w:rsidRPr="00FB4B14">
      <w:rPr>
        <w:rFonts w:ascii="Times New Roman" w:hAnsi="Times New Roman"/>
        <w:i/>
        <w:sz w:val="22"/>
      </w:rPr>
      <w:tab/>
      <w:t>J</w:t>
    </w:r>
  </w:p>
  <w:p w14:paraId="48AE6DEF" w14:textId="77777777" w:rsidR="00A72180" w:rsidRPr="00FB4B14" w:rsidRDefault="00A72180" w:rsidP="00FB4B14">
    <w:pPr>
      <w:pStyle w:val="Header"/>
      <w:tabs>
        <w:tab w:val="clear" w:pos="4153"/>
        <w:tab w:val="clear" w:pos="8306"/>
        <w:tab w:val="left" w:pos="7200"/>
        <w:tab w:val="right" w:pos="8504"/>
      </w:tabs>
      <w:spacing w:line="280" w:lineRule="exact"/>
      <w:jc w:val="right"/>
      <w:rPr>
        <w:rFonts w:ascii="Times New Roman" w:hAnsi="Times New Roman"/>
        <w:i/>
        <w:sz w:val="22"/>
      </w:rPr>
    </w:pPr>
    <w:r w:rsidRPr="00FB4B14">
      <w:rPr>
        <w:rFonts w:ascii="Times New Roman" w:hAnsi="Times New Roman"/>
        <w:i/>
        <w:sz w:val="22"/>
      </w:rPr>
      <w:tab/>
      <w:t>Edelman</w:t>
    </w:r>
    <w:r w:rsidRPr="00FB4B14">
      <w:rPr>
        <w:rFonts w:ascii="Times New Roman" w:hAnsi="Times New Roman"/>
        <w:i/>
        <w:sz w:val="22"/>
      </w:rPr>
      <w:tab/>
      <w:t>J</w:t>
    </w:r>
  </w:p>
  <w:p w14:paraId="66BC48FB" w14:textId="77777777" w:rsidR="00A72180" w:rsidRDefault="00A72180" w:rsidP="00FB4B1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6048B93F" w14:textId="77777777" w:rsidR="00A72180" w:rsidRDefault="00A72180" w:rsidP="00FB4B14">
    <w:pPr>
      <w:pStyle w:val="Header"/>
      <w:tabs>
        <w:tab w:val="clear" w:pos="4153"/>
        <w:tab w:val="clear" w:pos="8306"/>
        <w:tab w:val="left" w:pos="7200"/>
        <w:tab w:val="right" w:pos="8504"/>
      </w:tabs>
      <w:spacing w:line="280" w:lineRule="exact"/>
      <w:jc w:val="right"/>
      <w:rPr>
        <w:rFonts w:ascii="Times New Roman" w:hAnsi="Times New Roman"/>
        <w:i/>
        <w:sz w:val="22"/>
      </w:rPr>
    </w:pPr>
  </w:p>
  <w:p w14:paraId="60F78D96" w14:textId="77777777" w:rsidR="00A72180" w:rsidRDefault="00A72180" w:rsidP="00FB4B1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FF9C52" w14:textId="77777777" w:rsidR="00A72180" w:rsidRPr="00FB4B14" w:rsidRDefault="00A72180" w:rsidP="00FB4B1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65A2" w14:textId="77777777" w:rsidR="00A72180"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p w14:paraId="3997BDD6" w14:textId="77777777" w:rsidR="00A72180"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p w14:paraId="0D5A873F" w14:textId="77777777" w:rsidR="00A72180"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p w14:paraId="650340D2" w14:textId="77777777" w:rsidR="00A72180"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p w14:paraId="48DA9653" w14:textId="77777777" w:rsidR="00A72180"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p w14:paraId="04C5C66C" w14:textId="77777777" w:rsidR="00A72180"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p w14:paraId="3259CFAA" w14:textId="77777777" w:rsidR="00A72180" w:rsidRPr="00FB4B14" w:rsidRDefault="00A72180" w:rsidP="00FB4B1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AD6" w14:textId="77777777" w:rsidR="00B9440D" w:rsidRDefault="005868B7" w:rsidP="00B9440D">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1A51586A" w14:textId="77777777" w:rsidR="00B9440D" w:rsidRDefault="00A72180" w:rsidP="00B9440D">
    <w:pPr>
      <w:pStyle w:val="Header"/>
      <w:tabs>
        <w:tab w:val="clear" w:pos="4153"/>
        <w:tab w:val="clear" w:pos="8306"/>
        <w:tab w:val="right" w:pos="1304"/>
      </w:tabs>
      <w:spacing w:line="280" w:lineRule="exact"/>
      <w:ind w:firstLine="0"/>
      <w:rPr>
        <w:rFonts w:ascii="Times New Roman" w:hAnsi="Times New Roman"/>
        <w:i/>
        <w:sz w:val="22"/>
      </w:rPr>
    </w:pPr>
  </w:p>
  <w:p w14:paraId="3DB997BA" w14:textId="77777777" w:rsidR="00B9440D" w:rsidRDefault="005868B7" w:rsidP="00B9440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FE7D69" w14:textId="77777777" w:rsidR="00B9440D" w:rsidRPr="00B9440D" w:rsidRDefault="00A72180" w:rsidP="00B9440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9BE3" w14:textId="77777777" w:rsidR="00B9440D" w:rsidRDefault="005868B7" w:rsidP="00B9440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681EFB66" w14:textId="77777777" w:rsidR="00B9440D" w:rsidRDefault="00A72180" w:rsidP="00B9440D">
    <w:pPr>
      <w:pStyle w:val="Header"/>
      <w:tabs>
        <w:tab w:val="clear" w:pos="4153"/>
        <w:tab w:val="clear" w:pos="8306"/>
        <w:tab w:val="left" w:pos="7200"/>
        <w:tab w:val="right" w:pos="8504"/>
      </w:tabs>
      <w:spacing w:line="280" w:lineRule="exact"/>
      <w:jc w:val="right"/>
      <w:rPr>
        <w:rFonts w:ascii="Times New Roman" w:hAnsi="Times New Roman"/>
        <w:i/>
        <w:sz w:val="22"/>
      </w:rPr>
    </w:pPr>
  </w:p>
  <w:p w14:paraId="079F7124" w14:textId="77777777" w:rsidR="00B9440D" w:rsidRDefault="005868B7" w:rsidP="00B9440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AC439F0" w14:textId="77777777" w:rsidR="00B9440D" w:rsidRPr="00B9440D" w:rsidRDefault="00A72180" w:rsidP="00B9440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61A1" w14:textId="77777777" w:rsidR="00B9440D" w:rsidRDefault="00A72180" w:rsidP="00B9440D">
    <w:pPr>
      <w:pStyle w:val="Header"/>
      <w:tabs>
        <w:tab w:val="clear" w:pos="4153"/>
        <w:tab w:val="clear" w:pos="8306"/>
        <w:tab w:val="center" w:pos="1134"/>
      </w:tabs>
      <w:spacing w:line="280" w:lineRule="exact"/>
      <w:ind w:firstLine="0"/>
      <w:rPr>
        <w:rFonts w:ascii="Times New Roman" w:hAnsi="Times New Roman"/>
        <w:i/>
        <w:sz w:val="22"/>
      </w:rPr>
    </w:pPr>
  </w:p>
  <w:p w14:paraId="66781E86" w14:textId="77777777" w:rsidR="00B9440D" w:rsidRDefault="00A72180" w:rsidP="00B9440D">
    <w:pPr>
      <w:pStyle w:val="Header"/>
      <w:tabs>
        <w:tab w:val="clear" w:pos="4153"/>
        <w:tab w:val="clear" w:pos="8306"/>
        <w:tab w:val="center" w:pos="1134"/>
      </w:tabs>
      <w:spacing w:line="280" w:lineRule="exact"/>
      <w:ind w:firstLine="0"/>
      <w:rPr>
        <w:rFonts w:ascii="Times New Roman" w:hAnsi="Times New Roman"/>
        <w:i/>
        <w:sz w:val="22"/>
      </w:rPr>
    </w:pPr>
  </w:p>
  <w:p w14:paraId="2937EDFF" w14:textId="77777777" w:rsidR="00B9440D" w:rsidRDefault="00A72180" w:rsidP="00B9440D">
    <w:pPr>
      <w:pStyle w:val="Header"/>
      <w:tabs>
        <w:tab w:val="clear" w:pos="4153"/>
        <w:tab w:val="clear" w:pos="8306"/>
        <w:tab w:val="center" w:pos="1134"/>
      </w:tabs>
      <w:spacing w:line="280" w:lineRule="exact"/>
      <w:ind w:firstLine="0"/>
      <w:rPr>
        <w:rFonts w:ascii="Times New Roman" w:hAnsi="Times New Roman"/>
        <w:i/>
        <w:sz w:val="22"/>
      </w:rPr>
    </w:pPr>
  </w:p>
  <w:p w14:paraId="61B21804" w14:textId="77777777" w:rsidR="000E55EB" w:rsidRPr="00B9440D" w:rsidRDefault="00A72180" w:rsidP="00B9440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0491299">
    <w:abstractNumId w:val="10"/>
  </w:num>
  <w:num w:numId="2" w16cid:durableId="546726655">
    <w:abstractNumId w:val="14"/>
  </w:num>
  <w:num w:numId="3" w16cid:durableId="1964194639">
    <w:abstractNumId w:val="17"/>
  </w:num>
  <w:num w:numId="4" w16cid:durableId="1679575450">
    <w:abstractNumId w:val="13"/>
  </w:num>
  <w:num w:numId="5" w16cid:durableId="1756824850">
    <w:abstractNumId w:val="16"/>
  </w:num>
  <w:num w:numId="6" w16cid:durableId="1561864716">
    <w:abstractNumId w:val="6"/>
  </w:num>
  <w:num w:numId="7" w16cid:durableId="563612104">
    <w:abstractNumId w:val="9"/>
  </w:num>
  <w:num w:numId="8" w16cid:durableId="821853902">
    <w:abstractNumId w:val="7"/>
  </w:num>
  <w:num w:numId="9" w16cid:durableId="1600329646">
    <w:abstractNumId w:val="5"/>
  </w:num>
  <w:num w:numId="10" w16cid:durableId="1258825168">
    <w:abstractNumId w:val="4"/>
  </w:num>
  <w:num w:numId="11" w16cid:durableId="1425229620">
    <w:abstractNumId w:val="8"/>
  </w:num>
  <w:num w:numId="12" w16cid:durableId="1836340580">
    <w:abstractNumId w:val="3"/>
  </w:num>
  <w:num w:numId="13" w16cid:durableId="1633704304">
    <w:abstractNumId w:val="2"/>
  </w:num>
  <w:num w:numId="14" w16cid:durableId="2039502025">
    <w:abstractNumId w:val="1"/>
  </w:num>
  <w:num w:numId="15" w16cid:durableId="150368540">
    <w:abstractNumId w:val="0"/>
  </w:num>
  <w:num w:numId="16" w16cid:durableId="301160009">
    <w:abstractNumId w:val="12"/>
  </w:num>
  <w:num w:numId="17" w16cid:durableId="1390567596">
    <w:abstractNumId w:val="15"/>
  </w:num>
  <w:num w:numId="18" w16cid:durableId="465467420">
    <w:abstractNumId w:val="11"/>
  </w:num>
  <w:num w:numId="19" w16cid:durableId="1486823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85"/>
    <w:rsid w:val="000002C1"/>
    <w:rsid w:val="00001337"/>
    <w:rsid w:val="00002069"/>
    <w:rsid w:val="00002CE6"/>
    <w:rsid w:val="00002F37"/>
    <w:rsid w:val="0000316A"/>
    <w:rsid w:val="00004556"/>
    <w:rsid w:val="000049B7"/>
    <w:rsid w:val="000056B8"/>
    <w:rsid w:val="000058F9"/>
    <w:rsid w:val="0000672F"/>
    <w:rsid w:val="00007074"/>
    <w:rsid w:val="00007FC2"/>
    <w:rsid w:val="00010174"/>
    <w:rsid w:val="00010C2E"/>
    <w:rsid w:val="0001145F"/>
    <w:rsid w:val="00011636"/>
    <w:rsid w:val="00011B56"/>
    <w:rsid w:val="00011B66"/>
    <w:rsid w:val="00013465"/>
    <w:rsid w:val="0001373A"/>
    <w:rsid w:val="0001382E"/>
    <w:rsid w:val="000142FE"/>
    <w:rsid w:val="000143E9"/>
    <w:rsid w:val="00014B34"/>
    <w:rsid w:val="000168C9"/>
    <w:rsid w:val="00016C20"/>
    <w:rsid w:val="00016DBB"/>
    <w:rsid w:val="00017144"/>
    <w:rsid w:val="00017EB5"/>
    <w:rsid w:val="00021437"/>
    <w:rsid w:val="000238AC"/>
    <w:rsid w:val="000249EF"/>
    <w:rsid w:val="000250AF"/>
    <w:rsid w:val="00025490"/>
    <w:rsid w:val="0002561E"/>
    <w:rsid w:val="00025712"/>
    <w:rsid w:val="000268E1"/>
    <w:rsid w:val="00026E1E"/>
    <w:rsid w:val="000271D3"/>
    <w:rsid w:val="0003240C"/>
    <w:rsid w:val="000325C0"/>
    <w:rsid w:val="000328C1"/>
    <w:rsid w:val="000336DE"/>
    <w:rsid w:val="00033AA3"/>
    <w:rsid w:val="000340F6"/>
    <w:rsid w:val="00034385"/>
    <w:rsid w:val="0003575A"/>
    <w:rsid w:val="00035979"/>
    <w:rsid w:val="00035FA4"/>
    <w:rsid w:val="000360EB"/>
    <w:rsid w:val="00037A5F"/>
    <w:rsid w:val="00037D87"/>
    <w:rsid w:val="0004030D"/>
    <w:rsid w:val="0004069D"/>
    <w:rsid w:val="00041B89"/>
    <w:rsid w:val="00042A9D"/>
    <w:rsid w:val="00042ACB"/>
    <w:rsid w:val="00043396"/>
    <w:rsid w:val="00043C48"/>
    <w:rsid w:val="00043D2C"/>
    <w:rsid w:val="00043FD2"/>
    <w:rsid w:val="00043FE4"/>
    <w:rsid w:val="00044829"/>
    <w:rsid w:val="00044C05"/>
    <w:rsid w:val="0004509A"/>
    <w:rsid w:val="00045CC8"/>
    <w:rsid w:val="00045F49"/>
    <w:rsid w:val="00045FFA"/>
    <w:rsid w:val="00046371"/>
    <w:rsid w:val="00046812"/>
    <w:rsid w:val="000469EF"/>
    <w:rsid w:val="00046A75"/>
    <w:rsid w:val="00047DE4"/>
    <w:rsid w:val="00047E61"/>
    <w:rsid w:val="00053483"/>
    <w:rsid w:val="0005496D"/>
    <w:rsid w:val="00054FCE"/>
    <w:rsid w:val="00055ACD"/>
    <w:rsid w:val="00056101"/>
    <w:rsid w:val="00056161"/>
    <w:rsid w:val="00056F27"/>
    <w:rsid w:val="000572C5"/>
    <w:rsid w:val="000573AF"/>
    <w:rsid w:val="00060B83"/>
    <w:rsid w:val="0006169E"/>
    <w:rsid w:val="000623A7"/>
    <w:rsid w:val="000626FD"/>
    <w:rsid w:val="00063182"/>
    <w:rsid w:val="0006432B"/>
    <w:rsid w:val="00064C7F"/>
    <w:rsid w:val="00064D82"/>
    <w:rsid w:val="00065241"/>
    <w:rsid w:val="000653D4"/>
    <w:rsid w:val="00065E58"/>
    <w:rsid w:val="0006667B"/>
    <w:rsid w:val="00067054"/>
    <w:rsid w:val="0006753E"/>
    <w:rsid w:val="00070D8E"/>
    <w:rsid w:val="000715BA"/>
    <w:rsid w:val="00071A27"/>
    <w:rsid w:val="00071AB2"/>
    <w:rsid w:val="00071B0F"/>
    <w:rsid w:val="00071C35"/>
    <w:rsid w:val="00073654"/>
    <w:rsid w:val="000743B0"/>
    <w:rsid w:val="00074B6B"/>
    <w:rsid w:val="00075F50"/>
    <w:rsid w:val="00075F93"/>
    <w:rsid w:val="0007683F"/>
    <w:rsid w:val="00076869"/>
    <w:rsid w:val="00077163"/>
    <w:rsid w:val="000802DF"/>
    <w:rsid w:val="00080D77"/>
    <w:rsid w:val="00081B08"/>
    <w:rsid w:val="00082A6D"/>
    <w:rsid w:val="00083023"/>
    <w:rsid w:val="0008341B"/>
    <w:rsid w:val="0008379C"/>
    <w:rsid w:val="0008381A"/>
    <w:rsid w:val="0008435D"/>
    <w:rsid w:val="00085141"/>
    <w:rsid w:val="0008558C"/>
    <w:rsid w:val="00085F13"/>
    <w:rsid w:val="00086DEA"/>
    <w:rsid w:val="000901DD"/>
    <w:rsid w:val="000929FA"/>
    <w:rsid w:val="000951BC"/>
    <w:rsid w:val="0009561A"/>
    <w:rsid w:val="00095D40"/>
    <w:rsid w:val="000A0712"/>
    <w:rsid w:val="000A0FC8"/>
    <w:rsid w:val="000A28D4"/>
    <w:rsid w:val="000A2AF7"/>
    <w:rsid w:val="000A2E03"/>
    <w:rsid w:val="000A2EB4"/>
    <w:rsid w:val="000A3DA3"/>
    <w:rsid w:val="000A4572"/>
    <w:rsid w:val="000A63C6"/>
    <w:rsid w:val="000A7AD4"/>
    <w:rsid w:val="000B0768"/>
    <w:rsid w:val="000B0C43"/>
    <w:rsid w:val="000B1005"/>
    <w:rsid w:val="000B1359"/>
    <w:rsid w:val="000B26EF"/>
    <w:rsid w:val="000B3231"/>
    <w:rsid w:val="000B3346"/>
    <w:rsid w:val="000B4630"/>
    <w:rsid w:val="000B497F"/>
    <w:rsid w:val="000B5066"/>
    <w:rsid w:val="000B710D"/>
    <w:rsid w:val="000B732C"/>
    <w:rsid w:val="000B7558"/>
    <w:rsid w:val="000C04DC"/>
    <w:rsid w:val="000C0D98"/>
    <w:rsid w:val="000C0FF1"/>
    <w:rsid w:val="000C2DFC"/>
    <w:rsid w:val="000C3360"/>
    <w:rsid w:val="000C4782"/>
    <w:rsid w:val="000C5027"/>
    <w:rsid w:val="000C59DC"/>
    <w:rsid w:val="000C71BD"/>
    <w:rsid w:val="000C7816"/>
    <w:rsid w:val="000D000F"/>
    <w:rsid w:val="000D05CD"/>
    <w:rsid w:val="000D072E"/>
    <w:rsid w:val="000D25E6"/>
    <w:rsid w:val="000D3EC7"/>
    <w:rsid w:val="000D3FB8"/>
    <w:rsid w:val="000D4C58"/>
    <w:rsid w:val="000D5454"/>
    <w:rsid w:val="000D6092"/>
    <w:rsid w:val="000D6B36"/>
    <w:rsid w:val="000D6D06"/>
    <w:rsid w:val="000D712B"/>
    <w:rsid w:val="000D7C4E"/>
    <w:rsid w:val="000E014C"/>
    <w:rsid w:val="000E0C50"/>
    <w:rsid w:val="000E15AA"/>
    <w:rsid w:val="000E162B"/>
    <w:rsid w:val="000E1CDD"/>
    <w:rsid w:val="000E3FD7"/>
    <w:rsid w:val="000E475F"/>
    <w:rsid w:val="000E5693"/>
    <w:rsid w:val="000E5827"/>
    <w:rsid w:val="000E6525"/>
    <w:rsid w:val="000E65F7"/>
    <w:rsid w:val="000E6A0C"/>
    <w:rsid w:val="000E743A"/>
    <w:rsid w:val="000F1345"/>
    <w:rsid w:val="000F174D"/>
    <w:rsid w:val="000F2799"/>
    <w:rsid w:val="000F4365"/>
    <w:rsid w:val="000F4F09"/>
    <w:rsid w:val="000F50D5"/>
    <w:rsid w:val="000F5804"/>
    <w:rsid w:val="000F593D"/>
    <w:rsid w:val="000F5C66"/>
    <w:rsid w:val="000F79C5"/>
    <w:rsid w:val="001001B9"/>
    <w:rsid w:val="001019B3"/>
    <w:rsid w:val="00102254"/>
    <w:rsid w:val="00102BCC"/>
    <w:rsid w:val="0010315C"/>
    <w:rsid w:val="001043AA"/>
    <w:rsid w:val="001049F0"/>
    <w:rsid w:val="00104E21"/>
    <w:rsid w:val="00105189"/>
    <w:rsid w:val="001051FE"/>
    <w:rsid w:val="001056B4"/>
    <w:rsid w:val="00105C55"/>
    <w:rsid w:val="0010702C"/>
    <w:rsid w:val="0011056F"/>
    <w:rsid w:val="00110970"/>
    <w:rsid w:val="00111568"/>
    <w:rsid w:val="00111827"/>
    <w:rsid w:val="001120C0"/>
    <w:rsid w:val="00113327"/>
    <w:rsid w:val="00113655"/>
    <w:rsid w:val="00113FD8"/>
    <w:rsid w:val="001146AB"/>
    <w:rsid w:val="001150BF"/>
    <w:rsid w:val="00115EB0"/>
    <w:rsid w:val="001168F2"/>
    <w:rsid w:val="00116CC0"/>
    <w:rsid w:val="0011745D"/>
    <w:rsid w:val="00117D0F"/>
    <w:rsid w:val="00120207"/>
    <w:rsid w:val="00120376"/>
    <w:rsid w:val="00121374"/>
    <w:rsid w:val="00122047"/>
    <w:rsid w:val="001221F3"/>
    <w:rsid w:val="0012328B"/>
    <w:rsid w:val="00123B0F"/>
    <w:rsid w:val="00123C1B"/>
    <w:rsid w:val="00123D3A"/>
    <w:rsid w:val="00123FD8"/>
    <w:rsid w:val="00124125"/>
    <w:rsid w:val="00124B66"/>
    <w:rsid w:val="00125E3C"/>
    <w:rsid w:val="00126F7C"/>
    <w:rsid w:val="0013026D"/>
    <w:rsid w:val="00130E20"/>
    <w:rsid w:val="00131666"/>
    <w:rsid w:val="0013205D"/>
    <w:rsid w:val="001324A3"/>
    <w:rsid w:val="00132EF2"/>
    <w:rsid w:val="00133E7E"/>
    <w:rsid w:val="0013456F"/>
    <w:rsid w:val="001355B7"/>
    <w:rsid w:val="00135E7C"/>
    <w:rsid w:val="00136C1B"/>
    <w:rsid w:val="00137696"/>
    <w:rsid w:val="001378AB"/>
    <w:rsid w:val="00137A82"/>
    <w:rsid w:val="0014041A"/>
    <w:rsid w:val="001414BA"/>
    <w:rsid w:val="001417DA"/>
    <w:rsid w:val="00141A3A"/>
    <w:rsid w:val="00141E00"/>
    <w:rsid w:val="00142072"/>
    <w:rsid w:val="001422BC"/>
    <w:rsid w:val="00142539"/>
    <w:rsid w:val="001428DD"/>
    <w:rsid w:val="001431F6"/>
    <w:rsid w:val="00143FCB"/>
    <w:rsid w:val="00144334"/>
    <w:rsid w:val="001447ED"/>
    <w:rsid w:val="001455B0"/>
    <w:rsid w:val="00145627"/>
    <w:rsid w:val="00145910"/>
    <w:rsid w:val="001460FC"/>
    <w:rsid w:val="001466A4"/>
    <w:rsid w:val="00146A41"/>
    <w:rsid w:val="00146FFA"/>
    <w:rsid w:val="001500F9"/>
    <w:rsid w:val="001502CE"/>
    <w:rsid w:val="00151679"/>
    <w:rsid w:val="00151CBB"/>
    <w:rsid w:val="00151E05"/>
    <w:rsid w:val="00152208"/>
    <w:rsid w:val="00152242"/>
    <w:rsid w:val="001529BC"/>
    <w:rsid w:val="0015318E"/>
    <w:rsid w:val="001537AF"/>
    <w:rsid w:val="00153AF7"/>
    <w:rsid w:val="001546DB"/>
    <w:rsid w:val="00154DD6"/>
    <w:rsid w:val="001552BC"/>
    <w:rsid w:val="001556CF"/>
    <w:rsid w:val="00156189"/>
    <w:rsid w:val="00156685"/>
    <w:rsid w:val="00156BD4"/>
    <w:rsid w:val="00156D7A"/>
    <w:rsid w:val="00157446"/>
    <w:rsid w:val="001574AC"/>
    <w:rsid w:val="00157819"/>
    <w:rsid w:val="00160806"/>
    <w:rsid w:val="0016122C"/>
    <w:rsid w:val="00161569"/>
    <w:rsid w:val="001618F9"/>
    <w:rsid w:val="00162272"/>
    <w:rsid w:val="00162E21"/>
    <w:rsid w:val="001631B4"/>
    <w:rsid w:val="00163908"/>
    <w:rsid w:val="00163909"/>
    <w:rsid w:val="00163992"/>
    <w:rsid w:val="00163BC4"/>
    <w:rsid w:val="00163D92"/>
    <w:rsid w:val="00163FF9"/>
    <w:rsid w:val="00164144"/>
    <w:rsid w:val="0016594A"/>
    <w:rsid w:val="00165FFF"/>
    <w:rsid w:val="0017110E"/>
    <w:rsid w:val="001721DA"/>
    <w:rsid w:val="001728DA"/>
    <w:rsid w:val="00172ADE"/>
    <w:rsid w:val="00172AF4"/>
    <w:rsid w:val="00173452"/>
    <w:rsid w:val="001738BC"/>
    <w:rsid w:val="00173EFF"/>
    <w:rsid w:val="001752DB"/>
    <w:rsid w:val="00175703"/>
    <w:rsid w:val="001758DE"/>
    <w:rsid w:val="001766FC"/>
    <w:rsid w:val="00176D25"/>
    <w:rsid w:val="00176FCF"/>
    <w:rsid w:val="00177152"/>
    <w:rsid w:val="00177292"/>
    <w:rsid w:val="001806BB"/>
    <w:rsid w:val="00180990"/>
    <w:rsid w:val="0018181B"/>
    <w:rsid w:val="001818DE"/>
    <w:rsid w:val="00182104"/>
    <w:rsid w:val="00182A88"/>
    <w:rsid w:val="0018342E"/>
    <w:rsid w:val="001840C2"/>
    <w:rsid w:val="001847B9"/>
    <w:rsid w:val="00184B46"/>
    <w:rsid w:val="0018544C"/>
    <w:rsid w:val="00185556"/>
    <w:rsid w:val="00185820"/>
    <w:rsid w:val="00185939"/>
    <w:rsid w:val="001860F1"/>
    <w:rsid w:val="00186B9E"/>
    <w:rsid w:val="001876F6"/>
    <w:rsid w:val="00187D95"/>
    <w:rsid w:val="00190E76"/>
    <w:rsid w:val="0019137A"/>
    <w:rsid w:val="00191404"/>
    <w:rsid w:val="00191631"/>
    <w:rsid w:val="00191E23"/>
    <w:rsid w:val="00192A24"/>
    <w:rsid w:val="00192BAD"/>
    <w:rsid w:val="001932EC"/>
    <w:rsid w:val="0019376D"/>
    <w:rsid w:val="00193F94"/>
    <w:rsid w:val="00194088"/>
    <w:rsid w:val="00194121"/>
    <w:rsid w:val="001941EB"/>
    <w:rsid w:val="00194356"/>
    <w:rsid w:val="001953B1"/>
    <w:rsid w:val="001957A6"/>
    <w:rsid w:val="001963C0"/>
    <w:rsid w:val="00196E9B"/>
    <w:rsid w:val="001970A8"/>
    <w:rsid w:val="00197935"/>
    <w:rsid w:val="00197956"/>
    <w:rsid w:val="00197BC2"/>
    <w:rsid w:val="001A0BCE"/>
    <w:rsid w:val="001A0F09"/>
    <w:rsid w:val="001A13CA"/>
    <w:rsid w:val="001A1D26"/>
    <w:rsid w:val="001A1E76"/>
    <w:rsid w:val="001A20E9"/>
    <w:rsid w:val="001A253E"/>
    <w:rsid w:val="001A266B"/>
    <w:rsid w:val="001A446E"/>
    <w:rsid w:val="001A5D42"/>
    <w:rsid w:val="001A5E5F"/>
    <w:rsid w:val="001A6446"/>
    <w:rsid w:val="001A650A"/>
    <w:rsid w:val="001A7391"/>
    <w:rsid w:val="001B0F43"/>
    <w:rsid w:val="001B0F6E"/>
    <w:rsid w:val="001B17A8"/>
    <w:rsid w:val="001B1BB5"/>
    <w:rsid w:val="001B242B"/>
    <w:rsid w:val="001B300F"/>
    <w:rsid w:val="001B32FF"/>
    <w:rsid w:val="001B3420"/>
    <w:rsid w:val="001B3D53"/>
    <w:rsid w:val="001B5A7C"/>
    <w:rsid w:val="001B63C6"/>
    <w:rsid w:val="001B6C8E"/>
    <w:rsid w:val="001B723A"/>
    <w:rsid w:val="001C1CFE"/>
    <w:rsid w:val="001C3004"/>
    <w:rsid w:val="001C3687"/>
    <w:rsid w:val="001C474D"/>
    <w:rsid w:val="001C48D4"/>
    <w:rsid w:val="001C4FF2"/>
    <w:rsid w:val="001C68B4"/>
    <w:rsid w:val="001C6B11"/>
    <w:rsid w:val="001C7680"/>
    <w:rsid w:val="001C7C93"/>
    <w:rsid w:val="001C7E1A"/>
    <w:rsid w:val="001D08FC"/>
    <w:rsid w:val="001D1A1F"/>
    <w:rsid w:val="001D1A75"/>
    <w:rsid w:val="001D33C6"/>
    <w:rsid w:val="001D36CD"/>
    <w:rsid w:val="001D37A5"/>
    <w:rsid w:val="001D4289"/>
    <w:rsid w:val="001D4F49"/>
    <w:rsid w:val="001D5862"/>
    <w:rsid w:val="001D5B83"/>
    <w:rsid w:val="001D7472"/>
    <w:rsid w:val="001D7982"/>
    <w:rsid w:val="001D7EF2"/>
    <w:rsid w:val="001E0BD0"/>
    <w:rsid w:val="001E167D"/>
    <w:rsid w:val="001E1D3D"/>
    <w:rsid w:val="001E2BA6"/>
    <w:rsid w:val="001E3048"/>
    <w:rsid w:val="001E32D5"/>
    <w:rsid w:val="001E42BF"/>
    <w:rsid w:val="001E4507"/>
    <w:rsid w:val="001E47D1"/>
    <w:rsid w:val="001E4EAC"/>
    <w:rsid w:val="001E5263"/>
    <w:rsid w:val="001E5BD9"/>
    <w:rsid w:val="001E6A64"/>
    <w:rsid w:val="001E724B"/>
    <w:rsid w:val="001E75C5"/>
    <w:rsid w:val="001E75E4"/>
    <w:rsid w:val="001E7B4E"/>
    <w:rsid w:val="001E7E67"/>
    <w:rsid w:val="001F0C08"/>
    <w:rsid w:val="001F0D6F"/>
    <w:rsid w:val="001F1435"/>
    <w:rsid w:val="001F1474"/>
    <w:rsid w:val="001F2A55"/>
    <w:rsid w:val="001F33D6"/>
    <w:rsid w:val="001F37E5"/>
    <w:rsid w:val="001F3F2A"/>
    <w:rsid w:val="001F40E0"/>
    <w:rsid w:val="001F4C77"/>
    <w:rsid w:val="001F4D0D"/>
    <w:rsid w:val="001F4EE2"/>
    <w:rsid w:val="001F69C2"/>
    <w:rsid w:val="001F77E9"/>
    <w:rsid w:val="00200B4E"/>
    <w:rsid w:val="00200BEB"/>
    <w:rsid w:val="0020153F"/>
    <w:rsid w:val="002022CD"/>
    <w:rsid w:val="00202713"/>
    <w:rsid w:val="0020281E"/>
    <w:rsid w:val="00202C13"/>
    <w:rsid w:val="00203935"/>
    <w:rsid w:val="00203C30"/>
    <w:rsid w:val="002048D1"/>
    <w:rsid w:val="002048DF"/>
    <w:rsid w:val="002049B8"/>
    <w:rsid w:val="002050ED"/>
    <w:rsid w:val="00206261"/>
    <w:rsid w:val="00206E91"/>
    <w:rsid w:val="00207791"/>
    <w:rsid w:val="002079CB"/>
    <w:rsid w:val="0021096E"/>
    <w:rsid w:val="00210DE8"/>
    <w:rsid w:val="00210EF2"/>
    <w:rsid w:val="00211696"/>
    <w:rsid w:val="00211D73"/>
    <w:rsid w:val="002126F9"/>
    <w:rsid w:val="0021294A"/>
    <w:rsid w:val="00212A3E"/>
    <w:rsid w:val="002137E1"/>
    <w:rsid w:val="00213D0D"/>
    <w:rsid w:val="00213DC8"/>
    <w:rsid w:val="00214751"/>
    <w:rsid w:val="00214BF2"/>
    <w:rsid w:val="002158D2"/>
    <w:rsid w:val="00215A7F"/>
    <w:rsid w:val="00215AAE"/>
    <w:rsid w:val="00215CE8"/>
    <w:rsid w:val="00216456"/>
    <w:rsid w:val="00216522"/>
    <w:rsid w:val="00216DB3"/>
    <w:rsid w:val="0021785B"/>
    <w:rsid w:val="00217E07"/>
    <w:rsid w:val="002215C1"/>
    <w:rsid w:val="002217EA"/>
    <w:rsid w:val="00221D19"/>
    <w:rsid w:val="00223AB5"/>
    <w:rsid w:val="00224535"/>
    <w:rsid w:val="002263FB"/>
    <w:rsid w:val="0022666B"/>
    <w:rsid w:val="00226881"/>
    <w:rsid w:val="0022734D"/>
    <w:rsid w:val="002279C9"/>
    <w:rsid w:val="00227DB0"/>
    <w:rsid w:val="00230740"/>
    <w:rsid w:val="0023263F"/>
    <w:rsid w:val="00232C3C"/>
    <w:rsid w:val="00233A45"/>
    <w:rsid w:val="002342FF"/>
    <w:rsid w:val="0023447F"/>
    <w:rsid w:val="002346BF"/>
    <w:rsid w:val="00234872"/>
    <w:rsid w:val="00234A4E"/>
    <w:rsid w:val="002350B3"/>
    <w:rsid w:val="002357F0"/>
    <w:rsid w:val="00236668"/>
    <w:rsid w:val="00236DD7"/>
    <w:rsid w:val="0023753D"/>
    <w:rsid w:val="0023798E"/>
    <w:rsid w:val="00240182"/>
    <w:rsid w:val="00240EA1"/>
    <w:rsid w:val="00241369"/>
    <w:rsid w:val="00241435"/>
    <w:rsid w:val="0024157A"/>
    <w:rsid w:val="00242222"/>
    <w:rsid w:val="0024239A"/>
    <w:rsid w:val="002427A3"/>
    <w:rsid w:val="00242EE4"/>
    <w:rsid w:val="00244254"/>
    <w:rsid w:val="0024462E"/>
    <w:rsid w:val="0024470B"/>
    <w:rsid w:val="00244F58"/>
    <w:rsid w:val="00245A96"/>
    <w:rsid w:val="00245B8E"/>
    <w:rsid w:val="00246180"/>
    <w:rsid w:val="00246DC2"/>
    <w:rsid w:val="00247359"/>
    <w:rsid w:val="002474FA"/>
    <w:rsid w:val="002478B6"/>
    <w:rsid w:val="002479B4"/>
    <w:rsid w:val="00247EF9"/>
    <w:rsid w:val="0025030B"/>
    <w:rsid w:val="00250DB3"/>
    <w:rsid w:val="00253493"/>
    <w:rsid w:val="002536E0"/>
    <w:rsid w:val="00253C0B"/>
    <w:rsid w:val="00254A1A"/>
    <w:rsid w:val="00254F58"/>
    <w:rsid w:val="002556CF"/>
    <w:rsid w:val="0025593B"/>
    <w:rsid w:val="00255C6B"/>
    <w:rsid w:val="00255F08"/>
    <w:rsid w:val="00256101"/>
    <w:rsid w:val="002577E6"/>
    <w:rsid w:val="00257AFB"/>
    <w:rsid w:val="00257FCE"/>
    <w:rsid w:val="00260613"/>
    <w:rsid w:val="00260A0B"/>
    <w:rsid w:val="00262230"/>
    <w:rsid w:val="0026293D"/>
    <w:rsid w:val="00262F79"/>
    <w:rsid w:val="0026328A"/>
    <w:rsid w:val="002634D2"/>
    <w:rsid w:val="00263C38"/>
    <w:rsid w:val="0026501A"/>
    <w:rsid w:val="002658AB"/>
    <w:rsid w:val="0026590F"/>
    <w:rsid w:val="00265982"/>
    <w:rsid w:val="00266356"/>
    <w:rsid w:val="00267C5E"/>
    <w:rsid w:val="00270154"/>
    <w:rsid w:val="002704DA"/>
    <w:rsid w:val="00271F70"/>
    <w:rsid w:val="002721C9"/>
    <w:rsid w:val="00272D86"/>
    <w:rsid w:val="00273044"/>
    <w:rsid w:val="0027337F"/>
    <w:rsid w:val="00273A19"/>
    <w:rsid w:val="0027408B"/>
    <w:rsid w:val="002743F3"/>
    <w:rsid w:val="00274E90"/>
    <w:rsid w:val="00276667"/>
    <w:rsid w:val="00276A56"/>
    <w:rsid w:val="00276B56"/>
    <w:rsid w:val="00277558"/>
    <w:rsid w:val="0027757F"/>
    <w:rsid w:val="002803A7"/>
    <w:rsid w:val="002805FB"/>
    <w:rsid w:val="00280F46"/>
    <w:rsid w:val="002819FD"/>
    <w:rsid w:val="002829E4"/>
    <w:rsid w:val="002833B5"/>
    <w:rsid w:val="00284848"/>
    <w:rsid w:val="0028583A"/>
    <w:rsid w:val="00287368"/>
    <w:rsid w:val="00287873"/>
    <w:rsid w:val="002879BD"/>
    <w:rsid w:val="00287DB0"/>
    <w:rsid w:val="002916CC"/>
    <w:rsid w:val="00292054"/>
    <w:rsid w:val="0029278C"/>
    <w:rsid w:val="00292E65"/>
    <w:rsid w:val="00292EE1"/>
    <w:rsid w:val="0029433C"/>
    <w:rsid w:val="0029565A"/>
    <w:rsid w:val="002968D5"/>
    <w:rsid w:val="0029697C"/>
    <w:rsid w:val="00296B94"/>
    <w:rsid w:val="0029712B"/>
    <w:rsid w:val="00297264"/>
    <w:rsid w:val="002979F1"/>
    <w:rsid w:val="00297DFB"/>
    <w:rsid w:val="002A04DC"/>
    <w:rsid w:val="002A054D"/>
    <w:rsid w:val="002A13E1"/>
    <w:rsid w:val="002A1708"/>
    <w:rsid w:val="002A3225"/>
    <w:rsid w:val="002A3248"/>
    <w:rsid w:val="002A35FD"/>
    <w:rsid w:val="002A6BD9"/>
    <w:rsid w:val="002B0580"/>
    <w:rsid w:val="002B0846"/>
    <w:rsid w:val="002B1304"/>
    <w:rsid w:val="002B3B30"/>
    <w:rsid w:val="002B43CA"/>
    <w:rsid w:val="002B4B14"/>
    <w:rsid w:val="002B5169"/>
    <w:rsid w:val="002B586F"/>
    <w:rsid w:val="002B5C10"/>
    <w:rsid w:val="002B5E35"/>
    <w:rsid w:val="002B5EC2"/>
    <w:rsid w:val="002B64A5"/>
    <w:rsid w:val="002C012E"/>
    <w:rsid w:val="002C135F"/>
    <w:rsid w:val="002C1D4B"/>
    <w:rsid w:val="002C35FC"/>
    <w:rsid w:val="002C5981"/>
    <w:rsid w:val="002C5EA7"/>
    <w:rsid w:val="002D0410"/>
    <w:rsid w:val="002D0899"/>
    <w:rsid w:val="002D1353"/>
    <w:rsid w:val="002D1707"/>
    <w:rsid w:val="002D17E2"/>
    <w:rsid w:val="002D2AB9"/>
    <w:rsid w:val="002D3F5B"/>
    <w:rsid w:val="002D4E53"/>
    <w:rsid w:val="002D563C"/>
    <w:rsid w:val="002D5841"/>
    <w:rsid w:val="002D5B13"/>
    <w:rsid w:val="002D5F1F"/>
    <w:rsid w:val="002D629A"/>
    <w:rsid w:val="002E0CE7"/>
    <w:rsid w:val="002E0EC8"/>
    <w:rsid w:val="002E1A8F"/>
    <w:rsid w:val="002E2117"/>
    <w:rsid w:val="002E278F"/>
    <w:rsid w:val="002E281C"/>
    <w:rsid w:val="002E3B4D"/>
    <w:rsid w:val="002E62C8"/>
    <w:rsid w:val="002E6656"/>
    <w:rsid w:val="002E68B5"/>
    <w:rsid w:val="002E6B97"/>
    <w:rsid w:val="002F0522"/>
    <w:rsid w:val="002F0734"/>
    <w:rsid w:val="002F077C"/>
    <w:rsid w:val="002F1A1E"/>
    <w:rsid w:val="002F1C6F"/>
    <w:rsid w:val="002F2AFD"/>
    <w:rsid w:val="002F3873"/>
    <w:rsid w:val="002F51A4"/>
    <w:rsid w:val="002F5620"/>
    <w:rsid w:val="002F5F51"/>
    <w:rsid w:val="002F5F95"/>
    <w:rsid w:val="002F733F"/>
    <w:rsid w:val="002F7D1B"/>
    <w:rsid w:val="00301975"/>
    <w:rsid w:val="00301CAF"/>
    <w:rsid w:val="00301DBA"/>
    <w:rsid w:val="003020A9"/>
    <w:rsid w:val="003028C7"/>
    <w:rsid w:val="003030A5"/>
    <w:rsid w:val="0030367B"/>
    <w:rsid w:val="00303D96"/>
    <w:rsid w:val="00303FC6"/>
    <w:rsid w:val="0030435A"/>
    <w:rsid w:val="003052C0"/>
    <w:rsid w:val="0030542C"/>
    <w:rsid w:val="00305F58"/>
    <w:rsid w:val="00306024"/>
    <w:rsid w:val="003068EB"/>
    <w:rsid w:val="00310418"/>
    <w:rsid w:val="00312430"/>
    <w:rsid w:val="00312CE1"/>
    <w:rsid w:val="00312FFC"/>
    <w:rsid w:val="00313CBF"/>
    <w:rsid w:val="00314232"/>
    <w:rsid w:val="003143FB"/>
    <w:rsid w:val="00314F77"/>
    <w:rsid w:val="003150BF"/>
    <w:rsid w:val="003150CE"/>
    <w:rsid w:val="00315219"/>
    <w:rsid w:val="00315E23"/>
    <w:rsid w:val="00315E92"/>
    <w:rsid w:val="003162DC"/>
    <w:rsid w:val="00316781"/>
    <w:rsid w:val="00316BE4"/>
    <w:rsid w:val="00316D53"/>
    <w:rsid w:val="00317263"/>
    <w:rsid w:val="00317D36"/>
    <w:rsid w:val="0032010D"/>
    <w:rsid w:val="0032126B"/>
    <w:rsid w:val="00321609"/>
    <w:rsid w:val="003217BA"/>
    <w:rsid w:val="003217BC"/>
    <w:rsid w:val="00323668"/>
    <w:rsid w:val="0032393D"/>
    <w:rsid w:val="00323B9E"/>
    <w:rsid w:val="00323EB6"/>
    <w:rsid w:val="003247D2"/>
    <w:rsid w:val="00325B6D"/>
    <w:rsid w:val="00325BAA"/>
    <w:rsid w:val="00325C4F"/>
    <w:rsid w:val="00325C8B"/>
    <w:rsid w:val="003260F4"/>
    <w:rsid w:val="00326C20"/>
    <w:rsid w:val="00327ED1"/>
    <w:rsid w:val="0033041B"/>
    <w:rsid w:val="0033042F"/>
    <w:rsid w:val="00330804"/>
    <w:rsid w:val="00333315"/>
    <w:rsid w:val="00334563"/>
    <w:rsid w:val="00334A03"/>
    <w:rsid w:val="00334A6B"/>
    <w:rsid w:val="00334F24"/>
    <w:rsid w:val="00335848"/>
    <w:rsid w:val="0033658E"/>
    <w:rsid w:val="0033665F"/>
    <w:rsid w:val="003366B2"/>
    <w:rsid w:val="003367ED"/>
    <w:rsid w:val="0033715B"/>
    <w:rsid w:val="0033735E"/>
    <w:rsid w:val="00337DA9"/>
    <w:rsid w:val="00340066"/>
    <w:rsid w:val="00341E1D"/>
    <w:rsid w:val="00341EB2"/>
    <w:rsid w:val="0034288B"/>
    <w:rsid w:val="003432F8"/>
    <w:rsid w:val="0034332B"/>
    <w:rsid w:val="00343425"/>
    <w:rsid w:val="0034681C"/>
    <w:rsid w:val="0034693F"/>
    <w:rsid w:val="003475BB"/>
    <w:rsid w:val="00347A09"/>
    <w:rsid w:val="00350568"/>
    <w:rsid w:val="00351297"/>
    <w:rsid w:val="00351594"/>
    <w:rsid w:val="00351A36"/>
    <w:rsid w:val="00351D5F"/>
    <w:rsid w:val="00351F54"/>
    <w:rsid w:val="00352DCB"/>
    <w:rsid w:val="0035313A"/>
    <w:rsid w:val="003541C7"/>
    <w:rsid w:val="003546FF"/>
    <w:rsid w:val="003549FF"/>
    <w:rsid w:val="00354DD9"/>
    <w:rsid w:val="00356D8F"/>
    <w:rsid w:val="003579AC"/>
    <w:rsid w:val="00357D47"/>
    <w:rsid w:val="003600A8"/>
    <w:rsid w:val="003601C1"/>
    <w:rsid w:val="0036107E"/>
    <w:rsid w:val="00363F5B"/>
    <w:rsid w:val="003645EF"/>
    <w:rsid w:val="0036469D"/>
    <w:rsid w:val="00364EB0"/>
    <w:rsid w:val="00365C92"/>
    <w:rsid w:val="003660E2"/>
    <w:rsid w:val="00366258"/>
    <w:rsid w:val="00366524"/>
    <w:rsid w:val="003666E7"/>
    <w:rsid w:val="00370D0F"/>
    <w:rsid w:val="00370D85"/>
    <w:rsid w:val="003710BF"/>
    <w:rsid w:val="00371532"/>
    <w:rsid w:val="00372480"/>
    <w:rsid w:val="003728F4"/>
    <w:rsid w:val="00373163"/>
    <w:rsid w:val="00373C92"/>
    <w:rsid w:val="00373E58"/>
    <w:rsid w:val="00376073"/>
    <w:rsid w:val="0037686F"/>
    <w:rsid w:val="00376FEE"/>
    <w:rsid w:val="00377452"/>
    <w:rsid w:val="003801A0"/>
    <w:rsid w:val="00380776"/>
    <w:rsid w:val="00381223"/>
    <w:rsid w:val="00381224"/>
    <w:rsid w:val="003816B9"/>
    <w:rsid w:val="00381849"/>
    <w:rsid w:val="00381E37"/>
    <w:rsid w:val="0038211E"/>
    <w:rsid w:val="0038223B"/>
    <w:rsid w:val="003823A0"/>
    <w:rsid w:val="00383FE9"/>
    <w:rsid w:val="00384964"/>
    <w:rsid w:val="00384F36"/>
    <w:rsid w:val="00385271"/>
    <w:rsid w:val="003866F0"/>
    <w:rsid w:val="003873DF"/>
    <w:rsid w:val="00387CD2"/>
    <w:rsid w:val="0039034D"/>
    <w:rsid w:val="00390A0B"/>
    <w:rsid w:val="00390A31"/>
    <w:rsid w:val="00390EF8"/>
    <w:rsid w:val="003916D9"/>
    <w:rsid w:val="0039171D"/>
    <w:rsid w:val="00391E54"/>
    <w:rsid w:val="0039226E"/>
    <w:rsid w:val="003922DF"/>
    <w:rsid w:val="003922EC"/>
    <w:rsid w:val="0039261E"/>
    <w:rsid w:val="00392963"/>
    <w:rsid w:val="00392BA8"/>
    <w:rsid w:val="00392CC8"/>
    <w:rsid w:val="00394AC8"/>
    <w:rsid w:val="00394C4F"/>
    <w:rsid w:val="0039500E"/>
    <w:rsid w:val="00395468"/>
    <w:rsid w:val="00395CAB"/>
    <w:rsid w:val="00396469"/>
    <w:rsid w:val="003966E2"/>
    <w:rsid w:val="00396C01"/>
    <w:rsid w:val="00396FEA"/>
    <w:rsid w:val="003976FB"/>
    <w:rsid w:val="0039780E"/>
    <w:rsid w:val="00397997"/>
    <w:rsid w:val="003A03E6"/>
    <w:rsid w:val="003A092E"/>
    <w:rsid w:val="003A0CC1"/>
    <w:rsid w:val="003A1520"/>
    <w:rsid w:val="003A1D53"/>
    <w:rsid w:val="003A2017"/>
    <w:rsid w:val="003A2038"/>
    <w:rsid w:val="003A2100"/>
    <w:rsid w:val="003A257A"/>
    <w:rsid w:val="003A2F9F"/>
    <w:rsid w:val="003A3048"/>
    <w:rsid w:val="003A3064"/>
    <w:rsid w:val="003A312B"/>
    <w:rsid w:val="003A3559"/>
    <w:rsid w:val="003A48CC"/>
    <w:rsid w:val="003A5509"/>
    <w:rsid w:val="003A5C6D"/>
    <w:rsid w:val="003A5DD1"/>
    <w:rsid w:val="003A66EF"/>
    <w:rsid w:val="003A72EF"/>
    <w:rsid w:val="003A7425"/>
    <w:rsid w:val="003A7ABB"/>
    <w:rsid w:val="003A7D3B"/>
    <w:rsid w:val="003B02F9"/>
    <w:rsid w:val="003B1A74"/>
    <w:rsid w:val="003B1CD5"/>
    <w:rsid w:val="003B1ED3"/>
    <w:rsid w:val="003B3121"/>
    <w:rsid w:val="003B35C5"/>
    <w:rsid w:val="003B47A3"/>
    <w:rsid w:val="003B4AC8"/>
    <w:rsid w:val="003B4EED"/>
    <w:rsid w:val="003B53D1"/>
    <w:rsid w:val="003B6B2C"/>
    <w:rsid w:val="003B776A"/>
    <w:rsid w:val="003C0397"/>
    <w:rsid w:val="003C06F8"/>
    <w:rsid w:val="003C11B2"/>
    <w:rsid w:val="003C18DE"/>
    <w:rsid w:val="003C20A9"/>
    <w:rsid w:val="003C260A"/>
    <w:rsid w:val="003C266A"/>
    <w:rsid w:val="003C2DC2"/>
    <w:rsid w:val="003C2FF3"/>
    <w:rsid w:val="003C3007"/>
    <w:rsid w:val="003C45A4"/>
    <w:rsid w:val="003C55B6"/>
    <w:rsid w:val="003C602A"/>
    <w:rsid w:val="003C6752"/>
    <w:rsid w:val="003C7132"/>
    <w:rsid w:val="003C7928"/>
    <w:rsid w:val="003C7D6A"/>
    <w:rsid w:val="003C7FAE"/>
    <w:rsid w:val="003D1759"/>
    <w:rsid w:val="003D188D"/>
    <w:rsid w:val="003D1896"/>
    <w:rsid w:val="003D26CA"/>
    <w:rsid w:val="003D3A6F"/>
    <w:rsid w:val="003D3B14"/>
    <w:rsid w:val="003D6150"/>
    <w:rsid w:val="003D62F1"/>
    <w:rsid w:val="003D62F7"/>
    <w:rsid w:val="003D6B4E"/>
    <w:rsid w:val="003D6C96"/>
    <w:rsid w:val="003D7F3D"/>
    <w:rsid w:val="003E1035"/>
    <w:rsid w:val="003E13B9"/>
    <w:rsid w:val="003E17F2"/>
    <w:rsid w:val="003E19F7"/>
    <w:rsid w:val="003E1E6D"/>
    <w:rsid w:val="003E1EB2"/>
    <w:rsid w:val="003E2418"/>
    <w:rsid w:val="003E3523"/>
    <w:rsid w:val="003E3FE1"/>
    <w:rsid w:val="003E3FF3"/>
    <w:rsid w:val="003E4415"/>
    <w:rsid w:val="003E46EF"/>
    <w:rsid w:val="003E492C"/>
    <w:rsid w:val="003E55EB"/>
    <w:rsid w:val="003E5CBD"/>
    <w:rsid w:val="003E5DA3"/>
    <w:rsid w:val="003E659F"/>
    <w:rsid w:val="003E710D"/>
    <w:rsid w:val="003E7A9C"/>
    <w:rsid w:val="003F02E4"/>
    <w:rsid w:val="003F051D"/>
    <w:rsid w:val="003F0C43"/>
    <w:rsid w:val="003F0E0A"/>
    <w:rsid w:val="003F105D"/>
    <w:rsid w:val="003F1066"/>
    <w:rsid w:val="003F2853"/>
    <w:rsid w:val="003F3060"/>
    <w:rsid w:val="003F328F"/>
    <w:rsid w:val="003F3D1C"/>
    <w:rsid w:val="003F3F61"/>
    <w:rsid w:val="003F4B21"/>
    <w:rsid w:val="003F531A"/>
    <w:rsid w:val="003F5BA8"/>
    <w:rsid w:val="003F7C9E"/>
    <w:rsid w:val="0040036F"/>
    <w:rsid w:val="00401038"/>
    <w:rsid w:val="00401390"/>
    <w:rsid w:val="004019D8"/>
    <w:rsid w:val="004025E8"/>
    <w:rsid w:val="00402768"/>
    <w:rsid w:val="0040290A"/>
    <w:rsid w:val="00403FB8"/>
    <w:rsid w:val="00404C36"/>
    <w:rsid w:val="00404DED"/>
    <w:rsid w:val="0040565E"/>
    <w:rsid w:val="004069E4"/>
    <w:rsid w:val="00406F38"/>
    <w:rsid w:val="0040750F"/>
    <w:rsid w:val="00407AF6"/>
    <w:rsid w:val="00407E79"/>
    <w:rsid w:val="004107CA"/>
    <w:rsid w:val="00410ACA"/>
    <w:rsid w:val="004111BC"/>
    <w:rsid w:val="004114CB"/>
    <w:rsid w:val="004118A5"/>
    <w:rsid w:val="00411CE8"/>
    <w:rsid w:val="00412134"/>
    <w:rsid w:val="004125F4"/>
    <w:rsid w:val="004126D4"/>
    <w:rsid w:val="00412C28"/>
    <w:rsid w:val="004140C0"/>
    <w:rsid w:val="00414703"/>
    <w:rsid w:val="00414B12"/>
    <w:rsid w:val="00414C98"/>
    <w:rsid w:val="00415D2B"/>
    <w:rsid w:val="004168C3"/>
    <w:rsid w:val="00416C0A"/>
    <w:rsid w:val="00417979"/>
    <w:rsid w:val="0042041A"/>
    <w:rsid w:val="00421941"/>
    <w:rsid w:val="0042220F"/>
    <w:rsid w:val="00422DB9"/>
    <w:rsid w:val="00424DE2"/>
    <w:rsid w:val="0042554F"/>
    <w:rsid w:val="00426441"/>
    <w:rsid w:val="00427155"/>
    <w:rsid w:val="0042783C"/>
    <w:rsid w:val="004304A6"/>
    <w:rsid w:val="00431347"/>
    <w:rsid w:val="00431BDA"/>
    <w:rsid w:val="00431D2D"/>
    <w:rsid w:val="00432528"/>
    <w:rsid w:val="00432836"/>
    <w:rsid w:val="00433198"/>
    <w:rsid w:val="004346DE"/>
    <w:rsid w:val="004373D1"/>
    <w:rsid w:val="00437472"/>
    <w:rsid w:val="0043778D"/>
    <w:rsid w:val="004406C6"/>
    <w:rsid w:val="00440D01"/>
    <w:rsid w:val="00443322"/>
    <w:rsid w:val="004433C7"/>
    <w:rsid w:val="0044398E"/>
    <w:rsid w:val="00443B63"/>
    <w:rsid w:val="004454C2"/>
    <w:rsid w:val="00445ECD"/>
    <w:rsid w:val="00445F43"/>
    <w:rsid w:val="0044642A"/>
    <w:rsid w:val="00447083"/>
    <w:rsid w:val="00447347"/>
    <w:rsid w:val="004477CB"/>
    <w:rsid w:val="00447F33"/>
    <w:rsid w:val="00450A27"/>
    <w:rsid w:val="00450A9E"/>
    <w:rsid w:val="00451962"/>
    <w:rsid w:val="00451EC2"/>
    <w:rsid w:val="00451F5C"/>
    <w:rsid w:val="004531D9"/>
    <w:rsid w:val="004546A0"/>
    <w:rsid w:val="00454B1D"/>
    <w:rsid w:val="0045573D"/>
    <w:rsid w:val="00456909"/>
    <w:rsid w:val="00456E71"/>
    <w:rsid w:val="004576AF"/>
    <w:rsid w:val="00457BDB"/>
    <w:rsid w:val="00457F29"/>
    <w:rsid w:val="004606C9"/>
    <w:rsid w:val="00460962"/>
    <w:rsid w:val="00460D81"/>
    <w:rsid w:val="004616C8"/>
    <w:rsid w:val="0046185B"/>
    <w:rsid w:val="00461BBA"/>
    <w:rsid w:val="00461DC4"/>
    <w:rsid w:val="00463357"/>
    <w:rsid w:val="00463882"/>
    <w:rsid w:val="004639D9"/>
    <w:rsid w:val="00463A04"/>
    <w:rsid w:val="00463E24"/>
    <w:rsid w:val="00464978"/>
    <w:rsid w:val="004651BB"/>
    <w:rsid w:val="00465255"/>
    <w:rsid w:val="00465BE3"/>
    <w:rsid w:val="00470124"/>
    <w:rsid w:val="00471502"/>
    <w:rsid w:val="004718A5"/>
    <w:rsid w:val="00471A68"/>
    <w:rsid w:val="004736B4"/>
    <w:rsid w:val="00473718"/>
    <w:rsid w:val="00473869"/>
    <w:rsid w:val="0047410E"/>
    <w:rsid w:val="00474546"/>
    <w:rsid w:val="004749C4"/>
    <w:rsid w:val="00475177"/>
    <w:rsid w:val="00475E79"/>
    <w:rsid w:val="004802C7"/>
    <w:rsid w:val="004804BF"/>
    <w:rsid w:val="0048054A"/>
    <w:rsid w:val="00480E31"/>
    <w:rsid w:val="004818E8"/>
    <w:rsid w:val="004819C1"/>
    <w:rsid w:val="00481B6F"/>
    <w:rsid w:val="00482099"/>
    <w:rsid w:val="00482252"/>
    <w:rsid w:val="004825D3"/>
    <w:rsid w:val="004828F2"/>
    <w:rsid w:val="00482DCE"/>
    <w:rsid w:val="00482EDC"/>
    <w:rsid w:val="00482F67"/>
    <w:rsid w:val="00483006"/>
    <w:rsid w:val="004835AD"/>
    <w:rsid w:val="00484915"/>
    <w:rsid w:val="00484929"/>
    <w:rsid w:val="00485961"/>
    <w:rsid w:val="00487387"/>
    <w:rsid w:val="004907BD"/>
    <w:rsid w:val="00491556"/>
    <w:rsid w:val="00491638"/>
    <w:rsid w:val="004919FD"/>
    <w:rsid w:val="00492BAE"/>
    <w:rsid w:val="004945D4"/>
    <w:rsid w:val="00495510"/>
    <w:rsid w:val="00495E35"/>
    <w:rsid w:val="004961F4"/>
    <w:rsid w:val="00496760"/>
    <w:rsid w:val="0049769F"/>
    <w:rsid w:val="00497E0C"/>
    <w:rsid w:val="004A0132"/>
    <w:rsid w:val="004A08B3"/>
    <w:rsid w:val="004A0AF7"/>
    <w:rsid w:val="004A132C"/>
    <w:rsid w:val="004A30F4"/>
    <w:rsid w:val="004A35F8"/>
    <w:rsid w:val="004A384B"/>
    <w:rsid w:val="004A50E5"/>
    <w:rsid w:val="004A5137"/>
    <w:rsid w:val="004A51D9"/>
    <w:rsid w:val="004A592C"/>
    <w:rsid w:val="004A6819"/>
    <w:rsid w:val="004A6EBD"/>
    <w:rsid w:val="004B1897"/>
    <w:rsid w:val="004B26D9"/>
    <w:rsid w:val="004B2802"/>
    <w:rsid w:val="004B2993"/>
    <w:rsid w:val="004B2C5E"/>
    <w:rsid w:val="004B3DD6"/>
    <w:rsid w:val="004B4203"/>
    <w:rsid w:val="004B4484"/>
    <w:rsid w:val="004B4844"/>
    <w:rsid w:val="004B563F"/>
    <w:rsid w:val="004B5864"/>
    <w:rsid w:val="004B607D"/>
    <w:rsid w:val="004B6829"/>
    <w:rsid w:val="004B68C0"/>
    <w:rsid w:val="004B6F97"/>
    <w:rsid w:val="004B774B"/>
    <w:rsid w:val="004C11B1"/>
    <w:rsid w:val="004C4374"/>
    <w:rsid w:val="004C4629"/>
    <w:rsid w:val="004C4B71"/>
    <w:rsid w:val="004C51FA"/>
    <w:rsid w:val="004C61F8"/>
    <w:rsid w:val="004C644D"/>
    <w:rsid w:val="004C6997"/>
    <w:rsid w:val="004C6C7C"/>
    <w:rsid w:val="004C7612"/>
    <w:rsid w:val="004C7C3A"/>
    <w:rsid w:val="004D087E"/>
    <w:rsid w:val="004D0F21"/>
    <w:rsid w:val="004D19DB"/>
    <w:rsid w:val="004D1E88"/>
    <w:rsid w:val="004D2579"/>
    <w:rsid w:val="004D2B06"/>
    <w:rsid w:val="004D2C06"/>
    <w:rsid w:val="004D2DBA"/>
    <w:rsid w:val="004D2F4C"/>
    <w:rsid w:val="004D33F3"/>
    <w:rsid w:val="004D3CD7"/>
    <w:rsid w:val="004D4C90"/>
    <w:rsid w:val="004D52C0"/>
    <w:rsid w:val="004D58DE"/>
    <w:rsid w:val="004D63E2"/>
    <w:rsid w:val="004D6456"/>
    <w:rsid w:val="004D68D3"/>
    <w:rsid w:val="004D6D56"/>
    <w:rsid w:val="004D7DCF"/>
    <w:rsid w:val="004E0EA1"/>
    <w:rsid w:val="004E1737"/>
    <w:rsid w:val="004E23AE"/>
    <w:rsid w:val="004E2BD6"/>
    <w:rsid w:val="004E2E8D"/>
    <w:rsid w:val="004E35E9"/>
    <w:rsid w:val="004E37E2"/>
    <w:rsid w:val="004E38AA"/>
    <w:rsid w:val="004E3AAD"/>
    <w:rsid w:val="004E3DA8"/>
    <w:rsid w:val="004E3F30"/>
    <w:rsid w:val="004E4012"/>
    <w:rsid w:val="004E431E"/>
    <w:rsid w:val="004E46F8"/>
    <w:rsid w:val="004E49CB"/>
    <w:rsid w:val="004E50C8"/>
    <w:rsid w:val="004E528E"/>
    <w:rsid w:val="004E5983"/>
    <w:rsid w:val="004E653E"/>
    <w:rsid w:val="004E65F5"/>
    <w:rsid w:val="004E6612"/>
    <w:rsid w:val="004F274A"/>
    <w:rsid w:val="004F2977"/>
    <w:rsid w:val="004F2BC6"/>
    <w:rsid w:val="004F2D77"/>
    <w:rsid w:val="004F356D"/>
    <w:rsid w:val="004F383F"/>
    <w:rsid w:val="004F3E28"/>
    <w:rsid w:val="004F3EF5"/>
    <w:rsid w:val="004F44B8"/>
    <w:rsid w:val="004F44F8"/>
    <w:rsid w:val="004F5627"/>
    <w:rsid w:val="004F621F"/>
    <w:rsid w:val="004F6B87"/>
    <w:rsid w:val="004F6C6D"/>
    <w:rsid w:val="004F70DF"/>
    <w:rsid w:val="004F71DE"/>
    <w:rsid w:val="00500272"/>
    <w:rsid w:val="00500925"/>
    <w:rsid w:val="005020DA"/>
    <w:rsid w:val="00502EAE"/>
    <w:rsid w:val="00503917"/>
    <w:rsid w:val="00503A1B"/>
    <w:rsid w:val="00503B47"/>
    <w:rsid w:val="00504A08"/>
    <w:rsid w:val="0050500F"/>
    <w:rsid w:val="0050525E"/>
    <w:rsid w:val="00505279"/>
    <w:rsid w:val="00505419"/>
    <w:rsid w:val="0050574B"/>
    <w:rsid w:val="005060F4"/>
    <w:rsid w:val="005063E1"/>
    <w:rsid w:val="005064D7"/>
    <w:rsid w:val="00507424"/>
    <w:rsid w:val="0050796C"/>
    <w:rsid w:val="00507CC5"/>
    <w:rsid w:val="00510F4B"/>
    <w:rsid w:val="00512492"/>
    <w:rsid w:val="00512637"/>
    <w:rsid w:val="00513861"/>
    <w:rsid w:val="0051401B"/>
    <w:rsid w:val="005144AE"/>
    <w:rsid w:val="00515188"/>
    <w:rsid w:val="005154D6"/>
    <w:rsid w:val="00516BBB"/>
    <w:rsid w:val="00517BC7"/>
    <w:rsid w:val="00520E67"/>
    <w:rsid w:val="00521245"/>
    <w:rsid w:val="00521384"/>
    <w:rsid w:val="0052382D"/>
    <w:rsid w:val="00523E83"/>
    <w:rsid w:val="00523F2F"/>
    <w:rsid w:val="00524815"/>
    <w:rsid w:val="005248BB"/>
    <w:rsid w:val="005248F0"/>
    <w:rsid w:val="005249A4"/>
    <w:rsid w:val="005250EA"/>
    <w:rsid w:val="00526A78"/>
    <w:rsid w:val="00526B72"/>
    <w:rsid w:val="0052711D"/>
    <w:rsid w:val="005302FB"/>
    <w:rsid w:val="005308A5"/>
    <w:rsid w:val="00530A71"/>
    <w:rsid w:val="00530B0A"/>
    <w:rsid w:val="005314E9"/>
    <w:rsid w:val="00531723"/>
    <w:rsid w:val="005318CF"/>
    <w:rsid w:val="00532249"/>
    <w:rsid w:val="0053275E"/>
    <w:rsid w:val="005327FC"/>
    <w:rsid w:val="0053321F"/>
    <w:rsid w:val="0053324F"/>
    <w:rsid w:val="005338EB"/>
    <w:rsid w:val="00534280"/>
    <w:rsid w:val="00536821"/>
    <w:rsid w:val="00537395"/>
    <w:rsid w:val="00540528"/>
    <w:rsid w:val="00540FAF"/>
    <w:rsid w:val="00541EF9"/>
    <w:rsid w:val="005431CF"/>
    <w:rsid w:val="00543D0A"/>
    <w:rsid w:val="00543FE3"/>
    <w:rsid w:val="0054433D"/>
    <w:rsid w:val="00544727"/>
    <w:rsid w:val="00544F31"/>
    <w:rsid w:val="005454F3"/>
    <w:rsid w:val="005455E5"/>
    <w:rsid w:val="00545932"/>
    <w:rsid w:val="0054675A"/>
    <w:rsid w:val="0054681B"/>
    <w:rsid w:val="00547348"/>
    <w:rsid w:val="0054779A"/>
    <w:rsid w:val="00547BA1"/>
    <w:rsid w:val="00547E46"/>
    <w:rsid w:val="00550440"/>
    <w:rsid w:val="00551530"/>
    <w:rsid w:val="00551CEA"/>
    <w:rsid w:val="00552BC5"/>
    <w:rsid w:val="005548A0"/>
    <w:rsid w:val="00554E1E"/>
    <w:rsid w:val="00556101"/>
    <w:rsid w:val="00556F27"/>
    <w:rsid w:val="00557CB1"/>
    <w:rsid w:val="00557FFE"/>
    <w:rsid w:val="0056091E"/>
    <w:rsid w:val="00561371"/>
    <w:rsid w:val="0056172D"/>
    <w:rsid w:val="00562690"/>
    <w:rsid w:val="005635F3"/>
    <w:rsid w:val="00563872"/>
    <w:rsid w:val="0056411C"/>
    <w:rsid w:val="00565761"/>
    <w:rsid w:val="0056591B"/>
    <w:rsid w:val="005659F3"/>
    <w:rsid w:val="00565B4C"/>
    <w:rsid w:val="005663FF"/>
    <w:rsid w:val="005677E5"/>
    <w:rsid w:val="00570D24"/>
    <w:rsid w:val="00571DE9"/>
    <w:rsid w:val="00572B6A"/>
    <w:rsid w:val="0057366E"/>
    <w:rsid w:val="00573C77"/>
    <w:rsid w:val="005747A5"/>
    <w:rsid w:val="00574C1A"/>
    <w:rsid w:val="00574D06"/>
    <w:rsid w:val="00574E5A"/>
    <w:rsid w:val="00575E0A"/>
    <w:rsid w:val="005768C9"/>
    <w:rsid w:val="00577B31"/>
    <w:rsid w:val="0058029D"/>
    <w:rsid w:val="00580EEB"/>
    <w:rsid w:val="00580FCF"/>
    <w:rsid w:val="00581372"/>
    <w:rsid w:val="005834F0"/>
    <w:rsid w:val="00583673"/>
    <w:rsid w:val="00583A26"/>
    <w:rsid w:val="00583D08"/>
    <w:rsid w:val="00583E4F"/>
    <w:rsid w:val="0058473C"/>
    <w:rsid w:val="00584E62"/>
    <w:rsid w:val="005868B7"/>
    <w:rsid w:val="0058704B"/>
    <w:rsid w:val="00587BE7"/>
    <w:rsid w:val="00587CBC"/>
    <w:rsid w:val="005901C3"/>
    <w:rsid w:val="00590881"/>
    <w:rsid w:val="005908C3"/>
    <w:rsid w:val="00590AB3"/>
    <w:rsid w:val="00591B20"/>
    <w:rsid w:val="00591D04"/>
    <w:rsid w:val="00592320"/>
    <w:rsid w:val="00592497"/>
    <w:rsid w:val="00593822"/>
    <w:rsid w:val="00593D7F"/>
    <w:rsid w:val="00594C32"/>
    <w:rsid w:val="005954F3"/>
    <w:rsid w:val="0059576C"/>
    <w:rsid w:val="0059587B"/>
    <w:rsid w:val="005959D9"/>
    <w:rsid w:val="00595DF1"/>
    <w:rsid w:val="00596524"/>
    <w:rsid w:val="00597D35"/>
    <w:rsid w:val="005A073B"/>
    <w:rsid w:val="005A0D29"/>
    <w:rsid w:val="005A19BD"/>
    <w:rsid w:val="005A1C50"/>
    <w:rsid w:val="005A242C"/>
    <w:rsid w:val="005A24BB"/>
    <w:rsid w:val="005A3221"/>
    <w:rsid w:val="005A34DD"/>
    <w:rsid w:val="005A372D"/>
    <w:rsid w:val="005A3D6E"/>
    <w:rsid w:val="005A45A8"/>
    <w:rsid w:val="005A4A36"/>
    <w:rsid w:val="005A4C6D"/>
    <w:rsid w:val="005A53F4"/>
    <w:rsid w:val="005A57A2"/>
    <w:rsid w:val="005A62F7"/>
    <w:rsid w:val="005A6B76"/>
    <w:rsid w:val="005A6D6D"/>
    <w:rsid w:val="005A7264"/>
    <w:rsid w:val="005A74C3"/>
    <w:rsid w:val="005B15FF"/>
    <w:rsid w:val="005B1601"/>
    <w:rsid w:val="005B1CC9"/>
    <w:rsid w:val="005B2948"/>
    <w:rsid w:val="005B2B45"/>
    <w:rsid w:val="005B2DF8"/>
    <w:rsid w:val="005B3711"/>
    <w:rsid w:val="005B3753"/>
    <w:rsid w:val="005B4CFC"/>
    <w:rsid w:val="005B5029"/>
    <w:rsid w:val="005B58B0"/>
    <w:rsid w:val="005B5C08"/>
    <w:rsid w:val="005B6D18"/>
    <w:rsid w:val="005B7338"/>
    <w:rsid w:val="005B74F1"/>
    <w:rsid w:val="005B7E16"/>
    <w:rsid w:val="005C0298"/>
    <w:rsid w:val="005C0769"/>
    <w:rsid w:val="005C1D66"/>
    <w:rsid w:val="005C1D78"/>
    <w:rsid w:val="005C3474"/>
    <w:rsid w:val="005C360A"/>
    <w:rsid w:val="005C47B7"/>
    <w:rsid w:val="005C53CA"/>
    <w:rsid w:val="005C5DCE"/>
    <w:rsid w:val="005C626E"/>
    <w:rsid w:val="005C635E"/>
    <w:rsid w:val="005C68B8"/>
    <w:rsid w:val="005C6EBD"/>
    <w:rsid w:val="005C7B1A"/>
    <w:rsid w:val="005D162D"/>
    <w:rsid w:val="005D1C81"/>
    <w:rsid w:val="005D1E4E"/>
    <w:rsid w:val="005D221C"/>
    <w:rsid w:val="005D2A43"/>
    <w:rsid w:val="005D4138"/>
    <w:rsid w:val="005D52F3"/>
    <w:rsid w:val="005D532F"/>
    <w:rsid w:val="005D55A2"/>
    <w:rsid w:val="005D6EA0"/>
    <w:rsid w:val="005D75E7"/>
    <w:rsid w:val="005D7DDD"/>
    <w:rsid w:val="005E0293"/>
    <w:rsid w:val="005E05D0"/>
    <w:rsid w:val="005E0AC3"/>
    <w:rsid w:val="005E0DA8"/>
    <w:rsid w:val="005E1838"/>
    <w:rsid w:val="005E27EA"/>
    <w:rsid w:val="005E2CD9"/>
    <w:rsid w:val="005E2DDE"/>
    <w:rsid w:val="005E3924"/>
    <w:rsid w:val="005E4186"/>
    <w:rsid w:val="005E5070"/>
    <w:rsid w:val="005E6095"/>
    <w:rsid w:val="005E60F7"/>
    <w:rsid w:val="005E68B9"/>
    <w:rsid w:val="005E7B36"/>
    <w:rsid w:val="005F02E6"/>
    <w:rsid w:val="005F091F"/>
    <w:rsid w:val="005F10F1"/>
    <w:rsid w:val="005F1911"/>
    <w:rsid w:val="005F2744"/>
    <w:rsid w:val="005F2CBA"/>
    <w:rsid w:val="005F3216"/>
    <w:rsid w:val="005F3EE8"/>
    <w:rsid w:val="005F4BF2"/>
    <w:rsid w:val="005F4DFE"/>
    <w:rsid w:val="005F4EF9"/>
    <w:rsid w:val="005F6EDC"/>
    <w:rsid w:val="005F733A"/>
    <w:rsid w:val="005F782A"/>
    <w:rsid w:val="00600CFF"/>
    <w:rsid w:val="00600F9B"/>
    <w:rsid w:val="006012A5"/>
    <w:rsid w:val="006015AE"/>
    <w:rsid w:val="006017B1"/>
    <w:rsid w:val="00601E0A"/>
    <w:rsid w:val="00602175"/>
    <w:rsid w:val="00603D88"/>
    <w:rsid w:val="0060685F"/>
    <w:rsid w:val="00607066"/>
    <w:rsid w:val="00607197"/>
    <w:rsid w:val="006072A4"/>
    <w:rsid w:val="00607A06"/>
    <w:rsid w:val="00607A16"/>
    <w:rsid w:val="00607AE3"/>
    <w:rsid w:val="00607EB3"/>
    <w:rsid w:val="0061065B"/>
    <w:rsid w:val="006109F8"/>
    <w:rsid w:val="006111E7"/>
    <w:rsid w:val="00613DBE"/>
    <w:rsid w:val="006147EA"/>
    <w:rsid w:val="00614978"/>
    <w:rsid w:val="00615F10"/>
    <w:rsid w:val="00616558"/>
    <w:rsid w:val="00616AA1"/>
    <w:rsid w:val="00617865"/>
    <w:rsid w:val="00620668"/>
    <w:rsid w:val="00622519"/>
    <w:rsid w:val="00623075"/>
    <w:rsid w:val="00623910"/>
    <w:rsid w:val="00623A12"/>
    <w:rsid w:val="00623ABD"/>
    <w:rsid w:val="00624A27"/>
    <w:rsid w:val="00624D74"/>
    <w:rsid w:val="00625210"/>
    <w:rsid w:val="00625E40"/>
    <w:rsid w:val="00625F15"/>
    <w:rsid w:val="006261BB"/>
    <w:rsid w:val="00626D12"/>
    <w:rsid w:val="0062716D"/>
    <w:rsid w:val="00627AF2"/>
    <w:rsid w:val="00627BFE"/>
    <w:rsid w:val="00630C7B"/>
    <w:rsid w:val="00630DC5"/>
    <w:rsid w:val="00632DF6"/>
    <w:rsid w:val="00632F94"/>
    <w:rsid w:val="006353DB"/>
    <w:rsid w:val="006358E3"/>
    <w:rsid w:val="00635CE3"/>
    <w:rsid w:val="0063632F"/>
    <w:rsid w:val="006403CA"/>
    <w:rsid w:val="006417B6"/>
    <w:rsid w:val="00643565"/>
    <w:rsid w:val="0064477C"/>
    <w:rsid w:val="00645E85"/>
    <w:rsid w:val="00650460"/>
    <w:rsid w:val="00650C56"/>
    <w:rsid w:val="00650F25"/>
    <w:rsid w:val="00651EC0"/>
    <w:rsid w:val="006527E4"/>
    <w:rsid w:val="00652858"/>
    <w:rsid w:val="00652F27"/>
    <w:rsid w:val="00653376"/>
    <w:rsid w:val="00653503"/>
    <w:rsid w:val="006555E3"/>
    <w:rsid w:val="006558DC"/>
    <w:rsid w:val="006565C0"/>
    <w:rsid w:val="00656B27"/>
    <w:rsid w:val="00657272"/>
    <w:rsid w:val="00657F8B"/>
    <w:rsid w:val="00660401"/>
    <w:rsid w:val="00660E43"/>
    <w:rsid w:val="006617CF"/>
    <w:rsid w:val="006618FC"/>
    <w:rsid w:val="00661DE4"/>
    <w:rsid w:val="00662256"/>
    <w:rsid w:val="00662DDB"/>
    <w:rsid w:val="006631BF"/>
    <w:rsid w:val="00663D00"/>
    <w:rsid w:val="00663E86"/>
    <w:rsid w:val="00664776"/>
    <w:rsid w:val="00664D70"/>
    <w:rsid w:val="0067086A"/>
    <w:rsid w:val="0067089F"/>
    <w:rsid w:val="006711A4"/>
    <w:rsid w:val="00671B7E"/>
    <w:rsid w:val="00671EFC"/>
    <w:rsid w:val="006723E7"/>
    <w:rsid w:val="00673522"/>
    <w:rsid w:val="0067483F"/>
    <w:rsid w:val="00674C7E"/>
    <w:rsid w:val="006752F1"/>
    <w:rsid w:val="006767BC"/>
    <w:rsid w:val="0067740B"/>
    <w:rsid w:val="00677EDD"/>
    <w:rsid w:val="0068078B"/>
    <w:rsid w:val="00680FA7"/>
    <w:rsid w:val="00681963"/>
    <w:rsid w:val="00681D75"/>
    <w:rsid w:val="00682017"/>
    <w:rsid w:val="0068207A"/>
    <w:rsid w:val="00682242"/>
    <w:rsid w:val="0068242E"/>
    <w:rsid w:val="00683B3F"/>
    <w:rsid w:val="00683BFD"/>
    <w:rsid w:val="00684BAF"/>
    <w:rsid w:val="0068551B"/>
    <w:rsid w:val="00685725"/>
    <w:rsid w:val="006857A4"/>
    <w:rsid w:val="00685A1B"/>
    <w:rsid w:val="0069091B"/>
    <w:rsid w:val="00691D97"/>
    <w:rsid w:val="0069394B"/>
    <w:rsid w:val="00693BBA"/>
    <w:rsid w:val="00694E95"/>
    <w:rsid w:val="00696B81"/>
    <w:rsid w:val="00696EBB"/>
    <w:rsid w:val="006A1767"/>
    <w:rsid w:val="006A1F10"/>
    <w:rsid w:val="006A27E3"/>
    <w:rsid w:val="006A4D4E"/>
    <w:rsid w:val="006A5099"/>
    <w:rsid w:val="006A511B"/>
    <w:rsid w:val="006A52AF"/>
    <w:rsid w:val="006A5C8E"/>
    <w:rsid w:val="006A7562"/>
    <w:rsid w:val="006A7C02"/>
    <w:rsid w:val="006B099D"/>
    <w:rsid w:val="006B0BB7"/>
    <w:rsid w:val="006B24B6"/>
    <w:rsid w:val="006B39F2"/>
    <w:rsid w:val="006B41DF"/>
    <w:rsid w:val="006B505F"/>
    <w:rsid w:val="006B630A"/>
    <w:rsid w:val="006B71AF"/>
    <w:rsid w:val="006B79E5"/>
    <w:rsid w:val="006B7E4A"/>
    <w:rsid w:val="006C0F14"/>
    <w:rsid w:val="006C11F5"/>
    <w:rsid w:val="006C1577"/>
    <w:rsid w:val="006C1A9E"/>
    <w:rsid w:val="006C2837"/>
    <w:rsid w:val="006C2956"/>
    <w:rsid w:val="006C41A8"/>
    <w:rsid w:val="006C4B7C"/>
    <w:rsid w:val="006C4D6E"/>
    <w:rsid w:val="006C4E83"/>
    <w:rsid w:val="006C5AC8"/>
    <w:rsid w:val="006C5ACD"/>
    <w:rsid w:val="006C5FCE"/>
    <w:rsid w:val="006C6300"/>
    <w:rsid w:val="006C68BF"/>
    <w:rsid w:val="006C7D89"/>
    <w:rsid w:val="006D1544"/>
    <w:rsid w:val="006D26AC"/>
    <w:rsid w:val="006D32E0"/>
    <w:rsid w:val="006D36B7"/>
    <w:rsid w:val="006D3A49"/>
    <w:rsid w:val="006D3CDD"/>
    <w:rsid w:val="006D56D2"/>
    <w:rsid w:val="006D68F7"/>
    <w:rsid w:val="006D76A4"/>
    <w:rsid w:val="006D7CC6"/>
    <w:rsid w:val="006E0938"/>
    <w:rsid w:val="006E16F1"/>
    <w:rsid w:val="006E2302"/>
    <w:rsid w:val="006E274E"/>
    <w:rsid w:val="006E2DFB"/>
    <w:rsid w:val="006E2F11"/>
    <w:rsid w:val="006E2F35"/>
    <w:rsid w:val="006E3456"/>
    <w:rsid w:val="006E359B"/>
    <w:rsid w:val="006E369F"/>
    <w:rsid w:val="006E4A1D"/>
    <w:rsid w:val="006E54AF"/>
    <w:rsid w:val="006E5508"/>
    <w:rsid w:val="006E55F8"/>
    <w:rsid w:val="006E6D67"/>
    <w:rsid w:val="006E75BF"/>
    <w:rsid w:val="006E7951"/>
    <w:rsid w:val="006F09B5"/>
    <w:rsid w:val="006F1125"/>
    <w:rsid w:val="006F1349"/>
    <w:rsid w:val="006F1594"/>
    <w:rsid w:val="006F168C"/>
    <w:rsid w:val="006F201F"/>
    <w:rsid w:val="006F21FB"/>
    <w:rsid w:val="006F223B"/>
    <w:rsid w:val="006F23C5"/>
    <w:rsid w:val="006F2C03"/>
    <w:rsid w:val="006F3033"/>
    <w:rsid w:val="006F3B34"/>
    <w:rsid w:val="006F3CCA"/>
    <w:rsid w:val="006F4641"/>
    <w:rsid w:val="006F48B3"/>
    <w:rsid w:val="006F48B8"/>
    <w:rsid w:val="006F50C6"/>
    <w:rsid w:val="006F553C"/>
    <w:rsid w:val="006F5697"/>
    <w:rsid w:val="006F5924"/>
    <w:rsid w:val="006F606F"/>
    <w:rsid w:val="006F60E7"/>
    <w:rsid w:val="006F6258"/>
    <w:rsid w:val="006F65E1"/>
    <w:rsid w:val="006F686E"/>
    <w:rsid w:val="006F6B43"/>
    <w:rsid w:val="006F7871"/>
    <w:rsid w:val="006F7F8E"/>
    <w:rsid w:val="007014A7"/>
    <w:rsid w:val="00701552"/>
    <w:rsid w:val="0070157A"/>
    <w:rsid w:val="00704845"/>
    <w:rsid w:val="00704FDE"/>
    <w:rsid w:val="00705448"/>
    <w:rsid w:val="00705629"/>
    <w:rsid w:val="00710BDA"/>
    <w:rsid w:val="007122D2"/>
    <w:rsid w:val="007122EC"/>
    <w:rsid w:val="00712452"/>
    <w:rsid w:val="00712908"/>
    <w:rsid w:val="00712CB4"/>
    <w:rsid w:val="00713B81"/>
    <w:rsid w:val="00714504"/>
    <w:rsid w:val="00714B86"/>
    <w:rsid w:val="007151F8"/>
    <w:rsid w:val="007154D0"/>
    <w:rsid w:val="00715569"/>
    <w:rsid w:val="00715E92"/>
    <w:rsid w:val="007164ED"/>
    <w:rsid w:val="00716625"/>
    <w:rsid w:val="0071742A"/>
    <w:rsid w:val="00717E28"/>
    <w:rsid w:val="0072138E"/>
    <w:rsid w:val="007227CE"/>
    <w:rsid w:val="00723C79"/>
    <w:rsid w:val="007255BA"/>
    <w:rsid w:val="00725647"/>
    <w:rsid w:val="00726DBB"/>
    <w:rsid w:val="00726FBF"/>
    <w:rsid w:val="00727559"/>
    <w:rsid w:val="00730811"/>
    <w:rsid w:val="00730B01"/>
    <w:rsid w:val="00730E8F"/>
    <w:rsid w:val="007314F9"/>
    <w:rsid w:val="00731D48"/>
    <w:rsid w:val="007321C6"/>
    <w:rsid w:val="00732D0D"/>
    <w:rsid w:val="00732D9B"/>
    <w:rsid w:val="007339E8"/>
    <w:rsid w:val="00733A2D"/>
    <w:rsid w:val="00734484"/>
    <w:rsid w:val="00734F1C"/>
    <w:rsid w:val="00735659"/>
    <w:rsid w:val="00736422"/>
    <w:rsid w:val="007372E9"/>
    <w:rsid w:val="0073747E"/>
    <w:rsid w:val="007407ED"/>
    <w:rsid w:val="0074168B"/>
    <w:rsid w:val="00741D0C"/>
    <w:rsid w:val="00741E17"/>
    <w:rsid w:val="00742076"/>
    <w:rsid w:val="00742A64"/>
    <w:rsid w:val="00743CB3"/>
    <w:rsid w:val="007441CA"/>
    <w:rsid w:val="00745136"/>
    <w:rsid w:val="00745A15"/>
    <w:rsid w:val="00745DD2"/>
    <w:rsid w:val="0074742B"/>
    <w:rsid w:val="007474A5"/>
    <w:rsid w:val="007507C7"/>
    <w:rsid w:val="007508E7"/>
    <w:rsid w:val="00750ADD"/>
    <w:rsid w:val="0075124E"/>
    <w:rsid w:val="00751354"/>
    <w:rsid w:val="00751D6C"/>
    <w:rsid w:val="0075222E"/>
    <w:rsid w:val="0075382C"/>
    <w:rsid w:val="00754000"/>
    <w:rsid w:val="0075423B"/>
    <w:rsid w:val="00754D43"/>
    <w:rsid w:val="00756909"/>
    <w:rsid w:val="00756F25"/>
    <w:rsid w:val="00757293"/>
    <w:rsid w:val="00757656"/>
    <w:rsid w:val="007604C9"/>
    <w:rsid w:val="00760D10"/>
    <w:rsid w:val="0076144A"/>
    <w:rsid w:val="007616DD"/>
    <w:rsid w:val="00762108"/>
    <w:rsid w:val="007621B8"/>
    <w:rsid w:val="0076305C"/>
    <w:rsid w:val="0076318F"/>
    <w:rsid w:val="0076333B"/>
    <w:rsid w:val="00764526"/>
    <w:rsid w:val="007649C3"/>
    <w:rsid w:val="007658D9"/>
    <w:rsid w:val="00765D9A"/>
    <w:rsid w:val="00766171"/>
    <w:rsid w:val="007662B1"/>
    <w:rsid w:val="00767F74"/>
    <w:rsid w:val="00770876"/>
    <w:rsid w:val="00770E38"/>
    <w:rsid w:val="00772274"/>
    <w:rsid w:val="0077250B"/>
    <w:rsid w:val="007727C2"/>
    <w:rsid w:val="00773601"/>
    <w:rsid w:val="007751DE"/>
    <w:rsid w:val="00776DE7"/>
    <w:rsid w:val="007775AA"/>
    <w:rsid w:val="00777FC9"/>
    <w:rsid w:val="0078133D"/>
    <w:rsid w:val="0078135C"/>
    <w:rsid w:val="00781D58"/>
    <w:rsid w:val="00781E34"/>
    <w:rsid w:val="00782C85"/>
    <w:rsid w:val="00783672"/>
    <w:rsid w:val="007837C5"/>
    <w:rsid w:val="00784CD9"/>
    <w:rsid w:val="00784E8A"/>
    <w:rsid w:val="00784F95"/>
    <w:rsid w:val="00785785"/>
    <w:rsid w:val="00786A02"/>
    <w:rsid w:val="00786DFF"/>
    <w:rsid w:val="00790B77"/>
    <w:rsid w:val="00791DED"/>
    <w:rsid w:val="00792000"/>
    <w:rsid w:val="0079282B"/>
    <w:rsid w:val="00792AA8"/>
    <w:rsid w:val="0079316A"/>
    <w:rsid w:val="00793989"/>
    <w:rsid w:val="00793AAE"/>
    <w:rsid w:val="00793C02"/>
    <w:rsid w:val="00793ECB"/>
    <w:rsid w:val="00794597"/>
    <w:rsid w:val="00794972"/>
    <w:rsid w:val="0079574E"/>
    <w:rsid w:val="00796D03"/>
    <w:rsid w:val="00796E6F"/>
    <w:rsid w:val="00796EE7"/>
    <w:rsid w:val="00797022"/>
    <w:rsid w:val="007A090E"/>
    <w:rsid w:val="007A0A14"/>
    <w:rsid w:val="007A283C"/>
    <w:rsid w:val="007A2C39"/>
    <w:rsid w:val="007A3325"/>
    <w:rsid w:val="007A36C8"/>
    <w:rsid w:val="007A37F0"/>
    <w:rsid w:val="007A3999"/>
    <w:rsid w:val="007A3ABE"/>
    <w:rsid w:val="007A44EC"/>
    <w:rsid w:val="007A496E"/>
    <w:rsid w:val="007A4CB0"/>
    <w:rsid w:val="007A5902"/>
    <w:rsid w:val="007A5B33"/>
    <w:rsid w:val="007A5B52"/>
    <w:rsid w:val="007A62C3"/>
    <w:rsid w:val="007A6662"/>
    <w:rsid w:val="007A6D4F"/>
    <w:rsid w:val="007A7346"/>
    <w:rsid w:val="007B027A"/>
    <w:rsid w:val="007B05C6"/>
    <w:rsid w:val="007B0667"/>
    <w:rsid w:val="007B0715"/>
    <w:rsid w:val="007B17EF"/>
    <w:rsid w:val="007B2159"/>
    <w:rsid w:val="007B22B3"/>
    <w:rsid w:val="007B2685"/>
    <w:rsid w:val="007B2A94"/>
    <w:rsid w:val="007B4102"/>
    <w:rsid w:val="007B4A3B"/>
    <w:rsid w:val="007B518F"/>
    <w:rsid w:val="007B5592"/>
    <w:rsid w:val="007B57EB"/>
    <w:rsid w:val="007B651A"/>
    <w:rsid w:val="007B6648"/>
    <w:rsid w:val="007B6669"/>
    <w:rsid w:val="007B6A4B"/>
    <w:rsid w:val="007B77CB"/>
    <w:rsid w:val="007C3038"/>
    <w:rsid w:val="007C311B"/>
    <w:rsid w:val="007C394A"/>
    <w:rsid w:val="007C4756"/>
    <w:rsid w:val="007C4EA0"/>
    <w:rsid w:val="007C506B"/>
    <w:rsid w:val="007C6A4C"/>
    <w:rsid w:val="007C6FCD"/>
    <w:rsid w:val="007C7B93"/>
    <w:rsid w:val="007D0986"/>
    <w:rsid w:val="007D0F99"/>
    <w:rsid w:val="007D2C0B"/>
    <w:rsid w:val="007D2E97"/>
    <w:rsid w:val="007D3E86"/>
    <w:rsid w:val="007D4388"/>
    <w:rsid w:val="007D59A7"/>
    <w:rsid w:val="007D5D24"/>
    <w:rsid w:val="007D698B"/>
    <w:rsid w:val="007D72B5"/>
    <w:rsid w:val="007D7BB6"/>
    <w:rsid w:val="007D7E70"/>
    <w:rsid w:val="007E1225"/>
    <w:rsid w:val="007E219F"/>
    <w:rsid w:val="007E4892"/>
    <w:rsid w:val="007E5265"/>
    <w:rsid w:val="007E5D35"/>
    <w:rsid w:val="007E6CDC"/>
    <w:rsid w:val="007F2068"/>
    <w:rsid w:val="007F3F1A"/>
    <w:rsid w:val="007F4E81"/>
    <w:rsid w:val="007F52A6"/>
    <w:rsid w:val="007F5789"/>
    <w:rsid w:val="007F5E94"/>
    <w:rsid w:val="007F68DA"/>
    <w:rsid w:val="007F6D34"/>
    <w:rsid w:val="007F6F8A"/>
    <w:rsid w:val="007F7E5A"/>
    <w:rsid w:val="00800058"/>
    <w:rsid w:val="008004E7"/>
    <w:rsid w:val="0080084A"/>
    <w:rsid w:val="00800C58"/>
    <w:rsid w:val="0080150F"/>
    <w:rsid w:val="00802482"/>
    <w:rsid w:val="0080276C"/>
    <w:rsid w:val="00802C20"/>
    <w:rsid w:val="00805B80"/>
    <w:rsid w:val="008060C8"/>
    <w:rsid w:val="00810F5C"/>
    <w:rsid w:val="00810FA3"/>
    <w:rsid w:val="0081187E"/>
    <w:rsid w:val="00811E3D"/>
    <w:rsid w:val="00812723"/>
    <w:rsid w:val="00812DC7"/>
    <w:rsid w:val="00812F2B"/>
    <w:rsid w:val="008132F8"/>
    <w:rsid w:val="00813350"/>
    <w:rsid w:val="008140F3"/>
    <w:rsid w:val="00814A6A"/>
    <w:rsid w:val="00814ED4"/>
    <w:rsid w:val="008152E3"/>
    <w:rsid w:val="0081557C"/>
    <w:rsid w:val="008156F6"/>
    <w:rsid w:val="008159B1"/>
    <w:rsid w:val="00815B15"/>
    <w:rsid w:val="00816490"/>
    <w:rsid w:val="00816FCC"/>
    <w:rsid w:val="0081722E"/>
    <w:rsid w:val="00817473"/>
    <w:rsid w:val="0081748D"/>
    <w:rsid w:val="00817B33"/>
    <w:rsid w:val="00820282"/>
    <w:rsid w:val="00820305"/>
    <w:rsid w:val="0082069E"/>
    <w:rsid w:val="00820A01"/>
    <w:rsid w:val="0082117F"/>
    <w:rsid w:val="008229BF"/>
    <w:rsid w:val="00822BB5"/>
    <w:rsid w:val="00822C1C"/>
    <w:rsid w:val="00823079"/>
    <w:rsid w:val="00823588"/>
    <w:rsid w:val="00823AF2"/>
    <w:rsid w:val="00823CBE"/>
    <w:rsid w:val="00824525"/>
    <w:rsid w:val="00824896"/>
    <w:rsid w:val="00824934"/>
    <w:rsid w:val="0082619C"/>
    <w:rsid w:val="00826479"/>
    <w:rsid w:val="00826B79"/>
    <w:rsid w:val="00827D91"/>
    <w:rsid w:val="00831044"/>
    <w:rsid w:val="00831A0D"/>
    <w:rsid w:val="0083220F"/>
    <w:rsid w:val="00832D09"/>
    <w:rsid w:val="00833011"/>
    <w:rsid w:val="00833AF6"/>
    <w:rsid w:val="008343F7"/>
    <w:rsid w:val="008368B1"/>
    <w:rsid w:val="00836AD2"/>
    <w:rsid w:val="008375CC"/>
    <w:rsid w:val="008378FE"/>
    <w:rsid w:val="00840AA2"/>
    <w:rsid w:val="008415CC"/>
    <w:rsid w:val="00842862"/>
    <w:rsid w:val="00843769"/>
    <w:rsid w:val="00844035"/>
    <w:rsid w:val="008443FB"/>
    <w:rsid w:val="00845199"/>
    <w:rsid w:val="0084616A"/>
    <w:rsid w:val="00846789"/>
    <w:rsid w:val="00847067"/>
    <w:rsid w:val="00847101"/>
    <w:rsid w:val="0084728D"/>
    <w:rsid w:val="0084770F"/>
    <w:rsid w:val="00847DFE"/>
    <w:rsid w:val="00851009"/>
    <w:rsid w:val="00851111"/>
    <w:rsid w:val="00851AC2"/>
    <w:rsid w:val="008525CF"/>
    <w:rsid w:val="008527A2"/>
    <w:rsid w:val="00852DF2"/>
    <w:rsid w:val="00852E94"/>
    <w:rsid w:val="00853ED2"/>
    <w:rsid w:val="008542CC"/>
    <w:rsid w:val="0085431C"/>
    <w:rsid w:val="00854521"/>
    <w:rsid w:val="00854AC5"/>
    <w:rsid w:val="00854F16"/>
    <w:rsid w:val="00855383"/>
    <w:rsid w:val="008568D7"/>
    <w:rsid w:val="008568FF"/>
    <w:rsid w:val="00856C39"/>
    <w:rsid w:val="00856FED"/>
    <w:rsid w:val="008574B2"/>
    <w:rsid w:val="00857C05"/>
    <w:rsid w:val="00860973"/>
    <w:rsid w:val="00860B77"/>
    <w:rsid w:val="00860E76"/>
    <w:rsid w:val="00861589"/>
    <w:rsid w:val="0086183E"/>
    <w:rsid w:val="008618D1"/>
    <w:rsid w:val="00861A50"/>
    <w:rsid w:val="00861F80"/>
    <w:rsid w:val="00861FF3"/>
    <w:rsid w:val="0086326F"/>
    <w:rsid w:val="008633B2"/>
    <w:rsid w:val="0086377B"/>
    <w:rsid w:val="008648B5"/>
    <w:rsid w:val="00865CC9"/>
    <w:rsid w:val="0086641A"/>
    <w:rsid w:val="00867F68"/>
    <w:rsid w:val="008708AA"/>
    <w:rsid w:val="00870F1C"/>
    <w:rsid w:val="00873532"/>
    <w:rsid w:val="008737D3"/>
    <w:rsid w:val="00873870"/>
    <w:rsid w:val="00874481"/>
    <w:rsid w:val="008749EC"/>
    <w:rsid w:val="00874C9F"/>
    <w:rsid w:val="008766B5"/>
    <w:rsid w:val="00876BE9"/>
    <w:rsid w:val="00877526"/>
    <w:rsid w:val="00877CBF"/>
    <w:rsid w:val="00880659"/>
    <w:rsid w:val="00881334"/>
    <w:rsid w:val="0088258D"/>
    <w:rsid w:val="00882B7D"/>
    <w:rsid w:val="00882D53"/>
    <w:rsid w:val="00883437"/>
    <w:rsid w:val="008834C5"/>
    <w:rsid w:val="008838FE"/>
    <w:rsid w:val="00883C24"/>
    <w:rsid w:val="0088414E"/>
    <w:rsid w:val="00884420"/>
    <w:rsid w:val="0088461D"/>
    <w:rsid w:val="00884CEC"/>
    <w:rsid w:val="00884F01"/>
    <w:rsid w:val="008853F8"/>
    <w:rsid w:val="00886190"/>
    <w:rsid w:val="00886402"/>
    <w:rsid w:val="00886458"/>
    <w:rsid w:val="00887730"/>
    <w:rsid w:val="0088789C"/>
    <w:rsid w:val="008878DD"/>
    <w:rsid w:val="008878EB"/>
    <w:rsid w:val="00887C1E"/>
    <w:rsid w:val="00890A90"/>
    <w:rsid w:val="00892A17"/>
    <w:rsid w:val="00893518"/>
    <w:rsid w:val="008936F7"/>
    <w:rsid w:val="00894009"/>
    <w:rsid w:val="008953BD"/>
    <w:rsid w:val="0089561C"/>
    <w:rsid w:val="008956AD"/>
    <w:rsid w:val="008956FD"/>
    <w:rsid w:val="00896297"/>
    <w:rsid w:val="008962FA"/>
    <w:rsid w:val="00896714"/>
    <w:rsid w:val="00896777"/>
    <w:rsid w:val="00896EE9"/>
    <w:rsid w:val="00896F5D"/>
    <w:rsid w:val="00897841"/>
    <w:rsid w:val="008A0871"/>
    <w:rsid w:val="008A3D51"/>
    <w:rsid w:val="008A43AC"/>
    <w:rsid w:val="008A4628"/>
    <w:rsid w:val="008A53FF"/>
    <w:rsid w:val="008A57EE"/>
    <w:rsid w:val="008A5BCB"/>
    <w:rsid w:val="008A6152"/>
    <w:rsid w:val="008A65F2"/>
    <w:rsid w:val="008A66E7"/>
    <w:rsid w:val="008A6F22"/>
    <w:rsid w:val="008A7023"/>
    <w:rsid w:val="008A7390"/>
    <w:rsid w:val="008A7C08"/>
    <w:rsid w:val="008B02B0"/>
    <w:rsid w:val="008B0DC3"/>
    <w:rsid w:val="008B1610"/>
    <w:rsid w:val="008B1687"/>
    <w:rsid w:val="008B2422"/>
    <w:rsid w:val="008B2980"/>
    <w:rsid w:val="008B32FA"/>
    <w:rsid w:val="008B3955"/>
    <w:rsid w:val="008B47CB"/>
    <w:rsid w:val="008B5CFD"/>
    <w:rsid w:val="008B61B2"/>
    <w:rsid w:val="008B6A6C"/>
    <w:rsid w:val="008B7C72"/>
    <w:rsid w:val="008C07C7"/>
    <w:rsid w:val="008C11DE"/>
    <w:rsid w:val="008C15BB"/>
    <w:rsid w:val="008C174A"/>
    <w:rsid w:val="008C28E5"/>
    <w:rsid w:val="008C2C1F"/>
    <w:rsid w:val="008C47DF"/>
    <w:rsid w:val="008C4897"/>
    <w:rsid w:val="008C4E5F"/>
    <w:rsid w:val="008C5A53"/>
    <w:rsid w:val="008C6877"/>
    <w:rsid w:val="008C6C82"/>
    <w:rsid w:val="008C7628"/>
    <w:rsid w:val="008C789F"/>
    <w:rsid w:val="008C7C2E"/>
    <w:rsid w:val="008D0320"/>
    <w:rsid w:val="008D03A4"/>
    <w:rsid w:val="008D079A"/>
    <w:rsid w:val="008D0B70"/>
    <w:rsid w:val="008D15F7"/>
    <w:rsid w:val="008D1FDE"/>
    <w:rsid w:val="008D29F9"/>
    <w:rsid w:val="008D351D"/>
    <w:rsid w:val="008D4529"/>
    <w:rsid w:val="008D5224"/>
    <w:rsid w:val="008D6300"/>
    <w:rsid w:val="008D6443"/>
    <w:rsid w:val="008D67A5"/>
    <w:rsid w:val="008E01CB"/>
    <w:rsid w:val="008E0CC9"/>
    <w:rsid w:val="008E114E"/>
    <w:rsid w:val="008E117A"/>
    <w:rsid w:val="008E17AF"/>
    <w:rsid w:val="008E19BB"/>
    <w:rsid w:val="008E1C45"/>
    <w:rsid w:val="008E1F39"/>
    <w:rsid w:val="008E2266"/>
    <w:rsid w:val="008E242E"/>
    <w:rsid w:val="008E298E"/>
    <w:rsid w:val="008E3213"/>
    <w:rsid w:val="008E3276"/>
    <w:rsid w:val="008E3740"/>
    <w:rsid w:val="008E4593"/>
    <w:rsid w:val="008E647B"/>
    <w:rsid w:val="008E7349"/>
    <w:rsid w:val="008E752B"/>
    <w:rsid w:val="008E7B61"/>
    <w:rsid w:val="008F1FBE"/>
    <w:rsid w:val="008F2D01"/>
    <w:rsid w:val="008F2F0E"/>
    <w:rsid w:val="008F3AE2"/>
    <w:rsid w:val="008F58C4"/>
    <w:rsid w:val="008F5BF1"/>
    <w:rsid w:val="008F5E05"/>
    <w:rsid w:val="008F6221"/>
    <w:rsid w:val="008F6812"/>
    <w:rsid w:val="008F6EF1"/>
    <w:rsid w:val="008F722B"/>
    <w:rsid w:val="008F74B8"/>
    <w:rsid w:val="008F76AC"/>
    <w:rsid w:val="008F777B"/>
    <w:rsid w:val="008F77C5"/>
    <w:rsid w:val="008F7CCE"/>
    <w:rsid w:val="008F7D5F"/>
    <w:rsid w:val="00900A57"/>
    <w:rsid w:val="009019A6"/>
    <w:rsid w:val="0090380D"/>
    <w:rsid w:val="00903824"/>
    <w:rsid w:val="00903F83"/>
    <w:rsid w:val="00904706"/>
    <w:rsid w:val="009058A7"/>
    <w:rsid w:val="009063A6"/>
    <w:rsid w:val="009064E2"/>
    <w:rsid w:val="00906B9C"/>
    <w:rsid w:val="009075B1"/>
    <w:rsid w:val="0090770C"/>
    <w:rsid w:val="009077C7"/>
    <w:rsid w:val="0091077E"/>
    <w:rsid w:val="0091220E"/>
    <w:rsid w:val="009128B5"/>
    <w:rsid w:val="00912D1B"/>
    <w:rsid w:val="00912E09"/>
    <w:rsid w:val="00913A02"/>
    <w:rsid w:val="00913D41"/>
    <w:rsid w:val="0091465A"/>
    <w:rsid w:val="00916745"/>
    <w:rsid w:val="00916EB2"/>
    <w:rsid w:val="00917091"/>
    <w:rsid w:val="00917947"/>
    <w:rsid w:val="0092010B"/>
    <w:rsid w:val="00920216"/>
    <w:rsid w:val="00920463"/>
    <w:rsid w:val="009231E5"/>
    <w:rsid w:val="009238C7"/>
    <w:rsid w:val="00923D68"/>
    <w:rsid w:val="009245B5"/>
    <w:rsid w:val="009245CA"/>
    <w:rsid w:val="009257B2"/>
    <w:rsid w:val="0092657B"/>
    <w:rsid w:val="00926E4D"/>
    <w:rsid w:val="00927B30"/>
    <w:rsid w:val="00931CCC"/>
    <w:rsid w:val="00931E37"/>
    <w:rsid w:val="009329E5"/>
    <w:rsid w:val="009331DD"/>
    <w:rsid w:val="0093352D"/>
    <w:rsid w:val="00933655"/>
    <w:rsid w:val="009337C5"/>
    <w:rsid w:val="00933F61"/>
    <w:rsid w:val="0093515C"/>
    <w:rsid w:val="00936044"/>
    <w:rsid w:val="009364CE"/>
    <w:rsid w:val="00936D98"/>
    <w:rsid w:val="00937018"/>
    <w:rsid w:val="009376FF"/>
    <w:rsid w:val="00937F57"/>
    <w:rsid w:val="00940185"/>
    <w:rsid w:val="0094037F"/>
    <w:rsid w:val="009406A3"/>
    <w:rsid w:val="00940BCD"/>
    <w:rsid w:val="00940DAF"/>
    <w:rsid w:val="00941279"/>
    <w:rsid w:val="00941D27"/>
    <w:rsid w:val="00942808"/>
    <w:rsid w:val="009436D3"/>
    <w:rsid w:val="00944236"/>
    <w:rsid w:val="0094461D"/>
    <w:rsid w:val="00944F20"/>
    <w:rsid w:val="0094535E"/>
    <w:rsid w:val="009462D5"/>
    <w:rsid w:val="00946B76"/>
    <w:rsid w:val="009476D6"/>
    <w:rsid w:val="00950511"/>
    <w:rsid w:val="00950AE4"/>
    <w:rsid w:val="00951E47"/>
    <w:rsid w:val="00952E86"/>
    <w:rsid w:val="009530E3"/>
    <w:rsid w:val="00953362"/>
    <w:rsid w:val="0095456C"/>
    <w:rsid w:val="009547B3"/>
    <w:rsid w:val="009549B7"/>
    <w:rsid w:val="00956905"/>
    <w:rsid w:val="009574F7"/>
    <w:rsid w:val="00960058"/>
    <w:rsid w:val="009613D3"/>
    <w:rsid w:val="009614C6"/>
    <w:rsid w:val="00961CF4"/>
    <w:rsid w:val="0096226F"/>
    <w:rsid w:val="00962B49"/>
    <w:rsid w:val="00962BFB"/>
    <w:rsid w:val="00962E1C"/>
    <w:rsid w:val="0096349D"/>
    <w:rsid w:val="009637BA"/>
    <w:rsid w:val="009643C6"/>
    <w:rsid w:val="009643D6"/>
    <w:rsid w:val="00964634"/>
    <w:rsid w:val="009647EE"/>
    <w:rsid w:val="00964954"/>
    <w:rsid w:val="00965075"/>
    <w:rsid w:val="00966DEC"/>
    <w:rsid w:val="009676B0"/>
    <w:rsid w:val="00967901"/>
    <w:rsid w:val="00967BFF"/>
    <w:rsid w:val="00970A54"/>
    <w:rsid w:val="00970D85"/>
    <w:rsid w:val="00971167"/>
    <w:rsid w:val="009711ED"/>
    <w:rsid w:val="00972D42"/>
    <w:rsid w:val="009755F3"/>
    <w:rsid w:val="0097568A"/>
    <w:rsid w:val="0097673B"/>
    <w:rsid w:val="00976BE4"/>
    <w:rsid w:val="00976F61"/>
    <w:rsid w:val="00980E8F"/>
    <w:rsid w:val="00982003"/>
    <w:rsid w:val="00982022"/>
    <w:rsid w:val="00982C19"/>
    <w:rsid w:val="00982C91"/>
    <w:rsid w:val="00983461"/>
    <w:rsid w:val="0098441C"/>
    <w:rsid w:val="009854B2"/>
    <w:rsid w:val="009854B8"/>
    <w:rsid w:val="00985F7C"/>
    <w:rsid w:val="00987C7D"/>
    <w:rsid w:val="00990380"/>
    <w:rsid w:val="009904B3"/>
    <w:rsid w:val="00991AE6"/>
    <w:rsid w:val="009921DB"/>
    <w:rsid w:val="009931D9"/>
    <w:rsid w:val="009940EF"/>
    <w:rsid w:val="009949A8"/>
    <w:rsid w:val="00994A8D"/>
    <w:rsid w:val="00994C7C"/>
    <w:rsid w:val="00994D06"/>
    <w:rsid w:val="00994D5D"/>
    <w:rsid w:val="009952F7"/>
    <w:rsid w:val="00996F07"/>
    <w:rsid w:val="00997731"/>
    <w:rsid w:val="009977CA"/>
    <w:rsid w:val="009978B1"/>
    <w:rsid w:val="00997CF0"/>
    <w:rsid w:val="00997D06"/>
    <w:rsid w:val="009A0BBC"/>
    <w:rsid w:val="009A0F8B"/>
    <w:rsid w:val="009A11F1"/>
    <w:rsid w:val="009A1AD1"/>
    <w:rsid w:val="009A1B01"/>
    <w:rsid w:val="009A245B"/>
    <w:rsid w:val="009A3939"/>
    <w:rsid w:val="009A3B01"/>
    <w:rsid w:val="009A5AFD"/>
    <w:rsid w:val="009A65A4"/>
    <w:rsid w:val="009A68D5"/>
    <w:rsid w:val="009A6DE3"/>
    <w:rsid w:val="009A6EFD"/>
    <w:rsid w:val="009A725E"/>
    <w:rsid w:val="009A73A8"/>
    <w:rsid w:val="009A7791"/>
    <w:rsid w:val="009B0430"/>
    <w:rsid w:val="009B19B3"/>
    <w:rsid w:val="009B1AC8"/>
    <w:rsid w:val="009B1D83"/>
    <w:rsid w:val="009B39DC"/>
    <w:rsid w:val="009B5253"/>
    <w:rsid w:val="009B61E7"/>
    <w:rsid w:val="009C069F"/>
    <w:rsid w:val="009C12D1"/>
    <w:rsid w:val="009C1A07"/>
    <w:rsid w:val="009C4BF6"/>
    <w:rsid w:val="009C4EB0"/>
    <w:rsid w:val="009C4ED3"/>
    <w:rsid w:val="009C60CA"/>
    <w:rsid w:val="009C63A6"/>
    <w:rsid w:val="009C6E72"/>
    <w:rsid w:val="009C7E14"/>
    <w:rsid w:val="009D09B1"/>
    <w:rsid w:val="009D1128"/>
    <w:rsid w:val="009D1C8A"/>
    <w:rsid w:val="009D20BE"/>
    <w:rsid w:val="009D2828"/>
    <w:rsid w:val="009D3C3F"/>
    <w:rsid w:val="009D459D"/>
    <w:rsid w:val="009D4D67"/>
    <w:rsid w:val="009D51B8"/>
    <w:rsid w:val="009D5985"/>
    <w:rsid w:val="009D5C41"/>
    <w:rsid w:val="009D5E5D"/>
    <w:rsid w:val="009D635B"/>
    <w:rsid w:val="009D65D5"/>
    <w:rsid w:val="009D66DC"/>
    <w:rsid w:val="009D7A46"/>
    <w:rsid w:val="009D7E6B"/>
    <w:rsid w:val="009D7F6F"/>
    <w:rsid w:val="009E0393"/>
    <w:rsid w:val="009E07D3"/>
    <w:rsid w:val="009E12EC"/>
    <w:rsid w:val="009E1AD4"/>
    <w:rsid w:val="009E2570"/>
    <w:rsid w:val="009E2B6B"/>
    <w:rsid w:val="009E360C"/>
    <w:rsid w:val="009E374C"/>
    <w:rsid w:val="009E386A"/>
    <w:rsid w:val="009E6DD2"/>
    <w:rsid w:val="009E708E"/>
    <w:rsid w:val="009E72EB"/>
    <w:rsid w:val="009F06F2"/>
    <w:rsid w:val="009F144E"/>
    <w:rsid w:val="009F1581"/>
    <w:rsid w:val="009F1E63"/>
    <w:rsid w:val="009F2908"/>
    <w:rsid w:val="009F2E6D"/>
    <w:rsid w:val="009F3358"/>
    <w:rsid w:val="009F44E4"/>
    <w:rsid w:val="009F635E"/>
    <w:rsid w:val="009F6A72"/>
    <w:rsid w:val="009F70EE"/>
    <w:rsid w:val="009F7A63"/>
    <w:rsid w:val="00A00AA3"/>
    <w:rsid w:val="00A017DA"/>
    <w:rsid w:val="00A020E5"/>
    <w:rsid w:val="00A02B6D"/>
    <w:rsid w:val="00A02C5D"/>
    <w:rsid w:val="00A02C86"/>
    <w:rsid w:val="00A03895"/>
    <w:rsid w:val="00A03A23"/>
    <w:rsid w:val="00A052B5"/>
    <w:rsid w:val="00A101A3"/>
    <w:rsid w:val="00A1044E"/>
    <w:rsid w:val="00A10E9D"/>
    <w:rsid w:val="00A115C2"/>
    <w:rsid w:val="00A11B97"/>
    <w:rsid w:val="00A121C1"/>
    <w:rsid w:val="00A1244E"/>
    <w:rsid w:val="00A140D3"/>
    <w:rsid w:val="00A1446B"/>
    <w:rsid w:val="00A15433"/>
    <w:rsid w:val="00A15F7F"/>
    <w:rsid w:val="00A16768"/>
    <w:rsid w:val="00A167F2"/>
    <w:rsid w:val="00A1748F"/>
    <w:rsid w:val="00A17EFE"/>
    <w:rsid w:val="00A17F3C"/>
    <w:rsid w:val="00A20C78"/>
    <w:rsid w:val="00A22F6F"/>
    <w:rsid w:val="00A2312E"/>
    <w:rsid w:val="00A236A6"/>
    <w:rsid w:val="00A24323"/>
    <w:rsid w:val="00A24F81"/>
    <w:rsid w:val="00A25070"/>
    <w:rsid w:val="00A2512C"/>
    <w:rsid w:val="00A2515B"/>
    <w:rsid w:val="00A2588E"/>
    <w:rsid w:val="00A26858"/>
    <w:rsid w:val="00A26867"/>
    <w:rsid w:val="00A26EDF"/>
    <w:rsid w:val="00A27E6D"/>
    <w:rsid w:val="00A3022C"/>
    <w:rsid w:val="00A310C7"/>
    <w:rsid w:val="00A319A7"/>
    <w:rsid w:val="00A31CDD"/>
    <w:rsid w:val="00A32147"/>
    <w:rsid w:val="00A32B10"/>
    <w:rsid w:val="00A34789"/>
    <w:rsid w:val="00A3630E"/>
    <w:rsid w:val="00A36AB8"/>
    <w:rsid w:val="00A36D1A"/>
    <w:rsid w:val="00A377FC"/>
    <w:rsid w:val="00A37B56"/>
    <w:rsid w:val="00A37BB8"/>
    <w:rsid w:val="00A37EA0"/>
    <w:rsid w:val="00A41017"/>
    <w:rsid w:val="00A41172"/>
    <w:rsid w:val="00A412CC"/>
    <w:rsid w:val="00A41C84"/>
    <w:rsid w:val="00A41FF8"/>
    <w:rsid w:val="00A42A09"/>
    <w:rsid w:val="00A42D87"/>
    <w:rsid w:val="00A43125"/>
    <w:rsid w:val="00A43488"/>
    <w:rsid w:val="00A436E4"/>
    <w:rsid w:val="00A43E27"/>
    <w:rsid w:val="00A4401F"/>
    <w:rsid w:val="00A44BD3"/>
    <w:rsid w:val="00A4521D"/>
    <w:rsid w:val="00A46D6F"/>
    <w:rsid w:val="00A46DA8"/>
    <w:rsid w:val="00A51F0A"/>
    <w:rsid w:val="00A5273F"/>
    <w:rsid w:val="00A539D5"/>
    <w:rsid w:val="00A54EF2"/>
    <w:rsid w:val="00A55D48"/>
    <w:rsid w:val="00A57B28"/>
    <w:rsid w:val="00A57BEB"/>
    <w:rsid w:val="00A57C98"/>
    <w:rsid w:val="00A61194"/>
    <w:rsid w:val="00A61673"/>
    <w:rsid w:val="00A627E4"/>
    <w:rsid w:val="00A64926"/>
    <w:rsid w:val="00A64992"/>
    <w:rsid w:val="00A665CF"/>
    <w:rsid w:val="00A668A3"/>
    <w:rsid w:val="00A6709A"/>
    <w:rsid w:val="00A6746E"/>
    <w:rsid w:val="00A678EA"/>
    <w:rsid w:val="00A67A71"/>
    <w:rsid w:val="00A67CA7"/>
    <w:rsid w:val="00A7067B"/>
    <w:rsid w:val="00A711A6"/>
    <w:rsid w:val="00A718F5"/>
    <w:rsid w:val="00A71E1A"/>
    <w:rsid w:val="00A72180"/>
    <w:rsid w:val="00A73989"/>
    <w:rsid w:val="00A74D2D"/>
    <w:rsid w:val="00A74EC5"/>
    <w:rsid w:val="00A75010"/>
    <w:rsid w:val="00A75F1F"/>
    <w:rsid w:val="00A7689C"/>
    <w:rsid w:val="00A7752F"/>
    <w:rsid w:val="00A77A39"/>
    <w:rsid w:val="00A80320"/>
    <w:rsid w:val="00A81236"/>
    <w:rsid w:val="00A81F2E"/>
    <w:rsid w:val="00A82564"/>
    <w:rsid w:val="00A82B22"/>
    <w:rsid w:val="00A82FBF"/>
    <w:rsid w:val="00A83487"/>
    <w:rsid w:val="00A85055"/>
    <w:rsid w:val="00A859CA"/>
    <w:rsid w:val="00A85C35"/>
    <w:rsid w:val="00A85CFE"/>
    <w:rsid w:val="00A87226"/>
    <w:rsid w:val="00A87C0F"/>
    <w:rsid w:val="00A90AB9"/>
    <w:rsid w:val="00A91151"/>
    <w:rsid w:val="00A9166B"/>
    <w:rsid w:val="00A917AE"/>
    <w:rsid w:val="00A92061"/>
    <w:rsid w:val="00A92A09"/>
    <w:rsid w:val="00A9356B"/>
    <w:rsid w:val="00A93B7F"/>
    <w:rsid w:val="00A94249"/>
    <w:rsid w:val="00A94810"/>
    <w:rsid w:val="00A94BC9"/>
    <w:rsid w:val="00A959BC"/>
    <w:rsid w:val="00A96482"/>
    <w:rsid w:val="00AA1FD3"/>
    <w:rsid w:val="00AA2298"/>
    <w:rsid w:val="00AA3628"/>
    <w:rsid w:val="00AA3A5F"/>
    <w:rsid w:val="00AA3C60"/>
    <w:rsid w:val="00AA40A3"/>
    <w:rsid w:val="00AA5A60"/>
    <w:rsid w:val="00AA5B01"/>
    <w:rsid w:val="00AA6E23"/>
    <w:rsid w:val="00AA70CD"/>
    <w:rsid w:val="00AA7D89"/>
    <w:rsid w:val="00AA7DD9"/>
    <w:rsid w:val="00AB07CF"/>
    <w:rsid w:val="00AB0F12"/>
    <w:rsid w:val="00AB1ED9"/>
    <w:rsid w:val="00AB2FF4"/>
    <w:rsid w:val="00AB386F"/>
    <w:rsid w:val="00AB3FD8"/>
    <w:rsid w:val="00AB40FB"/>
    <w:rsid w:val="00AB5F9C"/>
    <w:rsid w:val="00AB6386"/>
    <w:rsid w:val="00AB743B"/>
    <w:rsid w:val="00AB7553"/>
    <w:rsid w:val="00AC07CD"/>
    <w:rsid w:val="00AC1AD6"/>
    <w:rsid w:val="00AC1CC6"/>
    <w:rsid w:val="00AC3685"/>
    <w:rsid w:val="00AC3E93"/>
    <w:rsid w:val="00AC434D"/>
    <w:rsid w:val="00AC473B"/>
    <w:rsid w:val="00AC482B"/>
    <w:rsid w:val="00AC69BF"/>
    <w:rsid w:val="00AC6F3B"/>
    <w:rsid w:val="00AC7635"/>
    <w:rsid w:val="00AC7840"/>
    <w:rsid w:val="00AD0DF9"/>
    <w:rsid w:val="00AD19CD"/>
    <w:rsid w:val="00AD1E16"/>
    <w:rsid w:val="00AD21EE"/>
    <w:rsid w:val="00AD2868"/>
    <w:rsid w:val="00AD2FAF"/>
    <w:rsid w:val="00AD4000"/>
    <w:rsid w:val="00AD47DC"/>
    <w:rsid w:val="00AD4A60"/>
    <w:rsid w:val="00AD4ED1"/>
    <w:rsid w:val="00AD574A"/>
    <w:rsid w:val="00AD5975"/>
    <w:rsid w:val="00AD64DF"/>
    <w:rsid w:val="00AD7B39"/>
    <w:rsid w:val="00AD7FE4"/>
    <w:rsid w:val="00AE0206"/>
    <w:rsid w:val="00AE0A96"/>
    <w:rsid w:val="00AE1025"/>
    <w:rsid w:val="00AE188B"/>
    <w:rsid w:val="00AE1A5E"/>
    <w:rsid w:val="00AE2171"/>
    <w:rsid w:val="00AE2313"/>
    <w:rsid w:val="00AE23E9"/>
    <w:rsid w:val="00AE32B5"/>
    <w:rsid w:val="00AE39E2"/>
    <w:rsid w:val="00AE3F03"/>
    <w:rsid w:val="00AE42E1"/>
    <w:rsid w:val="00AE455A"/>
    <w:rsid w:val="00AE64F0"/>
    <w:rsid w:val="00AE7448"/>
    <w:rsid w:val="00AE7580"/>
    <w:rsid w:val="00AE777A"/>
    <w:rsid w:val="00AE7D2B"/>
    <w:rsid w:val="00AF193F"/>
    <w:rsid w:val="00AF23C8"/>
    <w:rsid w:val="00AF284C"/>
    <w:rsid w:val="00AF2AE2"/>
    <w:rsid w:val="00AF32DE"/>
    <w:rsid w:val="00AF35DB"/>
    <w:rsid w:val="00AF371C"/>
    <w:rsid w:val="00AF3C44"/>
    <w:rsid w:val="00AF4265"/>
    <w:rsid w:val="00AF462E"/>
    <w:rsid w:val="00AF57FD"/>
    <w:rsid w:val="00AF67C1"/>
    <w:rsid w:val="00AF6F9E"/>
    <w:rsid w:val="00AF70F1"/>
    <w:rsid w:val="00AF7E52"/>
    <w:rsid w:val="00AF7F85"/>
    <w:rsid w:val="00B002CC"/>
    <w:rsid w:val="00B00747"/>
    <w:rsid w:val="00B00CD8"/>
    <w:rsid w:val="00B01C75"/>
    <w:rsid w:val="00B01D48"/>
    <w:rsid w:val="00B030BF"/>
    <w:rsid w:val="00B0377E"/>
    <w:rsid w:val="00B042ED"/>
    <w:rsid w:val="00B0556F"/>
    <w:rsid w:val="00B05E92"/>
    <w:rsid w:val="00B07442"/>
    <w:rsid w:val="00B07910"/>
    <w:rsid w:val="00B07BA9"/>
    <w:rsid w:val="00B10055"/>
    <w:rsid w:val="00B10F30"/>
    <w:rsid w:val="00B1141E"/>
    <w:rsid w:val="00B114D3"/>
    <w:rsid w:val="00B12699"/>
    <w:rsid w:val="00B12767"/>
    <w:rsid w:val="00B1278B"/>
    <w:rsid w:val="00B12CDE"/>
    <w:rsid w:val="00B13FF0"/>
    <w:rsid w:val="00B1498E"/>
    <w:rsid w:val="00B15714"/>
    <w:rsid w:val="00B15C02"/>
    <w:rsid w:val="00B15FD0"/>
    <w:rsid w:val="00B169EB"/>
    <w:rsid w:val="00B17295"/>
    <w:rsid w:val="00B17620"/>
    <w:rsid w:val="00B212BA"/>
    <w:rsid w:val="00B215F5"/>
    <w:rsid w:val="00B21A62"/>
    <w:rsid w:val="00B21B9E"/>
    <w:rsid w:val="00B2215F"/>
    <w:rsid w:val="00B221EF"/>
    <w:rsid w:val="00B227E6"/>
    <w:rsid w:val="00B22BFB"/>
    <w:rsid w:val="00B24BEC"/>
    <w:rsid w:val="00B24F07"/>
    <w:rsid w:val="00B25567"/>
    <w:rsid w:val="00B25A25"/>
    <w:rsid w:val="00B2668A"/>
    <w:rsid w:val="00B26D2D"/>
    <w:rsid w:val="00B26EA8"/>
    <w:rsid w:val="00B26FF2"/>
    <w:rsid w:val="00B27474"/>
    <w:rsid w:val="00B27731"/>
    <w:rsid w:val="00B27A54"/>
    <w:rsid w:val="00B27BF9"/>
    <w:rsid w:val="00B30227"/>
    <w:rsid w:val="00B30783"/>
    <w:rsid w:val="00B30CD2"/>
    <w:rsid w:val="00B30F1E"/>
    <w:rsid w:val="00B3101E"/>
    <w:rsid w:val="00B32122"/>
    <w:rsid w:val="00B335A5"/>
    <w:rsid w:val="00B33B38"/>
    <w:rsid w:val="00B33BE9"/>
    <w:rsid w:val="00B354FA"/>
    <w:rsid w:val="00B355E2"/>
    <w:rsid w:val="00B36126"/>
    <w:rsid w:val="00B36A14"/>
    <w:rsid w:val="00B36F28"/>
    <w:rsid w:val="00B4042B"/>
    <w:rsid w:val="00B4061C"/>
    <w:rsid w:val="00B409BA"/>
    <w:rsid w:val="00B40E8D"/>
    <w:rsid w:val="00B41769"/>
    <w:rsid w:val="00B41B1F"/>
    <w:rsid w:val="00B41F0F"/>
    <w:rsid w:val="00B41F48"/>
    <w:rsid w:val="00B41F57"/>
    <w:rsid w:val="00B42560"/>
    <w:rsid w:val="00B4297F"/>
    <w:rsid w:val="00B42E86"/>
    <w:rsid w:val="00B43735"/>
    <w:rsid w:val="00B4404B"/>
    <w:rsid w:val="00B455AA"/>
    <w:rsid w:val="00B45617"/>
    <w:rsid w:val="00B45778"/>
    <w:rsid w:val="00B457A1"/>
    <w:rsid w:val="00B4630F"/>
    <w:rsid w:val="00B46452"/>
    <w:rsid w:val="00B464B1"/>
    <w:rsid w:val="00B46B92"/>
    <w:rsid w:val="00B47620"/>
    <w:rsid w:val="00B47A4A"/>
    <w:rsid w:val="00B47AB9"/>
    <w:rsid w:val="00B47B5C"/>
    <w:rsid w:val="00B47B99"/>
    <w:rsid w:val="00B506F2"/>
    <w:rsid w:val="00B5097F"/>
    <w:rsid w:val="00B50B40"/>
    <w:rsid w:val="00B510E3"/>
    <w:rsid w:val="00B511AB"/>
    <w:rsid w:val="00B517C1"/>
    <w:rsid w:val="00B521AC"/>
    <w:rsid w:val="00B523A3"/>
    <w:rsid w:val="00B52641"/>
    <w:rsid w:val="00B52691"/>
    <w:rsid w:val="00B52702"/>
    <w:rsid w:val="00B53408"/>
    <w:rsid w:val="00B53766"/>
    <w:rsid w:val="00B53F9A"/>
    <w:rsid w:val="00B5475B"/>
    <w:rsid w:val="00B5498D"/>
    <w:rsid w:val="00B5501D"/>
    <w:rsid w:val="00B5549E"/>
    <w:rsid w:val="00B560DB"/>
    <w:rsid w:val="00B5645B"/>
    <w:rsid w:val="00B603C2"/>
    <w:rsid w:val="00B6057F"/>
    <w:rsid w:val="00B6112B"/>
    <w:rsid w:val="00B6151E"/>
    <w:rsid w:val="00B6371C"/>
    <w:rsid w:val="00B64507"/>
    <w:rsid w:val="00B64962"/>
    <w:rsid w:val="00B65796"/>
    <w:rsid w:val="00B65F8E"/>
    <w:rsid w:val="00B671DF"/>
    <w:rsid w:val="00B676EC"/>
    <w:rsid w:val="00B67ED7"/>
    <w:rsid w:val="00B7016C"/>
    <w:rsid w:val="00B70242"/>
    <w:rsid w:val="00B7039B"/>
    <w:rsid w:val="00B7071F"/>
    <w:rsid w:val="00B711A5"/>
    <w:rsid w:val="00B71510"/>
    <w:rsid w:val="00B71596"/>
    <w:rsid w:val="00B7277D"/>
    <w:rsid w:val="00B72CB2"/>
    <w:rsid w:val="00B732DF"/>
    <w:rsid w:val="00B740E8"/>
    <w:rsid w:val="00B7459C"/>
    <w:rsid w:val="00B74D1E"/>
    <w:rsid w:val="00B7537D"/>
    <w:rsid w:val="00B76A18"/>
    <w:rsid w:val="00B77D1D"/>
    <w:rsid w:val="00B8055C"/>
    <w:rsid w:val="00B806CA"/>
    <w:rsid w:val="00B816EF"/>
    <w:rsid w:val="00B824BB"/>
    <w:rsid w:val="00B83CCE"/>
    <w:rsid w:val="00B84C6C"/>
    <w:rsid w:val="00B85315"/>
    <w:rsid w:val="00B8624B"/>
    <w:rsid w:val="00B867ED"/>
    <w:rsid w:val="00B868FE"/>
    <w:rsid w:val="00B903C5"/>
    <w:rsid w:val="00B906F0"/>
    <w:rsid w:val="00B90C41"/>
    <w:rsid w:val="00B91923"/>
    <w:rsid w:val="00B92687"/>
    <w:rsid w:val="00B93CAB"/>
    <w:rsid w:val="00B93D72"/>
    <w:rsid w:val="00B94248"/>
    <w:rsid w:val="00B942A1"/>
    <w:rsid w:val="00B9477E"/>
    <w:rsid w:val="00B94B19"/>
    <w:rsid w:val="00B94B4F"/>
    <w:rsid w:val="00B952BE"/>
    <w:rsid w:val="00B95B85"/>
    <w:rsid w:val="00B95C10"/>
    <w:rsid w:val="00B976F6"/>
    <w:rsid w:val="00B9797A"/>
    <w:rsid w:val="00B97ACA"/>
    <w:rsid w:val="00B97BA6"/>
    <w:rsid w:val="00BA2823"/>
    <w:rsid w:val="00BA3D1F"/>
    <w:rsid w:val="00BA3D7F"/>
    <w:rsid w:val="00BA4CCA"/>
    <w:rsid w:val="00BA52FA"/>
    <w:rsid w:val="00BA55F6"/>
    <w:rsid w:val="00BA5B6D"/>
    <w:rsid w:val="00BA5F41"/>
    <w:rsid w:val="00BA7385"/>
    <w:rsid w:val="00BB0CA2"/>
    <w:rsid w:val="00BB187C"/>
    <w:rsid w:val="00BB25E2"/>
    <w:rsid w:val="00BB296B"/>
    <w:rsid w:val="00BB2A19"/>
    <w:rsid w:val="00BB3622"/>
    <w:rsid w:val="00BB4139"/>
    <w:rsid w:val="00BB4200"/>
    <w:rsid w:val="00BB682C"/>
    <w:rsid w:val="00BB7471"/>
    <w:rsid w:val="00BB7AD6"/>
    <w:rsid w:val="00BB7CA9"/>
    <w:rsid w:val="00BC0264"/>
    <w:rsid w:val="00BC0C1C"/>
    <w:rsid w:val="00BC15AC"/>
    <w:rsid w:val="00BC1D71"/>
    <w:rsid w:val="00BC218E"/>
    <w:rsid w:val="00BC2339"/>
    <w:rsid w:val="00BC236B"/>
    <w:rsid w:val="00BC24CA"/>
    <w:rsid w:val="00BC29B3"/>
    <w:rsid w:val="00BC2BB4"/>
    <w:rsid w:val="00BC3170"/>
    <w:rsid w:val="00BC4527"/>
    <w:rsid w:val="00BC493F"/>
    <w:rsid w:val="00BC4D0D"/>
    <w:rsid w:val="00BC5080"/>
    <w:rsid w:val="00BC52D2"/>
    <w:rsid w:val="00BC6424"/>
    <w:rsid w:val="00BC65D9"/>
    <w:rsid w:val="00BC67AF"/>
    <w:rsid w:val="00BC69DC"/>
    <w:rsid w:val="00BC6F16"/>
    <w:rsid w:val="00BC7C52"/>
    <w:rsid w:val="00BD065D"/>
    <w:rsid w:val="00BD0A7B"/>
    <w:rsid w:val="00BD0CF6"/>
    <w:rsid w:val="00BD0F35"/>
    <w:rsid w:val="00BD1471"/>
    <w:rsid w:val="00BD14C5"/>
    <w:rsid w:val="00BD196A"/>
    <w:rsid w:val="00BD2081"/>
    <w:rsid w:val="00BD230E"/>
    <w:rsid w:val="00BD2311"/>
    <w:rsid w:val="00BD2EF8"/>
    <w:rsid w:val="00BD38DC"/>
    <w:rsid w:val="00BD434F"/>
    <w:rsid w:val="00BD5343"/>
    <w:rsid w:val="00BD538D"/>
    <w:rsid w:val="00BD55E2"/>
    <w:rsid w:val="00BD6262"/>
    <w:rsid w:val="00BD62BA"/>
    <w:rsid w:val="00BD6395"/>
    <w:rsid w:val="00BD66FB"/>
    <w:rsid w:val="00BD73B5"/>
    <w:rsid w:val="00BD7615"/>
    <w:rsid w:val="00BE12A8"/>
    <w:rsid w:val="00BE2E0F"/>
    <w:rsid w:val="00BE4081"/>
    <w:rsid w:val="00BE4791"/>
    <w:rsid w:val="00BE4C48"/>
    <w:rsid w:val="00BE4EA3"/>
    <w:rsid w:val="00BE5140"/>
    <w:rsid w:val="00BE55DA"/>
    <w:rsid w:val="00BE61C1"/>
    <w:rsid w:val="00BE62D4"/>
    <w:rsid w:val="00BE64AF"/>
    <w:rsid w:val="00BE64B2"/>
    <w:rsid w:val="00BE6717"/>
    <w:rsid w:val="00BE7072"/>
    <w:rsid w:val="00BE7DF0"/>
    <w:rsid w:val="00BF0381"/>
    <w:rsid w:val="00BF0417"/>
    <w:rsid w:val="00BF0466"/>
    <w:rsid w:val="00BF1485"/>
    <w:rsid w:val="00BF15C4"/>
    <w:rsid w:val="00BF18C2"/>
    <w:rsid w:val="00BF4533"/>
    <w:rsid w:val="00BF5A4A"/>
    <w:rsid w:val="00BF5B57"/>
    <w:rsid w:val="00BF6311"/>
    <w:rsid w:val="00BF66DF"/>
    <w:rsid w:val="00BF6E7B"/>
    <w:rsid w:val="00BF7343"/>
    <w:rsid w:val="00BF78D1"/>
    <w:rsid w:val="00C01021"/>
    <w:rsid w:val="00C0115A"/>
    <w:rsid w:val="00C013DA"/>
    <w:rsid w:val="00C0141F"/>
    <w:rsid w:val="00C02593"/>
    <w:rsid w:val="00C03F7A"/>
    <w:rsid w:val="00C048AF"/>
    <w:rsid w:val="00C04A05"/>
    <w:rsid w:val="00C04B46"/>
    <w:rsid w:val="00C05164"/>
    <w:rsid w:val="00C052F5"/>
    <w:rsid w:val="00C05ECA"/>
    <w:rsid w:val="00C06B95"/>
    <w:rsid w:val="00C074FB"/>
    <w:rsid w:val="00C077E0"/>
    <w:rsid w:val="00C07DE6"/>
    <w:rsid w:val="00C07E79"/>
    <w:rsid w:val="00C10CC8"/>
    <w:rsid w:val="00C11082"/>
    <w:rsid w:val="00C11222"/>
    <w:rsid w:val="00C12141"/>
    <w:rsid w:val="00C126BB"/>
    <w:rsid w:val="00C154B5"/>
    <w:rsid w:val="00C156DE"/>
    <w:rsid w:val="00C166EB"/>
    <w:rsid w:val="00C17872"/>
    <w:rsid w:val="00C1789B"/>
    <w:rsid w:val="00C17F3A"/>
    <w:rsid w:val="00C205E9"/>
    <w:rsid w:val="00C208BF"/>
    <w:rsid w:val="00C20B6B"/>
    <w:rsid w:val="00C20FAD"/>
    <w:rsid w:val="00C212FC"/>
    <w:rsid w:val="00C236B7"/>
    <w:rsid w:val="00C23F48"/>
    <w:rsid w:val="00C241A6"/>
    <w:rsid w:val="00C242E2"/>
    <w:rsid w:val="00C24B04"/>
    <w:rsid w:val="00C2592F"/>
    <w:rsid w:val="00C25E25"/>
    <w:rsid w:val="00C262BD"/>
    <w:rsid w:val="00C266FC"/>
    <w:rsid w:val="00C2767F"/>
    <w:rsid w:val="00C310C2"/>
    <w:rsid w:val="00C31477"/>
    <w:rsid w:val="00C31EDF"/>
    <w:rsid w:val="00C324AE"/>
    <w:rsid w:val="00C33EF9"/>
    <w:rsid w:val="00C3407F"/>
    <w:rsid w:val="00C3471C"/>
    <w:rsid w:val="00C3475F"/>
    <w:rsid w:val="00C353F2"/>
    <w:rsid w:val="00C35C43"/>
    <w:rsid w:val="00C35F10"/>
    <w:rsid w:val="00C36525"/>
    <w:rsid w:val="00C36FE2"/>
    <w:rsid w:val="00C37BE3"/>
    <w:rsid w:val="00C40EB3"/>
    <w:rsid w:val="00C41BD9"/>
    <w:rsid w:val="00C41F6D"/>
    <w:rsid w:val="00C434FD"/>
    <w:rsid w:val="00C43E94"/>
    <w:rsid w:val="00C441CC"/>
    <w:rsid w:val="00C44E4B"/>
    <w:rsid w:val="00C4600C"/>
    <w:rsid w:val="00C46152"/>
    <w:rsid w:val="00C47AC7"/>
    <w:rsid w:val="00C50B1E"/>
    <w:rsid w:val="00C50BF1"/>
    <w:rsid w:val="00C50E25"/>
    <w:rsid w:val="00C515D7"/>
    <w:rsid w:val="00C515EF"/>
    <w:rsid w:val="00C5192E"/>
    <w:rsid w:val="00C51DFB"/>
    <w:rsid w:val="00C52C6E"/>
    <w:rsid w:val="00C52DE6"/>
    <w:rsid w:val="00C53FC4"/>
    <w:rsid w:val="00C5466B"/>
    <w:rsid w:val="00C547C6"/>
    <w:rsid w:val="00C54CD7"/>
    <w:rsid w:val="00C55359"/>
    <w:rsid w:val="00C55849"/>
    <w:rsid w:val="00C55DE4"/>
    <w:rsid w:val="00C6016B"/>
    <w:rsid w:val="00C60BA6"/>
    <w:rsid w:val="00C62E90"/>
    <w:rsid w:val="00C631B3"/>
    <w:rsid w:val="00C634A7"/>
    <w:rsid w:val="00C638D7"/>
    <w:rsid w:val="00C638DF"/>
    <w:rsid w:val="00C64720"/>
    <w:rsid w:val="00C6491A"/>
    <w:rsid w:val="00C6517F"/>
    <w:rsid w:val="00C658CD"/>
    <w:rsid w:val="00C66FAB"/>
    <w:rsid w:val="00C67BA6"/>
    <w:rsid w:val="00C70A59"/>
    <w:rsid w:val="00C70CDC"/>
    <w:rsid w:val="00C70DA3"/>
    <w:rsid w:val="00C71920"/>
    <w:rsid w:val="00C72245"/>
    <w:rsid w:val="00C72A63"/>
    <w:rsid w:val="00C72AFB"/>
    <w:rsid w:val="00C74E7C"/>
    <w:rsid w:val="00C75003"/>
    <w:rsid w:val="00C80AE4"/>
    <w:rsid w:val="00C83525"/>
    <w:rsid w:val="00C83651"/>
    <w:rsid w:val="00C83662"/>
    <w:rsid w:val="00C83BEB"/>
    <w:rsid w:val="00C840C1"/>
    <w:rsid w:val="00C84273"/>
    <w:rsid w:val="00C845EB"/>
    <w:rsid w:val="00C857F1"/>
    <w:rsid w:val="00C85C53"/>
    <w:rsid w:val="00C86DC9"/>
    <w:rsid w:val="00C87082"/>
    <w:rsid w:val="00C870CC"/>
    <w:rsid w:val="00C871C4"/>
    <w:rsid w:val="00C873AD"/>
    <w:rsid w:val="00C87FD6"/>
    <w:rsid w:val="00C9028B"/>
    <w:rsid w:val="00C909C6"/>
    <w:rsid w:val="00C91C29"/>
    <w:rsid w:val="00C9263A"/>
    <w:rsid w:val="00C92A77"/>
    <w:rsid w:val="00C92ABD"/>
    <w:rsid w:val="00C92E0D"/>
    <w:rsid w:val="00C9398C"/>
    <w:rsid w:val="00C939B4"/>
    <w:rsid w:val="00C946B4"/>
    <w:rsid w:val="00C95624"/>
    <w:rsid w:val="00C96975"/>
    <w:rsid w:val="00C96980"/>
    <w:rsid w:val="00C969BD"/>
    <w:rsid w:val="00C96CE5"/>
    <w:rsid w:val="00C979D1"/>
    <w:rsid w:val="00CA08DF"/>
    <w:rsid w:val="00CA0D4D"/>
    <w:rsid w:val="00CA0DC6"/>
    <w:rsid w:val="00CA1130"/>
    <w:rsid w:val="00CA1463"/>
    <w:rsid w:val="00CA2251"/>
    <w:rsid w:val="00CA28CE"/>
    <w:rsid w:val="00CA2FC9"/>
    <w:rsid w:val="00CA3159"/>
    <w:rsid w:val="00CA3D92"/>
    <w:rsid w:val="00CA415F"/>
    <w:rsid w:val="00CA44D0"/>
    <w:rsid w:val="00CA485F"/>
    <w:rsid w:val="00CA5BAB"/>
    <w:rsid w:val="00CA5E38"/>
    <w:rsid w:val="00CA5EA7"/>
    <w:rsid w:val="00CA6888"/>
    <w:rsid w:val="00CA72DE"/>
    <w:rsid w:val="00CB026C"/>
    <w:rsid w:val="00CB02B8"/>
    <w:rsid w:val="00CB0EB7"/>
    <w:rsid w:val="00CB118C"/>
    <w:rsid w:val="00CB1582"/>
    <w:rsid w:val="00CB1F76"/>
    <w:rsid w:val="00CB2C14"/>
    <w:rsid w:val="00CB2C43"/>
    <w:rsid w:val="00CB4049"/>
    <w:rsid w:val="00CB5685"/>
    <w:rsid w:val="00CB568A"/>
    <w:rsid w:val="00CB5A49"/>
    <w:rsid w:val="00CB5A7C"/>
    <w:rsid w:val="00CB5B5A"/>
    <w:rsid w:val="00CB5C15"/>
    <w:rsid w:val="00CB6738"/>
    <w:rsid w:val="00CB678B"/>
    <w:rsid w:val="00CB6E94"/>
    <w:rsid w:val="00CB6F30"/>
    <w:rsid w:val="00CB7DDE"/>
    <w:rsid w:val="00CC1228"/>
    <w:rsid w:val="00CC144C"/>
    <w:rsid w:val="00CC1A21"/>
    <w:rsid w:val="00CC1A3C"/>
    <w:rsid w:val="00CC347F"/>
    <w:rsid w:val="00CC3FDF"/>
    <w:rsid w:val="00CC405B"/>
    <w:rsid w:val="00CC4083"/>
    <w:rsid w:val="00CC4D59"/>
    <w:rsid w:val="00CC4F63"/>
    <w:rsid w:val="00CC66DE"/>
    <w:rsid w:val="00CC72E9"/>
    <w:rsid w:val="00CC7C0C"/>
    <w:rsid w:val="00CD3A5B"/>
    <w:rsid w:val="00CD3EFA"/>
    <w:rsid w:val="00CD4B64"/>
    <w:rsid w:val="00CD4DC4"/>
    <w:rsid w:val="00CD4E97"/>
    <w:rsid w:val="00CD50E7"/>
    <w:rsid w:val="00CD55FF"/>
    <w:rsid w:val="00CD5740"/>
    <w:rsid w:val="00CD5A5E"/>
    <w:rsid w:val="00CD75E3"/>
    <w:rsid w:val="00CD799D"/>
    <w:rsid w:val="00CE0937"/>
    <w:rsid w:val="00CE099A"/>
    <w:rsid w:val="00CE0EC1"/>
    <w:rsid w:val="00CE188F"/>
    <w:rsid w:val="00CE2627"/>
    <w:rsid w:val="00CE2DAF"/>
    <w:rsid w:val="00CE2EB2"/>
    <w:rsid w:val="00CE50AB"/>
    <w:rsid w:val="00CE525D"/>
    <w:rsid w:val="00CE52CA"/>
    <w:rsid w:val="00CE5B96"/>
    <w:rsid w:val="00CE5C99"/>
    <w:rsid w:val="00CE6090"/>
    <w:rsid w:val="00CE77ED"/>
    <w:rsid w:val="00CF0B82"/>
    <w:rsid w:val="00CF10D2"/>
    <w:rsid w:val="00CF113B"/>
    <w:rsid w:val="00CF23EE"/>
    <w:rsid w:val="00CF2478"/>
    <w:rsid w:val="00CF4497"/>
    <w:rsid w:val="00CF461A"/>
    <w:rsid w:val="00CF57B9"/>
    <w:rsid w:val="00CF6464"/>
    <w:rsid w:val="00CF673D"/>
    <w:rsid w:val="00CF692C"/>
    <w:rsid w:val="00D004FE"/>
    <w:rsid w:val="00D00CEF"/>
    <w:rsid w:val="00D022DD"/>
    <w:rsid w:val="00D04057"/>
    <w:rsid w:val="00D045B3"/>
    <w:rsid w:val="00D0482D"/>
    <w:rsid w:val="00D07C9F"/>
    <w:rsid w:val="00D10081"/>
    <w:rsid w:val="00D10831"/>
    <w:rsid w:val="00D11357"/>
    <w:rsid w:val="00D126F7"/>
    <w:rsid w:val="00D129F5"/>
    <w:rsid w:val="00D12AA7"/>
    <w:rsid w:val="00D12B35"/>
    <w:rsid w:val="00D12B9A"/>
    <w:rsid w:val="00D12ED9"/>
    <w:rsid w:val="00D1327F"/>
    <w:rsid w:val="00D1331C"/>
    <w:rsid w:val="00D141DD"/>
    <w:rsid w:val="00D147AA"/>
    <w:rsid w:val="00D147B6"/>
    <w:rsid w:val="00D1494A"/>
    <w:rsid w:val="00D158A0"/>
    <w:rsid w:val="00D168BB"/>
    <w:rsid w:val="00D203A3"/>
    <w:rsid w:val="00D2078A"/>
    <w:rsid w:val="00D20D8B"/>
    <w:rsid w:val="00D21887"/>
    <w:rsid w:val="00D2192E"/>
    <w:rsid w:val="00D2295B"/>
    <w:rsid w:val="00D22CEA"/>
    <w:rsid w:val="00D23396"/>
    <w:rsid w:val="00D24B1B"/>
    <w:rsid w:val="00D24F89"/>
    <w:rsid w:val="00D251C4"/>
    <w:rsid w:val="00D2562C"/>
    <w:rsid w:val="00D2576F"/>
    <w:rsid w:val="00D266DE"/>
    <w:rsid w:val="00D2688B"/>
    <w:rsid w:val="00D302FA"/>
    <w:rsid w:val="00D30DE4"/>
    <w:rsid w:val="00D31689"/>
    <w:rsid w:val="00D340D3"/>
    <w:rsid w:val="00D3412F"/>
    <w:rsid w:val="00D34933"/>
    <w:rsid w:val="00D35135"/>
    <w:rsid w:val="00D355A5"/>
    <w:rsid w:val="00D355E8"/>
    <w:rsid w:val="00D35A1E"/>
    <w:rsid w:val="00D379C4"/>
    <w:rsid w:val="00D40842"/>
    <w:rsid w:val="00D417E0"/>
    <w:rsid w:val="00D420CB"/>
    <w:rsid w:val="00D43043"/>
    <w:rsid w:val="00D436DE"/>
    <w:rsid w:val="00D43CD9"/>
    <w:rsid w:val="00D43DD6"/>
    <w:rsid w:val="00D44644"/>
    <w:rsid w:val="00D4541C"/>
    <w:rsid w:val="00D4666F"/>
    <w:rsid w:val="00D50E82"/>
    <w:rsid w:val="00D51C2C"/>
    <w:rsid w:val="00D51F3D"/>
    <w:rsid w:val="00D51FB3"/>
    <w:rsid w:val="00D52413"/>
    <w:rsid w:val="00D52480"/>
    <w:rsid w:val="00D52ACC"/>
    <w:rsid w:val="00D52F3B"/>
    <w:rsid w:val="00D53C65"/>
    <w:rsid w:val="00D54EE9"/>
    <w:rsid w:val="00D5511C"/>
    <w:rsid w:val="00D55A36"/>
    <w:rsid w:val="00D55E5D"/>
    <w:rsid w:val="00D56336"/>
    <w:rsid w:val="00D56591"/>
    <w:rsid w:val="00D5689A"/>
    <w:rsid w:val="00D57040"/>
    <w:rsid w:val="00D57072"/>
    <w:rsid w:val="00D6000B"/>
    <w:rsid w:val="00D603DA"/>
    <w:rsid w:val="00D60401"/>
    <w:rsid w:val="00D61249"/>
    <w:rsid w:val="00D61AE5"/>
    <w:rsid w:val="00D62729"/>
    <w:rsid w:val="00D63438"/>
    <w:rsid w:val="00D63E2B"/>
    <w:rsid w:val="00D64636"/>
    <w:rsid w:val="00D668E4"/>
    <w:rsid w:val="00D671F3"/>
    <w:rsid w:val="00D67466"/>
    <w:rsid w:val="00D6747D"/>
    <w:rsid w:val="00D678F6"/>
    <w:rsid w:val="00D67D7C"/>
    <w:rsid w:val="00D7047B"/>
    <w:rsid w:val="00D709F0"/>
    <w:rsid w:val="00D71703"/>
    <w:rsid w:val="00D71B71"/>
    <w:rsid w:val="00D71D78"/>
    <w:rsid w:val="00D72460"/>
    <w:rsid w:val="00D729A9"/>
    <w:rsid w:val="00D74140"/>
    <w:rsid w:val="00D741F4"/>
    <w:rsid w:val="00D74E9D"/>
    <w:rsid w:val="00D74FEC"/>
    <w:rsid w:val="00D75505"/>
    <w:rsid w:val="00D75ECC"/>
    <w:rsid w:val="00D76695"/>
    <w:rsid w:val="00D77DAB"/>
    <w:rsid w:val="00D80C55"/>
    <w:rsid w:val="00D8228F"/>
    <w:rsid w:val="00D83B21"/>
    <w:rsid w:val="00D83CB1"/>
    <w:rsid w:val="00D84C41"/>
    <w:rsid w:val="00D8551B"/>
    <w:rsid w:val="00D86184"/>
    <w:rsid w:val="00D8623F"/>
    <w:rsid w:val="00D862DA"/>
    <w:rsid w:val="00D8640C"/>
    <w:rsid w:val="00D86456"/>
    <w:rsid w:val="00D86C4A"/>
    <w:rsid w:val="00D86C61"/>
    <w:rsid w:val="00D86FA9"/>
    <w:rsid w:val="00D870BD"/>
    <w:rsid w:val="00D872DE"/>
    <w:rsid w:val="00D875AA"/>
    <w:rsid w:val="00D87A24"/>
    <w:rsid w:val="00D87BFB"/>
    <w:rsid w:val="00D90B59"/>
    <w:rsid w:val="00D90BEA"/>
    <w:rsid w:val="00D90ED8"/>
    <w:rsid w:val="00D91583"/>
    <w:rsid w:val="00D923D1"/>
    <w:rsid w:val="00D92548"/>
    <w:rsid w:val="00D92574"/>
    <w:rsid w:val="00D92DA3"/>
    <w:rsid w:val="00D93F64"/>
    <w:rsid w:val="00D9478B"/>
    <w:rsid w:val="00D94B8B"/>
    <w:rsid w:val="00D97B24"/>
    <w:rsid w:val="00DA0C6D"/>
    <w:rsid w:val="00DA19BD"/>
    <w:rsid w:val="00DA20F4"/>
    <w:rsid w:val="00DA22B0"/>
    <w:rsid w:val="00DA32AA"/>
    <w:rsid w:val="00DA35EB"/>
    <w:rsid w:val="00DA370F"/>
    <w:rsid w:val="00DA3D56"/>
    <w:rsid w:val="00DA3D7B"/>
    <w:rsid w:val="00DA4D89"/>
    <w:rsid w:val="00DA5902"/>
    <w:rsid w:val="00DA5957"/>
    <w:rsid w:val="00DA6721"/>
    <w:rsid w:val="00DA7189"/>
    <w:rsid w:val="00DA72B9"/>
    <w:rsid w:val="00DA7370"/>
    <w:rsid w:val="00DA7801"/>
    <w:rsid w:val="00DB1190"/>
    <w:rsid w:val="00DB1831"/>
    <w:rsid w:val="00DB1CBE"/>
    <w:rsid w:val="00DB21C0"/>
    <w:rsid w:val="00DB306F"/>
    <w:rsid w:val="00DB4594"/>
    <w:rsid w:val="00DB4AA3"/>
    <w:rsid w:val="00DB68FF"/>
    <w:rsid w:val="00DB7230"/>
    <w:rsid w:val="00DC04E8"/>
    <w:rsid w:val="00DC0FF7"/>
    <w:rsid w:val="00DC199C"/>
    <w:rsid w:val="00DC1F5D"/>
    <w:rsid w:val="00DC2508"/>
    <w:rsid w:val="00DC328A"/>
    <w:rsid w:val="00DC32BA"/>
    <w:rsid w:val="00DC380C"/>
    <w:rsid w:val="00DC5FD8"/>
    <w:rsid w:val="00DC6FBB"/>
    <w:rsid w:val="00DD0255"/>
    <w:rsid w:val="00DD0D33"/>
    <w:rsid w:val="00DD15F7"/>
    <w:rsid w:val="00DD2A93"/>
    <w:rsid w:val="00DD2DA7"/>
    <w:rsid w:val="00DD41C0"/>
    <w:rsid w:val="00DD4A71"/>
    <w:rsid w:val="00DD4B49"/>
    <w:rsid w:val="00DD5130"/>
    <w:rsid w:val="00DD53AC"/>
    <w:rsid w:val="00DD5552"/>
    <w:rsid w:val="00DD644B"/>
    <w:rsid w:val="00DD6537"/>
    <w:rsid w:val="00DD6667"/>
    <w:rsid w:val="00DD74A2"/>
    <w:rsid w:val="00DE00B1"/>
    <w:rsid w:val="00DE0760"/>
    <w:rsid w:val="00DE11A2"/>
    <w:rsid w:val="00DE182B"/>
    <w:rsid w:val="00DE1AB2"/>
    <w:rsid w:val="00DE26E6"/>
    <w:rsid w:val="00DE383B"/>
    <w:rsid w:val="00DE4671"/>
    <w:rsid w:val="00DE49BE"/>
    <w:rsid w:val="00DE59C1"/>
    <w:rsid w:val="00DE62BB"/>
    <w:rsid w:val="00DE6576"/>
    <w:rsid w:val="00DE67E9"/>
    <w:rsid w:val="00DE6DCD"/>
    <w:rsid w:val="00DF17A7"/>
    <w:rsid w:val="00DF18F3"/>
    <w:rsid w:val="00DF1E7F"/>
    <w:rsid w:val="00DF1EF4"/>
    <w:rsid w:val="00DF1F30"/>
    <w:rsid w:val="00DF209B"/>
    <w:rsid w:val="00DF2D07"/>
    <w:rsid w:val="00DF3740"/>
    <w:rsid w:val="00DF4614"/>
    <w:rsid w:val="00DF5999"/>
    <w:rsid w:val="00DF6350"/>
    <w:rsid w:val="00DF6D10"/>
    <w:rsid w:val="00DF6ECF"/>
    <w:rsid w:val="00DF76E6"/>
    <w:rsid w:val="00DF7B25"/>
    <w:rsid w:val="00E004B8"/>
    <w:rsid w:val="00E00617"/>
    <w:rsid w:val="00E00932"/>
    <w:rsid w:val="00E00B67"/>
    <w:rsid w:val="00E0295A"/>
    <w:rsid w:val="00E036E1"/>
    <w:rsid w:val="00E03933"/>
    <w:rsid w:val="00E048DB"/>
    <w:rsid w:val="00E06338"/>
    <w:rsid w:val="00E069CE"/>
    <w:rsid w:val="00E078CF"/>
    <w:rsid w:val="00E07B86"/>
    <w:rsid w:val="00E10DD6"/>
    <w:rsid w:val="00E11858"/>
    <w:rsid w:val="00E11FFF"/>
    <w:rsid w:val="00E12FC0"/>
    <w:rsid w:val="00E132C9"/>
    <w:rsid w:val="00E135A1"/>
    <w:rsid w:val="00E13A38"/>
    <w:rsid w:val="00E13B3F"/>
    <w:rsid w:val="00E14127"/>
    <w:rsid w:val="00E1496E"/>
    <w:rsid w:val="00E149A1"/>
    <w:rsid w:val="00E16AEE"/>
    <w:rsid w:val="00E16EF1"/>
    <w:rsid w:val="00E177A0"/>
    <w:rsid w:val="00E179DA"/>
    <w:rsid w:val="00E17BDA"/>
    <w:rsid w:val="00E17F63"/>
    <w:rsid w:val="00E2102B"/>
    <w:rsid w:val="00E21048"/>
    <w:rsid w:val="00E21BA5"/>
    <w:rsid w:val="00E21DD1"/>
    <w:rsid w:val="00E22CF0"/>
    <w:rsid w:val="00E22EDC"/>
    <w:rsid w:val="00E24E22"/>
    <w:rsid w:val="00E251C4"/>
    <w:rsid w:val="00E25A92"/>
    <w:rsid w:val="00E25F30"/>
    <w:rsid w:val="00E27285"/>
    <w:rsid w:val="00E27C03"/>
    <w:rsid w:val="00E305C6"/>
    <w:rsid w:val="00E312BA"/>
    <w:rsid w:val="00E31F7A"/>
    <w:rsid w:val="00E3282C"/>
    <w:rsid w:val="00E337E1"/>
    <w:rsid w:val="00E34D27"/>
    <w:rsid w:val="00E37B2E"/>
    <w:rsid w:val="00E4001B"/>
    <w:rsid w:val="00E40C00"/>
    <w:rsid w:val="00E40E6D"/>
    <w:rsid w:val="00E41A1F"/>
    <w:rsid w:val="00E41F71"/>
    <w:rsid w:val="00E4269C"/>
    <w:rsid w:val="00E42A8B"/>
    <w:rsid w:val="00E4333C"/>
    <w:rsid w:val="00E43C06"/>
    <w:rsid w:val="00E43F31"/>
    <w:rsid w:val="00E449B1"/>
    <w:rsid w:val="00E454B3"/>
    <w:rsid w:val="00E46A05"/>
    <w:rsid w:val="00E47B31"/>
    <w:rsid w:val="00E501F7"/>
    <w:rsid w:val="00E5038B"/>
    <w:rsid w:val="00E5082D"/>
    <w:rsid w:val="00E5308A"/>
    <w:rsid w:val="00E54F13"/>
    <w:rsid w:val="00E55FE5"/>
    <w:rsid w:val="00E574A9"/>
    <w:rsid w:val="00E60914"/>
    <w:rsid w:val="00E61355"/>
    <w:rsid w:val="00E613BC"/>
    <w:rsid w:val="00E6167F"/>
    <w:rsid w:val="00E61E22"/>
    <w:rsid w:val="00E61F1E"/>
    <w:rsid w:val="00E62F3B"/>
    <w:rsid w:val="00E63042"/>
    <w:rsid w:val="00E638BE"/>
    <w:rsid w:val="00E6455D"/>
    <w:rsid w:val="00E64A87"/>
    <w:rsid w:val="00E655C0"/>
    <w:rsid w:val="00E66861"/>
    <w:rsid w:val="00E66E21"/>
    <w:rsid w:val="00E67063"/>
    <w:rsid w:val="00E670C6"/>
    <w:rsid w:val="00E7086A"/>
    <w:rsid w:val="00E70AA9"/>
    <w:rsid w:val="00E70F38"/>
    <w:rsid w:val="00E70FAC"/>
    <w:rsid w:val="00E710FC"/>
    <w:rsid w:val="00E71915"/>
    <w:rsid w:val="00E71B55"/>
    <w:rsid w:val="00E74064"/>
    <w:rsid w:val="00E75377"/>
    <w:rsid w:val="00E75630"/>
    <w:rsid w:val="00E758FE"/>
    <w:rsid w:val="00E8064A"/>
    <w:rsid w:val="00E80916"/>
    <w:rsid w:val="00E813E4"/>
    <w:rsid w:val="00E81926"/>
    <w:rsid w:val="00E81A29"/>
    <w:rsid w:val="00E81EF5"/>
    <w:rsid w:val="00E822CB"/>
    <w:rsid w:val="00E82D1D"/>
    <w:rsid w:val="00E8404A"/>
    <w:rsid w:val="00E840DF"/>
    <w:rsid w:val="00E84188"/>
    <w:rsid w:val="00E84190"/>
    <w:rsid w:val="00E8452A"/>
    <w:rsid w:val="00E8488D"/>
    <w:rsid w:val="00E8560F"/>
    <w:rsid w:val="00E85964"/>
    <w:rsid w:val="00E85BCC"/>
    <w:rsid w:val="00E86D85"/>
    <w:rsid w:val="00E86E05"/>
    <w:rsid w:val="00E86E64"/>
    <w:rsid w:val="00E86EF9"/>
    <w:rsid w:val="00E8780A"/>
    <w:rsid w:val="00E87E60"/>
    <w:rsid w:val="00E91721"/>
    <w:rsid w:val="00E91E4E"/>
    <w:rsid w:val="00E92CB4"/>
    <w:rsid w:val="00E938E1"/>
    <w:rsid w:val="00E945C3"/>
    <w:rsid w:val="00E94F1A"/>
    <w:rsid w:val="00E957A0"/>
    <w:rsid w:val="00E957FC"/>
    <w:rsid w:val="00E95C59"/>
    <w:rsid w:val="00E95FB4"/>
    <w:rsid w:val="00E963C9"/>
    <w:rsid w:val="00E964D6"/>
    <w:rsid w:val="00E96772"/>
    <w:rsid w:val="00E9684A"/>
    <w:rsid w:val="00E96E51"/>
    <w:rsid w:val="00EA0260"/>
    <w:rsid w:val="00EA0289"/>
    <w:rsid w:val="00EA02D7"/>
    <w:rsid w:val="00EA04CD"/>
    <w:rsid w:val="00EA167E"/>
    <w:rsid w:val="00EA1D6D"/>
    <w:rsid w:val="00EA1FAE"/>
    <w:rsid w:val="00EA2934"/>
    <w:rsid w:val="00EA353F"/>
    <w:rsid w:val="00EA3676"/>
    <w:rsid w:val="00EA3C55"/>
    <w:rsid w:val="00EA61AE"/>
    <w:rsid w:val="00EA65C2"/>
    <w:rsid w:val="00EA66CF"/>
    <w:rsid w:val="00EA68D7"/>
    <w:rsid w:val="00EA68E2"/>
    <w:rsid w:val="00EA7C38"/>
    <w:rsid w:val="00EB05F6"/>
    <w:rsid w:val="00EB11D1"/>
    <w:rsid w:val="00EB181B"/>
    <w:rsid w:val="00EB18EF"/>
    <w:rsid w:val="00EB1CA4"/>
    <w:rsid w:val="00EB1D93"/>
    <w:rsid w:val="00EB1FF3"/>
    <w:rsid w:val="00EB236F"/>
    <w:rsid w:val="00EB25C5"/>
    <w:rsid w:val="00EB25FC"/>
    <w:rsid w:val="00EB2925"/>
    <w:rsid w:val="00EB2DEA"/>
    <w:rsid w:val="00EB370E"/>
    <w:rsid w:val="00EB3E5F"/>
    <w:rsid w:val="00EB58EA"/>
    <w:rsid w:val="00EB6177"/>
    <w:rsid w:val="00EB6349"/>
    <w:rsid w:val="00EB6A73"/>
    <w:rsid w:val="00EB7FED"/>
    <w:rsid w:val="00EC0E27"/>
    <w:rsid w:val="00EC1B19"/>
    <w:rsid w:val="00EC28F9"/>
    <w:rsid w:val="00EC2BDA"/>
    <w:rsid w:val="00EC341C"/>
    <w:rsid w:val="00EC36A5"/>
    <w:rsid w:val="00EC4F5A"/>
    <w:rsid w:val="00EC54D7"/>
    <w:rsid w:val="00ED0C1A"/>
    <w:rsid w:val="00ED1657"/>
    <w:rsid w:val="00ED2359"/>
    <w:rsid w:val="00ED263F"/>
    <w:rsid w:val="00ED30FD"/>
    <w:rsid w:val="00ED5637"/>
    <w:rsid w:val="00ED5870"/>
    <w:rsid w:val="00ED6618"/>
    <w:rsid w:val="00ED69C9"/>
    <w:rsid w:val="00ED6E5D"/>
    <w:rsid w:val="00EE09F4"/>
    <w:rsid w:val="00EE1E11"/>
    <w:rsid w:val="00EE4DF2"/>
    <w:rsid w:val="00EE71C9"/>
    <w:rsid w:val="00EE71D1"/>
    <w:rsid w:val="00EF0208"/>
    <w:rsid w:val="00EF0794"/>
    <w:rsid w:val="00EF13F1"/>
    <w:rsid w:val="00EF1E21"/>
    <w:rsid w:val="00EF31BB"/>
    <w:rsid w:val="00EF352D"/>
    <w:rsid w:val="00EF4692"/>
    <w:rsid w:val="00EF4AEE"/>
    <w:rsid w:val="00EF544F"/>
    <w:rsid w:val="00EF681F"/>
    <w:rsid w:val="00EF6E41"/>
    <w:rsid w:val="00EF7A3E"/>
    <w:rsid w:val="00EF7F74"/>
    <w:rsid w:val="00F00775"/>
    <w:rsid w:val="00F0096E"/>
    <w:rsid w:val="00F0166F"/>
    <w:rsid w:val="00F01CDB"/>
    <w:rsid w:val="00F0233A"/>
    <w:rsid w:val="00F02729"/>
    <w:rsid w:val="00F03F3B"/>
    <w:rsid w:val="00F055E9"/>
    <w:rsid w:val="00F05E1A"/>
    <w:rsid w:val="00F07468"/>
    <w:rsid w:val="00F109A1"/>
    <w:rsid w:val="00F11DDC"/>
    <w:rsid w:val="00F11F1F"/>
    <w:rsid w:val="00F12D29"/>
    <w:rsid w:val="00F12DF2"/>
    <w:rsid w:val="00F1302B"/>
    <w:rsid w:val="00F13F76"/>
    <w:rsid w:val="00F1407B"/>
    <w:rsid w:val="00F149D1"/>
    <w:rsid w:val="00F15787"/>
    <w:rsid w:val="00F16CF1"/>
    <w:rsid w:val="00F17641"/>
    <w:rsid w:val="00F178AC"/>
    <w:rsid w:val="00F17DB3"/>
    <w:rsid w:val="00F20119"/>
    <w:rsid w:val="00F2054A"/>
    <w:rsid w:val="00F21561"/>
    <w:rsid w:val="00F2176B"/>
    <w:rsid w:val="00F218AA"/>
    <w:rsid w:val="00F218C1"/>
    <w:rsid w:val="00F22601"/>
    <w:rsid w:val="00F22D82"/>
    <w:rsid w:val="00F22E5C"/>
    <w:rsid w:val="00F22EA2"/>
    <w:rsid w:val="00F23A8E"/>
    <w:rsid w:val="00F23CFF"/>
    <w:rsid w:val="00F23EFD"/>
    <w:rsid w:val="00F241F7"/>
    <w:rsid w:val="00F24BF1"/>
    <w:rsid w:val="00F24C19"/>
    <w:rsid w:val="00F25513"/>
    <w:rsid w:val="00F25BA7"/>
    <w:rsid w:val="00F25DBC"/>
    <w:rsid w:val="00F26D40"/>
    <w:rsid w:val="00F26D73"/>
    <w:rsid w:val="00F273AF"/>
    <w:rsid w:val="00F27428"/>
    <w:rsid w:val="00F2744A"/>
    <w:rsid w:val="00F2781C"/>
    <w:rsid w:val="00F279B4"/>
    <w:rsid w:val="00F306F4"/>
    <w:rsid w:val="00F306FD"/>
    <w:rsid w:val="00F32243"/>
    <w:rsid w:val="00F32B8C"/>
    <w:rsid w:val="00F32F06"/>
    <w:rsid w:val="00F33B4F"/>
    <w:rsid w:val="00F340B6"/>
    <w:rsid w:val="00F345A0"/>
    <w:rsid w:val="00F35205"/>
    <w:rsid w:val="00F35A10"/>
    <w:rsid w:val="00F361B7"/>
    <w:rsid w:val="00F3728E"/>
    <w:rsid w:val="00F407E9"/>
    <w:rsid w:val="00F40B97"/>
    <w:rsid w:val="00F40BAE"/>
    <w:rsid w:val="00F40D28"/>
    <w:rsid w:val="00F41EE9"/>
    <w:rsid w:val="00F42EF7"/>
    <w:rsid w:val="00F44742"/>
    <w:rsid w:val="00F451B6"/>
    <w:rsid w:val="00F502A7"/>
    <w:rsid w:val="00F5051E"/>
    <w:rsid w:val="00F5068E"/>
    <w:rsid w:val="00F50839"/>
    <w:rsid w:val="00F5118D"/>
    <w:rsid w:val="00F51542"/>
    <w:rsid w:val="00F51958"/>
    <w:rsid w:val="00F52F93"/>
    <w:rsid w:val="00F531ED"/>
    <w:rsid w:val="00F54608"/>
    <w:rsid w:val="00F54D77"/>
    <w:rsid w:val="00F552F2"/>
    <w:rsid w:val="00F55E52"/>
    <w:rsid w:val="00F56359"/>
    <w:rsid w:val="00F564E3"/>
    <w:rsid w:val="00F574BD"/>
    <w:rsid w:val="00F57EF0"/>
    <w:rsid w:val="00F60B5A"/>
    <w:rsid w:val="00F6159B"/>
    <w:rsid w:val="00F61904"/>
    <w:rsid w:val="00F627E2"/>
    <w:rsid w:val="00F63168"/>
    <w:rsid w:val="00F643DB"/>
    <w:rsid w:val="00F64B33"/>
    <w:rsid w:val="00F6509E"/>
    <w:rsid w:val="00F656F2"/>
    <w:rsid w:val="00F66DFC"/>
    <w:rsid w:val="00F66F2F"/>
    <w:rsid w:val="00F6740A"/>
    <w:rsid w:val="00F70AF2"/>
    <w:rsid w:val="00F70BF4"/>
    <w:rsid w:val="00F70DD2"/>
    <w:rsid w:val="00F712D6"/>
    <w:rsid w:val="00F71520"/>
    <w:rsid w:val="00F726F7"/>
    <w:rsid w:val="00F72B27"/>
    <w:rsid w:val="00F7366D"/>
    <w:rsid w:val="00F758A4"/>
    <w:rsid w:val="00F7590F"/>
    <w:rsid w:val="00F75A5B"/>
    <w:rsid w:val="00F75BCD"/>
    <w:rsid w:val="00F75F1E"/>
    <w:rsid w:val="00F75FE2"/>
    <w:rsid w:val="00F7652D"/>
    <w:rsid w:val="00F772CC"/>
    <w:rsid w:val="00F77624"/>
    <w:rsid w:val="00F8052E"/>
    <w:rsid w:val="00F80883"/>
    <w:rsid w:val="00F80E3D"/>
    <w:rsid w:val="00F81950"/>
    <w:rsid w:val="00F8198A"/>
    <w:rsid w:val="00F84C9F"/>
    <w:rsid w:val="00F8558E"/>
    <w:rsid w:val="00F8569E"/>
    <w:rsid w:val="00F857AD"/>
    <w:rsid w:val="00F85A14"/>
    <w:rsid w:val="00F85B65"/>
    <w:rsid w:val="00F87A12"/>
    <w:rsid w:val="00F9010B"/>
    <w:rsid w:val="00F90B18"/>
    <w:rsid w:val="00F90EB0"/>
    <w:rsid w:val="00F913C6"/>
    <w:rsid w:val="00F936A3"/>
    <w:rsid w:val="00F94859"/>
    <w:rsid w:val="00F94864"/>
    <w:rsid w:val="00F94EBB"/>
    <w:rsid w:val="00F952B9"/>
    <w:rsid w:val="00F9546B"/>
    <w:rsid w:val="00F95BDD"/>
    <w:rsid w:val="00F95D57"/>
    <w:rsid w:val="00F9613C"/>
    <w:rsid w:val="00F96A04"/>
    <w:rsid w:val="00F97142"/>
    <w:rsid w:val="00FA02EE"/>
    <w:rsid w:val="00FA15CA"/>
    <w:rsid w:val="00FA1870"/>
    <w:rsid w:val="00FA1B6A"/>
    <w:rsid w:val="00FA1D63"/>
    <w:rsid w:val="00FA1D6A"/>
    <w:rsid w:val="00FA2603"/>
    <w:rsid w:val="00FA33A6"/>
    <w:rsid w:val="00FA47D6"/>
    <w:rsid w:val="00FA515C"/>
    <w:rsid w:val="00FA56CE"/>
    <w:rsid w:val="00FA62CD"/>
    <w:rsid w:val="00FA63E4"/>
    <w:rsid w:val="00FA6FCC"/>
    <w:rsid w:val="00FA7B80"/>
    <w:rsid w:val="00FA7FAC"/>
    <w:rsid w:val="00FB00B6"/>
    <w:rsid w:val="00FB0A19"/>
    <w:rsid w:val="00FB0B18"/>
    <w:rsid w:val="00FB22A2"/>
    <w:rsid w:val="00FB238F"/>
    <w:rsid w:val="00FB25E1"/>
    <w:rsid w:val="00FB2660"/>
    <w:rsid w:val="00FB2964"/>
    <w:rsid w:val="00FB2ACA"/>
    <w:rsid w:val="00FB2B93"/>
    <w:rsid w:val="00FB3510"/>
    <w:rsid w:val="00FB3B7C"/>
    <w:rsid w:val="00FB4022"/>
    <w:rsid w:val="00FB4391"/>
    <w:rsid w:val="00FB4B14"/>
    <w:rsid w:val="00FB594D"/>
    <w:rsid w:val="00FB5BB1"/>
    <w:rsid w:val="00FB673E"/>
    <w:rsid w:val="00FB6D21"/>
    <w:rsid w:val="00FB70AD"/>
    <w:rsid w:val="00FB74C5"/>
    <w:rsid w:val="00FB753B"/>
    <w:rsid w:val="00FC066D"/>
    <w:rsid w:val="00FC06C4"/>
    <w:rsid w:val="00FC2874"/>
    <w:rsid w:val="00FC2F5E"/>
    <w:rsid w:val="00FC2FBF"/>
    <w:rsid w:val="00FC3954"/>
    <w:rsid w:val="00FC3C56"/>
    <w:rsid w:val="00FC3D57"/>
    <w:rsid w:val="00FC3EB4"/>
    <w:rsid w:val="00FC51B8"/>
    <w:rsid w:val="00FC5FD1"/>
    <w:rsid w:val="00FC6C2D"/>
    <w:rsid w:val="00FC6EFE"/>
    <w:rsid w:val="00FD08F6"/>
    <w:rsid w:val="00FD16AB"/>
    <w:rsid w:val="00FD2E3A"/>
    <w:rsid w:val="00FD38DC"/>
    <w:rsid w:val="00FD42CE"/>
    <w:rsid w:val="00FD53C2"/>
    <w:rsid w:val="00FD6457"/>
    <w:rsid w:val="00FD681E"/>
    <w:rsid w:val="00FD755E"/>
    <w:rsid w:val="00FD7CD3"/>
    <w:rsid w:val="00FE0B5B"/>
    <w:rsid w:val="00FE1DC0"/>
    <w:rsid w:val="00FE258D"/>
    <w:rsid w:val="00FE25E8"/>
    <w:rsid w:val="00FE2D40"/>
    <w:rsid w:val="00FE3660"/>
    <w:rsid w:val="00FE41F4"/>
    <w:rsid w:val="00FE4291"/>
    <w:rsid w:val="00FE44C5"/>
    <w:rsid w:val="00FE46A6"/>
    <w:rsid w:val="00FE5855"/>
    <w:rsid w:val="00FE70A8"/>
    <w:rsid w:val="00FE792D"/>
    <w:rsid w:val="00FE7B2B"/>
    <w:rsid w:val="00FE7C06"/>
    <w:rsid w:val="00FF0968"/>
    <w:rsid w:val="00FF1021"/>
    <w:rsid w:val="00FF141F"/>
    <w:rsid w:val="00FF1E42"/>
    <w:rsid w:val="00FF2C27"/>
    <w:rsid w:val="00FF2D03"/>
    <w:rsid w:val="00FF406D"/>
    <w:rsid w:val="00FF53B3"/>
    <w:rsid w:val="00FF5542"/>
    <w:rsid w:val="00FF5CE3"/>
    <w:rsid w:val="00FF62AE"/>
    <w:rsid w:val="00FF768A"/>
    <w:rsid w:val="00FF7A41"/>
    <w:rsid w:val="00FF7E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ED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556F27"/>
    <w:rPr>
      <w:sz w:val="16"/>
      <w:szCs w:val="16"/>
    </w:rPr>
  </w:style>
  <w:style w:type="paragraph" w:styleId="CommentText">
    <w:name w:val="annotation text"/>
    <w:basedOn w:val="Normal"/>
    <w:link w:val="CommentTextChar"/>
    <w:uiPriority w:val="99"/>
    <w:unhideWhenUsed/>
    <w:locked/>
    <w:rsid w:val="00556F27"/>
    <w:pPr>
      <w:spacing w:line="240" w:lineRule="auto"/>
    </w:pPr>
    <w:rPr>
      <w:sz w:val="20"/>
      <w:szCs w:val="20"/>
    </w:rPr>
  </w:style>
  <w:style w:type="character" w:customStyle="1" w:styleId="CommentTextChar">
    <w:name w:val="Comment Text Char"/>
    <w:basedOn w:val="DefaultParagraphFont"/>
    <w:link w:val="CommentText"/>
    <w:uiPriority w:val="99"/>
    <w:rsid w:val="00556F27"/>
    <w:rPr>
      <w:sz w:val="20"/>
      <w:szCs w:val="20"/>
    </w:rPr>
  </w:style>
  <w:style w:type="paragraph" w:styleId="CommentSubject">
    <w:name w:val="annotation subject"/>
    <w:basedOn w:val="CommentText"/>
    <w:next w:val="CommentText"/>
    <w:link w:val="CommentSubjectChar"/>
    <w:uiPriority w:val="99"/>
    <w:semiHidden/>
    <w:unhideWhenUsed/>
    <w:locked/>
    <w:rsid w:val="00556F27"/>
    <w:rPr>
      <w:b/>
      <w:bCs/>
    </w:rPr>
  </w:style>
  <w:style w:type="character" w:customStyle="1" w:styleId="CommentSubjectChar">
    <w:name w:val="Comment Subject Char"/>
    <w:basedOn w:val="CommentTextChar"/>
    <w:link w:val="CommentSubject"/>
    <w:uiPriority w:val="99"/>
    <w:semiHidden/>
    <w:rsid w:val="00556F27"/>
    <w:rPr>
      <w:b/>
      <w:bCs/>
      <w:sz w:val="20"/>
      <w:szCs w:val="20"/>
    </w:rPr>
  </w:style>
  <w:style w:type="character" w:styleId="Hyperlink">
    <w:name w:val="Hyperlink"/>
    <w:basedOn w:val="DefaultParagraphFont"/>
    <w:uiPriority w:val="99"/>
    <w:unhideWhenUsed/>
    <w:locked/>
    <w:rsid w:val="00E75377"/>
    <w:rPr>
      <w:color w:val="0000FF" w:themeColor="hyperlink"/>
      <w:u w:val="single"/>
    </w:rPr>
  </w:style>
  <w:style w:type="character" w:styleId="UnresolvedMention">
    <w:name w:val="Unresolved Mention"/>
    <w:basedOn w:val="DefaultParagraphFont"/>
    <w:uiPriority w:val="99"/>
    <w:semiHidden/>
    <w:unhideWhenUsed/>
    <w:rsid w:val="00E75377"/>
    <w:rPr>
      <w:color w:val="605E5C"/>
      <w:shd w:val="clear" w:color="auto" w:fill="E1DFDD"/>
    </w:rPr>
  </w:style>
  <w:style w:type="paragraph" w:styleId="Revision">
    <w:name w:val="Revision"/>
    <w:hidden/>
    <w:uiPriority w:val="99"/>
    <w:semiHidden/>
    <w:rsid w:val="00A236A6"/>
  </w:style>
  <w:style w:type="character" w:customStyle="1" w:styleId="FootnoteTextChar">
    <w:name w:val="Footnote Text Char"/>
    <w:link w:val="FootnoteText"/>
    <w:uiPriority w:val="99"/>
    <w:rsid w:val="004140C0"/>
  </w:style>
  <w:style w:type="paragraph" w:customStyle="1" w:styleId="Body">
    <w:name w:val="Body"/>
    <w:basedOn w:val="Normal"/>
    <w:qFormat/>
    <w:rsid w:val="00A7218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A72180"/>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A72180"/>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A72180"/>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A72180"/>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A72180"/>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18209">
      <w:bodyDiv w:val="1"/>
      <w:marLeft w:val="0"/>
      <w:marRight w:val="0"/>
      <w:marTop w:val="0"/>
      <w:marBottom w:val="0"/>
      <w:divBdr>
        <w:top w:val="none" w:sz="0" w:space="0" w:color="auto"/>
        <w:left w:val="none" w:sz="0" w:space="0" w:color="auto"/>
        <w:bottom w:val="none" w:sz="0" w:space="0" w:color="auto"/>
        <w:right w:val="none" w:sz="0" w:space="0" w:color="auto"/>
      </w:divBdr>
    </w:div>
    <w:div w:id="13561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d1657e0f-20c3-42e8-b7e4-9e90bec0ddbc"/>
    <ds:schemaRef ds:uri="f63ed390-b236-4707-8d68-be30f09f3c76"/>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5934E813-EEC1-4EFD-A072-E9A7ABA3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31</Pages>
  <Words>7906</Words>
  <Characters>45066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2023-02-03T06:38:00Z</dcterms:created>
  <dcterms:modified xsi:type="dcterms:W3CDTF">2023-02-03T06:38:00Z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