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E695" w14:textId="77777777" w:rsidR="00B41834" w:rsidRPr="00704FF8" w:rsidRDefault="00B41834" w:rsidP="00704FF8">
      <w:pPr>
        <w:pStyle w:val="OrdersTopLine"/>
      </w:pPr>
      <w:r w:rsidRPr="00704FF8">
        <w:t>HIGH COURT OF AUSTRALIA</w:t>
      </w:r>
    </w:p>
    <w:p w14:paraId="7026C0E9" w14:textId="77777777" w:rsidR="00B41834" w:rsidRPr="00704FF8" w:rsidRDefault="00B41834" w:rsidP="00704FF8">
      <w:pPr>
        <w:pStyle w:val="OrderCentre"/>
      </w:pPr>
    </w:p>
    <w:p w14:paraId="19C3A23C" w14:textId="77777777" w:rsidR="00B41834" w:rsidRPr="00704FF8" w:rsidRDefault="00B41834" w:rsidP="00704FF8">
      <w:pPr>
        <w:pStyle w:val="OrderCentre"/>
      </w:pPr>
      <w:r w:rsidRPr="00704FF8">
        <w:t>GAGELER</w:t>
      </w:r>
      <w:r>
        <w:t xml:space="preserve"> </w:t>
      </w:r>
      <w:r w:rsidRPr="00704FF8">
        <w:t>AND</w:t>
      </w:r>
      <w:r>
        <w:t xml:space="preserve"> </w:t>
      </w:r>
      <w:r w:rsidRPr="004C496B">
        <w:t>STEWARD</w:t>
      </w:r>
      <w:r w:rsidRPr="00704FF8">
        <w:t xml:space="preserve"> JJ</w:t>
      </w:r>
    </w:p>
    <w:p w14:paraId="01338761" w14:textId="77777777" w:rsidR="00B41834" w:rsidRPr="00427F3A" w:rsidRDefault="00B41834" w:rsidP="00EE5374">
      <w:pPr>
        <w:pStyle w:val="Centre"/>
        <w:rPr>
          <w:lang w:val="en-AU"/>
        </w:rPr>
      </w:pPr>
    </w:p>
    <w:p w14:paraId="30DD54D4" w14:textId="77777777" w:rsidR="00B41834" w:rsidRPr="00704FF8" w:rsidRDefault="00B41834" w:rsidP="00704FF8">
      <w:pPr>
        <w:pStyle w:val="OrdersCenteredBorder"/>
      </w:pPr>
    </w:p>
    <w:p w14:paraId="360C1286" w14:textId="77777777" w:rsidR="00B41834" w:rsidRPr="0016289D" w:rsidRDefault="00B41834" w:rsidP="0032341F">
      <w:pPr>
        <w:pStyle w:val="OrdersBodyHeading"/>
        <w:rPr>
          <w:b w:val="0"/>
          <w:bCs w:val="0"/>
        </w:rPr>
      </w:pPr>
    </w:p>
    <w:p w14:paraId="082F64EE" w14:textId="77777777" w:rsidR="00B41834" w:rsidRPr="00F90171" w:rsidRDefault="00B41834" w:rsidP="00190C3A">
      <w:pPr>
        <w:pStyle w:val="OrdersPartyName"/>
        <w:ind w:right="-1"/>
        <w:rPr>
          <w:b/>
        </w:rPr>
      </w:pPr>
      <w:r>
        <w:rPr>
          <w:b/>
        </w:rPr>
        <w:t xml:space="preserve">Matter No </w:t>
      </w:r>
      <w:r w:rsidRPr="00190C3A">
        <w:rPr>
          <w:b/>
        </w:rPr>
        <w:t>S85/2022</w:t>
      </w:r>
    </w:p>
    <w:p w14:paraId="1D3FA9C6" w14:textId="77777777" w:rsidR="00B41834" w:rsidRPr="00F90171" w:rsidRDefault="00B41834" w:rsidP="00190C3A">
      <w:pPr>
        <w:pStyle w:val="OrdersPartyName"/>
        <w:ind w:right="-1"/>
      </w:pPr>
    </w:p>
    <w:p w14:paraId="2E60C3F5" w14:textId="77777777" w:rsidR="00B41834" w:rsidRPr="004D2B52" w:rsidRDefault="00B41834" w:rsidP="00190C3A">
      <w:pPr>
        <w:pStyle w:val="OrdersPartyName"/>
        <w:ind w:right="-1"/>
      </w:pPr>
      <w:r w:rsidRPr="00190C3A">
        <w:t>JOHN JAMES DAVID</w:t>
      </w:r>
      <w:r>
        <w:t xml:space="preserve"> HOOD</w:t>
      </w:r>
      <w:r w:rsidRPr="004D2B52">
        <w:tab/>
      </w:r>
      <w:r w:rsidRPr="00190C3A">
        <w:t>APPLICANT</w:t>
      </w:r>
    </w:p>
    <w:p w14:paraId="514A5C3A" w14:textId="77777777" w:rsidR="00B41834" w:rsidRPr="004D2B52" w:rsidRDefault="00B41834" w:rsidP="00190C3A">
      <w:pPr>
        <w:pStyle w:val="OrdersPartyName"/>
        <w:ind w:right="-1"/>
      </w:pPr>
    </w:p>
    <w:p w14:paraId="2CC10F30" w14:textId="77777777" w:rsidR="00B41834" w:rsidRPr="004D2B52" w:rsidRDefault="00B41834" w:rsidP="00190C3A">
      <w:pPr>
        <w:pStyle w:val="OrdersPartyName"/>
        <w:ind w:right="-1"/>
      </w:pPr>
      <w:r w:rsidRPr="004D2B52">
        <w:t>AND</w:t>
      </w:r>
    </w:p>
    <w:p w14:paraId="0570706B" w14:textId="77777777" w:rsidR="00B41834" w:rsidRPr="004D2B52" w:rsidRDefault="00B41834" w:rsidP="00190C3A">
      <w:pPr>
        <w:pStyle w:val="OrdersPartyName"/>
        <w:ind w:right="-1"/>
      </w:pPr>
    </w:p>
    <w:p w14:paraId="45957364" w14:textId="77777777" w:rsidR="00B41834" w:rsidRDefault="00B41834" w:rsidP="00190C3A">
      <w:pPr>
        <w:pStyle w:val="OrdersPartyName"/>
        <w:ind w:right="-1"/>
      </w:pPr>
      <w:r w:rsidRPr="00190C3A">
        <w:t xml:space="preserve">DOWN UNDER ENTERPRISES INTERNATIONAL </w:t>
      </w:r>
    </w:p>
    <w:p w14:paraId="117897DA" w14:textId="77777777" w:rsidR="00B41834" w:rsidRPr="004D2B52" w:rsidRDefault="00B41834" w:rsidP="00190C3A">
      <w:pPr>
        <w:pStyle w:val="OrdersPartyName"/>
        <w:ind w:right="-1"/>
      </w:pPr>
      <w:r w:rsidRPr="00190C3A">
        <w:t>PTY LIMITED</w:t>
      </w:r>
      <w:r w:rsidRPr="004D2B52">
        <w:tab/>
        <w:t>RESPONDENT</w:t>
      </w:r>
    </w:p>
    <w:p w14:paraId="5A663579" w14:textId="77777777" w:rsidR="00B41834" w:rsidRDefault="00B41834" w:rsidP="00190C3A">
      <w:pPr>
        <w:pStyle w:val="OrdersBodyHeading"/>
        <w:rPr>
          <w:b w:val="0"/>
          <w:bCs w:val="0"/>
        </w:rPr>
      </w:pPr>
    </w:p>
    <w:p w14:paraId="1E1E5467" w14:textId="77777777" w:rsidR="00B41834" w:rsidRPr="0016289D" w:rsidRDefault="00B41834" w:rsidP="00190C3A">
      <w:pPr>
        <w:pStyle w:val="OrdersBodyHeading"/>
        <w:rPr>
          <w:b w:val="0"/>
          <w:bCs w:val="0"/>
        </w:rPr>
      </w:pPr>
    </w:p>
    <w:p w14:paraId="0C98A70C" w14:textId="77777777" w:rsidR="00B41834" w:rsidRPr="004D2B52" w:rsidRDefault="00B41834" w:rsidP="00190C3A">
      <w:pPr>
        <w:pStyle w:val="OrdersPartyName"/>
        <w:ind w:right="-1"/>
        <w:rPr>
          <w:b/>
        </w:rPr>
      </w:pPr>
      <w:bookmarkStart w:id="0" w:name="_Hlk129333613"/>
      <w:r>
        <w:rPr>
          <w:b/>
        </w:rPr>
        <w:t xml:space="preserve">Matter No </w:t>
      </w:r>
      <w:r w:rsidRPr="00190C3A">
        <w:rPr>
          <w:b/>
        </w:rPr>
        <w:t>S8</w:t>
      </w:r>
      <w:r>
        <w:rPr>
          <w:b/>
        </w:rPr>
        <w:t>7</w:t>
      </w:r>
      <w:r w:rsidRPr="00190C3A">
        <w:rPr>
          <w:b/>
        </w:rPr>
        <w:t>/2022</w:t>
      </w:r>
      <w:bookmarkEnd w:id="0"/>
    </w:p>
    <w:p w14:paraId="574D309A" w14:textId="77777777" w:rsidR="00B41834" w:rsidRPr="004D2B52" w:rsidRDefault="00B41834" w:rsidP="00190C3A">
      <w:pPr>
        <w:pStyle w:val="OrdersPartyName"/>
        <w:ind w:right="-1"/>
      </w:pPr>
    </w:p>
    <w:p w14:paraId="474E7B75" w14:textId="77777777" w:rsidR="00B41834" w:rsidRPr="004D2B52" w:rsidRDefault="00B41834" w:rsidP="00190C3A">
      <w:pPr>
        <w:pStyle w:val="OrdersPartyName"/>
        <w:ind w:right="-1"/>
      </w:pPr>
      <w:r w:rsidRPr="00190C3A">
        <w:t>JOHN JAMES DAVID</w:t>
      </w:r>
      <w:r>
        <w:t xml:space="preserve"> HOOD</w:t>
      </w:r>
      <w:r w:rsidRPr="004D2B52">
        <w:tab/>
      </w:r>
      <w:r w:rsidRPr="00190C3A">
        <w:t>APPLICANT</w:t>
      </w:r>
    </w:p>
    <w:p w14:paraId="28E3067B" w14:textId="77777777" w:rsidR="00B41834" w:rsidRPr="004D2B52" w:rsidRDefault="00B41834" w:rsidP="00190C3A">
      <w:pPr>
        <w:pStyle w:val="OrdersPartyName"/>
        <w:ind w:right="-1"/>
      </w:pPr>
    </w:p>
    <w:p w14:paraId="287C6165" w14:textId="77777777" w:rsidR="00B41834" w:rsidRPr="004D2B52" w:rsidRDefault="00B41834" w:rsidP="00190C3A">
      <w:pPr>
        <w:pStyle w:val="OrdersPartyName"/>
        <w:ind w:right="-1"/>
      </w:pPr>
      <w:r w:rsidRPr="004D2B52">
        <w:t>AND</w:t>
      </w:r>
    </w:p>
    <w:p w14:paraId="46B128D2" w14:textId="77777777" w:rsidR="00B41834" w:rsidRPr="004D2B52" w:rsidRDefault="00B41834" w:rsidP="00190C3A">
      <w:pPr>
        <w:pStyle w:val="OrdersPartyName"/>
        <w:ind w:right="-1"/>
      </w:pPr>
    </w:p>
    <w:p w14:paraId="1577E4EC" w14:textId="77777777" w:rsidR="00B41834" w:rsidRPr="004D2B52" w:rsidRDefault="00B41834" w:rsidP="00190C3A">
      <w:pPr>
        <w:pStyle w:val="OrdersPartyName"/>
        <w:ind w:right="-1"/>
        <w:jc w:val="left"/>
      </w:pPr>
      <w:r w:rsidRPr="00190C3A">
        <w:t>NEW DIRECTIONS AUSTRALIA PTY LIMITED</w:t>
      </w:r>
      <w:r w:rsidRPr="004D2B52">
        <w:tab/>
        <w:t>RESPONDENT</w:t>
      </w:r>
    </w:p>
    <w:p w14:paraId="3395E30A" w14:textId="77777777" w:rsidR="00B41834" w:rsidRPr="0016289D" w:rsidRDefault="00B41834" w:rsidP="00AF0A5E">
      <w:pPr>
        <w:pStyle w:val="BodyHeading"/>
        <w:rPr>
          <w:b w:val="0"/>
          <w:bCs w:val="0"/>
        </w:rPr>
      </w:pPr>
    </w:p>
    <w:p w14:paraId="1833BE0B" w14:textId="77777777" w:rsidR="00B41834" w:rsidRPr="0016289D" w:rsidRDefault="00B41834" w:rsidP="00BE0A6C">
      <w:pPr>
        <w:pStyle w:val="BodyHeading"/>
        <w:rPr>
          <w:b w:val="0"/>
          <w:bCs w:val="0"/>
        </w:rPr>
      </w:pPr>
    </w:p>
    <w:p w14:paraId="140E6372" w14:textId="77777777" w:rsidR="00B41834" w:rsidRDefault="00B41834" w:rsidP="00EE5374">
      <w:pPr>
        <w:pStyle w:val="CentreItalics"/>
      </w:pPr>
      <w:r w:rsidRPr="00190C3A">
        <w:t>Hood v Down Under Enterprises International Pty Limited</w:t>
      </w:r>
    </w:p>
    <w:p w14:paraId="0709CFC7" w14:textId="77777777" w:rsidR="00B41834" w:rsidRPr="00427F3A" w:rsidRDefault="00B41834" w:rsidP="00EE5374">
      <w:pPr>
        <w:pStyle w:val="CentreItalics"/>
      </w:pPr>
      <w:r w:rsidRPr="00190C3A">
        <w:t>Hood v New Directions Australia Pty Limited</w:t>
      </w:r>
    </w:p>
    <w:p w14:paraId="1E74C416" w14:textId="77777777" w:rsidR="00B41834" w:rsidRPr="00427F3A" w:rsidRDefault="00B41834" w:rsidP="00E90E4F">
      <w:pPr>
        <w:pStyle w:val="OrdersCentre"/>
      </w:pPr>
      <w:r>
        <w:t>[2023</w:t>
      </w:r>
      <w:r w:rsidRPr="00427F3A">
        <w:t xml:space="preserve">] HCA </w:t>
      </w:r>
      <w:r>
        <w:t>12</w:t>
      </w:r>
    </w:p>
    <w:p w14:paraId="00933BB7" w14:textId="77777777" w:rsidR="00B41834" w:rsidRPr="00427F3A" w:rsidRDefault="00B41834" w:rsidP="00E90E4F">
      <w:pPr>
        <w:pStyle w:val="OrdersCentreItalics"/>
      </w:pPr>
      <w:r>
        <w:t>20 April 2023</w:t>
      </w:r>
    </w:p>
    <w:p w14:paraId="2B66860B" w14:textId="77777777" w:rsidR="00B41834" w:rsidRDefault="00B41834" w:rsidP="00E90E4F">
      <w:pPr>
        <w:pStyle w:val="OrdersCentre"/>
      </w:pPr>
      <w:r w:rsidRPr="00190C3A">
        <w:t>S8</w:t>
      </w:r>
      <w:r>
        <w:t>5</w:t>
      </w:r>
      <w:r w:rsidRPr="00190C3A">
        <w:t>/2022</w:t>
      </w:r>
      <w:r>
        <w:t xml:space="preserve"> &amp; </w:t>
      </w:r>
      <w:r w:rsidRPr="00190C3A">
        <w:t>S87/2022</w:t>
      </w:r>
    </w:p>
    <w:p w14:paraId="17310E12" w14:textId="77777777" w:rsidR="00B41834" w:rsidRPr="00427F3A" w:rsidRDefault="00B41834" w:rsidP="00E90E4F">
      <w:pPr>
        <w:pStyle w:val="OrdersCentre"/>
      </w:pPr>
    </w:p>
    <w:p w14:paraId="4FF57EC0" w14:textId="77777777" w:rsidR="00B41834" w:rsidRPr="00BE0A6C" w:rsidRDefault="00B41834" w:rsidP="00E90E4F">
      <w:pPr>
        <w:pStyle w:val="OrderCentreBold"/>
      </w:pPr>
      <w:r w:rsidRPr="00BE0A6C">
        <w:t>ORDER</w:t>
      </w:r>
    </w:p>
    <w:p w14:paraId="180C6268" w14:textId="77777777" w:rsidR="00B41834" w:rsidRPr="00427F3A" w:rsidRDefault="00B41834" w:rsidP="00736C52">
      <w:pPr>
        <w:pStyle w:val="Centre"/>
        <w:rPr>
          <w:lang w:val="en-AU"/>
        </w:rPr>
      </w:pPr>
    </w:p>
    <w:p w14:paraId="2E27F910" w14:textId="77777777" w:rsidR="00B41834" w:rsidRPr="00CD0137" w:rsidRDefault="00B41834" w:rsidP="00CD0137">
      <w:pPr>
        <w:pStyle w:val="OrdersText"/>
        <w:rPr>
          <w:b/>
          <w:bCs/>
          <w:i w:val="0"/>
          <w:iCs/>
        </w:rPr>
      </w:pPr>
      <w:r w:rsidRPr="00CD0137">
        <w:rPr>
          <w:b/>
          <w:bCs/>
          <w:i w:val="0"/>
          <w:iCs/>
        </w:rPr>
        <w:t>Matter No S85/2022</w:t>
      </w:r>
    </w:p>
    <w:p w14:paraId="4E8AA704" w14:textId="77777777" w:rsidR="00B41834" w:rsidRDefault="00B41834" w:rsidP="00CD0137">
      <w:pPr>
        <w:pStyle w:val="OrdersText"/>
        <w:rPr>
          <w:bCs/>
          <w:caps/>
          <w:u w:val="single"/>
        </w:rPr>
      </w:pPr>
    </w:p>
    <w:p w14:paraId="383613E1" w14:textId="77777777" w:rsidR="00B41834" w:rsidRPr="003D3CB3" w:rsidRDefault="00B41834" w:rsidP="00CD0137">
      <w:pPr>
        <w:pStyle w:val="OrdersText"/>
        <w:rPr>
          <w:bCs/>
        </w:rPr>
      </w:pPr>
      <w:r>
        <w:rPr>
          <w:bCs/>
        </w:rPr>
        <w:t>Application dismissed.</w:t>
      </w:r>
    </w:p>
    <w:p w14:paraId="0DA566E6" w14:textId="77777777" w:rsidR="00B41834" w:rsidRPr="00307A01" w:rsidRDefault="00B41834" w:rsidP="00CD0137">
      <w:pPr>
        <w:pStyle w:val="OrdersText"/>
        <w:rPr>
          <w:bCs/>
        </w:rPr>
      </w:pPr>
    </w:p>
    <w:p w14:paraId="1D6935F6" w14:textId="77777777" w:rsidR="00B41834" w:rsidRPr="00CD0137" w:rsidRDefault="00B41834" w:rsidP="00CD0137">
      <w:pPr>
        <w:pStyle w:val="OrdersText"/>
        <w:rPr>
          <w:b/>
          <w:bCs/>
          <w:i w:val="0"/>
          <w:iCs/>
        </w:rPr>
      </w:pPr>
      <w:r w:rsidRPr="00CD0137">
        <w:rPr>
          <w:b/>
          <w:bCs/>
          <w:i w:val="0"/>
          <w:iCs/>
        </w:rPr>
        <w:t>Matter No S87/2022</w:t>
      </w:r>
    </w:p>
    <w:p w14:paraId="6847DEE1" w14:textId="77777777" w:rsidR="00B41834" w:rsidRDefault="00B41834" w:rsidP="00CD0137">
      <w:pPr>
        <w:pStyle w:val="OrdersText"/>
      </w:pPr>
    </w:p>
    <w:p w14:paraId="283E46A4" w14:textId="77777777" w:rsidR="00B41834" w:rsidRPr="000F7158" w:rsidRDefault="00B41834" w:rsidP="00CD0137">
      <w:pPr>
        <w:pStyle w:val="OrdersText"/>
        <w:rPr>
          <w:bCs/>
        </w:rPr>
      </w:pPr>
      <w:r w:rsidRPr="000F7158">
        <w:rPr>
          <w:bCs/>
        </w:rPr>
        <w:t>Application dismissed.</w:t>
      </w:r>
    </w:p>
    <w:p w14:paraId="7828C071" w14:textId="77777777" w:rsidR="00B41834" w:rsidRDefault="00B41834" w:rsidP="00EE5374">
      <w:pPr>
        <w:pStyle w:val="Body"/>
      </w:pPr>
    </w:p>
    <w:p w14:paraId="4E6B981A" w14:textId="50E8E39F" w:rsidR="00B41834" w:rsidRDefault="00B418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17127D3" w14:textId="3D11940F" w:rsidR="00B41834" w:rsidRDefault="00B418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0B6EA66" w14:textId="77777777" w:rsidR="00B41834" w:rsidRPr="00427F3A" w:rsidRDefault="00B41834" w:rsidP="00CD0137">
      <w:pPr>
        <w:pStyle w:val="OrdersBody"/>
        <w:keepNext/>
      </w:pPr>
      <w:r w:rsidRPr="00427F3A">
        <w:lastRenderedPageBreak/>
        <w:t xml:space="preserve">On appeal from the </w:t>
      </w:r>
      <w:r w:rsidRPr="00190C3A">
        <w:t>Federal Court of Australia</w:t>
      </w:r>
    </w:p>
    <w:p w14:paraId="544B136F" w14:textId="77777777" w:rsidR="00B41834" w:rsidRDefault="00B41834" w:rsidP="00CD0137">
      <w:pPr>
        <w:pStyle w:val="Body"/>
        <w:keepNext/>
      </w:pPr>
    </w:p>
    <w:p w14:paraId="5F3574FF" w14:textId="77777777" w:rsidR="00B41834" w:rsidRDefault="00B41834" w:rsidP="00EE5374">
      <w:pPr>
        <w:pStyle w:val="Body"/>
      </w:pPr>
    </w:p>
    <w:p w14:paraId="20D63527" w14:textId="77777777" w:rsidR="00B41834" w:rsidRDefault="00B41834" w:rsidP="00EE5374">
      <w:pPr>
        <w:pStyle w:val="Body"/>
      </w:pPr>
    </w:p>
    <w:p w14:paraId="54C1DCD4" w14:textId="77777777" w:rsidR="00B41834" w:rsidRDefault="00B41834" w:rsidP="00EE5374">
      <w:pPr>
        <w:pStyle w:val="Body"/>
      </w:pPr>
    </w:p>
    <w:p w14:paraId="2C418BAE" w14:textId="77777777" w:rsidR="00B41834" w:rsidRDefault="00B41834" w:rsidP="00EE5374">
      <w:pPr>
        <w:pStyle w:val="Body"/>
      </w:pPr>
    </w:p>
    <w:p w14:paraId="699863CE" w14:textId="77777777" w:rsidR="00B41834" w:rsidRDefault="00B41834" w:rsidP="00EE5374">
      <w:pPr>
        <w:pStyle w:val="Body"/>
      </w:pPr>
    </w:p>
    <w:p w14:paraId="1639CEA0" w14:textId="77777777" w:rsidR="00B41834" w:rsidRDefault="00B41834" w:rsidP="00EE5374">
      <w:pPr>
        <w:pStyle w:val="Body"/>
      </w:pPr>
    </w:p>
    <w:p w14:paraId="42B87C1C" w14:textId="77777777" w:rsidR="00B41834" w:rsidRDefault="00B41834" w:rsidP="00EE5374">
      <w:pPr>
        <w:pStyle w:val="Body"/>
      </w:pPr>
    </w:p>
    <w:p w14:paraId="3A7E098D" w14:textId="77777777" w:rsidR="00B41834" w:rsidRDefault="00B41834" w:rsidP="00EE5374">
      <w:pPr>
        <w:pStyle w:val="Body"/>
      </w:pPr>
    </w:p>
    <w:p w14:paraId="104135BA" w14:textId="77777777" w:rsidR="00B41834" w:rsidRDefault="00B41834" w:rsidP="00EE5374">
      <w:pPr>
        <w:pStyle w:val="Body"/>
      </w:pPr>
    </w:p>
    <w:p w14:paraId="30B6C955" w14:textId="77777777" w:rsidR="00B41834" w:rsidRDefault="00B41834" w:rsidP="00EE5374">
      <w:pPr>
        <w:pStyle w:val="Body"/>
      </w:pPr>
    </w:p>
    <w:p w14:paraId="6F569486" w14:textId="77777777" w:rsidR="00B41834" w:rsidRDefault="00B41834" w:rsidP="00EE5374">
      <w:pPr>
        <w:pStyle w:val="Body"/>
      </w:pPr>
    </w:p>
    <w:p w14:paraId="678CBFEE" w14:textId="77777777" w:rsidR="00B41834" w:rsidRDefault="00B41834" w:rsidP="00EE5374">
      <w:pPr>
        <w:pStyle w:val="Body"/>
      </w:pPr>
    </w:p>
    <w:p w14:paraId="1DABF2FE" w14:textId="77777777" w:rsidR="00B41834" w:rsidRDefault="00B41834" w:rsidP="00EE5374">
      <w:pPr>
        <w:pStyle w:val="Body"/>
      </w:pPr>
    </w:p>
    <w:p w14:paraId="6895B278" w14:textId="77777777" w:rsidR="00B41834" w:rsidRDefault="00B41834" w:rsidP="00EE5374">
      <w:pPr>
        <w:pStyle w:val="Body"/>
      </w:pPr>
    </w:p>
    <w:p w14:paraId="51EC8846" w14:textId="77777777" w:rsidR="00B41834" w:rsidRDefault="00B41834" w:rsidP="00EE5374">
      <w:pPr>
        <w:pStyle w:val="Body"/>
      </w:pPr>
    </w:p>
    <w:p w14:paraId="7A34C7BB" w14:textId="77777777" w:rsidR="00B41834" w:rsidRDefault="00B41834" w:rsidP="00EE5374">
      <w:pPr>
        <w:pStyle w:val="Body"/>
      </w:pPr>
    </w:p>
    <w:p w14:paraId="55DF5D20" w14:textId="77777777" w:rsidR="00B41834" w:rsidRDefault="00B41834" w:rsidP="00EE5374">
      <w:pPr>
        <w:pStyle w:val="Body"/>
      </w:pPr>
    </w:p>
    <w:p w14:paraId="750468C4" w14:textId="77777777" w:rsidR="00B41834" w:rsidRDefault="00B41834" w:rsidP="00EE5374">
      <w:pPr>
        <w:pStyle w:val="Body"/>
      </w:pPr>
    </w:p>
    <w:p w14:paraId="453426BB" w14:textId="77777777" w:rsidR="00B41834" w:rsidRDefault="00B41834" w:rsidP="00EE5374">
      <w:pPr>
        <w:pStyle w:val="Body"/>
      </w:pPr>
    </w:p>
    <w:p w14:paraId="7CBEB3C3" w14:textId="77777777" w:rsidR="00B41834" w:rsidRDefault="00B41834" w:rsidP="00EE5374">
      <w:pPr>
        <w:pStyle w:val="Body"/>
      </w:pPr>
    </w:p>
    <w:p w14:paraId="3B034C42" w14:textId="77777777" w:rsidR="00B41834" w:rsidRDefault="00B41834" w:rsidP="00EE5374">
      <w:pPr>
        <w:pStyle w:val="Body"/>
      </w:pPr>
    </w:p>
    <w:p w14:paraId="089142BE" w14:textId="77777777" w:rsidR="00B41834" w:rsidRDefault="00B41834" w:rsidP="00EE5374">
      <w:pPr>
        <w:pStyle w:val="Body"/>
      </w:pPr>
    </w:p>
    <w:p w14:paraId="47BA206E" w14:textId="77777777" w:rsidR="00B41834" w:rsidRDefault="00B41834" w:rsidP="00EE5374">
      <w:pPr>
        <w:pStyle w:val="Body"/>
      </w:pPr>
    </w:p>
    <w:p w14:paraId="4A7AF8A6" w14:textId="77777777" w:rsidR="00B41834" w:rsidRDefault="00B41834" w:rsidP="00EE5374">
      <w:pPr>
        <w:pStyle w:val="Body"/>
      </w:pPr>
    </w:p>
    <w:p w14:paraId="6AA1C63A" w14:textId="77777777" w:rsidR="00B41834" w:rsidRDefault="00B41834" w:rsidP="00EE5374">
      <w:pPr>
        <w:pStyle w:val="Body"/>
      </w:pPr>
    </w:p>
    <w:p w14:paraId="5B3E9BAD" w14:textId="77777777" w:rsidR="00B41834" w:rsidRDefault="00B41834" w:rsidP="00EE5374">
      <w:pPr>
        <w:pStyle w:val="Body"/>
      </w:pPr>
    </w:p>
    <w:p w14:paraId="0BE71850" w14:textId="77777777" w:rsidR="00B41834" w:rsidRDefault="00B41834" w:rsidP="00EE5374">
      <w:pPr>
        <w:pStyle w:val="Body"/>
      </w:pPr>
    </w:p>
    <w:p w14:paraId="3B9C6E15" w14:textId="77777777" w:rsidR="00B41834" w:rsidRDefault="00B41834" w:rsidP="00EE5374">
      <w:pPr>
        <w:pStyle w:val="Body"/>
      </w:pPr>
    </w:p>
    <w:p w14:paraId="7B37FE3B" w14:textId="77777777" w:rsidR="00B41834" w:rsidRDefault="00B41834" w:rsidP="00EE5374">
      <w:pPr>
        <w:pStyle w:val="Body"/>
      </w:pPr>
    </w:p>
    <w:p w14:paraId="2E211F23" w14:textId="77777777" w:rsidR="00B41834" w:rsidRDefault="00B41834" w:rsidP="00EE5374">
      <w:pPr>
        <w:pStyle w:val="Body"/>
      </w:pPr>
    </w:p>
    <w:p w14:paraId="47B44560" w14:textId="77777777" w:rsidR="00B41834" w:rsidRDefault="00B41834" w:rsidP="00EE5374">
      <w:pPr>
        <w:pStyle w:val="Body"/>
      </w:pPr>
    </w:p>
    <w:p w14:paraId="69D64E89" w14:textId="77777777" w:rsidR="00B41834" w:rsidRDefault="00B41834" w:rsidP="00EE5374">
      <w:pPr>
        <w:pStyle w:val="Body"/>
      </w:pPr>
    </w:p>
    <w:p w14:paraId="5D8FD5BA" w14:textId="5DA2A5CA" w:rsidR="00B41834" w:rsidRDefault="00B41834" w:rsidP="00EE5374">
      <w:pPr>
        <w:pStyle w:val="Body"/>
      </w:pPr>
    </w:p>
    <w:p w14:paraId="43BF1458" w14:textId="77777777" w:rsidR="008855E4" w:rsidRDefault="008855E4" w:rsidP="00EE5374">
      <w:pPr>
        <w:pStyle w:val="Body"/>
      </w:pPr>
    </w:p>
    <w:p w14:paraId="7207395A" w14:textId="77777777" w:rsidR="00B41834" w:rsidRDefault="00B41834" w:rsidP="00EE5374">
      <w:pPr>
        <w:pStyle w:val="Body"/>
      </w:pPr>
    </w:p>
    <w:p w14:paraId="1A302A68" w14:textId="77777777" w:rsidR="00B41834" w:rsidRPr="00427F3A" w:rsidRDefault="00B41834" w:rsidP="00EE5374">
      <w:pPr>
        <w:pStyle w:val="Body"/>
      </w:pPr>
    </w:p>
    <w:p w14:paraId="44D7A33C" w14:textId="77777777" w:rsidR="00B41834" w:rsidRPr="00427F3A" w:rsidRDefault="00B41834" w:rsidP="00F9713B">
      <w:pPr>
        <w:pStyle w:val="Notice"/>
        <w:rPr>
          <w:lang w:val="en-AU"/>
        </w:rPr>
      </w:pPr>
      <w:r w:rsidRPr="00427F3A">
        <w:rPr>
          <w:lang w:val="en-AU"/>
        </w:rPr>
        <w:t>Notice:  This copy of the Court's Reasons for Judgment is subject to formal revision prior to publication in the Commonwealth Law Reports.</w:t>
      </w:r>
    </w:p>
    <w:p w14:paraId="524FF214" w14:textId="48983807" w:rsidR="00B41834" w:rsidRDefault="00B418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701CFAB" w14:textId="77777777" w:rsidR="008855E4" w:rsidRDefault="00B418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855E4" w:rsidSect="00B4183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9AE60CA" w14:textId="77777777" w:rsidR="008855E4" w:rsidRPr="00054C14" w:rsidRDefault="008855E4" w:rsidP="008855E4">
      <w:pPr>
        <w:pStyle w:val="CatchwordsBold"/>
      </w:pPr>
      <w:r w:rsidRPr="00054C14">
        <w:lastRenderedPageBreak/>
        <w:t>CATCHWORDS</w:t>
      </w:r>
    </w:p>
    <w:p w14:paraId="61C41792" w14:textId="77777777" w:rsidR="008855E4" w:rsidRPr="00054C14" w:rsidRDefault="008855E4" w:rsidP="008855E4">
      <w:pPr>
        <w:pStyle w:val="CatchwordsBold"/>
      </w:pPr>
    </w:p>
    <w:p w14:paraId="3AC93559" w14:textId="77777777" w:rsidR="008855E4" w:rsidRDefault="008855E4" w:rsidP="008855E4">
      <w:pPr>
        <w:pStyle w:val="CatchwordsBold"/>
      </w:pPr>
      <w:r>
        <w:t xml:space="preserve">Hood v Down Under Enterprises International Pty Limited </w:t>
      </w:r>
    </w:p>
    <w:p w14:paraId="54107418" w14:textId="77777777" w:rsidR="008855E4" w:rsidRDefault="008855E4" w:rsidP="008855E4">
      <w:pPr>
        <w:pStyle w:val="CatchwordsBold"/>
      </w:pPr>
      <w:r>
        <w:t>Hood v New Directions Australia Pty Limited</w:t>
      </w:r>
    </w:p>
    <w:p w14:paraId="1642919E" w14:textId="77777777" w:rsidR="008855E4" w:rsidRDefault="008855E4" w:rsidP="008855E4">
      <w:pPr>
        <w:pStyle w:val="CatchwordsText"/>
      </w:pPr>
    </w:p>
    <w:p w14:paraId="12D90629" w14:textId="77777777" w:rsidR="008855E4" w:rsidRPr="000845B6" w:rsidRDefault="008855E4" w:rsidP="008855E4">
      <w:pPr>
        <w:pStyle w:val="CatchwordsText"/>
      </w:pPr>
      <w:r>
        <w:t xml:space="preserve">Practice and procedure – Costs – Offers of compromise – </w:t>
      </w:r>
      <w:r w:rsidRPr="00ED6403">
        <w:rPr>
          <w:i/>
          <w:iCs/>
        </w:rPr>
        <w:t>Calderbank</w:t>
      </w:r>
      <w:r>
        <w:t xml:space="preserve"> letter – Application to amend orders – Where applications for special leave determined, and orders for costs made in favour of respondents – Whether applicant's failure to engage with respondents' </w:t>
      </w:r>
      <w:proofErr w:type="spellStart"/>
      <w:r w:rsidRPr="00502743">
        <w:rPr>
          <w:i/>
          <w:iCs/>
        </w:rPr>
        <w:t>Calderbank</w:t>
      </w:r>
      <w:proofErr w:type="spellEnd"/>
      <w:r>
        <w:t xml:space="preserve"> offer unreasonable – Whether </w:t>
      </w:r>
      <w:r>
        <w:rPr>
          <w:i/>
          <w:iCs/>
        </w:rPr>
        <w:t xml:space="preserve">Calderbank </w:t>
      </w:r>
      <w:r w:rsidRPr="0021381B">
        <w:t xml:space="preserve">offer was open for acceptance when </w:t>
      </w:r>
      <w:r>
        <w:t xml:space="preserve">application for special leave </w:t>
      </w:r>
      <w:r w:rsidRPr="0021381B">
        <w:t>instituted or before significant costs incurred</w:t>
      </w:r>
      <w:r>
        <w:t xml:space="preserve"> – Whether orders should be amended such that applicant pay costs on indemnity basis.</w:t>
      </w:r>
    </w:p>
    <w:p w14:paraId="2ACE095E" w14:textId="77777777" w:rsidR="008855E4" w:rsidRDefault="008855E4" w:rsidP="008855E4">
      <w:pPr>
        <w:pStyle w:val="CatchwordsText"/>
      </w:pPr>
    </w:p>
    <w:p w14:paraId="3D4A3703" w14:textId="77777777" w:rsidR="008855E4" w:rsidRPr="008C3BAC" w:rsidRDefault="008855E4" w:rsidP="008855E4">
      <w:pPr>
        <w:pStyle w:val="CatchwordsText"/>
      </w:pPr>
      <w:r w:rsidRPr="00294DEA">
        <w:t>Words and phrases –</w:t>
      </w:r>
      <w:r>
        <w:t xml:space="preserve"> "amend", "</w:t>
      </w:r>
      <w:proofErr w:type="spellStart"/>
      <w:r w:rsidRPr="00021A23">
        <w:rPr>
          <w:i/>
          <w:iCs/>
        </w:rPr>
        <w:t>Calderbank</w:t>
      </w:r>
      <w:proofErr w:type="spellEnd"/>
      <w:r>
        <w:t xml:space="preserve"> letter", "costs", "High Court scale of costs", "indemnity costs", "orders".</w:t>
      </w:r>
    </w:p>
    <w:p w14:paraId="12AA4F05" w14:textId="2AA62A91" w:rsidR="00B41834" w:rsidRDefault="00B41834" w:rsidP="008855E4">
      <w:pPr>
        <w:pStyle w:val="CatchwordsText"/>
      </w:pPr>
    </w:p>
    <w:p w14:paraId="43BBB58C" w14:textId="411F5206" w:rsidR="008855E4" w:rsidRDefault="008855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9A8C7D" w14:textId="690C8F38" w:rsidR="008855E4" w:rsidRDefault="008855E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1DF4232" w14:textId="77777777" w:rsidR="00B41834" w:rsidRDefault="00B41834" w:rsidP="00434267">
      <w:pPr>
        <w:pStyle w:val="FixListStyle"/>
        <w:tabs>
          <w:tab w:val="clear" w:pos="720"/>
          <w:tab w:val="left" w:pos="0"/>
        </w:tabs>
        <w:spacing w:after="260" w:line="280" w:lineRule="exact"/>
        <w:ind w:right="0"/>
        <w:jc w:val="both"/>
        <w:rPr>
          <w:rFonts w:ascii="Times New Roman" w:hAnsi="Times New Roman"/>
        </w:rPr>
        <w:sectPr w:rsidR="00B41834" w:rsidSect="008855E4">
          <w:pgSz w:w="11907" w:h="16839" w:code="9"/>
          <w:pgMar w:top="1440" w:right="1701" w:bottom="1984" w:left="1701" w:header="720" w:footer="720" w:gutter="0"/>
          <w:pgNumType w:start="1"/>
          <w:cols w:space="720"/>
          <w:titlePg/>
          <w:docGrid w:linePitch="354"/>
        </w:sectPr>
      </w:pPr>
    </w:p>
    <w:p w14:paraId="69DEA195" w14:textId="3E39AE9F" w:rsidR="005767AF" w:rsidRPr="00434267" w:rsidRDefault="00434267" w:rsidP="00434267">
      <w:pPr>
        <w:pStyle w:val="FixListStyle"/>
        <w:tabs>
          <w:tab w:val="clear" w:pos="720"/>
          <w:tab w:val="left" w:pos="0"/>
        </w:tabs>
        <w:spacing w:after="260" w:line="280" w:lineRule="exact"/>
        <w:ind w:right="0"/>
        <w:jc w:val="both"/>
        <w:rPr>
          <w:rFonts w:ascii="Times New Roman" w:hAnsi="Times New Roman"/>
        </w:rPr>
      </w:pPr>
      <w:r w:rsidRPr="00434267">
        <w:rPr>
          <w:rFonts w:ascii="Times New Roman" w:hAnsi="Times New Roman"/>
        </w:rPr>
        <w:lastRenderedPageBreak/>
        <w:t xml:space="preserve">GAGELER AND STEWARD JJ.   </w:t>
      </w:r>
      <w:r w:rsidR="005767AF" w:rsidRPr="00434267">
        <w:rPr>
          <w:rFonts w:ascii="Times New Roman" w:hAnsi="Times New Roman"/>
        </w:rPr>
        <w:t>On 19 September 2022, this Court made orders dismissing the applicant's applications for special leave to appeal from a unanimous judgment of the Full Court of the Federal Court of Australia, relevantly with costs ("the Orders")</w:t>
      </w:r>
      <w:r w:rsidR="005767AF" w:rsidRPr="00434267">
        <w:rPr>
          <w:rStyle w:val="FootnoteReference"/>
          <w:rFonts w:ascii="Times New Roman" w:hAnsi="Times New Roman"/>
          <w:sz w:val="24"/>
        </w:rPr>
        <w:footnoteReference w:id="2"/>
      </w:r>
      <w:r w:rsidR="005767AF" w:rsidRPr="00434267">
        <w:rPr>
          <w:rFonts w:ascii="Times New Roman" w:hAnsi="Times New Roman"/>
        </w:rPr>
        <w:t xml:space="preserve">. Following disagreement between the parties over particularisation of the costs, on 10 November 2022 the respondents' solicitors wrote to the applicant's solicitors, purportedly in accordance with the principles set out in </w:t>
      </w:r>
      <w:proofErr w:type="spellStart"/>
      <w:r w:rsidR="005767AF" w:rsidRPr="00434267">
        <w:rPr>
          <w:rFonts w:ascii="Times New Roman" w:hAnsi="Times New Roman"/>
          <w:i/>
          <w:iCs/>
        </w:rPr>
        <w:t>Calderbank</w:t>
      </w:r>
      <w:proofErr w:type="spellEnd"/>
      <w:r w:rsidR="005767AF" w:rsidRPr="00434267">
        <w:rPr>
          <w:rFonts w:ascii="Times New Roman" w:hAnsi="Times New Roman"/>
          <w:i/>
          <w:iCs/>
        </w:rPr>
        <w:t xml:space="preserve"> v </w:t>
      </w:r>
      <w:proofErr w:type="spellStart"/>
      <w:r w:rsidR="005767AF" w:rsidRPr="00434267">
        <w:rPr>
          <w:rFonts w:ascii="Times New Roman" w:hAnsi="Times New Roman"/>
          <w:i/>
          <w:iCs/>
        </w:rPr>
        <w:t>Calderbank</w:t>
      </w:r>
      <w:proofErr w:type="spellEnd"/>
      <w:r w:rsidR="005767AF" w:rsidRPr="00434267">
        <w:rPr>
          <w:rStyle w:val="FootnoteReference"/>
          <w:rFonts w:ascii="Times New Roman" w:hAnsi="Times New Roman"/>
          <w:sz w:val="24"/>
        </w:rPr>
        <w:footnoteReference w:id="3"/>
      </w:r>
      <w:r w:rsidR="005767AF" w:rsidRPr="00434267">
        <w:rPr>
          <w:rFonts w:ascii="Times New Roman" w:hAnsi="Times New Roman"/>
        </w:rPr>
        <w:t>, demanding payment of a reduced amount of the costs the respondents were entitled to claim pursuant to the High Court scale of costs. Relying on the applicant's failure to respond to that letter, as well as a subsequent letter dated 1 December 2022, the respondents now seek to have the Court amend the Orders so that the applicant is required to pay those costs, and the costs of these applications, on an indemnity basis. The respondents say that the applicant, having failed to demonstrate any reasonable basis for refusing to engage with the so-called "</w:t>
      </w:r>
      <w:proofErr w:type="spellStart"/>
      <w:r w:rsidR="005767AF" w:rsidRPr="00434267">
        <w:rPr>
          <w:rFonts w:ascii="Times New Roman" w:hAnsi="Times New Roman"/>
        </w:rPr>
        <w:t>Calderbank</w:t>
      </w:r>
      <w:proofErr w:type="spellEnd"/>
      <w:r w:rsidR="005767AF" w:rsidRPr="00434267">
        <w:rPr>
          <w:rFonts w:ascii="Times New Roman" w:hAnsi="Times New Roman"/>
        </w:rPr>
        <w:t xml:space="preserve"> Letter", has acted so unreasonably as to justify </w:t>
      </w:r>
      <w:proofErr w:type="gramStart"/>
      <w:r w:rsidR="005767AF" w:rsidRPr="00434267">
        <w:rPr>
          <w:rFonts w:ascii="Times New Roman" w:hAnsi="Times New Roman"/>
        </w:rPr>
        <w:t>that costs</w:t>
      </w:r>
      <w:proofErr w:type="gramEnd"/>
      <w:r w:rsidR="005767AF" w:rsidRPr="00434267">
        <w:rPr>
          <w:rFonts w:ascii="Times New Roman" w:hAnsi="Times New Roman"/>
        </w:rPr>
        <w:t xml:space="preserve"> now be paid on an indemnity basis. In support of that proposition the respondents rely upon </w:t>
      </w:r>
      <w:r w:rsidR="005767AF" w:rsidRPr="00434267">
        <w:rPr>
          <w:rFonts w:ascii="Times New Roman" w:hAnsi="Times New Roman"/>
          <w:i/>
          <w:iCs/>
        </w:rPr>
        <w:t xml:space="preserve">Stewart v Atco Controls Pty Ltd (In </w:t>
      </w:r>
      <w:proofErr w:type="spellStart"/>
      <w:r w:rsidR="005767AF" w:rsidRPr="00434267">
        <w:rPr>
          <w:rFonts w:ascii="Times New Roman" w:hAnsi="Times New Roman"/>
          <w:i/>
          <w:iCs/>
        </w:rPr>
        <w:t>liq</w:t>
      </w:r>
      <w:proofErr w:type="spellEnd"/>
      <w:r w:rsidR="005767AF" w:rsidRPr="00434267">
        <w:rPr>
          <w:rFonts w:ascii="Times New Roman" w:hAnsi="Times New Roman"/>
          <w:i/>
          <w:iCs/>
        </w:rPr>
        <w:t>)</w:t>
      </w:r>
      <w:r w:rsidR="005767AF" w:rsidRPr="00434267">
        <w:rPr>
          <w:rFonts w:ascii="Times New Roman" w:hAnsi="Times New Roman"/>
        </w:rPr>
        <w:t xml:space="preserve"> </w:t>
      </w:r>
      <w:r w:rsidR="005767AF" w:rsidRPr="00434267">
        <w:rPr>
          <w:rFonts w:ascii="Times New Roman" w:hAnsi="Times New Roman"/>
          <w:i/>
          <w:iCs/>
        </w:rPr>
        <w:t>[No 2]</w:t>
      </w:r>
      <w:r w:rsidR="005767AF" w:rsidRPr="00434267">
        <w:rPr>
          <w:rStyle w:val="FootnoteReference"/>
          <w:rFonts w:ascii="Times New Roman" w:hAnsi="Times New Roman"/>
          <w:sz w:val="24"/>
        </w:rPr>
        <w:footnoteReference w:id="4"/>
      </w:r>
      <w:r w:rsidR="005767AF" w:rsidRPr="00434267">
        <w:rPr>
          <w:rFonts w:ascii="Times New Roman" w:hAnsi="Times New Roman"/>
        </w:rPr>
        <w:t xml:space="preserve"> and </w:t>
      </w:r>
      <w:r w:rsidR="005767AF" w:rsidRPr="00434267">
        <w:rPr>
          <w:rFonts w:ascii="Times New Roman" w:hAnsi="Times New Roman"/>
          <w:i/>
          <w:iCs/>
        </w:rPr>
        <w:t>Whittle v Filaria Pty Ltd</w:t>
      </w:r>
      <w:r w:rsidR="005767AF" w:rsidRPr="00434267">
        <w:rPr>
          <w:rStyle w:val="FootnoteReference"/>
          <w:rFonts w:ascii="Times New Roman" w:hAnsi="Times New Roman"/>
          <w:sz w:val="24"/>
        </w:rPr>
        <w:footnoteReference w:id="5"/>
      </w:r>
      <w:r w:rsidR="005767AF" w:rsidRPr="00434267">
        <w:rPr>
          <w:rFonts w:ascii="Times New Roman" w:hAnsi="Times New Roman"/>
        </w:rPr>
        <w:t>.</w:t>
      </w:r>
    </w:p>
    <w:p w14:paraId="1CE9C92B" w14:textId="77777777" w:rsidR="005767AF" w:rsidRPr="00434267" w:rsidRDefault="005767AF" w:rsidP="00434267">
      <w:pPr>
        <w:pStyle w:val="FixListStyle"/>
        <w:spacing w:after="260" w:line="280" w:lineRule="exact"/>
        <w:ind w:right="0"/>
        <w:jc w:val="both"/>
        <w:rPr>
          <w:rFonts w:ascii="Times New Roman" w:hAnsi="Times New Roman"/>
        </w:rPr>
      </w:pPr>
      <w:r w:rsidRPr="00434267">
        <w:rPr>
          <w:rFonts w:ascii="Times New Roman" w:hAnsi="Times New Roman"/>
        </w:rPr>
        <w:tab/>
        <w:t xml:space="preserve">Neither authority supports an order for indemnity costs in the present case. In </w:t>
      </w:r>
      <w:r w:rsidRPr="00434267">
        <w:rPr>
          <w:rFonts w:ascii="Times New Roman" w:hAnsi="Times New Roman"/>
          <w:i/>
          <w:iCs/>
        </w:rPr>
        <w:t xml:space="preserve">Stewart v Atco Controls Pty Ltd (In </w:t>
      </w:r>
      <w:proofErr w:type="spellStart"/>
      <w:r w:rsidRPr="00434267">
        <w:rPr>
          <w:rFonts w:ascii="Times New Roman" w:hAnsi="Times New Roman"/>
          <w:i/>
          <w:iCs/>
        </w:rPr>
        <w:t>liq</w:t>
      </w:r>
      <w:proofErr w:type="spellEnd"/>
      <w:r w:rsidRPr="00434267">
        <w:rPr>
          <w:rFonts w:ascii="Times New Roman" w:hAnsi="Times New Roman"/>
          <w:i/>
          <w:iCs/>
        </w:rPr>
        <w:t>)</w:t>
      </w:r>
      <w:r w:rsidRPr="00434267">
        <w:rPr>
          <w:rFonts w:ascii="Times New Roman" w:hAnsi="Times New Roman"/>
        </w:rPr>
        <w:t xml:space="preserve"> </w:t>
      </w:r>
      <w:r w:rsidRPr="00434267">
        <w:rPr>
          <w:rFonts w:ascii="Times New Roman" w:hAnsi="Times New Roman"/>
          <w:i/>
          <w:iCs/>
        </w:rPr>
        <w:t>[No 2]</w:t>
      </w:r>
      <w:r w:rsidRPr="00434267">
        <w:rPr>
          <w:rStyle w:val="FootnoteReference"/>
          <w:rFonts w:ascii="Times New Roman" w:hAnsi="Times New Roman"/>
          <w:sz w:val="24"/>
        </w:rPr>
        <w:footnoteReference w:id="6"/>
      </w:r>
      <w:r w:rsidRPr="00434267">
        <w:rPr>
          <w:rFonts w:ascii="Times New Roman" w:hAnsi="Times New Roman"/>
        </w:rPr>
        <w:t xml:space="preserve">, the Court held that the successful appellants should have an order for indemnity costs of the appeal to the Court of Appeal, but not of the appeal to this Court. As to the latter, the Court said there was no failure on the part of the respondent that could found an order for indemnity costs because </w:t>
      </w:r>
      <w:r w:rsidRPr="00434267">
        <w:rPr>
          <w:rFonts w:ascii="Times New Roman" w:hAnsi="Times New Roman"/>
          <w:i/>
          <w:iCs/>
        </w:rPr>
        <w:t>at the time of the appeal</w:t>
      </w:r>
      <w:r w:rsidRPr="00434267">
        <w:rPr>
          <w:rFonts w:ascii="Times New Roman" w:hAnsi="Times New Roman"/>
        </w:rPr>
        <w:t xml:space="preserve"> there was no extant offer by the appellants for the respondent to accept</w:t>
      </w:r>
      <w:r w:rsidRPr="00434267">
        <w:rPr>
          <w:rStyle w:val="FootnoteReference"/>
          <w:rFonts w:ascii="Times New Roman" w:hAnsi="Times New Roman"/>
          <w:sz w:val="24"/>
        </w:rPr>
        <w:footnoteReference w:id="7"/>
      </w:r>
      <w:r w:rsidRPr="00434267">
        <w:rPr>
          <w:rFonts w:ascii="Times New Roman" w:hAnsi="Times New Roman"/>
        </w:rPr>
        <w:t>. That is, the failure to accept the offer was not unreasonable because the offer was not open for acceptance when the appeal was instituted or before significant costs had been incurred</w:t>
      </w:r>
      <w:r w:rsidRPr="00434267">
        <w:rPr>
          <w:rStyle w:val="FootnoteReference"/>
          <w:rFonts w:ascii="Times New Roman" w:hAnsi="Times New Roman"/>
          <w:sz w:val="24"/>
        </w:rPr>
        <w:footnoteReference w:id="8"/>
      </w:r>
      <w:r w:rsidRPr="00434267">
        <w:rPr>
          <w:rFonts w:ascii="Times New Roman" w:hAnsi="Times New Roman"/>
        </w:rPr>
        <w:t>.</w:t>
      </w:r>
    </w:p>
    <w:p w14:paraId="0F0E2B9F" w14:textId="77777777" w:rsidR="00755CCB" w:rsidRDefault="005767AF" w:rsidP="00434267">
      <w:pPr>
        <w:pStyle w:val="FixListStyle"/>
        <w:spacing w:after="260" w:line="280" w:lineRule="exact"/>
        <w:ind w:right="0"/>
        <w:jc w:val="both"/>
        <w:rPr>
          <w:rFonts w:ascii="Times New Roman" w:hAnsi="Times New Roman"/>
        </w:rPr>
      </w:pPr>
      <w:r w:rsidRPr="00434267">
        <w:rPr>
          <w:rFonts w:ascii="Times New Roman" w:hAnsi="Times New Roman"/>
        </w:rPr>
        <w:lastRenderedPageBreak/>
        <w:tab/>
        <w:t>The circumstances of the present applications are not dissimilar. The respondents' offer was plainly not open for acceptance by the applicant when the applications for special leave to appeal were instituted or on foot. As explained above, it was only made after the applications for special leave had been disposed of. An offer to compromise made in these circumstances cannot ground an order for indemnity costs. The respondents have not identified any cogent basis upon which this Court can act to amend the Orders. The respondents' applications to amend the Orders should be dismissed.</w:t>
      </w:r>
    </w:p>
    <w:p w14:paraId="756DC2D3" w14:textId="0ED7FCE9" w:rsidR="00755CCB" w:rsidRDefault="00755CCB" w:rsidP="00434267">
      <w:pPr>
        <w:pStyle w:val="FixListStyle"/>
        <w:spacing w:after="260" w:line="280" w:lineRule="exact"/>
        <w:ind w:right="0"/>
        <w:jc w:val="both"/>
        <w:rPr>
          <w:rFonts w:ascii="Times New Roman" w:hAnsi="Times New Roman"/>
        </w:rPr>
        <w:sectPr w:rsidR="00755CCB" w:rsidSect="00B4183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6CFE822" w14:textId="0F28F9A5" w:rsidR="00154295" w:rsidRPr="00755CCB" w:rsidRDefault="00154295" w:rsidP="00755CCB">
      <w:pPr>
        <w:pStyle w:val="NormalBody"/>
      </w:pPr>
    </w:p>
    <w:sectPr w:rsidR="00154295" w:rsidRPr="00755CCB" w:rsidSect="00434267">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2DFC" w14:textId="77777777" w:rsidR="00FF5DDE" w:rsidRDefault="00FF5DDE">
      <w:pPr>
        <w:spacing w:line="240" w:lineRule="auto"/>
      </w:pPr>
      <w:r>
        <w:separator/>
      </w:r>
    </w:p>
  </w:endnote>
  <w:endnote w:type="continuationSeparator" w:id="0">
    <w:p w14:paraId="553A24AD" w14:textId="77777777" w:rsidR="00FF5DDE" w:rsidRDefault="00FF5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3B3" w14:textId="77777777" w:rsidR="00B41834" w:rsidRDefault="00B4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046C" w14:textId="77777777" w:rsidR="00B41834" w:rsidRDefault="00B41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6454" w14:textId="77777777" w:rsidR="00B41834" w:rsidRDefault="00B41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915B" w14:textId="77777777" w:rsidR="00B41834" w:rsidRDefault="00B418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50DA" w14:textId="77777777" w:rsidR="00B41834" w:rsidRDefault="00B418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8AEC" w14:textId="77777777" w:rsidR="00B41834" w:rsidRDefault="00B4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7376" w14:textId="77777777" w:rsidR="00FF5DDE" w:rsidRPr="00434267" w:rsidRDefault="00FF5DDE" w:rsidP="00434267">
      <w:pPr>
        <w:pStyle w:val="Footer"/>
        <w:spacing w:before="120" w:after="20"/>
        <w:ind w:right="0"/>
        <w:rPr>
          <w:rFonts w:ascii="Times New Roman" w:hAnsi="Times New Roman"/>
        </w:rPr>
      </w:pPr>
      <w:r>
        <w:continuationSeparator/>
      </w:r>
    </w:p>
  </w:footnote>
  <w:footnote w:type="continuationSeparator" w:id="0">
    <w:p w14:paraId="7945B0E5" w14:textId="77777777" w:rsidR="00FF5DDE" w:rsidRPr="00434267" w:rsidRDefault="00FF5DDE" w:rsidP="00434267">
      <w:pPr>
        <w:pStyle w:val="Footer"/>
        <w:spacing w:before="120" w:after="20"/>
        <w:ind w:right="0"/>
        <w:rPr>
          <w:rFonts w:ascii="Times New Roman" w:hAnsi="Times New Roman"/>
        </w:rPr>
      </w:pPr>
      <w:r w:rsidRPr="00434267">
        <w:rPr>
          <w:rFonts w:ascii="Times New Roman" w:hAnsi="Times New Roman"/>
        </w:rPr>
        <w:continuationSeparator/>
      </w:r>
    </w:p>
  </w:footnote>
  <w:footnote w:type="continuationNotice" w:id="1">
    <w:p w14:paraId="7AA380C0" w14:textId="77777777" w:rsidR="00FF5DDE" w:rsidRPr="00434267" w:rsidRDefault="00FF5DDE">
      <w:pPr>
        <w:jc w:val="right"/>
        <w:rPr>
          <w:rFonts w:ascii="Times Roman" w:hAnsi="Times Roman"/>
          <w:sz w:val="24"/>
        </w:rPr>
      </w:pPr>
    </w:p>
  </w:footnote>
  <w:footnote w:id="2">
    <w:p w14:paraId="2FD99429" w14:textId="77777777" w:rsidR="005767AF" w:rsidRPr="00434267" w:rsidRDefault="005767AF" w:rsidP="00434267">
      <w:pPr>
        <w:pStyle w:val="FootnoteText"/>
        <w:spacing w:line="280" w:lineRule="exact"/>
        <w:ind w:right="0"/>
        <w:jc w:val="both"/>
        <w:rPr>
          <w:rFonts w:ascii="Times New Roman" w:hAnsi="Times New Roman"/>
          <w:sz w:val="24"/>
          <w:lang w:val="en-US"/>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r>
      <w:r w:rsidRPr="00434267">
        <w:rPr>
          <w:rFonts w:ascii="Times New Roman" w:hAnsi="Times New Roman"/>
          <w:i/>
          <w:iCs/>
          <w:sz w:val="24"/>
        </w:rPr>
        <w:t>Hood v Down Under Enterprises International Pty Ltd</w:t>
      </w:r>
      <w:r w:rsidRPr="00434267">
        <w:rPr>
          <w:rFonts w:ascii="Times New Roman" w:hAnsi="Times New Roman"/>
          <w:sz w:val="24"/>
        </w:rPr>
        <w:t xml:space="preserve"> </w:t>
      </w:r>
      <w:r w:rsidRPr="00434267">
        <w:rPr>
          <w:rFonts w:ascii="Times New Roman" w:hAnsi="Times New Roman"/>
          <w:sz w:val="24"/>
          <w:lang w:val="en-US"/>
        </w:rPr>
        <w:t>[2022] HCASL 162.</w:t>
      </w:r>
    </w:p>
  </w:footnote>
  <w:footnote w:id="3">
    <w:p w14:paraId="4915B4DF" w14:textId="77777777" w:rsidR="005767AF" w:rsidRPr="00434267" w:rsidRDefault="005767AF" w:rsidP="00434267">
      <w:pPr>
        <w:pStyle w:val="FootnoteText"/>
        <w:spacing w:line="280" w:lineRule="exact"/>
        <w:ind w:right="0"/>
        <w:jc w:val="both"/>
        <w:rPr>
          <w:rFonts w:ascii="Times New Roman" w:hAnsi="Times New Roman"/>
          <w:sz w:val="24"/>
          <w:lang w:val="en-US"/>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t>[1976] Fam 93.</w:t>
      </w:r>
    </w:p>
  </w:footnote>
  <w:footnote w:id="4">
    <w:p w14:paraId="60C8AFE4" w14:textId="77777777" w:rsidR="005767AF" w:rsidRPr="00434267" w:rsidRDefault="005767AF" w:rsidP="00434267">
      <w:pPr>
        <w:pStyle w:val="FootnoteText"/>
        <w:spacing w:line="280" w:lineRule="exact"/>
        <w:ind w:right="0"/>
        <w:jc w:val="both"/>
        <w:rPr>
          <w:rFonts w:ascii="Times New Roman" w:hAnsi="Times New Roman"/>
          <w:sz w:val="24"/>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t>(2014) 252 CLR 331.</w:t>
      </w:r>
    </w:p>
  </w:footnote>
  <w:footnote w:id="5">
    <w:p w14:paraId="0E10B8B7" w14:textId="77777777" w:rsidR="005767AF" w:rsidRPr="00434267" w:rsidRDefault="005767AF" w:rsidP="00434267">
      <w:pPr>
        <w:pStyle w:val="FootnoteText"/>
        <w:spacing w:line="280" w:lineRule="exact"/>
        <w:ind w:right="0"/>
        <w:jc w:val="both"/>
        <w:rPr>
          <w:rFonts w:ascii="Times New Roman" w:hAnsi="Times New Roman"/>
          <w:sz w:val="24"/>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t>[2004] ACTSC 131.</w:t>
      </w:r>
    </w:p>
  </w:footnote>
  <w:footnote w:id="6">
    <w:p w14:paraId="328AF3C3" w14:textId="7A5CA310" w:rsidR="005767AF" w:rsidRPr="00434267" w:rsidRDefault="005767AF" w:rsidP="00434267">
      <w:pPr>
        <w:pStyle w:val="FootnoteText"/>
        <w:spacing w:line="280" w:lineRule="exact"/>
        <w:ind w:right="0"/>
        <w:jc w:val="both"/>
        <w:rPr>
          <w:rFonts w:ascii="Times New Roman" w:hAnsi="Times New Roman"/>
          <w:sz w:val="24"/>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t xml:space="preserve">(2014) 252 CLR 331 at 335 [8] per </w:t>
      </w:r>
      <w:r w:rsidRPr="00434267">
        <w:rPr>
          <w:rFonts w:ascii="Times New Roman" w:hAnsi="Times New Roman"/>
          <w:sz w:val="24"/>
        </w:rPr>
        <w:t>Crennan, Kiefel, Bell, Gageler and Keane JJ.</w:t>
      </w:r>
    </w:p>
  </w:footnote>
  <w:footnote w:id="7">
    <w:p w14:paraId="17B64AEC" w14:textId="78B49169" w:rsidR="005767AF" w:rsidRPr="00434267" w:rsidRDefault="005767AF" w:rsidP="00434267">
      <w:pPr>
        <w:pStyle w:val="FootnoteText"/>
        <w:spacing w:line="280" w:lineRule="exact"/>
        <w:ind w:right="0"/>
        <w:jc w:val="both"/>
        <w:rPr>
          <w:rFonts w:ascii="Times New Roman" w:hAnsi="Times New Roman"/>
          <w:sz w:val="24"/>
          <w:lang w:val="en-US"/>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lang w:val="en-US"/>
        </w:rPr>
        <w:tab/>
      </w:r>
      <w:r w:rsidRPr="00434267">
        <w:rPr>
          <w:rFonts w:ascii="Times New Roman" w:hAnsi="Times New Roman"/>
          <w:sz w:val="24"/>
        </w:rPr>
        <w:t xml:space="preserve">(2014) 252 CLR 331 at 335 [7] per </w:t>
      </w:r>
      <w:r w:rsidRPr="00434267">
        <w:rPr>
          <w:rFonts w:ascii="Times New Roman" w:hAnsi="Times New Roman"/>
          <w:sz w:val="24"/>
        </w:rPr>
        <w:t>Crennan, Kiefel, Bell, Gageler and Keane JJ.</w:t>
      </w:r>
    </w:p>
  </w:footnote>
  <w:footnote w:id="8">
    <w:p w14:paraId="4764F35C" w14:textId="4E40134C" w:rsidR="005767AF" w:rsidRPr="00434267" w:rsidRDefault="005767AF" w:rsidP="00434267">
      <w:pPr>
        <w:pStyle w:val="FootnoteText"/>
        <w:spacing w:line="280" w:lineRule="exact"/>
        <w:ind w:right="0"/>
        <w:jc w:val="both"/>
        <w:rPr>
          <w:rFonts w:ascii="Times New Roman" w:hAnsi="Times New Roman"/>
          <w:sz w:val="24"/>
        </w:rPr>
      </w:pPr>
      <w:r w:rsidRPr="00434267">
        <w:rPr>
          <w:rStyle w:val="FootnoteReference"/>
          <w:rFonts w:ascii="Times New Roman" w:hAnsi="Times New Roman"/>
          <w:sz w:val="22"/>
          <w:vertAlign w:val="baseline"/>
        </w:rPr>
        <w:footnoteRef/>
      </w:r>
      <w:r w:rsidRPr="00434267">
        <w:rPr>
          <w:rFonts w:ascii="Times New Roman" w:hAnsi="Times New Roman"/>
          <w:sz w:val="24"/>
        </w:rPr>
        <w:t xml:space="preserve"> </w:t>
      </w:r>
      <w:r w:rsidRPr="00434267">
        <w:rPr>
          <w:rFonts w:ascii="Times New Roman" w:hAnsi="Times New Roman"/>
          <w:sz w:val="24"/>
        </w:rPr>
        <w:tab/>
        <w:t xml:space="preserve">See, </w:t>
      </w:r>
      <w:r w:rsidRPr="00434267">
        <w:rPr>
          <w:rFonts w:ascii="Times New Roman" w:hAnsi="Times New Roman"/>
          <w:sz w:val="24"/>
        </w:rPr>
        <w:t xml:space="preserve">eg, </w:t>
      </w:r>
      <w:r w:rsidRPr="00434267">
        <w:rPr>
          <w:rFonts w:ascii="Times New Roman" w:hAnsi="Times New Roman"/>
          <w:i/>
          <w:iCs/>
          <w:sz w:val="24"/>
        </w:rPr>
        <w:t>Brymount Pty Ltd v Cummins [No 2]</w:t>
      </w:r>
      <w:r w:rsidRPr="00434267">
        <w:rPr>
          <w:rFonts w:ascii="Times New Roman" w:hAnsi="Times New Roman"/>
          <w:sz w:val="24"/>
        </w:rPr>
        <w:t xml:space="preserve"> [2005] NSWCA 69 at [29]-[30] per Beazley JA (Ipp and McColl JJA agreeing); </w:t>
      </w:r>
      <w:r w:rsidRPr="00434267">
        <w:rPr>
          <w:rFonts w:ascii="Times New Roman" w:hAnsi="Times New Roman"/>
          <w:i/>
          <w:iCs/>
          <w:sz w:val="24"/>
        </w:rPr>
        <w:t>Trustee for the Salvation Army (NSW) Property Trust v Becker [No 2]</w:t>
      </w:r>
      <w:r w:rsidRPr="00434267">
        <w:rPr>
          <w:rFonts w:ascii="Times New Roman" w:hAnsi="Times New Roman"/>
          <w:sz w:val="24"/>
        </w:rPr>
        <w:t xml:space="preserve"> [2007] NSWCA 194 at [8]-[9] per Ipp JA (Mason P and McColl JA agreeing); </w:t>
      </w:r>
      <w:r w:rsidRPr="00434267">
        <w:rPr>
          <w:rFonts w:ascii="Times New Roman" w:hAnsi="Times New Roman"/>
          <w:i/>
          <w:iCs/>
          <w:sz w:val="24"/>
        </w:rPr>
        <w:t>Monie v The Commonwealth</w:t>
      </w:r>
      <w:r w:rsidRPr="00434267">
        <w:rPr>
          <w:rFonts w:ascii="Times New Roman" w:hAnsi="Times New Roman"/>
          <w:sz w:val="24"/>
        </w:rPr>
        <w:t xml:space="preserve"> </w:t>
      </w:r>
      <w:r w:rsidRPr="00434267">
        <w:rPr>
          <w:rFonts w:ascii="Times New Roman" w:hAnsi="Times New Roman"/>
          <w:i/>
          <w:iCs/>
          <w:sz w:val="24"/>
        </w:rPr>
        <w:t>[No 2]</w:t>
      </w:r>
      <w:r w:rsidRPr="00434267">
        <w:rPr>
          <w:rFonts w:ascii="Times New Roman" w:hAnsi="Times New Roman"/>
          <w:sz w:val="24"/>
        </w:rPr>
        <w:t xml:space="preserve"> [2008] NSWCA 15 at [71] per Campbell JA; </w:t>
      </w:r>
      <w:r w:rsidRPr="00434267">
        <w:rPr>
          <w:rFonts w:ascii="Times New Roman" w:hAnsi="Times New Roman"/>
          <w:i/>
          <w:iCs/>
          <w:sz w:val="24"/>
        </w:rPr>
        <w:t>Bulsey v Queensland</w:t>
      </w:r>
      <w:r w:rsidRPr="00434267">
        <w:rPr>
          <w:rFonts w:ascii="Times New Roman" w:hAnsi="Times New Roman"/>
          <w:sz w:val="24"/>
        </w:rPr>
        <w:t xml:space="preserve"> [2016] QCA 158 at [80]-[81] per McMeekin J (Fraser JA and Atkinson J agreeing).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B387" w14:textId="77777777" w:rsidR="00434267" w:rsidRPr="00B41834" w:rsidRDefault="00434267" w:rsidP="00B4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E285" w14:textId="6DB1124B" w:rsidR="00434267" w:rsidRPr="00B41834" w:rsidRDefault="00B41834" w:rsidP="00B4183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C255C">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C255C">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D24D" w14:textId="4FD4BA7E" w:rsidR="005767AF" w:rsidRPr="00B41834" w:rsidRDefault="005767AF" w:rsidP="00B41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5F5" w14:textId="77777777" w:rsidR="00B41834" w:rsidRPr="00434267" w:rsidRDefault="00B41834" w:rsidP="00434267">
    <w:pPr>
      <w:pStyle w:val="Header"/>
      <w:tabs>
        <w:tab w:val="clear" w:pos="4153"/>
        <w:tab w:val="clear" w:pos="8306"/>
        <w:tab w:val="right" w:pos="1304"/>
      </w:tabs>
      <w:spacing w:line="280" w:lineRule="exact"/>
      <w:ind w:firstLine="0"/>
      <w:rPr>
        <w:rFonts w:ascii="Times New Roman" w:hAnsi="Times New Roman"/>
        <w:i/>
        <w:sz w:val="22"/>
      </w:rPr>
    </w:pPr>
    <w:r w:rsidRPr="00434267">
      <w:rPr>
        <w:rFonts w:ascii="Times New Roman" w:hAnsi="Times New Roman"/>
        <w:i/>
        <w:sz w:val="22"/>
      </w:rPr>
      <w:t>Gageler</w:t>
    </w:r>
    <w:r w:rsidRPr="00434267">
      <w:rPr>
        <w:rFonts w:ascii="Times New Roman" w:hAnsi="Times New Roman"/>
        <w:i/>
        <w:sz w:val="22"/>
      </w:rPr>
      <w:tab/>
      <w:t>J</w:t>
    </w:r>
  </w:p>
  <w:p w14:paraId="465BAEEA" w14:textId="77777777" w:rsidR="00B41834" w:rsidRDefault="00B41834" w:rsidP="0043426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6522B09" w14:textId="77777777" w:rsidR="00B41834" w:rsidRDefault="00B41834" w:rsidP="00434267">
    <w:pPr>
      <w:pStyle w:val="Header"/>
      <w:tabs>
        <w:tab w:val="clear" w:pos="4153"/>
        <w:tab w:val="clear" w:pos="8306"/>
        <w:tab w:val="right" w:pos="1304"/>
      </w:tabs>
      <w:spacing w:line="280" w:lineRule="exact"/>
      <w:ind w:firstLine="0"/>
      <w:rPr>
        <w:rFonts w:ascii="Times New Roman" w:hAnsi="Times New Roman"/>
        <w:i/>
        <w:sz w:val="22"/>
      </w:rPr>
    </w:pPr>
  </w:p>
  <w:p w14:paraId="5949E4EA" w14:textId="77777777" w:rsidR="00B41834" w:rsidRDefault="00B41834" w:rsidP="0043426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2DFCD63" w14:textId="77777777" w:rsidR="00B41834" w:rsidRPr="00434267" w:rsidRDefault="00B41834" w:rsidP="0043426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6DC6" w14:textId="77777777" w:rsidR="00B41834" w:rsidRPr="00434267" w:rsidRDefault="00B41834" w:rsidP="00434267">
    <w:pPr>
      <w:pStyle w:val="Header"/>
      <w:tabs>
        <w:tab w:val="clear" w:pos="4153"/>
        <w:tab w:val="clear" w:pos="8306"/>
        <w:tab w:val="left" w:pos="7200"/>
        <w:tab w:val="right" w:pos="8504"/>
      </w:tabs>
      <w:spacing w:line="280" w:lineRule="exact"/>
      <w:jc w:val="right"/>
      <w:rPr>
        <w:rFonts w:ascii="Times New Roman" w:hAnsi="Times New Roman"/>
        <w:i/>
        <w:sz w:val="22"/>
      </w:rPr>
    </w:pPr>
    <w:r w:rsidRPr="00434267">
      <w:rPr>
        <w:rFonts w:ascii="Times New Roman" w:hAnsi="Times New Roman"/>
        <w:i/>
        <w:sz w:val="22"/>
      </w:rPr>
      <w:tab/>
      <w:t>Gageler</w:t>
    </w:r>
    <w:r w:rsidRPr="00434267">
      <w:rPr>
        <w:rFonts w:ascii="Times New Roman" w:hAnsi="Times New Roman"/>
        <w:i/>
        <w:sz w:val="22"/>
      </w:rPr>
      <w:tab/>
      <w:t>J</w:t>
    </w:r>
  </w:p>
  <w:p w14:paraId="75E31B78" w14:textId="77777777" w:rsidR="00B41834" w:rsidRDefault="00B41834" w:rsidP="0043426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4A1C2EE" w14:textId="77777777" w:rsidR="00B41834" w:rsidRDefault="00B41834" w:rsidP="00434267">
    <w:pPr>
      <w:pStyle w:val="Header"/>
      <w:tabs>
        <w:tab w:val="clear" w:pos="4153"/>
        <w:tab w:val="clear" w:pos="8306"/>
        <w:tab w:val="left" w:pos="7200"/>
        <w:tab w:val="right" w:pos="8504"/>
      </w:tabs>
      <w:spacing w:line="280" w:lineRule="exact"/>
      <w:jc w:val="right"/>
      <w:rPr>
        <w:rFonts w:ascii="Times New Roman" w:hAnsi="Times New Roman"/>
        <w:i/>
        <w:sz w:val="22"/>
      </w:rPr>
    </w:pPr>
  </w:p>
  <w:p w14:paraId="6CBFF382" w14:textId="77777777" w:rsidR="00B41834" w:rsidRDefault="00B41834" w:rsidP="0043426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AEDB445" w14:textId="77777777" w:rsidR="00B41834" w:rsidRPr="00434267" w:rsidRDefault="00B41834" w:rsidP="0043426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E845" w14:textId="77777777" w:rsidR="00B41834" w:rsidRDefault="00B41834" w:rsidP="00434267">
    <w:pPr>
      <w:pStyle w:val="Header"/>
      <w:tabs>
        <w:tab w:val="clear" w:pos="4153"/>
        <w:tab w:val="clear" w:pos="8306"/>
        <w:tab w:val="center" w:pos="1134"/>
      </w:tabs>
      <w:spacing w:line="280" w:lineRule="exact"/>
      <w:ind w:firstLine="0"/>
      <w:rPr>
        <w:rFonts w:ascii="Times New Roman" w:hAnsi="Times New Roman"/>
        <w:i/>
        <w:sz w:val="22"/>
      </w:rPr>
    </w:pPr>
  </w:p>
  <w:p w14:paraId="7D668DA8" w14:textId="77777777" w:rsidR="00B41834" w:rsidRDefault="00B41834" w:rsidP="00434267">
    <w:pPr>
      <w:pStyle w:val="Header"/>
      <w:tabs>
        <w:tab w:val="clear" w:pos="4153"/>
        <w:tab w:val="clear" w:pos="8306"/>
        <w:tab w:val="center" w:pos="1134"/>
      </w:tabs>
      <w:spacing w:line="280" w:lineRule="exact"/>
      <w:ind w:firstLine="0"/>
      <w:rPr>
        <w:rFonts w:ascii="Times New Roman" w:hAnsi="Times New Roman"/>
        <w:i/>
        <w:sz w:val="22"/>
      </w:rPr>
    </w:pPr>
  </w:p>
  <w:p w14:paraId="62556A21" w14:textId="77777777" w:rsidR="00B41834" w:rsidRDefault="00B41834" w:rsidP="00434267">
    <w:pPr>
      <w:pStyle w:val="Header"/>
      <w:tabs>
        <w:tab w:val="clear" w:pos="4153"/>
        <w:tab w:val="clear" w:pos="8306"/>
        <w:tab w:val="center" w:pos="1134"/>
      </w:tabs>
      <w:spacing w:line="280" w:lineRule="exact"/>
      <w:ind w:firstLine="0"/>
      <w:rPr>
        <w:rFonts w:ascii="Times New Roman" w:hAnsi="Times New Roman"/>
        <w:i/>
        <w:sz w:val="22"/>
      </w:rPr>
    </w:pPr>
  </w:p>
  <w:p w14:paraId="01D556D3" w14:textId="77777777" w:rsidR="00B41834" w:rsidRDefault="00B41834" w:rsidP="00434267">
    <w:pPr>
      <w:pStyle w:val="Header"/>
      <w:tabs>
        <w:tab w:val="clear" w:pos="4153"/>
        <w:tab w:val="clear" w:pos="8306"/>
        <w:tab w:val="center" w:pos="1134"/>
      </w:tabs>
      <w:spacing w:line="280" w:lineRule="exact"/>
      <w:ind w:firstLine="0"/>
      <w:rPr>
        <w:rFonts w:ascii="Times New Roman" w:hAnsi="Times New Roman"/>
        <w:i/>
        <w:sz w:val="22"/>
      </w:rPr>
    </w:pPr>
  </w:p>
  <w:p w14:paraId="7070802A" w14:textId="77777777" w:rsidR="00B41834" w:rsidRPr="00434267" w:rsidRDefault="00B41834" w:rsidP="0043426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485549">
    <w:abstractNumId w:val="10"/>
  </w:num>
  <w:num w:numId="2" w16cid:durableId="1313483043">
    <w:abstractNumId w:val="14"/>
  </w:num>
  <w:num w:numId="3" w16cid:durableId="711924848">
    <w:abstractNumId w:val="17"/>
  </w:num>
  <w:num w:numId="4" w16cid:durableId="1533542420">
    <w:abstractNumId w:val="13"/>
  </w:num>
  <w:num w:numId="5" w16cid:durableId="1187476005">
    <w:abstractNumId w:val="16"/>
  </w:num>
  <w:num w:numId="6" w16cid:durableId="588002554">
    <w:abstractNumId w:val="6"/>
  </w:num>
  <w:num w:numId="7" w16cid:durableId="147942684">
    <w:abstractNumId w:val="9"/>
  </w:num>
  <w:num w:numId="8" w16cid:durableId="1068041150">
    <w:abstractNumId w:val="7"/>
  </w:num>
  <w:num w:numId="9" w16cid:durableId="51583464">
    <w:abstractNumId w:val="5"/>
  </w:num>
  <w:num w:numId="10" w16cid:durableId="369381527">
    <w:abstractNumId w:val="4"/>
  </w:num>
  <w:num w:numId="11" w16cid:durableId="479465490">
    <w:abstractNumId w:val="8"/>
  </w:num>
  <w:num w:numId="12" w16cid:durableId="1763455513">
    <w:abstractNumId w:val="3"/>
  </w:num>
  <w:num w:numId="13" w16cid:durableId="588851349">
    <w:abstractNumId w:val="2"/>
  </w:num>
  <w:num w:numId="14" w16cid:durableId="551039721">
    <w:abstractNumId w:val="1"/>
  </w:num>
  <w:num w:numId="15" w16cid:durableId="1261912043">
    <w:abstractNumId w:val="0"/>
  </w:num>
  <w:num w:numId="16" w16cid:durableId="1324820903">
    <w:abstractNumId w:val="12"/>
  </w:num>
  <w:num w:numId="17" w16cid:durableId="835850162">
    <w:abstractNumId w:val="15"/>
  </w:num>
  <w:num w:numId="18" w16cid:durableId="669987485">
    <w:abstractNumId w:val="11"/>
  </w:num>
  <w:num w:numId="19" w16cid:durableId="88626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AF"/>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54295"/>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67087"/>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4267"/>
    <w:rsid w:val="004373D1"/>
    <w:rsid w:val="0043778D"/>
    <w:rsid w:val="004454C2"/>
    <w:rsid w:val="00447347"/>
    <w:rsid w:val="00447F33"/>
    <w:rsid w:val="00450A27"/>
    <w:rsid w:val="00451EC2"/>
    <w:rsid w:val="00463357"/>
    <w:rsid w:val="00463A04"/>
    <w:rsid w:val="00465255"/>
    <w:rsid w:val="00473718"/>
    <w:rsid w:val="00473869"/>
    <w:rsid w:val="00473DAF"/>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5D4D"/>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767AF"/>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255C"/>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5CCB"/>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855E4"/>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834"/>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8F4"/>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442D8"/>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 w:val="00FF5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F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B4183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4183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4183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4183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4183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4183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16EF3A9B-EDD2-439B-B6FF-64454F839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9</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2023-04-13T04:51:00Z</dcterms:created>
  <dcterms:modified xsi:type="dcterms:W3CDTF">2023-04-18T22:43:00Z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