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61CE" w14:textId="77777777" w:rsidR="0096160D" w:rsidRPr="00704FF8" w:rsidRDefault="0096160D" w:rsidP="00704FF8">
      <w:pPr>
        <w:pStyle w:val="OrdersTopLine"/>
      </w:pPr>
      <w:r w:rsidRPr="00704FF8">
        <w:t>HIGH COURT OF AUSTRALIA</w:t>
      </w:r>
    </w:p>
    <w:p w14:paraId="319CF693" w14:textId="77777777" w:rsidR="0096160D" w:rsidRPr="00704FF8" w:rsidRDefault="0096160D" w:rsidP="00704FF8">
      <w:pPr>
        <w:pStyle w:val="OrderCentre"/>
      </w:pPr>
    </w:p>
    <w:p w14:paraId="6DAC3DF7" w14:textId="77777777" w:rsidR="0096160D" w:rsidRPr="00704FF8" w:rsidRDefault="0096160D" w:rsidP="00704FF8">
      <w:pPr>
        <w:pStyle w:val="OrderCentre"/>
      </w:pPr>
      <w:r w:rsidRPr="00704FF8">
        <w:t>KIEFEL CJ</w:t>
      </w:r>
      <w:r>
        <w:t>,</w:t>
      </w:r>
    </w:p>
    <w:p w14:paraId="03D22166" w14:textId="77777777" w:rsidR="0096160D" w:rsidRPr="00704FF8" w:rsidRDefault="0096160D" w:rsidP="00704FF8">
      <w:pPr>
        <w:pStyle w:val="OrderCentre"/>
      </w:pPr>
      <w:r w:rsidRPr="00704FF8">
        <w:t xml:space="preserve">GAGELER, </w:t>
      </w:r>
      <w:r w:rsidRPr="004C496B">
        <w:t>STEWARD</w:t>
      </w:r>
      <w:r>
        <w:t>,</w:t>
      </w:r>
      <w:r w:rsidRPr="004C496B">
        <w:t xml:space="preserve"> </w:t>
      </w:r>
      <w:r>
        <w:t xml:space="preserve">GLEESON </w:t>
      </w:r>
      <w:r w:rsidRPr="00704FF8">
        <w:t>AND</w:t>
      </w:r>
      <w:r>
        <w:t xml:space="preserve"> JAGOT</w:t>
      </w:r>
      <w:r w:rsidRPr="00704FF8">
        <w:t xml:space="preserve"> JJ</w:t>
      </w:r>
    </w:p>
    <w:p w14:paraId="2F57F27D" w14:textId="77777777" w:rsidR="0096160D" w:rsidRPr="00427F3A" w:rsidRDefault="0096160D" w:rsidP="00EE5374">
      <w:pPr>
        <w:pStyle w:val="Centre"/>
        <w:rPr>
          <w:lang w:val="en-AU"/>
        </w:rPr>
      </w:pPr>
    </w:p>
    <w:p w14:paraId="5BFE743C" w14:textId="77777777" w:rsidR="0096160D" w:rsidRPr="00704FF8" w:rsidRDefault="0096160D" w:rsidP="00704FF8">
      <w:pPr>
        <w:pStyle w:val="OrdersCenteredBorder"/>
      </w:pPr>
    </w:p>
    <w:p w14:paraId="4BBDFEEF" w14:textId="77777777" w:rsidR="0096160D" w:rsidRPr="00704FF8" w:rsidRDefault="0096160D" w:rsidP="0032341F">
      <w:pPr>
        <w:pStyle w:val="OrdersBodyHeading"/>
      </w:pPr>
    </w:p>
    <w:p w14:paraId="52E9E832" w14:textId="77777777" w:rsidR="0096160D" w:rsidRDefault="0096160D" w:rsidP="009362E8">
      <w:pPr>
        <w:pStyle w:val="OrdersPartyName"/>
        <w:ind w:right="-1"/>
      </w:pPr>
      <w:r w:rsidRPr="005A0CEC">
        <w:t xml:space="preserve">DISORGANIZED DEVELOPMENTS PTY LTD </w:t>
      </w:r>
    </w:p>
    <w:p w14:paraId="727DAA0A" w14:textId="77777777" w:rsidR="0096160D" w:rsidRPr="0032341F" w:rsidRDefault="0096160D" w:rsidP="009362E8">
      <w:pPr>
        <w:pStyle w:val="OrdersPartyName"/>
        <w:ind w:right="-1"/>
      </w:pPr>
      <w:r w:rsidRPr="005A0CEC">
        <w:t>&amp; ORS</w:t>
      </w:r>
      <w:r w:rsidRPr="0032341F">
        <w:tab/>
        <w:t>APPELLANT</w:t>
      </w:r>
      <w:r>
        <w:t>S</w:t>
      </w:r>
    </w:p>
    <w:p w14:paraId="59F146B4" w14:textId="77777777" w:rsidR="0096160D" w:rsidRPr="0032341F" w:rsidRDefault="0096160D" w:rsidP="009362E8">
      <w:pPr>
        <w:pStyle w:val="OrdersPartyName"/>
        <w:ind w:right="-1"/>
      </w:pPr>
    </w:p>
    <w:p w14:paraId="18325803" w14:textId="77777777" w:rsidR="0096160D" w:rsidRPr="0032341F" w:rsidRDefault="0096160D" w:rsidP="009362E8">
      <w:pPr>
        <w:pStyle w:val="OrdersPartyName"/>
        <w:ind w:right="-1"/>
      </w:pPr>
      <w:r w:rsidRPr="0032341F">
        <w:t>AND</w:t>
      </w:r>
    </w:p>
    <w:p w14:paraId="5E671ECA" w14:textId="77777777" w:rsidR="0096160D" w:rsidRPr="0032341F" w:rsidRDefault="0096160D" w:rsidP="009362E8">
      <w:pPr>
        <w:pStyle w:val="OrdersPartyName"/>
        <w:ind w:right="-1"/>
      </w:pPr>
    </w:p>
    <w:p w14:paraId="351511F6" w14:textId="77777777" w:rsidR="0096160D" w:rsidRPr="0032341F" w:rsidRDefault="0096160D" w:rsidP="009362E8">
      <w:pPr>
        <w:pStyle w:val="OrdersPartyName"/>
        <w:ind w:right="-1"/>
      </w:pPr>
      <w:r w:rsidRPr="005A0CEC">
        <w:t>STATE OF SOUTH AUSTRALIA</w:t>
      </w:r>
      <w:r w:rsidRPr="0032341F">
        <w:tab/>
        <w:t>RESPONDENT</w:t>
      </w:r>
    </w:p>
    <w:p w14:paraId="045ED766" w14:textId="77777777" w:rsidR="0096160D" w:rsidRPr="00427F3A" w:rsidRDefault="0096160D" w:rsidP="00AF0A5E">
      <w:pPr>
        <w:pStyle w:val="BodyHeading"/>
      </w:pPr>
    </w:p>
    <w:p w14:paraId="457A0D0A" w14:textId="77777777" w:rsidR="0096160D" w:rsidRPr="00427F3A" w:rsidRDefault="0096160D" w:rsidP="00BE0A6C">
      <w:pPr>
        <w:pStyle w:val="BodyHeading"/>
      </w:pPr>
    </w:p>
    <w:p w14:paraId="7653202E" w14:textId="77777777" w:rsidR="0096160D" w:rsidRPr="00427F3A" w:rsidRDefault="0096160D" w:rsidP="00EE5374">
      <w:pPr>
        <w:pStyle w:val="CentreItalics"/>
      </w:pPr>
      <w:r w:rsidRPr="005A0CEC">
        <w:t>Disorganized Developments Pty Ltd v South Australia</w:t>
      </w:r>
    </w:p>
    <w:p w14:paraId="6E0685F6" w14:textId="77777777" w:rsidR="0096160D" w:rsidRPr="00427F3A" w:rsidRDefault="0096160D" w:rsidP="00E90E4F">
      <w:pPr>
        <w:pStyle w:val="OrdersCentre"/>
      </w:pPr>
      <w:r>
        <w:t>[2023</w:t>
      </w:r>
      <w:r w:rsidRPr="00427F3A">
        <w:t xml:space="preserve">] HCA </w:t>
      </w:r>
      <w:r>
        <w:t>22</w:t>
      </w:r>
    </w:p>
    <w:p w14:paraId="0B4E14F3" w14:textId="77777777" w:rsidR="0096160D" w:rsidRDefault="0096160D" w:rsidP="00E90E4F">
      <w:pPr>
        <w:pStyle w:val="OrdersCentreItalics"/>
      </w:pPr>
      <w:r>
        <w:t xml:space="preserve">Date of Hearing: </w:t>
      </w:r>
      <w:r w:rsidRPr="005A0CEC">
        <w:t>10 March 2023</w:t>
      </w:r>
    </w:p>
    <w:p w14:paraId="4D865504" w14:textId="77777777" w:rsidR="0096160D" w:rsidRPr="00427F3A" w:rsidRDefault="0096160D" w:rsidP="00E90E4F">
      <w:pPr>
        <w:pStyle w:val="OrdersCentreItalics"/>
      </w:pPr>
      <w:r>
        <w:t>Date of Judgment: 2 August 2023</w:t>
      </w:r>
    </w:p>
    <w:p w14:paraId="357850C6" w14:textId="77777777" w:rsidR="0096160D" w:rsidRDefault="0096160D" w:rsidP="00E90E4F">
      <w:pPr>
        <w:pStyle w:val="OrdersCentre"/>
      </w:pPr>
      <w:r w:rsidRPr="005A0CEC">
        <w:t>A22/2022</w:t>
      </w:r>
    </w:p>
    <w:p w14:paraId="63BF78FF" w14:textId="77777777" w:rsidR="0096160D" w:rsidRPr="00427F3A" w:rsidRDefault="0096160D" w:rsidP="00E90E4F">
      <w:pPr>
        <w:pStyle w:val="OrdersCentre"/>
      </w:pPr>
    </w:p>
    <w:p w14:paraId="4391A9E6" w14:textId="77777777" w:rsidR="0096160D" w:rsidRPr="00BE0A6C" w:rsidRDefault="0096160D" w:rsidP="00E90E4F">
      <w:pPr>
        <w:pStyle w:val="OrderCentreBold"/>
      </w:pPr>
      <w:r w:rsidRPr="00BE0A6C">
        <w:t>ORDER</w:t>
      </w:r>
    </w:p>
    <w:p w14:paraId="462FBF89" w14:textId="77777777" w:rsidR="0096160D" w:rsidRPr="00427F3A" w:rsidRDefault="0096160D" w:rsidP="00736C52">
      <w:pPr>
        <w:pStyle w:val="Centre"/>
        <w:rPr>
          <w:lang w:val="en-AU"/>
        </w:rPr>
      </w:pPr>
    </w:p>
    <w:p w14:paraId="30D3C296" w14:textId="77777777" w:rsidR="0096160D" w:rsidRPr="002E4980" w:rsidRDefault="0096160D" w:rsidP="001454AA">
      <w:pPr>
        <w:pStyle w:val="OrdersText"/>
      </w:pPr>
      <w:r w:rsidRPr="002E4980">
        <w:t xml:space="preserve">1. </w:t>
      </w:r>
      <w:r w:rsidRPr="002E4980">
        <w:tab/>
        <w:t>Appea</w:t>
      </w:r>
      <w:r>
        <w:t xml:space="preserve">l allowed with costs. </w:t>
      </w:r>
    </w:p>
    <w:p w14:paraId="46DCC9D6" w14:textId="77777777" w:rsidR="0096160D" w:rsidRPr="002E4980" w:rsidRDefault="0096160D" w:rsidP="001454AA">
      <w:pPr>
        <w:pStyle w:val="OrdersText"/>
      </w:pPr>
    </w:p>
    <w:p w14:paraId="1F37EC50" w14:textId="77777777" w:rsidR="0096160D" w:rsidRDefault="0096160D" w:rsidP="001454AA">
      <w:pPr>
        <w:pStyle w:val="OrdersText"/>
      </w:pPr>
      <w:r w:rsidRPr="002E4980">
        <w:t xml:space="preserve">2. </w:t>
      </w:r>
      <w:r w:rsidRPr="002E4980">
        <w:tab/>
      </w:r>
      <w:r>
        <w:t xml:space="preserve">Set aside the orders of the Court of Appeal of the Supreme Court of South Australia made on 16 February 2022 and, in their place, order that: </w:t>
      </w:r>
    </w:p>
    <w:p w14:paraId="3F717D2C" w14:textId="77777777" w:rsidR="0096160D" w:rsidRDefault="0096160D" w:rsidP="001454AA">
      <w:pPr>
        <w:pStyle w:val="OrdersText"/>
      </w:pPr>
    </w:p>
    <w:p w14:paraId="7FDBDF17" w14:textId="77777777" w:rsidR="0096160D" w:rsidRDefault="0096160D" w:rsidP="003674A8">
      <w:pPr>
        <w:pStyle w:val="OrdersText"/>
        <w:ind w:left="1418"/>
      </w:pPr>
      <w:r>
        <w:t>(a)</w:t>
      </w:r>
      <w:r>
        <w:tab/>
        <w:t xml:space="preserve">It is declared that the </w:t>
      </w:r>
      <w:r w:rsidRPr="002A116C">
        <w:rPr>
          <w:i w:val="0"/>
        </w:rPr>
        <w:t>Criminal Law Consolidation (Criminal Organisations) (Prescribed Place—</w:t>
      </w:r>
      <w:proofErr w:type="spellStart"/>
      <w:r w:rsidRPr="002A116C">
        <w:rPr>
          <w:i w:val="0"/>
        </w:rPr>
        <w:t>Cowirra</w:t>
      </w:r>
      <w:proofErr w:type="spellEnd"/>
      <w:r w:rsidRPr="002A116C">
        <w:rPr>
          <w:i w:val="0"/>
        </w:rPr>
        <w:t xml:space="preserve">) Variation Regulations 2020 </w:t>
      </w:r>
      <w:r w:rsidRPr="00A079CE">
        <w:t>(SA)</w:t>
      </w:r>
      <w:r>
        <w:rPr>
          <w:iCs/>
        </w:rPr>
        <w:t xml:space="preserve"> </w:t>
      </w:r>
      <w:r>
        <w:t>and</w:t>
      </w:r>
      <w:r w:rsidRPr="00A079CE">
        <w:t xml:space="preserve"> </w:t>
      </w:r>
      <w:r>
        <w:t xml:space="preserve">the </w:t>
      </w:r>
      <w:r w:rsidRPr="002A116C">
        <w:rPr>
          <w:i w:val="0"/>
        </w:rPr>
        <w:t>Criminal Law Consolidation (Criminal Organisations) (Prescribed Place—</w:t>
      </w:r>
      <w:proofErr w:type="spellStart"/>
      <w:r w:rsidRPr="002A116C">
        <w:rPr>
          <w:i w:val="0"/>
        </w:rPr>
        <w:t>Cowirra</w:t>
      </w:r>
      <w:proofErr w:type="spellEnd"/>
      <w:r w:rsidRPr="002A116C">
        <w:rPr>
          <w:i w:val="0"/>
        </w:rPr>
        <w:t>) (No 2) Variation Regulations 2020</w:t>
      </w:r>
      <w:r w:rsidRPr="00A079CE">
        <w:t xml:space="preserve"> (SA)</w:t>
      </w:r>
      <w:r>
        <w:t xml:space="preserve"> are invalid.</w:t>
      </w:r>
    </w:p>
    <w:p w14:paraId="310A7AF4" w14:textId="77777777" w:rsidR="0096160D" w:rsidRDefault="0096160D" w:rsidP="003674A8">
      <w:pPr>
        <w:pStyle w:val="OrdersText"/>
        <w:ind w:left="1418"/>
      </w:pPr>
    </w:p>
    <w:p w14:paraId="7A1BB762" w14:textId="77777777" w:rsidR="0096160D" w:rsidRDefault="0096160D" w:rsidP="003674A8">
      <w:pPr>
        <w:pStyle w:val="OrdersText"/>
        <w:ind w:left="1418"/>
      </w:pPr>
      <w:r>
        <w:t>(b)</w:t>
      </w:r>
      <w:r>
        <w:tab/>
        <w:t xml:space="preserve">The respondent </w:t>
      </w:r>
      <w:proofErr w:type="gramStart"/>
      <w:r>
        <w:t>pay</w:t>
      </w:r>
      <w:proofErr w:type="gramEnd"/>
      <w:r>
        <w:t xml:space="preserve"> the appellants' costs.</w:t>
      </w:r>
    </w:p>
    <w:p w14:paraId="14571527" w14:textId="77777777" w:rsidR="0096160D" w:rsidRDefault="0096160D" w:rsidP="00EE5374">
      <w:pPr>
        <w:pStyle w:val="Body"/>
      </w:pPr>
    </w:p>
    <w:p w14:paraId="6BD33808" w14:textId="77777777" w:rsidR="0096160D" w:rsidRPr="00427F3A" w:rsidRDefault="0096160D" w:rsidP="00EE5374">
      <w:pPr>
        <w:pStyle w:val="Body"/>
      </w:pPr>
    </w:p>
    <w:p w14:paraId="211973F5" w14:textId="77777777" w:rsidR="0096160D" w:rsidRPr="00427F3A" w:rsidRDefault="0096160D" w:rsidP="0032341F">
      <w:pPr>
        <w:pStyle w:val="OrdersBody"/>
      </w:pPr>
      <w:r w:rsidRPr="00427F3A">
        <w:t xml:space="preserve">On appeal from the </w:t>
      </w:r>
      <w:r w:rsidRPr="005A0CEC">
        <w:t>Supreme Court of South Australia</w:t>
      </w:r>
    </w:p>
    <w:p w14:paraId="68824AF4" w14:textId="77777777" w:rsidR="0096160D" w:rsidRDefault="0096160D" w:rsidP="00EE5374">
      <w:pPr>
        <w:pStyle w:val="Body"/>
      </w:pPr>
    </w:p>
    <w:p w14:paraId="69826162" w14:textId="4EC79A78" w:rsidR="0096160D" w:rsidRDefault="0096160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5A7DDA17" w14:textId="29247ECC" w:rsidR="0096160D" w:rsidRDefault="0096160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782114CC" w14:textId="77777777" w:rsidR="0096160D" w:rsidRPr="00427F3A" w:rsidRDefault="0096160D" w:rsidP="00EE5374">
      <w:pPr>
        <w:pStyle w:val="Body"/>
      </w:pPr>
    </w:p>
    <w:p w14:paraId="49DED846" w14:textId="77777777" w:rsidR="0096160D" w:rsidRPr="00427F3A" w:rsidRDefault="0096160D" w:rsidP="001454AA">
      <w:pPr>
        <w:pStyle w:val="OrdersBodyHeading"/>
        <w:keepNext/>
      </w:pPr>
      <w:r w:rsidRPr="00427F3A">
        <w:t>Representation</w:t>
      </w:r>
    </w:p>
    <w:p w14:paraId="051BCFF2" w14:textId="77777777" w:rsidR="0096160D" w:rsidRDefault="0096160D" w:rsidP="001454AA">
      <w:pPr>
        <w:pStyle w:val="Body"/>
        <w:keepNext/>
      </w:pPr>
    </w:p>
    <w:p w14:paraId="17053A94" w14:textId="77777777" w:rsidR="0096160D" w:rsidRPr="005A0CEC" w:rsidRDefault="0096160D" w:rsidP="00E90E4F">
      <w:pPr>
        <w:pStyle w:val="OrdersBody"/>
      </w:pPr>
      <w:r w:rsidRPr="005A0CEC">
        <w:t xml:space="preserve">W J N Wells KC </w:t>
      </w:r>
      <w:r>
        <w:t>and</w:t>
      </w:r>
      <w:r w:rsidRPr="005A0CEC">
        <w:t xml:space="preserve"> C Jacobi KC for the appellants (instructed by Jon Lister Barrister &amp; Solicitor)</w:t>
      </w:r>
    </w:p>
    <w:p w14:paraId="3EA4F411" w14:textId="77777777" w:rsidR="0096160D" w:rsidRPr="005A0CEC" w:rsidRDefault="0096160D" w:rsidP="001B3C97">
      <w:pPr>
        <w:pStyle w:val="Body"/>
      </w:pPr>
    </w:p>
    <w:p w14:paraId="593401C5" w14:textId="77777777" w:rsidR="0096160D" w:rsidRPr="005A0CEC" w:rsidRDefault="0096160D" w:rsidP="00E90E4F">
      <w:pPr>
        <w:pStyle w:val="OrdersBody"/>
      </w:pPr>
      <w:r w:rsidRPr="005A0CEC">
        <w:t>M J Wait SC, Solicitor</w:t>
      </w:r>
      <w:r>
        <w:t>-</w:t>
      </w:r>
      <w:r w:rsidRPr="005A0CEC">
        <w:t>General for the State of South Australia, with C M Nolan for the respondent (instructed by Crown Solicitor for South Australia)</w:t>
      </w:r>
    </w:p>
    <w:p w14:paraId="3B34DB5A" w14:textId="77777777" w:rsidR="0096160D" w:rsidRDefault="0096160D" w:rsidP="00A01277">
      <w:pPr>
        <w:pStyle w:val="Body"/>
      </w:pPr>
    </w:p>
    <w:p w14:paraId="75CFDE0A" w14:textId="77777777" w:rsidR="0096160D" w:rsidRDefault="0096160D" w:rsidP="00EE5374">
      <w:pPr>
        <w:pStyle w:val="Body"/>
      </w:pPr>
    </w:p>
    <w:p w14:paraId="42861760" w14:textId="77777777" w:rsidR="0096160D" w:rsidRDefault="0096160D" w:rsidP="00EE5374">
      <w:pPr>
        <w:pStyle w:val="Body"/>
      </w:pPr>
    </w:p>
    <w:p w14:paraId="2D3B8D86" w14:textId="77777777" w:rsidR="0096160D" w:rsidRDefault="0096160D" w:rsidP="00EE5374">
      <w:pPr>
        <w:pStyle w:val="Body"/>
      </w:pPr>
    </w:p>
    <w:p w14:paraId="60B12ABD" w14:textId="77777777" w:rsidR="0096160D" w:rsidRDefault="0096160D" w:rsidP="00EE5374">
      <w:pPr>
        <w:pStyle w:val="Body"/>
      </w:pPr>
    </w:p>
    <w:p w14:paraId="07C1856E" w14:textId="77777777" w:rsidR="0096160D" w:rsidRDefault="0096160D" w:rsidP="00EE5374">
      <w:pPr>
        <w:pStyle w:val="Body"/>
      </w:pPr>
    </w:p>
    <w:p w14:paraId="26288E9A" w14:textId="77777777" w:rsidR="0096160D" w:rsidRDefault="0096160D" w:rsidP="00EE5374">
      <w:pPr>
        <w:pStyle w:val="Body"/>
      </w:pPr>
    </w:p>
    <w:p w14:paraId="7CF361EA" w14:textId="77777777" w:rsidR="0096160D" w:rsidRDefault="0096160D" w:rsidP="00EE5374">
      <w:pPr>
        <w:pStyle w:val="Body"/>
      </w:pPr>
    </w:p>
    <w:p w14:paraId="20004226" w14:textId="77777777" w:rsidR="0096160D" w:rsidRDefault="0096160D" w:rsidP="00EE5374">
      <w:pPr>
        <w:pStyle w:val="Body"/>
      </w:pPr>
    </w:p>
    <w:p w14:paraId="44F67443" w14:textId="77777777" w:rsidR="0096160D" w:rsidRDefault="0096160D" w:rsidP="00EE5374">
      <w:pPr>
        <w:pStyle w:val="Body"/>
      </w:pPr>
    </w:p>
    <w:p w14:paraId="3DD6FA9E" w14:textId="77777777" w:rsidR="0096160D" w:rsidRDefault="0096160D" w:rsidP="00EE5374">
      <w:pPr>
        <w:pStyle w:val="Body"/>
      </w:pPr>
    </w:p>
    <w:p w14:paraId="7B5955CA" w14:textId="77777777" w:rsidR="0096160D" w:rsidRDefault="0096160D" w:rsidP="00EE5374">
      <w:pPr>
        <w:pStyle w:val="Body"/>
      </w:pPr>
    </w:p>
    <w:p w14:paraId="2D3D10C8" w14:textId="77777777" w:rsidR="0096160D" w:rsidRDefault="0096160D" w:rsidP="00EE5374">
      <w:pPr>
        <w:pStyle w:val="Body"/>
      </w:pPr>
    </w:p>
    <w:p w14:paraId="1AB99FCD" w14:textId="77777777" w:rsidR="0096160D" w:rsidRDefault="0096160D" w:rsidP="00EE5374">
      <w:pPr>
        <w:pStyle w:val="Body"/>
      </w:pPr>
    </w:p>
    <w:p w14:paraId="5E343876" w14:textId="77777777" w:rsidR="0096160D" w:rsidRDefault="0096160D" w:rsidP="00EE5374">
      <w:pPr>
        <w:pStyle w:val="Body"/>
      </w:pPr>
    </w:p>
    <w:p w14:paraId="14670187" w14:textId="77777777" w:rsidR="0096160D" w:rsidRDefault="0096160D" w:rsidP="00EE5374">
      <w:pPr>
        <w:pStyle w:val="Body"/>
      </w:pPr>
    </w:p>
    <w:p w14:paraId="4EB258C8" w14:textId="77777777" w:rsidR="0096160D" w:rsidRDefault="0096160D" w:rsidP="00EE5374">
      <w:pPr>
        <w:pStyle w:val="Body"/>
      </w:pPr>
    </w:p>
    <w:p w14:paraId="2B04C819" w14:textId="77777777" w:rsidR="0096160D" w:rsidRDefault="0096160D" w:rsidP="00EE5374">
      <w:pPr>
        <w:pStyle w:val="Body"/>
      </w:pPr>
    </w:p>
    <w:p w14:paraId="717D3FF2" w14:textId="77777777" w:rsidR="0096160D" w:rsidRDefault="0096160D" w:rsidP="00EE5374">
      <w:pPr>
        <w:pStyle w:val="Body"/>
      </w:pPr>
    </w:p>
    <w:p w14:paraId="6D0B1116" w14:textId="77777777" w:rsidR="0096160D" w:rsidRDefault="0096160D" w:rsidP="00EE5374">
      <w:pPr>
        <w:pStyle w:val="Body"/>
      </w:pPr>
    </w:p>
    <w:p w14:paraId="5C9B61AA" w14:textId="77777777" w:rsidR="0096160D" w:rsidRDefault="0096160D" w:rsidP="00EE5374">
      <w:pPr>
        <w:pStyle w:val="Body"/>
      </w:pPr>
    </w:p>
    <w:p w14:paraId="4FFEAD85" w14:textId="77777777" w:rsidR="0096160D" w:rsidRDefault="0096160D" w:rsidP="00EE5374">
      <w:pPr>
        <w:pStyle w:val="Body"/>
      </w:pPr>
    </w:p>
    <w:p w14:paraId="78539D55" w14:textId="77777777" w:rsidR="0096160D" w:rsidRDefault="0096160D" w:rsidP="00EE5374">
      <w:pPr>
        <w:pStyle w:val="Body"/>
      </w:pPr>
    </w:p>
    <w:p w14:paraId="3AC7B3CD" w14:textId="77777777" w:rsidR="0096160D" w:rsidRDefault="0096160D" w:rsidP="00EE5374">
      <w:pPr>
        <w:pStyle w:val="Body"/>
      </w:pPr>
    </w:p>
    <w:p w14:paraId="1A4984EF" w14:textId="77777777" w:rsidR="0096160D" w:rsidRDefault="0096160D" w:rsidP="00EE5374">
      <w:pPr>
        <w:pStyle w:val="Body"/>
      </w:pPr>
    </w:p>
    <w:p w14:paraId="117D86EA" w14:textId="77777777" w:rsidR="0096160D" w:rsidRDefault="0096160D" w:rsidP="00EE5374">
      <w:pPr>
        <w:pStyle w:val="Body"/>
      </w:pPr>
    </w:p>
    <w:p w14:paraId="17AD7A6E" w14:textId="77777777" w:rsidR="0096160D" w:rsidRDefault="0096160D" w:rsidP="00EE5374">
      <w:pPr>
        <w:pStyle w:val="Body"/>
      </w:pPr>
    </w:p>
    <w:p w14:paraId="753E8302" w14:textId="77777777" w:rsidR="0096160D" w:rsidRDefault="0096160D" w:rsidP="00EE5374">
      <w:pPr>
        <w:pStyle w:val="Body"/>
      </w:pPr>
    </w:p>
    <w:p w14:paraId="7A34D4A4" w14:textId="77777777" w:rsidR="0096160D" w:rsidRPr="00427F3A" w:rsidRDefault="0096160D" w:rsidP="00EE5374">
      <w:pPr>
        <w:pStyle w:val="Body"/>
      </w:pPr>
    </w:p>
    <w:p w14:paraId="57CE8D97" w14:textId="77777777" w:rsidR="0096160D" w:rsidRPr="00427F3A" w:rsidRDefault="0096160D" w:rsidP="00F9713B">
      <w:pPr>
        <w:pStyle w:val="Notice"/>
        <w:rPr>
          <w:lang w:val="en-AU"/>
        </w:rPr>
      </w:pPr>
      <w:r w:rsidRPr="00427F3A">
        <w:rPr>
          <w:lang w:val="en-AU"/>
        </w:rPr>
        <w:t>Notice:  This copy of the Court's Reasons for Judgment is subject to formal revision prior to publication in the Commonwealth Law Reports.</w:t>
      </w:r>
    </w:p>
    <w:p w14:paraId="3EFB52AD" w14:textId="1AD84C92" w:rsidR="0096160D" w:rsidRDefault="0096160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E50EB7D" w14:textId="77777777" w:rsidR="0096160D" w:rsidRDefault="0096160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96160D" w:rsidSect="0096160D">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0AB7FAA" w14:textId="77777777" w:rsidR="0096160D" w:rsidRDefault="0096160D" w:rsidP="001649CA">
      <w:pPr>
        <w:pStyle w:val="CatchwordsBold"/>
      </w:pPr>
      <w:r w:rsidRPr="00B9489E">
        <w:lastRenderedPageBreak/>
        <w:t>CATCHWORDS</w:t>
      </w:r>
    </w:p>
    <w:p w14:paraId="3E4D57A7" w14:textId="77777777" w:rsidR="0096160D" w:rsidRPr="00B9489E" w:rsidRDefault="0096160D" w:rsidP="001649CA">
      <w:pPr>
        <w:pStyle w:val="CatchwordsBold"/>
      </w:pPr>
    </w:p>
    <w:p w14:paraId="382872AB" w14:textId="77777777" w:rsidR="0096160D" w:rsidRDefault="0096160D" w:rsidP="000F5F6B">
      <w:pPr>
        <w:pStyle w:val="CatchwordsBold"/>
        <w:tabs>
          <w:tab w:val="clear" w:pos="2880"/>
          <w:tab w:val="clear" w:pos="3600"/>
          <w:tab w:val="clear" w:pos="6480"/>
          <w:tab w:val="left" w:pos="6963"/>
        </w:tabs>
      </w:pPr>
      <w:r>
        <w:t>Disorganized Developments Pty Ltd v South Australia</w:t>
      </w:r>
    </w:p>
    <w:p w14:paraId="02C3CB2A" w14:textId="77777777" w:rsidR="0096160D" w:rsidRDefault="0096160D" w:rsidP="001649CA">
      <w:pPr>
        <w:pStyle w:val="CatchwordsText"/>
      </w:pPr>
    </w:p>
    <w:p w14:paraId="2C55B0D9" w14:textId="00635A41" w:rsidR="0096160D" w:rsidRPr="00D36154" w:rsidRDefault="0096160D" w:rsidP="001649CA">
      <w:pPr>
        <w:pStyle w:val="CatchwordsText"/>
      </w:pPr>
      <w:r>
        <w:t xml:space="preserve">Statutes – Interpretation – Efficacy of regulations – Where s 83GD(1) of </w:t>
      </w:r>
      <w:r>
        <w:rPr>
          <w:i/>
          <w:iCs/>
        </w:rPr>
        <w:t xml:space="preserve">Criminal Law Consolidation Act 1935 </w:t>
      </w:r>
      <w:r>
        <w:t xml:space="preserve">(SA) ("1935 Act") established offence for participant in criminal organisation to enter or attempt to enter "prescribed place" – Where "prescribed place" meant place declared by regulation – Where s 370 of 1935 Act empowered Governor in Council to make regulations – Where </w:t>
      </w:r>
      <w:r>
        <w:rPr>
          <w:i/>
          <w:iCs/>
        </w:rPr>
        <w:t xml:space="preserve">Criminal Law Consolidation (Criminal Organisations) Regulations 2015 </w:t>
      </w:r>
      <w:r>
        <w:t>(SA) ("2015 Regulations") declared list of places to be "prescribed places" – Where Governor made two Regulations ("</w:t>
      </w:r>
      <w:proofErr w:type="spellStart"/>
      <w:r>
        <w:t>Cowirra</w:t>
      </w:r>
      <w:proofErr w:type="spellEnd"/>
      <w:r>
        <w:t xml:space="preserve"> Regulations") purporting to vary 2015 Regulations to include blocks of land at </w:t>
      </w:r>
      <w:proofErr w:type="spellStart"/>
      <w:r>
        <w:t>Cowirra</w:t>
      </w:r>
      <w:proofErr w:type="spellEnd"/>
      <w:r>
        <w:t>, South Australia ("</w:t>
      </w:r>
      <w:proofErr w:type="spellStart"/>
      <w:r>
        <w:t>Cowirra</w:t>
      </w:r>
      <w:proofErr w:type="spellEnd"/>
      <w:r>
        <w:t xml:space="preserve"> land") – Where appellants owners and occupiers of </w:t>
      </w:r>
      <w:proofErr w:type="spellStart"/>
      <w:r>
        <w:t>Cowirra</w:t>
      </w:r>
      <w:proofErr w:type="spellEnd"/>
      <w:r>
        <w:t xml:space="preserve"> land – Where, if </w:t>
      </w:r>
      <w:proofErr w:type="spellStart"/>
      <w:r>
        <w:t>Cowirra</w:t>
      </w:r>
      <w:proofErr w:type="spellEnd"/>
      <w:r>
        <w:t xml:space="preserve"> Regulations valid, second and third appellants would commit criminal offence if they entered </w:t>
      </w:r>
      <w:proofErr w:type="spellStart"/>
      <w:r>
        <w:t>Cowirra</w:t>
      </w:r>
      <w:proofErr w:type="spellEnd"/>
      <w:r>
        <w:t xml:space="preserve"> land – Where </w:t>
      </w:r>
      <w:proofErr w:type="spellStart"/>
      <w:r>
        <w:t>Cowirra</w:t>
      </w:r>
      <w:proofErr w:type="spellEnd"/>
      <w:r>
        <w:t xml:space="preserve"> Regulations did not in terms "declare" </w:t>
      </w:r>
      <w:proofErr w:type="spellStart"/>
      <w:r>
        <w:t>Cowirra</w:t>
      </w:r>
      <w:proofErr w:type="spellEnd"/>
      <w:r>
        <w:t xml:space="preserve"> land to be "prescribed places" – Whether </w:t>
      </w:r>
      <w:proofErr w:type="spellStart"/>
      <w:r>
        <w:t>Cowirra</w:t>
      </w:r>
      <w:proofErr w:type="spellEnd"/>
      <w:r>
        <w:t xml:space="preserve"> Regulations valid exercise of regulation-making power in s 370 of 1935 Act.</w:t>
      </w:r>
    </w:p>
    <w:p w14:paraId="6E6E3D36" w14:textId="77777777" w:rsidR="0096160D" w:rsidRDefault="0096160D" w:rsidP="001649CA">
      <w:pPr>
        <w:pStyle w:val="CatchwordsText"/>
      </w:pPr>
    </w:p>
    <w:p w14:paraId="162F434C" w14:textId="77777777" w:rsidR="0096160D" w:rsidRPr="0036530E" w:rsidRDefault="0096160D" w:rsidP="001649CA">
      <w:pPr>
        <w:pStyle w:val="CatchwordsText"/>
      </w:pPr>
      <w:r>
        <w:t xml:space="preserve">Statutes – Interpretation – Presumption of duty to afford procedural fairness – Whether power to make regulations prescribing places under 1935 Act conditioned by duty to afford procedural fairness to owners and occupiers of land – Whether presumption displaced by statute. </w:t>
      </w:r>
    </w:p>
    <w:p w14:paraId="2E3565B2" w14:textId="77777777" w:rsidR="0096160D" w:rsidRDefault="0096160D" w:rsidP="001649CA">
      <w:pPr>
        <w:pStyle w:val="CatchwordsText"/>
      </w:pPr>
    </w:p>
    <w:p w14:paraId="518B2226" w14:textId="77777777" w:rsidR="0096160D" w:rsidRDefault="0096160D" w:rsidP="001649CA">
      <w:pPr>
        <w:pStyle w:val="CatchwordsText"/>
      </w:pPr>
      <w:r w:rsidRPr="00B9489E">
        <w:t>Words and phrases –</w:t>
      </w:r>
      <w:r>
        <w:t xml:space="preserve"> "declaration power", "displace", "duty", "Governor in Council", "owners and occupiers", "participant in a criminal organisation", "prescribed place", "presumption", "procedural fairness", "regulation-making power", "statutory interpretation".</w:t>
      </w:r>
    </w:p>
    <w:p w14:paraId="61A9E664" w14:textId="77777777" w:rsidR="0096160D" w:rsidRDefault="0096160D" w:rsidP="001649CA">
      <w:pPr>
        <w:pStyle w:val="CatchwordsText"/>
      </w:pPr>
    </w:p>
    <w:p w14:paraId="4DF87B52" w14:textId="77777777" w:rsidR="0096160D" w:rsidRDefault="0096160D" w:rsidP="001649CA">
      <w:pPr>
        <w:pStyle w:val="CatchwordsText"/>
      </w:pPr>
      <w:r>
        <w:rPr>
          <w:i/>
          <w:iCs/>
        </w:rPr>
        <w:t xml:space="preserve">Criminal Law Consolidation Act 1935 </w:t>
      </w:r>
      <w:r>
        <w:t xml:space="preserve">(SA), Pt 3B, </w:t>
      </w:r>
      <w:proofErr w:type="spellStart"/>
      <w:r>
        <w:t>Div</w:t>
      </w:r>
      <w:proofErr w:type="spellEnd"/>
      <w:r>
        <w:t> 2.</w:t>
      </w:r>
    </w:p>
    <w:p w14:paraId="509FCF55" w14:textId="77777777" w:rsidR="0096160D" w:rsidRDefault="0096160D" w:rsidP="001649CA">
      <w:pPr>
        <w:pStyle w:val="CatchwordsText"/>
      </w:pPr>
      <w:r>
        <w:rPr>
          <w:i/>
          <w:iCs/>
        </w:rPr>
        <w:t xml:space="preserve">Statutes Amendment (Serious and Organised Crime) Act 2015 </w:t>
      </w:r>
      <w:r>
        <w:t>(SA), Pt 5, Sch 1.</w:t>
      </w:r>
    </w:p>
    <w:p w14:paraId="1DE1C1DA" w14:textId="77777777" w:rsidR="0096160D" w:rsidRDefault="0096160D" w:rsidP="001649CA">
      <w:pPr>
        <w:pStyle w:val="CatchwordsText"/>
      </w:pPr>
      <w:r w:rsidRPr="0081731B">
        <w:rPr>
          <w:i/>
          <w:iCs/>
        </w:rPr>
        <w:t>Criminal Law Consolidation (Criminal Organisations) (Prescribed Place—</w:t>
      </w:r>
      <w:proofErr w:type="spellStart"/>
      <w:r w:rsidRPr="0081731B">
        <w:rPr>
          <w:i/>
          <w:iCs/>
        </w:rPr>
        <w:t>Cowirra</w:t>
      </w:r>
      <w:proofErr w:type="spellEnd"/>
      <w:r w:rsidRPr="0081731B">
        <w:rPr>
          <w:i/>
          <w:iCs/>
        </w:rPr>
        <w:t>) Variation Regulations 2020</w:t>
      </w:r>
      <w:r w:rsidRPr="0081731B">
        <w:t xml:space="preserve"> (SA)</w:t>
      </w:r>
      <w:r>
        <w:t>.</w:t>
      </w:r>
    </w:p>
    <w:p w14:paraId="78D69717" w14:textId="77777777" w:rsidR="0096160D" w:rsidRPr="00E21F41" w:rsidRDefault="0096160D" w:rsidP="001649CA">
      <w:pPr>
        <w:pStyle w:val="CatchwordsText"/>
      </w:pPr>
      <w:r w:rsidRPr="00954B8E">
        <w:rPr>
          <w:i/>
          <w:iCs/>
        </w:rPr>
        <w:t>Criminal Law Consolidation (Criminal Organisations) (Prescribed Place—</w:t>
      </w:r>
      <w:proofErr w:type="spellStart"/>
      <w:r w:rsidRPr="00954B8E">
        <w:rPr>
          <w:i/>
          <w:iCs/>
        </w:rPr>
        <w:t>Cowirra</w:t>
      </w:r>
      <w:proofErr w:type="spellEnd"/>
      <w:r w:rsidRPr="00954B8E">
        <w:rPr>
          <w:i/>
          <w:iCs/>
        </w:rPr>
        <w:t>) (No 2) Variation Regulations 2020</w:t>
      </w:r>
      <w:r w:rsidRPr="00954B8E">
        <w:t xml:space="preserve"> (SA)</w:t>
      </w:r>
      <w:r>
        <w:t>.</w:t>
      </w:r>
    </w:p>
    <w:p w14:paraId="5B6F57D2" w14:textId="77777777" w:rsidR="0096160D" w:rsidRDefault="0096160D" w:rsidP="001649CA">
      <w:pPr>
        <w:pStyle w:val="CatchwordsText"/>
      </w:pPr>
      <w:r>
        <w:rPr>
          <w:i/>
          <w:iCs/>
        </w:rPr>
        <w:t xml:space="preserve">Criminal Law Consolidation (Criminal Organisations) Regulations 2015 </w:t>
      </w:r>
      <w:r>
        <w:t>(SA).</w:t>
      </w:r>
    </w:p>
    <w:p w14:paraId="76FE3442" w14:textId="1127C329" w:rsidR="0096160D" w:rsidRDefault="0096160D" w:rsidP="0096160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D76C70C" w14:textId="4CF1BC47" w:rsidR="0096160D" w:rsidRDefault="0096160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0D0E042" w14:textId="18383678" w:rsidR="0096160D" w:rsidRDefault="0096160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F8E620D" w14:textId="77777777" w:rsidR="0096160D" w:rsidRDefault="0096160D" w:rsidP="00CF4A1E">
      <w:pPr>
        <w:pStyle w:val="FixListStyle"/>
        <w:tabs>
          <w:tab w:val="clear" w:pos="720"/>
          <w:tab w:val="left" w:pos="0"/>
        </w:tabs>
        <w:spacing w:after="260" w:line="280" w:lineRule="exact"/>
        <w:ind w:right="0"/>
        <w:jc w:val="both"/>
        <w:rPr>
          <w:rFonts w:ascii="Times New Roman" w:hAnsi="Times New Roman"/>
        </w:rPr>
        <w:sectPr w:rsidR="0096160D" w:rsidSect="0096160D">
          <w:pgSz w:w="11907" w:h="16839" w:code="9"/>
          <w:pgMar w:top="1440" w:right="1701" w:bottom="1984" w:left="1701" w:header="720" w:footer="720" w:gutter="0"/>
          <w:pgNumType w:start="1"/>
          <w:cols w:space="720"/>
          <w:titlePg/>
          <w:docGrid w:linePitch="354"/>
        </w:sectPr>
      </w:pPr>
    </w:p>
    <w:p w14:paraId="661C8104" w14:textId="118DD09A" w:rsidR="00431CF6" w:rsidRPr="00CF4A1E" w:rsidRDefault="00CF4A1E" w:rsidP="00CF4A1E">
      <w:pPr>
        <w:pStyle w:val="FixListStyle"/>
        <w:tabs>
          <w:tab w:val="clear" w:pos="720"/>
          <w:tab w:val="left" w:pos="0"/>
        </w:tabs>
        <w:spacing w:after="260" w:line="280" w:lineRule="exact"/>
        <w:ind w:right="0"/>
        <w:jc w:val="both"/>
        <w:rPr>
          <w:rFonts w:ascii="Times New Roman" w:hAnsi="Times New Roman"/>
        </w:rPr>
      </w:pPr>
      <w:r w:rsidRPr="00CF4A1E">
        <w:rPr>
          <w:rFonts w:ascii="Times New Roman" w:hAnsi="Times New Roman"/>
        </w:rPr>
        <w:lastRenderedPageBreak/>
        <w:t xml:space="preserve">KIEFEL CJ, GAGELER, GLEESON AND JAGOT JJ.   </w:t>
      </w:r>
      <w:r w:rsidR="00431CF6" w:rsidRPr="00CF4A1E">
        <w:rPr>
          <w:rFonts w:ascii="Times New Roman" w:hAnsi="Times New Roman"/>
        </w:rPr>
        <w:t>Section 83</w:t>
      </w:r>
      <w:proofErr w:type="gramStart"/>
      <w:r w:rsidR="00431CF6" w:rsidRPr="00CF4A1E">
        <w:rPr>
          <w:rFonts w:ascii="Times New Roman" w:hAnsi="Times New Roman"/>
        </w:rPr>
        <w:t>GD(</w:t>
      </w:r>
      <w:proofErr w:type="gramEnd"/>
      <w:r w:rsidR="00431CF6" w:rsidRPr="00CF4A1E">
        <w:rPr>
          <w:rFonts w:ascii="Times New Roman" w:hAnsi="Times New Roman"/>
        </w:rPr>
        <w:t xml:space="preserve">1) of the </w:t>
      </w:r>
      <w:r w:rsidR="00431CF6" w:rsidRPr="00CF4A1E">
        <w:rPr>
          <w:rFonts w:ascii="Times New Roman" w:hAnsi="Times New Roman"/>
          <w:i/>
          <w:iCs/>
        </w:rPr>
        <w:t xml:space="preserve">Criminal Law Consolidation Act 1935 </w:t>
      </w:r>
      <w:r w:rsidR="00431CF6" w:rsidRPr="00CF4A1E">
        <w:rPr>
          <w:rFonts w:ascii="Times New Roman" w:hAnsi="Times New Roman"/>
        </w:rPr>
        <w:t>(SA) ("the</w:t>
      </w:r>
      <w:r w:rsidR="00321DBA">
        <w:rPr>
          <w:rFonts w:ascii="Times New Roman" w:hAnsi="Times New Roman"/>
        </w:rPr>
        <w:t> </w:t>
      </w:r>
      <w:r w:rsidR="00431CF6" w:rsidRPr="00CF4A1E">
        <w:rPr>
          <w:rFonts w:ascii="Times New Roman" w:hAnsi="Times New Roman"/>
        </w:rPr>
        <w:t>1935 Act") makes it an offence for a participant in a criminal organisation to enter or attempt to enter a "prescribed place". For the purposes of that offence, the Hells Angels motorcycle club is a criminal organisation</w:t>
      </w:r>
      <w:r w:rsidR="00431CF6" w:rsidRPr="00CF4A1E">
        <w:rPr>
          <w:rStyle w:val="FootnoteReference"/>
          <w:rFonts w:ascii="Times New Roman" w:hAnsi="Times New Roman"/>
          <w:sz w:val="24"/>
        </w:rPr>
        <w:footnoteReference w:id="2"/>
      </w:r>
      <w:r w:rsidR="00431CF6" w:rsidRPr="00CF4A1E">
        <w:rPr>
          <w:rFonts w:ascii="Times New Roman" w:hAnsi="Times New Roman"/>
        </w:rPr>
        <w:t>. The second and third appellants, Mr Stacy and Mr Taylor, are members of that motorcycle club</w:t>
      </w:r>
      <w:r w:rsidR="008607BF" w:rsidRPr="00CF4A1E">
        <w:rPr>
          <w:rFonts w:ascii="Times New Roman" w:hAnsi="Times New Roman"/>
        </w:rPr>
        <w:t xml:space="preserve"> </w:t>
      </w:r>
      <w:r w:rsidR="00431CF6" w:rsidRPr="00CF4A1E">
        <w:rPr>
          <w:rFonts w:ascii="Times New Roman" w:hAnsi="Times New Roman"/>
        </w:rPr>
        <w:t>and, accordingly, they are participants in a criminal organisation for the purposes of s 83</w:t>
      </w:r>
      <w:proofErr w:type="gramStart"/>
      <w:r w:rsidR="00431CF6" w:rsidRPr="00CF4A1E">
        <w:rPr>
          <w:rFonts w:ascii="Times New Roman" w:hAnsi="Times New Roman"/>
        </w:rPr>
        <w:t>GD(</w:t>
      </w:r>
      <w:proofErr w:type="gramEnd"/>
      <w:r w:rsidR="00431CF6" w:rsidRPr="00CF4A1E">
        <w:rPr>
          <w:rFonts w:ascii="Times New Roman" w:hAnsi="Times New Roman"/>
        </w:rPr>
        <w:t>1)</w:t>
      </w:r>
      <w:r w:rsidR="00431CF6" w:rsidRPr="00CF4A1E">
        <w:rPr>
          <w:rStyle w:val="FootnoteReference"/>
          <w:rFonts w:ascii="Times New Roman" w:hAnsi="Times New Roman"/>
          <w:sz w:val="24"/>
        </w:rPr>
        <w:footnoteReference w:id="3"/>
      </w:r>
      <w:r w:rsidR="00431CF6" w:rsidRPr="00CF4A1E">
        <w:rPr>
          <w:rFonts w:ascii="Times New Roman" w:hAnsi="Times New Roman"/>
        </w:rPr>
        <w:t>.</w:t>
      </w:r>
    </w:p>
    <w:p w14:paraId="6E8E760E" w14:textId="1B96BFC9"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This appeal from a decision of the Court of Appeal of the Supreme Court of South Australia concerns the validity of two Regulations</w:t>
      </w:r>
      <w:r w:rsidRPr="00CF4A1E">
        <w:rPr>
          <w:rStyle w:val="FootnoteReference"/>
          <w:rFonts w:ascii="Times New Roman" w:hAnsi="Times New Roman"/>
          <w:sz w:val="24"/>
        </w:rPr>
        <w:footnoteReference w:id="4"/>
      </w:r>
      <w:r w:rsidRPr="00CF4A1E">
        <w:rPr>
          <w:rFonts w:ascii="Times New Roman" w:hAnsi="Times New Roman"/>
        </w:rPr>
        <w:t xml:space="preserve"> ("the </w:t>
      </w:r>
      <w:proofErr w:type="spellStart"/>
      <w:r w:rsidRPr="00CF4A1E">
        <w:rPr>
          <w:rFonts w:ascii="Times New Roman" w:hAnsi="Times New Roman"/>
        </w:rPr>
        <w:t>Cowirra</w:t>
      </w:r>
      <w:proofErr w:type="spellEnd"/>
      <w:r w:rsidRPr="00CF4A1E">
        <w:rPr>
          <w:rFonts w:ascii="Times New Roman" w:hAnsi="Times New Roman"/>
        </w:rPr>
        <w:t xml:space="preserve"> Regulations") which each purport to declare a portion of land in </w:t>
      </w:r>
      <w:proofErr w:type="spellStart"/>
      <w:r w:rsidRPr="00CF4A1E">
        <w:rPr>
          <w:rFonts w:ascii="Times New Roman" w:hAnsi="Times New Roman"/>
        </w:rPr>
        <w:t>Cowirra</w:t>
      </w:r>
      <w:proofErr w:type="spellEnd"/>
      <w:r w:rsidRPr="00CF4A1E">
        <w:rPr>
          <w:rFonts w:ascii="Times New Roman" w:hAnsi="Times New Roman"/>
        </w:rPr>
        <w:t xml:space="preserve">, east of Adelaide in South Australia ("the </w:t>
      </w:r>
      <w:proofErr w:type="spellStart"/>
      <w:r w:rsidRPr="00CF4A1E">
        <w:rPr>
          <w:rFonts w:ascii="Times New Roman" w:hAnsi="Times New Roman"/>
        </w:rPr>
        <w:t>Cowirra</w:t>
      </w:r>
      <w:proofErr w:type="spellEnd"/>
      <w:r w:rsidRPr="00CF4A1E">
        <w:rPr>
          <w:rFonts w:ascii="Times New Roman" w:hAnsi="Times New Roman"/>
        </w:rPr>
        <w:t xml:space="preserve"> land"), as a "prescribed place" for the purposes of the 1935 Act. The first appellant ("Disorganized Developments") is the registered proprietor of the two parcels of land that comprise the </w:t>
      </w:r>
      <w:proofErr w:type="spellStart"/>
      <w:r w:rsidRPr="00CF4A1E">
        <w:rPr>
          <w:rFonts w:ascii="Times New Roman" w:hAnsi="Times New Roman"/>
        </w:rPr>
        <w:t>Cowirra</w:t>
      </w:r>
      <w:proofErr w:type="spellEnd"/>
      <w:r w:rsidRPr="00CF4A1E">
        <w:rPr>
          <w:rFonts w:ascii="Times New Roman" w:hAnsi="Times New Roman"/>
        </w:rPr>
        <w:t xml:space="preserve"> land. Mr Stacy and Mr Taylor are the directors and only shareholders of Disorganized Developments and are occupiers of the </w:t>
      </w:r>
      <w:proofErr w:type="spellStart"/>
      <w:r w:rsidRPr="00CF4A1E">
        <w:rPr>
          <w:rFonts w:ascii="Times New Roman" w:hAnsi="Times New Roman"/>
        </w:rPr>
        <w:t>Cowirra</w:t>
      </w:r>
      <w:proofErr w:type="spellEnd"/>
      <w:r w:rsidRPr="00CF4A1E">
        <w:rPr>
          <w:rFonts w:ascii="Times New Roman" w:hAnsi="Times New Roman"/>
        </w:rPr>
        <w:t xml:space="preserve"> land. </w:t>
      </w:r>
    </w:p>
    <w:p w14:paraId="6A53DDBC" w14:textId="014846E2"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There are improvements on the land including a cabin occupied by Mr Stacy, and another occupied by Mr Taylor. If the </w:t>
      </w:r>
      <w:proofErr w:type="spellStart"/>
      <w:r w:rsidRPr="00CF4A1E">
        <w:rPr>
          <w:rFonts w:ascii="Times New Roman" w:hAnsi="Times New Roman"/>
        </w:rPr>
        <w:t>Cowirra</w:t>
      </w:r>
      <w:proofErr w:type="spellEnd"/>
      <w:r w:rsidRPr="00CF4A1E">
        <w:rPr>
          <w:rFonts w:ascii="Times New Roman" w:hAnsi="Times New Roman"/>
        </w:rPr>
        <w:t xml:space="preserve"> Regulations are valid, then Mr Stacy and Mr Taylor, as participants in a criminal organisation, commit an offence under s 83</w:t>
      </w:r>
      <w:proofErr w:type="gramStart"/>
      <w:r w:rsidRPr="00CF4A1E">
        <w:rPr>
          <w:rFonts w:ascii="Times New Roman" w:hAnsi="Times New Roman"/>
        </w:rPr>
        <w:t>GD(</w:t>
      </w:r>
      <w:proofErr w:type="gramEnd"/>
      <w:r w:rsidRPr="00CF4A1E">
        <w:rPr>
          <w:rFonts w:ascii="Times New Roman" w:hAnsi="Times New Roman"/>
        </w:rPr>
        <w:t xml:space="preserve">1) of the 1935 Act if they enter or attempt to enter the </w:t>
      </w:r>
      <w:proofErr w:type="spellStart"/>
      <w:r w:rsidRPr="00CF4A1E">
        <w:rPr>
          <w:rFonts w:ascii="Times New Roman" w:hAnsi="Times New Roman"/>
        </w:rPr>
        <w:t>Cowirra</w:t>
      </w:r>
      <w:proofErr w:type="spellEnd"/>
      <w:r w:rsidRPr="00CF4A1E">
        <w:rPr>
          <w:rFonts w:ascii="Times New Roman" w:hAnsi="Times New Roman"/>
        </w:rPr>
        <w:t xml:space="preserve"> land, and Disorganized Developments cannot, through its directors, enter or attempt to enter its land.</w:t>
      </w:r>
    </w:p>
    <w:p w14:paraId="2E6E6FCE" w14:textId="14A90E48"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On a case stated by a single judge of the Supreme Court of South Australia, the Court of Appeal found that the </w:t>
      </w:r>
      <w:proofErr w:type="spellStart"/>
      <w:r w:rsidRPr="00CF4A1E">
        <w:rPr>
          <w:rFonts w:ascii="Times New Roman" w:hAnsi="Times New Roman"/>
        </w:rPr>
        <w:t>Cowirra</w:t>
      </w:r>
      <w:proofErr w:type="spellEnd"/>
      <w:r w:rsidRPr="00CF4A1E">
        <w:rPr>
          <w:rFonts w:ascii="Times New Roman" w:hAnsi="Times New Roman"/>
        </w:rPr>
        <w:t xml:space="preserve"> Regulations impliedly declare the blocks of land comprising the </w:t>
      </w:r>
      <w:proofErr w:type="spellStart"/>
      <w:r w:rsidRPr="00CF4A1E">
        <w:rPr>
          <w:rFonts w:ascii="Times New Roman" w:hAnsi="Times New Roman"/>
        </w:rPr>
        <w:t>Cowirra</w:t>
      </w:r>
      <w:proofErr w:type="spellEnd"/>
      <w:r w:rsidRPr="00CF4A1E">
        <w:rPr>
          <w:rFonts w:ascii="Times New Roman" w:hAnsi="Times New Roman"/>
        </w:rPr>
        <w:t xml:space="preserve"> land to be prescribed places and, </w:t>
      </w:r>
      <w:r w:rsidRPr="00CF4A1E">
        <w:rPr>
          <w:rFonts w:ascii="Times New Roman" w:hAnsi="Times New Roman"/>
        </w:rPr>
        <w:lastRenderedPageBreak/>
        <w:t>accordingly, are valid</w:t>
      </w:r>
      <w:r w:rsidRPr="00CF4A1E">
        <w:rPr>
          <w:rStyle w:val="FootnoteReference"/>
          <w:rFonts w:ascii="Times New Roman" w:hAnsi="Times New Roman"/>
          <w:sz w:val="24"/>
        </w:rPr>
        <w:footnoteReference w:id="5"/>
      </w:r>
      <w:r w:rsidRPr="00CF4A1E">
        <w:rPr>
          <w:rFonts w:ascii="Times New Roman" w:hAnsi="Times New Roman"/>
        </w:rPr>
        <w:t xml:space="preserve">. Following a grant of special leave to appeal to this Court, the appellants argued that the Court of Appeal was in error in failing to find that the </w:t>
      </w:r>
      <w:proofErr w:type="spellStart"/>
      <w:r w:rsidRPr="00CF4A1E">
        <w:rPr>
          <w:rFonts w:ascii="Times New Roman" w:hAnsi="Times New Roman"/>
        </w:rPr>
        <w:t>Cowirra</w:t>
      </w:r>
      <w:proofErr w:type="spellEnd"/>
      <w:r w:rsidRPr="00CF4A1E">
        <w:rPr>
          <w:rFonts w:ascii="Times New Roman" w:hAnsi="Times New Roman"/>
        </w:rPr>
        <w:t xml:space="preserve"> Regulations are invalid on two grounds. The first ground was that the </w:t>
      </w:r>
      <w:proofErr w:type="spellStart"/>
      <w:r w:rsidRPr="00CF4A1E">
        <w:rPr>
          <w:rFonts w:ascii="Times New Roman" w:hAnsi="Times New Roman"/>
        </w:rPr>
        <w:t>Cowirra</w:t>
      </w:r>
      <w:proofErr w:type="spellEnd"/>
      <w:r w:rsidRPr="00CF4A1E">
        <w:rPr>
          <w:rFonts w:ascii="Times New Roman" w:hAnsi="Times New Roman"/>
        </w:rPr>
        <w:t xml:space="preserve"> Regulations do not declare the blocks of land comprising the </w:t>
      </w:r>
      <w:proofErr w:type="spellStart"/>
      <w:r w:rsidRPr="00CF4A1E">
        <w:rPr>
          <w:rFonts w:ascii="Times New Roman" w:hAnsi="Times New Roman"/>
        </w:rPr>
        <w:t>Cowirra</w:t>
      </w:r>
      <w:proofErr w:type="spellEnd"/>
      <w:r w:rsidRPr="00CF4A1E">
        <w:rPr>
          <w:rFonts w:ascii="Times New Roman" w:hAnsi="Times New Roman"/>
        </w:rPr>
        <w:t xml:space="preserve"> land to be prescribed places within the meaning of ss 83</w:t>
      </w:r>
      <w:proofErr w:type="gramStart"/>
      <w:r w:rsidRPr="00CF4A1E">
        <w:rPr>
          <w:rFonts w:ascii="Times New Roman" w:hAnsi="Times New Roman"/>
        </w:rPr>
        <w:t>GA(</w:t>
      </w:r>
      <w:proofErr w:type="gramEnd"/>
      <w:r w:rsidRPr="00CF4A1E">
        <w:rPr>
          <w:rFonts w:ascii="Times New Roman" w:hAnsi="Times New Roman"/>
        </w:rPr>
        <w:t xml:space="preserve">1) and 83GD(1). As developed in argument, the second ground was that the </w:t>
      </w:r>
      <w:proofErr w:type="spellStart"/>
      <w:r w:rsidRPr="00CF4A1E">
        <w:rPr>
          <w:rFonts w:ascii="Times New Roman" w:hAnsi="Times New Roman"/>
        </w:rPr>
        <w:t>Cowirra</w:t>
      </w:r>
      <w:proofErr w:type="spellEnd"/>
      <w:r w:rsidRPr="00CF4A1E">
        <w:rPr>
          <w:rFonts w:ascii="Times New Roman" w:hAnsi="Times New Roman"/>
        </w:rPr>
        <w:t xml:space="preserve"> Regulations were made in breach of a duty to afford procedural fairness to the appellants as owners or occupiers of the land.</w:t>
      </w:r>
    </w:p>
    <w:p w14:paraId="5DC40B00"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The validity of the </w:t>
      </w:r>
      <w:proofErr w:type="spellStart"/>
      <w:r w:rsidRPr="00CF4A1E">
        <w:rPr>
          <w:rFonts w:ascii="Times New Roman" w:hAnsi="Times New Roman"/>
        </w:rPr>
        <w:t>Cowirra</w:t>
      </w:r>
      <w:proofErr w:type="spellEnd"/>
      <w:r w:rsidRPr="00CF4A1E">
        <w:rPr>
          <w:rFonts w:ascii="Times New Roman" w:hAnsi="Times New Roman"/>
        </w:rPr>
        <w:t xml:space="preserve"> Regulations depends upon the proper construction of the Regulations themselves, and the proper construction of provisions of the 1935 Act which confer the power to make regulations to declare a place to be a prescribed place. For the following reasons, both grounds of appeal are made out. The appeal must therefore be allowed.</w:t>
      </w:r>
    </w:p>
    <w:p w14:paraId="44E6DEAF" w14:textId="77777777" w:rsidR="00431CF6" w:rsidRPr="00CF4A1E" w:rsidRDefault="00431CF6" w:rsidP="00CF4A1E">
      <w:pPr>
        <w:pStyle w:val="HeadingL1"/>
        <w:spacing w:after="260" w:line="280" w:lineRule="exact"/>
        <w:ind w:right="0"/>
        <w:jc w:val="both"/>
        <w:rPr>
          <w:rFonts w:ascii="Times New Roman" w:hAnsi="Times New Roman"/>
        </w:rPr>
      </w:pPr>
      <w:r w:rsidRPr="00CF4A1E">
        <w:rPr>
          <w:rFonts w:ascii="Times New Roman" w:hAnsi="Times New Roman"/>
        </w:rPr>
        <w:t>Legislative history and framework</w:t>
      </w:r>
    </w:p>
    <w:p w14:paraId="67F9B7B0" w14:textId="6802EE65"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In 2015, the South Australian Parliament passed the </w:t>
      </w:r>
      <w:r w:rsidRPr="00CF4A1E">
        <w:rPr>
          <w:rFonts w:ascii="Times New Roman" w:hAnsi="Times New Roman"/>
          <w:i/>
          <w:iCs/>
        </w:rPr>
        <w:t xml:space="preserve">Statutes Amendment (Serious and Organised Crime) Act 2015 </w:t>
      </w:r>
      <w:r w:rsidRPr="00CF4A1E">
        <w:rPr>
          <w:rFonts w:ascii="Times New Roman" w:hAnsi="Times New Roman"/>
        </w:rPr>
        <w:t>(SA) ("the 2015 Act"),</w:t>
      </w:r>
      <w:r w:rsidRPr="00CF4A1E">
        <w:rPr>
          <w:rFonts w:ascii="Times New Roman" w:hAnsi="Times New Roman"/>
          <w:i/>
          <w:iCs/>
        </w:rPr>
        <w:t xml:space="preserve"> </w:t>
      </w:r>
      <w:r w:rsidRPr="00CF4A1E">
        <w:rPr>
          <w:rFonts w:ascii="Times New Roman" w:hAnsi="Times New Roman"/>
        </w:rPr>
        <w:t xml:space="preserve">which amended several Acts including the 1935 Act. One amendment was the addition of </w:t>
      </w:r>
      <w:proofErr w:type="spellStart"/>
      <w:r w:rsidRPr="00CF4A1E">
        <w:rPr>
          <w:rFonts w:ascii="Times New Roman" w:hAnsi="Times New Roman"/>
        </w:rPr>
        <w:t>Div</w:t>
      </w:r>
      <w:proofErr w:type="spellEnd"/>
      <w:r w:rsidRPr="00CF4A1E">
        <w:rPr>
          <w:rFonts w:ascii="Times New Roman" w:hAnsi="Times New Roman"/>
        </w:rPr>
        <w:t xml:space="preserve"> 2 of Pt 3B into the 1935 Act, comprising ss 83GA to 83GG. Part 3B was modelled on provisions of, inter alia, the </w:t>
      </w:r>
      <w:r w:rsidRPr="00CF4A1E">
        <w:rPr>
          <w:rFonts w:ascii="Times New Roman" w:hAnsi="Times New Roman"/>
          <w:i/>
          <w:iCs/>
        </w:rPr>
        <w:t xml:space="preserve">Vicious Lawless Association Disestablishment Act 2013 </w:t>
      </w:r>
      <w:r w:rsidRPr="00CF4A1E">
        <w:rPr>
          <w:rFonts w:ascii="Times New Roman" w:hAnsi="Times New Roman"/>
        </w:rPr>
        <w:t>(Qld)</w:t>
      </w:r>
      <w:r w:rsidRPr="00CF4A1E">
        <w:rPr>
          <w:rStyle w:val="FootnoteReference"/>
          <w:rFonts w:ascii="Times New Roman" w:hAnsi="Times New Roman"/>
          <w:sz w:val="24"/>
        </w:rPr>
        <w:footnoteReference w:id="6"/>
      </w:r>
      <w:r w:rsidRPr="00CF4A1E">
        <w:rPr>
          <w:rFonts w:ascii="Times New Roman" w:hAnsi="Times New Roman"/>
        </w:rPr>
        <w:t>, and is a scheme directed at disrupting activities of criminal organisations. Division 2 comprises "a suite of responses to perceived threats of criminal activity not at an individual level, but at the level of a class of actor"</w:t>
      </w:r>
      <w:r w:rsidRPr="00CF4A1E">
        <w:rPr>
          <w:rStyle w:val="FootnoteReference"/>
          <w:rFonts w:ascii="Times New Roman" w:hAnsi="Times New Roman"/>
          <w:sz w:val="24"/>
        </w:rPr>
        <w:footnoteReference w:id="7"/>
      </w:r>
      <w:r w:rsidRPr="00CF4A1E">
        <w:rPr>
          <w:rFonts w:ascii="Times New Roman" w:hAnsi="Times New Roman"/>
        </w:rPr>
        <w:t xml:space="preserve">. The scheme of </w:t>
      </w:r>
      <w:proofErr w:type="spellStart"/>
      <w:r w:rsidRPr="00CF4A1E">
        <w:rPr>
          <w:rFonts w:ascii="Times New Roman" w:hAnsi="Times New Roman"/>
        </w:rPr>
        <w:t>Div</w:t>
      </w:r>
      <w:proofErr w:type="spellEnd"/>
      <w:r w:rsidRPr="00CF4A1E">
        <w:rPr>
          <w:rFonts w:ascii="Times New Roman" w:hAnsi="Times New Roman"/>
        </w:rPr>
        <w:t xml:space="preserve"> 2 is distinct from </w:t>
      </w:r>
      <w:proofErr w:type="spellStart"/>
      <w:r w:rsidRPr="00CF4A1E">
        <w:rPr>
          <w:rFonts w:ascii="Times New Roman" w:hAnsi="Times New Roman"/>
        </w:rPr>
        <w:t>Div</w:t>
      </w:r>
      <w:proofErr w:type="spellEnd"/>
      <w:r w:rsidRPr="00CF4A1E">
        <w:rPr>
          <w:rFonts w:ascii="Times New Roman" w:hAnsi="Times New Roman"/>
        </w:rPr>
        <w:t> 1 of Pt 3B of the 1935 Act, which criminalises participation in criminal organisations, and from the various serious criminal offences that constitute the "serious criminal activity"</w:t>
      </w:r>
      <w:r w:rsidRPr="00CF4A1E">
        <w:rPr>
          <w:rStyle w:val="FootnoteReference"/>
          <w:rFonts w:ascii="Times New Roman" w:hAnsi="Times New Roman"/>
          <w:sz w:val="24"/>
        </w:rPr>
        <w:footnoteReference w:id="8"/>
      </w:r>
      <w:r w:rsidRPr="00CF4A1E">
        <w:rPr>
          <w:rFonts w:ascii="Times New Roman" w:hAnsi="Times New Roman"/>
        </w:rPr>
        <w:t xml:space="preserve"> intended to be disrupted by </w:t>
      </w:r>
      <w:proofErr w:type="spellStart"/>
      <w:r w:rsidRPr="00CF4A1E">
        <w:rPr>
          <w:rFonts w:ascii="Times New Roman" w:hAnsi="Times New Roman"/>
        </w:rPr>
        <w:t>Div</w:t>
      </w:r>
      <w:proofErr w:type="spellEnd"/>
      <w:r w:rsidRPr="00CF4A1E">
        <w:rPr>
          <w:rFonts w:ascii="Times New Roman" w:hAnsi="Times New Roman"/>
        </w:rPr>
        <w:t xml:space="preserve"> 2. </w:t>
      </w:r>
    </w:p>
    <w:p w14:paraId="7208CC27" w14:textId="03ADA673"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The </w:t>
      </w:r>
      <w:proofErr w:type="spellStart"/>
      <w:r w:rsidRPr="00CF4A1E">
        <w:rPr>
          <w:rFonts w:ascii="Times New Roman" w:hAnsi="Times New Roman"/>
        </w:rPr>
        <w:t>Cowirra</w:t>
      </w:r>
      <w:proofErr w:type="spellEnd"/>
      <w:r w:rsidRPr="00CF4A1E">
        <w:rPr>
          <w:rFonts w:ascii="Times New Roman" w:hAnsi="Times New Roman"/>
        </w:rPr>
        <w:t xml:space="preserve"> Regulations were made in the purported exercise of the power conferred upon the Governor by s 370 of the 1935 Act. In South Australia, the </w:t>
      </w:r>
      <w:r w:rsidRPr="00CF4A1E">
        <w:rPr>
          <w:rFonts w:ascii="Times New Roman" w:hAnsi="Times New Roman"/>
        </w:rPr>
        <w:lastRenderedPageBreak/>
        <w:t>substantive exercise of a statutory power conferred on the Governor in Council</w:t>
      </w:r>
      <w:r w:rsidRPr="00CF4A1E">
        <w:rPr>
          <w:rStyle w:val="FootnoteReference"/>
          <w:rFonts w:ascii="Times New Roman" w:hAnsi="Times New Roman"/>
          <w:sz w:val="24"/>
          <w:lang w:val="en-US"/>
        </w:rPr>
        <w:footnoteReference w:id="9"/>
      </w:r>
      <w:r w:rsidRPr="00CF4A1E">
        <w:rPr>
          <w:rFonts w:ascii="Times New Roman" w:hAnsi="Times New Roman"/>
        </w:rPr>
        <w:t xml:space="preserve"> falls to the Cabinet</w:t>
      </w:r>
      <w:r w:rsidRPr="00CF4A1E">
        <w:rPr>
          <w:rFonts w:ascii="Times New Roman" w:hAnsi="Times New Roman"/>
          <w:lang w:val="en-US"/>
        </w:rPr>
        <w:t>, reflecting the convention in South Australia that recommendations to the Governor in Council are based on a Cabinet decision, rather than a decision of the responsible Minister</w:t>
      </w:r>
      <w:r w:rsidRPr="00CF4A1E">
        <w:rPr>
          <w:rStyle w:val="FootnoteReference"/>
          <w:rFonts w:ascii="Times New Roman" w:hAnsi="Times New Roman"/>
          <w:sz w:val="24"/>
        </w:rPr>
        <w:footnoteReference w:id="10"/>
      </w:r>
      <w:r w:rsidRPr="00CF4A1E">
        <w:rPr>
          <w:rFonts w:ascii="Times New Roman" w:hAnsi="Times New Roman"/>
        </w:rPr>
        <w:t xml:space="preserve">. There was no evidence of the material that formed the basis of the recommendations to the Governor to exercise the declaration power in respect of the </w:t>
      </w:r>
      <w:proofErr w:type="spellStart"/>
      <w:r w:rsidRPr="00CF4A1E">
        <w:rPr>
          <w:rFonts w:ascii="Times New Roman" w:hAnsi="Times New Roman"/>
        </w:rPr>
        <w:t>Cowirra</w:t>
      </w:r>
      <w:proofErr w:type="spellEnd"/>
      <w:r w:rsidRPr="00CF4A1E">
        <w:rPr>
          <w:rFonts w:ascii="Times New Roman" w:hAnsi="Times New Roman"/>
        </w:rPr>
        <w:t xml:space="preserve"> land.</w:t>
      </w:r>
    </w:p>
    <w:p w14:paraId="568CDF9D" w14:textId="77777777" w:rsidR="00431CF6" w:rsidRPr="00CF4A1E" w:rsidRDefault="00431CF6" w:rsidP="00CF4A1E">
      <w:pPr>
        <w:pStyle w:val="HeadingL2"/>
        <w:spacing w:after="260" w:line="280" w:lineRule="exact"/>
        <w:ind w:right="0"/>
        <w:jc w:val="both"/>
        <w:rPr>
          <w:rFonts w:ascii="Times New Roman" w:hAnsi="Times New Roman"/>
        </w:rPr>
      </w:pPr>
      <w:r w:rsidRPr="00CF4A1E">
        <w:rPr>
          <w:rFonts w:ascii="Times New Roman" w:hAnsi="Times New Roman"/>
        </w:rPr>
        <w:t>Prescribed places</w:t>
      </w:r>
    </w:p>
    <w:p w14:paraId="756B7627"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By s 83</w:t>
      </w:r>
      <w:proofErr w:type="gramStart"/>
      <w:r w:rsidRPr="00CF4A1E">
        <w:rPr>
          <w:rFonts w:ascii="Times New Roman" w:hAnsi="Times New Roman"/>
        </w:rPr>
        <w:t>GA(</w:t>
      </w:r>
      <w:proofErr w:type="gramEnd"/>
      <w:r w:rsidRPr="00CF4A1E">
        <w:rPr>
          <w:rFonts w:ascii="Times New Roman" w:hAnsi="Times New Roman"/>
        </w:rPr>
        <w:t>1), a "prescribed place" means a place declared by regulation to be a prescribed place. This enlivens the power in s 370 of the 1935 Act, which is a general regulation</w:t>
      </w:r>
      <w:r w:rsidRPr="00CF4A1E">
        <w:rPr>
          <w:rFonts w:ascii="Times New Roman" w:hAnsi="Times New Roman"/>
        </w:rPr>
        <w:noBreakHyphen/>
        <w:t>making power by which the Governor may make such regulations as are "contemplated by, or as are necessary or expedient for the purposes of" the 1935 Act.</w:t>
      </w:r>
    </w:p>
    <w:p w14:paraId="36A0BA7E" w14:textId="37D74486"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The power to declare a place as a prescribed place under these provisions ("the declaration power") supplies an integer or factum for the offence in s 83</w:t>
      </w:r>
      <w:proofErr w:type="gramStart"/>
      <w:r w:rsidRPr="00CF4A1E">
        <w:rPr>
          <w:rFonts w:ascii="Times New Roman" w:hAnsi="Times New Roman"/>
        </w:rPr>
        <w:t>GD(</w:t>
      </w:r>
      <w:proofErr w:type="gramEnd"/>
      <w:r w:rsidRPr="00CF4A1E">
        <w:rPr>
          <w:rFonts w:ascii="Times New Roman" w:hAnsi="Times New Roman"/>
        </w:rPr>
        <w:t>1). There is no legislative process or criterion for the selection of a place to be declared as a prescribed place, although s 83</w:t>
      </w:r>
      <w:proofErr w:type="gramStart"/>
      <w:r w:rsidRPr="00CF4A1E">
        <w:rPr>
          <w:rFonts w:ascii="Times New Roman" w:hAnsi="Times New Roman"/>
        </w:rPr>
        <w:t>GD(</w:t>
      </w:r>
      <w:proofErr w:type="gramEnd"/>
      <w:r w:rsidRPr="00CF4A1E">
        <w:rPr>
          <w:rFonts w:ascii="Times New Roman" w:hAnsi="Times New Roman"/>
        </w:rPr>
        <w:t>1) assumes a connection between a prescribed place and the wider objective of disruption of activities of criminal organisations. As the Court of Appeal observed, the South Australian Parliament can be taken to have intended that declarations would be used to preclude owners and occupiers from entering their own property, in furtherance of the disruption of the activities of criminal organisations</w:t>
      </w:r>
      <w:r w:rsidRPr="00CF4A1E">
        <w:rPr>
          <w:rStyle w:val="FootnoteReference"/>
          <w:rFonts w:ascii="Times New Roman" w:hAnsi="Times New Roman"/>
          <w:sz w:val="24"/>
        </w:rPr>
        <w:footnoteReference w:id="11"/>
      </w:r>
      <w:r w:rsidRPr="00CF4A1E">
        <w:rPr>
          <w:rFonts w:ascii="Times New Roman" w:hAnsi="Times New Roman"/>
        </w:rPr>
        <w:t>.</w:t>
      </w:r>
    </w:p>
    <w:p w14:paraId="4F1F4538"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Section 83</w:t>
      </w:r>
      <w:proofErr w:type="gramStart"/>
      <w:r w:rsidRPr="00CF4A1E">
        <w:rPr>
          <w:rFonts w:ascii="Times New Roman" w:hAnsi="Times New Roman"/>
        </w:rPr>
        <w:t>GA(</w:t>
      </w:r>
      <w:proofErr w:type="gramEnd"/>
      <w:r w:rsidRPr="00CF4A1E">
        <w:rPr>
          <w:rFonts w:ascii="Times New Roman" w:hAnsi="Times New Roman"/>
        </w:rPr>
        <w:t xml:space="preserve">1) is affected by s 83GA(2), which relevantly provides that each regulation made under s 83GA(1) for the purposes of the definition of "prescribed place", and required to be laid before each House of Parliament in accordance with the </w:t>
      </w:r>
      <w:r w:rsidRPr="00CF4A1E">
        <w:rPr>
          <w:rFonts w:ascii="Times New Roman" w:hAnsi="Times New Roman"/>
          <w:i/>
          <w:iCs/>
        </w:rPr>
        <w:t>Subordinate Legislation Act 1978</w:t>
      </w:r>
      <w:r w:rsidRPr="00CF4A1E">
        <w:rPr>
          <w:rFonts w:ascii="Times New Roman" w:hAnsi="Times New Roman"/>
        </w:rPr>
        <w:t xml:space="preserve"> (SA)</w:t>
      </w:r>
      <w:r w:rsidRPr="00CF4A1E">
        <w:rPr>
          <w:rStyle w:val="FootnoteReference"/>
          <w:rFonts w:ascii="Times New Roman" w:hAnsi="Times New Roman"/>
          <w:sz w:val="24"/>
        </w:rPr>
        <w:footnoteReference w:id="12"/>
      </w:r>
      <w:r w:rsidRPr="00CF4A1E">
        <w:rPr>
          <w:rFonts w:ascii="Times New Roman" w:hAnsi="Times New Roman"/>
        </w:rPr>
        <w:t xml:space="preserve">, may only relate to one place. Regulations made under s 370 are required to be laid before each House of Parliament in accordance with s 10(3) of the </w:t>
      </w:r>
      <w:r w:rsidRPr="00CF4A1E">
        <w:rPr>
          <w:rFonts w:ascii="Times New Roman" w:hAnsi="Times New Roman"/>
          <w:i/>
          <w:iCs/>
        </w:rPr>
        <w:t>Subordinate Legislation Act</w:t>
      </w:r>
      <w:r w:rsidRPr="00CF4A1E">
        <w:rPr>
          <w:rFonts w:ascii="Times New Roman" w:hAnsi="Times New Roman"/>
        </w:rPr>
        <w:t>.</w:t>
      </w:r>
    </w:p>
    <w:p w14:paraId="7DAF6030" w14:textId="586C8BBD"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Unlike the </w:t>
      </w:r>
      <w:proofErr w:type="spellStart"/>
      <w:r w:rsidRPr="00CF4A1E">
        <w:rPr>
          <w:rFonts w:ascii="Times New Roman" w:hAnsi="Times New Roman"/>
        </w:rPr>
        <w:t>Cowirra</w:t>
      </w:r>
      <w:proofErr w:type="spellEnd"/>
      <w:r w:rsidRPr="00CF4A1E">
        <w:rPr>
          <w:rFonts w:ascii="Times New Roman" w:hAnsi="Times New Roman"/>
        </w:rPr>
        <w:t xml:space="preserve"> Regulations, which were made by the Governor, Pt 5 of the 2015 Act made the </w:t>
      </w:r>
      <w:r w:rsidRPr="00CF4A1E">
        <w:rPr>
          <w:rFonts w:ascii="Times New Roman" w:hAnsi="Times New Roman"/>
          <w:i/>
          <w:iCs/>
        </w:rPr>
        <w:t xml:space="preserve">Criminal Law Consolidation (Criminal Organisations) </w:t>
      </w:r>
      <w:r w:rsidRPr="00CF4A1E">
        <w:rPr>
          <w:rFonts w:ascii="Times New Roman" w:hAnsi="Times New Roman"/>
          <w:i/>
          <w:iCs/>
        </w:rPr>
        <w:lastRenderedPageBreak/>
        <w:t xml:space="preserve">Regulations 2015 </w:t>
      </w:r>
      <w:r w:rsidRPr="00CF4A1E">
        <w:rPr>
          <w:rFonts w:ascii="Times New Roman" w:hAnsi="Times New Roman"/>
        </w:rPr>
        <w:t>(SA) ("the 2015 Regulations")</w:t>
      </w:r>
      <w:r w:rsidRPr="00CF4A1E">
        <w:rPr>
          <w:rFonts w:ascii="Times New Roman" w:hAnsi="Times New Roman"/>
          <w:i/>
          <w:iCs/>
        </w:rPr>
        <w:t xml:space="preserve"> </w:t>
      </w:r>
      <w:r w:rsidRPr="00CF4A1E">
        <w:rPr>
          <w:rFonts w:ascii="Times New Roman" w:hAnsi="Times New Roman"/>
        </w:rPr>
        <w:t>as Regulations under the 1935 Act</w:t>
      </w:r>
      <w:r w:rsidRPr="00CF4A1E">
        <w:rPr>
          <w:rStyle w:val="FootnoteReference"/>
          <w:rFonts w:ascii="Times New Roman" w:hAnsi="Times New Roman"/>
          <w:sz w:val="24"/>
        </w:rPr>
        <w:footnoteReference w:id="13"/>
      </w:r>
      <w:r w:rsidRPr="00CF4A1E">
        <w:rPr>
          <w:rFonts w:ascii="Times New Roman" w:hAnsi="Times New Roman"/>
        </w:rPr>
        <w:t>. That is, the 2015 Regulations were not made in reliance on s 83</w:t>
      </w:r>
      <w:proofErr w:type="gramStart"/>
      <w:r w:rsidRPr="00CF4A1E">
        <w:rPr>
          <w:rFonts w:ascii="Times New Roman" w:hAnsi="Times New Roman"/>
        </w:rPr>
        <w:t>GA(</w:t>
      </w:r>
      <w:proofErr w:type="gramEnd"/>
      <w:r w:rsidRPr="00CF4A1E">
        <w:rPr>
          <w:rFonts w:ascii="Times New Roman" w:hAnsi="Times New Roman"/>
        </w:rPr>
        <w:t xml:space="preserve">2) and s 370. The 2015 Regulations were set out in Sch 1 to the 2015 Act. By reg 3, 16 places, not including the </w:t>
      </w:r>
      <w:proofErr w:type="spellStart"/>
      <w:r w:rsidRPr="00CF4A1E">
        <w:rPr>
          <w:rFonts w:ascii="Times New Roman" w:hAnsi="Times New Roman"/>
        </w:rPr>
        <w:t>Cowirra</w:t>
      </w:r>
      <w:proofErr w:type="spellEnd"/>
      <w:r w:rsidRPr="00CF4A1E">
        <w:rPr>
          <w:rFonts w:ascii="Times New Roman" w:hAnsi="Times New Roman"/>
        </w:rPr>
        <w:t xml:space="preserve"> land, were declared to be prescribed places for the purposes of s 83</w:t>
      </w:r>
      <w:proofErr w:type="gramStart"/>
      <w:r w:rsidRPr="00CF4A1E">
        <w:rPr>
          <w:rFonts w:ascii="Times New Roman" w:hAnsi="Times New Roman"/>
        </w:rPr>
        <w:t>GA(</w:t>
      </w:r>
      <w:proofErr w:type="gramEnd"/>
      <w:r w:rsidRPr="00CF4A1E">
        <w:rPr>
          <w:rFonts w:ascii="Times New Roman" w:hAnsi="Times New Roman"/>
        </w:rPr>
        <w:t xml:space="preserve">1). The </w:t>
      </w:r>
      <w:r w:rsidRPr="00CF4A1E">
        <w:rPr>
          <w:rFonts w:ascii="Times New Roman" w:hAnsi="Times New Roman"/>
          <w:i/>
          <w:iCs/>
        </w:rPr>
        <w:t xml:space="preserve">Subordinate Legislation Act </w:t>
      </w:r>
      <w:r w:rsidRPr="00CF4A1E">
        <w:rPr>
          <w:rFonts w:ascii="Times New Roman" w:hAnsi="Times New Roman"/>
        </w:rPr>
        <w:t>did not apply to the 2015 Regulations</w:t>
      </w:r>
      <w:r w:rsidRPr="00CF4A1E">
        <w:rPr>
          <w:rStyle w:val="FootnoteReference"/>
          <w:rFonts w:ascii="Times New Roman" w:hAnsi="Times New Roman"/>
          <w:sz w:val="24"/>
        </w:rPr>
        <w:footnoteReference w:id="14"/>
      </w:r>
      <w:r w:rsidRPr="00CF4A1E">
        <w:rPr>
          <w:rFonts w:ascii="Times New Roman" w:hAnsi="Times New Roman"/>
        </w:rPr>
        <w:t xml:space="preserve">. By enacting the 2015 Regulations as part of the 2015 Act, the South Australian Parliament was under no obligation to afford procedural fairness to any person affected by the declaration of the 16 prescribed places. </w:t>
      </w:r>
    </w:p>
    <w:p w14:paraId="4C0A1264" w14:textId="77777777" w:rsidR="00431CF6" w:rsidRPr="00CF4A1E" w:rsidRDefault="00431CF6" w:rsidP="00CF4A1E">
      <w:pPr>
        <w:pStyle w:val="HeadingL2"/>
        <w:spacing w:after="260" w:line="280" w:lineRule="exact"/>
        <w:ind w:right="0"/>
        <w:jc w:val="both"/>
        <w:rPr>
          <w:rFonts w:ascii="Times New Roman" w:hAnsi="Times New Roman"/>
        </w:rPr>
      </w:pPr>
      <w:r w:rsidRPr="00CF4A1E">
        <w:rPr>
          <w:rFonts w:ascii="Times New Roman" w:hAnsi="Times New Roman"/>
        </w:rPr>
        <w:t>Other aspects of s 83</w:t>
      </w:r>
      <w:proofErr w:type="gramStart"/>
      <w:r w:rsidRPr="00CF4A1E">
        <w:rPr>
          <w:rFonts w:ascii="Times New Roman" w:hAnsi="Times New Roman"/>
        </w:rPr>
        <w:t>GD(</w:t>
      </w:r>
      <w:proofErr w:type="gramEnd"/>
      <w:r w:rsidRPr="00CF4A1E">
        <w:rPr>
          <w:rFonts w:ascii="Times New Roman" w:hAnsi="Times New Roman"/>
        </w:rPr>
        <w:t>1)</w:t>
      </w:r>
    </w:p>
    <w:p w14:paraId="39705108" w14:textId="5739C14D"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The scope of s 83</w:t>
      </w:r>
      <w:proofErr w:type="gramStart"/>
      <w:r w:rsidRPr="00CF4A1E">
        <w:rPr>
          <w:rFonts w:ascii="Times New Roman" w:hAnsi="Times New Roman"/>
        </w:rPr>
        <w:t>GD(</w:t>
      </w:r>
      <w:proofErr w:type="gramEnd"/>
      <w:r w:rsidRPr="00CF4A1E">
        <w:rPr>
          <w:rFonts w:ascii="Times New Roman" w:hAnsi="Times New Roman"/>
        </w:rPr>
        <w:t>1) is affected by the broad definition of "participant" in s 83GA(1), which is not founded on proof of the commission of a criminal offence of a defined kind, as illustrated by the express exclusion from the definition of a lawyer acting in a professional capacity. An offence against s 83</w:t>
      </w:r>
      <w:proofErr w:type="gramStart"/>
      <w:r w:rsidRPr="00CF4A1E">
        <w:rPr>
          <w:rFonts w:ascii="Times New Roman" w:hAnsi="Times New Roman"/>
        </w:rPr>
        <w:t>GD(</w:t>
      </w:r>
      <w:proofErr w:type="gramEnd"/>
      <w:r w:rsidRPr="00CF4A1E">
        <w:rPr>
          <w:rFonts w:ascii="Times New Roman" w:hAnsi="Times New Roman"/>
        </w:rPr>
        <w:t>1) can be committed by a solitary act on the part of a participant in a criminal organisation by entering or attempting to enter a prescribed place</w:t>
      </w:r>
      <w:r w:rsidRPr="00CF4A1E">
        <w:rPr>
          <w:rStyle w:val="FootnoteReference"/>
          <w:rFonts w:ascii="Times New Roman" w:hAnsi="Times New Roman"/>
          <w:sz w:val="24"/>
        </w:rPr>
        <w:footnoteReference w:id="15"/>
      </w:r>
      <w:r w:rsidRPr="00CF4A1E">
        <w:rPr>
          <w:rFonts w:ascii="Times New Roman" w:hAnsi="Times New Roman"/>
        </w:rPr>
        <w:t>. The scope of s 83</w:t>
      </w:r>
      <w:proofErr w:type="gramStart"/>
      <w:r w:rsidRPr="00CF4A1E">
        <w:rPr>
          <w:rFonts w:ascii="Times New Roman" w:hAnsi="Times New Roman"/>
        </w:rPr>
        <w:t>GD(</w:t>
      </w:r>
      <w:proofErr w:type="gramEnd"/>
      <w:r w:rsidRPr="00CF4A1E">
        <w:rPr>
          <w:rFonts w:ascii="Times New Roman" w:hAnsi="Times New Roman"/>
        </w:rPr>
        <w:t>1) is further extended by s 267 of the 1935 Act, by which a person who aids, abets, counsels or procures the commission of an offence against s 83GD(1) is also liable to be prosecuted and punished as a principal offender.</w:t>
      </w:r>
    </w:p>
    <w:p w14:paraId="24E17D6B"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The maximum penalty for an offence under s 83</w:t>
      </w:r>
      <w:proofErr w:type="gramStart"/>
      <w:r w:rsidRPr="00CF4A1E">
        <w:rPr>
          <w:rFonts w:ascii="Times New Roman" w:hAnsi="Times New Roman"/>
        </w:rPr>
        <w:t>GD(</w:t>
      </w:r>
      <w:proofErr w:type="gramEnd"/>
      <w:r w:rsidRPr="00CF4A1E">
        <w:rPr>
          <w:rFonts w:ascii="Times New Roman" w:hAnsi="Times New Roman"/>
        </w:rPr>
        <w:t>1) is three years' imprisonment. A person who commits that offence must be sentenced to a term of imprisonment, which cannot be suspended other than in "exceptional circumstances"</w:t>
      </w:r>
      <w:r w:rsidRPr="00CF4A1E">
        <w:rPr>
          <w:rStyle w:val="FootnoteReference"/>
          <w:rFonts w:ascii="Times New Roman" w:hAnsi="Times New Roman"/>
          <w:sz w:val="24"/>
        </w:rPr>
        <w:footnoteReference w:id="16"/>
      </w:r>
      <w:r w:rsidRPr="00CF4A1E">
        <w:rPr>
          <w:rFonts w:ascii="Times New Roman" w:hAnsi="Times New Roman"/>
        </w:rPr>
        <w:t xml:space="preserve">. Sections 25 and 26 of the </w:t>
      </w:r>
      <w:r w:rsidRPr="00CF4A1E">
        <w:rPr>
          <w:rFonts w:ascii="Times New Roman" w:hAnsi="Times New Roman"/>
          <w:i/>
          <w:iCs/>
        </w:rPr>
        <w:t xml:space="preserve">Sentencing Act 2017 </w:t>
      </w:r>
      <w:r w:rsidRPr="00CF4A1E">
        <w:rPr>
          <w:rFonts w:ascii="Times New Roman" w:hAnsi="Times New Roman"/>
        </w:rPr>
        <w:t>(SA), which might otherwise operate to reduce a sentence, do not apply to the sentencing of a person for an offence under s 83</w:t>
      </w:r>
      <w:proofErr w:type="gramStart"/>
      <w:r w:rsidRPr="00CF4A1E">
        <w:rPr>
          <w:rFonts w:ascii="Times New Roman" w:hAnsi="Times New Roman"/>
        </w:rPr>
        <w:t>GD(</w:t>
      </w:r>
      <w:proofErr w:type="gramEnd"/>
      <w:r w:rsidRPr="00CF4A1E">
        <w:rPr>
          <w:rFonts w:ascii="Times New Roman" w:hAnsi="Times New Roman"/>
        </w:rPr>
        <w:t>1)</w:t>
      </w:r>
      <w:r w:rsidRPr="00CF4A1E">
        <w:rPr>
          <w:rStyle w:val="FootnoteReference"/>
          <w:rFonts w:ascii="Times New Roman" w:hAnsi="Times New Roman"/>
          <w:sz w:val="24"/>
        </w:rPr>
        <w:footnoteReference w:id="17"/>
      </w:r>
      <w:r w:rsidRPr="00CF4A1E">
        <w:rPr>
          <w:rFonts w:ascii="Times New Roman" w:hAnsi="Times New Roman"/>
        </w:rPr>
        <w:t xml:space="preserve">. </w:t>
      </w:r>
    </w:p>
    <w:p w14:paraId="79953FB8" w14:textId="77777777" w:rsidR="00431CF6" w:rsidRPr="00CF4A1E" w:rsidRDefault="00431CF6" w:rsidP="00CF4A1E">
      <w:pPr>
        <w:pStyle w:val="HeadingL1"/>
        <w:spacing w:after="260" w:line="280" w:lineRule="exact"/>
        <w:ind w:right="0"/>
        <w:jc w:val="both"/>
        <w:rPr>
          <w:rFonts w:ascii="Times New Roman" w:hAnsi="Times New Roman"/>
        </w:rPr>
      </w:pPr>
      <w:r w:rsidRPr="00CF4A1E">
        <w:rPr>
          <w:rFonts w:ascii="Times New Roman" w:hAnsi="Times New Roman"/>
        </w:rPr>
        <w:lastRenderedPageBreak/>
        <w:t xml:space="preserve">First ground: Proper interpretation of the </w:t>
      </w:r>
      <w:proofErr w:type="spellStart"/>
      <w:r w:rsidRPr="00CF4A1E">
        <w:rPr>
          <w:rFonts w:ascii="Times New Roman" w:hAnsi="Times New Roman"/>
        </w:rPr>
        <w:t>Cowirra</w:t>
      </w:r>
      <w:proofErr w:type="spellEnd"/>
      <w:r w:rsidRPr="00CF4A1E">
        <w:rPr>
          <w:rFonts w:ascii="Times New Roman" w:hAnsi="Times New Roman"/>
        </w:rPr>
        <w:t xml:space="preserve"> Regulations</w:t>
      </w:r>
    </w:p>
    <w:p w14:paraId="6DBA6B7B"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The general principles relating to the interpretation of primary legislation are equally applicable to the interpretation of subordinate legislation</w:t>
      </w:r>
      <w:r w:rsidRPr="00CF4A1E">
        <w:rPr>
          <w:rStyle w:val="FootnoteReference"/>
          <w:rFonts w:ascii="Times New Roman" w:hAnsi="Times New Roman"/>
          <w:sz w:val="24"/>
        </w:rPr>
        <w:footnoteReference w:id="18"/>
      </w:r>
      <w:r w:rsidRPr="00CF4A1E">
        <w:rPr>
          <w:rFonts w:ascii="Times New Roman" w:hAnsi="Times New Roman"/>
        </w:rPr>
        <w:t xml:space="preserve">. Accordingly, the task of construing the </w:t>
      </w:r>
      <w:proofErr w:type="spellStart"/>
      <w:r w:rsidRPr="00CF4A1E">
        <w:rPr>
          <w:rFonts w:ascii="Times New Roman" w:hAnsi="Times New Roman"/>
        </w:rPr>
        <w:t>Cowirra</w:t>
      </w:r>
      <w:proofErr w:type="spellEnd"/>
      <w:r w:rsidRPr="00CF4A1E">
        <w:rPr>
          <w:rFonts w:ascii="Times New Roman" w:hAnsi="Times New Roman"/>
        </w:rPr>
        <w:t xml:space="preserve"> Regulations involves attributing legal meaning to the legislative text, read in context: expounding the meaning of the text and not seeking "to remedy perceived legislative inattention"</w:t>
      </w:r>
      <w:r w:rsidRPr="00CF4A1E">
        <w:rPr>
          <w:rStyle w:val="FootnoteReference"/>
          <w:rFonts w:ascii="Times New Roman" w:hAnsi="Times New Roman"/>
          <w:sz w:val="24"/>
        </w:rPr>
        <w:footnoteReference w:id="19"/>
      </w:r>
      <w:r w:rsidRPr="00CF4A1E">
        <w:rPr>
          <w:rFonts w:ascii="Times New Roman" w:hAnsi="Times New Roman"/>
        </w:rPr>
        <w:t>.</w:t>
      </w:r>
    </w:p>
    <w:p w14:paraId="23BA2E6B" w14:textId="77777777" w:rsidR="00431CF6" w:rsidRPr="00CF4A1E" w:rsidRDefault="00431CF6" w:rsidP="00CF4A1E">
      <w:pPr>
        <w:pStyle w:val="FixListStyle"/>
        <w:spacing w:after="260" w:line="280" w:lineRule="exact"/>
        <w:ind w:right="0"/>
        <w:jc w:val="both"/>
        <w:rPr>
          <w:rFonts w:ascii="Times New Roman" w:hAnsi="Times New Roman"/>
          <w:lang w:val="en-US"/>
        </w:rPr>
      </w:pPr>
      <w:r w:rsidRPr="00CF4A1E">
        <w:rPr>
          <w:rFonts w:ascii="Times New Roman" w:hAnsi="Times New Roman"/>
        </w:rPr>
        <w:tab/>
        <w:t xml:space="preserve">A purposive approach to the interpretative task is required by s 14(1) of the </w:t>
      </w:r>
      <w:r w:rsidRPr="00CF4A1E">
        <w:rPr>
          <w:rFonts w:ascii="Times New Roman" w:hAnsi="Times New Roman"/>
          <w:i/>
          <w:iCs/>
          <w:lang w:val="en-US"/>
        </w:rPr>
        <w:t>Legislation Interpretation Act 2021</w:t>
      </w:r>
      <w:r w:rsidRPr="00CF4A1E">
        <w:rPr>
          <w:rFonts w:ascii="Times New Roman" w:hAnsi="Times New Roman"/>
          <w:lang w:val="en-US"/>
        </w:rPr>
        <w:t xml:space="preserve"> (SA), which provides that "the interpretation that best achieves the purpose or object of the Act or the instrument (whether or not that purpose or object is expressly stated in the Act or instrument) is to be preferred to any other interpretation". The court may consider the purposes of the relevant legislation in determining whether there is more than one possible construction but may not rewrite legislation in the light of its purposes</w:t>
      </w:r>
      <w:r w:rsidRPr="00CF4A1E">
        <w:rPr>
          <w:rStyle w:val="FootnoteReference"/>
          <w:rFonts w:ascii="Times New Roman" w:hAnsi="Times New Roman"/>
          <w:sz w:val="24"/>
          <w:lang w:val="en-US"/>
        </w:rPr>
        <w:footnoteReference w:id="20"/>
      </w:r>
      <w:r w:rsidRPr="00CF4A1E">
        <w:rPr>
          <w:rFonts w:ascii="Times New Roman" w:hAnsi="Times New Roman"/>
          <w:lang w:val="en-US"/>
        </w:rPr>
        <w:t>. Any meaning must be consistent with the language in fact used in the relevant legislation</w:t>
      </w:r>
      <w:r w:rsidRPr="00CF4A1E">
        <w:rPr>
          <w:rStyle w:val="FootnoteReference"/>
          <w:rFonts w:ascii="Times New Roman" w:hAnsi="Times New Roman"/>
          <w:sz w:val="24"/>
          <w:lang w:val="en-US"/>
        </w:rPr>
        <w:footnoteReference w:id="21"/>
      </w:r>
      <w:r w:rsidRPr="00CF4A1E">
        <w:rPr>
          <w:rFonts w:ascii="Times New Roman" w:hAnsi="Times New Roman"/>
          <w:lang w:val="en-US"/>
        </w:rPr>
        <w:t>.</w:t>
      </w:r>
    </w:p>
    <w:p w14:paraId="38938587" w14:textId="77777777" w:rsidR="00431CF6" w:rsidRPr="00CF4A1E" w:rsidRDefault="00431CF6" w:rsidP="00CF4A1E">
      <w:pPr>
        <w:pStyle w:val="HeadingL2"/>
        <w:spacing w:after="260" w:line="280" w:lineRule="exact"/>
        <w:ind w:right="0"/>
        <w:jc w:val="both"/>
        <w:rPr>
          <w:rFonts w:ascii="Times New Roman" w:hAnsi="Times New Roman"/>
        </w:rPr>
      </w:pPr>
      <w:r w:rsidRPr="00CF4A1E">
        <w:rPr>
          <w:rFonts w:ascii="Times New Roman" w:hAnsi="Times New Roman"/>
        </w:rPr>
        <w:t xml:space="preserve">Text of the </w:t>
      </w:r>
      <w:proofErr w:type="spellStart"/>
      <w:r w:rsidRPr="00CF4A1E">
        <w:rPr>
          <w:rFonts w:ascii="Times New Roman" w:hAnsi="Times New Roman"/>
        </w:rPr>
        <w:t>Cowirra</w:t>
      </w:r>
      <w:proofErr w:type="spellEnd"/>
      <w:r w:rsidRPr="00CF4A1E">
        <w:rPr>
          <w:rFonts w:ascii="Times New Roman" w:hAnsi="Times New Roman"/>
        </w:rPr>
        <w:t xml:space="preserve"> Regulations</w:t>
      </w:r>
    </w:p>
    <w:p w14:paraId="0E7670E6" w14:textId="5DB99989"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The </w:t>
      </w:r>
      <w:proofErr w:type="spellStart"/>
      <w:r w:rsidRPr="00CF4A1E">
        <w:rPr>
          <w:rFonts w:ascii="Times New Roman" w:hAnsi="Times New Roman"/>
        </w:rPr>
        <w:t>Cowirra</w:t>
      </w:r>
      <w:proofErr w:type="spellEnd"/>
      <w:r w:rsidRPr="00CF4A1E">
        <w:rPr>
          <w:rFonts w:ascii="Times New Roman" w:hAnsi="Times New Roman"/>
        </w:rPr>
        <w:t xml:space="preserve"> Regulations affect land contained in two certificates of title, more fully described in the judgment of the Court of Appeal</w:t>
      </w:r>
      <w:r w:rsidRPr="00CF4A1E">
        <w:rPr>
          <w:rStyle w:val="FootnoteReference"/>
          <w:rFonts w:ascii="Times New Roman" w:hAnsi="Times New Roman"/>
          <w:sz w:val="24"/>
        </w:rPr>
        <w:footnoteReference w:id="22"/>
      </w:r>
      <w:r w:rsidRPr="00CF4A1E">
        <w:rPr>
          <w:rFonts w:ascii="Times New Roman" w:hAnsi="Times New Roman"/>
        </w:rPr>
        <w:t xml:space="preserve">, which are </w:t>
      </w:r>
      <w:r w:rsidRPr="00CF4A1E">
        <w:rPr>
          <w:rFonts w:ascii="Times New Roman" w:hAnsi="Times New Roman"/>
        </w:rPr>
        <w:lastRenderedPageBreak/>
        <w:t xml:space="preserve">conveniently called "block 1" and "block 2". </w:t>
      </w:r>
      <w:proofErr w:type="spellStart"/>
      <w:r w:rsidRPr="00CF4A1E">
        <w:rPr>
          <w:rFonts w:ascii="Times New Roman" w:hAnsi="Times New Roman"/>
        </w:rPr>
        <w:t>Cowirra</w:t>
      </w:r>
      <w:proofErr w:type="spellEnd"/>
      <w:r w:rsidRPr="00CF4A1E">
        <w:rPr>
          <w:rFonts w:ascii="Times New Roman" w:hAnsi="Times New Roman"/>
        </w:rPr>
        <w:t xml:space="preserve"> Regulation No 1 relates to block 1</w:t>
      </w:r>
      <w:r w:rsidRPr="00CF4A1E">
        <w:rPr>
          <w:rStyle w:val="FootnoteReference"/>
          <w:rFonts w:ascii="Times New Roman" w:hAnsi="Times New Roman"/>
          <w:sz w:val="24"/>
        </w:rPr>
        <w:footnoteReference w:id="23"/>
      </w:r>
      <w:r w:rsidRPr="00CF4A1E">
        <w:rPr>
          <w:rFonts w:ascii="Times New Roman" w:hAnsi="Times New Roman"/>
        </w:rPr>
        <w:t xml:space="preserve"> and </w:t>
      </w:r>
      <w:proofErr w:type="spellStart"/>
      <w:r w:rsidRPr="00CF4A1E">
        <w:rPr>
          <w:rFonts w:ascii="Times New Roman" w:hAnsi="Times New Roman"/>
        </w:rPr>
        <w:t>Cowirra</w:t>
      </w:r>
      <w:proofErr w:type="spellEnd"/>
      <w:r w:rsidRPr="00CF4A1E">
        <w:rPr>
          <w:rFonts w:ascii="Times New Roman" w:hAnsi="Times New Roman"/>
        </w:rPr>
        <w:t xml:space="preserve"> Regulation No 2 relates to block 2</w:t>
      </w:r>
      <w:r w:rsidRPr="00CF4A1E">
        <w:rPr>
          <w:rStyle w:val="FootnoteReference"/>
          <w:rFonts w:ascii="Times New Roman" w:hAnsi="Times New Roman"/>
          <w:sz w:val="24"/>
        </w:rPr>
        <w:footnoteReference w:id="24"/>
      </w:r>
      <w:r w:rsidRPr="00CF4A1E">
        <w:rPr>
          <w:rFonts w:ascii="Times New Roman" w:hAnsi="Times New Roman"/>
        </w:rPr>
        <w:t>.</w:t>
      </w:r>
    </w:p>
    <w:p w14:paraId="70D5EDC3"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The </w:t>
      </w:r>
      <w:proofErr w:type="spellStart"/>
      <w:r w:rsidRPr="00CF4A1E">
        <w:rPr>
          <w:rFonts w:ascii="Times New Roman" w:hAnsi="Times New Roman"/>
        </w:rPr>
        <w:t>Cowirra</w:t>
      </w:r>
      <w:proofErr w:type="spellEnd"/>
      <w:r w:rsidRPr="00CF4A1E">
        <w:rPr>
          <w:rFonts w:ascii="Times New Roman" w:hAnsi="Times New Roman"/>
        </w:rPr>
        <w:t xml:space="preserve"> Regulations are in the same terms except for their names and short titles, and their different references to block 1 and block 2. The relevant portion of each of the </w:t>
      </w:r>
      <w:proofErr w:type="spellStart"/>
      <w:r w:rsidRPr="00CF4A1E">
        <w:rPr>
          <w:rFonts w:ascii="Times New Roman" w:hAnsi="Times New Roman"/>
        </w:rPr>
        <w:t>Cowirra</w:t>
      </w:r>
      <w:proofErr w:type="spellEnd"/>
      <w:r w:rsidRPr="00CF4A1E">
        <w:rPr>
          <w:rFonts w:ascii="Times New Roman" w:hAnsi="Times New Roman"/>
        </w:rPr>
        <w:t xml:space="preserve"> Regulations is in the following terms:</w:t>
      </w:r>
    </w:p>
    <w:p w14:paraId="5A0F333F" w14:textId="77777777" w:rsidR="00431CF6" w:rsidRPr="00CF4A1E" w:rsidRDefault="00431CF6" w:rsidP="00CF4A1E">
      <w:pPr>
        <w:pStyle w:val="LeftrightafterHC"/>
        <w:keepNext/>
        <w:spacing w:before="0" w:after="260" w:line="280" w:lineRule="exact"/>
        <w:ind w:right="0"/>
        <w:jc w:val="both"/>
        <w:rPr>
          <w:rFonts w:ascii="Times New Roman" w:hAnsi="Times New Roman"/>
          <w:b/>
          <w:bCs/>
        </w:rPr>
      </w:pPr>
      <w:r w:rsidRPr="00CF4A1E">
        <w:rPr>
          <w:rFonts w:ascii="Times New Roman" w:hAnsi="Times New Roman"/>
          <w:b/>
          <w:bCs/>
        </w:rPr>
        <w:t>3—Variation provisions</w:t>
      </w:r>
    </w:p>
    <w:p w14:paraId="142DD6D3" w14:textId="77777777" w:rsidR="00431CF6" w:rsidRPr="00CF4A1E" w:rsidRDefault="00431CF6" w:rsidP="00CF4A1E">
      <w:pPr>
        <w:pStyle w:val="leftright"/>
        <w:spacing w:before="0" w:after="260" w:line="280" w:lineRule="exact"/>
        <w:ind w:left="1440" w:right="0"/>
        <w:jc w:val="both"/>
        <w:rPr>
          <w:rFonts w:ascii="Times New Roman" w:hAnsi="Times New Roman"/>
        </w:rPr>
      </w:pPr>
      <w:r w:rsidRPr="00CF4A1E">
        <w:rPr>
          <w:rFonts w:ascii="Times New Roman" w:hAnsi="Times New Roman"/>
        </w:rPr>
        <w:t>In these regulations, a provision under a heading referring to the variation of specified regulations varies the regulations so specified.</w:t>
      </w:r>
    </w:p>
    <w:p w14:paraId="3D971573" w14:textId="77777777" w:rsidR="00431CF6" w:rsidRPr="00CF4A1E" w:rsidRDefault="00431CF6" w:rsidP="00CF4A1E">
      <w:pPr>
        <w:pStyle w:val="LeftrightHanging"/>
        <w:keepNext/>
        <w:spacing w:before="0" w:after="260" w:line="280" w:lineRule="exact"/>
        <w:ind w:right="0"/>
        <w:jc w:val="both"/>
        <w:rPr>
          <w:rFonts w:ascii="Times New Roman" w:hAnsi="Times New Roman"/>
          <w:b/>
          <w:sz w:val="32"/>
          <w:szCs w:val="24"/>
        </w:rPr>
      </w:pPr>
      <w:r w:rsidRPr="00CF4A1E">
        <w:rPr>
          <w:rFonts w:ascii="Times New Roman" w:hAnsi="Times New Roman"/>
          <w:b/>
          <w:sz w:val="32"/>
          <w:szCs w:val="24"/>
        </w:rPr>
        <w:t>Part 2—Variation of Criminal Law Consolidation (Criminal Organisations) Regulations 2015</w:t>
      </w:r>
    </w:p>
    <w:p w14:paraId="681EAA7A" w14:textId="77777777" w:rsidR="00431CF6" w:rsidRPr="00CF4A1E" w:rsidRDefault="00431CF6" w:rsidP="00CF4A1E">
      <w:pPr>
        <w:pStyle w:val="LeftrightHanging"/>
        <w:keepNext/>
        <w:spacing w:before="0" w:after="260" w:line="280" w:lineRule="exact"/>
        <w:ind w:right="0"/>
        <w:jc w:val="both"/>
        <w:rPr>
          <w:rFonts w:ascii="Times New Roman" w:hAnsi="Times New Roman"/>
          <w:b/>
          <w:bCs/>
        </w:rPr>
      </w:pPr>
      <w:r w:rsidRPr="00CF4A1E">
        <w:rPr>
          <w:rFonts w:ascii="Times New Roman" w:hAnsi="Times New Roman"/>
          <w:b/>
          <w:bCs/>
        </w:rPr>
        <w:t>4—Variation of regulation 3—Places declared to be prescribed places (by certificate of title)—section 83GA</w:t>
      </w:r>
    </w:p>
    <w:p w14:paraId="7B7EF205" w14:textId="77777777" w:rsidR="00431CF6" w:rsidRPr="00CF4A1E" w:rsidRDefault="00431CF6" w:rsidP="00CF4A1E">
      <w:pPr>
        <w:pStyle w:val="LRHangingMore"/>
        <w:keepNext/>
        <w:spacing w:before="0" w:after="260" w:line="280" w:lineRule="exact"/>
        <w:ind w:left="1440" w:right="0" w:firstLine="0"/>
        <w:jc w:val="both"/>
        <w:rPr>
          <w:rFonts w:ascii="Times New Roman" w:hAnsi="Times New Roman"/>
        </w:rPr>
      </w:pPr>
      <w:r w:rsidRPr="00CF4A1E">
        <w:rPr>
          <w:rFonts w:ascii="Times New Roman" w:hAnsi="Times New Roman"/>
        </w:rPr>
        <w:t>Regulation 3(2), table—after its present contents insert:</w:t>
      </w:r>
      <w:r w:rsidRPr="00CF4A1E">
        <w:rPr>
          <w:rFonts w:ascii="Times New Roman" w:hAnsi="Times New Roman"/>
        </w:rPr>
        <w:br/>
      </w:r>
    </w:p>
    <w:tbl>
      <w:tblPr>
        <w:tblStyle w:val="TableGrid"/>
        <w:tblW w:w="0" w:type="auto"/>
        <w:tblInd w:w="2160" w:type="dxa"/>
        <w:tblLook w:val="04A0" w:firstRow="1" w:lastRow="0" w:firstColumn="1" w:lastColumn="0" w:noHBand="0" w:noVBand="1"/>
      </w:tblPr>
      <w:tblGrid>
        <w:gridCol w:w="4639"/>
        <w:gridCol w:w="1695"/>
      </w:tblGrid>
      <w:tr w:rsidR="00431CF6" w:rsidRPr="00CF4A1E" w14:paraId="3DDB8DC9" w14:textId="77777777" w:rsidTr="001A072D">
        <w:tc>
          <w:tcPr>
            <w:tcW w:w="4639" w:type="dxa"/>
          </w:tcPr>
          <w:p w14:paraId="501792A4" w14:textId="77777777" w:rsidR="00431CF6" w:rsidRPr="00CF4A1E" w:rsidRDefault="00431CF6" w:rsidP="00CF4A1E">
            <w:pPr>
              <w:pStyle w:val="LRHangingMore"/>
              <w:tabs>
                <w:tab w:val="clear" w:pos="2160"/>
                <w:tab w:val="clear" w:pos="2880"/>
                <w:tab w:val="clear" w:pos="3600"/>
                <w:tab w:val="left" w:pos="2692"/>
              </w:tabs>
              <w:spacing w:before="0" w:after="260" w:line="280" w:lineRule="exact"/>
              <w:ind w:left="0" w:right="0" w:firstLine="0"/>
              <w:jc w:val="both"/>
              <w:rPr>
                <w:rFonts w:ascii="Times New Roman" w:hAnsi="Times New Roman"/>
              </w:rPr>
            </w:pPr>
            <w:r w:rsidRPr="00CF4A1E">
              <w:rPr>
                <w:rFonts w:ascii="Times New Roman" w:hAnsi="Times New Roman"/>
              </w:rPr>
              <w:t>[Certificate of title number]</w:t>
            </w:r>
          </w:p>
        </w:tc>
        <w:tc>
          <w:tcPr>
            <w:tcW w:w="1695" w:type="dxa"/>
          </w:tcPr>
          <w:p w14:paraId="33617BEA" w14:textId="77777777" w:rsidR="00431CF6" w:rsidRPr="00CF4A1E" w:rsidRDefault="00431CF6" w:rsidP="00CF4A1E">
            <w:pPr>
              <w:pStyle w:val="LRHangingMore"/>
              <w:spacing w:before="0" w:after="260" w:line="280" w:lineRule="exact"/>
              <w:ind w:left="0" w:right="0" w:firstLine="0"/>
              <w:jc w:val="both"/>
              <w:rPr>
                <w:rFonts w:ascii="Times New Roman" w:hAnsi="Times New Roman"/>
              </w:rPr>
            </w:pPr>
            <w:r w:rsidRPr="00CF4A1E">
              <w:rPr>
                <w:rFonts w:ascii="Times New Roman" w:hAnsi="Times New Roman"/>
              </w:rPr>
              <w:t>[Address]</w:t>
            </w:r>
          </w:p>
        </w:tc>
      </w:tr>
    </w:tbl>
    <w:p w14:paraId="2ADB2054" w14:textId="77777777" w:rsidR="00431CF6" w:rsidRPr="00CF4A1E" w:rsidRDefault="00431CF6" w:rsidP="00CF4A1E">
      <w:pPr>
        <w:pStyle w:val="LRHangingMore"/>
        <w:spacing w:before="0" w:after="260" w:line="280" w:lineRule="exact"/>
        <w:ind w:right="0"/>
        <w:jc w:val="both"/>
        <w:rPr>
          <w:rFonts w:ascii="Times New Roman" w:hAnsi="Times New Roman"/>
        </w:rPr>
      </w:pPr>
    </w:p>
    <w:p w14:paraId="3373F4DB"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As can be seen, the title of Pt 2 and the text of reg 3 of each of the </w:t>
      </w:r>
      <w:proofErr w:type="spellStart"/>
      <w:r w:rsidRPr="00CF4A1E">
        <w:rPr>
          <w:rFonts w:ascii="Times New Roman" w:hAnsi="Times New Roman"/>
        </w:rPr>
        <w:t>Cowirra</w:t>
      </w:r>
      <w:proofErr w:type="spellEnd"/>
      <w:r w:rsidRPr="00CF4A1E">
        <w:rPr>
          <w:rFonts w:ascii="Times New Roman" w:hAnsi="Times New Roman"/>
        </w:rPr>
        <w:t xml:space="preserve"> Regulations state the effect of reg 4 as a "variation" of reg 3(2) of the 2015 Regulations. </w:t>
      </w:r>
    </w:p>
    <w:p w14:paraId="02855432" w14:textId="3288C01B"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The appellants noted that the heading of reg 4 of each of the </w:t>
      </w:r>
      <w:proofErr w:type="spellStart"/>
      <w:r w:rsidRPr="00CF4A1E">
        <w:rPr>
          <w:rFonts w:ascii="Times New Roman" w:hAnsi="Times New Roman"/>
        </w:rPr>
        <w:t>Cowirra</w:t>
      </w:r>
      <w:proofErr w:type="spellEnd"/>
      <w:r w:rsidRPr="00CF4A1E">
        <w:rPr>
          <w:rFonts w:ascii="Times New Roman" w:hAnsi="Times New Roman"/>
        </w:rPr>
        <w:t xml:space="preserve"> Regulations repeats the language of the heading of reg 3 of the 2015 Regulations as made, with the addition of the words "by certificate of title". Regulation 4 is expressed to "insert" its contents, that is, the descriptions of block 1 and block 2, into the table found in the 2015 Regulations.</w:t>
      </w:r>
    </w:p>
    <w:p w14:paraId="4FFBC573" w14:textId="54EFC84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It was not in dispute that the 2015 Regulations, made by the 2015 Act, did not declare the blocks comprising the </w:t>
      </w:r>
      <w:proofErr w:type="spellStart"/>
      <w:r w:rsidRPr="00CF4A1E">
        <w:rPr>
          <w:rFonts w:ascii="Times New Roman" w:hAnsi="Times New Roman"/>
        </w:rPr>
        <w:t>Cowirra</w:t>
      </w:r>
      <w:proofErr w:type="spellEnd"/>
      <w:r w:rsidRPr="00CF4A1E">
        <w:rPr>
          <w:rFonts w:ascii="Times New Roman" w:hAnsi="Times New Roman"/>
        </w:rPr>
        <w:t xml:space="preserve"> land to be prescribed places. The Court of Appeal noted that the scheme of the 1935 Act is structured on the premise that, where places are declared to be prescribed places by regulation falling within </w:t>
      </w:r>
      <w:r w:rsidRPr="00CF4A1E">
        <w:rPr>
          <w:rFonts w:ascii="Times New Roman" w:hAnsi="Times New Roman"/>
        </w:rPr>
        <w:lastRenderedPageBreak/>
        <w:t>the scope of s 83</w:t>
      </w:r>
      <w:proofErr w:type="gramStart"/>
      <w:r w:rsidRPr="00CF4A1E">
        <w:rPr>
          <w:rFonts w:ascii="Times New Roman" w:hAnsi="Times New Roman"/>
        </w:rPr>
        <w:t>GA(</w:t>
      </w:r>
      <w:proofErr w:type="gramEnd"/>
      <w:r w:rsidRPr="00CF4A1E">
        <w:rPr>
          <w:rFonts w:ascii="Times New Roman" w:hAnsi="Times New Roman"/>
        </w:rPr>
        <w:t>1) – that is, by the exercise of the general regulation</w:t>
      </w:r>
      <w:r w:rsidRPr="00CF4A1E">
        <w:rPr>
          <w:rFonts w:ascii="Times New Roman" w:hAnsi="Times New Roman"/>
        </w:rPr>
        <w:noBreakHyphen/>
        <w:t>making power – a separate declaration is required for each place</w:t>
      </w:r>
      <w:r w:rsidRPr="00CF4A1E">
        <w:rPr>
          <w:rStyle w:val="FootnoteReference"/>
          <w:rFonts w:ascii="Times New Roman" w:hAnsi="Times New Roman"/>
          <w:sz w:val="24"/>
        </w:rPr>
        <w:footnoteReference w:id="25"/>
      </w:r>
      <w:r w:rsidRPr="00CF4A1E">
        <w:rPr>
          <w:rFonts w:ascii="Times New Roman" w:hAnsi="Times New Roman"/>
        </w:rPr>
        <w:t xml:space="preserve">. </w:t>
      </w:r>
    </w:p>
    <w:p w14:paraId="08D2AAF8" w14:textId="77777777" w:rsidR="00431CF6" w:rsidRPr="00CF4A1E" w:rsidRDefault="00431CF6" w:rsidP="00CF4A1E">
      <w:pPr>
        <w:pStyle w:val="HeadingL2"/>
        <w:spacing w:after="260" w:line="280" w:lineRule="exact"/>
        <w:ind w:right="0"/>
        <w:jc w:val="both"/>
        <w:rPr>
          <w:rFonts w:ascii="Times New Roman" w:hAnsi="Times New Roman"/>
        </w:rPr>
      </w:pPr>
      <w:r w:rsidRPr="00CF4A1E">
        <w:rPr>
          <w:rFonts w:ascii="Times New Roman" w:hAnsi="Times New Roman"/>
        </w:rPr>
        <w:t>Court of Appeal's interpretation</w:t>
      </w:r>
    </w:p>
    <w:p w14:paraId="14F59C93"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The Court of Appeal correctly observed that the text of the </w:t>
      </w:r>
      <w:proofErr w:type="spellStart"/>
      <w:r w:rsidRPr="00CF4A1E">
        <w:rPr>
          <w:rFonts w:ascii="Times New Roman" w:hAnsi="Times New Roman"/>
        </w:rPr>
        <w:t>Cowirra</w:t>
      </w:r>
      <w:proofErr w:type="spellEnd"/>
      <w:r w:rsidRPr="00CF4A1E">
        <w:rPr>
          <w:rFonts w:ascii="Times New Roman" w:hAnsi="Times New Roman"/>
        </w:rPr>
        <w:t xml:space="preserve"> Regulations appeared only to vary the 2015 Regulations</w:t>
      </w:r>
      <w:r w:rsidRPr="00CF4A1E">
        <w:rPr>
          <w:rStyle w:val="FootnoteReference"/>
          <w:rFonts w:ascii="Times New Roman" w:hAnsi="Times New Roman"/>
          <w:sz w:val="24"/>
        </w:rPr>
        <w:footnoteReference w:id="26"/>
      </w:r>
      <w:r w:rsidRPr="00CF4A1E">
        <w:rPr>
          <w:rFonts w:ascii="Times New Roman" w:hAnsi="Times New Roman"/>
        </w:rPr>
        <w:t>. Acknowledging that the text was "demonstrably insufficient for the task"</w:t>
      </w:r>
      <w:r w:rsidRPr="00CF4A1E">
        <w:rPr>
          <w:rStyle w:val="FootnoteReference"/>
          <w:rFonts w:ascii="Times New Roman" w:hAnsi="Times New Roman"/>
          <w:sz w:val="24"/>
        </w:rPr>
        <w:footnoteReference w:id="27"/>
      </w:r>
      <w:r w:rsidRPr="00CF4A1E">
        <w:rPr>
          <w:rFonts w:ascii="Times New Roman" w:hAnsi="Times New Roman"/>
        </w:rPr>
        <w:t xml:space="preserve"> of identifying the land in each of the </w:t>
      </w:r>
      <w:proofErr w:type="spellStart"/>
      <w:r w:rsidRPr="00CF4A1E">
        <w:rPr>
          <w:rFonts w:ascii="Times New Roman" w:hAnsi="Times New Roman"/>
        </w:rPr>
        <w:t>Cowirra</w:t>
      </w:r>
      <w:proofErr w:type="spellEnd"/>
      <w:r w:rsidRPr="00CF4A1E">
        <w:rPr>
          <w:rFonts w:ascii="Times New Roman" w:hAnsi="Times New Roman"/>
        </w:rPr>
        <w:t xml:space="preserve"> Regulations as "a place declared by regulation to be a prescribed place", and that the </w:t>
      </w:r>
      <w:proofErr w:type="spellStart"/>
      <w:r w:rsidRPr="00CF4A1E">
        <w:rPr>
          <w:rFonts w:ascii="Times New Roman" w:hAnsi="Times New Roman"/>
        </w:rPr>
        <w:t>Cowirra</w:t>
      </w:r>
      <w:proofErr w:type="spellEnd"/>
      <w:r w:rsidRPr="00CF4A1E">
        <w:rPr>
          <w:rFonts w:ascii="Times New Roman" w:hAnsi="Times New Roman"/>
        </w:rPr>
        <w:t xml:space="preserve"> Regulations were "deficient"</w:t>
      </w:r>
      <w:r w:rsidRPr="00CF4A1E">
        <w:rPr>
          <w:rStyle w:val="FootnoteReference"/>
          <w:rFonts w:ascii="Times New Roman" w:hAnsi="Times New Roman"/>
          <w:sz w:val="24"/>
        </w:rPr>
        <w:footnoteReference w:id="28"/>
      </w:r>
      <w:r w:rsidRPr="00CF4A1E">
        <w:rPr>
          <w:rFonts w:ascii="Times New Roman" w:hAnsi="Times New Roman"/>
        </w:rPr>
        <w:t xml:space="preserve"> and an "apparent folly" insofar as they purported to vary the 2015 Regulations</w:t>
      </w:r>
      <w:r w:rsidRPr="00CF4A1E">
        <w:rPr>
          <w:rStyle w:val="FootnoteReference"/>
          <w:rFonts w:ascii="Times New Roman" w:hAnsi="Times New Roman"/>
          <w:sz w:val="24"/>
        </w:rPr>
        <w:footnoteReference w:id="29"/>
      </w:r>
      <w:r w:rsidRPr="00CF4A1E">
        <w:rPr>
          <w:rFonts w:ascii="Times New Roman" w:hAnsi="Times New Roman"/>
        </w:rPr>
        <w:t xml:space="preserve">, the Court of Appeal posed the question whether, having regard to the context and manifest purpose of the </w:t>
      </w:r>
      <w:proofErr w:type="spellStart"/>
      <w:r w:rsidRPr="00CF4A1E">
        <w:rPr>
          <w:rFonts w:ascii="Times New Roman" w:hAnsi="Times New Roman"/>
        </w:rPr>
        <w:t>Cowirra</w:t>
      </w:r>
      <w:proofErr w:type="spellEnd"/>
      <w:r w:rsidRPr="00CF4A1E">
        <w:rPr>
          <w:rFonts w:ascii="Times New Roman" w:hAnsi="Times New Roman"/>
        </w:rPr>
        <w:t xml:space="preserve"> Regulations, they nevertheless impliedly declared the blocks comprising the </w:t>
      </w:r>
      <w:proofErr w:type="spellStart"/>
      <w:r w:rsidRPr="00CF4A1E">
        <w:rPr>
          <w:rFonts w:ascii="Times New Roman" w:hAnsi="Times New Roman"/>
        </w:rPr>
        <w:t>Cowirra</w:t>
      </w:r>
      <w:proofErr w:type="spellEnd"/>
      <w:r w:rsidRPr="00CF4A1E">
        <w:rPr>
          <w:rFonts w:ascii="Times New Roman" w:hAnsi="Times New Roman"/>
        </w:rPr>
        <w:t xml:space="preserve"> land to be prescribed places</w:t>
      </w:r>
      <w:r w:rsidRPr="00CF4A1E">
        <w:rPr>
          <w:rStyle w:val="FootnoteReference"/>
          <w:rFonts w:ascii="Times New Roman" w:hAnsi="Times New Roman"/>
          <w:sz w:val="24"/>
        </w:rPr>
        <w:footnoteReference w:id="30"/>
      </w:r>
      <w:r w:rsidRPr="00CF4A1E">
        <w:rPr>
          <w:rFonts w:ascii="Times New Roman" w:hAnsi="Times New Roman"/>
        </w:rPr>
        <w:t xml:space="preserve"> in addition to varying the 2015 Regulations</w:t>
      </w:r>
      <w:r w:rsidRPr="00CF4A1E">
        <w:rPr>
          <w:rStyle w:val="FootnoteReference"/>
          <w:rFonts w:ascii="Times New Roman" w:hAnsi="Times New Roman"/>
          <w:sz w:val="24"/>
        </w:rPr>
        <w:footnoteReference w:id="31"/>
      </w:r>
      <w:r w:rsidRPr="00CF4A1E">
        <w:rPr>
          <w:rFonts w:ascii="Times New Roman" w:hAnsi="Times New Roman"/>
        </w:rPr>
        <w:t>. The Court of Appeal answered that question in the affirmative.</w:t>
      </w:r>
    </w:p>
    <w:p w14:paraId="2D847AE3"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The matters relied upon by the Court of Appeal to discern that the </w:t>
      </w:r>
      <w:proofErr w:type="spellStart"/>
      <w:r w:rsidRPr="00CF4A1E">
        <w:rPr>
          <w:rFonts w:ascii="Times New Roman" w:hAnsi="Times New Roman"/>
        </w:rPr>
        <w:t>Cowirra</w:t>
      </w:r>
      <w:proofErr w:type="spellEnd"/>
      <w:r w:rsidRPr="00CF4A1E">
        <w:rPr>
          <w:rFonts w:ascii="Times New Roman" w:hAnsi="Times New Roman"/>
        </w:rPr>
        <w:t xml:space="preserve"> Regulations, by necessary implication, declared the blocks comprising the </w:t>
      </w:r>
      <w:proofErr w:type="spellStart"/>
      <w:r w:rsidRPr="00CF4A1E">
        <w:rPr>
          <w:rFonts w:ascii="Times New Roman" w:hAnsi="Times New Roman"/>
        </w:rPr>
        <w:t>Cowirra</w:t>
      </w:r>
      <w:proofErr w:type="spellEnd"/>
      <w:r w:rsidRPr="00CF4A1E">
        <w:rPr>
          <w:rFonts w:ascii="Times New Roman" w:hAnsi="Times New Roman"/>
        </w:rPr>
        <w:t xml:space="preserve"> land to be prescribed places are: (1) the </w:t>
      </w:r>
      <w:proofErr w:type="spellStart"/>
      <w:r w:rsidRPr="00CF4A1E">
        <w:rPr>
          <w:rFonts w:ascii="Times New Roman" w:hAnsi="Times New Roman"/>
        </w:rPr>
        <w:t>Cowirra</w:t>
      </w:r>
      <w:proofErr w:type="spellEnd"/>
      <w:r w:rsidRPr="00CF4A1E">
        <w:rPr>
          <w:rFonts w:ascii="Times New Roman" w:hAnsi="Times New Roman"/>
        </w:rPr>
        <w:t xml:space="preserve"> Regulations complied with s 83GA(2), so that they were capable of individual disallowance by Parliament</w:t>
      </w:r>
      <w:r w:rsidRPr="00CF4A1E">
        <w:rPr>
          <w:rStyle w:val="FootnoteReference"/>
          <w:rFonts w:ascii="Times New Roman" w:hAnsi="Times New Roman"/>
          <w:sz w:val="24"/>
        </w:rPr>
        <w:footnoteReference w:id="32"/>
      </w:r>
      <w:r w:rsidRPr="00CF4A1E">
        <w:rPr>
          <w:rFonts w:ascii="Times New Roman" w:hAnsi="Times New Roman"/>
        </w:rPr>
        <w:t>; (2) the evident purpose of each Regulation was to declare a place to be a prescribed place, that purpose being expressed in the words "[p]laces declared to be prescribed places" in the heading of reg 4 in each case</w:t>
      </w:r>
      <w:r w:rsidRPr="00CF4A1E">
        <w:rPr>
          <w:rStyle w:val="FootnoteReference"/>
          <w:rFonts w:ascii="Times New Roman" w:hAnsi="Times New Roman"/>
          <w:sz w:val="24"/>
        </w:rPr>
        <w:footnoteReference w:id="33"/>
      </w:r>
      <w:r w:rsidRPr="00CF4A1E">
        <w:rPr>
          <w:rFonts w:ascii="Times New Roman" w:hAnsi="Times New Roman"/>
        </w:rPr>
        <w:t xml:space="preserve">; (3) the long titles and the </w:t>
      </w:r>
      <w:r w:rsidRPr="00CF4A1E">
        <w:rPr>
          <w:rFonts w:ascii="Times New Roman" w:hAnsi="Times New Roman"/>
        </w:rPr>
        <w:lastRenderedPageBreak/>
        <w:t>short titles to the Regulations; and (4) the listing of the relevant land by certificate of title and address</w:t>
      </w:r>
      <w:r w:rsidRPr="00CF4A1E">
        <w:rPr>
          <w:rStyle w:val="FootnoteReference"/>
          <w:rFonts w:ascii="Times New Roman" w:hAnsi="Times New Roman"/>
          <w:sz w:val="24"/>
        </w:rPr>
        <w:footnoteReference w:id="34"/>
      </w:r>
      <w:r w:rsidRPr="00CF4A1E">
        <w:rPr>
          <w:rFonts w:ascii="Times New Roman" w:hAnsi="Times New Roman"/>
        </w:rPr>
        <w:t xml:space="preserve">. </w:t>
      </w:r>
    </w:p>
    <w:p w14:paraId="4E6B14E1" w14:textId="77777777" w:rsidR="00431CF6" w:rsidRPr="00CF4A1E" w:rsidRDefault="00431CF6" w:rsidP="00CF4A1E">
      <w:pPr>
        <w:pStyle w:val="HeadingL2"/>
        <w:spacing w:after="260" w:line="280" w:lineRule="exact"/>
        <w:ind w:right="0"/>
        <w:jc w:val="both"/>
        <w:rPr>
          <w:rFonts w:ascii="Times New Roman" w:hAnsi="Times New Roman"/>
        </w:rPr>
      </w:pPr>
      <w:proofErr w:type="spellStart"/>
      <w:r w:rsidRPr="00CF4A1E">
        <w:rPr>
          <w:rFonts w:ascii="Times New Roman" w:hAnsi="Times New Roman"/>
        </w:rPr>
        <w:t>Cowirra</w:t>
      </w:r>
      <w:proofErr w:type="spellEnd"/>
      <w:r w:rsidRPr="00CF4A1E">
        <w:rPr>
          <w:rFonts w:ascii="Times New Roman" w:hAnsi="Times New Roman"/>
        </w:rPr>
        <w:t xml:space="preserve"> Regulations do not declare places to be prescribed places</w:t>
      </w:r>
    </w:p>
    <w:p w14:paraId="7D0CE156" w14:textId="0DE334B2"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As a matter of ordinary English, a "declaration" is a positive statement or proclamation</w:t>
      </w:r>
      <w:r w:rsidRPr="00CF4A1E">
        <w:rPr>
          <w:rStyle w:val="FootnoteReference"/>
          <w:rFonts w:ascii="Times New Roman" w:hAnsi="Times New Roman"/>
          <w:sz w:val="24"/>
        </w:rPr>
        <w:footnoteReference w:id="35"/>
      </w:r>
      <w:r w:rsidRPr="00CF4A1E">
        <w:rPr>
          <w:rFonts w:ascii="Times New Roman" w:hAnsi="Times New Roman"/>
        </w:rPr>
        <w:t xml:space="preserve">. To declare a place to be a prescribed place by regulation requires a positive statement that the relevant place is a prescribed place. By design, the </w:t>
      </w:r>
      <w:proofErr w:type="spellStart"/>
      <w:r w:rsidRPr="00CF4A1E">
        <w:rPr>
          <w:rFonts w:ascii="Times New Roman" w:hAnsi="Times New Roman"/>
        </w:rPr>
        <w:t>Cowirra</w:t>
      </w:r>
      <w:proofErr w:type="spellEnd"/>
      <w:r w:rsidRPr="00CF4A1E">
        <w:rPr>
          <w:rFonts w:ascii="Times New Roman" w:hAnsi="Times New Roman"/>
        </w:rPr>
        <w:t xml:space="preserve"> Regulations do not declare the blocks comprising the </w:t>
      </w:r>
      <w:proofErr w:type="spellStart"/>
      <w:r w:rsidRPr="00CF4A1E">
        <w:rPr>
          <w:rFonts w:ascii="Times New Roman" w:hAnsi="Times New Roman"/>
        </w:rPr>
        <w:t>Cowirra</w:t>
      </w:r>
      <w:proofErr w:type="spellEnd"/>
      <w:r w:rsidRPr="00CF4A1E">
        <w:rPr>
          <w:rFonts w:ascii="Times New Roman" w:hAnsi="Times New Roman"/>
        </w:rPr>
        <w:t xml:space="preserve"> land to be prescribed places. Even assuming that a declaration could be made impliedly, the language of the </w:t>
      </w:r>
      <w:proofErr w:type="spellStart"/>
      <w:r w:rsidRPr="00CF4A1E">
        <w:rPr>
          <w:rFonts w:ascii="Times New Roman" w:hAnsi="Times New Roman"/>
        </w:rPr>
        <w:t>Cowirra</w:t>
      </w:r>
      <w:proofErr w:type="spellEnd"/>
      <w:r w:rsidRPr="00CF4A1E">
        <w:rPr>
          <w:rFonts w:ascii="Times New Roman" w:hAnsi="Times New Roman"/>
        </w:rPr>
        <w:t xml:space="preserve"> Regulations is to the opposite effect, purporting to leave the operative act of declaring the blocks comprising the </w:t>
      </w:r>
      <w:proofErr w:type="spellStart"/>
      <w:r w:rsidRPr="00CF4A1E">
        <w:rPr>
          <w:rFonts w:ascii="Times New Roman" w:hAnsi="Times New Roman"/>
        </w:rPr>
        <w:t>Cowirra</w:t>
      </w:r>
      <w:proofErr w:type="spellEnd"/>
      <w:r w:rsidRPr="00CF4A1E">
        <w:rPr>
          <w:rFonts w:ascii="Times New Roman" w:hAnsi="Times New Roman"/>
        </w:rPr>
        <w:t xml:space="preserve"> land prescribed places to the 2015 Regulations, which do not have that effect. The principle that an interpretation of a legislative instrument that best achieves the purpose of the instrument is to be preferred to any other interpretation</w:t>
      </w:r>
      <w:r w:rsidRPr="00CF4A1E">
        <w:rPr>
          <w:rStyle w:val="FootnoteReference"/>
          <w:rFonts w:ascii="Times New Roman" w:hAnsi="Times New Roman"/>
          <w:sz w:val="24"/>
        </w:rPr>
        <w:footnoteReference w:id="36"/>
      </w:r>
      <w:r w:rsidRPr="00CF4A1E">
        <w:rPr>
          <w:rFonts w:ascii="Times New Roman" w:hAnsi="Times New Roman"/>
        </w:rPr>
        <w:t xml:space="preserve"> does not assist if there is no available interpretation of the </w:t>
      </w:r>
      <w:proofErr w:type="spellStart"/>
      <w:r w:rsidRPr="00CF4A1E">
        <w:rPr>
          <w:rFonts w:ascii="Times New Roman" w:hAnsi="Times New Roman"/>
        </w:rPr>
        <w:t>Cowirra</w:t>
      </w:r>
      <w:proofErr w:type="spellEnd"/>
      <w:r w:rsidRPr="00CF4A1E">
        <w:rPr>
          <w:rFonts w:ascii="Times New Roman" w:hAnsi="Times New Roman"/>
        </w:rPr>
        <w:t xml:space="preserve"> Regulations as declaring the blocks comprising the </w:t>
      </w:r>
      <w:proofErr w:type="spellStart"/>
      <w:r w:rsidRPr="00CF4A1E">
        <w:rPr>
          <w:rFonts w:ascii="Times New Roman" w:hAnsi="Times New Roman"/>
        </w:rPr>
        <w:t>Cowirra</w:t>
      </w:r>
      <w:proofErr w:type="spellEnd"/>
      <w:r w:rsidRPr="00CF4A1E">
        <w:rPr>
          <w:rFonts w:ascii="Times New Roman" w:hAnsi="Times New Roman"/>
        </w:rPr>
        <w:t xml:space="preserve"> land to be prescribed places. As the Court of Appeal recognised, there is no ambiguity in the text of the </w:t>
      </w:r>
      <w:proofErr w:type="spellStart"/>
      <w:r w:rsidRPr="00CF4A1E">
        <w:rPr>
          <w:rFonts w:ascii="Times New Roman" w:hAnsi="Times New Roman"/>
        </w:rPr>
        <w:t>Cowirra</w:t>
      </w:r>
      <w:proofErr w:type="spellEnd"/>
      <w:r w:rsidRPr="00CF4A1E">
        <w:rPr>
          <w:rFonts w:ascii="Times New Roman" w:hAnsi="Times New Roman"/>
        </w:rPr>
        <w:t xml:space="preserve"> Regulations</w:t>
      </w:r>
      <w:r w:rsidRPr="00CF4A1E">
        <w:rPr>
          <w:rStyle w:val="FootnoteReference"/>
          <w:rFonts w:ascii="Times New Roman" w:hAnsi="Times New Roman"/>
          <w:sz w:val="24"/>
        </w:rPr>
        <w:footnoteReference w:id="37"/>
      </w:r>
      <w:r w:rsidRPr="00CF4A1E">
        <w:rPr>
          <w:rFonts w:ascii="Times New Roman" w:hAnsi="Times New Roman"/>
        </w:rPr>
        <w:t xml:space="preserve">. While the aim of the </w:t>
      </w:r>
      <w:proofErr w:type="spellStart"/>
      <w:r w:rsidRPr="00CF4A1E">
        <w:rPr>
          <w:rFonts w:ascii="Times New Roman" w:hAnsi="Times New Roman"/>
        </w:rPr>
        <w:t>Cowirra</w:t>
      </w:r>
      <w:proofErr w:type="spellEnd"/>
      <w:r w:rsidRPr="00CF4A1E">
        <w:rPr>
          <w:rFonts w:ascii="Times New Roman" w:hAnsi="Times New Roman"/>
        </w:rPr>
        <w:t xml:space="preserve"> Regulations is clear, the means adopted in the Regulations failed to achieve that aim. </w:t>
      </w:r>
    </w:p>
    <w:p w14:paraId="722DAC21"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Finally, the fact that the publication of a consolidated version of the 2015 Regulations</w:t>
      </w:r>
      <w:r w:rsidRPr="00CF4A1E">
        <w:rPr>
          <w:rStyle w:val="FootnoteReference"/>
          <w:rFonts w:ascii="Times New Roman" w:hAnsi="Times New Roman"/>
          <w:sz w:val="24"/>
        </w:rPr>
        <w:footnoteReference w:id="38"/>
      </w:r>
      <w:r w:rsidRPr="00CF4A1E">
        <w:rPr>
          <w:rFonts w:ascii="Times New Roman" w:hAnsi="Times New Roman"/>
        </w:rPr>
        <w:t xml:space="preserve">, as amended by other regulations including the </w:t>
      </w:r>
      <w:proofErr w:type="spellStart"/>
      <w:r w:rsidRPr="00CF4A1E">
        <w:rPr>
          <w:rFonts w:ascii="Times New Roman" w:hAnsi="Times New Roman"/>
        </w:rPr>
        <w:t>Cowirra</w:t>
      </w:r>
      <w:proofErr w:type="spellEnd"/>
      <w:r w:rsidRPr="00CF4A1E">
        <w:rPr>
          <w:rFonts w:ascii="Times New Roman" w:hAnsi="Times New Roman"/>
        </w:rPr>
        <w:t xml:space="preserve"> Regulations, did not declare the blocks comprising the </w:t>
      </w:r>
      <w:proofErr w:type="spellStart"/>
      <w:r w:rsidRPr="00CF4A1E">
        <w:rPr>
          <w:rFonts w:ascii="Times New Roman" w:hAnsi="Times New Roman"/>
        </w:rPr>
        <w:t>Cowirra</w:t>
      </w:r>
      <w:proofErr w:type="spellEnd"/>
      <w:r w:rsidRPr="00CF4A1E">
        <w:rPr>
          <w:rFonts w:ascii="Times New Roman" w:hAnsi="Times New Roman"/>
        </w:rPr>
        <w:t xml:space="preserve"> land to be prescribed places does not imply, contrary to the plain words of the </w:t>
      </w:r>
      <w:proofErr w:type="spellStart"/>
      <w:r w:rsidRPr="00CF4A1E">
        <w:rPr>
          <w:rFonts w:ascii="Times New Roman" w:hAnsi="Times New Roman"/>
        </w:rPr>
        <w:t>Cowirra</w:t>
      </w:r>
      <w:proofErr w:type="spellEnd"/>
      <w:r w:rsidRPr="00CF4A1E">
        <w:rPr>
          <w:rFonts w:ascii="Times New Roman" w:hAnsi="Times New Roman"/>
        </w:rPr>
        <w:t xml:space="preserve"> Regulations, that the </w:t>
      </w:r>
      <w:proofErr w:type="spellStart"/>
      <w:r w:rsidRPr="00CF4A1E">
        <w:rPr>
          <w:rFonts w:ascii="Times New Roman" w:hAnsi="Times New Roman"/>
        </w:rPr>
        <w:t>Cowirra</w:t>
      </w:r>
      <w:proofErr w:type="spellEnd"/>
      <w:r w:rsidRPr="00CF4A1E">
        <w:rPr>
          <w:rFonts w:ascii="Times New Roman" w:hAnsi="Times New Roman"/>
        </w:rPr>
        <w:t xml:space="preserve"> Regulations do declare the blocks comprising the </w:t>
      </w:r>
      <w:proofErr w:type="spellStart"/>
      <w:r w:rsidRPr="00CF4A1E">
        <w:rPr>
          <w:rFonts w:ascii="Times New Roman" w:hAnsi="Times New Roman"/>
        </w:rPr>
        <w:t>Cowirra</w:t>
      </w:r>
      <w:proofErr w:type="spellEnd"/>
      <w:r w:rsidRPr="00CF4A1E">
        <w:rPr>
          <w:rFonts w:ascii="Times New Roman" w:hAnsi="Times New Roman"/>
        </w:rPr>
        <w:t xml:space="preserve"> land to be prescribed places</w:t>
      </w:r>
      <w:r w:rsidRPr="00CF4A1E">
        <w:rPr>
          <w:rStyle w:val="FootnoteReference"/>
          <w:rFonts w:ascii="Times New Roman" w:hAnsi="Times New Roman"/>
          <w:sz w:val="24"/>
        </w:rPr>
        <w:footnoteReference w:id="39"/>
      </w:r>
      <w:r w:rsidRPr="00CF4A1E">
        <w:rPr>
          <w:rFonts w:ascii="Times New Roman" w:hAnsi="Times New Roman"/>
        </w:rPr>
        <w:t xml:space="preserve">. The apparent inefficacy of the </w:t>
      </w:r>
      <w:proofErr w:type="spellStart"/>
      <w:r w:rsidRPr="00CF4A1E">
        <w:rPr>
          <w:rFonts w:ascii="Times New Roman" w:hAnsi="Times New Roman"/>
        </w:rPr>
        <w:t>Cowirra</w:t>
      </w:r>
      <w:proofErr w:type="spellEnd"/>
      <w:r w:rsidRPr="00CF4A1E">
        <w:rPr>
          <w:rFonts w:ascii="Times New Roman" w:hAnsi="Times New Roman"/>
        </w:rPr>
        <w:t xml:space="preserve"> Regulations cannot be relied upon to support a conclusion that efficacy must be implied.</w:t>
      </w:r>
    </w:p>
    <w:p w14:paraId="5D3172FC"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As the </w:t>
      </w:r>
      <w:proofErr w:type="spellStart"/>
      <w:r w:rsidRPr="00CF4A1E">
        <w:rPr>
          <w:rFonts w:ascii="Times New Roman" w:hAnsi="Times New Roman"/>
        </w:rPr>
        <w:t>Cowirra</w:t>
      </w:r>
      <w:proofErr w:type="spellEnd"/>
      <w:r w:rsidRPr="00CF4A1E">
        <w:rPr>
          <w:rFonts w:ascii="Times New Roman" w:hAnsi="Times New Roman"/>
        </w:rPr>
        <w:t xml:space="preserve"> Regulations do not declare any place to be a prescribed place, and as the variation of the 2015 Regulations is ineffective for that purpose, </w:t>
      </w:r>
      <w:r w:rsidRPr="00CF4A1E">
        <w:rPr>
          <w:rFonts w:ascii="Times New Roman" w:hAnsi="Times New Roman"/>
        </w:rPr>
        <w:lastRenderedPageBreak/>
        <w:t>it follows that the Regulations are not contemplated by, or necessary or expedient for the purposes of, the 1935 Act and are not supported by the Governor's regulation</w:t>
      </w:r>
      <w:r w:rsidRPr="00CF4A1E">
        <w:rPr>
          <w:rFonts w:ascii="Times New Roman" w:hAnsi="Times New Roman"/>
        </w:rPr>
        <w:noBreakHyphen/>
        <w:t xml:space="preserve">making power. The Court of Appeal erred in finding to the </w:t>
      </w:r>
      <w:proofErr w:type="gramStart"/>
      <w:r w:rsidRPr="00CF4A1E">
        <w:rPr>
          <w:rFonts w:ascii="Times New Roman" w:hAnsi="Times New Roman"/>
        </w:rPr>
        <w:t>contrary, and</w:t>
      </w:r>
      <w:proofErr w:type="gramEnd"/>
      <w:r w:rsidRPr="00CF4A1E">
        <w:rPr>
          <w:rFonts w:ascii="Times New Roman" w:hAnsi="Times New Roman"/>
        </w:rPr>
        <w:t xml:space="preserve"> should have found that the </w:t>
      </w:r>
      <w:proofErr w:type="spellStart"/>
      <w:r w:rsidRPr="00CF4A1E">
        <w:rPr>
          <w:rFonts w:ascii="Times New Roman" w:hAnsi="Times New Roman"/>
        </w:rPr>
        <w:t>Cowirra</w:t>
      </w:r>
      <w:proofErr w:type="spellEnd"/>
      <w:r w:rsidRPr="00CF4A1E">
        <w:rPr>
          <w:rFonts w:ascii="Times New Roman" w:hAnsi="Times New Roman"/>
        </w:rPr>
        <w:t xml:space="preserve"> Regulations were invalid by reason of their lack of efficacy.</w:t>
      </w:r>
    </w:p>
    <w:p w14:paraId="4D151745" w14:textId="77777777" w:rsidR="00431CF6" w:rsidRPr="00CF4A1E" w:rsidRDefault="00431CF6" w:rsidP="00CF4A1E">
      <w:pPr>
        <w:pStyle w:val="HeadingL1"/>
        <w:spacing w:after="260" w:line="280" w:lineRule="exact"/>
        <w:ind w:right="0"/>
        <w:jc w:val="both"/>
        <w:rPr>
          <w:rFonts w:ascii="Times New Roman" w:hAnsi="Times New Roman"/>
        </w:rPr>
      </w:pPr>
      <w:r w:rsidRPr="00CF4A1E">
        <w:rPr>
          <w:rFonts w:ascii="Times New Roman" w:hAnsi="Times New Roman"/>
        </w:rPr>
        <w:t>Second ground: Procedural fairness</w:t>
      </w:r>
    </w:p>
    <w:p w14:paraId="3D2A9738" w14:textId="431CD718"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As the determination of the first ground of appeal is dispositive of the appeal, it is not strictly necessary to address the second ground</w:t>
      </w:r>
      <w:r w:rsidRPr="00CF4A1E" w:rsidDel="00C049D7">
        <w:rPr>
          <w:rFonts w:ascii="Times New Roman" w:hAnsi="Times New Roman"/>
        </w:rPr>
        <w:t xml:space="preserve">, </w:t>
      </w:r>
      <w:r w:rsidRPr="00CF4A1E">
        <w:rPr>
          <w:rFonts w:ascii="Times New Roman" w:hAnsi="Times New Roman"/>
        </w:rPr>
        <w:t xml:space="preserve">which contended that the declaration power is conditioned by a duty to afford procedural fairness to the appellants as owners and occupiers of the </w:t>
      </w:r>
      <w:proofErr w:type="spellStart"/>
      <w:r w:rsidRPr="00CF4A1E">
        <w:rPr>
          <w:rFonts w:ascii="Times New Roman" w:hAnsi="Times New Roman"/>
        </w:rPr>
        <w:t>Cowirra</w:t>
      </w:r>
      <w:proofErr w:type="spellEnd"/>
      <w:r w:rsidRPr="00CF4A1E">
        <w:rPr>
          <w:rFonts w:ascii="Times New Roman" w:hAnsi="Times New Roman"/>
        </w:rPr>
        <w:t xml:space="preserve"> land. However, it is appropriate to do so in the light of South Australia's </w:t>
      </w:r>
      <w:r w:rsidRPr="00CF4A1E" w:rsidDel="00964637">
        <w:rPr>
          <w:rFonts w:ascii="Times New Roman" w:hAnsi="Times New Roman"/>
        </w:rPr>
        <w:t>stated intention</w:t>
      </w:r>
      <w:r w:rsidRPr="00CF4A1E">
        <w:rPr>
          <w:rFonts w:ascii="Times New Roman" w:hAnsi="Times New Roman"/>
        </w:rPr>
        <w:t xml:space="preserve"> to seek to remake the declarations without affording procedural fairness to the appellants if the first ground of appeal is successful. </w:t>
      </w:r>
    </w:p>
    <w:p w14:paraId="25F8216D" w14:textId="77777777" w:rsidR="00431CF6" w:rsidRPr="00CF4A1E" w:rsidRDefault="00431CF6" w:rsidP="00CF4A1E">
      <w:pPr>
        <w:pStyle w:val="HeadingL2"/>
        <w:spacing w:after="260" w:line="280" w:lineRule="exact"/>
        <w:ind w:right="0"/>
        <w:jc w:val="both"/>
        <w:rPr>
          <w:rFonts w:ascii="Times New Roman" w:hAnsi="Times New Roman"/>
        </w:rPr>
      </w:pPr>
      <w:r w:rsidRPr="00CF4A1E">
        <w:rPr>
          <w:rFonts w:ascii="Times New Roman" w:hAnsi="Times New Roman"/>
        </w:rPr>
        <w:t xml:space="preserve">Appellants' rights and interests in the </w:t>
      </w:r>
      <w:proofErr w:type="spellStart"/>
      <w:r w:rsidRPr="00CF4A1E">
        <w:rPr>
          <w:rFonts w:ascii="Times New Roman" w:hAnsi="Times New Roman"/>
        </w:rPr>
        <w:t>Cowirra</w:t>
      </w:r>
      <w:proofErr w:type="spellEnd"/>
      <w:r w:rsidRPr="00CF4A1E">
        <w:rPr>
          <w:rFonts w:ascii="Times New Roman" w:hAnsi="Times New Roman"/>
        </w:rPr>
        <w:t xml:space="preserve"> land</w:t>
      </w:r>
    </w:p>
    <w:p w14:paraId="3B272385" w14:textId="44748085"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As owners and occupiers, the appellants have property rights in the </w:t>
      </w:r>
      <w:proofErr w:type="spellStart"/>
      <w:r w:rsidRPr="00CF4A1E">
        <w:rPr>
          <w:rFonts w:ascii="Times New Roman" w:hAnsi="Times New Roman"/>
        </w:rPr>
        <w:t>Cowirra</w:t>
      </w:r>
      <w:proofErr w:type="spellEnd"/>
      <w:r w:rsidRPr="00CF4A1E">
        <w:rPr>
          <w:rFonts w:ascii="Times New Roman" w:hAnsi="Times New Roman"/>
        </w:rPr>
        <w:t xml:space="preserve"> land. Mr Stacy and Mr Taylor seek access to the </w:t>
      </w:r>
      <w:proofErr w:type="spellStart"/>
      <w:r w:rsidRPr="00CF4A1E">
        <w:rPr>
          <w:rFonts w:ascii="Times New Roman" w:hAnsi="Times New Roman"/>
        </w:rPr>
        <w:t>Cowirra</w:t>
      </w:r>
      <w:proofErr w:type="spellEnd"/>
      <w:r w:rsidRPr="00CF4A1E">
        <w:rPr>
          <w:rFonts w:ascii="Times New Roman" w:hAnsi="Times New Roman"/>
        </w:rPr>
        <w:t xml:space="preserve"> land </w:t>
      </w:r>
      <w:proofErr w:type="gramStart"/>
      <w:r w:rsidRPr="00CF4A1E">
        <w:rPr>
          <w:rFonts w:ascii="Times New Roman" w:hAnsi="Times New Roman"/>
        </w:rPr>
        <w:t>in order to</w:t>
      </w:r>
      <w:proofErr w:type="gramEnd"/>
      <w:r w:rsidRPr="00CF4A1E">
        <w:rPr>
          <w:rFonts w:ascii="Times New Roman" w:hAnsi="Times New Roman"/>
        </w:rPr>
        <w:t xml:space="preserve"> exercise their rights as occupiers including, from time to time, to reside on the land. Disorganized Developments also has interests in accessing the </w:t>
      </w:r>
      <w:proofErr w:type="spellStart"/>
      <w:r w:rsidRPr="00CF4A1E">
        <w:rPr>
          <w:rFonts w:ascii="Times New Roman" w:hAnsi="Times New Roman"/>
        </w:rPr>
        <w:t>Cowirra</w:t>
      </w:r>
      <w:proofErr w:type="spellEnd"/>
      <w:r w:rsidRPr="00CF4A1E">
        <w:rPr>
          <w:rFonts w:ascii="Times New Roman" w:hAnsi="Times New Roman"/>
        </w:rPr>
        <w:t xml:space="preserve"> land through its directors </w:t>
      </w:r>
      <w:proofErr w:type="gramStart"/>
      <w:r w:rsidRPr="00CF4A1E">
        <w:rPr>
          <w:rFonts w:ascii="Times New Roman" w:hAnsi="Times New Roman"/>
        </w:rPr>
        <w:t>in order to</w:t>
      </w:r>
      <w:proofErr w:type="gramEnd"/>
      <w:r w:rsidRPr="00CF4A1E">
        <w:rPr>
          <w:rFonts w:ascii="Times New Roman" w:hAnsi="Times New Roman"/>
        </w:rPr>
        <w:t xml:space="preserve"> maintain it and otherwise to discharge its obligations as owner of the land. The obligations include statutory obligations under various South Australian statutes and regulations</w:t>
      </w:r>
      <w:r w:rsidRPr="00CF4A1E">
        <w:rPr>
          <w:rStyle w:val="FootnoteReference"/>
          <w:rFonts w:ascii="Times New Roman" w:hAnsi="Times New Roman"/>
          <w:sz w:val="24"/>
        </w:rPr>
        <w:footnoteReference w:id="40"/>
      </w:r>
      <w:r w:rsidRPr="00CF4A1E">
        <w:rPr>
          <w:rFonts w:ascii="Times New Roman" w:hAnsi="Times New Roman"/>
        </w:rPr>
        <w:t xml:space="preserve"> and common law duties to protect invitees and trespassers from harm or injury arising from conditions on the land</w:t>
      </w:r>
      <w:r w:rsidRPr="00CF4A1E">
        <w:rPr>
          <w:rStyle w:val="FootnoteReference"/>
          <w:rFonts w:ascii="Times New Roman" w:hAnsi="Times New Roman"/>
          <w:sz w:val="24"/>
        </w:rPr>
        <w:footnoteReference w:id="41"/>
      </w:r>
      <w:r w:rsidRPr="00CF4A1E">
        <w:rPr>
          <w:rFonts w:ascii="Times New Roman" w:hAnsi="Times New Roman"/>
        </w:rPr>
        <w:t xml:space="preserve">. </w:t>
      </w:r>
    </w:p>
    <w:p w14:paraId="678A85BF"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Decisions made in the exercise of statutory powers that affect the rights of individuals with respect to property are a category of cases that has a long history of attracting a duty of procedural fairness as a matter of "fundamental justice"</w:t>
      </w:r>
      <w:r w:rsidRPr="00CF4A1E">
        <w:rPr>
          <w:rStyle w:val="FootnoteReference"/>
          <w:rFonts w:ascii="Times New Roman" w:hAnsi="Times New Roman"/>
          <w:sz w:val="24"/>
        </w:rPr>
        <w:footnoteReference w:id="42"/>
      </w:r>
      <w:r w:rsidRPr="00CF4A1E">
        <w:rPr>
          <w:rFonts w:ascii="Times New Roman" w:hAnsi="Times New Roman"/>
        </w:rPr>
        <w:t xml:space="preserve">, </w:t>
      </w:r>
      <w:r w:rsidRPr="00CF4A1E">
        <w:rPr>
          <w:rFonts w:ascii="Times New Roman" w:hAnsi="Times New Roman"/>
        </w:rPr>
        <w:lastRenderedPageBreak/>
        <w:t>"long-established doctrine"</w:t>
      </w:r>
      <w:r w:rsidRPr="00CF4A1E">
        <w:rPr>
          <w:rStyle w:val="FootnoteReference"/>
          <w:rFonts w:ascii="Times New Roman" w:hAnsi="Times New Roman"/>
          <w:sz w:val="24"/>
        </w:rPr>
        <w:footnoteReference w:id="43"/>
      </w:r>
      <w:r w:rsidRPr="00CF4A1E">
        <w:rPr>
          <w:rFonts w:ascii="Times New Roman" w:hAnsi="Times New Roman"/>
        </w:rPr>
        <w:t xml:space="preserve"> and a "deep-rooted principle of the law"</w:t>
      </w:r>
      <w:r w:rsidRPr="00CF4A1E">
        <w:rPr>
          <w:rStyle w:val="FootnoteReference"/>
          <w:rFonts w:ascii="Times New Roman" w:hAnsi="Times New Roman"/>
          <w:sz w:val="24"/>
        </w:rPr>
        <w:footnoteReference w:id="44"/>
      </w:r>
      <w:r w:rsidRPr="00CF4A1E">
        <w:rPr>
          <w:rFonts w:ascii="Times New Roman" w:hAnsi="Times New Roman"/>
        </w:rPr>
        <w:t>, subject to displacement by Parliament through express words or necessary implication in the relevant statute</w:t>
      </w:r>
      <w:r w:rsidRPr="00CF4A1E">
        <w:rPr>
          <w:rStyle w:val="FootnoteReference"/>
          <w:rFonts w:ascii="Times New Roman" w:hAnsi="Times New Roman"/>
          <w:sz w:val="24"/>
        </w:rPr>
        <w:footnoteReference w:id="45"/>
      </w:r>
      <w:r w:rsidRPr="00CF4A1E">
        <w:rPr>
          <w:rFonts w:ascii="Times New Roman" w:hAnsi="Times New Roman"/>
        </w:rPr>
        <w:t>. Even so, the Court of Appeal found that the declaration power was not conditioned by a duty of procedural fairness.</w:t>
      </w:r>
    </w:p>
    <w:p w14:paraId="4839E7D2" w14:textId="77777777" w:rsidR="00431CF6" w:rsidRPr="00CF4A1E" w:rsidRDefault="00431CF6" w:rsidP="00CF4A1E">
      <w:pPr>
        <w:pStyle w:val="HeadingL2"/>
        <w:spacing w:after="260" w:line="280" w:lineRule="exact"/>
        <w:ind w:right="0"/>
        <w:jc w:val="both"/>
        <w:rPr>
          <w:rFonts w:ascii="Times New Roman" w:hAnsi="Times New Roman"/>
        </w:rPr>
      </w:pPr>
      <w:r w:rsidRPr="00CF4A1E">
        <w:rPr>
          <w:rFonts w:ascii="Times New Roman" w:hAnsi="Times New Roman"/>
        </w:rPr>
        <w:t>Court of Appeal's reasons</w:t>
      </w:r>
    </w:p>
    <w:p w14:paraId="707F51A8" w14:textId="5E0A341C"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In the Court of Appeal, the appellants contended that they were owed procedural fairness as owners and occupiers and as members of the Hells Angels motorcycle club as the criminal organisation associated with the </w:t>
      </w:r>
      <w:proofErr w:type="spellStart"/>
      <w:r w:rsidRPr="00CF4A1E">
        <w:rPr>
          <w:rFonts w:ascii="Times New Roman" w:hAnsi="Times New Roman"/>
        </w:rPr>
        <w:t>Cowirra</w:t>
      </w:r>
      <w:proofErr w:type="spellEnd"/>
      <w:r w:rsidRPr="00CF4A1E">
        <w:rPr>
          <w:rFonts w:ascii="Times New Roman" w:hAnsi="Times New Roman"/>
        </w:rPr>
        <w:t xml:space="preserve"> land. In this Court, the appellants relied only on their rights and interests as owners and occupiers. </w:t>
      </w:r>
    </w:p>
    <w:p w14:paraId="5F6C8939" w14:textId="487E073D"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The Court of Appeal acknowledged that the effect of declaring land to be a prescribed place may be to interfere severely with rights and obligations of ownership and occupation</w:t>
      </w:r>
      <w:r w:rsidRPr="00CF4A1E">
        <w:rPr>
          <w:rStyle w:val="FootnoteReference"/>
          <w:rFonts w:ascii="Times New Roman" w:hAnsi="Times New Roman"/>
          <w:sz w:val="24"/>
        </w:rPr>
        <w:footnoteReference w:id="46"/>
      </w:r>
      <w:r w:rsidRPr="00CF4A1E">
        <w:rPr>
          <w:rFonts w:ascii="Times New Roman" w:hAnsi="Times New Roman"/>
        </w:rPr>
        <w:t xml:space="preserve">, and accepted that the appellants' rights were directly affected in a manner sufficient to give them standing to challenge the </w:t>
      </w:r>
      <w:proofErr w:type="spellStart"/>
      <w:r w:rsidRPr="00CF4A1E">
        <w:rPr>
          <w:rFonts w:ascii="Times New Roman" w:hAnsi="Times New Roman"/>
        </w:rPr>
        <w:t>Cowirra</w:t>
      </w:r>
      <w:proofErr w:type="spellEnd"/>
      <w:r w:rsidRPr="00CF4A1E">
        <w:rPr>
          <w:rFonts w:ascii="Times New Roman" w:hAnsi="Times New Roman"/>
        </w:rPr>
        <w:t xml:space="preserve"> Regulations, but did not consider that this was determinative of the question whether procedural fairness was required</w:t>
      </w:r>
      <w:r w:rsidRPr="00CF4A1E">
        <w:rPr>
          <w:rStyle w:val="FootnoteReference"/>
          <w:rFonts w:ascii="Times New Roman" w:hAnsi="Times New Roman"/>
          <w:sz w:val="24"/>
        </w:rPr>
        <w:footnoteReference w:id="47"/>
      </w:r>
      <w:r w:rsidRPr="00CF4A1E">
        <w:rPr>
          <w:rFonts w:ascii="Times New Roman" w:hAnsi="Times New Roman"/>
        </w:rPr>
        <w:t xml:space="preserve">. </w:t>
      </w:r>
    </w:p>
    <w:p w14:paraId="61D93ED3"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The Court of Appeal concluded that the legislature did not intend that there should be an obligation to afford procedural fairness to an owner or occupier of land, whether or not the owner or occupier is</w:t>
      </w:r>
      <w:r w:rsidRPr="00CF4A1E" w:rsidDel="00E03D15">
        <w:rPr>
          <w:rFonts w:ascii="Times New Roman" w:hAnsi="Times New Roman"/>
        </w:rPr>
        <w:t xml:space="preserve"> </w:t>
      </w:r>
      <w:r w:rsidRPr="00CF4A1E">
        <w:rPr>
          <w:rFonts w:ascii="Times New Roman" w:hAnsi="Times New Roman"/>
        </w:rPr>
        <w:t xml:space="preserve">a participant in a criminal organisation, having regard to: (1) the "general and preventative policy [of </w:t>
      </w:r>
      <w:proofErr w:type="spellStart"/>
      <w:r w:rsidRPr="00CF4A1E">
        <w:rPr>
          <w:rFonts w:ascii="Times New Roman" w:hAnsi="Times New Roman"/>
        </w:rPr>
        <w:t>Div</w:t>
      </w:r>
      <w:proofErr w:type="spellEnd"/>
      <w:r w:rsidRPr="00CF4A1E">
        <w:rPr>
          <w:rFonts w:ascii="Times New Roman" w:hAnsi="Times New Roman"/>
        </w:rPr>
        <w:t> 2] of disruption of an apprehended sphere of criminal activity"</w:t>
      </w:r>
      <w:r w:rsidRPr="00CF4A1E">
        <w:rPr>
          <w:rStyle w:val="FootnoteReference"/>
          <w:rFonts w:ascii="Times New Roman" w:hAnsi="Times New Roman"/>
          <w:sz w:val="24"/>
        </w:rPr>
        <w:footnoteReference w:id="48"/>
      </w:r>
      <w:r w:rsidRPr="00CF4A1E">
        <w:rPr>
          <w:rFonts w:ascii="Times New Roman" w:hAnsi="Times New Roman"/>
        </w:rPr>
        <w:t xml:space="preserve">, which the Court considered may be undermined by a duty of procedural fairness; (2) the incidental nature of the interests of owners and occupiers to the prohibition in s 83GD(1), and the lack of any necessary correspondence between these interests and interests of </w:t>
      </w:r>
      <w:r w:rsidRPr="00CF4A1E">
        <w:rPr>
          <w:rFonts w:ascii="Times New Roman" w:hAnsi="Times New Roman"/>
        </w:rPr>
        <w:lastRenderedPageBreak/>
        <w:t>persons to whom the prohibition is directed</w:t>
      </w:r>
      <w:r w:rsidRPr="00CF4A1E">
        <w:rPr>
          <w:rStyle w:val="FootnoteReference"/>
          <w:rFonts w:ascii="Times New Roman" w:hAnsi="Times New Roman"/>
          <w:sz w:val="24"/>
        </w:rPr>
        <w:footnoteReference w:id="49"/>
      </w:r>
      <w:r w:rsidRPr="00CF4A1E">
        <w:rPr>
          <w:rFonts w:ascii="Times New Roman" w:hAnsi="Times New Roman"/>
        </w:rPr>
        <w:t>; (3) the indeterminacy of the class of persons who are the subject of s 83GD(1), that is, participants in a criminal organisation</w:t>
      </w:r>
      <w:r w:rsidRPr="00CF4A1E">
        <w:rPr>
          <w:rStyle w:val="FootnoteReference"/>
          <w:rFonts w:ascii="Times New Roman" w:hAnsi="Times New Roman"/>
          <w:sz w:val="24"/>
        </w:rPr>
        <w:footnoteReference w:id="50"/>
      </w:r>
      <w:r w:rsidRPr="00CF4A1E">
        <w:rPr>
          <w:rFonts w:ascii="Times New Roman" w:hAnsi="Times New Roman"/>
        </w:rPr>
        <w:t>; and (4) Parliament's initial determination by the 2015 Regulations to declare 16 places as prescribed places, in an exercise of "unequivocally legislative power that did not require procedural fairness"</w:t>
      </w:r>
      <w:r w:rsidRPr="00CF4A1E">
        <w:rPr>
          <w:rStyle w:val="FootnoteReference"/>
          <w:rFonts w:ascii="Times New Roman" w:hAnsi="Times New Roman"/>
          <w:sz w:val="24"/>
        </w:rPr>
        <w:footnoteReference w:id="51"/>
      </w:r>
      <w:r w:rsidRPr="00CF4A1E">
        <w:rPr>
          <w:rFonts w:ascii="Times New Roman" w:hAnsi="Times New Roman"/>
        </w:rPr>
        <w:t xml:space="preserve"> to any person, such that it could not be inferred to have intended a differential obligation to owners and occupiers of places in the exercise of delegated legislative power to make further declarations</w:t>
      </w:r>
      <w:r w:rsidRPr="00CF4A1E">
        <w:rPr>
          <w:rStyle w:val="FootnoteReference"/>
          <w:rFonts w:ascii="Times New Roman" w:hAnsi="Times New Roman"/>
          <w:sz w:val="24"/>
        </w:rPr>
        <w:footnoteReference w:id="52"/>
      </w:r>
      <w:r w:rsidRPr="00CF4A1E">
        <w:rPr>
          <w:rFonts w:ascii="Times New Roman" w:hAnsi="Times New Roman"/>
        </w:rPr>
        <w:t>.</w:t>
      </w:r>
    </w:p>
    <w:p w14:paraId="664C0CCD" w14:textId="77777777" w:rsidR="00431CF6" w:rsidRPr="00CF4A1E" w:rsidRDefault="00431CF6" w:rsidP="00CF4A1E">
      <w:pPr>
        <w:pStyle w:val="HeadingL2"/>
        <w:spacing w:after="260" w:line="280" w:lineRule="exact"/>
        <w:ind w:right="0"/>
        <w:jc w:val="both"/>
        <w:rPr>
          <w:rFonts w:ascii="Times New Roman" w:hAnsi="Times New Roman"/>
        </w:rPr>
      </w:pPr>
      <w:r w:rsidRPr="00CF4A1E">
        <w:rPr>
          <w:rFonts w:ascii="Times New Roman" w:hAnsi="Times New Roman"/>
        </w:rPr>
        <w:t>Procedural fairness applies</w:t>
      </w:r>
    </w:p>
    <w:p w14:paraId="0E9400BF"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The existence of a duty to afford procedural fairness is a question of statutory interpretation</w:t>
      </w:r>
      <w:r w:rsidRPr="00CF4A1E">
        <w:rPr>
          <w:rStyle w:val="FootnoteReference"/>
          <w:rFonts w:ascii="Times New Roman" w:hAnsi="Times New Roman"/>
          <w:sz w:val="24"/>
        </w:rPr>
        <w:footnoteReference w:id="53"/>
      </w:r>
      <w:r w:rsidRPr="00CF4A1E">
        <w:rPr>
          <w:rFonts w:ascii="Times New Roman" w:hAnsi="Times New Roman"/>
        </w:rPr>
        <w:t xml:space="preserve">. In </w:t>
      </w:r>
      <w:r w:rsidRPr="00CF4A1E">
        <w:rPr>
          <w:rFonts w:ascii="Times New Roman" w:hAnsi="Times New Roman"/>
          <w:i/>
          <w:iCs/>
        </w:rPr>
        <w:t>Twist v Randwick Municipal Council</w:t>
      </w:r>
      <w:r w:rsidRPr="00CF4A1E">
        <w:rPr>
          <w:rFonts w:ascii="Times New Roman" w:hAnsi="Times New Roman"/>
        </w:rPr>
        <w:t>,</w:t>
      </w:r>
      <w:r w:rsidRPr="00CF4A1E">
        <w:rPr>
          <w:rFonts w:ascii="Times New Roman" w:hAnsi="Times New Roman"/>
          <w:i/>
          <w:iCs/>
        </w:rPr>
        <w:t xml:space="preserve"> </w:t>
      </w:r>
      <w:r w:rsidRPr="00CF4A1E">
        <w:rPr>
          <w:rFonts w:ascii="Times New Roman" w:hAnsi="Times New Roman"/>
        </w:rPr>
        <w:t>Barwick CJ described the common law rule that a statutory authority having power to affect the rights of a person is bound to hear her or him before exercising the power as "both fundamental and universal", although subject to legislative displacement</w:t>
      </w:r>
      <w:r w:rsidRPr="00CF4A1E">
        <w:rPr>
          <w:rStyle w:val="FootnoteReference"/>
          <w:rFonts w:ascii="Times New Roman" w:hAnsi="Times New Roman"/>
          <w:sz w:val="24"/>
        </w:rPr>
        <w:footnoteReference w:id="54"/>
      </w:r>
      <w:r w:rsidRPr="00CF4A1E">
        <w:rPr>
          <w:rFonts w:ascii="Times New Roman" w:hAnsi="Times New Roman"/>
        </w:rPr>
        <w:t>. Barwick CJ explained that, if it appears that the legislature "has not addressed itself" to the question of natural justice, the court will approach the task of statutory interpretation "with a presumption that the legislature does not intend to deny natural justice to the citizen", and "may presume that the legislature has left it to the courts to prescribe and enforce the appropriate procedure to ensure natural justice"</w:t>
      </w:r>
      <w:r w:rsidRPr="00CF4A1E">
        <w:rPr>
          <w:rStyle w:val="FootnoteReference"/>
          <w:rFonts w:ascii="Times New Roman" w:hAnsi="Times New Roman"/>
          <w:sz w:val="24"/>
        </w:rPr>
        <w:footnoteReference w:id="55"/>
      </w:r>
      <w:r w:rsidRPr="00CF4A1E">
        <w:rPr>
          <w:rFonts w:ascii="Times New Roman" w:hAnsi="Times New Roman"/>
        </w:rPr>
        <w:t>.</w:t>
      </w:r>
    </w:p>
    <w:p w14:paraId="5EED64EB"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lastRenderedPageBreak/>
        <w:tab/>
        <w:t xml:space="preserve">Since </w:t>
      </w:r>
      <w:r w:rsidRPr="00CF4A1E">
        <w:rPr>
          <w:rFonts w:ascii="Times New Roman" w:hAnsi="Times New Roman"/>
          <w:i/>
          <w:iCs/>
        </w:rPr>
        <w:t>Twist</w:t>
      </w:r>
      <w:r w:rsidRPr="00CF4A1E">
        <w:rPr>
          <w:rFonts w:ascii="Times New Roman" w:hAnsi="Times New Roman"/>
        </w:rPr>
        <w:t>,</w:t>
      </w:r>
      <w:r w:rsidRPr="00CF4A1E">
        <w:rPr>
          <w:rFonts w:ascii="Times New Roman" w:hAnsi="Times New Roman"/>
          <w:i/>
          <w:iCs/>
        </w:rPr>
        <w:t xml:space="preserve"> </w:t>
      </w:r>
      <w:r w:rsidRPr="00CF4A1E">
        <w:rPr>
          <w:rFonts w:ascii="Times New Roman" w:hAnsi="Times New Roman"/>
        </w:rPr>
        <w:t>the law has evolved to include an established and "strong"</w:t>
      </w:r>
      <w:r w:rsidRPr="00CF4A1E">
        <w:rPr>
          <w:rStyle w:val="FootnoteReference"/>
          <w:rFonts w:ascii="Times New Roman" w:hAnsi="Times New Roman"/>
          <w:sz w:val="24"/>
        </w:rPr>
        <w:footnoteReference w:id="56"/>
      </w:r>
      <w:r w:rsidRPr="00CF4A1E">
        <w:rPr>
          <w:rFonts w:ascii="Times New Roman" w:hAnsi="Times New Roman"/>
        </w:rPr>
        <w:t xml:space="preserve"> common law presumption, generally applicable to any statutory power the exercise of which </w:t>
      </w:r>
      <w:proofErr w:type="gramStart"/>
      <w:r w:rsidRPr="00CF4A1E">
        <w:rPr>
          <w:rFonts w:ascii="Times New Roman" w:hAnsi="Times New Roman"/>
        </w:rPr>
        <w:t>is capable of having</w:t>
      </w:r>
      <w:proofErr w:type="gramEnd"/>
      <w:r w:rsidRPr="00CF4A1E">
        <w:rPr>
          <w:rFonts w:ascii="Times New Roman" w:hAnsi="Times New Roman"/>
        </w:rPr>
        <w:t xml:space="preserve"> an adverse effect on legally recognised rights or interests, that the exercise of the power is impliedly conditioned on the observance of procedural fairness</w:t>
      </w:r>
      <w:r w:rsidRPr="00CF4A1E">
        <w:rPr>
          <w:rStyle w:val="FootnoteReference"/>
          <w:rFonts w:ascii="Times New Roman" w:hAnsi="Times New Roman"/>
          <w:sz w:val="24"/>
        </w:rPr>
        <w:footnoteReference w:id="57"/>
      </w:r>
      <w:r w:rsidRPr="00CF4A1E">
        <w:rPr>
          <w:rFonts w:ascii="Times New Roman" w:hAnsi="Times New Roman"/>
        </w:rPr>
        <w:t>. Consistent with the historical scope of the duty of procedural fairness, the core operation of the presumption requires the provision of procedural fairness where the relevant power directly affects the rights or interests of a particular individual. In such a case, the presumption operates "unless clearly displaced by the particular statutory scheme"</w:t>
      </w:r>
      <w:r w:rsidRPr="00CF4A1E">
        <w:rPr>
          <w:rStyle w:val="FootnoteReference"/>
          <w:rFonts w:ascii="Times New Roman" w:hAnsi="Times New Roman"/>
          <w:sz w:val="24"/>
        </w:rPr>
        <w:footnoteReference w:id="58"/>
      </w:r>
      <w:r w:rsidRPr="00CF4A1E">
        <w:rPr>
          <w:rFonts w:ascii="Times New Roman" w:hAnsi="Times New Roman"/>
        </w:rPr>
        <w:t>.</w:t>
      </w:r>
    </w:p>
    <w:p w14:paraId="54457ACA"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Notwithstanding the breadth of the stated presumption, there remain statutory powers that are not conditioned upon a duty to give procedural fairness. </w:t>
      </w:r>
      <w:proofErr w:type="gramStart"/>
      <w:r w:rsidRPr="00CF4A1E">
        <w:rPr>
          <w:rFonts w:ascii="Times New Roman" w:hAnsi="Times New Roman"/>
        </w:rPr>
        <w:t>In particular, powers</w:t>
      </w:r>
      <w:proofErr w:type="gramEnd"/>
      <w:r w:rsidRPr="00CF4A1E">
        <w:rPr>
          <w:rFonts w:ascii="Times New Roman" w:hAnsi="Times New Roman"/>
        </w:rPr>
        <w:t xml:space="preserve"> that affect individuals in an undifferentiated way from the general public may not attract an obligation of procedural fairness. Thus, in </w:t>
      </w:r>
      <w:proofErr w:type="spellStart"/>
      <w:r w:rsidRPr="00CF4A1E">
        <w:rPr>
          <w:rFonts w:ascii="Times New Roman" w:hAnsi="Times New Roman"/>
          <w:i/>
        </w:rPr>
        <w:t>Kioa</w:t>
      </w:r>
      <w:proofErr w:type="spellEnd"/>
      <w:r w:rsidRPr="00CF4A1E">
        <w:rPr>
          <w:rFonts w:ascii="Times New Roman" w:hAnsi="Times New Roman"/>
          <w:i/>
        </w:rPr>
        <w:t xml:space="preserve"> v West</w:t>
      </w:r>
      <w:r w:rsidRPr="00CF4A1E">
        <w:rPr>
          <w:rFonts w:ascii="Times New Roman" w:hAnsi="Times New Roman"/>
        </w:rPr>
        <w:t xml:space="preserve">, members of this Court emphasised the need for people to be affected </w:t>
      </w:r>
      <w:r w:rsidRPr="00CF4A1E">
        <w:rPr>
          <w:rFonts w:ascii="Times New Roman" w:hAnsi="Times New Roman"/>
          <w:i/>
          <w:iCs/>
        </w:rPr>
        <w:t>as individuals</w:t>
      </w:r>
      <w:r w:rsidRPr="00CF4A1E">
        <w:rPr>
          <w:rFonts w:ascii="Times New Roman" w:hAnsi="Times New Roman"/>
        </w:rPr>
        <w:t xml:space="preserve"> for procedural fairness to apply where a decision affects many people</w:t>
      </w:r>
      <w:r w:rsidRPr="00CF4A1E">
        <w:rPr>
          <w:rStyle w:val="FootnoteReference"/>
          <w:rFonts w:ascii="Times New Roman" w:hAnsi="Times New Roman"/>
          <w:sz w:val="24"/>
        </w:rPr>
        <w:footnoteReference w:id="59"/>
      </w:r>
      <w:r w:rsidRPr="00CF4A1E">
        <w:rPr>
          <w:rFonts w:ascii="Times New Roman" w:hAnsi="Times New Roman"/>
        </w:rPr>
        <w:t>. Mason J adopted a distinction between a decision which directly affects the person individually and one which simply affects her or him as a member of the public or of a class of the public</w:t>
      </w:r>
      <w:r w:rsidRPr="00CF4A1E">
        <w:rPr>
          <w:rStyle w:val="FootnoteReference"/>
          <w:rFonts w:ascii="Times New Roman" w:hAnsi="Times New Roman"/>
          <w:sz w:val="24"/>
        </w:rPr>
        <w:footnoteReference w:id="60"/>
      </w:r>
      <w:r w:rsidRPr="00CF4A1E">
        <w:rPr>
          <w:rFonts w:ascii="Times New Roman" w:hAnsi="Times New Roman"/>
        </w:rPr>
        <w:t xml:space="preserve">. Brennan J considered that (subject to displacement by the text of the statute, the nature of the power and the administrative framework created by the statute) the presumption "applies to any statutory power the exercise of which is apt to affect the interests of an individual alone or apt to affect his </w:t>
      </w:r>
      <w:r w:rsidRPr="00CF4A1E">
        <w:rPr>
          <w:rFonts w:ascii="Times New Roman" w:hAnsi="Times New Roman"/>
        </w:rPr>
        <w:lastRenderedPageBreak/>
        <w:t>interests in a manner which is substantially different from the manner in which its exercise is apt to affect the interests of the public"</w:t>
      </w:r>
      <w:r w:rsidRPr="00CF4A1E">
        <w:rPr>
          <w:rStyle w:val="FootnoteReference"/>
          <w:rFonts w:ascii="Times New Roman" w:hAnsi="Times New Roman"/>
          <w:sz w:val="24"/>
        </w:rPr>
        <w:footnoteReference w:id="61"/>
      </w:r>
      <w:r w:rsidRPr="00CF4A1E">
        <w:rPr>
          <w:rFonts w:ascii="Times New Roman" w:hAnsi="Times New Roman"/>
        </w:rPr>
        <w:t xml:space="preserve">. Deane J referred to a direct effect on, relevantly, rights and interests of a person in her or his individual capacity, as distinct from a member of the </w:t>
      </w:r>
      <w:proofErr w:type="gramStart"/>
      <w:r w:rsidRPr="00CF4A1E">
        <w:rPr>
          <w:rFonts w:ascii="Times New Roman" w:hAnsi="Times New Roman"/>
        </w:rPr>
        <w:t>general public</w:t>
      </w:r>
      <w:proofErr w:type="gramEnd"/>
      <w:r w:rsidRPr="00CF4A1E">
        <w:rPr>
          <w:rFonts w:ascii="Times New Roman" w:hAnsi="Times New Roman"/>
        </w:rPr>
        <w:t xml:space="preserve"> or of a class of the general public</w:t>
      </w:r>
      <w:r w:rsidRPr="00CF4A1E">
        <w:rPr>
          <w:rStyle w:val="FootnoteReference"/>
          <w:rFonts w:ascii="Times New Roman" w:hAnsi="Times New Roman"/>
          <w:sz w:val="24"/>
        </w:rPr>
        <w:footnoteReference w:id="62"/>
      </w:r>
      <w:r w:rsidRPr="00CF4A1E">
        <w:rPr>
          <w:rFonts w:ascii="Times New Roman" w:hAnsi="Times New Roman"/>
        </w:rPr>
        <w:t>.</w:t>
      </w:r>
    </w:p>
    <w:p w14:paraId="0884750C" w14:textId="65697055"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This is not a case that requires consideration of the scope of procedural fairness in relation to a power liable adversely to affect a large group of persons</w:t>
      </w:r>
      <w:r w:rsidRPr="00CF4A1E">
        <w:rPr>
          <w:rStyle w:val="FootnoteReference"/>
          <w:rFonts w:ascii="Times New Roman" w:hAnsi="Times New Roman"/>
          <w:sz w:val="24"/>
        </w:rPr>
        <w:footnoteReference w:id="63"/>
      </w:r>
      <w:r w:rsidRPr="00CF4A1E">
        <w:rPr>
          <w:rFonts w:ascii="Times New Roman" w:hAnsi="Times New Roman"/>
        </w:rPr>
        <w:t xml:space="preserve">. In this Court, the appellants' case was based squarely upon their individual property rights and interests that would be directly affected by a valid declaration of the blocks comprising the </w:t>
      </w:r>
      <w:proofErr w:type="spellStart"/>
      <w:r w:rsidRPr="00CF4A1E">
        <w:rPr>
          <w:rFonts w:ascii="Times New Roman" w:hAnsi="Times New Roman"/>
        </w:rPr>
        <w:t>Cowirra</w:t>
      </w:r>
      <w:proofErr w:type="spellEnd"/>
      <w:r w:rsidRPr="00CF4A1E">
        <w:rPr>
          <w:rFonts w:ascii="Times New Roman" w:hAnsi="Times New Roman"/>
        </w:rPr>
        <w:t xml:space="preserve"> land as prescribed places. Declarations of land as prescribed places affect owners and occupiers of the land to a significant degree, and in a manner markedly different from other persons who might be adversely affected by such a declaration, in the sense envisaged in </w:t>
      </w:r>
      <w:proofErr w:type="spellStart"/>
      <w:r w:rsidRPr="00CF4A1E">
        <w:rPr>
          <w:rFonts w:ascii="Times New Roman" w:hAnsi="Times New Roman"/>
          <w:i/>
          <w:iCs/>
        </w:rPr>
        <w:t>Kioa</w:t>
      </w:r>
      <w:proofErr w:type="spellEnd"/>
      <w:r w:rsidRPr="00CF4A1E">
        <w:rPr>
          <w:rFonts w:ascii="Times New Roman" w:hAnsi="Times New Roman"/>
        </w:rPr>
        <w:t xml:space="preserve">. The possible interests of a broader class of participants in criminal organisations do not detract from the application of the presumption in this case. </w:t>
      </w:r>
    </w:p>
    <w:p w14:paraId="5C8B02C8" w14:textId="0AD130D1"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South Australia argued that several features of the 1935 Act supported a conclusion that the declaration power is not conditioned by a duty to afford procedural fairness despite its capacity to affect the rights and interests of owners and occupiers of land, being: (1) the Governor in Council as the repository of the power; (2) the unfettered nature of the declaration power; (3) the Parliament's power to make regulations by statute, as evidenced by the 2015 Regulations; and (4) the provisions for parliamentary oversight of the declaration power. There was no suggestion that the rights and interests of the appellants were not a permissible consideration. Significantly, and contrary to the Court of Appeal's view</w:t>
      </w:r>
      <w:r w:rsidRPr="00CF4A1E">
        <w:rPr>
          <w:rStyle w:val="FootnoteReference"/>
          <w:rFonts w:ascii="Times New Roman" w:hAnsi="Times New Roman"/>
          <w:sz w:val="24"/>
        </w:rPr>
        <w:footnoteReference w:id="64"/>
      </w:r>
      <w:r w:rsidRPr="00CF4A1E">
        <w:rPr>
          <w:rFonts w:ascii="Times New Roman" w:hAnsi="Times New Roman"/>
        </w:rPr>
        <w:t xml:space="preserve">, South Australia did not press that the legislative purpose of disrupting activities of criminal organisations might be frustrated or compromised by the affording of that procedural fairness. </w:t>
      </w:r>
    </w:p>
    <w:p w14:paraId="5BF6A00D"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lastRenderedPageBreak/>
        <w:tab/>
        <w:t xml:space="preserve">The features of the 1935 Act identified by South Australia are insufficient, </w:t>
      </w:r>
      <w:proofErr w:type="gramStart"/>
      <w:r w:rsidRPr="00CF4A1E">
        <w:rPr>
          <w:rFonts w:ascii="Times New Roman" w:hAnsi="Times New Roman"/>
        </w:rPr>
        <w:t>individually</w:t>
      </w:r>
      <w:proofErr w:type="gramEnd"/>
      <w:r w:rsidRPr="00CF4A1E">
        <w:rPr>
          <w:rFonts w:ascii="Times New Roman" w:hAnsi="Times New Roman"/>
        </w:rPr>
        <w:t xml:space="preserve"> and cumulatively, to establish an intention to displace the common law presumption. </w:t>
      </w:r>
    </w:p>
    <w:p w14:paraId="1F66F40F"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Since </w:t>
      </w:r>
      <w:r w:rsidRPr="00CF4A1E">
        <w:rPr>
          <w:rFonts w:ascii="Times New Roman" w:hAnsi="Times New Roman"/>
          <w:i/>
        </w:rPr>
        <w:t xml:space="preserve">FAI Insurances Ltd v </w:t>
      </w:r>
      <w:proofErr w:type="spellStart"/>
      <w:r w:rsidRPr="00CF4A1E">
        <w:rPr>
          <w:rFonts w:ascii="Times New Roman" w:hAnsi="Times New Roman"/>
          <w:i/>
        </w:rPr>
        <w:t>Winneke</w:t>
      </w:r>
      <w:proofErr w:type="spellEnd"/>
      <w:r w:rsidRPr="00CF4A1E">
        <w:rPr>
          <w:rStyle w:val="FootnoteReference"/>
          <w:rFonts w:ascii="Times New Roman" w:hAnsi="Times New Roman"/>
          <w:iCs/>
          <w:sz w:val="24"/>
        </w:rPr>
        <w:footnoteReference w:id="65"/>
      </w:r>
      <w:r w:rsidRPr="00CF4A1E">
        <w:rPr>
          <w:rFonts w:ascii="Times New Roman" w:hAnsi="Times New Roman"/>
        </w:rPr>
        <w:t>, it has been established that the mere vesting of decision-making authority in the Governor in Council is not a sufficient manifestation of a legislative intention to exclude the duty of procedural fairness</w:t>
      </w:r>
      <w:r w:rsidRPr="00CF4A1E">
        <w:rPr>
          <w:rStyle w:val="FootnoteReference"/>
          <w:rFonts w:ascii="Times New Roman" w:hAnsi="Times New Roman"/>
          <w:sz w:val="24"/>
        </w:rPr>
        <w:footnoteReference w:id="66"/>
      </w:r>
      <w:r w:rsidRPr="00CF4A1E">
        <w:rPr>
          <w:rFonts w:ascii="Times New Roman" w:hAnsi="Times New Roman"/>
        </w:rPr>
        <w:t xml:space="preserve">. </w:t>
      </w:r>
    </w:p>
    <w:p w14:paraId="4BAD950D"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In </w:t>
      </w:r>
      <w:r w:rsidRPr="00CF4A1E">
        <w:rPr>
          <w:rFonts w:ascii="Times New Roman" w:hAnsi="Times New Roman"/>
          <w:i/>
          <w:iCs/>
        </w:rPr>
        <w:t>South Australia v O'Shea</w:t>
      </w:r>
      <w:r w:rsidRPr="00CF4A1E">
        <w:rPr>
          <w:rStyle w:val="FootnoteReference"/>
          <w:rFonts w:ascii="Times New Roman" w:hAnsi="Times New Roman"/>
          <w:sz w:val="24"/>
        </w:rPr>
        <w:footnoteReference w:id="67"/>
      </w:r>
      <w:r w:rsidRPr="00CF4A1E">
        <w:rPr>
          <w:rFonts w:ascii="Times New Roman" w:hAnsi="Times New Roman"/>
        </w:rPr>
        <w:t>, Mason CJ did not discern a legislative intention to exclude a duty to act fairly by the vesting of authority in the Governor in Council, at least where the relevant decision was not to be made principally by reference to issues of general policy. In concluding that the critical question was whether Mr O'Shea had an adequate opportunity to make submissions, Mason CJ rejected an argument that the political or policy aspects of the decision placed it outside the ambit of procedural fairness. Rather, there were issues on which Mr O'Shea was not entitled to be heard</w:t>
      </w:r>
      <w:r w:rsidRPr="00CF4A1E">
        <w:rPr>
          <w:rStyle w:val="FootnoteReference"/>
          <w:rFonts w:ascii="Times New Roman" w:hAnsi="Times New Roman"/>
          <w:sz w:val="24"/>
        </w:rPr>
        <w:footnoteReference w:id="68"/>
      </w:r>
      <w:r w:rsidRPr="00CF4A1E">
        <w:rPr>
          <w:rFonts w:ascii="Times New Roman" w:hAnsi="Times New Roman"/>
        </w:rPr>
        <w:t>. Wilson and Toohey JJ, and Brennan J, focused on the nature of the decision and the political responsibility attaching to the determination of the public interest, rather than the repository of the power</w:t>
      </w:r>
      <w:r w:rsidRPr="00CF4A1E">
        <w:rPr>
          <w:rStyle w:val="FootnoteReference"/>
          <w:rFonts w:ascii="Times New Roman" w:hAnsi="Times New Roman"/>
          <w:sz w:val="24"/>
        </w:rPr>
        <w:footnoteReference w:id="69"/>
      </w:r>
      <w:r w:rsidRPr="00CF4A1E">
        <w:rPr>
          <w:rFonts w:ascii="Times New Roman" w:hAnsi="Times New Roman"/>
        </w:rPr>
        <w:t>. Writing in dissent, Deane J rejected the identity of the decision maker as a relevant factor</w:t>
      </w:r>
      <w:r w:rsidRPr="00CF4A1E">
        <w:rPr>
          <w:rStyle w:val="FootnoteReference"/>
          <w:rFonts w:ascii="Times New Roman" w:hAnsi="Times New Roman"/>
          <w:sz w:val="24"/>
        </w:rPr>
        <w:footnoteReference w:id="70"/>
      </w:r>
      <w:r w:rsidRPr="00CF4A1E">
        <w:rPr>
          <w:rFonts w:ascii="Times New Roman" w:hAnsi="Times New Roman"/>
        </w:rPr>
        <w:t>.</w:t>
      </w:r>
    </w:p>
    <w:p w14:paraId="5D3BF700"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In </w:t>
      </w:r>
      <w:r w:rsidRPr="00CF4A1E">
        <w:rPr>
          <w:rFonts w:ascii="Times New Roman" w:hAnsi="Times New Roman"/>
          <w:i/>
          <w:iCs/>
        </w:rPr>
        <w:t>O'Shea</w:t>
      </w:r>
      <w:r w:rsidRPr="00CF4A1E">
        <w:rPr>
          <w:rFonts w:ascii="Times New Roman" w:hAnsi="Times New Roman"/>
        </w:rPr>
        <w:t xml:space="preserve">, Mason CJ also addressed the significance of the participation by Cabinet in the process by which the South Australian Governor in Council exercises statutory power. He rejected a submission that the primarily political, </w:t>
      </w:r>
      <w:proofErr w:type="gramStart"/>
      <w:r w:rsidRPr="00CF4A1E">
        <w:rPr>
          <w:rFonts w:ascii="Times New Roman" w:hAnsi="Times New Roman"/>
        </w:rPr>
        <w:t>social</w:t>
      </w:r>
      <w:proofErr w:type="gramEnd"/>
      <w:r w:rsidRPr="00CF4A1E">
        <w:rPr>
          <w:rFonts w:ascii="Times New Roman" w:hAnsi="Times New Roman"/>
        </w:rPr>
        <w:t xml:space="preserve"> and economic concerns of Cabinet would deny the existence of a duty to act fairly in a matter which turned on considerations "peculiar to the individual"</w:t>
      </w:r>
      <w:r w:rsidRPr="00CF4A1E">
        <w:rPr>
          <w:rStyle w:val="FootnoteReference"/>
          <w:rFonts w:ascii="Times New Roman" w:hAnsi="Times New Roman"/>
          <w:sz w:val="24"/>
        </w:rPr>
        <w:footnoteReference w:id="71"/>
      </w:r>
      <w:r w:rsidRPr="00CF4A1E">
        <w:rPr>
          <w:rFonts w:ascii="Times New Roman" w:hAnsi="Times New Roman"/>
        </w:rPr>
        <w:t xml:space="preserve">. He also rejected the further objection that the private and confidential nature of Cabinet processes precludes the imposition of a duty to act fairly, observing that, </w:t>
      </w:r>
      <w:r w:rsidRPr="00CF4A1E">
        <w:rPr>
          <w:rFonts w:ascii="Times New Roman" w:hAnsi="Times New Roman"/>
        </w:rPr>
        <w:lastRenderedPageBreak/>
        <w:t>in an appropriate case, a requirement that there be placed before Cabinet submissions of an individual affected by the relevant decision would not intrude upon Cabinet's control of its own proceedings</w:t>
      </w:r>
      <w:r w:rsidRPr="00CF4A1E">
        <w:rPr>
          <w:rStyle w:val="FootnoteReference"/>
          <w:rFonts w:ascii="Times New Roman" w:hAnsi="Times New Roman"/>
          <w:sz w:val="24"/>
        </w:rPr>
        <w:footnoteReference w:id="72"/>
      </w:r>
      <w:r w:rsidRPr="00CF4A1E">
        <w:rPr>
          <w:rFonts w:ascii="Times New Roman" w:hAnsi="Times New Roman"/>
        </w:rPr>
        <w:t xml:space="preserve">. </w:t>
      </w:r>
    </w:p>
    <w:p w14:paraId="607FAEB0" w14:textId="164A83A4" w:rsidR="00431CF6" w:rsidRPr="00CF4A1E" w:rsidRDefault="00431CF6" w:rsidP="00CF4A1E">
      <w:pPr>
        <w:pStyle w:val="FixListStyle"/>
        <w:spacing w:after="260" w:line="280" w:lineRule="exact"/>
        <w:ind w:right="0"/>
        <w:jc w:val="both"/>
        <w:rPr>
          <w:rFonts w:ascii="Times New Roman" w:hAnsi="Times New Roman"/>
        </w:rPr>
      </w:pPr>
      <w:r w:rsidRPr="00CF4A1E" w:rsidDel="003F73BE">
        <w:rPr>
          <w:rFonts w:ascii="Times New Roman" w:hAnsi="Times New Roman"/>
        </w:rPr>
        <w:tab/>
      </w:r>
      <w:r w:rsidRPr="00CF4A1E">
        <w:rPr>
          <w:rFonts w:ascii="Times New Roman" w:hAnsi="Times New Roman"/>
        </w:rPr>
        <w:t>Contrary to South Australia's submission, in the absence of any clear words that would displace the presumptive obligation to afford procedural fairness, the broad scope of the regulation</w:t>
      </w:r>
      <w:r w:rsidRPr="00CF4A1E">
        <w:rPr>
          <w:rFonts w:ascii="Times New Roman" w:hAnsi="Times New Roman"/>
        </w:rPr>
        <w:noBreakHyphen/>
        <w:t>making power conferred by s 370 has no significance. While there are earlier decisions supportive of the view that the unfettered nature of a power is inconsistent with a duty of procedural fairness</w:t>
      </w:r>
      <w:r w:rsidRPr="00CF4A1E">
        <w:rPr>
          <w:rStyle w:val="FootnoteReference"/>
          <w:rFonts w:ascii="Times New Roman" w:hAnsi="Times New Roman"/>
          <w:sz w:val="24"/>
        </w:rPr>
        <w:footnoteReference w:id="73"/>
      </w:r>
      <w:r w:rsidRPr="00CF4A1E">
        <w:rPr>
          <w:rFonts w:ascii="Times New Roman" w:hAnsi="Times New Roman"/>
        </w:rPr>
        <w:t>, requirements of procedural fairness conditioning the exercise of unfettered statutory powers are now commonplace</w:t>
      </w:r>
      <w:r w:rsidRPr="00CF4A1E">
        <w:rPr>
          <w:rStyle w:val="FootnoteReference"/>
          <w:rFonts w:ascii="Times New Roman" w:hAnsi="Times New Roman"/>
          <w:sz w:val="24"/>
        </w:rPr>
        <w:footnoteReference w:id="74"/>
      </w:r>
      <w:r w:rsidRPr="00CF4A1E">
        <w:rPr>
          <w:rFonts w:ascii="Times New Roman" w:hAnsi="Times New Roman"/>
        </w:rPr>
        <w:t xml:space="preserve">. </w:t>
      </w:r>
    </w:p>
    <w:p w14:paraId="1D5D812A" w14:textId="43A8E985"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There is no reason to conclude that the scope of the regulation-making power is unconstrained by a duty of procedural fairness simply because the exercise of legislative power is not so constrained. Similarly, the general and limited oversight of the regulation</w:t>
      </w:r>
      <w:r w:rsidRPr="00CF4A1E">
        <w:rPr>
          <w:rFonts w:ascii="Times New Roman" w:hAnsi="Times New Roman"/>
        </w:rPr>
        <w:noBreakHyphen/>
        <w:t>making power by a Parliamentary Committee and the availability of disallowance are not a source of an implication to exclude procedural fairness: South Australia did not suggest that oversight of this kind was likely to afford procedural fairness to owners or occupiers, or that it would involve consideration of matters that might be raised by an owner or occupier if procedural fairness was afforded and that might avoid the arbitrary exercise of the regulation</w:t>
      </w:r>
      <w:r w:rsidRPr="00CF4A1E">
        <w:rPr>
          <w:rFonts w:ascii="Times New Roman" w:hAnsi="Times New Roman"/>
        </w:rPr>
        <w:noBreakHyphen/>
        <w:t>making power</w:t>
      </w:r>
      <w:r w:rsidRPr="00CF4A1E">
        <w:rPr>
          <w:rStyle w:val="FootnoteReference"/>
          <w:rFonts w:ascii="Times New Roman" w:hAnsi="Times New Roman"/>
          <w:sz w:val="24"/>
        </w:rPr>
        <w:footnoteReference w:id="75"/>
      </w:r>
      <w:r w:rsidRPr="00CF4A1E">
        <w:rPr>
          <w:rFonts w:ascii="Times New Roman" w:hAnsi="Times New Roman"/>
        </w:rPr>
        <w:t xml:space="preserve">. </w:t>
      </w:r>
    </w:p>
    <w:p w14:paraId="2730D8F7" w14:textId="77777777" w:rsidR="00431CF6" w:rsidRPr="00CF4A1E" w:rsidRDefault="00431CF6" w:rsidP="00CF4A1E">
      <w:pPr>
        <w:pStyle w:val="HeadingL1"/>
        <w:spacing w:after="260" w:line="280" w:lineRule="exact"/>
        <w:ind w:right="0"/>
        <w:jc w:val="both"/>
        <w:rPr>
          <w:rFonts w:ascii="Times New Roman" w:hAnsi="Times New Roman"/>
        </w:rPr>
      </w:pPr>
      <w:r w:rsidRPr="00CF4A1E">
        <w:rPr>
          <w:rFonts w:ascii="Times New Roman" w:hAnsi="Times New Roman"/>
        </w:rPr>
        <w:t>Content of the obligation to afford procedural fairness</w:t>
      </w:r>
    </w:p>
    <w:p w14:paraId="180031C2" w14:textId="42135CF9"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A distinction is sometimes drawn between exercises of statutory power that concern considerations personal to an individual and those that concern issues of general policy</w:t>
      </w:r>
      <w:r w:rsidRPr="00CF4A1E">
        <w:rPr>
          <w:rStyle w:val="FootnoteReference"/>
          <w:rFonts w:ascii="Times New Roman" w:hAnsi="Times New Roman"/>
          <w:sz w:val="24"/>
        </w:rPr>
        <w:footnoteReference w:id="76"/>
      </w:r>
      <w:r w:rsidRPr="00CF4A1E">
        <w:rPr>
          <w:rFonts w:ascii="Times New Roman" w:hAnsi="Times New Roman"/>
        </w:rPr>
        <w:t>. Undoubtedly, the focus of the scheme which includes the declaration power is the disruption of criminal activity</w:t>
      </w:r>
      <w:r w:rsidRPr="00CF4A1E">
        <w:rPr>
          <w:rStyle w:val="FootnoteReference"/>
          <w:rFonts w:ascii="Times New Roman" w:hAnsi="Times New Roman"/>
          <w:sz w:val="24"/>
        </w:rPr>
        <w:footnoteReference w:id="77"/>
      </w:r>
      <w:r w:rsidRPr="00CF4A1E">
        <w:rPr>
          <w:rFonts w:ascii="Times New Roman" w:hAnsi="Times New Roman"/>
        </w:rPr>
        <w:t xml:space="preserve">. In that context, considerations personal to the owners and occupiers of land ordinarily can be </w:t>
      </w:r>
      <w:r w:rsidRPr="00CF4A1E">
        <w:rPr>
          <w:rFonts w:ascii="Times New Roman" w:hAnsi="Times New Roman"/>
        </w:rPr>
        <w:lastRenderedPageBreak/>
        <w:t>expected to be secondary to broader policy considerations. However, the proper exercise of the declaration power requires the identification of facts to connect the proposed prescribed place with the purpose of disruption. In this way, the exercise of the declaration power is an application of the policy to disrupt criminal activity, rather than the formulation of policy</w:t>
      </w:r>
      <w:r w:rsidRPr="00CF4A1E">
        <w:rPr>
          <w:rStyle w:val="FootnoteReference"/>
          <w:rFonts w:ascii="Times New Roman" w:hAnsi="Times New Roman"/>
          <w:sz w:val="24"/>
        </w:rPr>
        <w:footnoteReference w:id="78"/>
      </w:r>
      <w:r w:rsidRPr="00CF4A1E">
        <w:rPr>
          <w:rFonts w:ascii="Times New Roman" w:hAnsi="Times New Roman"/>
        </w:rPr>
        <w:t xml:space="preserve">. </w:t>
      </w:r>
    </w:p>
    <w:p w14:paraId="5A819187" w14:textId="7BE28522"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There is no reason to doubt that an owner or occupier may have something to say of relevance about the characteristics of the land or its uses, or about possible adverse impacts of declaring a place as a prescribed place, which might affect an assessment of whether to make such a declaration</w:t>
      </w:r>
      <w:r w:rsidRPr="00CF4A1E">
        <w:rPr>
          <w:rStyle w:val="FootnoteReference"/>
          <w:rFonts w:ascii="Times New Roman" w:hAnsi="Times New Roman"/>
          <w:sz w:val="24"/>
        </w:rPr>
        <w:footnoteReference w:id="79"/>
      </w:r>
      <w:r w:rsidRPr="00CF4A1E">
        <w:rPr>
          <w:rFonts w:ascii="Times New Roman" w:hAnsi="Times New Roman"/>
        </w:rPr>
        <w:t xml:space="preserve">. </w:t>
      </w:r>
    </w:p>
    <w:p w14:paraId="37B8CEC5" w14:textId="77777777" w:rsidR="00431CF6" w:rsidRPr="00CF4A1E"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Procedural fairness under this scheme requires reasonable notice to an owner or occupier of a proposal to declare a place a prescribed place, to give them an opportunity to supply information or make submissions as to matters within their knowledge as an owner or occupier that may be relevant to a decision to exercise the declaration power. It does not require an opportunity to make more general submissions as to the likely efficacy of the exercise of the declaration power in disrupting serious criminal activity. Accordingly, this is not a case where procedural fairness would require owners or occupiers to be informed of the nature or content of information that might form the basis of a recommendation to the Governor to declare a place to be a prescribed place</w:t>
      </w:r>
      <w:r w:rsidRPr="00CF4A1E">
        <w:rPr>
          <w:rStyle w:val="FootnoteReference"/>
          <w:rFonts w:ascii="Times New Roman" w:hAnsi="Times New Roman"/>
          <w:sz w:val="24"/>
        </w:rPr>
        <w:footnoteReference w:id="80"/>
      </w:r>
      <w:r w:rsidRPr="00CF4A1E">
        <w:rPr>
          <w:rFonts w:ascii="Times New Roman" w:hAnsi="Times New Roman"/>
        </w:rPr>
        <w:t xml:space="preserve">. </w:t>
      </w:r>
    </w:p>
    <w:p w14:paraId="47E13687" w14:textId="77777777" w:rsidR="00431CF6" w:rsidRPr="00CF4A1E" w:rsidRDefault="00431CF6" w:rsidP="00CF4A1E">
      <w:pPr>
        <w:pStyle w:val="HeadingL1"/>
        <w:spacing w:after="260" w:line="280" w:lineRule="exact"/>
        <w:ind w:right="0"/>
        <w:jc w:val="both"/>
        <w:rPr>
          <w:rFonts w:ascii="Times New Roman" w:hAnsi="Times New Roman"/>
        </w:rPr>
      </w:pPr>
      <w:r w:rsidRPr="00CF4A1E">
        <w:rPr>
          <w:rFonts w:ascii="Times New Roman" w:hAnsi="Times New Roman"/>
        </w:rPr>
        <w:t>Orders</w:t>
      </w:r>
    </w:p>
    <w:p w14:paraId="65FA7343" w14:textId="77777777" w:rsidR="00AA0A69" w:rsidRDefault="00431CF6" w:rsidP="00CF4A1E">
      <w:pPr>
        <w:pStyle w:val="FixListStyle"/>
        <w:spacing w:after="260" w:line="280" w:lineRule="exact"/>
        <w:ind w:right="0"/>
        <w:jc w:val="both"/>
        <w:rPr>
          <w:rFonts w:ascii="Times New Roman" w:hAnsi="Times New Roman"/>
        </w:rPr>
      </w:pPr>
      <w:r w:rsidRPr="00CF4A1E">
        <w:rPr>
          <w:rFonts w:ascii="Times New Roman" w:hAnsi="Times New Roman"/>
        </w:rPr>
        <w:tab/>
        <w:t xml:space="preserve">The appeal should be allowed. The orders of the Court of Appeal should be set aside and, in lieu thereof, it should be declared that the </w:t>
      </w:r>
      <w:proofErr w:type="spellStart"/>
      <w:r w:rsidRPr="00CF4A1E">
        <w:rPr>
          <w:rFonts w:ascii="Times New Roman" w:hAnsi="Times New Roman"/>
        </w:rPr>
        <w:t>Cowirra</w:t>
      </w:r>
      <w:proofErr w:type="spellEnd"/>
      <w:r w:rsidRPr="00CF4A1E">
        <w:rPr>
          <w:rFonts w:ascii="Times New Roman" w:hAnsi="Times New Roman"/>
        </w:rPr>
        <w:t xml:space="preserve"> Regulations are invalid. South Australia should pay the appellants' costs in this Court and below.</w:t>
      </w:r>
    </w:p>
    <w:p w14:paraId="206E36DD" w14:textId="77777777" w:rsidR="00AA0A69" w:rsidRDefault="00AA0A69" w:rsidP="00CF4A1E">
      <w:pPr>
        <w:pStyle w:val="FixListStyle"/>
        <w:spacing w:after="260" w:line="280" w:lineRule="exact"/>
        <w:ind w:right="0"/>
        <w:jc w:val="both"/>
        <w:rPr>
          <w:rFonts w:ascii="Times New Roman" w:hAnsi="Times New Roman"/>
        </w:rPr>
        <w:sectPr w:rsidR="00AA0A69" w:rsidSect="0096160D">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77D689AF" w14:textId="77777777" w:rsidR="00AA0A69" w:rsidRPr="00CB172B" w:rsidRDefault="00AA0A69" w:rsidP="00AA0A69">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CB172B">
        <w:rPr>
          <w:rFonts w:ascii="Times New Roman" w:hAnsi="Times New Roman"/>
        </w:rPr>
        <w:lastRenderedPageBreak/>
        <w:t xml:space="preserve">STEWARD J.   I agree with the reasons of Kiefel CJ, Gageler, Gleeson and Jagot JJ that the </w:t>
      </w:r>
      <w:r w:rsidRPr="00CB172B">
        <w:rPr>
          <w:rFonts w:ascii="Times New Roman" w:hAnsi="Times New Roman"/>
          <w:i/>
          <w:iCs/>
        </w:rPr>
        <w:t>Criminal Law Consolidation (Criminal Organisations) (Prescribed Place – Cowirra) Variation Regulations 2020</w:t>
      </w:r>
      <w:r w:rsidRPr="00CB172B">
        <w:rPr>
          <w:rFonts w:ascii="Times New Roman" w:hAnsi="Times New Roman"/>
        </w:rPr>
        <w:t xml:space="preserve"> (SA) and </w:t>
      </w:r>
      <w:r w:rsidRPr="00CB172B">
        <w:rPr>
          <w:rFonts w:ascii="Times New Roman" w:hAnsi="Times New Roman"/>
          <w:i/>
          <w:iCs/>
        </w:rPr>
        <w:t>Criminal Law Consolidation (Criminal Organisations) (Prescribed Place – Cowirra) (No 2) Variation Regulations 2020</w:t>
      </w:r>
      <w:r w:rsidRPr="00CB172B">
        <w:rPr>
          <w:rFonts w:ascii="Times New Roman" w:hAnsi="Times New Roman"/>
        </w:rPr>
        <w:t xml:space="preserve"> (SA) ("the Cowirra Regulations") are ineffective to declare what has been described as the "Cowirra land" to be a "prescribed place" for the purposes of s 83GA(1) of the </w:t>
      </w:r>
      <w:r w:rsidRPr="00CB172B">
        <w:rPr>
          <w:rFonts w:ascii="Times New Roman" w:hAnsi="Times New Roman"/>
          <w:i/>
          <w:iCs/>
        </w:rPr>
        <w:t>Criminal Law Consolidation Act 1935</w:t>
      </w:r>
      <w:r w:rsidRPr="00CB172B">
        <w:rPr>
          <w:rFonts w:ascii="Times New Roman" w:hAnsi="Times New Roman"/>
        </w:rPr>
        <w:t xml:space="preserve"> (SA) ("the CLC Act"). I do not, and with great respect, agree that the Governor of South Australia</w:t>
      </w:r>
      <w:r w:rsidRPr="00CB172B">
        <w:rPr>
          <w:rFonts w:ascii="Times New Roman" w:hAnsi="Times New Roman"/>
          <w:b/>
          <w:sz w:val="24"/>
          <w:vertAlign w:val="superscript"/>
        </w:rPr>
        <w:footnoteReference w:id="81"/>
      </w:r>
      <w:r w:rsidRPr="00CB172B">
        <w:rPr>
          <w:rFonts w:ascii="Times New Roman" w:hAnsi="Times New Roman"/>
        </w:rPr>
        <w:t xml:space="preserve"> owed the appellants, as the owner and occupiers of the Cowirra land, a duty of procedural fairness prior to the making of the Cowirra Regulations. Whether the Governor of South Australia owed obligations of procedural fairness to any other third party, prior to the making of the Cowirra Regulations, and whether the Governor owes obligations of procedural fairness, more generally, when making regulations for the purposes of s 83</w:t>
      </w:r>
      <w:proofErr w:type="gramStart"/>
      <w:r w:rsidRPr="00CB172B">
        <w:rPr>
          <w:rFonts w:ascii="Times New Roman" w:hAnsi="Times New Roman"/>
        </w:rPr>
        <w:t>GA(</w:t>
      </w:r>
      <w:proofErr w:type="gramEnd"/>
      <w:r w:rsidRPr="00CB172B">
        <w:rPr>
          <w:rFonts w:ascii="Times New Roman" w:hAnsi="Times New Roman"/>
        </w:rPr>
        <w:t>1), is not a matter before the Court.</w:t>
      </w:r>
    </w:p>
    <w:p w14:paraId="7C6CFC4D" w14:textId="77777777" w:rsidR="00AA0A69" w:rsidRPr="00CB172B" w:rsidRDefault="00AA0A69" w:rsidP="00CB172B">
      <w:pPr>
        <w:pStyle w:val="HeadingL1"/>
        <w:spacing w:after="260" w:line="280" w:lineRule="exact"/>
        <w:ind w:right="0"/>
        <w:jc w:val="both"/>
        <w:rPr>
          <w:rFonts w:ascii="Times New Roman" w:hAnsi="Times New Roman"/>
        </w:rPr>
      </w:pPr>
      <w:r w:rsidRPr="00CB172B">
        <w:rPr>
          <w:rFonts w:ascii="Times New Roman" w:hAnsi="Times New Roman"/>
        </w:rPr>
        <w:t>The presumption of procedural fairness</w:t>
      </w:r>
    </w:p>
    <w:p w14:paraId="7C180E61"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 xml:space="preserve">As the Cowirra Regulations are ineffective, it is strictly speaking unnecessary to consider the alternative ground relied upon by the appellants, namely that the regulations were also invalid because there had been a breach of procedural fairness owed to them. Nonetheless, the Court was urged to consider that contention even </w:t>
      </w:r>
      <w:proofErr w:type="gramStart"/>
      <w:r w:rsidRPr="00CB172B">
        <w:rPr>
          <w:rFonts w:ascii="Times New Roman" w:hAnsi="Times New Roman"/>
        </w:rPr>
        <w:t>in the event that</w:t>
      </w:r>
      <w:proofErr w:type="gramEnd"/>
      <w:r w:rsidRPr="00CB172B">
        <w:rPr>
          <w:rFonts w:ascii="Times New Roman" w:hAnsi="Times New Roman"/>
        </w:rPr>
        <w:t xml:space="preserve"> the first ground succeeded.</w:t>
      </w:r>
    </w:p>
    <w:p w14:paraId="41EC9B8B"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One must start with the proposition that there is a strong common law presumption that the exercise of a statutory power which is apt directly to affect an individual is subject to an obligation to provide procedural fairness</w:t>
      </w:r>
      <w:r w:rsidRPr="00CB172B">
        <w:rPr>
          <w:rStyle w:val="FootnoteReference"/>
          <w:rFonts w:ascii="Times New Roman" w:hAnsi="Times New Roman"/>
          <w:sz w:val="24"/>
        </w:rPr>
        <w:footnoteReference w:id="82"/>
      </w:r>
      <w:r w:rsidRPr="00CB172B">
        <w:rPr>
          <w:rFonts w:ascii="Times New Roman" w:hAnsi="Times New Roman"/>
        </w:rPr>
        <w:t>. However, it is equally well established that Parliament may exclude such an obligation, whether expressly or by necessary implication</w:t>
      </w:r>
      <w:r w:rsidRPr="00CB172B">
        <w:rPr>
          <w:rStyle w:val="FootnoteReference"/>
          <w:rFonts w:ascii="Times New Roman" w:hAnsi="Times New Roman"/>
          <w:sz w:val="24"/>
        </w:rPr>
        <w:footnoteReference w:id="83"/>
      </w:r>
      <w:r w:rsidRPr="00CB172B">
        <w:rPr>
          <w:rFonts w:ascii="Times New Roman" w:hAnsi="Times New Roman"/>
        </w:rPr>
        <w:t xml:space="preserve">. As Crennan J observed in </w:t>
      </w:r>
      <w:r w:rsidRPr="00CB172B">
        <w:rPr>
          <w:rFonts w:ascii="Times New Roman" w:hAnsi="Times New Roman"/>
          <w:i/>
          <w:iCs/>
        </w:rPr>
        <w:t>Gypsy Jokers Motorcycle Club Inc v Commissioner of Police</w:t>
      </w:r>
      <w:r w:rsidRPr="00CB172B">
        <w:rPr>
          <w:rStyle w:val="FootnoteReference"/>
          <w:rFonts w:ascii="Times New Roman" w:hAnsi="Times New Roman"/>
          <w:sz w:val="24"/>
        </w:rPr>
        <w:footnoteReference w:id="84"/>
      </w:r>
      <w:r w:rsidRPr="00CB172B">
        <w:rPr>
          <w:rFonts w:ascii="Times New Roman" w:hAnsi="Times New Roman"/>
        </w:rPr>
        <w:t xml:space="preserve">: </w:t>
      </w:r>
    </w:p>
    <w:p w14:paraId="2D180A86" w14:textId="77777777" w:rsidR="00AA0A69" w:rsidRDefault="00AA0A69" w:rsidP="00CB172B">
      <w:pPr>
        <w:pStyle w:val="LeftrightafterHC"/>
        <w:spacing w:before="0" w:after="260" w:line="280" w:lineRule="exact"/>
        <w:ind w:right="0"/>
        <w:jc w:val="both"/>
        <w:rPr>
          <w:rFonts w:ascii="Times New Roman" w:hAnsi="Times New Roman"/>
        </w:rPr>
      </w:pPr>
      <w:r w:rsidRPr="00CB172B">
        <w:rPr>
          <w:rFonts w:ascii="Times New Roman" w:hAnsi="Times New Roman"/>
        </w:rPr>
        <w:lastRenderedPageBreak/>
        <w:t>"Parliament can validly legislate to exclude or modify the rules of procedural fairness provided there is 'sufficient indication' that 'they are excluded by plain words of necessary intendment'."</w:t>
      </w:r>
    </w:p>
    <w:p w14:paraId="0E588728"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Here, any duty of procedural fairness, if it exists, must ultimately arise as an implication which conditions the power to make regulations under s 370 of the CLC Act for the purposes of s 83</w:t>
      </w:r>
      <w:proofErr w:type="gramStart"/>
      <w:r w:rsidRPr="00CB172B">
        <w:rPr>
          <w:rFonts w:ascii="Times New Roman" w:hAnsi="Times New Roman"/>
        </w:rPr>
        <w:t>GA(</w:t>
      </w:r>
      <w:proofErr w:type="gramEnd"/>
      <w:r w:rsidRPr="00CB172B">
        <w:rPr>
          <w:rFonts w:ascii="Times New Roman" w:hAnsi="Times New Roman"/>
        </w:rPr>
        <w:t>1)</w:t>
      </w:r>
      <w:r w:rsidRPr="00CB172B">
        <w:rPr>
          <w:rStyle w:val="FootnoteReference"/>
          <w:rFonts w:ascii="Times New Roman" w:hAnsi="Times New Roman"/>
          <w:sz w:val="24"/>
        </w:rPr>
        <w:footnoteReference w:id="85"/>
      </w:r>
      <w:r w:rsidRPr="00CB172B">
        <w:rPr>
          <w:rFonts w:ascii="Times New Roman" w:hAnsi="Times New Roman"/>
        </w:rPr>
        <w:t xml:space="preserve">. Whether it should </w:t>
      </w:r>
      <w:r w:rsidRPr="00CB172B">
        <w:rPr>
          <w:rFonts w:ascii="Times New Roman" w:hAnsi="Times New Roman"/>
          <w:i/>
          <w:iCs/>
        </w:rPr>
        <w:t>not</w:t>
      </w:r>
      <w:r w:rsidRPr="00CB172B">
        <w:rPr>
          <w:rFonts w:ascii="Times New Roman" w:hAnsi="Times New Roman"/>
        </w:rPr>
        <w:t xml:space="preserve"> be presumed, </w:t>
      </w:r>
      <w:proofErr w:type="gramStart"/>
      <w:r w:rsidRPr="00CB172B">
        <w:rPr>
          <w:rFonts w:ascii="Times New Roman" w:hAnsi="Times New Roman"/>
        </w:rPr>
        <w:t>in a given</w:t>
      </w:r>
      <w:proofErr w:type="gramEnd"/>
      <w:r w:rsidRPr="00CB172B">
        <w:rPr>
          <w:rFonts w:ascii="Times New Roman" w:hAnsi="Times New Roman"/>
        </w:rPr>
        <w:t xml:space="preserve"> case, that such a condition exists turns on whether the legislation, properly construed, extinguishes the obligation to afford procedural fairness</w:t>
      </w:r>
      <w:r w:rsidRPr="00CB172B">
        <w:rPr>
          <w:rStyle w:val="FootnoteReference"/>
          <w:rFonts w:ascii="Times New Roman" w:hAnsi="Times New Roman"/>
          <w:sz w:val="24"/>
        </w:rPr>
        <w:footnoteReference w:id="86"/>
      </w:r>
      <w:r w:rsidRPr="00CB172B">
        <w:rPr>
          <w:rFonts w:ascii="Times New Roman" w:hAnsi="Times New Roman"/>
        </w:rPr>
        <w:t>. This requires, for the purposes of this appeal, an examination of Pt 3B of the CLC Act, which is headed "Offences relating to criminal organisations".</w:t>
      </w:r>
    </w:p>
    <w:p w14:paraId="7545C027" w14:textId="77777777" w:rsidR="00AA0A69" w:rsidRPr="00CB172B" w:rsidRDefault="00AA0A69" w:rsidP="00CB172B">
      <w:pPr>
        <w:pStyle w:val="HeadingL1"/>
        <w:spacing w:after="260" w:line="280" w:lineRule="exact"/>
        <w:ind w:right="0"/>
        <w:jc w:val="both"/>
        <w:rPr>
          <w:rFonts w:ascii="Times New Roman" w:hAnsi="Times New Roman"/>
        </w:rPr>
      </w:pPr>
      <w:r w:rsidRPr="00CB172B">
        <w:rPr>
          <w:rFonts w:ascii="Times New Roman" w:hAnsi="Times New Roman"/>
        </w:rPr>
        <w:t xml:space="preserve">Part 3B of the CLC Act </w:t>
      </w:r>
    </w:p>
    <w:p w14:paraId="0FE981F8"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Division 1 of Pt 3B of the CLC Act is headed "Participation in criminal organisation</w:t>
      </w:r>
      <w:proofErr w:type="gramStart"/>
      <w:r w:rsidRPr="00CB172B">
        <w:rPr>
          <w:rFonts w:ascii="Times New Roman" w:hAnsi="Times New Roman"/>
        </w:rPr>
        <w:t>", and</w:t>
      </w:r>
      <w:proofErr w:type="gramEnd"/>
      <w:r w:rsidRPr="00CB172B">
        <w:rPr>
          <w:rFonts w:ascii="Times New Roman" w:hAnsi="Times New Roman"/>
        </w:rPr>
        <w:t xml:space="preserve"> contains a series of offences for when a person participates in a "criminal organisation" or in certain criminal activities of such an organisation</w:t>
      </w:r>
      <w:r w:rsidRPr="00CB172B">
        <w:rPr>
          <w:rStyle w:val="FootnoteReference"/>
          <w:rFonts w:ascii="Times New Roman" w:hAnsi="Times New Roman"/>
          <w:sz w:val="24"/>
        </w:rPr>
        <w:footnoteReference w:id="87"/>
      </w:r>
      <w:r w:rsidRPr="00CB172B">
        <w:rPr>
          <w:rFonts w:ascii="Times New Roman" w:hAnsi="Times New Roman"/>
        </w:rPr>
        <w:t>. Division 2 of Pt 3B of the CLC Act is headed "Public places, prescribed places and prescribed events"</w:t>
      </w:r>
      <w:r w:rsidRPr="00CB172B">
        <w:rPr>
          <w:rStyle w:val="FootnoteReference"/>
          <w:rFonts w:ascii="Times New Roman" w:hAnsi="Times New Roman"/>
          <w:sz w:val="24"/>
        </w:rPr>
        <w:footnoteReference w:id="88"/>
      </w:r>
      <w:r w:rsidRPr="00CB172B">
        <w:rPr>
          <w:rFonts w:ascii="Times New Roman" w:hAnsi="Times New Roman"/>
        </w:rPr>
        <w:t>. Relevantly, s 83GD makes it an offence for any "person who is a participant in a criminal organisation" to enter, or attempt to enter, a "prescribed place". The term "criminal organisation" is defined in s 83</w:t>
      </w:r>
      <w:proofErr w:type="gramStart"/>
      <w:r w:rsidRPr="00CB172B">
        <w:rPr>
          <w:rFonts w:ascii="Times New Roman" w:hAnsi="Times New Roman"/>
        </w:rPr>
        <w:t>GA(</w:t>
      </w:r>
      <w:proofErr w:type="gramEnd"/>
      <w:r w:rsidRPr="00CB172B">
        <w:rPr>
          <w:rFonts w:ascii="Times New Roman" w:hAnsi="Times New Roman"/>
        </w:rPr>
        <w:t>1) of the CLC Act as follows:</w:t>
      </w:r>
    </w:p>
    <w:p w14:paraId="0C2BCCDB" w14:textId="77777777" w:rsidR="00AA0A69" w:rsidRPr="00CB172B" w:rsidRDefault="00AA0A69" w:rsidP="00CB172B">
      <w:pPr>
        <w:pStyle w:val="LeftrightafterHC"/>
        <w:spacing w:before="0" w:after="260" w:line="280" w:lineRule="exact"/>
        <w:ind w:right="0"/>
        <w:jc w:val="both"/>
        <w:rPr>
          <w:rFonts w:ascii="Times New Roman" w:hAnsi="Times New Roman"/>
        </w:rPr>
      </w:pPr>
      <w:r w:rsidRPr="00CB172B">
        <w:rPr>
          <w:rFonts w:ascii="Times New Roman" w:hAnsi="Times New Roman"/>
        </w:rPr>
        <w:t>"</w:t>
      </w:r>
      <w:proofErr w:type="gramStart"/>
      <w:r w:rsidRPr="00CB172B">
        <w:rPr>
          <w:rFonts w:ascii="Times New Roman" w:hAnsi="Times New Roman"/>
          <w:b/>
          <w:bCs/>
          <w:i/>
          <w:iCs/>
        </w:rPr>
        <w:t>criminal</w:t>
      </w:r>
      <w:proofErr w:type="gramEnd"/>
      <w:r w:rsidRPr="00CB172B">
        <w:rPr>
          <w:rFonts w:ascii="Times New Roman" w:hAnsi="Times New Roman"/>
          <w:b/>
          <w:bCs/>
          <w:i/>
          <w:iCs/>
        </w:rPr>
        <w:t xml:space="preserve"> organisation</w:t>
      </w:r>
      <w:r w:rsidRPr="00CB172B">
        <w:rPr>
          <w:rFonts w:ascii="Times New Roman" w:hAnsi="Times New Roman"/>
        </w:rPr>
        <w:t xml:space="preserve"> means –</w:t>
      </w:r>
    </w:p>
    <w:p w14:paraId="075EA529" w14:textId="77777777" w:rsidR="00AA0A69" w:rsidRPr="00CB172B" w:rsidRDefault="00AA0A69" w:rsidP="00CB172B">
      <w:pPr>
        <w:pStyle w:val="leftright"/>
        <w:spacing w:before="0" w:after="260" w:line="280" w:lineRule="exact"/>
        <w:ind w:right="0"/>
        <w:jc w:val="both"/>
        <w:rPr>
          <w:rFonts w:ascii="Times New Roman" w:hAnsi="Times New Roman"/>
        </w:rPr>
      </w:pPr>
      <w:r w:rsidRPr="00CB172B">
        <w:rPr>
          <w:rFonts w:ascii="Times New Roman" w:hAnsi="Times New Roman"/>
        </w:rPr>
        <w:t>(a)</w:t>
      </w:r>
      <w:r w:rsidRPr="00CB172B">
        <w:rPr>
          <w:rFonts w:ascii="Times New Roman" w:hAnsi="Times New Roman"/>
        </w:rPr>
        <w:tab/>
        <w:t>an organisation of 3 or more persons –</w:t>
      </w:r>
    </w:p>
    <w:p w14:paraId="54F2C0D4" w14:textId="77777777" w:rsidR="00AA0A69" w:rsidRPr="00CB172B" w:rsidRDefault="00AA0A69" w:rsidP="00CB172B">
      <w:pPr>
        <w:pStyle w:val="leftright"/>
        <w:spacing w:before="0" w:after="260" w:line="280" w:lineRule="exact"/>
        <w:ind w:left="2160" w:right="0" w:hanging="720"/>
        <w:jc w:val="both"/>
        <w:rPr>
          <w:rFonts w:ascii="Times New Roman" w:hAnsi="Times New Roman"/>
        </w:rPr>
      </w:pPr>
      <w:r w:rsidRPr="00CB172B">
        <w:rPr>
          <w:rFonts w:ascii="Times New Roman" w:hAnsi="Times New Roman"/>
        </w:rPr>
        <w:t>(</w:t>
      </w:r>
      <w:proofErr w:type="spellStart"/>
      <w:r w:rsidRPr="00CB172B">
        <w:rPr>
          <w:rFonts w:ascii="Times New Roman" w:hAnsi="Times New Roman"/>
        </w:rPr>
        <w:t>i</w:t>
      </w:r>
      <w:proofErr w:type="spellEnd"/>
      <w:r w:rsidRPr="00CB172B">
        <w:rPr>
          <w:rFonts w:ascii="Times New Roman" w:hAnsi="Times New Roman"/>
        </w:rPr>
        <w:t>)</w:t>
      </w:r>
      <w:r w:rsidRPr="00CB172B">
        <w:rPr>
          <w:rFonts w:ascii="Times New Roman" w:hAnsi="Times New Roman"/>
        </w:rPr>
        <w:tab/>
        <w:t>who have as their purpose, or 1 of their purposes, engaging in, organising, planning, facilitating, supporting, or otherwise conspiring to engage in, serious criminal activity; and</w:t>
      </w:r>
    </w:p>
    <w:p w14:paraId="7FDC61EC" w14:textId="77777777" w:rsidR="00AA0A69" w:rsidRPr="00CB172B" w:rsidRDefault="00AA0A69" w:rsidP="00CB172B">
      <w:pPr>
        <w:pStyle w:val="leftright"/>
        <w:spacing w:before="0" w:after="260" w:line="280" w:lineRule="exact"/>
        <w:ind w:left="2160" w:right="0" w:hanging="720"/>
        <w:jc w:val="both"/>
        <w:rPr>
          <w:rFonts w:ascii="Times New Roman" w:hAnsi="Times New Roman"/>
        </w:rPr>
      </w:pPr>
      <w:r w:rsidRPr="00CB172B">
        <w:rPr>
          <w:rFonts w:ascii="Times New Roman" w:hAnsi="Times New Roman"/>
        </w:rPr>
        <w:t>(ii)</w:t>
      </w:r>
      <w:r w:rsidRPr="00CB172B">
        <w:rPr>
          <w:rFonts w:ascii="Times New Roman" w:hAnsi="Times New Roman"/>
        </w:rPr>
        <w:tab/>
        <w:t xml:space="preserve">who, by their association, represent an unacceptable risk to the safety, </w:t>
      </w:r>
      <w:proofErr w:type="gramStart"/>
      <w:r w:rsidRPr="00CB172B">
        <w:rPr>
          <w:rFonts w:ascii="Times New Roman" w:hAnsi="Times New Roman"/>
        </w:rPr>
        <w:t>welfare</w:t>
      </w:r>
      <w:proofErr w:type="gramEnd"/>
      <w:r w:rsidRPr="00CB172B">
        <w:rPr>
          <w:rFonts w:ascii="Times New Roman" w:hAnsi="Times New Roman"/>
        </w:rPr>
        <w:t xml:space="preserve"> or order of the community; or</w:t>
      </w:r>
    </w:p>
    <w:p w14:paraId="44A5A3EE" w14:textId="77777777" w:rsidR="00AA0A69" w:rsidRPr="00CB172B" w:rsidRDefault="00AA0A69" w:rsidP="00CB172B">
      <w:pPr>
        <w:pStyle w:val="leftright"/>
        <w:spacing w:before="0" w:after="260" w:line="280" w:lineRule="exact"/>
        <w:ind w:left="1440" w:right="0" w:hanging="720"/>
        <w:jc w:val="both"/>
        <w:rPr>
          <w:rFonts w:ascii="Times New Roman" w:hAnsi="Times New Roman"/>
        </w:rPr>
      </w:pPr>
      <w:r w:rsidRPr="00CB172B">
        <w:rPr>
          <w:rFonts w:ascii="Times New Roman" w:hAnsi="Times New Roman"/>
        </w:rPr>
        <w:lastRenderedPageBreak/>
        <w:t>(b)</w:t>
      </w:r>
      <w:r w:rsidRPr="00CB172B">
        <w:rPr>
          <w:rFonts w:ascii="Times New Roman" w:hAnsi="Times New Roman"/>
        </w:rPr>
        <w:tab/>
        <w:t xml:space="preserve">a declared organisation within the meaning of the </w:t>
      </w:r>
      <w:r w:rsidRPr="00CB172B">
        <w:rPr>
          <w:rFonts w:ascii="Times New Roman" w:hAnsi="Times New Roman"/>
          <w:i/>
          <w:iCs/>
        </w:rPr>
        <w:t>Serious and Organised Crime (Control) Act 2008</w:t>
      </w:r>
      <w:r w:rsidRPr="00CB172B">
        <w:rPr>
          <w:rFonts w:ascii="Times New Roman" w:hAnsi="Times New Roman"/>
        </w:rPr>
        <w:t>; or</w:t>
      </w:r>
    </w:p>
    <w:p w14:paraId="218EAB6B" w14:textId="77777777" w:rsidR="00AA0A69" w:rsidRDefault="00AA0A69" w:rsidP="00CB172B">
      <w:pPr>
        <w:pStyle w:val="leftright"/>
        <w:spacing w:before="0" w:after="260" w:line="280" w:lineRule="exact"/>
        <w:ind w:left="1440" w:right="0" w:hanging="720"/>
        <w:jc w:val="both"/>
        <w:rPr>
          <w:rFonts w:ascii="Times New Roman" w:hAnsi="Times New Roman"/>
        </w:rPr>
      </w:pPr>
      <w:r w:rsidRPr="00CB172B">
        <w:rPr>
          <w:rFonts w:ascii="Times New Roman" w:hAnsi="Times New Roman"/>
        </w:rPr>
        <w:t>(c)</w:t>
      </w:r>
      <w:r w:rsidRPr="00CB172B">
        <w:rPr>
          <w:rFonts w:ascii="Times New Roman" w:hAnsi="Times New Roman"/>
        </w:rPr>
        <w:tab/>
        <w:t>an entity declared by regulation to be a criminal organisation".</w:t>
      </w:r>
    </w:p>
    <w:p w14:paraId="7952E60F"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The phrase "participant in a criminal organisation" is defined in s 83</w:t>
      </w:r>
      <w:proofErr w:type="gramStart"/>
      <w:r w:rsidRPr="00CB172B">
        <w:rPr>
          <w:rFonts w:ascii="Times New Roman" w:hAnsi="Times New Roman"/>
        </w:rPr>
        <w:t>GA(</w:t>
      </w:r>
      <w:proofErr w:type="gramEnd"/>
      <w:r w:rsidRPr="00CB172B">
        <w:rPr>
          <w:rFonts w:ascii="Times New Roman" w:hAnsi="Times New Roman"/>
        </w:rPr>
        <w:t>1) as follows:</w:t>
      </w:r>
    </w:p>
    <w:p w14:paraId="7C50C482" w14:textId="77777777" w:rsidR="00AA0A69" w:rsidRPr="00CB172B" w:rsidRDefault="00AA0A69" w:rsidP="00CB172B">
      <w:pPr>
        <w:pStyle w:val="LeftrightafterHC"/>
        <w:spacing w:before="0" w:after="260" w:line="280" w:lineRule="exact"/>
        <w:ind w:right="0"/>
        <w:jc w:val="both"/>
        <w:rPr>
          <w:rFonts w:ascii="Times New Roman" w:hAnsi="Times New Roman"/>
        </w:rPr>
      </w:pPr>
      <w:r w:rsidRPr="00CB172B">
        <w:rPr>
          <w:rFonts w:ascii="Times New Roman" w:hAnsi="Times New Roman"/>
        </w:rPr>
        <w:t>"</w:t>
      </w:r>
      <w:proofErr w:type="gramStart"/>
      <w:r w:rsidRPr="00CB172B">
        <w:rPr>
          <w:rFonts w:ascii="Times New Roman" w:hAnsi="Times New Roman"/>
          <w:b/>
          <w:bCs/>
          <w:i/>
          <w:iCs/>
        </w:rPr>
        <w:t>participant</w:t>
      </w:r>
      <w:proofErr w:type="gramEnd"/>
      <w:r w:rsidRPr="00CB172B">
        <w:rPr>
          <w:rFonts w:ascii="Times New Roman" w:hAnsi="Times New Roman"/>
        </w:rPr>
        <w:t>, in a criminal organisation, means –</w:t>
      </w:r>
    </w:p>
    <w:p w14:paraId="418FA131" w14:textId="77777777" w:rsidR="00AA0A69" w:rsidRPr="00CB172B" w:rsidRDefault="00AA0A69" w:rsidP="00CB172B">
      <w:pPr>
        <w:pStyle w:val="leftright"/>
        <w:spacing w:before="0" w:after="260" w:line="280" w:lineRule="exact"/>
        <w:ind w:left="1440" w:right="0" w:hanging="720"/>
        <w:jc w:val="both"/>
        <w:rPr>
          <w:rFonts w:ascii="Times New Roman" w:hAnsi="Times New Roman"/>
        </w:rPr>
      </w:pPr>
      <w:r w:rsidRPr="00CB172B">
        <w:rPr>
          <w:rFonts w:ascii="Times New Roman" w:hAnsi="Times New Roman"/>
        </w:rPr>
        <w:t>(a)</w:t>
      </w:r>
      <w:r w:rsidRPr="00CB172B">
        <w:rPr>
          <w:rFonts w:ascii="Times New Roman" w:hAnsi="Times New Roman"/>
        </w:rPr>
        <w:tab/>
        <w:t>if the organisation is a body corporate – a director or officer of the body corporate; or</w:t>
      </w:r>
    </w:p>
    <w:p w14:paraId="3E27B948" w14:textId="77777777" w:rsidR="00AA0A69" w:rsidRPr="00CB172B" w:rsidRDefault="00AA0A69" w:rsidP="00CB172B">
      <w:pPr>
        <w:pStyle w:val="leftright"/>
        <w:spacing w:before="0" w:after="260" w:line="280" w:lineRule="exact"/>
        <w:ind w:left="1440" w:right="0" w:hanging="720"/>
        <w:jc w:val="both"/>
        <w:rPr>
          <w:rFonts w:ascii="Times New Roman" w:hAnsi="Times New Roman"/>
        </w:rPr>
      </w:pPr>
      <w:r w:rsidRPr="00CB172B">
        <w:rPr>
          <w:rFonts w:ascii="Times New Roman" w:hAnsi="Times New Roman"/>
        </w:rPr>
        <w:t>(b)</w:t>
      </w:r>
      <w:r w:rsidRPr="00CB172B">
        <w:rPr>
          <w:rFonts w:ascii="Times New Roman" w:hAnsi="Times New Roman"/>
        </w:rPr>
        <w:tab/>
        <w:t>a person who (whether by words or conduct, or in any other way) asserts, declares or advertises his or her membership of, or association with, the organisation; or</w:t>
      </w:r>
    </w:p>
    <w:p w14:paraId="14FBC8E3" w14:textId="77777777" w:rsidR="00AA0A69" w:rsidRPr="00CB172B" w:rsidRDefault="00AA0A69" w:rsidP="00CB172B">
      <w:pPr>
        <w:pStyle w:val="leftright"/>
        <w:spacing w:before="0" w:after="260" w:line="280" w:lineRule="exact"/>
        <w:ind w:left="1440" w:right="0" w:hanging="720"/>
        <w:jc w:val="both"/>
        <w:rPr>
          <w:rFonts w:ascii="Times New Roman" w:hAnsi="Times New Roman"/>
        </w:rPr>
      </w:pPr>
      <w:r w:rsidRPr="00CB172B">
        <w:rPr>
          <w:rFonts w:ascii="Times New Roman" w:hAnsi="Times New Roman"/>
        </w:rPr>
        <w:t>(c)</w:t>
      </w:r>
      <w:r w:rsidRPr="00CB172B">
        <w:rPr>
          <w:rFonts w:ascii="Times New Roman" w:hAnsi="Times New Roman"/>
        </w:rPr>
        <w:tab/>
        <w:t>a person who (whether by words or conduct, or in any other way) seeks to be a member of, or to be associated with, the organisation; or</w:t>
      </w:r>
    </w:p>
    <w:p w14:paraId="1A567C1E" w14:textId="77777777" w:rsidR="00AA0A69" w:rsidRPr="00CB172B" w:rsidRDefault="00AA0A69" w:rsidP="00CB172B">
      <w:pPr>
        <w:pStyle w:val="leftright"/>
        <w:spacing w:before="0" w:after="260" w:line="280" w:lineRule="exact"/>
        <w:ind w:left="1440" w:right="0" w:hanging="720"/>
        <w:jc w:val="both"/>
        <w:rPr>
          <w:rFonts w:ascii="Times New Roman" w:hAnsi="Times New Roman"/>
        </w:rPr>
      </w:pPr>
      <w:r w:rsidRPr="00CB172B">
        <w:rPr>
          <w:rFonts w:ascii="Times New Roman" w:hAnsi="Times New Roman"/>
        </w:rPr>
        <w:t>(d)</w:t>
      </w:r>
      <w:r w:rsidRPr="00CB172B">
        <w:rPr>
          <w:rFonts w:ascii="Times New Roman" w:hAnsi="Times New Roman"/>
        </w:rPr>
        <w:tab/>
        <w:t>a person who attends more than 1 meeting or gathering of persons who participate in the affairs of the organisation in any way; or</w:t>
      </w:r>
    </w:p>
    <w:p w14:paraId="02E4419A" w14:textId="77777777" w:rsidR="00AA0A69" w:rsidRPr="00CB172B" w:rsidRDefault="00AA0A69" w:rsidP="00CB172B">
      <w:pPr>
        <w:pStyle w:val="leftright"/>
        <w:spacing w:before="0" w:after="260" w:line="280" w:lineRule="exact"/>
        <w:ind w:left="1440" w:right="0" w:hanging="720"/>
        <w:jc w:val="both"/>
        <w:rPr>
          <w:rFonts w:ascii="Times New Roman" w:hAnsi="Times New Roman"/>
        </w:rPr>
      </w:pPr>
      <w:r w:rsidRPr="00CB172B">
        <w:rPr>
          <w:rFonts w:ascii="Times New Roman" w:hAnsi="Times New Roman"/>
        </w:rPr>
        <w:t>(e)</w:t>
      </w:r>
      <w:r w:rsidRPr="00CB172B">
        <w:rPr>
          <w:rFonts w:ascii="Times New Roman" w:hAnsi="Times New Roman"/>
        </w:rPr>
        <w:tab/>
        <w:t>a person who takes part in the affairs of the organisation in any other way,</w:t>
      </w:r>
    </w:p>
    <w:p w14:paraId="09B554FD" w14:textId="77777777" w:rsidR="00AA0A69" w:rsidRDefault="00AA0A69" w:rsidP="00CB172B">
      <w:pPr>
        <w:pStyle w:val="leftright"/>
        <w:spacing w:before="0" w:after="260" w:line="280" w:lineRule="exact"/>
        <w:ind w:right="0"/>
        <w:jc w:val="both"/>
        <w:rPr>
          <w:rFonts w:ascii="Times New Roman" w:hAnsi="Times New Roman"/>
        </w:rPr>
      </w:pPr>
      <w:r w:rsidRPr="00CB172B">
        <w:rPr>
          <w:rFonts w:ascii="Times New Roman" w:hAnsi="Times New Roman"/>
        </w:rPr>
        <w:t>but does not include a lawyer acting in a professional capacity".</w:t>
      </w:r>
    </w:p>
    <w:p w14:paraId="0C8A2F8E"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The term "prescribed place" is defined in s 83</w:t>
      </w:r>
      <w:proofErr w:type="gramStart"/>
      <w:r w:rsidRPr="00CB172B">
        <w:rPr>
          <w:rFonts w:ascii="Times New Roman" w:hAnsi="Times New Roman"/>
        </w:rPr>
        <w:t>GA(</w:t>
      </w:r>
      <w:proofErr w:type="gramEnd"/>
      <w:r w:rsidRPr="00CB172B">
        <w:rPr>
          <w:rFonts w:ascii="Times New Roman" w:hAnsi="Times New Roman"/>
        </w:rPr>
        <w:t>1) as a place "declared by regulation to be a prescribed place". Pursuant to s 83</w:t>
      </w:r>
      <w:proofErr w:type="gramStart"/>
      <w:r w:rsidRPr="00CB172B">
        <w:rPr>
          <w:rFonts w:ascii="Times New Roman" w:hAnsi="Times New Roman"/>
        </w:rPr>
        <w:t>GA(</w:t>
      </w:r>
      <w:proofErr w:type="gramEnd"/>
      <w:r w:rsidRPr="00CB172B">
        <w:rPr>
          <w:rFonts w:ascii="Times New Roman" w:hAnsi="Times New Roman"/>
        </w:rPr>
        <w:t xml:space="preserve">2), a regulation which declares a place to be prescribed must be "laid before each House of Parliament in accordance with the </w:t>
      </w:r>
      <w:r w:rsidRPr="00CB172B">
        <w:rPr>
          <w:rFonts w:ascii="Times New Roman" w:hAnsi="Times New Roman"/>
          <w:i/>
          <w:iCs/>
        </w:rPr>
        <w:t>Subordinate Legislation Act 1978</w:t>
      </w:r>
      <w:r w:rsidRPr="00CB172B">
        <w:rPr>
          <w:rFonts w:ascii="Times New Roman" w:hAnsi="Times New Roman"/>
        </w:rPr>
        <w:t>" and may only relate to "1 place".</w:t>
      </w:r>
    </w:p>
    <w:p w14:paraId="2C4F0330"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 xml:space="preserve">Other offences prescribed in </w:t>
      </w:r>
      <w:proofErr w:type="spellStart"/>
      <w:r w:rsidRPr="00CB172B">
        <w:rPr>
          <w:rFonts w:ascii="Times New Roman" w:hAnsi="Times New Roman"/>
        </w:rPr>
        <w:t>Div</w:t>
      </w:r>
      <w:proofErr w:type="spellEnd"/>
      <w:r w:rsidRPr="00CB172B">
        <w:rPr>
          <w:rFonts w:ascii="Times New Roman" w:hAnsi="Times New Roman"/>
        </w:rPr>
        <w:t xml:space="preserve"> 2 of Pt 3B include that of a person who is a participant in a criminal organisation being knowingly present in a public place with two or more </w:t>
      </w:r>
      <w:bookmarkStart w:id="1" w:name="_Hlk130912944"/>
      <w:r w:rsidRPr="00CB172B">
        <w:rPr>
          <w:rFonts w:ascii="Times New Roman" w:hAnsi="Times New Roman"/>
        </w:rPr>
        <w:t xml:space="preserve">participants in a criminal organisation </w:t>
      </w:r>
      <w:bookmarkEnd w:id="1"/>
      <w:r w:rsidRPr="00CB172B">
        <w:rPr>
          <w:rFonts w:ascii="Times New Roman" w:hAnsi="Times New Roman"/>
        </w:rPr>
        <w:t>(s 83GC); a participant in a criminal organisation attending, or attempting to attend, a "prescribed event" (s 83GD(2)); and a participant in a criminal organisation recruiting, or attempting to recruit, anyone to become a member of a criminal organisation (s 83GE).</w:t>
      </w:r>
    </w:p>
    <w:p w14:paraId="6E3A2440"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 xml:space="preserve">The purpose of s 83GD of the CLC Act, as it applies to "prescribed places", is not in dispute. It is to disrupt the activities of serious criminal organisations. That </w:t>
      </w:r>
      <w:r w:rsidRPr="00CB172B">
        <w:rPr>
          <w:rFonts w:ascii="Times New Roman" w:hAnsi="Times New Roman"/>
        </w:rPr>
        <w:lastRenderedPageBreak/>
        <w:t>purpose was well described by the Court of Appeal of the Supreme Court of South Australia in the following terms</w:t>
      </w:r>
      <w:r w:rsidRPr="00CB172B">
        <w:rPr>
          <w:rStyle w:val="FootnoteReference"/>
          <w:rFonts w:ascii="Times New Roman" w:hAnsi="Times New Roman"/>
          <w:sz w:val="24"/>
        </w:rPr>
        <w:footnoteReference w:id="89"/>
      </w:r>
      <w:r w:rsidRPr="00CB172B">
        <w:rPr>
          <w:rFonts w:ascii="Times New Roman" w:hAnsi="Times New Roman"/>
        </w:rPr>
        <w:t>:</w:t>
      </w:r>
    </w:p>
    <w:p w14:paraId="478DA010" w14:textId="77777777" w:rsidR="00AA0A69" w:rsidRDefault="00AA0A69" w:rsidP="00CB172B">
      <w:pPr>
        <w:pStyle w:val="LRIndentafterHC"/>
        <w:spacing w:before="0" w:after="260" w:line="280" w:lineRule="exact"/>
        <w:ind w:right="0"/>
        <w:jc w:val="both"/>
        <w:rPr>
          <w:rFonts w:ascii="Times New Roman" w:hAnsi="Times New Roman"/>
        </w:rPr>
      </w:pPr>
      <w:r w:rsidRPr="00CB172B">
        <w:rPr>
          <w:rFonts w:ascii="Times New Roman" w:hAnsi="Times New Roman"/>
        </w:rPr>
        <w:t>"It is a manifest purpose of s 83GD to curtail rights and freedoms of participants in criminal organisations with respect to prescribed places, in pursuit of a preventative approach to law enforcement. More broadly, Division 2 is intended to disrupt the activities of criminal organisations. Expressed at the most general level, to make it an offence for participants to meet at places in respect of which one or some of them hold proprietary interests is manifestly in furtherance of that purpose. Participants in criminal organisations who own or occupy prescribed places are obvious targets of the regime."</w:t>
      </w:r>
    </w:p>
    <w:p w14:paraId="1F42668C"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 xml:space="preserve">In the Second Reading Speech for the </w:t>
      </w:r>
      <w:r w:rsidRPr="00CB172B">
        <w:rPr>
          <w:rFonts w:ascii="Times New Roman" w:hAnsi="Times New Roman"/>
          <w:i/>
          <w:iCs/>
        </w:rPr>
        <w:t>Statutes Amendment (Serious and Organised Crime) Bill</w:t>
      </w:r>
      <w:r w:rsidRPr="00CB172B">
        <w:rPr>
          <w:rFonts w:ascii="Times New Roman" w:hAnsi="Times New Roman"/>
        </w:rPr>
        <w:t xml:space="preserve"> </w:t>
      </w:r>
      <w:r w:rsidRPr="00CB172B">
        <w:rPr>
          <w:rFonts w:ascii="Times New Roman" w:hAnsi="Times New Roman"/>
          <w:i/>
          <w:iCs/>
        </w:rPr>
        <w:t xml:space="preserve">2015 </w:t>
      </w:r>
      <w:r w:rsidRPr="00CB172B">
        <w:rPr>
          <w:rFonts w:ascii="Times New Roman" w:hAnsi="Times New Roman"/>
        </w:rPr>
        <w:t xml:space="preserve">(SA), which introduced </w:t>
      </w:r>
      <w:proofErr w:type="spellStart"/>
      <w:r w:rsidRPr="00CB172B">
        <w:rPr>
          <w:rFonts w:ascii="Times New Roman" w:hAnsi="Times New Roman"/>
        </w:rPr>
        <w:t>Div</w:t>
      </w:r>
      <w:proofErr w:type="spellEnd"/>
      <w:r w:rsidRPr="00CB172B">
        <w:rPr>
          <w:rFonts w:ascii="Times New Roman" w:hAnsi="Times New Roman"/>
        </w:rPr>
        <w:t> 2 of Pt 3B, the Attorney-General stated that in specifying who is to be a "criminal organisation", and what are to be "prescribed places", "detailed advice" had been taken from the police</w:t>
      </w:r>
      <w:r w:rsidRPr="00CB172B">
        <w:rPr>
          <w:rStyle w:val="FootnoteReference"/>
          <w:rFonts w:ascii="Times New Roman" w:hAnsi="Times New Roman"/>
          <w:sz w:val="24"/>
        </w:rPr>
        <w:footnoteReference w:id="90"/>
      </w:r>
      <w:r w:rsidRPr="00CB172B">
        <w:rPr>
          <w:rFonts w:ascii="Times New Roman" w:hAnsi="Times New Roman"/>
        </w:rPr>
        <w:t>. The Attorney-General said</w:t>
      </w:r>
      <w:r w:rsidRPr="00CB172B">
        <w:rPr>
          <w:rStyle w:val="FootnoteReference"/>
          <w:rFonts w:ascii="Times New Roman" w:hAnsi="Times New Roman"/>
          <w:sz w:val="24"/>
        </w:rPr>
        <w:footnoteReference w:id="91"/>
      </w:r>
      <w:r w:rsidRPr="00CB172B">
        <w:rPr>
          <w:rFonts w:ascii="Times New Roman" w:hAnsi="Times New Roman"/>
        </w:rPr>
        <w:t>:</w:t>
      </w:r>
    </w:p>
    <w:p w14:paraId="5164CF71" w14:textId="77777777" w:rsidR="00AA0A69" w:rsidRDefault="00AA0A69" w:rsidP="00CB172B">
      <w:pPr>
        <w:pStyle w:val="LRIndentafterHC"/>
        <w:spacing w:before="0" w:after="260" w:line="280" w:lineRule="exact"/>
        <w:ind w:right="0"/>
        <w:jc w:val="both"/>
        <w:rPr>
          <w:rFonts w:ascii="Times New Roman" w:hAnsi="Times New Roman"/>
        </w:rPr>
      </w:pPr>
      <w:r w:rsidRPr="00CB172B">
        <w:rPr>
          <w:rFonts w:ascii="Times New Roman" w:hAnsi="Times New Roman"/>
        </w:rPr>
        <w:t>"I have taken extensive and detailed advice from police both on names and places in Schedules 1 and 2 and have considered their inclusion by reference to the proposed statutory criteria for the making of regulations."</w:t>
      </w:r>
    </w:p>
    <w:p w14:paraId="2376FFF0"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 xml:space="preserve">It is not in dispute that the "Hells Angels" motorcycle club is a "criminal organisation" for the purposes of </w:t>
      </w:r>
      <w:proofErr w:type="spellStart"/>
      <w:r w:rsidRPr="00CB172B">
        <w:rPr>
          <w:rFonts w:ascii="Times New Roman" w:hAnsi="Times New Roman"/>
        </w:rPr>
        <w:t>Div</w:t>
      </w:r>
      <w:proofErr w:type="spellEnd"/>
      <w:r w:rsidRPr="00CB172B">
        <w:rPr>
          <w:rFonts w:ascii="Times New Roman" w:hAnsi="Times New Roman"/>
        </w:rPr>
        <w:t> 2 of Pt 3B of the CLC Act</w:t>
      </w:r>
      <w:r w:rsidRPr="00CB172B">
        <w:rPr>
          <w:rStyle w:val="FootnoteReference"/>
          <w:rFonts w:ascii="Times New Roman" w:hAnsi="Times New Roman"/>
          <w:sz w:val="24"/>
        </w:rPr>
        <w:footnoteReference w:id="92"/>
      </w:r>
      <w:r w:rsidRPr="00CB172B">
        <w:rPr>
          <w:rFonts w:ascii="Times New Roman" w:hAnsi="Times New Roman"/>
        </w:rPr>
        <w:t>. The second and third appellants, who are occupiers of the Cowirra land, are members of that club, and thus "participants in a criminal organisation" for the purposes of s 83GD. They are the directors and only shareholders of the first appellant, which is the owner of the land the subject of the Cowirra Regulations.</w:t>
      </w:r>
    </w:p>
    <w:p w14:paraId="27456485"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Finally, there is the regulation making power in s 370(1) of the CLC Act. It provides:</w:t>
      </w:r>
    </w:p>
    <w:p w14:paraId="2C2DFCFD" w14:textId="77777777" w:rsidR="00AA0A69" w:rsidRDefault="00AA0A69" w:rsidP="00CB172B">
      <w:pPr>
        <w:pStyle w:val="LeftrightafterHC"/>
        <w:spacing w:before="0" w:after="260" w:line="280" w:lineRule="exact"/>
        <w:ind w:right="0"/>
        <w:jc w:val="both"/>
        <w:rPr>
          <w:rFonts w:ascii="Times New Roman" w:hAnsi="Times New Roman"/>
        </w:rPr>
      </w:pPr>
      <w:r w:rsidRPr="00CB172B">
        <w:rPr>
          <w:rFonts w:ascii="Times New Roman" w:hAnsi="Times New Roman"/>
        </w:rPr>
        <w:lastRenderedPageBreak/>
        <w:t>"The Governor may make such regulations as are contemplated by, or as are necessary or expedient for the purposes of, this Act."</w:t>
      </w:r>
    </w:p>
    <w:p w14:paraId="7B4F3200"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 xml:space="preserve">This is the context for determining whether the Governor of South Australia owed the second and third appellants, who are members of a declared criminal organisation, and a company they own, an obligation of procedural fairness, and if so its content, before making the Cowirra Regulations. For the reasons which follow, any such obligation would be antithetical to the statutory regime enacted in </w:t>
      </w:r>
      <w:proofErr w:type="spellStart"/>
      <w:r w:rsidRPr="00CB172B">
        <w:rPr>
          <w:rFonts w:ascii="Times New Roman" w:hAnsi="Times New Roman"/>
        </w:rPr>
        <w:t>Div</w:t>
      </w:r>
      <w:proofErr w:type="spellEnd"/>
      <w:r w:rsidRPr="00CB172B">
        <w:rPr>
          <w:rFonts w:ascii="Times New Roman" w:hAnsi="Times New Roman"/>
        </w:rPr>
        <w:t> 2 of Pt 3B of the CLC Act. It is, with great respect, a remarkable proposition to require the South Australian Government to consult with a criminal organisation before declaring one of that organisation's properties to be a prescribed place. In such particular circumstances, the presumption in favour of conditioning the power to make regulations for the purpose of s 83</w:t>
      </w:r>
      <w:proofErr w:type="gramStart"/>
      <w:r w:rsidRPr="00CB172B">
        <w:rPr>
          <w:rFonts w:ascii="Times New Roman" w:hAnsi="Times New Roman"/>
        </w:rPr>
        <w:t>GA(</w:t>
      </w:r>
      <w:proofErr w:type="gramEnd"/>
      <w:r w:rsidRPr="00CB172B">
        <w:rPr>
          <w:rFonts w:ascii="Times New Roman" w:hAnsi="Times New Roman"/>
        </w:rPr>
        <w:t>1) with an obligation to provide procedural fairness to the appellants is rebutted.</w:t>
      </w:r>
    </w:p>
    <w:p w14:paraId="283E1DC4" w14:textId="77777777" w:rsidR="00AA0A69" w:rsidRPr="00CB172B" w:rsidRDefault="00AA0A69" w:rsidP="00CB172B">
      <w:pPr>
        <w:pStyle w:val="HeadingL1"/>
        <w:spacing w:after="260" w:line="280" w:lineRule="exact"/>
        <w:ind w:right="0"/>
        <w:jc w:val="both"/>
        <w:rPr>
          <w:rFonts w:ascii="Times New Roman" w:hAnsi="Times New Roman"/>
        </w:rPr>
      </w:pPr>
      <w:r w:rsidRPr="00CB172B">
        <w:rPr>
          <w:rFonts w:ascii="Times New Roman" w:hAnsi="Times New Roman"/>
        </w:rPr>
        <w:t xml:space="preserve">Public policy, matters of generality, security and procedural </w:t>
      </w:r>
      <w:proofErr w:type="gramStart"/>
      <w:r w:rsidRPr="00CB172B">
        <w:rPr>
          <w:rFonts w:ascii="Times New Roman" w:hAnsi="Times New Roman"/>
        </w:rPr>
        <w:t>fairness</w:t>
      </w:r>
      <w:proofErr w:type="gramEnd"/>
    </w:p>
    <w:p w14:paraId="7208B41A"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It has long been the case that high-level governmental decisions which are essentially political in nature, or which involve policy decisions affecting numerous individuals, do not ordinarily attract an obligation to provide procedural fairness before they are made</w:t>
      </w:r>
      <w:r w:rsidRPr="00CB172B">
        <w:rPr>
          <w:rStyle w:val="FootnoteReference"/>
          <w:rFonts w:ascii="Times New Roman" w:hAnsi="Times New Roman"/>
          <w:sz w:val="24"/>
        </w:rPr>
        <w:footnoteReference w:id="93"/>
      </w:r>
      <w:r w:rsidRPr="00CB172B">
        <w:rPr>
          <w:rFonts w:ascii="Times New Roman" w:hAnsi="Times New Roman"/>
        </w:rPr>
        <w:t xml:space="preserve">. In </w:t>
      </w:r>
      <w:r w:rsidRPr="00CB172B">
        <w:rPr>
          <w:rFonts w:ascii="Times New Roman" w:hAnsi="Times New Roman"/>
          <w:i/>
          <w:iCs/>
        </w:rPr>
        <w:t>South Australia v O'Shea</w:t>
      </w:r>
      <w:r w:rsidRPr="00CB172B">
        <w:rPr>
          <w:rFonts w:ascii="Times New Roman" w:hAnsi="Times New Roman"/>
        </w:rPr>
        <w:t>, Brennan J gave the following explanation as to why this is so</w:t>
      </w:r>
      <w:r w:rsidRPr="00CB172B">
        <w:rPr>
          <w:rStyle w:val="FootnoteReference"/>
          <w:rFonts w:ascii="Times New Roman" w:hAnsi="Times New Roman"/>
          <w:sz w:val="24"/>
        </w:rPr>
        <w:footnoteReference w:id="94"/>
      </w:r>
      <w:r w:rsidRPr="00CB172B">
        <w:rPr>
          <w:rFonts w:ascii="Times New Roman" w:hAnsi="Times New Roman"/>
        </w:rPr>
        <w:t>:</w:t>
      </w:r>
    </w:p>
    <w:p w14:paraId="52F249B9" w14:textId="77777777" w:rsidR="00AA0A69" w:rsidRDefault="00AA0A69" w:rsidP="00CB172B">
      <w:pPr>
        <w:pStyle w:val="LeftrightafterHC"/>
        <w:spacing w:before="0" w:after="260" w:line="280" w:lineRule="exact"/>
        <w:ind w:right="0"/>
        <w:jc w:val="both"/>
        <w:rPr>
          <w:rFonts w:ascii="Times New Roman" w:hAnsi="Times New Roman"/>
        </w:rPr>
      </w:pPr>
      <w:r w:rsidRPr="00CB172B">
        <w:rPr>
          <w:rFonts w:ascii="Times New Roman" w:hAnsi="Times New Roman"/>
        </w:rPr>
        <w:t xml:space="preserve">"[A] Minister is not bound to hear an individual before formulating or applying a general policy or exercising a discretion in the particular case by reference to the interests of the general public, even when the decision affects the individual's interests. When we reach the area of ministerial policy giving effect to the </w:t>
      </w:r>
      <w:proofErr w:type="gramStart"/>
      <w:r w:rsidRPr="00CB172B">
        <w:rPr>
          <w:rFonts w:ascii="Times New Roman" w:hAnsi="Times New Roman"/>
        </w:rPr>
        <w:t>general public</w:t>
      </w:r>
      <w:proofErr w:type="gramEnd"/>
      <w:r w:rsidRPr="00CB172B">
        <w:rPr>
          <w:rFonts w:ascii="Times New Roman" w:hAnsi="Times New Roman"/>
        </w:rPr>
        <w:t xml:space="preserve"> interest, we enter the political field. In that field a Minister or a Cabinet may determine general policy or the interests of the general public free of procedural constraints; he </w:t>
      </w:r>
      <w:proofErr w:type="gramStart"/>
      <w:r w:rsidRPr="00CB172B">
        <w:rPr>
          <w:rFonts w:ascii="Times New Roman" w:hAnsi="Times New Roman"/>
        </w:rPr>
        <w:t>is</w:t>
      </w:r>
      <w:proofErr w:type="gramEnd"/>
      <w:r w:rsidRPr="00CB172B">
        <w:rPr>
          <w:rFonts w:ascii="Times New Roman" w:hAnsi="Times New Roman"/>
        </w:rPr>
        <w:t xml:space="preserve"> or </w:t>
      </w:r>
      <w:r w:rsidRPr="00CB172B">
        <w:rPr>
          <w:rFonts w:ascii="Times New Roman" w:hAnsi="Times New Roman"/>
        </w:rPr>
        <w:lastRenderedPageBreak/>
        <w:t>they are confined only by the limits otherwise expressed or implied by statute."</w:t>
      </w:r>
    </w:p>
    <w:p w14:paraId="340316D9"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 xml:space="preserve">More recently in </w:t>
      </w:r>
      <w:r w:rsidRPr="00CB172B">
        <w:rPr>
          <w:rFonts w:ascii="Times New Roman" w:hAnsi="Times New Roman"/>
          <w:i/>
          <w:iCs/>
        </w:rPr>
        <w:t>SDCV v Director-General of Security</w:t>
      </w:r>
      <w:r w:rsidRPr="00CB172B">
        <w:rPr>
          <w:rFonts w:ascii="Times New Roman" w:hAnsi="Times New Roman"/>
        </w:rPr>
        <w:t>, Kiefel CJ, Keane and Gleeson JJ affirmed the general rule that</w:t>
      </w:r>
      <w:r w:rsidRPr="00CB172B">
        <w:rPr>
          <w:rStyle w:val="FootnoteReference"/>
          <w:rFonts w:ascii="Times New Roman" w:hAnsi="Times New Roman"/>
          <w:sz w:val="24"/>
        </w:rPr>
        <w:footnoteReference w:id="95"/>
      </w:r>
      <w:r w:rsidRPr="00CB172B">
        <w:rPr>
          <w:rFonts w:ascii="Times New Roman" w:hAnsi="Times New Roman"/>
        </w:rPr>
        <w:t>:</w:t>
      </w:r>
    </w:p>
    <w:p w14:paraId="75905819" w14:textId="77777777" w:rsidR="00AA0A69" w:rsidRDefault="00AA0A69" w:rsidP="00CB172B">
      <w:pPr>
        <w:pStyle w:val="LeftrightafterHC"/>
        <w:spacing w:before="0" w:after="260" w:line="280" w:lineRule="exact"/>
        <w:ind w:right="0"/>
        <w:jc w:val="both"/>
        <w:rPr>
          <w:rFonts w:ascii="Times New Roman" w:hAnsi="Times New Roman"/>
        </w:rPr>
      </w:pPr>
      <w:r w:rsidRPr="00CB172B">
        <w:rPr>
          <w:rFonts w:ascii="Times New Roman" w:hAnsi="Times New Roman"/>
        </w:rPr>
        <w:t>"[P]</w:t>
      </w:r>
      <w:proofErr w:type="spellStart"/>
      <w:r w:rsidRPr="00CB172B">
        <w:rPr>
          <w:rFonts w:ascii="Times New Roman" w:hAnsi="Times New Roman"/>
        </w:rPr>
        <w:t>ractical</w:t>
      </w:r>
      <w:proofErr w:type="spellEnd"/>
      <w:r w:rsidRPr="00CB172B">
        <w:rPr>
          <w:rFonts w:ascii="Times New Roman" w:hAnsi="Times New Roman"/>
        </w:rPr>
        <w:t xml:space="preserve"> judgments, legislative or judicial, about the content and application of procedural fairness may vary with the claim to consideration of matters of public interest".</w:t>
      </w:r>
    </w:p>
    <w:p w14:paraId="3D90AC0C"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Even decisions which only affect a narrow and easily identifiable class of individuals may yet exhibit that high level of generality in decision making which may rebut any obligation of procedural fairness</w:t>
      </w:r>
      <w:r w:rsidRPr="00CB172B">
        <w:rPr>
          <w:rStyle w:val="FootnoteReference"/>
          <w:rFonts w:ascii="Times New Roman" w:hAnsi="Times New Roman"/>
          <w:sz w:val="24"/>
        </w:rPr>
        <w:footnoteReference w:id="96"/>
      </w:r>
      <w:r w:rsidRPr="00CB172B">
        <w:rPr>
          <w:rFonts w:ascii="Times New Roman" w:hAnsi="Times New Roman"/>
        </w:rPr>
        <w:t xml:space="preserve">. The well-known decision of the Full Court of the Federal Court of Australia in </w:t>
      </w:r>
      <w:r w:rsidRPr="00CB172B">
        <w:rPr>
          <w:rFonts w:ascii="Times New Roman" w:hAnsi="Times New Roman"/>
          <w:i/>
          <w:iCs/>
        </w:rPr>
        <w:t>Comptroller-General of Customs v Kawasaki Motors Pty Ltd [No 1]</w:t>
      </w:r>
      <w:r w:rsidRPr="00CB172B">
        <w:rPr>
          <w:rStyle w:val="FootnoteReference"/>
          <w:rFonts w:ascii="Times New Roman" w:hAnsi="Times New Roman"/>
          <w:sz w:val="24"/>
        </w:rPr>
        <w:footnoteReference w:id="97"/>
      </w:r>
      <w:r w:rsidRPr="00CB172B">
        <w:rPr>
          <w:rFonts w:ascii="Times New Roman" w:hAnsi="Times New Roman"/>
        </w:rPr>
        <w:t xml:space="preserve"> is an illustration of this principle. In that case judicial review was sought of a decision to revoke a commercial tariff concession order made under the </w:t>
      </w:r>
      <w:r w:rsidRPr="00CB172B">
        <w:rPr>
          <w:rFonts w:ascii="Times New Roman" w:hAnsi="Times New Roman"/>
          <w:i/>
          <w:iCs/>
        </w:rPr>
        <w:t>Customs Act 1901</w:t>
      </w:r>
      <w:r w:rsidRPr="00CB172B">
        <w:rPr>
          <w:rFonts w:ascii="Times New Roman" w:hAnsi="Times New Roman"/>
        </w:rPr>
        <w:t xml:space="preserve"> (Cth) concerning "jet ski watercraft". The decision specifically affected the commercial interests of Kawasaki Motors. It claimed that procedural fairness required that it should have been given notice of the proposal to revoke the order </w:t>
      </w:r>
      <w:proofErr w:type="gramStart"/>
      <w:r w:rsidRPr="00CB172B">
        <w:rPr>
          <w:rFonts w:ascii="Times New Roman" w:hAnsi="Times New Roman"/>
        </w:rPr>
        <w:t>and also</w:t>
      </w:r>
      <w:proofErr w:type="gramEnd"/>
      <w:r w:rsidRPr="00CB172B">
        <w:rPr>
          <w:rFonts w:ascii="Times New Roman" w:hAnsi="Times New Roman"/>
        </w:rPr>
        <w:t xml:space="preserve"> an opportunity to make submissions. The Court rejected this submission. Hill and </w:t>
      </w:r>
      <w:proofErr w:type="spellStart"/>
      <w:r w:rsidRPr="00CB172B">
        <w:rPr>
          <w:rFonts w:ascii="Times New Roman" w:hAnsi="Times New Roman"/>
        </w:rPr>
        <w:t>Heerey</w:t>
      </w:r>
      <w:proofErr w:type="spellEnd"/>
      <w:r w:rsidRPr="00CB172B">
        <w:rPr>
          <w:rFonts w:ascii="Times New Roman" w:hAnsi="Times New Roman"/>
        </w:rPr>
        <w:t> JJ recognised that a distinction should be drawn between a decision which directly affects a person individually and one which only affects that person as a member of the public or of a class of the public</w:t>
      </w:r>
      <w:r w:rsidRPr="00CB172B">
        <w:rPr>
          <w:rStyle w:val="FootnoteReference"/>
          <w:rFonts w:ascii="Times New Roman" w:hAnsi="Times New Roman"/>
          <w:sz w:val="24"/>
        </w:rPr>
        <w:footnoteReference w:id="98"/>
      </w:r>
      <w:r w:rsidRPr="00CB172B">
        <w:rPr>
          <w:rFonts w:ascii="Times New Roman" w:hAnsi="Times New Roman"/>
        </w:rPr>
        <w:t xml:space="preserve">. Hill and </w:t>
      </w:r>
      <w:proofErr w:type="spellStart"/>
      <w:r w:rsidRPr="00CB172B">
        <w:rPr>
          <w:rFonts w:ascii="Times New Roman" w:hAnsi="Times New Roman"/>
        </w:rPr>
        <w:t>Heerey</w:t>
      </w:r>
      <w:proofErr w:type="spellEnd"/>
      <w:r w:rsidRPr="00CB172B">
        <w:rPr>
          <w:rFonts w:ascii="Times New Roman" w:hAnsi="Times New Roman"/>
        </w:rPr>
        <w:t> JJ also reasoned that the decision to revoke the tariff concession order involved a consideration of issues of national interest and that, accordingly, there was no duty of procedural fairness. Their Honours said</w:t>
      </w:r>
      <w:r w:rsidRPr="00CB172B">
        <w:rPr>
          <w:rStyle w:val="FootnoteReference"/>
          <w:rFonts w:ascii="Times New Roman" w:hAnsi="Times New Roman"/>
          <w:sz w:val="24"/>
        </w:rPr>
        <w:footnoteReference w:id="99"/>
      </w:r>
      <w:r w:rsidRPr="00CB172B">
        <w:rPr>
          <w:rFonts w:ascii="Times New Roman" w:hAnsi="Times New Roman"/>
        </w:rPr>
        <w:t>:</w:t>
      </w:r>
    </w:p>
    <w:p w14:paraId="722510AA" w14:textId="77777777" w:rsidR="00AA0A69" w:rsidRDefault="00AA0A69" w:rsidP="00CB172B">
      <w:pPr>
        <w:pStyle w:val="LRIndentafterHC"/>
        <w:spacing w:before="0" w:after="260" w:line="280" w:lineRule="exact"/>
        <w:ind w:right="0"/>
        <w:jc w:val="both"/>
        <w:rPr>
          <w:rFonts w:ascii="Times New Roman" w:hAnsi="Times New Roman"/>
        </w:rPr>
      </w:pPr>
      <w:r w:rsidRPr="00CB172B">
        <w:rPr>
          <w:rFonts w:ascii="Times New Roman" w:hAnsi="Times New Roman"/>
        </w:rPr>
        <w:t xml:space="preserve">"The regime of Customs duties, including variations effected by [tariff concession orders], is at any given time the scoreboard of the enduring contest waged between the forces of free trade and protection. As well as the direct commercial interests ... there are social, </w:t>
      </w:r>
      <w:proofErr w:type="gramStart"/>
      <w:r w:rsidRPr="00CB172B">
        <w:rPr>
          <w:rFonts w:ascii="Times New Roman" w:hAnsi="Times New Roman"/>
        </w:rPr>
        <w:t>political</w:t>
      </w:r>
      <w:proofErr w:type="gramEnd"/>
      <w:r w:rsidRPr="00CB172B">
        <w:rPr>
          <w:rFonts w:ascii="Times New Roman" w:hAnsi="Times New Roman"/>
        </w:rPr>
        <w:t xml:space="preserve"> and </w:t>
      </w:r>
      <w:r w:rsidRPr="00CB172B">
        <w:rPr>
          <w:rFonts w:ascii="Times New Roman" w:hAnsi="Times New Roman"/>
        </w:rPr>
        <w:lastRenderedPageBreak/>
        <w:t>economic considerations affecting the whole Australian community. The rules of natural justice are in our opinion inapplicable in such a setting."</w:t>
      </w:r>
    </w:p>
    <w:p w14:paraId="12FD2E77"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The national or public interest includes a concern with national as well as community security – for example, the detection and prosecution of crime and the protection of sensitive criminal intelligence</w:t>
      </w:r>
      <w:r w:rsidRPr="00CB172B">
        <w:rPr>
          <w:rStyle w:val="FootnoteReference"/>
          <w:rFonts w:ascii="Times New Roman" w:hAnsi="Times New Roman"/>
          <w:sz w:val="24"/>
        </w:rPr>
        <w:footnoteReference w:id="100"/>
      </w:r>
      <w:r w:rsidRPr="00CB172B">
        <w:rPr>
          <w:rFonts w:ascii="Times New Roman" w:hAnsi="Times New Roman"/>
        </w:rPr>
        <w:t xml:space="preserve">. Thus, in </w:t>
      </w:r>
      <w:r w:rsidRPr="00CB172B">
        <w:rPr>
          <w:rFonts w:ascii="Times New Roman" w:hAnsi="Times New Roman"/>
          <w:i/>
          <w:iCs/>
        </w:rPr>
        <w:t>R (Tucker) v Director-General of the National Crime Squad</w:t>
      </w:r>
      <w:r w:rsidRPr="00CB172B">
        <w:rPr>
          <w:rFonts w:ascii="Times New Roman" w:hAnsi="Times New Roman"/>
        </w:rPr>
        <w:t>, Scott Baker LJ said</w:t>
      </w:r>
      <w:r w:rsidRPr="00CB172B">
        <w:rPr>
          <w:rStyle w:val="FootnoteReference"/>
          <w:rFonts w:ascii="Times New Roman" w:hAnsi="Times New Roman"/>
          <w:sz w:val="24"/>
        </w:rPr>
        <w:footnoteReference w:id="101"/>
      </w:r>
      <w:r w:rsidRPr="00CB172B">
        <w:rPr>
          <w:rFonts w:ascii="Times New Roman" w:hAnsi="Times New Roman"/>
        </w:rPr>
        <w:t>:</w:t>
      </w:r>
    </w:p>
    <w:p w14:paraId="15EC4381" w14:textId="77777777" w:rsidR="00AA0A69" w:rsidRDefault="00AA0A69" w:rsidP="00CB172B">
      <w:pPr>
        <w:pStyle w:val="LRIndentafterHC"/>
        <w:spacing w:before="0" w:after="260" w:line="280" w:lineRule="exact"/>
        <w:ind w:right="0"/>
        <w:jc w:val="both"/>
        <w:rPr>
          <w:rFonts w:ascii="Times New Roman" w:hAnsi="Times New Roman"/>
        </w:rPr>
      </w:pPr>
      <w:r w:rsidRPr="00CB172B">
        <w:rPr>
          <w:rFonts w:ascii="Times New Roman" w:hAnsi="Times New Roman"/>
        </w:rPr>
        <w:t>"It is clearly established that, where there are real concerns about national security, the obligations of fairness may have to be modified or excluded".</w:t>
      </w:r>
    </w:p>
    <w:p w14:paraId="23E66F27"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There may also be cases where a duty of procedural fairness may be found to exist, but its content is reduced to "nothingness"</w:t>
      </w:r>
      <w:r w:rsidRPr="00CB172B">
        <w:rPr>
          <w:rStyle w:val="FootnoteReference"/>
          <w:rFonts w:ascii="Times New Roman" w:hAnsi="Times New Roman"/>
          <w:sz w:val="24"/>
        </w:rPr>
        <w:footnoteReference w:id="102"/>
      </w:r>
      <w:r w:rsidRPr="00CB172B">
        <w:rPr>
          <w:rFonts w:ascii="Times New Roman" w:hAnsi="Times New Roman"/>
        </w:rPr>
        <w:t xml:space="preserve"> due to countervailing considerations. </w:t>
      </w:r>
      <w:proofErr w:type="spellStart"/>
      <w:r w:rsidRPr="00CB172B">
        <w:rPr>
          <w:rFonts w:ascii="Times New Roman" w:hAnsi="Times New Roman"/>
          <w:i/>
          <w:iCs/>
        </w:rPr>
        <w:t>Leghaei</w:t>
      </w:r>
      <w:proofErr w:type="spellEnd"/>
      <w:r w:rsidRPr="00CB172B">
        <w:rPr>
          <w:rFonts w:ascii="Times New Roman" w:hAnsi="Times New Roman"/>
          <w:i/>
          <w:iCs/>
        </w:rPr>
        <w:t xml:space="preserve"> v Director-General of Security</w:t>
      </w:r>
      <w:r w:rsidRPr="00CB172B">
        <w:rPr>
          <w:rStyle w:val="FootnoteReference"/>
          <w:rFonts w:ascii="Times New Roman" w:hAnsi="Times New Roman"/>
          <w:sz w:val="24"/>
        </w:rPr>
        <w:footnoteReference w:id="103"/>
      </w:r>
      <w:r w:rsidRPr="00CB172B">
        <w:rPr>
          <w:rFonts w:ascii="Times New Roman" w:hAnsi="Times New Roman"/>
        </w:rPr>
        <w:t xml:space="preserve"> was such a case. The applicant claimed that he had been denied procedural fairness in the context of a decision to issue him with an adverse security assessment for the purposes of the </w:t>
      </w:r>
      <w:r w:rsidRPr="00CB172B">
        <w:rPr>
          <w:rFonts w:ascii="Times New Roman" w:hAnsi="Times New Roman"/>
          <w:i/>
          <w:iCs/>
        </w:rPr>
        <w:t>Australian Security Intelligence Organisation Act 1979</w:t>
      </w:r>
      <w:r w:rsidRPr="00CB172B">
        <w:rPr>
          <w:rFonts w:ascii="Times New Roman" w:hAnsi="Times New Roman"/>
        </w:rPr>
        <w:t xml:space="preserve"> (Cth). </w:t>
      </w:r>
      <w:proofErr w:type="spellStart"/>
      <w:r w:rsidRPr="00CB172B">
        <w:rPr>
          <w:rFonts w:ascii="Times New Roman" w:hAnsi="Times New Roman"/>
        </w:rPr>
        <w:t>Madgwick</w:t>
      </w:r>
      <w:proofErr w:type="spellEnd"/>
      <w:r w:rsidRPr="00CB172B">
        <w:rPr>
          <w:rFonts w:ascii="Times New Roman" w:hAnsi="Times New Roman"/>
        </w:rPr>
        <w:t> J said</w:t>
      </w:r>
      <w:r w:rsidRPr="00CB172B">
        <w:rPr>
          <w:rStyle w:val="FootnoteReference"/>
          <w:rFonts w:ascii="Times New Roman" w:hAnsi="Times New Roman"/>
          <w:sz w:val="24"/>
        </w:rPr>
        <w:footnoteReference w:id="104"/>
      </w:r>
      <w:r w:rsidRPr="00CB172B">
        <w:rPr>
          <w:rFonts w:ascii="Times New Roman" w:hAnsi="Times New Roman"/>
        </w:rPr>
        <w:t>:</w:t>
      </w:r>
    </w:p>
    <w:p w14:paraId="5A42E2FD" w14:textId="77777777" w:rsidR="00AA0A69" w:rsidRDefault="00AA0A69" w:rsidP="00CB172B">
      <w:pPr>
        <w:pStyle w:val="LRIndentafterHC"/>
        <w:spacing w:before="0" w:after="260" w:line="280" w:lineRule="exact"/>
        <w:ind w:right="0"/>
        <w:jc w:val="both"/>
        <w:rPr>
          <w:rFonts w:ascii="Times New Roman" w:hAnsi="Times New Roman"/>
        </w:rPr>
      </w:pPr>
      <w:r w:rsidRPr="00CB172B">
        <w:rPr>
          <w:rFonts w:ascii="Times New Roman" w:hAnsi="Times New Roman"/>
        </w:rPr>
        <w:t>"In the circumstances of the present case, I am persuaded, having read and had debated the confidential material before me, that genuine consideration has been given, by the Director-General, to the possibility of disclosure, but that the potential prejudice to the interests of national security involved in such disclosure appears to be such that the content of procedural fairness is reduced, in practical terms, to nothingness."</w:t>
      </w:r>
    </w:p>
    <w:p w14:paraId="530AEA1D"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 xml:space="preserve">Three other considerations which may be relevant, in a case such as this, to a determination of whether a "sufficient indication" exists that Parliament intended </w:t>
      </w:r>
      <w:r w:rsidRPr="00CB172B">
        <w:rPr>
          <w:rFonts w:ascii="Times New Roman" w:hAnsi="Times New Roman"/>
        </w:rPr>
        <w:lastRenderedPageBreak/>
        <w:t xml:space="preserve">to exclude, or limit, any obligation to provide procedural fairness were summarised by Brennan J in </w:t>
      </w:r>
      <w:r w:rsidRPr="00CB172B">
        <w:rPr>
          <w:rFonts w:ascii="Times New Roman" w:hAnsi="Times New Roman"/>
          <w:i/>
          <w:iCs/>
        </w:rPr>
        <w:t xml:space="preserve">FAI Insurances Ltd v </w:t>
      </w:r>
      <w:proofErr w:type="spellStart"/>
      <w:r w:rsidRPr="00CB172B">
        <w:rPr>
          <w:rFonts w:ascii="Times New Roman" w:hAnsi="Times New Roman"/>
          <w:i/>
          <w:iCs/>
        </w:rPr>
        <w:t>Winneke</w:t>
      </w:r>
      <w:proofErr w:type="spellEnd"/>
      <w:r w:rsidRPr="00CB172B">
        <w:rPr>
          <w:rFonts w:ascii="Times New Roman" w:hAnsi="Times New Roman"/>
        </w:rPr>
        <w:t xml:space="preserve"> as follows</w:t>
      </w:r>
      <w:r w:rsidRPr="00CB172B">
        <w:rPr>
          <w:rStyle w:val="FootnoteReference"/>
          <w:rFonts w:ascii="Times New Roman" w:hAnsi="Times New Roman"/>
          <w:sz w:val="24"/>
        </w:rPr>
        <w:footnoteReference w:id="105"/>
      </w:r>
      <w:r w:rsidRPr="00CB172B">
        <w:rPr>
          <w:rFonts w:ascii="Times New Roman" w:hAnsi="Times New Roman"/>
        </w:rPr>
        <w:t>:</w:t>
      </w:r>
    </w:p>
    <w:p w14:paraId="64C42B15" w14:textId="77777777" w:rsidR="00AA0A69" w:rsidRDefault="00AA0A69" w:rsidP="00CB172B">
      <w:pPr>
        <w:pStyle w:val="LeftrightafterHC"/>
        <w:spacing w:before="0" w:after="260" w:line="280" w:lineRule="exact"/>
        <w:ind w:right="0"/>
        <w:jc w:val="both"/>
        <w:rPr>
          <w:rFonts w:ascii="Times New Roman" w:hAnsi="Times New Roman"/>
        </w:rPr>
      </w:pPr>
      <w:r w:rsidRPr="00CB172B">
        <w:rPr>
          <w:rFonts w:ascii="Times New Roman" w:hAnsi="Times New Roman"/>
        </w:rPr>
        <w:t>"[T]he chief matters for consideration in ascertaining whether the legislature intended that the principles of natural justice should be applied are the statutory text, the interests affected by the statute and the repository of the power."</w:t>
      </w:r>
    </w:p>
    <w:p w14:paraId="54B5A895"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 xml:space="preserve">With respect to the first factor, being the statutory language, it is well established that the conferral of an unconstrained power is an indicator that Parliament intended to exclude any duty of procedural fairness. As Gibbs J said in </w:t>
      </w:r>
      <w:proofErr w:type="spellStart"/>
      <w:r w:rsidRPr="00CB172B">
        <w:rPr>
          <w:rFonts w:ascii="Times New Roman" w:hAnsi="Times New Roman"/>
          <w:i/>
          <w:iCs/>
        </w:rPr>
        <w:t>Salemi</w:t>
      </w:r>
      <w:proofErr w:type="spellEnd"/>
      <w:r w:rsidRPr="00CB172B">
        <w:rPr>
          <w:rFonts w:ascii="Times New Roman" w:hAnsi="Times New Roman"/>
          <w:i/>
          <w:iCs/>
        </w:rPr>
        <w:t xml:space="preserve"> v </w:t>
      </w:r>
      <w:proofErr w:type="spellStart"/>
      <w:r w:rsidRPr="00CB172B">
        <w:rPr>
          <w:rFonts w:ascii="Times New Roman" w:hAnsi="Times New Roman"/>
          <w:i/>
          <w:iCs/>
        </w:rPr>
        <w:t>MacKellar</w:t>
      </w:r>
      <w:proofErr w:type="spellEnd"/>
      <w:r w:rsidRPr="00CB172B">
        <w:rPr>
          <w:rFonts w:ascii="Times New Roman" w:hAnsi="Times New Roman"/>
          <w:i/>
          <w:iCs/>
        </w:rPr>
        <w:t xml:space="preserve"> [No 2]</w:t>
      </w:r>
      <w:r w:rsidRPr="00CB172B">
        <w:rPr>
          <w:rStyle w:val="FootnoteReference"/>
          <w:rFonts w:ascii="Times New Roman" w:hAnsi="Times New Roman"/>
          <w:sz w:val="24"/>
        </w:rPr>
        <w:footnoteReference w:id="106"/>
      </w:r>
      <w:r w:rsidRPr="00CB172B">
        <w:rPr>
          <w:rFonts w:ascii="Times New Roman" w:hAnsi="Times New Roman"/>
        </w:rPr>
        <w:t>:</w:t>
      </w:r>
    </w:p>
    <w:p w14:paraId="581141CE" w14:textId="77777777" w:rsidR="00AA0A69" w:rsidRDefault="00AA0A69" w:rsidP="00CB172B">
      <w:pPr>
        <w:pStyle w:val="LeftrightafterHC"/>
        <w:spacing w:before="0" w:after="260" w:line="280" w:lineRule="exact"/>
        <w:ind w:right="0"/>
        <w:jc w:val="both"/>
        <w:rPr>
          <w:rFonts w:ascii="Times New Roman" w:hAnsi="Times New Roman"/>
        </w:rPr>
      </w:pPr>
      <w:r w:rsidRPr="00CB172B">
        <w:rPr>
          <w:rFonts w:ascii="Times New Roman" w:hAnsi="Times New Roman"/>
        </w:rPr>
        <w:t>"This is a field in which it is unwise to generalize, but the fact that the power is conferred quite unconditionally is a circumstance that suggests – not necessarily conclusively – that the principles of natural justice are not intended to apply."</w:t>
      </w:r>
    </w:p>
    <w:p w14:paraId="29166855"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 xml:space="preserve">In contrast, an exercise of a power which is subject to more detailed conditions for its application is likely to attract the need to provide procedural fairness to those affected by it. In </w:t>
      </w:r>
      <w:r w:rsidRPr="00CB172B">
        <w:rPr>
          <w:rFonts w:ascii="Times New Roman" w:hAnsi="Times New Roman"/>
          <w:i/>
          <w:iCs/>
        </w:rPr>
        <w:t xml:space="preserve">FAI v </w:t>
      </w:r>
      <w:proofErr w:type="spellStart"/>
      <w:r w:rsidRPr="00CB172B">
        <w:rPr>
          <w:rFonts w:ascii="Times New Roman" w:hAnsi="Times New Roman"/>
          <w:i/>
          <w:iCs/>
        </w:rPr>
        <w:t>Winneke</w:t>
      </w:r>
      <w:proofErr w:type="spellEnd"/>
      <w:r w:rsidRPr="00CB172B">
        <w:rPr>
          <w:rFonts w:ascii="Times New Roman" w:hAnsi="Times New Roman"/>
        </w:rPr>
        <w:t>, the applicable regulation required the Governor in Council to consider the "commitments and financial position" of an applicant insurance company. That criterion, directed as it was to the individual attributes of an applicant, amongst other things, justified the conclusion that there was an obligation in that case to provide procedural fairness</w:t>
      </w:r>
      <w:r w:rsidRPr="00CB172B">
        <w:rPr>
          <w:rStyle w:val="FootnoteReference"/>
          <w:rFonts w:ascii="Times New Roman" w:hAnsi="Times New Roman"/>
          <w:sz w:val="24"/>
        </w:rPr>
        <w:footnoteReference w:id="107"/>
      </w:r>
      <w:r w:rsidRPr="00CB172B">
        <w:rPr>
          <w:rFonts w:ascii="Times New Roman" w:hAnsi="Times New Roman"/>
        </w:rPr>
        <w:t>.</w:t>
      </w:r>
    </w:p>
    <w:p w14:paraId="5BAD5F51"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The second factor is more self-evident. The more directly affected an individual is by an exercise of public power, the more likely it is that they are owed a duty to be heard</w:t>
      </w:r>
      <w:r w:rsidRPr="00CB172B">
        <w:rPr>
          <w:rStyle w:val="FootnoteReference"/>
          <w:rFonts w:ascii="Times New Roman" w:hAnsi="Times New Roman"/>
          <w:sz w:val="24"/>
        </w:rPr>
        <w:footnoteReference w:id="108"/>
      </w:r>
      <w:r w:rsidRPr="00CB172B">
        <w:rPr>
          <w:rFonts w:ascii="Times New Roman" w:hAnsi="Times New Roman"/>
        </w:rPr>
        <w:t>. This is discussed below.</w:t>
      </w:r>
    </w:p>
    <w:p w14:paraId="252E897C"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lastRenderedPageBreak/>
        <w:tab/>
        <w:t xml:space="preserve">The third factor mentioned by Brennan J concerns the repository of the power. In </w:t>
      </w:r>
      <w:r w:rsidRPr="00CB172B">
        <w:rPr>
          <w:rFonts w:ascii="Times New Roman" w:hAnsi="Times New Roman"/>
          <w:i/>
          <w:iCs/>
        </w:rPr>
        <w:t xml:space="preserve">FAI v </w:t>
      </w:r>
      <w:proofErr w:type="spellStart"/>
      <w:r w:rsidRPr="00CB172B">
        <w:rPr>
          <w:rFonts w:ascii="Times New Roman" w:hAnsi="Times New Roman"/>
          <w:i/>
          <w:iCs/>
        </w:rPr>
        <w:t>Winneke</w:t>
      </w:r>
      <w:proofErr w:type="spellEnd"/>
      <w:r w:rsidRPr="00CB172B">
        <w:rPr>
          <w:rFonts w:ascii="Times New Roman" w:hAnsi="Times New Roman"/>
        </w:rPr>
        <w:t>, the decision maker was, as here, the Governor in Council. Brennan J said</w:t>
      </w:r>
      <w:r w:rsidRPr="00CB172B">
        <w:rPr>
          <w:rStyle w:val="FootnoteReference"/>
          <w:rFonts w:ascii="Times New Roman" w:hAnsi="Times New Roman"/>
          <w:sz w:val="24"/>
        </w:rPr>
        <w:footnoteReference w:id="109"/>
      </w:r>
      <w:r w:rsidRPr="00CB172B">
        <w:rPr>
          <w:rFonts w:ascii="Times New Roman" w:hAnsi="Times New Roman"/>
        </w:rPr>
        <w:t>:</w:t>
      </w:r>
    </w:p>
    <w:p w14:paraId="055D1279" w14:textId="77777777" w:rsidR="00AA0A69" w:rsidRDefault="00AA0A69" w:rsidP="00CB172B">
      <w:pPr>
        <w:pStyle w:val="LRIndentafterHC"/>
        <w:spacing w:before="0" w:after="260" w:line="280" w:lineRule="exact"/>
        <w:ind w:right="0"/>
        <w:jc w:val="both"/>
        <w:rPr>
          <w:rFonts w:ascii="Times New Roman" w:hAnsi="Times New Roman"/>
        </w:rPr>
      </w:pPr>
      <w:r w:rsidRPr="00CB172B">
        <w:rPr>
          <w:rFonts w:ascii="Times New Roman" w:hAnsi="Times New Roman"/>
        </w:rPr>
        <w:t>"The Governor in Council is not an administrative agency fitted to investigate or adjudicate upon disputed matters of fact. By clear convention, if not by strict constitutional obligation, the Governor in exercising statutory powers which are conferred upon the Governor in Council is accustomed to act upon the advice of his Ministers. The legislature cannot be taken to have intended to interfere with so central a function of responsible government unless it has expressed such an intention in the clearest terms."</w:t>
      </w:r>
    </w:p>
    <w:p w14:paraId="5E9A56D1"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 xml:space="preserve">This last factor is not determinative of the existence of any obligation to provide procedural fairness. Even cabinet may be required to provide natural justice. As Mason CJ observed in </w:t>
      </w:r>
      <w:r w:rsidRPr="00CB172B">
        <w:rPr>
          <w:rFonts w:ascii="Times New Roman" w:hAnsi="Times New Roman"/>
          <w:i/>
          <w:iCs/>
        </w:rPr>
        <w:t>South Australia v O'Shea</w:t>
      </w:r>
      <w:r w:rsidRPr="00CB172B">
        <w:rPr>
          <w:rStyle w:val="FootnoteReference"/>
          <w:rFonts w:ascii="Times New Roman" w:hAnsi="Times New Roman"/>
          <w:sz w:val="24"/>
        </w:rPr>
        <w:footnoteReference w:id="110"/>
      </w:r>
      <w:r w:rsidRPr="00CB172B">
        <w:rPr>
          <w:rFonts w:ascii="Times New Roman" w:hAnsi="Times New Roman"/>
        </w:rPr>
        <w:t>:</w:t>
      </w:r>
    </w:p>
    <w:p w14:paraId="620165DE" w14:textId="77777777" w:rsidR="00AA0A69" w:rsidRDefault="00AA0A69" w:rsidP="00CB172B">
      <w:pPr>
        <w:pStyle w:val="LeftrightafterHC"/>
        <w:spacing w:before="0" w:after="260" w:line="280" w:lineRule="exact"/>
        <w:ind w:right="0"/>
        <w:jc w:val="both"/>
        <w:rPr>
          <w:rFonts w:ascii="Times New Roman" w:hAnsi="Times New Roman"/>
        </w:rPr>
      </w:pPr>
      <w:r w:rsidRPr="00CB172B">
        <w:rPr>
          <w:rFonts w:ascii="Times New Roman" w:hAnsi="Times New Roman"/>
        </w:rPr>
        <w:t xml:space="preserve">"Cabinet is a political institution primarily concerned with the 'political, economic and social concerns of the moment': </w:t>
      </w:r>
      <w:r w:rsidRPr="00CB172B">
        <w:rPr>
          <w:rFonts w:ascii="Times New Roman" w:hAnsi="Times New Roman"/>
          <w:i/>
          <w:iCs/>
        </w:rPr>
        <w:t>Attorney-General (Canada) v Inuit Tapirisat of Canada</w:t>
      </w:r>
      <w:r w:rsidRPr="00CB172B">
        <w:rPr>
          <w:rFonts w:ascii="Times New Roman" w:hAnsi="Times New Roman"/>
        </w:rPr>
        <w:t xml:space="preserve">. So it is, but in some </w:t>
      </w:r>
      <w:proofErr w:type="gramStart"/>
      <w:r w:rsidRPr="00CB172B">
        <w:rPr>
          <w:rFonts w:ascii="Times New Roman" w:hAnsi="Times New Roman"/>
        </w:rPr>
        <w:t>instances</w:t>
      </w:r>
      <w:proofErr w:type="gramEnd"/>
      <w:r w:rsidRPr="00CB172B">
        <w:rPr>
          <w:rFonts w:ascii="Times New Roman" w:hAnsi="Times New Roman"/>
        </w:rPr>
        <w:t xml:space="preserve"> Cabinet is called upon to decide questions which are much more closely related to justice to the individual than with political, social and economic concerns. The fact that Cabinet ordinarily directs its attention to concerns of this kind is not a reason for denying the existence of a duty to act fairly in a matter which turns not on such concerns, but on considerations peculiar to the individual. A Minister is to some extent, like Cabinet, concerned to make political judgments. Yet in appropriate cases he will be subject to a duty to act fairly."</w:t>
      </w:r>
    </w:p>
    <w:p w14:paraId="6AADDC99"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Ultimately, whether, and to what extent, public powers designed to ensure community safety should, when exercised, be conditioned by obligations of procedural fairness is a matter of statutory construction</w:t>
      </w:r>
      <w:r w:rsidRPr="00CB172B">
        <w:rPr>
          <w:rStyle w:val="FootnoteReference"/>
          <w:rFonts w:ascii="Times New Roman" w:hAnsi="Times New Roman"/>
          <w:sz w:val="24"/>
        </w:rPr>
        <w:footnoteReference w:id="111"/>
      </w:r>
      <w:r w:rsidRPr="00CB172B">
        <w:rPr>
          <w:rFonts w:ascii="Times New Roman" w:hAnsi="Times New Roman"/>
        </w:rPr>
        <w:t xml:space="preserve">. </w:t>
      </w:r>
    </w:p>
    <w:p w14:paraId="2AF4C974" w14:textId="77777777" w:rsidR="00AA0A69" w:rsidRPr="00CB172B" w:rsidRDefault="00AA0A69" w:rsidP="00CB172B">
      <w:pPr>
        <w:pStyle w:val="HeadingL1"/>
        <w:spacing w:after="260" w:line="280" w:lineRule="exact"/>
        <w:ind w:right="0"/>
        <w:jc w:val="both"/>
        <w:rPr>
          <w:rFonts w:ascii="Times New Roman" w:hAnsi="Times New Roman"/>
        </w:rPr>
      </w:pPr>
      <w:r w:rsidRPr="00CB172B">
        <w:rPr>
          <w:rFonts w:ascii="Times New Roman" w:hAnsi="Times New Roman"/>
        </w:rPr>
        <w:lastRenderedPageBreak/>
        <w:t>Disrupting the Hells Angels: The presumption is rebutted</w:t>
      </w:r>
    </w:p>
    <w:p w14:paraId="0BE121E3"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 xml:space="preserve">The appellants submitted that the decision to make the Cowirra Regulations would, if valid, have directly affected the second and third appellants, who are individual members of the Hells Angels, as occupiers and the first appellant as the owner of the prescribed place. This is the second factor mentioned by Brennan J in </w:t>
      </w:r>
      <w:r w:rsidRPr="00CB172B">
        <w:rPr>
          <w:rFonts w:ascii="Times New Roman" w:hAnsi="Times New Roman"/>
          <w:i/>
          <w:iCs/>
        </w:rPr>
        <w:t xml:space="preserve">FAI v </w:t>
      </w:r>
      <w:proofErr w:type="spellStart"/>
      <w:r w:rsidRPr="00CB172B">
        <w:rPr>
          <w:rFonts w:ascii="Times New Roman" w:hAnsi="Times New Roman"/>
          <w:i/>
          <w:iCs/>
        </w:rPr>
        <w:t>Winneke</w:t>
      </w:r>
      <w:proofErr w:type="spellEnd"/>
      <w:r w:rsidRPr="00CB172B">
        <w:rPr>
          <w:rFonts w:ascii="Times New Roman" w:hAnsi="Times New Roman"/>
        </w:rPr>
        <w:t xml:space="preserve">. This case, the appellants said, was quite unlike the circumstances considered in </w:t>
      </w:r>
      <w:r w:rsidRPr="00CB172B">
        <w:rPr>
          <w:rFonts w:ascii="Times New Roman" w:hAnsi="Times New Roman"/>
          <w:i/>
          <w:iCs/>
        </w:rPr>
        <w:t>Kawasaki</w:t>
      </w:r>
      <w:r w:rsidRPr="00CB172B">
        <w:rPr>
          <w:rFonts w:ascii="Times New Roman" w:hAnsi="Times New Roman"/>
        </w:rPr>
        <w:t xml:space="preserve">. The appellants were not merely members of a class affected by a public decision; the decision was specifically made in relation to a single criminal organisation and with respect to an identifiable plot of land. It affected, or purported to affect, no other South Australians (save for other members of the Hells Angels) and no other land. In that respect, they contended that it did not matter whether the regulations had an administrative or legislative character; rather, the proper question to be asked was what effect </w:t>
      </w:r>
      <w:proofErr w:type="gramStart"/>
      <w:r w:rsidRPr="00CB172B">
        <w:rPr>
          <w:rFonts w:ascii="Times New Roman" w:hAnsi="Times New Roman"/>
        </w:rPr>
        <w:t>is the exercise of power</w:t>
      </w:r>
      <w:proofErr w:type="gramEnd"/>
      <w:r w:rsidRPr="00CB172B">
        <w:rPr>
          <w:rFonts w:ascii="Times New Roman" w:hAnsi="Times New Roman"/>
        </w:rPr>
        <w:t xml:space="preserve"> apt to have and on whom</w:t>
      </w:r>
      <w:r w:rsidRPr="00CB172B">
        <w:rPr>
          <w:rStyle w:val="FootnoteReference"/>
          <w:rFonts w:ascii="Times New Roman" w:hAnsi="Times New Roman"/>
          <w:sz w:val="24"/>
        </w:rPr>
        <w:footnoteReference w:id="112"/>
      </w:r>
      <w:r w:rsidRPr="00CB172B">
        <w:rPr>
          <w:rFonts w:ascii="Times New Roman" w:hAnsi="Times New Roman"/>
        </w:rPr>
        <w:t>. The fact that the decision was one made by cabinet in advising the Governor of South Australia was of no moment; that could not immunise the decision from a duty to provide natural justice</w:t>
      </w:r>
      <w:r w:rsidRPr="00CB172B">
        <w:rPr>
          <w:rStyle w:val="FootnoteReference"/>
          <w:rFonts w:ascii="Times New Roman" w:hAnsi="Times New Roman"/>
          <w:sz w:val="24"/>
        </w:rPr>
        <w:footnoteReference w:id="113"/>
      </w:r>
      <w:r w:rsidRPr="00CB172B">
        <w:rPr>
          <w:rFonts w:ascii="Times New Roman" w:hAnsi="Times New Roman"/>
        </w:rPr>
        <w:t>.</w:t>
      </w:r>
    </w:p>
    <w:p w14:paraId="56DDC486"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 xml:space="preserve">Notwithstanding the foregoing, there are four considerations (including the other two matters mentioned by Brennan J in </w:t>
      </w:r>
      <w:r w:rsidRPr="00CB172B">
        <w:rPr>
          <w:rFonts w:ascii="Times New Roman" w:hAnsi="Times New Roman"/>
          <w:i/>
          <w:iCs/>
        </w:rPr>
        <w:t xml:space="preserve">FAI v </w:t>
      </w:r>
      <w:proofErr w:type="spellStart"/>
      <w:r w:rsidRPr="00CB172B">
        <w:rPr>
          <w:rFonts w:ascii="Times New Roman" w:hAnsi="Times New Roman"/>
          <w:i/>
          <w:iCs/>
        </w:rPr>
        <w:t>Winneke</w:t>
      </w:r>
      <w:proofErr w:type="spellEnd"/>
      <w:r w:rsidRPr="00CB172B">
        <w:rPr>
          <w:rFonts w:ascii="Times New Roman" w:hAnsi="Times New Roman"/>
        </w:rPr>
        <w:t>) which demonstrate that a "sufficient indication" exists of Parliament's intention to exclude any obligation of procedural fairness that might otherwise have been owed to the appellants.</w:t>
      </w:r>
    </w:p>
    <w:p w14:paraId="14C93853"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 xml:space="preserve">The first is the very subject matter of </w:t>
      </w:r>
      <w:proofErr w:type="spellStart"/>
      <w:r w:rsidRPr="00CB172B">
        <w:rPr>
          <w:rFonts w:ascii="Times New Roman" w:hAnsi="Times New Roman"/>
        </w:rPr>
        <w:t>Div</w:t>
      </w:r>
      <w:proofErr w:type="spellEnd"/>
      <w:r w:rsidRPr="00CB172B">
        <w:rPr>
          <w:rFonts w:ascii="Times New Roman" w:hAnsi="Times New Roman"/>
        </w:rPr>
        <w:t> 2 of Pt 3B of the CLC Act. Whilst it must be accepted that the decision to make the Cowirra Regulations would, if valid, have directly affected the appellants, that decision nonetheless bore another character: it necessarily involved important issues of community safety at a high level. As the Court of Appeal said</w:t>
      </w:r>
      <w:r w:rsidRPr="00CB172B">
        <w:rPr>
          <w:rStyle w:val="FootnoteReference"/>
          <w:rFonts w:ascii="Times New Roman" w:hAnsi="Times New Roman"/>
          <w:sz w:val="24"/>
        </w:rPr>
        <w:footnoteReference w:id="114"/>
      </w:r>
      <w:r w:rsidRPr="00CB172B">
        <w:rPr>
          <w:rFonts w:ascii="Times New Roman" w:hAnsi="Times New Roman"/>
        </w:rPr>
        <w:t>:</w:t>
      </w:r>
    </w:p>
    <w:p w14:paraId="0682945C" w14:textId="77777777" w:rsidR="00AA0A69" w:rsidRPr="00CB172B" w:rsidRDefault="00AA0A69" w:rsidP="00CB172B">
      <w:pPr>
        <w:pStyle w:val="LRIndentafterHC"/>
        <w:spacing w:before="0" w:after="260" w:line="280" w:lineRule="exact"/>
        <w:ind w:right="0"/>
        <w:jc w:val="both"/>
        <w:rPr>
          <w:rFonts w:ascii="Times New Roman" w:hAnsi="Times New Roman"/>
        </w:rPr>
      </w:pPr>
      <w:r w:rsidRPr="00CB172B">
        <w:rPr>
          <w:rFonts w:ascii="Times New Roman" w:hAnsi="Times New Roman"/>
        </w:rPr>
        <w:t xml:space="preserve">"Any regime that has a distinct impact on an individual group will also generally have some broader policy focus. It is important not to be arbitrary or dogmatic in the characterisation of underlying policy. Nevertheless, there will be some arenas of regulation where large social, </w:t>
      </w:r>
      <w:proofErr w:type="gramStart"/>
      <w:r w:rsidRPr="00CB172B">
        <w:rPr>
          <w:rFonts w:ascii="Times New Roman" w:hAnsi="Times New Roman"/>
        </w:rPr>
        <w:t>political</w:t>
      </w:r>
      <w:proofErr w:type="gramEnd"/>
      <w:r w:rsidRPr="00CB172B">
        <w:rPr>
          <w:rFonts w:ascii="Times New Roman" w:hAnsi="Times New Roman"/>
        </w:rPr>
        <w:t xml:space="preserve"> or economic considerations dominate.</w:t>
      </w:r>
    </w:p>
    <w:p w14:paraId="5A82367B" w14:textId="77777777" w:rsidR="00AA0A69" w:rsidRDefault="00AA0A69" w:rsidP="00CB172B">
      <w:pPr>
        <w:pStyle w:val="LRIndent"/>
        <w:spacing w:before="0" w:after="260" w:line="280" w:lineRule="exact"/>
        <w:ind w:right="0"/>
        <w:jc w:val="both"/>
        <w:rPr>
          <w:rFonts w:ascii="Times New Roman" w:hAnsi="Times New Roman"/>
        </w:rPr>
      </w:pPr>
      <w:r w:rsidRPr="00CB172B">
        <w:rPr>
          <w:rFonts w:ascii="Times New Roman" w:hAnsi="Times New Roman"/>
        </w:rPr>
        <w:lastRenderedPageBreak/>
        <w:t>The wholesale disruption of a legislatively identified sphere of criminal activity invites such a description. The focus of regulation is not relevantly on the imputed 'wayward' actions of individuals, but rather on the identified social mischief that the legislature has determined that 'criminal organisations' pose."</w:t>
      </w:r>
    </w:p>
    <w:p w14:paraId="5070FB34"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Earlier their Honours had observed</w:t>
      </w:r>
      <w:r w:rsidRPr="00CB172B">
        <w:rPr>
          <w:rStyle w:val="FootnoteReference"/>
          <w:rFonts w:ascii="Times New Roman" w:hAnsi="Times New Roman"/>
          <w:sz w:val="24"/>
        </w:rPr>
        <w:footnoteReference w:id="115"/>
      </w:r>
      <w:r w:rsidRPr="00CB172B">
        <w:rPr>
          <w:rFonts w:ascii="Times New Roman" w:hAnsi="Times New Roman"/>
        </w:rPr>
        <w:t>:</w:t>
      </w:r>
    </w:p>
    <w:p w14:paraId="1961D0A9" w14:textId="77777777" w:rsidR="00AA0A69" w:rsidRDefault="00AA0A69" w:rsidP="00CB172B">
      <w:pPr>
        <w:pStyle w:val="LRIndentafterHC"/>
        <w:spacing w:before="0" w:after="260" w:line="280" w:lineRule="exact"/>
        <w:ind w:right="0"/>
        <w:jc w:val="both"/>
        <w:rPr>
          <w:rFonts w:ascii="Times New Roman" w:hAnsi="Times New Roman"/>
        </w:rPr>
      </w:pPr>
      <w:r w:rsidRPr="00CB172B">
        <w:rPr>
          <w:rFonts w:ascii="Times New Roman" w:hAnsi="Times New Roman"/>
        </w:rPr>
        <w:t>"It is in this context that the prohibitions with respect to public places (in company), events and places all place restrictions on movement, either on a point-in-time or an ongoing basis. They comprise a suite of responses to perceived threats of criminal activity not at an individual level, but at the level of a class of actor. In this sense, the purpose of the Division and the indeterminacy of the class that it affects are intertwined. The Division's purpose of disruption of the (indeterminate) class of 'criminal organisation', informed by the offence provisions and the supporting definitions, speaks against the legislature having intended to accord procedural fairness to the participants in those very organisations."</w:t>
      </w:r>
    </w:p>
    <w:p w14:paraId="588EA3E8"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I respectfully agree with the foregoing reasons.</w:t>
      </w:r>
    </w:p>
    <w:p w14:paraId="7332E42E"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Division 2 of Pt 3B of the CLC Act, from the perspective of the declared criminal organisation, is not beneficial legislation. Rather, the legislative object is the injury and disruption of the criminal activities carried out by offensive and dangerous organisations. It uses unambiguous, if not blunt, methods. Decisions are based on police advice and criminal intelligence. The aim is to leave the criminal organisation diminished and wounded. The appellants rightly accepted as much</w:t>
      </w:r>
      <w:r w:rsidRPr="00CB172B">
        <w:rPr>
          <w:rFonts w:ascii="Times New Roman" w:hAnsi="Times New Roman"/>
          <w:b/>
          <w:bCs/>
        </w:rPr>
        <w:t>.</w:t>
      </w:r>
      <w:r w:rsidRPr="00CB172B">
        <w:rPr>
          <w:rFonts w:ascii="Times New Roman" w:hAnsi="Times New Roman"/>
        </w:rPr>
        <w:t xml:space="preserve"> </w:t>
      </w:r>
    </w:p>
    <w:p w14:paraId="02689DF1"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 xml:space="preserve">In such circumstances it is simply incongruous to conclude that Parliament did not intend to eliminate the presumption in favour of the giving of procedural fairness in the case of participants in criminal organisations and any entity associated with such participants. A simple, and perhaps typical, example illustrates why this must be so. </w:t>
      </w:r>
      <w:proofErr w:type="gramStart"/>
      <w:r w:rsidRPr="00CB172B">
        <w:rPr>
          <w:rFonts w:ascii="Times New Roman" w:hAnsi="Times New Roman"/>
        </w:rPr>
        <w:t>Suppose,</w:t>
      </w:r>
      <w:proofErr w:type="gramEnd"/>
      <w:r w:rsidRPr="00CB172B">
        <w:rPr>
          <w:rFonts w:ascii="Times New Roman" w:hAnsi="Times New Roman"/>
        </w:rPr>
        <w:t xml:space="preserve"> as a result of police surveillance, it is discovered that prohibited drugs are stored at a property owned and occupied by a participant in a declared criminal organisation. On police advice, a decision is made to make a regulation declaring that property to be a prescribed place. It would be nonsensical to conclude that, in such circumstances, Parliament intended to impose a requirement that the South Australian Government "tip off" the participant in the criminal organisation first, before making the regulation. Indeed, courts have long accepted that the need for urgent action may result in the </w:t>
      </w:r>
      <w:r w:rsidRPr="00CB172B">
        <w:rPr>
          <w:rFonts w:ascii="Times New Roman" w:hAnsi="Times New Roman"/>
        </w:rPr>
        <w:lastRenderedPageBreak/>
        <w:t>exclusion of procedural fairness</w:t>
      </w:r>
      <w:r w:rsidRPr="00CB172B">
        <w:rPr>
          <w:rStyle w:val="FootnoteReference"/>
          <w:rFonts w:ascii="Times New Roman" w:hAnsi="Times New Roman"/>
          <w:sz w:val="24"/>
        </w:rPr>
        <w:footnoteReference w:id="116"/>
      </w:r>
      <w:r w:rsidRPr="00CB172B">
        <w:rPr>
          <w:rFonts w:ascii="Times New Roman" w:hAnsi="Times New Roman"/>
        </w:rPr>
        <w:t xml:space="preserve">. Any such obligation would therefore greatly undermine the very purpose and object of </w:t>
      </w:r>
      <w:proofErr w:type="spellStart"/>
      <w:r w:rsidRPr="00CB172B">
        <w:rPr>
          <w:rFonts w:ascii="Times New Roman" w:hAnsi="Times New Roman"/>
        </w:rPr>
        <w:t>Div</w:t>
      </w:r>
      <w:proofErr w:type="spellEnd"/>
      <w:r w:rsidRPr="00CB172B">
        <w:rPr>
          <w:rFonts w:ascii="Times New Roman" w:hAnsi="Times New Roman"/>
        </w:rPr>
        <w:t xml:space="preserve"> 2 of Pt 3B of the CLC Act and would sit in direct tension with the confidential nature of the material upon which the cabinet of South Australia is to act. </w:t>
      </w:r>
    </w:p>
    <w:p w14:paraId="027FE951"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 xml:space="preserve">Compounding the incongruity of affording criminal organisations with procedural fairness is that if such an obligation is to have any meaningful content, the criminal organisation would need to be told, in some informed way, why its property was about to be declared a "prescribed place". But that, in turn, would lead to difficult issues concerning the disclosure of police intelligence and methods. A problem analogous to that recently considered by this Court in </w:t>
      </w:r>
      <w:r w:rsidRPr="00CB172B">
        <w:rPr>
          <w:rFonts w:ascii="Times New Roman" w:hAnsi="Times New Roman"/>
          <w:i/>
          <w:iCs/>
        </w:rPr>
        <w:t>SDCV v Director-General of Security</w:t>
      </w:r>
      <w:r w:rsidRPr="00CB172B">
        <w:rPr>
          <w:rStyle w:val="FootnoteReference"/>
          <w:rFonts w:ascii="Times New Roman" w:hAnsi="Times New Roman"/>
          <w:sz w:val="24"/>
        </w:rPr>
        <w:footnoteReference w:id="117"/>
      </w:r>
      <w:r w:rsidRPr="00CB172B">
        <w:rPr>
          <w:rFonts w:ascii="Times New Roman" w:hAnsi="Times New Roman"/>
        </w:rPr>
        <w:t xml:space="preserve"> would arise: how is one to balance the need to provide procedural fairness with the countervailing interest of protecting the confidentiality of sensitive material. As Gibbs J stated in </w:t>
      </w:r>
      <w:proofErr w:type="spellStart"/>
      <w:r w:rsidRPr="00CB172B">
        <w:rPr>
          <w:rFonts w:ascii="Times New Roman" w:hAnsi="Times New Roman"/>
          <w:i/>
          <w:iCs/>
        </w:rPr>
        <w:t>Salemi</w:t>
      </w:r>
      <w:proofErr w:type="spellEnd"/>
      <w:r w:rsidRPr="00CB172B">
        <w:rPr>
          <w:rFonts w:ascii="Times New Roman" w:hAnsi="Times New Roman"/>
          <w:i/>
          <w:iCs/>
        </w:rPr>
        <w:t xml:space="preserve"> v Mackellar [No 2]</w:t>
      </w:r>
      <w:r w:rsidRPr="00CB172B">
        <w:rPr>
          <w:rStyle w:val="FootnoteReference"/>
          <w:rFonts w:ascii="Times New Roman" w:hAnsi="Times New Roman"/>
          <w:sz w:val="24"/>
        </w:rPr>
        <w:footnoteReference w:id="118"/>
      </w:r>
      <w:r w:rsidRPr="00CB172B">
        <w:rPr>
          <w:rFonts w:ascii="Times New Roman" w:hAnsi="Times New Roman"/>
        </w:rPr>
        <w:t>, "[r]</w:t>
      </w:r>
      <w:proofErr w:type="spellStart"/>
      <w:r w:rsidRPr="00CB172B">
        <w:rPr>
          <w:rFonts w:ascii="Times New Roman" w:hAnsi="Times New Roman"/>
        </w:rPr>
        <w:t>easons</w:t>
      </w:r>
      <w:proofErr w:type="spellEnd"/>
      <w:r w:rsidRPr="00CB172B">
        <w:rPr>
          <w:rFonts w:ascii="Times New Roman" w:hAnsi="Times New Roman"/>
        </w:rPr>
        <w:t xml:space="preserve"> of security may make it impossible to disclose the grounds on which the executive proposes to act". This all suggests that it is most unlikely that Parliament intended for such disclosures to be made; and if that is so, what is the merit of providing to a criminal organisation a bland notice, devoid of any detail, that a property is to become a prescribed place? It cannot be likely that Parliament intended to conjure up so impotent a duty of procedural fairness.</w:t>
      </w:r>
    </w:p>
    <w:p w14:paraId="002675D7"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The second consideration is the applicable statutory language. Neither s 370(1), nor the definition of "prescribed place" in s 83</w:t>
      </w:r>
      <w:proofErr w:type="gramStart"/>
      <w:r w:rsidRPr="00CB172B">
        <w:rPr>
          <w:rFonts w:ascii="Times New Roman" w:hAnsi="Times New Roman"/>
        </w:rPr>
        <w:t>GA(</w:t>
      </w:r>
      <w:proofErr w:type="gramEnd"/>
      <w:r w:rsidRPr="00CB172B">
        <w:rPr>
          <w:rFonts w:ascii="Times New Roman" w:hAnsi="Times New Roman"/>
        </w:rPr>
        <w:t>1), contains any conditions or prescribes any requirements for the making of a regulation that declares property to be a "prescribed place". No doubt, inferentially, this was to give the South Australian Government maximum flexibility to disrupt the activities of criminal organisations and to permit it to take into consideration a very large number of matters, some of which may involve matters of public policy. It follows that this factor is another indication of Parliament's intention to exclude procedural fairness in the case of affected criminal organisations.</w:t>
      </w:r>
    </w:p>
    <w:p w14:paraId="5E836010"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lastRenderedPageBreak/>
        <w:tab/>
        <w:t xml:space="preserve">The third consideration is that the repository of the power to make regulations is the Governor in Council, or, in substance, the South Australian cabinet. On its own, this is not a powerful consideration. But when combined with the first and second </w:t>
      </w:r>
      <w:r>
        <w:rPr>
          <w:rFonts w:ascii="Times New Roman" w:hAnsi="Times New Roman"/>
        </w:rPr>
        <w:t>considerations</w:t>
      </w:r>
      <w:r w:rsidRPr="00CB172B">
        <w:rPr>
          <w:rFonts w:ascii="Times New Roman" w:hAnsi="Times New Roman"/>
        </w:rPr>
        <w:t>, it is another indication that Parliament intended relevantly to exclude procedural fairness in the case of relevant criminal organisations.</w:t>
      </w:r>
    </w:p>
    <w:p w14:paraId="71092968"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 xml:space="preserve">A fourth and further consideration is that any regulation which declares a property to be a "prescribed place" must be laid before each House of Parliament in accordance with the </w:t>
      </w:r>
      <w:r w:rsidRPr="00CB172B">
        <w:rPr>
          <w:rFonts w:ascii="Times New Roman" w:hAnsi="Times New Roman"/>
          <w:i/>
          <w:iCs/>
        </w:rPr>
        <w:t>Subordinate Legislation Act 1978</w:t>
      </w:r>
      <w:r w:rsidRPr="00CB172B">
        <w:rPr>
          <w:rFonts w:ascii="Times New Roman" w:hAnsi="Times New Roman"/>
        </w:rPr>
        <w:t xml:space="preserve"> (SA)</w:t>
      </w:r>
      <w:r w:rsidRPr="00CB172B">
        <w:rPr>
          <w:rStyle w:val="FootnoteReference"/>
          <w:rFonts w:ascii="Times New Roman" w:hAnsi="Times New Roman"/>
          <w:sz w:val="24"/>
        </w:rPr>
        <w:footnoteReference w:id="119"/>
      </w:r>
      <w:r w:rsidRPr="00CB172B">
        <w:rPr>
          <w:rFonts w:ascii="Times New Roman" w:hAnsi="Times New Roman"/>
        </w:rPr>
        <w:t xml:space="preserve"> (now titled the </w:t>
      </w:r>
      <w:r w:rsidRPr="00CB172B">
        <w:rPr>
          <w:rFonts w:ascii="Times New Roman" w:hAnsi="Times New Roman"/>
          <w:i/>
          <w:iCs/>
        </w:rPr>
        <w:t>Legislative Instruments Act 1978</w:t>
      </w:r>
      <w:r w:rsidRPr="00CB172B">
        <w:rPr>
          <w:rFonts w:ascii="Times New Roman" w:hAnsi="Times New Roman"/>
        </w:rPr>
        <w:t xml:space="preserve"> (SA)</w:t>
      </w:r>
      <w:r w:rsidRPr="00CB172B">
        <w:rPr>
          <w:rStyle w:val="FootnoteReference"/>
          <w:rFonts w:ascii="Times New Roman" w:hAnsi="Times New Roman"/>
          <w:sz w:val="24"/>
        </w:rPr>
        <w:footnoteReference w:id="120"/>
      </w:r>
      <w:r w:rsidRPr="00CB172B">
        <w:rPr>
          <w:rFonts w:ascii="Times New Roman" w:hAnsi="Times New Roman"/>
        </w:rPr>
        <w:t>). This obliges the Legislative Review Committee of Parliament to inquire into and consider the regulation</w:t>
      </w:r>
      <w:r w:rsidRPr="00CB172B">
        <w:rPr>
          <w:rStyle w:val="FootnoteReference"/>
          <w:rFonts w:ascii="Times New Roman" w:hAnsi="Times New Roman"/>
          <w:sz w:val="24"/>
        </w:rPr>
        <w:footnoteReference w:id="121"/>
      </w:r>
      <w:r w:rsidRPr="00CB172B">
        <w:rPr>
          <w:rFonts w:ascii="Times New Roman" w:hAnsi="Times New Roman"/>
        </w:rPr>
        <w:t>. The Committee can, if it so wishes, form an opinion that the regulation ought to be disallowed and, if so, it must report that opinion to both Houses of Parliament</w:t>
      </w:r>
      <w:r w:rsidRPr="00CB172B">
        <w:rPr>
          <w:rStyle w:val="FootnoteReference"/>
          <w:rFonts w:ascii="Times New Roman" w:hAnsi="Times New Roman"/>
          <w:sz w:val="24"/>
        </w:rPr>
        <w:footnoteReference w:id="122"/>
      </w:r>
      <w:r w:rsidRPr="00CB172B">
        <w:rPr>
          <w:rFonts w:ascii="Times New Roman" w:hAnsi="Times New Roman"/>
        </w:rPr>
        <w:t>. A further layer of parliamentary oversight is provided for by the Crime and Public Integrity Policy Committee</w:t>
      </w:r>
      <w:r w:rsidRPr="00CB172B">
        <w:rPr>
          <w:rStyle w:val="FootnoteReference"/>
          <w:rFonts w:ascii="Times New Roman" w:hAnsi="Times New Roman"/>
          <w:sz w:val="24"/>
        </w:rPr>
        <w:footnoteReference w:id="123"/>
      </w:r>
      <w:r w:rsidRPr="00CB172B">
        <w:rPr>
          <w:rFonts w:ascii="Times New Roman" w:hAnsi="Times New Roman"/>
        </w:rPr>
        <w:t>. The existence of effective parliamentary supervision and oversight of the making of regulations of this kind strongly suggests that Parliament intended for this to be the principal way of ensuring that regulations made for the purposes of s 83</w:t>
      </w:r>
      <w:proofErr w:type="gramStart"/>
      <w:r w:rsidRPr="00CB172B">
        <w:rPr>
          <w:rFonts w:ascii="Times New Roman" w:hAnsi="Times New Roman"/>
        </w:rPr>
        <w:t>GA(</w:t>
      </w:r>
      <w:proofErr w:type="gramEnd"/>
      <w:r w:rsidRPr="00CB172B">
        <w:rPr>
          <w:rFonts w:ascii="Times New Roman" w:hAnsi="Times New Roman"/>
        </w:rPr>
        <w:t>1) are both effective and appropriate</w:t>
      </w:r>
      <w:r w:rsidRPr="00CB172B">
        <w:rPr>
          <w:rStyle w:val="FootnoteReference"/>
          <w:rFonts w:ascii="Times New Roman" w:hAnsi="Times New Roman"/>
          <w:sz w:val="24"/>
        </w:rPr>
        <w:footnoteReference w:id="124"/>
      </w:r>
      <w:r w:rsidRPr="00CB172B">
        <w:rPr>
          <w:rFonts w:ascii="Times New Roman" w:hAnsi="Times New Roman"/>
        </w:rPr>
        <w:t xml:space="preserve">. </w:t>
      </w:r>
    </w:p>
    <w:p w14:paraId="078662DC"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 xml:space="preserve">The procedure for the making of regulations declaring property to be a prescribed place may be contrasted with the legislative regime for declaring an organisation to be a "declared organisation" for the purposes of the </w:t>
      </w:r>
      <w:r w:rsidRPr="00CB172B">
        <w:rPr>
          <w:rFonts w:ascii="Times New Roman" w:hAnsi="Times New Roman"/>
          <w:i/>
          <w:iCs/>
        </w:rPr>
        <w:t>Serious and Organised Crime (Control) Act 2008</w:t>
      </w:r>
      <w:r w:rsidRPr="00CB172B">
        <w:rPr>
          <w:rFonts w:ascii="Times New Roman" w:hAnsi="Times New Roman"/>
        </w:rPr>
        <w:t xml:space="preserve"> (SA). That Act sets out a complex procedure whereby an application can be made by the Commissioner of Police to a court for an order that a particular organisation be declared to be a "declared organisation"</w:t>
      </w:r>
      <w:r w:rsidRPr="00CB172B">
        <w:rPr>
          <w:rStyle w:val="FootnoteReference"/>
          <w:rFonts w:ascii="Times New Roman" w:hAnsi="Times New Roman"/>
          <w:sz w:val="24"/>
        </w:rPr>
        <w:footnoteReference w:id="125"/>
      </w:r>
      <w:r w:rsidRPr="00CB172B">
        <w:rPr>
          <w:rFonts w:ascii="Times New Roman" w:hAnsi="Times New Roman"/>
        </w:rPr>
        <w:t xml:space="preserve">. The application must, amongst other things, set out the grounds </w:t>
      </w:r>
      <w:r w:rsidRPr="00CB172B">
        <w:rPr>
          <w:rFonts w:ascii="Times New Roman" w:hAnsi="Times New Roman"/>
        </w:rPr>
        <w:lastRenderedPageBreak/>
        <w:t>on which the declaration is sought and the information supporting those grounds, and be supported by at least one affidavit from a police officer</w:t>
      </w:r>
      <w:r w:rsidRPr="00CB172B">
        <w:rPr>
          <w:rStyle w:val="FootnoteReference"/>
          <w:rFonts w:ascii="Times New Roman" w:hAnsi="Times New Roman"/>
          <w:sz w:val="24"/>
        </w:rPr>
        <w:footnoteReference w:id="126"/>
      </w:r>
      <w:r w:rsidRPr="00CB172B">
        <w:rPr>
          <w:rFonts w:ascii="Times New Roman" w:hAnsi="Times New Roman"/>
        </w:rPr>
        <w:t>. Subject to information classified as "criminal intelligence", a copy of the application and any supporting affidavit must be made available for inspection to a representative of the affected organisation and any member or former member who may be directly affected by the application</w:t>
      </w:r>
      <w:r w:rsidRPr="00CB172B">
        <w:rPr>
          <w:rStyle w:val="FootnoteReference"/>
          <w:rFonts w:ascii="Times New Roman" w:hAnsi="Times New Roman"/>
          <w:sz w:val="24"/>
        </w:rPr>
        <w:footnoteReference w:id="127"/>
      </w:r>
      <w:r w:rsidRPr="00CB172B">
        <w:rPr>
          <w:rFonts w:ascii="Times New Roman" w:hAnsi="Times New Roman"/>
        </w:rPr>
        <w:t>. The application must also first be published in the South Australian gazette and in a newspaper circulating generally in that State, and must advise interested parties of their right to, for example, provide submissions to the court at the hearing of the application</w:t>
      </w:r>
      <w:r w:rsidRPr="00CB172B">
        <w:rPr>
          <w:rStyle w:val="FootnoteReference"/>
          <w:rFonts w:ascii="Times New Roman" w:hAnsi="Times New Roman"/>
          <w:sz w:val="24"/>
        </w:rPr>
        <w:footnoteReference w:id="128"/>
      </w:r>
      <w:r w:rsidRPr="00CB172B">
        <w:rPr>
          <w:rFonts w:ascii="Times New Roman" w:hAnsi="Times New Roman"/>
        </w:rPr>
        <w:t>. The organisation to which the application relates is entitled to make submissions to the court, whether orally or in writing</w:t>
      </w:r>
      <w:r w:rsidRPr="00CB172B">
        <w:rPr>
          <w:rStyle w:val="FootnoteReference"/>
          <w:rFonts w:ascii="Times New Roman" w:hAnsi="Times New Roman"/>
          <w:sz w:val="24"/>
        </w:rPr>
        <w:footnoteReference w:id="129"/>
      </w:r>
      <w:r w:rsidRPr="00CB172B">
        <w:rPr>
          <w:rFonts w:ascii="Times New Roman" w:hAnsi="Times New Roman"/>
        </w:rPr>
        <w:t xml:space="preserve">. A very similar statutory regime was considered by this Court in </w:t>
      </w:r>
      <w:r w:rsidRPr="00CB172B">
        <w:rPr>
          <w:rFonts w:ascii="Times New Roman" w:hAnsi="Times New Roman"/>
          <w:i/>
          <w:iCs/>
        </w:rPr>
        <w:t>Condon v Pompano Pty Ltd</w:t>
      </w:r>
      <w:r w:rsidRPr="00CB172B">
        <w:rPr>
          <w:rStyle w:val="FootnoteReference"/>
          <w:rFonts w:ascii="Times New Roman" w:hAnsi="Times New Roman"/>
          <w:sz w:val="24"/>
        </w:rPr>
        <w:footnoteReference w:id="130"/>
      </w:r>
      <w:r w:rsidRPr="00CB172B">
        <w:rPr>
          <w:rFonts w:ascii="Times New Roman" w:hAnsi="Times New Roman"/>
          <w:i/>
          <w:iCs/>
        </w:rPr>
        <w:t xml:space="preserve">. </w:t>
      </w:r>
      <w:r w:rsidRPr="00CB172B">
        <w:rPr>
          <w:rFonts w:ascii="Times New Roman" w:hAnsi="Times New Roman"/>
        </w:rPr>
        <w:t xml:space="preserve">The absence of anything like this complex procedure, involving as it does a clear statutory mechanism for the giving of procedural fairness, is a further indication of Parliament's intention of what was required when making regulations of the kind the subject of this appeal. </w:t>
      </w:r>
    </w:p>
    <w:p w14:paraId="498B50F0" w14:textId="77777777" w:rsidR="00AA0A69" w:rsidRPr="00CB172B" w:rsidRDefault="00AA0A69" w:rsidP="00AA0A69">
      <w:pPr>
        <w:pStyle w:val="FixListStyle"/>
        <w:numPr>
          <w:ilvl w:val="0"/>
          <w:numId w:val="18"/>
        </w:numPr>
        <w:spacing w:after="260" w:line="280" w:lineRule="exact"/>
        <w:ind w:left="0" w:right="0" w:hanging="720"/>
        <w:jc w:val="both"/>
        <w:rPr>
          <w:rFonts w:ascii="Times New Roman" w:hAnsi="Times New Roman"/>
        </w:rPr>
      </w:pPr>
      <w:r w:rsidRPr="00CB172B">
        <w:rPr>
          <w:rFonts w:ascii="Times New Roman" w:hAnsi="Times New Roman"/>
        </w:rPr>
        <w:tab/>
        <w:t>No part of the foregoing reasoning would necessarily apply to any obligation of procedural fairness that might be owed to affected third parties who are not criminal organisations, or participants in such organisations.</w:t>
      </w:r>
    </w:p>
    <w:p w14:paraId="26F62D70" w14:textId="77777777" w:rsidR="00C0149C" w:rsidRDefault="00AA0A69" w:rsidP="00AA0A69">
      <w:pPr>
        <w:pStyle w:val="FixListStyle"/>
        <w:numPr>
          <w:ilvl w:val="0"/>
          <w:numId w:val="18"/>
        </w:numPr>
        <w:spacing w:after="260" w:line="280" w:lineRule="exact"/>
        <w:ind w:left="0" w:right="0" w:hanging="720"/>
        <w:jc w:val="both"/>
        <w:rPr>
          <w:rFonts w:ascii="Times New Roman" w:hAnsi="Times New Roman"/>
        </w:rPr>
        <w:sectPr w:rsidR="00C0149C" w:rsidSect="00C0149C">
          <w:headerReference w:type="even" r:id="rId23"/>
          <w:headerReference w:type="default" r:id="rId24"/>
          <w:headerReference w:type="first" r:id="rId25"/>
          <w:pgSz w:w="11907" w:h="16839" w:code="9"/>
          <w:pgMar w:top="1440" w:right="1701" w:bottom="1984" w:left="1701" w:header="720" w:footer="720" w:gutter="0"/>
          <w:cols w:space="720"/>
          <w:docGrid w:linePitch="354"/>
        </w:sectPr>
      </w:pPr>
      <w:r w:rsidRPr="00CB172B">
        <w:rPr>
          <w:rFonts w:ascii="Times New Roman" w:hAnsi="Times New Roman"/>
        </w:rPr>
        <w:tab/>
        <w:t>I would allow the appeal with costs.</w:t>
      </w:r>
    </w:p>
    <w:p w14:paraId="455CAF40" w14:textId="46947427" w:rsidR="00A73989" w:rsidRPr="00AA0A69" w:rsidRDefault="00A73989" w:rsidP="00C0149C">
      <w:pPr>
        <w:pStyle w:val="NormalBody"/>
      </w:pPr>
    </w:p>
    <w:sectPr w:rsidR="00A73989" w:rsidRPr="00AA0A69" w:rsidSect="00C0149C">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D1CD" w14:textId="77777777" w:rsidR="00DE4B99" w:rsidRDefault="00DE4B99">
      <w:pPr>
        <w:spacing w:line="240" w:lineRule="auto"/>
      </w:pPr>
      <w:r>
        <w:separator/>
      </w:r>
    </w:p>
  </w:endnote>
  <w:endnote w:type="continuationSeparator" w:id="0">
    <w:p w14:paraId="1C289245" w14:textId="77777777" w:rsidR="00DE4B99" w:rsidRDefault="00DE4B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16E0" w14:textId="77777777" w:rsidR="0096160D" w:rsidRDefault="00961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8FDF" w14:textId="77777777" w:rsidR="0096160D" w:rsidRDefault="00961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D92E" w14:textId="77777777" w:rsidR="0096160D" w:rsidRDefault="009616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6AEC" w14:textId="77777777" w:rsidR="0096160D" w:rsidRDefault="009616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039F" w14:textId="77777777" w:rsidR="0096160D" w:rsidRDefault="009616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A763" w14:textId="77777777" w:rsidR="0096160D" w:rsidRDefault="00961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E293" w14:textId="77777777" w:rsidR="00DE4B99" w:rsidRPr="00CF4A1E" w:rsidRDefault="00DE4B99" w:rsidP="00CF4A1E">
      <w:pPr>
        <w:pStyle w:val="Footer"/>
        <w:spacing w:before="120" w:after="20"/>
        <w:ind w:right="0"/>
        <w:rPr>
          <w:rFonts w:ascii="Times New Roman" w:hAnsi="Times New Roman"/>
        </w:rPr>
      </w:pPr>
      <w:r>
        <w:continuationSeparator/>
      </w:r>
    </w:p>
  </w:footnote>
  <w:footnote w:type="continuationSeparator" w:id="0">
    <w:p w14:paraId="3E50492F" w14:textId="77777777" w:rsidR="00DE4B99" w:rsidRPr="00CF4A1E" w:rsidRDefault="00DE4B99" w:rsidP="00CF4A1E">
      <w:pPr>
        <w:pStyle w:val="Footer"/>
        <w:spacing w:before="120" w:after="20"/>
        <w:ind w:right="0"/>
        <w:rPr>
          <w:rFonts w:ascii="Times New Roman" w:hAnsi="Times New Roman"/>
        </w:rPr>
      </w:pPr>
      <w:r w:rsidRPr="00CF4A1E">
        <w:rPr>
          <w:rFonts w:ascii="Times New Roman" w:hAnsi="Times New Roman"/>
        </w:rPr>
        <w:continuationSeparator/>
      </w:r>
    </w:p>
  </w:footnote>
  <w:footnote w:type="continuationNotice" w:id="1">
    <w:p w14:paraId="0DABF924" w14:textId="77777777" w:rsidR="00DE4B99" w:rsidRPr="00C0149C" w:rsidRDefault="00DE4B99">
      <w:pPr>
        <w:jc w:val="right"/>
        <w:rPr>
          <w:rFonts w:ascii="Times New Roman" w:hAnsi="Times New Roman"/>
          <w:sz w:val="24"/>
        </w:rPr>
      </w:pPr>
    </w:p>
  </w:footnote>
  <w:footnote w:id="2">
    <w:p w14:paraId="457D39AC"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t xml:space="preserve">1935 Act, </w:t>
      </w:r>
      <w:r w:rsidRPr="00CF4A1E">
        <w:rPr>
          <w:rFonts w:ascii="Times New Roman" w:hAnsi="Times New Roman"/>
          <w:sz w:val="24"/>
        </w:rPr>
        <w:t>s 83GA(1), definition of "criminal organisation" (paras (b) and (c)). See also</w:t>
      </w:r>
      <w:r w:rsidRPr="00CF4A1E">
        <w:rPr>
          <w:rFonts w:ascii="Times New Roman" w:hAnsi="Times New Roman"/>
          <w:sz w:val="24"/>
          <w:lang w:val="en-US"/>
        </w:rPr>
        <w:t xml:space="preserve"> </w:t>
      </w:r>
      <w:r w:rsidRPr="00CF4A1E">
        <w:rPr>
          <w:rFonts w:ascii="Times New Roman" w:hAnsi="Times New Roman"/>
          <w:i/>
          <w:iCs/>
          <w:sz w:val="24"/>
          <w:lang w:val="en-US"/>
        </w:rPr>
        <w:t xml:space="preserve">Disorganized Developments Pty Ltd v South Australia </w:t>
      </w:r>
      <w:r w:rsidRPr="00CF4A1E">
        <w:rPr>
          <w:rFonts w:ascii="Times New Roman" w:hAnsi="Times New Roman"/>
          <w:sz w:val="24"/>
          <w:lang w:val="en-US"/>
        </w:rPr>
        <w:t xml:space="preserve">(2022) 140 SASR 206 at 212 [7]; </w:t>
      </w:r>
      <w:r w:rsidRPr="00CF4A1E">
        <w:rPr>
          <w:rFonts w:ascii="Times New Roman" w:hAnsi="Times New Roman"/>
          <w:i/>
          <w:iCs/>
          <w:sz w:val="24"/>
          <w:lang w:val="en-US"/>
        </w:rPr>
        <w:t xml:space="preserve">Criminal Law Consolidation (Criminal Organisations) Regulations 2015 </w:t>
      </w:r>
      <w:r w:rsidRPr="00CF4A1E">
        <w:rPr>
          <w:rFonts w:ascii="Times New Roman" w:hAnsi="Times New Roman"/>
          <w:sz w:val="24"/>
          <w:lang w:val="en-US"/>
        </w:rPr>
        <w:t>(SA)</w:t>
      </w:r>
      <w:r w:rsidRPr="00CF4A1E">
        <w:rPr>
          <w:rFonts w:ascii="Times New Roman" w:hAnsi="Times New Roman"/>
          <w:sz w:val="24"/>
        </w:rPr>
        <w:t xml:space="preserve">, reg 2(f), enacted by Sch 1 to the </w:t>
      </w:r>
      <w:r w:rsidRPr="00CF4A1E">
        <w:rPr>
          <w:rFonts w:ascii="Times New Roman" w:hAnsi="Times New Roman"/>
          <w:i/>
          <w:iCs/>
          <w:sz w:val="24"/>
        </w:rPr>
        <w:t xml:space="preserve">Statutes Amendment (Serious and Organised Crime) Act 2015 </w:t>
      </w:r>
      <w:r w:rsidRPr="00CF4A1E">
        <w:rPr>
          <w:rFonts w:ascii="Times New Roman" w:hAnsi="Times New Roman"/>
          <w:sz w:val="24"/>
        </w:rPr>
        <w:t>(SA).</w:t>
      </w:r>
    </w:p>
  </w:footnote>
  <w:footnote w:id="3">
    <w:p w14:paraId="701A5F23"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 xml:space="preserve">(2022) 140 SASR 206 at 212 [7]. </w:t>
      </w:r>
    </w:p>
  </w:footnote>
  <w:footnote w:id="4">
    <w:p w14:paraId="3EC0B1E2"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Criminal Law Consolidation (Criminal Organisations) (Prescribed Place—</w:t>
      </w:r>
      <w:r w:rsidRPr="00CF4A1E">
        <w:rPr>
          <w:rFonts w:ascii="Times New Roman" w:hAnsi="Times New Roman"/>
          <w:i/>
          <w:iCs/>
          <w:sz w:val="24"/>
        </w:rPr>
        <w:t xml:space="preserve">Cowirra) Variation Regulations 2020 </w:t>
      </w:r>
      <w:r w:rsidRPr="00CF4A1E">
        <w:rPr>
          <w:rFonts w:ascii="Times New Roman" w:hAnsi="Times New Roman"/>
          <w:sz w:val="24"/>
        </w:rPr>
        <w:t>(SA)</w:t>
      </w:r>
      <w:r w:rsidRPr="00CF4A1E">
        <w:rPr>
          <w:rFonts w:ascii="Times New Roman" w:hAnsi="Times New Roman"/>
          <w:i/>
          <w:iCs/>
          <w:sz w:val="24"/>
        </w:rPr>
        <w:t xml:space="preserve"> </w:t>
      </w:r>
      <w:r w:rsidRPr="00CF4A1E">
        <w:rPr>
          <w:rFonts w:ascii="Times New Roman" w:hAnsi="Times New Roman"/>
          <w:sz w:val="24"/>
        </w:rPr>
        <w:t>("Cowirra Regulation No 1")</w:t>
      </w:r>
      <w:r w:rsidRPr="00CF4A1E">
        <w:rPr>
          <w:rFonts w:ascii="Times New Roman" w:hAnsi="Times New Roman"/>
          <w:i/>
          <w:iCs/>
          <w:sz w:val="24"/>
        </w:rPr>
        <w:t xml:space="preserve"> </w:t>
      </w:r>
      <w:r w:rsidRPr="00CF4A1E">
        <w:rPr>
          <w:rFonts w:ascii="Times New Roman" w:hAnsi="Times New Roman"/>
          <w:sz w:val="24"/>
        </w:rPr>
        <w:t xml:space="preserve">and </w:t>
      </w:r>
      <w:r w:rsidRPr="00CF4A1E">
        <w:rPr>
          <w:rFonts w:ascii="Times New Roman" w:hAnsi="Times New Roman"/>
          <w:i/>
          <w:iCs/>
          <w:sz w:val="24"/>
        </w:rPr>
        <w:t xml:space="preserve">Criminal Law Consolidation (Criminal Organisations) (Prescribed Place—Cowirra) (No 2) Variation Regulations 2020 </w:t>
      </w:r>
      <w:r w:rsidRPr="00CF4A1E">
        <w:rPr>
          <w:rFonts w:ascii="Times New Roman" w:hAnsi="Times New Roman"/>
          <w:sz w:val="24"/>
        </w:rPr>
        <w:t>(SA)</w:t>
      </w:r>
      <w:r w:rsidRPr="00CF4A1E">
        <w:rPr>
          <w:rFonts w:ascii="Times New Roman" w:hAnsi="Times New Roman"/>
          <w:i/>
          <w:iCs/>
          <w:sz w:val="24"/>
        </w:rPr>
        <w:t xml:space="preserve"> </w:t>
      </w:r>
      <w:r w:rsidRPr="00CF4A1E">
        <w:rPr>
          <w:rFonts w:ascii="Times New Roman" w:hAnsi="Times New Roman"/>
          <w:sz w:val="24"/>
        </w:rPr>
        <w:t>("Cowirra Regulation No 2").</w:t>
      </w:r>
    </w:p>
  </w:footnote>
  <w:footnote w:id="5">
    <w:p w14:paraId="017501CC"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w:t>
      </w:r>
    </w:p>
  </w:footnote>
  <w:footnote w:id="6">
    <w:p w14:paraId="00D2A8A9"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t xml:space="preserve">South Australia, House of Assembly, </w:t>
      </w:r>
      <w:r w:rsidRPr="00CF4A1E">
        <w:rPr>
          <w:rFonts w:ascii="Times New Roman" w:hAnsi="Times New Roman"/>
          <w:i/>
          <w:iCs/>
          <w:sz w:val="24"/>
        </w:rPr>
        <w:t xml:space="preserve">Parliamentary Debates </w:t>
      </w:r>
      <w:r w:rsidRPr="00CF4A1E">
        <w:rPr>
          <w:rFonts w:ascii="Times New Roman" w:hAnsi="Times New Roman"/>
          <w:sz w:val="24"/>
        </w:rPr>
        <w:t>(Hansard), 3 June 2015 at 1479-1481.</w:t>
      </w:r>
    </w:p>
  </w:footnote>
  <w:footnote w:id="7">
    <w:p w14:paraId="2C9CFBB1"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i/>
          <w:iCs/>
          <w:sz w:val="24"/>
          <w:lang w:val="en-US"/>
        </w:rPr>
        <w:t xml:space="preserve">Disorganized Developments </w:t>
      </w:r>
      <w:r w:rsidRPr="00CF4A1E">
        <w:rPr>
          <w:rFonts w:ascii="Times New Roman" w:hAnsi="Times New Roman"/>
          <w:sz w:val="24"/>
          <w:lang w:val="en-US"/>
        </w:rPr>
        <w:t>(2022) 140 SASR 206 at 232 [114].</w:t>
      </w:r>
    </w:p>
  </w:footnote>
  <w:footnote w:id="8">
    <w:p w14:paraId="1D707F4B"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t>1935 Act, s 83</w:t>
      </w:r>
      <w:r w:rsidRPr="00CF4A1E">
        <w:rPr>
          <w:rFonts w:ascii="Times New Roman" w:hAnsi="Times New Roman"/>
          <w:sz w:val="24"/>
          <w:lang w:val="en-US"/>
        </w:rPr>
        <w:t xml:space="preserve">GA(1) and </w:t>
      </w:r>
      <w:r w:rsidRPr="00CF4A1E">
        <w:rPr>
          <w:rFonts w:ascii="Times New Roman" w:hAnsi="Times New Roman"/>
          <w:i/>
          <w:iCs/>
          <w:sz w:val="24"/>
          <w:lang w:val="en-US"/>
        </w:rPr>
        <w:t xml:space="preserve">Serious and </w:t>
      </w:r>
      <w:r w:rsidRPr="00CF4A1E">
        <w:rPr>
          <w:rFonts w:ascii="Times New Roman" w:hAnsi="Times New Roman"/>
          <w:i/>
          <w:iCs/>
          <w:sz w:val="24"/>
          <w:lang w:val="en-US"/>
        </w:rPr>
        <w:t xml:space="preserve">Organised Crime (Control) Act 2008 </w:t>
      </w:r>
      <w:r w:rsidRPr="00CF4A1E">
        <w:rPr>
          <w:rFonts w:ascii="Times New Roman" w:hAnsi="Times New Roman"/>
          <w:sz w:val="24"/>
          <w:lang w:val="en-US"/>
        </w:rPr>
        <w:t xml:space="preserve">(SA), s 3. </w:t>
      </w:r>
    </w:p>
  </w:footnote>
  <w:footnote w:id="9">
    <w:p w14:paraId="7FD01E19"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Legislation Interpretation Act 2021 </w:t>
      </w:r>
      <w:r w:rsidRPr="00CF4A1E">
        <w:rPr>
          <w:rFonts w:ascii="Times New Roman" w:hAnsi="Times New Roman"/>
          <w:sz w:val="24"/>
        </w:rPr>
        <w:t>(SA), s 21.</w:t>
      </w:r>
    </w:p>
  </w:footnote>
  <w:footnote w:id="10">
    <w:p w14:paraId="6E1F8FF7"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i/>
          <w:iCs/>
          <w:sz w:val="24"/>
          <w:lang w:val="en-US"/>
        </w:rPr>
        <w:t xml:space="preserve">South Australia v O'Shea </w:t>
      </w:r>
      <w:r w:rsidRPr="00CF4A1E">
        <w:rPr>
          <w:rFonts w:ascii="Times New Roman" w:hAnsi="Times New Roman"/>
          <w:sz w:val="24"/>
          <w:lang w:val="en-US"/>
        </w:rPr>
        <w:t>(1987) 163 CLR 378 at 387, 403, 414.</w:t>
      </w:r>
    </w:p>
  </w:footnote>
  <w:footnote w:id="11">
    <w:p w14:paraId="4BE2E819"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237 [136].</w:t>
      </w:r>
    </w:p>
  </w:footnote>
  <w:footnote w:id="12">
    <w:p w14:paraId="5AEEDA2D"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t xml:space="preserve">Renamed the </w:t>
      </w:r>
      <w:r w:rsidRPr="00CF4A1E">
        <w:rPr>
          <w:rFonts w:ascii="Times New Roman" w:hAnsi="Times New Roman"/>
          <w:i/>
          <w:iCs/>
          <w:sz w:val="24"/>
        </w:rPr>
        <w:t xml:space="preserve">Legislative Instruments Act 1978 </w:t>
      </w:r>
      <w:r w:rsidRPr="00CF4A1E">
        <w:rPr>
          <w:rFonts w:ascii="Times New Roman" w:hAnsi="Times New Roman"/>
          <w:sz w:val="24"/>
        </w:rPr>
        <w:t xml:space="preserve">(SA) by item 16 of Sch 1 to the </w:t>
      </w:r>
      <w:r w:rsidRPr="00CF4A1E">
        <w:rPr>
          <w:rFonts w:ascii="Times New Roman" w:hAnsi="Times New Roman"/>
          <w:i/>
          <w:iCs/>
          <w:sz w:val="24"/>
        </w:rPr>
        <w:t xml:space="preserve">Legislation Interpretation Act 2021 </w:t>
      </w:r>
      <w:r w:rsidRPr="00CF4A1E">
        <w:rPr>
          <w:rFonts w:ascii="Times New Roman" w:hAnsi="Times New Roman"/>
          <w:sz w:val="24"/>
        </w:rPr>
        <w:t xml:space="preserve">(SA). </w:t>
      </w:r>
    </w:p>
  </w:footnote>
  <w:footnote w:id="13">
    <w:p w14:paraId="1834DB0C"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sz w:val="24"/>
        </w:rPr>
        <w:t>2015 Act, s 13.</w:t>
      </w:r>
    </w:p>
  </w:footnote>
  <w:footnote w:id="14">
    <w:p w14:paraId="3EC42803"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t>2015 Act, s 12.</w:t>
      </w:r>
    </w:p>
  </w:footnote>
  <w:footnote w:id="15">
    <w:p w14:paraId="063FCDF7"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sz w:val="24"/>
          <w:lang w:val="en-US"/>
        </w:rPr>
        <w:t xml:space="preserve">cf 1935 Act, s 83GC, under which a participant in a criminal organisation will commit an offence by being "knowingly present in a public place with 2 or more other" participants; 1935 Act, s 83E, which creates the offence of participation in a criminal organisation; </w:t>
      </w:r>
      <w:r w:rsidRPr="00CF4A1E">
        <w:rPr>
          <w:rFonts w:ascii="Times New Roman" w:hAnsi="Times New Roman"/>
          <w:i/>
          <w:iCs/>
          <w:sz w:val="24"/>
          <w:lang w:val="en-US"/>
        </w:rPr>
        <w:t>Summary Offences Act 1953</w:t>
      </w:r>
      <w:r w:rsidRPr="00CF4A1E">
        <w:rPr>
          <w:rFonts w:ascii="Times New Roman" w:hAnsi="Times New Roman"/>
          <w:sz w:val="24"/>
          <w:lang w:val="en-US"/>
        </w:rPr>
        <w:t xml:space="preserve"> (SA), s 13, inserted by Pt 4 of the 2015 Act, which establishes an offence of "consorting", an element of which is that the person habitually consorts with convicted offenders. </w:t>
      </w:r>
    </w:p>
  </w:footnote>
  <w:footnote w:id="16">
    <w:p w14:paraId="58CD2C29"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t>1935 Act, s 83</w:t>
      </w:r>
      <w:r w:rsidRPr="00CF4A1E">
        <w:rPr>
          <w:rFonts w:ascii="Times New Roman" w:hAnsi="Times New Roman"/>
          <w:sz w:val="24"/>
        </w:rPr>
        <w:t>GF(1) and (2).</w:t>
      </w:r>
    </w:p>
  </w:footnote>
  <w:footnote w:id="17">
    <w:p w14:paraId="5223F9E9"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sz w:val="24"/>
        </w:rPr>
        <w:t>1935 Act, s 83</w:t>
      </w:r>
      <w:r w:rsidRPr="00CF4A1E">
        <w:rPr>
          <w:rFonts w:ascii="Times New Roman" w:hAnsi="Times New Roman"/>
          <w:sz w:val="24"/>
        </w:rPr>
        <w:t>GF(1).</w:t>
      </w:r>
    </w:p>
  </w:footnote>
  <w:footnote w:id="18">
    <w:p w14:paraId="49373164"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i/>
          <w:iCs/>
          <w:sz w:val="24"/>
          <w:lang w:val="en-US"/>
        </w:rPr>
        <w:t>Master Education Services Pty Ltd v Ketchell</w:t>
      </w:r>
      <w:r w:rsidRPr="00CF4A1E">
        <w:rPr>
          <w:rFonts w:ascii="Times New Roman" w:hAnsi="Times New Roman"/>
          <w:sz w:val="24"/>
          <w:lang w:val="en-US"/>
        </w:rPr>
        <w:t xml:space="preserve"> (2008) 236 CLR 101 at 110 [19]; </w:t>
      </w:r>
      <w:r w:rsidRPr="00CF4A1E">
        <w:rPr>
          <w:rFonts w:ascii="Times New Roman" w:hAnsi="Times New Roman"/>
          <w:i/>
          <w:iCs/>
          <w:sz w:val="24"/>
          <w:lang w:val="en-US"/>
        </w:rPr>
        <w:t>Collector of Customs v Agfa-</w:t>
      </w:r>
      <w:r w:rsidRPr="00CF4A1E">
        <w:rPr>
          <w:rFonts w:ascii="Times New Roman" w:hAnsi="Times New Roman"/>
          <w:i/>
          <w:iCs/>
          <w:sz w:val="24"/>
          <w:lang w:val="en-US"/>
        </w:rPr>
        <w:t>Gevaert Ltd</w:t>
      </w:r>
      <w:r w:rsidRPr="00CF4A1E">
        <w:rPr>
          <w:rFonts w:ascii="Times New Roman" w:hAnsi="Times New Roman"/>
          <w:sz w:val="24"/>
          <w:lang w:val="en-US"/>
        </w:rPr>
        <w:t xml:space="preserve"> (1996) 186 CLR 389 at 398; </w:t>
      </w:r>
      <w:r w:rsidRPr="00CF4A1E">
        <w:rPr>
          <w:rFonts w:ascii="Times New Roman" w:hAnsi="Times New Roman"/>
          <w:i/>
          <w:iCs/>
          <w:sz w:val="24"/>
          <w:lang w:val="en-US"/>
        </w:rPr>
        <w:t>King Gee Clothing Co Pty Ltd v The Commonwealth</w:t>
      </w:r>
      <w:r w:rsidRPr="00CF4A1E">
        <w:rPr>
          <w:rFonts w:ascii="Times New Roman" w:hAnsi="Times New Roman"/>
          <w:sz w:val="24"/>
          <w:lang w:val="en-US"/>
        </w:rPr>
        <w:t xml:space="preserve"> (1945) 71 CLR 184 at 195.</w:t>
      </w:r>
    </w:p>
  </w:footnote>
  <w:footnote w:id="19">
    <w:p w14:paraId="656EA9AF"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i/>
          <w:sz w:val="24"/>
          <w:lang w:val="en-US"/>
        </w:rPr>
        <w:t>Taylor</w:t>
      </w:r>
      <w:r w:rsidRPr="00CF4A1E">
        <w:rPr>
          <w:rFonts w:ascii="Times New Roman" w:hAnsi="Times New Roman"/>
          <w:i/>
          <w:iCs/>
          <w:sz w:val="24"/>
          <w:lang w:val="en-US"/>
        </w:rPr>
        <w:t xml:space="preserve"> v The Owners – Strata Plan No 11564</w:t>
      </w:r>
      <w:r w:rsidRPr="00CF4A1E">
        <w:rPr>
          <w:rFonts w:ascii="Times New Roman" w:hAnsi="Times New Roman"/>
          <w:i/>
          <w:sz w:val="24"/>
          <w:lang w:val="en-US"/>
        </w:rPr>
        <w:t xml:space="preserve"> </w:t>
      </w:r>
      <w:r w:rsidRPr="00CF4A1E">
        <w:rPr>
          <w:rFonts w:ascii="Times New Roman" w:hAnsi="Times New Roman"/>
          <w:sz w:val="24"/>
          <w:lang w:val="en-US"/>
        </w:rPr>
        <w:t xml:space="preserve">(2014) 253 CLR 531 at 556-557 [65]. See also </w:t>
      </w:r>
      <w:r w:rsidRPr="00CF4A1E">
        <w:rPr>
          <w:rFonts w:ascii="Times New Roman" w:hAnsi="Times New Roman"/>
          <w:i/>
          <w:iCs/>
          <w:sz w:val="24"/>
          <w:lang w:val="en-US"/>
        </w:rPr>
        <w:t xml:space="preserve">Minister for Immigration and Border Protection v EFX17 </w:t>
      </w:r>
      <w:r w:rsidRPr="00CF4A1E">
        <w:rPr>
          <w:rFonts w:ascii="Times New Roman" w:hAnsi="Times New Roman"/>
          <w:sz w:val="24"/>
          <w:lang w:val="en-US"/>
        </w:rPr>
        <w:t xml:space="preserve">(2021) 271 CLR 112 at 127 [28]; </w:t>
      </w:r>
      <w:r w:rsidRPr="00CF4A1E">
        <w:rPr>
          <w:rFonts w:ascii="Times New Roman" w:hAnsi="Times New Roman"/>
          <w:i/>
          <w:iCs/>
          <w:sz w:val="24"/>
          <w:lang w:val="en-US"/>
        </w:rPr>
        <w:t xml:space="preserve">H Lundbeck A/S v Sandoz Pty Ltd </w:t>
      </w:r>
      <w:r w:rsidRPr="00CF4A1E">
        <w:rPr>
          <w:rFonts w:ascii="Times New Roman" w:hAnsi="Times New Roman"/>
          <w:sz w:val="24"/>
          <w:lang w:val="en-US"/>
        </w:rPr>
        <w:t xml:space="preserve">(2022) 96 ALJR 208 at 222 [63]; 399 ALR 184 at 198. </w:t>
      </w:r>
    </w:p>
  </w:footnote>
  <w:footnote w:id="20">
    <w:p w14:paraId="61708F0A"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i/>
          <w:sz w:val="24"/>
          <w:lang w:val="en-US"/>
        </w:rPr>
        <w:t xml:space="preserve">Mills v </w:t>
      </w:r>
      <w:r w:rsidRPr="00CF4A1E">
        <w:rPr>
          <w:rFonts w:ascii="Times New Roman" w:hAnsi="Times New Roman"/>
          <w:i/>
          <w:sz w:val="24"/>
          <w:lang w:val="en-US"/>
        </w:rPr>
        <w:t xml:space="preserve">Meeking </w:t>
      </w:r>
      <w:r w:rsidRPr="00CF4A1E">
        <w:rPr>
          <w:rFonts w:ascii="Times New Roman" w:hAnsi="Times New Roman"/>
          <w:sz w:val="24"/>
          <w:lang w:val="en-US"/>
        </w:rPr>
        <w:t xml:space="preserve">(1990) 169 CLR 214 at 235. </w:t>
      </w:r>
    </w:p>
  </w:footnote>
  <w:footnote w:id="21">
    <w:p w14:paraId="362C6520"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i/>
          <w:sz w:val="24"/>
          <w:lang w:val="en-US"/>
        </w:rPr>
        <w:t xml:space="preserve">Newcastle City Council </w:t>
      </w:r>
      <w:r w:rsidRPr="00CF4A1E">
        <w:rPr>
          <w:rFonts w:ascii="Times New Roman" w:hAnsi="Times New Roman"/>
          <w:i/>
          <w:iCs/>
          <w:sz w:val="24"/>
          <w:lang w:val="en-US"/>
        </w:rPr>
        <w:t xml:space="preserve">v GIO General Ltd </w:t>
      </w:r>
      <w:r w:rsidRPr="00CF4A1E">
        <w:rPr>
          <w:rFonts w:ascii="Times New Roman" w:hAnsi="Times New Roman"/>
          <w:sz w:val="24"/>
          <w:lang w:val="en-US"/>
        </w:rPr>
        <w:t xml:space="preserve">(1997) 191 CLR 85 at 113; </w:t>
      </w:r>
      <w:r w:rsidRPr="00CF4A1E">
        <w:rPr>
          <w:rFonts w:ascii="Times New Roman" w:hAnsi="Times New Roman"/>
          <w:i/>
          <w:sz w:val="24"/>
          <w:lang w:val="en-US"/>
        </w:rPr>
        <w:t>Taylor</w:t>
      </w:r>
      <w:r w:rsidRPr="00CF4A1E">
        <w:rPr>
          <w:rFonts w:ascii="Times New Roman" w:hAnsi="Times New Roman"/>
          <w:sz w:val="24"/>
          <w:lang w:val="en-US"/>
        </w:rPr>
        <w:t xml:space="preserve"> (2014) 253 CLR 531 at 549 [39]. </w:t>
      </w:r>
    </w:p>
  </w:footnote>
  <w:footnote w:id="22">
    <w:p w14:paraId="60304514"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212 [9].</w:t>
      </w:r>
    </w:p>
  </w:footnote>
  <w:footnote w:id="23">
    <w:p w14:paraId="36D702E8"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t xml:space="preserve">See </w:t>
      </w:r>
      <w:r w:rsidRPr="00CF4A1E">
        <w:rPr>
          <w:rFonts w:ascii="Times New Roman" w:hAnsi="Times New Roman"/>
          <w:sz w:val="24"/>
        </w:rPr>
        <w:t>Cowirra Regulation No 1, reg 4.</w:t>
      </w:r>
    </w:p>
  </w:footnote>
  <w:footnote w:id="24">
    <w:p w14:paraId="719754AC"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t xml:space="preserve">See </w:t>
      </w:r>
      <w:r w:rsidRPr="00CF4A1E">
        <w:rPr>
          <w:rFonts w:ascii="Times New Roman" w:hAnsi="Times New Roman"/>
          <w:sz w:val="24"/>
        </w:rPr>
        <w:t>Cowirra Regulation No 2, reg 4.</w:t>
      </w:r>
    </w:p>
  </w:footnote>
  <w:footnote w:id="25">
    <w:p w14:paraId="559834E2"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219 [48].</w:t>
      </w:r>
    </w:p>
  </w:footnote>
  <w:footnote w:id="26">
    <w:p w14:paraId="4B31993E"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216 [32], 217 [35].</w:t>
      </w:r>
    </w:p>
  </w:footnote>
  <w:footnote w:id="27">
    <w:p w14:paraId="48D0C2E1"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217 [35].</w:t>
      </w:r>
    </w:p>
  </w:footnote>
  <w:footnote w:id="28">
    <w:p w14:paraId="0BD10609"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219 [48].</w:t>
      </w:r>
    </w:p>
  </w:footnote>
  <w:footnote w:id="29">
    <w:p w14:paraId="6CE14801"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218 [41].</w:t>
      </w:r>
    </w:p>
  </w:footnote>
  <w:footnote w:id="30">
    <w:p w14:paraId="19944C2C"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217 [35].</w:t>
      </w:r>
    </w:p>
  </w:footnote>
  <w:footnote w:id="31">
    <w:p w14:paraId="693AE68F"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218 [41].</w:t>
      </w:r>
    </w:p>
  </w:footnote>
  <w:footnote w:id="32">
    <w:p w14:paraId="13ABED18"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218 [42].</w:t>
      </w:r>
    </w:p>
  </w:footnote>
  <w:footnote w:id="33">
    <w:p w14:paraId="45B36FD6"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218 [43]-[44].</w:t>
      </w:r>
    </w:p>
  </w:footnote>
  <w:footnote w:id="34">
    <w:p w14:paraId="0FD62E7A"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218 [45].</w:t>
      </w:r>
    </w:p>
  </w:footnote>
  <w:footnote w:id="35">
    <w:p w14:paraId="26C1A79C"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t xml:space="preserve">See </w:t>
      </w:r>
      <w:r w:rsidRPr="00CF4A1E">
        <w:rPr>
          <w:rFonts w:ascii="Times New Roman" w:hAnsi="Times New Roman"/>
          <w:i/>
          <w:sz w:val="24"/>
          <w:lang w:val="en-US"/>
        </w:rPr>
        <w:t>Macq</w:t>
      </w:r>
      <w:r w:rsidRPr="00CF4A1E">
        <w:rPr>
          <w:rFonts w:ascii="Times New Roman" w:hAnsi="Times New Roman"/>
          <w:i/>
          <w:iCs/>
          <w:sz w:val="24"/>
          <w:lang w:val="en-US"/>
        </w:rPr>
        <w:t>uarie</w:t>
      </w:r>
      <w:r w:rsidRPr="00CF4A1E">
        <w:rPr>
          <w:rFonts w:ascii="Times New Roman" w:hAnsi="Times New Roman"/>
          <w:i/>
          <w:sz w:val="24"/>
          <w:lang w:val="en-US"/>
        </w:rPr>
        <w:t xml:space="preserve"> Dict</w:t>
      </w:r>
      <w:r w:rsidRPr="00CF4A1E">
        <w:rPr>
          <w:rFonts w:ascii="Times New Roman" w:hAnsi="Times New Roman"/>
          <w:i/>
          <w:iCs/>
          <w:sz w:val="24"/>
          <w:lang w:val="en-US"/>
        </w:rPr>
        <w:t>ionary</w:t>
      </w:r>
      <w:r w:rsidRPr="00CF4A1E">
        <w:rPr>
          <w:rFonts w:ascii="Times New Roman" w:hAnsi="Times New Roman"/>
          <w:sz w:val="24"/>
          <w:lang w:val="en-US"/>
        </w:rPr>
        <w:t xml:space="preserve">, 8th ed (2020), vol 1 at 405. </w:t>
      </w:r>
    </w:p>
  </w:footnote>
  <w:footnote w:id="36">
    <w:p w14:paraId="6E47C25E"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lang w:val="en-US"/>
        </w:rPr>
        <w:t>Legislation Interpretation Act 2021</w:t>
      </w:r>
      <w:r w:rsidRPr="00CF4A1E">
        <w:rPr>
          <w:rFonts w:ascii="Times New Roman" w:hAnsi="Times New Roman"/>
          <w:sz w:val="24"/>
          <w:lang w:val="en-US"/>
        </w:rPr>
        <w:t xml:space="preserve"> (SA), s 14(1).</w:t>
      </w:r>
    </w:p>
  </w:footnote>
  <w:footnote w:id="37">
    <w:p w14:paraId="51F880EA"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 xml:space="preserve">(2022) 140 SASR 206 </w:t>
      </w:r>
      <w:r w:rsidRPr="00CF4A1E">
        <w:rPr>
          <w:rFonts w:ascii="Times New Roman" w:hAnsi="Times New Roman"/>
          <w:sz w:val="24"/>
          <w:lang w:val="en-US"/>
        </w:rPr>
        <w:t>at 217 [38].</w:t>
      </w:r>
    </w:p>
  </w:footnote>
  <w:footnote w:id="38">
    <w:p w14:paraId="45767915"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t xml:space="preserve">Pursuant to the </w:t>
      </w:r>
      <w:r w:rsidRPr="00CF4A1E">
        <w:rPr>
          <w:rFonts w:ascii="Times New Roman" w:hAnsi="Times New Roman"/>
          <w:i/>
          <w:sz w:val="24"/>
          <w:lang w:val="en-US"/>
        </w:rPr>
        <w:t>Legislation Revision and Publication Act 2002</w:t>
      </w:r>
      <w:r w:rsidRPr="00CF4A1E">
        <w:rPr>
          <w:rFonts w:ascii="Times New Roman" w:hAnsi="Times New Roman"/>
          <w:sz w:val="24"/>
          <w:lang w:val="en-US"/>
        </w:rPr>
        <w:t xml:space="preserve"> (SA). </w:t>
      </w:r>
    </w:p>
  </w:footnote>
  <w:footnote w:id="39">
    <w:p w14:paraId="6D0FFFEE"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sz w:val="24"/>
        </w:rPr>
        <w:t xml:space="preserve">cf </w:t>
      </w:r>
      <w:r w:rsidRPr="00CF4A1E">
        <w:rPr>
          <w:rFonts w:ascii="Times New Roman" w:hAnsi="Times New Roman"/>
          <w:i/>
          <w:iCs/>
          <w:sz w:val="24"/>
        </w:rPr>
        <w:t xml:space="preserve">Disorganized Developments </w:t>
      </w:r>
      <w:r w:rsidRPr="00CF4A1E">
        <w:rPr>
          <w:rFonts w:ascii="Times New Roman" w:hAnsi="Times New Roman"/>
          <w:sz w:val="24"/>
        </w:rPr>
        <w:t>(2022) 140 SASR 206 at 218 [40].</w:t>
      </w:r>
    </w:p>
  </w:footnote>
  <w:footnote w:id="40">
    <w:p w14:paraId="19DA3D7B"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t xml:space="preserve">See </w:t>
      </w:r>
      <w:r w:rsidRPr="00CF4A1E">
        <w:rPr>
          <w:rFonts w:ascii="Times New Roman" w:hAnsi="Times New Roman"/>
          <w:i/>
          <w:iCs/>
          <w:sz w:val="24"/>
          <w:lang w:val="en-US"/>
        </w:rPr>
        <w:t xml:space="preserve">Environment Protection Act 1993 </w:t>
      </w:r>
      <w:r w:rsidRPr="00CF4A1E">
        <w:rPr>
          <w:rFonts w:ascii="Times New Roman" w:hAnsi="Times New Roman"/>
          <w:sz w:val="24"/>
          <w:lang w:val="en-US"/>
        </w:rPr>
        <w:t xml:space="preserve">(SA), ss 25, 82(2); </w:t>
      </w:r>
      <w:r w:rsidRPr="00CF4A1E">
        <w:rPr>
          <w:rFonts w:ascii="Times New Roman" w:hAnsi="Times New Roman"/>
          <w:i/>
          <w:iCs/>
          <w:sz w:val="24"/>
          <w:lang w:val="en-US"/>
        </w:rPr>
        <w:t xml:space="preserve">River Murray Act 2003 </w:t>
      </w:r>
      <w:r w:rsidRPr="00CF4A1E">
        <w:rPr>
          <w:rFonts w:ascii="Times New Roman" w:hAnsi="Times New Roman"/>
          <w:sz w:val="24"/>
          <w:lang w:val="en-US"/>
        </w:rPr>
        <w:t xml:space="preserve">(SA), s 23; </w:t>
      </w:r>
      <w:r w:rsidRPr="00CF4A1E">
        <w:rPr>
          <w:rFonts w:ascii="Times New Roman" w:hAnsi="Times New Roman"/>
          <w:i/>
          <w:iCs/>
          <w:sz w:val="24"/>
          <w:lang w:val="en-US"/>
        </w:rPr>
        <w:t xml:space="preserve">Fire and Emergency Services Act 2005 </w:t>
      </w:r>
      <w:r w:rsidRPr="00CF4A1E">
        <w:rPr>
          <w:rFonts w:ascii="Times New Roman" w:hAnsi="Times New Roman"/>
          <w:sz w:val="24"/>
          <w:lang w:val="en-US"/>
        </w:rPr>
        <w:t xml:space="preserve">(SA), s 105F; </w:t>
      </w:r>
      <w:r w:rsidRPr="00CF4A1E">
        <w:rPr>
          <w:rFonts w:ascii="Times New Roman" w:hAnsi="Times New Roman"/>
          <w:i/>
          <w:iCs/>
          <w:sz w:val="24"/>
          <w:lang w:val="en-US"/>
        </w:rPr>
        <w:t xml:space="preserve">South Australian Public Health Act 2011 </w:t>
      </w:r>
      <w:r w:rsidRPr="00CF4A1E">
        <w:rPr>
          <w:rFonts w:ascii="Times New Roman" w:hAnsi="Times New Roman"/>
          <w:sz w:val="24"/>
          <w:lang w:val="en-US"/>
        </w:rPr>
        <w:t xml:space="preserve">(SA), ss 56, 58(3); </w:t>
      </w:r>
      <w:r w:rsidRPr="00CF4A1E">
        <w:rPr>
          <w:rFonts w:ascii="Times New Roman" w:hAnsi="Times New Roman"/>
          <w:i/>
          <w:iCs/>
          <w:sz w:val="24"/>
          <w:lang w:val="en-US"/>
        </w:rPr>
        <w:t xml:space="preserve">South Australian Public Health (Wastewater) Regulations 2013 </w:t>
      </w:r>
      <w:r w:rsidRPr="00CF4A1E">
        <w:rPr>
          <w:rFonts w:ascii="Times New Roman" w:hAnsi="Times New Roman"/>
          <w:sz w:val="24"/>
          <w:lang w:val="en-US"/>
        </w:rPr>
        <w:t xml:space="preserve">(SA), reg 12(1); </w:t>
      </w:r>
      <w:r w:rsidRPr="00CF4A1E">
        <w:rPr>
          <w:rFonts w:ascii="Times New Roman" w:hAnsi="Times New Roman"/>
          <w:i/>
          <w:iCs/>
          <w:sz w:val="24"/>
          <w:lang w:val="en-US"/>
        </w:rPr>
        <w:t xml:space="preserve">Landscape South Australia Act 2019 </w:t>
      </w:r>
      <w:r w:rsidRPr="00CF4A1E">
        <w:rPr>
          <w:rFonts w:ascii="Times New Roman" w:hAnsi="Times New Roman"/>
          <w:sz w:val="24"/>
          <w:lang w:val="en-US"/>
        </w:rPr>
        <w:t xml:space="preserve">(SA), ss 8, 192. </w:t>
      </w:r>
    </w:p>
  </w:footnote>
  <w:footnote w:id="41">
    <w:p w14:paraId="64756070"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t xml:space="preserve">See, </w:t>
      </w:r>
      <w:r w:rsidRPr="00CF4A1E">
        <w:rPr>
          <w:rFonts w:ascii="Times New Roman" w:hAnsi="Times New Roman"/>
          <w:sz w:val="24"/>
        </w:rPr>
        <w:t xml:space="preserve">eg, </w:t>
      </w:r>
      <w:r w:rsidRPr="00CF4A1E">
        <w:rPr>
          <w:rFonts w:ascii="Times New Roman" w:hAnsi="Times New Roman"/>
          <w:i/>
          <w:iCs/>
          <w:sz w:val="24"/>
        </w:rPr>
        <w:t xml:space="preserve">Australian Safeway Stores Pty Ltd v Zaluzna </w:t>
      </w:r>
      <w:r w:rsidRPr="00CF4A1E">
        <w:rPr>
          <w:rFonts w:ascii="Times New Roman" w:hAnsi="Times New Roman"/>
          <w:sz w:val="24"/>
        </w:rPr>
        <w:t>(1987) 162 CLR 479.</w:t>
      </w:r>
    </w:p>
  </w:footnote>
  <w:footnote w:id="42">
    <w:p w14:paraId="060190D7"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i/>
          <w:sz w:val="24"/>
          <w:lang w:val="en-US"/>
        </w:rPr>
        <w:t>Sydney Corporation v Harris</w:t>
      </w:r>
      <w:r w:rsidRPr="00CF4A1E">
        <w:rPr>
          <w:rFonts w:ascii="Times New Roman" w:hAnsi="Times New Roman"/>
          <w:sz w:val="24"/>
          <w:lang w:val="en-US"/>
        </w:rPr>
        <w:t xml:space="preserve"> (1912) 14 CLR 1 at 14.</w:t>
      </w:r>
    </w:p>
  </w:footnote>
  <w:footnote w:id="43">
    <w:p w14:paraId="051E4E04"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i/>
          <w:iCs/>
          <w:sz w:val="24"/>
          <w:lang w:val="en-US"/>
        </w:rPr>
        <w:t xml:space="preserve">Delta Properties Pty Ltd v Brisbane City Council </w:t>
      </w:r>
      <w:r w:rsidRPr="00CF4A1E">
        <w:rPr>
          <w:rFonts w:ascii="Times New Roman" w:hAnsi="Times New Roman"/>
          <w:sz w:val="24"/>
          <w:lang w:val="en-US"/>
        </w:rPr>
        <w:t>(1955) 95 CLR 11 at 18.</w:t>
      </w:r>
    </w:p>
  </w:footnote>
  <w:footnote w:id="44">
    <w:p w14:paraId="76A3B4FC"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i/>
          <w:sz w:val="24"/>
          <w:lang w:val="en-US"/>
        </w:rPr>
        <w:t xml:space="preserve">Commissioner of Police v </w:t>
      </w:r>
      <w:r w:rsidRPr="00CF4A1E">
        <w:rPr>
          <w:rFonts w:ascii="Times New Roman" w:hAnsi="Times New Roman"/>
          <w:i/>
          <w:sz w:val="24"/>
          <w:lang w:val="en-US"/>
        </w:rPr>
        <w:t>Tanos</w:t>
      </w:r>
      <w:r w:rsidRPr="00CF4A1E">
        <w:rPr>
          <w:rFonts w:ascii="Times New Roman" w:hAnsi="Times New Roman"/>
          <w:sz w:val="24"/>
          <w:lang w:val="en-US"/>
        </w:rPr>
        <w:t xml:space="preserve"> (1958) 98 CLR 383 at 395-396.</w:t>
      </w:r>
    </w:p>
  </w:footnote>
  <w:footnote w:id="45">
    <w:p w14:paraId="016316F8"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i/>
          <w:sz w:val="24"/>
          <w:lang w:val="en-US"/>
        </w:rPr>
        <w:t>Cooper v Wandsworth Board of Works</w:t>
      </w:r>
      <w:r w:rsidRPr="00CF4A1E">
        <w:rPr>
          <w:rFonts w:ascii="Times New Roman" w:hAnsi="Times New Roman"/>
          <w:sz w:val="24"/>
          <w:lang w:val="en-US"/>
        </w:rPr>
        <w:t xml:space="preserve"> (1863) 14 CB (NS) 180 [143 ER 414]; </w:t>
      </w:r>
      <w:r w:rsidRPr="00CF4A1E">
        <w:rPr>
          <w:rFonts w:ascii="Times New Roman" w:hAnsi="Times New Roman"/>
          <w:i/>
          <w:sz w:val="24"/>
          <w:lang w:val="en-US"/>
        </w:rPr>
        <w:t>Sydney Corporation v Harris</w:t>
      </w:r>
      <w:r w:rsidRPr="00CF4A1E">
        <w:rPr>
          <w:rFonts w:ascii="Times New Roman" w:hAnsi="Times New Roman"/>
          <w:sz w:val="24"/>
          <w:lang w:val="en-US"/>
        </w:rPr>
        <w:t xml:space="preserve"> (1912) 14 CLR 1 at 14;</w:t>
      </w:r>
      <w:r w:rsidRPr="00CF4A1E" w:rsidDel="00553538">
        <w:rPr>
          <w:rFonts w:ascii="Times New Roman" w:hAnsi="Times New Roman"/>
          <w:sz w:val="24"/>
          <w:lang w:val="en-US"/>
        </w:rPr>
        <w:t xml:space="preserve"> </w:t>
      </w:r>
      <w:r w:rsidRPr="00CF4A1E">
        <w:rPr>
          <w:rFonts w:ascii="Times New Roman" w:hAnsi="Times New Roman"/>
          <w:i/>
          <w:iCs/>
          <w:sz w:val="24"/>
          <w:lang w:val="en-US"/>
        </w:rPr>
        <w:t xml:space="preserve">Tanos </w:t>
      </w:r>
      <w:r w:rsidRPr="00CF4A1E">
        <w:rPr>
          <w:rFonts w:ascii="Times New Roman" w:hAnsi="Times New Roman"/>
          <w:sz w:val="24"/>
          <w:lang w:val="en-US"/>
        </w:rPr>
        <w:t>(1958) 98 CLR 383 at 396.</w:t>
      </w:r>
    </w:p>
  </w:footnote>
  <w:footnote w:id="46">
    <w:p w14:paraId="5174DF77"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231 [109], 237 [135].</w:t>
      </w:r>
    </w:p>
  </w:footnote>
  <w:footnote w:id="47">
    <w:p w14:paraId="0BADBAFE"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227 [85].</w:t>
      </w:r>
    </w:p>
  </w:footnote>
  <w:footnote w:id="48">
    <w:p w14:paraId="22EB4A4A"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237 [140].</w:t>
      </w:r>
    </w:p>
  </w:footnote>
  <w:footnote w:id="49">
    <w:p w14:paraId="378DAC36"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230 [105].</w:t>
      </w:r>
    </w:p>
  </w:footnote>
  <w:footnote w:id="50">
    <w:p w14:paraId="5114575A"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230-231 [106].</w:t>
      </w:r>
    </w:p>
  </w:footnote>
  <w:footnote w:id="51">
    <w:p w14:paraId="1467F954"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234 [123].</w:t>
      </w:r>
    </w:p>
  </w:footnote>
  <w:footnote w:id="52">
    <w:p w14:paraId="73D4D8FD"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237 [139]-[140].</w:t>
      </w:r>
    </w:p>
  </w:footnote>
  <w:footnote w:id="53">
    <w:p w14:paraId="47955B12"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lang w:val="en-US"/>
        </w:rPr>
        <w:t xml:space="preserve">Kioa v West </w:t>
      </w:r>
      <w:r w:rsidRPr="00CF4A1E">
        <w:rPr>
          <w:rFonts w:ascii="Times New Roman" w:hAnsi="Times New Roman"/>
          <w:sz w:val="24"/>
        </w:rPr>
        <w:t>(1985) 159 CLR 550</w:t>
      </w:r>
      <w:r w:rsidRPr="00CF4A1E">
        <w:rPr>
          <w:rFonts w:ascii="Times New Roman" w:hAnsi="Times New Roman"/>
          <w:sz w:val="24"/>
          <w:lang w:val="en-US"/>
        </w:rPr>
        <w:t xml:space="preserve"> at 584; </w:t>
      </w:r>
      <w:r w:rsidRPr="00CF4A1E">
        <w:rPr>
          <w:rFonts w:ascii="Times New Roman" w:hAnsi="Times New Roman"/>
          <w:i/>
          <w:iCs/>
          <w:sz w:val="24"/>
          <w:lang w:val="en-US"/>
        </w:rPr>
        <w:t xml:space="preserve">O'Shea </w:t>
      </w:r>
      <w:r w:rsidRPr="00CF4A1E">
        <w:rPr>
          <w:rFonts w:ascii="Times New Roman" w:hAnsi="Times New Roman"/>
          <w:sz w:val="24"/>
          <w:lang w:val="en-US"/>
        </w:rPr>
        <w:t xml:space="preserve">(1987) 163 CLR 378 at 400; </w:t>
      </w:r>
      <w:r w:rsidRPr="00CF4A1E">
        <w:rPr>
          <w:rFonts w:ascii="Times New Roman" w:hAnsi="Times New Roman"/>
          <w:i/>
          <w:iCs/>
          <w:sz w:val="24"/>
          <w:lang w:val="en-US"/>
        </w:rPr>
        <w:t>Minister for Immigration and Border Protection v SZSSJ</w:t>
      </w:r>
      <w:r w:rsidRPr="00CF4A1E">
        <w:rPr>
          <w:rFonts w:ascii="Times New Roman" w:hAnsi="Times New Roman"/>
          <w:sz w:val="24"/>
          <w:lang w:val="en-US"/>
        </w:rPr>
        <w:t xml:space="preserve"> (2016) 259 CLR 180 at 205 [75].</w:t>
      </w:r>
    </w:p>
  </w:footnote>
  <w:footnote w:id="54">
    <w:p w14:paraId="47D39070"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t>(1976) 136 CLR 106 at 109.</w:t>
      </w:r>
    </w:p>
  </w:footnote>
  <w:footnote w:id="55">
    <w:p w14:paraId="1A58FCCB" w14:textId="77777777" w:rsidR="00431CF6" w:rsidRPr="00CF4A1E" w:rsidRDefault="00431CF6" w:rsidP="00CF4A1E">
      <w:pPr>
        <w:pStyle w:val="FootnoteText"/>
        <w:spacing w:line="280" w:lineRule="exact"/>
        <w:ind w:right="0"/>
        <w:jc w:val="both"/>
        <w:rPr>
          <w:rFonts w:ascii="Times New Roman" w:hAnsi="Times New Roman"/>
          <w:i/>
          <w:iCs/>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Twist </w:t>
      </w:r>
      <w:r w:rsidRPr="00CF4A1E">
        <w:rPr>
          <w:rFonts w:ascii="Times New Roman" w:hAnsi="Times New Roman"/>
          <w:sz w:val="24"/>
        </w:rPr>
        <w:t>(1976) 136 CLR 106 at 110.</w:t>
      </w:r>
    </w:p>
  </w:footnote>
  <w:footnote w:id="56">
    <w:p w14:paraId="62E6C4FF"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i/>
          <w:iCs/>
          <w:sz w:val="24"/>
          <w:lang w:val="en-US"/>
        </w:rPr>
        <w:t>CPCF v Minister for Immigration and Border Protection</w:t>
      </w:r>
      <w:r w:rsidRPr="00CF4A1E">
        <w:rPr>
          <w:rFonts w:ascii="Times New Roman" w:hAnsi="Times New Roman"/>
          <w:sz w:val="24"/>
          <w:lang w:val="en-US"/>
        </w:rPr>
        <w:t xml:space="preserve"> (2015) 255 CLR 514 at 622 [367].</w:t>
      </w:r>
    </w:p>
  </w:footnote>
  <w:footnote w:id="57">
    <w:p w14:paraId="4A204EE4"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i/>
          <w:iCs/>
          <w:sz w:val="24"/>
          <w:lang w:val="en-US"/>
        </w:rPr>
        <w:t xml:space="preserve">Plaintiff S10/2011 v Minister for Immigration and Citizenship </w:t>
      </w:r>
      <w:r w:rsidRPr="00CF4A1E">
        <w:rPr>
          <w:rFonts w:ascii="Times New Roman" w:hAnsi="Times New Roman"/>
          <w:sz w:val="24"/>
          <w:lang w:val="en-US"/>
        </w:rPr>
        <w:t xml:space="preserve">(2012) 246 CLR 636 at 666 [97]; </w:t>
      </w:r>
      <w:r w:rsidRPr="00CF4A1E">
        <w:rPr>
          <w:rFonts w:ascii="Times New Roman" w:hAnsi="Times New Roman"/>
          <w:i/>
          <w:iCs/>
          <w:sz w:val="24"/>
          <w:lang w:val="en-US"/>
        </w:rPr>
        <w:t>SZSSJ</w:t>
      </w:r>
      <w:r w:rsidRPr="00CF4A1E">
        <w:rPr>
          <w:rFonts w:ascii="Times New Roman" w:hAnsi="Times New Roman"/>
          <w:sz w:val="24"/>
          <w:lang w:val="en-US"/>
        </w:rPr>
        <w:t xml:space="preserve"> (2016) 259 CLR 180 at 205 [75]; </w:t>
      </w:r>
      <w:r w:rsidRPr="00CF4A1E">
        <w:rPr>
          <w:rFonts w:ascii="Times New Roman" w:hAnsi="Times New Roman"/>
          <w:i/>
          <w:iCs/>
          <w:sz w:val="24"/>
          <w:lang w:val="en-US"/>
        </w:rPr>
        <w:t xml:space="preserve">BVD17 v Minister for Immigration and Border Protection </w:t>
      </w:r>
      <w:r w:rsidRPr="00CF4A1E">
        <w:rPr>
          <w:rFonts w:ascii="Times New Roman" w:hAnsi="Times New Roman"/>
          <w:sz w:val="24"/>
          <w:lang w:val="en-US"/>
        </w:rPr>
        <w:t xml:space="preserve">(2019) 268 CLR 29 at 42 [30]. </w:t>
      </w:r>
    </w:p>
  </w:footnote>
  <w:footnote w:id="58">
    <w:p w14:paraId="547F5C04"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i/>
          <w:iCs/>
          <w:sz w:val="24"/>
          <w:lang w:val="en-US"/>
        </w:rPr>
        <w:t>SZSSJ</w:t>
      </w:r>
      <w:r w:rsidRPr="00CF4A1E">
        <w:rPr>
          <w:rFonts w:ascii="Times New Roman" w:hAnsi="Times New Roman"/>
          <w:sz w:val="24"/>
          <w:lang w:val="en-US"/>
        </w:rPr>
        <w:t xml:space="preserve"> (2016) 259 CLR 180 at 205 [75]. See also </w:t>
      </w:r>
      <w:r w:rsidRPr="00CF4A1E">
        <w:rPr>
          <w:rFonts w:ascii="Times New Roman" w:hAnsi="Times New Roman"/>
          <w:i/>
          <w:iCs/>
          <w:sz w:val="24"/>
        </w:rPr>
        <w:t xml:space="preserve">Annetts v McCann </w:t>
      </w:r>
      <w:r w:rsidRPr="00CF4A1E">
        <w:rPr>
          <w:rFonts w:ascii="Times New Roman" w:hAnsi="Times New Roman"/>
          <w:sz w:val="24"/>
        </w:rPr>
        <w:t xml:space="preserve">(1990) 170 CLR 596 at 598; </w:t>
      </w:r>
      <w:r w:rsidRPr="00CF4A1E">
        <w:rPr>
          <w:rFonts w:ascii="Times New Roman" w:hAnsi="Times New Roman"/>
          <w:i/>
          <w:iCs/>
          <w:sz w:val="24"/>
          <w:lang w:val="en-US"/>
        </w:rPr>
        <w:t xml:space="preserve">Ainsworth v Criminal Justice Commission </w:t>
      </w:r>
      <w:r w:rsidRPr="00CF4A1E">
        <w:rPr>
          <w:rFonts w:ascii="Times New Roman" w:hAnsi="Times New Roman"/>
          <w:sz w:val="24"/>
          <w:lang w:val="en-US"/>
        </w:rPr>
        <w:t xml:space="preserve">(1992) 175 CLR 564 at 576; </w:t>
      </w:r>
      <w:r w:rsidRPr="00CF4A1E">
        <w:rPr>
          <w:rFonts w:ascii="Times New Roman" w:hAnsi="Times New Roman"/>
          <w:i/>
          <w:iCs/>
          <w:sz w:val="24"/>
        </w:rPr>
        <w:t xml:space="preserve">Johns v Australian Securities Commission </w:t>
      </w:r>
      <w:r w:rsidRPr="00CF4A1E">
        <w:rPr>
          <w:rFonts w:ascii="Times New Roman" w:hAnsi="Times New Roman"/>
          <w:sz w:val="24"/>
        </w:rPr>
        <w:t xml:space="preserve">(1993) 178 CLR 408 at 470; </w:t>
      </w:r>
      <w:r w:rsidRPr="00CF4A1E">
        <w:rPr>
          <w:rFonts w:ascii="Times New Roman" w:hAnsi="Times New Roman"/>
          <w:i/>
          <w:iCs/>
          <w:sz w:val="24"/>
        </w:rPr>
        <w:t xml:space="preserve">Re Minister for Immigration and Multicultural Affairs; Ex parte Miah </w:t>
      </w:r>
      <w:r w:rsidRPr="00CF4A1E">
        <w:rPr>
          <w:rFonts w:ascii="Times New Roman" w:hAnsi="Times New Roman"/>
          <w:sz w:val="24"/>
        </w:rPr>
        <w:t xml:space="preserve">(2001) 206 CLR 57 at 73 [43], 84 [90], 93 [126]; </w:t>
      </w:r>
      <w:r w:rsidRPr="00CF4A1E">
        <w:rPr>
          <w:rFonts w:ascii="Times New Roman" w:hAnsi="Times New Roman"/>
          <w:i/>
          <w:iCs/>
          <w:sz w:val="24"/>
          <w:lang w:val="en-US"/>
        </w:rPr>
        <w:t xml:space="preserve">Jarratt v Commissioner of Police (NSW) </w:t>
      </w:r>
      <w:r w:rsidRPr="00CF4A1E">
        <w:rPr>
          <w:rFonts w:ascii="Times New Roman" w:hAnsi="Times New Roman"/>
          <w:sz w:val="24"/>
          <w:lang w:val="en-US"/>
        </w:rPr>
        <w:t xml:space="preserve">(2005) 224 CLR 44 at 56 [24]-[25], 61 [51], 88 [138]-[139]; </w:t>
      </w:r>
      <w:r w:rsidRPr="00CF4A1E">
        <w:rPr>
          <w:rFonts w:ascii="Times New Roman" w:hAnsi="Times New Roman"/>
          <w:i/>
          <w:iCs/>
          <w:sz w:val="24"/>
        </w:rPr>
        <w:t xml:space="preserve">Saeed v Minister for Immigration and Citizenship </w:t>
      </w:r>
      <w:r w:rsidRPr="00CF4A1E">
        <w:rPr>
          <w:rFonts w:ascii="Times New Roman" w:hAnsi="Times New Roman"/>
          <w:sz w:val="24"/>
        </w:rPr>
        <w:t>(2010) 241 CLR 252 at 259 [14];</w:t>
      </w:r>
      <w:r w:rsidRPr="00CF4A1E">
        <w:rPr>
          <w:rFonts w:ascii="Times New Roman" w:hAnsi="Times New Roman"/>
          <w:i/>
          <w:iCs/>
          <w:sz w:val="24"/>
        </w:rPr>
        <w:t xml:space="preserve"> Plaintiff M61/2010E v The Commonwealth </w:t>
      </w:r>
      <w:r w:rsidRPr="00CF4A1E">
        <w:rPr>
          <w:rFonts w:ascii="Times New Roman" w:hAnsi="Times New Roman"/>
          <w:sz w:val="24"/>
        </w:rPr>
        <w:t>(2010) 243 CLR 319 at 352 [74].</w:t>
      </w:r>
    </w:p>
  </w:footnote>
  <w:footnote w:id="59">
    <w:p w14:paraId="34F9E177"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sz w:val="24"/>
        </w:rPr>
        <w:t>(1985) 159 CLR 550</w:t>
      </w:r>
      <w:r w:rsidRPr="00CF4A1E">
        <w:rPr>
          <w:rFonts w:ascii="Times New Roman" w:hAnsi="Times New Roman"/>
          <w:sz w:val="24"/>
          <w:lang w:val="en-US"/>
        </w:rPr>
        <w:t xml:space="preserve"> at 584, 619, 632.</w:t>
      </w:r>
    </w:p>
  </w:footnote>
  <w:footnote w:id="60">
    <w:p w14:paraId="714B6E2A"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Kioa </w:t>
      </w:r>
      <w:r w:rsidRPr="00CF4A1E">
        <w:rPr>
          <w:rFonts w:ascii="Times New Roman" w:hAnsi="Times New Roman"/>
          <w:sz w:val="24"/>
        </w:rPr>
        <w:t>(1985) 159 CLR 550 at 584.</w:t>
      </w:r>
    </w:p>
  </w:footnote>
  <w:footnote w:id="61">
    <w:p w14:paraId="75CE3C96"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Kioa </w:t>
      </w:r>
      <w:r w:rsidRPr="00CF4A1E">
        <w:rPr>
          <w:rFonts w:ascii="Times New Roman" w:hAnsi="Times New Roman"/>
          <w:sz w:val="24"/>
        </w:rPr>
        <w:t>(1985) 159 CLR 550 at 619.</w:t>
      </w:r>
    </w:p>
  </w:footnote>
  <w:footnote w:id="62">
    <w:p w14:paraId="03F74619"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Kioa </w:t>
      </w:r>
      <w:r w:rsidRPr="00CF4A1E">
        <w:rPr>
          <w:rFonts w:ascii="Times New Roman" w:hAnsi="Times New Roman"/>
          <w:sz w:val="24"/>
        </w:rPr>
        <w:t>(1985) 159 CLR 550 at 632.</w:t>
      </w:r>
    </w:p>
  </w:footnote>
  <w:footnote w:id="63">
    <w:p w14:paraId="4048ED72"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sz w:val="24"/>
          <w:lang w:val="en-US"/>
        </w:rPr>
        <w:t xml:space="preserve">cf </w:t>
      </w:r>
      <w:r w:rsidRPr="00CF4A1E">
        <w:rPr>
          <w:rFonts w:ascii="Times New Roman" w:hAnsi="Times New Roman"/>
          <w:i/>
          <w:iCs/>
          <w:sz w:val="24"/>
        </w:rPr>
        <w:t xml:space="preserve">Bread Manufacturers of New South Wales v Evans </w:t>
      </w:r>
      <w:r w:rsidRPr="00CF4A1E">
        <w:rPr>
          <w:rFonts w:ascii="Times New Roman" w:hAnsi="Times New Roman"/>
          <w:sz w:val="24"/>
        </w:rPr>
        <w:t>(1981) 180 CLR 404;</w:t>
      </w:r>
      <w:r w:rsidRPr="00CF4A1E">
        <w:rPr>
          <w:rFonts w:ascii="Times New Roman" w:hAnsi="Times New Roman"/>
          <w:i/>
          <w:iCs/>
          <w:sz w:val="24"/>
        </w:rPr>
        <w:t xml:space="preserve"> </w:t>
      </w:r>
      <w:r w:rsidRPr="00CF4A1E">
        <w:rPr>
          <w:rFonts w:ascii="Times New Roman" w:hAnsi="Times New Roman"/>
          <w:i/>
          <w:iCs/>
          <w:sz w:val="24"/>
          <w:lang w:val="en-US"/>
        </w:rPr>
        <w:t xml:space="preserve">Comptroller-General of Customs v </w:t>
      </w:r>
      <w:r w:rsidRPr="00CF4A1E">
        <w:rPr>
          <w:rFonts w:ascii="Times New Roman" w:hAnsi="Times New Roman"/>
          <w:i/>
          <w:iCs/>
          <w:sz w:val="24"/>
        </w:rPr>
        <w:t xml:space="preserve">Kawasaki Motors Pty Ltd [No 1] </w:t>
      </w:r>
      <w:r w:rsidRPr="00CF4A1E">
        <w:rPr>
          <w:rFonts w:ascii="Times New Roman" w:hAnsi="Times New Roman"/>
          <w:sz w:val="24"/>
        </w:rPr>
        <w:t>(1991) 32 FCR 219;</w:t>
      </w:r>
      <w:r w:rsidRPr="00CF4A1E">
        <w:rPr>
          <w:rFonts w:ascii="Times New Roman" w:hAnsi="Times New Roman"/>
          <w:i/>
          <w:iCs/>
          <w:sz w:val="24"/>
        </w:rPr>
        <w:t xml:space="preserve"> Wasantha v Minister for Immigration and Multicultural Affairs </w:t>
      </w:r>
      <w:r w:rsidRPr="00CF4A1E">
        <w:rPr>
          <w:rFonts w:ascii="Times New Roman" w:hAnsi="Times New Roman"/>
          <w:sz w:val="24"/>
        </w:rPr>
        <w:t>[1999] FCA 1158;</w:t>
      </w:r>
      <w:r w:rsidRPr="00CF4A1E">
        <w:rPr>
          <w:rFonts w:ascii="Times New Roman" w:hAnsi="Times New Roman"/>
          <w:i/>
          <w:iCs/>
          <w:sz w:val="24"/>
        </w:rPr>
        <w:t xml:space="preserve"> Dighton v South Australia </w:t>
      </w:r>
      <w:r w:rsidRPr="00CF4A1E">
        <w:rPr>
          <w:rFonts w:ascii="Times New Roman" w:hAnsi="Times New Roman"/>
          <w:sz w:val="24"/>
        </w:rPr>
        <w:t>(2000) 78 SASR 1;</w:t>
      </w:r>
      <w:r w:rsidRPr="00CF4A1E">
        <w:rPr>
          <w:rFonts w:ascii="Times New Roman" w:hAnsi="Times New Roman"/>
          <w:i/>
          <w:iCs/>
          <w:sz w:val="24"/>
        </w:rPr>
        <w:t xml:space="preserve"> Bank Mellat </w:t>
      </w:r>
      <w:r w:rsidRPr="00CF4A1E">
        <w:rPr>
          <w:rFonts w:ascii="Times New Roman" w:hAnsi="Times New Roman"/>
          <w:i/>
          <w:iCs/>
          <w:sz w:val="24"/>
          <w:lang w:val="en-US"/>
        </w:rPr>
        <w:t>v Her Majesty's Treasury [No 2]</w:t>
      </w:r>
      <w:r w:rsidRPr="00CF4A1E">
        <w:rPr>
          <w:rFonts w:ascii="Times New Roman" w:hAnsi="Times New Roman"/>
          <w:i/>
          <w:iCs/>
          <w:sz w:val="24"/>
        </w:rPr>
        <w:t xml:space="preserve"> </w:t>
      </w:r>
      <w:r w:rsidRPr="00CF4A1E">
        <w:rPr>
          <w:rFonts w:ascii="Times New Roman" w:hAnsi="Times New Roman"/>
          <w:sz w:val="24"/>
          <w:lang w:val="en-US"/>
        </w:rPr>
        <w:t>[2014] AC 700</w:t>
      </w:r>
      <w:r w:rsidRPr="00CF4A1E">
        <w:rPr>
          <w:rFonts w:ascii="Times New Roman" w:hAnsi="Times New Roman"/>
          <w:i/>
          <w:iCs/>
          <w:sz w:val="24"/>
        </w:rPr>
        <w:t xml:space="preserve"> </w:t>
      </w:r>
      <w:r w:rsidRPr="00CF4A1E">
        <w:rPr>
          <w:rFonts w:ascii="Times New Roman" w:hAnsi="Times New Roman"/>
          <w:sz w:val="24"/>
        </w:rPr>
        <w:t>at 780-781 [44].</w:t>
      </w:r>
    </w:p>
  </w:footnote>
  <w:footnote w:id="64">
    <w:p w14:paraId="48CA0960"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i/>
          <w:iCs/>
          <w:sz w:val="24"/>
          <w:lang w:val="en-US"/>
        </w:rPr>
        <w:t xml:space="preserve">Disorganized Developments </w:t>
      </w:r>
      <w:r w:rsidRPr="00CF4A1E">
        <w:rPr>
          <w:rFonts w:ascii="Times New Roman" w:hAnsi="Times New Roman"/>
          <w:sz w:val="24"/>
        </w:rPr>
        <w:t xml:space="preserve">(2022) 140 SASR 206 </w:t>
      </w:r>
      <w:r w:rsidRPr="00CF4A1E">
        <w:rPr>
          <w:rFonts w:ascii="Times New Roman" w:hAnsi="Times New Roman"/>
          <w:sz w:val="24"/>
          <w:lang w:val="en-US"/>
        </w:rPr>
        <w:t>at 237 [140].</w:t>
      </w:r>
    </w:p>
  </w:footnote>
  <w:footnote w:id="65">
    <w:p w14:paraId="09D69559"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sz w:val="24"/>
          <w:lang w:val="en-US"/>
        </w:rPr>
        <w:t>(1982) 151 CLR 342.</w:t>
      </w:r>
    </w:p>
  </w:footnote>
  <w:footnote w:id="66">
    <w:p w14:paraId="082C3946"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lang w:val="en-US"/>
        </w:rPr>
        <w:t xml:space="preserve">O'Shea </w:t>
      </w:r>
      <w:bookmarkStart w:id="0" w:name="_Hlk131503241"/>
      <w:r w:rsidRPr="00CF4A1E">
        <w:rPr>
          <w:rFonts w:ascii="Times New Roman" w:hAnsi="Times New Roman"/>
          <w:sz w:val="24"/>
          <w:lang w:val="en-US"/>
        </w:rPr>
        <w:t xml:space="preserve">(1987) 163 CLR 378 </w:t>
      </w:r>
      <w:bookmarkEnd w:id="0"/>
      <w:r w:rsidRPr="00CF4A1E">
        <w:rPr>
          <w:rFonts w:ascii="Times New Roman" w:hAnsi="Times New Roman"/>
          <w:sz w:val="24"/>
          <w:lang w:val="en-US"/>
        </w:rPr>
        <w:t xml:space="preserve">at 386. </w:t>
      </w:r>
    </w:p>
  </w:footnote>
  <w:footnote w:id="67">
    <w:p w14:paraId="239DDFEA"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t>(1987) 163 CLR 378.</w:t>
      </w:r>
    </w:p>
  </w:footnote>
  <w:footnote w:id="68">
    <w:p w14:paraId="7AA3D14C"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lang w:val="en-US"/>
        </w:rPr>
        <w:t xml:space="preserve">O'Shea </w:t>
      </w:r>
      <w:r w:rsidRPr="00CF4A1E">
        <w:rPr>
          <w:rFonts w:ascii="Times New Roman" w:hAnsi="Times New Roman"/>
          <w:sz w:val="24"/>
          <w:lang w:val="en-US"/>
        </w:rPr>
        <w:t>(1987) 163 CLR 378 at 388-389.</w:t>
      </w:r>
    </w:p>
  </w:footnote>
  <w:footnote w:id="69">
    <w:p w14:paraId="79A140C6"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O'Shea </w:t>
      </w:r>
      <w:r w:rsidRPr="00CF4A1E">
        <w:rPr>
          <w:rFonts w:ascii="Times New Roman" w:hAnsi="Times New Roman"/>
          <w:sz w:val="24"/>
        </w:rPr>
        <w:t>(1987) 163 CLR 378 at 402, 404 per Wilson and Toohey JJ, 411 per Brennan J.</w:t>
      </w:r>
    </w:p>
  </w:footnote>
  <w:footnote w:id="70">
    <w:p w14:paraId="3A3EE8FC"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O'Shea </w:t>
      </w:r>
      <w:r w:rsidRPr="00CF4A1E">
        <w:rPr>
          <w:rFonts w:ascii="Times New Roman" w:hAnsi="Times New Roman"/>
          <w:sz w:val="24"/>
        </w:rPr>
        <w:t>(1987) 163 CLR 378 at 418-419.</w:t>
      </w:r>
    </w:p>
  </w:footnote>
  <w:footnote w:id="71">
    <w:p w14:paraId="1A7CEB88"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O'Shea </w:t>
      </w:r>
      <w:r w:rsidRPr="00CF4A1E">
        <w:rPr>
          <w:rFonts w:ascii="Times New Roman" w:hAnsi="Times New Roman"/>
          <w:sz w:val="24"/>
        </w:rPr>
        <w:t>(1987) 163 CLR 378 at 387.</w:t>
      </w:r>
    </w:p>
  </w:footnote>
  <w:footnote w:id="72">
    <w:p w14:paraId="45648E08"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O'Shea </w:t>
      </w:r>
      <w:r w:rsidRPr="00CF4A1E">
        <w:rPr>
          <w:rFonts w:ascii="Times New Roman" w:hAnsi="Times New Roman"/>
          <w:sz w:val="24"/>
        </w:rPr>
        <w:t>(1987) 163 CLR 378 at 387-388.</w:t>
      </w:r>
    </w:p>
  </w:footnote>
  <w:footnote w:id="73">
    <w:p w14:paraId="3DA9A9A4"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t xml:space="preserve">See, </w:t>
      </w:r>
      <w:r w:rsidRPr="00CF4A1E">
        <w:rPr>
          <w:rFonts w:ascii="Times New Roman" w:hAnsi="Times New Roman"/>
          <w:sz w:val="24"/>
          <w:lang w:val="en-US"/>
        </w:rPr>
        <w:t xml:space="preserve">eg, </w:t>
      </w:r>
      <w:r w:rsidRPr="00CF4A1E">
        <w:rPr>
          <w:rFonts w:ascii="Times New Roman" w:hAnsi="Times New Roman"/>
          <w:i/>
          <w:iCs/>
          <w:sz w:val="24"/>
          <w:lang w:val="en-US"/>
        </w:rPr>
        <w:t xml:space="preserve">Salemi v MacKellar [No 2] </w:t>
      </w:r>
      <w:r w:rsidRPr="00CF4A1E">
        <w:rPr>
          <w:rFonts w:ascii="Times New Roman" w:hAnsi="Times New Roman"/>
          <w:sz w:val="24"/>
          <w:lang w:val="en-US"/>
        </w:rPr>
        <w:t xml:space="preserve">(1977) 137 CLR 396 at 421; </w:t>
      </w:r>
      <w:r w:rsidRPr="00CF4A1E">
        <w:rPr>
          <w:rFonts w:ascii="Times New Roman" w:hAnsi="Times New Roman"/>
          <w:i/>
          <w:iCs/>
          <w:sz w:val="24"/>
          <w:lang w:val="en-US"/>
        </w:rPr>
        <w:t xml:space="preserve">Winneke </w:t>
      </w:r>
      <w:r w:rsidRPr="00CF4A1E">
        <w:rPr>
          <w:rFonts w:ascii="Times New Roman" w:hAnsi="Times New Roman"/>
          <w:sz w:val="24"/>
          <w:lang w:val="en-US"/>
        </w:rPr>
        <w:t xml:space="preserve">(1982) 151 CLR 342 at 398. </w:t>
      </w:r>
    </w:p>
  </w:footnote>
  <w:footnote w:id="74">
    <w:p w14:paraId="30DDBF29"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t xml:space="preserve">See, </w:t>
      </w:r>
      <w:r w:rsidRPr="00CF4A1E">
        <w:rPr>
          <w:rFonts w:ascii="Times New Roman" w:hAnsi="Times New Roman"/>
          <w:sz w:val="24"/>
          <w:lang w:val="en-US"/>
        </w:rPr>
        <w:t xml:space="preserve">eg, </w:t>
      </w:r>
      <w:r w:rsidRPr="00CF4A1E">
        <w:rPr>
          <w:rFonts w:ascii="Times New Roman" w:hAnsi="Times New Roman"/>
          <w:i/>
          <w:iCs/>
          <w:sz w:val="24"/>
          <w:lang w:val="en-US"/>
        </w:rPr>
        <w:t xml:space="preserve">Jarratt </w:t>
      </w:r>
      <w:r w:rsidRPr="00CF4A1E">
        <w:rPr>
          <w:rFonts w:ascii="Times New Roman" w:hAnsi="Times New Roman"/>
          <w:sz w:val="24"/>
          <w:lang w:val="en-US"/>
        </w:rPr>
        <w:t xml:space="preserve">(2005) 224 CLR 44. </w:t>
      </w:r>
    </w:p>
  </w:footnote>
  <w:footnote w:id="75">
    <w:p w14:paraId="45FB65C8"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i/>
          <w:iCs/>
          <w:sz w:val="24"/>
          <w:lang w:val="en-US"/>
        </w:rPr>
        <w:t xml:space="preserve">Bank </w:t>
      </w:r>
      <w:r w:rsidRPr="00CF4A1E">
        <w:rPr>
          <w:rFonts w:ascii="Times New Roman" w:hAnsi="Times New Roman"/>
          <w:i/>
          <w:iCs/>
          <w:sz w:val="24"/>
          <w:lang w:val="en-US"/>
        </w:rPr>
        <w:t xml:space="preserve">Mellat </w:t>
      </w:r>
      <w:r w:rsidRPr="00CF4A1E">
        <w:rPr>
          <w:rFonts w:ascii="Times New Roman" w:hAnsi="Times New Roman"/>
          <w:sz w:val="24"/>
          <w:lang w:val="en-US"/>
        </w:rPr>
        <w:t>[2014] AC 700 at 780-781 [44], 782-783 [46]-[48].</w:t>
      </w:r>
    </w:p>
  </w:footnote>
  <w:footnote w:id="76">
    <w:p w14:paraId="587C73FC"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sz w:val="24"/>
          <w:lang w:val="en-US"/>
        </w:rPr>
        <w:t xml:space="preserve">cf </w:t>
      </w:r>
      <w:r w:rsidRPr="00CF4A1E">
        <w:rPr>
          <w:rFonts w:ascii="Times New Roman" w:hAnsi="Times New Roman"/>
          <w:i/>
          <w:iCs/>
          <w:sz w:val="24"/>
          <w:lang w:val="en-US"/>
        </w:rPr>
        <w:t>O'Shea</w:t>
      </w:r>
      <w:r w:rsidRPr="00CF4A1E">
        <w:rPr>
          <w:rFonts w:ascii="Times New Roman" w:hAnsi="Times New Roman"/>
          <w:sz w:val="24"/>
          <w:lang w:val="en-US"/>
        </w:rPr>
        <w:t xml:space="preserve"> (1987) 163 CLR 378 at 387.</w:t>
      </w:r>
    </w:p>
  </w:footnote>
  <w:footnote w:id="77">
    <w:p w14:paraId="397A6B94"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i/>
          <w:iCs/>
          <w:sz w:val="24"/>
        </w:rPr>
        <w:t xml:space="preserve">Disorganized Developments </w:t>
      </w:r>
      <w:r w:rsidRPr="00CF4A1E">
        <w:rPr>
          <w:rFonts w:ascii="Times New Roman" w:hAnsi="Times New Roman"/>
          <w:sz w:val="24"/>
        </w:rPr>
        <w:t>(2022) 140 SASR 206 at 221 [59], 232 [111].</w:t>
      </w:r>
    </w:p>
  </w:footnote>
  <w:footnote w:id="78">
    <w:p w14:paraId="287DEF39"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i/>
          <w:iCs/>
          <w:sz w:val="24"/>
          <w:lang w:val="en-US"/>
        </w:rPr>
        <w:t xml:space="preserve">Winneke </w:t>
      </w:r>
      <w:r w:rsidRPr="00CF4A1E">
        <w:rPr>
          <w:rFonts w:ascii="Times New Roman" w:hAnsi="Times New Roman"/>
          <w:sz w:val="24"/>
          <w:lang w:val="en-US"/>
        </w:rPr>
        <w:t xml:space="preserve">(1982) 151 CLR 342 at 398. See also </w:t>
      </w:r>
      <w:r w:rsidRPr="00CF4A1E">
        <w:rPr>
          <w:rFonts w:ascii="Times New Roman" w:hAnsi="Times New Roman"/>
          <w:i/>
          <w:sz w:val="24"/>
          <w:lang w:val="en-US"/>
        </w:rPr>
        <w:t xml:space="preserve">O'Shea </w:t>
      </w:r>
      <w:r w:rsidRPr="00CF4A1E">
        <w:rPr>
          <w:rFonts w:ascii="Times New Roman" w:hAnsi="Times New Roman"/>
          <w:sz w:val="24"/>
          <w:lang w:val="en-US"/>
        </w:rPr>
        <w:t>(1987) 163 CLR 378 at 389, 411, 418-419.</w:t>
      </w:r>
    </w:p>
  </w:footnote>
  <w:footnote w:id="79">
    <w:p w14:paraId="024F2B1D" w14:textId="77777777" w:rsidR="00431CF6" w:rsidRPr="00CF4A1E" w:rsidRDefault="00431CF6" w:rsidP="00CF4A1E">
      <w:pPr>
        <w:pStyle w:val="FootnoteText"/>
        <w:spacing w:line="280" w:lineRule="exact"/>
        <w:ind w:right="0"/>
        <w:jc w:val="both"/>
        <w:rPr>
          <w:rFonts w:ascii="Times New Roman" w:hAnsi="Times New Roman"/>
          <w:sz w:val="24"/>
          <w:lang w:val="en-US"/>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lang w:val="en-US"/>
        </w:rPr>
        <w:tab/>
      </w:r>
      <w:r w:rsidRPr="00CF4A1E">
        <w:rPr>
          <w:rFonts w:ascii="Times New Roman" w:hAnsi="Times New Roman"/>
          <w:sz w:val="24"/>
          <w:lang w:val="en-US"/>
        </w:rPr>
        <w:t xml:space="preserve">cf </w:t>
      </w:r>
      <w:r w:rsidRPr="00CF4A1E">
        <w:rPr>
          <w:rFonts w:ascii="Times New Roman" w:hAnsi="Times New Roman"/>
          <w:i/>
          <w:iCs/>
          <w:sz w:val="24"/>
          <w:lang w:val="en-US"/>
        </w:rPr>
        <w:t>Kioa</w:t>
      </w:r>
      <w:r w:rsidRPr="00CF4A1E">
        <w:rPr>
          <w:rFonts w:ascii="Times New Roman" w:hAnsi="Times New Roman"/>
          <w:sz w:val="24"/>
          <w:lang w:val="en-US"/>
        </w:rPr>
        <w:t xml:space="preserve"> </w:t>
      </w:r>
      <w:r w:rsidRPr="00CF4A1E">
        <w:rPr>
          <w:rFonts w:ascii="Times New Roman" w:hAnsi="Times New Roman"/>
          <w:sz w:val="24"/>
        </w:rPr>
        <w:t>(1985) 159 CLR 550</w:t>
      </w:r>
      <w:r w:rsidRPr="00CF4A1E">
        <w:rPr>
          <w:rFonts w:ascii="Times New Roman" w:hAnsi="Times New Roman"/>
          <w:sz w:val="24"/>
          <w:lang w:val="en-US"/>
        </w:rPr>
        <w:t xml:space="preserve"> at 633; </w:t>
      </w:r>
      <w:r w:rsidRPr="00CF4A1E">
        <w:rPr>
          <w:rFonts w:ascii="Times New Roman" w:hAnsi="Times New Roman"/>
          <w:i/>
          <w:iCs/>
          <w:sz w:val="24"/>
          <w:lang w:val="en-US"/>
        </w:rPr>
        <w:t xml:space="preserve">Somaghi v Minister for Immigration, Local Government and Ethnic Affairs </w:t>
      </w:r>
      <w:r w:rsidRPr="00CF4A1E">
        <w:rPr>
          <w:rFonts w:ascii="Times New Roman" w:hAnsi="Times New Roman"/>
          <w:sz w:val="24"/>
          <w:lang w:val="en-US"/>
        </w:rPr>
        <w:t>(1991) 31 FCR 100 at 119.</w:t>
      </w:r>
    </w:p>
  </w:footnote>
  <w:footnote w:id="80">
    <w:p w14:paraId="32359D00" w14:textId="77777777" w:rsidR="00431CF6" w:rsidRPr="00CF4A1E" w:rsidRDefault="00431CF6" w:rsidP="00CF4A1E">
      <w:pPr>
        <w:pStyle w:val="FootnoteText"/>
        <w:spacing w:line="280" w:lineRule="exact"/>
        <w:ind w:right="0"/>
        <w:jc w:val="both"/>
        <w:rPr>
          <w:rFonts w:ascii="Times New Roman" w:hAnsi="Times New Roman"/>
          <w:sz w:val="24"/>
        </w:rPr>
      </w:pPr>
      <w:r w:rsidRPr="00CF4A1E">
        <w:rPr>
          <w:rStyle w:val="FootnoteReference"/>
          <w:rFonts w:ascii="Times New Roman" w:hAnsi="Times New Roman"/>
          <w:sz w:val="22"/>
          <w:vertAlign w:val="baseline"/>
        </w:rPr>
        <w:footnoteRef/>
      </w:r>
      <w:r w:rsidRPr="00CF4A1E">
        <w:rPr>
          <w:rFonts w:ascii="Times New Roman" w:hAnsi="Times New Roman"/>
          <w:sz w:val="24"/>
        </w:rPr>
        <w:t xml:space="preserve"> </w:t>
      </w:r>
      <w:r w:rsidRPr="00CF4A1E">
        <w:rPr>
          <w:rFonts w:ascii="Times New Roman" w:hAnsi="Times New Roman"/>
          <w:sz w:val="24"/>
        </w:rPr>
        <w:tab/>
      </w:r>
      <w:r w:rsidRPr="00CF4A1E">
        <w:rPr>
          <w:rFonts w:ascii="Times New Roman" w:hAnsi="Times New Roman"/>
          <w:sz w:val="24"/>
        </w:rPr>
        <w:t xml:space="preserve">cf </w:t>
      </w:r>
      <w:r w:rsidRPr="00CF4A1E">
        <w:rPr>
          <w:rFonts w:ascii="Times New Roman" w:hAnsi="Times New Roman"/>
          <w:i/>
          <w:iCs/>
          <w:sz w:val="24"/>
        </w:rPr>
        <w:t xml:space="preserve">SZSSJ </w:t>
      </w:r>
      <w:r w:rsidRPr="00CF4A1E">
        <w:rPr>
          <w:rFonts w:ascii="Times New Roman" w:hAnsi="Times New Roman"/>
          <w:sz w:val="24"/>
        </w:rPr>
        <w:t>(2016) 259 CLR 180 at 207 [83].</w:t>
      </w:r>
    </w:p>
  </w:footnote>
  <w:footnote w:id="81">
    <w:p w14:paraId="01E00B20"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 xml:space="preserve">In South Australia the acts of the Governor in Council are "based on" decisions of cabinet: </w:t>
      </w:r>
      <w:r w:rsidRPr="00CB172B">
        <w:rPr>
          <w:rFonts w:ascii="Times New Roman" w:hAnsi="Times New Roman"/>
          <w:i/>
          <w:iCs/>
          <w:sz w:val="24"/>
          <w:lang w:val="en-US"/>
        </w:rPr>
        <w:t>South Australia v O'Shea</w:t>
      </w:r>
      <w:r w:rsidRPr="00CB172B">
        <w:rPr>
          <w:rFonts w:ascii="Times New Roman" w:hAnsi="Times New Roman"/>
          <w:sz w:val="24"/>
          <w:lang w:val="en-US"/>
        </w:rPr>
        <w:t xml:space="preserve"> (1987) 163 CLR 378 at 387 per Mason CJ.</w:t>
      </w:r>
    </w:p>
  </w:footnote>
  <w:footnote w:id="82">
    <w:p w14:paraId="0B1785D3"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CPCF v Minister for Immigration and Border Protection</w:t>
      </w:r>
      <w:r w:rsidRPr="00CB172B">
        <w:rPr>
          <w:rFonts w:ascii="Times New Roman" w:hAnsi="Times New Roman"/>
          <w:sz w:val="24"/>
          <w:lang w:val="en-US"/>
        </w:rPr>
        <w:t xml:space="preserve"> (2015) 255 CLR 514 at 622 [367] per Gageler J.</w:t>
      </w:r>
    </w:p>
  </w:footnote>
  <w:footnote w:id="83">
    <w:p w14:paraId="20759B4C"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 xml:space="preserve">Commissioner of Police v </w:t>
      </w:r>
      <w:r w:rsidRPr="00CB172B">
        <w:rPr>
          <w:rFonts w:ascii="Times New Roman" w:hAnsi="Times New Roman"/>
          <w:i/>
          <w:iCs/>
          <w:sz w:val="24"/>
          <w:lang w:val="en-US"/>
        </w:rPr>
        <w:t xml:space="preserve">Tanos </w:t>
      </w:r>
      <w:r w:rsidRPr="00CB172B">
        <w:rPr>
          <w:rFonts w:ascii="Times New Roman" w:hAnsi="Times New Roman"/>
          <w:sz w:val="24"/>
          <w:lang w:val="en-US"/>
        </w:rPr>
        <w:t xml:space="preserve">(1958) 98 CLR 383 at 395-396 per Dixon CJ and Webb J; </w:t>
      </w:r>
      <w:r w:rsidRPr="00CB172B">
        <w:rPr>
          <w:rFonts w:ascii="Times New Roman" w:hAnsi="Times New Roman"/>
          <w:i/>
          <w:iCs/>
          <w:sz w:val="24"/>
          <w:lang w:val="en-US"/>
        </w:rPr>
        <w:t>Annetts v McCann</w:t>
      </w:r>
      <w:r w:rsidRPr="00CB172B">
        <w:rPr>
          <w:rFonts w:ascii="Times New Roman" w:hAnsi="Times New Roman"/>
          <w:sz w:val="24"/>
          <w:lang w:val="en-US"/>
        </w:rPr>
        <w:t xml:space="preserve"> (1990) 170 CLR 596 at 598 per Mason CJ, </w:t>
      </w:r>
      <w:r w:rsidRPr="00CB172B">
        <w:rPr>
          <w:rFonts w:ascii="Times New Roman" w:hAnsi="Times New Roman"/>
          <w:sz w:val="24"/>
          <w:lang w:val="en-US"/>
        </w:rPr>
        <w:t xml:space="preserve">Deane and McHugh JJ; </w:t>
      </w:r>
      <w:r w:rsidRPr="00CB172B">
        <w:rPr>
          <w:rFonts w:ascii="Times New Roman" w:hAnsi="Times New Roman"/>
          <w:i/>
          <w:iCs/>
          <w:sz w:val="24"/>
          <w:lang w:val="en-US"/>
        </w:rPr>
        <w:t>Jarratt v Commissioner of Police</w:t>
      </w:r>
      <w:r w:rsidRPr="00CB172B">
        <w:rPr>
          <w:rFonts w:ascii="Times New Roman" w:hAnsi="Times New Roman"/>
          <w:sz w:val="24"/>
          <w:lang w:val="en-US"/>
        </w:rPr>
        <w:t xml:space="preserve"> </w:t>
      </w:r>
      <w:r w:rsidRPr="00CB172B">
        <w:rPr>
          <w:rFonts w:ascii="Times New Roman" w:hAnsi="Times New Roman"/>
          <w:i/>
          <w:iCs/>
          <w:sz w:val="24"/>
          <w:lang w:val="en-US"/>
        </w:rPr>
        <w:t>(NSW)</w:t>
      </w:r>
      <w:r w:rsidRPr="00CB172B">
        <w:rPr>
          <w:rFonts w:ascii="Times New Roman" w:hAnsi="Times New Roman"/>
          <w:sz w:val="24"/>
          <w:lang w:val="en-US"/>
        </w:rPr>
        <w:t xml:space="preserve"> (2005) 224 CLR 44 at 56 [24] per Gleeson CJ, 61 [51] per McHugh, Gummow and Hayne JJ, 88 [138] per Callinan J.</w:t>
      </w:r>
    </w:p>
  </w:footnote>
  <w:footnote w:id="84">
    <w:p w14:paraId="5AD3812E"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 xml:space="preserve">(2008) 234 CLR 532 at 595-596 [182] (footnotes omitted). </w:t>
      </w:r>
    </w:p>
  </w:footnote>
  <w:footnote w:id="85">
    <w:p w14:paraId="7F0FA8E2"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Minister for Immigration and Border Protection v SZSSJ</w:t>
      </w:r>
      <w:r w:rsidRPr="00CB172B">
        <w:rPr>
          <w:rFonts w:ascii="Times New Roman" w:hAnsi="Times New Roman"/>
          <w:sz w:val="24"/>
          <w:lang w:val="en-US"/>
        </w:rPr>
        <w:t xml:space="preserve"> (2016) 259 CLR 180 at 205 [75] per French CJ, Kiefel, Bell, Gageler, Keane, </w:t>
      </w:r>
      <w:r w:rsidRPr="00CB172B">
        <w:rPr>
          <w:rFonts w:ascii="Times New Roman" w:hAnsi="Times New Roman"/>
          <w:sz w:val="24"/>
          <w:lang w:val="en-US"/>
        </w:rPr>
        <w:t>Nettle and Gordon JJ.</w:t>
      </w:r>
    </w:p>
  </w:footnote>
  <w:footnote w:id="86">
    <w:p w14:paraId="16CEEAE1"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Re Minister for Immigration and Multicultural Affairs; Ex parte Miah</w:t>
      </w:r>
      <w:r w:rsidRPr="00CB172B">
        <w:rPr>
          <w:rFonts w:ascii="Times New Roman" w:hAnsi="Times New Roman"/>
          <w:sz w:val="24"/>
          <w:lang w:val="en-US"/>
        </w:rPr>
        <w:t xml:space="preserve"> (2001) 206 CLR 57 at 83-84 [90] per Gaudron J.</w:t>
      </w:r>
    </w:p>
  </w:footnote>
  <w:footnote w:id="87">
    <w:p w14:paraId="1B15681F"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CLC Act, s 83E.</w:t>
      </w:r>
    </w:p>
  </w:footnote>
  <w:footnote w:id="88">
    <w:p w14:paraId="1F483173"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 xml:space="preserve">Division 2 was introduced by the </w:t>
      </w:r>
      <w:r w:rsidRPr="00CB172B">
        <w:rPr>
          <w:rFonts w:ascii="Times New Roman" w:hAnsi="Times New Roman"/>
          <w:i/>
          <w:iCs/>
          <w:sz w:val="24"/>
          <w:lang w:val="en-US"/>
        </w:rPr>
        <w:t xml:space="preserve">Statutes Amendment (Serious and </w:t>
      </w:r>
      <w:r w:rsidRPr="00CB172B">
        <w:rPr>
          <w:rFonts w:ascii="Times New Roman" w:hAnsi="Times New Roman"/>
          <w:i/>
          <w:iCs/>
          <w:sz w:val="24"/>
          <w:lang w:val="en-US"/>
        </w:rPr>
        <w:t>Organised Crime) Act 2015</w:t>
      </w:r>
      <w:r w:rsidRPr="00CB172B">
        <w:rPr>
          <w:rFonts w:ascii="Times New Roman" w:hAnsi="Times New Roman"/>
          <w:sz w:val="24"/>
          <w:lang w:val="en-US"/>
        </w:rPr>
        <w:t xml:space="preserve"> (SA).</w:t>
      </w:r>
    </w:p>
  </w:footnote>
  <w:footnote w:id="89">
    <w:p w14:paraId="2F9DC77E"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Disorganized Developments Pty Ltd v South Australia</w:t>
      </w:r>
      <w:r w:rsidRPr="00CB172B">
        <w:rPr>
          <w:rFonts w:ascii="Times New Roman" w:hAnsi="Times New Roman"/>
          <w:sz w:val="24"/>
          <w:lang w:val="en-US"/>
        </w:rPr>
        <w:t xml:space="preserve"> (2022) 140 SASR 206 at 221 [59] per Livesey P, Doyle and </w:t>
      </w:r>
      <w:r w:rsidRPr="00CB172B">
        <w:rPr>
          <w:rFonts w:ascii="Times New Roman" w:hAnsi="Times New Roman"/>
          <w:sz w:val="24"/>
          <w:lang w:val="en-US"/>
        </w:rPr>
        <w:t>Bleby JJA.</w:t>
      </w:r>
    </w:p>
  </w:footnote>
  <w:footnote w:id="90">
    <w:p w14:paraId="52FB07E3"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 xml:space="preserve">South Australia, House of Assembly, </w:t>
      </w:r>
      <w:r w:rsidRPr="00CB172B">
        <w:rPr>
          <w:rFonts w:ascii="Times New Roman" w:hAnsi="Times New Roman"/>
          <w:i/>
          <w:iCs/>
          <w:sz w:val="24"/>
          <w:lang w:val="en-US"/>
        </w:rPr>
        <w:t>Parliamentary Debates</w:t>
      </w:r>
      <w:r w:rsidRPr="00CB172B">
        <w:rPr>
          <w:rFonts w:ascii="Times New Roman" w:hAnsi="Times New Roman"/>
          <w:sz w:val="24"/>
          <w:lang w:val="en-US"/>
        </w:rPr>
        <w:t xml:space="preserve"> (Hansard), 3 June 2015 at 1476.</w:t>
      </w:r>
    </w:p>
  </w:footnote>
  <w:footnote w:id="91">
    <w:p w14:paraId="036A6483"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 xml:space="preserve">South Australia, House of Assembly, </w:t>
      </w:r>
      <w:r w:rsidRPr="00CB172B">
        <w:rPr>
          <w:rFonts w:ascii="Times New Roman" w:hAnsi="Times New Roman"/>
          <w:i/>
          <w:iCs/>
          <w:sz w:val="24"/>
          <w:lang w:val="en-US"/>
        </w:rPr>
        <w:t>Parliamentary Debates</w:t>
      </w:r>
      <w:r w:rsidRPr="00CB172B">
        <w:rPr>
          <w:rFonts w:ascii="Times New Roman" w:hAnsi="Times New Roman"/>
          <w:sz w:val="24"/>
          <w:lang w:val="en-US"/>
        </w:rPr>
        <w:t xml:space="preserve"> (Hansard), 3 June 2015 at 1482.</w:t>
      </w:r>
    </w:p>
  </w:footnote>
  <w:footnote w:id="92">
    <w:p w14:paraId="239EAF49"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 xml:space="preserve">Criminal Law Consolidation (Criminal </w:t>
      </w:r>
      <w:r w:rsidRPr="00CB172B">
        <w:rPr>
          <w:rFonts w:ascii="Times New Roman" w:hAnsi="Times New Roman"/>
          <w:i/>
          <w:iCs/>
          <w:sz w:val="24"/>
          <w:lang w:val="en-US"/>
        </w:rPr>
        <w:t>Organisations) Regulations 2015</w:t>
      </w:r>
      <w:r w:rsidRPr="00CB172B">
        <w:rPr>
          <w:rFonts w:ascii="Times New Roman" w:hAnsi="Times New Roman"/>
          <w:sz w:val="24"/>
          <w:lang w:val="en-US"/>
        </w:rPr>
        <w:t xml:space="preserve"> (SA), reg 2.</w:t>
      </w:r>
    </w:p>
  </w:footnote>
  <w:footnote w:id="93">
    <w:p w14:paraId="19B7581E"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Salemi v MacKellar [No 2]</w:t>
      </w:r>
      <w:r w:rsidRPr="00CB172B">
        <w:rPr>
          <w:rFonts w:ascii="Times New Roman" w:hAnsi="Times New Roman"/>
          <w:sz w:val="24"/>
          <w:lang w:val="en-US"/>
        </w:rPr>
        <w:t xml:space="preserve"> (1977) 137 CLR 396 at 452 per Jacobs J; </w:t>
      </w:r>
      <w:r w:rsidRPr="00CB172B">
        <w:rPr>
          <w:rFonts w:ascii="Times New Roman" w:hAnsi="Times New Roman"/>
          <w:i/>
          <w:iCs/>
          <w:sz w:val="24"/>
          <w:lang w:val="en-US"/>
        </w:rPr>
        <w:t>Bread Manufacturers of New South Wales v Evans</w:t>
      </w:r>
      <w:r w:rsidRPr="00CB172B">
        <w:rPr>
          <w:rFonts w:ascii="Times New Roman" w:hAnsi="Times New Roman"/>
          <w:sz w:val="24"/>
          <w:lang w:val="en-US"/>
        </w:rPr>
        <w:t xml:space="preserve"> (1981) 180 CLR 404 at 416-417 per Gibbs CJ; </w:t>
      </w:r>
      <w:r w:rsidRPr="00CB172B">
        <w:rPr>
          <w:rFonts w:ascii="Times New Roman" w:hAnsi="Times New Roman"/>
          <w:i/>
          <w:iCs/>
          <w:sz w:val="24"/>
          <w:lang w:val="en-US"/>
        </w:rPr>
        <w:t>Kioa v West</w:t>
      </w:r>
      <w:r w:rsidRPr="00CB172B">
        <w:rPr>
          <w:rFonts w:ascii="Times New Roman" w:hAnsi="Times New Roman"/>
          <w:sz w:val="24"/>
          <w:lang w:val="en-US"/>
        </w:rPr>
        <w:t xml:space="preserve"> (1985) 159 CLR 550 at 584 per Mason J; </w:t>
      </w:r>
      <w:r w:rsidRPr="00CB172B">
        <w:rPr>
          <w:rFonts w:ascii="Times New Roman" w:hAnsi="Times New Roman"/>
          <w:i/>
          <w:iCs/>
          <w:sz w:val="24"/>
          <w:lang w:val="en-US"/>
        </w:rPr>
        <w:t>Save the Showground for Sydney Inc v Minister for Urban Affairs and Planning</w:t>
      </w:r>
      <w:r w:rsidRPr="00CB172B">
        <w:rPr>
          <w:rFonts w:ascii="Times New Roman" w:hAnsi="Times New Roman"/>
          <w:sz w:val="24"/>
          <w:lang w:val="en-US"/>
        </w:rPr>
        <w:t xml:space="preserve"> (1997) 95 LGERA 33 at 52 per Beazley JA (with whom Powell JA agreed); </w:t>
      </w:r>
      <w:r w:rsidRPr="00CB172B">
        <w:rPr>
          <w:rFonts w:ascii="Times New Roman" w:hAnsi="Times New Roman"/>
          <w:i/>
          <w:iCs/>
          <w:sz w:val="24"/>
          <w:lang w:val="en-US"/>
        </w:rPr>
        <w:t>Transport Action Group Against Motorways Inc v Roads and Traffic Authority</w:t>
      </w:r>
      <w:r w:rsidRPr="00CB172B">
        <w:rPr>
          <w:rFonts w:ascii="Times New Roman" w:hAnsi="Times New Roman"/>
          <w:sz w:val="24"/>
          <w:lang w:val="en-US"/>
        </w:rPr>
        <w:t xml:space="preserve"> (1999) 46 NSWLR 598 at 622 [90] per Mason P; </w:t>
      </w:r>
      <w:r w:rsidRPr="00CB172B">
        <w:rPr>
          <w:rFonts w:ascii="Times New Roman" w:hAnsi="Times New Roman"/>
          <w:i/>
          <w:iCs/>
          <w:sz w:val="24"/>
          <w:lang w:val="en-US"/>
        </w:rPr>
        <w:t>Sita Queensland Pty Ltd v Beattie</w:t>
      </w:r>
      <w:r w:rsidRPr="00CB172B">
        <w:rPr>
          <w:rFonts w:ascii="Times New Roman" w:hAnsi="Times New Roman"/>
          <w:sz w:val="24"/>
          <w:lang w:val="en-US"/>
        </w:rPr>
        <w:t xml:space="preserve"> [2000] 2 Qd R 433 at 444-445 [47] per Williams J; </w:t>
      </w:r>
      <w:r w:rsidRPr="00CB172B">
        <w:rPr>
          <w:rFonts w:ascii="Times New Roman" w:hAnsi="Times New Roman"/>
          <w:i/>
          <w:iCs/>
          <w:sz w:val="24"/>
          <w:lang w:val="en-US"/>
        </w:rPr>
        <w:t>Cornwall v Rowan</w:t>
      </w:r>
      <w:r w:rsidRPr="00CB172B">
        <w:rPr>
          <w:rFonts w:ascii="Times New Roman" w:hAnsi="Times New Roman"/>
          <w:sz w:val="24"/>
          <w:lang w:val="en-US"/>
        </w:rPr>
        <w:t xml:space="preserve"> (2004) 90 SASR 269 at 328 [232] per Bleby, Besanko and Sulan JJ; </w:t>
      </w:r>
      <w:r w:rsidRPr="00CB172B">
        <w:rPr>
          <w:rFonts w:ascii="Times New Roman" w:hAnsi="Times New Roman"/>
          <w:i/>
          <w:iCs/>
          <w:sz w:val="24"/>
          <w:lang w:val="en-US"/>
        </w:rPr>
        <w:t>McGuiness v New South Wales</w:t>
      </w:r>
      <w:r w:rsidRPr="00CB172B">
        <w:rPr>
          <w:rFonts w:ascii="Times New Roman" w:hAnsi="Times New Roman"/>
          <w:sz w:val="24"/>
          <w:lang w:val="en-US"/>
        </w:rPr>
        <w:t xml:space="preserve"> (2009) 73 NSWLR 104 at 120 [88] per Hall J.</w:t>
      </w:r>
    </w:p>
  </w:footnote>
  <w:footnote w:id="94">
    <w:p w14:paraId="29BC2D26"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(1987) 163 CLR 378 at 411.</w:t>
      </w:r>
    </w:p>
  </w:footnote>
  <w:footnote w:id="95">
    <w:p w14:paraId="331CD1C3"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(2022) 96 ALJR 1002 at 1020 [55]; 405 ALR 209 at 223.</w:t>
      </w:r>
    </w:p>
  </w:footnote>
  <w:footnote w:id="96">
    <w:p w14:paraId="73A80033"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 xml:space="preserve">See, </w:t>
      </w:r>
      <w:r w:rsidRPr="00CB172B">
        <w:rPr>
          <w:rFonts w:ascii="Times New Roman" w:hAnsi="Times New Roman"/>
          <w:sz w:val="24"/>
          <w:lang w:val="en-US"/>
        </w:rPr>
        <w:t xml:space="preserve">eg, </w:t>
      </w:r>
      <w:r w:rsidRPr="00CB172B">
        <w:rPr>
          <w:rFonts w:ascii="Times New Roman" w:hAnsi="Times New Roman"/>
          <w:i/>
          <w:iCs/>
          <w:sz w:val="24"/>
          <w:lang w:val="en-US"/>
        </w:rPr>
        <w:t>Kioa v West</w:t>
      </w:r>
      <w:r w:rsidRPr="00CB172B">
        <w:rPr>
          <w:rFonts w:ascii="Times New Roman" w:hAnsi="Times New Roman"/>
          <w:sz w:val="24"/>
          <w:lang w:val="en-US"/>
        </w:rPr>
        <w:t xml:space="preserve"> (1985) 159 CLR 550 at 619 per Brennan J; </w:t>
      </w:r>
      <w:r w:rsidRPr="00CB172B">
        <w:rPr>
          <w:rFonts w:ascii="Times New Roman" w:hAnsi="Times New Roman"/>
          <w:i/>
          <w:iCs/>
          <w:sz w:val="24"/>
          <w:lang w:val="en-US"/>
        </w:rPr>
        <w:t>Wasantha v Minister for Immigration and Multicultural Affairs</w:t>
      </w:r>
      <w:r w:rsidRPr="00CB172B">
        <w:rPr>
          <w:rFonts w:ascii="Times New Roman" w:hAnsi="Times New Roman"/>
          <w:sz w:val="24"/>
          <w:lang w:val="en-US"/>
        </w:rPr>
        <w:t xml:space="preserve"> [1999] FCA 1158 at [7] per Finn J. </w:t>
      </w:r>
    </w:p>
  </w:footnote>
  <w:footnote w:id="97">
    <w:p w14:paraId="0F1CA6FB"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(1991) 32 FCR 219.</w:t>
      </w:r>
    </w:p>
  </w:footnote>
  <w:footnote w:id="98">
    <w:p w14:paraId="593EA7CD"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rPr>
        <w:t>Comptroller-General of Customs v Kawasaki Motors Pty Ltd</w:t>
      </w:r>
      <w:r w:rsidRPr="00CB172B">
        <w:rPr>
          <w:rFonts w:ascii="Times New Roman" w:hAnsi="Times New Roman"/>
          <w:sz w:val="24"/>
          <w:lang w:val="en-US"/>
        </w:rPr>
        <w:t xml:space="preserve"> </w:t>
      </w:r>
      <w:r w:rsidRPr="00CB172B">
        <w:rPr>
          <w:rFonts w:ascii="Times New Roman" w:hAnsi="Times New Roman"/>
          <w:i/>
          <w:iCs/>
          <w:sz w:val="24"/>
          <w:lang w:val="en-US"/>
        </w:rPr>
        <w:t>[No 1]</w:t>
      </w:r>
      <w:r w:rsidRPr="00CB172B">
        <w:rPr>
          <w:rFonts w:ascii="Times New Roman" w:hAnsi="Times New Roman"/>
          <w:sz w:val="24"/>
          <w:lang w:val="en-US"/>
        </w:rPr>
        <w:t xml:space="preserve"> (1991) 32 FCR 219 at 239, 240-241.</w:t>
      </w:r>
    </w:p>
  </w:footnote>
  <w:footnote w:id="99">
    <w:p w14:paraId="53B83B4A"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rPr>
        <w:t>Comptroller-General of Customs v Kawasaki Motors Pty Ltd</w:t>
      </w:r>
      <w:r w:rsidRPr="00CB172B">
        <w:rPr>
          <w:rFonts w:ascii="Times New Roman" w:hAnsi="Times New Roman"/>
          <w:sz w:val="24"/>
          <w:lang w:val="en-US"/>
        </w:rPr>
        <w:t xml:space="preserve"> </w:t>
      </w:r>
      <w:r w:rsidRPr="00CB172B">
        <w:rPr>
          <w:rFonts w:ascii="Times New Roman" w:hAnsi="Times New Roman"/>
          <w:i/>
          <w:iCs/>
          <w:sz w:val="24"/>
          <w:lang w:val="en-US"/>
        </w:rPr>
        <w:t>[No 1]</w:t>
      </w:r>
      <w:r w:rsidRPr="00CB172B">
        <w:rPr>
          <w:rFonts w:ascii="Times New Roman" w:hAnsi="Times New Roman"/>
          <w:sz w:val="24"/>
          <w:lang w:val="en-US"/>
        </w:rPr>
        <w:t xml:space="preserve"> (1991) 32 FCR 219 at 240-241.</w:t>
      </w:r>
    </w:p>
  </w:footnote>
  <w:footnote w:id="100">
    <w:p w14:paraId="5DC75B3A"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Chief</w:t>
      </w:r>
      <w:r w:rsidRPr="00CB172B">
        <w:rPr>
          <w:rFonts w:ascii="Times New Roman" w:hAnsi="Times New Roman"/>
          <w:sz w:val="24"/>
          <w:lang w:val="en-US"/>
        </w:rPr>
        <w:t xml:space="preserve"> </w:t>
      </w:r>
      <w:r w:rsidRPr="00CB172B">
        <w:rPr>
          <w:rFonts w:ascii="Times New Roman" w:hAnsi="Times New Roman"/>
          <w:i/>
          <w:iCs/>
          <w:sz w:val="24"/>
          <w:lang w:val="en-US"/>
        </w:rPr>
        <w:t>Commissioner of Police v Nikolic</w:t>
      </w:r>
      <w:r w:rsidRPr="00CB172B">
        <w:rPr>
          <w:rFonts w:ascii="Times New Roman" w:hAnsi="Times New Roman"/>
          <w:sz w:val="24"/>
          <w:lang w:val="en-US"/>
        </w:rPr>
        <w:t xml:space="preserve"> (2016) 338 ALR 683 at 708 [95] per Maxwell P, </w:t>
      </w:r>
      <w:r w:rsidRPr="00CB172B">
        <w:rPr>
          <w:rFonts w:ascii="Times New Roman" w:hAnsi="Times New Roman"/>
          <w:sz w:val="24"/>
          <w:lang w:val="en-US"/>
        </w:rPr>
        <w:t xml:space="preserve">Osborn and Kaye JJA; </w:t>
      </w:r>
      <w:r w:rsidRPr="00CB172B">
        <w:rPr>
          <w:rFonts w:ascii="Times New Roman" w:hAnsi="Times New Roman"/>
          <w:i/>
          <w:iCs/>
          <w:sz w:val="24"/>
          <w:lang w:val="en-US"/>
        </w:rPr>
        <w:t xml:space="preserve">R v Gaming Board for Great Britain; Ex </w:t>
      </w:r>
      <w:r w:rsidRPr="00CB172B">
        <w:rPr>
          <w:rFonts w:ascii="Times New Roman" w:hAnsi="Times New Roman"/>
          <w:i/>
          <w:iCs/>
          <w:sz w:val="24"/>
          <w:lang w:val="en-US"/>
        </w:rPr>
        <w:t>parte Benaim and Khaida</w:t>
      </w:r>
      <w:r w:rsidRPr="00CB172B">
        <w:rPr>
          <w:rFonts w:ascii="Times New Roman" w:hAnsi="Times New Roman"/>
          <w:sz w:val="24"/>
          <w:lang w:val="en-US"/>
        </w:rPr>
        <w:t xml:space="preserve"> [1970] 2 QB 417 at 431 per Lord Denning MR; </w:t>
      </w:r>
      <w:r w:rsidRPr="00CB172B">
        <w:rPr>
          <w:rFonts w:ascii="Times New Roman" w:hAnsi="Times New Roman"/>
          <w:i/>
          <w:iCs/>
          <w:sz w:val="24"/>
          <w:lang w:val="en-US"/>
        </w:rPr>
        <w:t>Rogers v Secretary of State for the Home Department</w:t>
      </w:r>
      <w:r w:rsidRPr="00CB172B">
        <w:rPr>
          <w:rFonts w:ascii="Times New Roman" w:hAnsi="Times New Roman"/>
          <w:sz w:val="24"/>
          <w:lang w:val="en-US"/>
        </w:rPr>
        <w:t xml:space="preserve"> [1973] AC 388 at 407.</w:t>
      </w:r>
    </w:p>
  </w:footnote>
  <w:footnote w:id="101">
    <w:p w14:paraId="440395A3"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[2003] ICR 599 at 611 [43].</w:t>
      </w:r>
    </w:p>
  </w:footnote>
  <w:footnote w:id="102">
    <w:p w14:paraId="589078B0"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Kioa v West</w:t>
      </w:r>
      <w:r w:rsidRPr="00CB172B">
        <w:rPr>
          <w:rFonts w:ascii="Times New Roman" w:hAnsi="Times New Roman"/>
          <w:sz w:val="24"/>
          <w:lang w:val="en-US"/>
        </w:rPr>
        <w:t xml:space="preserve"> (1985) 159 CLR 550 at 615 per Brennan J. See also </w:t>
      </w:r>
      <w:r w:rsidRPr="00CB172B">
        <w:rPr>
          <w:rFonts w:ascii="Times New Roman" w:hAnsi="Times New Roman"/>
          <w:i/>
          <w:iCs/>
          <w:sz w:val="24"/>
          <w:lang w:val="en-US"/>
        </w:rPr>
        <w:t xml:space="preserve">Johns v Australian Securities Commission </w:t>
      </w:r>
      <w:r w:rsidRPr="00CB172B">
        <w:rPr>
          <w:rFonts w:ascii="Times New Roman" w:hAnsi="Times New Roman"/>
          <w:sz w:val="24"/>
          <w:lang w:val="en-US"/>
        </w:rPr>
        <w:t>(1993) 178 CLR 408 at 472 per McHugh J.</w:t>
      </w:r>
    </w:p>
  </w:footnote>
  <w:footnote w:id="103">
    <w:p w14:paraId="3972D60C"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[2005] FCA 1576.</w:t>
      </w:r>
    </w:p>
  </w:footnote>
  <w:footnote w:id="104">
    <w:p w14:paraId="058A6999"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 xml:space="preserve">[2005] FCA 1576 at [88]. See also </w:t>
      </w:r>
      <w:r w:rsidRPr="00CB172B">
        <w:rPr>
          <w:rFonts w:ascii="Times New Roman" w:hAnsi="Times New Roman"/>
          <w:i/>
          <w:iCs/>
          <w:sz w:val="24"/>
          <w:lang w:val="en-US"/>
        </w:rPr>
        <w:t>Leghaei v Director-General of Security</w:t>
      </w:r>
      <w:r w:rsidRPr="00CB172B">
        <w:rPr>
          <w:rFonts w:ascii="Times New Roman" w:hAnsi="Times New Roman"/>
          <w:sz w:val="24"/>
          <w:lang w:val="en-US"/>
        </w:rPr>
        <w:t xml:space="preserve"> (2007) 241 ALR 141 at 146-147 [51]-[55] per Tamberlin, Stone and Jacobson JJ.</w:t>
      </w:r>
    </w:p>
  </w:footnote>
  <w:footnote w:id="105">
    <w:p w14:paraId="2A01C0E4"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(1982) 151 CLR 342 at 410.</w:t>
      </w:r>
    </w:p>
  </w:footnote>
  <w:footnote w:id="106">
    <w:p w14:paraId="2051A80C"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(1977) 137 CLR 396 at 420.</w:t>
      </w:r>
    </w:p>
  </w:footnote>
  <w:footnote w:id="107">
    <w:p w14:paraId="77A89731"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 xml:space="preserve">(1982) 151 CLR 342 at 349-350 per Gibbs CJ, 356 per Stephen J, 369 per Mason J, 384 per </w:t>
      </w:r>
      <w:r w:rsidRPr="00CB172B">
        <w:rPr>
          <w:rFonts w:ascii="Times New Roman" w:hAnsi="Times New Roman"/>
          <w:sz w:val="24"/>
          <w:lang w:val="en-US"/>
        </w:rPr>
        <w:t xml:space="preserve">Aickin J, 395 per Wilson J, 411-412 per Brennan J. </w:t>
      </w:r>
    </w:p>
  </w:footnote>
  <w:footnote w:id="108">
    <w:p w14:paraId="19BD33E8"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Kioa v West</w:t>
      </w:r>
      <w:r w:rsidRPr="00CB172B">
        <w:rPr>
          <w:rFonts w:ascii="Times New Roman" w:hAnsi="Times New Roman"/>
          <w:sz w:val="24"/>
          <w:lang w:val="en-US"/>
        </w:rPr>
        <w:t xml:space="preserve"> (1985) 159 CLR 550 at 584 per Mason J, 619 per Brennan J, 632 per Deane J.</w:t>
      </w:r>
    </w:p>
  </w:footnote>
  <w:footnote w:id="109">
    <w:p w14:paraId="0A7CFD90"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(1982) 151 CLR 342 at 414.</w:t>
      </w:r>
    </w:p>
  </w:footnote>
  <w:footnote w:id="110">
    <w:p w14:paraId="78182C37"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(1987) 163 CLR 378 at 387 (footnote omitted).</w:t>
      </w:r>
    </w:p>
  </w:footnote>
  <w:footnote w:id="111">
    <w:p w14:paraId="52652EF1"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 xml:space="preserve">Minister for Immigration and Border Protection v SZSSJ </w:t>
      </w:r>
      <w:r w:rsidRPr="00CB172B">
        <w:rPr>
          <w:rFonts w:ascii="Times New Roman" w:hAnsi="Times New Roman"/>
          <w:sz w:val="24"/>
          <w:lang w:val="en-US"/>
        </w:rPr>
        <w:t xml:space="preserve">(2016) 259 CLR 180 at 205 [75] per French CJ, Kiefel, Bell, Gageler, Keane, </w:t>
      </w:r>
      <w:r w:rsidRPr="00CB172B">
        <w:rPr>
          <w:rFonts w:ascii="Times New Roman" w:hAnsi="Times New Roman"/>
          <w:sz w:val="24"/>
          <w:lang w:val="en-US"/>
        </w:rPr>
        <w:t xml:space="preserve">Nettle and Gordon JJ; </w:t>
      </w:r>
      <w:r w:rsidRPr="00CB172B">
        <w:rPr>
          <w:rFonts w:ascii="Times New Roman" w:hAnsi="Times New Roman"/>
          <w:i/>
          <w:iCs/>
          <w:sz w:val="24"/>
          <w:lang w:val="en-US"/>
        </w:rPr>
        <w:t>MZAPC v Minister for Immigration and Border Protection</w:t>
      </w:r>
      <w:r w:rsidRPr="00CB172B">
        <w:rPr>
          <w:rFonts w:ascii="Times New Roman" w:hAnsi="Times New Roman"/>
          <w:sz w:val="24"/>
          <w:lang w:val="en-US"/>
        </w:rPr>
        <w:t xml:space="preserve"> (2021) 273 CLR 506 at 521 [30] per Kiefel CJ, Gageler, Keane and Gleeson JJ. </w:t>
      </w:r>
    </w:p>
  </w:footnote>
  <w:footnote w:id="112">
    <w:p w14:paraId="0EC6C239"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sz w:val="24"/>
          <w:lang w:val="en-US"/>
        </w:rPr>
        <w:t xml:space="preserve">cf </w:t>
      </w:r>
      <w:r w:rsidRPr="00CB172B">
        <w:rPr>
          <w:rFonts w:ascii="Times New Roman" w:hAnsi="Times New Roman"/>
          <w:i/>
          <w:iCs/>
          <w:sz w:val="24"/>
          <w:lang w:val="en-US"/>
        </w:rPr>
        <w:t>Bread Manufacturers of New South Wales v Evans</w:t>
      </w:r>
      <w:r w:rsidRPr="00CB172B">
        <w:rPr>
          <w:rFonts w:ascii="Times New Roman" w:hAnsi="Times New Roman"/>
          <w:sz w:val="24"/>
          <w:lang w:val="en-US"/>
        </w:rPr>
        <w:t xml:space="preserve"> (1981) 180 CLR 404 at 415-416 per Gibbs CJ, 432-433 per Mason and Wilson JJ.</w:t>
      </w:r>
    </w:p>
  </w:footnote>
  <w:footnote w:id="113">
    <w:p w14:paraId="7A15C30B"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ab/>
      </w:r>
      <w:r w:rsidRPr="00CB172B">
        <w:rPr>
          <w:rFonts w:ascii="Times New Roman" w:hAnsi="Times New Roman"/>
          <w:sz w:val="24"/>
        </w:rPr>
        <w:t>cf</w:t>
      </w:r>
      <w:r w:rsidRPr="00CB172B">
        <w:rPr>
          <w:rFonts w:ascii="Times New Roman" w:hAnsi="Times New Roman"/>
          <w:sz w:val="24"/>
          <w:lang w:val="en-US"/>
        </w:rPr>
        <w:t xml:space="preserve"> </w:t>
      </w:r>
      <w:r w:rsidRPr="00CB172B">
        <w:rPr>
          <w:rFonts w:ascii="Times New Roman" w:hAnsi="Times New Roman"/>
          <w:i/>
          <w:iCs/>
          <w:sz w:val="24"/>
          <w:lang w:val="en-US"/>
        </w:rPr>
        <w:t>FAI Insurances Ltd v Winneke</w:t>
      </w:r>
      <w:r w:rsidRPr="00CB172B">
        <w:rPr>
          <w:rFonts w:ascii="Times New Roman" w:hAnsi="Times New Roman"/>
          <w:sz w:val="24"/>
          <w:lang w:val="en-US"/>
        </w:rPr>
        <w:t xml:space="preserve"> (1982) 151 CLR 342.</w:t>
      </w:r>
    </w:p>
  </w:footnote>
  <w:footnote w:id="114">
    <w:p w14:paraId="2FE881FF"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Disorganized Developments Pty Ltd v South Australia</w:t>
      </w:r>
      <w:r w:rsidRPr="00CB172B">
        <w:rPr>
          <w:rFonts w:ascii="Times New Roman" w:hAnsi="Times New Roman"/>
          <w:sz w:val="24"/>
          <w:lang w:val="en-US"/>
        </w:rPr>
        <w:t xml:space="preserve"> (2022) 140 SASR 206 at 233 [118]-[119] per Livesey P, Doyle and </w:t>
      </w:r>
      <w:r w:rsidRPr="00CB172B">
        <w:rPr>
          <w:rFonts w:ascii="Times New Roman" w:hAnsi="Times New Roman"/>
          <w:sz w:val="24"/>
          <w:lang w:val="en-US"/>
        </w:rPr>
        <w:t>Bleby JJA.</w:t>
      </w:r>
    </w:p>
  </w:footnote>
  <w:footnote w:id="115">
    <w:p w14:paraId="05CFD700"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Disorganized Developments Pty Ltd v South Australia</w:t>
      </w:r>
      <w:r w:rsidRPr="00CB172B">
        <w:rPr>
          <w:rFonts w:ascii="Times New Roman" w:hAnsi="Times New Roman"/>
          <w:sz w:val="24"/>
          <w:lang w:val="en-US"/>
        </w:rPr>
        <w:t xml:space="preserve"> (2022) 140 SASR 206 at 232 [114] per Livesey P, Doyle and </w:t>
      </w:r>
      <w:r w:rsidRPr="00CB172B">
        <w:rPr>
          <w:rFonts w:ascii="Times New Roman" w:hAnsi="Times New Roman"/>
          <w:sz w:val="24"/>
          <w:lang w:val="en-US"/>
        </w:rPr>
        <w:t>Bleby JJA.</w:t>
      </w:r>
    </w:p>
  </w:footnote>
  <w:footnote w:id="116">
    <w:p w14:paraId="1177D9CB"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White v Redfern</w:t>
      </w:r>
      <w:r w:rsidRPr="00CB172B">
        <w:rPr>
          <w:rFonts w:ascii="Times New Roman" w:hAnsi="Times New Roman"/>
          <w:sz w:val="24"/>
          <w:lang w:val="en-US"/>
        </w:rPr>
        <w:t xml:space="preserve"> (1879) 5 QBD 15 at 18 per Field J, 19 per </w:t>
      </w:r>
      <w:r w:rsidRPr="00CB172B">
        <w:rPr>
          <w:rFonts w:ascii="Times New Roman" w:hAnsi="Times New Roman"/>
          <w:sz w:val="24"/>
          <w:lang w:val="en-US"/>
        </w:rPr>
        <w:t xml:space="preserve">Manisty J; </w:t>
      </w:r>
      <w:r w:rsidRPr="00CB172B">
        <w:rPr>
          <w:rFonts w:ascii="Times New Roman" w:hAnsi="Times New Roman"/>
          <w:i/>
          <w:iCs/>
          <w:sz w:val="24"/>
          <w:lang w:val="en-US"/>
        </w:rPr>
        <w:t>R v Davey</w:t>
      </w:r>
      <w:r w:rsidRPr="00CB172B">
        <w:rPr>
          <w:rFonts w:ascii="Times New Roman" w:hAnsi="Times New Roman"/>
          <w:sz w:val="24"/>
          <w:lang w:val="en-US"/>
        </w:rPr>
        <w:t xml:space="preserve"> [1899] 2 QB 301 at 305 per Darling J, 306 per Channell J; </w:t>
      </w:r>
      <w:r w:rsidRPr="00CB172B">
        <w:rPr>
          <w:rFonts w:ascii="Times New Roman" w:hAnsi="Times New Roman"/>
          <w:i/>
          <w:iCs/>
          <w:sz w:val="24"/>
          <w:lang w:val="en-US"/>
        </w:rPr>
        <w:t>Toy Centre Agencies Pty Ltd v Spencer</w:t>
      </w:r>
      <w:r w:rsidRPr="00CB172B">
        <w:rPr>
          <w:rFonts w:ascii="Times New Roman" w:hAnsi="Times New Roman"/>
          <w:sz w:val="24"/>
          <w:lang w:val="en-US"/>
        </w:rPr>
        <w:t xml:space="preserve"> (1983) 46 ALR 351 at 357-358 per Lockhart J; </w:t>
      </w:r>
      <w:r w:rsidRPr="00CB172B">
        <w:rPr>
          <w:rFonts w:ascii="Times New Roman" w:hAnsi="Times New Roman"/>
          <w:i/>
          <w:iCs/>
          <w:sz w:val="24"/>
          <w:lang w:val="en-US"/>
        </w:rPr>
        <w:t>Marine Hull and Liability Insurance Co Ltd v Hurford</w:t>
      </w:r>
      <w:r w:rsidRPr="00CB172B">
        <w:rPr>
          <w:rFonts w:ascii="Times New Roman" w:hAnsi="Times New Roman"/>
          <w:sz w:val="24"/>
          <w:lang w:val="en-US"/>
        </w:rPr>
        <w:t xml:space="preserve"> (1985) 10 FCR 234 at 240-241 per Wilcox J; </w:t>
      </w:r>
      <w:r w:rsidRPr="00CB172B">
        <w:rPr>
          <w:rFonts w:ascii="Times New Roman" w:hAnsi="Times New Roman"/>
          <w:i/>
          <w:iCs/>
          <w:sz w:val="24"/>
          <w:lang w:val="en-US"/>
        </w:rPr>
        <w:t>Grech v Featherstone</w:t>
      </w:r>
      <w:r w:rsidRPr="00CB172B">
        <w:rPr>
          <w:rFonts w:ascii="Times New Roman" w:hAnsi="Times New Roman"/>
          <w:sz w:val="24"/>
          <w:lang w:val="en-US"/>
        </w:rPr>
        <w:t xml:space="preserve"> (1991) 33 FCR 63 at 67 per Heerey J; </w:t>
      </w:r>
      <w:r w:rsidRPr="00CB172B">
        <w:rPr>
          <w:rFonts w:ascii="Times New Roman" w:hAnsi="Times New Roman"/>
          <w:i/>
          <w:iCs/>
          <w:sz w:val="24"/>
          <w:lang w:val="en-US"/>
        </w:rPr>
        <w:t xml:space="preserve">CPCF v Minister for Immigration and Border Protection </w:t>
      </w:r>
      <w:r w:rsidRPr="00CB172B">
        <w:rPr>
          <w:rFonts w:ascii="Times New Roman" w:hAnsi="Times New Roman"/>
          <w:sz w:val="24"/>
          <w:lang w:val="en-US"/>
        </w:rPr>
        <w:t>(2015) 255 CLR 514 at 622-623 [368] per Gageler J.</w:t>
      </w:r>
    </w:p>
  </w:footnote>
  <w:footnote w:id="117">
    <w:p w14:paraId="3DEAFC77"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(2022) 96 ALJR 1002; 405 ALR 209.</w:t>
      </w:r>
    </w:p>
  </w:footnote>
  <w:footnote w:id="118">
    <w:p w14:paraId="7AE43226"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 xml:space="preserve">(1997) 137 CLR 396 at 421. See also </w:t>
      </w:r>
      <w:r w:rsidRPr="00CB172B">
        <w:rPr>
          <w:rFonts w:ascii="Times New Roman" w:hAnsi="Times New Roman"/>
          <w:i/>
          <w:iCs/>
          <w:sz w:val="24"/>
          <w:lang w:val="en-US"/>
        </w:rPr>
        <w:t>Church of Scientology Inc v Woodward</w:t>
      </w:r>
      <w:r w:rsidRPr="00CB172B">
        <w:rPr>
          <w:rFonts w:ascii="Times New Roman" w:hAnsi="Times New Roman"/>
          <w:sz w:val="24"/>
          <w:lang w:val="en-US"/>
        </w:rPr>
        <w:t xml:space="preserve"> (1982) 154 CLR 25 at 76 per Brennan J.</w:t>
      </w:r>
    </w:p>
  </w:footnote>
  <w:footnote w:id="119">
    <w:p w14:paraId="1F64E29A" w14:textId="77777777" w:rsidR="00AA0A69" w:rsidRPr="00CB172B" w:rsidRDefault="00AA0A69" w:rsidP="00CB172B">
      <w:pPr>
        <w:pStyle w:val="FootnoteText"/>
        <w:spacing w:line="280" w:lineRule="exact"/>
        <w:ind w:right="0"/>
        <w:jc w:val="both"/>
        <w:rPr>
          <w:rFonts w:ascii="Times New Roman" w:hAnsi="Times New Roman"/>
          <w:sz w:val="24"/>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rPr>
        <w:tab/>
        <w:t>CLC Act, s 83</w:t>
      </w:r>
      <w:r w:rsidRPr="00CB172B">
        <w:rPr>
          <w:rFonts w:ascii="Times New Roman" w:hAnsi="Times New Roman"/>
          <w:sz w:val="24"/>
        </w:rPr>
        <w:t xml:space="preserve">GA(2). </w:t>
      </w:r>
    </w:p>
  </w:footnote>
  <w:footnote w:id="120">
    <w:p w14:paraId="7C55FF17"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sz w:val="24"/>
          <w:lang w:val="en-US"/>
        </w:rPr>
        <w:t xml:space="preserve">cf </w:t>
      </w:r>
      <w:r w:rsidRPr="00CB172B">
        <w:rPr>
          <w:rFonts w:ascii="Times New Roman" w:hAnsi="Times New Roman"/>
          <w:i/>
          <w:iCs/>
          <w:sz w:val="24"/>
          <w:lang w:val="en-US"/>
        </w:rPr>
        <w:t xml:space="preserve">Legislation Interpretation Act 2021 </w:t>
      </w:r>
      <w:r w:rsidRPr="00CB172B">
        <w:rPr>
          <w:rFonts w:ascii="Times New Roman" w:hAnsi="Times New Roman"/>
          <w:sz w:val="24"/>
          <w:lang w:val="en-US"/>
        </w:rPr>
        <w:t>(SA),</w:t>
      </w:r>
      <w:r w:rsidRPr="00CB172B">
        <w:rPr>
          <w:rFonts w:ascii="Times New Roman" w:hAnsi="Times New Roman"/>
          <w:i/>
          <w:iCs/>
          <w:sz w:val="24"/>
          <w:lang w:val="en-US"/>
        </w:rPr>
        <w:t xml:space="preserve"> </w:t>
      </w:r>
      <w:r w:rsidRPr="00CB172B">
        <w:rPr>
          <w:rFonts w:ascii="Times New Roman" w:hAnsi="Times New Roman"/>
          <w:sz w:val="24"/>
          <w:lang w:val="en-US"/>
        </w:rPr>
        <w:t>s 36(2)</w:t>
      </w:r>
      <w:r w:rsidRPr="00CB172B">
        <w:rPr>
          <w:rFonts w:ascii="Times New Roman" w:hAnsi="Times New Roman"/>
          <w:i/>
          <w:iCs/>
          <w:sz w:val="24"/>
          <w:lang w:val="en-US"/>
        </w:rPr>
        <w:t>.</w:t>
      </w:r>
    </w:p>
  </w:footnote>
  <w:footnote w:id="121">
    <w:p w14:paraId="0A280AB2"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 xml:space="preserve">Legislative Instruments Act 1978 </w:t>
      </w:r>
      <w:r w:rsidRPr="00CB172B">
        <w:rPr>
          <w:rFonts w:ascii="Times New Roman" w:hAnsi="Times New Roman"/>
          <w:sz w:val="24"/>
          <w:lang w:val="en-US"/>
        </w:rPr>
        <w:t>(SA),</w:t>
      </w:r>
      <w:r w:rsidRPr="00CB172B">
        <w:rPr>
          <w:rFonts w:ascii="Times New Roman" w:hAnsi="Times New Roman"/>
          <w:i/>
          <w:iCs/>
          <w:sz w:val="24"/>
          <w:lang w:val="en-US"/>
        </w:rPr>
        <w:t xml:space="preserve"> </w:t>
      </w:r>
      <w:r w:rsidRPr="00CB172B">
        <w:rPr>
          <w:rFonts w:ascii="Times New Roman" w:hAnsi="Times New Roman"/>
          <w:sz w:val="24"/>
          <w:lang w:val="en-US"/>
        </w:rPr>
        <w:t>s 10</w:t>
      </w:r>
      <w:r w:rsidRPr="00CB172B">
        <w:rPr>
          <w:rFonts w:ascii="Times New Roman" w:hAnsi="Times New Roman"/>
          <w:sz w:val="24"/>
          <w:lang w:val="en-US"/>
        </w:rPr>
        <w:t>A(2).</w:t>
      </w:r>
    </w:p>
  </w:footnote>
  <w:footnote w:id="122">
    <w:p w14:paraId="3D2F1386"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 xml:space="preserve">Legislative Instruments Act 1978 </w:t>
      </w:r>
      <w:r w:rsidRPr="00CB172B">
        <w:rPr>
          <w:rFonts w:ascii="Times New Roman" w:hAnsi="Times New Roman"/>
          <w:sz w:val="24"/>
          <w:lang w:val="en-US"/>
        </w:rPr>
        <w:t>(SA), s 10</w:t>
      </w:r>
      <w:r w:rsidRPr="00CB172B">
        <w:rPr>
          <w:rFonts w:ascii="Times New Roman" w:hAnsi="Times New Roman"/>
          <w:sz w:val="24"/>
          <w:lang w:val="en-US"/>
        </w:rPr>
        <w:t>A(4).</w:t>
      </w:r>
    </w:p>
  </w:footnote>
  <w:footnote w:id="123">
    <w:p w14:paraId="520CD2BF"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 xml:space="preserve">See </w:t>
      </w:r>
      <w:r w:rsidRPr="00CB172B">
        <w:rPr>
          <w:rFonts w:ascii="Times New Roman" w:hAnsi="Times New Roman"/>
          <w:i/>
          <w:iCs/>
          <w:sz w:val="24"/>
          <w:lang w:val="en-US"/>
        </w:rPr>
        <w:t>Parliamentary Committees Act 1991</w:t>
      </w:r>
      <w:r w:rsidRPr="00CB172B">
        <w:rPr>
          <w:rFonts w:ascii="Times New Roman" w:hAnsi="Times New Roman"/>
          <w:sz w:val="24"/>
          <w:lang w:val="en-US"/>
        </w:rPr>
        <w:t xml:space="preserve"> (SA), s 15O.</w:t>
      </w:r>
    </w:p>
  </w:footnote>
  <w:footnote w:id="124">
    <w:p w14:paraId="50FDC5C6"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 xml:space="preserve">See, </w:t>
      </w:r>
      <w:r w:rsidRPr="00CB172B">
        <w:rPr>
          <w:rFonts w:ascii="Times New Roman" w:hAnsi="Times New Roman"/>
          <w:sz w:val="24"/>
          <w:lang w:val="en-US"/>
        </w:rPr>
        <w:t xml:space="preserve">eg, </w:t>
      </w:r>
      <w:r w:rsidRPr="00CB172B">
        <w:rPr>
          <w:rFonts w:ascii="Times New Roman" w:hAnsi="Times New Roman"/>
          <w:i/>
          <w:iCs/>
          <w:sz w:val="24"/>
          <w:lang w:val="en-US"/>
        </w:rPr>
        <w:t>Wasantha v Minister for Immigration and Multicultural Affairs</w:t>
      </w:r>
      <w:r w:rsidRPr="00CB172B">
        <w:rPr>
          <w:rFonts w:ascii="Times New Roman" w:hAnsi="Times New Roman"/>
          <w:sz w:val="24"/>
          <w:lang w:val="en-US"/>
        </w:rPr>
        <w:t xml:space="preserve"> [1999] FCA 1158 at [5] per Finn J;</w:t>
      </w:r>
      <w:r w:rsidRPr="00CB172B">
        <w:rPr>
          <w:rFonts w:ascii="Times New Roman" w:hAnsi="Times New Roman"/>
          <w:i/>
          <w:iCs/>
          <w:sz w:val="24"/>
          <w:lang w:val="en-US"/>
        </w:rPr>
        <w:t xml:space="preserve"> Minister for Immigration and Multicultural Affairs v Jia Legeng </w:t>
      </w:r>
      <w:r w:rsidRPr="00CB172B">
        <w:rPr>
          <w:rFonts w:ascii="Times New Roman" w:hAnsi="Times New Roman"/>
          <w:sz w:val="24"/>
          <w:lang w:val="en-US"/>
        </w:rPr>
        <w:t xml:space="preserve">(2001) 205 CLR 507 at 584 [246] per Callinan J; </w:t>
      </w:r>
      <w:r w:rsidRPr="00CB172B">
        <w:rPr>
          <w:rFonts w:ascii="Times New Roman" w:hAnsi="Times New Roman"/>
          <w:i/>
          <w:iCs/>
          <w:sz w:val="24"/>
          <w:lang w:val="en-US"/>
        </w:rPr>
        <w:t>Plaintiff S10/2011 v Minister for Immigration and Citizenship</w:t>
      </w:r>
      <w:r w:rsidRPr="00CB172B">
        <w:rPr>
          <w:rFonts w:ascii="Times New Roman" w:hAnsi="Times New Roman"/>
          <w:sz w:val="24"/>
          <w:lang w:val="en-US"/>
        </w:rPr>
        <w:t xml:space="preserve"> (2012) 246 CLR 636 at 648-649 [30] per French CJ and Kiefel J, 656 [55] per Gummow, Hayne, </w:t>
      </w:r>
      <w:r w:rsidRPr="00CB172B">
        <w:rPr>
          <w:rFonts w:ascii="Times New Roman" w:hAnsi="Times New Roman"/>
          <w:sz w:val="24"/>
          <w:lang w:val="en-US"/>
        </w:rPr>
        <w:t>Crennan and Bell JJ.</w:t>
      </w:r>
    </w:p>
  </w:footnote>
  <w:footnote w:id="125">
    <w:p w14:paraId="32991559"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bookmarkStart w:id="2" w:name="_Hlk131671151"/>
      <w:r w:rsidRPr="00CB172B">
        <w:rPr>
          <w:rFonts w:ascii="Times New Roman" w:hAnsi="Times New Roman"/>
          <w:i/>
          <w:iCs/>
          <w:sz w:val="24"/>
          <w:lang w:val="en-US"/>
        </w:rPr>
        <w:t xml:space="preserve">Serious and </w:t>
      </w:r>
      <w:r w:rsidRPr="00CB172B">
        <w:rPr>
          <w:rFonts w:ascii="Times New Roman" w:hAnsi="Times New Roman"/>
          <w:i/>
          <w:iCs/>
          <w:sz w:val="24"/>
          <w:lang w:val="en-US"/>
        </w:rPr>
        <w:t>Organised Crime (Control) Act</w:t>
      </w:r>
      <w:r w:rsidRPr="00CB172B">
        <w:rPr>
          <w:rFonts w:ascii="Times New Roman" w:hAnsi="Times New Roman"/>
          <w:sz w:val="24"/>
          <w:lang w:val="en-US"/>
        </w:rPr>
        <w:t xml:space="preserve"> </w:t>
      </w:r>
      <w:r w:rsidRPr="00CB172B">
        <w:rPr>
          <w:rFonts w:ascii="Times New Roman" w:hAnsi="Times New Roman"/>
          <w:i/>
          <w:iCs/>
          <w:sz w:val="24"/>
          <w:lang w:val="en-US"/>
        </w:rPr>
        <w:t xml:space="preserve">2008 </w:t>
      </w:r>
      <w:r w:rsidRPr="00CB172B">
        <w:rPr>
          <w:rFonts w:ascii="Times New Roman" w:hAnsi="Times New Roman"/>
          <w:sz w:val="24"/>
          <w:lang w:val="en-US"/>
        </w:rPr>
        <w:t>(SA), s 9.</w:t>
      </w:r>
    </w:p>
    <w:bookmarkEnd w:id="2"/>
  </w:footnote>
  <w:footnote w:id="126">
    <w:p w14:paraId="35D4B7B2"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 xml:space="preserve">Serious and </w:t>
      </w:r>
      <w:r w:rsidRPr="00CB172B">
        <w:rPr>
          <w:rFonts w:ascii="Times New Roman" w:hAnsi="Times New Roman"/>
          <w:i/>
          <w:iCs/>
          <w:sz w:val="24"/>
          <w:lang w:val="en-US"/>
        </w:rPr>
        <w:t>Organised Crime (Control) Act</w:t>
      </w:r>
      <w:r w:rsidRPr="00CB172B">
        <w:rPr>
          <w:rFonts w:ascii="Times New Roman" w:hAnsi="Times New Roman"/>
          <w:sz w:val="24"/>
          <w:lang w:val="en-US"/>
        </w:rPr>
        <w:t xml:space="preserve"> </w:t>
      </w:r>
      <w:r w:rsidRPr="00CB172B">
        <w:rPr>
          <w:rFonts w:ascii="Times New Roman" w:hAnsi="Times New Roman"/>
          <w:i/>
          <w:iCs/>
          <w:sz w:val="24"/>
          <w:lang w:val="en-US"/>
        </w:rPr>
        <w:t xml:space="preserve">2008 </w:t>
      </w:r>
      <w:r w:rsidRPr="00CB172B">
        <w:rPr>
          <w:rFonts w:ascii="Times New Roman" w:hAnsi="Times New Roman"/>
          <w:sz w:val="24"/>
          <w:lang w:val="en-US"/>
        </w:rPr>
        <w:t>(SA), s 9(2).</w:t>
      </w:r>
    </w:p>
  </w:footnote>
  <w:footnote w:id="127">
    <w:p w14:paraId="3C9802A1"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 xml:space="preserve">Serious and </w:t>
      </w:r>
      <w:r w:rsidRPr="00CB172B">
        <w:rPr>
          <w:rFonts w:ascii="Times New Roman" w:hAnsi="Times New Roman"/>
          <w:i/>
          <w:iCs/>
          <w:sz w:val="24"/>
          <w:lang w:val="en-US"/>
        </w:rPr>
        <w:t>Organised Crime (Control) Act</w:t>
      </w:r>
      <w:r w:rsidRPr="00CB172B">
        <w:rPr>
          <w:rFonts w:ascii="Times New Roman" w:hAnsi="Times New Roman"/>
          <w:sz w:val="24"/>
          <w:lang w:val="en-US"/>
        </w:rPr>
        <w:t xml:space="preserve"> </w:t>
      </w:r>
      <w:r w:rsidRPr="00CB172B">
        <w:rPr>
          <w:rFonts w:ascii="Times New Roman" w:hAnsi="Times New Roman"/>
          <w:i/>
          <w:iCs/>
          <w:sz w:val="24"/>
          <w:lang w:val="en-US"/>
        </w:rPr>
        <w:t xml:space="preserve">2008 </w:t>
      </w:r>
      <w:r w:rsidRPr="00CB172B">
        <w:rPr>
          <w:rFonts w:ascii="Times New Roman" w:hAnsi="Times New Roman"/>
          <w:sz w:val="24"/>
          <w:lang w:val="en-US"/>
        </w:rPr>
        <w:t>(SA), s 9(6) and (7).</w:t>
      </w:r>
    </w:p>
  </w:footnote>
  <w:footnote w:id="128">
    <w:p w14:paraId="2EA9A199"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 xml:space="preserve">Serious and </w:t>
      </w:r>
      <w:r w:rsidRPr="00CB172B">
        <w:rPr>
          <w:rFonts w:ascii="Times New Roman" w:hAnsi="Times New Roman"/>
          <w:i/>
          <w:iCs/>
          <w:sz w:val="24"/>
          <w:lang w:val="en-US"/>
        </w:rPr>
        <w:t>Organised Crime (Control) Act 2008</w:t>
      </w:r>
      <w:r w:rsidRPr="00CB172B">
        <w:rPr>
          <w:rFonts w:ascii="Times New Roman" w:hAnsi="Times New Roman"/>
          <w:sz w:val="24"/>
          <w:lang w:val="en-US"/>
        </w:rPr>
        <w:t xml:space="preserve"> (SA), s 10(1).</w:t>
      </w:r>
    </w:p>
  </w:footnote>
  <w:footnote w:id="129">
    <w:p w14:paraId="3CA92C85"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r>
      <w:r w:rsidRPr="00CB172B">
        <w:rPr>
          <w:rFonts w:ascii="Times New Roman" w:hAnsi="Times New Roman"/>
          <w:i/>
          <w:iCs/>
          <w:sz w:val="24"/>
          <w:lang w:val="en-US"/>
        </w:rPr>
        <w:t xml:space="preserve">Serious and </w:t>
      </w:r>
      <w:r w:rsidRPr="00CB172B">
        <w:rPr>
          <w:rFonts w:ascii="Times New Roman" w:hAnsi="Times New Roman"/>
          <w:i/>
          <w:iCs/>
          <w:sz w:val="24"/>
          <w:lang w:val="en-US"/>
        </w:rPr>
        <w:t>Organised Crime (Control) Act</w:t>
      </w:r>
      <w:r w:rsidRPr="00CB172B">
        <w:rPr>
          <w:rFonts w:ascii="Times New Roman" w:hAnsi="Times New Roman"/>
          <w:sz w:val="24"/>
          <w:lang w:val="en-US"/>
        </w:rPr>
        <w:t xml:space="preserve"> </w:t>
      </w:r>
      <w:r w:rsidRPr="00CB172B">
        <w:rPr>
          <w:rFonts w:ascii="Times New Roman" w:hAnsi="Times New Roman"/>
          <w:i/>
          <w:iCs/>
          <w:sz w:val="24"/>
          <w:lang w:val="en-US"/>
        </w:rPr>
        <w:t xml:space="preserve">2008 </w:t>
      </w:r>
      <w:r w:rsidRPr="00CB172B">
        <w:rPr>
          <w:rFonts w:ascii="Times New Roman" w:hAnsi="Times New Roman"/>
          <w:sz w:val="24"/>
          <w:lang w:val="en-US"/>
        </w:rPr>
        <w:t>(SA), s 15.</w:t>
      </w:r>
    </w:p>
  </w:footnote>
  <w:footnote w:id="130">
    <w:p w14:paraId="411DBE29" w14:textId="77777777" w:rsidR="00AA0A69" w:rsidRPr="00CB172B" w:rsidRDefault="00AA0A69" w:rsidP="00CB172B">
      <w:pPr>
        <w:pStyle w:val="FootnoteText"/>
        <w:spacing w:line="280" w:lineRule="exact"/>
        <w:ind w:right="0"/>
        <w:jc w:val="both"/>
        <w:rPr>
          <w:rFonts w:ascii="Times New Roman" w:hAnsi="Times New Roman"/>
          <w:sz w:val="24"/>
          <w:lang w:val="en-US"/>
        </w:rPr>
      </w:pPr>
      <w:r w:rsidRPr="00CB172B">
        <w:rPr>
          <w:rStyle w:val="FootnoteReference"/>
          <w:rFonts w:ascii="Times New Roman" w:hAnsi="Times New Roman"/>
          <w:sz w:val="22"/>
          <w:vertAlign w:val="baseline"/>
        </w:rPr>
        <w:footnoteRef/>
      </w:r>
      <w:r w:rsidRPr="00CB172B">
        <w:rPr>
          <w:rFonts w:ascii="Times New Roman" w:hAnsi="Times New Roman"/>
          <w:sz w:val="24"/>
        </w:rPr>
        <w:t xml:space="preserve"> </w:t>
      </w:r>
      <w:r w:rsidRPr="00CB172B">
        <w:rPr>
          <w:rFonts w:ascii="Times New Roman" w:hAnsi="Times New Roman"/>
          <w:sz w:val="24"/>
          <w:lang w:val="en-US"/>
        </w:rPr>
        <w:tab/>
        <w:t>(2013) 252 CLR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F9B5" w14:textId="77777777" w:rsidR="00CF4A1E" w:rsidRPr="0096160D" w:rsidRDefault="00CF4A1E" w:rsidP="0096160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2458" w14:textId="77777777" w:rsidR="00C0149C" w:rsidRPr="00267F16" w:rsidRDefault="00C0149C" w:rsidP="00267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A32F" w14:textId="075A53E2" w:rsidR="00CF4A1E" w:rsidRPr="0096160D" w:rsidRDefault="0096160D" w:rsidP="0096160D">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E21A99">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E21A99">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5B13" w14:textId="3A7C66AC" w:rsidR="00431CF6" w:rsidRPr="0096160D" w:rsidRDefault="00431CF6" w:rsidP="009616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007C" w14:textId="77777777" w:rsidR="0096160D" w:rsidRPr="00CF4A1E" w:rsidRDefault="0096160D" w:rsidP="00CF4A1E">
    <w:pPr>
      <w:pStyle w:val="Header"/>
      <w:tabs>
        <w:tab w:val="clear" w:pos="4153"/>
        <w:tab w:val="clear" w:pos="8306"/>
        <w:tab w:val="right" w:pos="1304"/>
      </w:tabs>
      <w:spacing w:line="280" w:lineRule="exact"/>
      <w:ind w:firstLine="0"/>
      <w:rPr>
        <w:rFonts w:ascii="Times New Roman" w:hAnsi="Times New Roman"/>
        <w:i/>
        <w:sz w:val="22"/>
      </w:rPr>
    </w:pPr>
    <w:r w:rsidRPr="00CF4A1E">
      <w:rPr>
        <w:rFonts w:ascii="Times New Roman" w:hAnsi="Times New Roman"/>
        <w:i/>
        <w:sz w:val="22"/>
      </w:rPr>
      <w:t>Kiefel</w:t>
    </w:r>
    <w:r w:rsidRPr="00CF4A1E">
      <w:rPr>
        <w:rFonts w:ascii="Times New Roman" w:hAnsi="Times New Roman"/>
        <w:i/>
        <w:sz w:val="22"/>
      </w:rPr>
      <w:tab/>
      <w:t>CJ</w:t>
    </w:r>
  </w:p>
  <w:p w14:paraId="63516F7C" w14:textId="77777777" w:rsidR="0096160D" w:rsidRPr="00CF4A1E" w:rsidRDefault="0096160D" w:rsidP="00CF4A1E">
    <w:pPr>
      <w:pStyle w:val="Header"/>
      <w:tabs>
        <w:tab w:val="clear" w:pos="4153"/>
        <w:tab w:val="clear" w:pos="8306"/>
        <w:tab w:val="right" w:pos="1304"/>
      </w:tabs>
      <w:spacing w:line="280" w:lineRule="exact"/>
      <w:ind w:firstLine="0"/>
      <w:rPr>
        <w:rFonts w:ascii="Times New Roman" w:hAnsi="Times New Roman"/>
        <w:i/>
        <w:sz w:val="22"/>
      </w:rPr>
    </w:pPr>
    <w:r w:rsidRPr="00CF4A1E">
      <w:rPr>
        <w:rFonts w:ascii="Times New Roman" w:hAnsi="Times New Roman"/>
        <w:i/>
        <w:sz w:val="22"/>
      </w:rPr>
      <w:t>Gageler</w:t>
    </w:r>
    <w:r w:rsidRPr="00CF4A1E">
      <w:rPr>
        <w:rFonts w:ascii="Times New Roman" w:hAnsi="Times New Roman"/>
        <w:i/>
        <w:sz w:val="22"/>
      </w:rPr>
      <w:tab/>
      <w:t>J</w:t>
    </w:r>
  </w:p>
  <w:p w14:paraId="462ECB1A" w14:textId="77777777" w:rsidR="0096160D" w:rsidRPr="00CF4A1E" w:rsidRDefault="0096160D" w:rsidP="00CF4A1E">
    <w:pPr>
      <w:pStyle w:val="Header"/>
      <w:tabs>
        <w:tab w:val="clear" w:pos="4153"/>
        <w:tab w:val="clear" w:pos="8306"/>
        <w:tab w:val="right" w:pos="1304"/>
      </w:tabs>
      <w:spacing w:line="280" w:lineRule="exact"/>
      <w:ind w:firstLine="0"/>
      <w:rPr>
        <w:rFonts w:ascii="Times New Roman" w:hAnsi="Times New Roman"/>
        <w:i/>
        <w:sz w:val="22"/>
      </w:rPr>
    </w:pPr>
    <w:r w:rsidRPr="00CF4A1E">
      <w:rPr>
        <w:rFonts w:ascii="Times New Roman" w:hAnsi="Times New Roman"/>
        <w:i/>
        <w:sz w:val="22"/>
      </w:rPr>
      <w:t>Gleeson</w:t>
    </w:r>
    <w:r w:rsidRPr="00CF4A1E">
      <w:rPr>
        <w:rFonts w:ascii="Times New Roman" w:hAnsi="Times New Roman"/>
        <w:i/>
        <w:sz w:val="22"/>
      </w:rPr>
      <w:tab/>
      <w:t>J</w:t>
    </w:r>
  </w:p>
  <w:p w14:paraId="0C32833C" w14:textId="77777777" w:rsidR="0096160D" w:rsidRDefault="0096160D" w:rsidP="00CF4A1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08E13FA9" w14:textId="77777777" w:rsidR="0096160D" w:rsidRDefault="0096160D" w:rsidP="00CF4A1E">
    <w:pPr>
      <w:pStyle w:val="Header"/>
      <w:tabs>
        <w:tab w:val="clear" w:pos="4153"/>
        <w:tab w:val="clear" w:pos="8306"/>
        <w:tab w:val="right" w:pos="1304"/>
      </w:tabs>
      <w:spacing w:line="280" w:lineRule="exact"/>
      <w:ind w:firstLine="0"/>
      <w:rPr>
        <w:rFonts w:ascii="Times New Roman" w:hAnsi="Times New Roman"/>
        <w:i/>
        <w:sz w:val="22"/>
      </w:rPr>
    </w:pPr>
  </w:p>
  <w:p w14:paraId="4453E5F9" w14:textId="77777777" w:rsidR="0096160D" w:rsidRDefault="0096160D" w:rsidP="00CF4A1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1AA6868" w14:textId="77777777" w:rsidR="0096160D" w:rsidRPr="00CF4A1E" w:rsidRDefault="0096160D" w:rsidP="00CF4A1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CFFB" w14:textId="77777777" w:rsidR="0096160D" w:rsidRPr="00CF4A1E" w:rsidRDefault="0096160D" w:rsidP="00CF4A1E">
    <w:pPr>
      <w:pStyle w:val="Header"/>
      <w:tabs>
        <w:tab w:val="clear" w:pos="4153"/>
        <w:tab w:val="clear" w:pos="8306"/>
        <w:tab w:val="left" w:pos="7200"/>
        <w:tab w:val="right" w:pos="8504"/>
      </w:tabs>
      <w:spacing w:line="280" w:lineRule="exact"/>
      <w:jc w:val="right"/>
      <w:rPr>
        <w:rFonts w:ascii="Times New Roman" w:hAnsi="Times New Roman"/>
        <w:i/>
        <w:sz w:val="22"/>
      </w:rPr>
    </w:pPr>
    <w:r w:rsidRPr="00CF4A1E">
      <w:rPr>
        <w:rFonts w:ascii="Times New Roman" w:hAnsi="Times New Roman"/>
        <w:i/>
        <w:sz w:val="22"/>
      </w:rPr>
      <w:tab/>
      <w:t>Kiefel</w:t>
    </w:r>
    <w:r w:rsidRPr="00CF4A1E">
      <w:rPr>
        <w:rFonts w:ascii="Times New Roman" w:hAnsi="Times New Roman"/>
        <w:i/>
        <w:sz w:val="22"/>
      </w:rPr>
      <w:tab/>
      <w:t>CJ</w:t>
    </w:r>
  </w:p>
  <w:p w14:paraId="7565B915" w14:textId="77777777" w:rsidR="0096160D" w:rsidRPr="00CF4A1E" w:rsidRDefault="0096160D" w:rsidP="00CF4A1E">
    <w:pPr>
      <w:pStyle w:val="Header"/>
      <w:tabs>
        <w:tab w:val="clear" w:pos="4153"/>
        <w:tab w:val="clear" w:pos="8306"/>
        <w:tab w:val="left" w:pos="7200"/>
        <w:tab w:val="right" w:pos="8504"/>
      </w:tabs>
      <w:spacing w:line="280" w:lineRule="exact"/>
      <w:jc w:val="right"/>
      <w:rPr>
        <w:rFonts w:ascii="Times New Roman" w:hAnsi="Times New Roman"/>
        <w:i/>
        <w:sz w:val="22"/>
      </w:rPr>
    </w:pPr>
    <w:r w:rsidRPr="00CF4A1E">
      <w:rPr>
        <w:rFonts w:ascii="Times New Roman" w:hAnsi="Times New Roman"/>
        <w:i/>
        <w:sz w:val="22"/>
      </w:rPr>
      <w:tab/>
      <w:t>Gageler</w:t>
    </w:r>
    <w:r w:rsidRPr="00CF4A1E">
      <w:rPr>
        <w:rFonts w:ascii="Times New Roman" w:hAnsi="Times New Roman"/>
        <w:i/>
        <w:sz w:val="22"/>
      </w:rPr>
      <w:tab/>
      <w:t>J</w:t>
    </w:r>
  </w:p>
  <w:p w14:paraId="5A7A3FDB" w14:textId="77777777" w:rsidR="0096160D" w:rsidRPr="00CF4A1E" w:rsidRDefault="0096160D" w:rsidP="00CF4A1E">
    <w:pPr>
      <w:pStyle w:val="Header"/>
      <w:tabs>
        <w:tab w:val="clear" w:pos="4153"/>
        <w:tab w:val="clear" w:pos="8306"/>
        <w:tab w:val="left" w:pos="7200"/>
        <w:tab w:val="right" w:pos="8504"/>
      </w:tabs>
      <w:spacing w:line="280" w:lineRule="exact"/>
      <w:jc w:val="right"/>
      <w:rPr>
        <w:rFonts w:ascii="Times New Roman" w:hAnsi="Times New Roman"/>
        <w:i/>
        <w:sz w:val="22"/>
      </w:rPr>
    </w:pPr>
    <w:r w:rsidRPr="00CF4A1E">
      <w:rPr>
        <w:rFonts w:ascii="Times New Roman" w:hAnsi="Times New Roman"/>
        <w:i/>
        <w:sz w:val="22"/>
      </w:rPr>
      <w:tab/>
      <w:t>Gleeson</w:t>
    </w:r>
    <w:r w:rsidRPr="00CF4A1E">
      <w:rPr>
        <w:rFonts w:ascii="Times New Roman" w:hAnsi="Times New Roman"/>
        <w:i/>
        <w:sz w:val="22"/>
      </w:rPr>
      <w:tab/>
      <w:t>J</w:t>
    </w:r>
  </w:p>
  <w:p w14:paraId="1EF09DAF" w14:textId="77777777" w:rsidR="0096160D" w:rsidRDefault="0096160D" w:rsidP="00CF4A1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0FDE1659" w14:textId="77777777" w:rsidR="0096160D" w:rsidRDefault="0096160D" w:rsidP="00CF4A1E">
    <w:pPr>
      <w:pStyle w:val="Header"/>
      <w:tabs>
        <w:tab w:val="clear" w:pos="4153"/>
        <w:tab w:val="clear" w:pos="8306"/>
        <w:tab w:val="left" w:pos="7200"/>
        <w:tab w:val="right" w:pos="8504"/>
      </w:tabs>
      <w:spacing w:line="280" w:lineRule="exact"/>
      <w:jc w:val="right"/>
      <w:rPr>
        <w:rFonts w:ascii="Times New Roman" w:hAnsi="Times New Roman"/>
        <w:i/>
        <w:sz w:val="22"/>
      </w:rPr>
    </w:pPr>
  </w:p>
  <w:p w14:paraId="560C0AA7" w14:textId="77777777" w:rsidR="0096160D" w:rsidRDefault="0096160D" w:rsidP="00CF4A1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7019CF5" w14:textId="77777777" w:rsidR="0096160D" w:rsidRPr="00CF4A1E" w:rsidRDefault="0096160D" w:rsidP="00CF4A1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822E" w14:textId="77777777" w:rsidR="0096160D" w:rsidRDefault="0096160D" w:rsidP="00CF4A1E">
    <w:pPr>
      <w:pStyle w:val="Header"/>
      <w:tabs>
        <w:tab w:val="clear" w:pos="4153"/>
        <w:tab w:val="clear" w:pos="8306"/>
        <w:tab w:val="center" w:pos="1134"/>
      </w:tabs>
      <w:spacing w:line="280" w:lineRule="exact"/>
      <w:ind w:firstLine="0"/>
      <w:rPr>
        <w:rFonts w:ascii="Times New Roman" w:hAnsi="Times New Roman"/>
        <w:i/>
        <w:sz w:val="22"/>
      </w:rPr>
    </w:pPr>
  </w:p>
  <w:p w14:paraId="4AC1CAB2" w14:textId="77777777" w:rsidR="0096160D" w:rsidRDefault="0096160D" w:rsidP="00CF4A1E">
    <w:pPr>
      <w:pStyle w:val="Header"/>
      <w:tabs>
        <w:tab w:val="clear" w:pos="4153"/>
        <w:tab w:val="clear" w:pos="8306"/>
        <w:tab w:val="center" w:pos="1134"/>
      </w:tabs>
      <w:spacing w:line="280" w:lineRule="exact"/>
      <w:ind w:firstLine="0"/>
      <w:rPr>
        <w:rFonts w:ascii="Times New Roman" w:hAnsi="Times New Roman"/>
        <w:i/>
        <w:sz w:val="22"/>
      </w:rPr>
    </w:pPr>
  </w:p>
  <w:p w14:paraId="0789DA0C" w14:textId="77777777" w:rsidR="0096160D" w:rsidRDefault="0096160D" w:rsidP="00CF4A1E">
    <w:pPr>
      <w:pStyle w:val="Header"/>
      <w:tabs>
        <w:tab w:val="clear" w:pos="4153"/>
        <w:tab w:val="clear" w:pos="8306"/>
        <w:tab w:val="center" w:pos="1134"/>
      </w:tabs>
      <w:spacing w:line="280" w:lineRule="exact"/>
      <w:ind w:firstLine="0"/>
      <w:rPr>
        <w:rFonts w:ascii="Times New Roman" w:hAnsi="Times New Roman"/>
        <w:i/>
        <w:sz w:val="22"/>
      </w:rPr>
    </w:pPr>
  </w:p>
  <w:p w14:paraId="4E7EA77F" w14:textId="77777777" w:rsidR="0096160D" w:rsidRDefault="0096160D" w:rsidP="00CF4A1E">
    <w:pPr>
      <w:pStyle w:val="Header"/>
      <w:tabs>
        <w:tab w:val="clear" w:pos="4153"/>
        <w:tab w:val="clear" w:pos="8306"/>
        <w:tab w:val="center" w:pos="1134"/>
      </w:tabs>
      <w:spacing w:line="280" w:lineRule="exact"/>
      <w:ind w:firstLine="0"/>
      <w:rPr>
        <w:rFonts w:ascii="Times New Roman" w:hAnsi="Times New Roman"/>
        <w:i/>
        <w:sz w:val="22"/>
      </w:rPr>
    </w:pPr>
  </w:p>
  <w:p w14:paraId="6BEC8242" w14:textId="77777777" w:rsidR="0096160D" w:rsidRDefault="0096160D" w:rsidP="00CF4A1E">
    <w:pPr>
      <w:pStyle w:val="Header"/>
      <w:tabs>
        <w:tab w:val="clear" w:pos="4153"/>
        <w:tab w:val="clear" w:pos="8306"/>
        <w:tab w:val="center" w:pos="1134"/>
      </w:tabs>
      <w:spacing w:line="280" w:lineRule="exact"/>
      <w:ind w:firstLine="0"/>
      <w:rPr>
        <w:rFonts w:ascii="Times New Roman" w:hAnsi="Times New Roman"/>
        <w:i/>
        <w:sz w:val="22"/>
      </w:rPr>
    </w:pPr>
  </w:p>
  <w:p w14:paraId="6B4E16FC" w14:textId="77777777" w:rsidR="0096160D" w:rsidRDefault="0096160D" w:rsidP="00CF4A1E">
    <w:pPr>
      <w:pStyle w:val="Header"/>
      <w:tabs>
        <w:tab w:val="clear" w:pos="4153"/>
        <w:tab w:val="clear" w:pos="8306"/>
        <w:tab w:val="center" w:pos="1134"/>
      </w:tabs>
      <w:spacing w:line="280" w:lineRule="exact"/>
      <w:ind w:firstLine="0"/>
      <w:rPr>
        <w:rFonts w:ascii="Times New Roman" w:hAnsi="Times New Roman"/>
        <w:i/>
        <w:sz w:val="22"/>
      </w:rPr>
    </w:pPr>
  </w:p>
  <w:p w14:paraId="2DD4A8E0" w14:textId="77777777" w:rsidR="0096160D" w:rsidRPr="00CF4A1E" w:rsidRDefault="0096160D" w:rsidP="00CF4A1E">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0E8D" w14:textId="77777777" w:rsidR="00CB172B" w:rsidRDefault="00E21A99" w:rsidP="00CB172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1BDC0108" w14:textId="77777777" w:rsidR="00CB172B" w:rsidRDefault="00E21A99" w:rsidP="00CB172B">
    <w:pPr>
      <w:pStyle w:val="Header"/>
      <w:tabs>
        <w:tab w:val="clear" w:pos="4153"/>
        <w:tab w:val="clear" w:pos="8306"/>
        <w:tab w:val="right" w:pos="1304"/>
      </w:tabs>
      <w:spacing w:line="280" w:lineRule="exact"/>
      <w:ind w:firstLine="0"/>
      <w:rPr>
        <w:rFonts w:ascii="Times New Roman" w:hAnsi="Times New Roman"/>
        <w:i/>
        <w:sz w:val="22"/>
      </w:rPr>
    </w:pPr>
  </w:p>
  <w:p w14:paraId="62204029" w14:textId="77777777" w:rsidR="00CB172B" w:rsidRDefault="00E21A99" w:rsidP="00CB172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w:instrText>
    </w:r>
    <w:r>
      <w:rPr>
        <w:rFonts w:ascii="Times New Roman" w:hAnsi="Times New Roman"/>
        <w:sz w:val="22"/>
      </w:rPr>
      <w:instrText xml:space="preserve">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A4A3DD7" w14:textId="77777777" w:rsidR="00CB172B" w:rsidRPr="00CB172B" w:rsidRDefault="00E21A99" w:rsidP="00CB172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A3CD" w14:textId="77777777" w:rsidR="00CB172B" w:rsidRDefault="00E21A99" w:rsidP="00CB172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680392D6" w14:textId="77777777" w:rsidR="00CB172B" w:rsidRDefault="00E21A99" w:rsidP="00CB172B">
    <w:pPr>
      <w:pStyle w:val="Header"/>
      <w:tabs>
        <w:tab w:val="clear" w:pos="4153"/>
        <w:tab w:val="clear" w:pos="8306"/>
        <w:tab w:val="left" w:pos="7200"/>
        <w:tab w:val="right" w:pos="8504"/>
      </w:tabs>
      <w:spacing w:line="280" w:lineRule="exact"/>
      <w:jc w:val="right"/>
      <w:rPr>
        <w:rFonts w:ascii="Times New Roman" w:hAnsi="Times New Roman"/>
        <w:i/>
        <w:sz w:val="22"/>
      </w:rPr>
    </w:pPr>
  </w:p>
  <w:p w14:paraId="6C2511C0" w14:textId="77777777" w:rsidR="00CB172B" w:rsidRDefault="00E21A99" w:rsidP="00CB172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526F62C" w14:textId="77777777" w:rsidR="00CB172B" w:rsidRPr="00CB172B" w:rsidRDefault="00E21A99" w:rsidP="00CB172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FB7F" w14:textId="77777777" w:rsidR="00CB172B" w:rsidRDefault="00E21A99" w:rsidP="00CB172B">
    <w:pPr>
      <w:pStyle w:val="Header"/>
      <w:tabs>
        <w:tab w:val="clear" w:pos="4153"/>
        <w:tab w:val="clear" w:pos="8306"/>
        <w:tab w:val="center" w:pos="1134"/>
      </w:tabs>
      <w:spacing w:line="280" w:lineRule="exact"/>
      <w:ind w:firstLine="0"/>
      <w:rPr>
        <w:rFonts w:ascii="Times New Roman" w:hAnsi="Times New Roman"/>
        <w:i/>
        <w:sz w:val="22"/>
      </w:rPr>
    </w:pPr>
  </w:p>
  <w:p w14:paraId="5738E6DD" w14:textId="77777777" w:rsidR="00CB172B" w:rsidRDefault="00E21A99" w:rsidP="00CB172B">
    <w:pPr>
      <w:pStyle w:val="Header"/>
      <w:tabs>
        <w:tab w:val="clear" w:pos="4153"/>
        <w:tab w:val="clear" w:pos="8306"/>
        <w:tab w:val="center" w:pos="1134"/>
      </w:tabs>
      <w:spacing w:line="280" w:lineRule="exact"/>
      <w:ind w:firstLine="0"/>
      <w:rPr>
        <w:rFonts w:ascii="Times New Roman" w:hAnsi="Times New Roman"/>
        <w:i/>
        <w:sz w:val="22"/>
      </w:rPr>
    </w:pPr>
  </w:p>
  <w:p w14:paraId="3CFDA12C" w14:textId="77777777" w:rsidR="00CB172B" w:rsidRDefault="00E21A99" w:rsidP="00CB172B">
    <w:pPr>
      <w:pStyle w:val="Header"/>
      <w:tabs>
        <w:tab w:val="clear" w:pos="4153"/>
        <w:tab w:val="clear" w:pos="8306"/>
        <w:tab w:val="center" w:pos="1134"/>
      </w:tabs>
      <w:spacing w:line="280" w:lineRule="exact"/>
      <w:ind w:firstLine="0"/>
      <w:rPr>
        <w:rFonts w:ascii="Times New Roman" w:hAnsi="Times New Roman"/>
        <w:i/>
        <w:sz w:val="22"/>
      </w:rPr>
    </w:pPr>
  </w:p>
  <w:p w14:paraId="691CFC9C" w14:textId="77777777" w:rsidR="00953668" w:rsidRPr="00CB172B" w:rsidRDefault="00E21A99" w:rsidP="00CB172B">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5582332">
    <w:abstractNumId w:val="10"/>
  </w:num>
  <w:num w:numId="2" w16cid:durableId="1171022901">
    <w:abstractNumId w:val="14"/>
  </w:num>
  <w:num w:numId="3" w16cid:durableId="680740565">
    <w:abstractNumId w:val="17"/>
  </w:num>
  <w:num w:numId="4" w16cid:durableId="1761295182">
    <w:abstractNumId w:val="13"/>
  </w:num>
  <w:num w:numId="5" w16cid:durableId="982732395">
    <w:abstractNumId w:val="16"/>
  </w:num>
  <w:num w:numId="6" w16cid:durableId="1803109657">
    <w:abstractNumId w:val="6"/>
  </w:num>
  <w:num w:numId="7" w16cid:durableId="1558008666">
    <w:abstractNumId w:val="9"/>
  </w:num>
  <w:num w:numId="8" w16cid:durableId="1010449168">
    <w:abstractNumId w:val="7"/>
  </w:num>
  <w:num w:numId="9" w16cid:durableId="1263951970">
    <w:abstractNumId w:val="5"/>
  </w:num>
  <w:num w:numId="10" w16cid:durableId="2140416862">
    <w:abstractNumId w:val="4"/>
  </w:num>
  <w:num w:numId="11" w16cid:durableId="872621109">
    <w:abstractNumId w:val="8"/>
  </w:num>
  <w:num w:numId="12" w16cid:durableId="364913248">
    <w:abstractNumId w:val="3"/>
  </w:num>
  <w:num w:numId="13" w16cid:durableId="552421814">
    <w:abstractNumId w:val="2"/>
  </w:num>
  <w:num w:numId="14" w16cid:durableId="1761945175">
    <w:abstractNumId w:val="1"/>
  </w:num>
  <w:num w:numId="15" w16cid:durableId="1405294195">
    <w:abstractNumId w:val="0"/>
  </w:num>
  <w:num w:numId="16" w16cid:durableId="1830511584">
    <w:abstractNumId w:val="12"/>
  </w:num>
  <w:num w:numId="17" w16cid:durableId="304703280">
    <w:abstractNumId w:val="15"/>
  </w:num>
  <w:num w:numId="18" w16cid:durableId="1589928064">
    <w:abstractNumId w:val="11"/>
  </w:num>
  <w:num w:numId="19" w16cid:durableId="10827256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F6"/>
    <w:rsid w:val="00002069"/>
    <w:rsid w:val="00002CE6"/>
    <w:rsid w:val="0000316A"/>
    <w:rsid w:val="000049B7"/>
    <w:rsid w:val="00014B34"/>
    <w:rsid w:val="000168C9"/>
    <w:rsid w:val="00016C20"/>
    <w:rsid w:val="00016DBB"/>
    <w:rsid w:val="00017144"/>
    <w:rsid w:val="000250AF"/>
    <w:rsid w:val="00025490"/>
    <w:rsid w:val="0002561E"/>
    <w:rsid w:val="000268E1"/>
    <w:rsid w:val="0003575A"/>
    <w:rsid w:val="000360EB"/>
    <w:rsid w:val="00037A5F"/>
    <w:rsid w:val="00037D87"/>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5627"/>
    <w:rsid w:val="00146A41"/>
    <w:rsid w:val="00151679"/>
    <w:rsid w:val="0015318E"/>
    <w:rsid w:val="00163D92"/>
    <w:rsid w:val="00164144"/>
    <w:rsid w:val="00172ADE"/>
    <w:rsid w:val="00175703"/>
    <w:rsid w:val="001758DE"/>
    <w:rsid w:val="00176D25"/>
    <w:rsid w:val="0018342E"/>
    <w:rsid w:val="001840C2"/>
    <w:rsid w:val="001841A7"/>
    <w:rsid w:val="00184B46"/>
    <w:rsid w:val="00185939"/>
    <w:rsid w:val="001876F6"/>
    <w:rsid w:val="00191E23"/>
    <w:rsid w:val="001953B1"/>
    <w:rsid w:val="001963C0"/>
    <w:rsid w:val="00197956"/>
    <w:rsid w:val="001A446E"/>
    <w:rsid w:val="001B17A8"/>
    <w:rsid w:val="001B63C6"/>
    <w:rsid w:val="001C48D4"/>
    <w:rsid w:val="001C7C93"/>
    <w:rsid w:val="001D36CD"/>
    <w:rsid w:val="001D4F49"/>
    <w:rsid w:val="001D7982"/>
    <w:rsid w:val="001E1D3D"/>
    <w:rsid w:val="001E47D1"/>
    <w:rsid w:val="001E6A64"/>
    <w:rsid w:val="001E75C5"/>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7AFB"/>
    <w:rsid w:val="0026293D"/>
    <w:rsid w:val="00265982"/>
    <w:rsid w:val="00267F16"/>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B0846"/>
    <w:rsid w:val="002B1304"/>
    <w:rsid w:val="002C5981"/>
    <w:rsid w:val="002D0410"/>
    <w:rsid w:val="002D0899"/>
    <w:rsid w:val="002D14F5"/>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21DBA"/>
    <w:rsid w:val="00323B9E"/>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1CF6"/>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C0298"/>
    <w:rsid w:val="005C0769"/>
    <w:rsid w:val="005C360A"/>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C157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5759"/>
    <w:rsid w:val="0071742A"/>
    <w:rsid w:val="00730E8F"/>
    <w:rsid w:val="00731D48"/>
    <w:rsid w:val="00734484"/>
    <w:rsid w:val="00742076"/>
    <w:rsid w:val="00745136"/>
    <w:rsid w:val="00745A15"/>
    <w:rsid w:val="00745DD2"/>
    <w:rsid w:val="00751354"/>
    <w:rsid w:val="00756909"/>
    <w:rsid w:val="00760D10"/>
    <w:rsid w:val="00762108"/>
    <w:rsid w:val="00770E38"/>
    <w:rsid w:val="007751DE"/>
    <w:rsid w:val="0078133D"/>
    <w:rsid w:val="00781E34"/>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59A7"/>
    <w:rsid w:val="007D698B"/>
    <w:rsid w:val="007D7BB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DFE"/>
    <w:rsid w:val="00851111"/>
    <w:rsid w:val="008525CF"/>
    <w:rsid w:val="008542CC"/>
    <w:rsid w:val="008607BF"/>
    <w:rsid w:val="00860973"/>
    <w:rsid w:val="00860B77"/>
    <w:rsid w:val="0086183E"/>
    <w:rsid w:val="008648B5"/>
    <w:rsid w:val="0086641A"/>
    <w:rsid w:val="00867F68"/>
    <w:rsid w:val="008737D3"/>
    <w:rsid w:val="00877CBF"/>
    <w:rsid w:val="00882D53"/>
    <w:rsid w:val="00883437"/>
    <w:rsid w:val="008834C5"/>
    <w:rsid w:val="00883C24"/>
    <w:rsid w:val="008853F8"/>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6905"/>
    <w:rsid w:val="009614C6"/>
    <w:rsid w:val="0096160D"/>
    <w:rsid w:val="00962BFB"/>
    <w:rsid w:val="00962E1C"/>
    <w:rsid w:val="0096349D"/>
    <w:rsid w:val="00964954"/>
    <w:rsid w:val="00966DEC"/>
    <w:rsid w:val="0097673B"/>
    <w:rsid w:val="00987C7D"/>
    <w:rsid w:val="00990380"/>
    <w:rsid w:val="009921DB"/>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3989"/>
    <w:rsid w:val="00A7752F"/>
    <w:rsid w:val="00A85C35"/>
    <w:rsid w:val="00A92061"/>
    <w:rsid w:val="00A94249"/>
    <w:rsid w:val="00A94BC9"/>
    <w:rsid w:val="00A959BC"/>
    <w:rsid w:val="00AA0A69"/>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7A54"/>
    <w:rsid w:val="00B30783"/>
    <w:rsid w:val="00B41F0F"/>
    <w:rsid w:val="00B42560"/>
    <w:rsid w:val="00B455AA"/>
    <w:rsid w:val="00B45778"/>
    <w:rsid w:val="00B457A1"/>
    <w:rsid w:val="00B4630F"/>
    <w:rsid w:val="00B464B1"/>
    <w:rsid w:val="00B46D35"/>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E4C48"/>
    <w:rsid w:val="00BE61C1"/>
    <w:rsid w:val="00BE64AF"/>
    <w:rsid w:val="00BE6717"/>
    <w:rsid w:val="00BF0381"/>
    <w:rsid w:val="00BF6E7B"/>
    <w:rsid w:val="00C01021"/>
    <w:rsid w:val="00C0141F"/>
    <w:rsid w:val="00C0149C"/>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80AE4"/>
    <w:rsid w:val="00C857F1"/>
    <w:rsid w:val="00C871C4"/>
    <w:rsid w:val="00CA1130"/>
    <w:rsid w:val="00CA415F"/>
    <w:rsid w:val="00CA5EA7"/>
    <w:rsid w:val="00CB026C"/>
    <w:rsid w:val="00CB2C14"/>
    <w:rsid w:val="00CB5A49"/>
    <w:rsid w:val="00CB5C15"/>
    <w:rsid w:val="00CB678B"/>
    <w:rsid w:val="00CC1228"/>
    <w:rsid w:val="00CC1A21"/>
    <w:rsid w:val="00CC66DE"/>
    <w:rsid w:val="00CC7C0C"/>
    <w:rsid w:val="00CD75E3"/>
    <w:rsid w:val="00CE2627"/>
    <w:rsid w:val="00CE2EB2"/>
    <w:rsid w:val="00CE525D"/>
    <w:rsid w:val="00CE5C99"/>
    <w:rsid w:val="00CF23EE"/>
    <w:rsid w:val="00CF4A1E"/>
    <w:rsid w:val="00CF5360"/>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4B99"/>
    <w:rsid w:val="00DE6576"/>
    <w:rsid w:val="00DF4614"/>
    <w:rsid w:val="00DF6D10"/>
    <w:rsid w:val="00DF7B25"/>
    <w:rsid w:val="00E00B67"/>
    <w:rsid w:val="00E135A1"/>
    <w:rsid w:val="00E1496E"/>
    <w:rsid w:val="00E16EF1"/>
    <w:rsid w:val="00E177A0"/>
    <w:rsid w:val="00E17F63"/>
    <w:rsid w:val="00E21A99"/>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560F"/>
    <w:rsid w:val="00E8780A"/>
    <w:rsid w:val="00E957FC"/>
    <w:rsid w:val="00EA0289"/>
    <w:rsid w:val="00EB11D1"/>
    <w:rsid w:val="00EB181B"/>
    <w:rsid w:val="00EB1CA4"/>
    <w:rsid w:val="00EB2DEA"/>
    <w:rsid w:val="00EC341C"/>
    <w:rsid w:val="00EC3BA1"/>
    <w:rsid w:val="00ED1657"/>
    <w:rsid w:val="00ED5637"/>
    <w:rsid w:val="00ED6618"/>
    <w:rsid w:val="00EE71C9"/>
    <w:rsid w:val="00EF352D"/>
    <w:rsid w:val="00EF4AEE"/>
    <w:rsid w:val="00EF6E41"/>
    <w:rsid w:val="00F03F3B"/>
    <w:rsid w:val="00F07468"/>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5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431CF6"/>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table" w:styleId="TableGrid">
    <w:name w:val="Table Grid"/>
    <w:basedOn w:val="TableNormal"/>
    <w:uiPriority w:val="59"/>
    <w:locked/>
    <w:rsid w:val="00431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53"/>
    <w:rsid w:val="00AA0A69"/>
  </w:style>
  <w:style w:type="paragraph" w:customStyle="1" w:styleId="Body">
    <w:name w:val="Body"/>
    <w:basedOn w:val="Normal"/>
    <w:qFormat/>
    <w:rsid w:val="0096160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96160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96160D"/>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96160D"/>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96160D"/>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96160D"/>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5" ma:contentTypeDescription="Create a new document." ma:contentTypeScope="" ma:versionID="62fb35d0405bd0c878d4625146392ce1">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bb8a94facfb0d29c7b0c645ca4913f79"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3A55FFB7-37AB-46A5-900A-6FEF5EE5D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37</Pages>
  <Words>9578</Words>
  <Characters>49316</Characters>
  <Application>Microsoft Office Word</Application>
  <DocSecurity>0</DocSecurity>
  <Lines>410</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2023-07-31T23:36:00Z</dcterms:created>
  <dcterms:modified xsi:type="dcterms:W3CDTF">2023-08-01T00:15:00Z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