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8FDA" w14:textId="77777777" w:rsidR="00445CF2" w:rsidRPr="00704FF8" w:rsidRDefault="00445CF2" w:rsidP="00704FF8">
      <w:pPr>
        <w:pStyle w:val="OrdersTopLine"/>
      </w:pPr>
      <w:r w:rsidRPr="00704FF8">
        <w:t>HIGH COURT OF AUSTRALIA</w:t>
      </w:r>
    </w:p>
    <w:p w14:paraId="3FBD7BEE" w14:textId="77777777" w:rsidR="00445CF2" w:rsidRPr="00704FF8" w:rsidRDefault="00445CF2" w:rsidP="00704FF8">
      <w:pPr>
        <w:pStyle w:val="OrderCentre"/>
      </w:pPr>
    </w:p>
    <w:p w14:paraId="63483C37" w14:textId="77777777" w:rsidR="00445CF2" w:rsidRPr="00704FF8" w:rsidRDefault="00445CF2" w:rsidP="00704FF8">
      <w:pPr>
        <w:pStyle w:val="OrderCentre"/>
      </w:pPr>
      <w:r w:rsidRPr="00704FF8">
        <w:t>KIEFEL CJ</w:t>
      </w:r>
      <w:r>
        <w:t>,</w:t>
      </w:r>
    </w:p>
    <w:p w14:paraId="653AF341" w14:textId="77777777" w:rsidR="00445CF2" w:rsidRPr="00704FF8" w:rsidRDefault="00445CF2" w:rsidP="00704FF8">
      <w:pPr>
        <w:pStyle w:val="OrderCentre"/>
      </w:pPr>
      <w:r w:rsidRPr="00704FF8">
        <w:t>GORDON</w:t>
      </w:r>
      <w:r>
        <w:t xml:space="preserve">, </w:t>
      </w:r>
      <w:r w:rsidRPr="00704FF8">
        <w:t>EDELMAN</w:t>
      </w:r>
      <w:r>
        <w:t>,</w:t>
      </w:r>
      <w:r w:rsidRPr="00704FF8">
        <w:t xml:space="preserve"> </w:t>
      </w:r>
      <w:proofErr w:type="gramStart"/>
      <w:r w:rsidRPr="004C496B">
        <w:t>STEWARD</w:t>
      </w:r>
      <w:proofErr w:type="gramEnd"/>
      <w:r w:rsidRPr="004C496B">
        <w:t xml:space="preserve"> </w:t>
      </w:r>
      <w:r w:rsidRPr="00704FF8">
        <w:t>AND</w:t>
      </w:r>
      <w:r>
        <w:t xml:space="preserve"> GLEESON </w:t>
      </w:r>
      <w:r w:rsidRPr="00704FF8">
        <w:t>JJ</w:t>
      </w:r>
    </w:p>
    <w:p w14:paraId="2192E652" w14:textId="77777777" w:rsidR="00445CF2" w:rsidRPr="00427F3A" w:rsidRDefault="00445CF2" w:rsidP="00EE5374">
      <w:pPr>
        <w:pStyle w:val="Centre"/>
        <w:rPr>
          <w:lang w:val="en-AU"/>
        </w:rPr>
      </w:pPr>
    </w:p>
    <w:p w14:paraId="1B9AAC3C" w14:textId="77777777" w:rsidR="00445CF2" w:rsidRPr="00704FF8" w:rsidRDefault="00445CF2" w:rsidP="00704FF8">
      <w:pPr>
        <w:pStyle w:val="OrdersCenteredBorder"/>
      </w:pPr>
    </w:p>
    <w:p w14:paraId="17CE4879" w14:textId="77777777" w:rsidR="00445CF2" w:rsidRPr="00704FF8" w:rsidRDefault="00445CF2" w:rsidP="0032341F">
      <w:pPr>
        <w:pStyle w:val="OrdersBodyHeading"/>
      </w:pPr>
    </w:p>
    <w:p w14:paraId="5FBF1928" w14:textId="77777777" w:rsidR="00445CF2" w:rsidRPr="0032341F" w:rsidRDefault="00445CF2" w:rsidP="009362E8">
      <w:pPr>
        <w:pStyle w:val="OrdersPartyName"/>
        <w:ind w:right="-1"/>
      </w:pPr>
      <w:r w:rsidRPr="00BD6343">
        <w:t>AZC20</w:t>
      </w:r>
      <w:r w:rsidRPr="0032341F">
        <w:tab/>
        <w:t>APPELLANT</w:t>
      </w:r>
    </w:p>
    <w:p w14:paraId="4134ED25" w14:textId="77777777" w:rsidR="00445CF2" w:rsidRPr="0032341F" w:rsidRDefault="00445CF2" w:rsidP="009362E8">
      <w:pPr>
        <w:pStyle w:val="OrdersPartyName"/>
        <w:ind w:right="-1"/>
      </w:pPr>
    </w:p>
    <w:p w14:paraId="267A8793" w14:textId="77777777" w:rsidR="00445CF2" w:rsidRPr="0032341F" w:rsidRDefault="00445CF2" w:rsidP="009362E8">
      <w:pPr>
        <w:pStyle w:val="OrdersPartyName"/>
        <w:ind w:right="-1"/>
      </w:pPr>
      <w:r w:rsidRPr="0032341F">
        <w:t>AND</w:t>
      </w:r>
    </w:p>
    <w:p w14:paraId="45AFD1CB" w14:textId="77777777" w:rsidR="00445CF2" w:rsidRPr="0032341F" w:rsidRDefault="00445CF2" w:rsidP="009362E8">
      <w:pPr>
        <w:pStyle w:val="OrdersPartyName"/>
        <w:ind w:right="-1"/>
      </w:pPr>
    </w:p>
    <w:p w14:paraId="051025DA" w14:textId="77777777" w:rsidR="00445CF2" w:rsidRDefault="00445CF2" w:rsidP="009362E8">
      <w:pPr>
        <w:pStyle w:val="OrdersPartyName"/>
        <w:ind w:right="-1"/>
      </w:pPr>
      <w:r w:rsidRPr="00BD6343">
        <w:t xml:space="preserve">MINISTER FOR IMMIGRATION, CITIZENSHIP, </w:t>
      </w:r>
    </w:p>
    <w:p w14:paraId="5788CC26" w14:textId="77777777" w:rsidR="00445CF2" w:rsidRDefault="00445CF2" w:rsidP="009362E8">
      <w:pPr>
        <w:pStyle w:val="OrdersPartyName"/>
        <w:ind w:right="-1"/>
      </w:pPr>
      <w:r w:rsidRPr="00BD6343">
        <w:t xml:space="preserve">MIGRANT SERVICES AND MULTICULTURAL </w:t>
      </w:r>
    </w:p>
    <w:p w14:paraId="360CB13C" w14:textId="77777777" w:rsidR="00445CF2" w:rsidRPr="0032341F" w:rsidRDefault="00445CF2" w:rsidP="009362E8">
      <w:pPr>
        <w:pStyle w:val="OrdersPartyName"/>
        <w:ind w:right="-1"/>
      </w:pPr>
      <w:r w:rsidRPr="00BD6343">
        <w:t>AFFAIRS &amp; ORS</w:t>
      </w:r>
      <w:r w:rsidRPr="0032341F">
        <w:tab/>
        <w:t>RESPONDENT</w:t>
      </w:r>
      <w:r>
        <w:t>S</w:t>
      </w:r>
    </w:p>
    <w:p w14:paraId="1FF82610" w14:textId="77777777" w:rsidR="00445CF2" w:rsidRPr="00427F3A" w:rsidRDefault="00445CF2" w:rsidP="00AF0A5E">
      <w:pPr>
        <w:pStyle w:val="BodyHeading"/>
      </w:pPr>
    </w:p>
    <w:p w14:paraId="0DD8F06F" w14:textId="77777777" w:rsidR="00445CF2" w:rsidRPr="00427F3A" w:rsidRDefault="00445CF2" w:rsidP="00BE0A6C">
      <w:pPr>
        <w:pStyle w:val="BodyHeading"/>
      </w:pPr>
    </w:p>
    <w:p w14:paraId="568C83C7" w14:textId="77777777" w:rsidR="00445CF2" w:rsidRPr="00427F3A" w:rsidRDefault="00445CF2" w:rsidP="00EE5374">
      <w:pPr>
        <w:pStyle w:val="CentreItalics"/>
      </w:pPr>
      <w:r w:rsidRPr="00BD6343">
        <w:t>AZC20 v Minister for Immigration, Citizenship, Migrant Services and Multicultural Affairs</w:t>
      </w:r>
    </w:p>
    <w:p w14:paraId="67A83EA2" w14:textId="77777777" w:rsidR="00445CF2" w:rsidRPr="00427F3A" w:rsidRDefault="00445CF2" w:rsidP="00E90E4F">
      <w:pPr>
        <w:pStyle w:val="OrdersCentre"/>
      </w:pPr>
      <w:r>
        <w:t>[2023</w:t>
      </w:r>
      <w:r w:rsidRPr="00427F3A">
        <w:t xml:space="preserve">] HCA </w:t>
      </w:r>
      <w:r>
        <w:t>26</w:t>
      </w:r>
    </w:p>
    <w:p w14:paraId="3C77C8C9" w14:textId="77777777" w:rsidR="00445CF2" w:rsidRDefault="00445CF2" w:rsidP="00E90E4F">
      <w:pPr>
        <w:pStyle w:val="OrdersCentreItalics"/>
      </w:pPr>
      <w:r>
        <w:t xml:space="preserve">Date of Hearing: </w:t>
      </w:r>
      <w:r w:rsidRPr="00BD6343">
        <w:t>11 May 2023</w:t>
      </w:r>
    </w:p>
    <w:p w14:paraId="5A5E8B21" w14:textId="77777777" w:rsidR="00445CF2" w:rsidRPr="00427F3A" w:rsidRDefault="00445CF2" w:rsidP="00E90E4F">
      <w:pPr>
        <w:pStyle w:val="OrdersCentreItalics"/>
      </w:pPr>
      <w:r>
        <w:t>Date of Judgment: 6 September 2023</w:t>
      </w:r>
    </w:p>
    <w:p w14:paraId="780C4F18" w14:textId="77777777" w:rsidR="00445CF2" w:rsidRDefault="00445CF2" w:rsidP="00E90E4F">
      <w:pPr>
        <w:pStyle w:val="OrdersCentre"/>
      </w:pPr>
      <w:r w:rsidRPr="00BD6343">
        <w:t>M84/2022</w:t>
      </w:r>
      <w:r>
        <w:t xml:space="preserve"> &amp; </w:t>
      </w:r>
      <w:r w:rsidRPr="00BD6343">
        <w:t>M8</w:t>
      </w:r>
      <w:r>
        <w:t>5</w:t>
      </w:r>
      <w:r w:rsidRPr="00BD6343">
        <w:t>/2022</w:t>
      </w:r>
    </w:p>
    <w:p w14:paraId="0B435152" w14:textId="77777777" w:rsidR="00445CF2" w:rsidRPr="00427F3A" w:rsidRDefault="00445CF2" w:rsidP="00E90E4F">
      <w:pPr>
        <w:pStyle w:val="OrdersCentre"/>
      </w:pPr>
    </w:p>
    <w:p w14:paraId="3093652C" w14:textId="77777777" w:rsidR="00445CF2" w:rsidRPr="00BE0A6C" w:rsidRDefault="00445CF2" w:rsidP="00E90E4F">
      <w:pPr>
        <w:pStyle w:val="OrderCentreBold"/>
      </w:pPr>
      <w:r w:rsidRPr="00BE0A6C">
        <w:t>ORDER</w:t>
      </w:r>
    </w:p>
    <w:p w14:paraId="219D0D2C" w14:textId="77777777" w:rsidR="00445CF2" w:rsidRPr="00427F3A" w:rsidRDefault="00445CF2" w:rsidP="00736C52">
      <w:pPr>
        <w:pStyle w:val="Centre"/>
        <w:rPr>
          <w:lang w:val="en-AU"/>
        </w:rPr>
      </w:pPr>
    </w:p>
    <w:p w14:paraId="210F0FB4" w14:textId="77777777" w:rsidR="00445CF2" w:rsidRPr="00E22C06" w:rsidRDefault="00445CF2" w:rsidP="00E22C06">
      <w:pPr>
        <w:pStyle w:val="OrdersText"/>
        <w:rPr>
          <w:b/>
          <w:bCs/>
          <w:i w:val="0"/>
          <w:iCs/>
        </w:rPr>
      </w:pPr>
      <w:r w:rsidRPr="00E22C06">
        <w:rPr>
          <w:b/>
          <w:bCs/>
          <w:i w:val="0"/>
          <w:iCs/>
        </w:rPr>
        <w:t>Matter No M84/2022</w:t>
      </w:r>
    </w:p>
    <w:p w14:paraId="59DA2124" w14:textId="77777777" w:rsidR="00445CF2" w:rsidRDefault="00445CF2" w:rsidP="00E22C06">
      <w:pPr>
        <w:pStyle w:val="OrdersText"/>
        <w:rPr>
          <w:caps/>
          <w:u w:val="single"/>
        </w:rPr>
      </w:pPr>
    </w:p>
    <w:p w14:paraId="20363720" w14:textId="77777777" w:rsidR="00445CF2" w:rsidRPr="002E4980" w:rsidRDefault="00445CF2" w:rsidP="00E22C06">
      <w:pPr>
        <w:pStyle w:val="OrdersText"/>
        <w:rPr>
          <w:bCs/>
        </w:rPr>
      </w:pPr>
      <w:r w:rsidRPr="002E4980">
        <w:rPr>
          <w:bCs/>
        </w:rPr>
        <w:t xml:space="preserve">1. </w:t>
      </w:r>
      <w:r w:rsidRPr="002E4980">
        <w:rPr>
          <w:bCs/>
        </w:rPr>
        <w:tab/>
        <w:t>Appea</w:t>
      </w:r>
      <w:r>
        <w:rPr>
          <w:bCs/>
        </w:rPr>
        <w:t>l allowed with costs.</w:t>
      </w:r>
    </w:p>
    <w:p w14:paraId="5AED8052" w14:textId="77777777" w:rsidR="00445CF2" w:rsidRPr="002E4980" w:rsidRDefault="00445CF2" w:rsidP="00E22C06">
      <w:pPr>
        <w:pStyle w:val="OrdersText"/>
        <w:rPr>
          <w:bCs/>
        </w:rPr>
      </w:pPr>
    </w:p>
    <w:p w14:paraId="64609E62" w14:textId="77777777" w:rsidR="00445CF2" w:rsidRDefault="00445CF2" w:rsidP="00E22C06">
      <w:pPr>
        <w:pStyle w:val="OrdersText"/>
        <w:rPr>
          <w:bCs/>
        </w:rPr>
      </w:pPr>
      <w:r w:rsidRPr="002E4980">
        <w:rPr>
          <w:bCs/>
        </w:rPr>
        <w:t xml:space="preserve">2. </w:t>
      </w:r>
      <w:r w:rsidRPr="002E4980">
        <w:rPr>
          <w:bCs/>
        </w:rPr>
        <w:tab/>
      </w:r>
      <w:r w:rsidRPr="00682593">
        <w:rPr>
          <w:bCs/>
        </w:rPr>
        <w:t>Set aside the orders made by the Full Court of the Federal Court of Australia</w:t>
      </w:r>
      <w:r>
        <w:rPr>
          <w:bCs/>
        </w:rPr>
        <w:t xml:space="preserve"> on 5 April 2022 in proceeding VID659/2021 </w:t>
      </w:r>
      <w:r w:rsidRPr="00682593">
        <w:rPr>
          <w:bCs/>
        </w:rPr>
        <w:t>and, in their place, order that</w:t>
      </w:r>
      <w:r>
        <w:rPr>
          <w:bCs/>
        </w:rPr>
        <w:t>:</w:t>
      </w:r>
    </w:p>
    <w:p w14:paraId="69A8F236" w14:textId="77777777" w:rsidR="00445CF2" w:rsidRDefault="00445CF2" w:rsidP="00E22C06">
      <w:pPr>
        <w:pStyle w:val="OrdersText"/>
        <w:rPr>
          <w:bCs/>
        </w:rPr>
      </w:pPr>
    </w:p>
    <w:p w14:paraId="1160EEF1" w14:textId="77777777" w:rsidR="00445CF2" w:rsidRDefault="00445CF2" w:rsidP="00042E12">
      <w:pPr>
        <w:pStyle w:val="OrdersText"/>
        <w:ind w:left="1418"/>
        <w:rPr>
          <w:bCs/>
        </w:rPr>
      </w:pPr>
      <w:r>
        <w:rPr>
          <w:bCs/>
        </w:rPr>
        <w:t>(a)</w:t>
      </w:r>
      <w:r>
        <w:rPr>
          <w:bCs/>
        </w:rPr>
        <w:tab/>
        <w:t>t</w:t>
      </w:r>
      <w:r w:rsidRPr="006F0483">
        <w:rPr>
          <w:bCs/>
        </w:rPr>
        <w:t xml:space="preserve">he applications for leave to appeal the orders made by the Federal Court of Australia on 13 October 2021 </w:t>
      </w:r>
      <w:r>
        <w:rPr>
          <w:bCs/>
        </w:rPr>
        <w:t xml:space="preserve">in proceedings VID89/2021 and VID503/2021 </w:t>
      </w:r>
      <w:r w:rsidRPr="006F0483">
        <w:rPr>
          <w:bCs/>
        </w:rPr>
        <w:t>be refused with costs</w:t>
      </w:r>
      <w:r>
        <w:rPr>
          <w:bCs/>
        </w:rPr>
        <w:t>; and</w:t>
      </w:r>
    </w:p>
    <w:p w14:paraId="4EBB478D" w14:textId="77777777" w:rsidR="00445CF2" w:rsidRDefault="00445CF2" w:rsidP="00E22C06">
      <w:pPr>
        <w:pStyle w:val="OrdersText"/>
        <w:rPr>
          <w:bCs/>
        </w:rPr>
      </w:pPr>
    </w:p>
    <w:p w14:paraId="01B4C850" w14:textId="77777777" w:rsidR="00445CF2" w:rsidRPr="00173E2C" w:rsidRDefault="00445CF2" w:rsidP="00042E12">
      <w:pPr>
        <w:pStyle w:val="OrdersText"/>
        <w:ind w:left="1418"/>
        <w:rPr>
          <w:bCs/>
        </w:rPr>
      </w:pPr>
      <w:r>
        <w:rPr>
          <w:bCs/>
        </w:rPr>
        <w:t>(b)</w:t>
      </w:r>
      <w:r>
        <w:rPr>
          <w:bCs/>
        </w:rPr>
        <w:tab/>
        <w:t>the a</w:t>
      </w:r>
      <w:r w:rsidRPr="00DE196D">
        <w:rPr>
          <w:bCs/>
        </w:rPr>
        <w:t>ppeals otherwise be dismissed with costs.</w:t>
      </w:r>
    </w:p>
    <w:p w14:paraId="0F75619C" w14:textId="77777777" w:rsidR="00445CF2" w:rsidRDefault="00445CF2" w:rsidP="00E22C06">
      <w:pPr>
        <w:pStyle w:val="OrdersText"/>
        <w:rPr>
          <w:caps/>
          <w:u w:val="single"/>
        </w:rPr>
      </w:pPr>
    </w:p>
    <w:p w14:paraId="252E4829" w14:textId="5526F6C7" w:rsidR="00445CF2" w:rsidRDefault="00445CF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52D61F7C" w14:textId="7B82C72A" w:rsidR="00445CF2" w:rsidRDefault="00445CF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631F7E68" w14:textId="77777777" w:rsidR="00445CF2" w:rsidRPr="002E4980" w:rsidRDefault="00445CF2" w:rsidP="00E22C06">
      <w:pPr>
        <w:pStyle w:val="OrdersText"/>
      </w:pPr>
    </w:p>
    <w:p w14:paraId="7B9316FF" w14:textId="77777777" w:rsidR="00445CF2" w:rsidRPr="00042E12" w:rsidRDefault="00445CF2" w:rsidP="00042E12">
      <w:pPr>
        <w:pStyle w:val="OrdersText"/>
        <w:keepNext/>
        <w:rPr>
          <w:b/>
          <w:bCs/>
          <w:i w:val="0"/>
          <w:iCs/>
        </w:rPr>
      </w:pPr>
      <w:r w:rsidRPr="00042E12">
        <w:rPr>
          <w:b/>
          <w:bCs/>
          <w:i w:val="0"/>
          <w:iCs/>
        </w:rPr>
        <w:t>Matter No M85/2022</w:t>
      </w:r>
    </w:p>
    <w:p w14:paraId="54E62720" w14:textId="77777777" w:rsidR="00445CF2" w:rsidRPr="002E4980" w:rsidRDefault="00445CF2" w:rsidP="00042E12">
      <w:pPr>
        <w:pStyle w:val="OrdersText"/>
        <w:keepNext/>
        <w:rPr>
          <w:bCs/>
          <w:caps/>
          <w:u w:val="single"/>
        </w:rPr>
      </w:pPr>
    </w:p>
    <w:p w14:paraId="1C77E572" w14:textId="77777777" w:rsidR="00445CF2" w:rsidRPr="002E4980" w:rsidRDefault="00445CF2" w:rsidP="00A466E5">
      <w:pPr>
        <w:pStyle w:val="OrdersText"/>
        <w:keepNext/>
        <w:rPr>
          <w:bCs/>
        </w:rPr>
      </w:pPr>
      <w:r w:rsidRPr="002E4980">
        <w:rPr>
          <w:bCs/>
        </w:rPr>
        <w:t xml:space="preserve">1. </w:t>
      </w:r>
      <w:r w:rsidRPr="002E4980">
        <w:rPr>
          <w:bCs/>
        </w:rPr>
        <w:tab/>
        <w:t>Appea</w:t>
      </w:r>
      <w:r>
        <w:rPr>
          <w:bCs/>
        </w:rPr>
        <w:t>l allowed with costs.</w:t>
      </w:r>
    </w:p>
    <w:p w14:paraId="3EAA12B1" w14:textId="77777777" w:rsidR="00445CF2" w:rsidRPr="002E4980" w:rsidRDefault="00445CF2" w:rsidP="00E22C06">
      <w:pPr>
        <w:pStyle w:val="OrdersText"/>
        <w:rPr>
          <w:bCs/>
        </w:rPr>
      </w:pPr>
    </w:p>
    <w:p w14:paraId="1D9BE6B2" w14:textId="77777777" w:rsidR="00445CF2" w:rsidRDefault="00445CF2" w:rsidP="00E22C06">
      <w:pPr>
        <w:pStyle w:val="OrdersText"/>
        <w:rPr>
          <w:bCs/>
        </w:rPr>
      </w:pPr>
      <w:r w:rsidRPr="002E4980">
        <w:rPr>
          <w:bCs/>
        </w:rPr>
        <w:t xml:space="preserve">2. </w:t>
      </w:r>
      <w:r w:rsidRPr="002E4980">
        <w:rPr>
          <w:bCs/>
        </w:rPr>
        <w:tab/>
      </w:r>
      <w:r w:rsidRPr="00682593">
        <w:rPr>
          <w:bCs/>
        </w:rPr>
        <w:t>Set aside the orders made by the Full Court of the Federal Court of Australia</w:t>
      </w:r>
      <w:r>
        <w:rPr>
          <w:bCs/>
        </w:rPr>
        <w:t xml:space="preserve"> on 5 April 2022 in proceeding VID660/2021</w:t>
      </w:r>
      <w:r w:rsidRPr="00682593">
        <w:rPr>
          <w:bCs/>
        </w:rPr>
        <w:t xml:space="preserve"> and, in their place, order that</w:t>
      </w:r>
      <w:r>
        <w:rPr>
          <w:bCs/>
        </w:rPr>
        <w:t>:</w:t>
      </w:r>
    </w:p>
    <w:p w14:paraId="00EDFEB4" w14:textId="77777777" w:rsidR="00445CF2" w:rsidRDefault="00445CF2" w:rsidP="00E22C06">
      <w:pPr>
        <w:pStyle w:val="OrdersText"/>
        <w:rPr>
          <w:bCs/>
        </w:rPr>
      </w:pPr>
    </w:p>
    <w:p w14:paraId="4550F02B" w14:textId="77777777" w:rsidR="00445CF2" w:rsidRDefault="00445CF2" w:rsidP="00042E12">
      <w:pPr>
        <w:pStyle w:val="OrdersText"/>
        <w:ind w:left="1418"/>
        <w:rPr>
          <w:bCs/>
        </w:rPr>
      </w:pPr>
      <w:r>
        <w:rPr>
          <w:bCs/>
        </w:rPr>
        <w:t>(a)</w:t>
      </w:r>
      <w:r>
        <w:rPr>
          <w:bCs/>
        </w:rPr>
        <w:tab/>
        <w:t>t</w:t>
      </w:r>
      <w:r w:rsidRPr="006F0483">
        <w:rPr>
          <w:bCs/>
        </w:rPr>
        <w:t xml:space="preserve">he applications for leave to appeal the orders made by the Federal Court of Australia on 13 October 2021 </w:t>
      </w:r>
      <w:r>
        <w:rPr>
          <w:bCs/>
        </w:rPr>
        <w:t xml:space="preserve">in proceedings VID89/2021 and VID503/2021 </w:t>
      </w:r>
      <w:r w:rsidRPr="006F0483">
        <w:rPr>
          <w:bCs/>
        </w:rPr>
        <w:t>be refused with costs</w:t>
      </w:r>
      <w:r>
        <w:rPr>
          <w:bCs/>
        </w:rPr>
        <w:t>; and</w:t>
      </w:r>
    </w:p>
    <w:p w14:paraId="4D1A84FA" w14:textId="77777777" w:rsidR="00445CF2" w:rsidRDefault="00445CF2" w:rsidP="00E22C06">
      <w:pPr>
        <w:pStyle w:val="OrdersText"/>
        <w:rPr>
          <w:bCs/>
        </w:rPr>
      </w:pPr>
    </w:p>
    <w:p w14:paraId="0D6C4A95" w14:textId="77777777" w:rsidR="00445CF2" w:rsidRDefault="00445CF2" w:rsidP="00042E12">
      <w:pPr>
        <w:pStyle w:val="OrdersText"/>
        <w:ind w:left="1418"/>
        <w:rPr>
          <w:bCs/>
        </w:rPr>
      </w:pPr>
      <w:r>
        <w:rPr>
          <w:bCs/>
        </w:rPr>
        <w:t>(b)</w:t>
      </w:r>
      <w:r>
        <w:rPr>
          <w:bCs/>
        </w:rPr>
        <w:tab/>
        <w:t>the a</w:t>
      </w:r>
      <w:r w:rsidRPr="00DE196D">
        <w:rPr>
          <w:bCs/>
        </w:rPr>
        <w:t>ppeals otherwise be dismissed with costs.</w:t>
      </w:r>
    </w:p>
    <w:p w14:paraId="0E75EEDA" w14:textId="77777777" w:rsidR="00445CF2" w:rsidRDefault="00445CF2" w:rsidP="00EE5374">
      <w:pPr>
        <w:pStyle w:val="Body"/>
      </w:pPr>
    </w:p>
    <w:p w14:paraId="5D58E7ED" w14:textId="77777777" w:rsidR="00445CF2" w:rsidRPr="00427F3A" w:rsidRDefault="00445CF2" w:rsidP="00EE5374">
      <w:pPr>
        <w:pStyle w:val="Body"/>
      </w:pPr>
    </w:p>
    <w:p w14:paraId="36C65AEC" w14:textId="77777777" w:rsidR="00445CF2" w:rsidRPr="00427F3A" w:rsidRDefault="00445CF2" w:rsidP="0032341F">
      <w:pPr>
        <w:pStyle w:val="OrdersBody"/>
      </w:pPr>
      <w:r w:rsidRPr="00427F3A">
        <w:t xml:space="preserve">On appeal from the </w:t>
      </w:r>
      <w:r w:rsidRPr="00BD6343">
        <w:t>Federal Court of Australia</w:t>
      </w:r>
    </w:p>
    <w:p w14:paraId="729AD1D2" w14:textId="77777777" w:rsidR="00445CF2" w:rsidRDefault="00445CF2" w:rsidP="00EE5374">
      <w:pPr>
        <w:pStyle w:val="Body"/>
      </w:pPr>
    </w:p>
    <w:p w14:paraId="38704712" w14:textId="77777777" w:rsidR="00445CF2" w:rsidRPr="00427F3A" w:rsidRDefault="00445CF2" w:rsidP="00EE5374">
      <w:pPr>
        <w:pStyle w:val="Body"/>
      </w:pPr>
    </w:p>
    <w:p w14:paraId="46635907" w14:textId="77777777" w:rsidR="00445CF2" w:rsidRPr="00427F3A" w:rsidRDefault="00445CF2" w:rsidP="00E90E4F">
      <w:pPr>
        <w:pStyle w:val="OrdersBodyHeading"/>
      </w:pPr>
      <w:r w:rsidRPr="00427F3A">
        <w:t>Representation</w:t>
      </w:r>
    </w:p>
    <w:p w14:paraId="6C5B3310" w14:textId="77777777" w:rsidR="00445CF2" w:rsidRDefault="00445CF2" w:rsidP="00EE5374">
      <w:pPr>
        <w:pStyle w:val="Body"/>
      </w:pPr>
    </w:p>
    <w:p w14:paraId="01C2DEA2" w14:textId="77777777" w:rsidR="00445CF2" w:rsidRPr="00BD6343" w:rsidRDefault="00445CF2" w:rsidP="00E90E4F">
      <w:pPr>
        <w:pStyle w:val="OrdersBody"/>
      </w:pPr>
      <w:r w:rsidRPr="00BD6343">
        <w:t xml:space="preserve">C L </w:t>
      </w:r>
      <w:proofErr w:type="spellStart"/>
      <w:r w:rsidRPr="00BD6343">
        <w:t>Lenehan</w:t>
      </w:r>
      <w:proofErr w:type="spellEnd"/>
      <w:r w:rsidRPr="00BD6343">
        <w:t xml:space="preserve"> SC with M L </w:t>
      </w:r>
      <w:proofErr w:type="spellStart"/>
      <w:r w:rsidRPr="00BD6343">
        <w:t>L</w:t>
      </w:r>
      <w:proofErr w:type="spellEnd"/>
      <w:r w:rsidRPr="00BD6343">
        <w:t xml:space="preserve"> Albert and J R Murphy for the appellant (instructed by Human Rights Law Centre)</w:t>
      </w:r>
    </w:p>
    <w:p w14:paraId="2BE39D08" w14:textId="77777777" w:rsidR="00445CF2" w:rsidRPr="00BD6343" w:rsidRDefault="00445CF2" w:rsidP="001B3C97">
      <w:pPr>
        <w:pStyle w:val="Body"/>
      </w:pPr>
    </w:p>
    <w:p w14:paraId="560C0DE1" w14:textId="77777777" w:rsidR="00445CF2" w:rsidRDefault="00445CF2" w:rsidP="00E90E4F">
      <w:pPr>
        <w:pStyle w:val="OrdersBody"/>
      </w:pPr>
      <w:r w:rsidRPr="00BD6343">
        <w:t xml:space="preserve">S P </w:t>
      </w:r>
      <w:proofErr w:type="spellStart"/>
      <w:r w:rsidRPr="00BD6343">
        <w:t>Donaghue</w:t>
      </w:r>
      <w:proofErr w:type="spellEnd"/>
      <w:r w:rsidRPr="00BD6343">
        <w:t xml:space="preserve"> KC, Solicitor-General of the Commonwealth, </w:t>
      </w:r>
      <w:r>
        <w:t>and</w:t>
      </w:r>
      <w:r w:rsidRPr="00BD6343">
        <w:t xml:space="preserve"> </w:t>
      </w:r>
      <w:r>
        <w:t>P </w:t>
      </w:r>
      <w:r w:rsidRPr="00BD6343">
        <w:t xml:space="preserve">M Knowles SC </w:t>
      </w:r>
      <w:r>
        <w:t>with</w:t>
      </w:r>
      <w:r w:rsidRPr="00BD6343">
        <w:t xml:space="preserve"> N</w:t>
      </w:r>
      <w:r>
        <w:t> </w:t>
      </w:r>
      <w:proofErr w:type="gramStart"/>
      <w:r w:rsidRPr="00BD6343">
        <w:t>A</w:t>
      </w:r>
      <w:proofErr w:type="gramEnd"/>
      <w:r>
        <w:t> </w:t>
      </w:r>
      <w:r w:rsidRPr="00BD6343">
        <w:t>Wootton for the respondents (instructed by Australian Government Solicitor)</w:t>
      </w:r>
    </w:p>
    <w:p w14:paraId="277D56A5" w14:textId="77777777" w:rsidR="00445CF2" w:rsidRDefault="00445CF2" w:rsidP="00E90E4F">
      <w:pPr>
        <w:pStyle w:val="OrdersBody"/>
      </w:pPr>
    </w:p>
    <w:p w14:paraId="0E71AC9F" w14:textId="77777777" w:rsidR="00445CF2" w:rsidRDefault="00445CF2" w:rsidP="00E90E4F">
      <w:pPr>
        <w:pStyle w:val="OrdersBody"/>
      </w:pPr>
    </w:p>
    <w:p w14:paraId="39F7F779" w14:textId="77777777" w:rsidR="00445CF2" w:rsidRDefault="00445CF2" w:rsidP="00E90E4F">
      <w:pPr>
        <w:pStyle w:val="OrdersBody"/>
      </w:pPr>
    </w:p>
    <w:p w14:paraId="78DDC122" w14:textId="77777777" w:rsidR="00445CF2" w:rsidRDefault="00445CF2" w:rsidP="00E90E4F">
      <w:pPr>
        <w:pStyle w:val="OrdersBody"/>
      </w:pPr>
    </w:p>
    <w:p w14:paraId="6E472FEF" w14:textId="77777777" w:rsidR="00445CF2" w:rsidRDefault="00445CF2" w:rsidP="00E90E4F">
      <w:pPr>
        <w:pStyle w:val="OrdersBody"/>
      </w:pPr>
    </w:p>
    <w:p w14:paraId="3C06C3F5" w14:textId="77777777" w:rsidR="00445CF2" w:rsidRDefault="00445CF2" w:rsidP="00E90E4F">
      <w:pPr>
        <w:pStyle w:val="OrdersBody"/>
      </w:pPr>
    </w:p>
    <w:p w14:paraId="6A9869A4" w14:textId="77777777" w:rsidR="00445CF2" w:rsidRDefault="00445CF2" w:rsidP="00E90E4F">
      <w:pPr>
        <w:pStyle w:val="OrdersBody"/>
      </w:pPr>
    </w:p>
    <w:p w14:paraId="74199809" w14:textId="77777777" w:rsidR="00445CF2" w:rsidRDefault="00445CF2" w:rsidP="00E90E4F">
      <w:pPr>
        <w:pStyle w:val="OrdersBody"/>
      </w:pPr>
    </w:p>
    <w:p w14:paraId="14EA7AD9" w14:textId="77777777" w:rsidR="00445CF2" w:rsidRDefault="00445CF2" w:rsidP="00E90E4F">
      <w:pPr>
        <w:pStyle w:val="OrdersBody"/>
      </w:pPr>
    </w:p>
    <w:p w14:paraId="027787C4" w14:textId="77777777" w:rsidR="00445CF2" w:rsidRDefault="00445CF2" w:rsidP="00E90E4F">
      <w:pPr>
        <w:pStyle w:val="OrdersBody"/>
      </w:pPr>
    </w:p>
    <w:p w14:paraId="3EA00EC5" w14:textId="77777777" w:rsidR="00445CF2" w:rsidRDefault="00445CF2" w:rsidP="00E90E4F">
      <w:pPr>
        <w:pStyle w:val="OrdersBody"/>
      </w:pPr>
    </w:p>
    <w:p w14:paraId="1D6367A0" w14:textId="77777777" w:rsidR="00445CF2" w:rsidRPr="00BD6343" w:rsidRDefault="00445CF2" w:rsidP="00E90E4F">
      <w:pPr>
        <w:pStyle w:val="OrdersBody"/>
      </w:pPr>
    </w:p>
    <w:p w14:paraId="098B1741" w14:textId="77777777" w:rsidR="00445CF2" w:rsidRPr="00427F3A" w:rsidRDefault="00445CF2" w:rsidP="00EE5374">
      <w:pPr>
        <w:pStyle w:val="Body"/>
      </w:pPr>
    </w:p>
    <w:p w14:paraId="3807DFF2" w14:textId="77777777" w:rsidR="00445CF2" w:rsidRPr="00427F3A" w:rsidRDefault="00445CF2" w:rsidP="00F9713B">
      <w:pPr>
        <w:pStyle w:val="Notice"/>
        <w:rPr>
          <w:lang w:val="en-AU"/>
        </w:rPr>
      </w:pPr>
      <w:r w:rsidRPr="00427F3A">
        <w:rPr>
          <w:lang w:val="en-AU"/>
        </w:rPr>
        <w:t>Notice:  This copy of the Court's Reasons for Judgment is subject to formal revision prior to publication in the Commonwealth Law Reports.</w:t>
      </w:r>
    </w:p>
    <w:p w14:paraId="7E6CD09A" w14:textId="5354B204" w:rsidR="00445CF2" w:rsidRDefault="00445CF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98FE1FF" w14:textId="77777777" w:rsidR="00B82159" w:rsidRDefault="00445CF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B82159" w:rsidSect="00445CF2">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DDF4EB1" w14:textId="77777777" w:rsidR="00B82159" w:rsidRPr="00054C14" w:rsidRDefault="00B82159" w:rsidP="00B82159">
      <w:pPr>
        <w:spacing w:line="240" w:lineRule="auto"/>
        <w:ind w:right="0" w:firstLine="0"/>
        <w:jc w:val="both"/>
        <w:rPr>
          <w:rFonts w:ascii="Times New Roman" w:hAnsi="Times New Roman"/>
          <w:b/>
        </w:rPr>
      </w:pPr>
      <w:r w:rsidRPr="00054C14">
        <w:rPr>
          <w:rFonts w:ascii="Times New Roman" w:hAnsi="Times New Roman"/>
          <w:b/>
        </w:rPr>
        <w:lastRenderedPageBreak/>
        <w:t>CATCHWORDS</w:t>
      </w:r>
    </w:p>
    <w:p w14:paraId="5ADAD0D0" w14:textId="77777777" w:rsidR="00B82159" w:rsidRPr="00054C14" w:rsidRDefault="00B82159" w:rsidP="00B82159">
      <w:pPr>
        <w:spacing w:line="240" w:lineRule="auto"/>
        <w:ind w:right="0" w:firstLine="0"/>
        <w:jc w:val="both"/>
        <w:rPr>
          <w:rFonts w:ascii="Times New Roman" w:hAnsi="Times New Roman"/>
          <w:b/>
        </w:rPr>
      </w:pPr>
    </w:p>
    <w:p w14:paraId="1789A6B6" w14:textId="77777777" w:rsidR="00B82159" w:rsidRDefault="00B82159" w:rsidP="00B82159">
      <w:pPr>
        <w:spacing w:line="240" w:lineRule="auto"/>
        <w:ind w:right="0" w:firstLine="0"/>
        <w:jc w:val="both"/>
        <w:rPr>
          <w:rFonts w:ascii="Times New Roman" w:hAnsi="Times New Roman"/>
          <w:b/>
        </w:rPr>
      </w:pPr>
      <w:r>
        <w:rPr>
          <w:rFonts w:ascii="Times New Roman" w:hAnsi="Times New Roman"/>
          <w:b/>
        </w:rPr>
        <w:t xml:space="preserve">AZC20 v Minister for Immigration, Citizenship, Migrant Services and Multicultural Affairs  </w:t>
      </w:r>
    </w:p>
    <w:p w14:paraId="16CD6438" w14:textId="77777777" w:rsidR="00B82159" w:rsidRDefault="00B82159" w:rsidP="00B82159">
      <w:pPr>
        <w:spacing w:line="240" w:lineRule="auto"/>
        <w:ind w:right="0" w:firstLine="0"/>
        <w:jc w:val="both"/>
        <w:rPr>
          <w:rFonts w:ascii="Times New Roman" w:hAnsi="Times New Roman"/>
        </w:rPr>
      </w:pPr>
    </w:p>
    <w:p w14:paraId="608A727D" w14:textId="77777777" w:rsidR="00B82159" w:rsidRPr="00774AD1" w:rsidRDefault="00B82159" w:rsidP="00B82159">
      <w:pPr>
        <w:spacing w:line="240" w:lineRule="auto"/>
        <w:ind w:right="0" w:firstLine="0"/>
        <w:jc w:val="both"/>
        <w:rPr>
          <w:rFonts w:ascii="Times New Roman" w:hAnsi="Times New Roman"/>
        </w:rPr>
      </w:pPr>
      <w:r>
        <w:rPr>
          <w:rFonts w:ascii="Times New Roman" w:hAnsi="Times New Roman"/>
        </w:rPr>
        <w:t xml:space="preserve">Constitutional Law (Cth) – Judicial power of the Commonwealth </w:t>
      </w:r>
      <w:r w:rsidRPr="007318A6">
        <w:rPr>
          <w:rFonts w:ascii="Times New Roman" w:hAnsi="Times New Roman"/>
        </w:rPr>
        <w:t>–</w:t>
      </w:r>
      <w:r>
        <w:rPr>
          <w:rFonts w:ascii="Times New Roman" w:hAnsi="Times New Roman"/>
        </w:rPr>
        <w:t xml:space="preserve"> Jurisdiction – Appeals – Meaning of "matter" – Where appellant commenced proceedings in Federal Court of Australia seeking mandamus to require Secretary of Department of Home Affairs to remove him from Australia to a regional processing country under s 198AD(2) of </w:t>
      </w:r>
      <w:r>
        <w:rPr>
          <w:rFonts w:ascii="Times New Roman" w:hAnsi="Times New Roman"/>
          <w:i/>
          <w:iCs/>
        </w:rPr>
        <w:t xml:space="preserve">Migration Act 1958 </w:t>
      </w:r>
      <w:r>
        <w:rPr>
          <w:rFonts w:ascii="Times New Roman" w:hAnsi="Times New Roman"/>
        </w:rPr>
        <w:t xml:space="preserve">(Cth) – Where Federal Court made orders declaring s 198AD(2) of Act applied to appellant, requiring Secretary to perform duty under s 198AD(2) as soon as reasonably practicable, and requiring appellant be detained in immigration detention at a residential address pending removal to a regional processing country – Where Minister for Home Affairs subsequently exercised power under s 198AE(1) of Act to determine duty under s 198AD(2) did not apply to appellant – Where respondents sought to appeal primary judge's orders to Full Court of the Federal Court of Australia – Where at time of appeals primary judge's orders did not have any operative legal effect – Whether there was a "matter" within meaning of Ch III of </w:t>
      </w:r>
      <w:r>
        <w:rPr>
          <w:rFonts w:ascii="Times New Roman" w:hAnsi="Times New Roman"/>
          <w:i/>
          <w:iCs/>
        </w:rPr>
        <w:t xml:space="preserve">Constitution </w:t>
      </w:r>
      <w:r>
        <w:rPr>
          <w:rFonts w:ascii="Times New Roman" w:hAnsi="Times New Roman"/>
        </w:rPr>
        <w:t>at time Full Court made orders determining appeals – Whether there was a justiciable controversy before Full Court – Whether Full Court had jurisdiction to determine appeals.</w:t>
      </w:r>
    </w:p>
    <w:p w14:paraId="3A56FD74" w14:textId="77777777" w:rsidR="00B82159" w:rsidRDefault="00B82159" w:rsidP="00B82159">
      <w:pPr>
        <w:spacing w:line="240" w:lineRule="auto"/>
        <w:ind w:right="0" w:firstLine="0"/>
        <w:jc w:val="both"/>
        <w:rPr>
          <w:rFonts w:ascii="Times New Roman" w:hAnsi="Times New Roman"/>
        </w:rPr>
      </w:pPr>
    </w:p>
    <w:p w14:paraId="36460F07" w14:textId="77777777" w:rsidR="00B82159" w:rsidRDefault="00B82159" w:rsidP="00B82159">
      <w:pPr>
        <w:spacing w:line="240" w:lineRule="auto"/>
        <w:ind w:right="0" w:firstLine="0"/>
        <w:jc w:val="both"/>
        <w:rPr>
          <w:rFonts w:ascii="Times New Roman" w:hAnsi="Times New Roman"/>
        </w:rPr>
      </w:pPr>
      <w:r w:rsidRPr="00294DEA">
        <w:rPr>
          <w:rFonts w:ascii="Times New Roman" w:hAnsi="Times New Roman"/>
        </w:rPr>
        <w:t>Words and phrases –</w:t>
      </w:r>
      <w:r>
        <w:rPr>
          <w:rFonts w:ascii="Times New Roman" w:hAnsi="Times New Roman"/>
        </w:rPr>
        <w:t xml:space="preserve"> "advisory opinion", "appellate jurisdiction", "federal jurisdiction", "immediate right, duty or liability", "judicial power of the Commonwealth", "jurisdiction", "justiciable controversy", "matter", "standing".</w:t>
      </w:r>
    </w:p>
    <w:p w14:paraId="38BB48C0" w14:textId="77777777" w:rsidR="00B82159" w:rsidRDefault="00B82159" w:rsidP="00B82159">
      <w:pPr>
        <w:spacing w:line="240" w:lineRule="auto"/>
        <w:ind w:right="0" w:firstLine="0"/>
        <w:jc w:val="both"/>
        <w:rPr>
          <w:rFonts w:ascii="Times New Roman" w:hAnsi="Times New Roman"/>
          <w:i/>
        </w:rPr>
      </w:pPr>
    </w:p>
    <w:p w14:paraId="03E2B2FD" w14:textId="77777777" w:rsidR="00B82159" w:rsidRDefault="00B82159" w:rsidP="00B82159">
      <w:pPr>
        <w:spacing w:line="240" w:lineRule="auto"/>
        <w:ind w:right="0" w:firstLine="0"/>
        <w:jc w:val="both"/>
        <w:rPr>
          <w:rFonts w:ascii="Times New Roman" w:hAnsi="Times New Roman"/>
        </w:rPr>
      </w:pPr>
      <w:r w:rsidRPr="00247045">
        <w:rPr>
          <w:rFonts w:ascii="Times New Roman" w:hAnsi="Times New Roman"/>
          <w:i/>
        </w:rPr>
        <w:t>Constitution</w:t>
      </w:r>
      <w:r>
        <w:rPr>
          <w:rFonts w:ascii="Times New Roman" w:hAnsi="Times New Roman"/>
        </w:rPr>
        <w:t>, Ch III.</w:t>
      </w:r>
    </w:p>
    <w:p w14:paraId="2AF94118" w14:textId="77777777" w:rsidR="00B82159" w:rsidRPr="00CF0E9E" w:rsidRDefault="00B82159" w:rsidP="00B82159">
      <w:pPr>
        <w:spacing w:line="240" w:lineRule="auto"/>
        <w:ind w:right="0" w:firstLine="0"/>
        <w:jc w:val="both"/>
        <w:rPr>
          <w:rFonts w:ascii="Times New Roman" w:hAnsi="Times New Roman"/>
        </w:rPr>
      </w:pPr>
      <w:r>
        <w:rPr>
          <w:rFonts w:ascii="Times New Roman" w:hAnsi="Times New Roman"/>
          <w:i/>
          <w:iCs/>
        </w:rPr>
        <w:t xml:space="preserve">Federal Court of Australia Act 1976 </w:t>
      </w:r>
      <w:r>
        <w:rPr>
          <w:rFonts w:ascii="Times New Roman" w:hAnsi="Times New Roman"/>
        </w:rPr>
        <w:t xml:space="preserve">(Cth), s 24. </w:t>
      </w:r>
    </w:p>
    <w:p w14:paraId="3742FD80" w14:textId="77777777" w:rsidR="00B82159" w:rsidRPr="00350C23" w:rsidRDefault="00B82159" w:rsidP="00B82159">
      <w:pPr>
        <w:spacing w:line="240" w:lineRule="auto"/>
        <w:ind w:right="0" w:firstLine="0"/>
        <w:jc w:val="both"/>
        <w:rPr>
          <w:rFonts w:ascii="Times New Roman" w:hAnsi="Times New Roman"/>
        </w:rPr>
      </w:pPr>
      <w:r>
        <w:rPr>
          <w:rFonts w:ascii="Times New Roman" w:hAnsi="Times New Roman"/>
          <w:i/>
        </w:rPr>
        <w:t>Migration Act 1958</w:t>
      </w:r>
      <w:r w:rsidRPr="00212A5E">
        <w:rPr>
          <w:rFonts w:ascii="Times New Roman" w:hAnsi="Times New Roman"/>
          <w:i/>
        </w:rPr>
        <w:t xml:space="preserve"> </w:t>
      </w:r>
      <w:r w:rsidRPr="00212A5E">
        <w:rPr>
          <w:rFonts w:ascii="Times New Roman" w:hAnsi="Times New Roman"/>
        </w:rPr>
        <w:t>(</w:t>
      </w:r>
      <w:r>
        <w:rPr>
          <w:rFonts w:ascii="Times New Roman" w:hAnsi="Times New Roman"/>
        </w:rPr>
        <w:t>Cth</w:t>
      </w:r>
      <w:r w:rsidRPr="00212A5E">
        <w:rPr>
          <w:rFonts w:ascii="Times New Roman" w:hAnsi="Times New Roman"/>
        </w:rPr>
        <w:t>)</w:t>
      </w:r>
      <w:r>
        <w:rPr>
          <w:rFonts w:ascii="Times New Roman" w:hAnsi="Times New Roman"/>
        </w:rPr>
        <w:t>, ss 198, 198AD, 198AE.</w:t>
      </w:r>
    </w:p>
    <w:p w14:paraId="733E2E00" w14:textId="33779B14" w:rsidR="00445CF2" w:rsidRDefault="00445CF2" w:rsidP="00B8215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E852975" w14:textId="28A0B9F1" w:rsidR="00B82159" w:rsidRDefault="00B8215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90A2413" w14:textId="5516B85B" w:rsidR="00B82159" w:rsidRDefault="00B8215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3AB5186" w14:textId="77777777" w:rsidR="00445CF2" w:rsidRDefault="00445CF2" w:rsidP="0020045E">
      <w:pPr>
        <w:pStyle w:val="FixListStyle"/>
        <w:tabs>
          <w:tab w:val="clear" w:pos="720"/>
          <w:tab w:val="left" w:pos="0"/>
        </w:tabs>
        <w:spacing w:after="260" w:line="280" w:lineRule="exact"/>
        <w:ind w:right="0"/>
        <w:jc w:val="both"/>
        <w:rPr>
          <w:rFonts w:ascii="Times New Roman" w:hAnsi="Times New Roman"/>
        </w:rPr>
        <w:sectPr w:rsidR="00445CF2" w:rsidSect="00B82159">
          <w:pgSz w:w="11907" w:h="16839" w:code="9"/>
          <w:pgMar w:top="1440" w:right="1701" w:bottom="1984" w:left="1701" w:header="720" w:footer="720" w:gutter="0"/>
          <w:pgNumType w:start="1"/>
          <w:cols w:space="720"/>
          <w:titlePg/>
          <w:docGrid w:linePitch="354"/>
        </w:sectPr>
      </w:pPr>
    </w:p>
    <w:p w14:paraId="35BB7A49" w14:textId="61CD248C" w:rsidR="0077622A" w:rsidRPr="0020045E" w:rsidRDefault="0020045E" w:rsidP="0020045E">
      <w:pPr>
        <w:pStyle w:val="FixListStyle"/>
        <w:tabs>
          <w:tab w:val="clear" w:pos="720"/>
          <w:tab w:val="left" w:pos="0"/>
        </w:tabs>
        <w:spacing w:after="260" w:line="280" w:lineRule="exact"/>
        <w:ind w:right="0"/>
        <w:jc w:val="both"/>
        <w:rPr>
          <w:rFonts w:ascii="Times New Roman" w:hAnsi="Times New Roman"/>
        </w:rPr>
      </w:pPr>
      <w:r w:rsidRPr="0020045E">
        <w:rPr>
          <w:rFonts w:ascii="Times New Roman" w:hAnsi="Times New Roman"/>
        </w:rPr>
        <w:lastRenderedPageBreak/>
        <w:t xml:space="preserve">KIEFEL CJ, GORDON AND STEWARD JJ.   </w:t>
      </w:r>
      <w:r w:rsidR="0077622A" w:rsidRPr="0020045E">
        <w:rPr>
          <w:rFonts w:ascii="Times New Roman" w:hAnsi="Times New Roman"/>
        </w:rPr>
        <w:t>The underlying facts "reveal an extraordinarily long deprivation of the [appellant's] liberty by way of executive detention"</w:t>
      </w:r>
      <w:r w:rsidR="0077622A" w:rsidRPr="0020045E">
        <w:rPr>
          <w:rStyle w:val="FootnoteReference"/>
          <w:rFonts w:ascii="Times New Roman" w:hAnsi="Times New Roman"/>
          <w:sz w:val="24"/>
        </w:rPr>
        <w:footnoteReference w:id="2"/>
      </w:r>
      <w:r w:rsidR="0077622A" w:rsidRPr="0020045E">
        <w:rPr>
          <w:rFonts w:ascii="Times New Roman" w:hAnsi="Times New Roman"/>
        </w:rPr>
        <w:t xml:space="preserve">. The appellant, a citizen of Iran, arrived in Australia by boat in July 2013 and has been in immigration detention ever since, his protection visa application having been finally refused in February 2021. </w:t>
      </w:r>
    </w:p>
    <w:p w14:paraId="744F062D" w14:textId="1DE319DA"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The issue for decision in these appeals is narrow. Was there a "matter" within the meaning of Ch III of the </w:t>
      </w:r>
      <w:r w:rsidRPr="0020045E">
        <w:rPr>
          <w:rFonts w:ascii="Times New Roman" w:hAnsi="Times New Roman"/>
          <w:i/>
          <w:iCs/>
        </w:rPr>
        <w:t xml:space="preserve">Constitution </w:t>
      </w:r>
      <w:r w:rsidRPr="0020045E">
        <w:rPr>
          <w:rFonts w:ascii="Times New Roman" w:hAnsi="Times New Roman"/>
        </w:rPr>
        <w:t>before the Full Court of the Federal Court of Australia when it made the orders below? As the answer to that question is "No", the second</w:t>
      </w:r>
      <w:r w:rsidRPr="0020045E" w:rsidDel="005A311C">
        <w:rPr>
          <w:rFonts w:ascii="Times New Roman" w:hAnsi="Times New Roman"/>
        </w:rPr>
        <w:t xml:space="preserve"> </w:t>
      </w:r>
      <w:r w:rsidRPr="0020045E">
        <w:rPr>
          <w:rFonts w:ascii="Times New Roman" w:hAnsi="Times New Roman"/>
        </w:rPr>
        <w:t xml:space="preserve">ground of appeal does not arise. </w:t>
      </w:r>
    </w:p>
    <w:p w14:paraId="16ACED61" w14:textId="63B2B5C7"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That is, the only issue in these appeals is whether the Full Court had jurisdiction to decide the appeals below. All courts have the duty and the authority to consider and decide whether a claim or application brought before the court is within its jurisdiction</w:t>
      </w:r>
      <w:r w:rsidRPr="0020045E">
        <w:rPr>
          <w:rStyle w:val="FootnoteReference"/>
          <w:rFonts w:ascii="Times New Roman" w:hAnsi="Times New Roman"/>
          <w:sz w:val="24"/>
        </w:rPr>
        <w:footnoteReference w:id="3"/>
      </w:r>
      <w:r w:rsidRPr="0020045E">
        <w:rPr>
          <w:rFonts w:ascii="Times New Roman" w:hAnsi="Times New Roman"/>
        </w:rPr>
        <w:t>. As will be seen, the Full Court approached the question of whether it should hear the appeals as a matter of discretion, not jurisdiction. In allowing the appeals and overturning the orders of the primary judge, the</w:t>
      </w:r>
      <w:r w:rsidR="00780F81">
        <w:rPr>
          <w:rFonts w:ascii="Times New Roman" w:hAnsi="Times New Roman"/>
        </w:rPr>
        <w:t> </w:t>
      </w:r>
      <w:r w:rsidRPr="0020045E">
        <w:rPr>
          <w:rFonts w:ascii="Times New Roman" w:hAnsi="Times New Roman"/>
        </w:rPr>
        <w:t>Full</w:t>
      </w:r>
      <w:r w:rsidR="00780F81">
        <w:rPr>
          <w:rFonts w:ascii="Times New Roman" w:hAnsi="Times New Roman"/>
        </w:rPr>
        <w:t> </w:t>
      </w:r>
      <w:r w:rsidRPr="0020045E">
        <w:rPr>
          <w:rFonts w:ascii="Times New Roman" w:hAnsi="Times New Roman"/>
        </w:rPr>
        <w:t>Court in effect determined it did have jurisdiction and proceeded to exercise judicial power</w:t>
      </w:r>
      <w:r w:rsidRPr="0020045E">
        <w:rPr>
          <w:rStyle w:val="FootnoteReference"/>
          <w:rFonts w:ascii="Times New Roman" w:hAnsi="Times New Roman"/>
          <w:sz w:val="24"/>
        </w:rPr>
        <w:footnoteReference w:id="4"/>
      </w:r>
      <w:r w:rsidRPr="0020045E">
        <w:rPr>
          <w:rFonts w:ascii="Times New Roman" w:hAnsi="Times New Roman"/>
        </w:rPr>
        <w:t xml:space="preserve">. It is well established that, as a superior court, the orders it made are valid until set aside, even if those orders were made </w:t>
      </w:r>
      <w:proofErr w:type="gramStart"/>
      <w:r w:rsidRPr="0020045E">
        <w:rPr>
          <w:rFonts w:ascii="Times New Roman" w:hAnsi="Times New Roman"/>
        </w:rPr>
        <w:t>in excess of</w:t>
      </w:r>
      <w:proofErr w:type="gramEnd"/>
      <w:r w:rsidRPr="0020045E">
        <w:rPr>
          <w:rFonts w:ascii="Times New Roman" w:hAnsi="Times New Roman"/>
        </w:rPr>
        <w:t xml:space="preserve"> jurisdiction</w:t>
      </w:r>
      <w:r w:rsidRPr="0020045E">
        <w:rPr>
          <w:rStyle w:val="FootnoteReference"/>
          <w:rFonts w:ascii="Times New Roman" w:hAnsi="Times New Roman"/>
          <w:sz w:val="24"/>
        </w:rPr>
        <w:footnoteReference w:id="5"/>
      </w:r>
      <w:r w:rsidRPr="0020045E">
        <w:rPr>
          <w:rFonts w:ascii="Times New Roman" w:hAnsi="Times New Roman"/>
        </w:rPr>
        <w:t>. Those orders are subject to review and correction</w:t>
      </w:r>
      <w:r w:rsidRPr="0020045E">
        <w:rPr>
          <w:rStyle w:val="FootnoteReference"/>
          <w:rFonts w:ascii="Times New Roman" w:hAnsi="Times New Roman"/>
          <w:sz w:val="24"/>
        </w:rPr>
        <w:footnoteReference w:id="6"/>
      </w:r>
      <w:r w:rsidRPr="0020045E">
        <w:rPr>
          <w:rFonts w:ascii="Times New Roman" w:hAnsi="Times New Roman"/>
        </w:rPr>
        <w:t xml:space="preserve"> by this Court in its appellate jurisdiction under s 73 of the </w:t>
      </w:r>
      <w:r w:rsidRPr="0020045E">
        <w:rPr>
          <w:rFonts w:ascii="Times New Roman" w:hAnsi="Times New Roman"/>
          <w:i/>
          <w:iCs/>
        </w:rPr>
        <w:t>Constitution</w:t>
      </w:r>
      <w:r w:rsidRPr="0020045E">
        <w:rPr>
          <w:rStyle w:val="FootnoteReference"/>
          <w:rFonts w:ascii="Times New Roman" w:hAnsi="Times New Roman"/>
          <w:sz w:val="24"/>
        </w:rPr>
        <w:footnoteReference w:id="7"/>
      </w:r>
      <w:r w:rsidRPr="0020045E">
        <w:rPr>
          <w:rFonts w:ascii="Times New Roman" w:hAnsi="Times New Roman"/>
        </w:rPr>
        <w:t xml:space="preserve">. As these reasons will explain, the Full Court did not have jurisdiction when it determined the appeals. Its orders should be set aside. </w:t>
      </w:r>
    </w:p>
    <w:p w14:paraId="031B4DA0" w14:textId="68DF6B90" w:rsidR="0077622A" w:rsidRPr="0020045E" w:rsidRDefault="0077622A" w:rsidP="0020045E">
      <w:pPr>
        <w:pStyle w:val="FixListStyle"/>
        <w:spacing w:after="260" w:line="280" w:lineRule="exact"/>
        <w:ind w:right="0"/>
        <w:jc w:val="both"/>
        <w:rPr>
          <w:rFonts w:ascii="Times New Roman" w:hAnsi="Times New Roman"/>
          <w:u w:val="single"/>
        </w:rPr>
      </w:pPr>
      <w:r w:rsidRPr="0020045E">
        <w:rPr>
          <w:rFonts w:ascii="Times New Roman" w:hAnsi="Times New Roman"/>
        </w:rPr>
        <w:lastRenderedPageBreak/>
        <w:tab/>
        <w:t>It is necessary to describe the course of the two proceedings that culminate in the present appeals to this Court. That description will show that after the appellant succeeded in part at first instance and obtained orders in his favour, the</w:t>
      </w:r>
      <w:r w:rsidR="00B57C32">
        <w:rPr>
          <w:rFonts w:ascii="Times New Roman" w:hAnsi="Times New Roman"/>
        </w:rPr>
        <w:t> </w:t>
      </w:r>
      <w:r w:rsidRPr="0020045E">
        <w:rPr>
          <w:rFonts w:ascii="Times New Roman" w:hAnsi="Times New Roman"/>
        </w:rPr>
        <w:t xml:space="preserve">Minister for Home Affairs exercised a statutory power under the </w:t>
      </w:r>
      <w:r w:rsidR="00B41951" w:rsidRPr="0020045E">
        <w:rPr>
          <w:rFonts w:ascii="Times New Roman" w:hAnsi="Times New Roman"/>
          <w:i/>
          <w:iCs/>
        </w:rPr>
        <w:t xml:space="preserve">Migration </w:t>
      </w:r>
      <w:r w:rsidRPr="0020045E">
        <w:rPr>
          <w:rFonts w:ascii="Times New Roman" w:hAnsi="Times New Roman"/>
          <w:i/>
          <w:iCs/>
        </w:rPr>
        <w:t>Act</w:t>
      </w:r>
      <w:r w:rsidRPr="0020045E">
        <w:rPr>
          <w:rFonts w:ascii="Times New Roman" w:hAnsi="Times New Roman"/>
        </w:rPr>
        <w:t xml:space="preserve"> </w:t>
      </w:r>
      <w:r w:rsidR="00B41951" w:rsidRPr="0020045E">
        <w:rPr>
          <w:rFonts w:ascii="Times New Roman" w:hAnsi="Times New Roman"/>
          <w:i/>
          <w:iCs/>
        </w:rPr>
        <w:t xml:space="preserve">1958 </w:t>
      </w:r>
      <w:r w:rsidR="00B41951" w:rsidRPr="0020045E">
        <w:rPr>
          <w:rFonts w:ascii="Times New Roman" w:hAnsi="Times New Roman"/>
        </w:rPr>
        <w:t>(</w:t>
      </w:r>
      <w:proofErr w:type="spellStart"/>
      <w:r w:rsidR="00B41951" w:rsidRPr="0020045E">
        <w:rPr>
          <w:rFonts w:ascii="Times New Roman" w:hAnsi="Times New Roman"/>
        </w:rPr>
        <w:t>Cth</w:t>
      </w:r>
      <w:proofErr w:type="spellEnd"/>
      <w:r w:rsidR="00B41951" w:rsidRPr="0020045E">
        <w:rPr>
          <w:rFonts w:ascii="Times New Roman" w:hAnsi="Times New Roman"/>
        </w:rPr>
        <w:t xml:space="preserve">) </w:t>
      </w:r>
      <w:r w:rsidRPr="0020045E">
        <w:rPr>
          <w:rFonts w:ascii="Times New Roman" w:hAnsi="Times New Roman"/>
        </w:rPr>
        <w:t>that deprived those orders of any continuing effect. Yet, having said to the primary judge that the step the Minister had taken had wholly deprived the orders of effect, the Commonwealth parties</w:t>
      </w:r>
      <w:r w:rsidRPr="0020045E">
        <w:rPr>
          <w:rStyle w:val="FootnoteReference"/>
          <w:rFonts w:ascii="Times New Roman" w:hAnsi="Times New Roman"/>
          <w:sz w:val="24"/>
        </w:rPr>
        <w:footnoteReference w:id="8"/>
      </w:r>
      <w:r w:rsidRPr="0020045E">
        <w:rPr>
          <w:rFonts w:ascii="Times New Roman" w:hAnsi="Times New Roman"/>
        </w:rPr>
        <w:t xml:space="preserve"> nevertheless sought to appeal to the Full Court of the Federal Court against those orders. And in that Court, the</w:t>
      </w:r>
      <w:r w:rsidR="00B57C32">
        <w:rPr>
          <w:rFonts w:ascii="Times New Roman" w:hAnsi="Times New Roman"/>
        </w:rPr>
        <w:t> </w:t>
      </w:r>
      <w:r w:rsidRPr="0020045E">
        <w:rPr>
          <w:rFonts w:ascii="Times New Roman" w:hAnsi="Times New Roman"/>
        </w:rPr>
        <w:t>Commonwealth parties accepted that from the time of the Minister's step, and</w:t>
      </w:r>
      <w:r w:rsidR="009A5F3F">
        <w:rPr>
          <w:rFonts w:ascii="Times New Roman" w:hAnsi="Times New Roman"/>
        </w:rPr>
        <w:t> </w:t>
      </w:r>
      <w:r w:rsidRPr="0020045E">
        <w:rPr>
          <w:rFonts w:ascii="Times New Roman" w:hAnsi="Times New Roman"/>
        </w:rPr>
        <w:t>irrespective of the outcome of the appeals, the orders made by the primary judge ceased to have any continuing effect.</w:t>
      </w:r>
    </w:p>
    <w:p w14:paraId="497DAD1F" w14:textId="77777777" w:rsidR="0077622A" w:rsidRPr="0020045E" w:rsidRDefault="0077622A" w:rsidP="0020045E">
      <w:pPr>
        <w:pStyle w:val="HeadingL1"/>
        <w:spacing w:after="260" w:line="280" w:lineRule="exact"/>
        <w:ind w:right="0"/>
        <w:jc w:val="both"/>
        <w:rPr>
          <w:rFonts w:ascii="Times New Roman" w:hAnsi="Times New Roman"/>
        </w:rPr>
      </w:pPr>
      <w:r w:rsidRPr="0020045E">
        <w:rPr>
          <w:rFonts w:ascii="Times New Roman" w:hAnsi="Times New Roman"/>
        </w:rPr>
        <w:t xml:space="preserve">The course of the proceedings </w:t>
      </w:r>
    </w:p>
    <w:p w14:paraId="7567485D" w14:textId="4FD8AA5D"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As will soon become apparent, the course of the proceedings took many twist</w:t>
      </w:r>
      <w:r w:rsidR="006C3A35" w:rsidRPr="0020045E">
        <w:rPr>
          <w:rFonts w:ascii="Times New Roman" w:hAnsi="Times New Roman"/>
        </w:rPr>
        <w:t>s</w:t>
      </w:r>
      <w:r w:rsidRPr="0020045E">
        <w:rPr>
          <w:rFonts w:ascii="Times New Roman" w:hAnsi="Times New Roman"/>
        </w:rPr>
        <w:t xml:space="preserve"> and turns because the Minister exercised a statutory </w:t>
      </w:r>
      <w:proofErr w:type="gramStart"/>
      <w:r w:rsidRPr="0020045E">
        <w:rPr>
          <w:rFonts w:ascii="Times New Roman" w:hAnsi="Times New Roman"/>
        </w:rPr>
        <w:t>power</w:t>
      </w:r>
      <w:proofErr w:type="gramEnd"/>
      <w:r w:rsidRPr="0020045E">
        <w:rPr>
          <w:rFonts w:ascii="Times New Roman" w:hAnsi="Times New Roman"/>
        </w:rPr>
        <w:t xml:space="preserve"> and the Commonwealth parties changed their position more than once.</w:t>
      </w:r>
    </w:p>
    <w:p w14:paraId="16502148" w14:textId="08F6E7F1"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Following the final determination of his visa application in February 2021,</w:t>
      </w:r>
      <w:r w:rsidRPr="0020045E">
        <w:rPr>
          <w:rFonts w:ascii="Times New Roman" w:hAnsi="Times New Roman"/>
          <w:bCs/>
        </w:rPr>
        <w:t xml:space="preserve"> </w:t>
      </w:r>
      <w:r w:rsidRPr="0020045E">
        <w:rPr>
          <w:rFonts w:ascii="Times New Roman" w:hAnsi="Times New Roman"/>
        </w:rPr>
        <w:t>the appellant commenced proceedings in the Federal Court of Australia against the Minister for Home Affairs and the Commonwealth of Australia seeking a</w:t>
      </w:r>
      <w:r w:rsidR="00C9077A" w:rsidRPr="0020045E">
        <w:rPr>
          <w:rFonts w:ascii="Times New Roman" w:hAnsi="Times New Roman"/>
        </w:rPr>
        <w:t>n order</w:t>
      </w:r>
      <w:r w:rsidR="002965C6" w:rsidRPr="0020045E">
        <w:rPr>
          <w:rFonts w:ascii="Times New Roman" w:hAnsi="Times New Roman"/>
        </w:rPr>
        <w:t xml:space="preserve"> </w:t>
      </w:r>
      <w:r w:rsidRPr="0020045E">
        <w:rPr>
          <w:rFonts w:ascii="Times New Roman" w:hAnsi="Times New Roman"/>
        </w:rPr>
        <w:t>of habeas corpus</w:t>
      </w:r>
      <w:r w:rsidR="00CD0455" w:rsidRPr="0020045E">
        <w:rPr>
          <w:rFonts w:ascii="Times New Roman" w:hAnsi="Times New Roman"/>
        </w:rPr>
        <w:t xml:space="preserve"> or a writ in the nature of habeas corpus</w:t>
      </w:r>
      <w:r w:rsidRPr="0020045E">
        <w:rPr>
          <w:rFonts w:ascii="Times New Roman" w:hAnsi="Times New Roman"/>
        </w:rPr>
        <w:t>, a declaration that the appellant was falsely imprisoned, and other relief ("the habeas proceeding"). In</w:t>
      </w:r>
      <w:r w:rsidR="009A5F3F">
        <w:rPr>
          <w:rFonts w:ascii="Times New Roman" w:hAnsi="Times New Roman"/>
        </w:rPr>
        <w:t> </w:t>
      </w:r>
      <w:r w:rsidRPr="0020045E">
        <w:rPr>
          <w:rFonts w:ascii="Times New Roman" w:hAnsi="Times New Roman"/>
        </w:rPr>
        <w:t xml:space="preserve">seeking habeas corpus, the appellant sought to rely on the first instance decision in </w:t>
      </w:r>
      <w:r w:rsidRPr="0020045E">
        <w:rPr>
          <w:rFonts w:ascii="Times New Roman" w:hAnsi="Times New Roman"/>
          <w:i/>
          <w:iCs/>
        </w:rPr>
        <w:t>AJL20 v The Commonwealth</w:t>
      </w:r>
      <w:r w:rsidRPr="0020045E">
        <w:rPr>
          <w:rStyle w:val="FootnoteReference"/>
          <w:rFonts w:ascii="Times New Roman" w:hAnsi="Times New Roman"/>
          <w:sz w:val="24"/>
        </w:rPr>
        <w:footnoteReference w:id="9"/>
      </w:r>
      <w:r w:rsidRPr="0020045E">
        <w:rPr>
          <w:rFonts w:ascii="Times New Roman" w:hAnsi="Times New Roman"/>
        </w:rPr>
        <w:t>.</w:t>
      </w:r>
    </w:p>
    <w:p w14:paraId="1B1986A0" w14:textId="345DB6CC"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After the hearing of the application for habeas corpus</w:t>
      </w:r>
      <w:r w:rsidRPr="0020045E" w:rsidDel="008F21F3">
        <w:rPr>
          <w:rFonts w:ascii="Times New Roman" w:hAnsi="Times New Roman"/>
        </w:rPr>
        <w:t xml:space="preserve"> </w:t>
      </w:r>
      <w:r w:rsidRPr="0020045E">
        <w:rPr>
          <w:rFonts w:ascii="Times New Roman" w:hAnsi="Times New Roman"/>
        </w:rPr>
        <w:t>before the primary judge (</w:t>
      </w:r>
      <w:proofErr w:type="spellStart"/>
      <w:r w:rsidRPr="0020045E">
        <w:rPr>
          <w:rFonts w:ascii="Times New Roman" w:hAnsi="Times New Roman"/>
        </w:rPr>
        <w:t>Rangiah</w:t>
      </w:r>
      <w:proofErr w:type="spellEnd"/>
      <w:r w:rsidRPr="0020045E">
        <w:rPr>
          <w:rFonts w:ascii="Times New Roman" w:hAnsi="Times New Roman"/>
        </w:rPr>
        <w:t xml:space="preserve"> J) and while judgment was reserved, this Court delivered its judgment in </w:t>
      </w:r>
      <w:r w:rsidRPr="0020045E">
        <w:rPr>
          <w:rFonts w:ascii="Times New Roman" w:hAnsi="Times New Roman"/>
          <w:i/>
          <w:iCs/>
        </w:rPr>
        <w:t>The Commonwealth v AJL20</w:t>
      </w:r>
      <w:r w:rsidRPr="0020045E">
        <w:rPr>
          <w:rStyle w:val="FootnoteReference"/>
          <w:rFonts w:ascii="Times New Roman" w:hAnsi="Times New Roman"/>
          <w:sz w:val="24"/>
        </w:rPr>
        <w:footnoteReference w:id="10"/>
      </w:r>
      <w:r w:rsidRPr="0020045E">
        <w:rPr>
          <w:rFonts w:ascii="Times New Roman" w:hAnsi="Times New Roman"/>
        </w:rPr>
        <w:t xml:space="preserve">, overturning the first instance decision. The appellant sought to amend his originating application to seek mandamus to require the Commonwealth to </w:t>
      </w:r>
      <w:proofErr w:type="gramStart"/>
      <w:r w:rsidRPr="0020045E">
        <w:rPr>
          <w:rFonts w:ascii="Times New Roman" w:hAnsi="Times New Roman"/>
        </w:rPr>
        <w:t>effect</w:t>
      </w:r>
      <w:proofErr w:type="gramEnd"/>
      <w:r w:rsidRPr="0020045E">
        <w:rPr>
          <w:rFonts w:ascii="Times New Roman" w:hAnsi="Times New Roman"/>
        </w:rPr>
        <w:t xml:space="preserve"> his removal to a regional processing country under s 198AD of the Act. The respondents opposed the amendment on the basis that the Federal Court lacked jurisdiction to hear and determine the application in its original jurisdiction. The appellant then commenced a proceeding in the </w:t>
      </w:r>
      <w:r w:rsidRPr="0020045E">
        <w:rPr>
          <w:rFonts w:ascii="Times New Roman" w:hAnsi="Times New Roman"/>
        </w:rPr>
        <w:lastRenderedPageBreak/>
        <w:t>Federal</w:t>
      </w:r>
      <w:r w:rsidR="009A5F3F">
        <w:rPr>
          <w:rFonts w:ascii="Times New Roman" w:hAnsi="Times New Roman"/>
        </w:rPr>
        <w:t> </w:t>
      </w:r>
      <w:r w:rsidRPr="0020045E">
        <w:rPr>
          <w:rFonts w:ascii="Times New Roman" w:hAnsi="Times New Roman"/>
        </w:rPr>
        <w:t xml:space="preserve">Circuit Court of Australia to seek that relief, which was transferred to the Federal Court ("the s 198AD mandamus proceeding"). The respondents in that matter were the Minister for Immigration, Citizenship, Migrant Services and Multicultural Affairs, and the Secretary of the Department of Home Affairs. </w:t>
      </w:r>
    </w:p>
    <w:p w14:paraId="3D4E55D5" w14:textId="3A569CDE"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At the subsequent hearing before the primary judge, the appellant sought mandamus and habeas corpus</w:t>
      </w:r>
      <w:r w:rsidRPr="0020045E">
        <w:rPr>
          <w:rFonts w:ascii="Times New Roman" w:hAnsi="Times New Roman"/>
          <w:bCs/>
        </w:rPr>
        <w:t xml:space="preserve">. He </w:t>
      </w:r>
      <w:r w:rsidRPr="0020045E">
        <w:rPr>
          <w:rFonts w:ascii="Times New Roman" w:hAnsi="Times New Roman"/>
        </w:rPr>
        <w:t>contended that he fell within s 198</w:t>
      </w:r>
      <w:proofErr w:type="gramStart"/>
      <w:r w:rsidRPr="0020045E">
        <w:rPr>
          <w:rFonts w:ascii="Times New Roman" w:hAnsi="Times New Roman"/>
        </w:rPr>
        <w:t>AD(</w:t>
      </w:r>
      <w:proofErr w:type="gramEnd"/>
      <w:r w:rsidRPr="0020045E">
        <w:rPr>
          <w:rFonts w:ascii="Times New Roman" w:hAnsi="Times New Roman"/>
        </w:rPr>
        <w:t>2) of the Act, which requires that an officer take an "unauthorised maritime arrival" to</w:t>
      </w:r>
      <w:r w:rsidR="005219F4">
        <w:rPr>
          <w:rFonts w:ascii="Times New Roman" w:hAnsi="Times New Roman"/>
        </w:rPr>
        <w:t> </w:t>
      </w:r>
      <w:r w:rsidRPr="0020045E">
        <w:rPr>
          <w:rFonts w:ascii="Times New Roman" w:hAnsi="Times New Roman"/>
        </w:rPr>
        <w:t>whom the provision applies, as soon as reasonably practicable, from Australia to a regional proce</w:t>
      </w:r>
      <w:r w:rsidR="001B69BD" w:rsidRPr="0020045E">
        <w:rPr>
          <w:rFonts w:ascii="Times New Roman" w:hAnsi="Times New Roman"/>
        </w:rPr>
        <w:t>ss</w:t>
      </w:r>
      <w:r w:rsidRPr="0020045E">
        <w:rPr>
          <w:rFonts w:ascii="Times New Roman" w:hAnsi="Times New Roman"/>
        </w:rPr>
        <w:t>ing country. The Commonwealth parties</w:t>
      </w:r>
      <w:r w:rsidRPr="0020045E">
        <w:rPr>
          <w:rStyle w:val="FootnoteReference"/>
          <w:rFonts w:ascii="Times New Roman" w:hAnsi="Times New Roman"/>
          <w:sz w:val="24"/>
        </w:rPr>
        <w:footnoteReference w:id="11"/>
      </w:r>
      <w:r w:rsidRPr="0020045E">
        <w:rPr>
          <w:rFonts w:ascii="Times New Roman" w:hAnsi="Times New Roman"/>
        </w:rPr>
        <w:t xml:space="preserve"> contended that s 198AD did not apply to the appellant, so the Secretary was under no duty to take him to a regional processing country. The Commonwealth parties did not contest that, if s 198AD did apply to the appellant, it was reasonably practicable to remove him to the regional processing country, Nauru. </w:t>
      </w:r>
    </w:p>
    <w:p w14:paraId="013F9E94" w14:textId="4D701640"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The primary judge</w:t>
      </w:r>
      <w:r w:rsidRPr="0020045E" w:rsidDel="00216859">
        <w:rPr>
          <w:rFonts w:ascii="Times New Roman" w:hAnsi="Times New Roman"/>
        </w:rPr>
        <w:t xml:space="preserve"> </w:t>
      </w:r>
      <w:r w:rsidRPr="0020045E">
        <w:rPr>
          <w:rFonts w:ascii="Times New Roman" w:hAnsi="Times New Roman"/>
        </w:rPr>
        <w:t xml:space="preserve">held that s 198AD did apply to the appellant, and </w:t>
      </w:r>
      <w:r w:rsidR="00C7756C" w:rsidRPr="0020045E">
        <w:rPr>
          <w:rFonts w:ascii="Times New Roman" w:hAnsi="Times New Roman"/>
        </w:rPr>
        <w:t xml:space="preserve">that </w:t>
      </w:r>
      <w:r w:rsidRPr="0020045E">
        <w:rPr>
          <w:rFonts w:ascii="Times New Roman" w:hAnsi="Times New Roman"/>
        </w:rPr>
        <w:t xml:space="preserve">it would have been reasonably practicable to have taken him to a regional processing country by no later than the end of September 2013. The primary judge held that the refusal or failure of the Secretary to act in accordance with s 198AD warranted the making of an order </w:t>
      </w:r>
      <w:proofErr w:type="gramStart"/>
      <w:r w:rsidRPr="0020045E">
        <w:rPr>
          <w:rFonts w:ascii="Times New Roman" w:hAnsi="Times New Roman"/>
        </w:rPr>
        <w:t>in the nature of mandamus</w:t>
      </w:r>
      <w:proofErr w:type="gramEnd"/>
      <w:r w:rsidRPr="0020045E">
        <w:rPr>
          <w:rFonts w:ascii="Times New Roman" w:hAnsi="Times New Roman"/>
        </w:rPr>
        <w:t xml:space="preserve">. </w:t>
      </w:r>
    </w:p>
    <w:p w14:paraId="00B35136" w14:textId="2D197669"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The primary judge made identical orders in both proceedings on 13 October 2021 ("the </w:t>
      </w:r>
      <w:r w:rsidRPr="0020045E">
        <w:rPr>
          <w:rFonts w:ascii="Times New Roman" w:hAnsi="Times New Roman"/>
          <w:bCs/>
        </w:rPr>
        <w:t>13 October 2021 orders</w:t>
      </w:r>
      <w:r w:rsidRPr="0020045E">
        <w:rPr>
          <w:rFonts w:ascii="Times New Roman" w:hAnsi="Times New Roman"/>
        </w:rPr>
        <w:t>")</w:t>
      </w:r>
      <w:r w:rsidRPr="0020045E">
        <w:rPr>
          <w:rFonts w:ascii="Times New Roman" w:hAnsi="Times New Roman"/>
          <w:bCs/>
        </w:rPr>
        <w:t xml:space="preserve">. </w:t>
      </w:r>
      <w:r w:rsidRPr="0020045E">
        <w:rPr>
          <w:rFonts w:ascii="Times New Roman" w:hAnsi="Times New Roman"/>
        </w:rPr>
        <w:t>The primary judge dismissed the claim for a writ of habeas corpus (</w:t>
      </w:r>
      <w:r w:rsidR="00DA19DC" w:rsidRPr="0020045E">
        <w:rPr>
          <w:rFonts w:ascii="Times New Roman" w:hAnsi="Times New Roman"/>
        </w:rPr>
        <w:t xml:space="preserve">order </w:t>
      </w:r>
      <w:r w:rsidRPr="0020045E">
        <w:rPr>
          <w:rFonts w:ascii="Times New Roman" w:hAnsi="Times New Roman"/>
        </w:rPr>
        <w:t>6). The primary judge made a declaration that s 198</w:t>
      </w:r>
      <w:proofErr w:type="gramStart"/>
      <w:r w:rsidRPr="0020045E">
        <w:rPr>
          <w:rFonts w:ascii="Times New Roman" w:hAnsi="Times New Roman"/>
        </w:rPr>
        <w:t>AD(</w:t>
      </w:r>
      <w:proofErr w:type="gramEnd"/>
      <w:r w:rsidRPr="0020045E">
        <w:rPr>
          <w:rFonts w:ascii="Times New Roman" w:hAnsi="Times New Roman"/>
        </w:rPr>
        <w:t>2) of the Act applied to the appellant (</w:t>
      </w:r>
      <w:r w:rsidR="00DA19DC" w:rsidRPr="0020045E">
        <w:rPr>
          <w:rFonts w:ascii="Times New Roman" w:hAnsi="Times New Roman"/>
        </w:rPr>
        <w:t>order </w:t>
      </w:r>
      <w:r w:rsidRPr="0020045E">
        <w:rPr>
          <w:rFonts w:ascii="Times New Roman" w:hAnsi="Times New Roman"/>
        </w:rPr>
        <w:t>1),</w:t>
      </w:r>
      <w:r w:rsidRPr="0020045E" w:rsidDel="004922A5">
        <w:rPr>
          <w:rFonts w:ascii="Times New Roman" w:hAnsi="Times New Roman"/>
        </w:rPr>
        <w:t xml:space="preserve"> and </w:t>
      </w:r>
      <w:r w:rsidRPr="0020045E">
        <w:rPr>
          <w:rFonts w:ascii="Times New Roman" w:hAnsi="Times New Roman"/>
        </w:rPr>
        <w:t>ordered the Secretary to perform, or cause to be performed, the duty under s 198AD(2) of the Act to take the appellant from Australia to a regional processing country as soon as reasonably practicable (</w:t>
      </w:r>
      <w:r w:rsidR="00DA19DC" w:rsidRPr="0020045E">
        <w:rPr>
          <w:rFonts w:ascii="Times New Roman" w:hAnsi="Times New Roman"/>
        </w:rPr>
        <w:t xml:space="preserve">order </w:t>
      </w:r>
      <w:r w:rsidRPr="0020045E">
        <w:rPr>
          <w:rFonts w:ascii="Times New Roman" w:hAnsi="Times New Roman"/>
        </w:rPr>
        <w:t xml:space="preserve">2) ("the s 198AD mandamus order"). </w:t>
      </w:r>
    </w:p>
    <w:p w14:paraId="7A3F35FE" w14:textId="76D72B33"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The primary judge also made orders, which he described as ancillary to mandamus, that related to the appellant's detention pending performance of the s</w:t>
      </w:r>
      <w:r w:rsidR="005219F4">
        <w:rPr>
          <w:rFonts w:ascii="Times New Roman" w:hAnsi="Times New Roman"/>
        </w:rPr>
        <w:t> </w:t>
      </w:r>
      <w:r w:rsidRPr="0020045E">
        <w:rPr>
          <w:rFonts w:ascii="Times New Roman" w:hAnsi="Times New Roman"/>
        </w:rPr>
        <w:t>198AD duty (</w:t>
      </w:r>
      <w:r w:rsidR="00DA19DC" w:rsidRPr="0020045E">
        <w:rPr>
          <w:rFonts w:ascii="Times New Roman" w:hAnsi="Times New Roman"/>
        </w:rPr>
        <w:t xml:space="preserve">orders </w:t>
      </w:r>
      <w:r w:rsidRPr="0020045E">
        <w:rPr>
          <w:rFonts w:ascii="Times New Roman" w:hAnsi="Times New Roman"/>
        </w:rPr>
        <w:t>3</w:t>
      </w:r>
      <w:r w:rsidR="00AC37C2" w:rsidRPr="0020045E">
        <w:rPr>
          <w:rFonts w:ascii="Times New Roman" w:hAnsi="Times New Roman"/>
        </w:rPr>
        <w:t xml:space="preserve"> to </w:t>
      </w:r>
      <w:r w:rsidRPr="0020045E">
        <w:rPr>
          <w:rFonts w:ascii="Times New Roman" w:hAnsi="Times New Roman"/>
        </w:rPr>
        <w:t xml:space="preserve">5). His Honour found that it was presently reasonably practicable to remove the appellant to </w:t>
      </w:r>
      <w:proofErr w:type="gramStart"/>
      <w:r w:rsidRPr="0020045E">
        <w:rPr>
          <w:rFonts w:ascii="Times New Roman" w:hAnsi="Times New Roman"/>
        </w:rPr>
        <w:t>Nauru</w:t>
      </w:r>
      <w:r w:rsidRPr="0020045E">
        <w:rPr>
          <w:rFonts w:ascii="Times New Roman" w:hAnsi="Times New Roman"/>
          <w:bCs/>
        </w:rPr>
        <w:t xml:space="preserve">, </w:t>
      </w:r>
      <w:r w:rsidR="00D67AB4" w:rsidRPr="0020045E">
        <w:rPr>
          <w:rFonts w:ascii="Times New Roman" w:hAnsi="Times New Roman"/>
          <w:bCs/>
        </w:rPr>
        <w:t>but</w:t>
      </w:r>
      <w:proofErr w:type="gramEnd"/>
      <w:r w:rsidRPr="0020045E">
        <w:rPr>
          <w:rFonts w:ascii="Times New Roman" w:hAnsi="Times New Roman"/>
          <w:bCs/>
        </w:rPr>
        <w:t xml:space="preserve"> observed that the </w:t>
      </w:r>
      <w:r w:rsidR="005A0A86" w:rsidRPr="0020045E">
        <w:rPr>
          <w:rFonts w:ascii="Times New Roman" w:hAnsi="Times New Roman"/>
          <w:bCs/>
        </w:rPr>
        <w:t xml:space="preserve">Commonwealth parties </w:t>
      </w:r>
      <w:r w:rsidRPr="0020045E">
        <w:rPr>
          <w:rFonts w:ascii="Times New Roman" w:hAnsi="Times New Roman"/>
          <w:bCs/>
        </w:rPr>
        <w:t>had failed to even begin the process of effecting the taking of the appellant to Nauru and "[</w:t>
      </w:r>
      <w:proofErr w:type="spellStart"/>
      <w:r w:rsidRPr="0020045E">
        <w:rPr>
          <w:rFonts w:ascii="Times New Roman" w:hAnsi="Times New Roman"/>
          <w:bCs/>
        </w:rPr>
        <w:t>i</w:t>
      </w:r>
      <w:proofErr w:type="spellEnd"/>
      <w:r w:rsidRPr="0020045E">
        <w:rPr>
          <w:rFonts w:ascii="Times New Roman" w:hAnsi="Times New Roman"/>
          <w:bCs/>
        </w:rPr>
        <w:t>]t could be weeks, or months, or longer"</w:t>
      </w:r>
      <w:r w:rsidRPr="0020045E">
        <w:rPr>
          <w:rFonts w:ascii="Times New Roman" w:hAnsi="Times New Roman"/>
        </w:rPr>
        <w:t xml:space="preserve">. The appellant sought an order that he be detained at the home of one of his supporters, as this would minimise the harm to his mental health suffered </w:t>
      </w:r>
      <w:proofErr w:type="gramStart"/>
      <w:r w:rsidRPr="0020045E">
        <w:rPr>
          <w:rFonts w:ascii="Times New Roman" w:hAnsi="Times New Roman"/>
        </w:rPr>
        <w:t>as a result of</w:t>
      </w:r>
      <w:proofErr w:type="gramEnd"/>
      <w:r w:rsidRPr="0020045E">
        <w:rPr>
          <w:rFonts w:ascii="Times New Roman" w:hAnsi="Times New Roman"/>
        </w:rPr>
        <w:t xml:space="preserve"> the failure to comply with s 198AD. The appellant relied on an affidavit of Ms Hermann, who deposed that she and her husband would be happy to have the appellant live with them free </w:t>
      </w:r>
      <w:r w:rsidRPr="0020045E">
        <w:rPr>
          <w:rFonts w:ascii="Times New Roman" w:hAnsi="Times New Roman"/>
        </w:rPr>
        <w:lastRenderedPageBreak/>
        <w:t xml:space="preserve">of charge at their home in Perth even if the arrangement were to require the presence of a guarding officer. </w:t>
      </w:r>
    </w:p>
    <w:p w14:paraId="66075182" w14:textId="48C5E4E6"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r>
      <w:r w:rsidR="00415548" w:rsidRPr="0020045E">
        <w:rPr>
          <w:rFonts w:ascii="Times New Roman" w:hAnsi="Times New Roman"/>
        </w:rPr>
        <w:t>T</w:t>
      </w:r>
      <w:r w:rsidRPr="0020045E">
        <w:rPr>
          <w:rFonts w:ascii="Times New Roman" w:hAnsi="Times New Roman"/>
        </w:rPr>
        <w:t>he primary judge ordered that</w:t>
      </w:r>
      <w:r w:rsidR="00415548" w:rsidRPr="0020045E">
        <w:rPr>
          <w:rFonts w:ascii="Times New Roman" w:hAnsi="Times New Roman"/>
        </w:rPr>
        <w:t>, pending his removal to a regional processing country,</w:t>
      </w:r>
      <w:r w:rsidRPr="0020045E">
        <w:rPr>
          <w:rFonts w:ascii="Times New Roman" w:hAnsi="Times New Roman"/>
        </w:rPr>
        <w:t xml:space="preserve"> the appellant was to be detained at the address of the </w:t>
      </w:r>
      <w:proofErr w:type="spellStart"/>
      <w:r w:rsidRPr="0020045E">
        <w:rPr>
          <w:rFonts w:ascii="Times New Roman" w:hAnsi="Times New Roman"/>
        </w:rPr>
        <w:t>Hermanns</w:t>
      </w:r>
      <w:proofErr w:type="spellEnd"/>
      <w:r w:rsidRPr="0020045E">
        <w:rPr>
          <w:rFonts w:ascii="Times New Roman" w:hAnsi="Times New Roman"/>
        </w:rPr>
        <w:t xml:space="preserve"> by being in the company of, and restrained by, one or more officers as defined under the Act (</w:t>
      </w:r>
      <w:r w:rsidR="00DA19DC" w:rsidRPr="0020045E">
        <w:rPr>
          <w:rFonts w:ascii="Times New Roman" w:hAnsi="Times New Roman"/>
        </w:rPr>
        <w:t xml:space="preserve">order </w:t>
      </w:r>
      <w:r w:rsidRPr="0020045E">
        <w:rPr>
          <w:rFonts w:ascii="Times New Roman" w:hAnsi="Times New Roman"/>
        </w:rPr>
        <w:t xml:space="preserve">3) ("the </w:t>
      </w:r>
      <w:r w:rsidRPr="0020045E">
        <w:rPr>
          <w:rFonts w:ascii="Times New Roman" w:hAnsi="Times New Roman"/>
          <w:bCs/>
        </w:rPr>
        <w:t>home detention order")</w:t>
      </w:r>
      <w:r w:rsidRPr="0020045E">
        <w:rPr>
          <w:rFonts w:ascii="Times New Roman" w:hAnsi="Times New Roman"/>
        </w:rPr>
        <w:t>. That</w:t>
      </w:r>
      <w:r w:rsidRPr="0020045E" w:rsidDel="00617F00">
        <w:rPr>
          <w:rFonts w:ascii="Times New Roman" w:hAnsi="Times New Roman"/>
        </w:rPr>
        <w:t xml:space="preserve"> order </w:t>
      </w:r>
      <w:r w:rsidRPr="0020045E">
        <w:rPr>
          <w:rFonts w:ascii="Times New Roman" w:hAnsi="Times New Roman"/>
        </w:rPr>
        <w:t>was expressed not to come into effect until 1:00pm on 27 October 2021, some two weeks later. The</w:t>
      </w:r>
      <w:r w:rsidR="002914D5">
        <w:rPr>
          <w:rFonts w:ascii="Times New Roman" w:hAnsi="Times New Roman"/>
        </w:rPr>
        <w:t> </w:t>
      </w:r>
      <w:r w:rsidRPr="0020045E">
        <w:rPr>
          <w:rFonts w:ascii="Times New Roman" w:hAnsi="Times New Roman"/>
        </w:rPr>
        <w:t xml:space="preserve">primary judge also made orders for mediation between the parties and the </w:t>
      </w:r>
      <w:proofErr w:type="spellStart"/>
      <w:r w:rsidRPr="0020045E">
        <w:rPr>
          <w:rFonts w:ascii="Times New Roman" w:hAnsi="Times New Roman"/>
        </w:rPr>
        <w:t>Hermanns</w:t>
      </w:r>
      <w:proofErr w:type="spellEnd"/>
      <w:r w:rsidRPr="0020045E">
        <w:rPr>
          <w:rFonts w:ascii="Times New Roman" w:hAnsi="Times New Roman"/>
        </w:rPr>
        <w:t xml:space="preserve"> to reach agreement upon arrangements for the detention (</w:t>
      </w:r>
      <w:r w:rsidR="00DA19DC" w:rsidRPr="0020045E">
        <w:rPr>
          <w:rFonts w:ascii="Times New Roman" w:hAnsi="Times New Roman"/>
        </w:rPr>
        <w:t xml:space="preserve">order </w:t>
      </w:r>
      <w:r w:rsidRPr="0020045E">
        <w:rPr>
          <w:rFonts w:ascii="Times New Roman" w:hAnsi="Times New Roman"/>
        </w:rPr>
        <w:t>4) and</w:t>
      </w:r>
      <w:r w:rsidR="002914D5">
        <w:rPr>
          <w:rFonts w:ascii="Times New Roman" w:hAnsi="Times New Roman"/>
        </w:rPr>
        <w:t> </w:t>
      </w:r>
      <w:r w:rsidRPr="0020045E">
        <w:rPr>
          <w:rFonts w:ascii="Times New Roman" w:hAnsi="Times New Roman"/>
        </w:rPr>
        <w:t xml:space="preserve">to specify that the parties and the </w:t>
      </w:r>
      <w:proofErr w:type="spellStart"/>
      <w:r w:rsidRPr="0020045E">
        <w:rPr>
          <w:rFonts w:ascii="Times New Roman" w:hAnsi="Times New Roman"/>
        </w:rPr>
        <w:t>Hermanns</w:t>
      </w:r>
      <w:proofErr w:type="spellEnd"/>
      <w:r w:rsidRPr="0020045E">
        <w:rPr>
          <w:rFonts w:ascii="Times New Roman" w:hAnsi="Times New Roman"/>
        </w:rPr>
        <w:t xml:space="preserve"> each had liberty to apply in respect of the home detention order (</w:t>
      </w:r>
      <w:r w:rsidR="00DA19DC" w:rsidRPr="0020045E">
        <w:rPr>
          <w:rFonts w:ascii="Times New Roman" w:hAnsi="Times New Roman"/>
        </w:rPr>
        <w:t>order </w:t>
      </w:r>
      <w:r w:rsidRPr="0020045E">
        <w:rPr>
          <w:rFonts w:ascii="Times New Roman" w:hAnsi="Times New Roman"/>
        </w:rPr>
        <w:t>5). Finally, the primary judge also made orders regarding costs, including that, unless submissions were filed seeking different orders, the Commonwealth parties pay the appellant's costs in the s 198AD mandamus proceeding and the costs in the habeas proceeding be reserved (</w:t>
      </w:r>
      <w:r w:rsidR="00DA19DC" w:rsidRPr="0020045E">
        <w:rPr>
          <w:rFonts w:ascii="Times New Roman" w:hAnsi="Times New Roman"/>
        </w:rPr>
        <w:t>order</w:t>
      </w:r>
      <w:r w:rsidR="002914D5">
        <w:rPr>
          <w:rFonts w:ascii="Times New Roman" w:hAnsi="Times New Roman"/>
        </w:rPr>
        <w:t> </w:t>
      </w:r>
      <w:r w:rsidRPr="0020045E">
        <w:rPr>
          <w:rFonts w:ascii="Times New Roman" w:hAnsi="Times New Roman"/>
        </w:rPr>
        <w:t>8).</w:t>
      </w:r>
    </w:p>
    <w:p w14:paraId="41CEE00A" w14:textId="5BDDD027"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On the day the home detention order was to come into effect, two significant events occurred. First, early that morning Nauru advised Australia it would not accept the appellant. Section 198AG of the Act </w:t>
      </w:r>
      <w:proofErr w:type="gramStart"/>
      <w:r w:rsidRPr="0020045E">
        <w:rPr>
          <w:rFonts w:ascii="Times New Roman" w:hAnsi="Times New Roman"/>
        </w:rPr>
        <w:t>provided that</w:t>
      </w:r>
      <w:proofErr w:type="gramEnd"/>
      <w:r w:rsidRPr="0020045E">
        <w:rPr>
          <w:rFonts w:ascii="Times New Roman" w:hAnsi="Times New Roman"/>
        </w:rPr>
        <w:t xml:space="preserve"> s 198AD did not apply to an unauthorised maritime arrival if the regional processing country, or</w:t>
      </w:r>
      <w:r w:rsidR="002914D5">
        <w:rPr>
          <w:rFonts w:ascii="Times New Roman" w:hAnsi="Times New Roman"/>
        </w:rPr>
        <w:t> </w:t>
      </w:r>
      <w:r w:rsidRPr="0020045E">
        <w:rPr>
          <w:rFonts w:ascii="Times New Roman" w:hAnsi="Times New Roman"/>
        </w:rPr>
        <w:t xml:space="preserve">each regional processing country (if there was more than one such country), advised an officer that the country would not accept the unauthorised maritime arrival. There was no evidence before this Court as to </w:t>
      </w:r>
      <w:proofErr w:type="gramStart"/>
      <w:r w:rsidRPr="0020045E">
        <w:rPr>
          <w:rFonts w:ascii="Times New Roman" w:hAnsi="Times New Roman"/>
        </w:rPr>
        <w:t>whether or not</w:t>
      </w:r>
      <w:proofErr w:type="gramEnd"/>
      <w:r w:rsidRPr="0020045E">
        <w:rPr>
          <w:rFonts w:ascii="Times New Roman" w:hAnsi="Times New Roman"/>
        </w:rPr>
        <w:t>, at that time, Nauru was the only regional processing country designated under the Act. Second, the Minister for Home Affairs exercised the discretionary power in s 198AE of the Act to determine that the duty to remove to a regional processing country under s 198AD did not apply to the appellant</w:t>
      </w:r>
      <w:r w:rsidRPr="0020045E" w:rsidDel="00FB6BB1">
        <w:rPr>
          <w:rFonts w:ascii="Times New Roman" w:hAnsi="Times New Roman"/>
        </w:rPr>
        <w:t xml:space="preserve"> </w:t>
      </w:r>
      <w:r w:rsidRPr="0020045E">
        <w:rPr>
          <w:rFonts w:ascii="Times New Roman" w:hAnsi="Times New Roman"/>
        </w:rPr>
        <w:t xml:space="preserve">("the s 198AE Determination"). </w:t>
      </w:r>
    </w:p>
    <w:p w14:paraId="3875A41E" w14:textId="4D23FF91"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That afternoon and evening, both the Commonwealth parties and the appellant filed interlocutory applications directed to the s 198AD mandamus order and the home detention order. The Commonwealth parties applied to the Federal</w:t>
      </w:r>
      <w:r w:rsidR="002914D5">
        <w:rPr>
          <w:rFonts w:ascii="Times New Roman" w:hAnsi="Times New Roman"/>
        </w:rPr>
        <w:t> </w:t>
      </w:r>
      <w:r w:rsidRPr="0020045E">
        <w:rPr>
          <w:rFonts w:ascii="Times New Roman" w:hAnsi="Times New Roman"/>
        </w:rPr>
        <w:t xml:space="preserve">Court to vacate both orders. The appellant applied to the Federal Court to require compliance with the home detention order or to vary it to make it dependent on any "terminating event" under s 196 of the Act, rather than the s 198AD mandamus order. </w:t>
      </w:r>
    </w:p>
    <w:p w14:paraId="1425ED7D" w14:textId="33F6DA37"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At the hearing of the interlocutory applications on 29 October 2021, the</w:t>
      </w:r>
      <w:r w:rsidR="002914D5">
        <w:rPr>
          <w:rFonts w:ascii="Times New Roman" w:hAnsi="Times New Roman"/>
        </w:rPr>
        <w:t> </w:t>
      </w:r>
      <w:r w:rsidRPr="0020045E">
        <w:rPr>
          <w:rFonts w:ascii="Times New Roman" w:hAnsi="Times New Roman"/>
        </w:rPr>
        <w:t xml:space="preserve">Commonwealth parties submitted that </w:t>
      </w:r>
      <w:r w:rsidRPr="0020045E">
        <w:rPr>
          <w:rFonts w:ascii="Times New Roman" w:hAnsi="Times New Roman"/>
          <w:i/>
          <w:iCs/>
        </w:rPr>
        <w:t>both</w:t>
      </w:r>
      <w:r w:rsidRPr="0020045E">
        <w:rPr>
          <w:rFonts w:ascii="Times New Roman" w:hAnsi="Times New Roman"/>
        </w:rPr>
        <w:t xml:space="preserve"> interlocutory applications should be resolved </w:t>
      </w:r>
      <w:r w:rsidRPr="0020045E">
        <w:rPr>
          <w:rFonts w:ascii="Times New Roman" w:hAnsi="Times New Roman"/>
          <w:i/>
          <w:iCs/>
        </w:rPr>
        <w:t>without</w:t>
      </w:r>
      <w:r w:rsidRPr="0020045E">
        <w:rPr>
          <w:rFonts w:ascii="Times New Roman" w:hAnsi="Times New Roman"/>
        </w:rPr>
        <w:t xml:space="preserve"> making an order of the type sought in </w:t>
      </w:r>
      <w:proofErr w:type="gramStart"/>
      <w:r w:rsidRPr="0020045E">
        <w:rPr>
          <w:rFonts w:ascii="Times New Roman" w:hAnsi="Times New Roman"/>
        </w:rPr>
        <w:t>either interlocutory</w:t>
      </w:r>
      <w:proofErr w:type="gramEnd"/>
      <w:r w:rsidRPr="0020045E">
        <w:rPr>
          <w:rFonts w:ascii="Times New Roman" w:hAnsi="Times New Roman"/>
        </w:rPr>
        <w:t xml:space="preserve"> application. Their submissions were, first, that the s 198AD mandamus order could remain in its current form albeit that the duty to remove under s 198AD of the Act no longer existed and was incapable of performance. Second, on its proper construction, the performance of the obligation imposed by the home detention </w:t>
      </w:r>
      <w:r w:rsidRPr="0020045E">
        <w:rPr>
          <w:rFonts w:ascii="Times New Roman" w:hAnsi="Times New Roman"/>
        </w:rPr>
        <w:lastRenderedPageBreak/>
        <w:t xml:space="preserve">order was premised upon a continuing failure to perform the duty under s 198AD of the Act and "[a]s that duty no longer exists, </w:t>
      </w:r>
      <w:r w:rsidR="001959F4" w:rsidRPr="0020045E">
        <w:rPr>
          <w:rFonts w:ascii="Times New Roman" w:hAnsi="Times New Roman"/>
        </w:rPr>
        <w:t>[</w:t>
      </w:r>
      <w:r w:rsidRPr="0020045E">
        <w:rPr>
          <w:rFonts w:ascii="Times New Roman" w:hAnsi="Times New Roman"/>
        </w:rPr>
        <w:t>the home detention order</w:t>
      </w:r>
      <w:r w:rsidR="001959F4" w:rsidRPr="0020045E">
        <w:rPr>
          <w:rFonts w:ascii="Times New Roman" w:hAnsi="Times New Roman"/>
        </w:rPr>
        <w:t>]</w:t>
      </w:r>
      <w:r w:rsidRPr="0020045E">
        <w:rPr>
          <w:rFonts w:ascii="Times New Roman" w:hAnsi="Times New Roman"/>
        </w:rPr>
        <w:t xml:space="preserve"> no longer has any practical effect and the Secretary is not obliged to cause the [appellant] to</w:t>
      </w:r>
      <w:r w:rsidR="00163F82">
        <w:rPr>
          <w:rFonts w:ascii="Times New Roman" w:hAnsi="Times New Roman"/>
        </w:rPr>
        <w:t> </w:t>
      </w:r>
      <w:r w:rsidRPr="0020045E">
        <w:rPr>
          <w:rFonts w:ascii="Times New Roman" w:hAnsi="Times New Roman"/>
        </w:rPr>
        <w:t xml:space="preserve">be detained at the residential address". </w:t>
      </w:r>
    </w:p>
    <w:p w14:paraId="0E149F0B" w14:textId="361BB6E5"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The Commonwealth parties submitted that if they were incorrect in their construction of the home detention order, that order should be vacated. The</w:t>
      </w:r>
      <w:r w:rsidR="002914D5">
        <w:rPr>
          <w:rFonts w:ascii="Times New Roman" w:hAnsi="Times New Roman"/>
        </w:rPr>
        <w:t> </w:t>
      </w:r>
      <w:r w:rsidRPr="0020045E">
        <w:rPr>
          <w:rFonts w:ascii="Times New Roman" w:hAnsi="Times New Roman"/>
        </w:rPr>
        <w:t xml:space="preserve">primary judge dismissed the parties' applications made on 27 October 2021. The primary judge refused to vacate or vary the orders. </w:t>
      </w:r>
    </w:p>
    <w:p w14:paraId="4826192D" w14:textId="786334F7" w:rsidR="0077622A" w:rsidRPr="0020045E" w:rsidRDefault="0077622A" w:rsidP="0020045E">
      <w:pPr>
        <w:pStyle w:val="HeadingL2"/>
        <w:spacing w:after="260" w:line="280" w:lineRule="exact"/>
        <w:ind w:right="0"/>
        <w:jc w:val="both"/>
        <w:rPr>
          <w:rFonts w:ascii="Times New Roman" w:hAnsi="Times New Roman"/>
        </w:rPr>
      </w:pPr>
      <w:r w:rsidRPr="0020045E">
        <w:rPr>
          <w:rFonts w:ascii="Times New Roman" w:hAnsi="Times New Roman"/>
        </w:rPr>
        <w:t>Application</w:t>
      </w:r>
      <w:r w:rsidR="00FC5D03" w:rsidRPr="0020045E">
        <w:rPr>
          <w:rFonts w:ascii="Times New Roman" w:hAnsi="Times New Roman"/>
        </w:rPr>
        <w:t>s</w:t>
      </w:r>
      <w:r w:rsidRPr="0020045E">
        <w:rPr>
          <w:rFonts w:ascii="Times New Roman" w:hAnsi="Times New Roman"/>
        </w:rPr>
        <w:t xml:space="preserve"> for leave to appeal and </w:t>
      </w:r>
      <w:proofErr w:type="gramStart"/>
      <w:r w:rsidRPr="0020045E">
        <w:rPr>
          <w:rFonts w:ascii="Times New Roman" w:hAnsi="Times New Roman"/>
        </w:rPr>
        <w:t>appeal</w:t>
      </w:r>
      <w:r w:rsidR="00FC5D03" w:rsidRPr="0020045E">
        <w:rPr>
          <w:rFonts w:ascii="Times New Roman" w:hAnsi="Times New Roman"/>
        </w:rPr>
        <w:t>s</w:t>
      </w:r>
      <w:proofErr w:type="gramEnd"/>
    </w:p>
    <w:p w14:paraId="78A0A551" w14:textId="3650CDFA"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About twelve days later, on 10 November 2021, the Commonwealth parties filed notices of appeal</w:t>
      </w:r>
      <w:r w:rsidR="00FD3E29" w:rsidRPr="0020045E">
        <w:rPr>
          <w:rFonts w:ascii="Times New Roman" w:hAnsi="Times New Roman"/>
        </w:rPr>
        <w:t xml:space="preserve"> to the Full Court of the Federal Court</w:t>
      </w:r>
      <w:r w:rsidRPr="0020045E">
        <w:rPr>
          <w:rFonts w:ascii="Times New Roman" w:hAnsi="Times New Roman"/>
        </w:rPr>
        <w:t xml:space="preserve"> from orders 1 to 5 and 8 of the 13 October 2021 orders</w:t>
      </w:r>
      <w:r w:rsidRPr="0020045E">
        <w:rPr>
          <w:rStyle w:val="FootnoteReference"/>
          <w:rFonts w:ascii="Times New Roman" w:hAnsi="Times New Roman"/>
          <w:bCs/>
          <w:sz w:val="24"/>
        </w:rPr>
        <w:footnoteReference w:id="12"/>
      </w:r>
      <w:r w:rsidRPr="0020045E">
        <w:rPr>
          <w:rFonts w:ascii="Times New Roman" w:hAnsi="Times New Roman"/>
          <w:bCs/>
        </w:rPr>
        <w:t xml:space="preserve">. </w:t>
      </w:r>
      <w:r w:rsidRPr="0020045E">
        <w:rPr>
          <w:rFonts w:ascii="Times New Roman" w:hAnsi="Times New Roman"/>
        </w:rPr>
        <w:t>There were two grounds of appeal. First,</w:t>
      </w:r>
      <w:r w:rsidRPr="0020045E" w:rsidDel="00BE5B51">
        <w:rPr>
          <w:rFonts w:ascii="Times New Roman" w:hAnsi="Times New Roman"/>
        </w:rPr>
        <w:t xml:space="preserve"> </w:t>
      </w:r>
      <w:r w:rsidRPr="0020045E">
        <w:rPr>
          <w:rFonts w:ascii="Times New Roman" w:hAnsi="Times New Roman"/>
        </w:rPr>
        <w:t>that</w:t>
      </w:r>
      <w:r w:rsidR="002914D5">
        <w:rPr>
          <w:rFonts w:ascii="Times New Roman" w:hAnsi="Times New Roman"/>
        </w:rPr>
        <w:t> </w:t>
      </w:r>
      <w:r w:rsidRPr="0020045E">
        <w:rPr>
          <w:rFonts w:ascii="Times New Roman" w:hAnsi="Times New Roman"/>
        </w:rPr>
        <w:t>the primary judge erred in holding that s</w:t>
      </w:r>
      <w:r w:rsidRPr="0020045E" w:rsidDel="00BE5B51">
        <w:rPr>
          <w:rFonts w:ascii="Times New Roman" w:hAnsi="Times New Roman"/>
        </w:rPr>
        <w:t> </w:t>
      </w:r>
      <w:r w:rsidRPr="0020045E">
        <w:rPr>
          <w:rFonts w:ascii="Times New Roman" w:hAnsi="Times New Roman"/>
        </w:rPr>
        <w:t>198</w:t>
      </w:r>
      <w:proofErr w:type="gramStart"/>
      <w:r w:rsidRPr="0020045E">
        <w:rPr>
          <w:rFonts w:ascii="Times New Roman" w:hAnsi="Times New Roman"/>
        </w:rPr>
        <w:t>AD(</w:t>
      </w:r>
      <w:proofErr w:type="gramEnd"/>
      <w:r w:rsidRPr="0020045E">
        <w:rPr>
          <w:rFonts w:ascii="Times New Roman" w:hAnsi="Times New Roman"/>
        </w:rPr>
        <w:t xml:space="preserve">2) of the Act applied to the appellant in circumstances where the appellant is a "fast track applicant" within the meaning of s 5 of the Act. Second, that the primary judge erred in holding that s 23 of the </w:t>
      </w:r>
      <w:r w:rsidRPr="0020045E">
        <w:rPr>
          <w:rFonts w:ascii="Times New Roman" w:hAnsi="Times New Roman"/>
          <w:i/>
          <w:iCs/>
        </w:rPr>
        <w:t>Federal Court of Australia Act</w:t>
      </w:r>
      <w:r w:rsidRPr="0020045E">
        <w:rPr>
          <w:rFonts w:ascii="Times New Roman" w:hAnsi="Times New Roman"/>
        </w:rPr>
        <w:t xml:space="preserve"> </w:t>
      </w:r>
      <w:r w:rsidRPr="0020045E">
        <w:rPr>
          <w:rFonts w:ascii="Times New Roman" w:hAnsi="Times New Roman"/>
          <w:i/>
          <w:iCs/>
        </w:rPr>
        <w:t xml:space="preserve">1976 </w:t>
      </w:r>
      <w:r w:rsidRPr="0020045E">
        <w:rPr>
          <w:rFonts w:ascii="Times New Roman" w:hAnsi="Times New Roman"/>
        </w:rPr>
        <w:t>(</w:t>
      </w:r>
      <w:proofErr w:type="spellStart"/>
      <w:r w:rsidRPr="0020045E">
        <w:rPr>
          <w:rFonts w:ascii="Times New Roman" w:hAnsi="Times New Roman"/>
        </w:rPr>
        <w:t>Cth</w:t>
      </w:r>
      <w:proofErr w:type="spellEnd"/>
      <w:r w:rsidRPr="0020045E">
        <w:rPr>
          <w:rFonts w:ascii="Times New Roman" w:hAnsi="Times New Roman"/>
        </w:rPr>
        <w:t xml:space="preserve">) conferred power on the primary judge to make orders, ancillary to mandamus, that "officers" detain the appellant by causing him to be in the company of, and restrained by, officers at a particular place (even if that place was not a detention centre, prison, watch house or other place of detention approved by the Minister). </w:t>
      </w:r>
    </w:p>
    <w:p w14:paraId="45F309B0" w14:textId="683D2607"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The appellant's solicitors put the Commonwealth parties on notice by letter dated 17 December 2021 that the appellant would seek orders permanently staying or dismissing the applications and appeal</w:t>
      </w:r>
      <w:r w:rsidR="0083730C" w:rsidRPr="0020045E">
        <w:rPr>
          <w:rFonts w:ascii="Times New Roman" w:hAnsi="Times New Roman"/>
        </w:rPr>
        <w:t>s</w:t>
      </w:r>
      <w:r w:rsidRPr="0020045E">
        <w:rPr>
          <w:rFonts w:ascii="Times New Roman" w:hAnsi="Times New Roman"/>
        </w:rPr>
        <w:t xml:space="preserve"> because</w:t>
      </w:r>
      <w:r w:rsidRPr="0020045E" w:rsidDel="004224A2">
        <w:rPr>
          <w:rFonts w:ascii="Times New Roman" w:hAnsi="Times New Roman"/>
        </w:rPr>
        <w:t xml:space="preserve"> </w:t>
      </w:r>
      <w:r w:rsidRPr="0020045E">
        <w:rPr>
          <w:rFonts w:ascii="Times New Roman" w:hAnsi="Times New Roman"/>
        </w:rPr>
        <w:t>the primary judge's "operative</w:t>
      </w:r>
      <w:r w:rsidR="00163F82">
        <w:rPr>
          <w:rFonts w:ascii="Times New Roman" w:hAnsi="Times New Roman"/>
        </w:rPr>
        <w:t> </w:t>
      </w:r>
      <w:r w:rsidRPr="0020045E">
        <w:rPr>
          <w:rFonts w:ascii="Times New Roman" w:hAnsi="Times New Roman"/>
        </w:rPr>
        <w:t xml:space="preserve">orders were rendered moot by the Minister's determination made under s 198AE of </w:t>
      </w:r>
      <w:r w:rsidR="00350E92" w:rsidRPr="0020045E">
        <w:rPr>
          <w:rFonts w:ascii="Times New Roman" w:hAnsi="Times New Roman"/>
        </w:rPr>
        <w:t>[</w:t>
      </w:r>
      <w:r w:rsidRPr="0020045E">
        <w:rPr>
          <w:rFonts w:ascii="Times New Roman" w:hAnsi="Times New Roman"/>
        </w:rPr>
        <w:t>the Act</w:t>
      </w:r>
      <w:r w:rsidR="00350E92" w:rsidRPr="0020045E">
        <w:rPr>
          <w:rFonts w:ascii="Times New Roman" w:hAnsi="Times New Roman"/>
        </w:rPr>
        <w:t>]</w:t>
      </w:r>
      <w:r w:rsidRPr="0020045E">
        <w:rPr>
          <w:rFonts w:ascii="Times New Roman" w:hAnsi="Times New Roman"/>
        </w:rPr>
        <w:t>" and the other orders the subject of the Commonwealth parties' notices of appeal were spent. The appellant's solicitors stated that the Commonwealth parties were "seeking to have the Full Court engage in an academic exercise and to issue what would be, in effect, an advisory opinion". The</w:t>
      </w:r>
      <w:r w:rsidR="00163F82">
        <w:rPr>
          <w:rFonts w:ascii="Times New Roman" w:hAnsi="Times New Roman"/>
        </w:rPr>
        <w:t> </w:t>
      </w:r>
      <w:r w:rsidRPr="0020045E">
        <w:rPr>
          <w:rFonts w:ascii="Times New Roman" w:hAnsi="Times New Roman"/>
        </w:rPr>
        <w:t xml:space="preserve">appellant invited the Commonwealth parties to withdraw their appeals. </w:t>
      </w:r>
    </w:p>
    <w:p w14:paraId="17C7891F" w14:textId="77777777" w:rsidR="0077622A" w:rsidRPr="0020045E" w:rsidRDefault="0077622A" w:rsidP="0020045E">
      <w:pPr>
        <w:pStyle w:val="HeadingL2"/>
        <w:spacing w:after="260" w:line="280" w:lineRule="exact"/>
        <w:ind w:right="0"/>
        <w:jc w:val="both"/>
        <w:rPr>
          <w:rFonts w:ascii="Times New Roman" w:hAnsi="Times New Roman"/>
        </w:rPr>
      </w:pPr>
      <w:r w:rsidRPr="0020045E">
        <w:rPr>
          <w:rFonts w:ascii="Times New Roman" w:hAnsi="Times New Roman"/>
        </w:rPr>
        <w:lastRenderedPageBreak/>
        <w:t xml:space="preserve">Commencement and adjournment of s 198 mandamus </w:t>
      </w:r>
      <w:proofErr w:type="gramStart"/>
      <w:r w:rsidRPr="0020045E">
        <w:rPr>
          <w:rFonts w:ascii="Times New Roman" w:hAnsi="Times New Roman"/>
        </w:rPr>
        <w:t>proceeding</w:t>
      </w:r>
      <w:proofErr w:type="gramEnd"/>
    </w:p>
    <w:p w14:paraId="5CE4181E" w14:textId="475BA1B6"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On 15 November 2021, the appellant </w:t>
      </w:r>
      <w:r w:rsidR="008C76EC" w:rsidRPr="0020045E">
        <w:rPr>
          <w:rFonts w:ascii="Times New Roman" w:hAnsi="Times New Roman"/>
        </w:rPr>
        <w:t xml:space="preserve">lodged </w:t>
      </w:r>
      <w:r w:rsidRPr="0020045E">
        <w:rPr>
          <w:rFonts w:ascii="Times New Roman" w:hAnsi="Times New Roman"/>
        </w:rPr>
        <w:t xml:space="preserve">a new proceeding in the Federal Circuit </w:t>
      </w:r>
      <w:r w:rsidR="00FE73C3" w:rsidRPr="0020045E">
        <w:rPr>
          <w:rFonts w:ascii="Times New Roman" w:hAnsi="Times New Roman"/>
        </w:rPr>
        <w:t xml:space="preserve">and Family </w:t>
      </w:r>
      <w:r w:rsidRPr="0020045E">
        <w:rPr>
          <w:rFonts w:ascii="Times New Roman" w:hAnsi="Times New Roman"/>
        </w:rPr>
        <w:t>Court</w:t>
      </w:r>
      <w:r w:rsidR="00FE73C3" w:rsidRPr="0020045E">
        <w:rPr>
          <w:rFonts w:ascii="Times New Roman" w:hAnsi="Times New Roman"/>
        </w:rPr>
        <w:t xml:space="preserve"> of Australia</w:t>
      </w:r>
      <w:r w:rsidRPr="0020045E">
        <w:rPr>
          <w:rFonts w:ascii="Times New Roman" w:hAnsi="Times New Roman"/>
        </w:rPr>
        <w:t xml:space="preserve"> against the Secretary of the Department of Home Affairs seeking</w:t>
      </w:r>
      <w:r w:rsidRPr="0020045E" w:rsidDel="00230890">
        <w:rPr>
          <w:rFonts w:ascii="Times New Roman" w:hAnsi="Times New Roman"/>
        </w:rPr>
        <w:t xml:space="preserve"> </w:t>
      </w:r>
      <w:r w:rsidRPr="0020045E">
        <w:rPr>
          <w:rFonts w:ascii="Times New Roman" w:hAnsi="Times New Roman"/>
        </w:rPr>
        <w:t>both interlocutory and final orders</w:t>
      </w:r>
      <w:r w:rsidRPr="0020045E">
        <w:rPr>
          <w:rFonts w:ascii="Times New Roman" w:hAnsi="Times New Roman"/>
          <w:b/>
          <w:bCs/>
        </w:rPr>
        <w:t xml:space="preserve"> </w:t>
      </w:r>
      <w:r w:rsidRPr="0020045E">
        <w:rPr>
          <w:rFonts w:ascii="Times New Roman" w:hAnsi="Times New Roman"/>
        </w:rPr>
        <w:t>("the</w:t>
      </w:r>
      <w:r w:rsidR="00024257">
        <w:rPr>
          <w:rFonts w:ascii="Times New Roman" w:hAnsi="Times New Roman"/>
        </w:rPr>
        <w:t> </w:t>
      </w:r>
      <w:r w:rsidRPr="0020045E">
        <w:rPr>
          <w:rFonts w:ascii="Times New Roman" w:hAnsi="Times New Roman"/>
        </w:rPr>
        <w:t>s 198 mandamus proceeding"). The grounds for the application were that the Secretary had failed to pursue or carry into effect the removal of the app</w:t>
      </w:r>
      <w:r w:rsidR="00BC4EDF" w:rsidRPr="0020045E">
        <w:rPr>
          <w:rFonts w:ascii="Times New Roman" w:hAnsi="Times New Roman"/>
        </w:rPr>
        <w:t>ell</w:t>
      </w:r>
      <w:r w:rsidRPr="0020045E">
        <w:rPr>
          <w:rFonts w:ascii="Times New Roman" w:hAnsi="Times New Roman"/>
        </w:rPr>
        <w:t>ant from Australia under s 198 of the Act as soon as reasonably practicable, and that the appellant cannot lawfully be removed to Iran</w:t>
      </w:r>
      <w:r w:rsidRPr="0020045E">
        <w:rPr>
          <w:rStyle w:val="FootnoteReference"/>
          <w:rFonts w:ascii="Times New Roman" w:hAnsi="Times New Roman"/>
          <w:sz w:val="24"/>
        </w:rPr>
        <w:footnoteReference w:id="13"/>
      </w:r>
      <w:r w:rsidRPr="0020045E">
        <w:rPr>
          <w:rFonts w:ascii="Times New Roman" w:hAnsi="Times New Roman"/>
        </w:rPr>
        <w:t xml:space="preserve">. </w:t>
      </w:r>
    </w:p>
    <w:p w14:paraId="357E1708" w14:textId="77777777"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The duty under s 198(6) for an officer to remove an unlawful non-citizen from Australia as soon as reasonably practicable applies to a person who is a detainee, has made a valid application for a visa which has been finally determined (and has made no other valid applications), and is not an unauthorised maritime arrival to whom s 198AD applies</w:t>
      </w:r>
      <w:r w:rsidRPr="0020045E">
        <w:rPr>
          <w:rStyle w:val="FootnoteReference"/>
          <w:rFonts w:ascii="Times New Roman" w:hAnsi="Times New Roman"/>
          <w:sz w:val="24"/>
        </w:rPr>
        <w:footnoteReference w:id="14"/>
      </w:r>
      <w:r w:rsidRPr="0020045E">
        <w:rPr>
          <w:rFonts w:ascii="Times New Roman" w:hAnsi="Times New Roman"/>
        </w:rPr>
        <w:t>. The Act expressly provides that the duties of removal under s 198 do not apply to a person to whom the duty in s 198AD applies</w:t>
      </w:r>
      <w:r w:rsidRPr="0020045E">
        <w:rPr>
          <w:rStyle w:val="FootnoteReference"/>
          <w:rFonts w:ascii="Times New Roman" w:hAnsi="Times New Roman"/>
          <w:sz w:val="24"/>
        </w:rPr>
        <w:footnoteReference w:id="15"/>
      </w:r>
      <w:r w:rsidRPr="0020045E">
        <w:rPr>
          <w:rFonts w:ascii="Times New Roman" w:hAnsi="Times New Roman"/>
        </w:rPr>
        <w:t xml:space="preserve">. </w:t>
      </w:r>
    </w:p>
    <w:p w14:paraId="41466978" w14:textId="51EAFC84"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The appellant sought two interlocutory orders</w:t>
      </w:r>
      <w:r w:rsidR="006B4391" w:rsidRPr="0020045E">
        <w:rPr>
          <w:rFonts w:ascii="Times New Roman" w:hAnsi="Times New Roman"/>
        </w:rPr>
        <w:t>:</w:t>
      </w:r>
      <w:r w:rsidRPr="0020045E">
        <w:rPr>
          <w:rFonts w:ascii="Times New Roman" w:hAnsi="Times New Roman"/>
        </w:rPr>
        <w:t xml:space="preserve"> </w:t>
      </w:r>
      <w:r w:rsidR="006B4391" w:rsidRPr="0020045E">
        <w:rPr>
          <w:rFonts w:ascii="Times New Roman" w:hAnsi="Times New Roman"/>
        </w:rPr>
        <w:t>a</w:t>
      </w:r>
      <w:r w:rsidRPr="0020045E">
        <w:rPr>
          <w:rFonts w:ascii="Times New Roman" w:hAnsi="Times New Roman"/>
        </w:rPr>
        <w:t>n order requiring the Secretary to pursue (but not carry into effect) the duty under s 198</w:t>
      </w:r>
      <w:r w:rsidR="00AA4A31" w:rsidRPr="0020045E">
        <w:rPr>
          <w:rFonts w:ascii="Times New Roman" w:hAnsi="Times New Roman"/>
        </w:rPr>
        <w:t>;</w:t>
      </w:r>
      <w:r w:rsidRPr="0020045E">
        <w:rPr>
          <w:rFonts w:ascii="Times New Roman" w:hAnsi="Times New Roman"/>
        </w:rPr>
        <w:t xml:space="preserve"> and a further order that, until the final resolution of the proceeding, any detention of the appellant in immigration detention occur at the </w:t>
      </w:r>
      <w:proofErr w:type="spellStart"/>
      <w:r w:rsidRPr="0020045E">
        <w:rPr>
          <w:rFonts w:ascii="Times New Roman" w:hAnsi="Times New Roman"/>
        </w:rPr>
        <w:t>Hermanns</w:t>
      </w:r>
      <w:proofErr w:type="spellEnd"/>
      <w:r w:rsidRPr="0020045E">
        <w:rPr>
          <w:rFonts w:ascii="Times New Roman" w:hAnsi="Times New Roman"/>
        </w:rPr>
        <w:t>' address in the company of and restrained by officers under the Act. By way of final orders, the appellant sought, among others, an order that the Secretary perform the duty under s 198 to remove the appellant from Australia to a place other than Iran; a declaration that it would be unlawful for the Secretary to remove, or cause to be removed, the</w:t>
      </w:r>
      <w:r w:rsidR="00024257">
        <w:rPr>
          <w:rFonts w:ascii="Times New Roman" w:hAnsi="Times New Roman"/>
        </w:rPr>
        <w:t> </w:t>
      </w:r>
      <w:r w:rsidRPr="0020045E">
        <w:rPr>
          <w:rFonts w:ascii="Times New Roman" w:hAnsi="Times New Roman"/>
        </w:rPr>
        <w:t>appellant to Iran; and an order that, no later than 14 days after judgment, the</w:t>
      </w:r>
      <w:r w:rsidR="00024257">
        <w:rPr>
          <w:rFonts w:ascii="Times New Roman" w:hAnsi="Times New Roman"/>
        </w:rPr>
        <w:t> </w:t>
      </w:r>
      <w:r w:rsidRPr="0020045E">
        <w:rPr>
          <w:rFonts w:ascii="Times New Roman" w:hAnsi="Times New Roman"/>
        </w:rPr>
        <w:t xml:space="preserve">Secretary cause any detention of the appellant in immigration detention pending performance of the duty under s 198 of the Act to occur at the </w:t>
      </w:r>
      <w:proofErr w:type="spellStart"/>
      <w:r w:rsidRPr="0020045E">
        <w:rPr>
          <w:rFonts w:ascii="Times New Roman" w:hAnsi="Times New Roman"/>
        </w:rPr>
        <w:t>Hermanns</w:t>
      </w:r>
      <w:proofErr w:type="spellEnd"/>
      <w:r w:rsidRPr="0020045E">
        <w:rPr>
          <w:rFonts w:ascii="Times New Roman" w:hAnsi="Times New Roman"/>
        </w:rPr>
        <w:t xml:space="preserve">' address in the company of and restrained by officers under the Act. </w:t>
      </w:r>
    </w:p>
    <w:p w14:paraId="4548F916" w14:textId="1DCB49B1" w:rsidR="0077622A" w:rsidRPr="0020045E" w:rsidRDefault="0077622A" w:rsidP="0020045E">
      <w:pPr>
        <w:pStyle w:val="FixListStyle"/>
        <w:spacing w:after="260" w:line="280" w:lineRule="exact"/>
        <w:ind w:right="0"/>
        <w:jc w:val="both"/>
        <w:rPr>
          <w:rFonts w:ascii="Times New Roman" w:hAnsi="Times New Roman"/>
          <w:u w:val="single"/>
        </w:rPr>
      </w:pPr>
      <w:r w:rsidRPr="0020045E">
        <w:rPr>
          <w:rFonts w:ascii="Times New Roman" w:hAnsi="Times New Roman"/>
        </w:rPr>
        <w:tab/>
        <w:t>On 25 November 2021, the proceeding was transferred to the Federal Court. Three weeks later, it was adjourned by the same primary judge pending the outcome of the Full Court appeal</w:t>
      </w:r>
      <w:r w:rsidR="007F7908" w:rsidRPr="0020045E">
        <w:rPr>
          <w:rFonts w:ascii="Times New Roman" w:hAnsi="Times New Roman"/>
        </w:rPr>
        <w:t>s</w:t>
      </w:r>
      <w:r w:rsidRPr="0020045E">
        <w:rPr>
          <w:rFonts w:ascii="Times New Roman" w:hAnsi="Times New Roman"/>
        </w:rPr>
        <w:t>, on the basis that there appeared to be "some</w:t>
      </w:r>
      <w:r w:rsidR="00024257">
        <w:rPr>
          <w:rFonts w:ascii="Times New Roman" w:hAnsi="Times New Roman"/>
        </w:rPr>
        <w:t> </w:t>
      </w:r>
      <w:r w:rsidRPr="0020045E">
        <w:rPr>
          <w:rFonts w:ascii="Times New Roman" w:hAnsi="Times New Roman"/>
        </w:rPr>
        <w:t xml:space="preserve">overlap or possibility of an overlap" between the primary judge's decision in the s 198AD mandamus proceeding and the s 198 mandamus proceeding. </w:t>
      </w:r>
    </w:p>
    <w:p w14:paraId="1B888854" w14:textId="77777777" w:rsidR="0077622A" w:rsidRPr="0020045E" w:rsidRDefault="0077622A" w:rsidP="0020045E">
      <w:pPr>
        <w:pStyle w:val="HeadingL2"/>
        <w:spacing w:after="260" w:line="280" w:lineRule="exact"/>
        <w:ind w:right="0"/>
        <w:jc w:val="both"/>
        <w:rPr>
          <w:rFonts w:ascii="Times New Roman" w:hAnsi="Times New Roman"/>
        </w:rPr>
      </w:pPr>
      <w:r w:rsidRPr="0020045E">
        <w:rPr>
          <w:rFonts w:ascii="Times New Roman" w:hAnsi="Times New Roman"/>
        </w:rPr>
        <w:lastRenderedPageBreak/>
        <w:t>Full Court of the Federal Court</w:t>
      </w:r>
    </w:p>
    <w:p w14:paraId="5FE2AEFE" w14:textId="60CCE029"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Before the Full Court, the Commonwealth parties made submissions on what they described as the "preliminary issue" of the utility of the appeals. The</w:t>
      </w:r>
      <w:r w:rsidR="00024257">
        <w:rPr>
          <w:rFonts w:ascii="Times New Roman" w:hAnsi="Times New Roman"/>
        </w:rPr>
        <w:t> </w:t>
      </w:r>
      <w:r w:rsidRPr="0020045E">
        <w:rPr>
          <w:rFonts w:ascii="Times New Roman" w:hAnsi="Times New Roman"/>
        </w:rPr>
        <w:t>Commonwealth parties accepted that, irrespective of the outcome of the appeals and from the time of the s 198AE Determination, the duty in s 198(6) of</w:t>
      </w:r>
      <w:r w:rsidR="00F66906">
        <w:rPr>
          <w:rFonts w:ascii="Times New Roman" w:hAnsi="Times New Roman"/>
        </w:rPr>
        <w:t> </w:t>
      </w:r>
      <w:r w:rsidRPr="0020045E">
        <w:rPr>
          <w:rFonts w:ascii="Times New Roman" w:hAnsi="Times New Roman"/>
        </w:rPr>
        <w:t>the Act was applicable, and the s 198AD mandamus order and the home detention order ceased to have effect. However, the Commonwealth parties submitted that the appeals were not futile for two reasons. First, the issues in the appeals had a "substantive overlap" with the s 198 mandamus proceeding</w:t>
      </w:r>
      <w:r w:rsidRPr="0020045E">
        <w:rPr>
          <w:rStyle w:val="FootnoteReference"/>
          <w:rFonts w:ascii="Times New Roman" w:hAnsi="Times New Roman"/>
          <w:sz w:val="24"/>
        </w:rPr>
        <w:footnoteReference w:id="16"/>
      </w:r>
      <w:r w:rsidRPr="0020045E">
        <w:rPr>
          <w:rFonts w:ascii="Times New Roman" w:hAnsi="Times New Roman"/>
        </w:rPr>
        <w:t>.</w:t>
      </w:r>
      <w:r w:rsidRPr="0020045E">
        <w:rPr>
          <w:rStyle w:val="FootnoteReference"/>
          <w:rFonts w:ascii="Times New Roman" w:hAnsi="Times New Roman"/>
          <w:b w:val="0"/>
          <w:bCs/>
          <w:sz w:val="24"/>
        </w:rPr>
        <w:t xml:space="preserve"> </w:t>
      </w:r>
      <w:r w:rsidRPr="0020045E">
        <w:rPr>
          <w:rFonts w:ascii="Times New Roman" w:hAnsi="Times New Roman"/>
        </w:rPr>
        <w:t>And second, even if the substantive issues were rendered moot, the Commonwealth parties emphasised that the F</w:t>
      </w:r>
      <w:r w:rsidR="000E4067" w:rsidRPr="0020045E">
        <w:rPr>
          <w:rFonts w:ascii="Times New Roman" w:hAnsi="Times New Roman"/>
        </w:rPr>
        <w:t>ul</w:t>
      </w:r>
      <w:r w:rsidRPr="0020045E">
        <w:rPr>
          <w:rFonts w:ascii="Times New Roman" w:hAnsi="Times New Roman"/>
        </w:rPr>
        <w:t xml:space="preserve">l Court retained a discretion to hear the appeals on the basis that there was a significant public interest because, as at 14 October 2021, there were approximately 130 persons potentially affected by the primary judge's conclusion that the applicable duty for persons in the appellant's position was the s 198AD duty and there were a number of proceedings on foot in which the issue of the </w:t>
      </w:r>
      <w:r w:rsidR="007B74DF" w:rsidRPr="0020045E">
        <w:rPr>
          <w:rFonts w:ascii="Times New Roman" w:hAnsi="Times New Roman"/>
        </w:rPr>
        <w:t xml:space="preserve">Federal </w:t>
      </w:r>
      <w:r w:rsidRPr="0020045E">
        <w:rPr>
          <w:rFonts w:ascii="Times New Roman" w:hAnsi="Times New Roman"/>
        </w:rPr>
        <w:t xml:space="preserve">Court's power to make home detention orders was being agitated. </w:t>
      </w:r>
    </w:p>
    <w:p w14:paraId="1660341F" w14:textId="3E860750"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Before the Full Court, the appellant (who was, in that context, the</w:t>
      </w:r>
      <w:r w:rsidR="00024257">
        <w:rPr>
          <w:rFonts w:ascii="Times New Roman" w:hAnsi="Times New Roman"/>
        </w:rPr>
        <w:t> </w:t>
      </w:r>
      <w:r w:rsidRPr="0020045E">
        <w:rPr>
          <w:rFonts w:ascii="Times New Roman" w:hAnsi="Times New Roman"/>
        </w:rPr>
        <w:t>respondent) repeated that which had been set out in the letter of 17 December 2021, namely that the applications for leave to appeal the interlocutory orders out of time should be dismissed because they were academic and lacked merit</w:t>
      </w:r>
      <w:r w:rsidRPr="0020045E" w:rsidDel="00BD313C">
        <w:rPr>
          <w:rFonts w:ascii="Times New Roman" w:hAnsi="Times New Roman"/>
        </w:rPr>
        <w:t xml:space="preserve"> </w:t>
      </w:r>
      <w:r w:rsidRPr="0020045E">
        <w:rPr>
          <w:rFonts w:ascii="Times New Roman" w:hAnsi="Times New Roman"/>
        </w:rPr>
        <w:t>and the appeals should be permanently stayed because they solely concerned orders which were moot and the Court was being asked to engage in the task of offering an advisory opinion. The appellant also submitted that the contention that the appeal judgment would inevitably impact the s</w:t>
      </w:r>
      <w:r w:rsidR="00123DAF" w:rsidRPr="0020045E">
        <w:rPr>
          <w:rFonts w:ascii="Times New Roman" w:hAnsi="Times New Roman"/>
        </w:rPr>
        <w:t> </w:t>
      </w:r>
      <w:r w:rsidRPr="0020045E">
        <w:rPr>
          <w:rFonts w:ascii="Times New Roman" w:hAnsi="Times New Roman"/>
        </w:rPr>
        <w:t>198 mandamus proceeding was wrong. In</w:t>
      </w:r>
      <w:r w:rsidR="00024257">
        <w:rPr>
          <w:rFonts w:ascii="Times New Roman" w:hAnsi="Times New Roman"/>
        </w:rPr>
        <w:t> </w:t>
      </w:r>
      <w:r w:rsidRPr="0020045E">
        <w:rPr>
          <w:rFonts w:ascii="Times New Roman" w:hAnsi="Times New Roman"/>
        </w:rPr>
        <w:t>particular, the appellant submitted that there would be no impact if he was removed from Australia (as he sought) before that application was determined or before any future home detention order or if his application failed. The appellant submitted that any order being a matter of broader concern to the Commonwealth parties did not weigh in favour of the appeal</w:t>
      </w:r>
      <w:r w:rsidR="004533E2" w:rsidRPr="0020045E">
        <w:rPr>
          <w:rFonts w:ascii="Times New Roman" w:hAnsi="Times New Roman"/>
        </w:rPr>
        <w:t>s</w:t>
      </w:r>
      <w:r w:rsidRPr="0020045E">
        <w:rPr>
          <w:rFonts w:ascii="Times New Roman" w:hAnsi="Times New Roman"/>
        </w:rPr>
        <w:t xml:space="preserve"> being substanti</w:t>
      </w:r>
      <w:r w:rsidR="00BA2C40" w:rsidRPr="0020045E">
        <w:rPr>
          <w:rFonts w:ascii="Times New Roman" w:hAnsi="Times New Roman"/>
        </w:rPr>
        <w:t>vel</w:t>
      </w:r>
      <w:r w:rsidRPr="0020045E">
        <w:rPr>
          <w:rFonts w:ascii="Times New Roman" w:hAnsi="Times New Roman"/>
        </w:rPr>
        <w:t>y determined. If</w:t>
      </w:r>
      <w:r w:rsidR="00024257">
        <w:rPr>
          <w:rFonts w:ascii="Times New Roman" w:hAnsi="Times New Roman"/>
        </w:rPr>
        <w:t> </w:t>
      </w:r>
      <w:r w:rsidRPr="0020045E">
        <w:rPr>
          <w:rFonts w:ascii="Times New Roman" w:hAnsi="Times New Roman"/>
        </w:rPr>
        <w:t>the</w:t>
      </w:r>
      <w:r w:rsidR="00734686" w:rsidRPr="0020045E">
        <w:rPr>
          <w:rFonts w:ascii="Times New Roman" w:hAnsi="Times New Roman"/>
        </w:rPr>
        <w:t xml:space="preserve"> making of a</w:t>
      </w:r>
      <w:r w:rsidRPr="0020045E">
        <w:rPr>
          <w:rFonts w:ascii="Times New Roman" w:hAnsi="Times New Roman"/>
        </w:rPr>
        <w:t xml:space="preserve"> home detention order had broader application and operation, it</w:t>
      </w:r>
      <w:r w:rsidR="00024257">
        <w:rPr>
          <w:rFonts w:ascii="Times New Roman" w:hAnsi="Times New Roman"/>
        </w:rPr>
        <w:t> </w:t>
      </w:r>
      <w:r w:rsidRPr="0020045E">
        <w:rPr>
          <w:rFonts w:ascii="Times New Roman" w:hAnsi="Times New Roman"/>
        </w:rPr>
        <w:t xml:space="preserve">could be appealed in one of the 130 other alleged instances where it </w:t>
      </w:r>
      <w:proofErr w:type="gramStart"/>
      <w:r w:rsidRPr="0020045E">
        <w:rPr>
          <w:rFonts w:ascii="Times New Roman" w:hAnsi="Times New Roman"/>
        </w:rPr>
        <w:t>matters</w:t>
      </w:r>
      <w:proofErr w:type="gramEnd"/>
      <w:r w:rsidRPr="0020045E">
        <w:rPr>
          <w:rFonts w:ascii="Times New Roman" w:hAnsi="Times New Roman"/>
        </w:rPr>
        <w:t xml:space="preserve"> and </w:t>
      </w:r>
      <w:r w:rsidR="003919DB" w:rsidRPr="0020045E">
        <w:rPr>
          <w:rFonts w:ascii="Times New Roman" w:hAnsi="Times New Roman"/>
        </w:rPr>
        <w:t xml:space="preserve">such an order </w:t>
      </w:r>
      <w:r w:rsidRPr="0020045E">
        <w:rPr>
          <w:rFonts w:ascii="Times New Roman" w:hAnsi="Times New Roman"/>
        </w:rPr>
        <w:t>has or will become operative. This was not such a case. The appellant submitted that it would be profoundly unjust to put him, as a detained person, to</w:t>
      </w:r>
      <w:r w:rsidR="00024257">
        <w:rPr>
          <w:rFonts w:ascii="Times New Roman" w:hAnsi="Times New Roman"/>
        </w:rPr>
        <w:t> </w:t>
      </w:r>
      <w:r w:rsidRPr="0020045E">
        <w:rPr>
          <w:rFonts w:ascii="Times New Roman" w:hAnsi="Times New Roman"/>
        </w:rPr>
        <w:t xml:space="preserve">the task of defending an appeal which could not affect him at all. </w:t>
      </w:r>
    </w:p>
    <w:p w14:paraId="03BC47AE" w14:textId="1953EBFD"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lastRenderedPageBreak/>
        <w:tab/>
        <w:t>In light of the Commonwealth parties' submission as to the broader significance of the primary judge's decision, and the course of events after the primary judge made the 13 October 2021 orders, the Full Court raised with senior counsel for the Commonwealth parties at the hearing "whether the principal utility of the appeals related to matters of general principle and wider application, of</w:t>
      </w:r>
      <w:r w:rsidR="002B27BC">
        <w:rPr>
          <w:rFonts w:ascii="Times New Roman" w:hAnsi="Times New Roman"/>
        </w:rPr>
        <w:t> </w:t>
      </w:r>
      <w:r w:rsidRPr="0020045E">
        <w:rPr>
          <w:rFonts w:ascii="Times New Roman" w:hAnsi="Times New Roman"/>
        </w:rPr>
        <w:t>importance to the [Commonwealth parties], but in substance largely unrelated to any ongoing effect of the primary judge's orders for the [appellant]". Following</w:t>
      </w:r>
      <w:r w:rsidR="002B27BC">
        <w:rPr>
          <w:rFonts w:ascii="Times New Roman" w:hAnsi="Times New Roman"/>
        </w:rPr>
        <w:t> </w:t>
      </w:r>
      <w:r w:rsidRPr="0020045E">
        <w:rPr>
          <w:rFonts w:ascii="Times New Roman" w:hAnsi="Times New Roman"/>
        </w:rPr>
        <w:t>the hearing, the Commonwealth parties filed amended notices of appeal in the Full Court to reflect their position that they would not seek to disturb the costs orders made below and that they would pay the appellant's costs of the appeal</w:t>
      </w:r>
      <w:r w:rsidR="001E3DE4" w:rsidRPr="0020045E">
        <w:rPr>
          <w:rFonts w:ascii="Times New Roman" w:hAnsi="Times New Roman"/>
        </w:rPr>
        <w:t>s</w:t>
      </w:r>
      <w:r w:rsidRPr="0020045E">
        <w:rPr>
          <w:rFonts w:ascii="Times New Roman" w:hAnsi="Times New Roman"/>
        </w:rPr>
        <w:t xml:space="preserve">. </w:t>
      </w:r>
    </w:p>
    <w:p w14:paraId="69169D73" w14:textId="7A5A1F85"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In its reasons for judgment, the Full Court considered the "preliminary</w:t>
      </w:r>
      <w:r w:rsidR="002B27BC">
        <w:rPr>
          <w:rFonts w:ascii="Times New Roman" w:hAnsi="Times New Roman"/>
        </w:rPr>
        <w:t> </w:t>
      </w:r>
      <w:r w:rsidR="00E02D1C" w:rsidRPr="0020045E">
        <w:rPr>
          <w:rFonts w:ascii="Times New Roman" w:hAnsi="Times New Roman"/>
        </w:rPr>
        <w:t>iss</w:t>
      </w:r>
      <w:r w:rsidR="00C55749" w:rsidRPr="0020045E">
        <w:rPr>
          <w:rFonts w:ascii="Times New Roman" w:hAnsi="Times New Roman"/>
        </w:rPr>
        <w:t>ue</w:t>
      </w:r>
      <w:r w:rsidRPr="0020045E">
        <w:rPr>
          <w:rFonts w:ascii="Times New Roman" w:hAnsi="Times New Roman"/>
        </w:rPr>
        <w:t>" as a</w:t>
      </w:r>
      <w:r w:rsidR="00C55749" w:rsidRPr="0020045E">
        <w:rPr>
          <w:rFonts w:ascii="Times New Roman" w:hAnsi="Times New Roman"/>
        </w:rPr>
        <w:t xml:space="preserve"> question</w:t>
      </w:r>
      <w:r w:rsidRPr="0020045E">
        <w:rPr>
          <w:rFonts w:ascii="Times New Roman" w:hAnsi="Times New Roman"/>
        </w:rPr>
        <w:t xml:space="preserve"> of discretion, not jurisdiction. Relevantly, the</w:t>
      </w:r>
      <w:r w:rsidR="002B27BC">
        <w:rPr>
          <w:rFonts w:ascii="Times New Roman" w:hAnsi="Times New Roman"/>
        </w:rPr>
        <w:t> </w:t>
      </w:r>
      <w:r w:rsidRPr="0020045E">
        <w:rPr>
          <w:rFonts w:ascii="Times New Roman" w:hAnsi="Times New Roman"/>
        </w:rPr>
        <w:t>Full Court held that the s 198AE Determination</w:t>
      </w:r>
      <w:r w:rsidRPr="0020045E" w:rsidDel="00461875">
        <w:rPr>
          <w:rFonts w:ascii="Times New Roman" w:hAnsi="Times New Roman"/>
        </w:rPr>
        <w:t xml:space="preserve"> </w:t>
      </w:r>
      <w:r w:rsidRPr="0020045E">
        <w:rPr>
          <w:rFonts w:ascii="Times New Roman" w:hAnsi="Times New Roman"/>
        </w:rPr>
        <w:t>had "effectively" quelled the controversy between the parties about the application of s 198AD to the appellant</w:t>
      </w:r>
      <w:r w:rsidRPr="0020045E">
        <w:rPr>
          <w:rFonts w:ascii="Times New Roman" w:hAnsi="Times New Roman"/>
          <w:b/>
          <w:bCs/>
        </w:rPr>
        <w:t xml:space="preserve"> </w:t>
      </w:r>
      <w:r w:rsidRPr="0020045E">
        <w:rPr>
          <w:rFonts w:ascii="Times New Roman" w:hAnsi="Times New Roman"/>
        </w:rPr>
        <w:t>and that this meant that "the order in the nature of mandamus was rendered inapplicable, and there was no basis for the [home detention order</w:t>
      </w:r>
      <w:r w:rsidR="00AC6764" w:rsidRPr="0020045E">
        <w:rPr>
          <w:rFonts w:ascii="Times New Roman" w:hAnsi="Times New Roman"/>
        </w:rPr>
        <w:t>]</w:t>
      </w:r>
      <w:r w:rsidRPr="0020045E">
        <w:rPr>
          <w:rFonts w:ascii="Times New Roman" w:hAnsi="Times New Roman"/>
        </w:rPr>
        <w:t xml:space="preserve"> to be carried into effect". </w:t>
      </w:r>
    </w:p>
    <w:p w14:paraId="23A32A4F" w14:textId="6A73EA17"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However, while the Full Court accepted that the s 198AD mandamus order had been rendered moot</w:t>
      </w:r>
      <w:r w:rsidR="00123DAF" w:rsidRPr="0020045E">
        <w:rPr>
          <w:rFonts w:ascii="Times New Roman" w:hAnsi="Times New Roman"/>
        </w:rPr>
        <w:t>,</w:t>
      </w:r>
      <w:r w:rsidRPr="0020045E">
        <w:rPr>
          <w:rFonts w:ascii="Times New Roman" w:hAnsi="Times New Roman"/>
        </w:rPr>
        <w:t xml:space="preserve"> the Full Court did not accept the appellant's submission that the primary judge's orders were entirely "arid" in respect of any effect on the appellant's own position. The Court</w:t>
      </w:r>
      <w:r w:rsidRPr="0020045E" w:rsidDel="00A633D5">
        <w:rPr>
          <w:rFonts w:ascii="Times New Roman" w:hAnsi="Times New Roman"/>
        </w:rPr>
        <w:t xml:space="preserve"> </w:t>
      </w:r>
      <w:r w:rsidRPr="0020045E">
        <w:rPr>
          <w:rFonts w:ascii="Times New Roman" w:hAnsi="Times New Roman"/>
        </w:rPr>
        <w:t>observed that the appellant still had the s 198 mandamus proceeding before the primary judge, in which he was seeking mandamus to compel his removal to a country other than Iran,</w:t>
      </w:r>
      <w:r w:rsidRPr="0020045E" w:rsidDel="00AD4ADC">
        <w:rPr>
          <w:rFonts w:ascii="Times New Roman" w:hAnsi="Times New Roman"/>
        </w:rPr>
        <w:t xml:space="preserve"> </w:t>
      </w:r>
      <w:r w:rsidRPr="0020045E">
        <w:rPr>
          <w:rFonts w:ascii="Times New Roman" w:hAnsi="Times New Roman"/>
        </w:rPr>
        <w:t>that "a decision about his status under the ... Act,</w:t>
      </w:r>
      <w:r w:rsidRPr="0020045E">
        <w:rPr>
          <w:rFonts w:ascii="Times New Roman" w:hAnsi="Times New Roman"/>
          <w:i/>
          <w:iCs/>
        </w:rPr>
        <w:t xml:space="preserve"> </w:t>
      </w:r>
      <w:r w:rsidRPr="0020045E">
        <w:rPr>
          <w:rFonts w:ascii="Times New Roman" w:hAnsi="Times New Roman"/>
        </w:rPr>
        <w:t xml:space="preserve">and which removal provisions apply to him, </w:t>
      </w:r>
      <w:r w:rsidRPr="0020045E">
        <w:rPr>
          <w:rFonts w:ascii="Times New Roman" w:hAnsi="Times New Roman"/>
          <w:i/>
          <w:iCs/>
        </w:rPr>
        <w:t>may</w:t>
      </w:r>
      <w:r w:rsidR="002B27BC">
        <w:rPr>
          <w:rFonts w:ascii="Times New Roman" w:hAnsi="Times New Roman"/>
        </w:rPr>
        <w:t> </w:t>
      </w:r>
      <w:r w:rsidRPr="0020045E">
        <w:rPr>
          <w:rFonts w:ascii="Times New Roman" w:hAnsi="Times New Roman"/>
        </w:rPr>
        <w:t xml:space="preserve">be relevant to the issues between the parties </w:t>
      </w:r>
      <w:r w:rsidRPr="0020045E" w:rsidDel="00B74E32">
        <w:rPr>
          <w:rFonts w:ascii="Times New Roman" w:hAnsi="Times New Roman"/>
        </w:rPr>
        <w:t xml:space="preserve">in </w:t>
      </w:r>
      <w:r w:rsidRPr="0020045E">
        <w:rPr>
          <w:rFonts w:ascii="Times New Roman" w:hAnsi="Times New Roman"/>
        </w:rPr>
        <w:t>relation to any outstanding relief"</w:t>
      </w:r>
      <w:r w:rsidRPr="0020045E">
        <w:rPr>
          <w:rStyle w:val="FootnoteReference"/>
          <w:rFonts w:ascii="Times New Roman" w:hAnsi="Times New Roman"/>
          <w:sz w:val="24"/>
        </w:rPr>
        <w:footnoteReference w:id="17"/>
      </w:r>
      <w:r w:rsidRPr="0020045E">
        <w:rPr>
          <w:rFonts w:ascii="Times New Roman" w:hAnsi="Times New Roman"/>
        </w:rPr>
        <w:t xml:space="preserve">, and that the </w:t>
      </w:r>
      <w:r w:rsidR="004365D4" w:rsidRPr="0020045E">
        <w:rPr>
          <w:rFonts w:ascii="Times New Roman" w:hAnsi="Times New Roman"/>
        </w:rPr>
        <w:t xml:space="preserve">Federal </w:t>
      </w:r>
      <w:r w:rsidRPr="0020045E">
        <w:rPr>
          <w:rFonts w:ascii="Times New Roman" w:hAnsi="Times New Roman"/>
        </w:rPr>
        <w:t>Court's ability to make a home detention order</w:t>
      </w:r>
      <w:r w:rsidRPr="0020045E">
        <w:rPr>
          <w:rStyle w:val="FootnoteReference"/>
          <w:rFonts w:ascii="Times New Roman" w:hAnsi="Times New Roman"/>
          <w:sz w:val="24"/>
        </w:rPr>
        <w:footnoteReference w:id="18"/>
      </w:r>
      <w:r w:rsidRPr="0020045E">
        <w:rPr>
          <w:rFonts w:ascii="Times New Roman" w:hAnsi="Times New Roman"/>
        </w:rPr>
        <w:t xml:space="preserve"> "will</w:t>
      </w:r>
      <w:r w:rsidR="002B27BC">
        <w:rPr>
          <w:rFonts w:ascii="Times New Roman" w:hAnsi="Times New Roman"/>
        </w:rPr>
        <w:t> </w:t>
      </w:r>
      <w:r w:rsidRPr="0020045E">
        <w:rPr>
          <w:rFonts w:ascii="Times New Roman" w:hAnsi="Times New Roman"/>
        </w:rPr>
        <w:t xml:space="preserve">also clarify some </w:t>
      </w:r>
      <w:r w:rsidRPr="0020045E">
        <w:rPr>
          <w:rFonts w:ascii="Times New Roman" w:hAnsi="Times New Roman"/>
          <w:i/>
          <w:iCs/>
        </w:rPr>
        <w:t>likely</w:t>
      </w:r>
      <w:r w:rsidRPr="0020045E">
        <w:rPr>
          <w:rFonts w:ascii="Times New Roman" w:hAnsi="Times New Roman"/>
        </w:rPr>
        <w:t xml:space="preserve"> aspects of the proceeding still before the primary judge" (emphasis added). </w:t>
      </w:r>
    </w:p>
    <w:p w14:paraId="459AD0E5" w14:textId="77215422"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The second reason given by the Full Court as to why it should deal with the Commonwealth parties' substantive arguments and proceed to determine the appeals was that the primary judge's orders and reasoning had "been employed in litigation relating to other individuals in similar circumstances, and other justices of [the Federal Court] have been invited to follow it". The Full Court said:</w:t>
      </w:r>
    </w:p>
    <w:p w14:paraId="736AE18E" w14:textId="6F423BD0" w:rsidR="0020045E" w:rsidRDefault="0077622A" w:rsidP="0020045E">
      <w:pPr>
        <w:pStyle w:val="leftright"/>
        <w:spacing w:before="0" w:after="260" w:line="280" w:lineRule="exact"/>
        <w:ind w:right="0"/>
        <w:jc w:val="both"/>
        <w:rPr>
          <w:rFonts w:ascii="Times New Roman" w:hAnsi="Times New Roman"/>
          <w:b/>
          <w:bCs/>
        </w:rPr>
      </w:pPr>
      <w:r w:rsidRPr="0020045E">
        <w:rPr>
          <w:rFonts w:ascii="Times New Roman" w:hAnsi="Times New Roman"/>
        </w:rPr>
        <w:lastRenderedPageBreak/>
        <w:t xml:space="preserve">"Once that occurs, given the [Commonwealth parties'] position on the issues, it would place another single judge in a position of deciding if they are convinced the primary judge's orders and reasoning are wrong ... </w:t>
      </w:r>
      <w:r w:rsidRPr="0020045E">
        <w:rPr>
          <w:rFonts w:ascii="Times New Roman" w:hAnsi="Times New Roman"/>
          <w:i/>
          <w:iCs/>
        </w:rPr>
        <w:t>These</w:t>
      </w:r>
      <w:r w:rsidR="001E5FD8">
        <w:rPr>
          <w:rFonts w:ascii="Times New Roman" w:hAnsi="Times New Roman"/>
          <w:i/>
          <w:iCs/>
        </w:rPr>
        <w:t> </w:t>
      </w:r>
      <w:r w:rsidRPr="0020045E">
        <w:rPr>
          <w:rFonts w:ascii="Times New Roman" w:hAnsi="Times New Roman"/>
          <w:i/>
          <w:iCs/>
        </w:rPr>
        <w:t>appeals are a suitable vehicle to avoid single judges being faced with those issues of comity, which are not always straightforward</w:t>
      </w:r>
      <w:r w:rsidRPr="0020045E">
        <w:rPr>
          <w:rFonts w:ascii="Times New Roman" w:hAnsi="Times New Roman"/>
        </w:rPr>
        <w:t>." (</w:t>
      </w:r>
      <w:proofErr w:type="gramStart"/>
      <w:r w:rsidRPr="0020045E">
        <w:rPr>
          <w:rFonts w:ascii="Times New Roman" w:hAnsi="Times New Roman"/>
        </w:rPr>
        <w:t>emphasis</w:t>
      </w:r>
      <w:proofErr w:type="gramEnd"/>
      <w:r w:rsidR="001E5FD8">
        <w:rPr>
          <w:rFonts w:ascii="Times New Roman" w:hAnsi="Times New Roman"/>
        </w:rPr>
        <w:t> </w:t>
      </w:r>
      <w:r w:rsidRPr="0020045E">
        <w:rPr>
          <w:rFonts w:ascii="Times New Roman" w:hAnsi="Times New Roman"/>
        </w:rPr>
        <w:t>added)</w:t>
      </w:r>
      <w:r w:rsidRPr="0020045E">
        <w:rPr>
          <w:rFonts w:ascii="Times New Roman" w:hAnsi="Times New Roman"/>
          <w:b/>
          <w:bCs/>
        </w:rPr>
        <w:t xml:space="preserve"> </w:t>
      </w:r>
    </w:p>
    <w:p w14:paraId="56951D41" w14:textId="5D8BCFD1"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The Full Court then stated that "[w]here the primary judge's orders and reasoning are presently the subject of an appeal before [the Full] Court, it is neither efficient, nor a </w:t>
      </w:r>
      <w:proofErr w:type="gramStart"/>
      <w:r w:rsidRPr="0020045E">
        <w:rPr>
          <w:rFonts w:ascii="Times New Roman" w:hAnsi="Times New Roman"/>
        </w:rPr>
        <w:t>cost effective</w:t>
      </w:r>
      <w:proofErr w:type="gramEnd"/>
      <w:r w:rsidRPr="0020045E">
        <w:rPr>
          <w:rFonts w:ascii="Times New Roman" w:hAnsi="Times New Roman"/>
        </w:rPr>
        <w:t xml:space="preserve"> use of resources, to refuse to determine the correctness of those orders and that reasoning, and instead insist another case make its way up the judicial hierarchy". Not determining the appeals was said to "also</w:t>
      </w:r>
      <w:r w:rsidR="001E5FD8">
        <w:rPr>
          <w:rFonts w:ascii="Times New Roman" w:hAnsi="Times New Roman"/>
        </w:rPr>
        <w:t> </w:t>
      </w:r>
      <w:r w:rsidRPr="0020045E">
        <w:rPr>
          <w:rFonts w:ascii="Times New Roman" w:hAnsi="Times New Roman"/>
        </w:rPr>
        <w:t xml:space="preserve">introduce uncertainty </w:t>
      </w:r>
      <w:r w:rsidR="00941E0A" w:rsidRPr="0020045E">
        <w:rPr>
          <w:rFonts w:ascii="Times New Roman" w:hAnsi="Times New Roman"/>
        </w:rPr>
        <w:t xml:space="preserve">in terms </w:t>
      </w:r>
      <w:r w:rsidRPr="0020045E">
        <w:rPr>
          <w:rFonts w:ascii="Times New Roman" w:hAnsi="Times New Roman"/>
        </w:rPr>
        <w:t xml:space="preserve">of </w:t>
      </w:r>
      <w:r w:rsidRPr="0020045E">
        <w:rPr>
          <w:rFonts w:ascii="Times New Roman" w:hAnsi="Times New Roman"/>
          <w:i/>
          <w:iCs/>
        </w:rPr>
        <w:t>when</w:t>
      </w:r>
      <w:r w:rsidRPr="0020045E">
        <w:rPr>
          <w:rFonts w:ascii="Times New Roman" w:hAnsi="Times New Roman"/>
        </w:rPr>
        <w:t xml:space="preserve"> the issues raised might be </w:t>
      </w:r>
      <w:proofErr w:type="gramStart"/>
      <w:r w:rsidRPr="0020045E">
        <w:rPr>
          <w:rFonts w:ascii="Times New Roman" w:hAnsi="Times New Roman"/>
        </w:rPr>
        <w:t>resolved, and</w:t>
      </w:r>
      <w:proofErr w:type="gramEnd"/>
      <w:r w:rsidRPr="0020045E">
        <w:rPr>
          <w:rFonts w:ascii="Times New Roman" w:hAnsi="Times New Roman"/>
        </w:rPr>
        <w:t xml:space="preserve"> might place other judges at first instance in a difficult position". The Full Court concluded by stating that "[g]</w:t>
      </w:r>
      <w:proofErr w:type="spellStart"/>
      <w:r w:rsidRPr="0020045E">
        <w:rPr>
          <w:rFonts w:ascii="Times New Roman" w:hAnsi="Times New Roman"/>
        </w:rPr>
        <w:t>iven</w:t>
      </w:r>
      <w:proofErr w:type="spellEnd"/>
      <w:r w:rsidRPr="0020045E">
        <w:rPr>
          <w:rFonts w:ascii="Times New Roman" w:hAnsi="Times New Roman"/>
        </w:rPr>
        <w:t xml:space="preserve"> there are potentially 130 cases where this argument might be made, plus the three where it has been made (regardless of the outcome), it is in the interests of the administration of justice for this Court to determine both issues raised on </w:t>
      </w:r>
      <w:r w:rsidR="00AA0680" w:rsidRPr="0020045E">
        <w:rPr>
          <w:rFonts w:ascii="Times New Roman" w:hAnsi="Times New Roman"/>
        </w:rPr>
        <w:t xml:space="preserve">the </w:t>
      </w:r>
      <w:r w:rsidRPr="0020045E">
        <w:rPr>
          <w:rFonts w:ascii="Times New Roman" w:hAnsi="Times New Roman"/>
        </w:rPr>
        <w:t>appeals" by the Commonwealth parties. The</w:t>
      </w:r>
      <w:r w:rsidR="001E5FD8">
        <w:rPr>
          <w:rFonts w:ascii="Times New Roman" w:hAnsi="Times New Roman"/>
        </w:rPr>
        <w:t> </w:t>
      </w:r>
      <w:r w:rsidRPr="0020045E">
        <w:rPr>
          <w:rFonts w:ascii="Times New Roman" w:hAnsi="Times New Roman"/>
        </w:rPr>
        <w:t>Full Court determined the two substantive grounds of the Commonwealth parties' appeals, allowing the appeals on both grounds. As will be explained, this</w:t>
      </w:r>
      <w:r w:rsidR="001E5FD8">
        <w:rPr>
          <w:rFonts w:ascii="Times New Roman" w:hAnsi="Times New Roman"/>
        </w:rPr>
        <w:t> </w:t>
      </w:r>
      <w:r w:rsidRPr="0020045E">
        <w:rPr>
          <w:rFonts w:ascii="Times New Roman" w:hAnsi="Times New Roman"/>
        </w:rPr>
        <w:t xml:space="preserve">was a course that the Full Court could not and should not have adopted. </w:t>
      </w:r>
    </w:p>
    <w:p w14:paraId="31901AAF" w14:textId="77777777" w:rsidR="0077622A" w:rsidRPr="0020045E" w:rsidRDefault="0077622A" w:rsidP="0020045E">
      <w:pPr>
        <w:pStyle w:val="HeadingL1"/>
        <w:spacing w:after="260" w:line="280" w:lineRule="exact"/>
        <w:ind w:right="0"/>
        <w:jc w:val="both"/>
        <w:rPr>
          <w:rFonts w:ascii="Times New Roman" w:hAnsi="Times New Roman"/>
        </w:rPr>
      </w:pPr>
      <w:r w:rsidRPr="0020045E">
        <w:rPr>
          <w:rFonts w:ascii="Times New Roman" w:hAnsi="Times New Roman"/>
        </w:rPr>
        <w:t>What is a matter?</w:t>
      </w:r>
    </w:p>
    <w:p w14:paraId="005C7DC6" w14:textId="7D8BBCE9"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It is trite that federal jurisdiction arising from the subject matters in ss 75 and 76 of the </w:t>
      </w:r>
      <w:r w:rsidRPr="0020045E">
        <w:rPr>
          <w:rFonts w:ascii="Times New Roman" w:hAnsi="Times New Roman"/>
          <w:i/>
          <w:iCs/>
        </w:rPr>
        <w:t>Constitution</w:t>
      </w:r>
      <w:r w:rsidRPr="0020045E">
        <w:rPr>
          <w:rFonts w:ascii="Times New Roman" w:hAnsi="Times New Roman"/>
        </w:rPr>
        <w:t xml:space="preserve"> is limited to deciding "matters"</w:t>
      </w:r>
      <w:r w:rsidRPr="0020045E">
        <w:rPr>
          <w:rStyle w:val="FootnoteReference"/>
          <w:rFonts w:ascii="Times New Roman" w:hAnsi="Times New Roman"/>
          <w:sz w:val="24"/>
        </w:rPr>
        <w:footnoteReference w:id="19"/>
      </w:r>
      <w:r w:rsidRPr="0020045E">
        <w:rPr>
          <w:rFonts w:ascii="Times New Roman" w:hAnsi="Times New Roman"/>
        </w:rPr>
        <w:t xml:space="preserve">. </w:t>
      </w:r>
      <w:r w:rsidR="005A7A50" w:rsidRPr="0020045E">
        <w:rPr>
          <w:rFonts w:ascii="Times New Roman" w:hAnsi="Times New Roman"/>
        </w:rPr>
        <w:t>The original and appellate jurisdiction of the Federal Court is created by legislation passed under s 77(</w:t>
      </w:r>
      <w:proofErr w:type="spellStart"/>
      <w:r w:rsidR="005A7A50" w:rsidRPr="0020045E">
        <w:rPr>
          <w:rFonts w:ascii="Times New Roman" w:hAnsi="Times New Roman"/>
        </w:rPr>
        <w:t>i</w:t>
      </w:r>
      <w:proofErr w:type="spellEnd"/>
      <w:r w:rsidR="005A7A50" w:rsidRPr="0020045E">
        <w:rPr>
          <w:rFonts w:ascii="Times New Roman" w:hAnsi="Times New Roman"/>
        </w:rPr>
        <w:t xml:space="preserve">) of the </w:t>
      </w:r>
      <w:r w:rsidR="005A7A50" w:rsidRPr="0020045E">
        <w:rPr>
          <w:rFonts w:ascii="Times New Roman" w:hAnsi="Times New Roman"/>
          <w:i/>
          <w:iCs/>
        </w:rPr>
        <w:t>Constitution</w:t>
      </w:r>
      <w:r w:rsidR="005A7A50" w:rsidRPr="0020045E">
        <w:rPr>
          <w:rFonts w:ascii="Times New Roman" w:hAnsi="Times New Roman"/>
        </w:rPr>
        <w:t>. Section 77(</w:t>
      </w:r>
      <w:proofErr w:type="spellStart"/>
      <w:r w:rsidR="005A7A50" w:rsidRPr="0020045E">
        <w:rPr>
          <w:rFonts w:ascii="Times New Roman" w:hAnsi="Times New Roman"/>
        </w:rPr>
        <w:t>i</w:t>
      </w:r>
      <w:proofErr w:type="spellEnd"/>
      <w:r w:rsidR="005A7A50" w:rsidRPr="0020045E">
        <w:rPr>
          <w:rFonts w:ascii="Times New Roman" w:hAnsi="Times New Roman"/>
        </w:rPr>
        <w:t>) empowers Parliament to make laws, with</w:t>
      </w:r>
      <w:r w:rsidR="000D3CB6">
        <w:rPr>
          <w:rFonts w:ascii="Times New Roman" w:hAnsi="Times New Roman"/>
        </w:rPr>
        <w:t> </w:t>
      </w:r>
      <w:r w:rsidR="005A7A50" w:rsidRPr="0020045E">
        <w:rPr>
          <w:rFonts w:ascii="Times New Roman" w:hAnsi="Times New Roman"/>
        </w:rPr>
        <w:t xml:space="preserve">respect to any of the matters mentioned in ss 75 and 76, defining the jurisdiction of any federal court other than the High Court. </w:t>
      </w:r>
      <w:r w:rsidRPr="0020045E">
        <w:rPr>
          <w:rFonts w:ascii="Times New Roman" w:hAnsi="Times New Roman"/>
        </w:rPr>
        <w:t>The need for there to have been a "matter" before the Full Federal Court for it to have had jurisdiction in the appeals was not in dispute</w:t>
      </w:r>
      <w:r w:rsidRPr="0020045E">
        <w:rPr>
          <w:rStyle w:val="FootnoteReference"/>
          <w:rFonts w:ascii="Times New Roman" w:hAnsi="Times New Roman"/>
          <w:sz w:val="24"/>
        </w:rPr>
        <w:footnoteReference w:id="20"/>
      </w:r>
      <w:r w:rsidRPr="0020045E">
        <w:rPr>
          <w:rFonts w:ascii="Times New Roman" w:hAnsi="Times New Roman"/>
        </w:rPr>
        <w:t>.</w:t>
      </w:r>
      <w:r w:rsidR="00825022" w:rsidRPr="0020045E">
        <w:rPr>
          <w:rFonts w:ascii="Times New Roman" w:hAnsi="Times New Roman"/>
        </w:rPr>
        <w:t xml:space="preserve"> </w:t>
      </w:r>
    </w:p>
    <w:p w14:paraId="7751D25E" w14:textId="21D63650"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lastRenderedPageBreak/>
        <w:tab/>
        <w:t>It is well established that a</w:t>
      </w:r>
      <w:r w:rsidRPr="0020045E">
        <w:rPr>
          <w:rFonts w:ascii="Times New Roman" w:hAnsi="Times New Roman"/>
          <w:i/>
          <w:iCs/>
        </w:rPr>
        <w:t xml:space="preserve"> </w:t>
      </w:r>
      <w:r w:rsidRPr="0020045E">
        <w:rPr>
          <w:rFonts w:ascii="Times New Roman" w:hAnsi="Times New Roman"/>
        </w:rPr>
        <w:t xml:space="preserve">"matter" does not mean a legal proceeding between parties or a bare description of a subject matter that falls within a head of federal judicial power in ss 75 and 76 of the </w:t>
      </w:r>
      <w:r w:rsidRPr="0020045E">
        <w:rPr>
          <w:rFonts w:ascii="Times New Roman" w:hAnsi="Times New Roman"/>
          <w:i/>
          <w:iCs/>
        </w:rPr>
        <w:t>Constitution</w:t>
      </w:r>
      <w:r w:rsidRPr="0020045E">
        <w:rPr>
          <w:rStyle w:val="FootnoteReference"/>
          <w:rFonts w:ascii="Times New Roman" w:hAnsi="Times New Roman"/>
          <w:sz w:val="24"/>
        </w:rPr>
        <w:footnoteReference w:id="21"/>
      </w:r>
      <w:r w:rsidRPr="0020045E">
        <w:rPr>
          <w:rFonts w:ascii="Times New Roman" w:hAnsi="Times New Roman"/>
        </w:rPr>
        <w:t>. Rather, "matter" has</w:t>
      </w:r>
      <w:r w:rsidR="000D3CB6">
        <w:rPr>
          <w:rFonts w:ascii="Times New Roman" w:hAnsi="Times New Roman"/>
        </w:rPr>
        <w:t> </w:t>
      </w:r>
      <w:r w:rsidRPr="0020045E">
        <w:rPr>
          <w:rFonts w:ascii="Times New Roman" w:hAnsi="Times New Roman"/>
        </w:rPr>
        <w:t xml:space="preserve">two elements: "the subject matter itself as defined by </w:t>
      </w:r>
      <w:r w:rsidR="001D607A" w:rsidRPr="0020045E">
        <w:rPr>
          <w:rFonts w:ascii="Times New Roman" w:hAnsi="Times New Roman"/>
        </w:rPr>
        <w:t>reference to</w:t>
      </w:r>
      <w:r w:rsidRPr="0020045E">
        <w:rPr>
          <w:rFonts w:ascii="Times New Roman" w:hAnsi="Times New Roman"/>
        </w:rPr>
        <w:t xml:space="preserve"> the heads of jurisdiction [in ss 75 and 76], and the concrete or adequate adversarial nature of the dispute sufficient to give rise to a justiciable controversy"</w:t>
      </w:r>
      <w:r w:rsidRPr="0020045E">
        <w:rPr>
          <w:rStyle w:val="FootnoteReference"/>
          <w:rFonts w:ascii="Times New Roman" w:hAnsi="Times New Roman"/>
          <w:sz w:val="24"/>
        </w:rPr>
        <w:footnoteReference w:id="22"/>
      </w:r>
      <w:r w:rsidRPr="0020045E">
        <w:rPr>
          <w:rFonts w:ascii="Times New Roman" w:hAnsi="Times New Roman"/>
        </w:rPr>
        <w:t xml:space="preserve">. There was no dispute in this case that the first element was satisfied. </w:t>
      </w:r>
    </w:p>
    <w:p w14:paraId="19005E42" w14:textId="7DD94AE1"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As to the second element, as was most recently affirmed in </w:t>
      </w:r>
      <w:r w:rsidRPr="0020045E">
        <w:rPr>
          <w:rFonts w:ascii="Times New Roman" w:hAnsi="Times New Roman"/>
          <w:i/>
          <w:iCs/>
        </w:rPr>
        <w:t xml:space="preserve">Unions NSW v New South Wales </w:t>
      </w:r>
      <w:r w:rsidRPr="0020045E">
        <w:rPr>
          <w:rFonts w:ascii="Times New Roman" w:hAnsi="Times New Roman"/>
        </w:rPr>
        <w:t>("</w:t>
      </w:r>
      <w:r w:rsidRPr="0020045E">
        <w:rPr>
          <w:rFonts w:ascii="Times New Roman" w:hAnsi="Times New Roman"/>
          <w:i/>
          <w:iCs/>
        </w:rPr>
        <w:t>Unions [No 3]</w:t>
      </w:r>
      <w:r w:rsidRPr="0020045E">
        <w:rPr>
          <w:rFonts w:ascii="Times New Roman" w:hAnsi="Times New Roman"/>
        </w:rPr>
        <w:t>")</w:t>
      </w:r>
      <w:r w:rsidRPr="0020045E">
        <w:rPr>
          <w:rStyle w:val="FootnoteReference"/>
          <w:rFonts w:ascii="Times New Roman" w:hAnsi="Times New Roman"/>
          <w:sz w:val="24"/>
        </w:rPr>
        <w:footnoteReference w:id="23"/>
      </w:r>
      <w:r w:rsidRPr="0020045E">
        <w:rPr>
          <w:rFonts w:ascii="Times New Roman" w:hAnsi="Times New Roman"/>
        </w:rPr>
        <w:t>,</w:t>
      </w:r>
      <w:r w:rsidRPr="0020045E">
        <w:rPr>
          <w:rFonts w:ascii="Times New Roman" w:hAnsi="Times New Roman"/>
          <w:i/>
          <w:iCs/>
        </w:rPr>
        <w:t xml:space="preserve"> </w:t>
      </w:r>
      <w:r w:rsidRPr="0020045E">
        <w:rPr>
          <w:rFonts w:ascii="Times New Roman" w:hAnsi="Times New Roman"/>
        </w:rPr>
        <w:t>"[e]</w:t>
      </w:r>
      <w:proofErr w:type="spellStart"/>
      <w:r w:rsidRPr="0020045E">
        <w:rPr>
          <w:rFonts w:ascii="Times New Roman" w:hAnsi="Times New Roman"/>
        </w:rPr>
        <w:t>xceptional</w:t>
      </w:r>
      <w:proofErr w:type="spellEnd"/>
      <w:r w:rsidRPr="0020045E">
        <w:rPr>
          <w:rFonts w:ascii="Times New Roman" w:hAnsi="Times New Roman"/>
        </w:rPr>
        <w:t xml:space="preserve"> categories aside, there can be no </w:t>
      </w:r>
      <w:r w:rsidR="003C3E36" w:rsidRPr="0020045E">
        <w:rPr>
          <w:rFonts w:ascii="Times New Roman" w:hAnsi="Times New Roman"/>
        </w:rPr>
        <w:t>'</w:t>
      </w:r>
      <w:r w:rsidRPr="0020045E">
        <w:rPr>
          <w:rFonts w:ascii="Times New Roman" w:hAnsi="Times New Roman"/>
        </w:rPr>
        <w:t>matter</w:t>
      </w:r>
      <w:r w:rsidR="003C3E36" w:rsidRPr="0020045E">
        <w:rPr>
          <w:rFonts w:ascii="Times New Roman" w:hAnsi="Times New Roman"/>
        </w:rPr>
        <w:t>'</w:t>
      </w:r>
      <w:r w:rsidRPr="0020045E">
        <w:rPr>
          <w:rFonts w:ascii="Times New Roman" w:hAnsi="Times New Roman"/>
        </w:rPr>
        <w:t xml:space="preserve"> within the meaning of Ch III of the </w:t>
      </w:r>
      <w:r w:rsidRPr="0020045E">
        <w:rPr>
          <w:rFonts w:ascii="Times New Roman" w:hAnsi="Times New Roman"/>
          <w:i/>
          <w:iCs/>
        </w:rPr>
        <w:t xml:space="preserve">Constitution </w:t>
      </w:r>
      <w:r w:rsidRPr="0020045E">
        <w:rPr>
          <w:rFonts w:ascii="Times New Roman" w:hAnsi="Times New Roman"/>
        </w:rPr>
        <w:t xml:space="preserve">unless 'there is some immediate right, duty or liability to be established by the determination of the Court' in the administration of a law and unless the determination can result in the Court granting relief which both quells a controversy between parties and is available at the suit of the party seeking that relief". The requirement to identify some </w:t>
      </w:r>
      <w:r w:rsidR="00805E8D" w:rsidRPr="0020045E">
        <w:rPr>
          <w:rFonts w:ascii="Times New Roman" w:hAnsi="Times New Roman"/>
        </w:rPr>
        <w:t>"</w:t>
      </w:r>
      <w:r w:rsidRPr="0020045E">
        <w:rPr>
          <w:rFonts w:ascii="Times New Roman" w:hAnsi="Times New Roman"/>
        </w:rPr>
        <w:t xml:space="preserve">immediate right, duty or liability" to be established by the determination of the </w:t>
      </w:r>
      <w:r w:rsidR="00040BF2" w:rsidRPr="0020045E">
        <w:rPr>
          <w:rFonts w:ascii="Times New Roman" w:hAnsi="Times New Roman"/>
        </w:rPr>
        <w:t>c</w:t>
      </w:r>
      <w:r w:rsidRPr="0020045E">
        <w:rPr>
          <w:rFonts w:ascii="Times New Roman" w:hAnsi="Times New Roman"/>
        </w:rPr>
        <w:t>ourt "reinforces that the controversy that the court is being asked to determine is genuine, and not an advisory opinion divorced from a controversy"</w:t>
      </w:r>
      <w:r w:rsidRPr="0020045E">
        <w:rPr>
          <w:rStyle w:val="FootnoteReference"/>
          <w:rFonts w:ascii="Times New Roman" w:hAnsi="Times New Roman"/>
          <w:sz w:val="24"/>
        </w:rPr>
        <w:footnoteReference w:id="24"/>
      </w:r>
      <w:r w:rsidRPr="0020045E">
        <w:rPr>
          <w:rFonts w:ascii="Times New Roman" w:hAnsi="Times New Roman"/>
        </w:rPr>
        <w:t xml:space="preserve">. </w:t>
      </w:r>
      <w:r w:rsidR="00263064" w:rsidRPr="0020045E">
        <w:rPr>
          <w:rFonts w:ascii="Times New Roman" w:hAnsi="Times New Roman"/>
        </w:rPr>
        <w:t>That</w:t>
      </w:r>
      <w:r w:rsidR="005946F0">
        <w:rPr>
          <w:rFonts w:ascii="Times New Roman" w:hAnsi="Times New Roman"/>
        </w:rPr>
        <w:t> </w:t>
      </w:r>
      <w:r w:rsidR="00263064" w:rsidRPr="0020045E">
        <w:rPr>
          <w:rFonts w:ascii="Times New Roman" w:hAnsi="Times New Roman"/>
        </w:rPr>
        <w:t>requirement applies in both original and appellate jurisdiction.</w:t>
      </w:r>
    </w:p>
    <w:p w14:paraId="3E2CC073" w14:textId="7D858DBE"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r>
      <w:r w:rsidRPr="0020045E">
        <w:rPr>
          <w:rFonts w:ascii="Times New Roman" w:hAnsi="Times New Roman"/>
          <w:i/>
          <w:iCs/>
        </w:rPr>
        <w:t xml:space="preserve">Unions [No 3] </w:t>
      </w:r>
      <w:r w:rsidRPr="0020045E">
        <w:rPr>
          <w:rFonts w:ascii="Times New Roman" w:hAnsi="Times New Roman"/>
        </w:rPr>
        <w:t xml:space="preserve">was a matter in original jurisdiction. The concept of "matter" has been most often analysed in the context of original jurisdiction. That is unsurprising because, usually, the existence of a matter on appeal is uncontroversial. That requires explanation. </w:t>
      </w:r>
    </w:p>
    <w:p w14:paraId="55DFD7A3" w14:textId="3B192E0A"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lastRenderedPageBreak/>
        <w:tab/>
        <w:t>An appeal is against orders, not reasons for judgment</w:t>
      </w:r>
      <w:r w:rsidRPr="0020045E">
        <w:rPr>
          <w:rStyle w:val="FootnoteReference"/>
          <w:rFonts w:ascii="Times New Roman" w:hAnsi="Times New Roman"/>
          <w:sz w:val="24"/>
        </w:rPr>
        <w:footnoteReference w:id="25"/>
      </w:r>
      <w:r w:rsidRPr="0020045E">
        <w:rPr>
          <w:rFonts w:ascii="Times New Roman" w:hAnsi="Times New Roman"/>
        </w:rPr>
        <w:t>. The respective rights, duties or liabilities of the parties have been determined by the orders that have been made by the court below, including, usually, an order as to costs. There</w:t>
      </w:r>
      <w:r w:rsidR="003F4A1B">
        <w:rPr>
          <w:rFonts w:ascii="Times New Roman" w:hAnsi="Times New Roman"/>
        </w:rPr>
        <w:t> </w:t>
      </w:r>
      <w:r w:rsidRPr="0020045E">
        <w:rPr>
          <w:rFonts w:ascii="Times New Roman" w:hAnsi="Times New Roman"/>
        </w:rPr>
        <w:t>has been an exercise of judicial power; the whole or part of the controversy between the parties has been quelled. Where a final judgment has been rendered, the rights and obligations in controversy, as between those persons, cease to have an independent existence: they "merge" in the final judgment</w:t>
      </w:r>
      <w:r w:rsidRPr="0020045E">
        <w:rPr>
          <w:rStyle w:val="FootnoteReference"/>
          <w:rFonts w:ascii="Times New Roman" w:hAnsi="Times New Roman"/>
          <w:sz w:val="24"/>
        </w:rPr>
        <w:footnoteReference w:id="26"/>
      </w:r>
      <w:r w:rsidRPr="0020045E">
        <w:rPr>
          <w:rFonts w:ascii="Times New Roman" w:hAnsi="Times New Roman"/>
        </w:rPr>
        <w:t xml:space="preserve"> and no action can be brought upon the extinguished rights and obligations</w:t>
      </w:r>
      <w:r w:rsidRPr="0020045E">
        <w:rPr>
          <w:rStyle w:val="FootnoteReference"/>
          <w:rFonts w:ascii="Times New Roman" w:hAnsi="Times New Roman"/>
          <w:sz w:val="24"/>
        </w:rPr>
        <w:footnoteReference w:id="27"/>
      </w:r>
      <w:r w:rsidRPr="0020045E">
        <w:rPr>
          <w:rFonts w:ascii="Times New Roman" w:hAnsi="Times New Roman"/>
        </w:rPr>
        <w:t xml:space="preserve">. However, orders may be set aside on appeal where the </w:t>
      </w:r>
      <w:r w:rsidRPr="0020045E" w:rsidDel="00525878">
        <w:rPr>
          <w:rFonts w:ascii="Times New Roman" w:hAnsi="Times New Roman"/>
        </w:rPr>
        <w:t>primary judge</w:t>
      </w:r>
      <w:r w:rsidRPr="0020045E">
        <w:rPr>
          <w:rFonts w:ascii="Times New Roman" w:hAnsi="Times New Roman"/>
        </w:rPr>
        <w:t xml:space="preserve"> is shown to have erred</w:t>
      </w:r>
      <w:r w:rsidRPr="0020045E">
        <w:rPr>
          <w:rStyle w:val="FootnoteReference"/>
          <w:rFonts w:ascii="Times New Roman" w:hAnsi="Times New Roman"/>
          <w:sz w:val="24"/>
        </w:rPr>
        <w:footnoteReference w:id="28"/>
      </w:r>
      <w:r w:rsidRPr="0020045E">
        <w:rPr>
          <w:rFonts w:ascii="Times New Roman" w:hAnsi="Times New Roman"/>
        </w:rPr>
        <w:t>. An</w:t>
      </w:r>
      <w:r w:rsidR="003F4A1B">
        <w:rPr>
          <w:rFonts w:ascii="Times New Roman" w:hAnsi="Times New Roman"/>
        </w:rPr>
        <w:t> </w:t>
      </w:r>
      <w:r w:rsidRPr="0020045E">
        <w:rPr>
          <w:rFonts w:ascii="Times New Roman" w:hAnsi="Times New Roman"/>
        </w:rPr>
        <w:t>appellate court is then obliged, unless the matter is remitted for rehearing, to</w:t>
      </w:r>
      <w:r w:rsidR="003F4A1B">
        <w:rPr>
          <w:rFonts w:ascii="Times New Roman" w:hAnsi="Times New Roman"/>
        </w:rPr>
        <w:t> </w:t>
      </w:r>
      <w:r w:rsidRPr="0020045E">
        <w:rPr>
          <w:rFonts w:ascii="Times New Roman" w:hAnsi="Times New Roman"/>
        </w:rPr>
        <w:t>"give the judgment which in its opinion ought to have been given in the first instance"</w:t>
      </w:r>
      <w:r w:rsidRPr="0020045E">
        <w:rPr>
          <w:rStyle w:val="FootnoteReference"/>
          <w:rFonts w:ascii="Times New Roman" w:hAnsi="Times New Roman"/>
          <w:sz w:val="24"/>
        </w:rPr>
        <w:footnoteReference w:id="29"/>
      </w:r>
      <w:r w:rsidRPr="0020045E">
        <w:rPr>
          <w:rFonts w:ascii="Times New Roman" w:hAnsi="Times New Roman"/>
        </w:rPr>
        <w:t>.</w:t>
      </w:r>
    </w:p>
    <w:p w14:paraId="07607C95" w14:textId="3530ED15"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On appeal, therefore, the question is not whether the party can establish the claimed legal right, </w:t>
      </w:r>
      <w:proofErr w:type="gramStart"/>
      <w:r w:rsidRPr="0020045E">
        <w:rPr>
          <w:rFonts w:ascii="Times New Roman" w:hAnsi="Times New Roman"/>
        </w:rPr>
        <w:t>duty</w:t>
      </w:r>
      <w:proofErr w:type="gramEnd"/>
      <w:r w:rsidRPr="0020045E">
        <w:rPr>
          <w:rFonts w:ascii="Times New Roman" w:hAnsi="Times New Roman"/>
        </w:rPr>
        <w:t xml:space="preserve"> or liability, as that question has been determined. The</w:t>
      </w:r>
      <w:r w:rsidR="003F4A1B">
        <w:rPr>
          <w:rFonts w:ascii="Times New Roman" w:hAnsi="Times New Roman"/>
        </w:rPr>
        <w:t> </w:t>
      </w:r>
      <w:r w:rsidRPr="0020045E">
        <w:rPr>
          <w:rFonts w:ascii="Times New Roman" w:hAnsi="Times New Roman"/>
        </w:rPr>
        <w:t>question is not whether the party continues to have the interest necessary to obtain relief, because th</w:t>
      </w:r>
      <w:r w:rsidR="00E33639">
        <w:rPr>
          <w:rFonts w:ascii="Times New Roman" w:hAnsi="Times New Roman"/>
        </w:rPr>
        <w:t>at</w:t>
      </w:r>
      <w:r w:rsidRPr="0020045E">
        <w:rPr>
          <w:rFonts w:ascii="Times New Roman" w:hAnsi="Times New Roman"/>
        </w:rPr>
        <w:t xml:space="preserve"> question ha</w:t>
      </w:r>
      <w:r w:rsidR="00E33639">
        <w:rPr>
          <w:rFonts w:ascii="Times New Roman" w:hAnsi="Times New Roman"/>
        </w:rPr>
        <w:t>s</w:t>
      </w:r>
      <w:r w:rsidRPr="0020045E">
        <w:rPr>
          <w:rFonts w:ascii="Times New Roman" w:hAnsi="Times New Roman"/>
        </w:rPr>
        <w:t xml:space="preserve"> been overtaken by the grant of relief or by the refusal of relief. The question on appeal and for determination on appeal is </w:t>
      </w:r>
      <w:r w:rsidRPr="0020045E">
        <w:rPr>
          <w:rFonts w:ascii="Times New Roman" w:hAnsi="Times New Roman"/>
        </w:rPr>
        <w:lastRenderedPageBreak/>
        <w:t xml:space="preserve">whether the orders </w:t>
      </w:r>
      <w:r w:rsidR="001C1C4B" w:rsidRPr="0020045E">
        <w:rPr>
          <w:rFonts w:ascii="Times New Roman" w:hAnsi="Times New Roman"/>
        </w:rPr>
        <w:t>of the primary judge</w:t>
      </w:r>
      <w:r w:rsidRPr="0020045E">
        <w:rPr>
          <w:rFonts w:ascii="Times New Roman" w:hAnsi="Times New Roman"/>
        </w:rPr>
        <w:t xml:space="preserve"> should be affirmed, </w:t>
      </w:r>
      <w:proofErr w:type="gramStart"/>
      <w:r w:rsidRPr="0020045E">
        <w:rPr>
          <w:rFonts w:ascii="Times New Roman" w:hAnsi="Times New Roman"/>
        </w:rPr>
        <w:t>varied</w:t>
      </w:r>
      <w:proofErr w:type="gramEnd"/>
      <w:r w:rsidRPr="0020045E">
        <w:rPr>
          <w:rFonts w:ascii="Times New Roman" w:hAnsi="Times New Roman"/>
        </w:rPr>
        <w:t xml:space="preserve"> or reversed – that is, whether the appeal should be allowed and</w:t>
      </w:r>
      <w:r w:rsidR="00C9655D" w:rsidRPr="0020045E">
        <w:rPr>
          <w:rFonts w:ascii="Times New Roman" w:hAnsi="Times New Roman"/>
        </w:rPr>
        <w:t>,</w:t>
      </w:r>
      <w:r w:rsidRPr="0020045E">
        <w:rPr>
          <w:rFonts w:ascii="Times New Roman" w:hAnsi="Times New Roman"/>
        </w:rPr>
        <w:t xml:space="preserve"> if so, what orders should be made in the place of the primary judge's orders. </w:t>
      </w:r>
      <w:r w:rsidR="003C3C5C" w:rsidRPr="0020045E">
        <w:rPr>
          <w:rFonts w:ascii="Times New Roman" w:hAnsi="Times New Roman"/>
        </w:rPr>
        <w:t xml:space="preserve">But the appellate court's supervisory function over the exercise of original jurisdiction by the primary judge is not an </w:t>
      </w:r>
      <w:proofErr w:type="gramStart"/>
      <w:r w:rsidR="003C3C5C" w:rsidRPr="0020045E">
        <w:rPr>
          <w:rFonts w:ascii="Times New Roman" w:hAnsi="Times New Roman"/>
        </w:rPr>
        <w:t>end in itself</w:t>
      </w:r>
      <w:proofErr w:type="gramEnd"/>
      <w:r w:rsidR="003C3C5C" w:rsidRPr="0020045E">
        <w:rPr>
          <w:rFonts w:ascii="Times New Roman" w:hAnsi="Times New Roman"/>
        </w:rPr>
        <w:t>. The second element required to form a "matter" still applies</w:t>
      </w:r>
      <w:r w:rsidR="00EF77BA">
        <w:rPr>
          <w:rFonts w:ascii="Times New Roman" w:hAnsi="Times New Roman"/>
        </w:rPr>
        <w:t> </w:t>
      </w:r>
      <w:r w:rsidR="003C3C5C" w:rsidRPr="0020045E">
        <w:rPr>
          <w:rFonts w:ascii="Times New Roman" w:hAnsi="Times New Roman"/>
        </w:rPr>
        <w:t xml:space="preserve">– there must be a controversy over some immediate right, </w:t>
      </w:r>
      <w:proofErr w:type="gramStart"/>
      <w:r w:rsidR="003C3C5C" w:rsidRPr="0020045E">
        <w:rPr>
          <w:rFonts w:ascii="Times New Roman" w:hAnsi="Times New Roman"/>
        </w:rPr>
        <w:t>duty</w:t>
      </w:r>
      <w:proofErr w:type="gramEnd"/>
      <w:r w:rsidR="003C3C5C" w:rsidRPr="0020045E">
        <w:rPr>
          <w:rFonts w:ascii="Times New Roman" w:hAnsi="Times New Roman"/>
        </w:rPr>
        <w:t xml:space="preserve"> or liability. </w:t>
      </w:r>
      <w:r w:rsidRPr="0020045E">
        <w:rPr>
          <w:rFonts w:ascii="Times New Roman" w:hAnsi="Times New Roman"/>
        </w:rPr>
        <w:t>Usually, there is a live controversy because</w:t>
      </w:r>
      <w:r w:rsidRPr="0020045E" w:rsidDel="00BD3A4B">
        <w:rPr>
          <w:rFonts w:ascii="Times New Roman" w:hAnsi="Times New Roman"/>
        </w:rPr>
        <w:t xml:space="preserve"> </w:t>
      </w:r>
      <w:r w:rsidRPr="0020045E">
        <w:rPr>
          <w:rFonts w:ascii="Times New Roman" w:hAnsi="Times New Roman"/>
        </w:rPr>
        <w:t xml:space="preserve">the orders </w:t>
      </w:r>
      <w:r w:rsidR="005E77EC" w:rsidRPr="0020045E">
        <w:rPr>
          <w:rFonts w:ascii="Times New Roman" w:hAnsi="Times New Roman"/>
        </w:rPr>
        <w:t>of the primary judge</w:t>
      </w:r>
      <w:r w:rsidRPr="0020045E">
        <w:rPr>
          <w:rFonts w:ascii="Times New Roman" w:hAnsi="Times New Roman"/>
        </w:rPr>
        <w:t xml:space="preserve"> continue to have effect in determining the parties' rights</w:t>
      </w:r>
      <w:r w:rsidR="005E77EC" w:rsidRPr="0020045E">
        <w:rPr>
          <w:rFonts w:ascii="Times New Roman" w:hAnsi="Times New Roman"/>
        </w:rPr>
        <w:t>,</w:t>
      </w:r>
      <w:r w:rsidRPr="0020045E">
        <w:rPr>
          <w:rFonts w:ascii="Times New Roman" w:hAnsi="Times New Roman"/>
        </w:rPr>
        <w:t xml:space="preserve"> </w:t>
      </w:r>
      <w:proofErr w:type="gramStart"/>
      <w:r w:rsidRPr="0020045E">
        <w:rPr>
          <w:rFonts w:ascii="Times New Roman" w:hAnsi="Times New Roman"/>
        </w:rPr>
        <w:t>duties</w:t>
      </w:r>
      <w:proofErr w:type="gramEnd"/>
      <w:r w:rsidRPr="0020045E">
        <w:rPr>
          <w:rFonts w:ascii="Times New Roman" w:hAnsi="Times New Roman"/>
        </w:rPr>
        <w:t xml:space="preserve"> or liabilities, unless set aside on appeal</w:t>
      </w:r>
      <w:r w:rsidRPr="0020045E">
        <w:rPr>
          <w:rStyle w:val="FootnoteReference"/>
          <w:rFonts w:ascii="Times New Roman" w:hAnsi="Times New Roman"/>
          <w:sz w:val="24"/>
        </w:rPr>
        <w:footnoteReference w:id="30"/>
      </w:r>
      <w:r w:rsidRPr="0020045E">
        <w:rPr>
          <w:rFonts w:ascii="Times New Roman" w:hAnsi="Times New Roman"/>
        </w:rPr>
        <w:t xml:space="preserve">. In seeking to appeal the orders made at first instance, one or more of the parties are seeking to challenge the continuing effect of the orders on the determination of their respective rights, </w:t>
      </w:r>
      <w:proofErr w:type="gramStart"/>
      <w:r w:rsidRPr="0020045E">
        <w:rPr>
          <w:rFonts w:ascii="Times New Roman" w:hAnsi="Times New Roman"/>
        </w:rPr>
        <w:t>duties</w:t>
      </w:r>
      <w:proofErr w:type="gramEnd"/>
      <w:r w:rsidRPr="0020045E">
        <w:rPr>
          <w:rFonts w:ascii="Times New Roman" w:hAnsi="Times New Roman"/>
        </w:rPr>
        <w:t xml:space="preserve"> or liabilities. As will be explained, that critical feature – any controversy over the continuing effect of the orders on the parties' rights, </w:t>
      </w:r>
      <w:proofErr w:type="gramStart"/>
      <w:r w:rsidRPr="0020045E">
        <w:rPr>
          <w:rFonts w:ascii="Times New Roman" w:hAnsi="Times New Roman"/>
        </w:rPr>
        <w:t>duties</w:t>
      </w:r>
      <w:proofErr w:type="gramEnd"/>
      <w:r w:rsidRPr="0020045E">
        <w:rPr>
          <w:rFonts w:ascii="Times New Roman" w:hAnsi="Times New Roman"/>
        </w:rPr>
        <w:t xml:space="preserve"> or liabilities – was absent in the appeals before the Full Federal Court. </w:t>
      </w:r>
    </w:p>
    <w:p w14:paraId="1B9816FB" w14:textId="77777777" w:rsidR="0077622A" w:rsidRPr="0020045E" w:rsidRDefault="0077622A" w:rsidP="0020045E">
      <w:pPr>
        <w:pStyle w:val="HeadingL1"/>
        <w:spacing w:after="260" w:line="280" w:lineRule="exact"/>
        <w:ind w:right="0"/>
        <w:jc w:val="both"/>
        <w:rPr>
          <w:rFonts w:ascii="Times New Roman" w:hAnsi="Times New Roman"/>
        </w:rPr>
      </w:pPr>
      <w:r w:rsidRPr="0020045E">
        <w:rPr>
          <w:rFonts w:ascii="Times New Roman" w:hAnsi="Times New Roman"/>
        </w:rPr>
        <w:t>There was no matter in the Full Federal Court</w:t>
      </w:r>
    </w:p>
    <w:p w14:paraId="34B64D29" w14:textId="69D90CE5"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The appellant submitted before this Court that there was no "matter" before</w:t>
      </w:r>
      <w:r w:rsidR="003F4A1B">
        <w:rPr>
          <w:rFonts w:ascii="Times New Roman" w:hAnsi="Times New Roman"/>
        </w:rPr>
        <w:t> </w:t>
      </w:r>
      <w:r w:rsidRPr="0020045E">
        <w:rPr>
          <w:rFonts w:ascii="Times New Roman" w:hAnsi="Times New Roman"/>
        </w:rPr>
        <w:t>the Full Federal Court because the orders that the Commonwealth parties sought to appeal had no operative legal effect by the time the Full Court determined the appeals. At the time the appeals were filed, Nauru had informed Australia it would not accept the appellant and the Minister had voluntarily engaged s 198AE such that s 198AD did not apply to the appellant. Since the home detention order was dependent on the s 198AD mandamus order, the events rendering the s 198AD mandamus order inoperative similarly made the home detention order inoperative. Even if there was a "matter" when the appeals were filed, there ceased to be a "matter" from the moment during the hearing when the Commonwealth parties undertook not to seek the costs of the trial or the appeal</w:t>
      </w:r>
      <w:r w:rsidR="00E27FBC" w:rsidRPr="0020045E">
        <w:rPr>
          <w:rFonts w:ascii="Times New Roman" w:hAnsi="Times New Roman"/>
        </w:rPr>
        <w:t>s</w:t>
      </w:r>
      <w:r w:rsidRPr="0020045E">
        <w:rPr>
          <w:rFonts w:ascii="Times New Roman" w:hAnsi="Times New Roman"/>
        </w:rPr>
        <w:t xml:space="preserve">. Those submissions should be accepted. </w:t>
      </w:r>
    </w:p>
    <w:p w14:paraId="50BAFDA7" w14:textId="3BE1AC85"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So</w:t>
      </w:r>
      <w:r w:rsidR="003776FE" w:rsidRPr="0020045E">
        <w:rPr>
          <w:rFonts w:ascii="Times New Roman" w:hAnsi="Times New Roman"/>
        </w:rPr>
        <w:t>,</w:t>
      </w:r>
      <w:r w:rsidRPr="0020045E">
        <w:rPr>
          <w:rFonts w:ascii="Times New Roman" w:hAnsi="Times New Roman"/>
        </w:rPr>
        <w:t xml:space="preserve"> what were the Commonwealth parties' arguments? The Commonwealth parties submitted that the appeals to the Full Court involved a "matter" on four separate bases, each of which was said to be sufficient. Each of the bases is addressed below and rejected. </w:t>
      </w:r>
    </w:p>
    <w:p w14:paraId="30A1CEC1" w14:textId="77777777" w:rsidR="0077622A" w:rsidRPr="0020045E" w:rsidRDefault="0077622A" w:rsidP="0020045E">
      <w:pPr>
        <w:pStyle w:val="HeadingL2"/>
        <w:spacing w:after="260" w:line="280" w:lineRule="exact"/>
        <w:ind w:right="0"/>
        <w:jc w:val="both"/>
        <w:rPr>
          <w:rFonts w:ascii="Times New Roman" w:hAnsi="Times New Roman"/>
        </w:rPr>
      </w:pPr>
      <w:r w:rsidRPr="0020045E">
        <w:rPr>
          <w:rFonts w:ascii="Times New Roman" w:hAnsi="Times New Roman"/>
        </w:rPr>
        <w:t>Any appeal against an order involves a "</w:t>
      </w:r>
      <w:proofErr w:type="gramStart"/>
      <w:r w:rsidRPr="0020045E">
        <w:rPr>
          <w:rFonts w:ascii="Times New Roman" w:hAnsi="Times New Roman"/>
        </w:rPr>
        <w:t>matter"</w:t>
      </w:r>
      <w:proofErr w:type="gramEnd"/>
    </w:p>
    <w:p w14:paraId="4A8588D8" w14:textId="343775C8"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The Commonwealth parties' primary argument took as accepted premises that the primary judge's orders did not have any ongoing effect on the parties' </w:t>
      </w:r>
      <w:r w:rsidRPr="0020045E">
        <w:rPr>
          <w:rFonts w:ascii="Times New Roman" w:hAnsi="Times New Roman"/>
        </w:rPr>
        <w:lastRenderedPageBreak/>
        <w:t xml:space="preserve">rights, </w:t>
      </w:r>
      <w:proofErr w:type="gramStart"/>
      <w:r w:rsidRPr="0020045E">
        <w:rPr>
          <w:rFonts w:ascii="Times New Roman" w:hAnsi="Times New Roman"/>
        </w:rPr>
        <w:t>duties</w:t>
      </w:r>
      <w:proofErr w:type="gramEnd"/>
      <w:r w:rsidRPr="0020045E">
        <w:rPr>
          <w:rFonts w:ascii="Times New Roman" w:hAnsi="Times New Roman"/>
        </w:rPr>
        <w:t xml:space="preserve"> or liabilities at the time of the Full Court's determination of the appeals, and that the orders made on appeal would not affect the rights, duties or liabilities of the parties. </w:t>
      </w:r>
    </w:p>
    <w:p w14:paraId="7FDFB249" w14:textId="3E26ACD3"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In short, the Commonwealth parties' argument was that, so long as there is a decision made at first instance and an appeal about the correctness of the orders made at first instance, there will always be a "matter". That was said to be so, even</w:t>
      </w:r>
      <w:r w:rsidR="00382704">
        <w:rPr>
          <w:rFonts w:ascii="Times New Roman" w:hAnsi="Times New Roman"/>
        </w:rPr>
        <w:t> </w:t>
      </w:r>
      <w:r w:rsidRPr="0020045E">
        <w:rPr>
          <w:rFonts w:ascii="Times New Roman" w:hAnsi="Times New Roman"/>
        </w:rPr>
        <w:t xml:space="preserve">if the orders have no ongoing effect, because the reasons that led to the making of the orders have precedential significance. </w:t>
      </w:r>
    </w:p>
    <w:p w14:paraId="43C7A955" w14:textId="5A829D0B"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The main authority that the Commonwealth parties relied on was this Court's decision in </w:t>
      </w:r>
      <w:proofErr w:type="spellStart"/>
      <w:r w:rsidRPr="0020045E">
        <w:rPr>
          <w:rFonts w:ascii="Times New Roman" w:hAnsi="Times New Roman"/>
          <w:i/>
          <w:iCs/>
        </w:rPr>
        <w:t>Mellifont</w:t>
      </w:r>
      <w:proofErr w:type="spellEnd"/>
      <w:r w:rsidRPr="0020045E">
        <w:rPr>
          <w:rFonts w:ascii="Times New Roman" w:hAnsi="Times New Roman"/>
          <w:i/>
          <w:iCs/>
        </w:rPr>
        <w:t xml:space="preserve"> v Attorney-General (Q)</w:t>
      </w:r>
      <w:r w:rsidRPr="0020045E">
        <w:rPr>
          <w:rStyle w:val="FootnoteReference"/>
          <w:rFonts w:ascii="Times New Roman" w:hAnsi="Times New Roman"/>
          <w:sz w:val="24"/>
        </w:rPr>
        <w:footnoteReference w:id="31"/>
      </w:r>
      <w:r w:rsidRPr="0020045E">
        <w:rPr>
          <w:rFonts w:ascii="Times New Roman" w:hAnsi="Times New Roman"/>
        </w:rPr>
        <w:t xml:space="preserve">. In </w:t>
      </w:r>
      <w:proofErr w:type="spellStart"/>
      <w:r w:rsidRPr="0020045E">
        <w:rPr>
          <w:rFonts w:ascii="Times New Roman" w:hAnsi="Times New Roman"/>
          <w:i/>
          <w:iCs/>
        </w:rPr>
        <w:t>Mellifont</w:t>
      </w:r>
      <w:proofErr w:type="spellEnd"/>
      <w:r w:rsidRPr="0020045E">
        <w:rPr>
          <w:rFonts w:ascii="Times New Roman" w:hAnsi="Times New Roman"/>
        </w:rPr>
        <w:t>,</w:t>
      </w:r>
      <w:r w:rsidRPr="0020045E">
        <w:rPr>
          <w:rFonts w:ascii="Times New Roman" w:hAnsi="Times New Roman"/>
          <w:i/>
          <w:iCs/>
        </w:rPr>
        <w:t xml:space="preserve"> </w:t>
      </w:r>
      <w:r w:rsidRPr="0020045E">
        <w:rPr>
          <w:rFonts w:ascii="Times New Roman" w:hAnsi="Times New Roman"/>
        </w:rPr>
        <w:t xml:space="preserve">the Court held it had jurisdiction to hear an appeal from a decision of the Queensland Court of Criminal Appeal pursuant to a provision of the </w:t>
      </w:r>
      <w:r w:rsidRPr="0020045E">
        <w:rPr>
          <w:rFonts w:ascii="Times New Roman" w:hAnsi="Times New Roman"/>
          <w:i/>
          <w:iCs/>
        </w:rPr>
        <w:t xml:space="preserve">Criminal Code </w:t>
      </w:r>
      <w:r w:rsidRPr="0020045E">
        <w:rPr>
          <w:rFonts w:ascii="Times New Roman" w:hAnsi="Times New Roman"/>
        </w:rPr>
        <w:t>(Qld)</w:t>
      </w:r>
      <w:r w:rsidRPr="0020045E">
        <w:rPr>
          <w:rFonts w:ascii="Times New Roman" w:hAnsi="Times New Roman"/>
          <w:i/>
          <w:iCs/>
        </w:rPr>
        <w:t xml:space="preserve"> </w:t>
      </w:r>
      <w:r w:rsidRPr="0020045E">
        <w:rPr>
          <w:rFonts w:ascii="Times New Roman" w:hAnsi="Times New Roman"/>
        </w:rPr>
        <w:t>that permitted referral of a question of law arising in a criminal trial to that Court in circumstances where the accused person had been acquitted or discharged. In the case of discharge, the ruling on the point of law would not play any part in any subsequent determination of the charge on the indictment because the Court proceeded "on the footing that no further proceedings on the indictment in respect of the relevant cha</w:t>
      </w:r>
      <w:r w:rsidR="00B679B4">
        <w:rPr>
          <w:rFonts w:ascii="Times New Roman" w:hAnsi="Times New Roman"/>
        </w:rPr>
        <w:t>r</w:t>
      </w:r>
      <w:r w:rsidRPr="0020045E">
        <w:rPr>
          <w:rFonts w:ascii="Times New Roman" w:hAnsi="Times New Roman"/>
        </w:rPr>
        <w:t>ge [would] be taken" and likewise, in the case of an acquittal, the ruling would have "no impact" on the acquittal</w:t>
      </w:r>
      <w:r w:rsidRPr="0020045E">
        <w:rPr>
          <w:rStyle w:val="FootnoteReference"/>
          <w:rFonts w:ascii="Times New Roman" w:hAnsi="Times New Roman"/>
          <w:sz w:val="24"/>
        </w:rPr>
        <w:footnoteReference w:id="32"/>
      </w:r>
      <w:r w:rsidRPr="0020045E">
        <w:rPr>
          <w:rFonts w:ascii="Times New Roman" w:hAnsi="Times New Roman"/>
        </w:rPr>
        <w:t xml:space="preserve">. This differed from the procedure considered in </w:t>
      </w:r>
      <w:r w:rsidRPr="0020045E">
        <w:rPr>
          <w:rFonts w:ascii="Times New Roman" w:hAnsi="Times New Roman"/>
          <w:i/>
          <w:iCs/>
        </w:rPr>
        <w:t>O'Toole v Charles David Pty Ltd</w:t>
      </w:r>
      <w:r w:rsidRPr="0020045E">
        <w:rPr>
          <w:rFonts w:ascii="Times New Roman" w:hAnsi="Times New Roman"/>
        </w:rPr>
        <w:t xml:space="preserve">, where the appellate court was asked to decide questions reserved arising in proceedings </w:t>
      </w:r>
      <w:r w:rsidRPr="0020045E">
        <w:rPr>
          <w:rFonts w:ascii="Times New Roman" w:hAnsi="Times New Roman"/>
          <w:i/>
          <w:iCs/>
        </w:rPr>
        <w:t>still pending</w:t>
      </w:r>
      <w:r w:rsidRPr="0020045E">
        <w:rPr>
          <w:rFonts w:ascii="Times New Roman" w:hAnsi="Times New Roman"/>
        </w:rPr>
        <w:t xml:space="preserve"> before a trial court</w:t>
      </w:r>
      <w:r w:rsidRPr="0020045E">
        <w:rPr>
          <w:rStyle w:val="FootnoteReference"/>
          <w:rFonts w:ascii="Times New Roman" w:hAnsi="Times New Roman"/>
          <w:sz w:val="24"/>
        </w:rPr>
        <w:footnoteReference w:id="33"/>
      </w:r>
      <w:r w:rsidRPr="0020045E">
        <w:rPr>
          <w:rFonts w:ascii="Times New Roman" w:hAnsi="Times New Roman"/>
        </w:rPr>
        <w:t xml:space="preserve">. </w:t>
      </w:r>
    </w:p>
    <w:p w14:paraId="5DB803CF" w14:textId="2A1615AE"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The Court in </w:t>
      </w:r>
      <w:proofErr w:type="spellStart"/>
      <w:r w:rsidRPr="0020045E">
        <w:rPr>
          <w:rFonts w:ascii="Times New Roman" w:hAnsi="Times New Roman"/>
          <w:i/>
          <w:iCs/>
        </w:rPr>
        <w:t>Mellifont</w:t>
      </w:r>
      <w:proofErr w:type="spellEnd"/>
      <w:r w:rsidRPr="0020045E">
        <w:rPr>
          <w:rFonts w:ascii="Times New Roman" w:hAnsi="Times New Roman"/>
          <w:i/>
          <w:iCs/>
        </w:rPr>
        <w:t xml:space="preserve"> </w:t>
      </w:r>
      <w:r w:rsidRPr="0020045E">
        <w:rPr>
          <w:rFonts w:ascii="Times New Roman" w:hAnsi="Times New Roman"/>
        </w:rPr>
        <w:t xml:space="preserve">held that it could hear an appeal from the Queensland Court of </w:t>
      </w:r>
      <w:r w:rsidR="00D90D5B" w:rsidRPr="0020045E">
        <w:rPr>
          <w:rFonts w:ascii="Times New Roman" w:hAnsi="Times New Roman"/>
        </w:rPr>
        <w:t xml:space="preserve">Criminal </w:t>
      </w:r>
      <w:r w:rsidRPr="0020045E">
        <w:rPr>
          <w:rFonts w:ascii="Times New Roman" w:hAnsi="Times New Roman"/>
        </w:rPr>
        <w:t>Appeal's decision, because the decision on the reference "was</w:t>
      </w:r>
      <w:r w:rsidR="005B4B90">
        <w:rPr>
          <w:rFonts w:ascii="Times New Roman" w:hAnsi="Times New Roman"/>
        </w:rPr>
        <w:t> </w:t>
      </w:r>
      <w:r w:rsidRPr="0020045E">
        <w:rPr>
          <w:rFonts w:ascii="Times New Roman" w:hAnsi="Times New Roman"/>
        </w:rPr>
        <w:t xml:space="preserve">made with respect to a 'matter' which was the subject-matter of </w:t>
      </w:r>
      <w:r w:rsidR="00D90D5B" w:rsidRPr="0020045E">
        <w:rPr>
          <w:rFonts w:ascii="Times New Roman" w:hAnsi="Times New Roman"/>
        </w:rPr>
        <w:t xml:space="preserve">the </w:t>
      </w:r>
      <w:r w:rsidRPr="0020045E">
        <w:rPr>
          <w:rFonts w:ascii="Times New Roman" w:hAnsi="Times New Roman"/>
        </w:rPr>
        <w:t>legal proceedings at first instance and was not divorced from the ordinary administration of the law"</w:t>
      </w:r>
      <w:r w:rsidRPr="0020045E">
        <w:rPr>
          <w:rStyle w:val="FootnoteReference"/>
          <w:rFonts w:ascii="Times New Roman" w:hAnsi="Times New Roman"/>
          <w:sz w:val="24"/>
        </w:rPr>
        <w:footnoteReference w:id="34"/>
      </w:r>
      <w:r w:rsidRPr="0020045E">
        <w:rPr>
          <w:rFonts w:ascii="Times New Roman" w:hAnsi="Times New Roman"/>
        </w:rPr>
        <w:t xml:space="preserve">, emphasising that "the reference and the decision on the reference </w:t>
      </w:r>
      <w:r w:rsidRPr="0020045E">
        <w:rPr>
          <w:rFonts w:ascii="Times New Roman" w:hAnsi="Times New Roman"/>
          <w:i/>
          <w:iCs/>
        </w:rPr>
        <w:t xml:space="preserve">arise out of </w:t>
      </w:r>
      <w:r w:rsidRPr="0020045E">
        <w:rPr>
          <w:rFonts w:ascii="Times New Roman" w:hAnsi="Times New Roman"/>
        </w:rPr>
        <w:t>the proceedings on the indictment and are a statutory extension of those proceedings"</w:t>
      </w:r>
      <w:r w:rsidRPr="0020045E">
        <w:rPr>
          <w:rStyle w:val="FootnoteReference"/>
          <w:rFonts w:ascii="Times New Roman" w:hAnsi="Times New Roman"/>
          <w:sz w:val="24"/>
        </w:rPr>
        <w:footnoteReference w:id="35"/>
      </w:r>
      <w:r w:rsidRPr="0020045E">
        <w:rPr>
          <w:rFonts w:ascii="Times New Roman" w:hAnsi="Times New Roman"/>
        </w:rPr>
        <w:t xml:space="preserve">. </w:t>
      </w:r>
    </w:p>
    <w:p w14:paraId="7777058C" w14:textId="17B1D974"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lastRenderedPageBreak/>
        <w:tab/>
        <w:t xml:space="preserve">The Commonwealth parties submitted that </w:t>
      </w:r>
      <w:proofErr w:type="spellStart"/>
      <w:r w:rsidRPr="0020045E">
        <w:rPr>
          <w:rFonts w:ascii="Times New Roman" w:hAnsi="Times New Roman"/>
          <w:i/>
          <w:iCs/>
        </w:rPr>
        <w:t>Mellifont</w:t>
      </w:r>
      <w:proofErr w:type="spellEnd"/>
      <w:r w:rsidRPr="0020045E">
        <w:rPr>
          <w:rFonts w:ascii="Times New Roman" w:hAnsi="Times New Roman"/>
          <w:i/>
          <w:iCs/>
        </w:rPr>
        <w:t xml:space="preserve"> </w:t>
      </w:r>
      <w:r w:rsidRPr="0020045E">
        <w:rPr>
          <w:rFonts w:ascii="Times New Roman" w:hAnsi="Times New Roman"/>
        </w:rPr>
        <w:t xml:space="preserve">is authority for the general proposition that it is constitutionally permissible to have an appeal that does not affect the rights of the parties because the appeal corrects an error of law at trial. That submission must be rejected. The key passage from the plurality's reasons reveals that there were </w:t>
      </w:r>
      <w:proofErr w:type="gramStart"/>
      <w:r w:rsidRPr="0020045E">
        <w:rPr>
          <w:rFonts w:ascii="Times New Roman" w:hAnsi="Times New Roman"/>
        </w:rPr>
        <w:t>a number of</w:t>
      </w:r>
      <w:proofErr w:type="gramEnd"/>
      <w:r w:rsidRPr="0020045E">
        <w:rPr>
          <w:rFonts w:ascii="Times New Roman" w:hAnsi="Times New Roman"/>
        </w:rPr>
        <w:t xml:space="preserve"> aspects to the Court's conclusion in </w:t>
      </w:r>
      <w:proofErr w:type="spellStart"/>
      <w:r w:rsidRPr="0020045E">
        <w:rPr>
          <w:rFonts w:ascii="Times New Roman" w:hAnsi="Times New Roman"/>
          <w:i/>
          <w:iCs/>
        </w:rPr>
        <w:t>Mellifont</w:t>
      </w:r>
      <w:proofErr w:type="spellEnd"/>
      <w:r w:rsidRPr="0020045E">
        <w:rPr>
          <w:rStyle w:val="FootnoteReference"/>
          <w:rFonts w:ascii="Times New Roman" w:hAnsi="Times New Roman"/>
          <w:sz w:val="24"/>
        </w:rPr>
        <w:footnoteReference w:id="36"/>
      </w:r>
      <w:r w:rsidRPr="0020045E">
        <w:rPr>
          <w:rFonts w:ascii="Times New Roman" w:hAnsi="Times New Roman"/>
        </w:rPr>
        <w:t>:</w:t>
      </w:r>
    </w:p>
    <w:p w14:paraId="10F6E54F" w14:textId="2C1E9755" w:rsidR="0020045E" w:rsidRDefault="009C5116" w:rsidP="0020045E">
      <w:pPr>
        <w:pStyle w:val="leftright"/>
        <w:spacing w:before="0" w:after="260" w:line="280" w:lineRule="exact"/>
        <w:ind w:right="0"/>
        <w:jc w:val="both"/>
        <w:rPr>
          <w:rFonts w:ascii="Times New Roman" w:hAnsi="Times New Roman"/>
        </w:rPr>
      </w:pPr>
      <w:r w:rsidRPr="0020045E">
        <w:rPr>
          <w:rFonts w:ascii="Times New Roman" w:hAnsi="Times New Roman"/>
        </w:rPr>
        <w:tab/>
      </w:r>
      <w:r w:rsidR="0077622A" w:rsidRPr="0020045E">
        <w:rPr>
          <w:rFonts w:ascii="Times New Roman" w:hAnsi="Times New Roman"/>
        </w:rPr>
        <w:t xml:space="preserve">"True it is that the purpose of seeking and obtaining a review of the trial judge's ruling was to secure a correct statement of the law so that it would be applied correctly in future cases. However, in our view, </w:t>
      </w:r>
      <w:r w:rsidR="0077622A" w:rsidRPr="0020045E">
        <w:rPr>
          <w:rFonts w:ascii="Times New Roman" w:hAnsi="Times New Roman"/>
          <w:i/>
          <w:iCs/>
        </w:rPr>
        <w:t>in the context of the criminal law</w:t>
      </w:r>
      <w:r w:rsidR="0077622A" w:rsidRPr="0020045E">
        <w:rPr>
          <w:rFonts w:ascii="Times New Roman" w:hAnsi="Times New Roman"/>
        </w:rPr>
        <w:t>,</w:t>
      </w:r>
      <w:r w:rsidR="0077622A" w:rsidRPr="0020045E">
        <w:rPr>
          <w:rFonts w:ascii="Times New Roman" w:hAnsi="Times New Roman"/>
          <w:i/>
          <w:iCs/>
        </w:rPr>
        <w:t xml:space="preserve"> </w:t>
      </w:r>
      <w:r w:rsidR="0077622A" w:rsidRPr="0020045E">
        <w:rPr>
          <w:rFonts w:ascii="Times New Roman" w:hAnsi="Times New Roman"/>
        </w:rPr>
        <w:t>that does not stamp the procedure for which s 669</w:t>
      </w:r>
      <w:proofErr w:type="gramStart"/>
      <w:r w:rsidR="0077622A" w:rsidRPr="0020045E">
        <w:rPr>
          <w:rFonts w:ascii="Times New Roman" w:hAnsi="Times New Roman"/>
        </w:rPr>
        <w:t>A(</w:t>
      </w:r>
      <w:proofErr w:type="gramEnd"/>
      <w:r w:rsidR="0077622A" w:rsidRPr="0020045E">
        <w:rPr>
          <w:rFonts w:ascii="Times New Roman" w:hAnsi="Times New Roman"/>
        </w:rPr>
        <w:t xml:space="preserve">2) provides as something which is academic or hypothetical so as to deny that it is an exercise of judicial power. </w:t>
      </w:r>
      <w:r w:rsidR="0077622A" w:rsidRPr="0020045E">
        <w:rPr>
          <w:rFonts w:ascii="Times New Roman" w:hAnsi="Times New Roman"/>
          <w:i/>
          <w:iCs/>
        </w:rPr>
        <w:t>The statutory procedure, which has counterparts in other Australian jurisdictions, is a standard procedure for correcting error of law in criminal proceedings without exposing the accused to double jeopardy</w:t>
      </w:r>
      <w:r w:rsidR="0077622A" w:rsidRPr="0020045E">
        <w:rPr>
          <w:rFonts w:ascii="Times New Roman" w:hAnsi="Times New Roman"/>
        </w:rPr>
        <w:t xml:space="preserve">. It is a procedure which was designed to enable the Crown to secure a reversal of a ruling by a trial judge </w:t>
      </w:r>
      <w:r w:rsidR="0077622A" w:rsidRPr="0020045E">
        <w:rPr>
          <w:rFonts w:ascii="Times New Roman" w:hAnsi="Times New Roman"/>
          <w:i/>
          <w:iCs/>
        </w:rPr>
        <w:t>without infringing the common law rule that the Crown cannot appeal against a verdict of acquittal</w:t>
      </w:r>
      <w:r w:rsidR="0077622A" w:rsidRPr="0020045E">
        <w:rPr>
          <w:rFonts w:ascii="Times New Roman" w:hAnsi="Times New Roman"/>
        </w:rPr>
        <w:t xml:space="preserve">, a rule which precluded a review of a trial judge's ruling at the instance of the Crown in the case of acquittal. </w:t>
      </w:r>
      <w:r w:rsidR="0077622A" w:rsidRPr="0020045E">
        <w:rPr>
          <w:rFonts w:ascii="Times New Roman" w:hAnsi="Times New Roman"/>
          <w:i/>
          <w:iCs/>
        </w:rPr>
        <w:t>The</w:t>
      </w:r>
      <w:r w:rsidR="005B4B90">
        <w:rPr>
          <w:rFonts w:ascii="Times New Roman" w:hAnsi="Times New Roman"/>
          <w:i/>
          <w:iCs/>
        </w:rPr>
        <w:t> </w:t>
      </w:r>
      <w:r w:rsidR="0077622A" w:rsidRPr="0020045E">
        <w:rPr>
          <w:rFonts w:ascii="Times New Roman" w:hAnsi="Times New Roman"/>
          <w:i/>
          <w:iCs/>
        </w:rPr>
        <w:t>fundamental point, as it seems to us, is that s 669</w:t>
      </w:r>
      <w:proofErr w:type="gramStart"/>
      <w:r w:rsidR="0077622A" w:rsidRPr="0020045E">
        <w:rPr>
          <w:rFonts w:ascii="Times New Roman" w:hAnsi="Times New Roman"/>
          <w:i/>
          <w:iCs/>
        </w:rPr>
        <w:t>A(</w:t>
      </w:r>
      <w:proofErr w:type="gramEnd"/>
      <w:r w:rsidR="0077622A" w:rsidRPr="0020045E">
        <w:rPr>
          <w:rFonts w:ascii="Times New Roman" w:hAnsi="Times New Roman"/>
          <w:i/>
          <w:iCs/>
        </w:rPr>
        <w:t>2) enables the Court of Criminal Appeal to correct an error of law at the trial</w:t>
      </w:r>
      <w:r w:rsidR="0077622A" w:rsidRPr="0020045E">
        <w:rPr>
          <w:rFonts w:ascii="Times New Roman" w:hAnsi="Times New Roman"/>
        </w:rPr>
        <w:t xml:space="preserve">. It is that characteristic of the proceedings that stamps them as an exercise of judicial power and the decision as a judgment or order within the meaning of s 73. </w:t>
      </w:r>
      <w:r w:rsidR="0077622A" w:rsidRPr="0020045E">
        <w:rPr>
          <w:rFonts w:ascii="Times New Roman" w:hAnsi="Times New Roman"/>
          <w:i/>
          <w:iCs/>
        </w:rPr>
        <w:t>Were it otherwise, the appellate jurisdiction of this Court would not extend to a review of decisions of courts of criminal appeal and full courts under s 669</w:t>
      </w:r>
      <w:proofErr w:type="gramStart"/>
      <w:r w:rsidR="0077622A" w:rsidRPr="0020045E">
        <w:rPr>
          <w:rFonts w:ascii="Times New Roman" w:hAnsi="Times New Roman"/>
          <w:i/>
          <w:iCs/>
        </w:rPr>
        <w:t>A(</w:t>
      </w:r>
      <w:proofErr w:type="gramEnd"/>
      <w:r w:rsidR="0077622A" w:rsidRPr="0020045E">
        <w:rPr>
          <w:rFonts w:ascii="Times New Roman" w:hAnsi="Times New Roman"/>
          <w:i/>
          <w:iCs/>
        </w:rPr>
        <w:t>2) and similar provisions in other jurisdictions which have as their object the giving of authoritative decisions on questions of criminal law for the better administration of justice</w:t>
      </w:r>
      <w:r w:rsidR="0077622A" w:rsidRPr="0020045E">
        <w:rPr>
          <w:rFonts w:ascii="Times New Roman" w:hAnsi="Times New Roman"/>
        </w:rPr>
        <w:t xml:space="preserve">. To repeat the words of Deane, </w:t>
      </w:r>
      <w:proofErr w:type="spellStart"/>
      <w:r w:rsidR="0077622A" w:rsidRPr="0020045E">
        <w:rPr>
          <w:rFonts w:ascii="Times New Roman" w:hAnsi="Times New Roman"/>
        </w:rPr>
        <w:t>Gaudron</w:t>
      </w:r>
      <w:proofErr w:type="spellEnd"/>
      <w:r w:rsidR="005B4B90">
        <w:rPr>
          <w:rFonts w:ascii="Times New Roman" w:hAnsi="Times New Roman"/>
        </w:rPr>
        <w:t> </w:t>
      </w:r>
      <w:r w:rsidR="0077622A" w:rsidRPr="0020045E">
        <w:rPr>
          <w:rFonts w:ascii="Times New Roman" w:hAnsi="Times New Roman"/>
        </w:rPr>
        <w:t xml:space="preserve">and McHugh JJ in </w:t>
      </w:r>
      <w:r w:rsidR="0077622A" w:rsidRPr="0020045E">
        <w:rPr>
          <w:rFonts w:ascii="Times New Roman" w:hAnsi="Times New Roman"/>
          <w:i/>
          <w:iCs/>
        </w:rPr>
        <w:t xml:space="preserve">O'Toole </w:t>
      </w:r>
      <w:r w:rsidR="0077622A" w:rsidRPr="0020045E">
        <w:rPr>
          <w:rFonts w:ascii="Times New Roman" w:hAnsi="Times New Roman"/>
        </w:rPr>
        <w:t>in a context which is only slightly different, there is no 'persuasive reason in law or policy why' a decision under s 669</w:t>
      </w:r>
      <w:proofErr w:type="gramStart"/>
      <w:r w:rsidR="0077622A" w:rsidRPr="0020045E">
        <w:rPr>
          <w:rFonts w:ascii="Times New Roman" w:hAnsi="Times New Roman"/>
        </w:rPr>
        <w:t>A(</w:t>
      </w:r>
      <w:proofErr w:type="gramEnd"/>
      <w:r w:rsidR="0077622A" w:rsidRPr="0020045E">
        <w:rPr>
          <w:rFonts w:ascii="Times New Roman" w:hAnsi="Times New Roman"/>
        </w:rPr>
        <w:t>2) should not fall within the words 'judgments, decrees, orders' in</w:t>
      </w:r>
      <w:r w:rsidR="005B4B90">
        <w:rPr>
          <w:rFonts w:ascii="Times New Roman" w:hAnsi="Times New Roman"/>
        </w:rPr>
        <w:t> </w:t>
      </w:r>
      <w:r w:rsidR="0077622A" w:rsidRPr="0020045E">
        <w:rPr>
          <w:rFonts w:ascii="Times New Roman" w:hAnsi="Times New Roman"/>
        </w:rPr>
        <w:t>s 73</w:t>
      </w:r>
      <w:r w:rsidR="007A4C60" w:rsidRPr="0020045E">
        <w:rPr>
          <w:rFonts w:ascii="Times New Roman" w:hAnsi="Times New Roman"/>
        </w:rPr>
        <w:t>.</w:t>
      </w:r>
      <w:r w:rsidR="0077622A" w:rsidRPr="0020045E">
        <w:rPr>
          <w:rFonts w:ascii="Times New Roman" w:hAnsi="Times New Roman"/>
        </w:rPr>
        <w:t>"</w:t>
      </w:r>
    </w:p>
    <w:p w14:paraId="08AD93A4" w14:textId="2DC9FE22"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i/>
          <w:iCs/>
        </w:rPr>
        <w:tab/>
      </w:r>
      <w:r w:rsidRPr="0020045E">
        <w:rPr>
          <w:rFonts w:ascii="Times New Roman" w:hAnsi="Times New Roman"/>
        </w:rPr>
        <w:t xml:space="preserve">As this passage makes clear, </w:t>
      </w:r>
      <w:proofErr w:type="spellStart"/>
      <w:r w:rsidRPr="0020045E">
        <w:rPr>
          <w:rFonts w:ascii="Times New Roman" w:hAnsi="Times New Roman"/>
          <w:i/>
          <w:iCs/>
        </w:rPr>
        <w:t>Mellifont</w:t>
      </w:r>
      <w:proofErr w:type="spellEnd"/>
      <w:r w:rsidRPr="0020045E">
        <w:rPr>
          <w:rFonts w:ascii="Times New Roman" w:hAnsi="Times New Roman"/>
          <w:i/>
          <w:iCs/>
        </w:rPr>
        <w:t xml:space="preserve"> </w:t>
      </w:r>
      <w:r w:rsidRPr="0020045E">
        <w:rPr>
          <w:rFonts w:ascii="Times New Roman" w:hAnsi="Times New Roman"/>
        </w:rPr>
        <w:t>was decided in a very particular context, being the questions reserved procedure arising from criminal trials, and</w:t>
      </w:r>
      <w:r w:rsidR="00D24FDB">
        <w:rPr>
          <w:rFonts w:ascii="Times New Roman" w:hAnsi="Times New Roman"/>
        </w:rPr>
        <w:t> </w:t>
      </w:r>
      <w:r w:rsidRPr="0020045E">
        <w:rPr>
          <w:rFonts w:ascii="Times New Roman" w:hAnsi="Times New Roman"/>
        </w:rPr>
        <w:t>the common law principle against appealing from verdicts of acquittal. As</w:t>
      </w:r>
      <w:r w:rsidR="00D24FDB">
        <w:rPr>
          <w:rFonts w:ascii="Times New Roman" w:hAnsi="Times New Roman"/>
        </w:rPr>
        <w:t> </w:t>
      </w:r>
      <w:proofErr w:type="spellStart"/>
      <w:r w:rsidRPr="0020045E">
        <w:rPr>
          <w:rFonts w:ascii="Times New Roman" w:hAnsi="Times New Roman"/>
        </w:rPr>
        <w:t>Gaudron</w:t>
      </w:r>
      <w:proofErr w:type="spellEnd"/>
      <w:r w:rsidRPr="0020045E">
        <w:rPr>
          <w:rFonts w:ascii="Times New Roman" w:hAnsi="Times New Roman"/>
        </w:rPr>
        <w:t xml:space="preserve">, </w:t>
      </w:r>
      <w:proofErr w:type="spellStart"/>
      <w:r w:rsidRPr="0020045E">
        <w:rPr>
          <w:rFonts w:ascii="Times New Roman" w:hAnsi="Times New Roman"/>
        </w:rPr>
        <w:t>Gummow</w:t>
      </w:r>
      <w:proofErr w:type="spellEnd"/>
      <w:r w:rsidRPr="0020045E">
        <w:rPr>
          <w:rFonts w:ascii="Times New Roman" w:hAnsi="Times New Roman"/>
        </w:rPr>
        <w:t xml:space="preserve"> and Hayne JJ observed in </w:t>
      </w:r>
      <w:r w:rsidRPr="0020045E">
        <w:rPr>
          <w:rFonts w:ascii="Times New Roman" w:hAnsi="Times New Roman"/>
          <w:i/>
          <w:iCs/>
        </w:rPr>
        <w:t>Director of Public Prosecutions (SA) v B</w:t>
      </w:r>
      <w:r w:rsidRPr="0020045E">
        <w:rPr>
          <w:rFonts w:ascii="Times New Roman" w:hAnsi="Times New Roman"/>
        </w:rPr>
        <w:t xml:space="preserve">, the relationship between the question reserved and the trial was critical </w:t>
      </w:r>
      <w:r w:rsidRPr="0020045E">
        <w:rPr>
          <w:rFonts w:ascii="Times New Roman" w:hAnsi="Times New Roman"/>
        </w:rPr>
        <w:lastRenderedPageBreak/>
        <w:t>to the conclusion reached</w:t>
      </w:r>
      <w:r w:rsidRPr="0020045E">
        <w:rPr>
          <w:rStyle w:val="FootnoteReference"/>
          <w:rFonts w:ascii="Times New Roman" w:hAnsi="Times New Roman"/>
          <w:sz w:val="24"/>
        </w:rPr>
        <w:footnoteReference w:id="37"/>
      </w:r>
      <w:r w:rsidRPr="0020045E">
        <w:rPr>
          <w:rFonts w:ascii="Times New Roman" w:hAnsi="Times New Roman"/>
        </w:rPr>
        <w:t xml:space="preserve">. It should be understood in that context. </w:t>
      </w:r>
      <w:proofErr w:type="spellStart"/>
      <w:r w:rsidRPr="0020045E">
        <w:rPr>
          <w:rFonts w:ascii="Times New Roman" w:hAnsi="Times New Roman"/>
          <w:i/>
          <w:iCs/>
        </w:rPr>
        <w:t>Mellifont</w:t>
      </w:r>
      <w:proofErr w:type="spellEnd"/>
      <w:r w:rsidRPr="0020045E">
        <w:rPr>
          <w:rFonts w:ascii="Times New Roman" w:hAnsi="Times New Roman"/>
        </w:rPr>
        <w:t xml:space="preserve"> is properly cited as authority for the proposition that s 73 of the </w:t>
      </w:r>
      <w:r w:rsidRPr="0020045E">
        <w:rPr>
          <w:rFonts w:ascii="Times New Roman" w:hAnsi="Times New Roman"/>
          <w:i/>
          <w:iCs/>
        </w:rPr>
        <w:t xml:space="preserve">Constitution </w:t>
      </w:r>
      <w:r w:rsidRPr="0020045E">
        <w:rPr>
          <w:rFonts w:ascii="Times New Roman" w:hAnsi="Times New Roman"/>
        </w:rPr>
        <w:t>confers jurisdiction on the High Court to hear and determine an appeal from answers given to a case stated in a court below</w:t>
      </w:r>
      <w:r w:rsidRPr="0020045E">
        <w:rPr>
          <w:rStyle w:val="FootnoteReference"/>
          <w:rFonts w:ascii="Times New Roman" w:hAnsi="Times New Roman"/>
          <w:sz w:val="24"/>
        </w:rPr>
        <w:footnoteReference w:id="38"/>
      </w:r>
      <w:r w:rsidRPr="0020045E">
        <w:rPr>
          <w:rFonts w:ascii="Times New Roman" w:hAnsi="Times New Roman"/>
        </w:rPr>
        <w:t xml:space="preserve">. It is not authority for a broader proposition that appeals may be entertained where they will not affect the rights of the parties nor for a proposition that a party's concern for the "precedential significance" of a court decision is sufficient to form the basis of a "matter". </w:t>
      </w:r>
    </w:p>
    <w:p w14:paraId="0605C223" w14:textId="2EB517B8"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The Commonwealth parties also sought support from this Court's decision in </w:t>
      </w:r>
      <w:r w:rsidRPr="0020045E">
        <w:rPr>
          <w:rFonts w:ascii="Times New Roman" w:hAnsi="Times New Roman"/>
          <w:i/>
          <w:iCs/>
        </w:rPr>
        <w:t>Attorney-General (</w:t>
      </w:r>
      <w:proofErr w:type="spellStart"/>
      <w:r w:rsidRPr="0020045E">
        <w:rPr>
          <w:rFonts w:ascii="Times New Roman" w:hAnsi="Times New Roman"/>
          <w:i/>
          <w:iCs/>
        </w:rPr>
        <w:t>Cth</w:t>
      </w:r>
      <w:proofErr w:type="spellEnd"/>
      <w:r w:rsidRPr="0020045E">
        <w:rPr>
          <w:rFonts w:ascii="Times New Roman" w:hAnsi="Times New Roman"/>
          <w:i/>
          <w:iCs/>
        </w:rPr>
        <w:t>) v Alinta Ltd</w:t>
      </w:r>
      <w:r w:rsidRPr="0020045E">
        <w:rPr>
          <w:rStyle w:val="FootnoteReference"/>
          <w:rFonts w:ascii="Times New Roman" w:hAnsi="Times New Roman"/>
          <w:sz w:val="24"/>
        </w:rPr>
        <w:footnoteReference w:id="39"/>
      </w:r>
      <w:r w:rsidRPr="0020045E">
        <w:rPr>
          <w:rFonts w:ascii="Times New Roman" w:hAnsi="Times New Roman"/>
        </w:rPr>
        <w:t xml:space="preserve">. In </w:t>
      </w:r>
      <w:r w:rsidRPr="0020045E">
        <w:rPr>
          <w:rFonts w:ascii="Times New Roman" w:hAnsi="Times New Roman"/>
          <w:i/>
          <w:iCs/>
        </w:rPr>
        <w:t>Alinta</w:t>
      </w:r>
      <w:r w:rsidRPr="0020045E">
        <w:rPr>
          <w:rFonts w:ascii="Times New Roman" w:hAnsi="Times New Roman"/>
        </w:rPr>
        <w:t>,</w:t>
      </w:r>
      <w:r w:rsidRPr="0020045E">
        <w:rPr>
          <w:rFonts w:ascii="Times New Roman" w:hAnsi="Times New Roman"/>
          <w:i/>
          <w:iCs/>
        </w:rPr>
        <w:t xml:space="preserve"> </w:t>
      </w:r>
      <w:r w:rsidRPr="0020045E">
        <w:rPr>
          <w:rFonts w:ascii="Times New Roman" w:hAnsi="Times New Roman"/>
        </w:rPr>
        <w:t xml:space="preserve">the Attorney-General intervened in an appeal to the Full Court of the Federal Court in which it was held that, among other things, a provision dealing with powers of the Takeovers Panel was invalid because it was inconsistent with Ch III of the </w:t>
      </w:r>
      <w:r w:rsidRPr="0020045E">
        <w:rPr>
          <w:rFonts w:ascii="Times New Roman" w:hAnsi="Times New Roman"/>
          <w:i/>
          <w:iCs/>
        </w:rPr>
        <w:t>Constitution.</w:t>
      </w:r>
      <w:r w:rsidRPr="0020045E">
        <w:rPr>
          <w:rFonts w:ascii="Times New Roman" w:hAnsi="Times New Roman"/>
        </w:rPr>
        <w:t xml:space="preserve"> After</w:t>
      </w:r>
      <w:r w:rsidR="00D24FDB">
        <w:rPr>
          <w:rFonts w:ascii="Times New Roman" w:hAnsi="Times New Roman"/>
        </w:rPr>
        <w:t> </w:t>
      </w:r>
      <w:r w:rsidRPr="0020045E">
        <w:rPr>
          <w:rFonts w:ascii="Times New Roman" w:hAnsi="Times New Roman"/>
        </w:rPr>
        <w:t>special leave was granted to appeal to this Court, the commercial controversy between the parties settled. Following an application by one of the parties for the Attorney-General's grant of special leave to be revoked, the Attorney-General sought leave to amend the notice of appeal to confine it to the issue of the validity of the law. As the other parties no longer sought to present arguments in the appeal, the Attorney</w:t>
      </w:r>
      <w:r w:rsidRPr="0020045E">
        <w:rPr>
          <w:rFonts w:ascii="Times New Roman" w:hAnsi="Times New Roman"/>
        </w:rPr>
        <w:noBreakHyphen/>
        <w:t xml:space="preserve">General arranged for counsel to appear as amici curiae to support the declaration of invalidity made by the Full Court. The Court granted leave to the amici and proceeded to hear and determine the appeal. </w:t>
      </w:r>
    </w:p>
    <w:p w14:paraId="25F57E1A" w14:textId="7CF4B9AE"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As Hayne J explained, the controversy underpinning the matter in which the Attorney-General intervened in the Full Court included (but was not limited to) the question of validity of the Commonwealth law and</w:t>
      </w:r>
      <w:r w:rsidR="002520D4" w:rsidRPr="0020045E">
        <w:rPr>
          <w:rFonts w:ascii="Times New Roman" w:hAnsi="Times New Roman"/>
        </w:rPr>
        <w:t>,</w:t>
      </w:r>
      <w:r w:rsidRPr="0020045E">
        <w:rPr>
          <w:rFonts w:ascii="Times New Roman" w:hAnsi="Times New Roman"/>
        </w:rPr>
        <w:t xml:space="preserve"> by intervening, the</w:t>
      </w:r>
      <w:r w:rsidR="00D24FDB">
        <w:rPr>
          <w:rFonts w:ascii="Times New Roman" w:hAnsi="Times New Roman"/>
        </w:rPr>
        <w:t> </w:t>
      </w:r>
      <w:r w:rsidRPr="0020045E">
        <w:rPr>
          <w:rFonts w:ascii="Times New Roman" w:hAnsi="Times New Roman"/>
        </w:rPr>
        <w:t>Attorney-General became party to that controversy</w:t>
      </w:r>
      <w:r w:rsidRPr="0020045E">
        <w:rPr>
          <w:rStyle w:val="FootnoteReference"/>
          <w:rFonts w:ascii="Times New Roman" w:hAnsi="Times New Roman"/>
          <w:sz w:val="24"/>
        </w:rPr>
        <w:footnoteReference w:id="40"/>
      </w:r>
      <w:r w:rsidRPr="0020045E">
        <w:rPr>
          <w:rFonts w:ascii="Times New Roman" w:hAnsi="Times New Roman"/>
        </w:rPr>
        <w:t>. The Full Court having made the declaration of invalidity, the interest of the Attorney-General in setting aside the declaration was evident</w:t>
      </w:r>
      <w:r w:rsidRPr="0020045E">
        <w:rPr>
          <w:rStyle w:val="FootnoteReference"/>
          <w:rFonts w:ascii="Times New Roman" w:hAnsi="Times New Roman"/>
          <w:sz w:val="24"/>
        </w:rPr>
        <w:footnoteReference w:id="41"/>
      </w:r>
      <w:r w:rsidRPr="0020045E">
        <w:rPr>
          <w:rFonts w:ascii="Times New Roman" w:hAnsi="Times New Roman"/>
        </w:rPr>
        <w:t>. The critical</w:t>
      </w:r>
      <w:r w:rsidRPr="0020045E" w:rsidDel="00007E92">
        <w:rPr>
          <w:rFonts w:ascii="Times New Roman" w:hAnsi="Times New Roman"/>
        </w:rPr>
        <w:t xml:space="preserve"> </w:t>
      </w:r>
      <w:r w:rsidRPr="0020045E">
        <w:rPr>
          <w:rFonts w:ascii="Times New Roman" w:hAnsi="Times New Roman"/>
        </w:rPr>
        <w:t xml:space="preserve">factor distinguishing this case from </w:t>
      </w:r>
      <w:r w:rsidRPr="0020045E">
        <w:rPr>
          <w:rFonts w:ascii="Times New Roman" w:hAnsi="Times New Roman"/>
          <w:i/>
          <w:iCs/>
        </w:rPr>
        <w:t xml:space="preserve">Alinta </w:t>
      </w:r>
      <w:r w:rsidRPr="0020045E">
        <w:rPr>
          <w:rFonts w:ascii="Times New Roman" w:hAnsi="Times New Roman"/>
        </w:rPr>
        <w:t xml:space="preserve">is that in </w:t>
      </w:r>
      <w:r w:rsidRPr="0020045E">
        <w:rPr>
          <w:rFonts w:ascii="Times New Roman" w:hAnsi="Times New Roman"/>
          <w:i/>
          <w:iCs/>
        </w:rPr>
        <w:t xml:space="preserve">Alinta </w:t>
      </w:r>
      <w:r w:rsidRPr="0020045E">
        <w:rPr>
          <w:rFonts w:ascii="Times New Roman" w:hAnsi="Times New Roman"/>
        </w:rPr>
        <w:t xml:space="preserve">the orders of the court had an ongoing operation. There was </w:t>
      </w:r>
      <w:r w:rsidRPr="0020045E">
        <w:rPr>
          <w:rFonts w:ascii="Times New Roman" w:hAnsi="Times New Roman"/>
        </w:rPr>
        <w:lastRenderedPageBreak/>
        <w:t xml:space="preserve">a declaration that a statutory provision was invalid under the </w:t>
      </w:r>
      <w:r w:rsidRPr="0020045E">
        <w:rPr>
          <w:rFonts w:ascii="Times New Roman" w:hAnsi="Times New Roman"/>
          <w:i/>
          <w:iCs/>
        </w:rPr>
        <w:t>Constitution</w:t>
      </w:r>
      <w:r w:rsidRPr="0020045E">
        <w:rPr>
          <w:rFonts w:ascii="Times New Roman" w:hAnsi="Times New Roman"/>
        </w:rPr>
        <w:t xml:space="preserve">. In the present case, as the Commonwealth parties told the primary judge and this Court, the orders had no ongoing effect. None of the parties – the appellant or the Commonwealth parties – were affected by them. </w:t>
      </w:r>
    </w:p>
    <w:p w14:paraId="55F36690" w14:textId="37CF6135"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The Commonwealth parties identified two other decisions of this Court where it was said that there was no apparent immediate effect on the parties in determining the appeal: </w:t>
      </w:r>
      <w:proofErr w:type="spellStart"/>
      <w:r w:rsidRPr="0020045E">
        <w:rPr>
          <w:rFonts w:ascii="Times New Roman" w:hAnsi="Times New Roman"/>
          <w:i/>
          <w:iCs/>
        </w:rPr>
        <w:t>Ruhani</w:t>
      </w:r>
      <w:proofErr w:type="spellEnd"/>
      <w:r w:rsidRPr="0020045E">
        <w:rPr>
          <w:rFonts w:ascii="Times New Roman" w:hAnsi="Times New Roman"/>
          <w:i/>
          <w:iCs/>
        </w:rPr>
        <w:t xml:space="preserve"> v Director of Police [No 2]</w:t>
      </w:r>
      <w:r w:rsidRPr="0020045E">
        <w:rPr>
          <w:rStyle w:val="FootnoteReference"/>
          <w:rFonts w:ascii="Times New Roman" w:hAnsi="Times New Roman"/>
          <w:sz w:val="24"/>
        </w:rPr>
        <w:footnoteReference w:id="42"/>
      </w:r>
      <w:r w:rsidRPr="0020045E">
        <w:rPr>
          <w:rFonts w:ascii="Times New Roman" w:hAnsi="Times New Roman"/>
        </w:rPr>
        <w:t xml:space="preserve"> and </w:t>
      </w:r>
      <w:r w:rsidRPr="0020045E">
        <w:rPr>
          <w:rFonts w:ascii="Times New Roman" w:hAnsi="Times New Roman"/>
          <w:i/>
          <w:iCs/>
        </w:rPr>
        <w:t>The Commonwealth v Helicopter Resources Pty Ltd</w:t>
      </w:r>
      <w:r w:rsidRPr="0020045E">
        <w:rPr>
          <w:rStyle w:val="FootnoteReference"/>
          <w:rFonts w:ascii="Times New Roman" w:hAnsi="Times New Roman"/>
          <w:sz w:val="24"/>
        </w:rPr>
        <w:footnoteReference w:id="43"/>
      </w:r>
      <w:r w:rsidRPr="0020045E">
        <w:rPr>
          <w:rFonts w:ascii="Times New Roman" w:hAnsi="Times New Roman"/>
        </w:rPr>
        <w:t>. Neither supports the proposition that the Commonwealth parties advance</w:t>
      </w:r>
      <w:r w:rsidR="00766C80" w:rsidRPr="0020045E">
        <w:rPr>
          <w:rFonts w:ascii="Times New Roman" w:hAnsi="Times New Roman"/>
        </w:rPr>
        <w:t>d</w:t>
      </w:r>
      <w:r w:rsidRPr="0020045E">
        <w:rPr>
          <w:rFonts w:ascii="Times New Roman" w:hAnsi="Times New Roman"/>
        </w:rPr>
        <w:t xml:space="preserve"> in this case. </w:t>
      </w:r>
      <w:proofErr w:type="spellStart"/>
      <w:r w:rsidRPr="0020045E">
        <w:rPr>
          <w:rFonts w:ascii="Times New Roman" w:hAnsi="Times New Roman"/>
          <w:i/>
          <w:iCs/>
        </w:rPr>
        <w:t>Ruhani</w:t>
      </w:r>
      <w:proofErr w:type="spellEnd"/>
      <w:r w:rsidRPr="0020045E">
        <w:rPr>
          <w:rFonts w:ascii="Times New Roman" w:hAnsi="Times New Roman"/>
          <w:i/>
          <w:iCs/>
        </w:rPr>
        <w:t xml:space="preserve"> [No 2] </w:t>
      </w:r>
      <w:r w:rsidRPr="0020045E">
        <w:rPr>
          <w:rFonts w:ascii="Times New Roman" w:hAnsi="Times New Roman"/>
        </w:rPr>
        <w:t xml:space="preserve">was a matter in </w:t>
      </w:r>
      <w:r w:rsidR="00CD7CBE" w:rsidRPr="0020045E">
        <w:rPr>
          <w:rFonts w:ascii="Times New Roman" w:hAnsi="Times New Roman"/>
        </w:rPr>
        <w:t xml:space="preserve">the </w:t>
      </w:r>
      <w:r w:rsidRPr="0020045E">
        <w:rPr>
          <w:rFonts w:ascii="Times New Roman" w:hAnsi="Times New Roman"/>
        </w:rPr>
        <w:t xml:space="preserve">original jurisdiction of this Court arising under the </w:t>
      </w:r>
      <w:r w:rsidRPr="0020045E">
        <w:rPr>
          <w:rFonts w:ascii="Times New Roman" w:hAnsi="Times New Roman"/>
          <w:i/>
          <w:iCs/>
        </w:rPr>
        <w:t xml:space="preserve">Nauru (High Court Appeals) Act 1976 </w:t>
      </w:r>
      <w:r w:rsidRPr="0020045E">
        <w:rPr>
          <w:rFonts w:ascii="Times New Roman" w:hAnsi="Times New Roman"/>
        </w:rPr>
        <w:t>(</w:t>
      </w:r>
      <w:proofErr w:type="spellStart"/>
      <w:r w:rsidRPr="0020045E">
        <w:rPr>
          <w:rFonts w:ascii="Times New Roman" w:hAnsi="Times New Roman"/>
        </w:rPr>
        <w:t>Cth</w:t>
      </w:r>
      <w:proofErr w:type="spellEnd"/>
      <w:r w:rsidRPr="0020045E">
        <w:rPr>
          <w:rFonts w:ascii="Times New Roman" w:hAnsi="Times New Roman"/>
        </w:rPr>
        <w:t>) and dealt with the right of the appellant not to be unlawfully detained</w:t>
      </w:r>
      <w:r w:rsidRPr="0020045E">
        <w:rPr>
          <w:rStyle w:val="FootnoteReference"/>
          <w:rFonts w:ascii="Times New Roman" w:hAnsi="Times New Roman"/>
          <w:sz w:val="24"/>
        </w:rPr>
        <w:footnoteReference w:id="44"/>
      </w:r>
      <w:r w:rsidRPr="0020045E">
        <w:rPr>
          <w:rFonts w:ascii="Times New Roman" w:hAnsi="Times New Roman"/>
        </w:rPr>
        <w:t xml:space="preserve">. </w:t>
      </w:r>
      <w:r w:rsidRPr="0020045E">
        <w:rPr>
          <w:rFonts w:ascii="Times New Roman" w:hAnsi="Times New Roman"/>
          <w:i/>
          <w:iCs/>
        </w:rPr>
        <w:t xml:space="preserve">Helicopter Resources </w:t>
      </w:r>
      <w:r w:rsidRPr="0020045E">
        <w:rPr>
          <w:rFonts w:ascii="Times New Roman" w:hAnsi="Times New Roman"/>
        </w:rPr>
        <w:t xml:space="preserve">was an appeal under s 73 of the </w:t>
      </w:r>
      <w:r w:rsidRPr="0020045E">
        <w:rPr>
          <w:rFonts w:ascii="Times New Roman" w:hAnsi="Times New Roman"/>
          <w:i/>
          <w:iCs/>
        </w:rPr>
        <w:t>Constitution</w:t>
      </w:r>
      <w:r w:rsidRPr="0020045E">
        <w:rPr>
          <w:rFonts w:ascii="Times New Roman" w:hAnsi="Times New Roman"/>
        </w:rPr>
        <w:t xml:space="preserve"> </w:t>
      </w:r>
      <w:r w:rsidR="009236CF" w:rsidRPr="0020045E">
        <w:rPr>
          <w:rFonts w:ascii="Times New Roman" w:hAnsi="Times New Roman"/>
        </w:rPr>
        <w:t>and</w:t>
      </w:r>
      <w:r w:rsidRPr="0020045E">
        <w:rPr>
          <w:rFonts w:ascii="Times New Roman" w:hAnsi="Times New Roman"/>
        </w:rPr>
        <w:t>, although there were arguments about practical utility and mootness, whether the Court had jurisdiction to hear the appeal was not expressly argued</w:t>
      </w:r>
      <w:r w:rsidRPr="0020045E">
        <w:rPr>
          <w:rStyle w:val="FootnoteReference"/>
          <w:rFonts w:ascii="Times New Roman" w:hAnsi="Times New Roman"/>
          <w:sz w:val="24"/>
        </w:rPr>
        <w:footnoteReference w:id="45"/>
      </w:r>
      <w:r w:rsidRPr="0020045E">
        <w:rPr>
          <w:rFonts w:ascii="Times New Roman" w:hAnsi="Times New Roman"/>
        </w:rPr>
        <w:t xml:space="preserve">. </w:t>
      </w:r>
    </w:p>
    <w:p w14:paraId="75B28836" w14:textId="5E0F6831"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The Commonwealth parties also sought to rely on </w:t>
      </w:r>
      <w:proofErr w:type="gramStart"/>
      <w:r w:rsidRPr="0020045E">
        <w:rPr>
          <w:rFonts w:ascii="Times New Roman" w:hAnsi="Times New Roman"/>
        </w:rPr>
        <w:t>a number of</w:t>
      </w:r>
      <w:proofErr w:type="gramEnd"/>
      <w:r w:rsidRPr="0020045E">
        <w:rPr>
          <w:rFonts w:ascii="Times New Roman" w:hAnsi="Times New Roman"/>
        </w:rPr>
        <w:t xml:space="preserve"> authorities of intermediate courts that have dealt with changes of circumstances depriving an appeal of utility as going to discretion, rather than jurisdiction</w:t>
      </w:r>
      <w:r w:rsidRPr="0020045E">
        <w:rPr>
          <w:rStyle w:val="FootnoteReference"/>
          <w:rFonts w:ascii="Times New Roman" w:hAnsi="Times New Roman"/>
          <w:sz w:val="24"/>
        </w:rPr>
        <w:footnoteReference w:id="46"/>
      </w:r>
      <w:r w:rsidRPr="0020045E">
        <w:rPr>
          <w:rFonts w:ascii="Times New Roman" w:hAnsi="Times New Roman"/>
        </w:rPr>
        <w:t xml:space="preserve">. However, in each </w:t>
      </w:r>
      <w:r w:rsidRPr="0020045E">
        <w:rPr>
          <w:rFonts w:ascii="Times New Roman" w:hAnsi="Times New Roman"/>
        </w:rPr>
        <w:lastRenderedPageBreak/>
        <w:t>of those cases costs were a live issue at the time the orders were made by the appellate court.</w:t>
      </w:r>
    </w:p>
    <w:p w14:paraId="5D208104" w14:textId="40502E84"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Ultimately, the basis of the Commonwealth parties' submissions was that, even if there was no controversy between the immediate parties to the appeal</w:t>
      </w:r>
      <w:r w:rsidR="00D754C1" w:rsidRPr="0020045E">
        <w:rPr>
          <w:rFonts w:ascii="Times New Roman" w:hAnsi="Times New Roman"/>
        </w:rPr>
        <w:t>s</w:t>
      </w:r>
      <w:r w:rsidRPr="0020045E">
        <w:rPr>
          <w:rFonts w:ascii="Times New Roman" w:hAnsi="Times New Roman"/>
        </w:rPr>
        <w:t>, the</w:t>
      </w:r>
      <w:r w:rsidR="00B952B6">
        <w:rPr>
          <w:rFonts w:ascii="Times New Roman" w:hAnsi="Times New Roman"/>
        </w:rPr>
        <w:t> </w:t>
      </w:r>
      <w:r w:rsidRPr="0020045E">
        <w:rPr>
          <w:rFonts w:ascii="Times New Roman" w:hAnsi="Times New Roman"/>
        </w:rPr>
        <w:t>orders, and the reasons for the orders, given below would have a precedential effect. This was said to be particularly significant for the Executive</w:t>
      </w:r>
      <w:r w:rsidR="00C335DD" w:rsidRPr="0020045E">
        <w:rPr>
          <w:rFonts w:ascii="Times New Roman" w:hAnsi="Times New Roman"/>
        </w:rPr>
        <w:t>,</w:t>
      </w:r>
      <w:r w:rsidRPr="0020045E">
        <w:rPr>
          <w:rFonts w:ascii="Times New Roman" w:hAnsi="Times New Roman"/>
        </w:rPr>
        <w:t xml:space="preserve"> wh</w:t>
      </w:r>
      <w:r w:rsidR="00C335DD" w:rsidRPr="0020045E">
        <w:rPr>
          <w:rFonts w:ascii="Times New Roman" w:hAnsi="Times New Roman"/>
        </w:rPr>
        <w:t>ich</w:t>
      </w:r>
      <w:r w:rsidRPr="0020045E">
        <w:rPr>
          <w:rFonts w:ascii="Times New Roman" w:hAnsi="Times New Roman"/>
        </w:rPr>
        <w:t xml:space="preserve"> has responsibility for administering an Act in accordance with the law. However, concern over the "precedential significance" of a decision or a body of law has never been found to ground </w:t>
      </w:r>
      <w:proofErr w:type="gramStart"/>
      <w:r w:rsidRPr="0020045E">
        <w:rPr>
          <w:rFonts w:ascii="Times New Roman" w:hAnsi="Times New Roman"/>
        </w:rPr>
        <w:t>jurisdiction in itself</w:t>
      </w:r>
      <w:proofErr w:type="gramEnd"/>
      <w:r w:rsidRPr="0020045E">
        <w:rPr>
          <w:rFonts w:ascii="Times New Roman" w:hAnsi="Times New Roman"/>
        </w:rPr>
        <w:t>. If that were sufficient, the rule would apply in original jurisdiction as well: any time the Attorney-General has a concern about a decision or a body of law that they think has a precedential effect on how an Act is administered, the Attorney</w:t>
      </w:r>
      <w:r w:rsidRPr="0020045E">
        <w:rPr>
          <w:rFonts w:ascii="Times New Roman" w:hAnsi="Times New Roman"/>
        </w:rPr>
        <w:noBreakHyphen/>
        <w:t xml:space="preserve">General could seek to litigate that issue without there needing to be any controversy. That would be asking the </w:t>
      </w:r>
      <w:r w:rsidR="00DC3545" w:rsidRPr="0020045E">
        <w:rPr>
          <w:rFonts w:ascii="Times New Roman" w:hAnsi="Times New Roman"/>
        </w:rPr>
        <w:t>c</w:t>
      </w:r>
      <w:r w:rsidRPr="0020045E">
        <w:rPr>
          <w:rFonts w:ascii="Times New Roman" w:hAnsi="Times New Roman"/>
        </w:rPr>
        <w:t xml:space="preserve">ourt to issue an advisory opinion. </w:t>
      </w:r>
    </w:p>
    <w:p w14:paraId="43026AF7" w14:textId="40713EED"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If the Commonwealth parties wished to challenge the primary judge's orders and reasoning for why s 198AD applied to the appellant and why the home detention order was within the </w:t>
      </w:r>
      <w:r w:rsidR="007215BF" w:rsidRPr="0020045E">
        <w:rPr>
          <w:rFonts w:ascii="Times New Roman" w:hAnsi="Times New Roman"/>
        </w:rPr>
        <w:t xml:space="preserve">Federal </w:t>
      </w:r>
      <w:r w:rsidRPr="0020045E">
        <w:rPr>
          <w:rFonts w:ascii="Times New Roman" w:hAnsi="Times New Roman"/>
        </w:rPr>
        <w:t>Court's power, the Commonwealth parties could have sought an expedited appeal from the orders of the primary judge. The</w:t>
      </w:r>
      <w:r w:rsidR="00B952B6">
        <w:rPr>
          <w:rFonts w:ascii="Times New Roman" w:hAnsi="Times New Roman"/>
        </w:rPr>
        <w:t> </w:t>
      </w:r>
      <w:r w:rsidRPr="0020045E">
        <w:rPr>
          <w:rFonts w:ascii="Times New Roman" w:hAnsi="Times New Roman"/>
        </w:rPr>
        <w:t xml:space="preserve">issues would have been live. Instead, the Minister for Home Affairs, a party to the proceedings before the primary judge, made the s 198AE </w:t>
      </w:r>
      <w:r w:rsidR="007A5504" w:rsidRPr="0020045E">
        <w:rPr>
          <w:rFonts w:ascii="Times New Roman" w:hAnsi="Times New Roman"/>
        </w:rPr>
        <w:t>D</w:t>
      </w:r>
      <w:r w:rsidRPr="0020045E">
        <w:rPr>
          <w:rFonts w:ascii="Times New Roman" w:hAnsi="Times New Roman"/>
        </w:rPr>
        <w:t>etermination and</w:t>
      </w:r>
      <w:r w:rsidR="00E05529" w:rsidRPr="0020045E">
        <w:rPr>
          <w:rFonts w:ascii="Times New Roman" w:hAnsi="Times New Roman"/>
        </w:rPr>
        <w:t>,</w:t>
      </w:r>
      <w:r w:rsidRPr="0020045E">
        <w:rPr>
          <w:rFonts w:ascii="Times New Roman" w:hAnsi="Times New Roman"/>
        </w:rPr>
        <w:t xml:space="preserve"> by making that determination, the Minister deprived the primary judge's orders of any continuing effect. It was inappropriate for the Commonwealth parties to then seek to appeal those orders and put the appellant to the task of defending them, </w:t>
      </w:r>
      <w:proofErr w:type="gramStart"/>
      <w:r w:rsidRPr="0020045E">
        <w:rPr>
          <w:rFonts w:ascii="Times New Roman" w:hAnsi="Times New Roman"/>
        </w:rPr>
        <w:t>on</w:t>
      </w:r>
      <w:r w:rsidR="00B952B6">
        <w:rPr>
          <w:rFonts w:ascii="Times New Roman" w:hAnsi="Times New Roman"/>
        </w:rPr>
        <w:t> </w:t>
      </w:r>
      <w:r w:rsidRPr="0020045E">
        <w:rPr>
          <w:rFonts w:ascii="Times New Roman" w:hAnsi="Times New Roman"/>
        </w:rPr>
        <w:t>the basis of</w:t>
      </w:r>
      <w:proofErr w:type="gramEnd"/>
      <w:r w:rsidRPr="0020045E">
        <w:rPr>
          <w:rFonts w:ascii="Times New Roman" w:hAnsi="Times New Roman"/>
        </w:rPr>
        <w:t xml:space="preserve"> some wider public importance. If these issues arise in a different case, they will be litigated there. If there is concern that a single instance judge in the Federal Court would necessarily follow the decision asserted by the Commonwealth parties to be wrong, the Commonwealth parties could seek to have a Full Court constituted in the original jurisdiction</w:t>
      </w:r>
      <w:r w:rsidRPr="0020045E">
        <w:rPr>
          <w:rStyle w:val="FootnoteReference"/>
          <w:rFonts w:ascii="Times New Roman" w:hAnsi="Times New Roman"/>
          <w:sz w:val="24"/>
        </w:rPr>
        <w:footnoteReference w:id="47"/>
      </w:r>
      <w:r w:rsidRPr="0020045E">
        <w:rPr>
          <w:rFonts w:ascii="Times New Roman" w:hAnsi="Times New Roman"/>
        </w:rPr>
        <w:t>. Again, in such a case, the</w:t>
      </w:r>
      <w:r w:rsidR="00B952B6">
        <w:rPr>
          <w:rFonts w:ascii="Times New Roman" w:hAnsi="Times New Roman"/>
        </w:rPr>
        <w:t> </w:t>
      </w:r>
      <w:r w:rsidRPr="0020045E">
        <w:rPr>
          <w:rFonts w:ascii="Times New Roman" w:hAnsi="Times New Roman"/>
        </w:rPr>
        <w:t xml:space="preserve">issues would be live. </w:t>
      </w:r>
    </w:p>
    <w:p w14:paraId="4ECE70E1" w14:textId="77777777" w:rsidR="0077622A" w:rsidRPr="0020045E" w:rsidRDefault="0077622A" w:rsidP="0020045E">
      <w:pPr>
        <w:pStyle w:val="HeadingL2"/>
        <w:spacing w:after="260" w:line="280" w:lineRule="exact"/>
        <w:ind w:right="0"/>
        <w:jc w:val="both"/>
        <w:rPr>
          <w:rFonts w:ascii="Times New Roman" w:hAnsi="Times New Roman"/>
        </w:rPr>
      </w:pPr>
      <w:r w:rsidRPr="0020045E">
        <w:rPr>
          <w:rFonts w:ascii="Times New Roman" w:hAnsi="Times New Roman"/>
        </w:rPr>
        <w:t>The Commonwealth parties' alternative bases</w:t>
      </w:r>
    </w:p>
    <w:p w14:paraId="60CD37D6" w14:textId="76A4D9DA"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The Commonwealth parties put forward three other bases for why there was a "matter" before the Full Federal Court. Underlying each of the bases was the proposition that, in contrast to their primary contention, the "rights of the parties were in play" in the Full Court – the determination of the appeals would affect the parties' rights, duties or liabilities. As will be seen, those contentions must be rejected.</w:t>
      </w:r>
    </w:p>
    <w:p w14:paraId="3BE3ED40" w14:textId="6270BE57"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lastRenderedPageBreak/>
        <w:tab/>
        <w:t>The first</w:t>
      </w:r>
      <w:r w:rsidRPr="0020045E">
        <w:rPr>
          <w:rFonts w:ascii="Times New Roman" w:hAnsi="Times New Roman"/>
          <w:i/>
          <w:iCs/>
        </w:rPr>
        <w:t xml:space="preserve"> </w:t>
      </w:r>
      <w:r w:rsidRPr="0020045E">
        <w:rPr>
          <w:rFonts w:ascii="Times New Roman" w:hAnsi="Times New Roman"/>
        </w:rPr>
        <w:t xml:space="preserve">two bases relied on the existence of the s 198 mandamus proceeding. The Commonwealth parties submitted that the s 198 mandamus proceeding was part of the same "matter" as the Full Court appeals. </w:t>
      </w:r>
    </w:p>
    <w:p w14:paraId="3211884B" w14:textId="2DFA0F52"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It is established that a "matter" is "not co</w:t>
      </w:r>
      <w:r w:rsidRPr="0020045E">
        <w:rPr>
          <w:rFonts w:ascii="Times New Roman" w:hAnsi="Times New Roman"/>
        </w:rPr>
        <w:noBreakHyphen/>
        <w:t>extensive with a legal proceeding"; it is "the subject matter for determination in a legal proceeding"</w:t>
      </w:r>
      <w:r w:rsidRPr="0020045E">
        <w:rPr>
          <w:rStyle w:val="FootnoteReference"/>
          <w:rFonts w:ascii="Times New Roman" w:hAnsi="Times New Roman"/>
          <w:sz w:val="24"/>
        </w:rPr>
        <w:footnoteReference w:id="48"/>
      </w:r>
      <w:r w:rsidRPr="0020045E">
        <w:rPr>
          <w:rFonts w:ascii="Times New Roman" w:hAnsi="Times New Roman"/>
        </w:rPr>
        <w:t>. In</w:t>
      </w:r>
      <w:r w:rsidR="00190CA1">
        <w:rPr>
          <w:rFonts w:ascii="Times New Roman" w:hAnsi="Times New Roman"/>
        </w:rPr>
        <w:t> </w:t>
      </w:r>
      <w:proofErr w:type="spellStart"/>
      <w:r w:rsidRPr="0020045E">
        <w:rPr>
          <w:rFonts w:ascii="Times New Roman" w:hAnsi="Times New Roman"/>
          <w:i/>
          <w:iCs/>
        </w:rPr>
        <w:t>Fencott</w:t>
      </w:r>
      <w:proofErr w:type="spellEnd"/>
      <w:r w:rsidRPr="0020045E">
        <w:rPr>
          <w:rFonts w:ascii="Times New Roman" w:hAnsi="Times New Roman"/>
          <w:i/>
          <w:iCs/>
        </w:rPr>
        <w:t xml:space="preserve"> v Muller</w:t>
      </w:r>
      <w:r w:rsidRPr="0020045E">
        <w:rPr>
          <w:rFonts w:ascii="Times New Roman" w:hAnsi="Times New Roman"/>
        </w:rPr>
        <w:t>,</w:t>
      </w:r>
      <w:r w:rsidRPr="0020045E">
        <w:rPr>
          <w:rFonts w:ascii="Times New Roman" w:hAnsi="Times New Roman"/>
          <w:i/>
          <w:iCs/>
        </w:rPr>
        <w:t xml:space="preserve"> </w:t>
      </w:r>
      <w:r w:rsidRPr="0020045E">
        <w:rPr>
          <w:rFonts w:ascii="Times New Roman" w:hAnsi="Times New Roman"/>
        </w:rPr>
        <w:t xml:space="preserve">Mason, Murphy, </w:t>
      </w:r>
      <w:proofErr w:type="gramStart"/>
      <w:r w:rsidRPr="0020045E">
        <w:rPr>
          <w:rFonts w:ascii="Times New Roman" w:hAnsi="Times New Roman"/>
        </w:rPr>
        <w:t>Brennan</w:t>
      </w:r>
      <w:proofErr w:type="gramEnd"/>
      <w:r w:rsidRPr="0020045E">
        <w:rPr>
          <w:rFonts w:ascii="Times New Roman" w:hAnsi="Times New Roman"/>
        </w:rPr>
        <w:t xml:space="preserve"> and Deane JJ described a matter as "identifiable independently of the proceedings which are brought for its determination and encompassing all claims made within the scope of the controversy"</w:t>
      </w:r>
      <w:r w:rsidRPr="0020045E">
        <w:rPr>
          <w:rStyle w:val="FootnoteReference"/>
          <w:rFonts w:ascii="Times New Roman" w:hAnsi="Times New Roman"/>
          <w:sz w:val="24"/>
        </w:rPr>
        <w:footnoteReference w:id="49"/>
      </w:r>
      <w:r w:rsidRPr="0020045E">
        <w:rPr>
          <w:rFonts w:ascii="Times New Roman" w:hAnsi="Times New Roman"/>
        </w:rPr>
        <w:t>. It is the "justiciable controversy" between the actors involved, comprised of the substratum of facts representing or amounting to the dispute or controversy between them</w:t>
      </w:r>
      <w:r w:rsidRPr="0020045E">
        <w:rPr>
          <w:rStyle w:val="FootnoteReference"/>
          <w:rFonts w:ascii="Times New Roman" w:hAnsi="Times New Roman"/>
          <w:sz w:val="24"/>
        </w:rPr>
        <w:footnoteReference w:id="50"/>
      </w:r>
      <w:r w:rsidRPr="0020045E">
        <w:rPr>
          <w:rFonts w:ascii="Times New Roman" w:hAnsi="Times New Roman"/>
        </w:rPr>
        <w:t>. Their Honours observed that "[w]hat is and what is not part of the one controversy depends on what the parties have done, the</w:t>
      </w:r>
      <w:r w:rsidR="00190CA1">
        <w:rPr>
          <w:rFonts w:ascii="Times New Roman" w:hAnsi="Times New Roman"/>
        </w:rPr>
        <w:t> </w:t>
      </w:r>
      <w:r w:rsidRPr="0020045E">
        <w:rPr>
          <w:rFonts w:ascii="Times New Roman" w:hAnsi="Times New Roman"/>
        </w:rPr>
        <w:t>relationships between or among them and the laws which attach rights or liabilities to their conduct and relationships"</w:t>
      </w:r>
      <w:r w:rsidRPr="0020045E">
        <w:rPr>
          <w:rStyle w:val="FootnoteReference"/>
          <w:rFonts w:ascii="Times New Roman" w:hAnsi="Times New Roman"/>
          <w:sz w:val="24"/>
        </w:rPr>
        <w:footnoteReference w:id="51"/>
      </w:r>
      <w:r w:rsidRPr="0020045E">
        <w:rPr>
          <w:rFonts w:ascii="Times New Roman" w:hAnsi="Times New Roman"/>
        </w:rPr>
        <w:t xml:space="preserve">. Those principles have developed in the context of determining whether non-federal claims may be heard and determined in federal jurisdiction as part of a single "matter". </w:t>
      </w:r>
    </w:p>
    <w:p w14:paraId="65A66921" w14:textId="629C17E1"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It can be accepted that there was a common broad substratum of facts in the appeals to the Full Court and the s 198 mandamus proceeding: removal and detention under the Act</w:t>
      </w:r>
      <w:r w:rsidRPr="0020045E">
        <w:rPr>
          <w:rFonts w:ascii="Times New Roman" w:hAnsi="Times New Roman"/>
          <w:i/>
          <w:iCs/>
        </w:rPr>
        <w:t xml:space="preserve">. </w:t>
      </w:r>
      <w:r w:rsidRPr="0020045E">
        <w:rPr>
          <w:rFonts w:ascii="Times New Roman" w:hAnsi="Times New Roman"/>
        </w:rPr>
        <w:t xml:space="preserve">But different duties under different statutory provisions were at issue in the two sets of proceedings. Section 198AD requires removal to a regional processing country; s 198 requires removal to </w:t>
      </w:r>
      <w:r w:rsidRPr="0020045E">
        <w:rPr>
          <w:rFonts w:ascii="Times New Roman" w:hAnsi="Times New Roman"/>
          <w:i/>
          <w:iCs/>
        </w:rPr>
        <w:t>any</w:t>
      </w:r>
      <w:r w:rsidRPr="0020045E">
        <w:rPr>
          <w:rFonts w:ascii="Times New Roman" w:hAnsi="Times New Roman"/>
        </w:rPr>
        <w:t xml:space="preserve"> country</w:t>
      </w:r>
      <w:r w:rsidRPr="0020045E">
        <w:rPr>
          <w:rStyle w:val="FootnoteReference"/>
          <w:rFonts w:ascii="Times New Roman" w:hAnsi="Times New Roman"/>
          <w:sz w:val="24"/>
        </w:rPr>
        <w:footnoteReference w:id="52"/>
      </w:r>
      <w:r w:rsidRPr="0020045E">
        <w:rPr>
          <w:rFonts w:ascii="Times New Roman" w:hAnsi="Times New Roman"/>
        </w:rPr>
        <w:t>. Only one duty of removal could apply at any one time</w:t>
      </w:r>
      <w:r w:rsidRPr="0020045E">
        <w:rPr>
          <w:rStyle w:val="FootnoteReference"/>
          <w:rFonts w:ascii="Times New Roman" w:hAnsi="Times New Roman"/>
          <w:sz w:val="24"/>
        </w:rPr>
        <w:footnoteReference w:id="53"/>
      </w:r>
      <w:r w:rsidRPr="0020045E">
        <w:rPr>
          <w:rFonts w:ascii="Times New Roman" w:hAnsi="Times New Roman"/>
        </w:rPr>
        <w:t xml:space="preserve">. The Commonwealth parties had accepted before the primary judge that it was reasonably practicable to remove the appellant to Nauru under s 198AD in the s 198AD mandamus proceeding, but the reasonable practicability of removal to another country under s 198 was in contest in the subsequent s 198 mandamus proceeding. And different orders were sought </w:t>
      </w:r>
      <w:r w:rsidRPr="0020045E">
        <w:rPr>
          <w:rFonts w:ascii="Times New Roman" w:hAnsi="Times New Roman"/>
        </w:rPr>
        <w:lastRenderedPageBreak/>
        <w:t>in the two proceedings: mandamus for removal to a regional processing country</w:t>
      </w:r>
      <w:r w:rsidR="00DB1C5B" w:rsidRPr="0020045E">
        <w:rPr>
          <w:rFonts w:ascii="Times New Roman" w:hAnsi="Times New Roman"/>
        </w:rPr>
        <w:t xml:space="preserve"> in the 198AD mandamus proceeding</w:t>
      </w:r>
      <w:r w:rsidRPr="0020045E">
        <w:rPr>
          <w:rFonts w:ascii="Times New Roman" w:hAnsi="Times New Roman"/>
        </w:rPr>
        <w:t xml:space="preserve">, compared to mandamus for removal to any country other than Iran in the s 198 mandamus proceeding. </w:t>
      </w:r>
    </w:p>
    <w:p w14:paraId="3C1C068F" w14:textId="6A20C5AA"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In any event, for the justiciable controversy underpinning the second proceeding – the </w:t>
      </w:r>
      <w:bookmarkStart w:id="0" w:name="_Hlk135941746"/>
      <w:r w:rsidRPr="0020045E">
        <w:rPr>
          <w:rFonts w:ascii="Times New Roman" w:hAnsi="Times New Roman"/>
        </w:rPr>
        <w:t xml:space="preserve">s 198 mandamus proceeding </w:t>
      </w:r>
      <w:bookmarkEnd w:id="0"/>
      <w:r w:rsidRPr="0020045E">
        <w:rPr>
          <w:rFonts w:ascii="Times New Roman" w:hAnsi="Times New Roman"/>
        </w:rPr>
        <w:t xml:space="preserve">– to ground jurisdiction in the appeals, it would be necessary not only that the subject matter in controversy in the appeals was in controversy in the second proceeding but </w:t>
      </w:r>
      <w:r w:rsidRPr="0020045E">
        <w:rPr>
          <w:rFonts w:ascii="Times New Roman" w:hAnsi="Times New Roman"/>
          <w:i/>
          <w:iCs/>
        </w:rPr>
        <w:t xml:space="preserve">also </w:t>
      </w:r>
      <w:r w:rsidRPr="0020045E">
        <w:rPr>
          <w:rFonts w:ascii="Times New Roman" w:hAnsi="Times New Roman"/>
        </w:rPr>
        <w:t>that the resolution of the subject matter of the controversy in the appeals would resolve that subject matter for the purposes of the second proceeding. As will be seen, those</w:t>
      </w:r>
      <w:r w:rsidR="00190CA1">
        <w:rPr>
          <w:rFonts w:ascii="Times New Roman" w:hAnsi="Times New Roman"/>
        </w:rPr>
        <w:t> </w:t>
      </w:r>
      <w:r w:rsidRPr="0020045E">
        <w:rPr>
          <w:rFonts w:ascii="Times New Roman" w:hAnsi="Times New Roman"/>
        </w:rPr>
        <w:t>requirements were not satisfied. It is necessary to address each in turn.</w:t>
      </w:r>
    </w:p>
    <w:p w14:paraId="1A346130" w14:textId="234CFFA7"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First, the Commonwealth parties submitted that the determination of the appeals would resolve the question of the </w:t>
      </w:r>
      <w:r w:rsidR="00977AD7" w:rsidRPr="0020045E">
        <w:rPr>
          <w:rFonts w:ascii="Times New Roman" w:hAnsi="Times New Roman"/>
        </w:rPr>
        <w:t xml:space="preserve">Federal </w:t>
      </w:r>
      <w:r w:rsidRPr="0020045E">
        <w:rPr>
          <w:rFonts w:ascii="Times New Roman" w:hAnsi="Times New Roman"/>
        </w:rPr>
        <w:t xml:space="preserve">Court's power to make home detention orders. The Commonwealth parties submitted that, to the extent that the appeals to the Full Court concerned the power of the </w:t>
      </w:r>
      <w:r w:rsidR="00977AD7" w:rsidRPr="0020045E">
        <w:rPr>
          <w:rFonts w:ascii="Times New Roman" w:hAnsi="Times New Roman"/>
        </w:rPr>
        <w:t xml:space="preserve">Federal </w:t>
      </w:r>
      <w:r w:rsidRPr="0020045E">
        <w:rPr>
          <w:rFonts w:ascii="Times New Roman" w:hAnsi="Times New Roman"/>
        </w:rPr>
        <w:t xml:space="preserve">Court to make home detention orders, its judgment would </w:t>
      </w:r>
      <w:r w:rsidRPr="0020045E">
        <w:rPr>
          <w:rFonts w:ascii="Times New Roman" w:hAnsi="Times New Roman"/>
          <w:i/>
          <w:iCs/>
        </w:rPr>
        <w:t>decide</w:t>
      </w:r>
      <w:r w:rsidRPr="0020045E">
        <w:rPr>
          <w:rFonts w:ascii="Times New Roman" w:hAnsi="Times New Roman"/>
        </w:rPr>
        <w:t xml:space="preserve"> the justiciable controversy between the parties with respect to that issue. That submission should be rejected. Identifying the subject matter in controversy is not always straightforward. However, in this case, whether the Federal Court has power to make home detention orders is not properly characterised as the subject matter of the controversy between the parties in the s 198 mandamus proceeding. The</w:t>
      </w:r>
      <w:r w:rsidR="00A62EEF">
        <w:rPr>
          <w:rFonts w:ascii="Times New Roman" w:hAnsi="Times New Roman"/>
        </w:rPr>
        <w:t> </w:t>
      </w:r>
      <w:r w:rsidRPr="0020045E">
        <w:rPr>
          <w:rFonts w:ascii="Times New Roman" w:hAnsi="Times New Roman"/>
        </w:rPr>
        <w:t>controversy in the s 198 mandamus proceeding is whether the Secretary is, at</w:t>
      </w:r>
      <w:r w:rsidR="00A62EEF">
        <w:rPr>
          <w:rFonts w:ascii="Times New Roman" w:hAnsi="Times New Roman"/>
        </w:rPr>
        <w:t> </w:t>
      </w:r>
      <w:r w:rsidRPr="0020045E">
        <w:rPr>
          <w:rFonts w:ascii="Times New Roman" w:hAnsi="Times New Roman"/>
        </w:rPr>
        <w:t xml:space="preserve">the time of the determination of that proceeding, complying with the duty to remove the appellant from Australia as soon as reasonably practicable under s 198. </w:t>
      </w:r>
    </w:p>
    <w:p w14:paraId="66811B9E" w14:textId="787F0F38"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The power of the Federal Court to make a home detention order in respect of the appellant is a contingent issue of ancillary relief that </w:t>
      </w:r>
      <w:r w:rsidRPr="0020045E">
        <w:rPr>
          <w:rFonts w:ascii="Times New Roman" w:hAnsi="Times New Roman"/>
          <w:i/>
        </w:rPr>
        <w:t>may</w:t>
      </w:r>
      <w:r w:rsidRPr="0020045E">
        <w:rPr>
          <w:rFonts w:ascii="Times New Roman" w:hAnsi="Times New Roman"/>
        </w:rPr>
        <w:t xml:space="preserve"> arise depending on whether the appellant is successful in making out his substantive case: that there has been failure to take reasonably practicable steps to remove pursuant to s 198 and there is therefore a basis to make an order in the nature of mandamus to comply with s 198 of the Act. Mandamus is a judicial command to compel the performance of an </w:t>
      </w:r>
      <w:r w:rsidRPr="0020045E">
        <w:rPr>
          <w:rFonts w:ascii="Times New Roman" w:hAnsi="Times New Roman"/>
          <w:i/>
          <w:iCs/>
        </w:rPr>
        <w:t>unperformed</w:t>
      </w:r>
      <w:r w:rsidRPr="0020045E">
        <w:rPr>
          <w:rFonts w:ascii="Times New Roman" w:hAnsi="Times New Roman"/>
        </w:rPr>
        <w:t xml:space="preserve"> public duty</w:t>
      </w:r>
      <w:r w:rsidRPr="0020045E">
        <w:rPr>
          <w:rStyle w:val="FootnoteReference"/>
          <w:rFonts w:ascii="Times New Roman" w:hAnsi="Times New Roman"/>
          <w:sz w:val="24"/>
        </w:rPr>
        <w:footnoteReference w:id="54"/>
      </w:r>
      <w:r w:rsidRPr="0020045E">
        <w:rPr>
          <w:rFonts w:ascii="Times New Roman" w:hAnsi="Times New Roman"/>
        </w:rPr>
        <w:t>. The issue of the grant of mandamus – and any relief ancillary to mandamus – will only arise for decision in the s 198 mandamus proceeding if the Secretary is found to be unlawfully failing to perform their duty under s 198 to remove the appellant from Australia</w:t>
      </w:r>
      <w:r w:rsidRPr="0020045E">
        <w:rPr>
          <w:rStyle w:val="FootnoteReference"/>
          <w:rFonts w:ascii="Times New Roman" w:hAnsi="Times New Roman"/>
          <w:sz w:val="24"/>
        </w:rPr>
        <w:footnoteReference w:id="55"/>
      </w:r>
      <w:r w:rsidRPr="0020045E">
        <w:rPr>
          <w:rFonts w:ascii="Times New Roman" w:hAnsi="Times New Roman"/>
        </w:rPr>
        <w:t xml:space="preserve">. That failure must be </w:t>
      </w:r>
      <w:r w:rsidRPr="0020045E">
        <w:rPr>
          <w:rFonts w:ascii="Times New Roman" w:hAnsi="Times New Roman"/>
        </w:rPr>
        <w:lastRenderedPageBreak/>
        <w:t>established</w:t>
      </w:r>
      <w:r w:rsidRPr="0020045E">
        <w:rPr>
          <w:rStyle w:val="FootnoteReference"/>
          <w:rFonts w:ascii="Times New Roman" w:hAnsi="Times New Roman"/>
          <w:sz w:val="24"/>
        </w:rPr>
        <w:footnoteReference w:id="56"/>
      </w:r>
      <w:r w:rsidRPr="0020045E">
        <w:rPr>
          <w:rFonts w:ascii="Times New Roman" w:hAnsi="Times New Roman"/>
        </w:rPr>
        <w:t xml:space="preserve">. The Commonwealth parties' submission that the power to make home detention orders was in controversy between the parties effectively assumed or expected that the Secretary will be found in breach of the duty. But unless and until there is a foundation for mandamus, the question about home detention orders remains contingent, and even </w:t>
      </w:r>
      <w:proofErr w:type="gramStart"/>
      <w:r w:rsidRPr="0020045E">
        <w:rPr>
          <w:rFonts w:ascii="Times New Roman" w:hAnsi="Times New Roman"/>
        </w:rPr>
        <w:t>then</w:t>
      </w:r>
      <w:proofErr w:type="gramEnd"/>
      <w:r w:rsidRPr="0020045E">
        <w:rPr>
          <w:rFonts w:ascii="Times New Roman" w:hAnsi="Times New Roman"/>
        </w:rPr>
        <w:t xml:space="preserve"> it would be contingent on questions going to the issue of ancillary relief. Those questions, and the facts necessary to determine them, did not and could not arise in the Full Court appeals. And "the ordinary jurisdiction of a Court does not extend to answering questions as problems of law dependent on facts yet unascertained"</w:t>
      </w:r>
      <w:r w:rsidRPr="0020045E">
        <w:rPr>
          <w:rStyle w:val="FootnoteReference"/>
          <w:rFonts w:ascii="Times New Roman" w:hAnsi="Times New Roman"/>
          <w:sz w:val="24"/>
        </w:rPr>
        <w:footnoteReference w:id="57"/>
      </w:r>
      <w:r w:rsidRPr="0020045E">
        <w:rPr>
          <w:rFonts w:ascii="Times New Roman" w:hAnsi="Times New Roman"/>
        </w:rPr>
        <w:t>.</w:t>
      </w:r>
    </w:p>
    <w:p w14:paraId="020D6A8C" w14:textId="54C6297B"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The second basis put forward by the Commonwealth parties was that the determination of the Full Court appeals would decide issues relevant to the s 198 mandamus proceeding. In particular, the Commonwealth parties emphasised that the appeals would determine </w:t>
      </w:r>
      <w:proofErr w:type="gramStart"/>
      <w:r w:rsidRPr="0020045E">
        <w:rPr>
          <w:rFonts w:ascii="Times New Roman" w:hAnsi="Times New Roman"/>
        </w:rPr>
        <w:t>whether or not</w:t>
      </w:r>
      <w:proofErr w:type="gramEnd"/>
      <w:r w:rsidRPr="0020045E">
        <w:rPr>
          <w:rFonts w:ascii="Times New Roman" w:hAnsi="Times New Roman"/>
        </w:rPr>
        <w:t xml:space="preserve"> the primary judge was correct to find </w:t>
      </w:r>
      <w:r w:rsidR="00F30393" w:rsidRPr="0020045E">
        <w:rPr>
          <w:rFonts w:ascii="Times New Roman" w:hAnsi="Times New Roman"/>
        </w:rPr>
        <w:t xml:space="preserve">that </w:t>
      </w:r>
      <w:r w:rsidRPr="0020045E">
        <w:rPr>
          <w:rFonts w:ascii="Times New Roman" w:hAnsi="Times New Roman"/>
        </w:rPr>
        <w:t>the duty in s 198AD applied to the appellant at the time of the primary judge's decision. Depending on whether ground one of the appeal</w:t>
      </w:r>
      <w:r w:rsidR="003E3B4D" w:rsidRPr="0020045E">
        <w:rPr>
          <w:rFonts w:ascii="Times New Roman" w:hAnsi="Times New Roman"/>
        </w:rPr>
        <w:t>s</w:t>
      </w:r>
      <w:r w:rsidRPr="0020045E">
        <w:rPr>
          <w:rFonts w:ascii="Times New Roman" w:hAnsi="Times New Roman"/>
        </w:rPr>
        <w:t xml:space="preserve"> to the Full Court was upheld or not, the </w:t>
      </w:r>
      <w:proofErr w:type="gramStart"/>
      <w:r w:rsidRPr="0020045E">
        <w:rPr>
          <w:rFonts w:ascii="Times New Roman" w:hAnsi="Times New Roman"/>
        </w:rPr>
        <w:t>period of time</w:t>
      </w:r>
      <w:proofErr w:type="gramEnd"/>
      <w:r w:rsidRPr="0020045E">
        <w:rPr>
          <w:rFonts w:ascii="Times New Roman" w:hAnsi="Times New Roman"/>
        </w:rPr>
        <w:t xml:space="preserve"> during which the Secretary owed the s 198 duty to the appellant would differ (as the duties could not be owed simultaneously). Therefore, the Commonwealth parties submitted</w:t>
      </w:r>
      <w:r w:rsidR="0054428B" w:rsidRPr="0020045E">
        <w:rPr>
          <w:rFonts w:ascii="Times New Roman" w:hAnsi="Times New Roman"/>
        </w:rPr>
        <w:t>,</w:t>
      </w:r>
      <w:r w:rsidRPr="0020045E">
        <w:rPr>
          <w:rFonts w:ascii="Times New Roman" w:hAnsi="Times New Roman"/>
        </w:rPr>
        <w:t xml:space="preserve"> that aspect of the Full Court's decision might affect the determination in the s 198 mandamus proceeding of whether the Secretary was in breach of </w:t>
      </w:r>
      <w:r w:rsidR="00D97F7C" w:rsidRPr="0020045E">
        <w:rPr>
          <w:rFonts w:ascii="Times New Roman" w:hAnsi="Times New Roman"/>
        </w:rPr>
        <w:t>the</w:t>
      </w:r>
      <w:r w:rsidRPr="0020045E">
        <w:rPr>
          <w:rFonts w:ascii="Times New Roman" w:hAnsi="Times New Roman"/>
        </w:rPr>
        <w:t xml:space="preserve"> duty to remove "as soon as reasonably practicable" under s 198, given the potential relevance of delay. However, </w:t>
      </w:r>
      <w:r w:rsidRPr="0020045E">
        <w:rPr>
          <w:rFonts w:ascii="Times New Roman" w:hAnsi="Times New Roman"/>
          <w:bCs/>
        </w:rPr>
        <w:t xml:space="preserve">while the Full Court decision on the appeals </w:t>
      </w:r>
      <w:r w:rsidRPr="0020045E">
        <w:rPr>
          <w:rFonts w:ascii="Times New Roman" w:hAnsi="Times New Roman"/>
          <w:bCs/>
          <w:i/>
          <w:iCs/>
        </w:rPr>
        <w:t xml:space="preserve">might have affected </w:t>
      </w:r>
      <w:r w:rsidRPr="0020045E">
        <w:rPr>
          <w:rFonts w:ascii="Times New Roman" w:hAnsi="Times New Roman"/>
          <w:bCs/>
        </w:rPr>
        <w:t xml:space="preserve">or been relevant to issues </w:t>
      </w:r>
      <w:r w:rsidRPr="0020045E">
        <w:rPr>
          <w:rFonts w:ascii="Times New Roman" w:hAnsi="Times New Roman"/>
          <w:bCs/>
          <w:i/>
          <w:iCs/>
        </w:rPr>
        <w:t>likely</w:t>
      </w:r>
      <w:r w:rsidRPr="0020045E">
        <w:rPr>
          <w:rFonts w:ascii="Times New Roman" w:hAnsi="Times New Roman"/>
          <w:bCs/>
        </w:rPr>
        <w:t xml:space="preserve"> to be decided in the s 198 mandamus proceeding, it would not resolve or quell any aspect of the ongoing controversy. There was and is no dispute that the Secretary owes the duty in s 198. The determination of the appeals did not and could not resolve the rights, </w:t>
      </w:r>
      <w:proofErr w:type="gramStart"/>
      <w:r w:rsidRPr="0020045E">
        <w:rPr>
          <w:rFonts w:ascii="Times New Roman" w:hAnsi="Times New Roman"/>
          <w:bCs/>
        </w:rPr>
        <w:t>duties</w:t>
      </w:r>
      <w:proofErr w:type="gramEnd"/>
      <w:r w:rsidRPr="0020045E">
        <w:rPr>
          <w:rFonts w:ascii="Times New Roman" w:hAnsi="Times New Roman"/>
          <w:bCs/>
        </w:rPr>
        <w:t xml:space="preserve"> or liabilities of the parties in respect of that ongoing controversy – whether the Secretary is in breach of that duty and, if so, whether the appellant is entitled to mandamus. </w:t>
      </w:r>
    </w:p>
    <w:p w14:paraId="57BD30C9" w14:textId="29D107F2" w:rsidR="0077622A" w:rsidRPr="0020045E"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 xml:space="preserve">Lastly, the Commonwealth parties submitted that there was a controversy as to costs when the appeals were filed. However, even assuming that "the tail" could "wag the dog" in that manner, the requirement for a "matter" continues up </w:t>
      </w:r>
      <w:r w:rsidRPr="0020045E">
        <w:rPr>
          <w:rFonts w:ascii="Times New Roman" w:hAnsi="Times New Roman"/>
        </w:rPr>
        <w:lastRenderedPageBreak/>
        <w:t xml:space="preserve">until the time that the orders are made by the </w:t>
      </w:r>
      <w:r w:rsidR="00BD7DCC" w:rsidRPr="0020045E">
        <w:rPr>
          <w:rFonts w:ascii="Times New Roman" w:hAnsi="Times New Roman"/>
        </w:rPr>
        <w:t>c</w:t>
      </w:r>
      <w:r w:rsidRPr="0020045E">
        <w:rPr>
          <w:rFonts w:ascii="Times New Roman" w:hAnsi="Times New Roman"/>
        </w:rPr>
        <w:t>ourt</w:t>
      </w:r>
      <w:r w:rsidR="00BC37DD" w:rsidRPr="0020045E">
        <w:rPr>
          <w:rFonts w:ascii="Times New Roman" w:hAnsi="Times New Roman"/>
        </w:rPr>
        <w:t xml:space="preserve">, as </w:t>
      </w:r>
      <w:r w:rsidR="00BC37DD" w:rsidRPr="0020045E">
        <w:rPr>
          <w:rFonts w:ascii="Times New Roman" w:hAnsi="Times New Roman"/>
          <w:i/>
          <w:iCs/>
        </w:rPr>
        <w:t xml:space="preserve">Unions </w:t>
      </w:r>
      <w:r w:rsidR="00F15582" w:rsidRPr="0020045E">
        <w:rPr>
          <w:rFonts w:ascii="Times New Roman" w:hAnsi="Times New Roman"/>
          <w:i/>
          <w:iCs/>
        </w:rPr>
        <w:t xml:space="preserve">[No 3] </w:t>
      </w:r>
      <w:r w:rsidR="00F15582" w:rsidRPr="0020045E">
        <w:rPr>
          <w:rFonts w:ascii="Times New Roman" w:hAnsi="Times New Roman"/>
        </w:rPr>
        <w:t>makes clear</w:t>
      </w:r>
      <w:r w:rsidRPr="0020045E">
        <w:rPr>
          <w:rStyle w:val="FootnoteReference"/>
          <w:rFonts w:ascii="Times New Roman" w:hAnsi="Times New Roman"/>
          <w:sz w:val="24"/>
        </w:rPr>
        <w:footnoteReference w:id="58"/>
      </w:r>
      <w:r w:rsidRPr="0020045E">
        <w:rPr>
          <w:rFonts w:ascii="Times New Roman" w:hAnsi="Times New Roman"/>
        </w:rPr>
        <w:t xml:space="preserve">. There was no ongoing controversy as to costs at the time the Full Court determined the appeals. </w:t>
      </w:r>
    </w:p>
    <w:p w14:paraId="10056425" w14:textId="77777777" w:rsidR="0077622A" w:rsidRPr="0020045E" w:rsidRDefault="0077622A" w:rsidP="0020045E">
      <w:pPr>
        <w:pStyle w:val="HeadingL1"/>
        <w:spacing w:after="260" w:line="280" w:lineRule="exact"/>
        <w:ind w:right="0"/>
        <w:jc w:val="both"/>
        <w:rPr>
          <w:rFonts w:ascii="Times New Roman" w:hAnsi="Times New Roman"/>
        </w:rPr>
      </w:pPr>
      <w:r w:rsidRPr="0020045E">
        <w:rPr>
          <w:rFonts w:ascii="Times New Roman" w:hAnsi="Times New Roman"/>
        </w:rPr>
        <w:t>Relief</w:t>
      </w:r>
    </w:p>
    <w:p w14:paraId="5DDD99A9" w14:textId="77777777" w:rsidR="00541D69" w:rsidRDefault="0077622A" w:rsidP="0020045E">
      <w:pPr>
        <w:pStyle w:val="FixListStyle"/>
        <w:spacing w:after="260" w:line="280" w:lineRule="exact"/>
        <w:ind w:right="0"/>
        <w:jc w:val="both"/>
        <w:rPr>
          <w:rFonts w:ascii="Times New Roman" w:hAnsi="Times New Roman"/>
        </w:rPr>
      </w:pPr>
      <w:r w:rsidRPr="0020045E">
        <w:rPr>
          <w:rFonts w:ascii="Times New Roman" w:hAnsi="Times New Roman"/>
        </w:rPr>
        <w:tab/>
        <w:t>The Full Court did not have jurisdiction to determine the appeals.</w:t>
      </w:r>
      <w:r w:rsidR="002E2F43" w:rsidRPr="0020045E">
        <w:rPr>
          <w:rFonts w:ascii="Times New Roman" w:hAnsi="Times New Roman"/>
        </w:rPr>
        <w:t xml:space="preserve"> </w:t>
      </w:r>
      <w:r w:rsidRPr="0020045E">
        <w:rPr>
          <w:rFonts w:ascii="Times New Roman" w:hAnsi="Times New Roman"/>
        </w:rPr>
        <w:t>The</w:t>
      </w:r>
      <w:r w:rsidR="00F52252">
        <w:rPr>
          <w:rFonts w:ascii="Times New Roman" w:hAnsi="Times New Roman"/>
        </w:rPr>
        <w:t> </w:t>
      </w:r>
      <w:r w:rsidRPr="0020045E">
        <w:rPr>
          <w:rFonts w:ascii="Times New Roman" w:hAnsi="Times New Roman"/>
        </w:rPr>
        <w:t>appeals to this Court should be allowed with costs. The</w:t>
      </w:r>
      <w:r w:rsidR="00123DAF" w:rsidRPr="0020045E">
        <w:rPr>
          <w:rFonts w:ascii="Times New Roman" w:hAnsi="Times New Roman"/>
        </w:rPr>
        <w:t> </w:t>
      </w:r>
      <w:r w:rsidRPr="0020045E">
        <w:rPr>
          <w:rFonts w:ascii="Times New Roman" w:hAnsi="Times New Roman"/>
        </w:rPr>
        <w:t>orders made by the Full Court of the Federal Court of Australia on 5 April 2022 in proceedings VID659/2021 and VID660/2021 should be set aside and</w:t>
      </w:r>
      <w:r w:rsidR="0002328C" w:rsidRPr="0020045E">
        <w:rPr>
          <w:rFonts w:ascii="Times New Roman" w:hAnsi="Times New Roman"/>
        </w:rPr>
        <w:t>,</w:t>
      </w:r>
      <w:r w:rsidRPr="0020045E">
        <w:rPr>
          <w:rFonts w:ascii="Times New Roman" w:hAnsi="Times New Roman"/>
        </w:rPr>
        <w:t xml:space="preserve"> in their place, the</w:t>
      </w:r>
      <w:r w:rsidR="00F52252">
        <w:rPr>
          <w:rFonts w:ascii="Times New Roman" w:hAnsi="Times New Roman"/>
        </w:rPr>
        <w:t> </w:t>
      </w:r>
      <w:r w:rsidRPr="0020045E">
        <w:rPr>
          <w:rFonts w:ascii="Times New Roman" w:hAnsi="Times New Roman"/>
        </w:rPr>
        <w:t>applications for leave to appeal the orders made by the Federal Court of Australia on 13</w:t>
      </w:r>
      <w:r w:rsidR="00123DAF" w:rsidRPr="0020045E">
        <w:rPr>
          <w:rFonts w:ascii="Times New Roman" w:hAnsi="Times New Roman"/>
        </w:rPr>
        <w:t> </w:t>
      </w:r>
      <w:r w:rsidRPr="0020045E">
        <w:rPr>
          <w:rFonts w:ascii="Times New Roman" w:hAnsi="Times New Roman"/>
        </w:rPr>
        <w:t>October 2021 in proceedings VID89/2021 and VID503/2021 should be refused with costs and the appeals otherwise dismissed with costs.</w:t>
      </w:r>
    </w:p>
    <w:p w14:paraId="1851D56D" w14:textId="77777777" w:rsidR="00541D69" w:rsidRDefault="00541D69" w:rsidP="0020045E">
      <w:pPr>
        <w:pStyle w:val="FixListStyle"/>
        <w:spacing w:after="260" w:line="280" w:lineRule="exact"/>
        <w:ind w:right="0"/>
        <w:jc w:val="both"/>
        <w:rPr>
          <w:rFonts w:ascii="Times New Roman" w:hAnsi="Times New Roman"/>
        </w:rPr>
        <w:sectPr w:rsidR="00541D69" w:rsidSect="00445CF2">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6838281" w14:textId="77777777" w:rsidR="00541D69" w:rsidRPr="002D070A" w:rsidRDefault="00541D69" w:rsidP="002D070A">
      <w:pPr>
        <w:pStyle w:val="NormalBody"/>
        <w:tabs>
          <w:tab w:val="clear" w:pos="720"/>
          <w:tab w:val="left" w:pos="0"/>
        </w:tabs>
        <w:spacing w:after="260" w:line="280" w:lineRule="exact"/>
        <w:ind w:right="0"/>
        <w:jc w:val="both"/>
        <w:rPr>
          <w:rFonts w:ascii="Times New Roman" w:hAnsi="Times New Roman"/>
        </w:rPr>
      </w:pPr>
      <w:r w:rsidRPr="002D070A">
        <w:rPr>
          <w:rFonts w:ascii="Times New Roman" w:hAnsi="Times New Roman"/>
        </w:rPr>
        <w:lastRenderedPageBreak/>
        <w:t xml:space="preserve">EDELMAN J.   </w:t>
      </w:r>
    </w:p>
    <w:p w14:paraId="6E3265A1" w14:textId="77777777" w:rsidR="00541D69" w:rsidRPr="002D070A" w:rsidRDefault="00541D69" w:rsidP="002D070A">
      <w:pPr>
        <w:pStyle w:val="HeadingL1"/>
        <w:spacing w:after="260" w:line="280" w:lineRule="exact"/>
        <w:ind w:right="0"/>
        <w:jc w:val="both"/>
        <w:rPr>
          <w:rFonts w:ascii="Times New Roman" w:hAnsi="Times New Roman"/>
        </w:rPr>
      </w:pPr>
      <w:r w:rsidRPr="002D070A">
        <w:rPr>
          <w:rFonts w:ascii="Times New Roman" w:hAnsi="Times New Roman"/>
        </w:rPr>
        <w:t>Introduction: the nature of controversy</w:t>
      </w:r>
    </w:p>
    <w:p w14:paraId="1E71B85E"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The appeals to this Court are concerned with whether the Full Court of the Federal Court of Australia had jurisdiction to decide two appeals before it. The jurisdiction of the Full Court of the Federal Court, like that of the Federal Court, derives from legislation passed under s 77(</w:t>
      </w:r>
      <w:proofErr w:type="spellStart"/>
      <w:r w:rsidRPr="002D070A">
        <w:rPr>
          <w:rFonts w:ascii="Times New Roman" w:hAnsi="Times New Roman"/>
        </w:rPr>
        <w:t>i</w:t>
      </w:r>
      <w:proofErr w:type="spellEnd"/>
      <w:r w:rsidRPr="002D070A">
        <w:rPr>
          <w:rFonts w:ascii="Times New Roman" w:hAnsi="Times New Roman"/>
        </w:rPr>
        <w:t xml:space="preserve">) of the </w:t>
      </w:r>
      <w:r w:rsidRPr="002D070A">
        <w:rPr>
          <w:rFonts w:ascii="Times New Roman" w:hAnsi="Times New Roman"/>
          <w:i/>
          <w:iCs/>
        </w:rPr>
        <w:t>Constitution</w:t>
      </w:r>
      <w:r w:rsidRPr="002D070A">
        <w:rPr>
          <w:rFonts w:ascii="Times New Roman" w:hAnsi="Times New Roman"/>
        </w:rPr>
        <w:t xml:space="preserve">. By contrast, the appellate jurisdiction of this Court derives from s 73 of the </w:t>
      </w:r>
      <w:r w:rsidRPr="002D070A">
        <w:rPr>
          <w:rFonts w:ascii="Times New Roman" w:hAnsi="Times New Roman"/>
          <w:i/>
          <w:iCs/>
        </w:rPr>
        <w:t>Constitution</w:t>
      </w:r>
      <w:r w:rsidRPr="002D070A">
        <w:rPr>
          <w:rFonts w:ascii="Times New Roman" w:hAnsi="Times New Roman"/>
        </w:rPr>
        <w:t>.</w:t>
      </w:r>
    </w:p>
    <w:p w14:paraId="0BBAB0C3"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I entirely agree, for the reasons given in the joint reasons of Kiefel CJ, Gordon and Steward JJ, that the Full Court of the Federal Court had no jurisdiction because there was no "matter" before the Full Court. As the joint reasons observe</w:t>
      </w:r>
      <w:r w:rsidRPr="002D070A">
        <w:rPr>
          <w:rStyle w:val="FootnoteReference"/>
          <w:rFonts w:ascii="Times New Roman" w:hAnsi="Times New Roman"/>
          <w:sz w:val="24"/>
        </w:rPr>
        <w:footnoteReference w:id="59"/>
      </w:r>
      <w:r w:rsidRPr="002D070A">
        <w:rPr>
          <w:rFonts w:ascii="Times New Roman" w:hAnsi="Times New Roman"/>
        </w:rPr>
        <w:t xml:space="preserve">, there are two central elements to a "matter" in s 77 of the </w:t>
      </w:r>
      <w:r w:rsidRPr="002D070A">
        <w:rPr>
          <w:rFonts w:ascii="Times New Roman" w:hAnsi="Times New Roman"/>
          <w:i/>
          <w:iCs/>
        </w:rPr>
        <w:t>Constitution</w:t>
      </w:r>
      <w:r w:rsidRPr="002D070A">
        <w:rPr>
          <w:rFonts w:ascii="Times New Roman" w:hAnsi="Times New Roman"/>
        </w:rPr>
        <w:t xml:space="preserve">. </w:t>
      </w:r>
      <w:r w:rsidRPr="002D070A" w:rsidDel="00362B63">
        <w:rPr>
          <w:rFonts w:ascii="Times New Roman" w:hAnsi="Times New Roman"/>
        </w:rPr>
        <w:t>First, there must usually be a "justiciable controversy"</w:t>
      </w:r>
      <w:r w:rsidRPr="002D070A">
        <w:rPr>
          <w:rStyle w:val="FootnoteReference"/>
          <w:rFonts w:ascii="Times New Roman" w:hAnsi="Times New Roman"/>
          <w:sz w:val="24"/>
        </w:rPr>
        <w:footnoteReference w:id="60"/>
      </w:r>
      <w:r w:rsidRPr="002D070A" w:rsidDel="00362B63">
        <w:rPr>
          <w:rFonts w:ascii="Times New Roman" w:hAnsi="Times New Roman"/>
        </w:rPr>
        <w:t xml:space="preserve">. </w:t>
      </w:r>
      <w:r w:rsidRPr="002D070A">
        <w:rPr>
          <w:rFonts w:ascii="Times New Roman" w:hAnsi="Times New Roman"/>
        </w:rPr>
        <w:t>Secondly, the subject matter dimension of the controversy</w:t>
      </w:r>
      <w:r w:rsidRPr="002D070A">
        <w:rPr>
          <w:rStyle w:val="FootnoteReference"/>
          <w:rFonts w:ascii="Times New Roman" w:hAnsi="Times New Roman"/>
          <w:sz w:val="24"/>
        </w:rPr>
        <w:footnoteReference w:id="61"/>
      </w:r>
      <w:r w:rsidRPr="002D070A">
        <w:rPr>
          <w:rFonts w:ascii="Times New Roman" w:hAnsi="Times New Roman"/>
        </w:rPr>
        <w:t xml:space="preserve"> must have involved</w:t>
      </w:r>
      <w:r w:rsidRPr="002D070A">
        <w:rPr>
          <w:rStyle w:val="FootnoteReference"/>
          <w:rFonts w:ascii="Times New Roman" w:hAnsi="Times New Roman"/>
          <w:sz w:val="24"/>
        </w:rPr>
        <w:footnoteReference w:id="62"/>
      </w:r>
      <w:r w:rsidRPr="002D070A">
        <w:rPr>
          <w:rFonts w:ascii="Times New Roman" w:hAnsi="Times New Roman"/>
        </w:rPr>
        <w:t xml:space="preserve"> a claim (brought for proper purposes, and not "unarguable" or "manifestly hopeless"</w:t>
      </w:r>
      <w:r w:rsidRPr="002D070A">
        <w:rPr>
          <w:rStyle w:val="FootnoteReference"/>
          <w:rFonts w:ascii="Times New Roman" w:hAnsi="Times New Roman"/>
          <w:sz w:val="24"/>
        </w:rPr>
        <w:footnoteReference w:id="63"/>
      </w:r>
      <w:r w:rsidRPr="002D070A">
        <w:rPr>
          <w:rFonts w:ascii="Times New Roman" w:hAnsi="Times New Roman"/>
        </w:rPr>
        <w:t xml:space="preserve">) concerning one of the subject matters within ss 75 and 76 of the </w:t>
      </w:r>
      <w:r w:rsidRPr="002D070A">
        <w:rPr>
          <w:rFonts w:ascii="Times New Roman" w:hAnsi="Times New Roman"/>
          <w:i/>
          <w:iCs/>
        </w:rPr>
        <w:t>Constitution</w:t>
      </w:r>
      <w:r w:rsidRPr="002D070A">
        <w:rPr>
          <w:rStyle w:val="FootnoteReference"/>
          <w:rFonts w:ascii="Times New Roman" w:hAnsi="Times New Roman"/>
          <w:sz w:val="24"/>
        </w:rPr>
        <w:footnoteReference w:id="64"/>
      </w:r>
      <w:r w:rsidRPr="002D070A">
        <w:rPr>
          <w:rFonts w:ascii="Times New Roman" w:hAnsi="Times New Roman"/>
        </w:rPr>
        <w:t>.</w:t>
      </w:r>
    </w:p>
    <w:p w14:paraId="141BEEAD"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These appeals are concerned only with the first element of a matter: a justiciable controversy. </w:t>
      </w:r>
    </w:p>
    <w:p w14:paraId="0EA0216B" w14:textId="77777777" w:rsidR="00541D69" w:rsidRPr="002D070A" w:rsidRDefault="00541D69" w:rsidP="002D070A">
      <w:pPr>
        <w:pStyle w:val="HeadingL1"/>
        <w:spacing w:after="260" w:line="280" w:lineRule="exact"/>
        <w:ind w:right="0"/>
        <w:jc w:val="both"/>
        <w:rPr>
          <w:rFonts w:ascii="Times New Roman" w:hAnsi="Times New Roman"/>
        </w:rPr>
      </w:pPr>
      <w:r w:rsidRPr="002D070A">
        <w:rPr>
          <w:rFonts w:ascii="Times New Roman" w:hAnsi="Times New Roman"/>
        </w:rPr>
        <w:lastRenderedPageBreak/>
        <w:t xml:space="preserve">Three scenarios lacking a justiciable </w:t>
      </w:r>
      <w:proofErr w:type="gramStart"/>
      <w:r w:rsidRPr="002D070A">
        <w:rPr>
          <w:rFonts w:ascii="Times New Roman" w:hAnsi="Times New Roman"/>
        </w:rPr>
        <w:t>controversy</w:t>
      </w:r>
      <w:proofErr w:type="gramEnd"/>
    </w:p>
    <w:p w14:paraId="302EACAF"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The central question of principle in these appeals can be illustrated by three scenarios. First, suppose that the Minister had brought an action against AZC20 seeking declarations and orders concerning whether the Federal Court had power to make a home detention order, despite no order for home detention of AZC20 being possible in the circumstances or in any foreseeable circumstances. Would there be any real dispute between the Minister and AZC20 if there was no dispute about anything that had happened in the past or its consequences, and no dispute about anything further that was going to happen to AZC20 in the future? No. The real issue between the parties is moot. There is no matter. The Federal Court cannot provide the Minister with an advisory opinion on the subject.</w:t>
      </w:r>
    </w:p>
    <w:p w14:paraId="09A392DD"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Secondly, suppose that at the time that the action was commenced there was a real dispute about whether an order could be made for the home detention of AZC20 but, </w:t>
      </w:r>
      <w:proofErr w:type="gramStart"/>
      <w:r w:rsidRPr="002D070A">
        <w:rPr>
          <w:rFonts w:ascii="Times New Roman" w:hAnsi="Times New Roman"/>
        </w:rPr>
        <w:t>during the course of</w:t>
      </w:r>
      <w:proofErr w:type="gramEnd"/>
      <w:r w:rsidRPr="002D070A">
        <w:rPr>
          <w:rFonts w:ascii="Times New Roman" w:hAnsi="Times New Roman"/>
        </w:rPr>
        <w:t xml:space="preserve"> the action, events occurred which removed any possibility of such an order being made. Would there be a real dispute between the Minister and AZC20 if there was no longer any dispute about anything that had happened in the past and no longer any dispute about anything that was going to happen to AZC20 in the future? No. The real issue has become moot. There is no longer any matter. The Federal Court cannot provide the Minister with an advisory opinion on the subject.</w:t>
      </w:r>
    </w:p>
    <w:p w14:paraId="6345E13B"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Thirdly, and relevantly to these appeals, if, after the primary judge made orders concerning the home detention of AZC20, events occurred which removed the possibility that any steps could be taken to implement those orders, would there be a real dispute on an appeal by the Minister? The principal argument of the respondents ("the Commonwealth parties") is that unlike a hearing at first instance, a federal court has jurisdiction under s 77(</w:t>
      </w:r>
      <w:proofErr w:type="spellStart"/>
      <w:r w:rsidRPr="002D070A">
        <w:rPr>
          <w:rFonts w:ascii="Times New Roman" w:hAnsi="Times New Roman"/>
        </w:rPr>
        <w:t>i</w:t>
      </w:r>
      <w:proofErr w:type="spellEnd"/>
      <w:r w:rsidRPr="002D070A">
        <w:rPr>
          <w:rFonts w:ascii="Times New Roman" w:hAnsi="Times New Roman"/>
        </w:rPr>
        <w:t xml:space="preserve">) of the </w:t>
      </w:r>
      <w:r w:rsidRPr="002D070A">
        <w:rPr>
          <w:rFonts w:ascii="Times New Roman" w:hAnsi="Times New Roman"/>
          <w:i/>
          <w:iCs/>
        </w:rPr>
        <w:t xml:space="preserve">Constitution </w:t>
      </w:r>
      <w:r w:rsidRPr="002D070A">
        <w:rPr>
          <w:rFonts w:ascii="Times New Roman" w:hAnsi="Times New Roman"/>
        </w:rPr>
        <w:t>to determine an appeal even if nothing remains in dispute. The submission is effectively that, unlike the first two scenarios, an appeal can be heard, and the Minister can be provided with an advisory appellate opinion, even if all real issues between the two parties have become entirely moot.</w:t>
      </w:r>
    </w:p>
    <w:p w14:paraId="0ADE7013"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In the United States, in relation to the Cases and Controversies clause of Art III §2 of the </w:t>
      </w:r>
      <w:r w:rsidRPr="002D070A">
        <w:rPr>
          <w:rFonts w:ascii="Times New Roman" w:hAnsi="Times New Roman"/>
          <w:i/>
          <w:iCs/>
        </w:rPr>
        <w:t>Constitution of the United States</w:t>
      </w:r>
      <w:r w:rsidRPr="002D070A">
        <w:rPr>
          <w:rFonts w:ascii="Times New Roman" w:hAnsi="Times New Roman"/>
        </w:rPr>
        <w:t>, that argument has always been plainly wrong. It should not be accepted in Australia either.</w:t>
      </w:r>
      <w:r w:rsidRPr="002D070A">
        <w:rPr>
          <w:rFonts w:ascii="Times New Roman" w:hAnsi="Times New Roman"/>
          <w:i/>
          <w:iCs/>
        </w:rPr>
        <w:t xml:space="preserve"> </w:t>
      </w:r>
      <w:r w:rsidRPr="002D070A">
        <w:rPr>
          <w:rFonts w:ascii="Times New Roman" w:hAnsi="Times New Roman"/>
        </w:rPr>
        <w:t>As the joint reasons explain, and for the reasons explained below, neither the text nor the purpose of s 77 permits an artificial subdivision of "jurisdiction" to apply different rules for appellate jurisdiction from those that apply to original jurisdiction.</w:t>
      </w:r>
    </w:p>
    <w:p w14:paraId="127E4200"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On the present state of authority, a controversy on an appeal about a costs order is sufficient to establish a controversy about the substantive orders to which the costs order relates. But, in the present case, by the time the Commonwealth parties filed their amended notices of appeal in the Full Court of the Federal Court, there was not even a dispute about any costs order made at first instance.</w:t>
      </w:r>
    </w:p>
    <w:p w14:paraId="10B6BD37" w14:textId="77777777" w:rsidR="00541D69" w:rsidRPr="002D070A" w:rsidRDefault="00541D69" w:rsidP="002D070A">
      <w:pPr>
        <w:pStyle w:val="HeadingL1"/>
        <w:spacing w:after="260" w:line="280" w:lineRule="exact"/>
        <w:ind w:right="0"/>
        <w:jc w:val="both"/>
        <w:rPr>
          <w:rFonts w:ascii="Times New Roman" w:hAnsi="Times New Roman"/>
        </w:rPr>
      </w:pPr>
      <w:r w:rsidRPr="002D070A">
        <w:rPr>
          <w:rFonts w:ascii="Times New Roman" w:hAnsi="Times New Roman"/>
        </w:rPr>
        <w:lastRenderedPageBreak/>
        <w:t>The justiciable controversy element of a matter</w:t>
      </w:r>
    </w:p>
    <w:p w14:paraId="4D8597D5"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The first element of a matter—a justiciable controversy—is commonly present in the exercise of judicial power. But the focus of a matter is narrower than the concept of judicial power. The element of a matter usually requiring a justiciable controversy has three aspects. First, a justiciable controversy must concern legal rights. Secondly, it must generally involve a dispute about those legal rights that can be resolved in a judicial manner by a court</w:t>
      </w:r>
      <w:r w:rsidRPr="002D070A">
        <w:rPr>
          <w:rStyle w:val="FootnoteReference"/>
          <w:rFonts w:ascii="Times New Roman" w:hAnsi="Times New Roman"/>
          <w:sz w:val="24"/>
        </w:rPr>
        <w:footnoteReference w:id="65"/>
      </w:r>
      <w:r w:rsidRPr="002D070A">
        <w:rPr>
          <w:rFonts w:ascii="Times New Roman" w:hAnsi="Times New Roman"/>
        </w:rPr>
        <w:t>. Thirdly, the parties before the court must have standing to agitate that dispute</w:t>
      </w:r>
      <w:r w:rsidRPr="002D070A">
        <w:rPr>
          <w:rStyle w:val="FootnoteReference"/>
          <w:rFonts w:ascii="Times New Roman" w:hAnsi="Times New Roman"/>
          <w:sz w:val="24"/>
        </w:rPr>
        <w:footnoteReference w:id="66"/>
      </w:r>
      <w:r w:rsidRPr="002D070A">
        <w:rPr>
          <w:rFonts w:ascii="Times New Roman" w:hAnsi="Times New Roman"/>
        </w:rPr>
        <w:t xml:space="preserve">. Each of these aspects is different although they are cumulative. The failure to recognise all aspects of a justiciable controversy can lead only to confusion and the dilution of its requirements. </w:t>
      </w:r>
    </w:p>
    <w:p w14:paraId="191EB0B4" w14:textId="77777777" w:rsidR="00541D69" w:rsidRPr="002D070A" w:rsidRDefault="00541D69" w:rsidP="002D070A">
      <w:pPr>
        <w:pStyle w:val="HeadingL2"/>
        <w:spacing w:after="260" w:line="280" w:lineRule="exact"/>
        <w:ind w:right="0"/>
        <w:jc w:val="both"/>
        <w:rPr>
          <w:rFonts w:ascii="Times New Roman" w:hAnsi="Times New Roman"/>
        </w:rPr>
      </w:pPr>
      <w:r w:rsidRPr="002D070A">
        <w:rPr>
          <w:rFonts w:ascii="Times New Roman" w:hAnsi="Times New Roman"/>
        </w:rPr>
        <w:t xml:space="preserve">A justiciable controversy and the need for legal rights </w:t>
      </w:r>
    </w:p>
    <w:p w14:paraId="496DB990"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A legal controversy is a dispute about rights, </w:t>
      </w:r>
      <w:proofErr w:type="gramStart"/>
      <w:r w:rsidRPr="002D070A">
        <w:rPr>
          <w:rFonts w:ascii="Times New Roman" w:hAnsi="Times New Roman"/>
        </w:rPr>
        <w:t>duties</w:t>
      </w:r>
      <w:proofErr w:type="gramEnd"/>
      <w:r w:rsidRPr="002D070A">
        <w:rPr>
          <w:rFonts w:ascii="Times New Roman" w:hAnsi="Times New Roman"/>
        </w:rPr>
        <w:t xml:space="preserve"> or liabilities. The reference to "rights" is in a broad, and loose, sense which includes claim rights, powers, liberties and privileges, and immunities. In this sense, the "only kinds of rights with which courts of justice are concerned are legal rights"</w:t>
      </w:r>
      <w:r w:rsidRPr="002D070A">
        <w:rPr>
          <w:rStyle w:val="FootnoteReference"/>
          <w:rFonts w:ascii="Times New Roman" w:hAnsi="Times New Roman"/>
          <w:sz w:val="24"/>
        </w:rPr>
        <w:footnoteReference w:id="67"/>
      </w:r>
      <w:r w:rsidRPr="002D070A">
        <w:rPr>
          <w:rFonts w:ascii="Times New Roman" w:hAnsi="Times New Roman"/>
        </w:rPr>
        <w:t xml:space="preserve">. But a controversy, in law, is limited to the consideration of these rights, duties and liabilities. </w:t>
      </w:r>
    </w:p>
    <w:p w14:paraId="1174B0CB"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Some rights, duties and liabilities are naturally possessed from birth. Other rights, duties and liabilities arise when things happen in the world. One of the things that happens in the world to give rise to rights, duties and liabilities is the making of court orders. The effect of a court order is usually to replace what the court has found to be a previously existing right, duty or liability with a new right, </w:t>
      </w:r>
      <w:proofErr w:type="gramStart"/>
      <w:r w:rsidRPr="002D070A">
        <w:rPr>
          <w:rFonts w:ascii="Times New Roman" w:hAnsi="Times New Roman"/>
        </w:rPr>
        <w:t>duty</w:t>
      </w:r>
      <w:proofErr w:type="gramEnd"/>
      <w:r w:rsidRPr="002D070A">
        <w:rPr>
          <w:rFonts w:ascii="Times New Roman" w:hAnsi="Times New Roman"/>
        </w:rPr>
        <w:t xml:space="preserve"> or liability "of a higher nature" which is generally supported by the enforcement mechanisms of the State</w:t>
      </w:r>
      <w:r w:rsidRPr="002D070A">
        <w:rPr>
          <w:rStyle w:val="FootnoteReference"/>
          <w:rFonts w:ascii="Times New Roman" w:hAnsi="Times New Roman"/>
          <w:sz w:val="24"/>
        </w:rPr>
        <w:footnoteReference w:id="68"/>
      </w:r>
      <w:r w:rsidRPr="002D070A">
        <w:rPr>
          <w:rFonts w:ascii="Times New Roman" w:hAnsi="Times New Roman"/>
        </w:rPr>
        <w:t xml:space="preserve">. </w:t>
      </w:r>
    </w:p>
    <w:p w14:paraId="44AF094D"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Rights, </w:t>
      </w:r>
      <w:proofErr w:type="gramStart"/>
      <w:r w:rsidRPr="002D070A">
        <w:rPr>
          <w:rFonts w:ascii="Times New Roman" w:hAnsi="Times New Roman"/>
        </w:rPr>
        <w:t>duties</w:t>
      </w:r>
      <w:proofErr w:type="gramEnd"/>
      <w:r w:rsidRPr="002D070A">
        <w:rPr>
          <w:rFonts w:ascii="Times New Roman" w:hAnsi="Times New Roman"/>
        </w:rPr>
        <w:t xml:space="preserve"> and liabilities that once existed might cease to exist in the future: claim rights can be wholly exercised, duties can be discharged, and </w:t>
      </w:r>
      <w:r w:rsidRPr="002D070A">
        <w:rPr>
          <w:rFonts w:ascii="Times New Roman" w:hAnsi="Times New Roman"/>
        </w:rPr>
        <w:lastRenderedPageBreak/>
        <w:t>liabilities can be extinguished</w:t>
      </w:r>
      <w:r w:rsidRPr="002D070A">
        <w:rPr>
          <w:rStyle w:val="FootnoteReference"/>
          <w:rFonts w:ascii="Times New Roman" w:hAnsi="Times New Roman"/>
          <w:sz w:val="24"/>
        </w:rPr>
        <w:footnoteReference w:id="69"/>
      </w:r>
      <w:r w:rsidRPr="002D070A">
        <w:rPr>
          <w:rFonts w:ascii="Times New Roman" w:hAnsi="Times New Roman"/>
        </w:rPr>
        <w:t>. This is as true of rights that existed prior to court orders as it is of the rights that are created by court orders. A claim right recognised and ordered by the court can be wholly exercised, a duty recognised and ordered by the court can be discharged, and a liability recognised and ordered by the court can be extinguished. Since rights, duties and liabilities can subsequently cease to exist, it necessarily follows that a controversy can cease to exist and, therefore, a matter that once existed can cease to exist</w:t>
      </w:r>
      <w:r w:rsidRPr="002D070A">
        <w:rPr>
          <w:rStyle w:val="FootnoteReference"/>
          <w:rFonts w:ascii="Times New Roman" w:hAnsi="Times New Roman"/>
          <w:sz w:val="24"/>
        </w:rPr>
        <w:footnoteReference w:id="70"/>
      </w:r>
      <w:r w:rsidRPr="002D070A">
        <w:rPr>
          <w:rFonts w:ascii="Times New Roman" w:hAnsi="Times New Roman"/>
        </w:rPr>
        <w:t>.</w:t>
      </w:r>
    </w:p>
    <w:p w14:paraId="0A04B999" w14:textId="77777777" w:rsidR="00541D69" w:rsidRPr="002D070A" w:rsidRDefault="00541D69" w:rsidP="002D070A">
      <w:pPr>
        <w:pStyle w:val="HeadingL2"/>
        <w:spacing w:after="260" w:line="280" w:lineRule="exact"/>
        <w:ind w:right="0"/>
        <w:jc w:val="both"/>
        <w:rPr>
          <w:rFonts w:ascii="Times New Roman" w:hAnsi="Times New Roman"/>
        </w:rPr>
      </w:pPr>
      <w:r w:rsidRPr="002D070A">
        <w:rPr>
          <w:rFonts w:ascii="Times New Roman" w:hAnsi="Times New Roman"/>
        </w:rPr>
        <w:t>A justiciable controversy and the need for a real dispute</w:t>
      </w:r>
    </w:p>
    <w:p w14:paraId="7250E843"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It is not sufficient for a controversy that the court is asked to adjudicate upon rights, </w:t>
      </w:r>
      <w:proofErr w:type="gramStart"/>
      <w:r w:rsidRPr="002D070A">
        <w:rPr>
          <w:rFonts w:ascii="Times New Roman" w:hAnsi="Times New Roman"/>
        </w:rPr>
        <w:t>duties</w:t>
      </w:r>
      <w:proofErr w:type="gramEnd"/>
      <w:r w:rsidRPr="002D070A">
        <w:rPr>
          <w:rFonts w:ascii="Times New Roman" w:hAnsi="Times New Roman"/>
        </w:rPr>
        <w:t xml:space="preserve"> or liabilities. It is also generally necessary that, independently of the proceeding itself</w:t>
      </w:r>
      <w:r w:rsidRPr="002D070A">
        <w:rPr>
          <w:rStyle w:val="FootnoteReference"/>
          <w:rFonts w:ascii="Times New Roman" w:hAnsi="Times New Roman"/>
          <w:sz w:val="24"/>
        </w:rPr>
        <w:footnoteReference w:id="71"/>
      </w:r>
      <w:r w:rsidRPr="002D070A">
        <w:rPr>
          <w:rFonts w:ascii="Times New Roman" w:hAnsi="Times New Roman"/>
        </w:rPr>
        <w:t xml:space="preserve">, there is a real dispute about those rights, </w:t>
      </w:r>
      <w:proofErr w:type="gramStart"/>
      <w:r w:rsidRPr="002D070A">
        <w:rPr>
          <w:rFonts w:ascii="Times New Roman" w:hAnsi="Times New Roman"/>
        </w:rPr>
        <w:t>duties</w:t>
      </w:r>
      <w:proofErr w:type="gramEnd"/>
      <w:r w:rsidRPr="002D070A">
        <w:rPr>
          <w:rFonts w:ascii="Times New Roman" w:hAnsi="Times New Roman"/>
        </w:rPr>
        <w:t xml:space="preserve"> or liabilities. In other words, the usual requirement of a dispute is that it must concern some concrete, or real-world, application of rights, </w:t>
      </w:r>
      <w:proofErr w:type="gramStart"/>
      <w:r w:rsidRPr="002D070A">
        <w:rPr>
          <w:rFonts w:ascii="Times New Roman" w:hAnsi="Times New Roman"/>
        </w:rPr>
        <w:t>duties</w:t>
      </w:r>
      <w:proofErr w:type="gramEnd"/>
      <w:r w:rsidRPr="002D070A">
        <w:rPr>
          <w:rFonts w:ascii="Times New Roman" w:hAnsi="Times New Roman"/>
        </w:rPr>
        <w:t xml:space="preserve"> or liabilities about which opposing parties disagree. Just as rights, duties or liabilities might cease to exist, there might also cease to be any concrete, or real-world, consequences of a previous dispute about rights, </w:t>
      </w:r>
      <w:proofErr w:type="gramStart"/>
      <w:r w:rsidRPr="002D070A">
        <w:rPr>
          <w:rFonts w:ascii="Times New Roman" w:hAnsi="Times New Roman"/>
        </w:rPr>
        <w:t>duties</w:t>
      </w:r>
      <w:proofErr w:type="gramEnd"/>
      <w:r w:rsidRPr="002D070A">
        <w:rPr>
          <w:rFonts w:ascii="Times New Roman" w:hAnsi="Times New Roman"/>
        </w:rPr>
        <w:t xml:space="preserve"> or liabilities. As Roberts CJ said for the Supreme Court of the United States in </w:t>
      </w:r>
      <w:proofErr w:type="spellStart"/>
      <w:r w:rsidRPr="002D070A">
        <w:rPr>
          <w:rFonts w:ascii="Times New Roman" w:hAnsi="Times New Roman"/>
          <w:i/>
          <w:iCs/>
        </w:rPr>
        <w:t>Chafin</w:t>
      </w:r>
      <w:proofErr w:type="spellEnd"/>
      <w:r w:rsidRPr="002D070A">
        <w:rPr>
          <w:rFonts w:ascii="Times New Roman" w:hAnsi="Times New Roman"/>
          <w:i/>
          <w:iCs/>
        </w:rPr>
        <w:t xml:space="preserve"> v </w:t>
      </w:r>
      <w:proofErr w:type="spellStart"/>
      <w:r w:rsidRPr="002D070A">
        <w:rPr>
          <w:rFonts w:ascii="Times New Roman" w:hAnsi="Times New Roman"/>
          <w:i/>
          <w:iCs/>
        </w:rPr>
        <w:t>Chafin</w:t>
      </w:r>
      <w:proofErr w:type="spellEnd"/>
      <w:r w:rsidRPr="002D070A">
        <w:rPr>
          <w:rStyle w:val="FootnoteReference"/>
          <w:rFonts w:ascii="Times New Roman" w:hAnsi="Times New Roman"/>
          <w:sz w:val="24"/>
        </w:rPr>
        <w:footnoteReference w:id="72"/>
      </w:r>
      <w:r w:rsidRPr="002D070A">
        <w:rPr>
          <w:rFonts w:ascii="Times New Roman" w:hAnsi="Times New Roman"/>
        </w:rPr>
        <w:t>:</w:t>
      </w:r>
    </w:p>
    <w:p w14:paraId="24EB4FB2" w14:textId="77777777" w:rsidR="00541D69" w:rsidRPr="002D070A" w:rsidRDefault="00541D69" w:rsidP="002D070A">
      <w:pPr>
        <w:pStyle w:val="LeftrightafterHC"/>
        <w:spacing w:before="0" w:after="260" w:line="280" w:lineRule="exact"/>
        <w:ind w:right="0"/>
        <w:jc w:val="both"/>
        <w:rPr>
          <w:rFonts w:ascii="Times New Roman" w:hAnsi="Times New Roman"/>
        </w:rPr>
      </w:pPr>
      <w:r w:rsidRPr="002D070A">
        <w:rPr>
          <w:rFonts w:ascii="Times New Roman" w:hAnsi="Times New Roman"/>
        </w:rPr>
        <w:t>"'[I]t is not enough that a dispute was very much alive when suit was filed'; the parties must 'continue to have a "personal stake"' in the ultimate disposition of the lawsuit.</w:t>
      </w:r>
    </w:p>
    <w:p w14:paraId="725D3528" w14:textId="77777777" w:rsidR="00541D69" w:rsidRDefault="00541D69" w:rsidP="002D070A">
      <w:pPr>
        <w:pStyle w:val="leftright"/>
        <w:spacing w:before="0" w:after="260" w:line="280" w:lineRule="exact"/>
        <w:ind w:right="0"/>
        <w:jc w:val="both"/>
        <w:rPr>
          <w:rFonts w:ascii="Times New Roman" w:hAnsi="Times New Roman"/>
        </w:rPr>
      </w:pPr>
      <w:r w:rsidRPr="002D070A">
        <w:rPr>
          <w:rFonts w:ascii="Times New Roman" w:hAnsi="Times New Roman"/>
        </w:rPr>
        <w:tab/>
        <w:t>There is thus no case or controversy, and a suit becomes moot, 'when the issues presented are no longer "live" or the parties lack a legally cognizable interest in the outcome.'"</w:t>
      </w:r>
    </w:p>
    <w:p w14:paraId="7CCD2308"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In </w:t>
      </w:r>
      <w:r w:rsidRPr="002D070A">
        <w:rPr>
          <w:rFonts w:ascii="Times New Roman" w:hAnsi="Times New Roman"/>
          <w:i/>
        </w:rPr>
        <w:t xml:space="preserve">Unions </w:t>
      </w:r>
      <w:r w:rsidRPr="002D070A">
        <w:rPr>
          <w:rFonts w:ascii="Times New Roman" w:hAnsi="Times New Roman"/>
          <w:i/>
          <w:iCs/>
        </w:rPr>
        <w:t xml:space="preserve">NSW v New South Wales </w:t>
      </w:r>
      <w:r w:rsidRPr="002D070A">
        <w:rPr>
          <w:rFonts w:ascii="Times New Roman" w:hAnsi="Times New Roman"/>
        </w:rPr>
        <w:t>("</w:t>
      </w:r>
      <w:r w:rsidRPr="002D070A">
        <w:rPr>
          <w:rFonts w:ascii="Times New Roman" w:hAnsi="Times New Roman"/>
          <w:i/>
        </w:rPr>
        <w:t>Unions [No 3]</w:t>
      </w:r>
      <w:r w:rsidRPr="002D070A">
        <w:rPr>
          <w:rFonts w:ascii="Times New Roman" w:hAnsi="Times New Roman"/>
        </w:rPr>
        <w:t>")</w:t>
      </w:r>
      <w:r w:rsidRPr="002D070A">
        <w:rPr>
          <w:rStyle w:val="FootnoteReference"/>
          <w:rFonts w:ascii="Times New Roman" w:hAnsi="Times New Roman"/>
          <w:sz w:val="24"/>
        </w:rPr>
        <w:footnoteReference w:id="73"/>
      </w:r>
      <w:r w:rsidRPr="002D070A">
        <w:rPr>
          <w:rFonts w:ascii="Times New Roman" w:hAnsi="Times New Roman"/>
        </w:rPr>
        <w:t xml:space="preserve">, the plaintiffs commenced proceedings which included a challenge to the validity of s 35 of the </w:t>
      </w:r>
      <w:r w:rsidRPr="002D070A">
        <w:rPr>
          <w:rFonts w:ascii="Times New Roman" w:hAnsi="Times New Roman"/>
          <w:i/>
          <w:iCs/>
        </w:rPr>
        <w:t>Electoral Funding Act 2018 </w:t>
      </w:r>
      <w:r w:rsidRPr="002D070A">
        <w:rPr>
          <w:rFonts w:ascii="Times New Roman" w:hAnsi="Times New Roman"/>
        </w:rPr>
        <w:t xml:space="preserve">(NSW). At the time that their proceedings were </w:t>
      </w:r>
      <w:r w:rsidRPr="002D070A">
        <w:rPr>
          <w:rFonts w:ascii="Times New Roman" w:hAnsi="Times New Roman"/>
        </w:rPr>
        <w:lastRenderedPageBreak/>
        <w:t>commenced, s 35 affected the future ability of the plaintiffs to campaign with another person, or other persons, at by-elections. But during the proceedings s 35 was repealed</w:t>
      </w:r>
      <w:r w:rsidRPr="002D070A">
        <w:rPr>
          <w:rStyle w:val="FootnoteReference"/>
          <w:rFonts w:ascii="Times New Roman" w:hAnsi="Times New Roman"/>
          <w:sz w:val="24"/>
        </w:rPr>
        <w:footnoteReference w:id="74"/>
      </w:r>
      <w:r w:rsidRPr="002D070A">
        <w:rPr>
          <w:rFonts w:ascii="Times New Roman" w:hAnsi="Times New Roman"/>
        </w:rPr>
        <w:t xml:space="preserve">. There had been no past interference with the plaintiffs' rights and there was no real prospect of future interference. There was no remaining </w:t>
      </w:r>
      <w:proofErr w:type="gramStart"/>
      <w:r w:rsidRPr="002D070A">
        <w:rPr>
          <w:rFonts w:ascii="Times New Roman" w:hAnsi="Times New Roman"/>
        </w:rPr>
        <w:t>dispute</w:t>
      </w:r>
      <w:proofErr w:type="gramEnd"/>
      <w:r w:rsidRPr="002D070A">
        <w:rPr>
          <w:rFonts w:ascii="Times New Roman" w:hAnsi="Times New Roman"/>
        </w:rPr>
        <w:t xml:space="preserve"> and the plaintiffs had no standing to vindicate any interest</w:t>
      </w:r>
      <w:r w:rsidRPr="002D070A">
        <w:rPr>
          <w:rStyle w:val="FootnoteReference"/>
          <w:rFonts w:ascii="Times New Roman" w:hAnsi="Times New Roman"/>
          <w:sz w:val="24"/>
        </w:rPr>
        <w:footnoteReference w:id="75"/>
      </w:r>
      <w:r w:rsidRPr="002D070A">
        <w:rPr>
          <w:rFonts w:ascii="Times New Roman" w:hAnsi="Times New Roman"/>
        </w:rPr>
        <w:t>. As I said in that case, the position in the United States and Australia in this respect was the same: "[t]he requisite personal interest that must exist at the commencement of the litigation [which is the foundation for standing] must continue throughout its existence"</w:t>
      </w:r>
      <w:r w:rsidRPr="002D070A">
        <w:rPr>
          <w:rStyle w:val="FootnoteReference"/>
          <w:rFonts w:ascii="Times New Roman" w:hAnsi="Times New Roman"/>
          <w:sz w:val="24"/>
        </w:rPr>
        <w:footnoteReference w:id="76"/>
      </w:r>
      <w:r w:rsidRPr="002D070A">
        <w:rPr>
          <w:rFonts w:ascii="Times New Roman" w:hAnsi="Times New Roman"/>
        </w:rPr>
        <w:t>.</w:t>
      </w:r>
    </w:p>
    <w:p w14:paraId="64C5F280"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It was not enough in </w:t>
      </w:r>
      <w:r w:rsidRPr="002D070A">
        <w:rPr>
          <w:rFonts w:ascii="Times New Roman" w:hAnsi="Times New Roman"/>
          <w:i/>
          <w:iCs/>
        </w:rPr>
        <w:t>Unions [No 3]</w:t>
      </w:r>
      <w:r w:rsidRPr="002D070A">
        <w:rPr>
          <w:rFonts w:ascii="Times New Roman" w:hAnsi="Times New Roman"/>
        </w:rPr>
        <w:t xml:space="preserve"> that the State of New South Wales might have had an interest in knowing whether its past legislation was valid. The interest of one party in the answer to a question does not make a dispute. If there are no past or future consequences of the issues for both </w:t>
      </w:r>
      <w:proofErr w:type="gramStart"/>
      <w:r w:rsidRPr="002D070A">
        <w:rPr>
          <w:rFonts w:ascii="Times New Roman" w:hAnsi="Times New Roman"/>
        </w:rPr>
        <w:t>parties</w:t>
      </w:r>
      <w:proofErr w:type="gramEnd"/>
      <w:r w:rsidRPr="002D070A">
        <w:rPr>
          <w:rFonts w:ascii="Times New Roman" w:hAnsi="Times New Roman"/>
        </w:rPr>
        <w:t xml:space="preserve"> then there is no longer a dispute. Hence, it is not sufficient that the resolution of the issue on the appeals to the Full Court of the Federal Court in this case might have had continuing significance to the Commonwealth parties. As Quick and Garran said of the view that an interested party cannot seek resolution of an issue by the court without any dispute</w:t>
      </w:r>
      <w:r w:rsidRPr="002D070A">
        <w:rPr>
          <w:rStyle w:val="FootnoteReference"/>
          <w:rFonts w:ascii="Times New Roman" w:hAnsi="Times New Roman"/>
          <w:sz w:val="24"/>
        </w:rPr>
        <w:footnoteReference w:id="77"/>
      </w:r>
      <w:r w:rsidRPr="002D070A">
        <w:rPr>
          <w:rFonts w:ascii="Times New Roman" w:hAnsi="Times New Roman"/>
        </w:rPr>
        <w:t>:</w:t>
      </w:r>
    </w:p>
    <w:p w14:paraId="18F4F770" w14:textId="77777777" w:rsidR="00541D69" w:rsidRPr="00E1259C" w:rsidRDefault="00541D69" w:rsidP="002D070A">
      <w:pPr>
        <w:pStyle w:val="LeftrightafterHC"/>
        <w:spacing w:before="0" w:after="260" w:line="280" w:lineRule="exact"/>
        <w:ind w:right="0"/>
        <w:jc w:val="both"/>
        <w:rPr>
          <w:rStyle w:val="cf01"/>
          <w:rFonts w:ascii="Times New Roman" w:hAnsi="Times New Roman"/>
          <w:sz w:val="26"/>
          <w:szCs w:val="26"/>
        </w:rPr>
      </w:pPr>
      <w:r w:rsidRPr="00E1259C">
        <w:rPr>
          <w:rStyle w:val="cf01"/>
          <w:rFonts w:ascii="Times New Roman" w:hAnsi="Times New Roman"/>
          <w:sz w:val="26"/>
          <w:szCs w:val="26"/>
        </w:rPr>
        <w:tab/>
        <w:t xml:space="preserve">"The argument from policy is very strong in support of this view. Ex </w:t>
      </w:r>
      <w:proofErr w:type="spellStart"/>
      <w:r w:rsidRPr="00E1259C">
        <w:rPr>
          <w:rStyle w:val="cf01"/>
          <w:rFonts w:ascii="Times New Roman" w:hAnsi="Times New Roman"/>
          <w:sz w:val="26"/>
          <w:szCs w:val="26"/>
        </w:rPr>
        <w:t>parte</w:t>
      </w:r>
      <w:proofErr w:type="spellEnd"/>
      <w:r w:rsidRPr="00E1259C">
        <w:rPr>
          <w:rStyle w:val="cf01"/>
          <w:rFonts w:ascii="Times New Roman" w:hAnsi="Times New Roman"/>
          <w:sz w:val="26"/>
          <w:szCs w:val="26"/>
        </w:rPr>
        <w:t xml:space="preserve"> interpretations of the law, without the thorough examination of interested parties and their counsel, are apt to be unsatisfactory and unauthoritative. It might indeed happen that the persons interested might be represented and heard upon a reference; but the practice would be, at least, open to serious abuse. The one advantage it would have—that of obtaining a prompt decision upon questions which are in doubt, but which no one is ready to litigate—is more than balanced by other considerations. The Judges would be liable to be hindered in the discharge of their appropriate duties by being employed, in a manner, as the law advisers of the Crown".</w:t>
      </w:r>
    </w:p>
    <w:p w14:paraId="08C53C7D" w14:textId="77777777" w:rsidR="00541D69" w:rsidRPr="002D070A" w:rsidRDefault="00541D69" w:rsidP="002D070A">
      <w:pPr>
        <w:pStyle w:val="HeadingL2"/>
        <w:spacing w:after="260" w:line="280" w:lineRule="exact"/>
        <w:ind w:right="0"/>
        <w:jc w:val="both"/>
        <w:rPr>
          <w:rFonts w:ascii="Times New Roman" w:hAnsi="Times New Roman"/>
        </w:rPr>
      </w:pPr>
      <w:r w:rsidRPr="002D070A">
        <w:rPr>
          <w:rFonts w:ascii="Times New Roman" w:hAnsi="Times New Roman"/>
        </w:rPr>
        <w:t xml:space="preserve">A justiciable controversy and the need for </w:t>
      </w:r>
      <w:proofErr w:type="gramStart"/>
      <w:r w:rsidRPr="002D070A">
        <w:rPr>
          <w:rFonts w:ascii="Times New Roman" w:hAnsi="Times New Roman"/>
        </w:rPr>
        <w:t>standing</w:t>
      </w:r>
      <w:proofErr w:type="gramEnd"/>
    </w:p>
    <w:p w14:paraId="11AE2EC0"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The existence of a real dispute is different from the requirement of standing. A real dispute about rights exists independently of a legal proceeding. Standing </w:t>
      </w:r>
      <w:r w:rsidRPr="002D070A">
        <w:rPr>
          <w:rFonts w:ascii="Times New Roman" w:hAnsi="Times New Roman"/>
        </w:rPr>
        <w:lastRenderedPageBreak/>
        <w:t>does not. Hence, a "tendency" that has rightly been criticised is for "</w:t>
      </w:r>
      <w:r w:rsidRPr="002D070A">
        <w:rPr>
          <w:rFonts w:ascii="Times New Roman" w:hAnsi="Times New Roman"/>
          <w:color w:val="211D1E"/>
        </w:rPr>
        <w:t>standing to be unhelpfully lumped together, even misidentified, with these rights"</w:t>
      </w:r>
      <w:r w:rsidRPr="002D070A">
        <w:rPr>
          <w:rStyle w:val="FootnoteReference"/>
          <w:rFonts w:ascii="Times New Roman" w:hAnsi="Times New Roman"/>
          <w:color w:val="211D1E"/>
          <w:sz w:val="24"/>
        </w:rPr>
        <w:footnoteReference w:id="78"/>
      </w:r>
      <w:r w:rsidRPr="002D070A">
        <w:rPr>
          <w:rFonts w:ascii="Times New Roman" w:hAnsi="Times New Roman"/>
          <w:color w:val="211D1E"/>
        </w:rPr>
        <w:t>. Standing</w:t>
      </w:r>
      <w:r w:rsidRPr="002D070A">
        <w:rPr>
          <w:rFonts w:ascii="Times New Roman" w:hAnsi="Times New Roman"/>
        </w:rPr>
        <w:t xml:space="preserve"> is instead the separate requirement that the applicant for relief is the correct person (with them or their representatives "standing" before the court) to agitate the dispute. In particular, the party asserting the right, duty or liability must have standing to enforce that right, duty or liability. In this sense, it is often said that standing is subsumed within the requirement of a matter</w:t>
      </w:r>
      <w:r w:rsidRPr="002D070A">
        <w:rPr>
          <w:rStyle w:val="FootnoteReference"/>
          <w:rFonts w:ascii="Times New Roman" w:hAnsi="Times New Roman"/>
          <w:sz w:val="24"/>
        </w:rPr>
        <w:footnoteReference w:id="79"/>
      </w:r>
      <w:r w:rsidRPr="002D070A">
        <w:rPr>
          <w:rFonts w:ascii="Times New Roman" w:hAnsi="Times New Roman"/>
        </w:rPr>
        <w:t>.</w:t>
      </w:r>
    </w:p>
    <w:p w14:paraId="62443D16"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Although there are limited exceptions</w:t>
      </w:r>
      <w:r w:rsidRPr="002D070A">
        <w:rPr>
          <w:rStyle w:val="FootnoteReference"/>
          <w:rFonts w:ascii="Times New Roman" w:hAnsi="Times New Roman"/>
          <w:sz w:val="24"/>
        </w:rPr>
        <w:footnoteReference w:id="80"/>
      </w:r>
      <w:r w:rsidRPr="002D070A">
        <w:rPr>
          <w:rFonts w:ascii="Times New Roman" w:hAnsi="Times New Roman"/>
        </w:rPr>
        <w:t xml:space="preserve">, in private law the element of standing usually requires that the party asserting a right, duty or liability either holds or is subject to the right, duty or liability. In public law the element of standing is different. It usually requires that the right, </w:t>
      </w:r>
      <w:proofErr w:type="gramStart"/>
      <w:r w:rsidRPr="002D070A">
        <w:rPr>
          <w:rFonts w:ascii="Times New Roman" w:hAnsi="Times New Roman"/>
        </w:rPr>
        <w:t>duty</w:t>
      </w:r>
      <w:proofErr w:type="gramEnd"/>
      <w:r w:rsidRPr="002D070A">
        <w:rPr>
          <w:rFonts w:ascii="Times New Roman" w:hAnsi="Times New Roman"/>
        </w:rPr>
        <w:t xml:space="preserve"> or liability be asserted by a person with a sufficiently special interest in doing so</w:t>
      </w:r>
      <w:r w:rsidRPr="002D070A">
        <w:rPr>
          <w:rStyle w:val="FootnoteReference"/>
          <w:rFonts w:ascii="Times New Roman" w:hAnsi="Times New Roman"/>
          <w:sz w:val="24"/>
        </w:rPr>
        <w:footnoteReference w:id="81"/>
      </w:r>
      <w:r w:rsidRPr="002D070A">
        <w:rPr>
          <w:rFonts w:ascii="Times New Roman" w:hAnsi="Times New Roman"/>
        </w:rPr>
        <w:t>. The Attorney-General could, however, authorise a relator proceeding so that an individual without any special interest could bring an action concerning the infringement of a public right</w:t>
      </w:r>
      <w:r w:rsidRPr="002D070A">
        <w:rPr>
          <w:rStyle w:val="FootnoteReference"/>
          <w:rFonts w:ascii="Times New Roman" w:hAnsi="Times New Roman"/>
          <w:sz w:val="24"/>
        </w:rPr>
        <w:footnoteReference w:id="82"/>
      </w:r>
      <w:r w:rsidRPr="002D070A">
        <w:rPr>
          <w:rFonts w:ascii="Times New Roman" w:hAnsi="Times New Roman"/>
        </w:rPr>
        <w:t>. Both the United States and Australia have also recognised that legislation can extend such relator proceedings so that an individual can bring the action as a "private Attorney-General"</w:t>
      </w:r>
      <w:r w:rsidRPr="002D070A">
        <w:rPr>
          <w:rStyle w:val="FootnoteReference"/>
          <w:rFonts w:ascii="Times New Roman" w:hAnsi="Times New Roman"/>
          <w:sz w:val="24"/>
        </w:rPr>
        <w:footnoteReference w:id="83"/>
      </w:r>
      <w:r w:rsidRPr="002D070A">
        <w:rPr>
          <w:rFonts w:ascii="Times New Roman" w:hAnsi="Times New Roman"/>
        </w:rPr>
        <w:t>.</w:t>
      </w:r>
    </w:p>
    <w:p w14:paraId="6EE85DD0" w14:textId="77777777" w:rsidR="00541D69" w:rsidRPr="002D070A" w:rsidRDefault="00541D69" w:rsidP="002D070A">
      <w:pPr>
        <w:pStyle w:val="HeadingL1"/>
        <w:spacing w:after="260" w:line="280" w:lineRule="exact"/>
        <w:ind w:right="0"/>
        <w:jc w:val="both"/>
        <w:rPr>
          <w:rFonts w:ascii="Times New Roman" w:hAnsi="Times New Roman"/>
        </w:rPr>
      </w:pPr>
      <w:r w:rsidRPr="002D070A">
        <w:rPr>
          <w:rFonts w:ascii="Times New Roman" w:hAnsi="Times New Roman"/>
        </w:rPr>
        <w:t>Exceptional cases of a justiciable controversy without a real dispute</w:t>
      </w:r>
    </w:p>
    <w:p w14:paraId="6363F92F"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There are exceptional cases where this Court has recognised that justiciable controversies exist without any real dispute about rights, </w:t>
      </w:r>
      <w:proofErr w:type="gramStart"/>
      <w:r w:rsidRPr="002D070A">
        <w:rPr>
          <w:rFonts w:ascii="Times New Roman" w:hAnsi="Times New Roman"/>
        </w:rPr>
        <w:t>duties</w:t>
      </w:r>
      <w:proofErr w:type="gramEnd"/>
      <w:r w:rsidRPr="002D070A">
        <w:rPr>
          <w:rFonts w:ascii="Times New Roman" w:hAnsi="Times New Roman"/>
        </w:rPr>
        <w:t xml:space="preserve"> or liabilities. In </w:t>
      </w:r>
      <w:r w:rsidRPr="002D070A">
        <w:rPr>
          <w:rFonts w:ascii="Times New Roman" w:hAnsi="Times New Roman"/>
          <w:i/>
          <w:iCs/>
        </w:rPr>
        <w:t>R v Davison</w:t>
      </w:r>
      <w:r w:rsidRPr="002D070A">
        <w:rPr>
          <w:rStyle w:val="FootnoteReference"/>
          <w:rFonts w:ascii="Times New Roman" w:hAnsi="Times New Roman"/>
          <w:sz w:val="24"/>
        </w:rPr>
        <w:footnoteReference w:id="84"/>
      </w:r>
      <w:r w:rsidRPr="002D070A">
        <w:rPr>
          <w:rFonts w:ascii="Times New Roman" w:hAnsi="Times New Roman"/>
        </w:rPr>
        <w:t xml:space="preserve">, Dixon CJ and </w:t>
      </w:r>
      <w:proofErr w:type="spellStart"/>
      <w:r w:rsidRPr="002D070A">
        <w:rPr>
          <w:rFonts w:ascii="Times New Roman" w:hAnsi="Times New Roman"/>
        </w:rPr>
        <w:t>McTiernan</w:t>
      </w:r>
      <w:proofErr w:type="spellEnd"/>
      <w:r w:rsidRPr="002D070A">
        <w:rPr>
          <w:rFonts w:ascii="Times New Roman" w:hAnsi="Times New Roman"/>
        </w:rPr>
        <w:t xml:space="preserve"> J gave a number of examples of orders in </w:t>
      </w:r>
      <w:r w:rsidRPr="002D070A">
        <w:rPr>
          <w:rFonts w:ascii="Times New Roman" w:hAnsi="Times New Roman"/>
        </w:rPr>
        <w:lastRenderedPageBreak/>
        <w:t xml:space="preserve">such cases: </w:t>
      </w:r>
      <w:r w:rsidRPr="002D070A">
        <w:rPr>
          <w:rFonts w:ascii="Times New Roman" w:hAnsi="Times New Roman"/>
          <w:shd w:val="clear" w:color="auto" w:fill="FFFFFF"/>
        </w:rPr>
        <w:t>the administration of assets or of trusts; the grant of probate of a will or letters of administration; the winding up of companies; the maintenance and guardianship of infants; the exercise of a power of sale by way of family arrangement; the consent to the marriage of a ward of court; and the administration of enemy property.</w:t>
      </w:r>
    </w:p>
    <w:p w14:paraId="0D5B6D66"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The reasons for these exceptions lie partly in their historical existence as circumstances which, whilst not exclusively a matter for judicial power, can also be "incidents in the exercise of strictly judicial powers"</w:t>
      </w:r>
      <w:r w:rsidRPr="002D070A">
        <w:rPr>
          <w:rStyle w:val="FootnoteReference"/>
          <w:rFonts w:ascii="Times New Roman" w:hAnsi="Times New Roman"/>
          <w:sz w:val="24"/>
        </w:rPr>
        <w:footnoteReference w:id="85"/>
      </w:r>
      <w:r w:rsidRPr="002D070A">
        <w:rPr>
          <w:rFonts w:ascii="Times New Roman" w:hAnsi="Times New Roman"/>
        </w:rPr>
        <w:t>. But "[h]</w:t>
      </w:r>
      <w:proofErr w:type="spellStart"/>
      <w:r w:rsidRPr="002D070A">
        <w:rPr>
          <w:rFonts w:ascii="Times New Roman" w:hAnsi="Times New Roman"/>
        </w:rPr>
        <w:t>istory</w:t>
      </w:r>
      <w:proofErr w:type="spellEnd"/>
      <w:r w:rsidRPr="002D070A">
        <w:rPr>
          <w:rFonts w:ascii="Times New Roman" w:hAnsi="Times New Roman"/>
        </w:rPr>
        <w:t xml:space="preserve"> alone does not provide a sufficient basis for defining the exercise of a power as judicial power"</w:t>
      </w:r>
      <w:r w:rsidRPr="002D070A">
        <w:rPr>
          <w:rStyle w:val="FootnoteReference"/>
          <w:rFonts w:ascii="Times New Roman" w:hAnsi="Times New Roman"/>
          <w:sz w:val="24"/>
        </w:rPr>
        <w:footnoteReference w:id="86"/>
      </w:r>
      <w:r w:rsidRPr="002D070A">
        <w:rPr>
          <w:rFonts w:ascii="Times New Roman" w:hAnsi="Times New Roman"/>
        </w:rPr>
        <w:t xml:space="preserve">. The exceptions are based also upon the involvement of the judicial process at a systemic level despite the absence of a real dispute about rights, </w:t>
      </w:r>
      <w:proofErr w:type="gramStart"/>
      <w:r w:rsidRPr="002D070A">
        <w:rPr>
          <w:rFonts w:ascii="Times New Roman" w:hAnsi="Times New Roman"/>
        </w:rPr>
        <w:t>duties</w:t>
      </w:r>
      <w:proofErr w:type="gramEnd"/>
      <w:r w:rsidRPr="002D070A">
        <w:rPr>
          <w:rFonts w:ascii="Times New Roman" w:hAnsi="Times New Roman"/>
        </w:rPr>
        <w:t xml:space="preserve"> or liabilities. Each exception is incidental to the strictly judicial power that would be exercised in resolving real disputes in that field. The exception assists to ensure the efficient functioning of dispute resolution in the </w:t>
      </w:r>
      <w:proofErr w:type="gramStart"/>
      <w:r w:rsidRPr="002D070A">
        <w:rPr>
          <w:rFonts w:ascii="Times New Roman" w:hAnsi="Times New Roman"/>
        </w:rPr>
        <w:t>particular area</w:t>
      </w:r>
      <w:proofErr w:type="gramEnd"/>
      <w:r w:rsidRPr="002D070A">
        <w:rPr>
          <w:rFonts w:ascii="Times New Roman" w:hAnsi="Times New Roman"/>
        </w:rPr>
        <w:t xml:space="preserve"> when real disputes arise.</w:t>
      </w:r>
    </w:p>
    <w:p w14:paraId="0780960F"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The category of cases involving such systemic justifications for judicial power is not closed but the recognition of new exceptions has not been common. The most significant new exception was the decision of </w:t>
      </w:r>
      <w:proofErr w:type="gramStart"/>
      <w:r w:rsidRPr="002D070A">
        <w:rPr>
          <w:rFonts w:ascii="Times New Roman" w:hAnsi="Times New Roman"/>
        </w:rPr>
        <w:t>the majority of</w:t>
      </w:r>
      <w:proofErr w:type="gramEnd"/>
      <w:r w:rsidRPr="002D070A">
        <w:rPr>
          <w:rFonts w:ascii="Times New Roman" w:hAnsi="Times New Roman"/>
        </w:rPr>
        <w:t xml:space="preserve"> this Court in </w:t>
      </w:r>
      <w:proofErr w:type="spellStart"/>
      <w:r w:rsidRPr="002D070A">
        <w:rPr>
          <w:rFonts w:ascii="Times New Roman" w:hAnsi="Times New Roman"/>
          <w:i/>
          <w:iCs/>
        </w:rPr>
        <w:t>Mellifont</w:t>
      </w:r>
      <w:proofErr w:type="spellEnd"/>
      <w:r w:rsidRPr="002D070A">
        <w:rPr>
          <w:rFonts w:ascii="Times New Roman" w:hAnsi="Times New Roman"/>
          <w:i/>
          <w:iCs/>
        </w:rPr>
        <w:t xml:space="preserve"> v Attorney-General (Q)</w:t>
      </w:r>
      <w:r w:rsidRPr="002D070A">
        <w:rPr>
          <w:rStyle w:val="FootnoteReference"/>
          <w:rFonts w:ascii="Times New Roman" w:hAnsi="Times New Roman"/>
          <w:sz w:val="24"/>
        </w:rPr>
        <w:footnoteReference w:id="87"/>
      </w:r>
      <w:r w:rsidRPr="002D070A">
        <w:rPr>
          <w:rFonts w:ascii="Times New Roman" w:hAnsi="Times New Roman"/>
        </w:rPr>
        <w:t>. Mr </w:t>
      </w:r>
      <w:proofErr w:type="spellStart"/>
      <w:r w:rsidRPr="002D070A">
        <w:rPr>
          <w:rFonts w:ascii="Times New Roman" w:hAnsi="Times New Roman"/>
        </w:rPr>
        <w:t>Mellifont</w:t>
      </w:r>
      <w:proofErr w:type="spellEnd"/>
      <w:r w:rsidRPr="002D070A">
        <w:rPr>
          <w:rFonts w:ascii="Times New Roman" w:hAnsi="Times New Roman"/>
        </w:rPr>
        <w:t xml:space="preserve"> had been charged with perjury in the District Court in Queensland. At the close of the evidence, the trial judge indicated that he intended to direct the jury to return a verdict of not guilty based on his Honour's view of an element of the offence concerning materiality. Before the trial judge directed the jury to that effect, the Crown entered a nolle prosequi and Mr </w:t>
      </w:r>
      <w:proofErr w:type="spellStart"/>
      <w:r w:rsidRPr="002D070A">
        <w:rPr>
          <w:rFonts w:ascii="Times New Roman" w:hAnsi="Times New Roman"/>
        </w:rPr>
        <w:t>Mellifont</w:t>
      </w:r>
      <w:proofErr w:type="spellEnd"/>
      <w:r w:rsidRPr="002D070A">
        <w:rPr>
          <w:rFonts w:ascii="Times New Roman" w:hAnsi="Times New Roman"/>
        </w:rPr>
        <w:t xml:space="preserve"> was discharged. The Attorney-General of the State of Queensland then relied on the referral provisions in s 669A of the </w:t>
      </w:r>
      <w:r w:rsidRPr="002D070A">
        <w:rPr>
          <w:rFonts w:ascii="Times New Roman" w:hAnsi="Times New Roman"/>
          <w:i/>
          <w:iCs/>
        </w:rPr>
        <w:t xml:space="preserve">Criminal Code </w:t>
      </w:r>
      <w:r w:rsidRPr="002D070A">
        <w:rPr>
          <w:rFonts w:ascii="Times New Roman" w:hAnsi="Times New Roman"/>
        </w:rPr>
        <w:t>(Qld) to refer the question of law concerning materiality to the Court of Criminal Appeal of Queensland. Those provisions permitted the referral of questions arising at the trials of persons who were acquitted of offences as well as those who were discharged after entry of a nolle prosequi.</w:t>
      </w:r>
    </w:p>
    <w:p w14:paraId="6B09732C"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The Court of Criminal Appeal answered the questions referred in a manner that supported the case put by the prosecutor</w:t>
      </w:r>
      <w:r w:rsidRPr="002D070A">
        <w:rPr>
          <w:rStyle w:val="FootnoteReference"/>
          <w:rFonts w:ascii="Times New Roman" w:hAnsi="Times New Roman"/>
          <w:sz w:val="24"/>
        </w:rPr>
        <w:footnoteReference w:id="88"/>
      </w:r>
      <w:r w:rsidRPr="002D070A">
        <w:rPr>
          <w:rFonts w:ascii="Times New Roman" w:hAnsi="Times New Roman"/>
        </w:rPr>
        <w:t>. Mr </w:t>
      </w:r>
      <w:proofErr w:type="spellStart"/>
      <w:r w:rsidRPr="002D070A">
        <w:rPr>
          <w:rFonts w:ascii="Times New Roman" w:hAnsi="Times New Roman"/>
        </w:rPr>
        <w:t>Mellifont</w:t>
      </w:r>
      <w:proofErr w:type="spellEnd"/>
      <w:r w:rsidRPr="002D070A">
        <w:rPr>
          <w:rFonts w:ascii="Times New Roman" w:hAnsi="Times New Roman"/>
        </w:rPr>
        <w:t xml:space="preserve"> sought special leave </w:t>
      </w:r>
      <w:r w:rsidRPr="002D070A">
        <w:rPr>
          <w:rFonts w:ascii="Times New Roman" w:hAnsi="Times New Roman"/>
        </w:rPr>
        <w:lastRenderedPageBreak/>
        <w:t xml:space="preserve">to appeal to this Court. A preliminary issue raised in this Court was whether the Court had jurisdiction to entertain the appeal under s 73 of the </w:t>
      </w:r>
      <w:r w:rsidRPr="002D070A">
        <w:rPr>
          <w:rFonts w:ascii="Times New Roman" w:hAnsi="Times New Roman"/>
          <w:i/>
          <w:iCs/>
        </w:rPr>
        <w:t>Constitution</w:t>
      </w:r>
      <w:r w:rsidRPr="002D070A">
        <w:rPr>
          <w:rFonts w:ascii="Times New Roman" w:hAnsi="Times New Roman"/>
        </w:rPr>
        <w:t xml:space="preserve">. Toohey J resolved that issue on the basis (explained below) that this Court's appellate power under s 73 of the </w:t>
      </w:r>
      <w:r w:rsidRPr="002D070A">
        <w:rPr>
          <w:rFonts w:ascii="Times New Roman" w:hAnsi="Times New Roman"/>
          <w:i/>
          <w:iCs/>
        </w:rPr>
        <w:t xml:space="preserve">Constitution </w:t>
      </w:r>
      <w:r w:rsidRPr="002D070A">
        <w:rPr>
          <w:rFonts w:ascii="Times New Roman" w:hAnsi="Times New Roman"/>
        </w:rPr>
        <w:t>does not require the existence of a "matter", and that it sufficed for jurisdiction that an appeal is involved and that the Court will exercise judicial power in resolving the appeal</w:t>
      </w:r>
      <w:r w:rsidRPr="002D070A">
        <w:rPr>
          <w:rStyle w:val="FootnoteReference"/>
          <w:rFonts w:ascii="Times New Roman" w:hAnsi="Times New Roman"/>
          <w:sz w:val="24"/>
        </w:rPr>
        <w:footnoteReference w:id="89"/>
      </w:r>
      <w:r w:rsidRPr="002D070A">
        <w:rPr>
          <w:rFonts w:ascii="Times New Roman" w:hAnsi="Times New Roman"/>
        </w:rPr>
        <w:t xml:space="preserve">. </w:t>
      </w:r>
      <w:r w:rsidRPr="002D070A" w:rsidDel="007278CD">
        <w:rPr>
          <w:rFonts w:ascii="Times New Roman" w:hAnsi="Times New Roman"/>
        </w:rPr>
        <w:t xml:space="preserve">Some judges subsequently explained the result in </w:t>
      </w:r>
      <w:proofErr w:type="spellStart"/>
      <w:r w:rsidRPr="002D070A" w:rsidDel="007278CD">
        <w:rPr>
          <w:rFonts w:ascii="Times New Roman" w:hAnsi="Times New Roman"/>
          <w:i/>
          <w:iCs/>
        </w:rPr>
        <w:t>Mellifont</w:t>
      </w:r>
      <w:proofErr w:type="spellEnd"/>
      <w:r w:rsidRPr="002D070A" w:rsidDel="007278CD">
        <w:rPr>
          <w:rFonts w:ascii="Times New Roman" w:hAnsi="Times New Roman"/>
          <w:i/>
          <w:iCs/>
        </w:rPr>
        <w:t xml:space="preserve"> </w:t>
      </w:r>
      <w:r w:rsidRPr="002D070A" w:rsidDel="007278CD">
        <w:rPr>
          <w:rFonts w:ascii="Times New Roman" w:hAnsi="Times New Roman"/>
        </w:rPr>
        <w:t>in this way</w:t>
      </w:r>
      <w:r w:rsidRPr="002D070A" w:rsidDel="007278CD">
        <w:rPr>
          <w:rStyle w:val="FootnoteReference"/>
          <w:rFonts w:ascii="Times New Roman" w:hAnsi="Times New Roman"/>
          <w:sz w:val="24"/>
        </w:rPr>
        <w:footnoteReference w:id="90"/>
      </w:r>
      <w:r w:rsidRPr="002D070A" w:rsidDel="007278CD">
        <w:rPr>
          <w:rFonts w:ascii="Times New Roman" w:hAnsi="Times New Roman"/>
        </w:rPr>
        <w:t>.</w:t>
      </w:r>
    </w:p>
    <w:p w14:paraId="649441E3"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But in the joint judgment, Mason CJ, Deane, Dawson, </w:t>
      </w:r>
      <w:proofErr w:type="spellStart"/>
      <w:r w:rsidRPr="002D070A">
        <w:rPr>
          <w:rFonts w:ascii="Times New Roman" w:hAnsi="Times New Roman"/>
        </w:rPr>
        <w:t>Gaudron</w:t>
      </w:r>
      <w:proofErr w:type="spellEnd"/>
      <w:r w:rsidRPr="002D070A">
        <w:rPr>
          <w:rFonts w:ascii="Times New Roman" w:hAnsi="Times New Roman"/>
        </w:rPr>
        <w:t xml:space="preserve"> and McHugh JJ appeared to decide </w:t>
      </w:r>
      <w:proofErr w:type="spellStart"/>
      <w:r w:rsidRPr="002D070A">
        <w:rPr>
          <w:rFonts w:ascii="Times New Roman" w:hAnsi="Times New Roman"/>
          <w:i/>
          <w:iCs/>
        </w:rPr>
        <w:t>Mellifont</w:t>
      </w:r>
      <w:proofErr w:type="spellEnd"/>
      <w:r w:rsidRPr="002D070A">
        <w:rPr>
          <w:rFonts w:ascii="Times New Roman" w:hAnsi="Times New Roman"/>
          <w:i/>
          <w:iCs/>
        </w:rPr>
        <w:t xml:space="preserve"> </w:t>
      </w:r>
      <w:r w:rsidRPr="002D070A">
        <w:rPr>
          <w:rFonts w:ascii="Times New Roman" w:hAnsi="Times New Roman"/>
        </w:rPr>
        <w:t>on a broader basis. Their Honours considered that the appeal was not merely an exercise of judicial power to decide an appeal under s 73, but that it also involved a matter</w:t>
      </w:r>
      <w:r w:rsidRPr="002D070A">
        <w:rPr>
          <w:rStyle w:val="FootnoteReference"/>
          <w:rFonts w:ascii="Times New Roman" w:hAnsi="Times New Roman"/>
          <w:sz w:val="24"/>
        </w:rPr>
        <w:footnoteReference w:id="91"/>
      </w:r>
      <w:r w:rsidRPr="002D070A">
        <w:rPr>
          <w:rFonts w:ascii="Times New Roman" w:hAnsi="Times New Roman"/>
        </w:rPr>
        <w:t>.</w:t>
      </w:r>
    </w:p>
    <w:p w14:paraId="26B098AD"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In oral argument in </w:t>
      </w:r>
      <w:proofErr w:type="spellStart"/>
      <w:r w:rsidRPr="002D070A">
        <w:rPr>
          <w:rFonts w:ascii="Times New Roman" w:hAnsi="Times New Roman"/>
          <w:i/>
          <w:iCs/>
        </w:rPr>
        <w:t>Mellifont</w:t>
      </w:r>
      <w:proofErr w:type="spellEnd"/>
      <w:r w:rsidRPr="002D070A">
        <w:rPr>
          <w:rFonts w:ascii="Times New Roman" w:hAnsi="Times New Roman"/>
        </w:rPr>
        <w:t>, Deane J analogised the orders sought by the prosecution in answer to the referred questions of law with "declaratory relief that the acquittal was wrong"</w:t>
      </w:r>
      <w:r w:rsidRPr="002D070A">
        <w:rPr>
          <w:rStyle w:val="FootnoteReference"/>
          <w:rFonts w:ascii="Times New Roman" w:hAnsi="Times New Roman"/>
          <w:sz w:val="24"/>
        </w:rPr>
        <w:footnoteReference w:id="92"/>
      </w:r>
      <w:r w:rsidRPr="002D070A">
        <w:rPr>
          <w:rFonts w:ascii="Times New Roman" w:hAnsi="Times New Roman"/>
        </w:rPr>
        <w:t xml:space="preserve">. But there is little historical support for such declaratory powers in the Court of Chancery. The descriptions of the early criminal, or criminal-like, jurisdiction of the Court of Chancery, and later remnants of that jurisdiction that survived the rise and fall of the Court of Star Chamber, do not include any examples of declaratory relief concerning criminal offences either before or after the </w:t>
      </w:r>
      <w:r w:rsidRPr="002D070A">
        <w:rPr>
          <w:rFonts w:ascii="Times New Roman" w:hAnsi="Times New Roman"/>
          <w:i/>
        </w:rPr>
        <w:t>Court of Chancery Procedure Act 1852</w:t>
      </w:r>
      <w:r w:rsidRPr="002D070A">
        <w:rPr>
          <w:rStyle w:val="FootnoteReference"/>
          <w:rFonts w:ascii="Times New Roman" w:hAnsi="Times New Roman"/>
          <w:sz w:val="24"/>
        </w:rPr>
        <w:footnoteReference w:id="93"/>
      </w:r>
      <w:r w:rsidRPr="002D070A">
        <w:rPr>
          <w:rFonts w:ascii="Times New Roman" w:hAnsi="Times New Roman"/>
        </w:rPr>
        <w:t>.</w:t>
      </w:r>
    </w:p>
    <w:p w14:paraId="5FDDFE4F"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The justification in the joint judgment in </w:t>
      </w:r>
      <w:proofErr w:type="spellStart"/>
      <w:r w:rsidRPr="002D070A">
        <w:rPr>
          <w:rFonts w:ascii="Times New Roman" w:hAnsi="Times New Roman"/>
          <w:i/>
          <w:iCs/>
        </w:rPr>
        <w:t>Mellifont</w:t>
      </w:r>
      <w:proofErr w:type="spellEnd"/>
      <w:r w:rsidRPr="002D070A">
        <w:rPr>
          <w:rFonts w:ascii="Times New Roman" w:hAnsi="Times New Roman"/>
        </w:rPr>
        <w:t xml:space="preserve"> for the recognition of the availability of declaratory-like orders within criminal jurisdiction without a real dispute was a purely systemic one. That is, their Honours distinguished between, on the one hand, an (invalid) proceeding that involved only "seeking and obtaining a review of the trial judge's ruling" </w:t>
      </w:r>
      <w:proofErr w:type="gramStart"/>
      <w:r w:rsidRPr="002D070A">
        <w:rPr>
          <w:rFonts w:ascii="Times New Roman" w:hAnsi="Times New Roman"/>
        </w:rPr>
        <w:t>in order to</w:t>
      </w:r>
      <w:proofErr w:type="gramEnd"/>
      <w:r w:rsidRPr="002D070A">
        <w:rPr>
          <w:rFonts w:ascii="Times New Roman" w:hAnsi="Times New Roman"/>
        </w:rPr>
        <w:t xml:space="preserve"> "secure a correct statement of the law so that it would be applied correctly in future cases" and, on the other hand, the procedure at issue in that case. The procedure in that case was said to be different because it occurred "in the context of the criminal law" and was a "standard procedure for correcting error of law in criminal proceedings without </w:t>
      </w:r>
      <w:r w:rsidRPr="002D070A">
        <w:rPr>
          <w:rFonts w:ascii="Times New Roman" w:hAnsi="Times New Roman"/>
        </w:rPr>
        <w:lastRenderedPageBreak/>
        <w:t>exposing the accused to double jeopardy"</w:t>
      </w:r>
      <w:r w:rsidRPr="002D070A">
        <w:rPr>
          <w:rStyle w:val="FootnoteReference"/>
          <w:rFonts w:ascii="Times New Roman" w:hAnsi="Times New Roman"/>
          <w:sz w:val="24"/>
        </w:rPr>
        <w:footnoteReference w:id="94"/>
      </w:r>
      <w:r w:rsidRPr="002D070A">
        <w:rPr>
          <w:rFonts w:ascii="Times New Roman" w:hAnsi="Times New Roman"/>
        </w:rPr>
        <w:t>. In other words, in a legal system that denies the Crown a power to appeal from an acquittal that is based on an error of law, there is a systemic need to vindicate the interest of the Crown.</w:t>
      </w:r>
    </w:p>
    <w:p w14:paraId="62721841"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The only systemic need in favour of a new exception advanced by the Commonwealth parties on the present appeals was the curious submission that, were the availability of appeal denied to the Commonwealth in those instances where there is no real dispute, the Commonwealth might use costs as a lever to maintain the possibility of an appeal. In other words, in a test case in which the Commonwealth would not otherwise have maintained any argument on appeal about costs, it might do so against a person with whom it no longer had any real dispute as an artifice to keep a notional appeal on foot.</w:t>
      </w:r>
    </w:p>
    <w:p w14:paraId="4E19639C"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Even assuming that the Commonwealth, as a model litigant, were nevertheless to behave in a manner that used costs orders only as an artifice to compel a person to remain in litigation before an appellate court, that could not be a sufficient systemic need to abolish the requirement for any dispute on appeal in any case in which the Commonwealth was an appellant.</w:t>
      </w:r>
    </w:p>
    <w:p w14:paraId="3F0F2406"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The Commonwealth parties' submission on this central issue was, in any event, much broader. It was that a justiciable controversy does not </w:t>
      </w:r>
      <w:r w:rsidRPr="002D070A">
        <w:rPr>
          <w:rFonts w:ascii="Times New Roman" w:hAnsi="Times New Roman"/>
          <w:i/>
          <w:iCs/>
        </w:rPr>
        <w:t xml:space="preserve">ever </w:t>
      </w:r>
      <w:r w:rsidRPr="002D070A">
        <w:rPr>
          <w:rFonts w:ascii="Times New Roman" w:hAnsi="Times New Roman"/>
        </w:rPr>
        <w:t>require a real dispute when a case is in appellate jurisdiction.</w:t>
      </w:r>
    </w:p>
    <w:p w14:paraId="42E5D78A" w14:textId="77777777" w:rsidR="00541D69" w:rsidRPr="002D070A" w:rsidRDefault="00541D69" w:rsidP="002D070A">
      <w:pPr>
        <w:pStyle w:val="HeadingL1"/>
        <w:spacing w:after="260" w:line="280" w:lineRule="exact"/>
        <w:ind w:right="0"/>
        <w:jc w:val="both"/>
        <w:rPr>
          <w:rFonts w:ascii="Times New Roman" w:hAnsi="Times New Roman"/>
        </w:rPr>
      </w:pPr>
      <w:r w:rsidRPr="002D070A">
        <w:rPr>
          <w:rFonts w:ascii="Times New Roman" w:hAnsi="Times New Roman"/>
        </w:rPr>
        <w:t xml:space="preserve">"Appellate" jurisdiction is not a substitute for a real </w:t>
      </w:r>
      <w:proofErr w:type="gramStart"/>
      <w:r w:rsidRPr="002D070A">
        <w:rPr>
          <w:rFonts w:ascii="Times New Roman" w:hAnsi="Times New Roman"/>
        </w:rPr>
        <w:t>dispute</w:t>
      </w:r>
      <w:proofErr w:type="gramEnd"/>
    </w:p>
    <w:p w14:paraId="068AAF6A"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Article III §2 of the </w:t>
      </w:r>
      <w:r w:rsidRPr="002D070A">
        <w:rPr>
          <w:rFonts w:ascii="Times New Roman" w:hAnsi="Times New Roman"/>
          <w:i/>
          <w:iCs/>
        </w:rPr>
        <w:t>Constitution of the United States</w:t>
      </w:r>
      <w:r w:rsidRPr="002D070A">
        <w:rPr>
          <w:rFonts w:ascii="Times New Roman" w:hAnsi="Times New Roman"/>
        </w:rPr>
        <w:t xml:space="preserve"> speaks of judicial power over various "Cases" and "Controversies". Nearly a century ago, in the Supreme Court of the United States in </w:t>
      </w:r>
      <w:r w:rsidRPr="002D070A">
        <w:rPr>
          <w:rFonts w:ascii="Times New Roman" w:hAnsi="Times New Roman"/>
          <w:i/>
          <w:iCs/>
        </w:rPr>
        <w:t>Coleman v Miller</w:t>
      </w:r>
      <w:r w:rsidRPr="002D070A">
        <w:rPr>
          <w:rStyle w:val="FootnoteReference"/>
          <w:rFonts w:ascii="Times New Roman" w:hAnsi="Times New Roman"/>
          <w:sz w:val="24"/>
        </w:rPr>
        <w:footnoteReference w:id="95"/>
      </w:r>
      <w:r w:rsidRPr="002D070A">
        <w:rPr>
          <w:rFonts w:ascii="Times New Roman" w:hAnsi="Times New Roman"/>
        </w:rPr>
        <w:t>, Frankfurter J explained how the concepts of "Cases" and "Controversies" provide a further constitutional constraint upon the exercise of judicial power:</w:t>
      </w:r>
    </w:p>
    <w:p w14:paraId="117826AA" w14:textId="77777777" w:rsidR="00541D69" w:rsidRDefault="00541D69" w:rsidP="002D070A">
      <w:pPr>
        <w:pStyle w:val="LeftrightafterHC"/>
        <w:spacing w:before="0" w:after="260" w:line="280" w:lineRule="exact"/>
        <w:ind w:right="0"/>
        <w:jc w:val="both"/>
        <w:rPr>
          <w:rFonts w:ascii="Times New Roman" w:hAnsi="Times New Roman"/>
        </w:rPr>
      </w:pPr>
      <w:r w:rsidRPr="002D070A">
        <w:rPr>
          <w:rFonts w:ascii="Times New Roman" w:hAnsi="Times New Roman"/>
        </w:rPr>
        <w:t xml:space="preserve">"The Constitution further explicitly indicated the limited area within which judicial action was to move—however far-reaching the consequences of action within that area—by extending 'judicial Power' only to 'Cases' and 'Controversies.' ... Judicial power could come into play only in matters that were the traditional concern of the courts at Westminster and only if they arose in ways that to the expert feel of lawyers constituted 'Cases' or 'Controversies.'" </w:t>
      </w:r>
    </w:p>
    <w:p w14:paraId="4970013A"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lastRenderedPageBreak/>
        <w:tab/>
        <w:t>In some circumstances, this long-established limit later came to be described by some courts as "mootness"</w:t>
      </w:r>
      <w:r w:rsidRPr="002D070A">
        <w:rPr>
          <w:rStyle w:val="FootnoteReference"/>
          <w:rFonts w:ascii="Times New Roman" w:hAnsi="Times New Roman"/>
          <w:sz w:val="24"/>
        </w:rPr>
        <w:footnoteReference w:id="96"/>
      </w:r>
      <w:r w:rsidRPr="002D070A">
        <w:rPr>
          <w:rFonts w:ascii="Times New Roman" w:hAnsi="Times New Roman"/>
        </w:rPr>
        <w:t>. But, as Diamond</w:t>
      </w:r>
      <w:r w:rsidRPr="002D070A">
        <w:rPr>
          <w:rStyle w:val="FootnoteReference"/>
          <w:rFonts w:ascii="Times New Roman" w:hAnsi="Times New Roman"/>
          <w:sz w:val="24"/>
        </w:rPr>
        <w:footnoteReference w:id="97"/>
      </w:r>
      <w:r w:rsidRPr="002D070A">
        <w:rPr>
          <w:rFonts w:ascii="Times New Roman" w:hAnsi="Times New Roman"/>
        </w:rPr>
        <w:t xml:space="preserve"> observed in 1946, the principle of mootness was much, much older, with roots in English decisions dating back to as early as 1736</w:t>
      </w:r>
      <w:r w:rsidRPr="002D070A">
        <w:rPr>
          <w:rStyle w:val="FootnoteReference"/>
          <w:rFonts w:ascii="Times New Roman" w:hAnsi="Times New Roman"/>
          <w:sz w:val="24"/>
        </w:rPr>
        <w:footnoteReference w:id="98"/>
      </w:r>
      <w:r w:rsidRPr="002D070A">
        <w:rPr>
          <w:rFonts w:ascii="Times New Roman" w:hAnsi="Times New Roman"/>
        </w:rPr>
        <w:t xml:space="preserve">. That mootness principle applied throughout the trial and appeals process. As a matter of </w:t>
      </w:r>
      <w:proofErr w:type="gramStart"/>
      <w:r w:rsidRPr="002D070A">
        <w:rPr>
          <w:rFonts w:ascii="Times New Roman" w:hAnsi="Times New Roman"/>
        </w:rPr>
        <w:t>principle</w:t>
      </w:r>
      <w:proofErr w:type="gramEnd"/>
      <w:r w:rsidRPr="002D070A">
        <w:rPr>
          <w:rFonts w:ascii="Times New Roman" w:hAnsi="Times New Roman"/>
        </w:rPr>
        <w:t xml:space="preserve"> it would have been spurious to draw a distinction between cases that became moot during trial and those that became moot during appeal: "[f]</w:t>
      </w:r>
      <w:proofErr w:type="spellStart"/>
      <w:r w:rsidRPr="002D070A">
        <w:rPr>
          <w:rFonts w:ascii="Times New Roman" w:hAnsi="Times New Roman"/>
        </w:rPr>
        <w:t>rom</w:t>
      </w:r>
      <w:proofErr w:type="spellEnd"/>
      <w:r w:rsidRPr="002D070A">
        <w:rPr>
          <w:rFonts w:ascii="Times New Roman" w:hAnsi="Times New Roman"/>
        </w:rPr>
        <w:t xml:space="preserve"> the standpoint of the governing principles of law, there is little if any distinction between a case which is found to be moot at the commencement of the litigation and a case which becomes moot pending appeal"</w:t>
      </w:r>
      <w:r w:rsidRPr="002D070A">
        <w:rPr>
          <w:rStyle w:val="FootnoteReference"/>
          <w:rFonts w:ascii="Times New Roman" w:hAnsi="Times New Roman"/>
          <w:sz w:val="24"/>
        </w:rPr>
        <w:footnoteReference w:id="99"/>
      </w:r>
      <w:r w:rsidRPr="002D070A">
        <w:rPr>
          <w:rFonts w:ascii="Times New Roman" w:hAnsi="Times New Roman"/>
        </w:rPr>
        <w:t>.</w:t>
      </w:r>
    </w:p>
    <w:p w14:paraId="68EBF41F"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For these reasons, although it has occasionally been suggested that "reconsideration of [the Supreme Court's] mootness jurisprudence may be in order"</w:t>
      </w:r>
      <w:r w:rsidRPr="002D070A">
        <w:rPr>
          <w:rStyle w:val="FootnoteReference"/>
          <w:rFonts w:ascii="Times New Roman" w:hAnsi="Times New Roman"/>
          <w:sz w:val="24"/>
        </w:rPr>
        <w:footnoteReference w:id="100"/>
      </w:r>
      <w:r w:rsidRPr="002D070A">
        <w:rPr>
          <w:rFonts w:ascii="Times New Roman" w:hAnsi="Times New Roman"/>
        </w:rPr>
        <w:t xml:space="preserve"> </w:t>
      </w:r>
      <w:proofErr w:type="gramStart"/>
      <w:r w:rsidRPr="002D070A">
        <w:rPr>
          <w:rFonts w:ascii="Times New Roman" w:hAnsi="Times New Roman"/>
        </w:rPr>
        <w:t>so as to</w:t>
      </w:r>
      <w:proofErr w:type="gramEnd"/>
      <w:r w:rsidRPr="002D070A">
        <w:rPr>
          <w:rFonts w:ascii="Times New Roman" w:hAnsi="Times New Roman"/>
        </w:rPr>
        <w:t xml:space="preserve"> convert the principle into one of discretion rather than jurisdiction, United States courts have consistently held that "the court is not empowered to decide moot questions"</w:t>
      </w:r>
      <w:r w:rsidRPr="002D070A">
        <w:rPr>
          <w:rStyle w:val="FootnoteReference"/>
          <w:rFonts w:ascii="Times New Roman" w:hAnsi="Times New Roman"/>
          <w:sz w:val="24"/>
        </w:rPr>
        <w:footnoteReference w:id="101"/>
      </w:r>
      <w:r w:rsidRPr="002D070A">
        <w:rPr>
          <w:rFonts w:ascii="Times New Roman" w:hAnsi="Times New Roman"/>
        </w:rPr>
        <w:t xml:space="preserve"> and that mootness renders a decision "unreviewable"</w:t>
      </w:r>
      <w:r w:rsidRPr="002D070A">
        <w:rPr>
          <w:rStyle w:val="FootnoteReference"/>
          <w:rFonts w:ascii="Times New Roman" w:hAnsi="Times New Roman"/>
          <w:sz w:val="24"/>
        </w:rPr>
        <w:footnoteReference w:id="102"/>
      </w:r>
      <w:r w:rsidRPr="002D070A">
        <w:rPr>
          <w:rFonts w:ascii="Times New Roman" w:hAnsi="Times New Roman"/>
        </w:rPr>
        <w:t xml:space="preserve">. This "traditional, fundamental </w:t>
      </w:r>
      <w:proofErr w:type="gramStart"/>
      <w:r w:rsidRPr="002D070A">
        <w:rPr>
          <w:rFonts w:ascii="Times New Roman" w:hAnsi="Times New Roman"/>
        </w:rPr>
        <w:t>limitation[</w:t>
      </w:r>
      <w:proofErr w:type="gramEnd"/>
      <w:r w:rsidRPr="002D070A">
        <w:rPr>
          <w:rFonts w:ascii="Times New Roman" w:hAnsi="Times New Roman"/>
        </w:rPr>
        <w:t xml:space="preserve">] upon the powers of common-law courts" is now well recognised in the United States as one that Art III §2 of the </w:t>
      </w:r>
      <w:r w:rsidRPr="002D070A">
        <w:rPr>
          <w:rFonts w:ascii="Times New Roman" w:hAnsi="Times New Roman"/>
          <w:i/>
          <w:iCs/>
        </w:rPr>
        <w:t xml:space="preserve">Constitution of the United States </w:t>
      </w:r>
      <w:r w:rsidRPr="002D070A">
        <w:rPr>
          <w:rFonts w:ascii="Times New Roman" w:hAnsi="Times New Roman"/>
        </w:rPr>
        <w:t>"adopts ... through [its] terms ('The judicial Power'; 'Cases'; 'Controversies')"</w:t>
      </w:r>
      <w:r w:rsidRPr="002D070A">
        <w:rPr>
          <w:rStyle w:val="FootnoteReference"/>
          <w:rFonts w:ascii="Times New Roman" w:hAnsi="Times New Roman"/>
          <w:sz w:val="24"/>
        </w:rPr>
        <w:footnoteReference w:id="103"/>
      </w:r>
      <w:r w:rsidRPr="002D070A">
        <w:rPr>
          <w:rFonts w:ascii="Times New Roman" w:hAnsi="Times New Roman"/>
        </w:rPr>
        <w:t xml:space="preserve">. The "limitation is more than a rule of decision; it is a constitutional requirement [from Art III §2 of the </w:t>
      </w:r>
      <w:r w:rsidRPr="002D070A">
        <w:rPr>
          <w:rFonts w:ascii="Times New Roman" w:hAnsi="Times New Roman"/>
          <w:i/>
          <w:iCs/>
        </w:rPr>
        <w:t>Constitution of the United States</w:t>
      </w:r>
      <w:r w:rsidRPr="002D070A">
        <w:rPr>
          <w:rFonts w:ascii="Times New Roman" w:hAnsi="Times New Roman"/>
        </w:rPr>
        <w:t>]"</w:t>
      </w:r>
      <w:r w:rsidRPr="002D070A">
        <w:rPr>
          <w:rStyle w:val="FootnoteReference"/>
          <w:rFonts w:ascii="Times New Roman" w:hAnsi="Times New Roman"/>
          <w:sz w:val="24"/>
        </w:rPr>
        <w:footnoteReference w:id="104"/>
      </w:r>
      <w:r w:rsidRPr="002D070A">
        <w:rPr>
          <w:rFonts w:ascii="Times New Roman" w:hAnsi="Times New Roman"/>
        </w:rPr>
        <w:t xml:space="preserve">. Like the traditional, fundamental limitation that it reflects, the constitutional requirement "subsists through all stages of federal judicial </w:t>
      </w:r>
      <w:r w:rsidRPr="002D070A">
        <w:rPr>
          <w:rFonts w:ascii="Times New Roman" w:hAnsi="Times New Roman"/>
        </w:rPr>
        <w:lastRenderedPageBreak/>
        <w:t>proceedings, trial and appellate"</w:t>
      </w:r>
      <w:r w:rsidRPr="002D070A">
        <w:rPr>
          <w:rStyle w:val="FootnoteReference"/>
          <w:rFonts w:ascii="Times New Roman" w:hAnsi="Times New Roman"/>
          <w:sz w:val="24"/>
        </w:rPr>
        <w:footnoteReference w:id="105"/>
      </w:r>
      <w:r w:rsidRPr="002D070A">
        <w:rPr>
          <w:rFonts w:ascii="Times New Roman" w:hAnsi="Times New Roman"/>
        </w:rPr>
        <w:t>. In other words, even if a case or controversy had previously existed at trial, "if an event occurs while a case is pending on appeal that makes it impossible for the court to grant 'any effectual relief whatever' to a prevailing party, the appeal must be dismissed"</w:t>
      </w:r>
      <w:r w:rsidRPr="002D070A">
        <w:rPr>
          <w:rStyle w:val="FootnoteReference"/>
          <w:rFonts w:ascii="Times New Roman" w:hAnsi="Times New Roman"/>
          <w:sz w:val="24"/>
        </w:rPr>
        <w:footnoteReference w:id="106"/>
      </w:r>
      <w:r w:rsidRPr="002D070A">
        <w:rPr>
          <w:rFonts w:ascii="Times New Roman" w:hAnsi="Times New Roman"/>
        </w:rPr>
        <w:t>. As the Supreme Court said, the case or controversy must "remain of operative importance to the parties as they come to this Court"</w:t>
      </w:r>
      <w:r w:rsidRPr="002D070A">
        <w:rPr>
          <w:rStyle w:val="FootnoteReference"/>
          <w:rFonts w:ascii="Times New Roman" w:hAnsi="Times New Roman"/>
          <w:sz w:val="24"/>
        </w:rPr>
        <w:footnoteReference w:id="107"/>
      </w:r>
      <w:r w:rsidRPr="002D070A">
        <w:rPr>
          <w:rFonts w:ascii="Times New Roman" w:hAnsi="Times New Roman"/>
        </w:rPr>
        <w:t>.</w:t>
      </w:r>
    </w:p>
    <w:p w14:paraId="3F01323D"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Although the Australian </w:t>
      </w:r>
      <w:r w:rsidRPr="002D070A">
        <w:rPr>
          <w:rFonts w:ascii="Times New Roman" w:hAnsi="Times New Roman"/>
          <w:i/>
          <w:iCs/>
        </w:rPr>
        <w:t>Constitution</w:t>
      </w:r>
      <w:r w:rsidRPr="002D070A">
        <w:rPr>
          <w:rFonts w:ascii="Times New Roman" w:hAnsi="Times New Roman"/>
        </w:rPr>
        <w:t xml:space="preserve"> preferred the concept of a "matter" to govern the jurisdiction of a court exercising federal jurisdiction, rather than that of a "case" or "controversy", it did not depart from this basic principle by creating a radically different distinction for the purpose of mootness between jurisdiction concerning matters at trial and jurisdiction concerning matters on appeal. Hence, although the content of a "matter" need not "equate precisely"</w:t>
      </w:r>
      <w:r w:rsidRPr="002D070A">
        <w:rPr>
          <w:rStyle w:val="FootnoteReference"/>
          <w:rFonts w:ascii="Times New Roman" w:hAnsi="Times New Roman"/>
          <w:sz w:val="24"/>
        </w:rPr>
        <w:footnoteReference w:id="108"/>
      </w:r>
      <w:r w:rsidRPr="002D070A">
        <w:rPr>
          <w:rFonts w:ascii="Times New Roman" w:hAnsi="Times New Roman"/>
        </w:rPr>
        <w:t xml:space="preserve"> when compared with that of a "case" or "controversy", the usual need for a real dispute is at the core of both concepts. As Mason J said in </w:t>
      </w:r>
      <w:r w:rsidRPr="002D070A">
        <w:rPr>
          <w:rFonts w:ascii="Times New Roman" w:hAnsi="Times New Roman"/>
          <w:i/>
          <w:iCs/>
        </w:rPr>
        <w:t>Philip Morris Inc v Adam P Brown Male Fashions Pty Ltd</w:t>
      </w:r>
      <w:r w:rsidRPr="002D070A">
        <w:rPr>
          <w:rStyle w:val="FootnoteReference"/>
          <w:rFonts w:ascii="Times New Roman" w:hAnsi="Times New Roman"/>
          <w:sz w:val="24"/>
        </w:rPr>
        <w:footnoteReference w:id="109"/>
      </w:r>
      <w:r w:rsidRPr="002D070A">
        <w:rPr>
          <w:rFonts w:ascii="Times New Roman" w:hAnsi="Times New Roman"/>
        </w:rPr>
        <w:t>, echoing Sir Harrison Moore</w:t>
      </w:r>
      <w:r w:rsidRPr="002D070A">
        <w:rPr>
          <w:rStyle w:val="FootnoteReference"/>
          <w:rFonts w:ascii="Times New Roman" w:hAnsi="Times New Roman"/>
          <w:sz w:val="24"/>
        </w:rPr>
        <w:footnoteReference w:id="110"/>
      </w:r>
      <w:r w:rsidRPr="002D070A">
        <w:rPr>
          <w:rFonts w:ascii="Times New Roman" w:hAnsi="Times New Roman"/>
        </w:rPr>
        <w:t>, the terms "Cases" and "Controversies" imply "the existence of present or possible adverse parties whose contentions are submitted to the court for adjudication", in the same way as connoted by "matters" in ss 75 and 76.</w:t>
      </w:r>
    </w:p>
    <w:p w14:paraId="2BF113FF"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In a federal court, other than the High Court of Australia, the requirement for a controversy applies to litigation in original jurisdiction as well as litigation in </w:t>
      </w:r>
      <w:r w:rsidRPr="002D070A">
        <w:rPr>
          <w:rFonts w:ascii="Times New Roman" w:hAnsi="Times New Roman"/>
        </w:rPr>
        <w:lastRenderedPageBreak/>
        <w:t>appellate jurisdiction. Again, in this respect Australian constitutional law and United States constitutional law do not differ</w:t>
      </w:r>
      <w:r w:rsidRPr="002D070A">
        <w:rPr>
          <w:rStyle w:val="FootnoteReference"/>
          <w:rFonts w:ascii="Times New Roman" w:hAnsi="Times New Roman"/>
          <w:sz w:val="24"/>
        </w:rPr>
        <w:footnoteReference w:id="111"/>
      </w:r>
      <w:r w:rsidRPr="002D070A">
        <w:rPr>
          <w:rFonts w:ascii="Times New Roman" w:hAnsi="Times New Roman"/>
        </w:rPr>
        <w:t>. The words of s 77(</w:t>
      </w:r>
      <w:proofErr w:type="spellStart"/>
      <w:r w:rsidRPr="002D070A">
        <w:rPr>
          <w:rFonts w:ascii="Times New Roman" w:hAnsi="Times New Roman"/>
        </w:rPr>
        <w:t>i</w:t>
      </w:r>
      <w:proofErr w:type="spellEnd"/>
      <w:r w:rsidRPr="002D070A">
        <w:rPr>
          <w:rFonts w:ascii="Times New Roman" w:hAnsi="Times New Roman"/>
        </w:rPr>
        <w:t xml:space="preserve">) of the </w:t>
      </w:r>
      <w:r w:rsidRPr="002D070A">
        <w:rPr>
          <w:rFonts w:ascii="Times New Roman" w:hAnsi="Times New Roman"/>
          <w:i/>
          <w:iCs/>
        </w:rPr>
        <w:t xml:space="preserve">Constitution </w:t>
      </w:r>
      <w:r w:rsidRPr="002D070A">
        <w:rPr>
          <w:rFonts w:ascii="Times New Roman" w:hAnsi="Times New Roman"/>
        </w:rPr>
        <w:t xml:space="preserve">were carefully chosen </w:t>
      </w:r>
      <w:r w:rsidRPr="002D070A">
        <w:rPr>
          <w:rFonts w:ascii="Times New Roman" w:hAnsi="Times New Roman"/>
          <w:i/>
          <w:iCs/>
        </w:rPr>
        <w:t xml:space="preserve">not </w:t>
      </w:r>
      <w:r w:rsidRPr="002D070A">
        <w:rPr>
          <w:rFonts w:ascii="Times New Roman" w:hAnsi="Times New Roman"/>
        </w:rPr>
        <w:t>to create different types of power to define jurisdiction according to whether the power was "original" or "appellate"</w:t>
      </w:r>
      <w:r w:rsidRPr="002D070A">
        <w:rPr>
          <w:rStyle w:val="FootnoteReference"/>
          <w:rFonts w:ascii="Times New Roman" w:hAnsi="Times New Roman"/>
          <w:color w:val="000000"/>
          <w:sz w:val="24"/>
          <w:szCs w:val="27"/>
        </w:rPr>
        <w:footnoteReference w:id="112"/>
      </w:r>
      <w:r w:rsidRPr="002D070A">
        <w:rPr>
          <w:rFonts w:ascii="Times New Roman" w:hAnsi="Times New Roman"/>
        </w:rPr>
        <w:t>. Section 77(</w:t>
      </w:r>
      <w:proofErr w:type="spellStart"/>
      <w:r w:rsidRPr="002D070A">
        <w:rPr>
          <w:rFonts w:ascii="Times New Roman" w:hAnsi="Times New Roman"/>
        </w:rPr>
        <w:t>i</w:t>
      </w:r>
      <w:proofErr w:type="spellEnd"/>
      <w:r w:rsidRPr="002D070A">
        <w:rPr>
          <w:rFonts w:ascii="Times New Roman" w:hAnsi="Times New Roman"/>
        </w:rPr>
        <w:t>) simply empowers the Commonwealth Parliament, with respect to matters in s 75 or s 76, to define "</w:t>
      </w:r>
      <w:r w:rsidRPr="002D070A">
        <w:rPr>
          <w:rFonts w:ascii="Times New Roman" w:hAnsi="Times New Roman"/>
          <w:color w:val="000000"/>
        </w:rPr>
        <w:t xml:space="preserve">the jurisdiction of any federal court other than the High Court". It does not distinguish between jurisdiction according to whether the jurisdiction is being invoked </w:t>
      </w:r>
      <w:r w:rsidRPr="002D070A">
        <w:rPr>
          <w:rFonts w:ascii="Times New Roman" w:hAnsi="Times New Roman"/>
        </w:rPr>
        <w:t>for</w:t>
      </w:r>
      <w:r w:rsidRPr="002D070A">
        <w:rPr>
          <w:rFonts w:ascii="Times New Roman" w:hAnsi="Times New Roman"/>
          <w:color w:val="000000"/>
        </w:rPr>
        <w:t xml:space="preserve"> the first time as original jurisdiction or the second time as an appeal.</w:t>
      </w:r>
    </w:p>
    <w:p w14:paraId="5A98DC33"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It can be accepted that the content of a "matter" that arises on an appeal will not be the same as the "matter" that arose in original jurisdiction from which the appeal is brought. The legal controversy on appeal will be one step removed from that in original jurisdiction: the dispute will concern the legal orders that give effect to the resolution of the original controversy. Nevertheless, it is still necessary that the law conferring appellate jurisdiction is "[w]</w:t>
      </w:r>
      <w:proofErr w:type="spellStart"/>
      <w:r w:rsidRPr="002D070A">
        <w:rPr>
          <w:rFonts w:ascii="Times New Roman" w:hAnsi="Times New Roman"/>
        </w:rPr>
        <w:t>ith</w:t>
      </w:r>
      <w:proofErr w:type="spellEnd"/>
      <w:r w:rsidRPr="002D070A">
        <w:rPr>
          <w:rFonts w:ascii="Times New Roman" w:hAnsi="Times New Roman"/>
        </w:rPr>
        <w:t xml:space="preserve"> respect to [a matter]"</w:t>
      </w:r>
      <w:r w:rsidRPr="002D070A">
        <w:rPr>
          <w:rStyle w:val="FootnoteReference"/>
          <w:rFonts w:ascii="Times New Roman" w:hAnsi="Times New Roman"/>
          <w:sz w:val="24"/>
        </w:rPr>
        <w:footnoteReference w:id="113"/>
      </w:r>
      <w:r w:rsidRPr="002D070A">
        <w:rPr>
          <w:rFonts w:ascii="Times New Roman" w:hAnsi="Times New Roman"/>
        </w:rPr>
        <w:t>. And, to reiterate, the usual requirement for a matter—that there be a dispute as to legal rights—is one that must be determined independently of the proceeding. But it is a basic logical error to conclude that the different content of a legal controversy on appeal means that no legal controversy is required on an appeal. That reasoning would treat s 77(</w:t>
      </w:r>
      <w:proofErr w:type="spellStart"/>
      <w:r w:rsidRPr="002D070A">
        <w:rPr>
          <w:rFonts w:ascii="Times New Roman" w:hAnsi="Times New Roman"/>
        </w:rPr>
        <w:t>i</w:t>
      </w:r>
      <w:proofErr w:type="spellEnd"/>
      <w:r w:rsidRPr="002D070A">
        <w:rPr>
          <w:rFonts w:ascii="Times New Roman" w:hAnsi="Times New Roman"/>
        </w:rPr>
        <w:t>) as though it contained different principles for "original" jurisdiction and "appellate" jurisdiction.</w:t>
      </w:r>
    </w:p>
    <w:p w14:paraId="35448411" w14:textId="77777777" w:rsidR="00541D69" w:rsidRPr="002D070A" w:rsidRDefault="00541D69" w:rsidP="002D070A">
      <w:pPr>
        <w:pStyle w:val="HeadingL1"/>
        <w:spacing w:after="260" w:line="280" w:lineRule="exact"/>
        <w:ind w:right="0"/>
        <w:jc w:val="both"/>
        <w:rPr>
          <w:rFonts w:ascii="Times New Roman" w:hAnsi="Times New Roman"/>
        </w:rPr>
      </w:pPr>
      <w:r w:rsidRPr="002D070A">
        <w:rPr>
          <w:rFonts w:ascii="Times New Roman" w:hAnsi="Times New Roman"/>
        </w:rPr>
        <w:t>The different position of High Court appeals: s 73 not s 77</w:t>
      </w:r>
    </w:p>
    <w:p w14:paraId="208B5D77"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The appellate jurisdiction of the High Court is in a different constitutional position from the appellate jurisdiction of another federal court. The appellate jurisdiction of a federal court under s 77(</w:t>
      </w:r>
      <w:proofErr w:type="spellStart"/>
      <w:r w:rsidRPr="002D070A">
        <w:rPr>
          <w:rFonts w:ascii="Times New Roman" w:hAnsi="Times New Roman"/>
        </w:rPr>
        <w:t>i</w:t>
      </w:r>
      <w:proofErr w:type="spellEnd"/>
      <w:r w:rsidRPr="002D070A">
        <w:rPr>
          <w:rFonts w:ascii="Times New Roman" w:hAnsi="Times New Roman"/>
        </w:rPr>
        <w:t xml:space="preserve">) of the </w:t>
      </w:r>
      <w:r w:rsidRPr="002D070A">
        <w:rPr>
          <w:rFonts w:ascii="Times New Roman" w:hAnsi="Times New Roman"/>
          <w:i/>
          <w:iCs/>
        </w:rPr>
        <w:t xml:space="preserve">Constitution </w:t>
      </w:r>
      <w:r w:rsidRPr="002D070A">
        <w:rPr>
          <w:rFonts w:ascii="Times New Roman" w:hAnsi="Times New Roman"/>
        </w:rPr>
        <w:t xml:space="preserve">requires a matter, which usually means that the two elements concerning a justiciable controversy and federal subject matter must be established. But as Dixon CJ, </w:t>
      </w:r>
      <w:proofErr w:type="spellStart"/>
      <w:r w:rsidRPr="002D070A">
        <w:rPr>
          <w:rFonts w:ascii="Times New Roman" w:hAnsi="Times New Roman"/>
        </w:rPr>
        <w:t>McTiernan</w:t>
      </w:r>
      <w:proofErr w:type="spellEnd"/>
      <w:r w:rsidRPr="002D070A">
        <w:rPr>
          <w:rFonts w:ascii="Times New Roman" w:hAnsi="Times New Roman"/>
        </w:rPr>
        <w:t xml:space="preserve"> and </w:t>
      </w:r>
      <w:proofErr w:type="spellStart"/>
      <w:r w:rsidRPr="002D070A">
        <w:rPr>
          <w:rFonts w:ascii="Times New Roman" w:hAnsi="Times New Roman"/>
        </w:rPr>
        <w:t>Kitto</w:t>
      </w:r>
      <w:proofErr w:type="spellEnd"/>
      <w:r w:rsidRPr="002D070A">
        <w:rPr>
          <w:rFonts w:ascii="Times New Roman" w:hAnsi="Times New Roman"/>
        </w:rPr>
        <w:t xml:space="preserve"> JJ said in </w:t>
      </w:r>
      <w:r w:rsidRPr="002D070A">
        <w:rPr>
          <w:rFonts w:ascii="Times New Roman" w:hAnsi="Times New Roman"/>
          <w:i/>
          <w:iCs/>
        </w:rPr>
        <w:t>Cockle v Isaksen</w:t>
      </w:r>
      <w:r w:rsidRPr="002D070A">
        <w:rPr>
          <w:rStyle w:val="FootnoteReference"/>
          <w:rFonts w:ascii="Times New Roman" w:hAnsi="Times New Roman"/>
          <w:sz w:val="24"/>
        </w:rPr>
        <w:footnoteReference w:id="114"/>
      </w:r>
      <w:r w:rsidRPr="002D070A">
        <w:rPr>
          <w:rFonts w:ascii="Times New Roman" w:hAnsi="Times New Roman"/>
        </w:rPr>
        <w:t xml:space="preserve">, "[t]he appellate power conferred by s 73 is not concerned with 'matters'". Thus, if an order is made by the Supreme Court of any State, then an appeal will be within s 73 so long as it involves the exercise of </w:t>
      </w:r>
      <w:r w:rsidRPr="002D070A">
        <w:rPr>
          <w:rFonts w:ascii="Times New Roman" w:hAnsi="Times New Roman"/>
        </w:rPr>
        <w:lastRenderedPageBreak/>
        <w:t xml:space="preserve">judicial power or power incidental to judicial power, irrespective of whether a matter exists. </w:t>
      </w:r>
    </w:p>
    <w:p w14:paraId="1D8D572E"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The question of whether an appeal will involve judicial power or power incidental to judicial power can sometimes be difficult</w:t>
      </w:r>
      <w:r w:rsidRPr="002D070A">
        <w:rPr>
          <w:rStyle w:val="FootnoteReference"/>
          <w:rFonts w:ascii="Times New Roman" w:hAnsi="Times New Roman"/>
          <w:sz w:val="24"/>
        </w:rPr>
        <w:footnoteReference w:id="115"/>
      </w:r>
      <w:r w:rsidRPr="002D070A">
        <w:rPr>
          <w:rFonts w:ascii="Times New Roman" w:hAnsi="Times New Roman"/>
        </w:rPr>
        <w:t>. But in much the same way that Frankfurter J described the requirement of "Cases" or "Controversies" as one that is narrower than the question of judicial power</w:t>
      </w:r>
      <w:r w:rsidRPr="002D070A">
        <w:rPr>
          <w:rStyle w:val="FootnoteReference"/>
          <w:rFonts w:ascii="Times New Roman" w:hAnsi="Times New Roman"/>
          <w:sz w:val="24"/>
        </w:rPr>
        <w:footnoteReference w:id="116"/>
      </w:r>
      <w:r w:rsidRPr="002D070A">
        <w:rPr>
          <w:rFonts w:ascii="Times New Roman" w:hAnsi="Times New Roman"/>
        </w:rPr>
        <w:t>, so too the requirement of a matter is one that is narrower than whether judicial power exists.</w:t>
      </w:r>
    </w:p>
    <w:p w14:paraId="525634FC"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The Commonwealth parties relied on the decision in </w:t>
      </w:r>
      <w:r w:rsidRPr="002D070A">
        <w:rPr>
          <w:rFonts w:ascii="Times New Roman" w:hAnsi="Times New Roman"/>
          <w:i/>
          <w:iCs/>
        </w:rPr>
        <w:t>The Commonwealth v Helicopter Resources Pty Ltd</w:t>
      </w:r>
      <w:r w:rsidRPr="002D070A">
        <w:rPr>
          <w:rStyle w:val="FootnoteReference"/>
          <w:rFonts w:ascii="Times New Roman" w:hAnsi="Times New Roman"/>
          <w:sz w:val="24"/>
        </w:rPr>
        <w:footnoteReference w:id="117"/>
      </w:r>
      <w:r w:rsidRPr="002D070A">
        <w:rPr>
          <w:rFonts w:ascii="Times New Roman" w:hAnsi="Times New Roman"/>
          <w:i/>
          <w:iCs/>
        </w:rPr>
        <w:t xml:space="preserve"> </w:t>
      </w:r>
      <w:r w:rsidRPr="002D070A">
        <w:rPr>
          <w:rFonts w:ascii="Times New Roman" w:hAnsi="Times New Roman"/>
        </w:rPr>
        <w:t xml:space="preserve">in support of a submission that the requirements for a matter in appellate jurisdiction were different from those in original jurisdiction. That case provides no support for such a submission. The jurisdiction of this Court in that case arose under s 73 of the </w:t>
      </w:r>
      <w:r w:rsidRPr="002D070A">
        <w:rPr>
          <w:rFonts w:ascii="Times New Roman" w:hAnsi="Times New Roman"/>
          <w:i/>
          <w:iCs/>
        </w:rPr>
        <w:t>Constitution</w:t>
      </w:r>
      <w:r w:rsidRPr="002D070A">
        <w:rPr>
          <w:rFonts w:ascii="Times New Roman" w:hAnsi="Times New Roman"/>
        </w:rPr>
        <w:t>, not s 77(</w:t>
      </w:r>
      <w:proofErr w:type="spellStart"/>
      <w:r w:rsidRPr="002D070A">
        <w:rPr>
          <w:rFonts w:ascii="Times New Roman" w:hAnsi="Times New Roman"/>
        </w:rPr>
        <w:t>i</w:t>
      </w:r>
      <w:proofErr w:type="spellEnd"/>
      <w:r w:rsidRPr="002D070A">
        <w:rPr>
          <w:rFonts w:ascii="Times New Roman" w:hAnsi="Times New Roman"/>
        </w:rPr>
        <w:t>).</w:t>
      </w:r>
    </w:p>
    <w:p w14:paraId="503B8701"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 xml:space="preserve">In </w:t>
      </w:r>
      <w:r w:rsidRPr="002D070A">
        <w:rPr>
          <w:rFonts w:ascii="Times New Roman" w:hAnsi="Times New Roman"/>
          <w:i/>
          <w:iCs/>
        </w:rPr>
        <w:t>Helicopter Resources</w:t>
      </w:r>
      <w:r w:rsidRPr="002D070A">
        <w:rPr>
          <w:rFonts w:ascii="Times New Roman" w:hAnsi="Times New Roman"/>
        </w:rPr>
        <w:t>, the Commonwealth had been the unsuccessful respondent to the appeal in the Full Court of the Federal Court. The Commonwealth therefore had standing to appeal to this Court in relation to the orders made against it</w:t>
      </w:r>
      <w:r w:rsidRPr="002D070A">
        <w:rPr>
          <w:rStyle w:val="FootnoteReference"/>
          <w:rFonts w:ascii="Times New Roman" w:hAnsi="Times New Roman"/>
          <w:sz w:val="24"/>
        </w:rPr>
        <w:footnoteReference w:id="118"/>
      </w:r>
      <w:r w:rsidRPr="002D070A">
        <w:rPr>
          <w:rFonts w:ascii="Times New Roman" w:hAnsi="Times New Roman"/>
        </w:rPr>
        <w:t xml:space="preserve">. But there was no submission on the appeal in </w:t>
      </w:r>
      <w:r w:rsidRPr="002D070A">
        <w:rPr>
          <w:rFonts w:ascii="Times New Roman" w:hAnsi="Times New Roman"/>
          <w:i/>
          <w:iCs/>
        </w:rPr>
        <w:t>Helicopter Resources</w:t>
      </w:r>
      <w:r w:rsidRPr="002D070A">
        <w:rPr>
          <w:rFonts w:ascii="Times New Roman" w:hAnsi="Times New Roman"/>
        </w:rPr>
        <w:t>, just as there was no submission on these appeals, that this Court lacked jurisdiction because it would not be exercising judicial power or power incidental to judicial power in deciding the appeal. If such a submission had been made, but not accepted, it would have been necessary to consider the extent of overlap between (</w:t>
      </w:r>
      <w:proofErr w:type="spellStart"/>
      <w:r w:rsidRPr="002D070A">
        <w:rPr>
          <w:rFonts w:ascii="Times New Roman" w:hAnsi="Times New Roman"/>
        </w:rPr>
        <w:t>i</w:t>
      </w:r>
      <w:proofErr w:type="spellEnd"/>
      <w:r w:rsidRPr="002D070A">
        <w:rPr>
          <w:rFonts w:ascii="Times New Roman" w:hAnsi="Times New Roman"/>
        </w:rPr>
        <w:t>) the requirement in s 73 for the exercise of judicial power or power ancillary to judicial power, and (ii) the requirement in s 77(</w:t>
      </w:r>
      <w:proofErr w:type="spellStart"/>
      <w:r w:rsidRPr="002D070A">
        <w:rPr>
          <w:rFonts w:ascii="Times New Roman" w:hAnsi="Times New Roman"/>
        </w:rPr>
        <w:t>i</w:t>
      </w:r>
      <w:proofErr w:type="spellEnd"/>
      <w:r w:rsidRPr="002D070A">
        <w:rPr>
          <w:rFonts w:ascii="Times New Roman" w:hAnsi="Times New Roman"/>
        </w:rPr>
        <w:t>) that a justiciable controversy before the Federal Court be with respect to a matter.</w:t>
      </w:r>
    </w:p>
    <w:p w14:paraId="16B71AF1" w14:textId="77777777" w:rsidR="00541D69" w:rsidRPr="002D070A" w:rsidRDefault="00541D69" w:rsidP="002D070A">
      <w:pPr>
        <w:pStyle w:val="HeadingL1"/>
        <w:spacing w:after="260" w:line="280" w:lineRule="exact"/>
        <w:ind w:right="0"/>
        <w:jc w:val="both"/>
        <w:rPr>
          <w:rFonts w:ascii="Times New Roman" w:hAnsi="Times New Roman"/>
        </w:rPr>
      </w:pPr>
      <w:r w:rsidRPr="002D070A">
        <w:rPr>
          <w:rFonts w:ascii="Times New Roman" w:hAnsi="Times New Roman"/>
        </w:rPr>
        <w:t>Conclusion</w:t>
      </w:r>
    </w:p>
    <w:p w14:paraId="09914068" w14:textId="77777777" w:rsidR="00541D69" w:rsidRPr="002D070A" w:rsidRDefault="00541D69" w:rsidP="002D070A">
      <w:pPr>
        <w:pStyle w:val="FixListStyle"/>
        <w:spacing w:after="260" w:line="280" w:lineRule="exact"/>
        <w:ind w:right="0"/>
        <w:jc w:val="both"/>
        <w:rPr>
          <w:rFonts w:ascii="Times New Roman" w:hAnsi="Times New Roman"/>
        </w:rPr>
      </w:pPr>
      <w:r w:rsidRPr="002D070A">
        <w:rPr>
          <w:rFonts w:ascii="Times New Roman" w:hAnsi="Times New Roman"/>
        </w:rPr>
        <w:tab/>
        <w:t>Since there was no matter before the Full Court of the Federal Court at the time of its delivery of its orders and reasons, those orders were made without jurisdiction. The reasons supporting those orders concerning the power to make home detention orders, parts of which were not supported by the Commonwealth parties in this Court, have no precedential effect.</w:t>
      </w:r>
    </w:p>
    <w:p w14:paraId="1D5102F6" w14:textId="77777777" w:rsidR="00541D69" w:rsidRDefault="00541D69" w:rsidP="00541D69">
      <w:pPr>
        <w:pStyle w:val="FixListStyle"/>
        <w:spacing w:after="260" w:line="280" w:lineRule="exact"/>
        <w:ind w:right="0"/>
        <w:jc w:val="both"/>
        <w:rPr>
          <w:rFonts w:ascii="Times New Roman" w:hAnsi="Times New Roman"/>
        </w:rPr>
      </w:pPr>
      <w:r w:rsidRPr="002D070A">
        <w:rPr>
          <w:rFonts w:ascii="Times New Roman" w:hAnsi="Times New Roman"/>
        </w:rPr>
        <w:lastRenderedPageBreak/>
        <w:tab/>
        <w:t>Orders should be made in the terms proposed by Kiefel CJ, Gordon and Steward JJ.</w:t>
      </w:r>
    </w:p>
    <w:p w14:paraId="47EB54CF" w14:textId="77777777" w:rsidR="00541D69" w:rsidRDefault="00541D69" w:rsidP="00541D69">
      <w:pPr>
        <w:pStyle w:val="FixListStyle"/>
        <w:spacing w:after="260" w:line="280" w:lineRule="exact"/>
        <w:ind w:right="0"/>
        <w:jc w:val="both"/>
        <w:rPr>
          <w:rFonts w:ascii="Times New Roman" w:hAnsi="Times New Roman"/>
        </w:rPr>
        <w:sectPr w:rsidR="00541D69" w:rsidSect="00541D69">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6033F31A" w14:textId="77777777" w:rsidR="00541D69" w:rsidRPr="00991383" w:rsidRDefault="00541D69" w:rsidP="00991383">
      <w:pPr>
        <w:pStyle w:val="FixListStyle"/>
        <w:tabs>
          <w:tab w:val="clear" w:pos="720"/>
          <w:tab w:val="left" w:pos="0"/>
        </w:tabs>
        <w:spacing w:after="260" w:line="280" w:lineRule="exact"/>
        <w:ind w:right="0"/>
        <w:jc w:val="both"/>
        <w:rPr>
          <w:rFonts w:ascii="Times New Roman" w:hAnsi="Times New Roman"/>
        </w:rPr>
      </w:pPr>
      <w:r w:rsidRPr="00991383">
        <w:rPr>
          <w:rFonts w:ascii="Times New Roman" w:hAnsi="Times New Roman"/>
        </w:rPr>
        <w:lastRenderedPageBreak/>
        <w:t xml:space="preserve">GLEESON J.   These appeals challenge the jurisdiction of a full court of the Federal Court of Australia ("the Full Court") to allow appeals brought by the respondents ("the Commonwealth parties") from orders made in related proceedings by a judge exercising the original jurisdiction of the Federal Court. Finding error by the primary judge, the Full Court set aside the primary judge's orders that included: (a) a declaration that s 198AD(2) of the </w:t>
      </w:r>
      <w:r w:rsidRPr="00991383">
        <w:rPr>
          <w:rFonts w:ascii="Times New Roman" w:hAnsi="Times New Roman"/>
          <w:i/>
          <w:iCs/>
        </w:rPr>
        <w:t xml:space="preserve">Migration Act 1958 </w:t>
      </w:r>
      <w:r w:rsidRPr="00991383">
        <w:rPr>
          <w:rFonts w:ascii="Times New Roman" w:hAnsi="Times New Roman"/>
        </w:rPr>
        <w:t>(</w:t>
      </w:r>
      <w:proofErr w:type="spellStart"/>
      <w:r w:rsidRPr="00991383">
        <w:rPr>
          <w:rFonts w:ascii="Times New Roman" w:hAnsi="Times New Roman"/>
        </w:rPr>
        <w:t>Cth</w:t>
      </w:r>
      <w:proofErr w:type="spellEnd"/>
      <w:r w:rsidRPr="00991383">
        <w:rPr>
          <w:rFonts w:ascii="Times New Roman" w:hAnsi="Times New Roman"/>
        </w:rPr>
        <w:t xml:space="preserve">) applied to the appellant; (b) orders compelling the third respondent, the Secretary of the Department of Home Affairs, to perform, or cause to be performed, the duty under s 198AD(2) to take the appellant from Australia to a regional processing country as soon as reasonably practicable; and (c) orders for the detention of the appellant, pending the performance of the duty under s 198AD(2), at a residential address in Perth, Western Australia. </w:t>
      </w:r>
    </w:p>
    <w:p w14:paraId="4402107A"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I gratefully adopt the factual and procedural background to these proceedings as set out in the reasons of Kiefel CJ, Gordon and Steward JJ. </w:t>
      </w:r>
    </w:p>
    <w:p w14:paraId="1E3EF59C"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Prior to the hearing of the appeals in the Full Court, the</w:t>
      </w:r>
      <w:r w:rsidRPr="00991383" w:rsidDel="000B5717">
        <w:rPr>
          <w:rFonts w:ascii="Times New Roman" w:hAnsi="Times New Roman"/>
        </w:rPr>
        <w:t xml:space="preserve"> </w:t>
      </w:r>
      <w:r w:rsidRPr="00991383">
        <w:rPr>
          <w:rFonts w:ascii="Times New Roman" w:hAnsi="Times New Roman"/>
        </w:rPr>
        <w:t xml:space="preserve">appellant (the respondent in the Full Court appeals) raised with the Commonwealth parties a contention that the appeals were futile and should not be entertained. The parties addressed the issue in their submissions to the Full Court as a question for the exercise of the Court's discretion to hear and determine the matter, rather than as a question of jurisdiction. Historically, it has been accepted that s 23 of the </w:t>
      </w:r>
      <w:r w:rsidRPr="00991383">
        <w:rPr>
          <w:rFonts w:ascii="Times New Roman" w:hAnsi="Times New Roman"/>
          <w:i/>
        </w:rPr>
        <w:t>F</w:t>
      </w:r>
      <w:r w:rsidRPr="00991383">
        <w:rPr>
          <w:rFonts w:ascii="Times New Roman" w:hAnsi="Times New Roman"/>
          <w:i/>
          <w:iCs/>
        </w:rPr>
        <w:t xml:space="preserve">ederal </w:t>
      </w:r>
      <w:r w:rsidRPr="00991383">
        <w:rPr>
          <w:rFonts w:ascii="Times New Roman" w:hAnsi="Times New Roman"/>
          <w:i/>
        </w:rPr>
        <w:t>C</w:t>
      </w:r>
      <w:r w:rsidRPr="00991383">
        <w:rPr>
          <w:rFonts w:ascii="Times New Roman" w:hAnsi="Times New Roman"/>
          <w:i/>
          <w:iCs/>
        </w:rPr>
        <w:t xml:space="preserve">ourt of </w:t>
      </w:r>
      <w:r w:rsidRPr="00991383">
        <w:rPr>
          <w:rFonts w:ascii="Times New Roman" w:hAnsi="Times New Roman"/>
          <w:i/>
        </w:rPr>
        <w:t>A</w:t>
      </w:r>
      <w:r w:rsidRPr="00991383">
        <w:rPr>
          <w:rFonts w:ascii="Times New Roman" w:hAnsi="Times New Roman"/>
          <w:i/>
          <w:iCs/>
        </w:rPr>
        <w:t>ustralia</w:t>
      </w:r>
      <w:r w:rsidRPr="00991383">
        <w:rPr>
          <w:rFonts w:ascii="Times New Roman" w:hAnsi="Times New Roman"/>
          <w:i/>
        </w:rPr>
        <w:t xml:space="preserve"> Act</w:t>
      </w:r>
      <w:r w:rsidRPr="00991383">
        <w:rPr>
          <w:rFonts w:ascii="Times New Roman" w:hAnsi="Times New Roman"/>
          <w:i/>
          <w:iCs/>
        </w:rPr>
        <w:t xml:space="preserve"> 1976 </w:t>
      </w:r>
      <w:r w:rsidRPr="00991383">
        <w:rPr>
          <w:rFonts w:ascii="Times New Roman" w:hAnsi="Times New Roman"/>
        </w:rPr>
        <w:t>(</w:t>
      </w:r>
      <w:proofErr w:type="spellStart"/>
      <w:r w:rsidRPr="00991383">
        <w:rPr>
          <w:rFonts w:ascii="Times New Roman" w:hAnsi="Times New Roman"/>
        </w:rPr>
        <w:t>Cth</w:t>
      </w:r>
      <w:proofErr w:type="spellEnd"/>
      <w:r w:rsidRPr="00991383">
        <w:rPr>
          <w:rFonts w:ascii="Times New Roman" w:hAnsi="Times New Roman"/>
        </w:rPr>
        <w:t>) ("the Federal Court Act") confers a discretionary power upon the Federal Court to stay such an appeal permanently because to proceed would be futile or involve the determination of issues that have become moot</w:t>
      </w:r>
      <w:r w:rsidRPr="00991383">
        <w:rPr>
          <w:rStyle w:val="FootnoteReference"/>
          <w:rFonts w:ascii="Times New Roman" w:hAnsi="Times New Roman"/>
          <w:sz w:val="24"/>
        </w:rPr>
        <w:footnoteReference w:id="119"/>
      </w:r>
      <w:r w:rsidRPr="00991383">
        <w:rPr>
          <w:rFonts w:ascii="Times New Roman" w:hAnsi="Times New Roman"/>
        </w:rPr>
        <w:t xml:space="preserve">. The existence of this power presupposes the jurisdiction of the Federal Court to hear and determine such an appeal. Consistent with this approach, the Full Court assumed its jurisdiction to hear and determine the Commonwealth parties' appeals against the primary judge's </w:t>
      </w:r>
      <w:proofErr w:type="gramStart"/>
      <w:r w:rsidRPr="00991383">
        <w:rPr>
          <w:rFonts w:ascii="Times New Roman" w:hAnsi="Times New Roman"/>
        </w:rPr>
        <w:t>orders, and</w:t>
      </w:r>
      <w:proofErr w:type="gramEnd"/>
      <w:r w:rsidRPr="00991383">
        <w:rPr>
          <w:rFonts w:ascii="Times New Roman" w:hAnsi="Times New Roman"/>
        </w:rPr>
        <w:t xml:space="preserve"> considered issues surrounding the practical effect of its orders as a matter of discretion rather than jurisdiction, as explained by Kiefel CJ, Gordon and Steward JJ</w:t>
      </w:r>
      <w:r w:rsidRPr="00991383">
        <w:rPr>
          <w:rStyle w:val="FootnoteReference"/>
          <w:rFonts w:ascii="Times New Roman" w:hAnsi="Times New Roman"/>
          <w:sz w:val="24"/>
        </w:rPr>
        <w:footnoteReference w:id="120"/>
      </w:r>
      <w:r w:rsidRPr="00991383">
        <w:rPr>
          <w:rFonts w:ascii="Times New Roman" w:hAnsi="Times New Roman"/>
        </w:rPr>
        <w:t xml:space="preserve">. </w:t>
      </w:r>
    </w:p>
    <w:p w14:paraId="70611A9D"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The Full Court allowed the Commonwealth parties' appeals, finding that the primary judge: (a) misconstrued s 198AD(2) of the </w:t>
      </w:r>
      <w:r w:rsidRPr="00991383">
        <w:rPr>
          <w:rFonts w:ascii="Times New Roman" w:hAnsi="Times New Roman"/>
          <w:i/>
          <w:iCs/>
        </w:rPr>
        <w:t>Migration Act</w:t>
      </w:r>
      <w:r w:rsidRPr="00991383">
        <w:rPr>
          <w:rFonts w:ascii="Times New Roman" w:hAnsi="Times New Roman"/>
        </w:rPr>
        <w:t xml:space="preserve">; (b) erred in finding that certain "home detention" arrangements could be characterised as "immigration detention" within para (a) of the definition of that term in s 5 of the </w:t>
      </w:r>
      <w:r w:rsidRPr="00991383">
        <w:rPr>
          <w:rFonts w:ascii="Times New Roman" w:hAnsi="Times New Roman"/>
          <w:i/>
          <w:iCs/>
        </w:rPr>
        <w:lastRenderedPageBreak/>
        <w:t xml:space="preserve">Migration </w:t>
      </w:r>
      <w:r w:rsidRPr="00991383">
        <w:rPr>
          <w:rFonts w:ascii="Times New Roman" w:hAnsi="Times New Roman"/>
          <w:i/>
        </w:rPr>
        <w:t>Act</w:t>
      </w:r>
      <w:r w:rsidRPr="00991383">
        <w:rPr>
          <w:rFonts w:ascii="Times New Roman" w:hAnsi="Times New Roman"/>
        </w:rPr>
        <w:t>; and (c) erred in characterising the detention arrangement orders that his Honour made as ancillary to mandamus and therefore supported by s 23 of the Federal Court Act.</w:t>
      </w:r>
    </w:p>
    <w:p w14:paraId="5846FB09"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The first issue on these appeals is whether the Full Court lacked jurisdiction to correct the errors, including legal errors, that it found had been made by the primary judge. The appellant argued that, once the orders under appeal to the Full Court "had no prospect of ever coming into effect", there was no longer a live controversy about any "immediate right, duty or liability" of the kind required by </w:t>
      </w:r>
      <w:r w:rsidRPr="00991383">
        <w:rPr>
          <w:rFonts w:ascii="Times New Roman" w:hAnsi="Times New Roman"/>
          <w:i/>
          <w:iCs/>
        </w:rPr>
        <w:t>In re Judiciary and Navigation Acts</w:t>
      </w:r>
      <w:r w:rsidRPr="00991383">
        <w:rPr>
          <w:rStyle w:val="FootnoteReference"/>
          <w:rFonts w:ascii="Times New Roman" w:hAnsi="Times New Roman"/>
          <w:iCs/>
          <w:sz w:val="24"/>
        </w:rPr>
        <w:footnoteReference w:id="121"/>
      </w:r>
      <w:r w:rsidRPr="00991383">
        <w:rPr>
          <w:rFonts w:ascii="Times New Roman" w:hAnsi="Times New Roman"/>
        </w:rPr>
        <w:t xml:space="preserve">, and that, as a corollary, there was no longer a "matter" within the meaning of Ch III of the </w:t>
      </w:r>
      <w:r w:rsidRPr="00991383">
        <w:rPr>
          <w:rFonts w:ascii="Times New Roman" w:hAnsi="Times New Roman"/>
          <w:i/>
        </w:rPr>
        <w:t>Constitution</w:t>
      </w:r>
      <w:r w:rsidRPr="00991383">
        <w:rPr>
          <w:rFonts w:ascii="Times New Roman" w:hAnsi="Times New Roman"/>
        </w:rPr>
        <w:t xml:space="preserve"> upon which the Federal Court was authorised to adjudicate in the exercise of its judicial power. The question has significance both for the scope of the Commonwealth's legislative power to define and invest jurisdiction under s 77 of the </w:t>
      </w:r>
      <w:r w:rsidRPr="00991383">
        <w:rPr>
          <w:rFonts w:ascii="Times New Roman" w:hAnsi="Times New Roman"/>
          <w:i/>
          <w:iCs/>
        </w:rPr>
        <w:t>Constitution</w:t>
      </w:r>
      <w:r w:rsidRPr="00991383">
        <w:rPr>
          <w:rFonts w:ascii="Times New Roman" w:hAnsi="Times New Roman"/>
        </w:rPr>
        <w:t xml:space="preserve">, and for the scope of the judicial power of the Commonwealth. </w:t>
      </w:r>
    </w:p>
    <w:p w14:paraId="361967CE"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The second and third issues (which necessarily only arise if the appellant were to fail on the first issue) are whether the Full Court erred in the exercise of its discretion to grant leave to appeal from interlocutory orders, being orders for "home detention" arrangements; and whether the Full Court's substantive decision on the grounds challenged by the appellant was correct, that is, whether the Full Court itself erred in its interpretation of para (a) of the definition of "immigration detention" in s 5 of the </w:t>
      </w:r>
      <w:r w:rsidRPr="00991383">
        <w:rPr>
          <w:rFonts w:ascii="Times New Roman" w:hAnsi="Times New Roman"/>
          <w:i/>
          <w:iCs/>
        </w:rPr>
        <w:t>Migration Act</w:t>
      </w:r>
      <w:r w:rsidRPr="00991383">
        <w:rPr>
          <w:rFonts w:ascii="Times New Roman" w:hAnsi="Times New Roman"/>
        </w:rPr>
        <w:t xml:space="preserve">, and in its conclusion that the primary judge's detention arrangement orders were beyond the power conferred by s 23 of the Federal Court Act, and/or by failing to find that the home detention orders were within the scope of the power conferred by s 22 of that Act. </w:t>
      </w:r>
    </w:p>
    <w:p w14:paraId="07B01405"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For the following reasons, I disagree with the majority's conclusion that the Full Court lacked jurisdiction to hear the Commonwealth parties' appeals. As the appeals to this Court will be allowed, it is unnecessary for me to express any opinion about the second and third issues concerning the Full Court's grant of leave to appeal, and the correctness of the Full Court's substantive decision. </w:t>
      </w:r>
    </w:p>
    <w:p w14:paraId="08FCB08D" w14:textId="77777777" w:rsidR="00541D69" w:rsidRPr="00991383" w:rsidRDefault="00541D69" w:rsidP="00991383">
      <w:pPr>
        <w:pStyle w:val="HeadingL1"/>
        <w:spacing w:after="260" w:line="280" w:lineRule="exact"/>
        <w:ind w:right="0"/>
        <w:jc w:val="both"/>
        <w:rPr>
          <w:rFonts w:ascii="Times New Roman" w:hAnsi="Times New Roman"/>
        </w:rPr>
      </w:pPr>
      <w:r w:rsidRPr="00991383">
        <w:rPr>
          <w:rFonts w:ascii="Times New Roman" w:hAnsi="Times New Roman"/>
        </w:rPr>
        <w:t>The nature of federal appellate jurisdiction</w:t>
      </w:r>
    </w:p>
    <w:p w14:paraId="610DD58E"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Federal jurisdiction is the authority to adjudicate derived from the </w:t>
      </w:r>
      <w:r w:rsidRPr="00991383">
        <w:rPr>
          <w:rFonts w:ascii="Times New Roman" w:hAnsi="Times New Roman"/>
          <w:i/>
        </w:rPr>
        <w:t>Constitution</w:t>
      </w:r>
      <w:r w:rsidRPr="00991383">
        <w:rPr>
          <w:rFonts w:ascii="Times New Roman" w:hAnsi="Times New Roman"/>
        </w:rPr>
        <w:t xml:space="preserve"> and laws</w:t>
      </w:r>
      <w:r w:rsidRPr="00991383" w:rsidDel="00F95987">
        <w:rPr>
          <w:rFonts w:ascii="Times New Roman" w:hAnsi="Times New Roman"/>
        </w:rPr>
        <w:t xml:space="preserve"> made under the </w:t>
      </w:r>
      <w:r w:rsidRPr="00991383" w:rsidDel="00F95987">
        <w:rPr>
          <w:rFonts w:ascii="Times New Roman" w:hAnsi="Times New Roman"/>
          <w:i/>
        </w:rPr>
        <w:t>Constitution</w:t>
      </w:r>
      <w:r w:rsidRPr="00991383">
        <w:rPr>
          <w:rStyle w:val="FootnoteReference"/>
          <w:rFonts w:ascii="Times New Roman" w:hAnsi="Times New Roman"/>
          <w:sz w:val="24"/>
        </w:rPr>
        <w:footnoteReference w:id="122"/>
      </w:r>
      <w:r w:rsidRPr="00991383">
        <w:rPr>
          <w:rFonts w:ascii="Times New Roman" w:hAnsi="Times New Roman"/>
        </w:rPr>
        <w:t xml:space="preserve">. The </w:t>
      </w:r>
      <w:r w:rsidRPr="00991383">
        <w:rPr>
          <w:rFonts w:ascii="Times New Roman" w:hAnsi="Times New Roman"/>
          <w:i/>
        </w:rPr>
        <w:t>Constitution</w:t>
      </w:r>
      <w:r w:rsidRPr="00991383">
        <w:rPr>
          <w:rFonts w:ascii="Times New Roman" w:hAnsi="Times New Roman"/>
        </w:rPr>
        <w:t xml:space="preserve"> proceeds </w:t>
      </w:r>
      <w:r w:rsidRPr="00991383">
        <w:rPr>
          <w:rFonts w:ascii="Times New Roman" w:hAnsi="Times New Roman"/>
        </w:rPr>
        <w:lastRenderedPageBreak/>
        <w:t>on the footing that all federal jurisdiction is either original or appellate</w:t>
      </w:r>
      <w:r w:rsidRPr="00991383">
        <w:rPr>
          <w:rFonts w:ascii="Times New Roman" w:hAnsi="Times New Roman"/>
          <w:b/>
          <w:sz w:val="24"/>
          <w:vertAlign w:val="superscript"/>
        </w:rPr>
        <w:footnoteReference w:id="123"/>
      </w:r>
      <w:r w:rsidRPr="00991383">
        <w:rPr>
          <w:rFonts w:ascii="Times New Roman" w:hAnsi="Times New Roman"/>
        </w:rPr>
        <w:t xml:space="preserve">. It was established early in the High Court's history that the federal jurisdiction which the Commonwealth Parliament is authorised to confer by s 77 of the </w:t>
      </w:r>
      <w:r w:rsidRPr="00991383">
        <w:rPr>
          <w:rFonts w:ascii="Times New Roman" w:hAnsi="Times New Roman"/>
          <w:i/>
        </w:rPr>
        <w:t>Constitution</w:t>
      </w:r>
      <w:r w:rsidRPr="00991383">
        <w:rPr>
          <w:rFonts w:ascii="Times New Roman" w:hAnsi="Times New Roman"/>
        </w:rPr>
        <w:t xml:space="preserve"> includes both original and appellate jurisdiction</w:t>
      </w:r>
      <w:r w:rsidRPr="00991383">
        <w:rPr>
          <w:rStyle w:val="FootnoteReference"/>
          <w:rFonts w:ascii="Times New Roman" w:hAnsi="Times New Roman"/>
          <w:sz w:val="24"/>
        </w:rPr>
        <w:footnoteReference w:id="124"/>
      </w:r>
      <w:r w:rsidRPr="00991383">
        <w:rPr>
          <w:rFonts w:ascii="Times New Roman" w:hAnsi="Times New Roman"/>
        </w:rPr>
        <w:t>, and the distinction between these two forms of jurisdiction is maintained in the Federal Court Act</w:t>
      </w:r>
      <w:r w:rsidRPr="00991383">
        <w:rPr>
          <w:rStyle w:val="FootnoteReference"/>
          <w:rFonts w:ascii="Times New Roman" w:hAnsi="Times New Roman"/>
          <w:sz w:val="24"/>
        </w:rPr>
        <w:footnoteReference w:id="125"/>
      </w:r>
      <w:r w:rsidRPr="00991383">
        <w:rPr>
          <w:rFonts w:ascii="Times New Roman" w:hAnsi="Times New Roman"/>
        </w:rPr>
        <w:t>.</w:t>
      </w:r>
    </w:p>
    <w:p w14:paraId="6AC69B99"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Appellate jurisdiction "revises and corrects the proceedings in a cause already </w:t>
      </w:r>
      <w:proofErr w:type="gramStart"/>
      <w:r w:rsidRPr="00991383">
        <w:rPr>
          <w:rFonts w:ascii="Times New Roman" w:hAnsi="Times New Roman"/>
        </w:rPr>
        <w:t>instituted, and</w:t>
      </w:r>
      <w:proofErr w:type="gramEnd"/>
      <w:r w:rsidRPr="00991383">
        <w:rPr>
          <w:rFonts w:ascii="Times New Roman" w:hAnsi="Times New Roman"/>
        </w:rPr>
        <w:t xml:space="preserve"> does not create that cause"</w:t>
      </w:r>
      <w:r w:rsidRPr="00991383">
        <w:rPr>
          <w:rStyle w:val="FootnoteReference"/>
          <w:rFonts w:ascii="Times New Roman" w:hAnsi="Times New Roman"/>
          <w:sz w:val="24"/>
        </w:rPr>
        <w:footnoteReference w:id="126"/>
      </w:r>
      <w:r w:rsidRPr="00991383">
        <w:rPr>
          <w:rFonts w:ascii="Times New Roman" w:hAnsi="Times New Roman"/>
        </w:rPr>
        <w:t xml:space="preserve">. Thus, in </w:t>
      </w:r>
      <w:r w:rsidRPr="00991383">
        <w:rPr>
          <w:rFonts w:ascii="Times New Roman" w:hAnsi="Times New Roman"/>
          <w:i/>
          <w:iCs/>
        </w:rPr>
        <w:t>Edwards v Santos Ltd</w:t>
      </w:r>
      <w:r w:rsidRPr="00991383">
        <w:rPr>
          <w:rStyle w:val="FootnoteReference"/>
          <w:rFonts w:ascii="Times New Roman" w:hAnsi="Times New Roman"/>
          <w:sz w:val="24"/>
        </w:rPr>
        <w:footnoteReference w:id="127"/>
      </w:r>
      <w:r w:rsidRPr="00991383">
        <w:rPr>
          <w:rFonts w:ascii="Times New Roman" w:hAnsi="Times New Roman"/>
        </w:rPr>
        <w:t>,</w:t>
      </w:r>
      <w:r w:rsidRPr="00991383">
        <w:rPr>
          <w:rFonts w:ascii="Times New Roman" w:hAnsi="Times New Roman"/>
          <w:i/>
          <w:iCs/>
        </w:rPr>
        <w:t xml:space="preserve"> </w:t>
      </w:r>
      <w:r w:rsidRPr="00991383">
        <w:rPr>
          <w:rFonts w:ascii="Times New Roman" w:hAnsi="Times New Roman"/>
        </w:rPr>
        <w:t>Hayne J contrasted the case, which was brought in this Court's original jurisdiction, with a case brought in the Court's appellate jurisdiction. "[U]</w:t>
      </w:r>
      <w:proofErr w:type="spellStart"/>
      <w:r w:rsidRPr="00991383">
        <w:rPr>
          <w:rFonts w:ascii="Times New Roman" w:hAnsi="Times New Roman"/>
        </w:rPr>
        <w:t>nlike</w:t>
      </w:r>
      <w:proofErr w:type="spellEnd"/>
      <w:r w:rsidRPr="00991383">
        <w:rPr>
          <w:rFonts w:ascii="Times New Roman" w:hAnsi="Times New Roman"/>
        </w:rPr>
        <w:t xml:space="preserve"> the case in which this Court's appellate jurisdiction is engaged, the 'matter brought before the Court' [in </w:t>
      </w:r>
      <w:r w:rsidRPr="00991383">
        <w:rPr>
          <w:rFonts w:ascii="Times New Roman" w:hAnsi="Times New Roman"/>
          <w:i/>
          <w:iCs/>
        </w:rPr>
        <w:t xml:space="preserve">Edwards </w:t>
      </w:r>
      <w:r w:rsidRPr="00991383">
        <w:rPr>
          <w:rFonts w:ascii="Times New Roman" w:hAnsi="Times New Roman"/>
        </w:rPr>
        <w:t>was] distinct from the matter that was brought before the Federal Court."</w:t>
      </w:r>
      <w:r w:rsidRPr="00991383">
        <w:rPr>
          <w:rStyle w:val="FootnoteReference"/>
          <w:rFonts w:ascii="Times New Roman" w:hAnsi="Times New Roman"/>
          <w:sz w:val="24"/>
        </w:rPr>
        <w:footnoteReference w:id="128"/>
      </w:r>
      <w:r w:rsidRPr="00991383">
        <w:rPr>
          <w:rFonts w:ascii="Times New Roman" w:hAnsi="Times New Roman"/>
        </w:rPr>
        <w:t xml:space="preserve"> Appellate jurisdiction implies that the relevant subject matter has already been instituted in and acted upon by some other court whose judgment or proceedings are to be revised</w:t>
      </w:r>
      <w:r w:rsidRPr="00991383">
        <w:rPr>
          <w:rStyle w:val="FootnoteReference"/>
          <w:rFonts w:ascii="Times New Roman" w:hAnsi="Times New Roman"/>
          <w:sz w:val="24"/>
        </w:rPr>
        <w:footnoteReference w:id="129"/>
      </w:r>
      <w:r w:rsidRPr="00991383">
        <w:rPr>
          <w:rFonts w:ascii="Times New Roman" w:hAnsi="Times New Roman"/>
        </w:rPr>
        <w:t>.</w:t>
      </w:r>
    </w:p>
    <w:p w14:paraId="604C35D0"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As Leeming has identified, "the subject matter of appellate jurisdiction is the exercise of jurisdiction by another court"</w:t>
      </w:r>
      <w:r w:rsidRPr="00991383">
        <w:rPr>
          <w:rStyle w:val="FootnoteReference"/>
          <w:rFonts w:ascii="Times New Roman" w:hAnsi="Times New Roman"/>
          <w:sz w:val="24"/>
        </w:rPr>
        <w:footnoteReference w:id="130"/>
      </w:r>
      <w:r w:rsidRPr="00991383">
        <w:rPr>
          <w:rFonts w:ascii="Times New Roman" w:hAnsi="Times New Roman"/>
        </w:rPr>
        <w:t>. Appellate jurisdiction is conferred "to set ... error right"</w:t>
      </w:r>
      <w:r w:rsidRPr="00991383">
        <w:rPr>
          <w:rStyle w:val="FootnoteReference"/>
          <w:rFonts w:ascii="Times New Roman" w:hAnsi="Times New Roman"/>
          <w:sz w:val="24"/>
        </w:rPr>
        <w:footnoteReference w:id="131"/>
      </w:r>
      <w:r w:rsidRPr="00991383">
        <w:rPr>
          <w:rFonts w:ascii="Times New Roman" w:hAnsi="Times New Roman"/>
        </w:rPr>
        <w:t xml:space="preserve">. Describing general appellate jurisdiction from an inferior court to another court in </w:t>
      </w:r>
      <w:r w:rsidRPr="00991383">
        <w:rPr>
          <w:rFonts w:ascii="Times New Roman" w:hAnsi="Times New Roman"/>
          <w:i/>
          <w:iCs/>
        </w:rPr>
        <w:t xml:space="preserve">Ah </w:t>
      </w:r>
      <w:proofErr w:type="spellStart"/>
      <w:r w:rsidRPr="00991383">
        <w:rPr>
          <w:rFonts w:ascii="Times New Roman" w:hAnsi="Times New Roman"/>
          <w:i/>
          <w:iCs/>
        </w:rPr>
        <w:t>Yick</w:t>
      </w:r>
      <w:proofErr w:type="spellEnd"/>
      <w:r w:rsidRPr="00991383">
        <w:rPr>
          <w:rFonts w:ascii="Times New Roman" w:hAnsi="Times New Roman"/>
          <w:i/>
          <w:iCs/>
        </w:rPr>
        <w:t xml:space="preserve"> v </w:t>
      </w:r>
      <w:proofErr w:type="spellStart"/>
      <w:r w:rsidRPr="00991383">
        <w:rPr>
          <w:rFonts w:ascii="Times New Roman" w:hAnsi="Times New Roman"/>
          <w:i/>
          <w:iCs/>
        </w:rPr>
        <w:t>Lehmert</w:t>
      </w:r>
      <w:proofErr w:type="spellEnd"/>
      <w:r w:rsidRPr="00991383">
        <w:rPr>
          <w:rFonts w:ascii="Times New Roman" w:hAnsi="Times New Roman"/>
        </w:rPr>
        <w:t xml:space="preserve">, Griffith CJ stated that courts of appeal </w:t>
      </w:r>
      <w:r w:rsidRPr="00991383">
        <w:rPr>
          <w:rFonts w:ascii="Times New Roman" w:hAnsi="Times New Roman"/>
        </w:rPr>
        <w:lastRenderedPageBreak/>
        <w:t>"can entertain any matter, however arising, which shows that the decision of the Court appealed from is erroneous"</w:t>
      </w:r>
      <w:r w:rsidRPr="00991383">
        <w:rPr>
          <w:rStyle w:val="FootnoteReference"/>
          <w:rFonts w:ascii="Times New Roman" w:hAnsi="Times New Roman"/>
          <w:sz w:val="24"/>
        </w:rPr>
        <w:footnoteReference w:id="132"/>
      </w:r>
      <w:r w:rsidRPr="00991383">
        <w:rPr>
          <w:rFonts w:ascii="Times New Roman" w:hAnsi="Times New Roman"/>
        </w:rPr>
        <w:t>. Appellate jurisdiction operates as a check upon the exercise of judicial power at first instance.</w:t>
      </w:r>
    </w:p>
    <w:p w14:paraId="66B968DE"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As</w:t>
      </w:r>
      <w:r w:rsidRPr="00991383" w:rsidDel="00A90D2B">
        <w:rPr>
          <w:rFonts w:ascii="Times New Roman" w:hAnsi="Times New Roman"/>
        </w:rPr>
        <w:t xml:space="preserve"> </w:t>
      </w:r>
      <w:r w:rsidRPr="00991383">
        <w:rPr>
          <w:rFonts w:ascii="Times New Roman" w:hAnsi="Times New Roman"/>
        </w:rPr>
        <w:t>with federal original jurisdiction, the primary function of the conferral of appellate jurisdiction is "not the declaration of legal principle but the resolution of a controversy about a legal right or legal liability"</w:t>
      </w:r>
      <w:r w:rsidRPr="00991383">
        <w:rPr>
          <w:rStyle w:val="FootnoteReference"/>
          <w:rFonts w:ascii="Times New Roman" w:hAnsi="Times New Roman"/>
          <w:sz w:val="24"/>
        </w:rPr>
        <w:footnoteReference w:id="133"/>
      </w:r>
      <w:r w:rsidRPr="00991383">
        <w:rPr>
          <w:rFonts w:ascii="Times New Roman" w:hAnsi="Times New Roman"/>
        </w:rPr>
        <w:t xml:space="preserve">. That is not to say that the role of appellate courts in the declaration of legal principle, including </w:t>
      </w:r>
      <w:proofErr w:type="gramStart"/>
      <w:r w:rsidRPr="00991383">
        <w:rPr>
          <w:rFonts w:ascii="Times New Roman" w:hAnsi="Times New Roman"/>
        </w:rPr>
        <w:t>in the course of</w:t>
      </w:r>
      <w:proofErr w:type="gramEnd"/>
      <w:r w:rsidRPr="00991383">
        <w:rPr>
          <w:rFonts w:ascii="Times New Roman" w:hAnsi="Times New Roman"/>
        </w:rPr>
        <w:t xml:space="preserve"> correcting legal error, is irrelevant as a justification for the exercise of appellate jurisdiction. Thus, French CJ stated in </w:t>
      </w:r>
      <w:proofErr w:type="spellStart"/>
      <w:r w:rsidRPr="00991383">
        <w:rPr>
          <w:rFonts w:ascii="Times New Roman" w:hAnsi="Times New Roman"/>
          <w:i/>
          <w:iCs/>
        </w:rPr>
        <w:t>Momcilovic</w:t>
      </w:r>
      <w:proofErr w:type="spellEnd"/>
      <w:r w:rsidRPr="00991383">
        <w:rPr>
          <w:rFonts w:ascii="Times New Roman" w:hAnsi="Times New Roman"/>
          <w:i/>
          <w:iCs/>
        </w:rPr>
        <w:t xml:space="preserve"> v The Queen</w:t>
      </w:r>
      <w:r w:rsidRPr="00991383">
        <w:rPr>
          <w:rStyle w:val="FootnoteReference"/>
          <w:rFonts w:ascii="Times New Roman" w:hAnsi="Times New Roman"/>
          <w:iCs/>
          <w:sz w:val="24"/>
        </w:rPr>
        <w:footnoteReference w:id="134"/>
      </w:r>
      <w:r w:rsidRPr="00991383">
        <w:rPr>
          <w:rFonts w:ascii="Times New Roman" w:hAnsi="Times New Roman"/>
        </w:rPr>
        <w:t>:</w:t>
      </w:r>
    </w:p>
    <w:p w14:paraId="71F8F399" w14:textId="77777777" w:rsidR="00541D69" w:rsidRDefault="00541D69" w:rsidP="00991383">
      <w:pPr>
        <w:pStyle w:val="LRIndentafterHC"/>
        <w:spacing w:before="0" w:after="260" w:line="280" w:lineRule="exact"/>
        <w:ind w:right="0"/>
        <w:jc w:val="both"/>
        <w:rPr>
          <w:rFonts w:ascii="Times New Roman" w:hAnsi="Times New Roman"/>
        </w:rPr>
      </w:pPr>
      <w:r w:rsidRPr="00991383">
        <w:rPr>
          <w:rFonts w:ascii="Times New Roman" w:hAnsi="Times New Roman"/>
        </w:rPr>
        <w:t>"The answers given by an appellate court, in the exercise of a statutory jurisdiction, to referred questions arising out of particular proceedings may properly be viewed as an incident of the judicial process even if those answers do not affect the outcome of the proceedings. Where they correct error, they ensure that what has been said at first instance does not influence the outcome of subsequent similar cases. In deciding cases the courts are ... exercising powers conferred by public law and doing so in a way that is calculated 'to explicate and give force to the values embodied in authoritative texts such as the </w:t>
      </w:r>
      <w:hyperlink r:id="rId26" w:history="1">
        <w:r w:rsidRPr="00991383">
          <w:rPr>
            <w:rFonts w:ascii="Times New Roman" w:hAnsi="Times New Roman"/>
          </w:rPr>
          <w:t>Constitution</w:t>
        </w:r>
      </w:hyperlink>
      <w:r w:rsidRPr="00991383">
        <w:rPr>
          <w:rFonts w:ascii="Times New Roman" w:hAnsi="Times New Roman"/>
        </w:rPr>
        <w:t> and statutes: to interpret those values and to bring reality into accord with them.'"</w:t>
      </w:r>
    </w:p>
    <w:p w14:paraId="76A62472" w14:textId="77777777" w:rsidR="00541D69" w:rsidRPr="00991383" w:rsidRDefault="00541D69" w:rsidP="00991383">
      <w:pPr>
        <w:pStyle w:val="HeadingL1"/>
        <w:spacing w:after="260" w:line="280" w:lineRule="exact"/>
        <w:ind w:right="0"/>
        <w:jc w:val="both"/>
        <w:rPr>
          <w:rFonts w:ascii="Times New Roman" w:hAnsi="Times New Roman"/>
        </w:rPr>
      </w:pPr>
      <w:r w:rsidRPr="00991383">
        <w:rPr>
          <w:rFonts w:ascii="Times New Roman" w:hAnsi="Times New Roman"/>
        </w:rPr>
        <w:t>The requirement of a "matter" for federal appellate jurisdiction</w:t>
      </w:r>
    </w:p>
    <w:p w14:paraId="5ED130F5"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Section 77(</w:t>
      </w:r>
      <w:proofErr w:type="spellStart"/>
      <w:r w:rsidRPr="00991383">
        <w:rPr>
          <w:rFonts w:ascii="Times New Roman" w:hAnsi="Times New Roman"/>
        </w:rPr>
        <w:t>i</w:t>
      </w:r>
      <w:proofErr w:type="spellEnd"/>
      <w:r w:rsidRPr="00991383">
        <w:rPr>
          <w:rFonts w:ascii="Times New Roman" w:hAnsi="Times New Roman"/>
        </w:rPr>
        <w:t xml:space="preserve">) of the </w:t>
      </w:r>
      <w:r w:rsidRPr="00991383">
        <w:rPr>
          <w:rFonts w:ascii="Times New Roman" w:hAnsi="Times New Roman"/>
          <w:i/>
          <w:iCs/>
        </w:rPr>
        <w:t xml:space="preserve">Constitution </w:t>
      </w:r>
      <w:r w:rsidRPr="00991383">
        <w:rPr>
          <w:rFonts w:ascii="Times New Roman" w:hAnsi="Times New Roman"/>
        </w:rPr>
        <w:t>provides that "[w]</w:t>
      </w:r>
      <w:proofErr w:type="spellStart"/>
      <w:r w:rsidRPr="00991383">
        <w:rPr>
          <w:rFonts w:ascii="Times New Roman" w:hAnsi="Times New Roman"/>
        </w:rPr>
        <w:t>ith</w:t>
      </w:r>
      <w:proofErr w:type="spellEnd"/>
      <w:r w:rsidRPr="00991383">
        <w:rPr>
          <w:rFonts w:ascii="Times New Roman" w:hAnsi="Times New Roman"/>
        </w:rPr>
        <w:t xml:space="preserve"> respect to any of the matters mentioned in the last two sections [</w:t>
      </w:r>
      <w:proofErr w:type="spellStart"/>
      <w:r w:rsidRPr="00991383">
        <w:rPr>
          <w:rFonts w:ascii="Times New Roman" w:hAnsi="Times New Roman"/>
        </w:rPr>
        <w:t>ie</w:t>
      </w:r>
      <w:proofErr w:type="spellEnd"/>
      <w:r w:rsidRPr="00991383">
        <w:rPr>
          <w:rFonts w:ascii="Times New Roman" w:hAnsi="Times New Roman"/>
        </w:rPr>
        <w:t>, the heads of jurisdiction in ss 75 and 76] the Parliament may make laws ... defining the jurisdiction of any federal court other than the High Court". The concept of "matter" as picked up in s 77(</w:t>
      </w:r>
      <w:proofErr w:type="spellStart"/>
      <w:r w:rsidRPr="00991383">
        <w:rPr>
          <w:rFonts w:ascii="Times New Roman" w:hAnsi="Times New Roman"/>
        </w:rPr>
        <w:t>i</w:t>
      </w:r>
      <w:proofErr w:type="spellEnd"/>
      <w:r w:rsidRPr="00991383">
        <w:rPr>
          <w:rFonts w:ascii="Times New Roman" w:hAnsi="Times New Roman"/>
        </w:rPr>
        <w:t xml:space="preserve">), and which has the same meaning when used throughout Ch III of the </w:t>
      </w:r>
      <w:r w:rsidRPr="00991383">
        <w:rPr>
          <w:rFonts w:ascii="Times New Roman" w:hAnsi="Times New Roman"/>
          <w:i/>
        </w:rPr>
        <w:t>Constitution</w:t>
      </w:r>
      <w:r w:rsidRPr="00991383">
        <w:rPr>
          <w:rStyle w:val="FootnoteReference"/>
          <w:rFonts w:ascii="Times New Roman" w:hAnsi="Times New Roman"/>
          <w:sz w:val="24"/>
        </w:rPr>
        <w:footnoteReference w:id="135"/>
      </w:r>
      <w:r w:rsidRPr="00991383">
        <w:rPr>
          <w:rFonts w:ascii="Times New Roman" w:hAnsi="Times New Roman"/>
        </w:rPr>
        <w:t>, was explained by Griffith CJ as the "widest term to denote controversies which might come before a Court of Justice"</w:t>
      </w:r>
      <w:r w:rsidRPr="00991383">
        <w:rPr>
          <w:rStyle w:val="FootnoteReference"/>
          <w:rFonts w:ascii="Times New Roman" w:hAnsi="Times New Roman"/>
          <w:sz w:val="24"/>
        </w:rPr>
        <w:footnoteReference w:id="136"/>
      </w:r>
      <w:r w:rsidRPr="00991383">
        <w:rPr>
          <w:rFonts w:ascii="Times New Roman" w:hAnsi="Times New Roman"/>
        </w:rPr>
        <w:t xml:space="preserve">. It has been held to mean the "subject </w:t>
      </w:r>
      <w:r w:rsidRPr="00991383">
        <w:rPr>
          <w:rFonts w:ascii="Times New Roman" w:hAnsi="Times New Roman"/>
        </w:rPr>
        <w:lastRenderedPageBreak/>
        <w:t>matter for determination"</w:t>
      </w:r>
      <w:r w:rsidRPr="00991383">
        <w:rPr>
          <w:rStyle w:val="FootnoteReference"/>
          <w:rFonts w:ascii="Times New Roman" w:hAnsi="Times New Roman"/>
          <w:sz w:val="24"/>
        </w:rPr>
        <w:footnoteReference w:id="137"/>
      </w:r>
      <w:r w:rsidRPr="00991383">
        <w:rPr>
          <w:rFonts w:ascii="Times New Roman" w:hAnsi="Times New Roman"/>
        </w:rPr>
        <w:t xml:space="preserve"> independent of the precise legal proceedings</w:t>
      </w:r>
      <w:r w:rsidRPr="00991383">
        <w:rPr>
          <w:rStyle w:val="FootnoteReference"/>
          <w:rFonts w:ascii="Times New Roman" w:hAnsi="Times New Roman"/>
          <w:sz w:val="24"/>
        </w:rPr>
        <w:footnoteReference w:id="138"/>
      </w:r>
      <w:r w:rsidRPr="00991383">
        <w:rPr>
          <w:rFonts w:ascii="Times New Roman" w:hAnsi="Times New Roman"/>
        </w:rPr>
        <w:t>, and encompasses all claims within the scope of such a controversy, whether federal or non-federal in nature</w:t>
      </w:r>
      <w:r w:rsidRPr="00991383">
        <w:rPr>
          <w:rStyle w:val="FootnoteReference"/>
          <w:rFonts w:ascii="Times New Roman" w:hAnsi="Times New Roman"/>
          <w:sz w:val="24"/>
        </w:rPr>
        <w:footnoteReference w:id="139"/>
      </w:r>
      <w:r w:rsidRPr="00991383">
        <w:rPr>
          <w:rFonts w:ascii="Times New Roman" w:hAnsi="Times New Roman"/>
        </w:rPr>
        <w:t>.</w:t>
      </w:r>
    </w:p>
    <w:p w14:paraId="1A501779"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As Kiefel CJ, Gordon and Steward JJ observe</w:t>
      </w:r>
      <w:r w:rsidRPr="00991383">
        <w:rPr>
          <w:rStyle w:val="FootnoteReference"/>
          <w:rFonts w:ascii="Times New Roman" w:hAnsi="Times New Roman"/>
          <w:sz w:val="24"/>
        </w:rPr>
        <w:footnoteReference w:id="140"/>
      </w:r>
      <w:r w:rsidRPr="00991383">
        <w:rPr>
          <w:rFonts w:ascii="Times New Roman" w:hAnsi="Times New Roman"/>
        </w:rPr>
        <w:t xml:space="preserve">, there are two key aspects to the concept of a "matter", which were confirmed by the plurality in </w:t>
      </w:r>
      <w:r w:rsidRPr="00991383">
        <w:rPr>
          <w:rFonts w:ascii="Times New Roman" w:hAnsi="Times New Roman"/>
          <w:i/>
          <w:iCs/>
        </w:rPr>
        <w:t>CGU Insurance Ltd v Blakeley</w:t>
      </w:r>
      <w:r w:rsidRPr="00991383">
        <w:rPr>
          <w:rStyle w:val="FootnoteReference"/>
          <w:rFonts w:ascii="Times New Roman" w:hAnsi="Times New Roman"/>
          <w:iCs/>
          <w:sz w:val="24"/>
        </w:rPr>
        <w:footnoteReference w:id="141"/>
      </w:r>
      <w:r w:rsidRPr="00991383">
        <w:rPr>
          <w:rFonts w:ascii="Times New Roman" w:hAnsi="Times New Roman"/>
        </w:rPr>
        <w:t xml:space="preserve"> and reiterated in </w:t>
      </w:r>
      <w:r w:rsidRPr="00991383">
        <w:rPr>
          <w:rFonts w:ascii="Times New Roman" w:hAnsi="Times New Roman"/>
          <w:i/>
          <w:iCs/>
        </w:rPr>
        <w:t>Hobart International Airport Pty Ltd v Clarence City Council</w:t>
      </w:r>
      <w:r w:rsidRPr="00991383">
        <w:rPr>
          <w:rStyle w:val="FootnoteReference"/>
          <w:rFonts w:ascii="Times New Roman" w:hAnsi="Times New Roman"/>
          <w:iCs/>
          <w:sz w:val="24"/>
        </w:rPr>
        <w:footnoteReference w:id="142"/>
      </w:r>
      <w:r w:rsidRPr="00991383">
        <w:rPr>
          <w:rFonts w:ascii="Times New Roman" w:hAnsi="Times New Roman"/>
        </w:rPr>
        <w:t xml:space="preserve">. The first aspect concerns the subject matter of the dispute. For federal jurisdiction, the subject matter must be defined by reference to the heads of jurisdiction in either s 75 or s 76 of the </w:t>
      </w:r>
      <w:r w:rsidRPr="00991383">
        <w:rPr>
          <w:rFonts w:ascii="Times New Roman" w:hAnsi="Times New Roman"/>
          <w:i/>
          <w:iCs/>
        </w:rPr>
        <w:t>Constitution</w:t>
      </w:r>
      <w:r w:rsidRPr="00991383">
        <w:rPr>
          <w:rStyle w:val="FootnoteReference"/>
          <w:rFonts w:ascii="Times New Roman" w:hAnsi="Times New Roman"/>
          <w:sz w:val="24"/>
        </w:rPr>
        <w:footnoteReference w:id="143"/>
      </w:r>
      <w:r w:rsidRPr="00991383">
        <w:rPr>
          <w:rFonts w:ascii="Times New Roman" w:hAnsi="Times New Roman"/>
        </w:rPr>
        <w:t>. This aspect of "matter"</w:t>
      </w:r>
      <w:r w:rsidRPr="00991383" w:rsidDel="00121F87">
        <w:rPr>
          <w:rFonts w:ascii="Times New Roman" w:hAnsi="Times New Roman"/>
        </w:rPr>
        <w:t xml:space="preserve"> </w:t>
      </w:r>
      <w:r w:rsidRPr="00991383">
        <w:rPr>
          <w:rFonts w:ascii="Times New Roman" w:hAnsi="Times New Roman"/>
        </w:rPr>
        <w:t xml:space="preserve">was not in contest in this case: the Commonwealth parties' appeals to the Full Court involved relevant subject matter, namely, a matter in which a writ of mandamus was sought against an officer of the Commonwealth and arising under laws made by the Commonwealth Parliament. </w:t>
      </w:r>
    </w:p>
    <w:p w14:paraId="0DA14916"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The second aspect, discussed below, concerns "the concrete or adequate adversarial nature of the dispute sufficient to give rise to a justiciable controversy"</w:t>
      </w:r>
      <w:r w:rsidRPr="00991383">
        <w:rPr>
          <w:rStyle w:val="FootnoteReference"/>
          <w:rFonts w:ascii="Times New Roman" w:hAnsi="Times New Roman"/>
          <w:sz w:val="24"/>
        </w:rPr>
        <w:footnoteReference w:id="144"/>
      </w:r>
      <w:r w:rsidRPr="00991383">
        <w:rPr>
          <w:rFonts w:ascii="Times New Roman" w:hAnsi="Times New Roman"/>
        </w:rPr>
        <w:t>. The identification of a "justiciable controversy" ensures that the court will not purport to exercise judicial power "divorced from any attempt to administer that law"</w:t>
      </w:r>
      <w:r w:rsidRPr="00991383">
        <w:rPr>
          <w:rStyle w:val="FootnoteReference"/>
          <w:rFonts w:ascii="Times New Roman" w:hAnsi="Times New Roman"/>
          <w:sz w:val="24"/>
        </w:rPr>
        <w:footnoteReference w:id="145"/>
      </w:r>
      <w:r w:rsidRPr="00991383">
        <w:rPr>
          <w:rFonts w:ascii="Times New Roman" w:hAnsi="Times New Roman"/>
        </w:rPr>
        <w:t xml:space="preserve">. </w:t>
      </w:r>
    </w:p>
    <w:p w14:paraId="7F7D9972"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However, the identification of a "matter" for federal appellate jurisdiction is distinctive. A justiciable controversy, and consequently a "matter", will have been the subject of the exercise of federal original jurisdiction by delivery of the judgment – with its necessary determination of rights and liabilities – that is under appeal. As Dixon CJ noted in </w:t>
      </w:r>
      <w:r w:rsidRPr="00991383">
        <w:rPr>
          <w:rFonts w:ascii="Times New Roman" w:hAnsi="Times New Roman"/>
          <w:i/>
          <w:iCs/>
        </w:rPr>
        <w:t xml:space="preserve">R v Spicer; Ex </w:t>
      </w:r>
      <w:proofErr w:type="spellStart"/>
      <w:r w:rsidRPr="00991383">
        <w:rPr>
          <w:rFonts w:ascii="Times New Roman" w:hAnsi="Times New Roman"/>
          <w:i/>
          <w:iCs/>
        </w:rPr>
        <w:t>parte</w:t>
      </w:r>
      <w:proofErr w:type="spellEnd"/>
      <w:r w:rsidRPr="00991383">
        <w:rPr>
          <w:rFonts w:ascii="Times New Roman" w:hAnsi="Times New Roman"/>
          <w:i/>
          <w:iCs/>
        </w:rPr>
        <w:t xml:space="preserve"> Truth and Sportsman Ltd </w:t>
      </w:r>
      <w:r w:rsidRPr="00991383">
        <w:rPr>
          <w:rFonts w:ascii="Times New Roman" w:hAnsi="Times New Roman"/>
        </w:rPr>
        <w:t xml:space="preserve">in </w:t>
      </w:r>
      <w:r w:rsidRPr="00991383">
        <w:rPr>
          <w:rFonts w:ascii="Times New Roman" w:hAnsi="Times New Roman"/>
        </w:rPr>
        <w:lastRenderedPageBreak/>
        <w:t>relation to the appellate jurisdiction of the Commonwealth Industrial Court, "[a]n appeal is not based on the description of the matter before the court, but on the description of the judgment, decree, order or sentence of the court appealed from"</w:t>
      </w:r>
      <w:r w:rsidRPr="00991383">
        <w:rPr>
          <w:rStyle w:val="FootnoteReference"/>
          <w:rFonts w:ascii="Times New Roman" w:hAnsi="Times New Roman"/>
          <w:sz w:val="24"/>
        </w:rPr>
        <w:footnoteReference w:id="146"/>
      </w:r>
      <w:r w:rsidRPr="00991383">
        <w:rPr>
          <w:rFonts w:ascii="Times New Roman" w:hAnsi="Times New Roman"/>
        </w:rPr>
        <w:t xml:space="preserve">. This approach conforms with the language of both s 73 of the </w:t>
      </w:r>
      <w:r w:rsidRPr="00991383">
        <w:rPr>
          <w:rFonts w:ascii="Times New Roman" w:hAnsi="Times New Roman"/>
          <w:i/>
        </w:rPr>
        <w:t>Constitution</w:t>
      </w:r>
      <w:r w:rsidRPr="00991383">
        <w:rPr>
          <w:rFonts w:ascii="Times New Roman" w:hAnsi="Times New Roman"/>
        </w:rPr>
        <w:t xml:space="preserve"> and s 24(1)(a) of the Federal Court Act. Similarly, in </w:t>
      </w:r>
      <w:r w:rsidRPr="00991383">
        <w:rPr>
          <w:rFonts w:ascii="Times New Roman" w:hAnsi="Times New Roman"/>
          <w:i/>
          <w:iCs/>
        </w:rPr>
        <w:t>Kable v Director of Public Prosecutions (NSW)</w:t>
      </w:r>
      <w:r w:rsidRPr="00991383">
        <w:rPr>
          <w:rStyle w:val="FootnoteReference"/>
          <w:rFonts w:ascii="Times New Roman" w:hAnsi="Times New Roman"/>
          <w:sz w:val="24"/>
        </w:rPr>
        <w:footnoteReference w:id="147"/>
      </w:r>
      <w:r w:rsidRPr="00991383">
        <w:rPr>
          <w:rFonts w:ascii="Times New Roman" w:hAnsi="Times New Roman"/>
        </w:rPr>
        <w:t>,</w:t>
      </w:r>
      <w:r w:rsidRPr="00991383">
        <w:rPr>
          <w:rFonts w:ascii="Times New Roman" w:hAnsi="Times New Roman"/>
          <w:i/>
          <w:iCs/>
        </w:rPr>
        <w:t xml:space="preserve"> </w:t>
      </w:r>
      <w:proofErr w:type="spellStart"/>
      <w:r w:rsidRPr="00991383">
        <w:rPr>
          <w:rFonts w:ascii="Times New Roman" w:hAnsi="Times New Roman"/>
        </w:rPr>
        <w:t>Gummow</w:t>
      </w:r>
      <w:proofErr w:type="spellEnd"/>
      <w:r w:rsidRPr="00991383">
        <w:rPr>
          <w:rFonts w:ascii="Times New Roman" w:hAnsi="Times New Roman"/>
        </w:rPr>
        <w:t> J characterised an appeal from a State court to this Court as a proceeding "with respect to" a matter, namely, the matter that was the subject matter of the proceeding at first instance</w:t>
      </w:r>
      <w:r w:rsidRPr="00991383">
        <w:rPr>
          <w:rStyle w:val="FootnoteReference"/>
          <w:rFonts w:ascii="Times New Roman" w:hAnsi="Times New Roman"/>
          <w:sz w:val="24"/>
        </w:rPr>
        <w:footnoteReference w:id="148"/>
      </w:r>
      <w:r w:rsidRPr="00991383">
        <w:rPr>
          <w:rFonts w:ascii="Times New Roman" w:hAnsi="Times New Roman"/>
        </w:rPr>
        <w:t>.</w:t>
      </w:r>
    </w:p>
    <w:p w14:paraId="10749D0F"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Thus, the question whether an appeal may lie to this Court from an answer given by an intermediate court "corresponds with the question whether the answer concludes the parties' rights and obligations"</w:t>
      </w:r>
      <w:r w:rsidRPr="00991383">
        <w:rPr>
          <w:rStyle w:val="FootnoteReference"/>
          <w:rFonts w:ascii="Times New Roman" w:hAnsi="Times New Roman"/>
          <w:sz w:val="24"/>
        </w:rPr>
        <w:footnoteReference w:id="149"/>
      </w:r>
      <w:r w:rsidRPr="00991383">
        <w:rPr>
          <w:rFonts w:ascii="Times New Roman" w:hAnsi="Times New Roman"/>
        </w:rPr>
        <w:t>.</w:t>
      </w:r>
    </w:p>
    <w:p w14:paraId="64B9F8A0"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In </w:t>
      </w:r>
      <w:r w:rsidRPr="00991383">
        <w:rPr>
          <w:rFonts w:ascii="Times New Roman" w:hAnsi="Times New Roman"/>
          <w:i/>
          <w:iCs/>
        </w:rPr>
        <w:t>Cockle v Isaksen</w:t>
      </w:r>
      <w:r w:rsidRPr="00991383">
        <w:rPr>
          <w:rStyle w:val="FootnoteReference"/>
          <w:rFonts w:ascii="Times New Roman" w:hAnsi="Times New Roman"/>
          <w:iCs/>
          <w:sz w:val="24"/>
        </w:rPr>
        <w:footnoteReference w:id="150"/>
      </w:r>
      <w:r w:rsidRPr="00991383">
        <w:rPr>
          <w:rFonts w:ascii="Times New Roman" w:hAnsi="Times New Roman"/>
        </w:rPr>
        <w:t>,</w:t>
      </w:r>
      <w:r w:rsidRPr="00991383">
        <w:rPr>
          <w:rFonts w:ascii="Times New Roman" w:hAnsi="Times New Roman"/>
          <w:i/>
        </w:rPr>
        <w:t xml:space="preserve"> </w:t>
      </w:r>
      <w:r w:rsidRPr="00991383">
        <w:rPr>
          <w:rFonts w:ascii="Times New Roman" w:hAnsi="Times New Roman"/>
        </w:rPr>
        <w:t xml:space="preserve">this Court found that its appellate jurisdiction under s 73 of the </w:t>
      </w:r>
      <w:r w:rsidRPr="00991383">
        <w:rPr>
          <w:rFonts w:ascii="Times New Roman" w:hAnsi="Times New Roman"/>
          <w:i/>
          <w:iCs/>
        </w:rPr>
        <w:t xml:space="preserve">Constitution </w:t>
      </w:r>
      <w:r w:rsidRPr="00991383">
        <w:rPr>
          <w:rFonts w:ascii="Times New Roman" w:hAnsi="Times New Roman"/>
        </w:rPr>
        <w:t xml:space="preserve">did not extend to appeals against a magistrate's dismissal of four </w:t>
      </w:r>
      <w:proofErr w:type="spellStart"/>
      <w:r w:rsidRPr="00991383">
        <w:rPr>
          <w:rFonts w:ascii="Times New Roman" w:hAnsi="Times New Roman"/>
        </w:rPr>
        <w:t>informations</w:t>
      </w:r>
      <w:proofErr w:type="spellEnd"/>
      <w:r w:rsidRPr="00991383">
        <w:rPr>
          <w:rFonts w:ascii="Times New Roman" w:hAnsi="Times New Roman"/>
        </w:rPr>
        <w:t xml:space="preserve"> for offences against the </w:t>
      </w:r>
      <w:r w:rsidRPr="00991383">
        <w:rPr>
          <w:rFonts w:ascii="Times New Roman" w:hAnsi="Times New Roman"/>
          <w:i/>
        </w:rPr>
        <w:t>Conciliation and Arbitration Act</w:t>
      </w:r>
      <w:r w:rsidRPr="00991383">
        <w:rPr>
          <w:rFonts w:ascii="Times New Roman" w:hAnsi="Times New Roman"/>
          <w:i/>
          <w:iCs/>
        </w:rPr>
        <w:t xml:space="preserve"> 1904 </w:t>
      </w:r>
      <w:r w:rsidRPr="00991383">
        <w:rPr>
          <w:rFonts w:ascii="Times New Roman" w:hAnsi="Times New Roman"/>
        </w:rPr>
        <w:t>(</w:t>
      </w:r>
      <w:proofErr w:type="spellStart"/>
      <w:r w:rsidRPr="00991383">
        <w:rPr>
          <w:rFonts w:ascii="Times New Roman" w:hAnsi="Times New Roman"/>
        </w:rPr>
        <w:t>Cth</w:t>
      </w:r>
      <w:proofErr w:type="spellEnd"/>
      <w:r w:rsidRPr="00991383">
        <w:rPr>
          <w:rFonts w:ascii="Times New Roman" w:hAnsi="Times New Roman"/>
        </w:rPr>
        <w:t>)</w:t>
      </w:r>
      <w:r w:rsidRPr="00991383">
        <w:rPr>
          <w:rStyle w:val="FootnoteReference"/>
          <w:rFonts w:ascii="Times New Roman" w:hAnsi="Times New Roman"/>
          <w:sz w:val="24"/>
        </w:rPr>
        <w:footnoteReference w:id="151"/>
      </w:r>
      <w:r w:rsidRPr="00991383">
        <w:rPr>
          <w:rFonts w:ascii="Times New Roman" w:hAnsi="Times New Roman"/>
        </w:rPr>
        <w:t>, by virtue of the operation of s 113(3) of that Act, which provided that "[a]n appeal does not lie to the High Court from a judgment, decree, order or sentence from which an appeal may be brought to the Court under sub-section (1) of this section".</w:t>
      </w:r>
      <w:r w:rsidRPr="00991383" w:rsidDel="000A2057">
        <w:rPr>
          <w:rFonts w:ascii="Times New Roman" w:hAnsi="Times New Roman"/>
        </w:rPr>
        <w:t xml:space="preserve"> </w:t>
      </w:r>
      <w:r w:rsidRPr="00991383">
        <w:rPr>
          <w:rFonts w:ascii="Times New Roman" w:hAnsi="Times New Roman"/>
        </w:rPr>
        <w:t xml:space="preserve">In reaching this conclusion, the Court was required to consider whether s 113(3) fell within the scope of the legislative power conferred by s 77 of the </w:t>
      </w:r>
      <w:r w:rsidRPr="00991383">
        <w:rPr>
          <w:rFonts w:ascii="Times New Roman" w:hAnsi="Times New Roman"/>
          <w:i/>
        </w:rPr>
        <w:t>Constitution</w:t>
      </w:r>
      <w:r w:rsidRPr="00991383">
        <w:rPr>
          <w:rFonts w:ascii="Times New Roman" w:hAnsi="Times New Roman"/>
        </w:rPr>
        <w:t xml:space="preserve">. Dixon CJ, </w:t>
      </w:r>
      <w:proofErr w:type="spellStart"/>
      <w:r w:rsidRPr="00991383">
        <w:rPr>
          <w:rFonts w:ascii="Times New Roman" w:hAnsi="Times New Roman"/>
        </w:rPr>
        <w:t>McTiernan</w:t>
      </w:r>
      <w:proofErr w:type="spellEnd"/>
      <w:r w:rsidRPr="00991383" w:rsidDel="001B4187">
        <w:rPr>
          <w:rFonts w:ascii="Times New Roman" w:hAnsi="Times New Roman"/>
        </w:rPr>
        <w:t xml:space="preserve"> </w:t>
      </w:r>
      <w:r w:rsidRPr="00991383">
        <w:rPr>
          <w:rFonts w:ascii="Times New Roman" w:hAnsi="Times New Roman"/>
        </w:rPr>
        <w:t xml:space="preserve">and </w:t>
      </w:r>
      <w:proofErr w:type="spellStart"/>
      <w:r w:rsidRPr="00991383">
        <w:rPr>
          <w:rFonts w:ascii="Times New Roman" w:hAnsi="Times New Roman"/>
        </w:rPr>
        <w:t>Kitto</w:t>
      </w:r>
      <w:proofErr w:type="spellEnd"/>
      <w:r w:rsidRPr="00991383">
        <w:rPr>
          <w:rFonts w:ascii="Times New Roman" w:hAnsi="Times New Roman"/>
        </w:rPr>
        <w:t> JJ contrasted s 77 with the High Court's appellate power conferred by s 73, which "is not concerned with 'matters' but with judgments decrees orders and sentences of the courts and the commission which it identifies"</w:t>
      </w:r>
      <w:r w:rsidRPr="00991383">
        <w:rPr>
          <w:rStyle w:val="FootnoteReference"/>
          <w:rFonts w:ascii="Times New Roman" w:hAnsi="Times New Roman"/>
          <w:sz w:val="24"/>
        </w:rPr>
        <w:footnoteReference w:id="152"/>
      </w:r>
      <w:r w:rsidRPr="00991383">
        <w:rPr>
          <w:rFonts w:ascii="Times New Roman" w:hAnsi="Times New Roman"/>
        </w:rPr>
        <w:t>. Accepting that s 77 had been decided to apply to appellate jurisdiction, their Honours held that "it necessarily followed that the appellate jurisdiction conferred under s 77(</w:t>
      </w:r>
      <w:proofErr w:type="spellStart"/>
      <w:r w:rsidRPr="00991383" w:rsidDel="009E7912">
        <w:rPr>
          <w:rFonts w:ascii="Times New Roman" w:hAnsi="Times New Roman"/>
        </w:rPr>
        <w:t>i</w:t>
      </w:r>
      <w:proofErr w:type="spellEnd"/>
      <w:r w:rsidRPr="00991383">
        <w:rPr>
          <w:rFonts w:ascii="Times New Roman" w:hAnsi="Times New Roman"/>
        </w:rPr>
        <w:t>) must be defined by reference to one or other or more of the matters set out in ss 75 and 76"</w:t>
      </w:r>
      <w:r w:rsidRPr="00991383">
        <w:rPr>
          <w:rStyle w:val="FootnoteReference"/>
          <w:rFonts w:ascii="Times New Roman" w:hAnsi="Times New Roman"/>
          <w:sz w:val="24"/>
        </w:rPr>
        <w:footnoteReference w:id="153"/>
      </w:r>
      <w:r w:rsidRPr="00991383">
        <w:rPr>
          <w:rFonts w:ascii="Times New Roman" w:hAnsi="Times New Roman"/>
        </w:rPr>
        <w:t xml:space="preserve">. </w:t>
      </w:r>
    </w:p>
    <w:p w14:paraId="4D840A76"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lastRenderedPageBreak/>
        <w:tab/>
        <w:t xml:space="preserve">Their Honours next addressed whether the appellate jurisdiction conferred on the Commonwealth Industrial Court by s 113, which was understood as defined by reference to the matter involved in the appeal (being a matter arising under the </w:t>
      </w:r>
      <w:r w:rsidRPr="00991383">
        <w:rPr>
          <w:rFonts w:ascii="Times New Roman" w:hAnsi="Times New Roman"/>
          <w:i/>
          <w:iCs/>
        </w:rPr>
        <w:t>Conciliation and Arbitration Act</w:t>
      </w:r>
      <w:r w:rsidRPr="00991383">
        <w:rPr>
          <w:rFonts w:ascii="Times New Roman" w:hAnsi="Times New Roman"/>
        </w:rPr>
        <w:t xml:space="preserve">), fell within the scope of the exception from the High Court's appellate jurisdiction provided for in s 73 of the </w:t>
      </w:r>
      <w:r w:rsidRPr="00991383">
        <w:rPr>
          <w:rFonts w:ascii="Times New Roman" w:hAnsi="Times New Roman"/>
          <w:i/>
          <w:iCs/>
        </w:rPr>
        <w:t>Constitution</w:t>
      </w:r>
      <w:r w:rsidRPr="00991383">
        <w:rPr>
          <w:rFonts w:ascii="Times New Roman" w:hAnsi="Times New Roman"/>
        </w:rPr>
        <w:t>. Their Honours noted that the exception relates "directly to the judgment etc as something either actually inherent in it or alleged by the appellant to be inherent in it", and that it relates "rather to its legal basis than its operative effect as between the parties, its pecuniary significance, its finality or its interlocutory character"</w:t>
      </w:r>
      <w:r w:rsidRPr="00991383">
        <w:rPr>
          <w:rStyle w:val="FootnoteReference"/>
          <w:rFonts w:ascii="Times New Roman" w:hAnsi="Times New Roman"/>
          <w:sz w:val="24"/>
        </w:rPr>
        <w:footnoteReference w:id="154"/>
      </w:r>
      <w:r w:rsidRPr="00991383">
        <w:rPr>
          <w:rFonts w:ascii="Times New Roman" w:hAnsi="Times New Roman"/>
        </w:rPr>
        <w:t>. Their Honours concluded</w:t>
      </w:r>
      <w:r w:rsidRPr="00991383">
        <w:rPr>
          <w:rStyle w:val="FootnoteReference"/>
          <w:rFonts w:ascii="Times New Roman" w:hAnsi="Times New Roman"/>
          <w:sz w:val="24"/>
        </w:rPr>
        <w:footnoteReference w:id="155"/>
      </w:r>
      <w:r w:rsidRPr="00991383">
        <w:rPr>
          <w:rFonts w:ascii="Times New Roman" w:hAnsi="Times New Roman"/>
        </w:rPr>
        <w:t>:</w:t>
      </w:r>
    </w:p>
    <w:p w14:paraId="5D921FC4" w14:textId="77777777" w:rsidR="00541D69" w:rsidRDefault="00541D69" w:rsidP="00991383">
      <w:pPr>
        <w:pStyle w:val="LeftrightafterHC"/>
        <w:spacing w:before="0" w:after="260" w:line="280" w:lineRule="exact"/>
        <w:ind w:right="0"/>
        <w:jc w:val="both"/>
        <w:rPr>
          <w:rFonts w:ascii="Times New Roman" w:hAnsi="Times New Roman"/>
        </w:rPr>
      </w:pPr>
      <w:r w:rsidRPr="00991383">
        <w:rPr>
          <w:rFonts w:ascii="Times New Roman" w:hAnsi="Times New Roman"/>
        </w:rPr>
        <w:t>"It is enough to say that [s 113(3)]</w:t>
      </w:r>
      <w:r w:rsidRPr="00991383" w:rsidDel="008D69AB">
        <w:rPr>
          <w:rFonts w:ascii="Times New Roman" w:hAnsi="Times New Roman"/>
        </w:rPr>
        <w:t xml:space="preserve"> </w:t>
      </w:r>
      <w:r w:rsidRPr="00991383">
        <w:rPr>
          <w:rFonts w:ascii="Times New Roman" w:hAnsi="Times New Roman"/>
        </w:rPr>
        <w:t>fixes upon a description of judgment decree order or sentence of State courts exercising federal jurisdiction, it does not eat up or destroy the general rule laid down by the Constitution that appeals shall lie to this Court from judgments decrees orders and sentences of courts of a State exercising federal jurisdiction, and the description upon which it fixes, though it relates to the 'matter' involved in the appeal, goes to the basis or alleged basis of the judgment decree order or sentence and forms a ground of exception within the power of prescribing exceptions which the Parliament obtains under s 73."</w:t>
      </w:r>
    </w:p>
    <w:p w14:paraId="49D9864F"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It is implicit in this reasoning that the appellate jurisdiction of the Commonwealth Industrial Court, conferred under s 77 of the </w:t>
      </w:r>
      <w:r w:rsidRPr="00991383">
        <w:rPr>
          <w:rFonts w:ascii="Times New Roman" w:hAnsi="Times New Roman"/>
          <w:i/>
        </w:rPr>
        <w:t>Constitution</w:t>
      </w:r>
      <w:r w:rsidRPr="00991383">
        <w:rPr>
          <w:rFonts w:ascii="Times New Roman" w:hAnsi="Times New Roman"/>
        </w:rPr>
        <w:t xml:space="preserve">, arose on an appeal from a judgment, decree, order or sentence of, relevantly, a </w:t>
      </w:r>
      <w:proofErr w:type="gramStart"/>
      <w:r w:rsidRPr="00991383">
        <w:rPr>
          <w:rFonts w:ascii="Times New Roman" w:hAnsi="Times New Roman"/>
        </w:rPr>
        <w:t>State</w:t>
      </w:r>
      <w:proofErr w:type="gramEnd"/>
      <w:r w:rsidRPr="00991383">
        <w:rPr>
          <w:rFonts w:ascii="Times New Roman" w:hAnsi="Times New Roman"/>
        </w:rPr>
        <w:t xml:space="preserve"> court concerning a matter arising under the </w:t>
      </w:r>
      <w:r w:rsidRPr="00991383">
        <w:rPr>
          <w:rFonts w:ascii="Times New Roman" w:hAnsi="Times New Roman"/>
          <w:i/>
          <w:iCs/>
        </w:rPr>
        <w:t xml:space="preserve">Conciliation and Arbitration Act. </w:t>
      </w:r>
      <w:r w:rsidRPr="00991383">
        <w:rPr>
          <w:rFonts w:ascii="Times New Roman" w:hAnsi="Times New Roman"/>
        </w:rPr>
        <w:t>In that way, appellate jurisdiction was "defined by reference to one or other or more of the matters set out in ss 75 and 76"</w:t>
      </w:r>
      <w:r w:rsidRPr="00991383">
        <w:rPr>
          <w:rStyle w:val="FootnoteReference"/>
          <w:rFonts w:ascii="Times New Roman" w:hAnsi="Times New Roman"/>
          <w:sz w:val="24"/>
        </w:rPr>
        <w:footnoteReference w:id="156"/>
      </w:r>
      <w:r w:rsidRPr="00991383">
        <w:rPr>
          <w:rFonts w:ascii="Times New Roman" w:hAnsi="Times New Roman"/>
        </w:rPr>
        <w:t>. There was no suggestion that anything more was required.</w:t>
      </w:r>
    </w:p>
    <w:p w14:paraId="390251F3"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Lindell has observed that the principle apparently derived from </w:t>
      </w:r>
      <w:r w:rsidRPr="00991383">
        <w:rPr>
          <w:rFonts w:ascii="Times New Roman" w:hAnsi="Times New Roman"/>
          <w:i/>
          <w:iCs/>
        </w:rPr>
        <w:t>Cockle</w:t>
      </w:r>
      <w:r w:rsidRPr="00991383">
        <w:rPr>
          <w:rFonts w:ascii="Times New Roman" w:hAnsi="Times New Roman"/>
        </w:rPr>
        <w:t>,</w:t>
      </w:r>
      <w:r w:rsidRPr="00991383">
        <w:rPr>
          <w:rFonts w:ascii="Times New Roman" w:hAnsi="Times New Roman"/>
          <w:i/>
          <w:iCs/>
        </w:rPr>
        <w:t xml:space="preserve"> </w:t>
      </w:r>
      <w:r w:rsidRPr="00991383">
        <w:rPr>
          <w:rFonts w:ascii="Times New Roman" w:hAnsi="Times New Roman"/>
        </w:rPr>
        <w:t xml:space="preserve">that it is the matter arising on the </w:t>
      </w:r>
      <w:r w:rsidRPr="00991383">
        <w:rPr>
          <w:rFonts w:ascii="Times New Roman" w:hAnsi="Times New Roman"/>
          <w:i/>
          <w:iCs/>
        </w:rPr>
        <w:t xml:space="preserve">appeal </w:t>
      </w:r>
      <w:r w:rsidRPr="00991383">
        <w:rPr>
          <w:rFonts w:ascii="Times New Roman" w:hAnsi="Times New Roman"/>
        </w:rPr>
        <w:t>and not the matter that had arisen in the original jurisdiction which must fall within ss 75 and 76,</w:t>
      </w:r>
      <w:r w:rsidRPr="00991383">
        <w:rPr>
          <w:rFonts w:ascii="Times New Roman" w:hAnsi="Times New Roman"/>
          <w:i/>
          <w:iCs/>
        </w:rPr>
        <w:t xml:space="preserve"> </w:t>
      </w:r>
      <w:r w:rsidRPr="00991383">
        <w:rPr>
          <w:rFonts w:ascii="Times New Roman" w:hAnsi="Times New Roman"/>
        </w:rPr>
        <w:t>is at odds with later decisions which identify non-federal aspects of a single controversy, including in the original jurisdiction, as part of a single "matter"</w:t>
      </w:r>
      <w:r w:rsidRPr="00991383">
        <w:rPr>
          <w:rStyle w:val="FootnoteReference"/>
          <w:rFonts w:ascii="Times New Roman" w:hAnsi="Times New Roman"/>
          <w:sz w:val="24"/>
        </w:rPr>
        <w:footnoteReference w:id="157"/>
      </w:r>
      <w:r w:rsidRPr="00991383">
        <w:rPr>
          <w:rFonts w:ascii="Times New Roman" w:hAnsi="Times New Roman"/>
        </w:rPr>
        <w:t>. Thus, the author notes that "[</w:t>
      </w:r>
      <w:proofErr w:type="spellStart"/>
      <w:r w:rsidRPr="00991383">
        <w:rPr>
          <w:rFonts w:ascii="Times New Roman" w:hAnsi="Times New Roman"/>
        </w:rPr>
        <w:t>i</w:t>
      </w:r>
      <w:proofErr w:type="spellEnd"/>
      <w:r w:rsidRPr="00991383">
        <w:rPr>
          <w:rFonts w:ascii="Times New Roman" w:hAnsi="Times New Roman"/>
        </w:rPr>
        <w:t xml:space="preserve">]t is difficult to see why a conferral of appellate jurisdiction in respect of judgments determining the matters mentioned in ss 75 and 76 is not a law that has </w:t>
      </w:r>
      <w:r w:rsidRPr="00991383">
        <w:rPr>
          <w:rFonts w:ascii="Times New Roman" w:hAnsi="Times New Roman"/>
        </w:rPr>
        <w:lastRenderedPageBreak/>
        <w:t>a close relevance or connection with those matters"</w:t>
      </w:r>
      <w:r w:rsidRPr="00991383">
        <w:rPr>
          <w:rStyle w:val="FootnoteReference"/>
          <w:rFonts w:ascii="Times New Roman" w:hAnsi="Times New Roman"/>
          <w:sz w:val="24"/>
        </w:rPr>
        <w:footnoteReference w:id="158"/>
      </w:r>
      <w:r w:rsidRPr="00991383">
        <w:rPr>
          <w:rFonts w:ascii="Times New Roman" w:hAnsi="Times New Roman"/>
        </w:rPr>
        <w:t xml:space="preserve">. On that reasoning, the appellate jurisdiction of the Federal Court is engaged by an appeal from a relevant judgment or order deciding a "matter". </w:t>
      </w:r>
    </w:p>
    <w:p w14:paraId="290EBB88" w14:textId="77777777" w:rsidR="00541D69" w:rsidRPr="00991383" w:rsidRDefault="00541D69" w:rsidP="00991383">
      <w:pPr>
        <w:pStyle w:val="HeadingL1"/>
        <w:spacing w:after="260" w:line="280" w:lineRule="exact"/>
        <w:ind w:right="0"/>
        <w:jc w:val="both"/>
        <w:rPr>
          <w:rFonts w:ascii="Times New Roman" w:hAnsi="Times New Roman"/>
        </w:rPr>
      </w:pPr>
      <w:r w:rsidRPr="00991383">
        <w:rPr>
          <w:rFonts w:ascii="Times New Roman" w:hAnsi="Times New Roman"/>
        </w:rPr>
        <w:t>The requirement of a "justiciable controversy"</w:t>
      </w:r>
    </w:p>
    <w:p w14:paraId="353D2B98"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As identified above, the second aspect of a "matter" is the existence of a justiciable controversy. </w:t>
      </w:r>
      <w:r w:rsidRPr="00991383">
        <w:rPr>
          <w:rFonts w:ascii="Times New Roman" w:hAnsi="Times New Roman"/>
          <w:i/>
          <w:iCs/>
        </w:rPr>
        <w:t xml:space="preserve">CGU </w:t>
      </w:r>
      <w:r w:rsidRPr="00991383">
        <w:rPr>
          <w:rFonts w:ascii="Times New Roman" w:hAnsi="Times New Roman"/>
        </w:rPr>
        <w:t>illustrates a broad approach to the identification of a "justiciable controversy", as based on the "reality of the plaintiff's interest which was not to be confined by a requirement that the plaintiff demonstrate a claim for vindication of an existing legal right against the insurer"</w:t>
      </w:r>
      <w:r w:rsidRPr="00991383">
        <w:rPr>
          <w:rStyle w:val="FootnoteReference"/>
          <w:rFonts w:ascii="Times New Roman" w:hAnsi="Times New Roman"/>
          <w:sz w:val="24"/>
        </w:rPr>
        <w:footnoteReference w:id="159"/>
      </w:r>
      <w:r w:rsidRPr="00991383">
        <w:rPr>
          <w:rFonts w:ascii="Times New Roman" w:hAnsi="Times New Roman"/>
        </w:rPr>
        <w:t>. Notwithstanding that the liquidators had no direct claim against the insurer, the insurer's denial of liability under the insurance policy owed to the company in liquidation, coupled with the liquidators' potential entitlement to the proceeds of any indemnity paid under the policy under relevant federal statutory provisions, was sufficient to constitute a justiciable controversy</w:t>
      </w:r>
      <w:r w:rsidRPr="00991383">
        <w:rPr>
          <w:rStyle w:val="FootnoteReference"/>
          <w:rFonts w:ascii="Times New Roman" w:hAnsi="Times New Roman"/>
          <w:sz w:val="24"/>
        </w:rPr>
        <w:footnoteReference w:id="160"/>
      </w:r>
      <w:r w:rsidRPr="00991383">
        <w:rPr>
          <w:rFonts w:ascii="Times New Roman" w:hAnsi="Times New Roman"/>
        </w:rPr>
        <w:t>.</w:t>
      </w:r>
    </w:p>
    <w:p w14:paraId="06BE423C"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In understanding how a justiciable controversy may be identified for the purpose of federal appellate jurisdiction, it is relevant to refer back to the early decisions in </w:t>
      </w:r>
      <w:r w:rsidRPr="00991383">
        <w:rPr>
          <w:rFonts w:ascii="Times New Roman" w:hAnsi="Times New Roman"/>
          <w:i/>
          <w:iCs/>
        </w:rPr>
        <w:t>South Australia v Victoria</w:t>
      </w:r>
      <w:r w:rsidRPr="00991383">
        <w:rPr>
          <w:rStyle w:val="FootnoteReference"/>
          <w:rFonts w:ascii="Times New Roman" w:hAnsi="Times New Roman"/>
          <w:iCs/>
          <w:sz w:val="24"/>
        </w:rPr>
        <w:footnoteReference w:id="161"/>
      </w:r>
      <w:r w:rsidRPr="00991383">
        <w:rPr>
          <w:rFonts w:ascii="Times New Roman" w:hAnsi="Times New Roman"/>
          <w:i/>
          <w:iCs/>
        </w:rPr>
        <w:t xml:space="preserve"> </w:t>
      </w:r>
      <w:r w:rsidRPr="00991383">
        <w:rPr>
          <w:rFonts w:ascii="Times New Roman" w:hAnsi="Times New Roman"/>
        </w:rPr>
        <w:t xml:space="preserve">and </w:t>
      </w:r>
      <w:proofErr w:type="gramStart"/>
      <w:r w:rsidRPr="00991383">
        <w:rPr>
          <w:rFonts w:ascii="Times New Roman" w:hAnsi="Times New Roman"/>
          <w:i/>
          <w:iCs/>
        </w:rPr>
        <w:t>In</w:t>
      </w:r>
      <w:proofErr w:type="gramEnd"/>
      <w:r w:rsidRPr="00991383">
        <w:rPr>
          <w:rFonts w:ascii="Times New Roman" w:hAnsi="Times New Roman"/>
          <w:i/>
          <w:iCs/>
        </w:rPr>
        <w:t xml:space="preserve"> re Judiciary and Navigation Acts</w:t>
      </w:r>
      <w:r w:rsidRPr="00991383">
        <w:rPr>
          <w:rStyle w:val="FootnoteReference"/>
          <w:rFonts w:ascii="Times New Roman" w:hAnsi="Times New Roman"/>
          <w:iCs/>
          <w:sz w:val="24"/>
        </w:rPr>
        <w:footnoteReference w:id="162"/>
      </w:r>
      <w:r w:rsidRPr="00991383">
        <w:rPr>
          <w:rFonts w:ascii="Times New Roman" w:hAnsi="Times New Roman"/>
        </w:rPr>
        <w:t xml:space="preserve"> which first explained this aspect of a matter</w:t>
      </w:r>
      <w:r w:rsidRPr="00991383">
        <w:rPr>
          <w:rStyle w:val="FootnoteReference"/>
          <w:rFonts w:ascii="Times New Roman" w:hAnsi="Times New Roman"/>
          <w:sz w:val="24"/>
        </w:rPr>
        <w:footnoteReference w:id="163"/>
      </w:r>
      <w:r w:rsidRPr="00991383">
        <w:rPr>
          <w:rFonts w:ascii="Times New Roman" w:hAnsi="Times New Roman"/>
        </w:rPr>
        <w:t xml:space="preserve">. </w:t>
      </w:r>
    </w:p>
    <w:p w14:paraId="4BFFAD5F"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i/>
          <w:iCs/>
        </w:rPr>
        <w:tab/>
        <w:t>South Australia v Victoria</w:t>
      </w:r>
      <w:r w:rsidRPr="00991383">
        <w:rPr>
          <w:rStyle w:val="FootnoteReference"/>
          <w:rFonts w:ascii="Times New Roman" w:hAnsi="Times New Roman"/>
          <w:sz w:val="24"/>
        </w:rPr>
        <w:footnoteReference w:id="164"/>
      </w:r>
      <w:r w:rsidRPr="00991383">
        <w:rPr>
          <w:rFonts w:ascii="Times New Roman" w:hAnsi="Times New Roman"/>
          <w:i/>
          <w:iCs/>
        </w:rPr>
        <w:t xml:space="preserve"> </w:t>
      </w:r>
      <w:r w:rsidRPr="00991383">
        <w:rPr>
          <w:rFonts w:ascii="Times New Roman" w:hAnsi="Times New Roman"/>
        </w:rPr>
        <w:t xml:space="preserve">established that the original jurisdiction of the High Court under s 75 of the </w:t>
      </w:r>
      <w:r w:rsidRPr="00991383">
        <w:rPr>
          <w:rFonts w:ascii="Times New Roman" w:hAnsi="Times New Roman"/>
          <w:i/>
        </w:rPr>
        <w:t>Constitution</w:t>
      </w:r>
      <w:r w:rsidRPr="00991383">
        <w:rPr>
          <w:rFonts w:ascii="Times New Roman" w:hAnsi="Times New Roman"/>
        </w:rPr>
        <w:t xml:space="preserve"> does not extend to the resolution of political controversies. Griffith CJ, with whom Barton J agreed, stated that "as a controversy requires for its settlement the application of political as distinguished from judicial considerations, I think that it is not justiciable"</w:t>
      </w:r>
      <w:r w:rsidRPr="00991383">
        <w:rPr>
          <w:rStyle w:val="FootnoteReference"/>
          <w:rFonts w:ascii="Times New Roman" w:hAnsi="Times New Roman"/>
          <w:sz w:val="24"/>
        </w:rPr>
        <w:footnoteReference w:id="165"/>
      </w:r>
      <w:r w:rsidRPr="00991383">
        <w:rPr>
          <w:rFonts w:ascii="Times New Roman" w:hAnsi="Times New Roman"/>
        </w:rPr>
        <w:t xml:space="preserve">. In order for a matter between States to be justiciable, it must be "such that a controversy of like nature could arise between individual </w:t>
      </w:r>
      <w:proofErr w:type="gramStart"/>
      <w:r w:rsidRPr="00991383">
        <w:rPr>
          <w:rFonts w:ascii="Times New Roman" w:hAnsi="Times New Roman"/>
        </w:rPr>
        <w:t>persons, and</w:t>
      </w:r>
      <w:proofErr w:type="gramEnd"/>
      <w:r w:rsidRPr="00991383">
        <w:rPr>
          <w:rFonts w:ascii="Times New Roman" w:hAnsi="Times New Roman"/>
        </w:rPr>
        <w:t xml:space="preserve"> must be such that it can be </w:t>
      </w:r>
      <w:r w:rsidRPr="00991383">
        <w:rPr>
          <w:rFonts w:ascii="Times New Roman" w:hAnsi="Times New Roman"/>
        </w:rPr>
        <w:lastRenderedPageBreak/>
        <w:t>determined upon principles of law"</w:t>
      </w:r>
      <w:r w:rsidRPr="00991383">
        <w:rPr>
          <w:rStyle w:val="FootnoteReference"/>
          <w:rFonts w:ascii="Times New Roman" w:hAnsi="Times New Roman"/>
          <w:sz w:val="24"/>
        </w:rPr>
        <w:footnoteReference w:id="166"/>
      </w:r>
      <w:r w:rsidRPr="00991383">
        <w:rPr>
          <w:rFonts w:ascii="Times New Roman" w:hAnsi="Times New Roman"/>
        </w:rPr>
        <w:t xml:space="preserve">. O'Connor J, agreeing with Griffith CJ's conclusions, explained that "matters" in the </w:t>
      </w:r>
      <w:r w:rsidRPr="00991383">
        <w:rPr>
          <w:rFonts w:ascii="Times New Roman" w:hAnsi="Times New Roman"/>
          <w:i/>
        </w:rPr>
        <w:t>Constitution</w:t>
      </w:r>
      <w:r w:rsidRPr="00991383">
        <w:rPr>
          <w:rFonts w:ascii="Times New Roman" w:hAnsi="Times New Roman"/>
        </w:rPr>
        <w:t xml:space="preserve"> must be read as meaning "matters capable of judicial determination"</w:t>
      </w:r>
      <w:r w:rsidRPr="00991383">
        <w:rPr>
          <w:rStyle w:val="FootnoteReference"/>
          <w:rFonts w:ascii="Times New Roman" w:hAnsi="Times New Roman"/>
          <w:sz w:val="24"/>
        </w:rPr>
        <w:footnoteReference w:id="167"/>
      </w:r>
      <w:r w:rsidRPr="00991383">
        <w:rPr>
          <w:rFonts w:ascii="Times New Roman" w:hAnsi="Times New Roman"/>
        </w:rPr>
        <w:t>. The test identified by O'Connor J for whether a claim is justiciable was whether the claim could "be sustained on any principle of law that can be invoked as applicable"</w:t>
      </w:r>
      <w:r w:rsidRPr="00991383">
        <w:rPr>
          <w:rStyle w:val="FootnoteReference"/>
          <w:rFonts w:ascii="Times New Roman" w:hAnsi="Times New Roman"/>
          <w:sz w:val="24"/>
        </w:rPr>
        <w:footnoteReference w:id="168"/>
      </w:r>
      <w:r w:rsidRPr="00991383">
        <w:rPr>
          <w:rFonts w:ascii="Times New Roman" w:hAnsi="Times New Roman"/>
        </w:rPr>
        <w:t>, in reference to the requirement that inter-State disputes be determined on some recognised principle of law, as opposed to the position in the United States, where the Supreme Court was expressly granted the power to adjudicate on boundary disputes between States</w:t>
      </w:r>
      <w:r w:rsidRPr="00991383">
        <w:rPr>
          <w:rStyle w:val="FootnoteReference"/>
          <w:rFonts w:ascii="Times New Roman" w:hAnsi="Times New Roman"/>
          <w:sz w:val="24"/>
        </w:rPr>
        <w:footnoteReference w:id="169"/>
      </w:r>
      <w:r w:rsidRPr="00991383">
        <w:rPr>
          <w:rFonts w:ascii="Times New Roman" w:hAnsi="Times New Roman"/>
        </w:rPr>
        <w:t xml:space="preserve">. Isaacs J similarly held that the term "matters" in s 75 of the </w:t>
      </w:r>
      <w:r w:rsidRPr="00991383">
        <w:rPr>
          <w:rFonts w:ascii="Times New Roman" w:hAnsi="Times New Roman"/>
          <w:i/>
          <w:iCs/>
        </w:rPr>
        <w:t xml:space="preserve">Constitution </w:t>
      </w:r>
      <w:r w:rsidRPr="00991383">
        <w:rPr>
          <w:rFonts w:ascii="Times New Roman" w:hAnsi="Times New Roman"/>
        </w:rPr>
        <w:t>is "confined to claims resting upon an alleged violation of some positive law to which the parties are alike subject, and which therefore governs their relations, and constitutes the measure of their respective rights and duties". To do otherwise would be to leave the Court "without any limits of jurisdiction" and invite judicial interference with political discretion</w:t>
      </w:r>
      <w:r w:rsidRPr="00991383">
        <w:rPr>
          <w:rStyle w:val="FootnoteReference"/>
          <w:rFonts w:ascii="Times New Roman" w:hAnsi="Times New Roman"/>
          <w:sz w:val="24"/>
        </w:rPr>
        <w:footnoteReference w:id="170"/>
      </w:r>
      <w:r w:rsidRPr="00991383">
        <w:rPr>
          <w:rFonts w:ascii="Times New Roman" w:hAnsi="Times New Roman"/>
        </w:rPr>
        <w:t>.</w:t>
      </w:r>
    </w:p>
    <w:p w14:paraId="2AAAEA7B"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The principle that political decisions are non-justiciable is related to, or overlaps with, principles that have historically restricted judicial review of exercises of royal prerogatives, such as those concerning war and the armed services</w:t>
      </w:r>
      <w:r w:rsidRPr="00991383">
        <w:rPr>
          <w:rStyle w:val="FootnoteReference"/>
          <w:rFonts w:ascii="Times New Roman" w:hAnsi="Times New Roman"/>
          <w:sz w:val="24"/>
        </w:rPr>
        <w:footnoteReference w:id="171"/>
      </w:r>
      <w:r w:rsidRPr="00991383">
        <w:rPr>
          <w:rFonts w:ascii="Times New Roman" w:hAnsi="Times New Roman"/>
        </w:rPr>
        <w:t>, and governmental decisions about raising of revenue and the allocation of resources</w:t>
      </w:r>
      <w:r w:rsidRPr="00991383">
        <w:rPr>
          <w:rStyle w:val="FootnoteReference"/>
          <w:rFonts w:ascii="Times New Roman" w:hAnsi="Times New Roman"/>
          <w:sz w:val="24"/>
        </w:rPr>
        <w:footnoteReference w:id="172"/>
      </w:r>
      <w:r w:rsidRPr="00991383">
        <w:rPr>
          <w:rFonts w:ascii="Times New Roman" w:hAnsi="Times New Roman"/>
        </w:rPr>
        <w:t>. It has no bearing on the issue at hand, namely, whether mootness will preclude the existence of federal appellate jurisdiction.</w:t>
      </w:r>
    </w:p>
    <w:p w14:paraId="79F249C5"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In </w:t>
      </w:r>
      <w:r w:rsidRPr="00991383">
        <w:rPr>
          <w:rFonts w:ascii="Times New Roman" w:hAnsi="Times New Roman"/>
          <w:i/>
          <w:iCs/>
        </w:rPr>
        <w:t>In re Judiciary and Navigation Acts</w:t>
      </w:r>
      <w:r w:rsidRPr="00991383">
        <w:rPr>
          <w:rStyle w:val="FootnoteReference"/>
          <w:rFonts w:ascii="Times New Roman" w:hAnsi="Times New Roman"/>
          <w:iCs/>
          <w:sz w:val="24"/>
        </w:rPr>
        <w:footnoteReference w:id="173"/>
      </w:r>
      <w:r w:rsidRPr="00991383">
        <w:rPr>
          <w:rFonts w:ascii="Times New Roman" w:hAnsi="Times New Roman"/>
        </w:rPr>
        <w:t xml:space="preserve">, the Court considered the constitutional validity of a law requiring the High Court to hear and determine questions referred to it by the Governor-General as to the validity of any Act or enactment of the Commonwealth Parliament. In explaining the meaning of </w:t>
      </w:r>
      <w:r w:rsidRPr="00991383">
        <w:rPr>
          <w:rFonts w:ascii="Times New Roman" w:hAnsi="Times New Roman"/>
        </w:rPr>
        <w:lastRenderedPageBreak/>
        <w:t>"matter" in Ch III, the majority concluded that there could be no matter within the meaning of s 76</w:t>
      </w:r>
      <w:r w:rsidRPr="00991383">
        <w:rPr>
          <w:rStyle w:val="FootnoteReference"/>
          <w:rFonts w:ascii="Times New Roman" w:hAnsi="Times New Roman"/>
          <w:sz w:val="24"/>
        </w:rPr>
        <w:footnoteReference w:id="174"/>
      </w:r>
      <w:r w:rsidRPr="00991383">
        <w:rPr>
          <w:rFonts w:ascii="Times New Roman" w:hAnsi="Times New Roman"/>
        </w:rPr>
        <w:t>:</w:t>
      </w:r>
    </w:p>
    <w:p w14:paraId="5F0509A5" w14:textId="77777777" w:rsidR="00541D69" w:rsidRDefault="00541D69" w:rsidP="00991383">
      <w:pPr>
        <w:pStyle w:val="LeftrightafterHC"/>
        <w:spacing w:before="0" w:after="260" w:line="280" w:lineRule="exact"/>
        <w:ind w:right="0"/>
        <w:jc w:val="both"/>
        <w:rPr>
          <w:rFonts w:ascii="Times New Roman" w:hAnsi="Times New Roman"/>
        </w:rPr>
      </w:pPr>
      <w:r w:rsidRPr="00991383">
        <w:rPr>
          <w:rFonts w:ascii="Times New Roman" w:hAnsi="Times New Roman"/>
        </w:rPr>
        <w:t>"</w:t>
      </w:r>
      <w:proofErr w:type="gramStart"/>
      <w:r w:rsidRPr="00991383">
        <w:rPr>
          <w:rFonts w:ascii="Times New Roman" w:hAnsi="Times New Roman"/>
        </w:rPr>
        <w:t>unless</w:t>
      </w:r>
      <w:proofErr w:type="gramEnd"/>
      <w:r w:rsidRPr="00991383">
        <w:rPr>
          <w:rFonts w:ascii="Times New Roman" w:hAnsi="Times New Roman"/>
        </w:rPr>
        <w:t xml:space="preserve"> there is some immediate right, duty or liability to be established by the determination of the Court ... [The Legislature] cannot authorize this Court to make a declaration of the law divorced from any attempt to administer that law ... [W]e can find nothing in Chapter III of the </w:t>
      </w:r>
      <w:r w:rsidRPr="00991383">
        <w:rPr>
          <w:rFonts w:ascii="Times New Roman" w:hAnsi="Times New Roman"/>
          <w:iCs/>
        </w:rPr>
        <w:t>Constitution</w:t>
      </w:r>
      <w:r w:rsidRPr="00991383">
        <w:rPr>
          <w:rFonts w:ascii="Times New Roman" w:hAnsi="Times New Roman"/>
        </w:rPr>
        <w:t xml:space="preserve"> to lend colour to the view that Parliament can confer power or jurisdiction upon the High Court to determine abstract questions of law without the right or duty of </w:t>
      </w:r>
      <w:proofErr w:type="spellStart"/>
      <w:r w:rsidRPr="00991383">
        <w:rPr>
          <w:rFonts w:ascii="Times New Roman" w:hAnsi="Times New Roman"/>
        </w:rPr>
        <w:t>any body</w:t>
      </w:r>
      <w:proofErr w:type="spellEnd"/>
      <w:r w:rsidRPr="00991383">
        <w:rPr>
          <w:rFonts w:ascii="Times New Roman" w:hAnsi="Times New Roman"/>
        </w:rPr>
        <w:t xml:space="preserve"> or person being involved."</w:t>
      </w:r>
    </w:p>
    <w:p w14:paraId="5F4FDB2D"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The issue was the Court's original jurisdiction: the majority explicitly noted that no question was raised about the Court's appellate jurisdiction</w:t>
      </w:r>
      <w:r w:rsidRPr="00991383">
        <w:rPr>
          <w:rStyle w:val="FootnoteReference"/>
          <w:rFonts w:ascii="Times New Roman" w:hAnsi="Times New Roman"/>
          <w:sz w:val="24"/>
        </w:rPr>
        <w:footnoteReference w:id="175"/>
      </w:r>
      <w:r w:rsidRPr="00991383">
        <w:rPr>
          <w:rFonts w:ascii="Times New Roman" w:hAnsi="Times New Roman"/>
        </w:rPr>
        <w:t xml:space="preserve">. </w:t>
      </w:r>
      <w:r w:rsidRPr="00991383">
        <w:rPr>
          <w:rFonts w:ascii="Times New Roman" w:hAnsi="Times New Roman"/>
          <w:i/>
          <w:iCs/>
        </w:rPr>
        <w:t xml:space="preserve">In re Judiciary and Navigation Acts </w:t>
      </w:r>
      <w:r w:rsidRPr="00991383">
        <w:rPr>
          <w:rFonts w:ascii="Times New Roman" w:hAnsi="Times New Roman"/>
        </w:rPr>
        <w:t>has thus been held as authority for the principle that "justiciability" restrains the exercise of judicial power such that it does not extend to the provision of a "purely advisory opinion"</w:t>
      </w:r>
      <w:r w:rsidRPr="00991383">
        <w:rPr>
          <w:rStyle w:val="FootnoteReference"/>
          <w:rFonts w:ascii="Times New Roman" w:hAnsi="Times New Roman"/>
          <w:iCs/>
          <w:sz w:val="24"/>
        </w:rPr>
        <w:footnoteReference w:id="176"/>
      </w:r>
      <w:r w:rsidRPr="00991383">
        <w:rPr>
          <w:rFonts w:ascii="Times New Roman" w:hAnsi="Times New Roman"/>
        </w:rPr>
        <w:t>. An "advisory opinion" has been explained as "an opinion 'rendered by the court at the request of the government or an interested party indicating how the court would rule on a matter should adversary litigation develop'", involving no parties and no issues as ordinarily understood</w:t>
      </w:r>
      <w:r w:rsidRPr="00991383">
        <w:rPr>
          <w:rStyle w:val="FootnoteReference"/>
          <w:rFonts w:ascii="Times New Roman" w:hAnsi="Times New Roman"/>
          <w:sz w:val="24"/>
        </w:rPr>
        <w:footnoteReference w:id="177"/>
      </w:r>
      <w:r w:rsidRPr="00991383">
        <w:rPr>
          <w:rFonts w:ascii="Times New Roman" w:hAnsi="Times New Roman"/>
        </w:rPr>
        <w:t>. Although there is a history at common law of courts giving advisory opinions</w:t>
      </w:r>
      <w:r w:rsidRPr="00991383">
        <w:rPr>
          <w:rStyle w:val="FootnoteReference"/>
          <w:rFonts w:ascii="Times New Roman" w:hAnsi="Times New Roman"/>
          <w:sz w:val="24"/>
        </w:rPr>
        <w:footnoteReference w:id="178"/>
      </w:r>
      <w:r w:rsidRPr="00991383">
        <w:rPr>
          <w:rFonts w:ascii="Times New Roman" w:hAnsi="Times New Roman"/>
        </w:rPr>
        <w:t>, under Australian law "the function of giving an academic advisory opinion to the executive government, dissociated from litigation actually in train, lies outside the exercise of judicial power"</w:t>
      </w:r>
      <w:r w:rsidRPr="00991383">
        <w:rPr>
          <w:rStyle w:val="FootnoteReference"/>
          <w:rFonts w:ascii="Times New Roman" w:hAnsi="Times New Roman"/>
          <w:sz w:val="24"/>
        </w:rPr>
        <w:footnoteReference w:id="179"/>
      </w:r>
      <w:r w:rsidRPr="00991383">
        <w:rPr>
          <w:rFonts w:ascii="Times New Roman" w:hAnsi="Times New Roman"/>
        </w:rPr>
        <w:t xml:space="preserve">. Consistently with this, in </w:t>
      </w:r>
      <w:r w:rsidRPr="00991383">
        <w:rPr>
          <w:rFonts w:ascii="Times New Roman" w:hAnsi="Times New Roman"/>
          <w:i/>
          <w:iCs/>
        </w:rPr>
        <w:t>Abebe v The Commonwealth</w:t>
      </w:r>
      <w:r w:rsidRPr="00991383">
        <w:rPr>
          <w:rFonts w:ascii="Times New Roman" w:hAnsi="Times New Roman"/>
        </w:rPr>
        <w:t>,</w:t>
      </w:r>
      <w:r w:rsidRPr="00991383">
        <w:rPr>
          <w:rFonts w:ascii="Times New Roman" w:hAnsi="Times New Roman"/>
          <w:i/>
          <w:iCs/>
        </w:rPr>
        <w:t xml:space="preserve"> </w:t>
      </w:r>
      <w:r w:rsidRPr="00991383">
        <w:rPr>
          <w:rFonts w:ascii="Times New Roman" w:hAnsi="Times New Roman"/>
        </w:rPr>
        <w:t>Gleeson CJ and McHugh J explained the concept of "matter" as "concerned with the rights, duties and liabilities of particular parties in concrete situations"</w:t>
      </w:r>
      <w:r w:rsidRPr="00991383">
        <w:rPr>
          <w:rStyle w:val="FootnoteReference"/>
          <w:rFonts w:ascii="Times New Roman" w:hAnsi="Times New Roman"/>
          <w:sz w:val="24"/>
        </w:rPr>
        <w:footnoteReference w:id="180"/>
      </w:r>
      <w:r w:rsidRPr="00991383">
        <w:rPr>
          <w:rFonts w:ascii="Times New Roman" w:hAnsi="Times New Roman"/>
        </w:rPr>
        <w:t xml:space="preserve">. </w:t>
      </w:r>
    </w:p>
    <w:p w14:paraId="15983E31"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lastRenderedPageBreak/>
        <w:tab/>
        <w:t xml:space="preserve">There is no principled reason to equate an exercise of appellate jurisdiction with the provision of an advisory opinion. Appellate jurisdiction supervises the ruling of a court in earlier adversarial litigation. In this case, the Full Court's exercise of appellate jurisdiction involved the correction of error in the determination of rights, </w:t>
      </w:r>
      <w:proofErr w:type="gramStart"/>
      <w:r w:rsidRPr="00991383">
        <w:rPr>
          <w:rFonts w:ascii="Times New Roman" w:hAnsi="Times New Roman"/>
        </w:rPr>
        <w:t>duties</w:t>
      </w:r>
      <w:proofErr w:type="gramEnd"/>
      <w:r w:rsidRPr="00991383">
        <w:rPr>
          <w:rFonts w:ascii="Times New Roman" w:hAnsi="Times New Roman"/>
        </w:rPr>
        <w:t xml:space="preserve"> and liabilities of particular parties in a concrete situation, namely, the detention of the appellant by the </w:t>
      </w:r>
      <w:r w:rsidRPr="00991383" w:rsidDel="00EB2126">
        <w:rPr>
          <w:rFonts w:ascii="Times New Roman" w:hAnsi="Times New Roman"/>
        </w:rPr>
        <w:t>Secretary</w:t>
      </w:r>
      <w:r w:rsidRPr="00991383">
        <w:rPr>
          <w:rFonts w:ascii="Times New Roman" w:hAnsi="Times New Roman"/>
        </w:rPr>
        <w:t xml:space="preserve"> pending his removal from Australia. </w:t>
      </w:r>
      <w:r w:rsidRPr="00991383">
        <w:rPr>
          <w:rFonts w:ascii="Times New Roman" w:hAnsi="Times New Roman"/>
          <w:i/>
          <w:iCs/>
        </w:rPr>
        <w:t xml:space="preserve">In re Judiciary and Navigation Acts </w:t>
      </w:r>
      <w:r w:rsidRPr="00991383">
        <w:rPr>
          <w:rFonts w:ascii="Times New Roman" w:hAnsi="Times New Roman"/>
        </w:rPr>
        <w:t>goes no further than stating the "basal understanding of the nature of the judicial function" that the High Court's jurisdiction, and by extension federal jurisdiction, does not extend to answering a question "divorced from the administration of the law"</w:t>
      </w:r>
      <w:r w:rsidRPr="00991383">
        <w:rPr>
          <w:rStyle w:val="FootnoteReference"/>
          <w:rFonts w:ascii="Times New Roman" w:hAnsi="Times New Roman"/>
          <w:sz w:val="24"/>
        </w:rPr>
        <w:footnoteReference w:id="181"/>
      </w:r>
      <w:r w:rsidRPr="00991383">
        <w:rPr>
          <w:rFonts w:ascii="Times New Roman" w:hAnsi="Times New Roman"/>
        </w:rPr>
        <w:t>.</w:t>
      </w:r>
    </w:p>
    <w:p w14:paraId="0C96A669"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Apart from constraining the exercise of judicial power to determine political questions or give advisory opinions, the concept of "justiciability" has been invoked to delineate the authority of federal courts to determine claims for declaratory relief, particularly declarations concerning the validity or operation of laws, and exercises of governmental power. Thus, for example, it was held in </w:t>
      </w:r>
      <w:r w:rsidRPr="00991383">
        <w:rPr>
          <w:rFonts w:ascii="Times New Roman" w:hAnsi="Times New Roman"/>
          <w:i/>
          <w:iCs/>
        </w:rPr>
        <w:t xml:space="preserve">Truth About Motorways Pty Ltd v Macquarie Infrastructure Investment Management Ltd </w:t>
      </w:r>
      <w:r w:rsidRPr="00991383">
        <w:rPr>
          <w:rFonts w:ascii="Times New Roman" w:hAnsi="Times New Roman"/>
        </w:rPr>
        <w:t xml:space="preserve">that any member of the public had standing to seek a declaration in relation to the operation or effect of any provision of the former </w:t>
      </w:r>
      <w:r w:rsidRPr="00991383">
        <w:rPr>
          <w:rFonts w:ascii="Times New Roman" w:hAnsi="Times New Roman"/>
          <w:i/>
          <w:iCs/>
        </w:rPr>
        <w:t xml:space="preserve">Trade Practices Act 1974 </w:t>
      </w:r>
      <w:r w:rsidRPr="00991383">
        <w:rPr>
          <w:rFonts w:ascii="Times New Roman" w:hAnsi="Times New Roman"/>
        </w:rPr>
        <w:t>(</w:t>
      </w:r>
      <w:proofErr w:type="spellStart"/>
      <w:r w:rsidRPr="00991383">
        <w:rPr>
          <w:rFonts w:ascii="Times New Roman" w:hAnsi="Times New Roman"/>
        </w:rPr>
        <w:t>Cth</w:t>
      </w:r>
      <w:proofErr w:type="spellEnd"/>
      <w:r w:rsidRPr="00991383">
        <w:rPr>
          <w:rFonts w:ascii="Times New Roman" w:hAnsi="Times New Roman"/>
        </w:rPr>
        <w:t>) apart from certain excluded provisions</w:t>
      </w:r>
      <w:r w:rsidRPr="00991383">
        <w:rPr>
          <w:rStyle w:val="FootnoteReference"/>
          <w:rFonts w:ascii="Times New Roman" w:hAnsi="Times New Roman"/>
          <w:sz w:val="24"/>
        </w:rPr>
        <w:footnoteReference w:id="182"/>
      </w:r>
      <w:r w:rsidRPr="00991383">
        <w:rPr>
          <w:rFonts w:ascii="Times New Roman" w:hAnsi="Times New Roman"/>
        </w:rPr>
        <w:t>. That standing "created the potential for a justiciable controversy"</w:t>
      </w:r>
      <w:r w:rsidRPr="00991383">
        <w:rPr>
          <w:rStyle w:val="FootnoteReference"/>
          <w:rFonts w:ascii="Times New Roman" w:hAnsi="Times New Roman"/>
          <w:sz w:val="24"/>
        </w:rPr>
        <w:footnoteReference w:id="183"/>
      </w:r>
      <w:r w:rsidRPr="00991383">
        <w:rPr>
          <w:rFonts w:ascii="Times New Roman" w:hAnsi="Times New Roman"/>
        </w:rPr>
        <w:t>. The subject matter of an alleged violation by the respondent of a statutory norm of conduct, and the court's role in determining the existence of a duty or liability, was "justiciable in character"</w:t>
      </w:r>
      <w:r w:rsidRPr="00991383">
        <w:rPr>
          <w:rStyle w:val="FootnoteReference"/>
          <w:rFonts w:ascii="Times New Roman" w:hAnsi="Times New Roman"/>
          <w:sz w:val="24"/>
        </w:rPr>
        <w:footnoteReference w:id="184"/>
      </w:r>
      <w:r w:rsidRPr="00991383">
        <w:rPr>
          <w:rFonts w:ascii="Times New Roman" w:hAnsi="Times New Roman"/>
        </w:rPr>
        <w:t>.</w:t>
      </w:r>
    </w:p>
    <w:p w14:paraId="0A7ABE00"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Subsequently, </w:t>
      </w:r>
      <w:r w:rsidRPr="00991383">
        <w:rPr>
          <w:rFonts w:ascii="Times New Roman" w:hAnsi="Times New Roman"/>
          <w:i/>
          <w:iCs/>
        </w:rPr>
        <w:t xml:space="preserve">Edwards </w:t>
      </w:r>
      <w:r w:rsidRPr="00991383">
        <w:rPr>
          <w:rFonts w:ascii="Times New Roman" w:hAnsi="Times New Roman"/>
        </w:rPr>
        <w:t>established that the jurisdiction to grant a declaration includes the power to declare that conduct which has not yet taken place will be a nullity in law</w:t>
      </w:r>
      <w:r w:rsidRPr="00991383">
        <w:rPr>
          <w:rStyle w:val="FootnoteReference"/>
          <w:rFonts w:ascii="Times New Roman" w:hAnsi="Times New Roman"/>
          <w:sz w:val="24"/>
        </w:rPr>
        <w:footnoteReference w:id="185"/>
      </w:r>
      <w:r w:rsidRPr="00991383">
        <w:rPr>
          <w:rFonts w:ascii="Times New Roman" w:hAnsi="Times New Roman"/>
        </w:rPr>
        <w:t xml:space="preserve">. Although not using the language of justiciability, </w:t>
      </w:r>
      <w:proofErr w:type="spellStart"/>
      <w:r w:rsidRPr="00991383">
        <w:rPr>
          <w:rFonts w:ascii="Times New Roman" w:hAnsi="Times New Roman"/>
        </w:rPr>
        <w:t>Heydon</w:t>
      </w:r>
      <w:proofErr w:type="spellEnd"/>
      <w:r w:rsidRPr="00991383">
        <w:rPr>
          <w:rFonts w:ascii="Times New Roman" w:hAnsi="Times New Roman"/>
        </w:rPr>
        <w:t> J (with whom the other Justices agreed on this point) noted that the question raised by the plaintiffs was "not hypothetical, but concrete and real; and the opinion they [sought was] not merely advisory"</w:t>
      </w:r>
      <w:r w:rsidRPr="00991383">
        <w:rPr>
          <w:rStyle w:val="FootnoteReference"/>
          <w:rFonts w:ascii="Times New Roman" w:hAnsi="Times New Roman"/>
          <w:sz w:val="24"/>
        </w:rPr>
        <w:footnoteReference w:id="186"/>
      </w:r>
      <w:r w:rsidRPr="00991383">
        <w:rPr>
          <w:rFonts w:ascii="Times New Roman" w:hAnsi="Times New Roman"/>
        </w:rPr>
        <w:t xml:space="preserve">, given that the declaration </w:t>
      </w:r>
      <w:r w:rsidRPr="00991383">
        <w:rPr>
          <w:rFonts w:ascii="Times New Roman" w:hAnsi="Times New Roman"/>
        </w:rPr>
        <w:lastRenderedPageBreak/>
        <w:t>would advance the interests of native title claimants in negotiations concerning a petroleum licence which the parties were contractually obliged to conduct</w:t>
      </w:r>
      <w:r w:rsidRPr="00991383">
        <w:rPr>
          <w:rStyle w:val="FootnoteReference"/>
          <w:rFonts w:ascii="Times New Roman" w:hAnsi="Times New Roman"/>
          <w:sz w:val="24"/>
        </w:rPr>
        <w:footnoteReference w:id="187"/>
      </w:r>
      <w:r w:rsidRPr="00991383">
        <w:rPr>
          <w:rFonts w:ascii="Times New Roman" w:hAnsi="Times New Roman"/>
        </w:rPr>
        <w:t xml:space="preserve">. </w:t>
      </w:r>
    </w:p>
    <w:p w14:paraId="21D7ADCA"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In </w:t>
      </w:r>
      <w:r w:rsidRPr="00991383">
        <w:rPr>
          <w:rFonts w:ascii="Times New Roman" w:hAnsi="Times New Roman"/>
          <w:i/>
          <w:iCs/>
        </w:rPr>
        <w:t>Hobart International Airport</w:t>
      </w:r>
      <w:r w:rsidRPr="00991383">
        <w:rPr>
          <w:rFonts w:ascii="Times New Roman" w:hAnsi="Times New Roman"/>
        </w:rPr>
        <w:t>,</w:t>
      </w:r>
      <w:r w:rsidRPr="00991383">
        <w:rPr>
          <w:rFonts w:ascii="Times New Roman" w:hAnsi="Times New Roman"/>
          <w:i/>
          <w:iCs/>
        </w:rPr>
        <w:t xml:space="preserve"> </w:t>
      </w:r>
      <w:r w:rsidRPr="00991383">
        <w:rPr>
          <w:rFonts w:ascii="Times New Roman" w:hAnsi="Times New Roman"/>
        </w:rPr>
        <w:t>it was held that two local authorities had standing to seek declaratory relief about the operation of leases between the Commonwealth and third parties. Kiefel CJ, Keane and Gordon JJ observed that standing to seek relief "ordinarily provides the 'justiciable' aspect of the controversy"</w:t>
      </w:r>
      <w:r w:rsidRPr="00991383">
        <w:rPr>
          <w:rStyle w:val="FootnoteReference"/>
          <w:rFonts w:ascii="Times New Roman" w:hAnsi="Times New Roman"/>
          <w:sz w:val="24"/>
        </w:rPr>
        <w:footnoteReference w:id="188"/>
      </w:r>
      <w:r w:rsidRPr="00991383">
        <w:rPr>
          <w:rFonts w:ascii="Times New Roman" w:hAnsi="Times New Roman"/>
        </w:rPr>
        <w:t>. Gageler J and I stated that</w:t>
      </w:r>
      <w:r w:rsidRPr="00991383">
        <w:rPr>
          <w:rStyle w:val="FootnoteReference"/>
          <w:rFonts w:ascii="Times New Roman" w:hAnsi="Times New Roman"/>
          <w:sz w:val="24"/>
        </w:rPr>
        <w:footnoteReference w:id="189"/>
      </w:r>
      <w:r w:rsidRPr="00991383">
        <w:rPr>
          <w:rFonts w:ascii="Times New Roman" w:hAnsi="Times New Roman"/>
        </w:rPr>
        <w:t>:</w:t>
      </w:r>
    </w:p>
    <w:p w14:paraId="6A32E32A" w14:textId="77777777" w:rsidR="00541D69" w:rsidRDefault="00541D69" w:rsidP="00991383">
      <w:pPr>
        <w:pStyle w:val="LeftrightafterHC"/>
        <w:spacing w:before="0" w:after="260" w:line="280" w:lineRule="exact"/>
        <w:ind w:right="0"/>
        <w:jc w:val="both"/>
        <w:rPr>
          <w:rFonts w:ascii="Times New Roman" w:hAnsi="Times New Roman"/>
        </w:rPr>
      </w:pPr>
      <w:r w:rsidRPr="00991383">
        <w:rPr>
          <w:rFonts w:ascii="Times New Roman" w:hAnsi="Times New Roman"/>
        </w:rPr>
        <w:t>"The central conception of a matter is of a justiciable controversy between defined persons or classes of persons about an existing legal right or legal obligation. The controversy is justiciable if it is capable of being resolved in the exercise of judicial power by an order of a court which, if made, would operate to put an end to the question in controversy through the creation of 'a new charter by reference to which that question is in future to be decided as between those persons or classes of persons'. Conversely, a controversy between defined persons or classes of persons about an existing legal right or legal obligation which is not capable of being resolved in the exercise of judicial power by an order of a court is not justiciable and is not a matter."</w:t>
      </w:r>
    </w:p>
    <w:p w14:paraId="3D41B8B8"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Proceedings may also involve a "matter" even when they are not determinative of the rights of the parties, provided the proceedings concern the determination of what their rights would have been if the law had been properly applied. </w:t>
      </w:r>
      <w:r w:rsidRPr="00991383">
        <w:rPr>
          <w:rFonts w:ascii="Times New Roman" w:hAnsi="Times New Roman"/>
          <w:i/>
          <w:iCs/>
        </w:rPr>
        <w:t>O'Toole v Charles David Pty Ltd</w:t>
      </w:r>
      <w:r w:rsidRPr="00991383">
        <w:rPr>
          <w:rFonts w:ascii="Times New Roman" w:hAnsi="Times New Roman"/>
        </w:rPr>
        <w:t xml:space="preserve"> illustrates the point in the context of appellate jurisdiction, as it involved the determination of a stated case to answer legal questions which were not determinative of the rights of the parties</w:t>
      </w:r>
      <w:r w:rsidRPr="00991383">
        <w:rPr>
          <w:rStyle w:val="FootnoteReference"/>
          <w:rFonts w:ascii="Times New Roman" w:hAnsi="Times New Roman"/>
          <w:sz w:val="24"/>
        </w:rPr>
        <w:footnoteReference w:id="190"/>
      </w:r>
      <w:r w:rsidRPr="00991383">
        <w:rPr>
          <w:rFonts w:ascii="Times New Roman" w:hAnsi="Times New Roman"/>
        </w:rPr>
        <w:t>.</w:t>
      </w:r>
    </w:p>
    <w:p w14:paraId="1D584B5B" w14:textId="77777777" w:rsidR="00541D69" w:rsidRPr="00991383" w:rsidRDefault="00541D69" w:rsidP="00991383">
      <w:pPr>
        <w:pStyle w:val="HeadingL1"/>
        <w:spacing w:after="260" w:line="280" w:lineRule="exact"/>
        <w:ind w:right="0"/>
        <w:jc w:val="both"/>
        <w:rPr>
          <w:rFonts w:ascii="Times New Roman" w:hAnsi="Times New Roman"/>
        </w:rPr>
      </w:pPr>
      <w:r w:rsidRPr="00991383">
        <w:rPr>
          <w:rFonts w:ascii="Times New Roman" w:hAnsi="Times New Roman"/>
        </w:rPr>
        <w:t>Mootness and justiciable controversies</w:t>
      </w:r>
    </w:p>
    <w:p w14:paraId="5F4F93BC"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In an appeal, there has necessarily been a justiciable controversy between the parties at an earlier stage of the proceedings. In this case, the appellant commenced proceedings in the Federal Court to seek the Court's determination of a justiciable controversy about the application of s 198</w:t>
      </w:r>
      <w:proofErr w:type="gramStart"/>
      <w:r w:rsidRPr="00991383">
        <w:rPr>
          <w:rFonts w:ascii="Times New Roman" w:hAnsi="Times New Roman"/>
        </w:rPr>
        <w:t>AD(</w:t>
      </w:r>
      <w:proofErr w:type="gramEnd"/>
      <w:r w:rsidRPr="00991383">
        <w:rPr>
          <w:rFonts w:ascii="Times New Roman" w:hAnsi="Times New Roman"/>
        </w:rPr>
        <w:t xml:space="preserve">2) of the </w:t>
      </w:r>
      <w:r w:rsidRPr="00991383">
        <w:rPr>
          <w:rFonts w:ascii="Times New Roman" w:hAnsi="Times New Roman"/>
          <w:i/>
          <w:iCs/>
        </w:rPr>
        <w:t xml:space="preserve">Migration Act </w:t>
      </w:r>
      <w:r w:rsidRPr="00991383">
        <w:rPr>
          <w:rFonts w:ascii="Times New Roman" w:hAnsi="Times New Roman"/>
        </w:rPr>
        <w:t xml:space="preserve">to him and the Commonwealth parties' associated obligations concerning his detention pending his removal from Australia. The primary judge found in favour of the appellant in each of the two related proceedings and made orders for the </w:t>
      </w:r>
      <w:r w:rsidRPr="00991383">
        <w:rPr>
          <w:rFonts w:ascii="Times New Roman" w:hAnsi="Times New Roman"/>
        </w:rPr>
        <w:lastRenderedPageBreak/>
        <w:t xml:space="preserve">appellant to be held in "residential detention" pending his removal from Australia. Shortly after the primary judge's orders were made, the then Minister for Home Affairs (now the Minister for Immigration, Citizenship, Migrant Services and Multicultural Affairs), the first respondent to these appeals ("the Minister"), took action that had the effect of removing the possibility of any further dispute between herself and the appellant about the application of s 198AD(2) </w:t>
      </w:r>
      <w:r w:rsidRPr="00991383" w:rsidDel="00637BD3">
        <w:rPr>
          <w:rFonts w:ascii="Times New Roman" w:hAnsi="Times New Roman"/>
        </w:rPr>
        <w:t xml:space="preserve">to the appellant's case, </w:t>
      </w:r>
      <w:r w:rsidRPr="00991383">
        <w:rPr>
          <w:rFonts w:ascii="Times New Roman" w:hAnsi="Times New Roman"/>
        </w:rPr>
        <w:t>by making a determination under s 198AE that s 198AD did not apply to him. Considering the primary judge to have erred, the Commonwealth parties filed notices of appeal against the primary judge's orders.</w:t>
      </w:r>
    </w:p>
    <w:p w14:paraId="0AE37D8C"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The dispute between the parties at first instance was replaced by a dispute between the parties as to the correctness of the primary judgment (or at least a dispute raised by the Commonwealth parties to the same effect). Putting aside the question of</w:t>
      </w:r>
      <w:r w:rsidRPr="00991383" w:rsidDel="00951AFF">
        <w:rPr>
          <w:rFonts w:ascii="Times New Roman" w:hAnsi="Times New Roman"/>
        </w:rPr>
        <w:t xml:space="preserve"> </w:t>
      </w:r>
      <w:r w:rsidRPr="00991383">
        <w:rPr>
          <w:rFonts w:ascii="Times New Roman" w:hAnsi="Times New Roman"/>
        </w:rPr>
        <w:t>costs and the fact that the orders were valid and binding until set aside</w:t>
      </w:r>
      <w:r w:rsidRPr="00991383">
        <w:rPr>
          <w:rStyle w:val="FootnoteReference"/>
          <w:rFonts w:ascii="Times New Roman" w:hAnsi="Times New Roman"/>
          <w:sz w:val="24"/>
        </w:rPr>
        <w:footnoteReference w:id="191"/>
      </w:r>
      <w:r w:rsidRPr="00991383">
        <w:rPr>
          <w:rFonts w:ascii="Times New Roman" w:hAnsi="Times New Roman"/>
        </w:rPr>
        <w:t>, that dispute had no practical significance for the parties as between themselves given that the issue concerning the applicability of s 198</w:t>
      </w:r>
      <w:proofErr w:type="gramStart"/>
      <w:r w:rsidRPr="00991383">
        <w:rPr>
          <w:rFonts w:ascii="Times New Roman" w:hAnsi="Times New Roman"/>
        </w:rPr>
        <w:t>AD(</w:t>
      </w:r>
      <w:proofErr w:type="gramEnd"/>
      <w:r w:rsidRPr="00991383">
        <w:rPr>
          <w:rFonts w:ascii="Times New Roman" w:hAnsi="Times New Roman"/>
        </w:rPr>
        <w:t>2) had been resolved by the Minister's determination. However, as the Full Court recognised, the proceedings raised "matters of general principle and wider application, of importance to [the Commonwealth parties] but in substance largely unrelated to any ongoing effect of the primary judge's orders for the [appellant]"</w:t>
      </w:r>
      <w:r w:rsidRPr="00991383">
        <w:rPr>
          <w:rStyle w:val="FootnoteReference"/>
          <w:rFonts w:ascii="Times New Roman" w:hAnsi="Times New Roman"/>
          <w:sz w:val="24"/>
        </w:rPr>
        <w:footnoteReference w:id="192"/>
      </w:r>
      <w:r w:rsidRPr="00991383">
        <w:rPr>
          <w:rFonts w:ascii="Times New Roman" w:hAnsi="Times New Roman"/>
        </w:rPr>
        <w:t xml:space="preserve">. </w:t>
      </w:r>
    </w:p>
    <w:p w14:paraId="54542D10"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In United States jurisprudence on concepts of justiciability, which strongly influenced the drafting of the Australian </w:t>
      </w:r>
      <w:r w:rsidRPr="00991383">
        <w:rPr>
          <w:rFonts w:ascii="Times New Roman" w:hAnsi="Times New Roman"/>
          <w:i/>
          <w:iCs/>
        </w:rPr>
        <w:t>Constitution</w:t>
      </w:r>
      <w:r w:rsidRPr="00991383">
        <w:rPr>
          <w:rStyle w:val="FootnoteReference"/>
          <w:rFonts w:ascii="Times New Roman" w:hAnsi="Times New Roman"/>
          <w:sz w:val="24"/>
        </w:rPr>
        <w:footnoteReference w:id="193"/>
      </w:r>
      <w:r w:rsidRPr="00991383">
        <w:rPr>
          <w:rFonts w:ascii="Times New Roman" w:hAnsi="Times New Roman"/>
        </w:rPr>
        <w:t>, the doctrine of "mootness" has been described as the "doctrine of standing in a time frame"</w:t>
      </w:r>
      <w:r w:rsidRPr="00991383">
        <w:rPr>
          <w:rStyle w:val="FootnoteReference"/>
          <w:rFonts w:ascii="Times New Roman" w:hAnsi="Times New Roman"/>
          <w:sz w:val="24"/>
        </w:rPr>
        <w:footnoteReference w:id="194"/>
      </w:r>
      <w:r w:rsidRPr="00991383">
        <w:rPr>
          <w:rFonts w:ascii="Times New Roman" w:hAnsi="Times New Roman"/>
        </w:rPr>
        <w:t>. The general principle is that an actual controversy must exist at all stages of federal proceedings, at both trial and appellate levels</w:t>
      </w:r>
      <w:r w:rsidRPr="00991383">
        <w:rPr>
          <w:rStyle w:val="FootnoteReference"/>
          <w:rFonts w:ascii="Times New Roman" w:hAnsi="Times New Roman"/>
          <w:sz w:val="24"/>
        </w:rPr>
        <w:footnoteReference w:id="195"/>
      </w:r>
      <w:r w:rsidRPr="00991383">
        <w:rPr>
          <w:rFonts w:ascii="Times New Roman" w:hAnsi="Times New Roman"/>
        </w:rPr>
        <w:t xml:space="preserve">. It is contested whether that </w:t>
      </w:r>
      <w:r w:rsidRPr="00991383">
        <w:rPr>
          <w:rFonts w:ascii="Times New Roman" w:hAnsi="Times New Roman"/>
        </w:rPr>
        <w:lastRenderedPageBreak/>
        <w:t>doctrine is derived from the constitutional limitation of judicial power to the determination of cases and controversies, or from prudential considerations such as saving the court's institutional capital for cases "truly requiring decisions"</w:t>
      </w:r>
      <w:r w:rsidRPr="00991383">
        <w:rPr>
          <w:rStyle w:val="FootnoteReference"/>
          <w:rFonts w:ascii="Times New Roman" w:hAnsi="Times New Roman"/>
          <w:sz w:val="24"/>
        </w:rPr>
        <w:footnoteReference w:id="196"/>
      </w:r>
      <w:r w:rsidRPr="00991383">
        <w:rPr>
          <w:rFonts w:ascii="Times New Roman" w:hAnsi="Times New Roman"/>
        </w:rPr>
        <w:t>. To the extent that the doctrine of mootness has constitutional foundations in Art III of the United States Constitution, these were not identified by the Supreme Court until 1964</w:t>
      </w:r>
      <w:r w:rsidRPr="00991383">
        <w:rPr>
          <w:rStyle w:val="FootnoteReference"/>
          <w:rFonts w:ascii="Times New Roman" w:hAnsi="Times New Roman"/>
          <w:sz w:val="24"/>
        </w:rPr>
        <w:footnoteReference w:id="197"/>
      </w:r>
      <w:r w:rsidRPr="00991383">
        <w:rPr>
          <w:rFonts w:ascii="Times New Roman" w:hAnsi="Times New Roman"/>
        </w:rPr>
        <w:t xml:space="preserve">. </w:t>
      </w:r>
    </w:p>
    <w:p w14:paraId="3C51AA69"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American commentators have identified the "flexible character" of the mootness doctrine, which is subject to various exceptions to allow courts to proceed to determine an otherwise factually "moot" matter, such as where an issue is found to be a wrong which is "capable of repetition yet evading review"</w:t>
      </w:r>
      <w:r w:rsidRPr="00991383">
        <w:rPr>
          <w:rStyle w:val="FootnoteReference"/>
          <w:rFonts w:ascii="Times New Roman" w:hAnsi="Times New Roman"/>
          <w:sz w:val="24"/>
        </w:rPr>
        <w:footnoteReference w:id="198"/>
      </w:r>
      <w:r w:rsidRPr="00991383">
        <w:rPr>
          <w:rFonts w:ascii="Times New Roman" w:hAnsi="Times New Roman"/>
        </w:rPr>
        <w:t>. Recently, the Supreme Court has arguably relaxed the doctrine of mootness further to preserve its power to decide "major questions" concerning controversial political issues</w:t>
      </w:r>
      <w:r w:rsidRPr="00991383">
        <w:rPr>
          <w:rStyle w:val="FootnoteReference"/>
          <w:rFonts w:ascii="Times New Roman" w:hAnsi="Times New Roman"/>
          <w:sz w:val="24"/>
        </w:rPr>
        <w:footnoteReference w:id="199"/>
      </w:r>
      <w:r w:rsidRPr="00991383">
        <w:rPr>
          <w:rFonts w:ascii="Times New Roman" w:hAnsi="Times New Roman"/>
        </w:rPr>
        <w:t>.</w:t>
      </w:r>
    </w:p>
    <w:p w14:paraId="240351B1"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This discretionary approach is consistent with the recognised power of the Federal Court of Australia to either stay or proceed to hear a case on appeal where the underlying factual controversy has become "moot", as discussed above. A similar approach is evident in the United Kingdom, albeit in a context not affected by the stricter constitutional constraints of a "matter" requirement</w:t>
      </w:r>
      <w:r w:rsidRPr="00991383">
        <w:rPr>
          <w:rStyle w:val="FootnoteReference"/>
          <w:rFonts w:ascii="Times New Roman" w:hAnsi="Times New Roman"/>
          <w:sz w:val="24"/>
        </w:rPr>
        <w:footnoteReference w:id="200"/>
      </w:r>
      <w:r w:rsidRPr="00991383">
        <w:rPr>
          <w:rFonts w:ascii="Times New Roman" w:hAnsi="Times New Roman"/>
        </w:rPr>
        <w:t xml:space="preserve">. </w:t>
      </w:r>
    </w:p>
    <w:p w14:paraId="2E61BB15"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lastRenderedPageBreak/>
        <w:tab/>
        <w:t xml:space="preserve">The cessation of the practical significance of court proceedings has obvious implications for cases heard in the original jurisdiction, particularly where the substantive issue in the proceeding no longer has any apparent significance for the plaintiff or any other person. In </w:t>
      </w:r>
      <w:r w:rsidRPr="00991383">
        <w:rPr>
          <w:rFonts w:ascii="Times New Roman" w:hAnsi="Times New Roman"/>
          <w:i/>
          <w:iCs/>
        </w:rPr>
        <w:t xml:space="preserve">Unions NSW v New South Wales </w:t>
      </w:r>
      <w:r w:rsidRPr="00991383">
        <w:rPr>
          <w:rFonts w:ascii="Times New Roman" w:hAnsi="Times New Roman"/>
        </w:rPr>
        <w:t>("</w:t>
      </w:r>
      <w:r w:rsidRPr="00991383">
        <w:rPr>
          <w:rFonts w:ascii="Times New Roman" w:hAnsi="Times New Roman"/>
          <w:i/>
          <w:iCs/>
        </w:rPr>
        <w:t>Unions [No</w:t>
      </w:r>
      <w:r>
        <w:rPr>
          <w:rFonts w:ascii="Times New Roman" w:hAnsi="Times New Roman"/>
          <w:i/>
          <w:iCs/>
        </w:rPr>
        <w:t> </w:t>
      </w:r>
      <w:r w:rsidRPr="00991383">
        <w:rPr>
          <w:rFonts w:ascii="Times New Roman" w:hAnsi="Times New Roman"/>
          <w:i/>
          <w:iCs/>
        </w:rPr>
        <w:t>3]</w:t>
      </w:r>
      <w:r w:rsidRPr="00991383">
        <w:rPr>
          <w:rFonts w:ascii="Times New Roman" w:hAnsi="Times New Roman"/>
        </w:rPr>
        <w:t>"), this Court found that it ceased to have original jurisdiction to decide whether a law creating an offence was constitutionally invalid in its historical operation</w:t>
      </w:r>
      <w:r w:rsidRPr="00991383">
        <w:rPr>
          <w:rStyle w:val="FootnoteReference"/>
          <w:rFonts w:ascii="Times New Roman" w:hAnsi="Times New Roman"/>
          <w:iCs/>
          <w:sz w:val="24"/>
        </w:rPr>
        <w:footnoteReference w:id="201"/>
      </w:r>
      <w:r w:rsidRPr="00991383">
        <w:rPr>
          <w:rFonts w:ascii="Times New Roman" w:hAnsi="Times New Roman"/>
        </w:rPr>
        <w:t>. The impugned law was repealed shortly before the Court's scheduled hearing</w:t>
      </w:r>
      <w:r w:rsidRPr="00991383">
        <w:rPr>
          <w:rStyle w:val="FootnoteReference"/>
          <w:rFonts w:ascii="Times New Roman" w:hAnsi="Times New Roman"/>
          <w:sz w:val="24"/>
        </w:rPr>
        <w:footnoteReference w:id="202"/>
      </w:r>
      <w:r w:rsidRPr="00991383">
        <w:rPr>
          <w:rFonts w:ascii="Times New Roman" w:hAnsi="Times New Roman"/>
        </w:rPr>
        <w:t>. The plaintiffs were not the subject of enforcement action for any past breach of the repealed law but claimed to have standing arising from their contention that their past compliance with the repealed law was unnecessary and their apprehension that the law might be re-enacted in the future</w:t>
      </w:r>
      <w:r w:rsidRPr="00991383">
        <w:rPr>
          <w:rStyle w:val="FootnoteReference"/>
          <w:rFonts w:ascii="Times New Roman" w:hAnsi="Times New Roman"/>
          <w:sz w:val="24"/>
        </w:rPr>
        <w:footnoteReference w:id="203"/>
      </w:r>
      <w:r w:rsidRPr="00991383">
        <w:rPr>
          <w:rFonts w:ascii="Times New Roman" w:hAnsi="Times New Roman"/>
        </w:rPr>
        <w:t>. Recognising that the requirement of standing to seek declaratory relief was "subsumed within the constitutional requirement of a 'matter'"</w:t>
      </w:r>
      <w:r w:rsidRPr="00991383">
        <w:rPr>
          <w:rStyle w:val="FootnoteReference"/>
          <w:rFonts w:ascii="Times New Roman" w:hAnsi="Times New Roman"/>
          <w:sz w:val="24"/>
        </w:rPr>
        <w:footnoteReference w:id="204"/>
      </w:r>
      <w:r w:rsidRPr="00991383">
        <w:rPr>
          <w:rFonts w:ascii="Times New Roman" w:hAnsi="Times New Roman"/>
        </w:rPr>
        <w:t>, the Court found that the plaintiffs lost standing when the law was repealed</w:t>
      </w:r>
      <w:r w:rsidRPr="00991383">
        <w:rPr>
          <w:rStyle w:val="FootnoteReference"/>
          <w:rFonts w:ascii="Times New Roman" w:hAnsi="Times New Roman"/>
          <w:sz w:val="24"/>
        </w:rPr>
        <w:footnoteReference w:id="205"/>
      </w:r>
      <w:r w:rsidRPr="00991383">
        <w:rPr>
          <w:rFonts w:ascii="Times New Roman" w:hAnsi="Times New Roman"/>
        </w:rPr>
        <w:t xml:space="preserve">. As the plaintiffs were no longer restricted in their freedom of action or activities by the </w:t>
      </w:r>
      <w:proofErr w:type="gramStart"/>
      <w:r w:rsidRPr="00991383">
        <w:rPr>
          <w:rFonts w:ascii="Times New Roman" w:hAnsi="Times New Roman"/>
        </w:rPr>
        <w:t>law, and</w:t>
      </w:r>
      <w:proofErr w:type="gramEnd"/>
      <w:r w:rsidRPr="00991383">
        <w:rPr>
          <w:rFonts w:ascii="Times New Roman" w:hAnsi="Times New Roman"/>
        </w:rPr>
        <w:t xml:space="preserve"> had no expectation of being affected by that provision in future elections, the "only advantage that the plaintiffs would achieve from a declaration of invalidity would be the satisfaction of a statement by the Court validating their contentions of an historical wrong"</w:t>
      </w:r>
      <w:r w:rsidRPr="00991383">
        <w:rPr>
          <w:rStyle w:val="FootnoteReference"/>
          <w:rFonts w:ascii="Times New Roman" w:hAnsi="Times New Roman"/>
          <w:sz w:val="24"/>
        </w:rPr>
        <w:footnoteReference w:id="206"/>
      </w:r>
      <w:r w:rsidRPr="00991383">
        <w:rPr>
          <w:rFonts w:ascii="Times New Roman" w:hAnsi="Times New Roman"/>
        </w:rPr>
        <w:t>. On that basis, the Court no longer had jurisdiction to hear and determine the plaintiffs' claim with respect to the purported invalidity of the law.</w:t>
      </w:r>
    </w:p>
    <w:p w14:paraId="7652EEEA"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However, the reasoning in </w:t>
      </w:r>
      <w:r w:rsidRPr="00991383">
        <w:rPr>
          <w:rFonts w:ascii="Times New Roman" w:hAnsi="Times New Roman"/>
          <w:i/>
          <w:iCs/>
        </w:rPr>
        <w:t xml:space="preserve">Unions [No 3] </w:t>
      </w:r>
      <w:r w:rsidRPr="00991383">
        <w:rPr>
          <w:rFonts w:ascii="Times New Roman" w:hAnsi="Times New Roman"/>
        </w:rPr>
        <w:t xml:space="preserve">does not readily map onto the Commonwealth parties' appeals to the Full Court in these proceedings. In contrast with the lack of ongoing significance of the issues raised in </w:t>
      </w:r>
      <w:r w:rsidRPr="00991383">
        <w:rPr>
          <w:rFonts w:ascii="Times New Roman" w:hAnsi="Times New Roman"/>
          <w:i/>
          <w:iCs/>
        </w:rPr>
        <w:t xml:space="preserve">Unions [No 3] </w:t>
      </w:r>
      <w:r w:rsidRPr="00991383">
        <w:rPr>
          <w:rFonts w:ascii="Times New Roman" w:hAnsi="Times New Roman"/>
        </w:rPr>
        <w:t>to the plaintiffs or any other person,</w:t>
      </w:r>
      <w:r w:rsidRPr="00991383">
        <w:rPr>
          <w:rFonts w:ascii="Times New Roman" w:hAnsi="Times New Roman"/>
          <w:i/>
          <w:iCs/>
        </w:rPr>
        <w:t xml:space="preserve"> </w:t>
      </w:r>
      <w:r w:rsidRPr="00991383">
        <w:rPr>
          <w:rFonts w:ascii="Times New Roman" w:hAnsi="Times New Roman"/>
        </w:rPr>
        <w:t xml:space="preserve">the issues decided by the Full Court have continuing significance for the Commonwealth parties and others in relation to the duty in s 198AD(2) of the </w:t>
      </w:r>
      <w:r w:rsidRPr="00991383">
        <w:rPr>
          <w:rFonts w:ascii="Times New Roman" w:hAnsi="Times New Roman"/>
          <w:i/>
          <w:iCs/>
        </w:rPr>
        <w:t>Migration Act</w:t>
      </w:r>
      <w:r w:rsidRPr="00991383">
        <w:rPr>
          <w:rFonts w:ascii="Times New Roman" w:hAnsi="Times New Roman"/>
        </w:rPr>
        <w:t>,</w:t>
      </w:r>
      <w:r w:rsidRPr="00991383">
        <w:rPr>
          <w:rFonts w:ascii="Times New Roman" w:hAnsi="Times New Roman"/>
          <w:i/>
          <w:iCs/>
        </w:rPr>
        <w:t xml:space="preserve"> </w:t>
      </w:r>
      <w:r w:rsidRPr="00991383">
        <w:rPr>
          <w:rFonts w:ascii="Times New Roman" w:hAnsi="Times New Roman"/>
        </w:rPr>
        <w:t xml:space="preserve">the meaning of "immigration detention" in that Act and the scope of the Federal Court's power in s 23 of the Federal Court Act. As earlier noted, the invocation of federal appellate jurisdiction does not require the identification of a matter distinct from the matter as instituted at first instance. The appeals were concerned with whether there was error in the exercise of original jurisdiction by the Federal Court, concerning subject matter defined by </w:t>
      </w:r>
      <w:r w:rsidRPr="00991383">
        <w:rPr>
          <w:rFonts w:ascii="Times New Roman" w:hAnsi="Times New Roman"/>
        </w:rPr>
        <w:lastRenderedPageBreak/>
        <w:t xml:space="preserve">reference to the heads of jurisdiction in either s 75 or s 76 of the </w:t>
      </w:r>
      <w:r w:rsidRPr="00991383">
        <w:rPr>
          <w:rFonts w:ascii="Times New Roman" w:hAnsi="Times New Roman"/>
          <w:i/>
          <w:iCs/>
        </w:rPr>
        <w:t>Constitution</w:t>
      </w:r>
      <w:r w:rsidRPr="00991383">
        <w:rPr>
          <w:rFonts w:ascii="Times New Roman" w:hAnsi="Times New Roman"/>
        </w:rPr>
        <w:t>, and in relation to a dispute that gave rise to a justiciable controversy concerning concrete rights and liabilities.</w:t>
      </w:r>
      <w:r w:rsidRPr="00991383">
        <w:rPr>
          <w:rFonts w:ascii="Times New Roman" w:hAnsi="Times New Roman"/>
          <w:i/>
          <w:iCs/>
        </w:rPr>
        <w:t xml:space="preserve"> </w:t>
      </w:r>
      <w:r w:rsidRPr="00991383">
        <w:rPr>
          <w:rFonts w:ascii="Times New Roman" w:hAnsi="Times New Roman"/>
        </w:rPr>
        <w:t>In that way, the Federal Court's appellate jurisdiction was invoked with respect to a "matter".</w:t>
      </w:r>
    </w:p>
    <w:p w14:paraId="66A4827D" w14:textId="77777777" w:rsidR="00541D69" w:rsidRPr="00991383" w:rsidRDefault="00541D69" w:rsidP="00991383">
      <w:pPr>
        <w:pStyle w:val="HeadingL1"/>
        <w:spacing w:after="260" w:line="280" w:lineRule="exact"/>
        <w:ind w:right="0"/>
        <w:jc w:val="both"/>
        <w:rPr>
          <w:rFonts w:ascii="Times New Roman" w:hAnsi="Times New Roman"/>
        </w:rPr>
      </w:pPr>
      <w:r w:rsidRPr="00991383">
        <w:rPr>
          <w:rFonts w:ascii="Times New Roman" w:hAnsi="Times New Roman"/>
        </w:rPr>
        <w:t>The supervisory function of an appeal</w:t>
      </w:r>
    </w:p>
    <w:p w14:paraId="502EDC70"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The remaining question is whether the appeals were "divorced from any attempt to administer"</w:t>
      </w:r>
      <w:r w:rsidRPr="00991383">
        <w:rPr>
          <w:rStyle w:val="FootnoteReference"/>
          <w:rFonts w:ascii="Times New Roman" w:hAnsi="Times New Roman"/>
          <w:sz w:val="24"/>
        </w:rPr>
        <w:footnoteReference w:id="207"/>
      </w:r>
      <w:r w:rsidRPr="00991383">
        <w:rPr>
          <w:rFonts w:ascii="Times New Roman" w:hAnsi="Times New Roman"/>
        </w:rPr>
        <w:t xml:space="preserve"> the law </w:t>
      </w:r>
      <w:proofErr w:type="gramStart"/>
      <w:r w:rsidRPr="00991383">
        <w:rPr>
          <w:rFonts w:ascii="Times New Roman" w:hAnsi="Times New Roman"/>
        </w:rPr>
        <w:t>so as to</w:t>
      </w:r>
      <w:proofErr w:type="gramEnd"/>
      <w:r w:rsidRPr="00991383">
        <w:rPr>
          <w:rFonts w:ascii="Times New Roman" w:hAnsi="Times New Roman"/>
        </w:rPr>
        <w:t xml:space="preserve"> deny appellate jurisdiction to decide the appeals. Accepting the necessary connection between the exercise of the judicial function and the administration of the law</w:t>
      </w:r>
      <w:r w:rsidRPr="00991383">
        <w:rPr>
          <w:rStyle w:val="FootnoteReference"/>
          <w:rFonts w:ascii="Times New Roman" w:hAnsi="Times New Roman"/>
          <w:sz w:val="24"/>
        </w:rPr>
        <w:footnoteReference w:id="208"/>
      </w:r>
      <w:r w:rsidRPr="00991383">
        <w:rPr>
          <w:rFonts w:ascii="Times New Roman" w:hAnsi="Times New Roman"/>
        </w:rPr>
        <w:t>, that connection might readily be found in the Full Court's supervisory function over the exercise of original jurisdiction.</w:t>
      </w:r>
    </w:p>
    <w:p w14:paraId="30CB8529"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i/>
          <w:iCs/>
        </w:rPr>
        <w:tab/>
        <w:t>Attorney-General (</w:t>
      </w:r>
      <w:proofErr w:type="spellStart"/>
      <w:r w:rsidRPr="00991383">
        <w:rPr>
          <w:rFonts w:ascii="Times New Roman" w:hAnsi="Times New Roman"/>
          <w:i/>
          <w:iCs/>
        </w:rPr>
        <w:t>Cth</w:t>
      </w:r>
      <w:proofErr w:type="spellEnd"/>
      <w:r w:rsidRPr="00991383">
        <w:rPr>
          <w:rFonts w:ascii="Times New Roman" w:hAnsi="Times New Roman"/>
          <w:i/>
          <w:iCs/>
        </w:rPr>
        <w:t>) v Alinta Ltd</w:t>
      </w:r>
      <w:r w:rsidRPr="00991383">
        <w:rPr>
          <w:rStyle w:val="FootnoteReference"/>
          <w:rFonts w:ascii="Times New Roman" w:hAnsi="Times New Roman"/>
          <w:iCs/>
          <w:sz w:val="24"/>
        </w:rPr>
        <w:footnoteReference w:id="209"/>
      </w:r>
      <w:r w:rsidRPr="00991383">
        <w:rPr>
          <w:rFonts w:ascii="Times New Roman" w:hAnsi="Times New Roman"/>
          <w:i/>
          <w:iCs/>
        </w:rPr>
        <w:t xml:space="preserve"> </w:t>
      </w:r>
      <w:r w:rsidRPr="00991383">
        <w:rPr>
          <w:rFonts w:ascii="Times New Roman" w:hAnsi="Times New Roman"/>
        </w:rPr>
        <w:t>illustrates a broad approach to the identification of this Court's appellate jurisdiction, and the absence of any requirement that the "adequate adversarial nature of the dispute"</w:t>
      </w:r>
      <w:r w:rsidRPr="00991383">
        <w:rPr>
          <w:rStyle w:val="FootnoteReference"/>
          <w:rFonts w:ascii="Times New Roman" w:hAnsi="Times New Roman"/>
          <w:sz w:val="24"/>
        </w:rPr>
        <w:footnoteReference w:id="210"/>
      </w:r>
      <w:r w:rsidRPr="00991383">
        <w:rPr>
          <w:rFonts w:ascii="Times New Roman" w:hAnsi="Times New Roman"/>
        </w:rPr>
        <w:t xml:space="preserve"> be demonstrated by a continuing controversy between the parties. In </w:t>
      </w:r>
      <w:r w:rsidRPr="00991383">
        <w:rPr>
          <w:rFonts w:ascii="Times New Roman" w:hAnsi="Times New Roman"/>
          <w:i/>
          <w:iCs/>
        </w:rPr>
        <w:t>Alinta</w:t>
      </w:r>
      <w:r w:rsidRPr="00991383">
        <w:rPr>
          <w:rFonts w:ascii="Times New Roman" w:hAnsi="Times New Roman"/>
        </w:rPr>
        <w:t xml:space="preserve">, special leave to appeal to the High Court was granted from the Full Federal Court's declaration that s 657A(2)(b) of the </w:t>
      </w:r>
      <w:r w:rsidRPr="00991383">
        <w:rPr>
          <w:rFonts w:ascii="Times New Roman" w:hAnsi="Times New Roman"/>
          <w:i/>
          <w:iCs/>
        </w:rPr>
        <w:t xml:space="preserve">Corporations Act 2001 </w:t>
      </w:r>
      <w:r w:rsidRPr="00991383">
        <w:rPr>
          <w:rFonts w:ascii="Times New Roman" w:hAnsi="Times New Roman"/>
        </w:rPr>
        <w:t>(</w:t>
      </w:r>
      <w:proofErr w:type="spellStart"/>
      <w:r w:rsidRPr="00991383">
        <w:rPr>
          <w:rFonts w:ascii="Times New Roman" w:hAnsi="Times New Roman"/>
        </w:rPr>
        <w:t>Cth</w:t>
      </w:r>
      <w:proofErr w:type="spellEnd"/>
      <w:r w:rsidRPr="00991383">
        <w:rPr>
          <w:rFonts w:ascii="Times New Roman" w:hAnsi="Times New Roman"/>
        </w:rPr>
        <w:t>)</w:t>
      </w:r>
      <w:r w:rsidRPr="00991383">
        <w:rPr>
          <w:rFonts w:ascii="Times New Roman" w:hAnsi="Times New Roman"/>
          <w:i/>
          <w:iCs/>
        </w:rPr>
        <w:t xml:space="preserve"> </w:t>
      </w:r>
      <w:r w:rsidRPr="00991383">
        <w:rPr>
          <w:rFonts w:ascii="Times New Roman" w:hAnsi="Times New Roman"/>
        </w:rPr>
        <w:t xml:space="preserve">was invalid, in the context of a dispute between two parties over a merger blocked by the Takeovers Panel. After the underlying commercial controversy between the parties was settled and the applicants sought to discontinue the proceedings, the Attorney-General for the Commonwealth (who had intervened in the Full Federal Court as of right) was the only party who retained an interest in contesting the declaration. Hayne J, with whom Gleeson CJ and </w:t>
      </w:r>
      <w:proofErr w:type="spellStart"/>
      <w:r w:rsidRPr="00991383">
        <w:rPr>
          <w:rFonts w:ascii="Times New Roman" w:hAnsi="Times New Roman"/>
        </w:rPr>
        <w:t>Gummow</w:t>
      </w:r>
      <w:proofErr w:type="spellEnd"/>
      <w:r w:rsidRPr="00991383">
        <w:rPr>
          <w:rFonts w:ascii="Times New Roman" w:hAnsi="Times New Roman"/>
        </w:rPr>
        <w:t> J agreed, accepted that the Attorney-General had an interest in the continuing "constitutional controversy" which was "neither merely hypothetical nor moot"</w:t>
      </w:r>
      <w:r w:rsidRPr="00991383">
        <w:rPr>
          <w:rStyle w:val="FootnoteReference"/>
          <w:rFonts w:ascii="Times New Roman" w:hAnsi="Times New Roman"/>
          <w:sz w:val="24"/>
        </w:rPr>
        <w:footnoteReference w:id="211"/>
      </w:r>
      <w:r w:rsidRPr="00991383">
        <w:rPr>
          <w:rFonts w:ascii="Times New Roman" w:hAnsi="Times New Roman"/>
        </w:rPr>
        <w:t>. Leave was granted to counsel to appear as amici curiae and submit arguments supporting the declaration of invalidity</w:t>
      </w:r>
      <w:r w:rsidRPr="00991383">
        <w:rPr>
          <w:rStyle w:val="FootnoteReference"/>
          <w:rFonts w:ascii="Times New Roman" w:hAnsi="Times New Roman"/>
          <w:sz w:val="24"/>
        </w:rPr>
        <w:footnoteReference w:id="212"/>
      </w:r>
      <w:r w:rsidRPr="00991383">
        <w:rPr>
          <w:rFonts w:ascii="Times New Roman" w:hAnsi="Times New Roman"/>
        </w:rPr>
        <w:t xml:space="preserve">. </w:t>
      </w:r>
    </w:p>
    <w:p w14:paraId="0AC052E2"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In this case, the Commonwealth parties had a real, practical interest in correcting the alleged errors of the primary judge before the Full Court because of their precedential significance for existing disputes between the Commonwealth </w:t>
      </w:r>
      <w:r w:rsidRPr="00991383">
        <w:rPr>
          <w:rFonts w:ascii="Times New Roman" w:hAnsi="Times New Roman"/>
        </w:rPr>
        <w:lastRenderedPageBreak/>
        <w:t xml:space="preserve">and third parties and, potentially, for the continuing litigation between the Commonwealth parties and the appellant. At all times, the Minister had a constitutional responsibility to administer the relevant laws. The Minister's interest in the correction of error extended beyond the effect of the orders in this </w:t>
      </w:r>
      <w:proofErr w:type="gramStart"/>
      <w:r w:rsidRPr="00991383">
        <w:rPr>
          <w:rFonts w:ascii="Times New Roman" w:hAnsi="Times New Roman"/>
        </w:rPr>
        <w:t>particular case</w:t>
      </w:r>
      <w:proofErr w:type="gramEnd"/>
      <w:r w:rsidRPr="00991383">
        <w:rPr>
          <w:rFonts w:ascii="Times New Roman" w:hAnsi="Times New Roman"/>
        </w:rPr>
        <w:t xml:space="preserve">, and included an interest in correcting an allegedly erroneous decision that would otherwise operate as a precedent. Unlike the position in </w:t>
      </w:r>
      <w:r w:rsidRPr="00991383">
        <w:rPr>
          <w:rFonts w:ascii="Times New Roman" w:hAnsi="Times New Roman"/>
          <w:i/>
          <w:iCs/>
        </w:rPr>
        <w:t>Alinta</w:t>
      </w:r>
      <w:r w:rsidRPr="00991383">
        <w:rPr>
          <w:rFonts w:ascii="Times New Roman" w:hAnsi="Times New Roman"/>
        </w:rPr>
        <w:t>,</w:t>
      </w:r>
      <w:r w:rsidRPr="00991383">
        <w:rPr>
          <w:rFonts w:ascii="Times New Roman" w:hAnsi="Times New Roman"/>
          <w:i/>
          <w:iCs/>
        </w:rPr>
        <w:t xml:space="preserve"> </w:t>
      </w:r>
      <w:r w:rsidRPr="00991383">
        <w:rPr>
          <w:rFonts w:ascii="Times New Roman" w:hAnsi="Times New Roman"/>
        </w:rPr>
        <w:t xml:space="preserve">the appellant here, who had been a party to the original controversy, was willing to act as contradictor on the appeals. Further, there was no lack of concrete facts upon which the issues raised by the appeals were able to be decided. </w:t>
      </w:r>
    </w:p>
    <w:p w14:paraId="0F386B8A"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In </w:t>
      </w:r>
      <w:r w:rsidRPr="00991383">
        <w:rPr>
          <w:rFonts w:ascii="Times New Roman" w:hAnsi="Times New Roman"/>
          <w:i/>
          <w:iCs/>
        </w:rPr>
        <w:t>O'Toole</w:t>
      </w:r>
      <w:r w:rsidRPr="00991383">
        <w:rPr>
          <w:rFonts w:ascii="Times New Roman" w:hAnsi="Times New Roman"/>
        </w:rPr>
        <w:t>,</w:t>
      </w:r>
      <w:r w:rsidRPr="00991383">
        <w:rPr>
          <w:rFonts w:ascii="Times New Roman" w:hAnsi="Times New Roman"/>
          <w:i/>
          <w:iCs/>
        </w:rPr>
        <w:t xml:space="preserve"> </w:t>
      </w:r>
      <w:r w:rsidRPr="00991383">
        <w:rPr>
          <w:rFonts w:ascii="Times New Roman" w:hAnsi="Times New Roman"/>
        </w:rPr>
        <w:t xml:space="preserve">Deane, </w:t>
      </w:r>
      <w:proofErr w:type="spellStart"/>
      <w:r w:rsidRPr="00991383">
        <w:rPr>
          <w:rFonts w:ascii="Times New Roman" w:hAnsi="Times New Roman"/>
        </w:rPr>
        <w:t>Gaudron</w:t>
      </w:r>
      <w:proofErr w:type="spellEnd"/>
      <w:r w:rsidRPr="00991383">
        <w:rPr>
          <w:rFonts w:ascii="Times New Roman" w:hAnsi="Times New Roman"/>
        </w:rPr>
        <w:t xml:space="preserve"> and McHugh JJ expressed "serious doubts" about the unnecessary confinement of the appellate jurisdiction conferred by s 73 of the </w:t>
      </w:r>
      <w:r w:rsidRPr="00991383">
        <w:rPr>
          <w:rFonts w:ascii="Times New Roman" w:hAnsi="Times New Roman"/>
          <w:i/>
          <w:iCs/>
        </w:rPr>
        <w:t xml:space="preserve">Constitution </w:t>
      </w:r>
      <w:r w:rsidRPr="00991383">
        <w:rPr>
          <w:rFonts w:ascii="Times New Roman" w:hAnsi="Times New Roman"/>
        </w:rPr>
        <w:t>and noted that</w:t>
      </w:r>
      <w:r w:rsidRPr="00991383">
        <w:rPr>
          <w:rStyle w:val="FootnoteReference"/>
          <w:rFonts w:ascii="Times New Roman" w:hAnsi="Times New Roman"/>
          <w:sz w:val="24"/>
        </w:rPr>
        <w:footnoteReference w:id="213"/>
      </w:r>
      <w:r w:rsidRPr="00991383">
        <w:rPr>
          <w:rFonts w:ascii="Times New Roman" w:hAnsi="Times New Roman"/>
        </w:rPr>
        <w:t xml:space="preserve">: </w:t>
      </w:r>
    </w:p>
    <w:p w14:paraId="028252E5" w14:textId="77777777" w:rsidR="00541D69" w:rsidRDefault="00541D69" w:rsidP="00991383">
      <w:pPr>
        <w:pStyle w:val="LeftrightafterHC"/>
        <w:spacing w:before="0" w:after="260" w:line="280" w:lineRule="exact"/>
        <w:ind w:right="0"/>
        <w:jc w:val="both"/>
        <w:rPr>
          <w:rFonts w:ascii="Times New Roman" w:hAnsi="Times New Roman"/>
        </w:rPr>
      </w:pPr>
      <w:r w:rsidRPr="00991383">
        <w:rPr>
          <w:rFonts w:ascii="Times New Roman" w:hAnsi="Times New Roman"/>
        </w:rPr>
        <w:t>"</w:t>
      </w:r>
      <w:proofErr w:type="gramStart"/>
      <w:r w:rsidRPr="00991383">
        <w:rPr>
          <w:rFonts w:ascii="Times New Roman" w:hAnsi="Times New Roman"/>
        </w:rPr>
        <w:t>it</w:t>
      </w:r>
      <w:proofErr w:type="gramEnd"/>
      <w:r w:rsidRPr="00991383">
        <w:rPr>
          <w:rFonts w:ascii="Times New Roman" w:hAnsi="Times New Roman"/>
        </w:rPr>
        <w:t xml:space="preserve"> cannot be justified by the considerations relating to the integrity and independence of judicial functions and powers which underlie the decision in </w:t>
      </w:r>
      <w:r w:rsidRPr="00991383">
        <w:rPr>
          <w:rFonts w:ascii="Times New Roman" w:hAnsi="Times New Roman"/>
          <w:i/>
          <w:iCs/>
        </w:rPr>
        <w:t xml:space="preserve">In re Judiciary and Navigation Acts </w:t>
      </w:r>
      <w:r w:rsidRPr="00991383">
        <w:rPr>
          <w:rFonts w:ascii="Times New Roman" w:hAnsi="Times New Roman"/>
        </w:rPr>
        <w:t xml:space="preserve">and which preclude jurisdiction being conferred upon this Court to furnish to the Executive an advisory opinion divorced from the administration of justice in relation to an actual matter". </w:t>
      </w:r>
    </w:p>
    <w:p w14:paraId="5CB2D2C9" w14:textId="77777777" w:rsidR="00541D69" w:rsidRPr="00991383" w:rsidRDefault="00541D69" w:rsidP="00991383">
      <w:pPr>
        <w:pStyle w:val="NormalBody"/>
        <w:spacing w:after="260" w:line="280" w:lineRule="exact"/>
        <w:ind w:right="0"/>
        <w:jc w:val="both"/>
        <w:rPr>
          <w:rFonts w:ascii="Times New Roman" w:hAnsi="Times New Roman"/>
        </w:rPr>
      </w:pPr>
      <w:r w:rsidRPr="00991383">
        <w:rPr>
          <w:rFonts w:ascii="Times New Roman" w:hAnsi="Times New Roman"/>
        </w:rPr>
        <w:t>The observation applies equally in this case.</w:t>
      </w:r>
    </w:p>
    <w:p w14:paraId="534D60AE"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Shortly after </w:t>
      </w:r>
      <w:r w:rsidRPr="00991383">
        <w:rPr>
          <w:rFonts w:ascii="Times New Roman" w:hAnsi="Times New Roman"/>
          <w:i/>
          <w:iCs/>
        </w:rPr>
        <w:t>O'Toole</w:t>
      </w:r>
      <w:r w:rsidRPr="00991383">
        <w:rPr>
          <w:rFonts w:ascii="Times New Roman" w:hAnsi="Times New Roman"/>
        </w:rPr>
        <w:t>,</w:t>
      </w:r>
      <w:r w:rsidRPr="00991383">
        <w:rPr>
          <w:rFonts w:ascii="Times New Roman" w:hAnsi="Times New Roman"/>
          <w:i/>
          <w:iCs/>
        </w:rPr>
        <w:t xml:space="preserve"> </w:t>
      </w:r>
      <w:r w:rsidRPr="00991383">
        <w:rPr>
          <w:rFonts w:ascii="Times New Roman" w:hAnsi="Times New Roman"/>
        </w:rPr>
        <w:t xml:space="preserve">in </w:t>
      </w:r>
      <w:proofErr w:type="spellStart"/>
      <w:r w:rsidRPr="00991383">
        <w:rPr>
          <w:rFonts w:ascii="Times New Roman" w:hAnsi="Times New Roman"/>
          <w:i/>
          <w:iCs/>
        </w:rPr>
        <w:t>Mellifont</w:t>
      </w:r>
      <w:proofErr w:type="spellEnd"/>
      <w:r w:rsidRPr="00991383">
        <w:rPr>
          <w:rFonts w:ascii="Times New Roman" w:hAnsi="Times New Roman"/>
          <w:i/>
          <w:iCs/>
        </w:rPr>
        <w:t xml:space="preserve"> </w:t>
      </w:r>
      <w:r w:rsidRPr="00991383">
        <w:rPr>
          <w:rFonts w:ascii="Times New Roman" w:hAnsi="Times New Roman"/>
          <w:i/>
          <w:iCs/>
          <w:lang w:val="en-US"/>
        </w:rPr>
        <w:t>v Attorney-General (Q)</w:t>
      </w:r>
      <w:r w:rsidRPr="00991383">
        <w:rPr>
          <w:rFonts w:ascii="Times New Roman" w:hAnsi="Times New Roman"/>
        </w:rPr>
        <w:t>,</w:t>
      </w:r>
      <w:r w:rsidRPr="00991383">
        <w:rPr>
          <w:rFonts w:ascii="Times New Roman" w:hAnsi="Times New Roman"/>
          <w:i/>
          <w:iCs/>
        </w:rPr>
        <w:t xml:space="preserve"> </w:t>
      </w:r>
      <w:proofErr w:type="gramStart"/>
      <w:r w:rsidRPr="00991383">
        <w:rPr>
          <w:rFonts w:ascii="Times New Roman" w:hAnsi="Times New Roman"/>
        </w:rPr>
        <w:t>a majority of</w:t>
      </w:r>
      <w:proofErr w:type="gramEnd"/>
      <w:r w:rsidRPr="00991383">
        <w:rPr>
          <w:rFonts w:ascii="Times New Roman" w:hAnsi="Times New Roman"/>
        </w:rPr>
        <w:t xml:space="preserve"> this Court held that the Court's appellate jurisdiction under s 73 of the </w:t>
      </w:r>
      <w:r w:rsidRPr="00991383">
        <w:rPr>
          <w:rFonts w:ascii="Times New Roman" w:hAnsi="Times New Roman"/>
          <w:i/>
          <w:iCs/>
        </w:rPr>
        <w:t xml:space="preserve">Constitution </w:t>
      </w:r>
      <w:r w:rsidRPr="00991383">
        <w:rPr>
          <w:rFonts w:ascii="Times New Roman" w:hAnsi="Times New Roman"/>
        </w:rPr>
        <w:t xml:space="preserve">extended to an appeal from an opinion of the Queensland Court of Criminal Appeal on a point of law referred under s 669A of the </w:t>
      </w:r>
      <w:r w:rsidRPr="00991383">
        <w:rPr>
          <w:rFonts w:ascii="Times New Roman" w:hAnsi="Times New Roman"/>
          <w:i/>
          <w:iCs/>
        </w:rPr>
        <w:t xml:space="preserve">Criminal Code </w:t>
      </w:r>
      <w:r w:rsidRPr="00991383">
        <w:rPr>
          <w:rFonts w:ascii="Times New Roman" w:hAnsi="Times New Roman"/>
        </w:rPr>
        <w:t>(Qld)</w:t>
      </w:r>
      <w:r w:rsidRPr="00991383">
        <w:rPr>
          <w:rStyle w:val="FootnoteReference"/>
          <w:rFonts w:ascii="Times New Roman" w:hAnsi="Times New Roman"/>
          <w:iCs/>
          <w:sz w:val="24"/>
        </w:rPr>
        <w:footnoteReference w:id="214"/>
      </w:r>
      <w:r w:rsidRPr="00991383">
        <w:rPr>
          <w:rFonts w:ascii="Times New Roman" w:hAnsi="Times New Roman"/>
        </w:rPr>
        <w:t xml:space="preserve">. The questions of law concerned the trial judge's rulings on the materiality of evidence, in circumstances where the prosecution had filed a </w:t>
      </w:r>
      <w:r w:rsidRPr="00991383">
        <w:rPr>
          <w:rFonts w:ascii="Times New Roman" w:hAnsi="Times New Roman"/>
          <w:i/>
          <w:iCs/>
        </w:rPr>
        <w:t xml:space="preserve">nolle prosequi </w:t>
      </w:r>
      <w:r w:rsidRPr="00991383">
        <w:rPr>
          <w:rFonts w:ascii="Times New Roman" w:hAnsi="Times New Roman"/>
        </w:rPr>
        <w:t>before the jury handed down its verdict. The plurality concluded that the Court of Criminal Appeal's decision on the reference "was made with respect to a 'matter' which was the subject-matter of the legal proceedings at first instance and was not divorced from the ordinary administration of the law"</w:t>
      </w:r>
      <w:r w:rsidRPr="00991383">
        <w:rPr>
          <w:rStyle w:val="FootnoteReference"/>
          <w:rFonts w:ascii="Times New Roman" w:hAnsi="Times New Roman"/>
          <w:sz w:val="24"/>
        </w:rPr>
        <w:footnoteReference w:id="215"/>
      </w:r>
      <w:r w:rsidRPr="00991383">
        <w:rPr>
          <w:rFonts w:ascii="Times New Roman" w:hAnsi="Times New Roman"/>
        </w:rPr>
        <w:t xml:space="preserve">. In so doing, the plurality distinguished the decision from the declaration sought in </w:t>
      </w:r>
      <w:proofErr w:type="gramStart"/>
      <w:r w:rsidRPr="00991383">
        <w:rPr>
          <w:rFonts w:ascii="Times New Roman" w:hAnsi="Times New Roman"/>
          <w:i/>
          <w:iCs/>
        </w:rPr>
        <w:t>In</w:t>
      </w:r>
      <w:proofErr w:type="gramEnd"/>
      <w:r w:rsidRPr="00991383">
        <w:rPr>
          <w:rFonts w:ascii="Times New Roman" w:hAnsi="Times New Roman"/>
          <w:i/>
          <w:iCs/>
        </w:rPr>
        <w:t xml:space="preserve"> re Judiciary and Navigation Acts</w:t>
      </w:r>
      <w:r w:rsidRPr="00991383">
        <w:rPr>
          <w:rFonts w:ascii="Times New Roman" w:hAnsi="Times New Roman"/>
        </w:rPr>
        <w:t xml:space="preserve">, which they described as "academic, in response to an abstract </w:t>
      </w:r>
      <w:r w:rsidRPr="00991383">
        <w:rPr>
          <w:rFonts w:ascii="Times New Roman" w:hAnsi="Times New Roman"/>
        </w:rPr>
        <w:lastRenderedPageBreak/>
        <w:t>question, and hypothetical in the sense that it was unrelated to any actual controversy between parties"</w:t>
      </w:r>
      <w:r w:rsidRPr="00991383">
        <w:rPr>
          <w:rStyle w:val="FootnoteReference"/>
          <w:rFonts w:ascii="Times New Roman" w:hAnsi="Times New Roman"/>
          <w:sz w:val="24"/>
        </w:rPr>
        <w:footnoteReference w:id="216"/>
      </w:r>
      <w:r w:rsidRPr="00991383">
        <w:rPr>
          <w:rFonts w:ascii="Times New Roman" w:hAnsi="Times New Roman"/>
        </w:rPr>
        <w:t>. Their Honours stated</w:t>
      </w:r>
      <w:r w:rsidRPr="00991383">
        <w:rPr>
          <w:rStyle w:val="FootnoteReference"/>
          <w:rFonts w:ascii="Times New Roman" w:hAnsi="Times New Roman"/>
          <w:sz w:val="24"/>
        </w:rPr>
        <w:footnoteReference w:id="217"/>
      </w:r>
      <w:r w:rsidRPr="00991383">
        <w:rPr>
          <w:rFonts w:ascii="Times New Roman" w:hAnsi="Times New Roman"/>
        </w:rPr>
        <w:t xml:space="preserve">: </w:t>
      </w:r>
    </w:p>
    <w:p w14:paraId="5A82E720" w14:textId="77777777" w:rsidR="00541D69" w:rsidRDefault="00541D69" w:rsidP="00991383">
      <w:pPr>
        <w:pStyle w:val="LeftrightafterHC"/>
        <w:spacing w:before="0" w:after="260" w:line="280" w:lineRule="exact"/>
        <w:ind w:right="0"/>
        <w:jc w:val="both"/>
        <w:rPr>
          <w:rFonts w:ascii="Times New Roman" w:hAnsi="Times New Roman"/>
        </w:rPr>
      </w:pPr>
      <w:r w:rsidRPr="00991383">
        <w:rPr>
          <w:rFonts w:ascii="Times New Roman" w:hAnsi="Times New Roman"/>
        </w:rPr>
        <w:t>"The fundamental point ... is that s 669</w:t>
      </w:r>
      <w:proofErr w:type="gramStart"/>
      <w:r w:rsidRPr="00991383">
        <w:rPr>
          <w:rFonts w:ascii="Times New Roman" w:hAnsi="Times New Roman"/>
        </w:rPr>
        <w:t>A(</w:t>
      </w:r>
      <w:proofErr w:type="gramEnd"/>
      <w:r w:rsidRPr="00991383">
        <w:rPr>
          <w:rFonts w:ascii="Times New Roman" w:hAnsi="Times New Roman"/>
        </w:rPr>
        <w:t>2) enables the Court of Criminal Appeal to correct an error of law at the trial. It is that characteristic of the proceedings that stamps them as an exercise of judicial power and the decision as a judgment or order within the meaning of s 73. Were it otherwise, the appellate jurisdiction of this Court would not extend to a review of decisions of courts of criminal appeal and full courts under s 669</w:t>
      </w:r>
      <w:proofErr w:type="gramStart"/>
      <w:r w:rsidRPr="00991383">
        <w:rPr>
          <w:rFonts w:ascii="Times New Roman" w:hAnsi="Times New Roman"/>
        </w:rPr>
        <w:t>A(</w:t>
      </w:r>
      <w:proofErr w:type="gramEnd"/>
      <w:r w:rsidRPr="00991383">
        <w:rPr>
          <w:rFonts w:ascii="Times New Roman" w:hAnsi="Times New Roman"/>
        </w:rPr>
        <w:t>2) and similar provisions in other jurisdictions which have as their object the giving of authoritative decisions on questions of criminal law for the better administration of justice."</w:t>
      </w:r>
    </w:p>
    <w:p w14:paraId="6AE99063"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r>
      <w:proofErr w:type="spellStart"/>
      <w:r w:rsidRPr="00991383">
        <w:rPr>
          <w:rFonts w:ascii="Times New Roman" w:hAnsi="Times New Roman"/>
          <w:i/>
          <w:iCs/>
        </w:rPr>
        <w:t>Mellifont</w:t>
      </w:r>
      <w:proofErr w:type="spellEnd"/>
      <w:r w:rsidRPr="00991383">
        <w:rPr>
          <w:rFonts w:ascii="Times New Roman" w:hAnsi="Times New Roman"/>
          <w:i/>
          <w:iCs/>
        </w:rPr>
        <w:t xml:space="preserve"> </w:t>
      </w:r>
      <w:r w:rsidRPr="00991383">
        <w:rPr>
          <w:rFonts w:ascii="Times New Roman" w:hAnsi="Times New Roman"/>
        </w:rPr>
        <w:t xml:space="preserve">was concerned with a specific referral procedure on questions of law in a criminal trial and whether answering such questions involved the exercise of judicial power. The case did not identify a separate question as to whether the exercise of the Court of Criminal Appeal's jurisdiction, or the subsequent invocation of this Court's appellate jurisdiction, was divorced from an attempt to administer the law. In </w:t>
      </w:r>
      <w:r w:rsidRPr="00991383">
        <w:rPr>
          <w:rFonts w:ascii="Times New Roman" w:hAnsi="Times New Roman"/>
          <w:i/>
          <w:iCs/>
          <w:lang w:val="en-US"/>
        </w:rPr>
        <w:t>Director of Public Prosecutions (SA) v B</w:t>
      </w:r>
      <w:r w:rsidRPr="00991383">
        <w:rPr>
          <w:rFonts w:ascii="Times New Roman" w:hAnsi="Times New Roman"/>
          <w:lang w:val="en-US"/>
        </w:rPr>
        <w:t>,</w:t>
      </w:r>
      <w:r w:rsidRPr="00991383">
        <w:rPr>
          <w:rFonts w:ascii="Times New Roman" w:hAnsi="Times New Roman"/>
        </w:rPr>
        <w:t xml:space="preserve"> </w:t>
      </w:r>
      <w:proofErr w:type="spellStart"/>
      <w:r w:rsidRPr="00991383">
        <w:rPr>
          <w:rFonts w:ascii="Times New Roman" w:hAnsi="Times New Roman"/>
          <w:lang w:val="en-US"/>
        </w:rPr>
        <w:t>Gaudron</w:t>
      </w:r>
      <w:proofErr w:type="spellEnd"/>
      <w:r w:rsidRPr="00991383">
        <w:rPr>
          <w:rFonts w:ascii="Times New Roman" w:hAnsi="Times New Roman"/>
          <w:lang w:val="en-US"/>
        </w:rPr>
        <w:t xml:space="preserve">, </w:t>
      </w:r>
      <w:proofErr w:type="spellStart"/>
      <w:r w:rsidRPr="00991383">
        <w:rPr>
          <w:rFonts w:ascii="Times New Roman" w:hAnsi="Times New Roman"/>
          <w:lang w:val="en-US"/>
        </w:rPr>
        <w:t>Gummow</w:t>
      </w:r>
      <w:proofErr w:type="spellEnd"/>
      <w:r w:rsidRPr="00991383">
        <w:rPr>
          <w:rFonts w:ascii="Times New Roman" w:hAnsi="Times New Roman"/>
          <w:lang w:val="en-US"/>
        </w:rPr>
        <w:t xml:space="preserve"> and Hayne JJ confirmed that it was "central to the reasoning" of the majority in </w:t>
      </w:r>
      <w:proofErr w:type="spellStart"/>
      <w:r w:rsidRPr="00991383">
        <w:rPr>
          <w:rFonts w:ascii="Times New Roman" w:hAnsi="Times New Roman"/>
          <w:i/>
          <w:iCs/>
          <w:lang w:val="en-US"/>
        </w:rPr>
        <w:t>Mellifont</w:t>
      </w:r>
      <w:proofErr w:type="spellEnd"/>
      <w:r w:rsidRPr="00991383">
        <w:rPr>
          <w:rFonts w:ascii="Times New Roman" w:hAnsi="Times New Roman"/>
          <w:i/>
          <w:iCs/>
          <w:lang w:val="en-US"/>
        </w:rPr>
        <w:t xml:space="preserve"> </w:t>
      </w:r>
      <w:r w:rsidRPr="00991383">
        <w:rPr>
          <w:rFonts w:ascii="Times New Roman" w:hAnsi="Times New Roman"/>
          <w:lang w:val="en-US"/>
        </w:rPr>
        <w:t>that the Court of Criminal Appeal's decision was "a decision made with respect to a 'matter' which was the subject matter of the legal proceedings at first instance"</w:t>
      </w:r>
      <w:r w:rsidRPr="00991383">
        <w:rPr>
          <w:rStyle w:val="FootnoteReference"/>
          <w:rFonts w:ascii="Times New Roman" w:hAnsi="Times New Roman"/>
          <w:sz w:val="24"/>
          <w:lang w:val="en-US"/>
        </w:rPr>
        <w:footnoteReference w:id="218"/>
      </w:r>
      <w:r w:rsidRPr="00991383">
        <w:rPr>
          <w:rFonts w:ascii="Times New Roman" w:hAnsi="Times New Roman"/>
          <w:lang w:val="en-US"/>
        </w:rPr>
        <w:t xml:space="preserve">. </w:t>
      </w:r>
      <w:r w:rsidRPr="00991383">
        <w:rPr>
          <w:rFonts w:ascii="Times New Roman" w:hAnsi="Times New Roman"/>
        </w:rPr>
        <w:t xml:space="preserve">Their Honours noted that the majority in </w:t>
      </w:r>
      <w:proofErr w:type="spellStart"/>
      <w:r w:rsidRPr="00991383">
        <w:rPr>
          <w:rFonts w:ascii="Times New Roman" w:hAnsi="Times New Roman"/>
          <w:i/>
          <w:iCs/>
        </w:rPr>
        <w:t>Mellifont</w:t>
      </w:r>
      <w:proofErr w:type="spellEnd"/>
      <w:r w:rsidRPr="00991383">
        <w:rPr>
          <w:rFonts w:ascii="Times New Roman" w:hAnsi="Times New Roman"/>
          <w:i/>
          <w:iCs/>
        </w:rPr>
        <w:t xml:space="preserve"> </w:t>
      </w:r>
      <w:r w:rsidRPr="00991383">
        <w:rPr>
          <w:rFonts w:ascii="Times New Roman" w:hAnsi="Times New Roman"/>
        </w:rPr>
        <w:t>expressly did not rely on the prospect of the prosecution filing a fresh indictment against the appellant in concluding that the Court of Criminal Appeal's answers were a judgment or order for the purpose of an appeal within the meaning of s 73</w:t>
      </w:r>
      <w:r w:rsidRPr="00991383">
        <w:rPr>
          <w:rStyle w:val="FootnoteReference"/>
          <w:rFonts w:ascii="Times New Roman" w:hAnsi="Times New Roman"/>
          <w:sz w:val="24"/>
        </w:rPr>
        <w:footnoteReference w:id="219"/>
      </w:r>
      <w:r w:rsidRPr="00991383">
        <w:rPr>
          <w:rFonts w:ascii="Times New Roman" w:hAnsi="Times New Roman"/>
        </w:rPr>
        <w:t xml:space="preserve">. </w:t>
      </w:r>
    </w:p>
    <w:p w14:paraId="1D551709"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i/>
          <w:iCs/>
        </w:rPr>
        <w:tab/>
      </w:r>
      <w:proofErr w:type="spellStart"/>
      <w:r w:rsidRPr="00991383">
        <w:rPr>
          <w:rFonts w:ascii="Times New Roman" w:hAnsi="Times New Roman"/>
          <w:i/>
          <w:iCs/>
        </w:rPr>
        <w:t>Mellifont</w:t>
      </w:r>
      <w:proofErr w:type="spellEnd"/>
      <w:r w:rsidRPr="00991383">
        <w:rPr>
          <w:rFonts w:ascii="Times New Roman" w:hAnsi="Times New Roman"/>
        </w:rPr>
        <w:t xml:space="preserve"> consequently demonstrates that there may be a "matter" for the purposes of appellate jurisdiction in the absence of an ongoing dispute between parties who will be affected by the order of the appellate court. The subject matter in </w:t>
      </w:r>
      <w:proofErr w:type="spellStart"/>
      <w:r w:rsidRPr="00991383">
        <w:rPr>
          <w:rFonts w:ascii="Times New Roman" w:hAnsi="Times New Roman"/>
          <w:i/>
          <w:iCs/>
        </w:rPr>
        <w:t>Mellifont</w:t>
      </w:r>
      <w:proofErr w:type="spellEnd"/>
      <w:r w:rsidRPr="00991383">
        <w:rPr>
          <w:rFonts w:ascii="Times New Roman" w:hAnsi="Times New Roman"/>
          <w:i/>
          <w:iCs/>
        </w:rPr>
        <w:t xml:space="preserve"> </w:t>
      </w:r>
      <w:r w:rsidRPr="00991383">
        <w:rPr>
          <w:rFonts w:ascii="Times New Roman" w:hAnsi="Times New Roman"/>
        </w:rPr>
        <w:t>was plainly "justiciable in character", namely the alleged errors of law by the trial judge. There was no lack of concreteness and the State appeared as a contradictor.</w:t>
      </w:r>
    </w:p>
    <w:p w14:paraId="64616B7D"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lastRenderedPageBreak/>
        <w:tab/>
      </w:r>
      <w:r w:rsidRPr="00991383">
        <w:rPr>
          <w:rFonts w:ascii="Times New Roman" w:hAnsi="Times New Roman"/>
          <w:lang w:val="en-US"/>
        </w:rPr>
        <w:t>In</w:t>
      </w:r>
      <w:r w:rsidRPr="00991383">
        <w:rPr>
          <w:rFonts w:ascii="Times New Roman" w:hAnsi="Times New Roman"/>
        </w:rPr>
        <w:t xml:space="preserve"> </w:t>
      </w:r>
      <w:r w:rsidRPr="00991383">
        <w:rPr>
          <w:rFonts w:ascii="Times New Roman" w:hAnsi="Times New Roman"/>
          <w:i/>
          <w:iCs/>
        </w:rPr>
        <w:t xml:space="preserve">Re McBain; Ex </w:t>
      </w:r>
      <w:proofErr w:type="spellStart"/>
      <w:r w:rsidRPr="00991383">
        <w:rPr>
          <w:rFonts w:ascii="Times New Roman" w:hAnsi="Times New Roman"/>
          <w:i/>
          <w:iCs/>
        </w:rPr>
        <w:t>parte</w:t>
      </w:r>
      <w:proofErr w:type="spellEnd"/>
      <w:r w:rsidRPr="00991383">
        <w:rPr>
          <w:rFonts w:ascii="Times New Roman" w:hAnsi="Times New Roman"/>
          <w:i/>
          <w:iCs/>
        </w:rPr>
        <w:t xml:space="preserve"> Australian Catholic Bishops Conference</w:t>
      </w:r>
      <w:r w:rsidRPr="00991383">
        <w:rPr>
          <w:rFonts w:ascii="Times New Roman" w:hAnsi="Times New Roman"/>
        </w:rPr>
        <w:t xml:space="preserve">, </w:t>
      </w:r>
      <w:proofErr w:type="spellStart"/>
      <w:r w:rsidRPr="00991383">
        <w:rPr>
          <w:rFonts w:ascii="Times New Roman" w:hAnsi="Times New Roman"/>
        </w:rPr>
        <w:t>Gaudron</w:t>
      </w:r>
      <w:proofErr w:type="spellEnd"/>
      <w:r w:rsidRPr="00991383">
        <w:rPr>
          <w:rFonts w:ascii="Times New Roman" w:hAnsi="Times New Roman"/>
        </w:rPr>
        <w:t xml:space="preserve"> and </w:t>
      </w:r>
      <w:proofErr w:type="spellStart"/>
      <w:r w:rsidRPr="00991383">
        <w:rPr>
          <w:rFonts w:ascii="Times New Roman" w:hAnsi="Times New Roman"/>
        </w:rPr>
        <w:t>Gummow</w:t>
      </w:r>
      <w:proofErr w:type="spellEnd"/>
      <w:r w:rsidRPr="00991383">
        <w:rPr>
          <w:rFonts w:ascii="Times New Roman" w:hAnsi="Times New Roman"/>
        </w:rPr>
        <w:t xml:space="preserve"> JJ further explained the import of </w:t>
      </w:r>
      <w:proofErr w:type="spellStart"/>
      <w:r w:rsidRPr="00991383">
        <w:rPr>
          <w:rFonts w:ascii="Times New Roman" w:hAnsi="Times New Roman"/>
          <w:i/>
          <w:iCs/>
        </w:rPr>
        <w:t>Mellifont</w:t>
      </w:r>
      <w:proofErr w:type="spellEnd"/>
      <w:r w:rsidRPr="00991383">
        <w:rPr>
          <w:rFonts w:ascii="Times New Roman" w:hAnsi="Times New Roman"/>
          <w:i/>
          <w:iCs/>
        </w:rPr>
        <w:t xml:space="preserve"> </w:t>
      </w:r>
      <w:r w:rsidRPr="00991383">
        <w:rPr>
          <w:rFonts w:ascii="Times New Roman" w:hAnsi="Times New Roman"/>
        </w:rPr>
        <w:t>as follows</w:t>
      </w:r>
      <w:r w:rsidRPr="00991383">
        <w:rPr>
          <w:rStyle w:val="FootnoteReference"/>
          <w:rFonts w:ascii="Times New Roman" w:hAnsi="Times New Roman"/>
          <w:sz w:val="24"/>
        </w:rPr>
        <w:footnoteReference w:id="220"/>
      </w:r>
      <w:r w:rsidRPr="00991383">
        <w:rPr>
          <w:rFonts w:ascii="Times New Roman" w:hAnsi="Times New Roman"/>
        </w:rPr>
        <w:t xml:space="preserve">: </w:t>
      </w:r>
    </w:p>
    <w:p w14:paraId="08659599" w14:textId="77777777" w:rsidR="00541D69" w:rsidRDefault="00541D69" w:rsidP="00991383">
      <w:pPr>
        <w:pStyle w:val="LeftrightafterHC"/>
        <w:spacing w:before="0" w:after="260" w:line="280" w:lineRule="exact"/>
        <w:ind w:right="0"/>
        <w:jc w:val="both"/>
        <w:rPr>
          <w:rFonts w:ascii="Times New Roman" w:hAnsi="Times New Roman"/>
        </w:rPr>
      </w:pPr>
      <w:r w:rsidRPr="00991383">
        <w:rPr>
          <w:rFonts w:ascii="Times New Roman" w:hAnsi="Times New Roman"/>
        </w:rPr>
        <w:t>"The decision of the Court of Criminal Appeal was held to involve the exercise of judicial power by that Court because the procedure was directed to correcting errors in a criminal trial. Thus, the decision fell within the words 'judgments, decrees, orders' in s 73 of the Constitution and this Court had jurisdiction to entertain an appeal from it."</w:t>
      </w:r>
    </w:p>
    <w:p w14:paraId="3C28B35F"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As a matter of principle, the Full Court's decision in this case was no less an exercise of judicial power than the Court of Criminal Appeal's decision in </w:t>
      </w:r>
      <w:proofErr w:type="spellStart"/>
      <w:r w:rsidRPr="00991383">
        <w:rPr>
          <w:rFonts w:ascii="Times New Roman" w:hAnsi="Times New Roman"/>
          <w:i/>
          <w:iCs/>
        </w:rPr>
        <w:t>Mellifont</w:t>
      </w:r>
      <w:proofErr w:type="spellEnd"/>
      <w:r w:rsidRPr="00991383" w:rsidDel="00E07C40">
        <w:rPr>
          <w:rFonts w:ascii="Times New Roman" w:hAnsi="Times New Roman"/>
          <w:i/>
        </w:rPr>
        <w:t xml:space="preserve"> </w:t>
      </w:r>
      <w:r w:rsidRPr="00991383">
        <w:rPr>
          <w:rFonts w:ascii="Times New Roman" w:hAnsi="Times New Roman"/>
          <w:iCs/>
        </w:rPr>
        <w:t xml:space="preserve">simply </w:t>
      </w:r>
      <w:r w:rsidRPr="00991383">
        <w:rPr>
          <w:rFonts w:ascii="Times New Roman" w:hAnsi="Times New Roman"/>
        </w:rPr>
        <w:t xml:space="preserve">because its process was directed to correcting errors of a single judge of the Federal Court instead of errors in a criminal trial. Moreover, and unlike </w:t>
      </w:r>
      <w:proofErr w:type="spellStart"/>
      <w:r w:rsidRPr="00991383">
        <w:rPr>
          <w:rFonts w:ascii="Times New Roman" w:hAnsi="Times New Roman"/>
          <w:i/>
          <w:iCs/>
        </w:rPr>
        <w:t>Mellifont</w:t>
      </w:r>
      <w:proofErr w:type="spellEnd"/>
      <w:r w:rsidRPr="00991383">
        <w:rPr>
          <w:rFonts w:ascii="Times New Roman" w:hAnsi="Times New Roman"/>
        </w:rPr>
        <w:t>, these appeals to the Full Court clearly were from orders that continued to bind the parties. Regardless of the efficacy of the primary judge's orders, they remained valid unless and until set aside and included a judicial command to a member of the executive government, underpinned by a declaration as to the relevant statutory provision regulating the appellant's status. As a matter of principle, the judicial act of setting aside orders of the primary judge is properly characterised as an act of administering the relevant law</w:t>
      </w:r>
      <w:r w:rsidRPr="00991383">
        <w:rPr>
          <w:rStyle w:val="FootnoteReference"/>
          <w:rFonts w:ascii="Times New Roman" w:hAnsi="Times New Roman"/>
          <w:sz w:val="24"/>
        </w:rPr>
        <w:footnoteReference w:id="221"/>
      </w:r>
      <w:r w:rsidRPr="00991383">
        <w:rPr>
          <w:rFonts w:ascii="Times New Roman" w:hAnsi="Times New Roman"/>
        </w:rPr>
        <w:t xml:space="preserve"> that follows upon the answers to questions that arise for consideration upon an appeal. In that way, the appeals to the Full Court </w:t>
      </w:r>
      <w:proofErr w:type="gramStart"/>
      <w:r w:rsidRPr="00991383">
        <w:rPr>
          <w:rFonts w:ascii="Times New Roman" w:hAnsi="Times New Roman"/>
        </w:rPr>
        <w:t>involved a "matter" at all times</w:t>
      </w:r>
      <w:proofErr w:type="gramEnd"/>
      <w:r w:rsidRPr="00991383">
        <w:rPr>
          <w:rFonts w:ascii="Times New Roman" w:hAnsi="Times New Roman"/>
        </w:rPr>
        <w:t xml:space="preserve"> and never called upon that Court to exercise judicial power divorced from the administration of the law.</w:t>
      </w:r>
    </w:p>
    <w:p w14:paraId="00762479" w14:textId="77777777" w:rsidR="00541D69" w:rsidRPr="00991383" w:rsidRDefault="00541D69" w:rsidP="00991383">
      <w:pPr>
        <w:pStyle w:val="HeadingL1"/>
        <w:spacing w:after="260" w:line="280" w:lineRule="exact"/>
        <w:ind w:right="0"/>
        <w:jc w:val="both"/>
        <w:rPr>
          <w:rFonts w:ascii="Times New Roman" w:hAnsi="Times New Roman"/>
        </w:rPr>
      </w:pPr>
      <w:r w:rsidRPr="00991383">
        <w:rPr>
          <w:rFonts w:ascii="Times New Roman" w:hAnsi="Times New Roman"/>
        </w:rPr>
        <w:t>Outstanding controversies before the Full Court</w:t>
      </w:r>
    </w:p>
    <w:p w14:paraId="4F61EB15"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Even if it is not accepted that the subject matter of the proceedings below and the correction of error therein is sufficient to sustain a "matter" at the appellate level, there remained outstanding controversies for determination by the Full Court notwithstanding the Minister's determination. </w:t>
      </w:r>
    </w:p>
    <w:p w14:paraId="7A845626" w14:textId="77777777" w:rsidR="00541D69" w:rsidRPr="00991383" w:rsidRDefault="00541D69" w:rsidP="00991383">
      <w:pPr>
        <w:pStyle w:val="HeadingL2"/>
        <w:spacing w:after="260" w:line="280" w:lineRule="exact"/>
        <w:ind w:right="0"/>
        <w:jc w:val="both"/>
        <w:rPr>
          <w:rFonts w:ascii="Times New Roman" w:hAnsi="Times New Roman"/>
        </w:rPr>
      </w:pPr>
      <w:r w:rsidRPr="00991383">
        <w:rPr>
          <w:rFonts w:ascii="Times New Roman" w:hAnsi="Times New Roman"/>
        </w:rPr>
        <w:t xml:space="preserve">Controversy about Federal Court's power to make home detention </w:t>
      </w:r>
      <w:proofErr w:type="gramStart"/>
      <w:r w:rsidRPr="00991383">
        <w:rPr>
          <w:rFonts w:ascii="Times New Roman" w:hAnsi="Times New Roman"/>
        </w:rPr>
        <w:t>orders</w:t>
      </w:r>
      <w:proofErr w:type="gramEnd"/>
    </w:p>
    <w:p w14:paraId="41E9ED16"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The purpose of the "matter" requirement is to establish the suitability of proceedings as the object of the exercise of the judicial power of the Commonwealth. The characterisation of a dispute between parties as a "matter" may, in some circumstances, be described at different levels of generality. At a very high level of generality, the appellant and the Commonwealth parties were, and continue to be, in dispute about the circumstances of the appellant's detention </w:t>
      </w:r>
      <w:r w:rsidRPr="00991383">
        <w:rPr>
          <w:rFonts w:ascii="Times New Roman" w:hAnsi="Times New Roman"/>
        </w:rPr>
        <w:lastRenderedPageBreak/>
        <w:t>by the Commonwealth. The appellant, who has now been in immigration detention for a decade, claims that the Secretary has failed in his duties to remove him from Australia and thereby to release the appellant from immigration detention. One aspect of that dispute concerns the power of the Federal Court to compel the Secretary to detain the appellant at an address stipulated by the Court, outside of an immigration detention facility</w:t>
      </w:r>
      <w:r w:rsidRPr="00991383">
        <w:rPr>
          <w:rStyle w:val="FootnoteReference"/>
          <w:rFonts w:ascii="Times New Roman" w:hAnsi="Times New Roman"/>
          <w:sz w:val="24"/>
        </w:rPr>
        <w:footnoteReference w:id="222"/>
      </w:r>
      <w:r w:rsidRPr="00991383">
        <w:rPr>
          <w:rFonts w:ascii="Times New Roman" w:hAnsi="Times New Roman"/>
        </w:rPr>
        <w:t xml:space="preserve">. </w:t>
      </w:r>
    </w:p>
    <w:p w14:paraId="46393371"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The currency of that aspect of the dispute was sufficiently demonstrated by the appellant's claim in this Court to restore the primary judge's orders (which included the home detention orders, notwithstanding they would have no effect), together with his claim for home detention orders in relevantly identical terms in his extant proceedings seeking to compel the Secretary to comply with s 198 of the </w:t>
      </w:r>
      <w:r w:rsidRPr="00991383">
        <w:rPr>
          <w:rFonts w:ascii="Times New Roman" w:hAnsi="Times New Roman"/>
          <w:i/>
          <w:iCs/>
        </w:rPr>
        <w:t>Migration Act</w:t>
      </w:r>
      <w:r w:rsidRPr="00991383">
        <w:rPr>
          <w:rFonts w:ascii="Times New Roman" w:hAnsi="Times New Roman"/>
        </w:rPr>
        <w:t xml:space="preserve">. As the Full Court's judgment demonstrates, the question of power was capable of being decided by reference to the facts found by the primary judge. </w:t>
      </w:r>
    </w:p>
    <w:p w14:paraId="1B7756B6" w14:textId="77777777" w:rsidR="00541D69" w:rsidRPr="00991383" w:rsidRDefault="00541D69" w:rsidP="00991383">
      <w:pPr>
        <w:pStyle w:val="HeadingL2"/>
        <w:spacing w:after="260" w:line="280" w:lineRule="exact"/>
        <w:ind w:right="0"/>
        <w:jc w:val="both"/>
        <w:rPr>
          <w:rFonts w:ascii="Times New Roman" w:hAnsi="Times New Roman"/>
        </w:rPr>
      </w:pPr>
      <w:r w:rsidRPr="00991383">
        <w:rPr>
          <w:rFonts w:ascii="Times New Roman" w:hAnsi="Times New Roman"/>
        </w:rPr>
        <w:t>Costs and appellate jurisdiction</w:t>
      </w:r>
    </w:p>
    <w:p w14:paraId="4C4643BB"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Further</w:t>
      </w:r>
      <w:r w:rsidRPr="00991383" w:rsidDel="008B60AC">
        <w:rPr>
          <w:rFonts w:ascii="Times New Roman" w:hAnsi="Times New Roman"/>
        </w:rPr>
        <w:t xml:space="preserve">, </w:t>
      </w:r>
      <w:r w:rsidRPr="00991383">
        <w:rPr>
          <w:rFonts w:ascii="Times New Roman" w:hAnsi="Times New Roman"/>
        </w:rPr>
        <w:t>there was a live controversy before the Full Court</w:t>
      </w:r>
      <w:r w:rsidRPr="00991383">
        <w:rPr>
          <w:rStyle w:val="FootnoteReference"/>
          <w:rFonts w:ascii="Times New Roman" w:hAnsi="Times New Roman"/>
          <w:sz w:val="24"/>
        </w:rPr>
        <w:footnoteReference w:id="223"/>
      </w:r>
      <w:r w:rsidRPr="00991383">
        <w:rPr>
          <w:rFonts w:ascii="Times New Roman" w:hAnsi="Times New Roman"/>
        </w:rPr>
        <w:t xml:space="preserve"> as to who should pay the costs of the proceeding before the primary judge and, consequently, the costs of the appeals. </w:t>
      </w:r>
    </w:p>
    <w:p w14:paraId="3EA13EF1"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As costs ordinarily follow the event in proceedings brought in the Federal Court, an appeal will typically involve a controversy as to who should pay the costs of the proceeding at first instance. An appeal seeking to set aside an order as to costs involves a real issue that may be determined by reference to the merits of the appeal, and that is or may form part of a "matter"</w:t>
      </w:r>
      <w:r w:rsidRPr="00991383">
        <w:rPr>
          <w:rStyle w:val="FootnoteReference"/>
          <w:rFonts w:ascii="Times New Roman" w:hAnsi="Times New Roman"/>
          <w:sz w:val="24"/>
        </w:rPr>
        <w:footnoteReference w:id="224"/>
      </w:r>
      <w:r w:rsidRPr="00991383">
        <w:rPr>
          <w:rFonts w:ascii="Times New Roman" w:hAnsi="Times New Roman"/>
        </w:rPr>
        <w:t>. In this case, at the hearing of the Full Court appeals on 8 February 2022, the Commonwealth parties' counsel undertook to seek instructions whether the Commonwealth parties would bear the costs of the appeals and would not seek to disturb the costs orders made in each proceeding below</w:t>
      </w:r>
      <w:r w:rsidRPr="00991383">
        <w:rPr>
          <w:rStyle w:val="FootnoteReference"/>
          <w:rFonts w:ascii="Times New Roman" w:hAnsi="Times New Roman"/>
          <w:sz w:val="24"/>
        </w:rPr>
        <w:footnoteReference w:id="225"/>
      </w:r>
      <w:r w:rsidRPr="00991383">
        <w:rPr>
          <w:rFonts w:ascii="Times New Roman" w:hAnsi="Times New Roman"/>
        </w:rPr>
        <w:t xml:space="preserve">. On 25 March 2022, the Commonwealth parties filed amended notices of appeal, each proposing an order that the Commonwealth parties pay the appellant's costs of the </w:t>
      </w:r>
      <w:proofErr w:type="gramStart"/>
      <w:r w:rsidRPr="00991383">
        <w:rPr>
          <w:rFonts w:ascii="Times New Roman" w:hAnsi="Times New Roman"/>
        </w:rPr>
        <w:t>appeal, and</w:t>
      </w:r>
      <w:proofErr w:type="gramEnd"/>
      <w:r w:rsidRPr="00991383">
        <w:rPr>
          <w:rFonts w:ascii="Times New Roman" w:hAnsi="Times New Roman"/>
        </w:rPr>
        <w:t xml:space="preserve"> noting that the Commonwealth parties did not seek to disturb the costs orders made by the primary judge. </w:t>
      </w:r>
    </w:p>
    <w:p w14:paraId="4AF86D81" w14:textId="77777777" w:rsidR="00541D69" w:rsidRPr="00991383" w:rsidRDefault="00541D69" w:rsidP="00991383">
      <w:pPr>
        <w:pStyle w:val="FixListStyle"/>
        <w:spacing w:after="260" w:line="280" w:lineRule="exact"/>
        <w:ind w:right="0"/>
        <w:jc w:val="both"/>
        <w:rPr>
          <w:rFonts w:ascii="Times New Roman" w:hAnsi="Times New Roman"/>
        </w:rPr>
      </w:pPr>
      <w:r w:rsidRPr="00991383">
        <w:rPr>
          <w:rFonts w:ascii="Times New Roman" w:hAnsi="Times New Roman"/>
        </w:rPr>
        <w:tab/>
        <w:t xml:space="preserve">If costs had been the only issue in the appeals, then a question may have arisen on the filing of the amended notices of appeal as to whether the Full Court </w:t>
      </w:r>
      <w:r w:rsidRPr="00991383">
        <w:rPr>
          <w:rFonts w:ascii="Times New Roman" w:hAnsi="Times New Roman"/>
        </w:rPr>
        <w:lastRenderedPageBreak/>
        <w:t>should have delivered its judgment on the substantive issues</w:t>
      </w:r>
      <w:r w:rsidRPr="00991383">
        <w:rPr>
          <w:rStyle w:val="FootnoteReference"/>
          <w:rFonts w:ascii="Times New Roman" w:hAnsi="Times New Roman"/>
          <w:sz w:val="24"/>
        </w:rPr>
        <w:footnoteReference w:id="226"/>
      </w:r>
      <w:r w:rsidRPr="00991383">
        <w:rPr>
          <w:rFonts w:ascii="Times New Roman" w:hAnsi="Times New Roman"/>
        </w:rPr>
        <w:t>. No doubt, the appellant would have been concerned to obtain the costs orders that the Commonwealth parties now sought in the appellant's favour. Putting aside the substantive questions, the Full Court would have retained jurisdiction to make orders concerning costs, and a "matter" would have subsisted.</w:t>
      </w:r>
    </w:p>
    <w:p w14:paraId="378DD26B" w14:textId="41D2BDE8" w:rsidR="00541D69" w:rsidRPr="00991383" w:rsidRDefault="00541D69" w:rsidP="00991383">
      <w:pPr>
        <w:pStyle w:val="HeadingL1"/>
        <w:spacing w:after="260" w:line="280" w:lineRule="exact"/>
        <w:ind w:right="0"/>
        <w:jc w:val="both"/>
        <w:rPr>
          <w:rFonts w:ascii="Times New Roman" w:hAnsi="Times New Roman"/>
        </w:rPr>
      </w:pPr>
      <w:r w:rsidRPr="00991383">
        <w:rPr>
          <w:rFonts w:ascii="Times New Roman" w:hAnsi="Times New Roman"/>
        </w:rPr>
        <w:t>Conclusion</w:t>
      </w:r>
    </w:p>
    <w:p w14:paraId="1986E09B" w14:textId="77777777" w:rsidR="00AD38A0" w:rsidRDefault="00541D69" w:rsidP="00541D69">
      <w:pPr>
        <w:pStyle w:val="FixListStyle"/>
        <w:spacing w:after="260" w:line="280" w:lineRule="exact"/>
        <w:ind w:right="0"/>
        <w:jc w:val="both"/>
        <w:rPr>
          <w:rFonts w:ascii="Times New Roman" w:hAnsi="Times New Roman"/>
        </w:rPr>
      </w:pPr>
      <w:r w:rsidRPr="00991383">
        <w:rPr>
          <w:rFonts w:ascii="Times New Roman" w:hAnsi="Times New Roman"/>
        </w:rPr>
        <w:tab/>
        <w:t>I would dismiss the appeals insofar as the appellant contended that the Full Court lacked jurisdiction. As this is a minority view and the Full Court's orders will be set aside, it is unnecessary for me to say anything about the other issues raised in the appeals.</w:t>
      </w:r>
    </w:p>
    <w:p w14:paraId="6330F576" w14:textId="7C02FBE8" w:rsidR="007F6A5B" w:rsidRDefault="007F6A5B" w:rsidP="00541D69">
      <w:pPr>
        <w:pStyle w:val="FixListStyle"/>
        <w:spacing w:after="260" w:line="280" w:lineRule="exact"/>
        <w:ind w:right="0"/>
        <w:jc w:val="both"/>
        <w:rPr>
          <w:rFonts w:ascii="Times New Roman" w:hAnsi="Times New Roman"/>
        </w:rPr>
        <w:sectPr w:rsidR="007F6A5B" w:rsidSect="00620340">
          <w:headerReference w:type="even" r:id="rId27"/>
          <w:headerReference w:type="default" r:id="rId28"/>
          <w:headerReference w:type="first" r:id="rId29"/>
          <w:pgSz w:w="11907" w:h="16839" w:code="9"/>
          <w:pgMar w:top="1440" w:right="1701" w:bottom="1984" w:left="1701" w:header="720" w:footer="720" w:gutter="0"/>
          <w:cols w:space="720"/>
          <w:docGrid w:linePitch="354"/>
        </w:sectPr>
      </w:pPr>
    </w:p>
    <w:p w14:paraId="5BB4DB13" w14:textId="7ABD0E19" w:rsidR="00A73989" w:rsidRPr="00541D69" w:rsidRDefault="00A73989" w:rsidP="007F6A5B">
      <w:pPr>
        <w:pStyle w:val="NormalBody"/>
      </w:pPr>
    </w:p>
    <w:sectPr w:rsidR="00A73989" w:rsidRPr="00541D69" w:rsidSect="00620340">
      <w:headerReference w:type="default" r:id="rId30"/>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7ED4" w14:textId="77777777" w:rsidR="006F7EBD" w:rsidRDefault="006F7EBD">
      <w:pPr>
        <w:spacing w:line="240" w:lineRule="auto"/>
      </w:pPr>
      <w:r>
        <w:separator/>
      </w:r>
    </w:p>
  </w:endnote>
  <w:endnote w:type="continuationSeparator" w:id="0">
    <w:p w14:paraId="38951EBC" w14:textId="77777777" w:rsidR="006F7EBD" w:rsidRDefault="006F7EBD">
      <w:pPr>
        <w:spacing w:line="240" w:lineRule="auto"/>
      </w:pPr>
      <w:r>
        <w:continuationSeparator/>
      </w:r>
    </w:p>
  </w:endnote>
  <w:endnote w:type="continuationNotice" w:id="1">
    <w:p w14:paraId="74B63C4A" w14:textId="77777777" w:rsidR="006F7EBD" w:rsidRDefault="006F7E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Calibri"/>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93CD" w14:textId="77777777" w:rsidR="00445CF2" w:rsidRDefault="00445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83F0" w14:textId="77777777" w:rsidR="00445CF2" w:rsidRDefault="00445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97AD" w14:textId="77777777" w:rsidR="00445CF2" w:rsidRDefault="00445C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E14C" w14:textId="77777777" w:rsidR="00445CF2" w:rsidRDefault="00445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5842" w14:textId="77777777" w:rsidR="00445CF2" w:rsidRDefault="00445C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35D1" w14:textId="77777777" w:rsidR="00445CF2" w:rsidRDefault="0044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5655" w14:textId="77777777" w:rsidR="006F7EBD" w:rsidRPr="0020045E" w:rsidRDefault="006F7EBD" w:rsidP="0020045E">
      <w:pPr>
        <w:pStyle w:val="Footer"/>
        <w:spacing w:before="120" w:after="20"/>
        <w:ind w:right="0"/>
        <w:rPr>
          <w:rFonts w:ascii="Times New Roman" w:hAnsi="Times New Roman"/>
        </w:rPr>
      </w:pPr>
      <w:r>
        <w:continuationSeparator/>
      </w:r>
    </w:p>
  </w:footnote>
  <w:footnote w:type="continuationSeparator" w:id="0">
    <w:p w14:paraId="6B2731C1" w14:textId="77777777" w:rsidR="006F7EBD" w:rsidRPr="0020045E" w:rsidRDefault="006F7EBD" w:rsidP="0020045E">
      <w:pPr>
        <w:pStyle w:val="Footer"/>
        <w:spacing w:before="120" w:after="20"/>
        <w:ind w:right="0"/>
        <w:rPr>
          <w:rFonts w:ascii="Times New Roman" w:hAnsi="Times New Roman"/>
        </w:rPr>
      </w:pPr>
      <w:r w:rsidRPr="0020045E">
        <w:rPr>
          <w:rFonts w:ascii="Times New Roman" w:hAnsi="Times New Roman"/>
        </w:rPr>
        <w:continuationSeparator/>
      </w:r>
    </w:p>
  </w:footnote>
  <w:footnote w:type="continuationNotice" w:id="1">
    <w:p w14:paraId="50236335" w14:textId="77777777" w:rsidR="006F7EBD" w:rsidRPr="00541D69" w:rsidRDefault="006F7EBD">
      <w:pPr>
        <w:jc w:val="right"/>
        <w:rPr>
          <w:rFonts w:ascii="Times New Roman" w:hAnsi="Times New Roman"/>
          <w:sz w:val="24"/>
        </w:rPr>
      </w:pPr>
    </w:p>
  </w:footnote>
  <w:footnote w:id="2">
    <w:p w14:paraId="20C48CCB" w14:textId="1970278F"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Minister for Immigration, Citizenship, Migrant Services and Multicultural </w:t>
      </w:r>
      <w:proofErr w:type="gramStart"/>
      <w:r w:rsidRPr="0020045E">
        <w:rPr>
          <w:rFonts w:ascii="Times New Roman" w:hAnsi="Times New Roman"/>
          <w:i/>
          <w:iCs/>
          <w:sz w:val="24"/>
        </w:rPr>
        <w:t>Affairs  v</w:t>
      </w:r>
      <w:proofErr w:type="gramEnd"/>
      <w:r w:rsidRPr="0020045E">
        <w:rPr>
          <w:rFonts w:ascii="Times New Roman" w:hAnsi="Times New Roman"/>
          <w:i/>
          <w:iCs/>
          <w:sz w:val="24"/>
        </w:rPr>
        <w:t xml:space="preserve"> AZC20</w:t>
      </w:r>
      <w:r w:rsidRPr="0020045E">
        <w:rPr>
          <w:rFonts w:ascii="Times New Roman" w:hAnsi="Times New Roman"/>
          <w:sz w:val="24"/>
        </w:rPr>
        <w:t xml:space="preserve"> </w:t>
      </w:r>
      <w:r w:rsidR="00A05DD6" w:rsidRPr="0020045E">
        <w:rPr>
          <w:rFonts w:ascii="Times New Roman" w:hAnsi="Times New Roman"/>
          <w:sz w:val="24"/>
        </w:rPr>
        <w:t>(</w:t>
      </w:r>
      <w:r w:rsidRPr="0020045E">
        <w:rPr>
          <w:rFonts w:ascii="Times New Roman" w:hAnsi="Times New Roman"/>
          <w:sz w:val="24"/>
        </w:rPr>
        <w:t>2022</w:t>
      </w:r>
      <w:r w:rsidR="00A05DD6" w:rsidRPr="0020045E">
        <w:rPr>
          <w:rFonts w:ascii="Times New Roman" w:hAnsi="Times New Roman"/>
          <w:sz w:val="24"/>
        </w:rPr>
        <w:t>)</w:t>
      </w:r>
      <w:r w:rsidRPr="0020045E">
        <w:rPr>
          <w:rFonts w:ascii="Times New Roman" w:hAnsi="Times New Roman"/>
          <w:sz w:val="24"/>
        </w:rPr>
        <w:t xml:space="preserve"> </w:t>
      </w:r>
      <w:r w:rsidR="00A05DD6" w:rsidRPr="0020045E">
        <w:rPr>
          <w:rFonts w:ascii="Times New Roman" w:hAnsi="Times New Roman"/>
          <w:sz w:val="24"/>
        </w:rPr>
        <w:t xml:space="preserve">290 </w:t>
      </w:r>
      <w:r w:rsidRPr="0020045E">
        <w:rPr>
          <w:rFonts w:ascii="Times New Roman" w:hAnsi="Times New Roman"/>
          <w:sz w:val="24"/>
        </w:rPr>
        <w:t>FC</w:t>
      </w:r>
      <w:r w:rsidR="00A05DD6" w:rsidRPr="0020045E">
        <w:rPr>
          <w:rFonts w:ascii="Times New Roman" w:hAnsi="Times New Roman"/>
          <w:sz w:val="24"/>
        </w:rPr>
        <w:t>R</w:t>
      </w:r>
      <w:r w:rsidRPr="0020045E">
        <w:rPr>
          <w:rFonts w:ascii="Times New Roman" w:hAnsi="Times New Roman"/>
          <w:sz w:val="24"/>
        </w:rPr>
        <w:t xml:space="preserve"> </w:t>
      </w:r>
      <w:r w:rsidR="00A05DD6" w:rsidRPr="0020045E">
        <w:rPr>
          <w:rFonts w:ascii="Times New Roman" w:hAnsi="Times New Roman"/>
          <w:sz w:val="24"/>
        </w:rPr>
        <w:t>149</w:t>
      </w:r>
      <w:r w:rsidRPr="0020045E">
        <w:rPr>
          <w:rFonts w:ascii="Times New Roman" w:hAnsi="Times New Roman"/>
          <w:sz w:val="24"/>
        </w:rPr>
        <w:t xml:space="preserve"> at </w:t>
      </w:r>
      <w:r w:rsidR="00367754" w:rsidRPr="0020045E">
        <w:rPr>
          <w:rFonts w:ascii="Times New Roman" w:hAnsi="Times New Roman"/>
          <w:sz w:val="24"/>
        </w:rPr>
        <w:t xml:space="preserve">151 </w:t>
      </w:r>
      <w:r w:rsidRPr="0020045E">
        <w:rPr>
          <w:rFonts w:ascii="Times New Roman" w:hAnsi="Times New Roman"/>
          <w:sz w:val="24"/>
        </w:rPr>
        <w:t>[2].</w:t>
      </w:r>
    </w:p>
  </w:footnote>
  <w:footnote w:id="3">
    <w:p w14:paraId="2F5A08DC" w14:textId="7D19F6A6"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New South Wales v Kable </w:t>
      </w:r>
      <w:r w:rsidRPr="0020045E">
        <w:rPr>
          <w:rFonts w:ascii="Times New Roman" w:hAnsi="Times New Roman"/>
          <w:sz w:val="24"/>
        </w:rPr>
        <w:t xml:space="preserve">(2013) 252 CLR 118 at 133 [31]. See also </w:t>
      </w:r>
      <w:proofErr w:type="spellStart"/>
      <w:r w:rsidRPr="0020045E">
        <w:rPr>
          <w:rFonts w:ascii="Times New Roman" w:hAnsi="Times New Roman"/>
          <w:i/>
          <w:sz w:val="24"/>
        </w:rPr>
        <w:t>Hazeldell</w:t>
      </w:r>
      <w:proofErr w:type="spellEnd"/>
      <w:r w:rsidRPr="0020045E">
        <w:rPr>
          <w:rFonts w:ascii="Times New Roman" w:hAnsi="Times New Roman"/>
          <w:i/>
          <w:sz w:val="24"/>
        </w:rPr>
        <w:t xml:space="preserve"> Ltd v The Commonwealth</w:t>
      </w:r>
      <w:r w:rsidRPr="0020045E">
        <w:rPr>
          <w:rFonts w:ascii="Times New Roman" w:hAnsi="Times New Roman"/>
          <w:sz w:val="24"/>
        </w:rPr>
        <w:t xml:space="preserve"> (1924) 34 CLR 442 at 446; </w:t>
      </w:r>
      <w:r w:rsidRPr="0020045E">
        <w:rPr>
          <w:rFonts w:ascii="Times New Roman" w:hAnsi="Times New Roman"/>
          <w:i/>
          <w:sz w:val="24"/>
        </w:rPr>
        <w:t>Re Nash [No 2]</w:t>
      </w:r>
      <w:r w:rsidRPr="0020045E">
        <w:rPr>
          <w:rFonts w:ascii="Times New Roman" w:hAnsi="Times New Roman"/>
          <w:sz w:val="24"/>
        </w:rPr>
        <w:t xml:space="preserve"> (2017) 263 CLR 443 at 450 [16]; </w:t>
      </w:r>
      <w:proofErr w:type="spellStart"/>
      <w:r w:rsidRPr="0020045E">
        <w:rPr>
          <w:rFonts w:ascii="Times New Roman" w:hAnsi="Times New Roman"/>
          <w:i/>
          <w:iCs/>
          <w:sz w:val="24"/>
        </w:rPr>
        <w:t>Citta</w:t>
      </w:r>
      <w:proofErr w:type="spellEnd"/>
      <w:r w:rsidRPr="0020045E">
        <w:rPr>
          <w:rFonts w:ascii="Times New Roman" w:hAnsi="Times New Roman"/>
          <w:i/>
          <w:iCs/>
          <w:sz w:val="24"/>
        </w:rPr>
        <w:t xml:space="preserve"> Hobart Pty Ltd v </w:t>
      </w:r>
      <w:proofErr w:type="spellStart"/>
      <w:r w:rsidRPr="0020045E">
        <w:rPr>
          <w:rFonts w:ascii="Times New Roman" w:hAnsi="Times New Roman"/>
          <w:i/>
          <w:iCs/>
          <w:sz w:val="24"/>
        </w:rPr>
        <w:t>Cawthorn</w:t>
      </w:r>
      <w:proofErr w:type="spellEnd"/>
      <w:r w:rsidRPr="0020045E">
        <w:rPr>
          <w:rFonts w:ascii="Times New Roman" w:hAnsi="Times New Roman"/>
          <w:i/>
          <w:iCs/>
          <w:sz w:val="24"/>
        </w:rPr>
        <w:t xml:space="preserve"> </w:t>
      </w:r>
      <w:r w:rsidRPr="0020045E">
        <w:rPr>
          <w:rFonts w:ascii="Times New Roman" w:hAnsi="Times New Roman"/>
          <w:sz w:val="24"/>
        </w:rPr>
        <w:t>(2022) 96 ALJR 476 at 484 [</w:t>
      </w:r>
      <w:proofErr w:type="gramStart"/>
      <w:r w:rsidRPr="0020045E">
        <w:rPr>
          <w:rFonts w:ascii="Times New Roman" w:hAnsi="Times New Roman"/>
          <w:sz w:val="24"/>
        </w:rPr>
        <w:t>21]</w:t>
      </w:r>
      <w:r w:rsidR="00B57C32">
        <w:rPr>
          <w:rFonts w:ascii="Times New Roman" w:hAnsi="Times New Roman"/>
          <w:sz w:val="24"/>
        </w:rPr>
        <w:noBreakHyphen/>
      </w:r>
      <w:proofErr w:type="gramEnd"/>
      <w:r w:rsidRPr="0020045E">
        <w:rPr>
          <w:rFonts w:ascii="Times New Roman" w:hAnsi="Times New Roman"/>
          <w:sz w:val="24"/>
        </w:rPr>
        <w:t xml:space="preserve">[23], 492 [65]; 400 ALR 1 at 7, 18. </w:t>
      </w:r>
    </w:p>
  </w:footnote>
  <w:footnote w:id="4">
    <w:p w14:paraId="2C12B3D8"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See </w:t>
      </w:r>
      <w:proofErr w:type="spellStart"/>
      <w:r w:rsidRPr="0020045E">
        <w:rPr>
          <w:rFonts w:ascii="Times New Roman" w:hAnsi="Times New Roman"/>
          <w:i/>
          <w:iCs/>
          <w:sz w:val="24"/>
        </w:rPr>
        <w:t>Citta</w:t>
      </w:r>
      <w:proofErr w:type="spellEnd"/>
      <w:r w:rsidRPr="0020045E">
        <w:rPr>
          <w:rFonts w:ascii="Times New Roman" w:hAnsi="Times New Roman"/>
          <w:i/>
          <w:iCs/>
          <w:sz w:val="24"/>
        </w:rPr>
        <w:t xml:space="preserve"> Hobart </w:t>
      </w:r>
      <w:r w:rsidRPr="0020045E">
        <w:rPr>
          <w:rFonts w:ascii="Times New Roman" w:hAnsi="Times New Roman"/>
          <w:sz w:val="24"/>
        </w:rPr>
        <w:t>(2022) 96 ALJR 476 at 484 [22]-[23], 492 [63]-[65]; 400 ALR 1 at 7, 17-18.</w:t>
      </w:r>
    </w:p>
  </w:footnote>
  <w:footnote w:id="5">
    <w:p w14:paraId="648A29BA"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Kable </w:t>
      </w:r>
      <w:r w:rsidRPr="0020045E">
        <w:rPr>
          <w:rFonts w:ascii="Times New Roman" w:hAnsi="Times New Roman"/>
          <w:sz w:val="24"/>
        </w:rPr>
        <w:t xml:space="preserve">(2013) 252 CLR 118 at 133 [32], and the authorities there cited. </w:t>
      </w:r>
    </w:p>
  </w:footnote>
  <w:footnote w:id="6">
    <w:p w14:paraId="236FB09E"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Kable </w:t>
      </w:r>
      <w:r w:rsidRPr="0020045E">
        <w:rPr>
          <w:rFonts w:ascii="Times New Roman" w:hAnsi="Times New Roman"/>
          <w:sz w:val="24"/>
        </w:rPr>
        <w:t xml:space="preserve">(2013) 252 CLR 118 at 133 [31]; </w:t>
      </w:r>
      <w:proofErr w:type="spellStart"/>
      <w:r w:rsidRPr="0020045E">
        <w:rPr>
          <w:rFonts w:ascii="Times New Roman" w:hAnsi="Times New Roman"/>
          <w:i/>
          <w:iCs/>
          <w:sz w:val="24"/>
        </w:rPr>
        <w:t>Citta</w:t>
      </w:r>
      <w:proofErr w:type="spellEnd"/>
      <w:r w:rsidRPr="0020045E">
        <w:rPr>
          <w:rFonts w:ascii="Times New Roman" w:hAnsi="Times New Roman"/>
          <w:i/>
          <w:iCs/>
          <w:sz w:val="24"/>
        </w:rPr>
        <w:t xml:space="preserve"> Hobart </w:t>
      </w:r>
      <w:r w:rsidRPr="0020045E">
        <w:rPr>
          <w:rFonts w:ascii="Times New Roman" w:hAnsi="Times New Roman"/>
          <w:sz w:val="24"/>
        </w:rPr>
        <w:t xml:space="preserve">(2022) 96 ALJR 476 at 492 [64]; 400 ALR 1 at 18. </w:t>
      </w:r>
    </w:p>
  </w:footnote>
  <w:footnote w:id="7">
    <w:p w14:paraId="0ED77465" w14:textId="53DE0251"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proofErr w:type="spellStart"/>
      <w:r w:rsidRPr="0020045E">
        <w:rPr>
          <w:rFonts w:ascii="Times New Roman" w:hAnsi="Times New Roman"/>
          <w:i/>
          <w:iCs/>
          <w:sz w:val="24"/>
        </w:rPr>
        <w:t>Mellifont</w:t>
      </w:r>
      <w:proofErr w:type="spellEnd"/>
      <w:r w:rsidRPr="0020045E">
        <w:rPr>
          <w:rFonts w:ascii="Times New Roman" w:hAnsi="Times New Roman"/>
          <w:i/>
          <w:iCs/>
          <w:sz w:val="24"/>
        </w:rPr>
        <w:t xml:space="preserve"> v Attorney-General (Q) </w:t>
      </w:r>
      <w:r w:rsidRPr="0020045E">
        <w:rPr>
          <w:rFonts w:ascii="Times New Roman" w:hAnsi="Times New Roman"/>
          <w:sz w:val="24"/>
        </w:rPr>
        <w:t xml:space="preserve">(1991) 173 CLR 289 at 300; </w:t>
      </w:r>
      <w:r w:rsidRPr="0020045E">
        <w:rPr>
          <w:rFonts w:ascii="Times New Roman" w:hAnsi="Times New Roman"/>
          <w:i/>
          <w:iCs/>
          <w:sz w:val="24"/>
        </w:rPr>
        <w:t xml:space="preserve">Mobil Oil Australia Pty Ltd v Victoria </w:t>
      </w:r>
      <w:r w:rsidRPr="0020045E">
        <w:rPr>
          <w:rFonts w:ascii="Times New Roman" w:hAnsi="Times New Roman"/>
          <w:sz w:val="24"/>
        </w:rPr>
        <w:t xml:space="preserve">(2002) 211 CLR 1 at 38 [63]. </w:t>
      </w:r>
    </w:p>
  </w:footnote>
  <w:footnote w:id="8">
    <w:p w14:paraId="7A98F5BE"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The respondents to the appeals are the Minister for Immigration, Citizenship, Migrant Services and Multicultural Affairs, the Commonwealth of Australia and the Secretary, Department of Home Affairs (collectively "the Commonwealth parties", unless separately identified). </w:t>
      </w:r>
    </w:p>
  </w:footnote>
  <w:footnote w:id="9">
    <w:p w14:paraId="59187CEC"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(2020) 279 FCR 549. </w:t>
      </w:r>
    </w:p>
  </w:footnote>
  <w:footnote w:id="10">
    <w:p w14:paraId="1B7D502A"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(2021) 273 CLR 43.</w:t>
      </w:r>
    </w:p>
  </w:footnote>
  <w:footnote w:id="11">
    <w:p w14:paraId="31791A59" w14:textId="79195665"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And the Minister for Home Affairs, who was a respondent to the trial proceedings, but was not a party to the appeals before the Full Court or this Court. </w:t>
      </w:r>
    </w:p>
  </w:footnote>
  <w:footnote w:id="12">
    <w:p w14:paraId="0DF49FED" w14:textId="58B88A1D"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bCs/>
          <w:sz w:val="24"/>
        </w:rPr>
        <w:t>If</w:t>
      </w:r>
      <w:r w:rsidRPr="0020045E">
        <w:rPr>
          <w:rFonts w:ascii="Times New Roman" w:hAnsi="Times New Roman"/>
          <w:sz w:val="24"/>
        </w:rPr>
        <w:t xml:space="preserve"> and to the extent leave to appeal was required for orders 3</w:t>
      </w:r>
      <w:r w:rsidR="008E5811" w:rsidRPr="0020045E">
        <w:rPr>
          <w:rFonts w:ascii="Times New Roman" w:hAnsi="Times New Roman"/>
          <w:sz w:val="24"/>
        </w:rPr>
        <w:t xml:space="preserve"> to </w:t>
      </w:r>
      <w:r w:rsidRPr="0020045E">
        <w:rPr>
          <w:rFonts w:ascii="Times New Roman" w:hAnsi="Times New Roman"/>
          <w:sz w:val="24"/>
        </w:rPr>
        <w:t>5 (the orders relating to home detention</w:t>
      </w:r>
      <w:r w:rsidR="00F556B0" w:rsidRPr="0020045E">
        <w:rPr>
          <w:rFonts w:ascii="Times New Roman" w:hAnsi="Times New Roman"/>
          <w:sz w:val="24"/>
        </w:rPr>
        <w:t>,</w:t>
      </w:r>
      <w:r w:rsidRPr="0020045E">
        <w:rPr>
          <w:rFonts w:ascii="Times New Roman" w:hAnsi="Times New Roman"/>
          <w:sz w:val="24"/>
        </w:rPr>
        <w:t xml:space="preserve"> which the primary judge had said were interlocutory), the</w:t>
      </w:r>
      <w:r w:rsidR="00163F82">
        <w:rPr>
          <w:rFonts w:ascii="Times New Roman" w:hAnsi="Times New Roman"/>
          <w:sz w:val="24"/>
        </w:rPr>
        <w:t> </w:t>
      </w:r>
      <w:r w:rsidRPr="0020045E">
        <w:rPr>
          <w:rFonts w:ascii="Times New Roman" w:hAnsi="Times New Roman"/>
          <w:sz w:val="24"/>
        </w:rPr>
        <w:t xml:space="preserve">Commonwealth parties sought dispensation with the requirements of </w:t>
      </w:r>
      <w:proofErr w:type="spellStart"/>
      <w:r w:rsidRPr="0020045E">
        <w:rPr>
          <w:rFonts w:ascii="Times New Roman" w:hAnsi="Times New Roman"/>
          <w:sz w:val="24"/>
        </w:rPr>
        <w:t>rr</w:t>
      </w:r>
      <w:proofErr w:type="spellEnd"/>
      <w:r w:rsidRPr="0020045E">
        <w:rPr>
          <w:rFonts w:ascii="Times New Roman" w:hAnsi="Times New Roman"/>
          <w:sz w:val="24"/>
        </w:rPr>
        <w:t xml:space="preserve"> 35.12 and 35.14 of the </w:t>
      </w:r>
      <w:r w:rsidRPr="0020045E">
        <w:rPr>
          <w:rFonts w:ascii="Times New Roman" w:hAnsi="Times New Roman"/>
          <w:i/>
          <w:iCs/>
          <w:sz w:val="24"/>
        </w:rPr>
        <w:t>Federal Court Rules 2011</w:t>
      </w:r>
      <w:r w:rsidRPr="0020045E">
        <w:rPr>
          <w:rFonts w:ascii="Times New Roman" w:hAnsi="Times New Roman"/>
          <w:sz w:val="24"/>
        </w:rPr>
        <w:t xml:space="preserve"> (</w:t>
      </w:r>
      <w:proofErr w:type="spellStart"/>
      <w:r w:rsidRPr="0020045E">
        <w:rPr>
          <w:rFonts w:ascii="Times New Roman" w:hAnsi="Times New Roman"/>
          <w:sz w:val="24"/>
        </w:rPr>
        <w:t>Cth</w:t>
      </w:r>
      <w:proofErr w:type="spellEnd"/>
      <w:r w:rsidRPr="0020045E">
        <w:rPr>
          <w:rFonts w:ascii="Times New Roman" w:hAnsi="Times New Roman"/>
          <w:sz w:val="24"/>
        </w:rPr>
        <w:t xml:space="preserve">), an extension of time to seek leave to appeal under r 1.39, and </w:t>
      </w:r>
      <w:r w:rsidR="00FE5D9B" w:rsidRPr="0020045E">
        <w:rPr>
          <w:rFonts w:ascii="Times New Roman" w:hAnsi="Times New Roman"/>
          <w:sz w:val="24"/>
        </w:rPr>
        <w:t xml:space="preserve">that </w:t>
      </w:r>
      <w:r w:rsidRPr="0020045E">
        <w:rPr>
          <w:rFonts w:ascii="Times New Roman" w:hAnsi="Times New Roman"/>
          <w:sz w:val="24"/>
        </w:rPr>
        <w:t xml:space="preserve">leave to appeal be granted under s 24(1A) of the </w:t>
      </w:r>
      <w:r w:rsidRPr="0020045E">
        <w:rPr>
          <w:rFonts w:ascii="Times New Roman" w:hAnsi="Times New Roman"/>
          <w:i/>
          <w:iCs/>
          <w:sz w:val="24"/>
        </w:rPr>
        <w:t>Federal Court of Australia Act 1976</w:t>
      </w:r>
      <w:r w:rsidRPr="0020045E">
        <w:rPr>
          <w:rFonts w:ascii="Times New Roman" w:hAnsi="Times New Roman"/>
          <w:sz w:val="24"/>
        </w:rPr>
        <w:t xml:space="preserve"> (</w:t>
      </w:r>
      <w:proofErr w:type="spellStart"/>
      <w:r w:rsidRPr="0020045E">
        <w:rPr>
          <w:rFonts w:ascii="Times New Roman" w:hAnsi="Times New Roman"/>
          <w:sz w:val="24"/>
        </w:rPr>
        <w:t>Cth</w:t>
      </w:r>
      <w:proofErr w:type="spellEnd"/>
      <w:r w:rsidRPr="0020045E">
        <w:rPr>
          <w:rFonts w:ascii="Times New Roman" w:hAnsi="Times New Roman"/>
          <w:sz w:val="24"/>
        </w:rPr>
        <w:t>).</w:t>
      </w:r>
    </w:p>
  </w:footnote>
  <w:footnote w:id="13">
    <w:p w14:paraId="7CA80788" w14:textId="3CA0D155"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On the basis that s 197C prohibits</w:t>
      </w:r>
      <w:r w:rsidRPr="0020045E" w:rsidDel="00667283">
        <w:rPr>
          <w:rFonts w:ascii="Times New Roman" w:hAnsi="Times New Roman"/>
          <w:sz w:val="24"/>
        </w:rPr>
        <w:t xml:space="preserve"> </w:t>
      </w:r>
      <w:r w:rsidRPr="0020045E">
        <w:rPr>
          <w:rFonts w:ascii="Times New Roman" w:hAnsi="Times New Roman"/>
          <w:sz w:val="24"/>
        </w:rPr>
        <w:t>the removal of the appellant to Iran.</w:t>
      </w:r>
    </w:p>
  </w:footnote>
  <w:footnote w:id="14">
    <w:p w14:paraId="5535F4B3" w14:textId="070BC9ED"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See </w:t>
      </w:r>
      <w:r w:rsidRPr="0020045E">
        <w:rPr>
          <w:rFonts w:ascii="Times New Roman" w:hAnsi="Times New Roman"/>
          <w:i/>
          <w:iCs/>
          <w:sz w:val="24"/>
        </w:rPr>
        <w:t>Migration Act</w:t>
      </w:r>
      <w:r w:rsidRPr="0020045E">
        <w:rPr>
          <w:rFonts w:ascii="Times New Roman" w:hAnsi="Times New Roman"/>
          <w:sz w:val="24"/>
        </w:rPr>
        <w:t>,</w:t>
      </w:r>
      <w:r w:rsidRPr="0020045E">
        <w:rPr>
          <w:rFonts w:ascii="Times New Roman" w:hAnsi="Times New Roman"/>
          <w:i/>
          <w:iCs/>
          <w:sz w:val="24"/>
        </w:rPr>
        <w:t xml:space="preserve"> </w:t>
      </w:r>
      <w:r w:rsidRPr="0020045E">
        <w:rPr>
          <w:rFonts w:ascii="Times New Roman" w:hAnsi="Times New Roman"/>
          <w:sz w:val="24"/>
        </w:rPr>
        <w:t xml:space="preserve">s 198(6), (11). </w:t>
      </w:r>
    </w:p>
  </w:footnote>
  <w:footnote w:id="15">
    <w:p w14:paraId="11F96074"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Migration Act</w:t>
      </w:r>
      <w:r w:rsidRPr="0020045E">
        <w:rPr>
          <w:rFonts w:ascii="Times New Roman" w:hAnsi="Times New Roman"/>
          <w:sz w:val="24"/>
        </w:rPr>
        <w:t>,</w:t>
      </w:r>
      <w:r w:rsidRPr="0020045E">
        <w:rPr>
          <w:rFonts w:ascii="Times New Roman" w:hAnsi="Times New Roman"/>
          <w:i/>
          <w:iCs/>
          <w:sz w:val="24"/>
        </w:rPr>
        <w:t xml:space="preserve"> </w:t>
      </w:r>
      <w:r w:rsidRPr="0020045E">
        <w:rPr>
          <w:rFonts w:ascii="Times New Roman" w:hAnsi="Times New Roman"/>
          <w:sz w:val="24"/>
        </w:rPr>
        <w:t xml:space="preserve">s 198(11). </w:t>
      </w:r>
    </w:p>
  </w:footnote>
  <w:footnote w:id="16">
    <w:p w14:paraId="26F60B6C" w14:textId="541EB85D"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The Commonwealth parties also submitted that the issues might have substantive overlap with the remaining issues in the habeas proceeding, where the appellant sought a declaration of false imprisonment. However, in his submissions to the Full</w:t>
      </w:r>
      <w:r w:rsidR="002B27BC">
        <w:rPr>
          <w:rFonts w:ascii="Times New Roman" w:hAnsi="Times New Roman"/>
          <w:sz w:val="24"/>
        </w:rPr>
        <w:t> </w:t>
      </w:r>
      <w:r w:rsidRPr="0020045E">
        <w:rPr>
          <w:rFonts w:ascii="Times New Roman" w:hAnsi="Times New Roman"/>
          <w:sz w:val="24"/>
        </w:rPr>
        <w:t xml:space="preserve">Court the appellant clarified that </w:t>
      </w:r>
      <w:r w:rsidR="00442FBB" w:rsidRPr="0020045E">
        <w:rPr>
          <w:rFonts w:ascii="Times New Roman" w:hAnsi="Times New Roman"/>
          <w:sz w:val="24"/>
        </w:rPr>
        <w:t xml:space="preserve">that </w:t>
      </w:r>
      <w:r w:rsidRPr="0020045E">
        <w:rPr>
          <w:rFonts w:ascii="Times New Roman" w:hAnsi="Times New Roman"/>
          <w:sz w:val="24"/>
        </w:rPr>
        <w:t>claim would not be pursued, observing</w:t>
      </w:r>
      <w:r w:rsidR="002B27BC">
        <w:rPr>
          <w:rFonts w:ascii="Times New Roman" w:hAnsi="Times New Roman"/>
          <w:sz w:val="24"/>
        </w:rPr>
        <w:t> </w:t>
      </w:r>
      <w:r w:rsidR="00A93DBD" w:rsidRPr="0020045E">
        <w:rPr>
          <w:rFonts w:ascii="Times New Roman" w:hAnsi="Times New Roman"/>
          <w:sz w:val="24"/>
        </w:rPr>
        <w:t xml:space="preserve">that </w:t>
      </w:r>
      <w:r w:rsidRPr="0020045E">
        <w:rPr>
          <w:rFonts w:ascii="Times New Roman" w:hAnsi="Times New Roman"/>
          <w:sz w:val="24"/>
        </w:rPr>
        <w:t xml:space="preserve">it was self-evidently linked to the failed habeas corpus application. </w:t>
      </w:r>
    </w:p>
  </w:footnote>
  <w:footnote w:id="17">
    <w:p w14:paraId="4820FA70"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Ground one of the appeals before the Full Court.</w:t>
      </w:r>
    </w:p>
  </w:footnote>
  <w:footnote w:id="18">
    <w:p w14:paraId="34346A1D"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Ground two of the appeals before the Full Court.</w:t>
      </w:r>
    </w:p>
  </w:footnote>
  <w:footnote w:id="19">
    <w:p w14:paraId="59D7A2B1" w14:textId="1A15E619"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Abebe v The Commonwealth </w:t>
      </w:r>
      <w:r w:rsidRPr="0020045E">
        <w:rPr>
          <w:rFonts w:ascii="Times New Roman" w:hAnsi="Times New Roman"/>
          <w:sz w:val="24"/>
        </w:rPr>
        <w:t xml:space="preserve">(1999) 197 CLR 510 at 523-524 [24], citing </w:t>
      </w:r>
      <w:proofErr w:type="gramStart"/>
      <w:r w:rsidRPr="0020045E">
        <w:rPr>
          <w:rFonts w:ascii="Times New Roman" w:hAnsi="Times New Roman"/>
          <w:i/>
          <w:iCs/>
          <w:sz w:val="24"/>
        </w:rPr>
        <w:t>In</w:t>
      </w:r>
      <w:proofErr w:type="gramEnd"/>
      <w:r w:rsidRPr="0020045E">
        <w:rPr>
          <w:rFonts w:ascii="Times New Roman" w:hAnsi="Times New Roman"/>
          <w:i/>
          <w:iCs/>
          <w:sz w:val="24"/>
        </w:rPr>
        <w:t xml:space="preserve"> </w:t>
      </w:r>
      <w:r w:rsidR="00A37747" w:rsidRPr="0020045E">
        <w:rPr>
          <w:rFonts w:ascii="Times New Roman" w:hAnsi="Times New Roman"/>
          <w:i/>
          <w:iCs/>
          <w:sz w:val="24"/>
        </w:rPr>
        <w:t>r</w:t>
      </w:r>
      <w:r w:rsidRPr="0020045E">
        <w:rPr>
          <w:rFonts w:ascii="Times New Roman" w:hAnsi="Times New Roman"/>
          <w:i/>
          <w:iCs/>
          <w:sz w:val="24"/>
        </w:rPr>
        <w:t xml:space="preserve">e Judiciary and Navigation Acts </w:t>
      </w:r>
      <w:r w:rsidRPr="0020045E">
        <w:rPr>
          <w:rFonts w:ascii="Times New Roman" w:hAnsi="Times New Roman"/>
          <w:sz w:val="24"/>
        </w:rPr>
        <w:t xml:space="preserve">(1921) 29 CLR 257 and </w:t>
      </w:r>
      <w:r w:rsidRPr="0020045E">
        <w:rPr>
          <w:rFonts w:ascii="Times New Roman" w:hAnsi="Times New Roman"/>
          <w:i/>
          <w:iCs/>
          <w:sz w:val="24"/>
        </w:rPr>
        <w:t>Stack v Coast Securities (No</w:t>
      </w:r>
      <w:r w:rsidR="000D3CB6">
        <w:rPr>
          <w:rFonts w:ascii="Times New Roman" w:hAnsi="Times New Roman"/>
          <w:i/>
          <w:iCs/>
          <w:sz w:val="24"/>
        </w:rPr>
        <w:t> </w:t>
      </w:r>
      <w:r w:rsidRPr="0020045E">
        <w:rPr>
          <w:rFonts w:ascii="Times New Roman" w:hAnsi="Times New Roman"/>
          <w:i/>
          <w:iCs/>
          <w:sz w:val="24"/>
        </w:rPr>
        <w:t xml:space="preserve">9) Pty Ltd </w:t>
      </w:r>
      <w:r w:rsidRPr="0020045E">
        <w:rPr>
          <w:rFonts w:ascii="Times New Roman" w:hAnsi="Times New Roman"/>
          <w:sz w:val="24"/>
        </w:rPr>
        <w:t xml:space="preserve">(1983) 154 CLR 261 at 290. </w:t>
      </w:r>
    </w:p>
  </w:footnote>
  <w:footnote w:id="20">
    <w:p w14:paraId="40893711" w14:textId="21D384D2"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Constitution</w:t>
      </w:r>
      <w:r w:rsidRPr="0020045E">
        <w:rPr>
          <w:rFonts w:ascii="Times New Roman" w:hAnsi="Times New Roman"/>
          <w:sz w:val="24"/>
        </w:rPr>
        <w:t>,</w:t>
      </w:r>
      <w:r w:rsidRPr="0020045E">
        <w:rPr>
          <w:rFonts w:ascii="Times New Roman" w:hAnsi="Times New Roman"/>
          <w:i/>
          <w:iCs/>
          <w:sz w:val="24"/>
        </w:rPr>
        <w:t xml:space="preserve"> </w:t>
      </w:r>
      <w:r w:rsidRPr="0020045E">
        <w:rPr>
          <w:rFonts w:ascii="Times New Roman" w:hAnsi="Times New Roman"/>
          <w:sz w:val="24"/>
        </w:rPr>
        <w:t xml:space="preserve">s 77, directing attention to ss 75 and 76. </w:t>
      </w:r>
      <w:r w:rsidRPr="0020045E" w:rsidDel="00B51C46">
        <w:rPr>
          <w:rFonts w:ascii="Times New Roman" w:hAnsi="Times New Roman"/>
          <w:sz w:val="24"/>
        </w:rPr>
        <w:t xml:space="preserve">See also </w:t>
      </w:r>
      <w:r w:rsidRPr="0020045E" w:rsidDel="00B51C46">
        <w:rPr>
          <w:rFonts w:ascii="Times New Roman" w:hAnsi="Times New Roman"/>
          <w:i/>
          <w:iCs/>
          <w:sz w:val="24"/>
        </w:rPr>
        <w:t>Federal Court of Australia Act</w:t>
      </w:r>
      <w:r w:rsidRPr="0020045E" w:rsidDel="00B51C46">
        <w:rPr>
          <w:rFonts w:ascii="Times New Roman" w:hAnsi="Times New Roman"/>
          <w:sz w:val="24"/>
        </w:rPr>
        <w:t>,</w:t>
      </w:r>
      <w:r w:rsidRPr="0020045E" w:rsidDel="00B51C46">
        <w:rPr>
          <w:rFonts w:ascii="Times New Roman" w:hAnsi="Times New Roman"/>
          <w:i/>
          <w:iCs/>
          <w:sz w:val="24"/>
        </w:rPr>
        <w:t xml:space="preserve"> </w:t>
      </w:r>
      <w:r w:rsidRPr="0020045E" w:rsidDel="00B51C46">
        <w:rPr>
          <w:rFonts w:ascii="Times New Roman" w:hAnsi="Times New Roman"/>
          <w:sz w:val="24"/>
        </w:rPr>
        <w:t>ss 19, 24</w:t>
      </w:r>
      <w:r w:rsidR="00825022" w:rsidRPr="0020045E">
        <w:rPr>
          <w:rFonts w:ascii="Times New Roman" w:hAnsi="Times New Roman"/>
          <w:sz w:val="24"/>
        </w:rPr>
        <w:t>, 30AA</w:t>
      </w:r>
      <w:r w:rsidRPr="0020045E" w:rsidDel="00B51C46">
        <w:rPr>
          <w:rFonts w:ascii="Times New Roman" w:hAnsi="Times New Roman"/>
          <w:sz w:val="24"/>
        </w:rPr>
        <w:t xml:space="preserve">. </w:t>
      </w:r>
      <w:r w:rsidRPr="0020045E">
        <w:rPr>
          <w:rFonts w:ascii="Times New Roman" w:hAnsi="Times New Roman"/>
          <w:sz w:val="24"/>
        </w:rPr>
        <w:t xml:space="preserve">See also </w:t>
      </w:r>
      <w:r w:rsidRPr="0020045E">
        <w:rPr>
          <w:rFonts w:ascii="Times New Roman" w:hAnsi="Times New Roman"/>
          <w:i/>
          <w:iCs/>
          <w:sz w:val="24"/>
        </w:rPr>
        <w:t>Attorney</w:t>
      </w:r>
      <w:r w:rsidRPr="0020045E">
        <w:rPr>
          <w:rFonts w:ascii="Times New Roman" w:hAnsi="Times New Roman"/>
          <w:i/>
          <w:iCs/>
          <w:sz w:val="24"/>
        </w:rPr>
        <w:noBreakHyphen/>
        <w:t xml:space="preserve">General (NSW) v Commonwealth Savings Bank </w:t>
      </w:r>
      <w:r w:rsidRPr="0020045E">
        <w:rPr>
          <w:rFonts w:ascii="Times New Roman" w:hAnsi="Times New Roman"/>
          <w:sz w:val="24"/>
        </w:rPr>
        <w:t xml:space="preserve">(1986) 160 CLR 315 at 323; </w:t>
      </w:r>
      <w:r w:rsidRPr="0020045E">
        <w:rPr>
          <w:rFonts w:ascii="Times New Roman" w:hAnsi="Times New Roman"/>
          <w:i/>
          <w:iCs/>
          <w:sz w:val="24"/>
        </w:rPr>
        <w:t xml:space="preserve">Abebe </w:t>
      </w:r>
      <w:r w:rsidRPr="0020045E">
        <w:rPr>
          <w:rFonts w:ascii="Times New Roman" w:hAnsi="Times New Roman"/>
          <w:sz w:val="24"/>
        </w:rPr>
        <w:t>(1999) 197 CLR 510 at 523-524 [24].</w:t>
      </w:r>
    </w:p>
  </w:footnote>
  <w:footnote w:id="21">
    <w:p w14:paraId="6B126E0D" w14:textId="77777777" w:rsidR="0077622A" w:rsidRPr="0020045E" w:rsidRDefault="0077622A" w:rsidP="0020045E">
      <w:pPr>
        <w:pStyle w:val="FootnoteText"/>
        <w:spacing w:line="280" w:lineRule="exact"/>
        <w:ind w:right="0"/>
        <w:jc w:val="both"/>
        <w:rPr>
          <w:rFonts w:ascii="Times New Roman" w:hAnsi="Times New Roman"/>
          <w:i/>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BHP Group Ltd v </w:t>
      </w:r>
      <w:proofErr w:type="spellStart"/>
      <w:r w:rsidRPr="0020045E">
        <w:rPr>
          <w:rFonts w:ascii="Times New Roman" w:hAnsi="Times New Roman"/>
          <w:i/>
          <w:iCs/>
          <w:sz w:val="24"/>
        </w:rPr>
        <w:t>Impiombato</w:t>
      </w:r>
      <w:proofErr w:type="spellEnd"/>
      <w:r w:rsidRPr="0020045E">
        <w:rPr>
          <w:rFonts w:ascii="Times New Roman" w:hAnsi="Times New Roman"/>
          <w:i/>
          <w:iCs/>
          <w:sz w:val="24"/>
        </w:rPr>
        <w:t xml:space="preserve"> </w:t>
      </w:r>
      <w:r w:rsidRPr="0020045E">
        <w:rPr>
          <w:rFonts w:ascii="Times New Roman" w:hAnsi="Times New Roman"/>
          <w:sz w:val="24"/>
        </w:rPr>
        <w:t xml:space="preserve">(2022) 96 ALJR 956 at 967 [50]; 405 ALR 402 at 414, citing </w:t>
      </w:r>
      <w:r w:rsidRPr="0020045E">
        <w:rPr>
          <w:rFonts w:ascii="Times New Roman" w:hAnsi="Times New Roman"/>
          <w:i/>
          <w:iCs/>
          <w:sz w:val="24"/>
        </w:rPr>
        <w:t xml:space="preserve">Minister for Immigration and Multicultural and Indigenous Affairs v </w:t>
      </w:r>
      <w:r w:rsidRPr="0020045E">
        <w:rPr>
          <w:rFonts w:ascii="Times New Roman" w:hAnsi="Times New Roman"/>
          <w:i/>
          <w:sz w:val="24"/>
        </w:rPr>
        <w:t xml:space="preserve">B </w:t>
      </w:r>
      <w:r w:rsidRPr="0020045E">
        <w:rPr>
          <w:rFonts w:ascii="Times New Roman" w:hAnsi="Times New Roman"/>
          <w:sz w:val="24"/>
        </w:rPr>
        <w:t xml:space="preserve">(2004) 219 CLR 365 at 377 [7]. See also </w:t>
      </w:r>
      <w:r w:rsidRPr="0020045E">
        <w:rPr>
          <w:rFonts w:ascii="Times New Roman" w:hAnsi="Times New Roman"/>
          <w:i/>
          <w:iCs/>
          <w:sz w:val="24"/>
        </w:rPr>
        <w:t xml:space="preserve">Crouch v Commissioner for Railways (Q) </w:t>
      </w:r>
      <w:r w:rsidRPr="0020045E">
        <w:rPr>
          <w:rFonts w:ascii="Times New Roman" w:hAnsi="Times New Roman"/>
          <w:sz w:val="24"/>
        </w:rPr>
        <w:t xml:space="preserve">(1985) 159 CLR 22 at 37. </w:t>
      </w:r>
    </w:p>
  </w:footnote>
  <w:footnote w:id="22">
    <w:p w14:paraId="3D14D19F" w14:textId="2928ABA2"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CGU Insurance Ltd v Blakeley</w:t>
      </w:r>
      <w:r w:rsidRPr="0020045E">
        <w:rPr>
          <w:rFonts w:ascii="Times New Roman" w:hAnsi="Times New Roman"/>
          <w:sz w:val="24"/>
        </w:rPr>
        <w:t xml:space="preserve"> (2016) 259 CLR 339 at 351 [27], quoting </w:t>
      </w:r>
      <w:proofErr w:type="spellStart"/>
      <w:r w:rsidRPr="0020045E">
        <w:rPr>
          <w:rFonts w:ascii="Times New Roman" w:hAnsi="Times New Roman"/>
          <w:sz w:val="24"/>
        </w:rPr>
        <w:t>Burmester</w:t>
      </w:r>
      <w:proofErr w:type="spellEnd"/>
      <w:r w:rsidRPr="0020045E">
        <w:rPr>
          <w:rFonts w:ascii="Times New Roman" w:hAnsi="Times New Roman"/>
          <w:sz w:val="24"/>
        </w:rPr>
        <w:t xml:space="preserve">, </w:t>
      </w:r>
      <w:r w:rsidR="00645D2E" w:rsidRPr="0020045E">
        <w:rPr>
          <w:rFonts w:ascii="Times New Roman" w:hAnsi="Times New Roman"/>
          <w:sz w:val="24"/>
        </w:rPr>
        <w:t>"</w:t>
      </w:r>
      <w:r w:rsidRPr="0020045E">
        <w:rPr>
          <w:rFonts w:ascii="Times New Roman" w:hAnsi="Times New Roman"/>
          <w:sz w:val="24"/>
        </w:rPr>
        <w:t>Limitations on Federal Adjudication</w:t>
      </w:r>
      <w:r w:rsidR="00645D2E" w:rsidRPr="0020045E">
        <w:rPr>
          <w:rFonts w:ascii="Times New Roman" w:hAnsi="Times New Roman"/>
          <w:sz w:val="24"/>
        </w:rPr>
        <w:t>"</w:t>
      </w:r>
      <w:r w:rsidRPr="0020045E">
        <w:rPr>
          <w:rFonts w:ascii="Times New Roman" w:hAnsi="Times New Roman"/>
          <w:sz w:val="24"/>
        </w:rPr>
        <w:t xml:space="preserve">, in </w:t>
      </w:r>
      <w:proofErr w:type="spellStart"/>
      <w:r w:rsidRPr="0020045E">
        <w:rPr>
          <w:rFonts w:ascii="Times New Roman" w:hAnsi="Times New Roman"/>
          <w:sz w:val="24"/>
        </w:rPr>
        <w:t>Opeskin</w:t>
      </w:r>
      <w:proofErr w:type="spellEnd"/>
      <w:r w:rsidRPr="0020045E">
        <w:rPr>
          <w:rFonts w:ascii="Times New Roman" w:hAnsi="Times New Roman"/>
          <w:sz w:val="24"/>
        </w:rPr>
        <w:t xml:space="preserve"> and Wheeler (eds), </w:t>
      </w:r>
      <w:r w:rsidRPr="0020045E">
        <w:rPr>
          <w:rFonts w:ascii="Times New Roman" w:hAnsi="Times New Roman"/>
          <w:i/>
          <w:iCs/>
          <w:sz w:val="24"/>
        </w:rPr>
        <w:t>The</w:t>
      </w:r>
      <w:r w:rsidR="00D84418">
        <w:rPr>
          <w:rFonts w:ascii="Times New Roman" w:hAnsi="Times New Roman"/>
          <w:i/>
          <w:iCs/>
          <w:sz w:val="24"/>
        </w:rPr>
        <w:t> </w:t>
      </w:r>
      <w:r w:rsidRPr="0020045E">
        <w:rPr>
          <w:rFonts w:ascii="Times New Roman" w:hAnsi="Times New Roman"/>
          <w:i/>
          <w:iCs/>
          <w:sz w:val="24"/>
        </w:rPr>
        <w:t xml:space="preserve">Australian Federal Judicial System </w:t>
      </w:r>
      <w:r w:rsidRPr="0020045E">
        <w:rPr>
          <w:rFonts w:ascii="Times New Roman" w:hAnsi="Times New Roman"/>
          <w:sz w:val="24"/>
        </w:rPr>
        <w:t xml:space="preserve">(2000) 227 at 232. See also </w:t>
      </w:r>
      <w:r w:rsidRPr="0020045E">
        <w:rPr>
          <w:rFonts w:ascii="Times New Roman" w:hAnsi="Times New Roman"/>
          <w:i/>
          <w:iCs/>
          <w:sz w:val="24"/>
        </w:rPr>
        <w:t xml:space="preserve">Hobart International Airport Pty Ltd v Clarence City Council </w:t>
      </w:r>
      <w:r w:rsidRPr="0020045E">
        <w:rPr>
          <w:rFonts w:ascii="Times New Roman" w:hAnsi="Times New Roman"/>
          <w:sz w:val="24"/>
        </w:rPr>
        <w:t xml:space="preserve">(2022) 96 ALJR 234 at 245 [26]; 399 ALR 214 at 222. </w:t>
      </w:r>
    </w:p>
  </w:footnote>
  <w:footnote w:id="23">
    <w:p w14:paraId="62BAA5FD"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(2023) 97 ALJR 150 at 156-157 [15]; 407 ALR 277 at 282 (footnotes omitted).</w:t>
      </w:r>
    </w:p>
  </w:footnote>
  <w:footnote w:id="24">
    <w:p w14:paraId="2D7EC3F6" w14:textId="3D60393F"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Palmer v Ayres </w:t>
      </w:r>
      <w:r w:rsidRPr="0020045E">
        <w:rPr>
          <w:rFonts w:ascii="Times New Roman" w:hAnsi="Times New Roman"/>
          <w:sz w:val="24"/>
        </w:rPr>
        <w:t xml:space="preserve">(2017) 259 CLR 478 at 491 [27], citing </w:t>
      </w:r>
      <w:proofErr w:type="gramStart"/>
      <w:r w:rsidRPr="0020045E">
        <w:rPr>
          <w:rFonts w:ascii="Times New Roman" w:hAnsi="Times New Roman"/>
          <w:i/>
          <w:iCs/>
          <w:sz w:val="24"/>
        </w:rPr>
        <w:t>In</w:t>
      </w:r>
      <w:proofErr w:type="gramEnd"/>
      <w:r w:rsidRPr="0020045E">
        <w:rPr>
          <w:rFonts w:ascii="Times New Roman" w:hAnsi="Times New Roman"/>
          <w:i/>
          <w:iCs/>
          <w:sz w:val="24"/>
        </w:rPr>
        <w:t xml:space="preserve"> </w:t>
      </w:r>
      <w:r w:rsidR="0001449B" w:rsidRPr="0020045E">
        <w:rPr>
          <w:rFonts w:ascii="Times New Roman" w:hAnsi="Times New Roman"/>
          <w:i/>
          <w:iCs/>
          <w:sz w:val="24"/>
        </w:rPr>
        <w:t>r</w:t>
      </w:r>
      <w:r w:rsidRPr="0020045E">
        <w:rPr>
          <w:rFonts w:ascii="Times New Roman" w:hAnsi="Times New Roman"/>
          <w:i/>
          <w:iCs/>
          <w:sz w:val="24"/>
        </w:rPr>
        <w:t xml:space="preserve">e Judiciary </w:t>
      </w:r>
      <w:r w:rsidRPr="0020045E">
        <w:rPr>
          <w:rFonts w:ascii="Times New Roman" w:hAnsi="Times New Roman"/>
          <w:sz w:val="24"/>
        </w:rPr>
        <w:t>(1921) 29</w:t>
      </w:r>
      <w:r w:rsidR="003F4A1B">
        <w:rPr>
          <w:rFonts w:ascii="Times New Roman" w:hAnsi="Times New Roman"/>
          <w:sz w:val="24"/>
        </w:rPr>
        <w:t> </w:t>
      </w:r>
      <w:r w:rsidRPr="0020045E">
        <w:rPr>
          <w:rFonts w:ascii="Times New Roman" w:hAnsi="Times New Roman"/>
          <w:sz w:val="24"/>
        </w:rPr>
        <w:t xml:space="preserve">CLR 257 at 265, </w:t>
      </w:r>
      <w:r w:rsidRPr="0020045E">
        <w:rPr>
          <w:rFonts w:ascii="Times New Roman" w:hAnsi="Times New Roman"/>
          <w:i/>
          <w:iCs/>
          <w:sz w:val="24"/>
        </w:rPr>
        <w:t>Abebe</w:t>
      </w:r>
      <w:r w:rsidRPr="0020045E">
        <w:rPr>
          <w:rFonts w:ascii="Times New Roman" w:hAnsi="Times New Roman"/>
          <w:sz w:val="24"/>
        </w:rPr>
        <w:t xml:space="preserve"> (1999) 197 CLR 510 at 524 [25], 555 [118], </w:t>
      </w:r>
      <w:r w:rsidRPr="0020045E">
        <w:rPr>
          <w:rFonts w:ascii="Times New Roman" w:hAnsi="Times New Roman"/>
          <w:i/>
          <w:iCs/>
          <w:sz w:val="24"/>
        </w:rPr>
        <w:t>CGU</w:t>
      </w:r>
      <w:r w:rsidR="003F4A1B">
        <w:rPr>
          <w:rFonts w:ascii="Times New Roman" w:hAnsi="Times New Roman"/>
          <w:i/>
          <w:iCs/>
          <w:sz w:val="24"/>
        </w:rPr>
        <w:t> </w:t>
      </w:r>
      <w:r w:rsidRPr="0020045E">
        <w:rPr>
          <w:rFonts w:ascii="Times New Roman" w:hAnsi="Times New Roman"/>
          <w:i/>
          <w:iCs/>
          <w:sz w:val="24"/>
        </w:rPr>
        <w:t xml:space="preserve">Insurance </w:t>
      </w:r>
      <w:r w:rsidRPr="0020045E">
        <w:rPr>
          <w:rFonts w:ascii="Times New Roman" w:hAnsi="Times New Roman"/>
          <w:sz w:val="24"/>
        </w:rPr>
        <w:t xml:space="preserve">(2016) 259 CLR 339 at 350-351 [26] and </w:t>
      </w:r>
      <w:r w:rsidRPr="0020045E">
        <w:rPr>
          <w:rFonts w:ascii="Times New Roman" w:hAnsi="Times New Roman"/>
          <w:i/>
          <w:iCs/>
          <w:sz w:val="24"/>
        </w:rPr>
        <w:t xml:space="preserve">Hooper v </w:t>
      </w:r>
      <w:proofErr w:type="spellStart"/>
      <w:r w:rsidRPr="0020045E">
        <w:rPr>
          <w:rFonts w:ascii="Times New Roman" w:hAnsi="Times New Roman"/>
          <w:i/>
          <w:iCs/>
          <w:sz w:val="24"/>
        </w:rPr>
        <w:t>Kirella</w:t>
      </w:r>
      <w:proofErr w:type="spellEnd"/>
      <w:r w:rsidRPr="0020045E">
        <w:rPr>
          <w:rFonts w:ascii="Times New Roman" w:hAnsi="Times New Roman"/>
          <w:i/>
          <w:iCs/>
          <w:sz w:val="24"/>
        </w:rPr>
        <w:t xml:space="preserve"> Pty Ltd </w:t>
      </w:r>
      <w:r w:rsidRPr="0020045E">
        <w:rPr>
          <w:rFonts w:ascii="Times New Roman" w:hAnsi="Times New Roman"/>
          <w:sz w:val="24"/>
        </w:rPr>
        <w:t>(1999) 96 FCR 1 at 15 [51].</w:t>
      </w:r>
    </w:p>
  </w:footnote>
  <w:footnote w:id="25">
    <w:p w14:paraId="7330812A" w14:textId="5C9B1278"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See </w:t>
      </w:r>
      <w:r w:rsidR="00CC5035" w:rsidRPr="0020045E">
        <w:rPr>
          <w:rFonts w:ascii="Times New Roman" w:hAnsi="Times New Roman"/>
          <w:i/>
          <w:iCs/>
          <w:sz w:val="24"/>
        </w:rPr>
        <w:t xml:space="preserve">The </w:t>
      </w:r>
      <w:r w:rsidRPr="0020045E">
        <w:rPr>
          <w:rFonts w:ascii="Times New Roman" w:hAnsi="Times New Roman"/>
          <w:i/>
          <w:iCs/>
          <w:sz w:val="24"/>
        </w:rPr>
        <w:t xml:space="preserve">Commonwealth </w:t>
      </w:r>
      <w:proofErr w:type="gramStart"/>
      <w:r w:rsidRPr="0020045E">
        <w:rPr>
          <w:rFonts w:ascii="Times New Roman" w:hAnsi="Times New Roman"/>
          <w:i/>
          <w:iCs/>
          <w:sz w:val="24"/>
        </w:rPr>
        <w:t>v</w:t>
      </w:r>
      <w:proofErr w:type="gramEnd"/>
      <w:r w:rsidRPr="0020045E">
        <w:rPr>
          <w:rFonts w:ascii="Times New Roman" w:hAnsi="Times New Roman"/>
          <w:i/>
          <w:iCs/>
          <w:sz w:val="24"/>
        </w:rPr>
        <w:t xml:space="preserve"> Bank of New South Wales </w:t>
      </w:r>
      <w:r w:rsidR="00CC5035" w:rsidRPr="0020045E">
        <w:rPr>
          <w:rFonts w:ascii="Times New Roman" w:hAnsi="Times New Roman"/>
          <w:sz w:val="24"/>
        </w:rPr>
        <w:t>(</w:t>
      </w:r>
      <w:r w:rsidRPr="0020045E">
        <w:rPr>
          <w:rFonts w:ascii="Times New Roman" w:hAnsi="Times New Roman"/>
          <w:sz w:val="24"/>
        </w:rPr>
        <w:t>1949</w:t>
      </w:r>
      <w:r w:rsidR="00CC5035" w:rsidRPr="0020045E">
        <w:rPr>
          <w:rFonts w:ascii="Times New Roman" w:hAnsi="Times New Roman"/>
          <w:sz w:val="24"/>
        </w:rPr>
        <w:t>)</w:t>
      </w:r>
      <w:r w:rsidRPr="0020045E">
        <w:rPr>
          <w:rFonts w:ascii="Times New Roman" w:hAnsi="Times New Roman"/>
          <w:sz w:val="24"/>
        </w:rPr>
        <w:t xml:space="preserve"> 79 C</w:t>
      </w:r>
      <w:r w:rsidR="00CC5035" w:rsidRPr="0020045E">
        <w:rPr>
          <w:rFonts w:ascii="Times New Roman" w:hAnsi="Times New Roman"/>
          <w:sz w:val="24"/>
        </w:rPr>
        <w:t>L</w:t>
      </w:r>
      <w:r w:rsidRPr="0020045E">
        <w:rPr>
          <w:rFonts w:ascii="Times New Roman" w:hAnsi="Times New Roman"/>
          <w:sz w:val="24"/>
        </w:rPr>
        <w:t>R 497 at 624</w:t>
      </w:r>
      <w:r w:rsidR="003F4A1B">
        <w:rPr>
          <w:rFonts w:ascii="Times New Roman" w:hAnsi="Times New Roman"/>
          <w:sz w:val="24"/>
        </w:rPr>
        <w:noBreakHyphen/>
      </w:r>
      <w:r w:rsidRPr="0020045E">
        <w:rPr>
          <w:rFonts w:ascii="Times New Roman" w:hAnsi="Times New Roman"/>
          <w:sz w:val="24"/>
        </w:rPr>
        <w:t xml:space="preserve">625; </w:t>
      </w:r>
      <w:r w:rsidR="00874BF3" w:rsidRPr="0020045E">
        <w:rPr>
          <w:rFonts w:ascii="Times New Roman" w:hAnsi="Times New Roman"/>
          <w:sz w:val="24"/>
        </w:rPr>
        <w:t xml:space="preserve">[1950] AC 235 at </w:t>
      </w:r>
      <w:r w:rsidR="00AB6FCF" w:rsidRPr="0020045E">
        <w:rPr>
          <w:rFonts w:ascii="Times New Roman" w:hAnsi="Times New Roman"/>
          <w:sz w:val="24"/>
        </w:rPr>
        <w:t>294</w:t>
      </w:r>
      <w:r w:rsidRPr="0020045E">
        <w:rPr>
          <w:rFonts w:ascii="Times New Roman" w:hAnsi="Times New Roman"/>
          <w:sz w:val="24"/>
        </w:rPr>
        <w:t xml:space="preserve">; </w:t>
      </w:r>
      <w:proofErr w:type="spellStart"/>
      <w:r w:rsidRPr="0020045E">
        <w:rPr>
          <w:rFonts w:ascii="Times New Roman" w:hAnsi="Times New Roman"/>
          <w:i/>
          <w:iCs/>
          <w:sz w:val="24"/>
        </w:rPr>
        <w:t>Driclad</w:t>
      </w:r>
      <w:proofErr w:type="spellEnd"/>
      <w:r w:rsidRPr="0020045E">
        <w:rPr>
          <w:rFonts w:ascii="Times New Roman" w:hAnsi="Times New Roman"/>
          <w:i/>
          <w:iCs/>
          <w:sz w:val="24"/>
        </w:rPr>
        <w:t xml:space="preserve"> Pty Ltd v </w:t>
      </w:r>
      <w:r w:rsidR="00874BF3" w:rsidRPr="0020045E">
        <w:rPr>
          <w:rFonts w:ascii="Times New Roman" w:hAnsi="Times New Roman"/>
          <w:i/>
          <w:iCs/>
          <w:sz w:val="24"/>
        </w:rPr>
        <w:t xml:space="preserve">Federal </w:t>
      </w:r>
      <w:r w:rsidRPr="0020045E">
        <w:rPr>
          <w:rFonts w:ascii="Times New Roman" w:hAnsi="Times New Roman"/>
          <w:i/>
          <w:iCs/>
          <w:sz w:val="24"/>
        </w:rPr>
        <w:t>Commissioner of Taxation</w:t>
      </w:r>
      <w:r w:rsidRPr="0020045E">
        <w:rPr>
          <w:rFonts w:ascii="Times New Roman" w:hAnsi="Times New Roman"/>
          <w:sz w:val="24"/>
        </w:rPr>
        <w:t xml:space="preserve"> (1968) 121 CLR 45 at 64, 69; </w:t>
      </w:r>
      <w:r w:rsidRPr="0020045E">
        <w:rPr>
          <w:rFonts w:ascii="Times New Roman" w:hAnsi="Times New Roman"/>
          <w:i/>
          <w:iCs/>
          <w:sz w:val="24"/>
        </w:rPr>
        <w:t xml:space="preserve">Ah Toy v Registrar of Companies </w:t>
      </w:r>
      <w:r w:rsidRPr="0020045E">
        <w:rPr>
          <w:rFonts w:ascii="Times New Roman" w:hAnsi="Times New Roman"/>
          <w:sz w:val="24"/>
        </w:rPr>
        <w:t>(1985) 10 FCR 280 at 283</w:t>
      </w:r>
      <w:r w:rsidR="003F4A1B">
        <w:rPr>
          <w:rFonts w:ascii="Times New Roman" w:hAnsi="Times New Roman"/>
          <w:sz w:val="24"/>
        </w:rPr>
        <w:noBreakHyphen/>
      </w:r>
      <w:r w:rsidRPr="0020045E">
        <w:rPr>
          <w:rFonts w:ascii="Times New Roman" w:hAnsi="Times New Roman"/>
          <w:sz w:val="24"/>
        </w:rPr>
        <w:t>285.</w:t>
      </w:r>
    </w:p>
  </w:footnote>
  <w:footnote w:id="26">
    <w:p w14:paraId="26D82F6E" w14:textId="64A7AF98"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Tomlinson v Ramsey Food Processing Pty Ltd </w:t>
      </w:r>
      <w:r w:rsidRPr="0020045E">
        <w:rPr>
          <w:rFonts w:ascii="Times New Roman" w:hAnsi="Times New Roman"/>
          <w:sz w:val="24"/>
        </w:rPr>
        <w:t xml:space="preserve">(2015) 256 CLR 507 at 516 [20], citing </w:t>
      </w:r>
      <w:r w:rsidRPr="0020045E">
        <w:rPr>
          <w:rFonts w:ascii="Times New Roman" w:hAnsi="Times New Roman"/>
          <w:i/>
          <w:iCs/>
          <w:sz w:val="24"/>
        </w:rPr>
        <w:t xml:space="preserve">Victorian Stevedoring and General Contracting Co Pty Ltd </w:t>
      </w:r>
      <w:r w:rsidR="00D660E7" w:rsidRPr="0020045E">
        <w:rPr>
          <w:rFonts w:ascii="Times New Roman" w:hAnsi="Times New Roman"/>
          <w:i/>
          <w:iCs/>
          <w:sz w:val="24"/>
        </w:rPr>
        <w:t xml:space="preserve">and </w:t>
      </w:r>
      <w:proofErr w:type="spellStart"/>
      <w:r w:rsidR="00D660E7" w:rsidRPr="0020045E">
        <w:rPr>
          <w:rFonts w:ascii="Times New Roman" w:hAnsi="Times New Roman"/>
          <w:i/>
          <w:iCs/>
          <w:sz w:val="24"/>
        </w:rPr>
        <w:t>Meakes</w:t>
      </w:r>
      <w:proofErr w:type="spellEnd"/>
      <w:r w:rsidRPr="0020045E">
        <w:rPr>
          <w:rFonts w:ascii="Times New Roman" w:hAnsi="Times New Roman"/>
          <w:i/>
          <w:iCs/>
          <w:sz w:val="24"/>
        </w:rPr>
        <w:t xml:space="preserve"> v Dignan</w:t>
      </w:r>
      <w:r w:rsidRPr="0020045E">
        <w:rPr>
          <w:rFonts w:ascii="Times New Roman" w:hAnsi="Times New Roman"/>
          <w:sz w:val="24"/>
        </w:rPr>
        <w:t xml:space="preserve"> (1931) 46 CLR 73 at 106, </w:t>
      </w:r>
      <w:r w:rsidRPr="0020045E">
        <w:rPr>
          <w:rFonts w:ascii="Times New Roman" w:hAnsi="Times New Roman"/>
          <w:i/>
          <w:iCs/>
          <w:sz w:val="24"/>
        </w:rPr>
        <w:t>Blair v Curran</w:t>
      </w:r>
      <w:r w:rsidRPr="0020045E">
        <w:rPr>
          <w:rFonts w:ascii="Times New Roman" w:hAnsi="Times New Roman"/>
          <w:sz w:val="24"/>
        </w:rPr>
        <w:t xml:space="preserve"> (1939) 62 CLR 464 at 532 and </w:t>
      </w:r>
      <w:r w:rsidRPr="0020045E">
        <w:rPr>
          <w:rFonts w:ascii="Times New Roman" w:hAnsi="Times New Roman"/>
          <w:i/>
          <w:iCs/>
          <w:sz w:val="24"/>
        </w:rPr>
        <w:t>Chamberlain v Deputy Commissioner of Taxation</w:t>
      </w:r>
      <w:r w:rsidRPr="0020045E">
        <w:rPr>
          <w:rFonts w:ascii="Times New Roman" w:hAnsi="Times New Roman"/>
          <w:sz w:val="24"/>
        </w:rPr>
        <w:t xml:space="preserve"> (1988) 164 CLR 502 at 510.</w:t>
      </w:r>
    </w:p>
  </w:footnote>
  <w:footnote w:id="27">
    <w:p w14:paraId="4EA05C83"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Blair </w:t>
      </w:r>
      <w:r w:rsidRPr="0020045E">
        <w:rPr>
          <w:rFonts w:ascii="Times New Roman" w:hAnsi="Times New Roman"/>
          <w:sz w:val="24"/>
        </w:rPr>
        <w:t xml:space="preserve">(1939) 62 CLR 464 at 531-532; </w:t>
      </w:r>
      <w:r w:rsidRPr="0020045E">
        <w:rPr>
          <w:rFonts w:ascii="Times New Roman" w:hAnsi="Times New Roman"/>
          <w:i/>
          <w:iCs/>
          <w:sz w:val="24"/>
        </w:rPr>
        <w:t>Clayton v Bant</w:t>
      </w:r>
      <w:r w:rsidRPr="0020045E">
        <w:rPr>
          <w:rFonts w:ascii="Times New Roman" w:hAnsi="Times New Roman"/>
          <w:sz w:val="24"/>
        </w:rPr>
        <w:t xml:space="preserve"> (2020) 272 CLR 1 at 25 [66], see also 25-26 [67].</w:t>
      </w:r>
    </w:p>
  </w:footnote>
  <w:footnote w:id="28">
    <w:p w14:paraId="7909E75A" w14:textId="29337469"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Dignan </w:t>
      </w:r>
      <w:r w:rsidRPr="0020045E">
        <w:rPr>
          <w:rFonts w:ascii="Times New Roman" w:hAnsi="Times New Roman"/>
          <w:sz w:val="24"/>
        </w:rPr>
        <w:t xml:space="preserve">(1931) 46 CLR 73 at 109, quoting </w:t>
      </w:r>
      <w:r w:rsidRPr="0020045E">
        <w:rPr>
          <w:rFonts w:ascii="Times New Roman" w:hAnsi="Times New Roman"/>
          <w:i/>
          <w:iCs/>
          <w:sz w:val="24"/>
        </w:rPr>
        <w:t xml:space="preserve">Attorney-General v </w:t>
      </w:r>
      <w:proofErr w:type="spellStart"/>
      <w:r w:rsidRPr="0020045E">
        <w:rPr>
          <w:rFonts w:ascii="Times New Roman" w:hAnsi="Times New Roman"/>
          <w:i/>
          <w:iCs/>
          <w:sz w:val="24"/>
        </w:rPr>
        <w:t>Sillem</w:t>
      </w:r>
      <w:proofErr w:type="spellEnd"/>
      <w:r w:rsidRPr="0020045E">
        <w:rPr>
          <w:rFonts w:ascii="Times New Roman" w:hAnsi="Times New Roman"/>
          <w:i/>
          <w:iCs/>
          <w:sz w:val="24"/>
        </w:rPr>
        <w:t xml:space="preserve"> </w:t>
      </w:r>
      <w:r w:rsidRPr="0020045E">
        <w:rPr>
          <w:rFonts w:ascii="Times New Roman" w:hAnsi="Times New Roman"/>
          <w:sz w:val="24"/>
        </w:rPr>
        <w:t xml:space="preserve">(1864) 10 HLC 704 at 724 </w:t>
      </w:r>
      <w:r w:rsidR="00CF16BD" w:rsidRPr="0020045E">
        <w:rPr>
          <w:rFonts w:ascii="Times New Roman" w:hAnsi="Times New Roman"/>
          <w:sz w:val="24"/>
        </w:rPr>
        <w:t>[</w:t>
      </w:r>
      <w:r w:rsidRPr="0020045E">
        <w:rPr>
          <w:rFonts w:ascii="Times New Roman" w:hAnsi="Times New Roman"/>
          <w:sz w:val="24"/>
        </w:rPr>
        <w:t>11 ER 1200 at 1209</w:t>
      </w:r>
      <w:r w:rsidR="00CF16BD" w:rsidRPr="0020045E">
        <w:rPr>
          <w:rFonts w:ascii="Times New Roman" w:hAnsi="Times New Roman"/>
          <w:sz w:val="24"/>
        </w:rPr>
        <w:t>]</w:t>
      </w:r>
      <w:r w:rsidRPr="0020045E">
        <w:rPr>
          <w:rFonts w:ascii="Times New Roman" w:hAnsi="Times New Roman"/>
          <w:sz w:val="24"/>
        </w:rPr>
        <w:t xml:space="preserve">; </w:t>
      </w:r>
      <w:proofErr w:type="spellStart"/>
      <w:r w:rsidRPr="0020045E">
        <w:rPr>
          <w:rFonts w:ascii="Times New Roman" w:hAnsi="Times New Roman"/>
          <w:i/>
          <w:iCs/>
          <w:sz w:val="24"/>
        </w:rPr>
        <w:t>Norbis</w:t>
      </w:r>
      <w:proofErr w:type="spellEnd"/>
      <w:r w:rsidRPr="0020045E">
        <w:rPr>
          <w:rFonts w:ascii="Times New Roman" w:hAnsi="Times New Roman"/>
          <w:i/>
          <w:iCs/>
          <w:sz w:val="24"/>
        </w:rPr>
        <w:t xml:space="preserve"> v </w:t>
      </w:r>
      <w:proofErr w:type="spellStart"/>
      <w:r w:rsidRPr="0020045E">
        <w:rPr>
          <w:rFonts w:ascii="Times New Roman" w:hAnsi="Times New Roman"/>
          <w:i/>
          <w:iCs/>
          <w:sz w:val="24"/>
        </w:rPr>
        <w:t>Norbis</w:t>
      </w:r>
      <w:proofErr w:type="spellEnd"/>
      <w:r w:rsidRPr="0020045E">
        <w:rPr>
          <w:rFonts w:ascii="Times New Roman" w:hAnsi="Times New Roman"/>
          <w:i/>
          <w:iCs/>
          <w:sz w:val="24"/>
        </w:rPr>
        <w:t xml:space="preserve"> </w:t>
      </w:r>
      <w:r w:rsidRPr="0020045E">
        <w:rPr>
          <w:rFonts w:ascii="Times New Roman" w:hAnsi="Times New Roman"/>
          <w:sz w:val="24"/>
        </w:rPr>
        <w:t xml:space="preserve">(1986) 161 CLR 513 at 518-519; </w:t>
      </w:r>
      <w:r w:rsidRPr="0020045E">
        <w:rPr>
          <w:rFonts w:ascii="Times New Roman" w:hAnsi="Times New Roman"/>
          <w:i/>
          <w:iCs/>
          <w:sz w:val="24"/>
        </w:rPr>
        <w:t xml:space="preserve">CDJ v VAJ </w:t>
      </w:r>
      <w:r w:rsidRPr="0020045E">
        <w:rPr>
          <w:rFonts w:ascii="Times New Roman" w:hAnsi="Times New Roman"/>
          <w:sz w:val="24"/>
        </w:rPr>
        <w:t>(1998) 197 CLR 172 at 202</w:t>
      </w:r>
      <w:r w:rsidR="008708ED" w:rsidRPr="0020045E">
        <w:rPr>
          <w:rFonts w:ascii="Times New Roman" w:hAnsi="Times New Roman"/>
          <w:sz w:val="24"/>
        </w:rPr>
        <w:t xml:space="preserve"> [111]</w:t>
      </w:r>
      <w:r w:rsidRPr="0020045E">
        <w:rPr>
          <w:rFonts w:ascii="Times New Roman" w:hAnsi="Times New Roman"/>
          <w:sz w:val="24"/>
        </w:rPr>
        <w:t xml:space="preserve">; </w:t>
      </w:r>
      <w:proofErr w:type="spellStart"/>
      <w:r w:rsidRPr="0020045E">
        <w:rPr>
          <w:rFonts w:ascii="Times New Roman" w:hAnsi="Times New Roman"/>
          <w:i/>
          <w:iCs/>
          <w:sz w:val="24"/>
        </w:rPr>
        <w:t>Allesch</w:t>
      </w:r>
      <w:proofErr w:type="spellEnd"/>
      <w:r w:rsidRPr="0020045E">
        <w:rPr>
          <w:rFonts w:ascii="Times New Roman" w:hAnsi="Times New Roman"/>
          <w:i/>
          <w:iCs/>
          <w:sz w:val="24"/>
        </w:rPr>
        <w:t xml:space="preserve"> v </w:t>
      </w:r>
      <w:proofErr w:type="spellStart"/>
      <w:r w:rsidRPr="0020045E">
        <w:rPr>
          <w:rFonts w:ascii="Times New Roman" w:hAnsi="Times New Roman"/>
          <w:i/>
          <w:iCs/>
          <w:sz w:val="24"/>
        </w:rPr>
        <w:t>Maunz</w:t>
      </w:r>
      <w:proofErr w:type="spellEnd"/>
      <w:r w:rsidRPr="0020045E">
        <w:rPr>
          <w:rFonts w:ascii="Times New Roman" w:hAnsi="Times New Roman"/>
          <w:i/>
          <w:iCs/>
          <w:sz w:val="24"/>
        </w:rPr>
        <w:t xml:space="preserve"> </w:t>
      </w:r>
      <w:r w:rsidRPr="0020045E">
        <w:rPr>
          <w:rFonts w:ascii="Times New Roman" w:hAnsi="Times New Roman"/>
          <w:sz w:val="24"/>
        </w:rPr>
        <w:t xml:space="preserve">(2000) 203 CLR 172 at </w:t>
      </w:r>
      <w:r w:rsidR="009A76F7" w:rsidRPr="0020045E">
        <w:rPr>
          <w:rFonts w:ascii="Times New Roman" w:hAnsi="Times New Roman"/>
          <w:sz w:val="24"/>
        </w:rPr>
        <w:t xml:space="preserve">180-181 </w:t>
      </w:r>
      <w:r w:rsidRPr="0020045E">
        <w:rPr>
          <w:rFonts w:ascii="Times New Roman" w:hAnsi="Times New Roman"/>
          <w:sz w:val="24"/>
        </w:rPr>
        <w:t xml:space="preserve">[22]-[23]; </w:t>
      </w:r>
      <w:r w:rsidRPr="0020045E">
        <w:rPr>
          <w:rFonts w:ascii="Times New Roman" w:hAnsi="Times New Roman"/>
          <w:i/>
          <w:iCs/>
          <w:sz w:val="24"/>
        </w:rPr>
        <w:t xml:space="preserve">Western Australia v Ward </w:t>
      </w:r>
      <w:r w:rsidRPr="0020045E">
        <w:rPr>
          <w:rFonts w:ascii="Times New Roman" w:hAnsi="Times New Roman"/>
          <w:sz w:val="24"/>
        </w:rPr>
        <w:t xml:space="preserve">(2002) 213 CLR 1 at 87 [70]; </w:t>
      </w:r>
      <w:r w:rsidRPr="0020045E">
        <w:rPr>
          <w:rFonts w:ascii="Times New Roman" w:hAnsi="Times New Roman"/>
          <w:i/>
          <w:iCs/>
          <w:sz w:val="24"/>
        </w:rPr>
        <w:t xml:space="preserve">Robinson Helicopter Co Inc v McDermott </w:t>
      </w:r>
      <w:r w:rsidRPr="0020045E">
        <w:rPr>
          <w:rFonts w:ascii="Times New Roman" w:hAnsi="Times New Roman"/>
          <w:sz w:val="24"/>
        </w:rPr>
        <w:t>(2016) 90 ALJR 679 at 686 [43]; 331</w:t>
      </w:r>
      <w:r w:rsidR="003F4A1B">
        <w:rPr>
          <w:rFonts w:ascii="Times New Roman" w:hAnsi="Times New Roman"/>
          <w:sz w:val="24"/>
        </w:rPr>
        <w:t> </w:t>
      </w:r>
      <w:r w:rsidRPr="0020045E">
        <w:rPr>
          <w:rFonts w:ascii="Times New Roman" w:hAnsi="Times New Roman"/>
          <w:sz w:val="24"/>
        </w:rPr>
        <w:t xml:space="preserve">ALR 550 at 558; </w:t>
      </w:r>
      <w:r w:rsidRPr="0020045E">
        <w:rPr>
          <w:rFonts w:ascii="Times New Roman" w:hAnsi="Times New Roman"/>
          <w:i/>
          <w:iCs/>
          <w:sz w:val="24"/>
        </w:rPr>
        <w:t xml:space="preserve">Minister for Immigration and Border Protection v SZVFW </w:t>
      </w:r>
      <w:r w:rsidRPr="0020045E">
        <w:rPr>
          <w:rFonts w:ascii="Times New Roman" w:hAnsi="Times New Roman"/>
          <w:sz w:val="24"/>
        </w:rPr>
        <w:t>(2018) 264 CLR 541 at 555</w:t>
      </w:r>
      <w:r w:rsidRPr="0020045E">
        <w:rPr>
          <w:rFonts w:ascii="Times New Roman" w:hAnsi="Times New Roman"/>
          <w:sz w:val="24"/>
        </w:rPr>
        <w:noBreakHyphen/>
        <w:t xml:space="preserve">556 [30]; </w:t>
      </w:r>
      <w:r w:rsidRPr="0020045E">
        <w:rPr>
          <w:rFonts w:ascii="Times New Roman" w:hAnsi="Times New Roman"/>
          <w:i/>
          <w:iCs/>
          <w:sz w:val="24"/>
        </w:rPr>
        <w:t xml:space="preserve">Lee v Lee </w:t>
      </w:r>
      <w:r w:rsidRPr="0020045E">
        <w:rPr>
          <w:rFonts w:ascii="Times New Roman" w:hAnsi="Times New Roman"/>
          <w:sz w:val="24"/>
        </w:rPr>
        <w:t xml:space="preserve">(2019) 266 CLR 129 at 148 [55]. </w:t>
      </w:r>
    </w:p>
  </w:footnote>
  <w:footnote w:id="29">
    <w:p w14:paraId="0BFD58C4" w14:textId="13D114D4"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Fox v Percy </w:t>
      </w:r>
      <w:r w:rsidRPr="0020045E">
        <w:rPr>
          <w:rFonts w:ascii="Times New Roman" w:hAnsi="Times New Roman"/>
          <w:sz w:val="24"/>
        </w:rPr>
        <w:t>(2003) 214 CLR 118 at 125</w:t>
      </w:r>
      <w:r w:rsidR="009A76F7" w:rsidRPr="0020045E">
        <w:rPr>
          <w:rFonts w:ascii="Times New Roman" w:hAnsi="Times New Roman"/>
          <w:sz w:val="24"/>
        </w:rPr>
        <w:t xml:space="preserve"> [23]</w:t>
      </w:r>
      <w:r w:rsidRPr="0020045E">
        <w:rPr>
          <w:rFonts w:ascii="Times New Roman" w:hAnsi="Times New Roman"/>
          <w:sz w:val="24"/>
        </w:rPr>
        <w:t xml:space="preserve">, quoting </w:t>
      </w:r>
      <w:r w:rsidRPr="0020045E">
        <w:rPr>
          <w:rFonts w:ascii="Times New Roman" w:hAnsi="Times New Roman"/>
          <w:i/>
          <w:iCs/>
          <w:sz w:val="24"/>
        </w:rPr>
        <w:t xml:space="preserve">Dearman v Dearman </w:t>
      </w:r>
      <w:r w:rsidRPr="0020045E">
        <w:rPr>
          <w:rFonts w:ascii="Times New Roman" w:hAnsi="Times New Roman"/>
          <w:sz w:val="24"/>
        </w:rPr>
        <w:t xml:space="preserve">(1908) 7 CLR 549 at 561. See also </w:t>
      </w:r>
      <w:r w:rsidRPr="0020045E">
        <w:rPr>
          <w:rFonts w:ascii="Times New Roman" w:hAnsi="Times New Roman"/>
          <w:i/>
          <w:iCs/>
          <w:sz w:val="24"/>
        </w:rPr>
        <w:t xml:space="preserve">Warren v Coombes </w:t>
      </w:r>
      <w:r w:rsidRPr="0020045E">
        <w:rPr>
          <w:rFonts w:ascii="Times New Roman" w:hAnsi="Times New Roman"/>
          <w:sz w:val="24"/>
        </w:rPr>
        <w:t xml:space="preserve">(1979) 142 CLR 531 at 537; </w:t>
      </w:r>
      <w:proofErr w:type="spellStart"/>
      <w:r w:rsidRPr="0020045E">
        <w:rPr>
          <w:rFonts w:ascii="Times New Roman" w:hAnsi="Times New Roman"/>
          <w:i/>
          <w:iCs/>
          <w:sz w:val="24"/>
        </w:rPr>
        <w:t>Allesch</w:t>
      </w:r>
      <w:proofErr w:type="spellEnd"/>
      <w:r w:rsidR="003F4A1B">
        <w:rPr>
          <w:rFonts w:ascii="Times New Roman" w:hAnsi="Times New Roman"/>
          <w:i/>
          <w:iCs/>
          <w:sz w:val="24"/>
        </w:rPr>
        <w:t> </w:t>
      </w:r>
      <w:r w:rsidRPr="0020045E">
        <w:rPr>
          <w:rFonts w:ascii="Times New Roman" w:hAnsi="Times New Roman"/>
          <w:sz w:val="24"/>
        </w:rPr>
        <w:t>(2000) 203 CLR 172 at 181</w:t>
      </w:r>
      <w:r w:rsidR="00DE1E84" w:rsidRPr="0020045E">
        <w:rPr>
          <w:rFonts w:ascii="Times New Roman" w:hAnsi="Times New Roman"/>
          <w:sz w:val="24"/>
        </w:rPr>
        <w:t xml:space="preserve"> [23]</w:t>
      </w:r>
      <w:r w:rsidRPr="0020045E">
        <w:rPr>
          <w:rFonts w:ascii="Times New Roman" w:hAnsi="Times New Roman"/>
          <w:sz w:val="24"/>
        </w:rPr>
        <w:t xml:space="preserve">; </w:t>
      </w:r>
      <w:r w:rsidRPr="0020045E">
        <w:rPr>
          <w:rFonts w:ascii="Times New Roman" w:hAnsi="Times New Roman"/>
          <w:i/>
          <w:iCs/>
          <w:sz w:val="24"/>
        </w:rPr>
        <w:t xml:space="preserve">SZVFW </w:t>
      </w:r>
      <w:r w:rsidRPr="0020045E">
        <w:rPr>
          <w:rFonts w:ascii="Times New Roman" w:hAnsi="Times New Roman"/>
          <w:sz w:val="24"/>
        </w:rPr>
        <w:t xml:space="preserve">(2018) 264 CLR 541 at 555 [30]. </w:t>
      </w:r>
    </w:p>
  </w:footnote>
  <w:footnote w:id="30">
    <w:p w14:paraId="11430E6E" w14:textId="578FFDE2"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Cameron v Cole</w:t>
      </w:r>
      <w:r w:rsidRPr="0020045E">
        <w:rPr>
          <w:rFonts w:ascii="Times New Roman" w:hAnsi="Times New Roman"/>
          <w:sz w:val="24"/>
        </w:rPr>
        <w:t xml:space="preserve"> (1944) 68 CLR 571 at 590; </w:t>
      </w:r>
      <w:r w:rsidRPr="0020045E">
        <w:rPr>
          <w:rFonts w:ascii="Times New Roman" w:hAnsi="Times New Roman"/>
          <w:i/>
          <w:iCs/>
          <w:sz w:val="24"/>
        </w:rPr>
        <w:t xml:space="preserve">Re Macks; Ex </w:t>
      </w:r>
      <w:proofErr w:type="spellStart"/>
      <w:r w:rsidRPr="0020045E">
        <w:rPr>
          <w:rFonts w:ascii="Times New Roman" w:hAnsi="Times New Roman"/>
          <w:i/>
          <w:iCs/>
          <w:sz w:val="24"/>
        </w:rPr>
        <w:t>parte</w:t>
      </w:r>
      <w:proofErr w:type="spellEnd"/>
      <w:r w:rsidRPr="0020045E">
        <w:rPr>
          <w:rFonts w:ascii="Times New Roman" w:hAnsi="Times New Roman"/>
          <w:i/>
          <w:iCs/>
          <w:sz w:val="24"/>
        </w:rPr>
        <w:t xml:space="preserve"> Saint</w:t>
      </w:r>
      <w:r w:rsidRPr="0020045E">
        <w:rPr>
          <w:rFonts w:ascii="Times New Roman" w:hAnsi="Times New Roman"/>
          <w:sz w:val="24"/>
        </w:rPr>
        <w:t xml:space="preserve"> (2000) 204</w:t>
      </w:r>
      <w:r w:rsidR="00382704">
        <w:rPr>
          <w:rFonts w:ascii="Times New Roman" w:hAnsi="Times New Roman"/>
          <w:sz w:val="24"/>
        </w:rPr>
        <w:t> </w:t>
      </w:r>
      <w:r w:rsidRPr="0020045E">
        <w:rPr>
          <w:rFonts w:ascii="Times New Roman" w:hAnsi="Times New Roman"/>
          <w:sz w:val="24"/>
        </w:rPr>
        <w:t>CLR 158 at 177 [20], 235-236 [216], 274</w:t>
      </w:r>
      <w:r w:rsidRPr="0020045E">
        <w:rPr>
          <w:rFonts w:ascii="Times New Roman" w:hAnsi="Times New Roman"/>
          <w:sz w:val="24"/>
        </w:rPr>
        <w:noBreakHyphen/>
        <w:t xml:space="preserve">275 [328]-[329]; </w:t>
      </w:r>
      <w:r w:rsidRPr="0020045E">
        <w:rPr>
          <w:rFonts w:ascii="Times New Roman" w:hAnsi="Times New Roman"/>
          <w:i/>
          <w:iCs/>
          <w:sz w:val="24"/>
        </w:rPr>
        <w:t xml:space="preserve">Kable </w:t>
      </w:r>
      <w:r w:rsidRPr="0020045E">
        <w:rPr>
          <w:rFonts w:ascii="Times New Roman" w:hAnsi="Times New Roman"/>
          <w:sz w:val="24"/>
        </w:rPr>
        <w:t>(2013) 252</w:t>
      </w:r>
      <w:r w:rsidR="00382704">
        <w:rPr>
          <w:rFonts w:ascii="Times New Roman" w:hAnsi="Times New Roman"/>
          <w:sz w:val="24"/>
        </w:rPr>
        <w:t> </w:t>
      </w:r>
      <w:r w:rsidRPr="0020045E">
        <w:rPr>
          <w:rFonts w:ascii="Times New Roman" w:hAnsi="Times New Roman"/>
          <w:sz w:val="24"/>
        </w:rPr>
        <w:t>CLR 118 at 135 [38], 140 [55]-[56].</w:t>
      </w:r>
    </w:p>
  </w:footnote>
  <w:footnote w:id="31">
    <w:p w14:paraId="548D406A"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(1991) 173 CLR 289. </w:t>
      </w:r>
    </w:p>
  </w:footnote>
  <w:footnote w:id="32">
    <w:p w14:paraId="49ED1406"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proofErr w:type="spellStart"/>
      <w:r w:rsidRPr="0020045E">
        <w:rPr>
          <w:rFonts w:ascii="Times New Roman" w:hAnsi="Times New Roman"/>
          <w:i/>
          <w:iCs/>
          <w:sz w:val="24"/>
        </w:rPr>
        <w:t>Mellifont</w:t>
      </w:r>
      <w:proofErr w:type="spellEnd"/>
      <w:r w:rsidRPr="0020045E">
        <w:rPr>
          <w:rFonts w:ascii="Times New Roman" w:hAnsi="Times New Roman"/>
          <w:i/>
          <w:iCs/>
          <w:sz w:val="24"/>
        </w:rPr>
        <w:t xml:space="preserve"> </w:t>
      </w:r>
      <w:r w:rsidRPr="0020045E">
        <w:rPr>
          <w:rFonts w:ascii="Times New Roman" w:hAnsi="Times New Roman"/>
          <w:sz w:val="24"/>
        </w:rPr>
        <w:t xml:space="preserve">(1991) 173 CLR 289 at 304. </w:t>
      </w:r>
    </w:p>
  </w:footnote>
  <w:footnote w:id="33">
    <w:p w14:paraId="27260B24"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(1990) 171 CLR 232 at 244-245, 258-259, 281-283, 301-302. See also </w:t>
      </w:r>
      <w:proofErr w:type="spellStart"/>
      <w:r w:rsidRPr="0020045E">
        <w:rPr>
          <w:rFonts w:ascii="Times New Roman" w:hAnsi="Times New Roman"/>
          <w:i/>
          <w:iCs/>
          <w:sz w:val="24"/>
        </w:rPr>
        <w:t>Mellifont</w:t>
      </w:r>
      <w:proofErr w:type="spellEnd"/>
      <w:r w:rsidRPr="0020045E">
        <w:rPr>
          <w:rFonts w:ascii="Times New Roman" w:hAnsi="Times New Roman"/>
          <w:i/>
          <w:iCs/>
          <w:sz w:val="24"/>
        </w:rPr>
        <w:t xml:space="preserve"> </w:t>
      </w:r>
      <w:r w:rsidRPr="0020045E">
        <w:rPr>
          <w:rFonts w:ascii="Times New Roman" w:hAnsi="Times New Roman"/>
          <w:sz w:val="24"/>
        </w:rPr>
        <w:t>(1991) 173 CLR 289 at 303-304.</w:t>
      </w:r>
    </w:p>
  </w:footnote>
  <w:footnote w:id="34">
    <w:p w14:paraId="79861933" w14:textId="7248712D"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(1991) 173 CLR 289 at 305. </w:t>
      </w:r>
    </w:p>
  </w:footnote>
  <w:footnote w:id="35">
    <w:p w14:paraId="2881B16A"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(1991) 173 CLR 289 at 304 (emphasis in original). </w:t>
      </w:r>
    </w:p>
  </w:footnote>
  <w:footnote w:id="36">
    <w:p w14:paraId="127FFAF7" w14:textId="0D9C1380"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(1991) 173 CLR 289 at 305 (emphasis added</w:t>
      </w:r>
      <w:r w:rsidR="007A4C60" w:rsidRPr="0020045E">
        <w:rPr>
          <w:rFonts w:ascii="Times New Roman" w:hAnsi="Times New Roman"/>
          <w:sz w:val="24"/>
        </w:rPr>
        <w:t>; footnote omitted</w:t>
      </w:r>
      <w:r w:rsidRPr="0020045E">
        <w:rPr>
          <w:rFonts w:ascii="Times New Roman" w:hAnsi="Times New Roman"/>
          <w:sz w:val="24"/>
        </w:rPr>
        <w:t xml:space="preserve">). </w:t>
      </w:r>
    </w:p>
  </w:footnote>
  <w:footnote w:id="37">
    <w:p w14:paraId="52CB85D5"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(1998) 194 CLR 566 at 576 [10]; </w:t>
      </w:r>
      <w:proofErr w:type="spellStart"/>
      <w:r w:rsidRPr="0020045E">
        <w:rPr>
          <w:rFonts w:ascii="Times New Roman" w:hAnsi="Times New Roman"/>
          <w:sz w:val="24"/>
        </w:rPr>
        <w:t>cf</w:t>
      </w:r>
      <w:proofErr w:type="spellEnd"/>
      <w:r w:rsidRPr="0020045E">
        <w:rPr>
          <w:rFonts w:ascii="Times New Roman" w:hAnsi="Times New Roman"/>
          <w:sz w:val="24"/>
        </w:rPr>
        <w:t xml:space="preserve"> 576 [11]-[12]. </w:t>
      </w:r>
    </w:p>
  </w:footnote>
  <w:footnote w:id="38">
    <w:p w14:paraId="64DA2DBE"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See </w:t>
      </w:r>
      <w:r w:rsidRPr="0020045E">
        <w:rPr>
          <w:rFonts w:ascii="Times New Roman" w:hAnsi="Times New Roman"/>
          <w:i/>
          <w:iCs/>
          <w:sz w:val="24"/>
        </w:rPr>
        <w:t xml:space="preserve">Secretary, Department of </w:t>
      </w:r>
      <w:proofErr w:type="gramStart"/>
      <w:r w:rsidRPr="0020045E">
        <w:rPr>
          <w:rFonts w:ascii="Times New Roman" w:hAnsi="Times New Roman"/>
          <w:i/>
          <w:iCs/>
          <w:sz w:val="24"/>
        </w:rPr>
        <w:t>Health</w:t>
      </w:r>
      <w:proofErr w:type="gramEnd"/>
      <w:r w:rsidRPr="0020045E">
        <w:rPr>
          <w:rFonts w:ascii="Times New Roman" w:hAnsi="Times New Roman"/>
          <w:i/>
          <w:iCs/>
          <w:sz w:val="24"/>
        </w:rPr>
        <w:t xml:space="preserve"> and Community Services v JMB and SMB (Marion's Case) </w:t>
      </w:r>
      <w:r w:rsidRPr="0020045E">
        <w:rPr>
          <w:rFonts w:ascii="Times New Roman" w:hAnsi="Times New Roman"/>
          <w:sz w:val="24"/>
        </w:rPr>
        <w:t xml:space="preserve">(1992) 175 CLR 218 at 230; </w:t>
      </w:r>
      <w:r w:rsidRPr="0020045E">
        <w:rPr>
          <w:rFonts w:ascii="Times New Roman" w:hAnsi="Times New Roman"/>
          <w:i/>
          <w:iCs/>
          <w:sz w:val="24"/>
        </w:rPr>
        <w:t xml:space="preserve">Director of Public Prosecutions (NT) v WJI </w:t>
      </w:r>
      <w:r w:rsidRPr="0020045E">
        <w:rPr>
          <w:rFonts w:ascii="Times New Roman" w:hAnsi="Times New Roman"/>
          <w:sz w:val="24"/>
        </w:rPr>
        <w:t xml:space="preserve">(2004) 219 CLR 43 at 53 [27]. See also Lindell, </w:t>
      </w:r>
      <w:r w:rsidRPr="0020045E">
        <w:rPr>
          <w:rFonts w:ascii="Times New Roman" w:hAnsi="Times New Roman"/>
          <w:i/>
          <w:iCs/>
          <w:sz w:val="24"/>
        </w:rPr>
        <w:t xml:space="preserve">Cowen and </w:t>
      </w:r>
      <w:proofErr w:type="spellStart"/>
      <w:r w:rsidRPr="0020045E">
        <w:rPr>
          <w:rFonts w:ascii="Times New Roman" w:hAnsi="Times New Roman"/>
          <w:i/>
          <w:iCs/>
          <w:sz w:val="24"/>
        </w:rPr>
        <w:t>Zines's</w:t>
      </w:r>
      <w:proofErr w:type="spellEnd"/>
      <w:r w:rsidRPr="0020045E">
        <w:rPr>
          <w:rFonts w:ascii="Times New Roman" w:hAnsi="Times New Roman"/>
          <w:i/>
          <w:iCs/>
          <w:sz w:val="24"/>
        </w:rPr>
        <w:t xml:space="preserve"> Federal Jurisdiction in Australia</w:t>
      </w:r>
      <w:r w:rsidRPr="0020045E">
        <w:rPr>
          <w:rFonts w:ascii="Times New Roman" w:hAnsi="Times New Roman"/>
          <w:sz w:val="24"/>
        </w:rPr>
        <w:t>, 4th ed (2016) at 422.</w:t>
      </w:r>
    </w:p>
  </w:footnote>
  <w:footnote w:id="39">
    <w:p w14:paraId="2119CB69"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(2008) 233 CLR 542 at 567-568 [63]-[67], see also 550 [1], 557-559 [28]-[33]. </w:t>
      </w:r>
    </w:p>
  </w:footnote>
  <w:footnote w:id="40">
    <w:p w14:paraId="759D3882"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Alinta </w:t>
      </w:r>
      <w:r w:rsidRPr="0020045E">
        <w:rPr>
          <w:rFonts w:ascii="Times New Roman" w:hAnsi="Times New Roman"/>
          <w:sz w:val="24"/>
        </w:rPr>
        <w:t>(2008) 233 CLR 542 at 567-568 [65].</w:t>
      </w:r>
    </w:p>
  </w:footnote>
  <w:footnote w:id="41">
    <w:p w14:paraId="2B8DCA5D" w14:textId="754C5502"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Alinta </w:t>
      </w:r>
      <w:r w:rsidRPr="0020045E">
        <w:rPr>
          <w:rFonts w:ascii="Times New Roman" w:hAnsi="Times New Roman"/>
          <w:sz w:val="24"/>
        </w:rPr>
        <w:t>(2008) 233 CLR 542 at 568 [6</w:t>
      </w:r>
      <w:r w:rsidR="00BB6D57" w:rsidRPr="0020045E">
        <w:rPr>
          <w:rFonts w:ascii="Times New Roman" w:hAnsi="Times New Roman"/>
          <w:sz w:val="24"/>
        </w:rPr>
        <w:t>6</w:t>
      </w:r>
      <w:r w:rsidRPr="0020045E">
        <w:rPr>
          <w:rFonts w:ascii="Times New Roman" w:hAnsi="Times New Roman"/>
          <w:sz w:val="24"/>
        </w:rPr>
        <w:t xml:space="preserve">]. </w:t>
      </w:r>
      <w:proofErr w:type="spellStart"/>
      <w:r w:rsidRPr="0020045E">
        <w:rPr>
          <w:rFonts w:ascii="Times New Roman" w:hAnsi="Times New Roman"/>
          <w:sz w:val="24"/>
        </w:rPr>
        <w:t>cf</w:t>
      </w:r>
      <w:proofErr w:type="spellEnd"/>
      <w:r w:rsidRPr="0020045E">
        <w:rPr>
          <w:rFonts w:ascii="Times New Roman" w:hAnsi="Times New Roman"/>
          <w:sz w:val="24"/>
        </w:rPr>
        <w:t xml:space="preserve"> </w:t>
      </w:r>
      <w:r w:rsidRPr="0020045E">
        <w:rPr>
          <w:rFonts w:ascii="Times New Roman" w:hAnsi="Times New Roman"/>
          <w:i/>
          <w:iCs/>
          <w:sz w:val="24"/>
        </w:rPr>
        <w:t xml:space="preserve">Re McBain; Ex </w:t>
      </w:r>
      <w:proofErr w:type="spellStart"/>
      <w:r w:rsidRPr="0020045E">
        <w:rPr>
          <w:rFonts w:ascii="Times New Roman" w:hAnsi="Times New Roman"/>
          <w:i/>
          <w:iCs/>
          <w:sz w:val="24"/>
        </w:rPr>
        <w:t>parte</w:t>
      </w:r>
      <w:proofErr w:type="spellEnd"/>
      <w:r w:rsidRPr="0020045E">
        <w:rPr>
          <w:rFonts w:ascii="Times New Roman" w:hAnsi="Times New Roman"/>
          <w:i/>
          <w:iCs/>
          <w:sz w:val="24"/>
        </w:rPr>
        <w:t xml:space="preserve"> Australian Catholic Bishops Conference </w:t>
      </w:r>
      <w:r w:rsidRPr="0020045E">
        <w:rPr>
          <w:rFonts w:ascii="Times New Roman" w:hAnsi="Times New Roman"/>
          <w:sz w:val="24"/>
        </w:rPr>
        <w:t xml:space="preserve">(2002) 209 CLR 372 at 396 [26]. </w:t>
      </w:r>
    </w:p>
  </w:footnote>
  <w:footnote w:id="42">
    <w:p w14:paraId="7999246E"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(2005) 222 CLR 580. </w:t>
      </w:r>
    </w:p>
  </w:footnote>
  <w:footnote w:id="43">
    <w:p w14:paraId="03177737"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(2020) 270 CLR 523.</w:t>
      </w:r>
    </w:p>
  </w:footnote>
  <w:footnote w:id="44">
    <w:p w14:paraId="36453825" w14:textId="57A19E58"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See </w:t>
      </w:r>
      <w:proofErr w:type="spellStart"/>
      <w:r w:rsidRPr="0020045E">
        <w:rPr>
          <w:rFonts w:ascii="Times New Roman" w:hAnsi="Times New Roman"/>
          <w:i/>
          <w:iCs/>
          <w:sz w:val="24"/>
        </w:rPr>
        <w:t>Ruhani</w:t>
      </w:r>
      <w:proofErr w:type="spellEnd"/>
      <w:r w:rsidRPr="0020045E">
        <w:rPr>
          <w:rFonts w:ascii="Times New Roman" w:hAnsi="Times New Roman"/>
          <w:i/>
          <w:iCs/>
          <w:sz w:val="24"/>
        </w:rPr>
        <w:t xml:space="preserve"> v Director of Police </w:t>
      </w:r>
      <w:r w:rsidRPr="0020045E">
        <w:rPr>
          <w:rFonts w:ascii="Times New Roman" w:hAnsi="Times New Roman"/>
          <w:sz w:val="24"/>
        </w:rPr>
        <w:t>(2005) 222 CLR 489 at 499 [7], 500-501 [14], 512</w:t>
      </w:r>
      <w:r w:rsidR="009F072E">
        <w:rPr>
          <w:rFonts w:ascii="Times New Roman" w:hAnsi="Times New Roman"/>
          <w:sz w:val="24"/>
        </w:rPr>
        <w:t> </w:t>
      </w:r>
      <w:r w:rsidRPr="0020045E">
        <w:rPr>
          <w:rFonts w:ascii="Times New Roman" w:hAnsi="Times New Roman"/>
          <w:sz w:val="24"/>
        </w:rPr>
        <w:t xml:space="preserve">[52], 513-514 [58], 518-519 [73], 527 [106], 532 [128]. See also </w:t>
      </w:r>
      <w:r w:rsidRPr="0020045E">
        <w:rPr>
          <w:rFonts w:ascii="Times New Roman" w:hAnsi="Times New Roman"/>
          <w:i/>
          <w:iCs/>
          <w:sz w:val="24"/>
        </w:rPr>
        <w:t xml:space="preserve">Plaintiff M68/2015 v Minister for Immigration and Border Protection </w:t>
      </w:r>
      <w:r w:rsidRPr="0020045E">
        <w:rPr>
          <w:rFonts w:ascii="Times New Roman" w:hAnsi="Times New Roman"/>
          <w:sz w:val="24"/>
        </w:rPr>
        <w:t xml:space="preserve">(2016) 257 CLR 42 at 65 [20], 65-66 [22]-[23], 76 [64], 89 [109], 90 [112], 123-124 [235]-[236], 151-152 [349]-[350]; </w:t>
      </w:r>
      <w:r w:rsidRPr="0020045E">
        <w:rPr>
          <w:rFonts w:ascii="Times New Roman" w:hAnsi="Times New Roman"/>
          <w:i/>
          <w:iCs/>
          <w:sz w:val="24"/>
        </w:rPr>
        <w:t xml:space="preserve">Unions [No 3] </w:t>
      </w:r>
      <w:r w:rsidRPr="0020045E">
        <w:rPr>
          <w:rFonts w:ascii="Times New Roman" w:hAnsi="Times New Roman"/>
          <w:sz w:val="24"/>
        </w:rPr>
        <w:t>(2023) 97 ALJR 150 at 158 [21]; 407 ALR 277 at 283</w:t>
      </w:r>
      <w:r w:rsidR="009F072E">
        <w:rPr>
          <w:rFonts w:ascii="Times New Roman" w:hAnsi="Times New Roman"/>
          <w:sz w:val="24"/>
        </w:rPr>
        <w:noBreakHyphen/>
      </w:r>
      <w:r w:rsidRPr="0020045E">
        <w:rPr>
          <w:rFonts w:ascii="Times New Roman" w:hAnsi="Times New Roman"/>
          <w:sz w:val="24"/>
        </w:rPr>
        <w:t xml:space="preserve">284. </w:t>
      </w:r>
    </w:p>
  </w:footnote>
  <w:footnote w:id="45">
    <w:p w14:paraId="1887C202"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(2020) 270 CLR 523 at 537 [26]-[28], 540 [35]-[38]. </w:t>
      </w:r>
    </w:p>
  </w:footnote>
  <w:footnote w:id="46">
    <w:p w14:paraId="2B2A73AF" w14:textId="51D89180"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Commissioner of Taxation v Industrial Equity Ltd </w:t>
      </w:r>
      <w:r w:rsidRPr="0020045E">
        <w:rPr>
          <w:rFonts w:ascii="Times New Roman" w:hAnsi="Times New Roman"/>
          <w:sz w:val="24"/>
        </w:rPr>
        <w:t xml:space="preserve">(2000) 98 FCR 573 at 576 [13], 577 [16]; </w:t>
      </w:r>
      <w:r w:rsidRPr="0020045E">
        <w:rPr>
          <w:rFonts w:ascii="Times New Roman" w:hAnsi="Times New Roman"/>
          <w:i/>
          <w:iCs/>
          <w:sz w:val="24"/>
        </w:rPr>
        <w:t xml:space="preserve">Minister for Immigration and Multicultural and Indigenous Affairs v SBAN </w:t>
      </w:r>
      <w:r w:rsidRPr="0020045E">
        <w:rPr>
          <w:rFonts w:ascii="Times New Roman" w:hAnsi="Times New Roman"/>
          <w:sz w:val="24"/>
        </w:rPr>
        <w:t xml:space="preserve">[2002] FCAFC 431 at [12]-[15]; </w:t>
      </w:r>
      <w:r w:rsidRPr="0020045E">
        <w:rPr>
          <w:rFonts w:ascii="Times New Roman" w:hAnsi="Times New Roman"/>
          <w:i/>
          <w:iCs/>
          <w:sz w:val="24"/>
        </w:rPr>
        <w:t xml:space="preserve">Minister for Immigration and Multicultural and Indigenous Affairs v Al </w:t>
      </w:r>
      <w:proofErr w:type="spellStart"/>
      <w:r w:rsidRPr="0020045E">
        <w:rPr>
          <w:rFonts w:ascii="Times New Roman" w:hAnsi="Times New Roman"/>
          <w:i/>
          <w:iCs/>
          <w:sz w:val="24"/>
        </w:rPr>
        <w:t>Masri</w:t>
      </w:r>
      <w:proofErr w:type="spellEnd"/>
      <w:r w:rsidRPr="0020045E">
        <w:rPr>
          <w:rFonts w:ascii="Times New Roman" w:hAnsi="Times New Roman"/>
          <w:sz w:val="24"/>
        </w:rPr>
        <w:t xml:space="preserve"> (2003) 126 FCR 54 at 62 [20]-[21]; </w:t>
      </w:r>
      <w:proofErr w:type="spellStart"/>
      <w:r w:rsidRPr="0020045E">
        <w:rPr>
          <w:rFonts w:ascii="Times New Roman" w:hAnsi="Times New Roman"/>
          <w:i/>
          <w:iCs/>
          <w:sz w:val="24"/>
        </w:rPr>
        <w:t>Bonan</w:t>
      </w:r>
      <w:proofErr w:type="spellEnd"/>
      <w:r w:rsidRPr="0020045E">
        <w:rPr>
          <w:rFonts w:ascii="Times New Roman" w:hAnsi="Times New Roman"/>
          <w:i/>
          <w:iCs/>
          <w:sz w:val="24"/>
        </w:rPr>
        <w:t xml:space="preserve"> v </w:t>
      </w:r>
      <w:proofErr w:type="spellStart"/>
      <w:r w:rsidRPr="0020045E">
        <w:rPr>
          <w:rFonts w:ascii="Times New Roman" w:hAnsi="Times New Roman"/>
          <w:i/>
          <w:iCs/>
          <w:sz w:val="24"/>
        </w:rPr>
        <w:t>Hadgkiss</w:t>
      </w:r>
      <w:proofErr w:type="spellEnd"/>
      <w:r w:rsidRPr="0020045E">
        <w:rPr>
          <w:rFonts w:ascii="Times New Roman" w:hAnsi="Times New Roman"/>
          <w:i/>
          <w:iCs/>
          <w:sz w:val="24"/>
        </w:rPr>
        <w:t xml:space="preserve"> </w:t>
      </w:r>
      <w:r w:rsidRPr="0020045E">
        <w:rPr>
          <w:rFonts w:ascii="Times New Roman" w:hAnsi="Times New Roman"/>
          <w:sz w:val="24"/>
        </w:rPr>
        <w:t xml:space="preserve">(2007) 160 FCR 29 at 31-33 [8]-[13]; </w:t>
      </w:r>
      <w:r w:rsidRPr="0020045E">
        <w:rPr>
          <w:rFonts w:ascii="Times New Roman" w:hAnsi="Times New Roman"/>
          <w:i/>
          <w:iCs/>
          <w:sz w:val="24"/>
        </w:rPr>
        <w:t>Minister for Immigration, Citizenship, Migrant Services and Multicultural Affairs v CPJ16</w:t>
      </w:r>
      <w:r w:rsidRPr="0020045E">
        <w:rPr>
          <w:rFonts w:ascii="Times New Roman" w:hAnsi="Times New Roman"/>
          <w:sz w:val="24"/>
        </w:rPr>
        <w:t xml:space="preserve"> (2020) 276 FCR 1 at 6-7 [19]-[24]. See also </w:t>
      </w:r>
      <w:proofErr w:type="spellStart"/>
      <w:r w:rsidRPr="0020045E">
        <w:rPr>
          <w:rFonts w:ascii="Times New Roman" w:hAnsi="Times New Roman"/>
          <w:i/>
          <w:iCs/>
          <w:sz w:val="24"/>
        </w:rPr>
        <w:t>Leibler</w:t>
      </w:r>
      <w:proofErr w:type="spellEnd"/>
      <w:r w:rsidRPr="0020045E">
        <w:rPr>
          <w:rFonts w:ascii="Times New Roman" w:hAnsi="Times New Roman"/>
          <w:i/>
          <w:iCs/>
          <w:sz w:val="24"/>
        </w:rPr>
        <w:t xml:space="preserve"> v Air New Zealand Ltd </w:t>
      </w:r>
      <w:r w:rsidRPr="0020045E">
        <w:rPr>
          <w:rFonts w:ascii="Times New Roman" w:hAnsi="Times New Roman"/>
          <w:sz w:val="24"/>
        </w:rPr>
        <w:t>[1998] 2 VR 525 at 529</w:t>
      </w:r>
      <w:r w:rsidR="009F072E">
        <w:rPr>
          <w:rFonts w:ascii="Times New Roman" w:hAnsi="Times New Roman"/>
          <w:sz w:val="24"/>
        </w:rPr>
        <w:noBreakHyphen/>
      </w:r>
      <w:r w:rsidRPr="0020045E">
        <w:rPr>
          <w:rFonts w:ascii="Times New Roman" w:hAnsi="Times New Roman"/>
          <w:sz w:val="24"/>
        </w:rPr>
        <w:t xml:space="preserve">530; </w:t>
      </w:r>
      <w:r w:rsidRPr="0020045E">
        <w:rPr>
          <w:rFonts w:ascii="Times New Roman" w:hAnsi="Times New Roman"/>
          <w:i/>
          <w:iCs/>
          <w:sz w:val="24"/>
        </w:rPr>
        <w:t xml:space="preserve">Hunter Development Corporation v Save Our Rail NSW Incorporated </w:t>
      </w:r>
      <w:r w:rsidR="00D754C1" w:rsidRPr="0020045E">
        <w:rPr>
          <w:rFonts w:ascii="Times New Roman" w:hAnsi="Times New Roman"/>
          <w:i/>
          <w:iCs/>
          <w:sz w:val="24"/>
        </w:rPr>
        <w:t>[</w:t>
      </w:r>
      <w:r w:rsidRPr="0020045E">
        <w:rPr>
          <w:rFonts w:ascii="Times New Roman" w:hAnsi="Times New Roman"/>
          <w:i/>
          <w:iCs/>
          <w:sz w:val="24"/>
        </w:rPr>
        <w:t>No 2</w:t>
      </w:r>
      <w:r w:rsidR="00D754C1" w:rsidRPr="0020045E">
        <w:rPr>
          <w:rFonts w:ascii="Times New Roman" w:hAnsi="Times New Roman"/>
          <w:i/>
          <w:iCs/>
          <w:sz w:val="24"/>
        </w:rPr>
        <w:t>]</w:t>
      </w:r>
      <w:r w:rsidRPr="0020045E">
        <w:rPr>
          <w:rFonts w:ascii="Times New Roman" w:hAnsi="Times New Roman"/>
          <w:i/>
          <w:iCs/>
          <w:sz w:val="24"/>
        </w:rPr>
        <w:t xml:space="preserve"> </w:t>
      </w:r>
      <w:r w:rsidRPr="0020045E">
        <w:rPr>
          <w:rFonts w:ascii="Times New Roman" w:hAnsi="Times New Roman"/>
          <w:sz w:val="24"/>
        </w:rPr>
        <w:t>(2016) 93 NSWLR 704 at 713 [38], 71</w:t>
      </w:r>
      <w:r w:rsidR="00C335DD" w:rsidRPr="0020045E">
        <w:rPr>
          <w:rFonts w:ascii="Times New Roman" w:hAnsi="Times New Roman"/>
          <w:sz w:val="24"/>
        </w:rPr>
        <w:t>5</w:t>
      </w:r>
      <w:r w:rsidRPr="0020045E">
        <w:rPr>
          <w:rFonts w:ascii="Times New Roman" w:hAnsi="Times New Roman"/>
          <w:sz w:val="24"/>
        </w:rPr>
        <w:t xml:space="preserve"> [46]. </w:t>
      </w:r>
    </w:p>
  </w:footnote>
  <w:footnote w:id="47">
    <w:p w14:paraId="16A4D9D1"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Federal Court of Australia Act</w:t>
      </w:r>
      <w:r w:rsidRPr="0020045E">
        <w:rPr>
          <w:rFonts w:ascii="Times New Roman" w:hAnsi="Times New Roman"/>
          <w:sz w:val="24"/>
        </w:rPr>
        <w:t>,</w:t>
      </w:r>
      <w:r w:rsidRPr="0020045E">
        <w:rPr>
          <w:rFonts w:ascii="Times New Roman" w:hAnsi="Times New Roman"/>
          <w:i/>
          <w:iCs/>
          <w:sz w:val="24"/>
        </w:rPr>
        <w:t xml:space="preserve"> </w:t>
      </w:r>
      <w:r w:rsidRPr="0020045E">
        <w:rPr>
          <w:rFonts w:ascii="Times New Roman" w:hAnsi="Times New Roman"/>
          <w:sz w:val="24"/>
        </w:rPr>
        <w:t xml:space="preserve">s 20(1A). </w:t>
      </w:r>
    </w:p>
  </w:footnote>
  <w:footnote w:id="48">
    <w:p w14:paraId="4D44E737" w14:textId="444B53E8"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Palmer </w:t>
      </w:r>
      <w:r w:rsidRPr="0020045E">
        <w:rPr>
          <w:rFonts w:ascii="Times New Roman" w:hAnsi="Times New Roman"/>
          <w:sz w:val="24"/>
        </w:rPr>
        <w:t xml:space="preserve">(2017) 259 CLR 478 at 490 [26], citing </w:t>
      </w:r>
      <w:proofErr w:type="gramStart"/>
      <w:r w:rsidRPr="0020045E">
        <w:rPr>
          <w:rFonts w:ascii="Times New Roman" w:hAnsi="Times New Roman"/>
          <w:i/>
          <w:iCs/>
          <w:sz w:val="24"/>
        </w:rPr>
        <w:t>In</w:t>
      </w:r>
      <w:proofErr w:type="gramEnd"/>
      <w:r w:rsidRPr="0020045E">
        <w:rPr>
          <w:rFonts w:ascii="Times New Roman" w:hAnsi="Times New Roman"/>
          <w:i/>
          <w:iCs/>
          <w:sz w:val="24"/>
        </w:rPr>
        <w:t xml:space="preserve"> </w:t>
      </w:r>
      <w:r w:rsidR="006422E9" w:rsidRPr="0020045E">
        <w:rPr>
          <w:rFonts w:ascii="Times New Roman" w:hAnsi="Times New Roman"/>
          <w:i/>
          <w:iCs/>
          <w:sz w:val="24"/>
        </w:rPr>
        <w:t>r</w:t>
      </w:r>
      <w:r w:rsidRPr="0020045E">
        <w:rPr>
          <w:rFonts w:ascii="Times New Roman" w:hAnsi="Times New Roman"/>
          <w:i/>
          <w:iCs/>
          <w:sz w:val="24"/>
        </w:rPr>
        <w:t xml:space="preserve">e Judiciary </w:t>
      </w:r>
      <w:r w:rsidRPr="0020045E">
        <w:rPr>
          <w:rFonts w:ascii="Times New Roman" w:hAnsi="Times New Roman"/>
          <w:sz w:val="24"/>
        </w:rPr>
        <w:t>(1921) 29 CLR 257 at 265-266.</w:t>
      </w:r>
    </w:p>
  </w:footnote>
  <w:footnote w:id="49">
    <w:p w14:paraId="6766FCF9"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(1983) 152 CLR 570 at 603, discussing </w:t>
      </w:r>
      <w:r w:rsidRPr="0020045E">
        <w:rPr>
          <w:rFonts w:ascii="Times New Roman" w:hAnsi="Times New Roman"/>
          <w:i/>
          <w:iCs/>
          <w:sz w:val="24"/>
        </w:rPr>
        <w:t xml:space="preserve">Philip Morris Inc v Adam P Brown Male Fashions Pty Ltd </w:t>
      </w:r>
      <w:r w:rsidRPr="0020045E">
        <w:rPr>
          <w:rFonts w:ascii="Times New Roman" w:hAnsi="Times New Roman"/>
          <w:sz w:val="24"/>
        </w:rPr>
        <w:t xml:space="preserve">(1981) 148 CLR 457 at 475. </w:t>
      </w:r>
    </w:p>
  </w:footnote>
  <w:footnote w:id="50">
    <w:p w14:paraId="7503CE0C" w14:textId="1180629A"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proofErr w:type="spellStart"/>
      <w:r w:rsidRPr="0020045E">
        <w:rPr>
          <w:rFonts w:ascii="Times New Roman" w:hAnsi="Times New Roman"/>
          <w:i/>
          <w:iCs/>
          <w:sz w:val="24"/>
        </w:rPr>
        <w:t>Fencott</w:t>
      </w:r>
      <w:proofErr w:type="spellEnd"/>
      <w:r w:rsidRPr="0020045E">
        <w:rPr>
          <w:rFonts w:ascii="Times New Roman" w:hAnsi="Times New Roman"/>
          <w:i/>
          <w:iCs/>
          <w:sz w:val="24"/>
        </w:rPr>
        <w:t xml:space="preserve"> </w:t>
      </w:r>
      <w:r w:rsidRPr="0020045E">
        <w:rPr>
          <w:rFonts w:ascii="Times New Roman" w:hAnsi="Times New Roman"/>
          <w:sz w:val="24"/>
        </w:rPr>
        <w:t xml:space="preserve">(1983) 152 CLR 570 at 603-608. See also </w:t>
      </w:r>
      <w:r w:rsidRPr="0020045E">
        <w:rPr>
          <w:rFonts w:ascii="Times New Roman" w:hAnsi="Times New Roman"/>
          <w:i/>
          <w:iCs/>
          <w:sz w:val="24"/>
        </w:rPr>
        <w:t xml:space="preserve">Australian Securities and Investments Commission v Edensor Nominees Pty Ltd </w:t>
      </w:r>
      <w:r w:rsidRPr="0020045E">
        <w:rPr>
          <w:rFonts w:ascii="Times New Roman" w:hAnsi="Times New Roman"/>
          <w:sz w:val="24"/>
        </w:rPr>
        <w:t>(2001) 204 CLR 559 at 584</w:t>
      </w:r>
      <w:r w:rsidR="00190CA1">
        <w:rPr>
          <w:rFonts w:ascii="Times New Roman" w:hAnsi="Times New Roman"/>
          <w:sz w:val="24"/>
        </w:rPr>
        <w:noBreakHyphen/>
      </w:r>
      <w:r w:rsidRPr="0020045E">
        <w:rPr>
          <w:rFonts w:ascii="Times New Roman" w:hAnsi="Times New Roman"/>
          <w:sz w:val="24"/>
        </w:rPr>
        <w:t xml:space="preserve">585 [50]. </w:t>
      </w:r>
    </w:p>
  </w:footnote>
  <w:footnote w:id="51">
    <w:p w14:paraId="2E048A49" w14:textId="30CF7F01"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proofErr w:type="spellStart"/>
      <w:r w:rsidR="009F27A3" w:rsidRPr="0020045E">
        <w:rPr>
          <w:rFonts w:ascii="Times New Roman" w:hAnsi="Times New Roman"/>
          <w:i/>
          <w:iCs/>
          <w:sz w:val="24"/>
        </w:rPr>
        <w:t>Fencott</w:t>
      </w:r>
      <w:proofErr w:type="spellEnd"/>
      <w:r w:rsidR="009F27A3" w:rsidRPr="0020045E">
        <w:rPr>
          <w:rFonts w:ascii="Times New Roman" w:hAnsi="Times New Roman"/>
          <w:i/>
          <w:iCs/>
          <w:sz w:val="24"/>
        </w:rPr>
        <w:t xml:space="preserve"> </w:t>
      </w:r>
      <w:r w:rsidRPr="0020045E">
        <w:rPr>
          <w:rFonts w:ascii="Times New Roman" w:hAnsi="Times New Roman"/>
          <w:sz w:val="24"/>
        </w:rPr>
        <w:t xml:space="preserve">(1983) 152 CLR 570 at 608. </w:t>
      </w:r>
    </w:p>
  </w:footnote>
  <w:footnote w:id="52">
    <w:p w14:paraId="7F39E9F5" w14:textId="1317B785"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Except where qualified by s 197</w:t>
      </w:r>
      <w:proofErr w:type="gramStart"/>
      <w:r w:rsidRPr="0020045E">
        <w:rPr>
          <w:rFonts w:ascii="Times New Roman" w:hAnsi="Times New Roman"/>
          <w:sz w:val="24"/>
        </w:rPr>
        <w:t>C(</w:t>
      </w:r>
      <w:proofErr w:type="gramEnd"/>
      <w:r w:rsidRPr="0020045E">
        <w:rPr>
          <w:rFonts w:ascii="Times New Roman" w:hAnsi="Times New Roman"/>
          <w:sz w:val="24"/>
        </w:rPr>
        <w:t xml:space="preserve">3) of the </w:t>
      </w:r>
      <w:r w:rsidR="00855B36" w:rsidRPr="0020045E">
        <w:rPr>
          <w:rFonts w:ascii="Times New Roman" w:hAnsi="Times New Roman"/>
          <w:i/>
          <w:iCs/>
          <w:sz w:val="24"/>
        </w:rPr>
        <w:t xml:space="preserve">Migration </w:t>
      </w:r>
      <w:r w:rsidRPr="0020045E">
        <w:rPr>
          <w:rFonts w:ascii="Times New Roman" w:hAnsi="Times New Roman"/>
          <w:i/>
          <w:iCs/>
          <w:sz w:val="24"/>
        </w:rPr>
        <w:t>Act</w:t>
      </w:r>
      <w:r w:rsidRPr="0020045E">
        <w:rPr>
          <w:rFonts w:ascii="Times New Roman" w:hAnsi="Times New Roman"/>
          <w:sz w:val="24"/>
        </w:rPr>
        <w:t xml:space="preserve">. </w:t>
      </w:r>
    </w:p>
  </w:footnote>
  <w:footnote w:id="53">
    <w:p w14:paraId="6BD15B3B"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Migration Act</w:t>
      </w:r>
      <w:r w:rsidRPr="0020045E">
        <w:rPr>
          <w:rFonts w:ascii="Times New Roman" w:hAnsi="Times New Roman"/>
          <w:sz w:val="24"/>
        </w:rPr>
        <w:t>,</w:t>
      </w:r>
      <w:r w:rsidRPr="0020045E">
        <w:rPr>
          <w:rFonts w:ascii="Times New Roman" w:hAnsi="Times New Roman"/>
          <w:i/>
          <w:iCs/>
          <w:sz w:val="24"/>
        </w:rPr>
        <w:t xml:space="preserve"> </w:t>
      </w:r>
      <w:r w:rsidRPr="0020045E">
        <w:rPr>
          <w:rFonts w:ascii="Times New Roman" w:hAnsi="Times New Roman"/>
          <w:sz w:val="24"/>
        </w:rPr>
        <w:t xml:space="preserve">s 198(11). </w:t>
      </w:r>
    </w:p>
  </w:footnote>
  <w:footnote w:id="54">
    <w:p w14:paraId="59A5D0C1" w14:textId="39392632"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proofErr w:type="spellStart"/>
      <w:r w:rsidRPr="0020045E">
        <w:rPr>
          <w:rFonts w:ascii="Times New Roman" w:hAnsi="Times New Roman"/>
          <w:i/>
          <w:iCs/>
          <w:sz w:val="24"/>
        </w:rPr>
        <w:t>Cuming</w:t>
      </w:r>
      <w:proofErr w:type="spellEnd"/>
      <w:r w:rsidRPr="0020045E">
        <w:rPr>
          <w:rFonts w:ascii="Times New Roman" w:hAnsi="Times New Roman"/>
          <w:i/>
          <w:iCs/>
          <w:sz w:val="24"/>
        </w:rPr>
        <w:t xml:space="preserve"> Campbell Investments Pty Ltd v Collector of Imposts (</w:t>
      </w:r>
      <w:proofErr w:type="spellStart"/>
      <w:r w:rsidRPr="0020045E">
        <w:rPr>
          <w:rFonts w:ascii="Times New Roman" w:hAnsi="Times New Roman"/>
          <w:i/>
          <w:iCs/>
          <w:sz w:val="24"/>
        </w:rPr>
        <w:t>Vic</w:t>
      </w:r>
      <w:r w:rsidR="00290A1D" w:rsidRPr="0020045E">
        <w:rPr>
          <w:rFonts w:ascii="Times New Roman" w:hAnsi="Times New Roman"/>
          <w:i/>
          <w:iCs/>
          <w:sz w:val="24"/>
        </w:rPr>
        <w:t>t</w:t>
      </w:r>
      <w:proofErr w:type="spellEnd"/>
      <w:r w:rsidRPr="0020045E">
        <w:rPr>
          <w:rFonts w:ascii="Times New Roman" w:hAnsi="Times New Roman"/>
          <w:i/>
          <w:iCs/>
          <w:sz w:val="24"/>
        </w:rPr>
        <w:t xml:space="preserve">) </w:t>
      </w:r>
      <w:r w:rsidRPr="0020045E">
        <w:rPr>
          <w:rFonts w:ascii="Times New Roman" w:hAnsi="Times New Roman"/>
          <w:sz w:val="24"/>
        </w:rPr>
        <w:t xml:space="preserve">(1938) 60 CLR 741 at 749; </w:t>
      </w:r>
      <w:r w:rsidRPr="0020045E">
        <w:rPr>
          <w:rFonts w:ascii="Times New Roman" w:hAnsi="Times New Roman"/>
          <w:i/>
          <w:iCs/>
          <w:sz w:val="24"/>
        </w:rPr>
        <w:t xml:space="preserve">Re Queensland Electricity Commission; Ex </w:t>
      </w:r>
      <w:proofErr w:type="spellStart"/>
      <w:r w:rsidRPr="0020045E">
        <w:rPr>
          <w:rFonts w:ascii="Times New Roman" w:hAnsi="Times New Roman"/>
          <w:i/>
          <w:iCs/>
          <w:sz w:val="24"/>
        </w:rPr>
        <w:t>parte</w:t>
      </w:r>
      <w:proofErr w:type="spellEnd"/>
      <w:r w:rsidRPr="0020045E">
        <w:rPr>
          <w:rFonts w:ascii="Times New Roman" w:hAnsi="Times New Roman"/>
          <w:i/>
          <w:iCs/>
          <w:sz w:val="24"/>
        </w:rPr>
        <w:t xml:space="preserve"> Electrical Trades Union of Australia </w:t>
      </w:r>
      <w:r w:rsidRPr="0020045E">
        <w:rPr>
          <w:rFonts w:ascii="Times New Roman" w:hAnsi="Times New Roman"/>
          <w:sz w:val="24"/>
        </w:rPr>
        <w:t xml:space="preserve">(1987) 61 ALJR 393 at 394; 72 ALR 1 at 4. </w:t>
      </w:r>
    </w:p>
  </w:footnote>
  <w:footnote w:id="55">
    <w:p w14:paraId="494672B9"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See </w:t>
      </w:r>
      <w:r w:rsidRPr="0020045E">
        <w:rPr>
          <w:rFonts w:ascii="Times New Roman" w:hAnsi="Times New Roman"/>
          <w:i/>
          <w:iCs/>
          <w:sz w:val="24"/>
        </w:rPr>
        <w:t xml:space="preserve">AJL20 </w:t>
      </w:r>
      <w:r w:rsidRPr="0020045E">
        <w:rPr>
          <w:rFonts w:ascii="Times New Roman" w:hAnsi="Times New Roman"/>
          <w:sz w:val="24"/>
        </w:rPr>
        <w:t>(2021) 273 CLR 43 at 73-74 [51]-[53], 89 [93], 96 [110].</w:t>
      </w:r>
    </w:p>
  </w:footnote>
  <w:footnote w:id="56">
    <w:p w14:paraId="2EAC11A7" w14:textId="627901D8"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 xml:space="preserve">See </w:t>
      </w:r>
      <w:r w:rsidRPr="0020045E">
        <w:rPr>
          <w:rFonts w:ascii="Times New Roman" w:hAnsi="Times New Roman"/>
          <w:i/>
          <w:iCs/>
          <w:sz w:val="24"/>
        </w:rPr>
        <w:t xml:space="preserve">R v War Pension Entitlement Appeal Tribunal; Ex </w:t>
      </w:r>
      <w:proofErr w:type="spellStart"/>
      <w:r w:rsidRPr="0020045E">
        <w:rPr>
          <w:rFonts w:ascii="Times New Roman" w:hAnsi="Times New Roman"/>
          <w:i/>
          <w:iCs/>
          <w:sz w:val="24"/>
        </w:rPr>
        <w:t>parte</w:t>
      </w:r>
      <w:proofErr w:type="spellEnd"/>
      <w:r w:rsidRPr="0020045E">
        <w:rPr>
          <w:rFonts w:ascii="Times New Roman" w:hAnsi="Times New Roman"/>
          <w:i/>
          <w:iCs/>
          <w:sz w:val="24"/>
        </w:rPr>
        <w:t xml:space="preserve"> Bott</w:t>
      </w:r>
      <w:r w:rsidRPr="0020045E">
        <w:rPr>
          <w:rFonts w:ascii="Times New Roman" w:hAnsi="Times New Roman"/>
          <w:sz w:val="24"/>
        </w:rPr>
        <w:t xml:space="preserve"> (1933) 50 CLR 228 at 242-243; </w:t>
      </w:r>
      <w:r w:rsidRPr="0020045E">
        <w:rPr>
          <w:rFonts w:ascii="Times New Roman" w:hAnsi="Times New Roman"/>
          <w:i/>
          <w:iCs/>
          <w:sz w:val="24"/>
        </w:rPr>
        <w:t xml:space="preserve">Re Media, Entertainment and Arts Alliance; Ex </w:t>
      </w:r>
      <w:proofErr w:type="spellStart"/>
      <w:r w:rsidRPr="0020045E">
        <w:rPr>
          <w:rFonts w:ascii="Times New Roman" w:hAnsi="Times New Roman"/>
          <w:i/>
          <w:iCs/>
          <w:sz w:val="24"/>
        </w:rPr>
        <w:t>parte</w:t>
      </w:r>
      <w:proofErr w:type="spellEnd"/>
      <w:r w:rsidRPr="0020045E">
        <w:rPr>
          <w:rFonts w:ascii="Times New Roman" w:hAnsi="Times New Roman"/>
          <w:i/>
          <w:iCs/>
          <w:sz w:val="24"/>
        </w:rPr>
        <w:t xml:space="preserve"> Hoyts Corporation Pty Ltd </w:t>
      </w:r>
      <w:r w:rsidRPr="0020045E">
        <w:rPr>
          <w:rFonts w:ascii="Times New Roman" w:hAnsi="Times New Roman"/>
          <w:sz w:val="24"/>
        </w:rPr>
        <w:t xml:space="preserve">(1993) 178 CLR 379 at 394. See also </w:t>
      </w:r>
      <w:r w:rsidRPr="0020045E">
        <w:rPr>
          <w:rFonts w:ascii="Times New Roman" w:hAnsi="Times New Roman"/>
          <w:i/>
          <w:iCs/>
          <w:sz w:val="24"/>
        </w:rPr>
        <w:t>AQM18 v Minister for Immigration and Border Protection</w:t>
      </w:r>
      <w:r w:rsidRPr="0020045E">
        <w:rPr>
          <w:rFonts w:ascii="Times New Roman" w:hAnsi="Times New Roman"/>
          <w:sz w:val="24"/>
        </w:rPr>
        <w:t xml:space="preserve"> (2019) 268 FCR 424 at 434 [58]-[59]; </w:t>
      </w:r>
      <w:r w:rsidRPr="0020045E">
        <w:rPr>
          <w:rFonts w:ascii="Times New Roman" w:hAnsi="Times New Roman"/>
          <w:i/>
          <w:iCs/>
          <w:sz w:val="24"/>
        </w:rPr>
        <w:t>MZAPC</w:t>
      </w:r>
      <w:r w:rsidR="00A62EEF">
        <w:rPr>
          <w:rFonts w:ascii="Times New Roman" w:hAnsi="Times New Roman"/>
          <w:i/>
          <w:iCs/>
          <w:sz w:val="24"/>
        </w:rPr>
        <w:t> </w:t>
      </w:r>
      <w:r w:rsidRPr="0020045E">
        <w:rPr>
          <w:rFonts w:ascii="Times New Roman" w:hAnsi="Times New Roman"/>
          <w:i/>
          <w:iCs/>
          <w:sz w:val="24"/>
        </w:rPr>
        <w:t xml:space="preserve">v Minister for Immigration and Border Protection </w:t>
      </w:r>
      <w:r w:rsidRPr="0020045E">
        <w:rPr>
          <w:rFonts w:ascii="Times New Roman" w:hAnsi="Times New Roman"/>
          <w:sz w:val="24"/>
        </w:rPr>
        <w:t xml:space="preserve">(2021) </w:t>
      </w:r>
      <w:r w:rsidR="00C538D6" w:rsidRPr="0020045E">
        <w:rPr>
          <w:rFonts w:ascii="Times New Roman" w:hAnsi="Times New Roman"/>
          <w:sz w:val="24"/>
        </w:rPr>
        <w:t>273 CLR 506</w:t>
      </w:r>
      <w:r w:rsidRPr="0020045E">
        <w:rPr>
          <w:rFonts w:ascii="Times New Roman" w:hAnsi="Times New Roman"/>
          <w:sz w:val="24"/>
        </w:rPr>
        <w:t xml:space="preserve"> at </w:t>
      </w:r>
      <w:r w:rsidR="00081A7D" w:rsidRPr="0020045E">
        <w:rPr>
          <w:rFonts w:ascii="Times New Roman" w:hAnsi="Times New Roman"/>
          <w:sz w:val="24"/>
        </w:rPr>
        <w:t xml:space="preserve">546-547 </w:t>
      </w:r>
      <w:r w:rsidRPr="0020045E">
        <w:rPr>
          <w:rFonts w:ascii="Times New Roman" w:hAnsi="Times New Roman"/>
          <w:sz w:val="24"/>
        </w:rPr>
        <w:t xml:space="preserve">[109], </w:t>
      </w:r>
      <w:r w:rsidR="00081A7D" w:rsidRPr="0020045E">
        <w:rPr>
          <w:rFonts w:ascii="Times New Roman" w:hAnsi="Times New Roman"/>
          <w:sz w:val="24"/>
        </w:rPr>
        <w:t>551</w:t>
      </w:r>
      <w:r w:rsidRPr="0020045E">
        <w:rPr>
          <w:rFonts w:ascii="Times New Roman" w:hAnsi="Times New Roman"/>
          <w:sz w:val="24"/>
        </w:rPr>
        <w:t xml:space="preserve"> [118].</w:t>
      </w:r>
    </w:p>
  </w:footnote>
  <w:footnote w:id="57">
    <w:p w14:paraId="1A2E0378" w14:textId="7777777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r>
      <w:r w:rsidRPr="0020045E">
        <w:rPr>
          <w:rFonts w:ascii="Times New Roman" w:hAnsi="Times New Roman"/>
          <w:i/>
          <w:iCs/>
          <w:sz w:val="24"/>
        </w:rPr>
        <w:t xml:space="preserve">Australian Commonwealth Shipping Board v Federated Seamen's Union of Australasia </w:t>
      </w:r>
      <w:r w:rsidRPr="0020045E">
        <w:rPr>
          <w:rFonts w:ascii="Times New Roman" w:hAnsi="Times New Roman"/>
          <w:sz w:val="24"/>
        </w:rPr>
        <w:t xml:space="preserve">(1925) 36 CLR 442 at 451. </w:t>
      </w:r>
    </w:p>
  </w:footnote>
  <w:footnote w:id="58">
    <w:p w14:paraId="7247D73A" w14:textId="1870DAB7" w:rsidR="0077622A" w:rsidRPr="0020045E" w:rsidRDefault="0077622A" w:rsidP="0020045E">
      <w:pPr>
        <w:pStyle w:val="FootnoteText"/>
        <w:spacing w:line="280" w:lineRule="exact"/>
        <w:ind w:right="0"/>
        <w:jc w:val="both"/>
        <w:rPr>
          <w:rFonts w:ascii="Times New Roman" w:hAnsi="Times New Roman"/>
          <w:sz w:val="24"/>
        </w:rPr>
      </w:pPr>
      <w:r w:rsidRPr="0020045E">
        <w:rPr>
          <w:rStyle w:val="FootnoteReference"/>
          <w:rFonts w:ascii="Times New Roman" w:hAnsi="Times New Roman"/>
          <w:sz w:val="22"/>
          <w:vertAlign w:val="baseline"/>
        </w:rPr>
        <w:footnoteRef/>
      </w:r>
      <w:r w:rsidRPr="0020045E">
        <w:rPr>
          <w:rFonts w:ascii="Times New Roman" w:hAnsi="Times New Roman"/>
          <w:sz w:val="24"/>
        </w:rPr>
        <w:t xml:space="preserve"> </w:t>
      </w:r>
      <w:r w:rsidRPr="0020045E">
        <w:rPr>
          <w:rFonts w:ascii="Times New Roman" w:hAnsi="Times New Roman"/>
          <w:sz w:val="24"/>
        </w:rPr>
        <w:tab/>
        <w:t>(2023) 97 ALJR 150 at 157</w:t>
      </w:r>
      <w:r w:rsidR="005F312C" w:rsidRPr="0020045E">
        <w:rPr>
          <w:rFonts w:ascii="Times New Roman" w:hAnsi="Times New Roman"/>
          <w:sz w:val="24"/>
        </w:rPr>
        <w:t>-158</w:t>
      </w:r>
      <w:r w:rsidRPr="0020045E">
        <w:rPr>
          <w:rFonts w:ascii="Times New Roman" w:hAnsi="Times New Roman"/>
          <w:sz w:val="24"/>
        </w:rPr>
        <w:t xml:space="preserve"> [19]; 407 ALR 277 at 283. </w:t>
      </w:r>
    </w:p>
  </w:footnote>
  <w:footnote w:id="59">
    <w:p w14:paraId="28F6DE33"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See at [</w:t>
      </w:r>
      <w:r w:rsidRPr="00326AC0">
        <w:rPr>
          <w:rFonts w:ascii="Times New Roman" w:hAnsi="Times New Roman"/>
          <w:sz w:val="24"/>
        </w:rPr>
        <w:t>31</w:t>
      </w:r>
      <w:r w:rsidRPr="002D070A">
        <w:rPr>
          <w:rFonts w:ascii="Times New Roman" w:hAnsi="Times New Roman"/>
          <w:sz w:val="24"/>
        </w:rPr>
        <w:t>]-[</w:t>
      </w:r>
      <w:r w:rsidRPr="00F76381">
        <w:rPr>
          <w:rFonts w:ascii="Times New Roman" w:hAnsi="Times New Roman"/>
          <w:sz w:val="24"/>
        </w:rPr>
        <w:t>32</w:t>
      </w:r>
      <w:r w:rsidRPr="002D070A">
        <w:rPr>
          <w:rFonts w:ascii="Times New Roman" w:hAnsi="Times New Roman"/>
          <w:sz w:val="24"/>
        </w:rPr>
        <w:t>].</w:t>
      </w:r>
    </w:p>
  </w:footnote>
  <w:footnote w:id="60">
    <w:p w14:paraId="21B70BA4" w14:textId="77777777" w:rsidR="00541D69" w:rsidRPr="002D070A" w:rsidRDefault="00541D69" w:rsidP="002D070A">
      <w:pPr>
        <w:pStyle w:val="FootnoteText"/>
        <w:spacing w:line="280" w:lineRule="exact"/>
        <w:ind w:right="0"/>
        <w:jc w:val="both"/>
        <w:rPr>
          <w:rFonts w:ascii="Times New Roman" w:hAnsi="Times New Roman"/>
          <w:color w:val="333333"/>
          <w:sz w:val="24"/>
          <w:shd w:val="clear" w:color="auto" w:fill="FFFFFF"/>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sz w:val="24"/>
          <w:shd w:val="clear" w:color="auto" w:fill="FFFFFF"/>
        </w:rPr>
        <w:t xml:space="preserve">Stack v Coast Securities (No 9) Pty Ltd </w:t>
      </w:r>
      <w:r w:rsidRPr="002D070A">
        <w:rPr>
          <w:rFonts w:ascii="Times New Roman" w:hAnsi="Times New Roman"/>
          <w:sz w:val="24"/>
          <w:shd w:val="clear" w:color="auto" w:fill="FFFFFF"/>
        </w:rPr>
        <w:t>(1983) 154 CLR 261 at 290</w:t>
      </w:r>
      <w:r w:rsidRPr="002D070A">
        <w:rPr>
          <w:rFonts w:ascii="Times New Roman" w:hAnsi="Times New Roman"/>
          <w:sz w:val="24"/>
        </w:rPr>
        <w:t xml:space="preserve">; </w:t>
      </w:r>
      <w:r w:rsidRPr="002D070A">
        <w:rPr>
          <w:rFonts w:ascii="Times New Roman" w:hAnsi="Times New Roman"/>
          <w:i/>
          <w:iCs/>
          <w:sz w:val="24"/>
        </w:rPr>
        <w:t xml:space="preserve">Palmer v Ayres </w:t>
      </w:r>
      <w:r w:rsidRPr="002D070A">
        <w:rPr>
          <w:rFonts w:ascii="Times New Roman" w:hAnsi="Times New Roman"/>
          <w:sz w:val="24"/>
        </w:rPr>
        <w:t xml:space="preserve">(2017) 259 CLR 478 at 490 [26]; </w:t>
      </w:r>
      <w:proofErr w:type="spellStart"/>
      <w:r w:rsidRPr="002D070A">
        <w:rPr>
          <w:rFonts w:ascii="Times New Roman" w:hAnsi="Times New Roman"/>
          <w:i/>
          <w:iCs/>
          <w:sz w:val="24"/>
        </w:rPr>
        <w:t>Citta</w:t>
      </w:r>
      <w:proofErr w:type="spellEnd"/>
      <w:r w:rsidRPr="002D070A">
        <w:rPr>
          <w:rFonts w:ascii="Times New Roman" w:hAnsi="Times New Roman"/>
          <w:i/>
          <w:iCs/>
          <w:sz w:val="24"/>
        </w:rPr>
        <w:t xml:space="preserve"> Hobart Pty Ltd v </w:t>
      </w:r>
      <w:proofErr w:type="spellStart"/>
      <w:r w:rsidRPr="002D070A">
        <w:rPr>
          <w:rFonts w:ascii="Times New Roman" w:hAnsi="Times New Roman"/>
          <w:i/>
          <w:iCs/>
          <w:sz w:val="24"/>
        </w:rPr>
        <w:t>Cawthorn</w:t>
      </w:r>
      <w:proofErr w:type="spellEnd"/>
      <w:r w:rsidRPr="002D070A">
        <w:rPr>
          <w:rFonts w:ascii="Times New Roman" w:hAnsi="Times New Roman"/>
          <w:i/>
          <w:iCs/>
          <w:sz w:val="24"/>
        </w:rPr>
        <w:t xml:space="preserve"> </w:t>
      </w:r>
      <w:r w:rsidRPr="002D070A">
        <w:rPr>
          <w:rFonts w:ascii="Times New Roman" w:hAnsi="Times New Roman"/>
          <w:sz w:val="24"/>
        </w:rPr>
        <w:t xml:space="preserve">(2022) 96 ALJR 476 at 485-486 [31]; 400 ALR 1 at 9. See also </w:t>
      </w:r>
      <w:proofErr w:type="gramStart"/>
      <w:r w:rsidRPr="002D070A">
        <w:rPr>
          <w:rFonts w:ascii="Times New Roman" w:hAnsi="Times New Roman"/>
          <w:i/>
          <w:iCs/>
          <w:sz w:val="24"/>
        </w:rPr>
        <w:t>In</w:t>
      </w:r>
      <w:proofErr w:type="gramEnd"/>
      <w:r w:rsidRPr="002D070A">
        <w:rPr>
          <w:rFonts w:ascii="Times New Roman" w:hAnsi="Times New Roman"/>
          <w:i/>
          <w:iCs/>
          <w:sz w:val="24"/>
        </w:rPr>
        <w:t xml:space="preserve"> </w:t>
      </w:r>
      <w:r w:rsidRPr="002D070A">
        <w:rPr>
          <w:rFonts w:ascii="Times New Roman" w:hAnsi="Times New Roman"/>
          <w:i/>
          <w:sz w:val="24"/>
        </w:rPr>
        <w:t>r</w:t>
      </w:r>
      <w:r w:rsidRPr="002D070A">
        <w:rPr>
          <w:rFonts w:ascii="Times New Roman" w:hAnsi="Times New Roman"/>
          <w:i/>
          <w:iCs/>
          <w:sz w:val="24"/>
        </w:rPr>
        <w:t xml:space="preserve">e Judiciary and Navigation Acts </w:t>
      </w:r>
      <w:r w:rsidRPr="002D070A">
        <w:rPr>
          <w:rFonts w:ascii="Times New Roman" w:hAnsi="Times New Roman"/>
          <w:sz w:val="24"/>
        </w:rPr>
        <w:t>(1921) 29 CLR 257 at 266.</w:t>
      </w:r>
    </w:p>
  </w:footnote>
  <w:footnote w:id="61">
    <w:p w14:paraId="06466680"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BHP Group Ltd v </w:t>
      </w:r>
      <w:proofErr w:type="spellStart"/>
      <w:r w:rsidRPr="002D070A">
        <w:rPr>
          <w:rFonts w:ascii="Times New Roman" w:hAnsi="Times New Roman"/>
          <w:i/>
          <w:iCs/>
          <w:sz w:val="24"/>
        </w:rPr>
        <w:t>Impiombato</w:t>
      </w:r>
      <w:proofErr w:type="spellEnd"/>
      <w:r w:rsidRPr="002D070A">
        <w:rPr>
          <w:rFonts w:ascii="Times New Roman" w:hAnsi="Times New Roman"/>
          <w:i/>
          <w:iCs/>
          <w:sz w:val="24"/>
        </w:rPr>
        <w:t xml:space="preserve"> </w:t>
      </w:r>
      <w:r w:rsidRPr="002D070A">
        <w:rPr>
          <w:rFonts w:ascii="Times New Roman" w:hAnsi="Times New Roman"/>
          <w:sz w:val="24"/>
        </w:rPr>
        <w:t>(2022) 96 ALJR 956 at 968 [50]; 405 ALR 402 at 414.</w:t>
      </w:r>
    </w:p>
  </w:footnote>
  <w:footnote w:id="62">
    <w:p w14:paraId="55D700C2" w14:textId="77777777" w:rsidR="00541D69" w:rsidRPr="002D070A" w:rsidRDefault="00541D69" w:rsidP="002D070A">
      <w:pPr>
        <w:pStyle w:val="FootnoteText"/>
        <w:spacing w:line="280" w:lineRule="exact"/>
        <w:ind w:right="0"/>
        <w:jc w:val="both"/>
        <w:rPr>
          <w:rFonts w:ascii="Times New Roman" w:hAnsi="Times New Roman"/>
          <w:sz w:val="24"/>
          <w:lang w:val="en-US"/>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lang w:val="en-US"/>
        </w:rPr>
        <w:tab/>
      </w:r>
      <w:r w:rsidRPr="002D070A">
        <w:rPr>
          <w:rFonts w:ascii="Times New Roman" w:hAnsi="Times New Roman"/>
          <w:i/>
          <w:iCs/>
          <w:sz w:val="24"/>
          <w:lang w:val="en-US"/>
        </w:rPr>
        <w:t>Burgundy Royale Investments Pty Ltd v Westpac Banking Corporation</w:t>
      </w:r>
      <w:r w:rsidRPr="002D070A">
        <w:rPr>
          <w:rFonts w:ascii="Times New Roman" w:hAnsi="Times New Roman"/>
          <w:sz w:val="24"/>
          <w:lang w:val="en-US"/>
        </w:rPr>
        <w:t xml:space="preserve"> (1987) 18 FCR 212 at 219; </w:t>
      </w:r>
      <w:proofErr w:type="spellStart"/>
      <w:r w:rsidRPr="002D070A">
        <w:rPr>
          <w:rFonts w:ascii="Times New Roman" w:hAnsi="Times New Roman"/>
          <w:i/>
          <w:iCs/>
          <w:sz w:val="24"/>
          <w:lang w:val="en-US"/>
        </w:rPr>
        <w:t>Citta</w:t>
      </w:r>
      <w:proofErr w:type="spellEnd"/>
      <w:r w:rsidRPr="002D070A">
        <w:rPr>
          <w:rFonts w:ascii="Times New Roman" w:hAnsi="Times New Roman"/>
          <w:i/>
          <w:iCs/>
          <w:sz w:val="24"/>
          <w:lang w:val="en-US"/>
        </w:rPr>
        <w:t xml:space="preserve"> Hobart Pty Ltd v </w:t>
      </w:r>
      <w:proofErr w:type="spellStart"/>
      <w:r w:rsidRPr="002D070A">
        <w:rPr>
          <w:rFonts w:ascii="Times New Roman" w:hAnsi="Times New Roman"/>
          <w:i/>
          <w:iCs/>
          <w:sz w:val="24"/>
          <w:lang w:val="en-US"/>
        </w:rPr>
        <w:t>Cawthorn</w:t>
      </w:r>
      <w:proofErr w:type="spellEnd"/>
      <w:r w:rsidRPr="002D070A">
        <w:rPr>
          <w:rFonts w:ascii="Times New Roman" w:hAnsi="Times New Roman"/>
          <w:sz w:val="24"/>
          <w:lang w:val="en-US"/>
        </w:rPr>
        <w:t xml:space="preserve"> (2022) 96 ALJR 476 at 487-488 [38]-[43]; 400 ALR 1 at 11-12.</w:t>
      </w:r>
    </w:p>
  </w:footnote>
  <w:footnote w:id="63">
    <w:p w14:paraId="3444FE86" w14:textId="77777777" w:rsidR="00541D69" w:rsidRPr="002D070A" w:rsidRDefault="00541D69" w:rsidP="002D070A">
      <w:pPr>
        <w:pStyle w:val="FootnoteText"/>
        <w:spacing w:line="280" w:lineRule="exact"/>
        <w:ind w:right="0"/>
        <w:jc w:val="both"/>
        <w:rPr>
          <w:rFonts w:ascii="Times New Roman" w:hAnsi="Times New Roman"/>
          <w:sz w:val="24"/>
          <w:lang w:val="en-US"/>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lang w:val="en-US"/>
        </w:rPr>
        <w:tab/>
      </w:r>
      <w:r w:rsidRPr="002D070A">
        <w:rPr>
          <w:rFonts w:ascii="Times New Roman" w:hAnsi="Times New Roman"/>
          <w:i/>
          <w:iCs/>
          <w:sz w:val="24"/>
          <w:lang w:val="en-US"/>
        </w:rPr>
        <w:t>Burgundy Royale Investments Pty Ltd v Westpac Banking Corporation</w:t>
      </w:r>
      <w:r w:rsidRPr="002D070A">
        <w:rPr>
          <w:rFonts w:ascii="Times New Roman" w:hAnsi="Times New Roman"/>
          <w:sz w:val="24"/>
          <w:lang w:val="en-US"/>
        </w:rPr>
        <w:t xml:space="preserve"> (1987) 18 FCR 212 at 219; </w:t>
      </w:r>
      <w:proofErr w:type="spellStart"/>
      <w:r w:rsidRPr="002D070A">
        <w:rPr>
          <w:rFonts w:ascii="Times New Roman" w:hAnsi="Times New Roman"/>
          <w:i/>
          <w:iCs/>
          <w:sz w:val="24"/>
          <w:lang w:val="en-US"/>
        </w:rPr>
        <w:t>Citta</w:t>
      </w:r>
      <w:proofErr w:type="spellEnd"/>
      <w:r w:rsidRPr="002D070A">
        <w:rPr>
          <w:rFonts w:ascii="Times New Roman" w:hAnsi="Times New Roman"/>
          <w:i/>
          <w:iCs/>
          <w:sz w:val="24"/>
          <w:lang w:val="en-US"/>
        </w:rPr>
        <w:t xml:space="preserve"> Hobart Pty Ltd v </w:t>
      </w:r>
      <w:proofErr w:type="spellStart"/>
      <w:r w:rsidRPr="002D070A">
        <w:rPr>
          <w:rFonts w:ascii="Times New Roman" w:hAnsi="Times New Roman"/>
          <w:i/>
          <w:iCs/>
          <w:sz w:val="24"/>
          <w:lang w:val="en-US"/>
        </w:rPr>
        <w:t>Cawthorn</w:t>
      </w:r>
      <w:proofErr w:type="spellEnd"/>
      <w:r w:rsidRPr="002D070A">
        <w:rPr>
          <w:rFonts w:ascii="Times New Roman" w:hAnsi="Times New Roman"/>
          <w:sz w:val="24"/>
          <w:lang w:val="en-US"/>
        </w:rPr>
        <w:t xml:space="preserve"> (2022) 96 ALJR 476 at 487 [36], 487-488 [38]-[43], 492-493 [67]; 400 ALR 1 at 10, 11-12, 18-19.</w:t>
      </w:r>
    </w:p>
  </w:footnote>
  <w:footnote w:id="64">
    <w:p w14:paraId="55E531AC"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proofErr w:type="spellStart"/>
      <w:r w:rsidRPr="002D070A">
        <w:rPr>
          <w:rFonts w:ascii="Times New Roman" w:hAnsi="Times New Roman"/>
          <w:i/>
          <w:iCs/>
          <w:sz w:val="24"/>
        </w:rPr>
        <w:t>Citta</w:t>
      </w:r>
      <w:proofErr w:type="spellEnd"/>
      <w:r w:rsidRPr="002D070A">
        <w:rPr>
          <w:rFonts w:ascii="Times New Roman" w:hAnsi="Times New Roman"/>
          <w:i/>
          <w:iCs/>
          <w:sz w:val="24"/>
        </w:rPr>
        <w:t xml:space="preserve"> Hobart Pty Ltd v </w:t>
      </w:r>
      <w:proofErr w:type="spellStart"/>
      <w:r w:rsidRPr="002D070A">
        <w:rPr>
          <w:rFonts w:ascii="Times New Roman" w:hAnsi="Times New Roman"/>
          <w:i/>
          <w:iCs/>
          <w:sz w:val="24"/>
        </w:rPr>
        <w:t>Cawthorn</w:t>
      </w:r>
      <w:proofErr w:type="spellEnd"/>
      <w:r w:rsidRPr="002D070A">
        <w:rPr>
          <w:rFonts w:ascii="Times New Roman" w:hAnsi="Times New Roman"/>
          <w:i/>
          <w:iCs/>
          <w:sz w:val="24"/>
        </w:rPr>
        <w:t xml:space="preserve"> </w:t>
      </w:r>
      <w:r w:rsidRPr="002D070A">
        <w:rPr>
          <w:rFonts w:ascii="Times New Roman" w:hAnsi="Times New Roman"/>
          <w:sz w:val="24"/>
        </w:rPr>
        <w:t xml:space="preserve">(2022) 96 ALJR 476 at 486-487 [35]-[36], 493-494 [70]-[73]; 400 ALR 1 at 10, 19-20. See also </w:t>
      </w:r>
      <w:r w:rsidRPr="002D070A">
        <w:rPr>
          <w:rFonts w:ascii="Times New Roman" w:hAnsi="Times New Roman"/>
          <w:i/>
          <w:iCs/>
          <w:sz w:val="24"/>
        </w:rPr>
        <w:t xml:space="preserve">BHP Group Ltd v </w:t>
      </w:r>
      <w:proofErr w:type="spellStart"/>
      <w:r w:rsidRPr="002D070A">
        <w:rPr>
          <w:rFonts w:ascii="Times New Roman" w:hAnsi="Times New Roman"/>
          <w:i/>
          <w:iCs/>
          <w:sz w:val="24"/>
        </w:rPr>
        <w:t>Impiombato</w:t>
      </w:r>
      <w:proofErr w:type="spellEnd"/>
      <w:r w:rsidRPr="002D070A">
        <w:rPr>
          <w:rFonts w:ascii="Times New Roman" w:hAnsi="Times New Roman"/>
          <w:i/>
          <w:iCs/>
          <w:sz w:val="24"/>
        </w:rPr>
        <w:t xml:space="preserve"> </w:t>
      </w:r>
      <w:r w:rsidRPr="002D070A">
        <w:rPr>
          <w:rFonts w:ascii="Times New Roman" w:hAnsi="Times New Roman"/>
          <w:sz w:val="24"/>
        </w:rPr>
        <w:t>(2022) 96 ALJR 956 at 967 [48]; 405 ALR 402 at 413.</w:t>
      </w:r>
    </w:p>
  </w:footnote>
  <w:footnote w:id="65">
    <w:p w14:paraId="54AF68E7"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Minister for Home Affairs v </w:t>
      </w:r>
      <w:proofErr w:type="spellStart"/>
      <w:r w:rsidRPr="002D070A">
        <w:rPr>
          <w:rFonts w:ascii="Times New Roman" w:hAnsi="Times New Roman"/>
          <w:i/>
          <w:iCs/>
          <w:sz w:val="24"/>
        </w:rPr>
        <w:t>Benbrika</w:t>
      </w:r>
      <w:proofErr w:type="spellEnd"/>
      <w:r w:rsidRPr="002D070A">
        <w:rPr>
          <w:rFonts w:ascii="Times New Roman" w:hAnsi="Times New Roman"/>
          <w:i/>
          <w:iCs/>
          <w:sz w:val="24"/>
        </w:rPr>
        <w:t xml:space="preserve"> </w:t>
      </w:r>
      <w:r w:rsidRPr="002D070A">
        <w:rPr>
          <w:rFonts w:ascii="Times New Roman" w:hAnsi="Times New Roman"/>
          <w:sz w:val="24"/>
        </w:rPr>
        <w:t>(2021) 272 CLR 68</w:t>
      </w:r>
      <w:r w:rsidRPr="002D070A">
        <w:rPr>
          <w:rFonts w:ascii="Times New Roman" w:hAnsi="Times New Roman"/>
          <w:i/>
          <w:iCs/>
          <w:sz w:val="24"/>
        </w:rPr>
        <w:t xml:space="preserve"> </w:t>
      </w:r>
      <w:r w:rsidRPr="002D070A">
        <w:rPr>
          <w:rFonts w:ascii="Times New Roman" w:hAnsi="Times New Roman"/>
          <w:sz w:val="24"/>
        </w:rPr>
        <w:t>at 167-168 [222]-[223].</w:t>
      </w:r>
    </w:p>
  </w:footnote>
  <w:footnote w:id="66">
    <w:p w14:paraId="68584274"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Hobart International Airport Pty Ltd v Clarence City Council </w:t>
      </w:r>
      <w:r w:rsidRPr="002D070A">
        <w:rPr>
          <w:rFonts w:ascii="Times New Roman" w:hAnsi="Times New Roman"/>
          <w:sz w:val="24"/>
        </w:rPr>
        <w:t>(2022) 96 ALJR 234</w:t>
      </w:r>
      <w:r w:rsidRPr="002D070A">
        <w:rPr>
          <w:rFonts w:ascii="Times New Roman" w:hAnsi="Times New Roman"/>
          <w:i/>
          <w:iCs/>
          <w:sz w:val="24"/>
        </w:rPr>
        <w:t xml:space="preserve"> </w:t>
      </w:r>
      <w:r w:rsidRPr="002D070A">
        <w:rPr>
          <w:rFonts w:ascii="Times New Roman" w:hAnsi="Times New Roman"/>
          <w:sz w:val="24"/>
        </w:rPr>
        <w:t>at 256 [79]; 399 ALR 214 at 237.</w:t>
      </w:r>
    </w:p>
  </w:footnote>
  <w:footnote w:id="67">
    <w:p w14:paraId="1CFA427F"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Construction, Forestry, Maritime, Mining and Energy Union v Personnel Contracting Pty Ltd</w:t>
      </w:r>
      <w:r w:rsidRPr="002D070A">
        <w:rPr>
          <w:rFonts w:ascii="Times New Roman" w:hAnsi="Times New Roman"/>
          <w:sz w:val="24"/>
        </w:rPr>
        <w:t xml:space="preserve"> (2022) 96 ALJR 89 at 105 [44]; 398 ALR 404 at 416, quoting </w:t>
      </w:r>
      <w:proofErr w:type="spellStart"/>
      <w:r w:rsidRPr="002D070A">
        <w:rPr>
          <w:rFonts w:ascii="Times New Roman" w:hAnsi="Times New Roman"/>
          <w:i/>
          <w:iCs/>
          <w:sz w:val="24"/>
        </w:rPr>
        <w:t>Gouriet</w:t>
      </w:r>
      <w:proofErr w:type="spellEnd"/>
      <w:r w:rsidRPr="002D070A">
        <w:rPr>
          <w:rFonts w:ascii="Times New Roman" w:hAnsi="Times New Roman"/>
          <w:i/>
          <w:iCs/>
          <w:sz w:val="24"/>
        </w:rPr>
        <w:t xml:space="preserve"> v Union of Post Office Workers </w:t>
      </w:r>
      <w:r w:rsidRPr="002D070A">
        <w:rPr>
          <w:rFonts w:ascii="Times New Roman" w:hAnsi="Times New Roman"/>
          <w:sz w:val="24"/>
        </w:rPr>
        <w:t xml:space="preserve">[1978] AC 435 at 501. </w:t>
      </w:r>
    </w:p>
  </w:footnote>
  <w:footnote w:id="68">
    <w:p w14:paraId="47D5BA42"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See </w:t>
      </w:r>
      <w:r w:rsidRPr="002D070A">
        <w:rPr>
          <w:rFonts w:ascii="Times New Roman" w:hAnsi="Times New Roman"/>
          <w:i/>
          <w:iCs/>
          <w:sz w:val="24"/>
        </w:rPr>
        <w:t xml:space="preserve">Clayton v Bant </w:t>
      </w:r>
      <w:r w:rsidRPr="002D070A">
        <w:rPr>
          <w:rFonts w:ascii="Times New Roman" w:hAnsi="Times New Roman"/>
          <w:sz w:val="24"/>
        </w:rPr>
        <w:t xml:space="preserve">(2020) 272 CLR 1 at 25 [66], quoting </w:t>
      </w:r>
      <w:r w:rsidRPr="002D070A">
        <w:rPr>
          <w:rFonts w:ascii="Times New Roman" w:hAnsi="Times New Roman"/>
          <w:i/>
          <w:sz w:val="24"/>
          <w:shd w:val="clear" w:color="auto" w:fill="FFFFFF"/>
        </w:rPr>
        <w:t>Drake v Mitchell</w:t>
      </w:r>
      <w:r w:rsidRPr="002D070A">
        <w:rPr>
          <w:rFonts w:ascii="Times New Roman" w:hAnsi="Times New Roman"/>
          <w:sz w:val="24"/>
          <w:shd w:val="clear" w:color="auto" w:fill="FFFFFF"/>
        </w:rPr>
        <w:t xml:space="preserve"> (1803) 3 East 251 at 258 [102 ER 594 at 596] and </w:t>
      </w:r>
      <w:r w:rsidRPr="002D070A">
        <w:rPr>
          <w:rFonts w:ascii="Times New Roman" w:hAnsi="Times New Roman"/>
          <w:i/>
          <w:sz w:val="24"/>
          <w:shd w:val="clear" w:color="auto" w:fill="FFFFFF"/>
        </w:rPr>
        <w:t>King v Hoare</w:t>
      </w:r>
      <w:r w:rsidRPr="002D070A">
        <w:rPr>
          <w:rFonts w:ascii="Times New Roman" w:hAnsi="Times New Roman"/>
          <w:sz w:val="24"/>
          <w:shd w:val="clear" w:color="auto" w:fill="FFFFFF"/>
        </w:rPr>
        <w:t xml:space="preserve"> (1844) 13 M &amp; W 494 at 504 </w:t>
      </w:r>
      <w:r w:rsidRPr="002D070A">
        <w:rPr>
          <w:rFonts w:ascii="Times New Roman" w:hAnsi="Times New Roman"/>
          <w:sz w:val="24"/>
        </w:rPr>
        <w:t>[153</w:t>
      </w:r>
      <w:r w:rsidRPr="002D070A">
        <w:rPr>
          <w:rFonts w:ascii="Times New Roman" w:hAnsi="Times New Roman"/>
          <w:sz w:val="24"/>
          <w:shd w:val="clear" w:color="auto" w:fill="FFFFFF"/>
        </w:rPr>
        <w:t> ER 206 at 210].</w:t>
      </w:r>
    </w:p>
  </w:footnote>
  <w:footnote w:id="69">
    <w:p w14:paraId="6D5751B0"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Allianz Australia Insurance Ltd v </w:t>
      </w:r>
      <w:proofErr w:type="spellStart"/>
      <w:r w:rsidRPr="002D070A">
        <w:rPr>
          <w:rFonts w:ascii="Times New Roman" w:hAnsi="Times New Roman"/>
          <w:i/>
          <w:iCs/>
          <w:sz w:val="24"/>
        </w:rPr>
        <w:t>Delor</w:t>
      </w:r>
      <w:proofErr w:type="spellEnd"/>
      <w:r w:rsidRPr="002D070A">
        <w:rPr>
          <w:rFonts w:ascii="Times New Roman" w:hAnsi="Times New Roman"/>
          <w:i/>
          <w:iCs/>
          <w:sz w:val="24"/>
        </w:rPr>
        <w:t xml:space="preserve"> Vue Apartments CTS 39788 </w:t>
      </w:r>
      <w:r w:rsidRPr="002D070A">
        <w:rPr>
          <w:rFonts w:ascii="Times New Roman" w:hAnsi="Times New Roman"/>
          <w:sz w:val="24"/>
        </w:rPr>
        <w:t>(2022) 97 ALJR 1 at 18 [60]-[63]; 406 ALR 632 at 649-650.</w:t>
      </w:r>
    </w:p>
  </w:footnote>
  <w:footnote w:id="70">
    <w:p w14:paraId="49E5B35D" w14:textId="77777777" w:rsidR="00541D69" w:rsidRPr="002D070A" w:rsidRDefault="00541D69" w:rsidP="002D070A">
      <w:pPr>
        <w:pStyle w:val="FootnoteText"/>
        <w:spacing w:line="280" w:lineRule="exact"/>
        <w:ind w:right="0"/>
        <w:jc w:val="both"/>
        <w:rPr>
          <w:rFonts w:ascii="Times New Roman" w:hAnsi="Times New Roman"/>
          <w:i/>
          <w:iCs/>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See </w:t>
      </w:r>
      <w:r w:rsidRPr="002D070A">
        <w:rPr>
          <w:rFonts w:ascii="Times New Roman" w:hAnsi="Times New Roman"/>
          <w:i/>
          <w:iCs/>
          <w:sz w:val="24"/>
        </w:rPr>
        <w:t xml:space="preserve">Unions NSW v New South Wales </w:t>
      </w:r>
      <w:r w:rsidRPr="002D070A">
        <w:rPr>
          <w:rFonts w:ascii="Times New Roman" w:hAnsi="Times New Roman"/>
          <w:sz w:val="24"/>
        </w:rPr>
        <w:t>(2023) 97 ALJR 150 at 157-158 [19]; 407 ALR 277 at 283.</w:t>
      </w:r>
    </w:p>
  </w:footnote>
  <w:footnote w:id="71">
    <w:p w14:paraId="0C1EDC51" w14:textId="77777777" w:rsidR="00541D69" w:rsidRPr="002D070A" w:rsidRDefault="00541D69" w:rsidP="002D070A">
      <w:pPr>
        <w:pStyle w:val="FootnoteText"/>
        <w:spacing w:line="280" w:lineRule="exact"/>
        <w:ind w:right="0"/>
        <w:jc w:val="both"/>
        <w:rPr>
          <w:rFonts w:ascii="Times New Roman" w:hAnsi="Times New Roman"/>
          <w:sz w:val="24"/>
          <w:shd w:val="clear" w:color="auto" w:fill="FFFFFF"/>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In re Judiciary and Navigation Acts </w:t>
      </w:r>
      <w:r w:rsidRPr="002D070A">
        <w:rPr>
          <w:rFonts w:ascii="Times New Roman" w:hAnsi="Times New Roman"/>
          <w:sz w:val="24"/>
        </w:rPr>
        <w:t xml:space="preserve">(1921) 29 CLR 257 at 265-266; </w:t>
      </w:r>
      <w:proofErr w:type="spellStart"/>
      <w:r w:rsidRPr="002D070A">
        <w:rPr>
          <w:rFonts w:ascii="Times New Roman" w:hAnsi="Times New Roman"/>
          <w:i/>
          <w:sz w:val="24"/>
          <w:shd w:val="clear" w:color="auto" w:fill="FFFFFF"/>
        </w:rPr>
        <w:t>Fencott</w:t>
      </w:r>
      <w:proofErr w:type="spellEnd"/>
      <w:r w:rsidRPr="002D070A">
        <w:rPr>
          <w:rFonts w:ascii="Times New Roman" w:hAnsi="Times New Roman"/>
          <w:i/>
          <w:sz w:val="24"/>
          <w:shd w:val="clear" w:color="auto" w:fill="FFFFFF"/>
        </w:rPr>
        <w:t xml:space="preserve"> v Muller </w:t>
      </w:r>
      <w:r w:rsidRPr="002D070A">
        <w:rPr>
          <w:rFonts w:ascii="Times New Roman" w:hAnsi="Times New Roman"/>
          <w:sz w:val="24"/>
          <w:shd w:val="clear" w:color="auto" w:fill="FFFFFF"/>
        </w:rPr>
        <w:t xml:space="preserve">(1983) 152 CLR 570 at 603-606; </w:t>
      </w:r>
      <w:r w:rsidRPr="002D070A">
        <w:rPr>
          <w:rFonts w:ascii="Times New Roman" w:hAnsi="Times New Roman"/>
          <w:i/>
          <w:sz w:val="24"/>
          <w:shd w:val="clear" w:color="auto" w:fill="FFFFFF"/>
        </w:rPr>
        <w:t xml:space="preserve">Abebe v The Commonwealth </w:t>
      </w:r>
      <w:r w:rsidRPr="002D070A">
        <w:rPr>
          <w:rFonts w:ascii="Times New Roman" w:hAnsi="Times New Roman"/>
          <w:sz w:val="24"/>
          <w:shd w:val="clear" w:color="auto" w:fill="FFFFFF"/>
        </w:rPr>
        <w:t xml:space="preserve">(1999) 197 CLR 510 at 523-524 [24]; </w:t>
      </w:r>
      <w:r w:rsidRPr="002D070A">
        <w:rPr>
          <w:rFonts w:ascii="Times New Roman" w:hAnsi="Times New Roman"/>
          <w:i/>
          <w:iCs/>
          <w:sz w:val="24"/>
        </w:rPr>
        <w:t xml:space="preserve">BHP Group Ltd v </w:t>
      </w:r>
      <w:proofErr w:type="spellStart"/>
      <w:r w:rsidRPr="002D070A">
        <w:rPr>
          <w:rFonts w:ascii="Times New Roman" w:hAnsi="Times New Roman"/>
          <w:i/>
          <w:iCs/>
          <w:sz w:val="24"/>
        </w:rPr>
        <w:t>Impiombato</w:t>
      </w:r>
      <w:proofErr w:type="spellEnd"/>
      <w:r w:rsidRPr="002D070A">
        <w:rPr>
          <w:rFonts w:ascii="Times New Roman" w:hAnsi="Times New Roman"/>
          <w:i/>
          <w:iCs/>
          <w:sz w:val="24"/>
        </w:rPr>
        <w:t xml:space="preserve"> </w:t>
      </w:r>
      <w:r w:rsidRPr="002D070A">
        <w:rPr>
          <w:rFonts w:ascii="Times New Roman" w:hAnsi="Times New Roman"/>
          <w:sz w:val="24"/>
        </w:rPr>
        <w:t>(2022) 96 ALJR 956 at 967-968 [50]; 405 ALR 402 at 414.</w:t>
      </w:r>
    </w:p>
  </w:footnote>
  <w:footnote w:id="72">
    <w:p w14:paraId="16F6C7A0"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(2013) 568 US 165 at 172 (citations omitted).</w:t>
      </w:r>
    </w:p>
  </w:footnote>
  <w:footnote w:id="73">
    <w:p w14:paraId="14550172"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(2023) 97 ALJR 150; 407 ALR 277.</w:t>
      </w:r>
    </w:p>
  </w:footnote>
  <w:footnote w:id="74">
    <w:p w14:paraId="1C252E5C"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(2023) 97 ALJR 150 at 156 [10]; 407 ALR 277 at 280.</w:t>
      </w:r>
    </w:p>
  </w:footnote>
  <w:footnote w:id="75">
    <w:p w14:paraId="59703EE3"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(2023) 97 ALJR 150 at 159 [25], 169 [84]; 407 ALR 277 at 285, 298.</w:t>
      </w:r>
    </w:p>
  </w:footnote>
  <w:footnote w:id="76">
    <w:p w14:paraId="42295E89"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(2023) 97 ALJR 150 at 163-164 [52]; 407 ALR 277 at 291, quoting </w:t>
      </w:r>
      <w:r w:rsidRPr="002D070A">
        <w:rPr>
          <w:rFonts w:ascii="Times New Roman" w:hAnsi="Times New Roman"/>
          <w:i/>
          <w:sz w:val="24"/>
        </w:rPr>
        <w:t xml:space="preserve">United States Parole Commission v Geraghty </w:t>
      </w:r>
      <w:r w:rsidRPr="002D070A">
        <w:rPr>
          <w:rFonts w:ascii="Times New Roman" w:hAnsi="Times New Roman"/>
          <w:sz w:val="24"/>
        </w:rPr>
        <w:t xml:space="preserve">(1980) 445 US 388 at 397. See also </w:t>
      </w:r>
      <w:r w:rsidRPr="002D070A">
        <w:rPr>
          <w:rFonts w:ascii="Times New Roman" w:hAnsi="Times New Roman"/>
          <w:i/>
          <w:sz w:val="24"/>
        </w:rPr>
        <w:t>Unions [No 3]</w:t>
      </w:r>
      <w:r w:rsidRPr="002D070A">
        <w:rPr>
          <w:rFonts w:ascii="Times New Roman" w:hAnsi="Times New Roman"/>
          <w:i/>
          <w:iCs/>
          <w:sz w:val="24"/>
        </w:rPr>
        <w:t xml:space="preserve"> </w:t>
      </w:r>
      <w:r w:rsidRPr="002D070A">
        <w:rPr>
          <w:rFonts w:ascii="Times New Roman" w:hAnsi="Times New Roman"/>
          <w:sz w:val="24"/>
        </w:rPr>
        <w:t>(2023) 97 ALJR 150 at 159-160 [25]-[28]; 407 ALR 277 at 285-286.</w:t>
      </w:r>
    </w:p>
  </w:footnote>
  <w:footnote w:id="77">
    <w:p w14:paraId="481C7FF7"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Style w:val="cf01"/>
          <w:rFonts w:ascii="Times New Roman" w:hAnsi="Times New Roman"/>
          <w:sz w:val="24"/>
          <w:szCs w:val="24"/>
        </w:rPr>
        <w:t xml:space="preserve">Quick and Garran, </w:t>
      </w:r>
      <w:r w:rsidRPr="002D070A">
        <w:rPr>
          <w:rStyle w:val="cf11"/>
          <w:rFonts w:ascii="Times New Roman" w:hAnsi="Times New Roman"/>
          <w:sz w:val="24"/>
          <w:szCs w:val="24"/>
        </w:rPr>
        <w:t>The Annotated Constitution of the Australian Commonwealth</w:t>
      </w:r>
      <w:r w:rsidRPr="002D070A">
        <w:rPr>
          <w:rStyle w:val="cf01"/>
          <w:rFonts w:ascii="Times New Roman" w:hAnsi="Times New Roman"/>
          <w:sz w:val="24"/>
          <w:szCs w:val="24"/>
        </w:rPr>
        <w:t xml:space="preserve"> (1901) at 767.</w:t>
      </w:r>
    </w:p>
  </w:footnote>
  <w:footnote w:id="78">
    <w:p w14:paraId="08660A8A"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proofErr w:type="spellStart"/>
      <w:r w:rsidRPr="002D070A">
        <w:rPr>
          <w:rFonts w:ascii="Times New Roman" w:hAnsi="Times New Roman"/>
          <w:sz w:val="24"/>
        </w:rPr>
        <w:t>Liau</w:t>
      </w:r>
      <w:proofErr w:type="spellEnd"/>
      <w:r w:rsidRPr="002D070A">
        <w:rPr>
          <w:rFonts w:ascii="Times New Roman" w:hAnsi="Times New Roman"/>
          <w:sz w:val="24"/>
        </w:rPr>
        <w:t xml:space="preserve">, </w:t>
      </w:r>
      <w:r w:rsidRPr="002D070A">
        <w:rPr>
          <w:rFonts w:ascii="Times New Roman" w:hAnsi="Times New Roman"/>
          <w:i/>
          <w:iCs/>
          <w:sz w:val="24"/>
        </w:rPr>
        <w:t xml:space="preserve">Standing in Private Law </w:t>
      </w:r>
      <w:r w:rsidRPr="002D070A">
        <w:rPr>
          <w:rFonts w:ascii="Times New Roman" w:hAnsi="Times New Roman"/>
          <w:sz w:val="24"/>
        </w:rPr>
        <w:t>(2023) at 33.</w:t>
      </w:r>
    </w:p>
  </w:footnote>
  <w:footnote w:id="79">
    <w:p w14:paraId="4DAF0183"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Hobart International Airport Pty Ltd v Clarence City Council </w:t>
      </w:r>
      <w:r w:rsidRPr="002D070A">
        <w:rPr>
          <w:rFonts w:ascii="Times New Roman" w:hAnsi="Times New Roman"/>
          <w:sz w:val="24"/>
        </w:rPr>
        <w:t>(2022) 96 ALJR 234</w:t>
      </w:r>
      <w:r w:rsidRPr="002D070A">
        <w:rPr>
          <w:rFonts w:ascii="Times New Roman" w:hAnsi="Times New Roman"/>
          <w:i/>
          <w:iCs/>
          <w:sz w:val="24"/>
        </w:rPr>
        <w:t xml:space="preserve"> </w:t>
      </w:r>
      <w:r w:rsidRPr="002D070A">
        <w:rPr>
          <w:rFonts w:ascii="Times New Roman" w:hAnsi="Times New Roman"/>
          <w:sz w:val="24"/>
        </w:rPr>
        <w:t xml:space="preserve">at 256-257 [79]; 399 ALR 214 at 237, and the cases cited there. </w:t>
      </w:r>
    </w:p>
  </w:footnote>
  <w:footnote w:id="80">
    <w:p w14:paraId="4DD9CCF7"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See, </w:t>
      </w:r>
      <w:proofErr w:type="spellStart"/>
      <w:r w:rsidRPr="002D070A">
        <w:rPr>
          <w:rFonts w:ascii="Times New Roman" w:hAnsi="Times New Roman"/>
          <w:sz w:val="24"/>
        </w:rPr>
        <w:t>eg</w:t>
      </w:r>
      <w:proofErr w:type="spellEnd"/>
      <w:r w:rsidRPr="002D070A">
        <w:rPr>
          <w:rFonts w:ascii="Times New Roman" w:hAnsi="Times New Roman"/>
          <w:sz w:val="24"/>
        </w:rPr>
        <w:t xml:space="preserve">, </w:t>
      </w:r>
      <w:r w:rsidRPr="002D070A">
        <w:rPr>
          <w:rFonts w:ascii="Times New Roman" w:hAnsi="Times New Roman"/>
          <w:i/>
          <w:iCs/>
          <w:sz w:val="24"/>
        </w:rPr>
        <w:t xml:space="preserve">Hobart International Airport Pty Ltd v Clarence City Council </w:t>
      </w:r>
      <w:r w:rsidRPr="002D070A">
        <w:rPr>
          <w:rFonts w:ascii="Times New Roman" w:hAnsi="Times New Roman"/>
          <w:sz w:val="24"/>
        </w:rPr>
        <w:t xml:space="preserve">(2022) 96 ALJR 234 at 265-266 [122]-[123]; 399 ALR 214 at 249, and </w:t>
      </w:r>
      <w:proofErr w:type="gramStart"/>
      <w:r w:rsidRPr="002D070A">
        <w:rPr>
          <w:rFonts w:ascii="Times New Roman" w:hAnsi="Times New Roman"/>
          <w:sz w:val="24"/>
        </w:rPr>
        <w:t>in particular the</w:t>
      </w:r>
      <w:proofErr w:type="gramEnd"/>
      <w:r w:rsidRPr="002D070A">
        <w:rPr>
          <w:rFonts w:ascii="Times New Roman" w:hAnsi="Times New Roman"/>
          <w:sz w:val="24"/>
        </w:rPr>
        <w:t xml:space="preserve"> discussion therein of </w:t>
      </w:r>
      <w:r w:rsidRPr="002D070A">
        <w:rPr>
          <w:rFonts w:ascii="Times New Roman" w:hAnsi="Times New Roman"/>
          <w:i/>
          <w:iCs/>
          <w:sz w:val="24"/>
        </w:rPr>
        <w:t xml:space="preserve">CGU Insurance Ltd v Blakeley </w:t>
      </w:r>
      <w:r w:rsidRPr="002D070A">
        <w:rPr>
          <w:rFonts w:ascii="Times New Roman" w:hAnsi="Times New Roman"/>
          <w:sz w:val="24"/>
        </w:rPr>
        <w:t>(2016) 259 CLR 339.</w:t>
      </w:r>
    </w:p>
  </w:footnote>
  <w:footnote w:id="81">
    <w:p w14:paraId="3798F96C" w14:textId="77777777" w:rsidR="00541D69" w:rsidRPr="002D070A" w:rsidRDefault="00541D69" w:rsidP="002D070A">
      <w:pPr>
        <w:pStyle w:val="FootnoteText"/>
        <w:spacing w:line="280" w:lineRule="exact"/>
        <w:ind w:right="0"/>
        <w:jc w:val="both"/>
        <w:rPr>
          <w:rFonts w:ascii="Times New Roman" w:hAnsi="Times New Roman"/>
          <w:i/>
          <w:iCs/>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Hobart International Airport Pty Ltd v Clarence City Council </w:t>
      </w:r>
      <w:r w:rsidRPr="002D070A">
        <w:rPr>
          <w:rFonts w:ascii="Times New Roman" w:hAnsi="Times New Roman"/>
          <w:sz w:val="24"/>
        </w:rPr>
        <w:t>(2022) 96 ALJR 234 at 257-261 [84]-[99]; 399 ALR 214 at 239-243.</w:t>
      </w:r>
    </w:p>
  </w:footnote>
  <w:footnote w:id="82">
    <w:p w14:paraId="02A567F9"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Taylor v Attorney-General (</w:t>
      </w:r>
      <w:proofErr w:type="spellStart"/>
      <w:r w:rsidRPr="002D070A">
        <w:rPr>
          <w:rFonts w:ascii="Times New Roman" w:hAnsi="Times New Roman"/>
          <w:i/>
          <w:iCs/>
          <w:sz w:val="24"/>
        </w:rPr>
        <w:t>Cth</w:t>
      </w:r>
      <w:proofErr w:type="spellEnd"/>
      <w:r w:rsidRPr="002D070A">
        <w:rPr>
          <w:rFonts w:ascii="Times New Roman" w:hAnsi="Times New Roman"/>
          <w:i/>
          <w:iCs/>
          <w:sz w:val="24"/>
        </w:rPr>
        <w:t xml:space="preserve">) </w:t>
      </w:r>
      <w:r w:rsidRPr="002D070A">
        <w:rPr>
          <w:rFonts w:ascii="Times New Roman" w:hAnsi="Times New Roman"/>
          <w:sz w:val="24"/>
        </w:rPr>
        <w:t>(2019) 268 CLR 224</w:t>
      </w:r>
      <w:r w:rsidRPr="002D070A">
        <w:rPr>
          <w:rFonts w:ascii="Times New Roman" w:hAnsi="Times New Roman"/>
          <w:i/>
          <w:iCs/>
          <w:sz w:val="24"/>
        </w:rPr>
        <w:t xml:space="preserve"> </w:t>
      </w:r>
      <w:r w:rsidRPr="002D070A">
        <w:rPr>
          <w:rFonts w:ascii="Times New Roman" w:hAnsi="Times New Roman"/>
          <w:sz w:val="24"/>
        </w:rPr>
        <w:t xml:space="preserve">at 262 [105]; </w:t>
      </w:r>
      <w:r w:rsidRPr="002D070A">
        <w:rPr>
          <w:rFonts w:ascii="Times New Roman" w:hAnsi="Times New Roman"/>
          <w:i/>
          <w:iCs/>
          <w:sz w:val="24"/>
        </w:rPr>
        <w:t xml:space="preserve">Hobart International Airport Pty Ltd v Clarence City Council </w:t>
      </w:r>
      <w:r w:rsidRPr="002D070A">
        <w:rPr>
          <w:rFonts w:ascii="Times New Roman" w:hAnsi="Times New Roman"/>
          <w:sz w:val="24"/>
        </w:rPr>
        <w:t>(2022) 96 ALJR 234</w:t>
      </w:r>
      <w:r w:rsidRPr="002D070A">
        <w:rPr>
          <w:rFonts w:ascii="Times New Roman" w:hAnsi="Times New Roman"/>
          <w:i/>
          <w:iCs/>
          <w:sz w:val="24"/>
        </w:rPr>
        <w:t xml:space="preserve"> </w:t>
      </w:r>
      <w:r w:rsidRPr="002D070A">
        <w:rPr>
          <w:rFonts w:ascii="Times New Roman" w:hAnsi="Times New Roman"/>
          <w:sz w:val="24"/>
        </w:rPr>
        <w:t>at 258 [87]; 399 ALR 214 at 239-240.</w:t>
      </w:r>
    </w:p>
  </w:footnote>
  <w:footnote w:id="83">
    <w:p w14:paraId="1E9276BA"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See </w:t>
      </w:r>
      <w:r w:rsidRPr="002D070A">
        <w:rPr>
          <w:rFonts w:ascii="Times New Roman" w:hAnsi="Times New Roman"/>
          <w:i/>
          <w:iCs/>
          <w:sz w:val="24"/>
        </w:rPr>
        <w:t xml:space="preserve">Associated Industries v Ickes </w:t>
      </w:r>
      <w:r w:rsidRPr="002D070A">
        <w:rPr>
          <w:rFonts w:ascii="Times New Roman" w:hAnsi="Times New Roman"/>
          <w:sz w:val="24"/>
        </w:rPr>
        <w:t xml:space="preserve">(1943) 134 F 2d 694 at 704; </w:t>
      </w:r>
      <w:r w:rsidRPr="002D070A">
        <w:rPr>
          <w:rFonts w:ascii="Times New Roman" w:hAnsi="Times New Roman"/>
          <w:i/>
          <w:iCs/>
          <w:sz w:val="24"/>
        </w:rPr>
        <w:t xml:space="preserve">Bennett v Spear </w:t>
      </w:r>
      <w:r w:rsidRPr="002D070A">
        <w:rPr>
          <w:rFonts w:ascii="Times New Roman" w:hAnsi="Times New Roman"/>
          <w:sz w:val="24"/>
        </w:rPr>
        <w:t xml:space="preserve">(1997) 520 US 154 at 165; </w:t>
      </w:r>
      <w:r w:rsidRPr="002D070A">
        <w:rPr>
          <w:rFonts w:ascii="Times New Roman" w:hAnsi="Times New Roman"/>
          <w:i/>
          <w:iCs/>
          <w:sz w:val="24"/>
        </w:rPr>
        <w:t xml:space="preserve">Truth About Motorways Pty Ltd v Macquarie Infrastructure Investment Management Ltd </w:t>
      </w:r>
      <w:r w:rsidRPr="002D070A">
        <w:rPr>
          <w:rFonts w:ascii="Times New Roman" w:hAnsi="Times New Roman"/>
          <w:sz w:val="24"/>
        </w:rPr>
        <w:t>(2000) 200 CLR 591 at 632 [108], 634 [112].</w:t>
      </w:r>
    </w:p>
  </w:footnote>
  <w:footnote w:id="84">
    <w:p w14:paraId="73E18B0C"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(1954) 90 CLR 353 at 368.</w:t>
      </w:r>
    </w:p>
  </w:footnote>
  <w:footnote w:id="85">
    <w:p w14:paraId="2EA03529"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R v Davison </w:t>
      </w:r>
      <w:r w:rsidRPr="002D070A">
        <w:rPr>
          <w:rFonts w:ascii="Times New Roman" w:hAnsi="Times New Roman"/>
          <w:sz w:val="24"/>
        </w:rPr>
        <w:t xml:space="preserve">(1954) 90 CLR 353 at 368, quoting </w:t>
      </w:r>
      <w:r w:rsidRPr="002D070A">
        <w:rPr>
          <w:rFonts w:ascii="Times New Roman" w:hAnsi="Times New Roman"/>
          <w:i/>
          <w:iCs/>
          <w:sz w:val="24"/>
        </w:rPr>
        <w:t xml:space="preserve">Queen Victoria Memorial Hospital v Thornton </w:t>
      </w:r>
      <w:r w:rsidRPr="002D070A">
        <w:rPr>
          <w:rFonts w:ascii="Times New Roman" w:hAnsi="Times New Roman"/>
          <w:sz w:val="24"/>
        </w:rPr>
        <w:t>(1953) 87 CLR 144 at 151.</w:t>
      </w:r>
    </w:p>
  </w:footnote>
  <w:footnote w:id="86">
    <w:p w14:paraId="53242BA7"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Palmer v Ayres </w:t>
      </w:r>
      <w:r w:rsidRPr="002D070A">
        <w:rPr>
          <w:rFonts w:ascii="Times New Roman" w:hAnsi="Times New Roman"/>
          <w:sz w:val="24"/>
        </w:rPr>
        <w:t xml:space="preserve">(2017) 259 CLR 478 at 494 [37], citing </w:t>
      </w:r>
      <w:r w:rsidRPr="002D070A">
        <w:rPr>
          <w:rFonts w:ascii="Times New Roman" w:hAnsi="Times New Roman"/>
          <w:i/>
          <w:iCs/>
          <w:sz w:val="24"/>
        </w:rPr>
        <w:t xml:space="preserve">R v Davison </w:t>
      </w:r>
      <w:r w:rsidRPr="002D070A">
        <w:rPr>
          <w:rFonts w:ascii="Times New Roman" w:hAnsi="Times New Roman"/>
          <w:sz w:val="24"/>
        </w:rPr>
        <w:t xml:space="preserve">(1954) 90 CLR 353 at 366-369, 382 and </w:t>
      </w:r>
      <w:r w:rsidRPr="002D070A">
        <w:rPr>
          <w:rFonts w:ascii="Times New Roman" w:hAnsi="Times New Roman"/>
          <w:i/>
          <w:iCs/>
          <w:sz w:val="24"/>
        </w:rPr>
        <w:t xml:space="preserve">White v Director of Military Prosecutions </w:t>
      </w:r>
      <w:r w:rsidRPr="002D070A">
        <w:rPr>
          <w:rFonts w:ascii="Times New Roman" w:hAnsi="Times New Roman"/>
          <w:sz w:val="24"/>
        </w:rPr>
        <w:t xml:space="preserve">(2007) 231 CLR 570 at 595 [48]. </w:t>
      </w:r>
    </w:p>
  </w:footnote>
  <w:footnote w:id="87">
    <w:p w14:paraId="2DAB83A1"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(1991) 173 CLR 289.</w:t>
      </w:r>
    </w:p>
  </w:footnote>
  <w:footnote w:id="88">
    <w:p w14:paraId="27E588CA"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(1991) 173 CLR 289 at 299.</w:t>
      </w:r>
    </w:p>
  </w:footnote>
  <w:footnote w:id="89">
    <w:p w14:paraId="2BBD63EF"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(1991) 173 CLR 289 at 323-324. Compare at 317 per Brennan J. </w:t>
      </w:r>
    </w:p>
  </w:footnote>
  <w:footnote w:id="90">
    <w:p w14:paraId="1BAF844B"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See </w:t>
      </w:r>
      <w:r w:rsidRPr="002D070A">
        <w:rPr>
          <w:rFonts w:ascii="Times New Roman" w:hAnsi="Times New Roman"/>
          <w:i/>
          <w:iCs/>
          <w:sz w:val="24"/>
        </w:rPr>
        <w:t xml:space="preserve">Re McBain; Ex </w:t>
      </w:r>
      <w:proofErr w:type="spellStart"/>
      <w:r w:rsidRPr="002D070A">
        <w:rPr>
          <w:rFonts w:ascii="Times New Roman" w:hAnsi="Times New Roman"/>
          <w:i/>
          <w:iCs/>
          <w:sz w:val="24"/>
        </w:rPr>
        <w:t>parte</w:t>
      </w:r>
      <w:proofErr w:type="spellEnd"/>
      <w:r w:rsidRPr="002D070A">
        <w:rPr>
          <w:rFonts w:ascii="Times New Roman" w:hAnsi="Times New Roman"/>
          <w:i/>
          <w:iCs/>
          <w:sz w:val="24"/>
        </w:rPr>
        <w:t xml:space="preserve"> Australian Catholic Bishops Conference </w:t>
      </w:r>
      <w:r w:rsidRPr="002D070A">
        <w:rPr>
          <w:rFonts w:ascii="Times New Roman" w:hAnsi="Times New Roman"/>
          <w:sz w:val="24"/>
        </w:rPr>
        <w:t xml:space="preserve">(2002) 209 CLR 372 at 409 [74]. </w:t>
      </w:r>
    </w:p>
  </w:footnote>
  <w:footnote w:id="91">
    <w:p w14:paraId="3772FB20"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(1991) 173 CLR 289 at 305.</w:t>
      </w:r>
    </w:p>
  </w:footnote>
  <w:footnote w:id="92">
    <w:p w14:paraId="5118D836"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(1991) 173 CLR 289 at 291.</w:t>
      </w:r>
    </w:p>
  </w:footnote>
  <w:footnote w:id="93">
    <w:p w14:paraId="412B6470"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Cs/>
          <w:sz w:val="24"/>
        </w:rPr>
        <w:t xml:space="preserve">15 &amp; 16 </w:t>
      </w:r>
      <w:proofErr w:type="spellStart"/>
      <w:r w:rsidRPr="002D070A">
        <w:rPr>
          <w:rFonts w:ascii="Times New Roman" w:hAnsi="Times New Roman"/>
          <w:iCs/>
          <w:sz w:val="24"/>
        </w:rPr>
        <w:t>Vict</w:t>
      </w:r>
      <w:proofErr w:type="spellEnd"/>
      <w:r w:rsidRPr="002D070A">
        <w:rPr>
          <w:rFonts w:ascii="Times New Roman" w:hAnsi="Times New Roman"/>
          <w:iCs/>
          <w:sz w:val="24"/>
        </w:rPr>
        <w:t xml:space="preserve"> c 86. See </w:t>
      </w:r>
      <w:r w:rsidRPr="002D070A">
        <w:rPr>
          <w:rFonts w:ascii="Times New Roman" w:hAnsi="Times New Roman"/>
          <w:sz w:val="24"/>
        </w:rPr>
        <w:t xml:space="preserve">Spence, </w:t>
      </w:r>
      <w:r w:rsidRPr="002D070A">
        <w:rPr>
          <w:rFonts w:ascii="Times New Roman" w:hAnsi="Times New Roman"/>
          <w:i/>
          <w:iCs/>
          <w:sz w:val="24"/>
        </w:rPr>
        <w:t xml:space="preserve">The Equitable Jurisdiction of the Court of Chancery </w:t>
      </w:r>
      <w:r w:rsidRPr="002D070A">
        <w:rPr>
          <w:rFonts w:ascii="Times New Roman" w:hAnsi="Times New Roman"/>
          <w:sz w:val="24"/>
        </w:rPr>
        <w:t xml:space="preserve">(1846), vol 1, bk 4 at 684-688; Mack, "The Revival of Criminal Equity" (1903) 16 </w:t>
      </w:r>
      <w:r w:rsidRPr="002D070A">
        <w:rPr>
          <w:rFonts w:ascii="Times New Roman" w:hAnsi="Times New Roman"/>
          <w:i/>
          <w:iCs/>
          <w:sz w:val="24"/>
        </w:rPr>
        <w:t xml:space="preserve">Harvard Law Review </w:t>
      </w:r>
      <w:r w:rsidRPr="002D070A">
        <w:rPr>
          <w:rFonts w:ascii="Times New Roman" w:hAnsi="Times New Roman"/>
          <w:sz w:val="24"/>
        </w:rPr>
        <w:t xml:space="preserve">389 at 390-391; Holdsworth, </w:t>
      </w:r>
      <w:r w:rsidRPr="002D070A">
        <w:rPr>
          <w:rFonts w:ascii="Times New Roman" w:hAnsi="Times New Roman"/>
          <w:i/>
          <w:iCs/>
          <w:sz w:val="24"/>
        </w:rPr>
        <w:t>A History of English Law</w:t>
      </w:r>
      <w:r w:rsidRPr="002D070A">
        <w:rPr>
          <w:rFonts w:ascii="Times New Roman" w:hAnsi="Times New Roman"/>
          <w:sz w:val="24"/>
        </w:rPr>
        <w:t>,</w:t>
      </w:r>
      <w:r w:rsidRPr="002D070A">
        <w:rPr>
          <w:rFonts w:ascii="Times New Roman" w:hAnsi="Times New Roman"/>
          <w:i/>
          <w:iCs/>
          <w:sz w:val="24"/>
        </w:rPr>
        <w:t xml:space="preserve"> </w:t>
      </w:r>
      <w:r w:rsidRPr="002D070A">
        <w:rPr>
          <w:rFonts w:ascii="Times New Roman" w:hAnsi="Times New Roman"/>
          <w:sz w:val="24"/>
        </w:rPr>
        <w:t xml:space="preserve">3rd ed (1922), vol 2 at 405-406. See also </w:t>
      </w:r>
      <w:r w:rsidRPr="002D070A">
        <w:rPr>
          <w:rFonts w:ascii="Times New Roman" w:hAnsi="Times New Roman"/>
          <w:i/>
          <w:iCs/>
          <w:sz w:val="24"/>
        </w:rPr>
        <w:t>Vella v Commissioner of Police (NSW)</w:t>
      </w:r>
      <w:r w:rsidRPr="002D070A">
        <w:rPr>
          <w:rFonts w:ascii="Times New Roman" w:hAnsi="Times New Roman"/>
          <w:sz w:val="24"/>
        </w:rPr>
        <w:t xml:space="preserve"> (2019) 269 CLR 219 at 236-237 [29].</w:t>
      </w:r>
    </w:p>
  </w:footnote>
  <w:footnote w:id="94">
    <w:p w14:paraId="38B8E7D7"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(1991) 173 CLR 289 at 305.</w:t>
      </w:r>
    </w:p>
  </w:footnote>
  <w:footnote w:id="95">
    <w:p w14:paraId="28A30410"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(1939) 307 US 433 at 460.</w:t>
      </w:r>
    </w:p>
  </w:footnote>
  <w:footnote w:id="96">
    <w:p w14:paraId="10DFB54E"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Liner v </w:t>
      </w:r>
      <w:proofErr w:type="spellStart"/>
      <w:r w:rsidRPr="002D070A">
        <w:rPr>
          <w:rFonts w:ascii="Times New Roman" w:hAnsi="Times New Roman"/>
          <w:i/>
          <w:iCs/>
          <w:sz w:val="24"/>
        </w:rPr>
        <w:t>Jafco</w:t>
      </w:r>
      <w:proofErr w:type="spellEnd"/>
      <w:r w:rsidRPr="002D070A">
        <w:rPr>
          <w:rFonts w:ascii="Times New Roman" w:hAnsi="Times New Roman"/>
          <w:i/>
          <w:iCs/>
          <w:sz w:val="24"/>
        </w:rPr>
        <w:t xml:space="preserve"> Inc </w:t>
      </w:r>
      <w:r w:rsidRPr="002D070A">
        <w:rPr>
          <w:rFonts w:ascii="Times New Roman" w:hAnsi="Times New Roman"/>
          <w:sz w:val="24"/>
        </w:rPr>
        <w:t xml:space="preserve">(1964) 375 US 301 at 306, </w:t>
      </w:r>
      <w:proofErr w:type="spellStart"/>
      <w:r w:rsidRPr="002D070A">
        <w:rPr>
          <w:rFonts w:ascii="Times New Roman" w:hAnsi="Times New Roman"/>
          <w:sz w:val="24"/>
        </w:rPr>
        <w:t>fn</w:t>
      </w:r>
      <w:proofErr w:type="spellEnd"/>
      <w:r w:rsidRPr="002D070A">
        <w:rPr>
          <w:rFonts w:ascii="Times New Roman" w:hAnsi="Times New Roman"/>
          <w:sz w:val="24"/>
        </w:rPr>
        <w:t> 3.</w:t>
      </w:r>
    </w:p>
  </w:footnote>
  <w:footnote w:id="97">
    <w:p w14:paraId="713B1C7E"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Then the Special Assistant to the Attorney-General of the United States.</w:t>
      </w:r>
    </w:p>
  </w:footnote>
  <w:footnote w:id="98">
    <w:p w14:paraId="03C0FF98"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Diamond, "Federal Jurisdiction to Decide Moot Cases" (1946) 94 </w:t>
      </w:r>
      <w:r w:rsidRPr="002D070A">
        <w:rPr>
          <w:rFonts w:ascii="Times New Roman" w:hAnsi="Times New Roman"/>
          <w:i/>
          <w:iCs/>
          <w:sz w:val="24"/>
        </w:rPr>
        <w:t>University of Pennsylvania Law Review</w:t>
      </w:r>
      <w:r w:rsidRPr="002D070A">
        <w:rPr>
          <w:rFonts w:ascii="Times New Roman" w:hAnsi="Times New Roman"/>
          <w:sz w:val="24"/>
        </w:rPr>
        <w:t xml:space="preserve"> 125 at 125.</w:t>
      </w:r>
    </w:p>
  </w:footnote>
  <w:footnote w:id="99">
    <w:p w14:paraId="1E1A1A66"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Diamond, "Federal Jurisdiction to Decide Moot Cases" (1946) 94 </w:t>
      </w:r>
      <w:r w:rsidRPr="002D070A">
        <w:rPr>
          <w:rFonts w:ascii="Times New Roman" w:hAnsi="Times New Roman"/>
          <w:i/>
          <w:iCs/>
          <w:sz w:val="24"/>
        </w:rPr>
        <w:t xml:space="preserve">University of Pennsylvania Law Review </w:t>
      </w:r>
      <w:r w:rsidRPr="002D070A">
        <w:rPr>
          <w:rFonts w:ascii="Times New Roman" w:hAnsi="Times New Roman"/>
          <w:sz w:val="24"/>
        </w:rPr>
        <w:t>125 at 127.</w:t>
      </w:r>
    </w:p>
  </w:footnote>
  <w:footnote w:id="100">
    <w:p w14:paraId="6A738D06"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Honig v Doe </w:t>
      </w:r>
      <w:r w:rsidRPr="002D070A">
        <w:rPr>
          <w:rFonts w:ascii="Times New Roman" w:hAnsi="Times New Roman"/>
          <w:sz w:val="24"/>
        </w:rPr>
        <w:t xml:space="preserve">(1988) 484 US 305 at 329. </w:t>
      </w:r>
    </w:p>
  </w:footnote>
  <w:footnote w:id="101">
    <w:p w14:paraId="6DF61471"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California v San Pablo and Tulare Railroad Co </w:t>
      </w:r>
      <w:r w:rsidRPr="002D070A">
        <w:rPr>
          <w:rFonts w:ascii="Times New Roman" w:hAnsi="Times New Roman"/>
          <w:sz w:val="24"/>
        </w:rPr>
        <w:t>(1893) 149 US 308 at 314.</w:t>
      </w:r>
    </w:p>
  </w:footnote>
  <w:footnote w:id="102">
    <w:p w14:paraId="147B1728"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United States v </w:t>
      </w:r>
      <w:proofErr w:type="spellStart"/>
      <w:r w:rsidRPr="002D070A">
        <w:rPr>
          <w:rFonts w:ascii="Times New Roman" w:hAnsi="Times New Roman"/>
          <w:i/>
          <w:iCs/>
          <w:sz w:val="24"/>
        </w:rPr>
        <w:t>Munsingwear</w:t>
      </w:r>
      <w:proofErr w:type="spellEnd"/>
      <w:r w:rsidRPr="002D070A">
        <w:rPr>
          <w:rFonts w:ascii="Times New Roman" w:hAnsi="Times New Roman"/>
          <w:i/>
          <w:iCs/>
          <w:sz w:val="24"/>
        </w:rPr>
        <w:t xml:space="preserve"> Inc </w:t>
      </w:r>
      <w:r w:rsidRPr="002D070A">
        <w:rPr>
          <w:rFonts w:ascii="Times New Roman" w:hAnsi="Times New Roman"/>
          <w:sz w:val="24"/>
        </w:rPr>
        <w:t>(1950) 340 US 36 at 41.</w:t>
      </w:r>
    </w:p>
  </w:footnote>
  <w:footnote w:id="103">
    <w:p w14:paraId="513426C8"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Honig v Doe </w:t>
      </w:r>
      <w:r w:rsidRPr="002D070A">
        <w:rPr>
          <w:rFonts w:ascii="Times New Roman" w:hAnsi="Times New Roman"/>
          <w:sz w:val="24"/>
        </w:rPr>
        <w:t xml:space="preserve">(1988) 484 US 305 at 340. </w:t>
      </w:r>
    </w:p>
  </w:footnote>
  <w:footnote w:id="104">
    <w:p w14:paraId="58C0AAE9"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Diamond, "Federal Jurisdiction to Decide Moot Cases" (1946) 94 </w:t>
      </w:r>
      <w:r w:rsidRPr="002D070A">
        <w:rPr>
          <w:rFonts w:ascii="Times New Roman" w:hAnsi="Times New Roman"/>
          <w:i/>
          <w:iCs/>
          <w:sz w:val="24"/>
        </w:rPr>
        <w:t>University of Pennsylvania Law Review</w:t>
      </w:r>
      <w:r w:rsidRPr="002D070A">
        <w:rPr>
          <w:rFonts w:ascii="Times New Roman" w:hAnsi="Times New Roman"/>
          <w:sz w:val="24"/>
        </w:rPr>
        <w:t xml:space="preserve"> 125 at 125.</w:t>
      </w:r>
    </w:p>
  </w:footnote>
  <w:footnote w:id="105">
    <w:p w14:paraId="726987D4"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Lewis v Continental Bank Corp </w:t>
      </w:r>
      <w:r w:rsidRPr="002D070A">
        <w:rPr>
          <w:rFonts w:ascii="Times New Roman" w:hAnsi="Times New Roman"/>
          <w:sz w:val="24"/>
        </w:rPr>
        <w:t xml:space="preserve">(1990) 494 US 472 at 477. See also </w:t>
      </w:r>
      <w:r w:rsidRPr="002D070A">
        <w:rPr>
          <w:rFonts w:ascii="Times New Roman" w:hAnsi="Times New Roman"/>
          <w:i/>
          <w:iCs/>
          <w:sz w:val="24"/>
        </w:rPr>
        <w:t xml:space="preserve">Securities and Exchange Commission v Medical Committee for Human Rights </w:t>
      </w:r>
      <w:r w:rsidRPr="002D070A">
        <w:rPr>
          <w:rFonts w:ascii="Times New Roman" w:hAnsi="Times New Roman"/>
          <w:sz w:val="24"/>
        </w:rPr>
        <w:t xml:space="preserve">(1972) 404 US 403 at 405; </w:t>
      </w:r>
      <w:proofErr w:type="spellStart"/>
      <w:r w:rsidRPr="002D070A">
        <w:rPr>
          <w:rFonts w:ascii="Times New Roman" w:hAnsi="Times New Roman"/>
          <w:i/>
          <w:iCs/>
          <w:sz w:val="24"/>
        </w:rPr>
        <w:t>DeFunis</w:t>
      </w:r>
      <w:proofErr w:type="spellEnd"/>
      <w:r w:rsidRPr="002D070A">
        <w:rPr>
          <w:rFonts w:ascii="Times New Roman" w:hAnsi="Times New Roman"/>
          <w:i/>
          <w:iCs/>
          <w:sz w:val="24"/>
        </w:rPr>
        <w:t xml:space="preserve"> v </w:t>
      </w:r>
      <w:proofErr w:type="spellStart"/>
      <w:r w:rsidRPr="002D070A">
        <w:rPr>
          <w:rFonts w:ascii="Times New Roman" w:hAnsi="Times New Roman"/>
          <w:i/>
          <w:iCs/>
          <w:sz w:val="24"/>
        </w:rPr>
        <w:t>Odegaard</w:t>
      </w:r>
      <w:proofErr w:type="spellEnd"/>
      <w:r w:rsidRPr="002D070A">
        <w:rPr>
          <w:rFonts w:ascii="Times New Roman" w:hAnsi="Times New Roman"/>
          <w:i/>
          <w:iCs/>
          <w:sz w:val="24"/>
        </w:rPr>
        <w:t xml:space="preserve"> </w:t>
      </w:r>
      <w:r w:rsidRPr="002D070A">
        <w:rPr>
          <w:rFonts w:ascii="Times New Roman" w:hAnsi="Times New Roman"/>
          <w:sz w:val="24"/>
        </w:rPr>
        <w:t>(1974) 416 US 312</w:t>
      </w:r>
      <w:r w:rsidRPr="002D070A">
        <w:rPr>
          <w:rFonts w:ascii="Times New Roman" w:hAnsi="Times New Roman"/>
          <w:i/>
          <w:iCs/>
          <w:sz w:val="24"/>
        </w:rPr>
        <w:t xml:space="preserve"> </w:t>
      </w:r>
      <w:r w:rsidRPr="002D070A">
        <w:rPr>
          <w:rFonts w:ascii="Times New Roman" w:hAnsi="Times New Roman"/>
          <w:sz w:val="24"/>
        </w:rPr>
        <w:t xml:space="preserve">at 315, 319-320; </w:t>
      </w:r>
      <w:proofErr w:type="spellStart"/>
      <w:r w:rsidRPr="002D070A">
        <w:rPr>
          <w:rFonts w:ascii="Times New Roman" w:hAnsi="Times New Roman"/>
          <w:i/>
          <w:iCs/>
          <w:sz w:val="24"/>
        </w:rPr>
        <w:t>Preiser</w:t>
      </w:r>
      <w:proofErr w:type="spellEnd"/>
      <w:r w:rsidRPr="002D070A">
        <w:rPr>
          <w:rFonts w:ascii="Times New Roman" w:hAnsi="Times New Roman"/>
          <w:i/>
          <w:iCs/>
          <w:sz w:val="24"/>
        </w:rPr>
        <w:t xml:space="preserve"> v Newkirk </w:t>
      </w:r>
      <w:r w:rsidRPr="002D070A">
        <w:rPr>
          <w:rFonts w:ascii="Times New Roman" w:hAnsi="Times New Roman"/>
          <w:sz w:val="24"/>
        </w:rPr>
        <w:t xml:space="preserve">(1975) 422 US 395 at 401; </w:t>
      </w:r>
      <w:r w:rsidRPr="002D070A">
        <w:rPr>
          <w:rFonts w:ascii="Times New Roman" w:hAnsi="Times New Roman"/>
          <w:i/>
          <w:iCs/>
          <w:sz w:val="24"/>
        </w:rPr>
        <w:t xml:space="preserve">Arizonans for Official English v Arizona </w:t>
      </w:r>
      <w:r w:rsidRPr="002D070A">
        <w:rPr>
          <w:rFonts w:ascii="Times New Roman" w:hAnsi="Times New Roman"/>
          <w:sz w:val="24"/>
        </w:rPr>
        <w:t xml:space="preserve">(1997) 520 US 43 at 67; </w:t>
      </w:r>
      <w:proofErr w:type="spellStart"/>
      <w:r w:rsidRPr="002D070A">
        <w:rPr>
          <w:rFonts w:ascii="Times New Roman" w:hAnsi="Times New Roman"/>
          <w:i/>
          <w:iCs/>
          <w:sz w:val="24"/>
        </w:rPr>
        <w:t>Chafin</w:t>
      </w:r>
      <w:proofErr w:type="spellEnd"/>
      <w:r w:rsidRPr="002D070A">
        <w:rPr>
          <w:rFonts w:ascii="Times New Roman" w:hAnsi="Times New Roman"/>
          <w:i/>
          <w:iCs/>
          <w:sz w:val="24"/>
        </w:rPr>
        <w:t xml:space="preserve"> v </w:t>
      </w:r>
      <w:proofErr w:type="spellStart"/>
      <w:r w:rsidRPr="002D070A">
        <w:rPr>
          <w:rFonts w:ascii="Times New Roman" w:hAnsi="Times New Roman"/>
          <w:i/>
          <w:iCs/>
          <w:sz w:val="24"/>
        </w:rPr>
        <w:t>Chafin</w:t>
      </w:r>
      <w:proofErr w:type="spellEnd"/>
      <w:r w:rsidRPr="002D070A">
        <w:rPr>
          <w:rFonts w:ascii="Times New Roman" w:hAnsi="Times New Roman"/>
          <w:sz w:val="24"/>
        </w:rPr>
        <w:t xml:space="preserve"> (2013) 568 US 165 at 172. See further Tribe, </w:t>
      </w:r>
      <w:r w:rsidRPr="002D070A">
        <w:rPr>
          <w:rFonts w:ascii="Times New Roman" w:hAnsi="Times New Roman"/>
          <w:i/>
          <w:iCs/>
          <w:sz w:val="24"/>
        </w:rPr>
        <w:t>American Constitutional Law</w:t>
      </w:r>
      <w:r w:rsidRPr="002D070A">
        <w:rPr>
          <w:rFonts w:ascii="Times New Roman" w:hAnsi="Times New Roman"/>
          <w:sz w:val="24"/>
        </w:rPr>
        <w:t>,</w:t>
      </w:r>
      <w:r w:rsidRPr="002D070A">
        <w:rPr>
          <w:rFonts w:ascii="Times New Roman" w:hAnsi="Times New Roman"/>
          <w:i/>
          <w:iCs/>
          <w:sz w:val="24"/>
        </w:rPr>
        <w:t xml:space="preserve"> </w:t>
      </w:r>
      <w:r w:rsidRPr="002D070A">
        <w:rPr>
          <w:rFonts w:ascii="Times New Roman" w:hAnsi="Times New Roman"/>
          <w:sz w:val="24"/>
        </w:rPr>
        <w:t xml:space="preserve">3rd ed (2000), vol 1 at 344-345; Chemerinsky, </w:t>
      </w:r>
      <w:r w:rsidRPr="002D070A">
        <w:rPr>
          <w:rFonts w:ascii="Times New Roman" w:hAnsi="Times New Roman"/>
          <w:i/>
          <w:iCs/>
          <w:sz w:val="24"/>
        </w:rPr>
        <w:t>Constitutional Law: Principles and Policies</w:t>
      </w:r>
      <w:r w:rsidRPr="002D070A">
        <w:rPr>
          <w:rFonts w:ascii="Times New Roman" w:hAnsi="Times New Roman"/>
          <w:sz w:val="24"/>
        </w:rPr>
        <w:t>, 7th ed (2023) at 129-130.</w:t>
      </w:r>
    </w:p>
  </w:footnote>
  <w:footnote w:id="106">
    <w:p w14:paraId="558CD264"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Church of Scientology of California v United States</w:t>
      </w:r>
      <w:r w:rsidRPr="002D070A">
        <w:rPr>
          <w:rFonts w:ascii="Times New Roman" w:hAnsi="Times New Roman"/>
          <w:sz w:val="24"/>
        </w:rPr>
        <w:t xml:space="preserve"> (1992) 506 US 9 at 12, quoting </w:t>
      </w:r>
      <w:r w:rsidRPr="002D070A">
        <w:rPr>
          <w:rFonts w:ascii="Times New Roman" w:hAnsi="Times New Roman"/>
          <w:i/>
          <w:iCs/>
          <w:sz w:val="24"/>
        </w:rPr>
        <w:t xml:space="preserve">Mills v Green </w:t>
      </w:r>
      <w:r w:rsidRPr="002D070A">
        <w:rPr>
          <w:rFonts w:ascii="Times New Roman" w:hAnsi="Times New Roman"/>
          <w:sz w:val="24"/>
        </w:rPr>
        <w:t>(1895) 159 US 651 at 653.</w:t>
      </w:r>
    </w:p>
  </w:footnote>
  <w:footnote w:id="107">
    <w:p w14:paraId="16702245"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Liner v </w:t>
      </w:r>
      <w:proofErr w:type="spellStart"/>
      <w:r w:rsidRPr="002D070A">
        <w:rPr>
          <w:rFonts w:ascii="Times New Roman" w:hAnsi="Times New Roman"/>
          <w:i/>
          <w:iCs/>
          <w:sz w:val="24"/>
        </w:rPr>
        <w:t>Jafco</w:t>
      </w:r>
      <w:proofErr w:type="spellEnd"/>
      <w:r w:rsidRPr="002D070A">
        <w:rPr>
          <w:rFonts w:ascii="Times New Roman" w:hAnsi="Times New Roman"/>
          <w:i/>
          <w:iCs/>
          <w:sz w:val="24"/>
        </w:rPr>
        <w:t xml:space="preserve"> Inc </w:t>
      </w:r>
      <w:r w:rsidRPr="002D070A">
        <w:rPr>
          <w:rFonts w:ascii="Times New Roman" w:hAnsi="Times New Roman"/>
          <w:sz w:val="24"/>
        </w:rPr>
        <w:t xml:space="preserve">(1964) 375 US 301 at 306, citing </w:t>
      </w:r>
      <w:r w:rsidRPr="002D070A">
        <w:rPr>
          <w:rFonts w:ascii="Times New Roman" w:hAnsi="Times New Roman"/>
          <w:i/>
          <w:iCs/>
          <w:sz w:val="24"/>
        </w:rPr>
        <w:t xml:space="preserve">Love v Griffith </w:t>
      </w:r>
      <w:r w:rsidRPr="002D070A">
        <w:rPr>
          <w:rFonts w:ascii="Times New Roman" w:hAnsi="Times New Roman"/>
          <w:sz w:val="24"/>
        </w:rPr>
        <w:t>(1924)</w:t>
      </w:r>
      <w:r w:rsidRPr="002D070A">
        <w:rPr>
          <w:rFonts w:ascii="Times New Roman" w:hAnsi="Times New Roman"/>
          <w:i/>
          <w:iCs/>
          <w:sz w:val="24"/>
        </w:rPr>
        <w:t xml:space="preserve"> </w:t>
      </w:r>
      <w:r w:rsidRPr="002D070A">
        <w:rPr>
          <w:rFonts w:ascii="Times New Roman" w:hAnsi="Times New Roman"/>
          <w:sz w:val="24"/>
        </w:rPr>
        <w:t>266 US 32.</w:t>
      </w:r>
    </w:p>
  </w:footnote>
  <w:footnote w:id="108">
    <w:p w14:paraId="66DF5FAB"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 xml:space="preserve">Truth About Motorways Pty Ltd v Macquarie Infrastructure Investment Management Ltd </w:t>
      </w:r>
      <w:r w:rsidRPr="002D070A">
        <w:rPr>
          <w:rFonts w:ascii="Times New Roman" w:hAnsi="Times New Roman"/>
          <w:sz w:val="24"/>
        </w:rPr>
        <w:t>(2000) 200 CLR 591 at 610 [42]. See also at 650 [156], 670 [213]. Compare at 603 [21].</w:t>
      </w:r>
    </w:p>
  </w:footnote>
  <w:footnote w:id="109">
    <w:p w14:paraId="22662294"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(1981) 148 CLR 457 at 508, quoting </w:t>
      </w:r>
      <w:proofErr w:type="gramStart"/>
      <w:r w:rsidRPr="002D070A">
        <w:rPr>
          <w:rFonts w:ascii="Times New Roman" w:hAnsi="Times New Roman"/>
          <w:i/>
          <w:iCs/>
          <w:sz w:val="24"/>
        </w:rPr>
        <w:t>In</w:t>
      </w:r>
      <w:proofErr w:type="gramEnd"/>
      <w:r w:rsidRPr="002D070A">
        <w:rPr>
          <w:rFonts w:ascii="Times New Roman" w:hAnsi="Times New Roman"/>
          <w:i/>
          <w:iCs/>
          <w:sz w:val="24"/>
        </w:rPr>
        <w:t xml:space="preserve"> re Pacific Railway Commission </w:t>
      </w:r>
      <w:r w:rsidRPr="002D070A">
        <w:rPr>
          <w:rFonts w:ascii="Times New Roman" w:hAnsi="Times New Roman"/>
          <w:sz w:val="24"/>
        </w:rPr>
        <w:t>(1887) 32 F 241 at 255.</w:t>
      </w:r>
    </w:p>
  </w:footnote>
  <w:footnote w:id="110">
    <w:p w14:paraId="43493A1E"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(1981) 148 CLR 457 at 508, citing Moore, </w:t>
      </w:r>
      <w:r w:rsidRPr="002D070A">
        <w:rPr>
          <w:rFonts w:ascii="Times New Roman" w:hAnsi="Times New Roman"/>
          <w:i/>
          <w:iCs/>
          <w:sz w:val="24"/>
        </w:rPr>
        <w:t>The Constitution of the Commonwealth of Australia</w:t>
      </w:r>
      <w:r w:rsidRPr="002D070A">
        <w:rPr>
          <w:rFonts w:ascii="Times New Roman" w:hAnsi="Times New Roman"/>
          <w:sz w:val="24"/>
        </w:rPr>
        <w:t>, 2nd ed (1910) at 208-209.</w:t>
      </w:r>
    </w:p>
  </w:footnote>
  <w:footnote w:id="111">
    <w:p w14:paraId="6B476D22"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See </w:t>
      </w:r>
      <w:r w:rsidRPr="002D070A">
        <w:rPr>
          <w:rFonts w:ascii="Times New Roman" w:hAnsi="Times New Roman"/>
          <w:i/>
          <w:sz w:val="24"/>
        </w:rPr>
        <w:t xml:space="preserve">Unions </w:t>
      </w:r>
      <w:r w:rsidRPr="002D070A">
        <w:rPr>
          <w:rFonts w:ascii="Times New Roman" w:hAnsi="Times New Roman"/>
          <w:i/>
          <w:iCs/>
          <w:sz w:val="24"/>
        </w:rPr>
        <w:t>[No 3]</w:t>
      </w:r>
      <w:r w:rsidRPr="002D070A">
        <w:rPr>
          <w:rFonts w:ascii="Times New Roman" w:hAnsi="Times New Roman"/>
          <w:sz w:val="24"/>
        </w:rPr>
        <w:t xml:space="preserve"> (2023) 97 ALJR 150 at 163-164 [52]; 407 ALR 277 at 291.</w:t>
      </w:r>
    </w:p>
  </w:footnote>
  <w:footnote w:id="112">
    <w:p w14:paraId="2E32A232"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r w:rsidRPr="002D070A">
        <w:rPr>
          <w:rFonts w:ascii="Times New Roman" w:hAnsi="Times New Roman"/>
          <w:i/>
          <w:iCs/>
          <w:sz w:val="24"/>
        </w:rPr>
        <w:t>Cockle v Isaksen</w:t>
      </w:r>
      <w:r w:rsidRPr="002D070A">
        <w:rPr>
          <w:rFonts w:ascii="Times New Roman" w:hAnsi="Times New Roman"/>
          <w:sz w:val="24"/>
        </w:rPr>
        <w:t xml:space="preserve"> (1957) 99 CLR 155 at 163, discussing </w:t>
      </w:r>
      <w:r w:rsidRPr="002D070A">
        <w:rPr>
          <w:rFonts w:ascii="Times New Roman" w:hAnsi="Times New Roman"/>
          <w:i/>
          <w:iCs/>
          <w:sz w:val="24"/>
        </w:rPr>
        <w:t xml:space="preserve">Ah </w:t>
      </w:r>
      <w:proofErr w:type="spellStart"/>
      <w:r w:rsidRPr="002D070A">
        <w:rPr>
          <w:rFonts w:ascii="Times New Roman" w:hAnsi="Times New Roman"/>
          <w:i/>
          <w:iCs/>
          <w:sz w:val="24"/>
        </w:rPr>
        <w:t>Yick</w:t>
      </w:r>
      <w:proofErr w:type="spellEnd"/>
      <w:r w:rsidRPr="002D070A">
        <w:rPr>
          <w:rFonts w:ascii="Times New Roman" w:hAnsi="Times New Roman"/>
          <w:i/>
          <w:iCs/>
          <w:sz w:val="24"/>
        </w:rPr>
        <w:t xml:space="preserve"> v </w:t>
      </w:r>
      <w:proofErr w:type="spellStart"/>
      <w:r w:rsidRPr="002D070A">
        <w:rPr>
          <w:rFonts w:ascii="Times New Roman" w:hAnsi="Times New Roman"/>
          <w:i/>
          <w:iCs/>
          <w:sz w:val="24"/>
        </w:rPr>
        <w:t>Lehmert</w:t>
      </w:r>
      <w:proofErr w:type="spellEnd"/>
      <w:r w:rsidRPr="002D070A">
        <w:rPr>
          <w:rFonts w:ascii="Times New Roman" w:hAnsi="Times New Roman"/>
          <w:i/>
          <w:iCs/>
          <w:sz w:val="24"/>
        </w:rPr>
        <w:t xml:space="preserve"> </w:t>
      </w:r>
      <w:r w:rsidRPr="002D070A">
        <w:rPr>
          <w:rFonts w:ascii="Times New Roman" w:hAnsi="Times New Roman"/>
          <w:sz w:val="24"/>
        </w:rPr>
        <w:t xml:space="preserve">(1905) 2 CLR 593 and </w:t>
      </w:r>
      <w:r w:rsidRPr="002D070A">
        <w:rPr>
          <w:rFonts w:ascii="Times New Roman" w:hAnsi="Times New Roman"/>
          <w:i/>
          <w:iCs/>
          <w:sz w:val="24"/>
        </w:rPr>
        <w:t xml:space="preserve">Collins v Charles Marshall Pty Ltd </w:t>
      </w:r>
      <w:r w:rsidRPr="002D070A">
        <w:rPr>
          <w:rFonts w:ascii="Times New Roman" w:hAnsi="Times New Roman"/>
          <w:sz w:val="24"/>
        </w:rPr>
        <w:t>(1955) 92 CLR 529.</w:t>
      </w:r>
    </w:p>
  </w:footnote>
  <w:footnote w:id="113">
    <w:p w14:paraId="678520EB"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r>
      <w:proofErr w:type="spellStart"/>
      <w:r w:rsidRPr="002D070A">
        <w:rPr>
          <w:rFonts w:ascii="Times New Roman" w:hAnsi="Times New Roman"/>
          <w:sz w:val="24"/>
        </w:rPr>
        <w:t>cf</w:t>
      </w:r>
      <w:proofErr w:type="spellEnd"/>
      <w:r w:rsidRPr="002D070A">
        <w:rPr>
          <w:rFonts w:ascii="Times New Roman" w:hAnsi="Times New Roman"/>
          <w:sz w:val="24"/>
        </w:rPr>
        <w:t xml:space="preserve"> Lindell, </w:t>
      </w:r>
      <w:r w:rsidRPr="002D070A">
        <w:rPr>
          <w:rFonts w:ascii="Times New Roman" w:hAnsi="Times New Roman"/>
          <w:i/>
          <w:iCs/>
          <w:sz w:val="24"/>
        </w:rPr>
        <w:t xml:space="preserve">Cowen and </w:t>
      </w:r>
      <w:proofErr w:type="spellStart"/>
      <w:r w:rsidRPr="002D070A">
        <w:rPr>
          <w:rFonts w:ascii="Times New Roman" w:hAnsi="Times New Roman"/>
          <w:i/>
          <w:iCs/>
          <w:sz w:val="24"/>
        </w:rPr>
        <w:t>Zines'</w:t>
      </w:r>
      <w:r w:rsidRPr="002D070A">
        <w:rPr>
          <w:rFonts w:ascii="Times New Roman" w:hAnsi="Times New Roman"/>
          <w:i/>
          <w:sz w:val="24"/>
        </w:rPr>
        <w:t>s</w:t>
      </w:r>
      <w:proofErr w:type="spellEnd"/>
      <w:r w:rsidRPr="002D070A">
        <w:rPr>
          <w:rFonts w:ascii="Times New Roman" w:hAnsi="Times New Roman"/>
          <w:i/>
          <w:iCs/>
          <w:sz w:val="24"/>
        </w:rPr>
        <w:t xml:space="preserve"> Federal Jurisdiction in Australia</w:t>
      </w:r>
      <w:r w:rsidRPr="002D070A">
        <w:rPr>
          <w:rFonts w:ascii="Times New Roman" w:hAnsi="Times New Roman"/>
          <w:sz w:val="24"/>
        </w:rPr>
        <w:t>,</w:t>
      </w:r>
      <w:r w:rsidRPr="002D070A">
        <w:rPr>
          <w:rFonts w:ascii="Times New Roman" w:hAnsi="Times New Roman"/>
          <w:i/>
          <w:iCs/>
          <w:sz w:val="24"/>
        </w:rPr>
        <w:t xml:space="preserve"> </w:t>
      </w:r>
      <w:r w:rsidRPr="002D070A">
        <w:rPr>
          <w:rFonts w:ascii="Times New Roman" w:hAnsi="Times New Roman"/>
          <w:sz w:val="24"/>
        </w:rPr>
        <w:t>4th ed (2016) at 182.</w:t>
      </w:r>
    </w:p>
  </w:footnote>
  <w:footnote w:id="114">
    <w:p w14:paraId="794CBF85"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(1957) 99 CLR 155 at 163.</w:t>
      </w:r>
    </w:p>
  </w:footnote>
  <w:footnote w:id="115">
    <w:p w14:paraId="105C3D97"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See, </w:t>
      </w:r>
      <w:proofErr w:type="spellStart"/>
      <w:r w:rsidRPr="002D070A">
        <w:rPr>
          <w:rFonts w:ascii="Times New Roman" w:hAnsi="Times New Roman"/>
          <w:sz w:val="24"/>
        </w:rPr>
        <w:t>eg</w:t>
      </w:r>
      <w:proofErr w:type="spellEnd"/>
      <w:r w:rsidRPr="002D070A">
        <w:rPr>
          <w:rFonts w:ascii="Times New Roman" w:hAnsi="Times New Roman"/>
          <w:sz w:val="24"/>
        </w:rPr>
        <w:t xml:space="preserve">, the differing views expressed in </w:t>
      </w:r>
      <w:proofErr w:type="spellStart"/>
      <w:r w:rsidRPr="002D070A">
        <w:rPr>
          <w:rFonts w:ascii="Times New Roman" w:hAnsi="Times New Roman"/>
          <w:i/>
          <w:iCs/>
          <w:sz w:val="24"/>
        </w:rPr>
        <w:t>Momcilovic</w:t>
      </w:r>
      <w:proofErr w:type="spellEnd"/>
      <w:r w:rsidRPr="002D070A">
        <w:rPr>
          <w:rFonts w:ascii="Times New Roman" w:hAnsi="Times New Roman"/>
          <w:i/>
          <w:iCs/>
          <w:sz w:val="24"/>
        </w:rPr>
        <w:t xml:space="preserve"> v The Queen </w:t>
      </w:r>
      <w:r w:rsidRPr="002D070A">
        <w:rPr>
          <w:rFonts w:ascii="Times New Roman" w:hAnsi="Times New Roman"/>
          <w:sz w:val="24"/>
        </w:rPr>
        <w:t>(2011) 245 CLR 1.</w:t>
      </w:r>
    </w:p>
  </w:footnote>
  <w:footnote w:id="116">
    <w:p w14:paraId="3DB38F77"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 xml:space="preserve">See </w:t>
      </w:r>
      <w:r w:rsidRPr="002D070A">
        <w:rPr>
          <w:rFonts w:ascii="Times New Roman" w:hAnsi="Times New Roman"/>
          <w:i/>
          <w:iCs/>
          <w:sz w:val="24"/>
        </w:rPr>
        <w:t xml:space="preserve">Coleman v Miller </w:t>
      </w:r>
      <w:r w:rsidRPr="002D070A">
        <w:rPr>
          <w:rFonts w:ascii="Times New Roman" w:hAnsi="Times New Roman"/>
          <w:sz w:val="24"/>
        </w:rPr>
        <w:t>(1939) 307 US 433 at 460.</w:t>
      </w:r>
    </w:p>
  </w:footnote>
  <w:footnote w:id="117">
    <w:p w14:paraId="2C939841"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(2020) 270 CLR 523.</w:t>
      </w:r>
    </w:p>
  </w:footnote>
  <w:footnote w:id="118">
    <w:p w14:paraId="3544CF27" w14:textId="77777777" w:rsidR="00541D69" w:rsidRPr="002D070A" w:rsidRDefault="00541D69" w:rsidP="002D070A">
      <w:pPr>
        <w:pStyle w:val="FootnoteText"/>
        <w:spacing w:line="280" w:lineRule="exact"/>
        <w:ind w:right="0"/>
        <w:jc w:val="both"/>
        <w:rPr>
          <w:rFonts w:ascii="Times New Roman" w:hAnsi="Times New Roman"/>
          <w:sz w:val="24"/>
        </w:rPr>
      </w:pPr>
      <w:r w:rsidRPr="002D070A">
        <w:rPr>
          <w:rStyle w:val="FootnoteReference"/>
          <w:rFonts w:ascii="Times New Roman" w:hAnsi="Times New Roman"/>
          <w:sz w:val="22"/>
          <w:vertAlign w:val="baseline"/>
        </w:rPr>
        <w:footnoteRef/>
      </w:r>
      <w:r w:rsidRPr="002D070A">
        <w:rPr>
          <w:rFonts w:ascii="Times New Roman" w:hAnsi="Times New Roman"/>
          <w:sz w:val="24"/>
        </w:rPr>
        <w:t xml:space="preserve"> </w:t>
      </w:r>
      <w:r w:rsidRPr="002D070A">
        <w:rPr>
          <w:rFonts w:ascii="Times New Roman" w:hAnsi="Times New Roman"/>
          <w:sz w:val="24"/>
        </w:rPr>
        <w:tab/>
        <w:t>(2020) 270 CLR 523 at 540 [36].</w:t>
      </w:r>
    </w:p>
  </w:footnote>
  <w:footnote w:id="119">
    <w:p w14:paraId="3D376391"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iCs/>
          <w:sz w:val="24"/>
          <w:lang w:val="en-US"/>
        </w:rPr>
        <w:t>Vanstone</w:t>
      </w:r>
      <w:r w:rsidRPr="00991383">
        <w:rPr>
          <w:rFonts w:ascii="Times New Roman" w:hAnsi="Times New Roman"/>
          <w:sz w:val="24"/>
          <w:lang w:val="en-US"/>
        </w:rPr>
        <w:t xml:space="preserve"> </w:t>
      </w:r>
      <w:r w:rsidRPr="00991383">
        <w:rPr>
          <w:rFonts w:ascii="Times New Roman" w:hAnsi="Times New Roman"/>
          <w:i/>
          <w:iCs/>
          <w:sz w:val="24"/>
          <w:lang w:val="en-US"/>
        </w:rPr>
        <w:t xml:space="preserve">v Clark </w:t>
      </w:r>
      <w:r w:rsidRPr="00991383">
        <w:rPr>
          <w:rFonts w:ascii="Times New Roman" w:hAnsi="Times New Roman"/>
          <w:sz w:val="24"/>
          <w:lang w:val="en-US"/>
        </w:rPr>
        <w:t xml:space="preserve">(2005) 147 FCR 299 at 304-305 [7]. See also </w:t>
      </w:r>
      <w:proofErr w:type="spellStart"/>
      <w:r w:rsidRPr="00991383">
        <w:rPr>
          <w:rFonts w:ascii="Times New Roman" w:hAnsi="Times New Roman"/>
          <w:i/>
          <w:iCs/>
          <w:sz w:val="24"/>
          <w:lang w:val="en-US"/>
        </w:rPr>
        <w:t>Beitseen</w:t>
      </w:r>
      <w:proofErr w:type="spellEnd"/>
      <w:r w:rsidRPr="00991383">
        <w:rPr>
          <w:rFonts w:ascii="Times New Roman" w:hAnsi="Times New Roman"/>
          <w:i/>
          <w:iCs/>
          <w:sz w:val="24"/>
          <w:lang w:val="en-US"/>
        </w:rPr>
        <w:t xml:space="preserve"> v Johnson</w:t>
      </w:r>
      <w:r w:rsidRPr="00991383">
        <w:rPr>
          <w:rFonts w:ascii="Times New Roman" w:hAnsi="Times New Roman"/>
          <w:sz w:val="24"/>
          <w:lang w:val="en-US"/>
        </w:rPr>
        <w:t xml:space="preserve"> (1989) 29 IR 336; </w:t>
      </w:r>
      <w:r w:rsidRPr="00991383">
        <w:rPr>
          <w:rFonts w:ascii="Times New Roman" w:hAnsi="Times New Roman"/>
          <w:i/>
          <w:iCs/>
          <w:sz w:val="24"/>
          <w:lang w:val="en-US"/>
        </w:rPr>
        <w:t>La Roche v Cormack</w:t>
      </w:r>
      <w:r w:rsidRPr="00991383" w:rsidDel="004A035E">
        <w:rPr>
          <w:rFonts w:ascii="Times New Roman" w:hAnsi="Times New Roman"/>
          <w:sz w:val="24"/>
          <w:lang w:val="en-US"/>
        </w:rPr>
        <w:t xml:space="preserve"> </w:t>
      </w:r>
      <w:r w:rsidRPr="00991383">
        <w:rPr>
          <w:rFonts w:ascii="Times New Roman" w:hAnsi="Times New Roman"/>
          <w:sz w:val="24"/>
          <w:lang w:val="en-US"/>
        </w:rPr>
        <w:t xml:space="preserve">(1991) 33 FCR 414; </w:t>
      </w:r>
      <w:r w:rsidRPr="00991383">
        <w:rPr>
          <w:rFonts w:ascii="Times New Roman" w:hAnsi="Times New Roman"/>
          <w:i/>
          <w:iCs/>
          <w:sz w:val="24"/>
          <w:lang w:val="en-US"/>
        </w:rPr>
        <w:t xml:space="preserve">Douglas v Tickner </w:t>
      </w:r>
      <w:r w:rsidRPr="00991383">
        <w:rPr>
          <w:rFonts w:ascii="Times New Roman" w:hAnsi="Times New Roman"/>
          <w:sz w:val="24"/>
          <w:lang w:val="en-US"/>
        </w:rPr>
        <w:t xml:space="preserve">(1994) 49 FCR 507; </w:t>
      </w:r>
      <w:r w:rsidRPr="00991383">
        <w:rPr>
          <w:rFonts w:ascii="Times New Roman" w:hAnsi="Times New Roman"/>
          <w:i/>
          <w:iCs/>
          <w:sz w:val="24"/>
          <w:lang w:val="en-US"/>
        </w:rPr>
        <w:t xml:space="preserve">Mayne </w:t>
      </w:r>
      <w:proofErr w:type="spellStart"/>
      <w:r w:rsidRPr="00991383">
        <w:rPr>
          <w:rFonts w:ascii="Times New Roman" w:hAnsi="Times New Roman"/>
          <w:i/>
          <w:iCs/>
          <w:sz w:val="24"/>
          <w:lang w:val="en-US"/>
        </w:rPr>
        <w:t>Nickless</w:t>
      </w:r>
      <w:proofErr w:type="spellEnd"/>
      <w:r w:rsidRPr="00991383">
        <w:rPr>
          <w:rFonts w:ascii="Times New Roman" w:hAnsi="Times New Roman"/>
          <w:i/>
          <w:iCs/>
          <w:sz w:val="24"/>
          <w:lang w:val="en-US"/>
        </w:rPr>
        <w:t xml:space="preserve"> Ltd v Transport Workers Union of Australia </w:t>
      </w:r>
      <w:r w:rsidRPr="00991383">
        <w:rPr>
          <w:rFonts w:ascii="Times New Roman" w:hAnsi="Times New Roman"/>
          <w:sz w:val="24"/>
          <w:lang w:val="en-US"/>
        </w:rPr>
        <w:t xml:space="preserve">[1998] FCA 984; </w:t>
      </w:r>
      <w:proofErr w:type="spellStart"/>
      <w:r w:rsidRPr="00991383">
        <w:rPr>
          <w:rFonts w:ascii="Times New Roman" w:hAnsi="Times New Roman"/>
          <w:i/>
          <w:iCs/>
          <w:sz w:val="24"/>
          <w:lang w:val="en-US"/>
        </w:rPr>
        <w:t>Bonan</w:t>
      </w:r>
      <w:proofErr w:type="spellEnd"/>
      <w:r w:rsidRPr="00991383">
        <w:rPr>
          <w:rFonts w:ascii="Times New Roman" w:hAnsi="Times New Roman"/>
          <w:i/>
          <w:iCs/>
          <w:sz w:val="24"/>
          <w:lang w:val="en-US"/>
        </w:rPr>
        <w:t xml:space="preserve"> v </w:t>
      </w:r>
      <w:proofErr w:type="spellStart"/>
      <w:r w:rsidRPr="00991383">
        <w:rPr>
          <w:rFonts w:ascii="Times New Roman" w:hAnsi="Times New Roman"/>
          <w:i/>
          <w:iCs/>
          <w:sz w:val="24"/>
          <w:lang w:val="en-US"/>
        </w:rPr>
        <w:t>Hadgkiss</w:t>
      </w:r>
      <w:proofErr w:type="spellEnd"/>
      <w:r w:rsidRPr="00991383">
        <w:rPr>
          <w:rFonts w:ascii="Times New Roman" w:hAnsi="Times New Roman"/>
          <w:i/>
          <w:iCs/>
          <w:sz w:val="24"/>
          <w:lang w:val="en-US"/>
        </w:rPr>
        <w:t xml:space="preserve"> </w:t>
      </w:r>
      <w:r w:rsidRPr="00991383">
        <w:rPr>
          <w:rFonts w:ascii="Times New Roman" w:hAnsi="Times New Roman"/>
          <w:sz w:val="24"/>
          <w:lang w:val="en-US"/>
        </w:rPr>
        <w:t xml:space="preserve">(2007) 160 FCR 29 at 31-32 [8]-[11]; </w:t>
      </w:r>
      <w:r w:rsidRPr="00991383">
        <w:rPr>
          <w:rFonts w:ascii="Times New Roman" w:hAnsi="Times New Roman"/>
          <w:i/>
          <w:iCs/>
          <w:sz w:val="24"/>
          <w:lang w:val="en-US"/>
        </w:rPr>
        <w:t>Minister for Immigration, Citizenship, Migrant Services and Multicultural Affairs v CPJ16</w:t>
      </w:r>
      <w:r w:rsidRPr="00991383">
        <w:rPr>
          <w:rFonts w:ascii="Times New Roman" w:hAnsi="Times New Roman"/>
          <w:sz w:val="24"/>
          <w:lang w:val="en-US"/>
        </w:rPr>
        <w:t xml:space="preserve"> (2020) 276 FCR 1 at 6-7 [19]-[24].</w:t>
      </w:r>
    </w:p>
  </w:footnote>
  <w:footnote w:id="120">
    <w:p w14:paraId="10F38F1D"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 xml:space="preserve">Reasons of Kiefel CJ, Gordon and Steward JJ at [26]-[29]. </w:t>
      </w:r>
    </w:p>
  </w:footnote>
  <w:footnote w:id="121">
    <w:p w14:paraId="6AC6126A"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sz w:val="24"/>
        </w:rPr>
        <w:t>(1921) 29 CLR 257 at 265.</w:t>
      </w:r>
    </w:p>
  </w:footnote>
  <w:footnote w:id="122">
    <w:p w14:paraId="4BBD6644"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sz w:val="24"/>
          <w:lang w:val="en-US"/>
        </w:rPr>
        <w:t>CGU</w:t>
      </w:r>
      <w:r w:rsidRPr="00991383">
        <w:rPr>
          <w:rFonts w:ascii="Times New Roman" w:hAnsi="Times New Roman"/>
          <w:i/>
          <w:iCs/>
          <w:sz w:val="24"/>
          <w:lang w:val="en-US"/>
        </w:rPr>
        <w:t xml:space="preserve"> Insurance Ltd v Blakeley </w:t>
      </w:r>
      <w:r w:rsidRPr="00991383">
        <w:rPr>
          <w:rFonts w:ascii="Times New Roman" w:hAnsi="Times New Roman"/>
          <w:sz w:val="24"/>
          <w:lang w:val="en-US"/>
        </w:rPr>
        <w:t xml:space="preserve">(2016) 259 CLR 339 at 349 [24] and the cases cited at </w:t>
      </w:r>
      <w:proofErr w:type="spellStart"/>
      <w:r w:rsidRPr="00991383">
        <w:rPr>
          <w:rFonts w:ascii="Times New Roman" w:hAnsi="Times New Roman"/>
          <w:sz w:val="24"/>
          <w:lang w:val="en-US"/>
        </w:rPr>
        <w:t>fn</w:t>
      </w:r>
      <w:proofErr w:type="spellEnd"/>
      <w:r w:rsidRPr="00991383">
        <w:rPr>
          <w:rFonts w:ascii="Times New Roman" w:hAnsi="Times New Roman"/>
          <w:sz w:val="24"/>
          <w:lang w:val="en-US"/>
        </w:rPr>
        <w:t xml:space="preserve"> 22.</w:t>
      </w:r>
    </w:p>
  </w:footnote>
  <w:footnote w:id="123">
    <w:p w14:paraId="3C091EFD"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 xml:space="preserve">Leeming, </w:t>
      </w:r>
      <w:r w:rsidRPr="00991383">
        <w:rPr>
          <w:rFonts w:ascii="Times New Roman" w:hAnsi="Times New Roman"/>
          <w:i/>
          <w:iCs/>
          <w:sz w:val="24"/>
          <w:lang w:val="en-US"/>
        </w:rPr>
        <w:t>Authority to Decide: The Law of Jurisdiction in Australia</w:t>
      </w:r>
      <w:r w:rsidRPr="00991383">
        <w:rPr>
          <w:rFonts w:ascii="Times New Roman" w:hAnsi="Times New Roman"/>
          <w:sz w:val="24"/>
          <w:lang w:val="en-US"/>
        </w:rPr>
        <w:t>, 2nd ed (2020) at 275.</w:t>
      </w:r>
    </w:p>
  </w:footnote>
  <w:footnote w:id="124">
    <w:p w14:paraId="44F6930C"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sz w:val="24"/>
        </w:rPr>
        <w:t xml:space="preserve">Ah </w:t>
      </w:r>
      <w:proofErr w:type="spellStart"/>
      <w:r w:rsidRPr="00991383">
        <w:rPr>
          <w:rFonts w:ascii="Times New Roman" w:hAnsi="Times New Roman"/>
          <w:i/>
          <w:sz w:val="24"/>
        </w:rPr>
        <w:t>Yick</w:t>
      </w:r>
      <w:proofErr w:type="spellEnd"/>
      <w:r w:rsidRPr="00991383">
        <w:rPr>
          <w:rFonts w:ascii="Times New Roman" w:hAnsi="Times New Roman"/>
          <w:sz w:val="24"/>
        </w:rPr>
        <w:t xml:space="preserve"> </w:t>
      </w:r>
      <w:r w:rsidRPr="00991383">
        <w:rPr>
          <w:rFonts w:ascii="Times New Roman" w:hAnsi="Times New Roman"/>
          <w:i/>
          <w:iCs/>
          <w:sz w:val="24"/>
        </w:rPr>
        <w:t xml:space="preserve">v </w:t>
      </w:r>
      <w:proofErr w:type="spellStart"/>
      <w:r w:rsidRPr="00991383">
        <w:rPr>
          <w:rFonts w:ascii="Times New Roman" w:hAnsi="Times New Roman"/>
          <w:i/>
          <w:iCs/>
          <w:sz w:val="24"/>
        </w:rPr>
        <w:t>Lehmert</w:t>
      </w:r>
      <w:proofErr w:type="spellEnd"/>
      <w:r w:rsidRPr="00991383">
        <w:rPr>
          <w:rFonts w:ascii="Times New Roman" w:hAnsi="Times New Roman"/>
          <w:i/>
          <w:iCs/>
          <w:sz w:val="24"/>
        </w:rPr>
        <w:t xml:space="preserve"> </w:t>
      </w:r>
      <w:r w:rsidRPr="00991383">
        <w:rPr>
          <w:rFonts w:ascii="Times New Roman" w:hAnsi="Times New Roman"/>
          <w:sz w:val="24"/>
        </w:rPr>
        <w:t xml:space="preserve">(1905) 2 CLR 593 at 603-604; </w:t>
      </w:r>
      <w:r w:rsidRPr="00991383">
        <w:rPr>
          <w:rFonts w:ascii="Times New Roman" w:hAnsi="Times New Roman"/>
          <w:i/>
          <w:iCs/>
          <w:sz w:val="24"/>
        </w:rPr>
        <w:t xml:space="preserve">New South Wales v The Commonwealth </w:t>
      </w:r>
      <w:r w:rsidRPr="00991383">
        <w:rPr>
          <w:rFonts w:ascii="Times New Roman" w:hAnsi="Times New Roman"/>
          <w:sz w:val="24"/>
        </w:rPr>
        <w:t xml:space="preserve">(1915) 20 CLR 54 at 90; </w:t>
      </w:r>
      <w:r w:rsidRPr="00991383">
        <w:rPr>
          <w:rFonts w:ascii="Times New Roman" w:hAnsi="Times New Roman"/>
          <w:i/>
          <w:iCs/>
          <w:sz w:val="24"/>
        </w:rPr>
        <w:t xml:space="preserve">Collins v Charles Marshall Pty Ltd </w:t>
      </w:r>
      <w:r w:rsidRPr="00991383">
        <w:rPr>
          <w:rFonts w:ascii="Times New Roman" w:hAnsi="Times New Roman"/>
          <w:sz w:val="24"/>
        </w:rPr>
        <w:t xml:space="preserve">(1955) 92 CLR 529 at 555; </w:t>
      </w:r>
      <w:r w:rsidRPr="00991383">
        <w:rPr>
          <w:rFonts w:ascii="Times New Roman" w:hAnsi="Times New Roman"/>
          <w:i/>
          <w:iCs/>
          <w:sz w:val="24"/>
        </w:rPr>
        <w:t xml:space="preserve">Cockle v Isaksen </w:t>
      </w:r>
      <w:r w:rsidRPr="00991383">
        <w:rPr>
          <w:rFonts w:ascii="Times New Roman" w:hAnsi="Times New Roman"/>
          <w:sz w:val="24"/>
        </w:rPr>
        <w:t xml:space="preserve">(1957) 99 CLR 155 at 163. See also Lindell, </w:t>
      </w:r>
      <w:r w:rsidRPr="00991383">
        <w:rPr>
          <w:rFonts w:ascii="Times New Roman" w:hAnsi="Times New Roman"/>
          <w:i/>
          <w:sz w:val="24"/>
        </w:rPr>
        <w:t xml:space="preserve">Cowen and </w:t>
      </w:r>
      <w:proofErr w:type="spellStart"/>
      <w:r w:rsidRPr="00991383">
        <w:rPr>
          <w:rFonts w:ascii="Times New Roman" w:hAnsi="Times New Roman"/>
          <w:i/>
          <w:sz w:val="24"/>
        </w:rPr>
        <w:t>Zines's</w:t>
      </w:r>
      <w:proofErr w:type="spellEnd"/>
      <w:r w:rsidRPr="00991383">
        <w:rPr>
          <w:rFonts w:ascii="Times New Roman" w:hAnsi="Times New Roman"/>
          <w:i/>
          <w:sz w:val="24"/>
        </w:rPr>
        <w:t xml:space="preserve"> Federal Jurisdiction in Australia</w:t>
      </w:r>
      <w:r w:rsidRPr="00991383">
        <w:rPr>
          <w:rFonts w:ascii="Times New Roman" w:hAnsi="Times New Roman"/>
          <w:sz w:val="24"/>
        </w:rPr>
        <w:t>, 4th ed (2016) at 179-180.</w:t>
      </w:r>
    </w:p>
  </w:footnote>
  <w:footnote w:id="125">
    <w:p w14:paraId="4274039C"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Sections 19 and 24 respectively.</w:t>
      </w:r>
    </w:p>
  </w:footnote>
  <w:footnote w:id="126">
    <w:p w14:paraId="77BB3FC0"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 xml:space="preserve">Leeming, </w:t>
      </w:r>
      <w:r w:rsidRPr="00991383">
        <w:rPr>
          <w:rFonts w:ascii="Times New Roman" w:hAnsi="Times New Roman"/>
          <w:i/>
          <w:iCs/>
          <w:sz w:val="24"/>
          <w:lang w:val="en-US"/>
        </w:rPr>
        <w:t>Authority to Decide: The Law of Jurisdiction in Australia</w:t>
      </w:r>
      <w:r w:rsidRPr="00991383">
        <w:rPr>
          <w:rFonts w:ascii="Times New Roman" w:hAnsi="Times New Roman"/>
          <w:sz w:val="24"/>
          <w:lang w:val="en-US"/>
        </w:rPr>
        <w:t xml:space="preserve">, 2nd ed (2020) at 276, quoting Story, </w:t>
      </w:r>
      <w:r w:rsidRPr="00991383">
        <w:rPr>
          <w:rFonts w:ascii="Times New Roman" w:hAnsi="Times New Roman"/>
          <w:i/>
          <w:iCs/>
          <w:sz w:val="24"/>
          <w:lang w:val="en-US"/>
        </w:rPr>
        <w:t xml:space="preserve">Commentaries on the Constitution of the United States </w:t>
      </w:r>
      <w:r w:rsidRPr="00991383">
        <w:rPr>
          <w:rFonts w:ascii="Times New Roman" w:hAnsi="Times New Roman"/>
          <w:sz w:val="24"/>
          <w:lang w:val="en-US"/>
        </w:rPr>
        <w:t>(1833), vol 3 at 626-627 §1755.</w:t>
      </w:r>
    </w:p>
  </w:footnote>
  <w:footnote w:id="127">
    <w:p w14:paraId="65899EE9"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(2011) 242 CLR 421.</w:t>
      </w:r>
    </w:p>
  </w:footnote>
  <w:footnote w:id="128">
    <w:p w14:paraId="6BA23BB7"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sidDel="00D17DFE">
        <w:rPr>
          <w:rFonts w:ascii="Times New Roman" w:hAnsi="Times New Roman"/>
          <w:sz w:val="24"/>
        </w:rPr>
        <w:tab/>
      </w:r>
      <w:r w:rsidRPr="00991383">
        <w:rPr>
          <w:rFonts w:ascii="Times New Roman" w:hAnsi="Times New Roman"/>
          <w:sz w:val="24"/>
          <w:lang w:val="en-US"/>
        </w:rPr>
        <w:t xml:space="preserve">(2011) 242 CLR 421 at 427 [13]. </w:t>
      </w:r>
    </w:p>
  </w:footnote>
  <w:footnote w:id="129">
    <w:p w14:paraId="49D9CAF9"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proofErr w:type="spellStart"/>
      <w:r w:rsidRPr="00991383">
        <w:rPr>
          <w:rFonts w:ascii="Times New Roman" w:hAnsi="Times New Roman"/>
          <w:i/>
          <w:sz w:val="24"/>
          <w:lang w:val="en-US"/>
        </w:rPr>
        <w:t>Ruhani</w:t>
      </w:r>
      <w:proofErr w:type="spellEnd"/>
      <w:r w:rsidRPr="00991383">
        <w:rPr>
          <w:rFonts w:ascii="Times New Roman" w:hAnsi="Times New Roman"/>
          <w:sz w:val="24"/>
          <w:lang w:val="en-US"/>
        </w:rPr>
        <w:t xml:space="preserve"> </w:t>
      </w:r>
      <w:r w:rsidRPr="00991383">
        <w:rPr>
          <w:rFonts w:ascii="Times New Roman" w:hAnsi="Times New Roman"/>
          <w:i/>
          <w:iCs/>
          <w:sz w:val="24"/>
          <w:lang w:val="en-US"/>
        </w:rPr>
        <w:t xml:space="preserve">v Director of Police </w:t>
      </w:r>
      <w:r w:rsidRPr="00991383">
        <w:rPr>
          <w:rFonts w:ascii="Times New Roman" w:hAnsi="Times New Roman"/>
          <w:sz w:val="24"/>
          <w:lang w:val="en-US"/>
        </w:rPr>
        <w:t>(2005) 222 CLR 489 at 507 [38].</w:t>
      </w:r>
    </w:p>
  </w:footnote>
  <w:footnote w:id="130">
    <w:p w14:paraId="434C9716"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 xml:space="preserve">Leeming, </w:t>
      </w:r>
      <w:r w:rsidRPr="00991383">
        <w:rPr>
          <w:rFonts w:ascii="Times New Roman" w:hAnsi="Times New Roman"/>
          <w:i/>
          <w:iCs/>
          <w:sz w:val="24"/>
          <w:lang w:val="en-US"/>
        </w:rPr>
        <w:t>Authority to Decide: The Law of Jurisdiction in Australia</w:t>
      </w:r>
      <w:r w:rsidRPr="00991383">
        <w:rPr>
          <w:rFonts w:ascii="Times New Roman" w:hAnsi="Times New Roman"/>
          <w:sz w:val="24"/>
          <w:lang w:val="en-US"/>
        </w:rPr>
        <w:t xml:space="preserve">, 2nd ed (2020) at 276. See also </w:t>
      </w:r>
      <w:r w:rsidRPr="00991383">
        <w:rPr>
          <w:rFonts w:ascii="Times New Roman" w:hAnsi="Times New Roman"/>
          <w:i/>
          <w:sz w:val="24"/>
          <w:lang w:val="en-US"/>
        </w:rPr>
        <w:t xml:space="preserve">Ah </w:t>
      </w:r>
      <w:proofErr w:type="spellStart"/>
      <w:r w:rsidRPr="00991383">
        <w:rPr>
          <w:rFonts w:ascii="Times New Roman" w:hAnsi="Times New Roman"/>
          <w:i/>
          <w:sz w:val="24"/>
          <w:lang w:val="en-US"/>
        </w:rPr>
        <w:t>Yick</w:t>
      </w:r>
      <w:proofErr w:type="spellEnd"/>
      <w:r w:rsidRPr="00991383">
        <w:rPr>
          <w:rFonts w:ascii="Times New Roman" w:hAnsi="Times New Roman"/>
          <w:i/>
          <w:sz w:val="24"/>
          <w:lang w:val="en-US"/>
        </w:rPr>
        <w:t xml:space="preserve"> v </w:t>
      </w:r>
      <w:proofErr w:type="spellStart"/>
      <w:r w:rsidRPr="00991383">
        <w:rPr>
          <w:rFonts w:ascii="Times New Roman" w:hAnsi="Times New Roman"/>
          <w:i/>
          <w:sz w:val="24"/>
          <w:lang w:val="en-US"/>
        </w:rPr>
        <w:t>Lehmert</w:t>
      </w:r>
      <w:proofErr w:type="spellEnd"/>
      <w:r w:rsidRPr="00991383">
        <w:rPr>
          <w:rFonts w:ascii="Times New Roman" w:hAnsi="Times New Roman"/>
          <w:i/>
          <w:sz w:val="24"/>
          <w:lang w:val="en-US"/>
        </w:rPr>
        <w:t xml:space="preserve"> </w:t>
      </w:r>
      <w:r w:rsidRPr="00991383">
        <w:rPr>
          <w:rFonts w:ascii="Times New Roman" w:hAnsi="Times New Roman"/>
          <w:sz w:val="24"/>
          <w:lang w:val="en-US"/>
        </w:rPr>
        <w:t xml:space="preserve">(1905) 2 CLR 593 at 601; </w:t>
      </w:r>
      <w:r w:rsidRPr="00991383">
        <w:rPr>
          <w:rFonts w:ascii="Times New Roman" w:hAnsi="Times New Roman"/>
          <w:i/>
          <w:sz w:val="24"/>
          <w:lang w:val="en-US"/>
        </w:rPr>
        <w:t>Chamberlain</w:t>
      </w:r>
      <w:r w:rsidRPr="00991383">
        <w:rPr>
          <w:rFonts w:ascii="Times New Roman" w:hAnsi="Times New Roman"/>
          <w:sz w:val="24"/>
          <w:lang w:val="en-US"/>
        </w:rPr>
        <w:t xml:space="preserve"> </w:t>
      </w:r>
      <w:r w:rsidRPr="00991383">
        <w:rPr>
          <w:rFonts w:ascii="Times New Roman" w:hAnsi="Times New Roman"/>
          <w:i/>
          <w:iCs/>
          <w:sz w:val="24"/>
        </w:rPr>
        <w:t xml:space="preserve">v The Queen [No 2] </w:t>
      </w:r>
      <w:r w:rsidRPr="00991383">
        <w:rPr>
          <w:rFonts w:ascii="Times New Roman" w:hAnsi="Times New Roman"/>
          <w:sz w:val="24"/>
        </w:rPr>
        <w:t>(1984) 153 CLR 521 at 529.</w:t>
      </w:r>
    </w:p>
  </w:footnote>
  <w:footnote w:id="131">
    <w:p w14:paraId="6C4CFEA8"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sz w:val="24"/>
          <w:lang w:val="en-US"/>
        </w:rPr>
        <w:t xml:space="preserve">Ah </w:t>
      </w:r>
      <w:proofErr w:type="spellStart"/>
      <w:r w:rsidRPr="00991383">
        <w:rPr>
          <w:rFonts w:ascii="Times New Roman" w:hAnsi="Times New Roman"/>
          <w:i/>
          <w:sz w:val="24"/>
          <w:lang w:val="en-US"/>
        </w:rPr>
        <w:t>Yick</w:t>
      </w:r>
      <w:proofErr w:type="spellEnd"/>
      <w:r w:rsidRPr="00991383">
        <w:rPr>
          <w:rFonts w:ascii="Times New Roman" w:hAnsi="Times New Roman"/>
          <w:i/>
          <w:sz w:val="24"/>
          <w:lang w:val="en-US"/>
        </w:rPr>
        <w:t xml:space="preserve"> v </w:t>
      </w:r>
      <w:proofErr w:type="spellStart"/>
      <w:r w:rsidRPr="00991383">
        <w:rPr>
          <w:rFonts w:ascii="Times New Roman" w:hAnsi="Times New Roman"/>
          <w:i/>
          <w:sz w:val="24"/>
          <w:lang w:val="en-US"/>
        </w:rPr>
        <w:t>Lehmert</w:t>
      </w:r>
      <w:proofErr w:type="spellEnd"/>
      <w:r w:rsidRPr="00991383">
        <w:rPr>
          <w:rFonts w:ascii="Times New Roman" w:hAnsi="Times New Roman"/>
          <w:i/>
          <w:sz w:val="24"/>
          <w:lang w:val="en-US"/>
        </w:rPr>
        <w:t xml:space="preserve"> </w:t>
      </w:r>
      <w:r w:rsidRPr="00991383">
        <w:rPr>
          <w:rFonts w:ascii="Times New Roman" w:hAnsi="Times New Roman"/>
          <w:sz w:val="24"/>
          <w:lang w:val="en-US"/>
        </w:rPr>
        <w:t>(1905) 2 CLR 593 at 601.</w:t>
      </w:r>
    </w:p>
  </w:footnote>
  <w:footnote w:id="132">
    <w:p w14:paraId="60D260CD"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sz w:val="24"/>
          <w:lang w:val="en-US"/>
        </w:rPr>
        <w:t>(1905) 2 CLR 593 at 601.</w:t>
      </w:r>
    </w:p>
  </w:footnote>
  <w:footnote w:id="133">
    <w:p w14:paraId="01D8765D" w14:textId="77777777" w:rsidR="00541D69" w:rsidRPr="00991383" w:rsidRDefault="00541D69" w:rsidP="00991383">
      <w:pPr>
        <w:pStyle w:val="FootnoteText"/>
        <w:spacing w:line="280" w:lineRule="exact"/>
        <w:ind w:right="0"/>
        <w:jc w:val="both"/>
        <w:rPr>
          <w:rFonts w:ascii="Times New Roman" w:hAnsi="Times New Roman"/>
          <w:i/>
          <w:iCs/>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proofErr w:type="spellStart"/>
      <w:r w:rsidRPr="00991383">
        <w:rPr>
          <w:rFonts w:ascii="Times New Roman" w:hAnsi="Times New Roman"/>
          <w:i/>
          <w:sz w:val="24"/>
          <w:lang w:val="en-US"/>
        </w:rPr>
        <w:t>Clubb</w:t>
      </w:r>
      <w:proofErr w:type="spellEnd"/>
      <w:r w:rsidRPr="00991383">
        <w:rPr>
          <w:rFonts w:ascii="Times New Roman" w:hAnsi="Times New Roman"/>
          <w:i/>
          <w:sz w:val="24"/>
          <w:lang w:val="en-US"/>
        </w:rPr>
        <w:t xml:space="preserve"> v Edwards</w:t>
      </w:r>
      <w:r w:rsidRPr="00991383">
        <w:rPr>
          <w:rFonts w:ascii="Times New Roman" w:hAnsi="Times New Roman"/>
          <w:sz w:val="24"/>
          <w:lang w:val="en-US"/>
        </w:rPr>
        <w:t xml:space="preserve"> (2019) 267 CLR 171 at 217 [136]. See also </w:t>
      </w:r>
      <w:proofErr w:type="spellStart"/>
      <w:r w:rsidRPr="00991383">
        <w:rPr>
          <w:rFonts w:ascii="Times New Roman" w:hAnsi="Times New Roman"/>
          <w:i/>
          <w:sz w:val="24"/>
          <w:lang w:val="en-US"/>
        </w:rPr>
        <w:t>Fencott</w:t>
      </w:r>
      <w:proofErr w:type="spellEnd"/>
      <w:r w:rsidRPr="00991383">
        <w:rPr>
          <w:rFonts w:ascii="Times New Roman" w:hAnsi="Times New Roman"/>
          <w:i/>
          <w:sz w:val="24"/>
          <w:lang w:val="en-US"/>
        </w:rPr>
        <w:t xml:space="preserve"> v Muller</w:t>
      </w:r>
      <w:r w:rsidRPr="00991383">
        <w:rPr>
          <w:rFonts w:ascii="Times New Roman" w:hAnsi="Times New Roman"/>
          <w:sz w:val="24"/>
          <w:lang w:val="en-US"/>
        </w:rPr>
        <w:t xml:space="preserve"> (1983) 152 CLR 570 at 608-609.</w:t>
      </w:r>
    </w:p>
  </w:footnote>
  <w:footnote w:id="134">
    <w:p w14:paraId="684171C0"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 xml:space="preserve">(2011) 245 CLR 1 at 64 [87] (footnote omitted). </w:t>
      </w:r>
    </w:p>
  </w:footnote>
  <w:footnote w:id="135">
    <w:p w14:paraId="31B5B3C9"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sz w:val="24"/>
        </w:rPr>
        <w:t xml:space="preserve">In </w:t>
      </w:r>
      <w:r w:rsidRPr="00991383">
        <w:rPr>
          <w:rFonts w:ascii="Times New Roman" w:hAnsi="Times New Roman"/>
          <w:i/>
          <w:iCs/>
          <w:sz w:val="24"/>
        </w:rPr>
        <w:t>r</w:t>
      </w:r>
      <w:r w:rsidRPr="00991383">
        <w:rPr>
          <w:rFonts w:ascii="Times New Roman" w:hAnsi="Times New Roman"/>
          <w:i/>
          <w:sz w:val="24"/>
        </w:rPr>
        <w:t>e Judiciary and Navigation Acts</w:t>
      </w:r>
      <w:r w:rsidRPr="00991383">
        <w:rPr>
          <w:rFonts w:ascii="Times New Roman" w:hAnsi="Times New Roman"/>
          <w:sz w:val="24"/>
        </w:rPr>
        <w:t xml:space="preserve"> (1921) 29 CLR 257 at 266.</w:t>
      </w:r>
    </w:p>
  </w:footnote>
  <w:footnote w:id="136">
    <w:p w14:paraId="22BEF91E"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sz w:val="24"/>
          <w:lang w:val="en-US"/>
        </w:rPr>
        <w:t>South Australia v Victoria</w:t>
      </w:r>
      <w:r w:rsidRPr="00991383">
        <w:rPr>
          <w:rFonts w:ascii="Times New Roman" w:hAnsi="Times New Roman"/>
          <w:sz w:val="24"/>
          <w:lang w:val="en-US"/>
        </w:rPr>
        <w:t xml:space="preserve"> (1911) 12 CLR 667 at 675. See also </w:t>
      </w:r>
      <w:r w:rsidRPr="00991383">
        <w:rPr>
          <w:rFonts w:ascii="Times New Roman" w:hAnsi="Times New Roman"/>
          <w:i/>
          <w:sz w:val="24"/>
          <w:lang w:val="en-US"/>
        </w:rPr>
        <w:t>Crouch v Commissioner for Railways (Q)</w:t>
      </w:r>
      <w:r w:rsidRPr="00991383">
        <w:rPr>
          <w:rFonts w:ascii="Times New Roman" w:hAnsi="Times New Roman"/>
          <w:sz w:val="24"/>
          <w:lang w:val="en-US"/>
        </w:rPr>
        <w:t xml:space="preserve"> (1985) 159 CLR 22 at 37.</w:t>
      </w:r>
    </w:p>
  </w:footnote>
  <w:footnote w:id="137">
    <w:p w14:paraId="1367B83C"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Crouch </w:t>
      </w:r>
      <w:r w:rsidRPr="00991383">
        <w:rPr>
          <w:rFonts w:ascii="Times New Roman" w:hAnsi="Times New Roman"/>
          <w:sz w:val="24"/>
          <w:lang w:val="en-US"/>
        </w:rPr>
        <w:t xml:space="preserve">(1985) 159 CLR 22 </w:t>
      </w:r>
      <w:r w:rsidRPr="00991383">
        <w:rPr>
          <w:rFonts w:ascii="Times New Roman" w:hAnsi="Times New Roman"/>
          <w:sz w:val="24"/>
        </w:rPr>
        <w:t>at 37.</w:t>
      </w:r>
    </w:p>
  </w:footnote>
  <w:footnote w:id="138">
    <w:p w14:paraId="0D13A274"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proofErr w:type="spellStart"/>
      <w:r w:rsidRPr="00991383">
        <w:rPr>
          <w:rFonts w:ascii="Times New Roman" w:hAnsi="Times New Roman"/>
          <w:i/>
          <w:iCs/>
          <w:sz w:val="24"/>
          <w:lang w:val="en-US"/>
        </w:rPr>
        <w:t>Fencott</w:t>
      </w:r>
      <w:proofErr w:type="spellEnd"/>
      <w:r w:rsidRPr="00991383">
        <w:rPr>
          <w:rFonts w:ascii="Times New Roman" w:hAnsi="Times New Roman"/>
          <w:sz w:val="24"/>
          <w:lang w:val="en-US"/>
        </w:rPr>
        <w:t xml:space="preserve"> (1983) 152 CLR 570 at 603</w:t>
      </w:r>
      <w:r w:rsidRPr="00991383">
        <w:rPr>
          <w:rFonts w:ascii="Times New Roman" w:hAnsi="Times New Roman"/>
          <w:sz w:val="24"/>
        </w:rPr>
        <w:t>.</w:t>
      </w:r>
    </w:p>
  </w:footnote>
  <w:footnote w:id="139">
    <w:p w14:paraId="454BE8A6"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iCs/>
          <w:sz w:val="24"/>
          <w:lang w:val="en-US"/>
        </w:rPr>
        <w:t>Philip Morris</w:t>
      </w:r>
      <w:r w:rsidRPr="00991383">
        <w:rPr>
          <w:rFonts w:ascii="Times New Roman" w:hAnsi="Times New Roman"/>
          <w:sz w:val="24"/>
          <w:lang w:val="en-US"/>
        </w:rPr>
        <w:t xml:space="preserve"> </w:t>
      </w:r>
      <w:r w:rsidRPr="00991383">
        <w:rPr>
          <w:rFonts w:ascii="Times New Roman" w:hAnsi="Times New Roman"/>
          <w:i/>
          <w:iCs/>
          <w:sz w:val="24"/>
          <w:lang w:val="en-US"/>
        </w:rPr>
        <w:t>Inc v Adam P Brown Male Fashions Pty Ltd</w:t>
      </w:r>
      <w:r w:rsidRPr="00991383">
        <w:rPr>
          <w:rFonts w:ascii="Times New Roman" w:hAnsi="Times New Roman"/>
          <w:sz w:val="24"/>
          <w:lang w:val="en-US"/>
        </w:rPr>
        <w:t xml:space="preserve"> (1981) 148 CLR 457 at 475; </w:t>
      </w:r>
      <w:proofErr w:type="spellStart"/>
      <w:r w:rsidRPr="00991383">
        <w:rPr>
          <w:rFonts w:ascii="Times New Roman" w:hAnsi="Times New Roman"/>
          <w:i/>
          <w:sz w:val="24"/>
          <w:lang w:val="en-US"/>
        </w:rPr>
        <w:t>Fencott</w:t>
      </w:r>
      <w:proofErr w:type="spellEnd"/>
      <w:r w:rsidRPr="00991383">
        <w:rPr>
          <w:rFonts w:ascii="Times New Roman" w:hAnsi="Times New Roman"/>
          <w:sz w:val="24"/>
          <w:lang w:val="en-US"/>
        </w:rPr>
        <w:t xml:space="preserve"> (1983) 152 CLR 570 at 603. </w:t>
      </w:r>
    </w:p>
  </w:footnote>
  <w:footnote w:id="140">
    <w:p w14:paraId="0C28FE1A"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Reasons of Kiefel CJ, Gordon and Steward JJ at [31].</w:t>
      </w:r>
    </w:p>
  </w:footnote>
  <w:footnote w:id="141">
    <w:p w14:paraId="1BA8DE19"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sz w:val="24"/>
          <w:lang w:val="en-US"/>
        </w:rPr>
        <w:t>(2016) 259 CLR 339 at 351 [27].</w:t>
      </w:r>
    </w:p>
  </w:footnote>
  <w:footnote w:id="142">
    <w:p w14:paraId="385D36D4"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 xml:space="preserve">(2022) 96 ALJR 234 at 245 [26]; 399 ALR 214 at 222. </w:t>
      </w:r>
    </w:p>
  </w:footnote>
  <w:footnote w:id="143">
    <w:p w14:paraId="6B0D435F"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iCs/>
          <w:sz w:val="24"/>
        </w:rPr>
        <w:t>Abebe</w:t>
      </w:r>
      <w:r w:rsidRPr="00991383">
        <w:rPr>
          <w:rFonts w:ascii="Times New Roman" w:hAnsi="Times New Roman"/>
          <w:sz w:val="24"/>
        </w:rPr>
        <w:t xml:space="preserve"> </w:t>
      </w:r>
      <w:r w:rsidRPr="00991383">
        <w:rPr>
          <w:rFonts w:ascii="Times New Roman" w:hAnsi="Times New Roman"/>
          <w:i/>
          <w:iCs/>
          <w:sz w:val="24"/>
        </w:rPr>
        <w:t xml:space="preserve">v The Commonwealth </w:t>
      </w:r>
      <w:r w:rsidRPr="00991383">
        <w:rPr>
          <w:rFonts w:ascii="Times New Roman" w:hAnsi="Times New Roman"/>
          <w:sz w:val="24"/>
        </w:rPr>
        <w:t xml:space="preserve">(1999) 197 CLR 510 at 523-525 [24]-[25]; </w:t>
      </w:r>
      <w:proofErr w:type="spellStart"/>
      <w:r w:rsidRPr="00991383">
        <w:rPr>
          <w:rFonts w:ascii="Times New Roman" w:hAnsi="Times New Roman"/>
          <w:sz w:val="24"/>
          <w:lang w:val="en-US"/>
        </w:rPr>
        <w:t>cf</w:t>
      </w:r>
      <w:proofErr w:type="spellEnd"/>
      <w:r w:rsidRPr="00991383">
        <w:rPr>
          <w:rFonts w:ascii="Times New Roman" w:hAnsi="Times New Roman"/>
          <w:sz w:val="24"/>
          <w:lang w:val="en-US"/>
        </w:rPr>
        <w:t xml:space="preserve"> </w:t>
      </w:r>
      <w:r w:rsidRPr="00991383">
        <w:rPr>
          <w:rFonts w:ascii="Times New Roman" w:hAnsi="Times New Roman"/>
          <w:i/>
          <w:iCs/>
          <w:sz w:val="24"/>
        </w:rPr>
        <w:t xml:space="preserve">Collins </w:t>
      </w:r>
      <w:r w:rsidRPr="00991383">
        <w:rPr>
          <w:rFonts w:ascii="Times New Roman" w:hAnsi="Times New Roman"/>
          <w:sz w:val="24"/>
        </w:rPr>
        <w:t>(1955) 92 CLR 529</w:t>
      </w:r>
      <w:r w:rsidRPr="00991383">
        <w:rPr>
          <w:rFonts w:ascii="Times New Roman" w:hAnsi="Times New Roman"/>
          <w:i/>
          <w:iCs/>
          <w:sz w:val="24"/>
        </w:rPr>
        <w:t xml:space="preserve"> </w:t>
      </w:r>
      <w:r w:rsidRPr="00991383">
        <w:rPr>
          <w:rFonts w:ascii="Times New Roman" w:hAnsi="Times New Roman"/>
          <w:sz w:val="24"/>
        </w:rPr>
        <w:t>at 541.</w:t>
      </w:r>
    </w:p>
  </w:footnote>
  <w:footnote w:id="144">
    <w:p w14:paraId="76DE83FA"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CGU </w:t>
      </w:r>
      <w:r w:rsidRPr="00991383">
        <w:rPr>
          <w:rFonts w:ascii="Times New Roman" w:hAnsi="Times New Roman"/>
          <w:sz w:val="24"/>
        </w:rPr>
        <w:t xml:space="preserve">(2016) 259 CLR 339 at 351 [27]. </w:t>
      </w:r>
    </w:p>
  </w:footnote>
  <w:footnote w:id="145">
    <w:p w14:paraId="517A0063"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iCs/>
          <w:sz w:val="24"/>
        </w:rPr>
        <w:t>In re Judiciary and Navigation Acts</w:t>
      </w:r>
      <w:r w:rsidRPr="00991383">
        <w:rPr>
          <w:rFonts w:ascii="Times New Roman" w:hAnsi="Times New Roman"/>
          <w:sz w:val="24"/>
        </w:rPr>
        <w:t xml:space="preserve"> (1921) 29 CLR 257 at 266.</w:t>
      </w:r>
    </w:p>
  </w:footnote>
  <w:footnote w:id="146">
    <w:p w14:paraId="506DA577"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(1957) 98 CLR 48 at 53.</w:t>
      </w:r>
    </w:p>
  </w:footnote>
  <w:footnote w:id="147">
    <w:p w14:paraId="1971955C"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(1996) 189 CLR 51.</w:t>
      </w:r>
    </w:p>
  </w:footnote>
  <w:footnote w:id="148">
    <w:p w14:paraId="357B96B5"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(1996) 189 CLR 51 at 143.</w:t>
      </w:r>
    </w:p>
  </w:footnote>
  <w:footnote w:id="149">
    <w:p w14:paraId="61515EA4"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lang w:val="en-US"/>
        </w:rPr>
        <w:t>O'Toole v Charles David Pty Ltd</w:t>
      </w:r>
      <w:r w:rsidRPr="00991383">
        <w:rPr>
          <w:rFonts w:ascii="Times New Roman" w:hAnsi="Times New Roman"/>
          <w:sz w:val="24"/>
          <w:lang w:val="en-US"/>
        </w:rPr>
        <w:t xml:space="preserve"> (1990) 171 CLR 232 at 259.</w:t>
      </w:r>
    </w:p>
  </w:footnote>
  <w:footnote w:id="150">
    <w:p w14:paraId="09A89EF6"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 xml:space="preserve">(1957) 99 CLR 155. </w:t>
      </w:r>
    </w:p>
  </w:footnote>
  <w:footnote w:id="151">
    <w:p w14:paraId="24E6EDA1"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 xml:space="preserve">As amended by the </w:t>
      </w:r>
      <w:r w:rsidRPr="00991383">
        <w:rPr>
          <w:rFonts w:ascii="Times New Roman" w:hAnsi="Times New Roman"/>
          <w:i/>
          <w:iCs/>
          <w:sz w:val="24"/>
        </w:rPr>
        <w:t xml:space="preserve">Conciliation and Arbitration Act 1956 </w:t>
      </w:r>
      <w:r w:rsidRPr="00991383">
        <w:rPr>
          <w:rFonts w:ascii="Times New Roman" w:hAnsi="Times New Roman"/>
          <w:sz w:val="24"/>
        </w:rPr>
        <w:t>(</w:t>
      </w:r>
      <w:proofErr w:type="spellStart"/>
      <w:r w:rsidRPr="00991383">
        <w:rPr>
          <w:rFonts w:ascii="Times New Roman" w:hAnsi="Times New Roman"/>
          <w:sz w:val="24"/>
        </w:rPr>
        <w:t>Cth</w:t>
      </w:r>
      <w:proofErr w:type="spellEnd"/>
      <w:r w:rsidRPr="00991383">
        <w:rPr>
          <w:rFonts w:ascii="Times New Roman" w:hAnsi="Times New Roman"/>
          <w:sz w:val="24"/>
        </w:rPr>
        <w:t xml:space="preserve">). </w:t>
      </w:r>
    </w:p>
  </w:footnote>
  <w:footnote w:id="152">
    <w:p w14:paraId="4A36FE0C"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iCs/>
          <w:sz w:val="24"/>
        </w:rPr>
        <w:t xml:space="preserve">Cockle </w:t>
      </w:r>
      <w:r w:rsidRPr="00991383">
        <w:rPr>
          <w:rFonts w:ascii="Times New Roman" w:hAnsi="Times New Roman"/>
          <w:sz w:val="24"/>
          <w:lang w:val="en-US"/>
        </w:rPr>
        <w:t>(1957) 99 CLR 155 at 163, see also at 165-166.</w:t>
      </w:r>
    </w:p>
  </w:footnote>
  <w:footnote w:id="153">
    <w:p w14:paraId="3ABCF3EB"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ab/>
      </w:r>
      <w:r w:rsidRPr="00991383">
        <w:rPr>
          <w:rFonts w:ascii="Times New Roman" w:hAnsi="Times New Roman"/>
          <w:i/>
          <w:iCs/>
          <w:sz w:val="24"/>
        </w:rPr>
        <w:t xml:space="preserve">Cockle </w:t>
      </w:r>
      <w:r w:rsidRPr="00991383">
        <w:rPr>
          <w:rFonts w:ascii="Times New Roman" w:hAnsi="Times New Roman"/>
          <w:sz w:val="24"/>
          <w:lang w:val="en-US"/>
        </w:rPr>
        <w:t>(1957) 99 CLR 155 at 164.</w:t>
      </w:r>
      <w:r w:rsidRPr="00991383">
        <w:rPr>
          <w:rFonts w:ascii="Times New Roman" w:hAnsi="Times New Roman"/>
          <w:sz w:val="24"/>
        </w:rPr>
        <w:t xml:space="preserve"> </w:t>
      </w:r>
    </w:p>
  </w:footnote>
  <w:footnote w:id="154">
    <w:p w14:paraId="7DE644E0"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Cockle </w:t>
      </w:r>
      <w:r w:rsidRPr="00991383">
        <w:rPr>
          <w:rFonts w:ascii="Times New Roman" w:hAnsi="Times New Roman"/>
          <w:sz w:val="24"/>
          <w:lang w:val="en-US"/>
        </w:rPr>
        <w:t>(1957) 99 CLR 155 at 166.</w:t>
      </w:r>
    </w:p>
  </w:footnote>
  <w:footnote w:id="155">
    <w:p w14:paraId="05ED42A9"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Cockle </w:t>
      </w:r>
      <w:r w:rsidRPr="00991383">
        <w:rPr>
          <w:rFonts w:ascii="Times New Roman" w:hAnsi="Times New Roman"/>
          <w:sz w:val="24"/>
          <w:lang w:val="en-US"/>
        </w:rPr>
        <w:t>(1957) 99 CLR 155 at 166.</w:t>
      </w:r>
    </w:p>
  </w:footnote>
  <w:footnote w:id="156">
    <w:p w14:paraId="7A22F57A"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ab/>
      </w:r>
      <w:r w:rsidRPr="00991383">
        <w:rPr>
          <w:rFonts w:ascii="Times New Roman" w:hAnsi="Times New Roman"/>
          <w:i/>
          <w:iCs/>
          <w:sz w:val="24"/>
        </w:rPr>
        <w:t xml:space="preserve">Cockle </w:t>
      </w:r>
      <w:r w:rsidRPr="00991383">
        <w:rPr>
          <w:rFonts w:ascii="Times New Roman" w:hAnsi="Times New Roman"/>
          <w:sz w:val="24"/>
          <w:lang w:val="en-US"/>
        </w:rPr>
        <w:t>(1957) 99 CLR 155 at 164.</w:t>
      </w:r>
      <w:r w:rsidRPr="00991383">
        <w:rPr>
          <w:rFonts w:ascii="Times New Roman" w:hAnsi="Times New Roman"/>
          <w:sz w:val="24"/>
        </w:rPr>
        <w:t xml:space="preserve"> </w:t>
      </w:r>
    </w:p>
  </w:footnote>
  <w:footnote w:id="157">
    <w:p w14:paraId="2A305058"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 xml:space="preserve">Lindell, </w:t>
      </w:r>
      <w:r w:rsidRPr="00991383">
        <w:rPr>
          <w:rFonts w:ascii="Times New Roman" w:hAnsi="Times New Roman"/>
          <w:i/>
          <w:sz w:val="24"/>
        </w:rPr>
        <w:t xml:space="preserve">Cowen and </w:t>
      </w:r>
      <w:proofErr w:type="spellStart"/>
      <w:r w:rsidRPr="00991383">
        <w:rPr>
          <w:rFonts w:ascii="Times New Roman" w:hAnsi="Times New Roman"/>
          <w:i/>
          <w:sz w:val="24"/>
        </w:rPr>
        <w:t>Zines's</w:t>
      </w:r>
      <w:proofErr w:type="spellEnd"/>
      <w:r w:rsidRPr="00991383">
        <w:rPr>
          <w:rFonts w:ascii="Times New Roman" w:hAnsi="Times New Roman"/>
          <w:i/>
          <w:sz w:val="24"/>
        </w:rPr>
        <w:t xml:space="preserve"> Federal Jurisdiction in Australia</w:t>
      </w:r>
      <w:r w:rsidRPr="00991383">
        <w:rPr>
          <w:rFonts w:ascii="Times New Roman" w:hAnsi="Times New Roman"/>
          <w:sz w:val="24"/>
        </w:rPr>
        <w:t xml:space="preserve">, 4th ed (2016) at 181-182, citing, inter alia, </w:t>
      </w:r>
      <w:r w:rsidRPr="00991383">
        <w:rPr>
          <w:rFonts w:ascii="Times New Roman" w:hAnsi="Times New Roman"/>
          <w:i/>
          <w:iCs/>
          <w:sz w:val="24"/>
        </w:rPr>
        <w:t xml:space="preserve">Re </w:t>
      </w:r>
      <w:proofErr w:type="spellStart"/>
      <w:r w:rsidRPr="00991383">
        <w:rPr>
          <w:rFonts w:ascii="Times New Roman" w:hAnsi="Times New Roman"/>
          <w:i/>
          <w:iCs/>
          <w:sz w:val="24"/>
        </w:rPr>
        <w:t>Wakim</w:t>
      </w:r>
      <w:proofErr w:type="spellEnd"/>
      <w:r w:rsidRPr="00991383">
        <w:rPr>
          <w:rFonts w:ascii="Times New Roman" w:hAnsi="Times New Roman"/>
          <w:i/>
          <w:iCs/>
          <w:sz w:val="24"/>
        </w:rPr>
        <w:t xml:space="preserve">; Ex </w:t>
      </w:r>
      <w:proofErr w:type="spellStart"/>
      <w:r w:rsidRPr="00991383">
        <w:rPr>
          <w:rFonts w:ascii="Times New Roman" w:hAnsi="Times New Roman"/>
          <w:i/>
          <w:iCs/>
          <w:sz w:val="24"/>
        </w:rPr>
        <w:t>parte</w:t>
      </w:r>
      <w:proofErr w:type="spellEnd"/>
      <w:r w:rsidRPr="00991383">
        <w:rPr>
          <w:rFonts w:ascii="Times New Roman" w:hAnsi="Times New Roman"/>
          <w:i/>
          <w:iCs/>
          <w:sz w:val="24"/>
        </w:rPr>
        <w:t xml:space="preserve"> McNally </w:t>
      </w:r>
      <w:r w:rsidRPr="00991383">
        <w:rPr>
          <w:rFonts w:ascii="Times New Roman" w:hAnsi="Times New Roman"/>
          <w:sz w:val="24"/>
        </w:rPr>
        <w:t>(1999) 198 CLR 511.</w:t>
      </w:r>
    </w:p>
  </w:footnote>
  <w:footnote w:id="158">
    <w:p w14:paraId="1A86FFBC"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 xml:space="preserve">Lindell, </w:t>
      </w:r>
      <w:r w:rsidRPr="00991383">
        <w:rPr>
          <w:rFonts w:ascii="Times New Roman" w:hAnsi="Times New Roman"/>
          <w:i/>
          <w:sz w:val="24"/>
        </w:rPr>
        <w:t xml:space="preserve">Cowen and </w:t>
      </w:r>
      <w:proofErr w:type="spellStart"/>
      <w:r w:rsidRPr="00991383">
        <w:rPr>
          <w:rFonts w:ascii="Times New Roman" w:hAnsi="Times New Roman"/>
          <w:i/>
          <w:sz w:val="24"/>
        </w:rPr>
        <w:t>Zines's</w:t>
      </w:r>
      <w:proofErr w:type="spellEnd"/>
      <w:r w:rsidRPr="00991383">
        <w:rPr>
          <w:rFonts w:ascii="Times New Roman" w:hAnsi="Times New Roman"/>
          <w:i/>
          <w:sz w:val="24"/>
        </w:rPr>
        <w:t xml:space="preserve"> Federal Jurisdiction in Australia</w:t>
      </w:r>
      <w:r w:rsidRPr="00991383">
        <w:rPr>
          <w:rFonts w:ascii="Times New Roman" w:hAnsi="Times New Roman"/>
          <w:sz w:val="24"/>
        </w:rPr>
        <w:t>, 4th ed (2016) at 182.</w:t>
      </w:r>
    </w:p>
  </w:footnote>
  <w:footnote w:id="159">
    <w:p w14:paraId="480D98E0"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 xml:space="preserve">(2016) 259 CLR 339 at 357 [42]. </w:t>
      </w:r>
    </w:p>
  </w:footnote>
  <w:footnote w:id="160">
    <w:p w14:paraId="4CAEB173"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ab/>
      </w:r>
      <w:r w:rsidRPr="00991383">
        <w:rPr>
          <w:rFonts w:ascii="Times New Roman" w:hAnsi="Times New Roman"/>
          <w:i/>
          <w:iCs/>
          <w:sz w:val="24"/>
        </w:rPr>
        <w:t xml:space="preserve">CGU </w:t>
      </w:r>
      <w:r w:rsidRPr="00991383">
        <w:rPr>
          <w:rFonts w:ascii="Times New Roman" w:hAnsi="Times New Roman"/>
          <w:sz w:val="24"/>
        </w:rPr>
        <w:t xml:space="preserve">(2016) 259 CLR 339 at 362 [62], 363-364 [67]-[68]. </w:t>
      </w:r>
    </w:p>
  </w:footnote>
  <w:footnote w:id="161">
    <w:p w14:paraId="64DA6E14"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ab/>
      </w:r>
      <w:r w:rsidRPr="00991383">
        <w:rPr>
          <w:rFonts w:ascii="Times New Roman" w:hAnsi="Times New Roman"/>
          <w:sz w:val="24"/>
          <w:lang w:val="en-US"/>
        </w:rPr>
        <w:t>(1911) 12 CLR 667.</w:t>
      </w:r>
    </w:p>
  </w:footnote>
  <w:footnote w:id="162">
    <w:p w14:paraId="2ABDE549"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sz w:val="24"/>
        </w:rPr>
        <w:t xml:space="preserve">(1921) 29 CLR 257. </w:t>
      </w:r>
    </w:p>
  </w:footnote>
  <w:footnote w:id="163">
    <w:p w14:paraId="5211EA33"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sz w:val="24"/>
          <w:lang w:val="en-US"/>
        </w:rPr>
        <w:t xml:space="preserve">See </w:t>
      </w:r>
      <w:proofErr w:type="spellStart"/>
      <w:r w:rsidRPr="00991383">
        <w:rPr>
          <w:rFonts w:ascii="Times New Roman" w:hAnsi="Times New Roman"/>
          <w:sz w:val="24"/>
          <w:lang w:val="en-US"/>
        </w:rPr>
        <w:t>Burmester</w:t>
      </w:r>
      <w:proofErr w:type="spellEnd"/>
      <w:r w:rsidRPr="00991383">
        <w:rPr>
          <w:rFonts w:ascii="Times New Roman" w:hAnsi="Times New Roman"/>
          <w:sz w:val="24"/>
          <w:lang w:val="en-US"/>
        </w:rPr>
        <w:t>, "</w:t>
      </w:r>
      <w:r w:rsidRPr="00991383">
        <w:rPr>
          <w:rFonts w:ascii="Times New Roman" w:hAnsi="Times New Roman"/>
          <w:sz w:val="24"/>
        </w:rPr>
        <w:t xml:space="preserve">Limitations on Federal Adjudication", in </w:t>
      </w:r>
      <w:proofErr w:type="spellStart"/>
      <w:r w:rsidRPr="00991383">
        <w:rPr>
          <w:rFonts w:ascii="Times New Roman" w:hAnsi="Times New Roman"/>
          <w:sz w:val="24"/>
        </w:rPr>
        <w:t>Opeskin</w:t>
      </w:r>
      <w:proofErr w:type="spellEnd"/>
      <w:r w:rsidRPr="00991383">
        <w:rPr>
          <w:rFonts w:ascii="Times New Roman" w:hAnsi="Times New Roman"/>
          <w:sz w:val="24"/>
        </w:rPr>
        <w:t xml:space="preserve"> and Wheeler</w:t>
      </w:r>
      <w:r>
        <w:rPr>
          <w:rFonts w:ascii="Times New Roman" w:hAnsi="Times New Roman"/>
          <w:sz w:val="24"/>
        </w:rPr>
        <w:t> </w:t>
      </w:r>
      <w:r w:rsidRPr="00991383">
        <w:rPr>
          <w:rFonts w:ascii="Times New Roman" w:hAnsi="Times New Roman"/>
          <w:sz w:val="24"/>
        </w:rPr>
        <w:t xml:space="preserve">(eds), </w:t>
      </w:r>
      <w:r w:rsidRPr="00991383">
        <w:rPr>
          <w:rFonts w:ascii="Times New Roman" w:hAnsi="Times New Roman"/>
          <w:i/>
          <w:iCs/>
          <w:sz w:val="24"/>
        </w:rPr>
        <w:t xml:space="preserve">The Australian Federal Judicial System </w:t>
      </w:r>
      <w:r w:rsidRPr="00991383">
        <w:rPr>
          <w:rFonts w:ascii="Times New Roman" w:hAnsi="Times New Roman"/>
          <w:sz w:val="24"/>
        </w:rPr>
        <w:t xml:space="preserve">(2000) 227 </w:t>
      </w:r>
      <w:r w:rsidRPr="00991383">
        <w:rPr>
          <w:rFonts w:ascii="Times New Roman" w:hAnsi="Times New Roman"/>
          <w:sz w:val="24"/>
          <w:lang w:val="en-US"/>
        </w:rPr>
        <w:t xml:space="preserve">at 231-232. </w:t>
      </w:r>
    </w:p>
  </w:footnote>
  <w:footnote w:id="164">
    <w:p w14:paraId="145287B6"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(1911) 12 CLR 667.</w:t>
      </w:r>
    </w:p>
  </w:footnote>
  <w:footnote w:id="165">
    <w:p w14:paraId="3D2D1B26"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South Australia v Victoria </w:t>
      </w:r>
      <w:r w:rsidRPr="00991383">
        <w:rPr>
          <w:rFonts w:ascii="Times New Roman" w:hAnsi="Times New Roman"/>
          <w:sz w:val="24"/>
          <w:lang w:val="en-US"/>
        </w:rPr>
        <w:t>(1911) 12 CLR 667 at 675.</w:t>
      </w:r>
    </w:p>
  </w:footnote>
  <w:footnote w:id="166">
    <w:p w14:paraId="067745F8"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lang w:val="en-US"/>
        </w:rPr>
        <w:tab/>
      </w:r>
      <w:r w:rsidRPr="00991383">
        <w:rPr>
          <w:rFonts w:ascii="Times New Roman" w:hAnsi="Times New Roman"/>
          <w:i/>
          <w:iCs/>
          <w:sz w:val="24"/>
          <w:lang w:val="en-US"/>
        </w:rPr>
        <w:t xml:space="preserve">South Australia v Victoria </w:t>
      </w:r>
      <w:r w:rsidRPr="00991383">
        <w:rPr>
          <w:rFonts w:ascii="Times New Roman" w:hAnsi="Times New Roman"/>
          <w:sz w:val="24"/>
          <w:lang w:val="en-US"/>
        </w:rPr>
        <w:t>(1911) 12 CLR 667 at 675.</w:t>
      </w:r>
    </w:p>
  </w:footnote>
  <w:footnote w:id="167">
    <w:p w14:paraId="28C3E14F"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iCs/>
          <w:sz w:val="24"/>
          <w:lang w:val="en-US"/>
        </w:rPr>
        <w:t xml:space="preserve">South Australia v Victoria </w:t>
      </w:r>
      <w:r w:rsidRPr="00991383">
        <w:rPr>
          <w:rFonts w:ascii="Times New Roman" w:hAnsi="Times New Roman"/>
          <w:sz w:val="24"/>
          <w:lang w:val="en-US"/>
        </w:rPr>
        <w:t>(1911) 12 CLR 667 at 708.</w:t>
      </w:r>
    </w:p>
  </w:footnote>
  <w:footnote w:id="168">
    <w:p w14:paraId="7DA75F99"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iCs/>
          <w:sz w:val="24"/>
          <w:lang w:val="en-US"/>
        </w:rPr>
        <w:t xml:space="preserve">South Australia v Victoria </w:t>
      </w:r>
      <w:r w:rsidRPr="00991383">
        <w:rPr>
          <w:rFonts w:ascii="Times New Roman" w:hAnsi="Times New Roman"/>
          <w:sz w:val="24"/>
          <w:lang w:val="en-US"/>
        </w:rPr>
        <w:t xml:space="preserve">(1911) 12 CLR 667 at 708, quoting </w:t>
      </w:r>
      <w:r w:rsidRPr="00991383">
        <w:rPr>
          <w:rFonts w:ascii="Times New Roman" w:hAnsi="Times New Roman"/>
          <w:i/>
          <w:iCs/>
          <w:sz w:val="24"/>
          <w:lang w:val="en-US"/>
        </w:rPr>
        <w:t xml:space="preserve">Dominion of Canada v Province of Ontario </w:t>
      </w:r>
      <w:r w:rsidRPr="00991383">
        <w:rPr>
          <w:rFonts w:ascii="Times New Roman" w:hAnsi="Times New Roman"/>
          <w:sz w:val="24"/>
          <w:lang w:val="en-US"/>
        </w:rPr>
        <w:t xml:space="preserve">[1910] AC 637 at 645 per Lord </w:t>
      </w:r>
      <w:proofErr w:type="spellStart"/>
      <w:r w:rsidRPr="00991383">
        <w:rPr>
          <w:rFonts w:ascii="Times New Roman" w:hAnsi="Times New Roman"/>
          <w:sz w:val="24"/>
          <w:lang w:val="en-US"/>
        </w:rPr>
        <w:t>Loreburn</w:t>
      </w:r>
      <w:proofErr w:type="spellEnd"/>
      <w:r w:rsidRPr="00991383">
        <w:rPr>
          <w:rFonts w:ascii="Times New Roman" w:hAnsi="Times New Roman"/>
          <w:sz w:val="24"/>
          <w:lang w:val="en-US"/>
        </w:rPr>
        <w:t xml:space="preserve">. </w:t>
      </w:r>
    </w:p>
  </w:footnote>
  <w:footnote w:id="169">
    <w:p w14:paraId="190B70DD"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South Australia v Victoria </w:t>
      </w:r>
      <w:r w:rsidRPr="00991383">
        <w:rPr>
          <w:rFonts w:ascii="Times New Roman" w:hAnsi="Times New Roman"/>
          <w:sz w:val="24"/>
          <w:lang w:val="en-US"/>
        </w:rPr>
        <w:t>(1911) 12 CLR 667 at 708.</w:t>
      </w:r>
    </w:p>
  </w:footnote>
  <w:footnote w:id="170">
    <w:p w14:paraId="66F5808F"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South Australia v Victoria </w:t>
      </w:r>
      <w:r w:rsidRPr="00991383">
        <w:rPr>
          <w:rFonts w:ascii="Times New Roman" w:hAnsi="Times New Roman"/>
          <w:sz w:val="24"/>
          <w:lang w:val="en-US"/>
        </w:rPr>
        <w:t>(1911) 12 CLR 667 at 715.</w:t>
      </w:r>
    </w:p>
  </w:footnote>
  <w:footnote w:id="171">
    <w:p w14:paraId="7351E994"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sz w:val="24"/>
          <w:lang w:val="en-US"/>
        </w:rPr>
        <w:t xml:space="preserve">R v Toohey; </w:t>
      </w:r>
      <w:r w:rsidRPr="00991383">
        <w:rPr>
          <w:rFonts w:ascii="Times New Roman" w:hAnsi="Times New Roman"/>
          <w:i/>
          <w:iCs/>
          <w:sz w:val="24"/>
          <w:lang w:val="en-US"/>
        </w:rPr>
        <w:t>Ex</w:t>
      </w:r>
      <w:r w:rsidRPr="00991383">
        <w:rPr>
          <w:rFonts w:ascii="Times New Roman" w:hAnsi="Times New Roman"/>
          <w:i/>
          <w:sz w:val="24"/>
          <w:lang w:val="en-US"/>
        </w:rPr>
        <w:t xml:space="preserve"> </w:t>
      </w:r>
      <w:proofErr w:type="spellStart"/>
      <w:r w:rsidRPr="00991383">
        <w:rPr>
          <w:rFonts w:ascii="Times New Roman" w:hAnsi="Times New Roman"/>
          <w:i/>
          <w:sz w:val="24"/>
          <w:lang w:val="en-US"/>
        </w:rPr>
        <w:t>parte</w:t>
      </w:r>
      <w:proofErr w:type="spellEnd"/>
      <w:r w:rsidRPr="00991383">
        <w:rPr>
          <w:rFonts w:ascii="Times New Roman" w:hAnsi="Times New Roman"/>
          <w:i/>
          <w:sz w:val="24"/>
          <w:lang w:val="en-US"/>
        </w:rPr>
        <w:t xml:space="preserve"> Northern Land Council</w:t>
      </w:r>
      <w:r w:rsidRPr="00991383">
        <w:rPr>
          <w:rFonts w:ascii="Times New Roman" w:hAnsi="Times New Roman"/>
          <w:sz w:val="24"/>
          <w:lang w:val="en-US"/>
        </w:rPr>
        <w:t xml:space="preserve"> (1981) 151 CLR 170 at 219-220.</w:t>
      </w:r>
    </w:p>
  </w:footnote>
  <w:footnote w:id="172">
    <w:p w14:paraId="287AC7BB"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sz w:val="24"/>
          <w:lang w:val="en-US"/>
        </w:rPr>
        <w:t>Graham Barclay Oysters Pty Ltd v Ryan</w:t>
      </w:r>
      <w:r w:rsidRPr="00991383">
        <w:rPr>
          <w:rFonts w:ascii="Times New Roman" w:hAnsi="Times New Roman"/>
          <w:sz w:val="24"/>
          <w:lang w:val="en-US"/>
        </w:rPr>
        <w:t xml:space="preserve"> (2002) 211 CLR 540 at 553-554 [6]. </w:t>
      </w:r>
    </w:p>
  </w:footnote>
  <w:footnote w:id="173">
    <w:p w14:paraId="094D193E"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(1921) 29 CLR 257.</w:t>
      </w:r>
    </w:p>
  </w:footnote>
  <w:footnote w:id="174">
    <w:p w14:paraId="6DCE1DDC"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iCs/>
          <w:sz w:val="24"/>
          <w:lang w:val="en-US"/>
        </w:rPr>
        <w:t xml:space="preserve">In re Judiciary and Navigation Acts </w:t>
      </w:r>
      <w:r w:rsidRPr="00991383">
        <w:rPr>
          <w:rFonts w:ascii="Times New Roman" w:hAnsi="Times New Roman"/>
          <w:sz w:val="24"/>
          <w:lang w:val="en-US"/>
        </w:rPr>
        <w:t>(1921) 29 CLR 257 at 265-267.</w:t>
      </w:r>
    </w:p>
  </w:footnote>
  <w:footnote w:id="175">
    <w:p w14:paraId="175C85EC"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ab/>
      </w:r>
      <w:r w:rsidRPr="00991383">
        <w:rPr>
          <w:rFonts w:ascii="Times New Roman" w:hAnsi="Times New Roman"/>
          <w:i/>
          <w:iCs/>
          <w:sz w:val="24"/>
        </w:rPr>
        <w:t>In re Judiciary and Navigation Acts</w:t>
      </w:r>
      <w:r w:rsidRPr="00991383">
        <w:rPr>
          <w:rFonts w:ascii="Times New Roman" w:hAnsi="Times New Roman"/>
          <w:sz w:val="24"/>
          <w:lang w:val="en-US"/>
        </w:rPr>
        <w:t xml:space="preserve"> (1921) 29 CLR 257 at 264.</w:t>
      </w:r>
    </w:p>
  </w:footnote>
  <w:footnote w:id="176">
    <w:p w14:paraId="538A7218"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iCs/>
          <w:sz w:val="24"/>
        </w:rPr>
        <w:t xml:space="preserve">CGU </w:t>
      </w:r>
      <w:r w:rsidRPr="00991383">
        <w:rPr>
          <w:rFonts w:ascii="Times New Roman" w:hAnsi="Times New Roman"/>
          <w:sz w:val="24"/>
        </w:rPr>
        <w:t xml:space="preserve">(2016) 259 CLR 339 </w:t>
      </w:r>
      <w:r w:rsidRPr="00991383">
        <w:rPr>
          <w:rFonts w:ascii="Times New Roman" w:hAnsi="Times New Roman"/>
          <w:sz w:val="24"/>
          <w:lang w:val="en-US"/>
        </w:rPr>
        <w:t xml:space="preserve">at 350 [26]. See also </w:t>
      </w:r>
      <w:r w:rsidRPr="00991383">
        <w:rPr>
          <w:rFonts w:ascii="Times New Roman" w:hAnsi="Times New Roman"/>
          <w:i/>
          <w:iCs/>
          <w:sz w:val="24"/>
          <w:lang w:val="en-US"/>
        </w:rPr>
        <w:t xml:space="preserve">Palmer v Ayres </w:t>
      </w:r>
      <w:r w:rsidRPr="00991383">
        <w:rPr>
          <w:rFonts w:ascii="Times New Roman" w:hAnsi="Times New Roman"/>
          <w:sz w:val="24"/>
          <w:lang w:val="en-US"/>
        </w:rPr>
        <w:t xml:space="preserve">(2017) 259 CLR 478 at 491 [27]. </w:t>
      </w:r>
    </w:p>
  </w:footnote>
  <w:footnote w:id="177">
    <w:p w14:paraId="0147E7E0"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proofErr w:type="spellStart"/>
      <w:r w:rsidRPr="00991383">
        <w:rPr>
          <w:rFonts w:ascii="Times New Roman" w:hAnsi="Times New Roman"/>
          <w:i/>
          <w:iCs/>
          <w:sz w:val="24"/>
          <w:lang w:val="en-US"/>
        </w:rPr>
        <w:t>Mellifont</w:t>
      </w:r>
      <w:proofErr w:type="spellEnd"/>
      <w:r w:rsidRPr="00991383">
        <w:rPr>
          <w:rFonts w:ascii="Times New Roman" w:hAnsi="Times New Roman"/>
          <w:i/>
          <w:iCs/>
          <w:sz w:val="24"/>
          <w:lang w:val="en-US"/>
        </w:rPr>
        <w:t xml:space="preserve"> v Attorney-General (Q) </w:t>
      </w:r>
      <w:r w:rsidRPr="00991383">
        <w:rPr>
          <w:rFonts w:ascii="Times New Roman" w:hAnsi="Times New Roman"/>
          <w:sz w:val="24"/>
          <w:lang w:val="en-US"/>
        </w:rPr>
        <w:t>(1991) 173 CLR 289</w:t>
      </w:r>
      <w:r w:rsidRPr="00991383" w:rsidDel="00994DCD">
        <w:rPr>
          <w:rFonts w:ascii="Times New Roman" w:hAnsi="Times New Roman"/>
          <w:sz w:val="24"/>
          <w:lang w:val="en-US"/>
        </w:rPr>
        <w:t xml:space="preserve"> </w:t>
      </w:r>
      <w:r w:rsidRPr="00991383">
        <w:rPr>
          <w:rFonts w:ascii="Times New Roman" w:hAnsi="Times New Roman"/>
          <w:sz w:val="24"/>
          <w:lang w:val="en-US"/>
        </w:rPr>
        <w:t xml:space="preserve">at 323. See also </w:t>
      </w:r>
      <w:r w:rsidRPr="00991383">
        <w:rPr>
          <w:rFonts w:ascii="Times New Roman" w:hAnsi="Times New Roman"/>
          <w:i/>
          <w:iCs/>
          <w:sz w:val="24"/>
          <w:lang w:val="en-US"/>
        </w:rPr>
        <w:t xml:space="preserve">Re Barrow </w:t>
      </w:r>
      <w:r w:rsidRPr="00991383">
        <w:rPr>
          <w:rFonts w:ascii="Times New Roman" w:hAnsi="Times New Roman"/>
          <w:sz w:val="24"/>
          <w:lang w:val="en-US"/>
        </w:rPr>
        <w:t xml:space="preserve">(2017) 91 ALJR 1240 at 1242 [10]; 349 ALR 574 at 576, citing </w:t>
      </w:r>
      <w:r w:rsidRPr="00991383">
        <w:rPr>
          <w:rFonts w:ascii="Times New Roman" w:hAnsi="Times New Roman"/>
          <w:i/>
          <w:iCs/>
          <w:sz w:val="24"/>
        </w:rPr>
        <w:t>Bass v Permanent Trustee Co Ltd</w:t>
      </w:r>
      <w:r w:rsidRPr="00991383">
        <w:rPr>
          <w:rFonts w:ascii="Times New Roman" w:hAnsi="Times New Roman"/>
          <w:sz w:val="24"/>
        </w:rPr>
        <w:t> (1999) 198 CLR 334 at 356 [48].</w:t>
      </w:r>
    </w:p>
  </w:footnote>
  <w:footnote w:id="178">
    <w:p w14:paraId="3E973818"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 xml:space="preserve">Holdsworth, </w:t>
      </w:r>
      <w:r w:rsidRPr="00991383">
        <w:rPr>
          <w:rFonts w:ascii="Times New Roman" w:hAnsi="Times New Roman"/>
          <w:i/>
          <w:iCs/>
          <w:sz w:val="24"/>
        </w:rPr>
        <w:t>A History of English Law</w:t>
      </w:r>
      <w:r w:rsidRPr="00991383">
        <w:rPr>
          <w:rFonts w:ascii="Times New Roman" w:hAnsi="Times New Roman"/>
          <w:sz w:val="24"/>
        </w:rPr>
        <w:t xml:space="preserve">, 3rd ed (1945), vol 4 at 75; </w:t>
      </w:r>
      <w:r w:rsidRPr="00991383">
        <w:rPr>
          <w:rFonts w:ascii="Times New Roman" w:hAnsi="Times New Roman"/>
          <w:sz w:val="24"/>
          <w:lang w:val="en-US"/>
        </w:rPr>
        <w:t>Lee, "</w:t>
      </w:r>
      <w:proofErr w:type="spellStart"/>
      <w:r w:rsidRPr="00991383">
        <w:rPr>
          <w:rFonts w:ascii="Times New Roman" w:hAnsi="Times New Roman"/>
          <w:sz w:val="24"/>
          <w:lang w:val="en-US"/>
        </w:rPr>
        <w:t>Deconstitutionalizing</w:t>
      </w:r>
      <w:proofErr w:type="spellEnd"/>
      <w:r w:rsidRPr="00991383">
        <w:rPr>
          <w:rFonts w:ascii="Times New Roman" w:hAnsi="Times New Roman"/>
          <w:sz w:val="24"/>
          <w:lang w:val="en-US"/>
        </w:rPr>
        <w:t xml:space="preserve"> Justiciability: The Example of Mootness" (1992) 105 </w:t>
      </w:r>
      <w:r w:rsidRPr="00991383">
        <w:rPr>
          <w:rFonts w:ascii="Times New Roman" w:hAnsi="Times New Roman"/>
          <w:i/>
          <w:iCs/>
          <w:sz w:val="24"/>
          <w:lang w:val="en-US"/>
        </w:rPr>
        <w:t xml:space="preserve">Harvard Law Review </w:t>
      </w:r>
      <w:r w:rsidRPr="00991383">
        <w:rPr>
          <w:rFonts w:ascii="Times New Roman" w:hAnsi="Times New Roman"/>
          <w:sz w:val="24"/>
          <w:lang w:val="en-US"/>
        </w:rPr>
        <w:t xml:space="preserve">603 at 639 </w:t>
      </w:r>
      <w:proofErr w:type="spellStart"/>
      <w:r w:rsidRPr="00991383">
        <w:rPr>
          <w:rFonts w:ascii="Times New Roman" w:hAnsi="Times New Roman"/>
          <w:sz w:val="24"/>
          <w:lang w:val="en-US"/>
        </w:rPr>
        <w:t>fn</w:t>
      </w:r>
      <w:proofErr w:type="spellEnd"/>
      <w:r w:rsidRPr="00991383">
        <w:rPr>
          <w:rFonts w:ascii="Times New Roman" w:hAnsi="Times New Roman"/>
          <w:sz w:val="24"/>
          <w:lang w:val="en-US"/>
        </w:rPr>
        <w:t xml:space="preserve"> 204.</w:t>
      </w:r>
    </w:p>
  </w:footnote>
  <w:footnote w:id="179">
    <w:p w14:paraId="4A4FC1A4"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iCs/>
          <w:sz w:val="24"/>
          <w:lang w:val="en-US"/>
        </w:rPr>
        <w:t xml:space="preserve">O'Toole </w:t>
      </w:r>
      <w:r w:rsidRPr="00991383">
        <w:rPr>
          <w:rFonts w:ascii="Times New Roman" w:hAnsi="Times New Roman"/>
          <w:sz w:val="24"/>
          <w:lang w:val="en-US"/>
        </w:rPr>
        <w:t>(1990) 171 CLR 232 at 244.</w:t>
      </w:r>
    </w:p>
  </w:footnote>
  <w:footnote w:id="180">
    <w:p w14:paraId="70C49C79"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ab/>
        <w:t xml:space="preserve">(1999) 197 CLR 510 at 525 [26]. </w:t>
      </w:r>
    </w:p>
  </w:footnote>
  <w:footnote w:id="181">
    <w:p w14:paraId="41B3BD60"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proofErr w:type="spellStart"/>
      <w:r w:rsidRPr="00991383">
        <w:rPr>
          <w:rFonts w:ascii="Times New Roman" w:hAnsi="Times New Roman"/>
          <w:i/>
          <w:sz w:val="24"/>
          <w:lang w:val="en-US"/>
        </w:rPr>
        <w:t>Clubb</w:t>
      </w:r>
      <w:proofErr w:type="spellEnd"/>
      <w:r w:rsidRPr="00991383">
        <w:rPr>
          <w:rFonts w:ascii="Times New Roman" w:hAnsi="Times New Roman"/>
          <w:sz w:val="24"/>
          <w:lang w:val="en-US"/>
        </w:rPr>
        <w:t xml:space="preserve"> (2019) 267 CLR 171 at 216-217 [136].</w:t>
      </w:r>
    </w:p>
  </w:footnote>
  <w:footnote w:id="182">
    <w:p w14:paraId="2774E99D"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 xml:space="preserve">(2000) 200 CLR 591 at 603 [20], 619 [68]. </w:t>
      </w:r>
    </w:p>
  </w:footnote>
  <w:footnote w:id="183">
    <w:p w14:paraId="4B32E86D"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sz w:val="24"/>
          <w:lang w:val="en-US"/>
        </w:rPr>
        <w:t xml:space="preserve">Truth About Motorways </w:t>
      </w:r>
      <w:r w:rsidRPr="00991383">
        <w:rPr>
          <w:rFonts w:ascii="Times New Roman" w:hAnsi="Times New Roman"/>
          <w:sz w:val="24"/>
          <w:lang w:val="en-US"/>
        </w:rPr>
        <w:t xml:space="preserve">(2000) 200 CLR 591 at 602 [17]. </w:t>
      </w:r>
    </w:p>
  </w:footnote>
  <w:footnote w:id="184">
    <w:p w14:paraId="7B0B86DE"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ab/>
      </w:r>
      <w:r w:rsidRPr="00991383">
        <w:rPr>
          <w:rFonts w:ascii="Times New Roman" w:hAnsi="Times New Roman"/>
          <w:i/>
          <w:sz w:val="24"/>
          <w:lang w:val="en-US"/>
        </w:rPr>
        <w:t xml:space="preserve">Truth About Motorways </w:t>
      </w:r>
      <w:r w:rsidRPr="00991383">
        <w:rPr>
          <w:rFonts w:ascii="Times New Roman" w:hAnsi="Times New Roman"/>
          <w:sz w:val="24"/>
          <w:lang w:val="en-US"/>
        </w:rPr>
        <w:t>(2000) 200 CLR 591 at 602 [17].</w:t>
      </w:r>
    </w:p>
  </w:footnote>
  <w:footnote w:id="185">
    <w:p w14:paraId="0441FAB9"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 xml:space="preserve">(2011) 242 CLR 421 at 435 [37]. </w:t>
      </w:r>
    </w:p>
  </w:footnote>
  <w:footnote w:id="186">
    <w:p w14:paraId="723C3949"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Edwards </w:t>
      </w:r>
      <w:r w:rsidRPr="00991383">
        <w:rPr>
          <w:rFonts w:ascii="Times New Roman" w:hAnsi="Times New Roman"/>
          <w:sz w:val="24"/>
        </w:rPr>
        <w:t xml:space="preserve">(2011) 242 CLR 421 at 436-437 [39]. </w:t>
      </w:r>
    </w:p>
  </w:footnote>
  <w:footnote w:id="187">
    <w:p w14:paraId="0B6E9A90"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Edwards </w:t>
      </w:r>
      <w:r w:rsidRPr="00991383">
        <w:rPr>
          <w:rFonts w:ascii="Times New Roman" w:hAnsi="Times New Roman"/>
          <w:sz w:val="24"/>
        </w:rPr>
        <w:t xml:space="preserve">(2011) 242 CLR 421 at 436 [37]. </w:t>
      </w:r>
    </w:p>
  </w:footnote>
  <w:footnote w:id="188">
    <w:p w14:paraId="2D2C2F4D"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Hobart International Airport </w:t>
      </w:r>
      <w:r w:rsidRPr="00991383">
        <w:rPr>
          <w:rFonts w:ascii="Times New Roman" w:hAnsi="Times New Roman"/>
          <w:sz w:val="24"/>
          <w:lang w:val="en-US"/>
        </w:rPr>
        <w:t>(2022) 96 ALJR 234 at 246 [31]; 399 ALR 214 at 223.</w:t>
      </w:r>
    </w:p>
  </w:footnote>
  <w:footnote w:id="189">
    <w:p w14:paraId="131F5E2A"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Hobart International Airport </w:t>
      </w:r>
      <w:r w:rsidRPr="00991383">
        <w:rPr>
          <w:rFonts w:ascii="Times New Roman" w:hAnsi="Times New Roman"/>
          <w:sz w:val="24"/>
          <w:lang w:val="en-US"/>
        </w:rPr>
        <w:t>(2022) 96 ALJR 234 at 249 [47]; 399 ALR 214 at 227 (footnotes omitted).</w:t>
      </w:r>
    </w:p>
  </w:footnote>
  <w:footnote w:id="190">
    <w:p w14:paraId="356C25C9"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(1990) 171 CLR 232 at 282-283.</w:t>
      </w:r>
    </w:p>
  </w:footnote>
  <w:footnote w:id="191">
    <w:p w14:paraId="10F25029"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New South Wales v Kable </w:t>
      </w:r>
      <w:r w:rsidRPr="00991383">
        <w:rPr>
          <w:rFonts w:ascii="Times New Roman" w:hAnsi="Times New Roman"/>
          <w:sz w:val="24"/>
        </w:rPr>
        <w:t xml:space="preserve">(2013) 252 CLR 118 at 133 [32]. </w:t>
      </w:r>
    </w:p>
  </w:footnote>
  <w:footnote w:id="192">
    <w:p w14:paraId="3AF9FAF4"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ab/>
      </w:r>
      <w:r w:rsidRPr="00991383">
        <w:rPr>
          <w:rFonts w:ascii="Times New Roman" w:hAnsi="Times New Roman"/>
          <w:i/>
          <w:iCs/>
          <w:sz w:val="24"/>
        </w:rPr>
        <w:t xml:space="preserve">Minister for Immigration, Citizenship, Migrant Services and Multicultural Affairs v AZC20 </w:t>
      </w:r>
      <w:r w:rsidRPr="00991383">
        <w:rPr>
          <w:rFonts w:ascii="Times New Roman" w:hAnsi="Times New Roman"/>
          <w:sz w:val="24"/>
        </w:rPr>
        <w:t>(2022)</w:t>
      </w:r>
      <w:r w:rsidRPr="00991383">
        <w:rPr>
          <w:rFonts w:ascii="Times New Roman" w:hAnsi="Times New Roman"/>
          <w:i/>
          <w:iCs/>
          <w:sz w:val="24"/>
        </w:rPr>
        <w:t xml:space="preserve"> </w:t>
      </w:r>
      <w:r w:rsidRPr="00991383">
        <w:rPr>
          <w:rFonts w:ascii="Times New Roman" w:hAnsi="Times New Roman"/>
          <w:sz w:val="24"/>
        </w:rPr>
        <w:t>290 FCR 149</w:t>
      </w:r>
      <w:r w:rsidRPr="00991383">
        <w:rPr>
          <w:rFonts w:ascii="Times New Roman" w:hAnsi="Times New Roman"/>
          <w:i/>
          <w:iCs/>
          <w:sz w:val="24"/>
        </w:rPr>
        <w:t xml:space="preserve"> </w:t>
      </w:r>
      <w:r w:rsidRPr="00991383">
        <w:rPr>
          <w:rFonts w:ascii="Times New Roman" w:hAnsi="Times New Roman"/>
          <w:sz w:val="24"/>
        </w:rPr>
        <w:t>at 154 [19].</w:t>
      </w:r>
    </w:p>
  </w:footnote>
  <w:footnote w:id="193">
    <w:p w14:paraId="231D361D"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 xml:space="preserve">See Buss, "Andrew Inglis Clark's Draft Constitution, Chapter III of the Australian Constitution, and the Assist from Article III of the Constitution of the United States" (2009) 33 </w:t>
      </w:r>
      <w:r w:rsidRPr="00991383">
        <w:rPr>
          <w:rFonts w:ascii="Times New Roman" w:hAnsi="Times New Roman"/>
          <w:i/>
          <w:iCs/>
          <w:sz w:val="24"/>
        </w:rPr>
        <w:t xml:space="preserve">Melbourne University Law Review </w:t>
      </w:r>
      <w:r w:rsidRPr="00991383">
        <w:rPr>
          <w:rFonts w:ascii="Times New Roman" w:hAnsi="Times New Roman"/>
          <w:sz w:val="24"/>
        </w:rPr>
        <w:t xml:space="preserve">718; </w:t>
      </w:r>
      <w:proofErr w:type="spellStart"/>
      <w:r w:rsidRPr="00991383">
        <w:rPr>
          <w:rFonts w:ascii="Times New Roman" w:hAnsi="Times New Roman"/>
          <w:sz w:val="24"/>
          <w:lang w:val="en-US"/>
        </w:rPr>
        <w:t>Burmester</w:t>
      </w:r>
      <w:proofErr w:type="spellEnd"/>
      <w:r w:rsidRPr="00991383">
        <w:rPr>
          <w:rFonts w:ascii="Times New Roman" w:hAnsi="Times New Roman"/>
          <w:sz w:val="24"/>
          <w:lang w:val="en-US"/>
        </w:rPr>
        <w:t>, "</w:t>
      </w:r>
      <w:r w:rsidRPr="00991383">
        <w:rPr>
          <w:rFonts w:ascii="Times New Roman" w:hAnsi="Times New Roman"/>
          <w:sz w:val="24"/>
        </w:rPr>
        <w:t xml:space="preserve">Limitations on Federal Adjudication", in </w:t>
      </w:r>
      <w:proofErr w:type="spellStart"/>
      <w:r w:rsidRPr="00991383">
        <w:rPr>
          <w:rFonts w:ascii="Times New Roman" w:hAnsi="Times New Roman"/>
          <w:sz w:val="24"/>
        </w:rPr>
        <w:t>Opeskin</w:t>
      </w:r>
      <w:proofErr w:type="spellEnd"/>
      <w:r w:rsidRPr="00991383">
        <w:rPr>
          <w:rFonts w:ascii="Times New Roman" w:hAnsi="Times New Roman"/>
          <w:sz w:val="24"/>
        </w:rPr>
        <w:t xml:space="preserve"> and Wheeler (eds), </w:t>
      </w:r>
      <w:r w:rsidRPr="00991383">
        <w:rPr>
          <w:rFonts w:ascii="Times New Roman" w:hAnsi="Times New Roman"/>
          <w:i/>
          <w:iCs/>
          <w:sz w:val="24"/>
        </w:rPr>
        <w:t xml:space="preserve">The Australian Federal Judicial System </w:t>
      </w:r>
      <w:r w:rsidRPr="00991383">
        <w:rPr>
          <w:rFonts w:ascii="Times New Roman" w:hAnsi="Times New Roman"/>
          <w:sz w:val="24"/>
        </w:rPr>
        <w:t>(2000) 227 at 228.</w:t>
      </w:r>
    </w:p>
  </w:footnote>
  <w:footnote w:id="194">
    <w:p w14:paraId="32B1B759"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 xml:space="preserve">Chemerinsky, </w:t>
      </w:r>
      <w:r w:rsidRPr="00991383">
        <w:rPr>
          <w:rFonts w:ascii="Times New Roman" w:hAnsi="Times New Roman"/>
          <w:i/>
          <w:iCs/>
          <w:sz w:val="24"/>
          <w:lang w:val="en-US"/>
        </w:rPr>
        <w:t>Federal Jurisdiction</w:t>
      </w:r>
      <w:r w:rsidRPr="00991383">
        <w:rPr>
          <w:rFonts w:ascii="Times New Roman" w:hAnsi="Times New Roman"/>
          <w:sz w:val="24"/>
          <w:lang w:val="en-US"/>
        </w:rPr>
        <w:t>, 8th ed</w:t>
      </w:r>
      <w:r w:rsidRPr="00991383">
        <w:rPr>
          <w:rFonts w:ascii="Times New Roman" w:hAnsi="Times New Roman"/>
          <w:i/>
          <w:iCs/>
          <w:sz w:val="24"/>
          <w:lang w:val="en-US"/>
        </w:rPr>
        <w:t xml:space="preserve"> </w:t>
      </w:r>
      <w:r w:rsidRPr="00991383">
        <w:rPr>
          <w:rFonts w:ascii="Times New Roman" w:hAnsi="Times New Roman"/>
          <w:sz w:val="24"/>
          <w:lang w:val="en-US"/>
        </w:rPr>
        <w:t>(2021) at</w:t>
      </w:r>
      <w:r w:rsidRPr="00991383" w:rsidDel="0088723B">
        <w:rPr>
          <w:rFonts w:ascii="Times New Roman" w:hAnsi="Times New Roman"/>
          <w:sz w:val="24"/>
          <w:lang w:val="en-US"/>
        </w:rPr>
        <w:t xml:space="preserve"> </w:t>
      </w:r>
      <w:r w:rsidRPr="00991383">
        <w:rPr>
          <w:rFonts w:ascii="Times New Roman" w:hAnsi="Times New Roman"/>
          <w:sz w:val="24"/>
          <w:lang w:val="en-US"/>
        </w:rPr>
        <w:t xml:space="preserve">143, quoting Monaghan, "Constitutional Adjudication: The Who and When" (1973) 82 </w:t>
      </w:r>
      <w:r w:rsidRPr="00991383">
        <w:rPr>
          <w:rFonts w:ascii="Times New Roman" w:hAnsi="Times New Roman"/>
          <w:i/>
          <w:iCs/>
          <w:sz w:val="24"/>
          <w:lang w:val="en-US"/>
        </w:rPr>
        <w:t xml:space="preserve">Yale Law Journal </w:t>
      </w:r>
      <w:r w:rsidRPr="00991383">
        <w:rPr>
          <w:rFonts w:ascii="Times New Roman" w:hAnsi="Times New Roman"/>
          <w:sz w:val="24"/>
          <w:lang w:val="en-US"/>
        </w:rPr>
        <w:t xml:space="preserve">1363 at 1384. </w:t>
      </w:r>
    </w:p>
  </w:footnote>
  <w:footnote w:id="195">
    <w:p w14:paraId="66D3AFBD"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 xml:space="preserve">See </w:t>
      </w:r>
      <w:r w:rsidRPr="00991383">
        <w:rPr>
          <w:rFonts w:ascii="Times New Roman" w:hAnsi="Times New Roman"/>
          <w:i/>
          <w:sz w:val="24"/>
          <w:lang w:val="en-US"/>
        </w:rPr>
        <w:t>U</w:t>
      </w:r>
      <w:r w:rsidRPr="00991383">
        <w:rPr>
          <w:rFonts w:ascii="Times New Roman" w:hAnsi="Times New Roman"/>
          <w:i/>
          <w:iCs/>
          <w:sz w:val="24"/>
          <w:lang w:val="en-US"/>
        </w:rPr>
        <w:t xml:space="preserve">nited </w:t>
      </w:r>
      <w:r w:rsidRPr="00991383">
        <w:rPr>
          <w:rFonts w:ascii="Times New Roman" w:hAnsi="Times New Roman"/>
          <w:i/>
          <w:sz w:val="24"/>
          <w:lang w:val="en-US"/>
        </w:rPr>
        <w:t>S</w:t>
      </w:r>
      <w:r w:rsidRPr="00991383">
        <w:rPr>
          <w:rFonts w:ascii="Times New Roman" w:hAnsi="Times New Roman"/>
          <w:i/>
          <w:iCs/>
          <w:sz w:val="24"/>
          <w:lang w:val="en-US"/>
        </w:rPr>
        <w:t>tates</w:t>
      </w:r>
      <w:r w:rsidRPr="00991383">
        <w:rPr>
          <w:rFonts w:ascii="Times New Roman" w:hAnsi="Times New Roman"/>
          <w:i/>
          <w:sz w:val="24"/>
          <w:lang w:val="en-US"/>
        </w:rPr>
        <w:t xml:space="preserve"> Parole Commission v Geraghty</w:t>
      </w:r>
      <w:r w:rsidRPr="00991383">
        <w:rPr>
          <w:rFonts w:ascii="Times New Roman" w:hAnsi="Times New Roman"/>
          <w:i/>
          <w:iCs/>
          <w:sz w:val="24"/>
          <w:lang w:val="en-US"/>
        </w:rPr>
        <w:t xml:space="preserve"> </w:t>
      </w:r>
      <w:r w:rsidRPr="00991383">
        <w:rPr>
          <w:rFonts w:ascii="Times New Roman" w:hAnsi="Times New Roman"/>
          <w:sz w:val="24"/>
          <w:lang w:val="en-US"/>
        </w:rPr>
        <w:t xml:space="preserve">(1980) 445 US 388 at 397, quoting Monaghan, "Constitutional Adjudication: The Who and When" (1973) 82 </w:t>
      </w:r>
      <w:r w:rsidRPr="00991383">
        <w:rPr>
          <w:rFonts w:ascii="Times New Roman" w:hAnsi="Times New Roman"/>
          <w:i/>
          <w:iCs/>
          <w:sz w:val="24"/>
          <w:lang w:val="en-US"/>
        </w:rPr>
        <w:t xml:space="preserve">Yale Law Journal </w:t>
      </w:r>
      <w:r w:rsidRPr="00991383">
        <w:rPr>
          <w:rFonts w:ascii="Times New Roman" w:hAnsi="Times New Roman"/>
          <w:sz w:val="24"/>
          <w:lang w:val="en-US"/>
        </w:rPr>
        <w:t xml:space="preserve">1363 at 1384; Chemerinsky, </w:t>
      </w:r>
      <w:r w:rsidRPr="00991383">
        <w:rPr>
          <w:rFonts w:ascii="Times New Roman" w:hAnsi="Times New Roman"/>
          <w:i/>
          <w:iCs/>
          <w:sz w:val="24"/>
          <w:lang w:val="en-US"/>
        </w:rPr>
        <w:t>Federal Jurisdiction</w:t>
      </w:r>
      <w:r w:rsidRPr="00991383">
        <w:rPr>
          <w:rFonts w:ascii="Times New Roman" w:hAnsi="Times New Roman"/>
          <w:sz w:val="24"/>
          <w:lang w:val="en-US"/>
        </w:rPr>
        <w:t>, 8th ed</w:t>
      </w:r>
      <w:r w:rsidRPr="00991383">
        <w:rPr>
          <w:rFonts w:ascii="Times New Roman" w:hAnsi="Times New Roman"/>
          <w:i/>
          <w:iCs/>
          <w:sz w:val="24"/>
          <w:lang w:val="en-US"/>
        </w:rPr>
        <w:t xml:space="preserve"> </w:t>
      </w:r>
      <w:r w:rsidRPr="00991383">
        <w:rPr>
          <w:rFonts w:ascii="Times New Roman" w:hAnsi="Times New Roman"/>
          <w:sz w:val="24"/>
          <w:lang w:val="en-US"/>
        </w:rPr>
        <w:t>(2021) at 143.</w:t>
      </w:r>
    </w:p>
  </w:footnote>
  <w:footnote w:id="196">
    <w:p w14:paraId="6209E0C4"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 xml:space="preserve">Chemerinsky, </w:t>
      </w:r>
      <w:r w:rsidRPr="00991383">
        <w:rPr>
          <w:rFonts w:ascii="Times New Roman" w:hAnsi="Times New Roman"/>
          <w:i/>
          <w:iCs/>
          <w:sz w:val="24"/>
          <w:lang w:val="en-US"/>
        </w:rPr>
        <w:t>Federal Jurisdiction</w:t>
      </w:r>
      <w:r w:rsidRPr="00991383">
        <w:rPr>
          <w:rFonts w:ascii="Times New Roman" w:hAnsi="Times New Roman"/>
          <w:sz w:val="24"/>
          <w:lang w:val="en-US"/>
        </w:rPr>
        <w:t>, 8th ed</w:t>
      </w:r>
      <w:r w:rsidRPr="00991383">
        <w:rPr>
          <w:rFonts w:ascii="Times New Roman" w:hAnsi="Times New Roman"/>
          <w:i/>
          <w:iCs/>
          <w:sz w:val="24"/>
          <w:lang w:val="en-US"/>
        </w:rPr>
        <w:t xml:space="preserve"> </w:t>
      </w:r>
      <w:r w:rsidRPr="00991383">
        <w:rPr>
          <w:rFonts w:ascii="Times New Roman" w:hAnsi="Times New Roman"/>
          <w:sz w:val="24"/>
          <w:lang w:val="en-US"/>
        </w:rPr>
        <w:t>(2021) at 144; Lee, "</w:t>
      </w:r>
      <w:proofErr w:type="spellStart"/>
      <w:r w:rsidRPr="00991383">
        <w:rPr>
          <w:rFonts w:ascii="Times New Roman" w:hAnsi="Times New Roman"/>
          <w:sz w:val="24"/>
          <w:lang w:val="en-US"/>
        </w:rPr>
        <w:t>Deconstitutionalizing</w:t>
      </w:r>
      <w:proofErr w:type="spellEnd"/>
      <w:r w:rsidRPr="00991383">
        <w:rPr>
          <w:rFonts w:ascii="Times New Roman" w:hAnsi="Times New Roman"/>
          <w:sz w:val="24"/>
          <w:lang w:val="en-US"/>
        </w:rPr>
        <w:t xml:space="preserve"> Justiciability: The Example of Mootness" (1992) 105 </w:t>
      </w:r>
      <w:r w:rsidRPr="00991383">
        <w:rPr>
          <w:rFonts w:ascii="Times New Roman" w:hAnsi="Times New Roman"/>
          <w:i/>
          <w:iCs/>
          <w:sz w:val="24"/>
          <w:lang w:val="en-US"/>
        </w:rPr>
        <w:t xml:space="preserve">Harvard Law Review </w:t>
      </w:r>
      <w:r w:rsidRPr="00991383">
        <w:rPr>
          <w:rFonts w:ascii="Times New Roman" w:hAnsi="Times New Roman"/>
          <w:sz w:val="24"/>
          <w:lang w:val="en-US"/>
        </w:rPr>
        <w:t>603.</w:t>
      </w:r>
    </w:p>
  </w:footnote>
  <w:footnote w:id="197">
    <w:p w14:paraId="3000A9C1"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iCs/>
          <w:sz w:val="24"/>
          <w:lang w:val="en-US"/>
        </w:rPr>
        <w:t xml:space="preserve">Liner v </w:t>
      </w:r>
      <w:proofErr w:type="spellStart"/>
      <w:r w:rsidRPr="00991383">
        <w:rPr>
          <w:rFonts w:ascii="Times New Roman" w:hAnsi="Times New Roman"/>
          <w:i/>
          <w:iCs/>
          <w:sz w:val="24"/>
          <w:lang w:val="en-US"/>
        </w:rPr>
        <w:t>Jafco</w:t>
      </w:r>
      <w:proofErr w:type="spellEnd"/>
      <w:r w:rsidRPr="00991383">
        <w:rPr>
          <w:rFonts w:ascii="Times New Roman" w:hAnsi="Times New Roman"/>
          <w:i/>
          <w:iCs/>
          <w:sz w:val="24"/>
          <w:lang w:val="en-US"/>
        </w:rPr>
        <w:t xml:space="preserve"> Inc</w:t>
      </w:r>
      <w:r w:rsidRPr="00991383">
        <w:rPr>
          <w:rFonts w:ascii="Times New Roman" w:hAnsi="Times New Roman"/>
          <w:sz w:val="24"/>
          <w:lang w:val="en-US"/>
        </w:rPr>
        <w:t xml:space="preserve"> (1964) 375 US 301, cited in Lee, "</w:t>
      </w:r>
      <w:proofErr w:type="spellStart"/>
      <w:r w:rsidRPr="00991383">
        <w:rPr>
          <w:rFonts w:ascii="Times New Roman" w:hAnsi="Times New Roman"/>
          <w:sz w:val="24"/>
          <w:lang w:val="en-US"/>
        </w:rPr>
        <w:t>Deconstitutionalizing</w:t>
      </w:r>
      <w:proofErr w:type="spellEnd"/>
      <w:r w:rsidRPr="00991383">
        <w:rPr>
          <w:rFonts w:ascii="Times New Roman" w:hAnsi="Times New Roman"/>
          <w:sz w:val="24"/>
          <w:lang w:val="en-US"/>
        </w:rPr>
        <w:t xml:space="preserve"> Justiciability: The Example of Mootness" (1992) 105 </w:t>
      </w:r>
      <w:r w:rsidRPr="00991383">
        <w:rPr>
          <w:rFonts w:ascii="Times New Roman" w:hAnsi="Times New Roman"/>
          <w:i/>
          <w:iCs/>
          <w:sz w:val="24"/>
          <w:lang w:val="en-US"/>
        </w:rPr>
        <w:t xml:space="preserve">Harvard Law Review </w:t>
      </w:r>
      <w:r w:rsidRPr="00991383">
        <w:rPr>
          <w:rFonts w:ascii="Times New Roman" w:hAnsi="Times New Roman"/>
          <w:sz w:val="24"/>
          <w:lang w:val="en-US"/>
        </w:rPr>
        <w:t>603 at 611-612.</w:t>
      </w:r>
    </w:p>
  </w:footnote>
  <w:footnote w:id="198">
    <w:p w14:paraId="247D0FD5"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sz w:val="24"/>
          <w:lang w:val="en-US"/>
        </w:rPr>
        <w:t xml:space="preserve">Chemerinsky, </w:t>
      </w:r>
      <w:r w:rsidRPr="00991383">
        <w:rPr>
          <w:rFonts w:ascii="Times New Roman" w:hAnsi="Times New Roman"/>
          <w:i/>
          <w:iCs/>
          <w:sz w:val="24"/>
          <w:lang w:val="en-US"/>
        </w:rPr>
        <w:t>Federal Jurisdiction</w:t>
      </w:r>
      <w:r w:rsidRPr="00991383">
        <w:rPr>
          <w:rFonts w:ascii="Times New Roman" w:hAnsi="Times New Roman"/>
          <w:sz w:val="24"/>
          <w:lang w:val="en-US"/>
        </w:rPr>
        <w:t>, 8th ed</w:t>
      </w:r>
      <w:r w:rsidRPr="00991383">
        <w:rPr>
          <w:rFonts w:ascii="Times New Roman" w:hAnsi="Times New Roman"/>
          <w:i/>
          <w:sz w:val="24"/>
          <w:lang w:val="en-US"/>
        </w:rPr>
        <w:t xml:space="preserve"> </w:t>
      </w:r>
      <w:r w:rsidRPr="00991383">
        <w:rPr>
          <w:rFonts w:ascii="Times New Roman" w:hAnsi="Times New Roman"/>
          <w:sz w:val="24"/>
          <w:lang w:val="en-US"/>
        </w:rPr>
        <w:t xml:space="preserve">(2021) at 145, 150-151. See also Hall, "The Partially Prudential Doctrine of Mootness" (2009) 77 </w:t>
      </w:r>
      <w:r w:rsidRPr="00991383">
        <w:rPr>
          <w:rFonts w:ascii="Times New Roman" w:hAnsi="Times New Roman"/>
          <w:i/>
          <w:iCs/>
          <w:sz w:val="24"/>
          <w:lang w:val="en-US"/>
        </w:rPr>
        <w:t xml:space="preserve">George Washington Law Review </w:t>
      </w:r>
      <w:r w:rsidRPr="00991383">
        <w:rPr>
          <w:rFonts w:ascii="Times New Roman" w:hAnsi="Times New Roman"/>
          <w:sz w:val="24"/>
          <w:lang w:val="en-US"/>
        </w:rPr>
        <w:t>562.</w:t>
      </w:r>
    </w:p>
  </w:footnote>
  <w:footnote w:id="199">
    <w:p w14:paraId="6CD51320"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 xml:space="preserve">Heppner, "Let the Right Ones In: The Supreme Court's Changing Approach to Justiciability" (2023) 61 </w:t>
      </w:r>
      <w:r w:rsidRPr="00991383">
        <w:rPr>
          <w:rFonts w:ascii="Times New Roman" w:hAnsi="Times New Roman"/>
          <w:i/>
          <w:iCs/>
          <w:sz w:val="24"/>
        </w:rPr>
        <w:t xml:space="preserve">Duquesne Law Review </w:t>
      </w:r>
      <w:r w:rsidRPr="00991383">
        <w:rPr>
          <w:rFonts w:ascii="Times New Roman" w:hAnsi="Times New Roman"/>
          <w:sz w:val="24"/>
        </w:rPr>
        <w:t>79 at 90-92, citing</w:t>
      </w:r>
      <w:r w:rsidRPr="00991383">
        <w:rPr>
          <w:rFonts w:ascii="Times New Roman" w:hAnsi="Times New Roman"/>
          <w:i/>
          <w:sz w:val="24"/>
        </w:rPr>
        <w:t xml:space="preserve"> West Virginia v Environmental Protection Agency</w:t>
      </w:r>
      <w:r w:rsidRPr="00991383">
        <w:rPr>
          <w:rFonts w:ascii="Times New Roman" w:hAnsi="Times New Roman"/>
          <w:i/>
          <w:iCs/>
          <w:sz w:val="24"/>
        </w:rPr>
        <w:t xml:space="preserve"> </w:t>
      </w:r>
      <w:r w:rsidRPr="00991383">
        <w:rPr>
          <w:rFonts w:ascii="Times New Roman" w:hAnsi="Times New Roman"/>
          <w:sz w:val="24"/>
        </w:rPr>
        <w:t>(2022) 142 S Ct 2587.</w:t>
      </w:r>
    </w:p>
  </w:footnote>
  <w:footnote w:id="200">
    <w:p w14:paraId="454BAE08"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 xml:space="preserve">See </w:t>
      </w:r>
      <w:r w:rsidRPr="00991383">
        <w:rPr>
          <w:rFonts w:ascii="Times New Roman" w:hAnsi="Times New Roman"/>
          <w:i/>
          <w:sz w:val="24"/>
          <w:lang w:val="en-US"/>
        </w:rPr>
        <w:t xml:space="preserve">R v Board of Visitors of </w:t>
      </w:r>
      <w:proofErr w:type="spellStart"/>
      <w:r w:rsidRPr="00991383">
        <w:rPr>
          <w:rFonts w:ascii="Times New Roman" w:hAnsi="Times New Roman"/>
          <w:i/>
          <w:sz w:val="24"/>
          <w:lang w:val="en-US"/>
        </w:rPr>
        <w:t>Dartmoor</w:t>
      </w:r>
      <w:proofErr w:type="spellEnd"/>
      <w:r w:rsidRPr="00991383">
        <w:rPr>
          <w:rFonts w:ascii="Times New Roman" w:hAnsi="Times New Roman"/>
          <w:i/>
          <w:sz w:val="24"/>
          <w:lang w:val="en-US"/>
        </w:rPr>
        <w:t xml:space="preserve"> Prison; Ex </w:t>
      </w:r>
      <w:proofErr w:type="spellStart"/>
      <w:r w:rsidRPr="00991383">
        <w:rPr>
          <w:rFonts w:ascii="Times New Roman" w:hAnsi="Times New Roman"/>
          <w:i/>
          <w:sz w:val="24"/>
          <w:lang w:val="en-US"/>
        </w:rPr>
        <w:t>par</w:t>
      </w:r>
      <w:r w:rsidRPr="00991383">
        <w:rPr>
          <w:rFonts w:ascii="Times New Roman" w:hAnsi="Times New Roman"/>
          <w:i/>
          <w:iCs/>
          <w:sz w:val="24"/>
          <w:lang w:val="en-US"/>
        </w:rPr>
        <w:t>t</w:t>
      </w:r>
      <w:r w:rsidRPr="00991383">
        <w:rPr>
          <w:rFonts w:ascii="Times New Roman" w:hAnsi="Times New Roman"/>
          <w:i/>
          <w:sz w:val="24"/>
          <w:lang w:val="en-US"/>
        </w:rPr>
        <w:t>e</w:t>
      </w:r>
      <w:proofErr w:type="spellEnd"/>
      <w:r w:rsidRPr="00991383">
        <w:rPr>
          <w:rFonts w:ascii="Times New Roman" w:hAnsi="Times New Roman"/>
          <w:i/>
          <w:sz w:val="24"/>
          <w:lang w:val="en-US"/>
        </w:rPr>
        <w:t xml:space="preserve"> Smith</w:t>
      </w:r>
      <w:r w:rsidRPr="00991383" w:rsidDel="00994DCD">
        <w:rPr>
          <w:rFonts w:ascii="Times New Roman" w:hAnsi="Times New Roman"/>
          <w:sz w:val="24"/>
          <w:lang w:val="en-US"/>
        </w:rPr>
        <w:t xml:space="preserve"> </w:t>
      </w:r>
      <w:r w:rsidRPr="00991383">
        <w:rPr>
          <w:rFonts w:ascii="Times New Roman" w:hAnsi="Times New Roman"/>
          <w:sz w:val="24"/>
          <w:lang w:val="en-US"/>
        </w:rPr>
        <w:t xml:space="preserve">[1987] QB 106 at 115; </w:t>
      </w:r>
      <w:r w:rsidRPr="00991383">
        <w:rPr>
          <w:rFonts w:ascii="Times New Roman" w:hAnsi="Times New Roman"/>
          <w:i/>
          <w:sz w:val="24"/>
          <w:lang w:val="en-US"/>
        </w:rPr>
        <w:t xml:space="preserve">R v Secretary of State for the Home Department; Ex </w:t>
      </w:r>
      <w:proofErr w:type="spellStart"/>
      <w:r w:rsidRPr="00991383">
        <w:rPr>
          <w:rFonts w:ascii="Times New Roman" w:hAnsi="Times New Roman"/>
          <w:i/>
          <w:sz w:val="24"/>
          <w:lang w:val="en-US"/>
        </w:rPr>
        <w:t>parte</w:t>
      </w:r>
      <w:proofErr w:type="spellEnd"/>
      <w:r w:rsidRPr="00991383">
        <w:rPr>
          <w:rFonts w:ascii="Times New Roman" w:hAnsi="Times New Roman"/>
          <w:i/>
          <w:sz w:val="24"/>
          <w:lang w:val="en-US"/>
        </w:rPr>
        <w:t xml:space="preserve"> Salem</w:t>
      </w:r>
      <w:r w:rsidRPr="00991383">
        <w:rPr>
          <w:rFonts w:ascii="Times New Roman" w:hAnsi="Times New Roman"/>
          <w:i/>
          <w:iCs/>
          <w:sz w:val="24"/>
          <w:lang w:val="en-US"/>
        </w:rPr>
        <w:t xml:space="preserve"> </w:t>
      </w:r>
      <w:r w:rsidRPr="00991383">
        <w:rPr>
          <w:rFonts w:ascii="Times New Roman" w:hAnsi="Times New Roman"/>
          <w:sz w:val="24"/>
          <w:lang w:val="en-US"/>
        </w:rPr>
        <w:t xml:space="preserve">[1999] 1 AC 450 at 456; </w:t>
      </w:r>
      <w:r w:rsidRPr="00991383">
        <w:rPr>
          <w:rFonts w:ascii="Times New Roman" w:hAnsi="Times New Roman"/>
          <w:i/>
          <w:iCs/>
          <w:sz w:val="24"/>
          <w:lang w:val="en-US"/>
        </w:rPr>
        <w:t xml:space="preserve">MS (Pakistan) v Secretary of State for the Home Department </w:t>
      </w:r>
      <w:r w:rsidRPr="00991383">
        <w:rPr>
          <w:rFonts w:ascii="Times New Roman" w:hAnsi="Times New Roman"/>
          <w:sz w:val="24"/>
          <w:lang w:val="en-US"/>
        </w:rPr>
        <w:t xml:space="preserve">[2020] 1 WLR 1373 at 1378 </w:t>
      </w:r>
      <w:r w:rsidRPr="00991383" w:rsidDel="0084159A">
        <w:rPr>
          <w:rFonts w:ascii="Times New Roman" w:hAnsi="Times New Roman"/>
          <w:sz w:val="24"/>
          <w:lang w:val="en-US"/>
        </w:rPr>
        <w:t>[</w:t>
      </w:r>
      <w:r w:rsidRPr="00991383">
        <w:rPr>
          <w:rFonts w:ascii="Times New Roman" w:hAnsi="Times New Roman"/>
          <w:sz w:val="24"/>
          <w:lang w:val="en-US"/>
        </w:rPr>
        <w:t xml:space="preserve">10]; [2020] 3 All ER 733 at 739. </w:t>
      </w:r>
    </w:p>
  </w:footnote>
  <w:footnote w:id="201">
    <w:p w14:paraId="0360490B"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sz w:val="24"/>
          <w:lang w:val="en-US"/>
        </w:rPr>
        <w:t>(2023) 97 ALJR 150 at 159-160 [27]-[28]; 407 ALR 277 at 286.</w:t>
      </w:r>
    </w:p>
  </w:footnote>
  <w:footnote w:id="202">
    <w:p w14:paraId="1FDEE033"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Unions [No 3] </w:t>
      </w:r>
      <w:r w:rsidRPr="00991383">
        <w:rPr>
          <w:rFonts w:ascii="Times New Roman" w:hAnsi="Times New Roman"/>
          <w:sz w:val="24"/>
        </w:rPr>
        <w:t>(</w:t>
      </w:r>
      <w:r w:rsidRPr="00991383">
        <w:rPr>
          <w:rFonts w:ascii="Times New Roman" w:hAnsi="Times New Roman"/>
          <w:sz w:val="24"/>
          <w:lang w:val="en-US"/>
        </w:rPr>
        <w:t>2023) 97 ALJR 150 at 156 [10]; 407 ALR 277 at 280.</w:t>
      </w:r>
    </w:p>
  </w:footnote>
  <w:footnote w:id="203">
    <w:p w14:paraId="444BB6A8"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iCs/>
          <w:sz w:val="24"/>
        </w:rPr>
        <w:t xml:space="preserve">Unions [No 3] </w:t>
      </w:r>
      <w:r w:rsidRPr="00991383">
        <w:rPr>
          <w:rFonts w:ascii="Times New Roman" w:hAnsi="Times New Roman"/>
          <w:sz w:val="24"/>
        </w:rPr>
        <w:t>(</w:t>
      </w:r>
      <w:r w:rsidRPr="00991383">
        <w:rPr>
          <w:rFonts w:ascii="Times New Roman" w:hAnsi="Times New Roman"/>
          <w:sz w:val="24"/>
          <w:lang w:val="en-US"/>
        </w:rPr>
        <w:t xml:space="preserve">2023) 97 ALJR 150 at 159-160 [25]-[27]; 407 ALR 277 at 285-286. </w:t>
      </w:r>
    </w:p>
  </w:footnote>
  <w:footnote w:id="204">
    <w:p w14:paraId="27AB125D"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Unions [No 3] </w:t>
      </w:r>
      <w:r w:rsidRPr="00991383">
        <w:rPr>
          <w:rFonts w:ascii="Times New Roman" w:hAnsi="Times New Roman"/>
          <w:sz w:val="24"/>
        </w:rPr>
        <w:t>(</w:t>
      </w:r>
      <w:r w:rsidRPr="00991383">
        <w:rPr>
          <w:rFonts w:ascii="Times New Roman" w:hAnsi="Times New Roman"/>
          <w:sz w:val="24"/>
          <w:lang w:val="en-US"/>
        </w:rPr>
        <w:t xml:space="preserve">2023) 97 ALJR 150 at 157 [15]; 407 ALR 277 at 282. </w:t>
      </w:r>
    </w:p>
  </w:footnote>
  <w:footnote w:id="205">
    <w:p w14:paraId="68EC50A0"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Unions [No 3] </w:t>
      </w:r>
      <w:r w:rsidRPr="00991383">
        <w:rPr>
          <w:rFonts w:ascii="Times New Roman" w:hAnsi="Times New Roman"/>
          <w:sz w:val="24"/>
        </w:rPr>
        <w:t>(</w:t>
      </w:r>
      <w:r w:rsidRPr="00991383">
        <w:rPr>
          <w:rFonts w:ascii="Times New Roman" w:hAnsi="Times New Roman"/>
          <w:sz w:val="24"/>
          <w:lang w:val="en-US"/>
        </w:rPr>
        <w:t>2023) 97 ALJR 150 at 159 [24]-[25]; 407 ALR 277 at 285.</w:t>
      </w:r>
    </w:p>
  </w:footnote>
  <w:footnote w:id="206">
    <w:p w14:paraId="4CDDF7F8"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Unions [No 3] </w:t>
      </w:r>
      <w:r w:rsidRPr="00991383">
        <w:rPr>
          <w:rFonts w:ascii="Times New Roman" w:hAnsi="Times New Roman"/>
          <w:sz w:val="24"/>
        </w:rPr>
        <w:t>(</w:t>
      </w:r>
      <w:r w:rsidRPr="00991383">
        <w:rPr>
          <w:rFonts w:ascii="Times New Roman" w:hAnsi="Times New Roman"/>
          <w:sz w:val="24"/>
          <w:lang w:val="en-US"/>
        </w:rPr>
        <w:t xml:space="preserve">2023) 97 ALJR 150 at 159 [26]; 407 ALR 277 at 285, citing </w:t>
      </w:r>
      <w:r w:rsidRPr="00991383">
        <w:rPr>
          <w:rFonts w:ascii="Times New Roman" w:hAnsi="Times New Roman"/>
          <w:i/>
          <w:iCs/>
          <w:sz w:val="24"/>
          <w:lang w:val="en-US"/>
        </w:rPr>
        <w:t>Australian Conservation Foundation v The Commonwealth</w:t>
      </w:r>
      <w:r w:rsidRPr="00991383">
        <w:rPr>
          <w:rFonts w:ascii="Times New Roman" w:hAnsi="Times New Roman"/>
          <w:sz w:val="24"/>
          <w:lang w:val="en-US"/>
        </w:rPr>
        <w:t xml:space="preserve"> (1980) 146 CLR 493 at 530.</w:t>
      </w:r>
    </w:p>
  </w:footnote>
  <w:footnote w:id="207">
    <w:p w14:paraId="7A7EC9DE"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In re Judiciary and Navigation Acts</w:t>
      </w:r>
      <w:r w:rsidRPr="00991383">
        <w:rPr>
          <w:rFonts w:ascii="Times New Roman" w:hAnsi="Times New Roman"/>
          <w:sz w:val="24"/>
        </w:rPr>
        <w:t xml:space="preserve"> (1921) 29 CLR 257 at 266.</w:t>
      </w:r>
    </w:p>
  </w:footnote>
  <w:footnote w:id="208">
    <w:p w14:paraId="6D13559D"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proofErr w:type="spellStart"/>
      <w:r w:rsidRPr="00991383">
        <w:rPr>
          <w:rFonts w:ascii="Times New Roman" w:hAnsi="Times New Roman"/>
          <w:i/>
          <w:iCs/>
          <w:sz w:val="24"/>
          <w:lang w:val="en-US"/>
        </w:rPr>
        <w:t>Clubb</w:t>
      </w:r>
      <w:proofErr w:type="spellEnd"/>
      <w:r w:rsidRPr="00991383">
        <w:rPr>
          <w:rFonts w:ascii="Times New Roman" w:hAnsi="Times New Roman"/>
          <w:i/>
          <w:iCs/>
          <w:sz w:val="24"/>
          <w:lang w:val="en-US"/>
        </w:rPr>
        <w:t xml:space="preserve"> </w:t>
      </w:r>
      <w:r w:rsidRPr="00991383">
        <w:rPr>
          <w:rFonts w:ascii="Times New Roman" w:hAnsi="Times New Roman"/>
          <w:sz w:val="24"/>
          <w:lang w:val="en-US"/>
        </w:rPr>
        <w:t xml:space="preserve">(2019) 267 CLR 171 at 216-217 [136]. </w:t>
      </w:r>
    </w:p>
  </w:footnote>
  <w:footnote w:id="209">
    <w:p w14:paraId="19C84D91"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(2008) 233 CLR 542.</w:t>
      </w:r>
    </w:p>
  </w:footnote>
  <w:footnote w:id="210">
    <w:p w14:paraId="34546BF3"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CGU </w:t>
      </w:r>
      <w:r w:rsidRPr="00991383">
        <w:rPr>
          <w:rFonts w:ascii="Times New Roman" w:hAnsi="Times New Roman"/>
          <w:sz w:val="24"/>
        </w:rPr>
        <w:t>(2016) 259 CLR 339 at 351 [27].</w:t>
      </w:r>
    </w:p>
  </w:footnote>
  <w:footnote w:id="211">
    <w:p w14:paraId="25BE0C91"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Alinta </w:t>
      </w:r>
      <w:r w:rsidRPr="00991383">
        <w:rPr>
          <w:rFonts w:ascii="Times New Roman" w:hAnsi="Times New Roman"/>
          <w:sz w:val="24"/>
          <w:lang w:val="en-US"/>
        </w:rPr>
        <w:t xml:space="preserve">(2008) 233 CLR 542 at 568 [67] (footnote omitted). </w:t>
      </w:r>
    </w:p>
  </w:footnote>
  <w:footnote w:id="212">
    <w:p w14:paraId="06F4CE80"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i/>
          <w:iCs/>
          <w:sz w:val="24"/>
        </w:rPr>
        <w:tab/>
        <w:t xml:space="preserve">Alinta </w:t>
      </w:r>
      <w:r w:rsidRPr="00991383">
        <w:rPr>
          <w:rFonts w:ascii="Times New Roman" w:hAnsi="Times New Roman"/>
          <w:sz w:val="24"/>
          <w:lang w:val="en-US"/>
        </w:rPr>
        <w:t xml:space="preserve">(2008) 233 CLR 542 at 550 [1]. </w:t>
      </w:r>
    </w:p>
  </w:footnote>
  <w:footnote w:id="213">
    <w:p w14:paraId="78A2C456"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t>(1990) 171 CLR 232 at 284-285.</w:t>
      </w:r>
    </w:p>
  </w:footnote>
  <w:footnote w:id="214">
    <w:p w14:paraId="17530E28"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(1991) 173 CLR 289.</w:t>
      </w:r>
    </w:p>
  </w:footnote>
  <w:footnote w:id="215">
    <w:p w14:paraId="6852D232"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proofErr w:type="spellStart"/>
      <w:r w:rsidRPr="00991383">
        <w:rPr>
          <w:rFonts w:ascii="Times New Roman" w:hAnsi="Times New Roman"/>
          <w:i/>
          <w:iCs/>
          <w:sz w:val="24"/>
        </w:rPr>
        <w:t>Mellifont</w:t>
      </w:r>
      <w:proofErr w:type="spellEnd"/>
      <w:r w:rsidRPr="00991383">
        <w:rPr>
          <w:rFonts w:ascii="Times New Roman" w:hAnsi="Times New Roman"/>
          <w:i/>
          <w:iCs/>
          <w:sz w:val="24"/>
        </w:rPr>
        <w:t xml:space="preserve"> </w:t>
      </w:r>
      <w:r w:rsidRPr="00991383">
        <w:rPr>
          <w:rFonts w:ascii="Times New Roman" w:hAnsi="Times New Roman"/>
          <w:sz w:val="24"/>
          <w:lang w:val="en-US"/>
        </w:rPr>
        <w:t>(1991) 173 CLR 289 at 305.</w:t>
      </w:r>
    </w:p>
  </w:footnote>
  <w:footnote w:id="216">
    <w:p w14:paraId="4C56B4CF"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proofErr w:type="spellStart"/>
      <w:r w:rsidRPr="00991383">
        <w:rPr>
          <w:rFonts w:ascii="Times New Roman" w:hAnsi="Times New Roman"/>
          <w:i/>
          <w:iCs/>
          <w:sz w:val="24"/>
        </w:rPr>
        <w:t>Mellifont</w:t>
      </w:r>
      <w:proofErr w:type="spellEnd"/>
      <w:r w:rsidRPr="00991383">
        <w:rPr>
          <w:rFonts w:ascii="Times New Roman" w:hAnsi="Times New Roman"/>
          <w:i/>
          <w:iCs/>
          <w:sz w:val="24"/>
        </w:rPr>
        <w:t xml:space="preserve"> </w:t>
      </w:r>
      <w:r w:rsidRPr="00991383">
        <w:rPr>
          <w:rFonts w:ascii="Times New Roman" w:hAnsi="Times New Roman"/>
          <w:sz w:val="24"/>
          <w:lang w:val="en-US"/>
        </w:rPr>
        <w:t xml:space="preserve">(1991) 173 CLR 289 at 305. </w:t>
      </w:r>
    </w:p>
  </w:footnote>
  <w:footnote w:id="217">
    <w:p w14:paraId="35635193"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proofErr w:type="spellStart"/>
      <w:r w:rsidRPr="00991383">
        <w:rPr>
          <w:rFonts w:ascii="Times New Roman" w:hAnsi="Times New Roman"/>
          <w:i/>
          <w:iCs/>
          <w:sz w:val="24"/>
        </w:rPr>
        <w:t>Mellifont</w:t>
      </w:r>
      <w:proofErr w:type="spellEnd"/>
      <w:r w:rsidRPr="00991383">
        <w:rPr>
          <w:rFonts w:ascii="Times New Roman" w:hAnsi="Times New Roman"/>
          <w:i/>
          <w:iCs/>
          <w:sz w:val="24"/>
        </w:rPr>
        <w:t xml:space="preserve"> </w:t>
      </w:r>
      <w:r w:rsidRPr="00991383">
        <w:rPr>
          <w:rFonts w:ascii="Times New Roman" w:hAnsi="Times New Roman"/>
          <w:sz w:val="24"/>
          <w:lang w:val="en-US"/>
        </w:rPr>
        <w:t>(1991) 173 CLR 289 at 305.</w:t>
      </w:r>
    </w:p>
  </w:footnote>
  <w:footnote w:id="218">
    <w:p w14:paraId="3E3D4F37"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t>(1998) 194 CLR 566 at 576 [10].</w:t>
      </w:r>
    </w:p>
  </w:footnote>
  <w:footnote w:id="219">
    <w:p w14:paraId="5114D083"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ab/>
      </w:r>
      <w:r w:rsidRPr="00991383">
        <w:rPr>
          <w:rFonts w:ascii="Times New Roman" w:hAnsi="Times New Roman"/>
          <w:i/>
          <w:iCs/>
          <w:sz w:val="24"/>
          <w:lang w:val="en-US"/>
        </w:rPr>
        <w:t>B</w:t>
      </w:r>
      <w:r w:rsidRPr="00991383">
        <w:rPr>
          <w:rFonts w:ascii="Times New Roman" w:hAnsi="Times New Roman"/>
          <w:sz w:val="24"/>
          <w:lang w:val="en-US"/>
        </w:rPr>
        <w:t xml:space="preserve"> (1998) 194 CLR 566 at 575-576 [9], citing </w:t>
      </w:r>
      <w:proofErr w:type="spellStart"/>
      <w:r w:rsidRPr="00991383">
        <w:rPr>
          <w:rFonts w:ascii="Times New Roman" w:hAnsi="Times New Roman"/>
          <w:i/>
          <w:iCs/>
          <w:sz w:val="24"/>
        </w:rPr>
        <w:t>Mellifont</w:t>
      </w:r>
      <w:proofErr w:type="spellEnd"/>
      <w:r w:rsidRPr="00991383">
        <w:rPr>
          <w:rFonts w:ascii="Times New Roman" w:hAnsi="Times New Roman"/>
          <w:i/>
          <w:iCs/>
          <w:sz w:val="24"/>
        </w:rPr>
        <w:t xml:space="preserve"> </w:t>
      </w:r>
      <w:r w:rsidRPr="00991383">
        <w:rPr>
          <w:rFonts w:ascii="Times New Roman" w:hAnsi="Times New Roman"/>
          <w:sz w:val="24"/>
          <w:lang w:val="en-US"/>
        </w:rPr>
        <w:t>(1991) 173 CLR 289 at 306, 326.</w:t>
      </w:r>
    </w:p>
  </w:footnote>
  <w:footnote w:id="220">
    <w:p w14:paraId="26902222"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sz w:val="24"/>
        </w:rPr>
        <w:t xml:space="preserve">(2002) 209 CLR 372 at 409 [74]. </w:t>
      </w:r>
    </w:p>
  </w:footnote>
  <w:footnote w:id="221">
    <w:p w14:paraId="027A4573"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lang w:val="en-US"/>
        </w:rPr>
        <w:tab/>
      </w:r>
      <w:proofErr w:type="spellStart"/>
      <w:r w:rsidRPr="00991383">
        <w:rPr>
          <w:rFonts w:ascii="Times New Roman" w:hAnsi="Times New Roman"/>
          <w:sz w:val="24"/>
          <w:lang w:val="en-US"/>
        </w:rPr>
        <w:t>cf</w:t>
      </w:r>
      <w:proofErr w:type="spellEnd"/>
      <w:r w:rsidRPr="00991383" w:rsidDel="00AC35A6">
        <w:rPr>
          <w:rFonts w:ascii="Times New Roman" w:hAnsi="Times New Roman"/>
          <w:sz w:val="24"/>
          <w:lang w:val="en-US"/>
        </w:rPr>
        <w:t xml:space="preserve"> </w:t>
      </w:r>
      <w:r w:rsidRPr="00991383">
        <w:rPr>
          <w:rFonts w:ascii="Times New Roman" w:hAnsi="Times New Roman"/>
          <w:i/>
          <w:iCs/>
          <w:sz w:val="24"/>
          <w:lang w:val="en-US"/>
        </w:rPr>
        <w:t xml:space="preserve">Commonwealth Scientific and Industrial Research </w:t>
      </w:r>
      <w:proofErr w:type="spellStart"/>
      <w:r w:rsidRPr="00991383">
        <w:rPr>
          <w:rFonts w:ascii="Times New Roman" w:hAnsi="Times New Roman"/>
          <w:i/>
          <w:iCs/>
          <w:sz w:val="24"/>
          <w:lang w:val="en-US"/>
        </w:rPr>
        <w:t>Organisation</w:t>
      </w:r>
      <w:proofErr w:type="spellEnd"/>
      <w:r w:rsidRPr="00991383">
        <w:rPr>
          <w:rFonts w:ascii="Times New Roman" w:hAnsi="Times New Roman"/>
          <w:i/>
          <w:sz w:val="24"/>
          <w:lang w:val="en-US"/>
        </w:rPr>
        <w:t xml:space="preserve"> v Perry [No 2]</w:t>
      </w:r>
      <w:r w:rsidRPr="00991383">
        <w:rPr>
          <w:rFonts w:ascii="Times New Roman" w:hAnsi="Times New Roman"/>
          <w:sz w:val="24"/>
          <w:lang w:val="en-US"/>
        </w:rPr>
        <w:t xml:space="preserve"> (1988) 53 SASR 538 at 552, 557; </w:t>
      </w:r>
      <w:r w:rsidRPr="00991383">
        <w:rPr>
          <w:rFonts w:ascii="Times New Roman" w:hAnsi="Times New Roman"/>
          <w:i/>
          <w:sz w:val="24"/>
          <w:lang w:val="en-US"/>
        </w:rPr>
        <w:t xml:space="preserve">Coffs </w:t>
      </w:r>
      <w:proofErr w:type="spellStart"/>
      <w:r w:rsidRPr="00991383">
        <w:rPr>
          <w:rFonts w:ascii="Times New Roman" w:hAnsi="Times New Roman"/>
          <w:i/>
          <w:sz w:val="24"/>
          <w:lang w:val="en-US"/>
        </w:rPr>
        <w:t>Harbour</w:t>
      </w:r>
      <w:proofErr w:type="spellEnd"/>
      <w:r w:rsidRPr="00991383">
        <w:rPr>
          <w:rFonts w:ascii="Times New Roman" w:hAnsi="Times New Roman"/>
          <w:i/>
          <w:sz w:val="24"/>
          <w:lang w:val="en-US"/>
        </w:rPr>
        <w:t xml:space="preserve"> </w:t>
      </w:r>
      <w:r w:rsidRPr="00991383">
        <w:rPr>
          <w:rFonts w:ascii="Times New Roman" w:hAnsi="Times New Roman"/>
          <w:i/>
          <w:iCs/>
          <w:sz w:val="24"/>
          <w:lang w:val="en-US"/>
        </w:rPr>
        <w:t xml:space="preserve">Environment Centre Inc v Minister for Planning </w:t>
      </w:r>
      <w:r w:rsidRPr="00991383">
        <w:rPr>
          <w:rFonts w:ascii="Times New Roman" w:hAnsi="Times New Roman"/>
          <w:sz w:val="24"/>
          <w:lang w:val="en-US"/>
        </w:rPr>
        <w:t xml:space="preserve">(1994) 84 LGERA 324 at 336. </w:t>
      </w:r>
    </w:p>
  </w:footnote>
  <w:footnote w:id="222">
    <w:p w14:paraId="27C7111D"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AZC20 </w:t>
      </w:r>
      <w:r w:rsidRPr="00991383">
        <w:rPr>
          <w:rFonts w:ascii="Times New Roman" w:hAnsi="Times New Roman"/>
          <w:sz w:val="24"/>
        </w:rPr>
        <w:t>(2022)</w:t>
      </w:r>
      <w:r w:rsidRPr="00991383">
        <w:rPr>
          <w:rFonts w:ascii="Times New Roman" w:hAnsi="Times New Roman"/>
          <w:i/>
          <w:iCs/>
          <w:sz w:val="24"/>
        </w:rPr>
        <w:t xml:space="preserve"> </w:t>
      </w:r>
      <w:r w:rsidRPr="00991383">
        <w:rPr>
          <w:rFonts w:ascii="Times New Roman" w:hAnsi="Times New Roman"/>
          <w:sz w:val="24"/>
        </w:rPr>
        <w:t>290 FCR 149</w:t>
      </w:r>
      <w:r w:rsidRPr="00991383">
        <w:rPr>
          <w:rFonts w:ascii="Times New Roman" w:hAnsi="Times New Roman"/>
          <w:i/>
          <w:iCs/>
          <w:sz w:val="24"/>
        </w:rPr>
        <w:t xml:space="preserve"> </w:t>
      </w:r>
      <w:r w:rsidRPr="00991383">
        <w:rPr>
          <w:rFonts w:ascii="Times New Roman" w:hAnsi="Times New Roman"/>
          <w:sz w:val="24"/>
        </w:rPr>
        <w:t>at 165-170 [79]-[104].</w:t>
      </w:r>
    </w:p>
  </w:footnote>
  <w:footnote w:id="223">
    <w:p w14:paraId="1AE85231"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AZC20 </w:t>
      </w:r>
      <w:r w:rsidRPr="00991383">
        <w:rPr>
          <w:rFonts w:ascii="Times New Roman" w:hAnsi="Times New Roman"/>
          <w:sz w:val="24"/>
        </w:rPr>
        <w:t>(2022)</w:t>
      </w:r>
      <w:r w:rsidRPr="00991383">
        <w:rPr>
          <w:rFonts w:ascii="Times New Roman" w:hAnsi="Times New Roman"/>
          <w:i/>
          <w:iCs/>
          <w:sz w:val="24"/>
        </w:rPr>
        <w:t xml:space="preserve"> </w:t>
      </w:r>
      <w:r w:rsidRPr="00991383">
        <w:rPr>
          <w:rFonts w:ascii="Times New Roman" w:hAnsi="Times New Roman"/>
          <w:sz w:val="24"/>
        </w:rPr>
        <w:t>290 FCR 149</w:t>
      </w:r>
      <w:r w:rsidRPr="00991383">
        <w:rPr>
          <w:rFonts w:ascii="Times New Roman" w:hAnsi="Times New Roman"/>
          <w:i/>
          <w:iCs/>
          <w:sz w:val="24"/>
        </w:rPr>
        <w:t xml:space="preserve"> </w:t>
      </w:r>
      <w:r w:rsidRPr="00991383">
        <w:rPr>
          <w:rFonts w:ascii="Times New Roman" w:hAnsi="Times New Roman"/>
          <w:sz w:val="24"/>
        </w:rPr>
        <w:t xml:space="preserve">at 154 [18]-[20]. </w:t>
      </w:r>
    </w:p>
  </w:footnote>
  <w:footnote w:id="224">
    <w:p w14:paraId="5DA5E54F"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lang w:val="en-US"/>
        </w:rPr>
        <w:tab/>
      </w:r>
      <w:r w:rsidRPr="00991383">
        <w:rPr>
          <w:rFonts w:ascii="Times New Roman" w:hAnsi="Times New Roman"/>
          <w:i/>
          <w:iCs/>
          <w:sz w:val="24"/>
          <w:lang w:val="en-US"/>
        </w:rPr>
        <w:t xml:space="preserve">Minister for Immigration and Multicultural and Indigenous Affairs v </w:t>
      </w:r>
      <w:r w:rsidRPr="00991383">
        <w:rPr>
          <w:rFonts w:ascii="Times New Roman" w:hAnsi="Times New Roman"/>
          <w:i/>
          <w:sz w:val="24"/>
          <w:lang w:val="en-US"/>
        </w:rPr>
        <w:t xml:space="preserve">Al </w:t>
      </w:r>
      <w:proofErr w:type="spellStart"/>
      <w:r w:rsidRPr="00991383">
        <w:rPr>
          <w:rFonts w:ascii="Times New Roman" w:hAnsi="Times New Roman"/>
          <w:i/>
          <w:sz w:val="24"/>
          <w:lang w:val="en-US"/>
        </w:rPr>
        <w:t>Masri</w:t>
      </w:r>
      <w:proofErr w:type="spellEnd"/>
      <w:r w:rsidRPr="00991383">
        <w:rPr>
          <w:rFonts w:ascii="Times New Roman" w:hAnsi="Times New Roman"/>
          <w:sz w:val="24"/>
          <w:lang w:val="en-US"/>
        </w:rPr>
        <w:t xml:space="preserve"> (2003) 126 FCR 54 at 61-62 [19]-[21];</w:t>
      </w:r>
      <w:r w:rsidRPr="00991383">
        <w:rPr>
          <w:rFonts w:ascii="Times New Roman" w:hAnsi="Times New Roman"/>
          <w:i/>
          <w:iCs/>
          <w:sz w:val="24"/>
          <w:lang w:val="en-US"/>
        </w:rPr>
        <w:t xml:space="preserve"> </w:t>
      </w:r>
      <w:proofErr w:type="spellStart"/>
      <w:r w:rsidRPr="00991383">
        <w:rPr>
          <w:rFonts w:ascii="Times New Roman" w:hAnsi="Times New Roman"/>
          <w:i/>
          <w:sz w:val="24"/>
          <w:lang w:val="en-US"/>
        </w:rPr>
        <w:t>Bonan</w:t>
      </w:r>
      <w:proofErr w:type="spellEnd"/>
      <w:r w:rsidRPr="00991383">
        <w:rPr>
          <w:rFonts w:ascii="Times New Roman" w:hAnsi="Times New Roman"/>
          <w:sz w:val="24"/>
          <w:lang w:val="en-US"/>
        </w:rPr>
        <w:t xml:space="preserve"> (2007) 160 FCR 29 at 32 [10]. </w:t>
      </w:r>
    </w:p>
  </w:footnote>
  <w:footnote w:id="225">
    <w:p w14:paraId="405AFACA" w14:textId="77777777" w:rsidR="00541D69" w:rsidRPr="00991383" w:rsidRDefault="00541D69" w:rsidP="00991383">
      <w:pPr>
        <w:pStyle w:val="FootnoteText"/>
        <w:spacing w:line="280" w:lineRule="exact"/>
        <w:ind w:right="0"/>
        <w:jc w:val="both"/>
        <w:rPr>
          <w:rFonts w:ascii="Times New Roman" w:hAnsi="Times New Roman"/>
          <w:sz w:val="24"/>
        </w:rPr>
      </w:pPr>
      <w:r w:rsidRPr="00991383">
        <w:rPr>
          <w:rStyle w:val="FootnoteReference"/>
          <w:rFonts w:ascii="Times New Roman" w:hAnsi="Times New Roman"/>
          <w:sz w:val="22"/>
          <w:vertAlign w:val="baseline"/>
        </w:rPr>
        <w:footnoteRef/>
      </w:r>
      <w:r w:rsidRPr="00991383">
        <w:rPr>
          <w:rFonts w:ascii="Times New Roman" w:hAnsi="Times New Roman"/>
          <w:sz w:val="24"/>
        </w:rPr>
        <w:t xml:space="preserve"> </w:t>
      </w:r>
      <w:r w:rsidRPr="00991383">
        <w:rPr>
          <w:rFonts w:ascii="Times New Roman" w:hAnsi="Times New Roman"/>
          <w:sz w:val="24"/>
        </w:rPr>
        <w:tab/>
      </w:r>
      <w:r w:rsidRPr="00991383">
        <w:rPr>
          <w:rFonts w:ascii="Times New Roman" w:hAnsi="Times New Roman"/>
          <w:i/>
          <w:iCs/>
          <w:sz w:val="24"/>
        </w:rPr>
        <w:t xml:space="preserve">AZC20 </w:t>
      </w:r>
      <w:r w:rsidRPr="00991383">
        <w:rPr>
          <w:rFonts w:ascii="Times New Roman" w:hAnsi="Times New Roman"/>
          <w:sz w:val="24"/>
        </w:rPr>
        <w:t>(2022)</w:t>
      </w:r>
      <w:r w:rsidRPr="00991383">
        <w:rPr>
          <w:rFonts w:ascii="Times New Roman" w:hAnsi="Times New Roman"/>
          <w:i/>
          <w:iCs/>
          <w:sz w:val="24"/>
        </w:rPr>
        <w:t xml:space="preserve"> </w:t>
      </w:r>
      <w:r w:rsidRPr="00991383">
        <w:rPr>
          <w:rFonts w:ascii="Times New Roman" w:hAnsi="Times New Roman"/>
          <w:sz w:val="24"/>
        </w:rPr>
        <w:t>290 FCR 149</w:t>
      </w:r>
      <w:r w:rsidRPr="00991383">
        <w:rPr>
          <w:rFonts w:ascii="Times New Roman" w:hAnsi="Times New Roman"/>
          <w:i/>
          <w:iCs/>
          <w:sz w:val="24"/>
        </w:rPr>
        <w:t xml:space="preserve"> </w:t>
      </w:r>
      <w:r w:rsidRPr="00991383">
        <w:rPr>
          <w:rFonts w:ascii="Times New Roman" w:hAnsi="Times New Roman"/>
          <w:sz w:val="24"/>
        </w:rPr>
        <w:t xml:space="preserve">at 154 [20]. </w:t>
      </w:r>
    </w:p>
  </w:footnote>
  <w:footnote w:id="226">
    <w:p w14:paraId="7D53F138" w14:textId="77777777" w:rsidR="00541D69" w:rsidRPr="00991383" w:rsidRDefault="00541D69" w:rsidP="00991383">
      <w:pPr>
        <w:pStyle w:val="FootnoteText"/>
        <w:spacing w:line="280" w:lineRule="exact"/>
        <w:ind w:right="0"/>
        <w:jc w:val="both"/>
        <w:rPr>
          <w:rFonts w:ascii="Times New Roman" w:hAnsi="Times New Roman"/>
          <w:sz w:val="24"/>
          <w:lang w:val="en-US"/>
        </w:rPr>
      </w:pPr>
      <w:r w:rsidRPr="00991383">
        <w:rPr>
          <w:rStyle w:val="FootnoteReference"/>
          <w:rFonts w:ascii="Times New Roman" w:hAnsi="Times New Roman"/>
          <w:sz w:val="22"/>
          <w:vertAlign w:val="baseline"/>
        </w:rPr>
        <w:footnoteRef/>
      </w:r>
      <w:r w:rsidRPr="00991383">
        <w:rPr>
          <w:rFonts w:ascii="Times New Roman" w:hAnsi="Times New Roman"/>
          <w:sz w:val="24"/>
        </w:rPr>
        <w:tab/>
      </w:r>
      <w:r w:rsidRPr="00991383">
        <w:rPr>
          <w:rFonts w:ascii="Times New Roman" w:hAnsi="Times New Roman"/>
          <w:i/>
          <w:iCs/>
          <w:sz w:val="24"/>
        </w:rPr>
        <w:t xml:space="preserve">Hub Street Equipment Pty Ltd v Energy City Qatar Holding Company </w:t>
      </w:r>
      <w:r w:rsidRPr="00991383">
        <w:rPr>
          <w:rFonts w:ascii="Times New Roman" w:hAnsi="Times New Roman"/>
          <w:sz w:val="24"/>
        </w:rPr>
        <w:t xml:space="preserve">(2021) 290 FCR 298 at 301-302 [3]-[11].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A04E" w14:textId="77777777" w:rsidR="0020045E" w:rsidRPr="00445CF2" w:rsidRDefault="0020045E" w:rsidP="00445C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E962" w14:textId="77777777" w:rsidR="00991383" w:rsidRDefault="00541D69" w:rsidP="0099138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4C5B07C7" w14:textId="77777777" w:rsidR="00991383" w:rsidRDefault="00000000" w:rsidP="00991383">
    <w:pPr>
      <w:pStyle w:val="Header"/>
      <w:tabs>
        <w:tab w:val="clear" w:pos="4153"/>
        <w:tab w:val="clear" w:pos="8306"/>
        <w:tab w:val="right" w:pos="1304"/>
      </w:tabs>
      <w:spacing w:line="280" w:lineRule="exact"/>
      <w:ind w:firstLine="0"/>
      <w:rPr>
        <w:rFonts w:ascii="Times New Roman" w:hAnsi="Times New Roman"/>
        <w:i/>
        <w:sz w:val="22"/>
      </w:rPr>
    </w:pPr>
  </w:p>
  <w:p w14:paraId="5B463974" w14:textId="77777777" w:rsidR="00991383" w:rsidRDefault="00541D69" w:rsidP="0099138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0170104" w14:textId="77777777" w:rsidR="00991383" w:rsidRPr="00991383" w:rsidRDefault="00000000" w:rsidP="0099138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958C" w14:textId="77777777" w:rsidR="00991383" w:rsidRDefault="00541D69" w:rsidP="0099138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79013F8" w14:textId="77777777" w:rsidR="00991383" w:rsidRDefault="00000000" w:rsidP="00991383">
    <w:pPr>
      <w:pStyle w:val="Header"/>
      <w:tabs>
        <w:tab w:val="clear" w:pos="4153"/>
        <w:tab w:val="clear" w:pos="8306"/>
        <w:tab w:val="left" w:pos="7200"/>
        <w:tab w:val="right" w:pos="8504"/>
      </w:tabs>
      <w:spacing w:line="280" w:lineRule="exact"/>
      <w:jc w:val="right"/>
      <w:rPr>
        <w:rFonts w:ascii="Times New Roman" w:hAnsi="Times New Roman"/>
        <w:i/>
        <w:sz w:val="22"/>
      </w:rPr>
    </w:pPr>
  </w:p>
  <w:p w14:paraId="4D5AF173" w14:textId="77777777" w:rsidR="00991383" w:rsidRDefault="00541D69" w:rsidP="0099138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4EDB93F" w14:textId="77777777" w:rsidR="00991383" w:rsidRPr="00991383" w:rsidRDefault="00000000" w:rsidP="0099138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CBE8" w14:textId="77777777" w:rsidR="00991383" w:rsidRDefault="00000000" w:rsidP="00991383">
    <w:pPr>
      <w:pStyle w:val="Header"/>
      <w:tabs>
        <w:tab w:val="clear" w:pos="4153"/>
        <w:tab w:val="clear" w:pos="8306"/>
        <w:tab w:val="center" w:pos="1134"/>
      </w:tabs>
      <w:spacing w:line="280" w:lineRule="exact"/>
      <w:ind w:firstLine="0"/>
      <w:rPr>
        <w:rFonts w:ascii="Times New Roman" w:hAnsi="Times New Roman"/>
        <w:i/>
        <w:sz w:val="22"/>
      </w:rPr>
    </w:pPr>
  </w:p>
  <w:p w14:paraId="5A1D75EC" w14:textId="77777777" w:rsidR="00991383" w:rsidRDefault="00000000" w:rsidP="00991383">
    <w:pPr>
      <w:pStyle w:val="Header"/>
      <w:tabs>
        <w:tab w:val="clear" w:pos="4153"/>
        <w:tab w:val="clear" w:pos="8306"/>
        <w:tab w:val="center" w:pos="1134"/>
      </w:tabs>
      <w:spacing w:line="280" w:lineRule="exact"/>
      <w:ind w:firstLine="0"/>
      <w:rPr>
        <w:rFonts w:ascii="Times New Roman" w:hAnsi="Times New Roman"/>
        <w:i/>
        <w:sz w:val="22"/>
      </w:rPr>
    </w:pPr>
  </w:p>
  <w:p w14:paraId="3741B521" w14:textId="77777777" w:rsidR="00991383" w:rsidRDefault="00000000" w:rsidP="00991383">
    <w:pPr>
      <w:pStyle w:val="Header"/>
      <w:tabs>
        <w:tab w:val="clear" w:pos="4153"/>
        <w:tab w:val="clear" w:pos="8306"/>
        <w:tab w:val="center" w:pos="1134"/>
      </w:tabs>
      <w:spacing w:line="280" w:lineRule="exact"/>
      <w:ind w:firstLine="0"/>
      <w:rPr>
        <w:rFonts w:ascii="Times New Roman" w:hAnsi="Times New Roman"/>
        <w:i/>
        <w:sz w:val="22"/>
      </w:rPr>
    </w:pPr>
  </w:p>
  <w:p w14:paraId="6ECE7705" w14:textId="77777777" w:rsidR="00236DBE" w:rsidRPr="00991383" w:rsidRDefault="00000000" w:rsidP="00991383">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0458" w14:textId="77777777" w:rsidR="007F6A5B" w:rsidRPr="00991383" w:rsidRDefault="007F6A5B" w:rsidP="0099138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F808" w14:textId="63D74CDD" w:rsidR="0020045E" w:rsidRPr="00445CF2" w:rsidRDefault="00445CF2" w:rsidP="00445CF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B82159">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B82159">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2A90" w14:textId="266B97E2" w:rsidR="00B855A6" w:rsidRPr="00445CF2" w:rsidRDefault="00B855A6" w:rsidP="00445C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CF95" w14:textId="77777777" w:rsidR="00445CF2" w:rsidRPr="0020045E" w:rsidRDefault="00445CF2" w:rsidP="0020045E">
    <w:pPr>
      <w:pStyle w:val="Header"/>
      <w:tabs>
        <w:tab w:val="clear" w:pos="4153"/>
        <w:tab w:val="clear" w:pos="8306"/>
        <w:tab w:val="right" w:pos="1304"/>
      </w:tabs>
      <w:spacing w:line="280" w:lineRule="exact"/>
      <w:ind w:firstLine="0"/>
      <w:rPr>
        <w:rFonts w:ascii="Times New Roman" w:hAnsi="Times New Roman"/>
        <w:i/>
        <w:sz w:val="22"/>
      </w:rPr>
    </w:pPr>
    <w:r w:rsidRPr="0020045E">
      <w:rPr>
        <w:rFonts w:ascii="Times New Roman" w:hAnsi="Times New Roman"/>
        <w:i/>
        <w:sz w:val="22"/>
      </w:rPr>
      <w:t>Kiefel</w:t>
    </w:r>
    <w:r w:rsidRPr="0020045E">
      <w:rPr>
        <w:rFonts w:ascii="Times New Roman" w:hAnsi="Times New Roman"/>
        <w:i/>
        <w:sz w:val="22"/>
      </w:rPr>
      <w:tab/>
      <w:t>CJ</w:t>
    </w:r>
  </w:p>
  <w:p w14:paraId="2CC14E76" w14:textId="77777777" w:rsidR="00445CF2" w:rsidRPr="0020045E" w:rsidRDefault="00445CF2" w:rsidP="0020045E">
    <w:pPr>
      <w:pStyle w:val="Header"/>
      <w:tabs>
        <w:tab w:val="clear" w:pos="4153"/>
        <w:tab w:val="clear" w:pos="8306"/>
        <w:tab w:val="right" w:pos="1304"/>
      </w:tabs>
      <w:spacing w:line="280" w:lineRule="exact"/>
      <w:ind w:firstLine="0"/>
      <w:rPr>
        <w:rFonts w:ascii="Times New Roman" w:hAnsi="Times New Roman"/>
        <w:i/>
        <w:sz w:val="22"/>
      </w:rPr>
    </w:pPr>
    <w:r w:rsidRPr="0020045E">
      <w:rPr>
        <w:rFonts w:ascii="Times New Roman" w:hAnsi="Times New Roman"/>
        <w:i/>
        <w:sz w:val="22"/>
      </w:rPr>
      <w:t>Gordon</w:t>
    </w:r>
    <w:r w:rsidRPr="0020045E">
      <w:rPr>
        <w:rFonts w:ascii="Times New Roman" w:hAnsi="Times New Roman"/>
        <w:i/>
        <w:sz w:val="22"/>
      </w:rPr>
      <w:tab/>
      <w:t>J</w:t>
    </w:r>
  </w:p>
  <w:p w14:paraId="0EEBDBB6" w14:textId="77777777" w:rsidR="00445CF2" w:rsidRDefault="00445CF2" w:rsidP="0020045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09589C9A" w14:textId="77777777" w:rsidR="00445CF2" w:rsidRDefault="00445CF2" w:rsidP="0020045E">
    <w:pPr>
      <w:pStyle w:val="Header"/>
      <w:tabs>
        <w:tab w:val="clear" w:pos="4153"/>
        <w:tab w:val="clear" w:pos="8306"/>
        <w:tab w:val="right" w:pos="1304"/>
      </w:tabs>
      <w:spacing w:line="280" w:lineRule="exact"/>
      <w:ind w:firstLine="0"/>
      <w:rPr>
        <w:rFonts w:ascii="Times New Roman" w:hAnsi="Times New Roman"/>
        <w:i/>
        <w:sz w:val="22"/>
      </w:rPr>
    </w:pPr>
  </w:p>
  <w:p w14:paraId="277C7E5D" w14:textId="77777777" w:rsidR="00445CF2" w:rsidRDefault="00445CF2" w:rsidP="0020045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E087506" w14:textId="77777777" w:rsidR="00445CF2" w:rsidRPr="0020045E" w:rsidRDefault="00445CF2" w:rsidP="0020045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7E2D" w14:textId="77777777" w:rsidR="00445CF2" w:rsidRPr="0020045E" w:rsidRDefault="00445CF2" w:rsidP="0020045E">
    <w:pPr>
      <w:pStyle w:val="Header"/>
      <w:tabs>
        <w:tab w:val="clear" w:pos="4153"/>
        <w:tab w:val="clear" w:pos="8306"/>
        <w:tab w:val="left" w:pos="7200"/>
        <w:tab w:val="right" w:pos="8504"/>
      </w:tabs>
      <w:spacing w:line="280" w:lineRule="exact"/>
      <w:jc w:val="right"/>
      <w:rPr>
        <w:rFonts w:ascii="Times New Roman" w:hAnsi="Times New Roman"/>
        <w:i/>
        <w:sz w:val="22"/>
      </w:rPr>
    </w:pPr>
    <w:r w:rsidRPr="0020045E">
      <w:rPr>
        <w:rFonts w:ascii="Times New Roman" w:hAnsi="Times New Roman"/>
        <w:i/>
        <w:sz w:val="22"/>
      </w:rPr>
      <w:tab/>
      <w:t>Kiefel</w:t>
    </w:r>
    <w:r w:rsidRPr="0020045E">
      <w:rPr>
        <w:rFonts w:ascii="Times New Roman" w:hAnsi="Times New Roman"/>
        <w:i/>
        <w:sz w:val="22"/>
      </w:rPr>
      <w:tab/>
      <w:t>CJ</w:t>
    </w:r>
  </w:p>
  <w:p w14:paraId="19576D53" w14:textId="77777777" w:rsidR="00445CF2" w:rsidRPr="0020045E" w:rsidRDefault="00445CF2" w:rsidP="0020045E">
    <w:pPr>
      <w:pStyle w:val="Header"/>
      <w:tabs>
        <w:tab w:val="clear" w:pos="4153"/>
        <w:tab w:val="clear" w:pos="8306"/>
        <w:tab w:val="left" w:pos="7200"/>
        <w:tab w:val="right" w:pos="8504"/>
      </w:tabs>
      <w:spacing w:line="280" w:lineRule="exact"/>
      <w:jc w:val="right"/>
      <w:rPr>
        <w:rFonts w:ascii="Times New Roman" w:hAnsi="Times New Roman"/>
        <w:i/>
        <w:sz w:val="22"/>
      </w:rPr>
    </w:pPr>
    <w:r w:rsidRPr="0020045E">
      <w:rPr>
        <w:rFonts w:ascii="Times New Roman" w:hAnsi="Times New Roman"/>
        <w:i/>
        <w:sz w:val="22"/>
      </w:rPr>
      <w:tab/>
      <w:t>Gordon</w:t>
    </w:r>
    <w:r w:rsidRPr="0020045E">
      <w:rPr>
        <w:rFonts w:ascii="Times New Roman" w:hAnsi="Times New Roman"/>
        <w:i/>
        <w:sz w:val="22"/>
      </w:rPr>
      <w:tab/>
      <w:t>J</w:t>
    </w:r>
  </w:p>
  <w:p w14:paraId="4A09CEFC" w14:textId="77777777" w:rsidR="00445CF2" w:rsidRDefault="00445CF2" w:rsidP="0020045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5567E79" w14:textId="77777777" w:rsidR="00445CF2" w:rsidRDefault="00445CF2" w:rsidP="0020045E">
    <w:pPr>
      <w:pStyle w:val="Header"/>
      <w:tabs>
        <w:tab w:val="clear" w:pos="4153"/>
        <w:tab w:val="clear" w:pos="8306"/>
        <w:tab w:val="left" w:pos="7200"/>
        <w:tab w:val="right" w:pos="8504"/>
      </w:tabs>
      <w:spacing w:line="280" w:lineRule="exact"/>
      <w:jc w:val="right"/>
      <w:rPr>
        <w:rFonts w:ascii="Times New Roman" w:hAnsi="Times New Roman"/>
        <w:i/>
        <w:sz w:val="22"/>
      </w:rPr>
    </w:pPr>
  </w:p>
  <w:p w14:paraId="123EDB80" w14:textId="77777777" w:rsidR="00445CF2" w:rsidRDefault="00445CF2" w:rsidP="0020045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0777493" w14:textId="77777777" w:rsidR="00445CF2" w:rsidRPr="0020045E" w:rsidRDefault="00445CF2" w:rsidP="0020045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2827" w14:textId="77777777" w:rsidR="00445CF2" w:rsidRDefault="00445CF2" w:rsidP="0020045E">
    <w:pPr>
      <w:pStyle w:val="Header"/>
      <w:tabs>
        <w:tab w:val="clear" w:pos="4153"/>
        <w:tab w:val="clear" w:pos="8306"/>
        <w:tab w:val="center" w:pos="1134"/>
      </w:tabs>
      <w:spacing w:line="280" w:lineRule="exact"/>
      <w:ind w:firstLine="0"/>
      <w:rPr>
        <w:rFonts w:ascii="Times New Roman" w:hAnsi="Times New Roman"/>
        <w:i/>
        <w:sz w:val="22"/>
      </w:rPr>
    </w:pPr>
  </w:p>
  <w:p w14:paraId="239A1CF0" w14:textId="77777777" w:rsidR="00445CF2" w:rsidRDefault="00445CF2" w:rsidP="0020045E">
    <w:pPr>
      <w:pStyle w:val="Header"/>
      <w:tabs>
        <w:tab w:val="clear" w:pos="4153"/>
        <w:tab w:val="clear" w:pos="8306"/>
        <w:tab w:val="center" w:pos="1134"/>
      </w:tabs>
      <w:spacing w:line="280" w:lineRule="exact"/>
      <w:ind w:firstLine="0"/>
      <w:rPr>
        <w:rFonts w:ascii="Times New Roman" w:hAnsi="Times New Roman"/>
        <w:i/>
        <w:sz w:val="22"/>
      </w:rPr>
    </w:pPr>
  </w:p>
  <w:p w14:paraId="6A54E293" w14:textId="77777777" w:rsidR="00445CF2" w:rsidRDefault="00445CF2" w:rsidP="0020045E">
    <w:pPr>
      <w:pStyle w:val="Header"/>
      <w:tabs>
        <w:tab w:val="clear" w:pos="4153"/>
        <w:tab w:val="clear" w:pos="8306"/>
        <w:tab w:val="center" w:pos="1134"/>
      </w:tabs>
      <w:spacing w:line="280" w:lineRule="exact"/>
      <w:ind w:firstLine="0"/>
      <w:rPr>
        <w:rFonts w:ascii="Times New Roman" w:hAnsi="Times New Roman"/>
        <w:i/>
        <w:sz w:val="22"/>
      </w:rPr>
    </w:pPr>
  </w:p>
  <w:p w14:paraId="558514DE" w14:textId="77777777" w:rsidR="00445CF2" w:rsidRDefault="00445CF2" w:rsidP="0020045E">
    <w:pPr>
      <w:pStyle w:val="Header"/>
      <w:tabs>
        <w:tab w:val="clear" w:pos="4153"/>
        <w:tab w:val="clear" w:pos="8306"/>
        <w:tab w:val="center" w:pos="1134"/>
      </w:tabs>
      <w:spacing w:line="280" w:lineRule="exact"/>
      <w:ind w:firstLine="0"/>
      <w:rPr>
        <w:rFonts w:ascii="Times New Roman" w:hAnsi="Times New Roman"/>
        <w:i/>
        <w:sz w:val="22"/>
      </w:rPr>
    </w:pPr>
  </w:p>
  <w:p w14:paraId="6D7E5EF7" w14:textId="77777777" w:rsidR="00445CF2" w:rsidRDefault="00445CF2" w:rsidP="0020045E">
    <w:pPr>
      <w:pStyle w:val="Header"/>
      <w:tabs>
        <w:tab w:val="clear" w:pos="4153"/>
        <w:tab w:val="clear" w:pos="8306"/>
        <w:tab w:val="center" w:pos="1134"/>
      </w:tabs>
      <w:spacing w:line="280" w:lineRule="exact"/>
      <w:ind w:firstLine="0"/>
      <w:rPr>
        <w:rFonts w:ascii="Times New Roman" w:hAnsi="Times New Roman"/>
        <w:i/>
        <w:sz w:val="22"/>
      </w:rPr>
    </w:pPr>
  </w:p>
  <w:p w14:paraId="240E0D2A" w14:textId="77777777" w:rsidR="00445CF2" w:rsidRPr="0020045E" w:rsidRDefault="00445CF2" w:rsidP="0020045E">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E755" w14:textId="77777777" w:rsidR="002D070A" w:rsidRDefault="00541D69" w:rsidP="002D070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48766B64" w14:textId="77777777" w:rsidR="002D070A" w:rsidRDefault="00000000" w:rsidP="002D070A">
    <w:pPr>
      <w:pStyle w:val="Header"/>
      <w:tabs>
        <w:tab w:val="clear" w:pos="4153"/>
        <w:tab w:val="clear" w:pos="8306"/>
        <w:tab w:val="right" w:pos="1304"/>
      </w:tabs>
      <w:spacing w:line="280" w:lineRule="exact"/>
      <w:ind w:firstLine="0"/>
      <w:rPr>
        <w:rFonts w:ascii="Times New Roman" w:hAnsi="Times New Roman"/>
        <w:i/>
        <w:sz w:val="22"/>
      </w:rPr>
    </w:pPr>
  </w:p>
  <w:p w14:paraId="0202A80F" w14:textId="77777777" w:rsidR="002D070A" w:rsidRDefault="00541D69" w:rsidP="002D070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AF5FAED" w14:textId="77777777" w:rsidR="002D070A" w:rsidRPr="002D070A" w:rsidRDefault="00000000" w:rsidP="002D070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A0F6" w14:textId="77777777" w:rsidR="002D070A" w:rsidRDefault="00541D69" w:rsidP="002D070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9CDC287" w14:textId="77777777" w:rsidR="002D070A" w:rsidRDefault="00000000" w:rsidP="002D070A">
    <w:pPr>
      <w:pStyle w:val="Header"/>
      <w:tabs>
        <w:tab w:val="clear" w:pos="4153"/>
        <w:tab w:val="clear" w:pos="8306"/>
        <w:tab w:val="left" w:pos="7200"/>
        <w:tab w:val="right" w:pos="8504"/>
      </w:tabs>
      <w:spacing w:line="280" w:lineRule="exact"/>
      <w:jc w:val="right"/>
      <w:rPr>
        <w:rFonts w:ascii="Times New Roman" w:hAnsi="Times New Roman"/>
        <w:i/>
        <w:sz w:val="22"/>
      </w:rPr>
    </w:pPr>
  </w:p>
  <w:p w14:paraId="05AC81A0" w14:textId="77777777" w:rsidR="002D070A" w:rsidRDefault="00541D69" w:rsidP="002D070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5F57CAA" w14:textId="77777777" w:rsidR="002D070A" w:rsidRPr="002D070A" w:rsidRDefault="00000000" w:rsidP="002D070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2220" w14:textId="77777777" w:rsidR="002D070A" w:rsidRDefault="00000000" w:rsidP="002D070A">
    <w:pPr>
      <w:pStyle w:val="Header"/>
      <w:tabs>
        <w:tab w:val="clear" w:pos="4153"/>
        <w:tab w:val="clear" w:pos="8306"/>
        <w:tab w:val="center" w:pos="1134"/>
      </w:tabs>
      <w:spacing w:line="280" w:lineRule="exact"/>
      <w:ind w:firstLine="0"/>
      <w:rPr>
        <w:rFonts w:ascii="Times New Roman" w:hAnsi="Times New Roman"/>
        <w:i/>
        <w:sz w:val="22"/>
      </w:rPr>
    </w:pPr>
  </w:p>
  <w:p w14:paraId="17BCFAF9" w14:textId="77777777" w:rsidR="002D070A" w:rsidRDefault="00000000" w:rsidP="002D070A">
    <w:pPr>
      <w:pStyle w:val="Header"/>
      <w:tabs>
        <w:tab w:val="clear" w:pos="4153"/>
        <w:tab w:val="clear" w:pos="8306"/>
        <w:tab w:val="center" w:pos="1134"/>
      </w:tabs>
      <w:spacing w:line="280" w:lineRule="exact"/>
      <w:ind w:firstLine="0"/>
      <w:rPr>
        <w:rFonts w:ascii="Times New Roman" w:hAnsi="Times New Roman"/>
        <w:i/>
        <w:sz w:val="22"/>
      </w:rPr>
    </w:pPr>
  </w:p>
  <w:p w14:paraId="47F4D1A9" w14:textId="77777777" w:rsidR="002D070A" w:rsidRDefault="00000000" w:rsidP="002D070A">
    <w:pPr>
      <w:pStyle w:val="Header"/>
      <w:tabs>
        <w:tab w:val="clear" w:pos="4153"/>
        <w:tab w:val="clear" w:pos="8306"/>
        <w:tab w:val="center" w:pos="1134"/>
      </w:tabs>
      <w:spacing w:line="280" w:lineRule="exact"/>
      <w:ind w:firstLine="0"/>
      <w:rPr>
        <w:rFonts w:ascii="Times New Roman" w:hAnsi="Times New Roman"/>
        <w:i/>
        <w:sz w:val="22"/>
      </w:rPr>
    </w:pPr>
  </w:p>
  <w:p w14:paraId="161C2ADF" w14:textId="77777777" w:rsidR="00D16731" w:rsidRPr="002D070A" w:rsidRDefault="00000000" w:rsidP="002D070A">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6AE4334"/>
    <w:multiLevelType w:val="multilevel"/>
    <w:tmpl w:val="C42EA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C457F09"/>
    <w:multiLevelType w:val="multilevel"/>
    <w:tmpl w:val="70BA20D2"/>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9" w15:restartNumberingAfterBreak="0">
    <w:nsid w:val="750B051F"/>
    <w:multiLevelType w:val="hybridMultilevel"/>
    <w:tmpl w:val="26C2264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1806919">
    <w:abstractNumId w:val="10"/>
  </w:num>
  <w:num w:numId="2" w16cid:durableId="447506324">
    <w:abstractNumId w:val="14"/>
  </w:num>
  <w:num w:numId="3" w16cid:durableId="430471990">
    <w:abstractNumId w:val="20"/>
  </w:num>
  <w:num w:numId="4" w16cid:durableId="1678921146">
    <w:abstractNumId w:val="13"/>
  </w:num>
  <w:num w:numId="5" w16cid:durableId="25984241">
    <w:abstractNumId w:val="17"/>
  </w:num>
  <w:num w:numId="6" w16cid:durableId="2061787530">
    <w:abstractNumId w:val="6"/>
  </w:num>
  <w:num w:numId="7" w16cid:durableId="237061375">
    <w:abstractNumId w:val="9"/>
  </w:num>
  <w:num w:numId="8" w16cid:durableId="1005060657">
    <w:abstractNumId w:val="7"/>
  </w:num>
  <w:num w:numId="9" w16cid:durableId="999432842">
    <w:abstractNumId w:val="5"/>
  </w:num>
  <w:num w:numId="10" w16cid:durableId="1392074308">
    <w:abstractNumId w:val="4"/>
  </w:num>
  <w:num w:numId="11" w16cid:durableId="1850899692">
    <w:abstractNumId w:val="8"/>
  </w:num>
  <w:num w:numId="12" w16cid:durableId="1442409109">
    <w:abstractNumId w:val="3"/>
  </w:num>
  <w:num w:numId="13" w16cid:durableId="1341083836">
    <w:abstractNumId w:val="2"/>
  </w:num>
  <w:num w:numId="14" w16cid:durableId="466318235">
    <w:abstractNumId w:val="1"/>
  </w:num>
  <w:num w:numId="15" w16cid:durableId="2105758511">
    <w:abstractNumId w:val="0"/>
  </w:num>
  <w:num w:numId="16" w16cid:durableId="991566346">
    <w:abstractNumId w:val="12"/>
  </w:num>
  <w:num w:numId="17" w16cid:durableId="199241599">
    <w:abstractNumId w:val="16"/>
  </w:num>
  <w:num w:numId="18" w16cid:durableId="938099956">
    <w:abstractNumId w:val="11"/>
  </w:num>
  <w:num w:numId="19" w16cid:durableId="1919554991">
    <w:abstractNumId w:val="11"/>
  </w:num>
  <w:num w:numId="20" w16cid:durableId="934283654">
    <w:abstractNumId w:val="18"/>
  </w:num>
  <w:num w:numId="21" w16cid:durableId="319584434">
    <w:abstractNumId w:val="19"/>
  </w:num>
  <w:num w:numId="22" w16cid:durableId="1351833087">
    <w:abstractNumId w:val="15"/>
    <w:lvlOverride w:ilvl="0">
      <w:startOverride w:val="8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F8"/>
    <w:rsid w:val="00002069"/>
    <w:rsid w:val="00002CE6"/>
    <w:rsid w:val="0000316A"/>
    <w:rsid w:val="000049B7"/>
    <w:rsid w:val="000057AA"/>
    <w:rsid w:val="000136B8"/>
    <w:rsid w:val="0001449B"/>
    <w:rsid w:val="00014B34"/>
    <w:rsid w:val="000168C9"/>
    <w:rsid w:val="00016C20"/>
    <w:rsid w:val="00016DBB"/>
    <w:rsid w:val="00017144"/>
    <w:rsid w:val="0002328C"/>
    <w:rsid w:val="00024257"/>
    <w:rsid w:val="000250AF"/>
    <w:rsid w:val="00025490"/>
    <w:rsid w:val="0002561E"/>
    <w:rsid w:val="000268E1"/>
    <w:rsid w:val="00030C4B"/>
    <w:rsid w:val="0003575A"/>
    <w:rsid w:val="000360EB"/>
    <w:rsid w:val="00037A5F"/>
    <w:rsid w:val="00037D87"/>
    <w:rsid w:val="000408B4"/>
    <w:rsid w:val="00040BF2"/>
    <w:rsid w:val="00043D2C"/>
    <w:rsid w:val="00045857"/>
    <w:rsid w:val="00046812"/>
    <w:rsid w:val="00055ACD"/>
    <w:rsid w:val="00056710"/>
    <w:rsid w:val="00056F27"/>
    <w:rsid w:val="000573AF"/>
    <w:rsid w:val="0006169E"/>
    <w:rsid w:val="000626FD"/>
    <w:rsid w:val="00063B14"/>
    <w:rsid w:val="0006432B"/>
    <w:rsid w:val="000653D4"/>
    <w:rsid w:val="00071C35"/>
    <w:rsid w:val="000736C1"/>
    <w:rsid w:val="00075F50"/>
    <w:rsid w:val="00080D77"/>
    <w:rsid w:val="00081A7D"/>
    <w:rsid w:val="0008435D"/>
    <w:rsid w:val="0008558C"/>
    <w:rsid w:val="00085F13"/>
    <w:rsid w:val="000A28D4"/>
    <w:rsid w:val="000A2EB4"/>
    <w:rsid w:val="000A3DA3"/>
    <w:rsid w:val="000A63C6"/>
    <w:rsid w:val="000B4630"/>
    <w:rsid w:val="000B497F"/>
    <w:rsid w:val="000B667B"/>
    <w:rsid w:val="000B710D"/>
    <w:rsid w:val="000B7558"/>
    <w:rsid w:val="000C04DC"/>
    <w:rsid w:val="000C0D98"/>
    <w:rsid w:val="000D25E6"/>
    <w:rsid w:val="000D3CB6"/>
    <w:rsid w:val="000D46BA"/>
    <w:rsid w:val="000E4067"/>
    <w:rsid w:val="000E65F7"/>
    <w:rsid w:val="000F1345"/>
    <w:rsid w:val="001001B9"/>
    <w:rsid w:val="001020B7"/>
    <w:rsid w:val="00102254"/>
    <w:rsid w:val="0010702C"/>
    <w:rsid w:val="00110970"/>
    <w:rsid w:val="00111568"/>
    <w:rsid w:val="001120C0"/>
    <w:rsid w:val="001150BF"/>
    <w:rsid w:val="00115EB0"/>
    <w:rsid w:val="001168F2"/>
    <w:rsid w:val="00120207"/>
    <w:rsid w:val="00123C1B"/>
    <w:rsid w:val="00123DAF"/>
    <w:rsid w:val="00125E3C"/>
    <w:rsid w:val="00133E7E"/>
    <w:rsid w:val="0013456F"/>
    <w:rsid w:val="00142072"/>
    <w:rsid w:val="00143FCB"/>
    <w:rsid w:val="0014435C"/>
    <w:rsid w:val="00145627"/>
    <w:rsid w:val="00146A41"/>
    <w:rsid w:val="00151679"/>
    <w:rsid w:val="00152347"/>
    <w:rsid w:val="0015318E"/>
    <w:rsid w:val="00155B92"/>
    <w:rsid w:val="0015732D"/>
    <w:rsid w:val="00163D92"/>
    <w:rsid w:val="00163F82"/>
    <w:rsid w:val="00164144"/>
    <w:rsid w:val="00164A4E"/>
    <w:rsid w:val="00172ADE"/>
    <w:rsid w:val="00175070"/>
    <w:rsid w:val="00175703"/>
    <w:rsid w:val="001758DE"/>
    <w:rsid w:val="00176D25"/>
    <w:rsid w:val="0018342E"/>
    <w:rsid w:val="001840C2"/>
    <w:rsid w:val="00184B46"/>
    <w:rsid w:val="00185939"/>
    <w:rsid w:val="001876F6"/>
    <w:rsid w:val="00187DE5"/>
    <w:rsid w:val="00190CA1"/>
    <w:rsid w:val="00191E23"/>
    <w:rsid w:val="001953B1"/>
    <w:rsid w:val="001959F4"/>
    <w:rsid w:val="001963C0"/>
    <w:rsid w:val="00197956"/>
    <w:rsid w:val="001A405D"/>
    <w:rsid w:val="001A446E"/>
    <w:rsid w:val="001B17A8"/>
    <w:rsid w:val="001B46A1"/>
    <w:rsid w:val="001B63C6"/>
    <w:rsid w:val="001B69BD"/>
    <w:rsid w:val="001C0D8A"/>
    <w:rsid w:val="001C1C4B"/>
    <w:rsid w:val="001C48D4"/>
    <w:rsid w:val="001C7C93"/>
    <w:rsid w:val="001D0FF0"/>
    <w:rsid w:val="001D36CD"/>
    <w:rsid w:val="001D4F49"/>
    <w:rsid w:val="001D576C"/>
    <w:rsid w:val="001D607A"/>
    <w:rsid w:val="001D7982"/>
    <w:rsid w:val="001E062A"/>
    <w:rsid w:val="001E1D3D"/>
    <w:rsid w:val="001E3DE4"/>
    <w:rsid w:val="001E47D1"/>
    <w:rsid w:val="001E5FD8"/>
    <w:rsid w:val="001E6A64"/>
    <w:rsid w:val="001E75C5"/>
    <w:rsid w:val="001F24DF"/>
    <w:rsid w:val="001F3F2A"/>
    <w:rsid w:val="001F69C2"/>
    <w:rsid w:val="0020045E"/>
    <w:rsid w:val="00202448"/>
    <w:rsid w:val="002028BE"/>
    <w:rsid w:val="002048D1"/>
    <w:rsid w:val="002077F4"/>
    <w:rsid w:val="002079CB"/>
    <w:rsid w:val="0021082F"/>
    <w:rsid w:val="0021096E"/>
    <w:rsid w:val="00210DE8"/>
    <w:rsid w:val="00211D73"/>
    <w:rsid w:val="00212A3E"/>
    <w:rsid w:val="00214BF2"/>
    <w:rsid w:val="00215A7F"/>
    <w:rsid w:val="00216522"/>
    <w:rsid w:val="00220366"/>
    <w:rsid w:val="00221D19"/>
    <w:rsid w:val="00222EF6"/>
    <w:rsid w:val="00225B8A"/>
    <w:rsid w:val="0022666B"/>
    <w:rsid w:val="0022734D"/>
    <w:rsid w:val="002319DA"/>
    <w:rsid w:val="0023447F"/>
    <w:rsid w:val="002350B3"/>
    <w:rsid w:val="0023798E"/>
    <w:rsid w:val="00242EE4"/>
    <w:rsid w:val="0024462E"/>
    <w:rsid w:val="002474FA"/>
    <w:rsid w:val="002520D4"/>
    <w:rsid w:val="00253493"/>
    <w:rsid w:val="002544D6"/>
    <w:rsid w:val="002555BF"/>
    <w:rsid w:val="00257AFB"/>
    <w:rsid w:val="00260BDA"/>
    <w:rsid w:val="0026293D"/>
    <w:rsid w:val="00263064"/>
    <w:rsid w:val="00265982"/>
    <w:rsid w:val="00270154"/>
    <w:rsid w:val="002711D5"/>
    <w:rsid w:val="00271F70"/>
    <w:rsid w:val="0027408B"/>
    <w:rsid w:val="00276B56"/>
    <w:rsid w:val="00277D77"/>
    <w:rsid w:val="00280F22"/>
    <w:rsid w:val="00280F46"/>
    <w:rsid w:val="002819FD"/>
    <w:rsid w:val="0028583A"/>
    <w:rsid w:val="00287368"/>
    <w:rsid w:val="00287873"/>
    <w:rsid w:val="00290A1D"/>
    <w:rsid w:val="002914D5"/>
    <w:rsid w:val="002916CC"/>
    <w:rsid w:val="0029275C"/>
    <w:rsid w:val="0029278C"/>
    <w:rsid w:val="00292E65"/>
    <w:rsid w:val="002965C6"/>
    <w:rsid w:val="0029697C"/>
    <w:rsid w:val="002979F1"/>
    <w:rsid w:val="002A13E1"/>
    <w:rsid w:val="002A3248"/>
    <w:rsid w:val="002A7AB3"/>
    <w:rsid w:val="002B0846"/>
    <w:rsid w:val="002B1304"/>
    <w:rsid w:val="002B27BC"/>
    <w:rsid w:val="002B6A4B"/>
    <w:rsid w:val="002C56A1"/>
    <w:rsid w:val="002C5981"/>
    <w:rsid w:val="002D0410"/>
    <w:rsid w:val="002D0899"/>
    <w:rsid w:val="002D1707"/>
    <w:rsid w:val="002D17E2"/>
    <w:rsid w:val="002D1E18"/>
    <w:rsid w:val="002D3F5B"/>
    <w:rsid w:val="002D4ADC"/>
    <w:rsid w:val="002E0EC8"/>
    <w:rsid w:val="002E278F"/>
    <w:rsid w:val="002E2F43"/>
    <w:rsid w:val="002E3B4D"/>
    <w:rsid w:val="002F0522"/>
    <w:rsid w:val="002F0734"/>
    <w:rsid w:val="002F7767"/>
    <w:rsid w:val="00301975"/>
    <w:rsid w:val="00302C11"/>
    <w:rsid w:val="0030542C"/>
    <w:rsid w:val="00310418"/>
    <w:rsid w:val="00312112"/>
    <w:rsid w:val="00312FFC"/>
    <w:rsid w:val="003150BF"/>
    <w:rsid w:val="003150CE"/>
    <w:rsid w:val="00315A99"/>
    <w:rsid w:val="00315E92"/>
    <w:rsid w:val="00323B9E"/>
    <w:rsid w:val="00330804"/>
    <w:rsid w:val="00330AB5"/>
    <w:rsid w:val="00334A6B"/>
    <w:rsid w:val="00335411"/>
    <w:rsid w:val="003366B2"/>
    <w:rsid w:val="00340066"/>
    <w:rsid w:val="0034288B"/>
    <w:rsid w:val="0034332B"/>
    <w:rsid w:val="00345793"/>
    <w:rsid w:val="0034681C"/>
    <w:rsid w:val="00350E92"/>
    <w:rsid w:val="003518E6"/>
    <w:rsid w:val="003545FB"/>
    <w:rsid w:val="003600A8"/>
    <w:rsid w:val="00360422"/>
    <w:rsid w:val="003635C2"/>
    <w:rsid w:val="00366524"/>
    <w:rsid w:val="00367754"/>
    <w:rsid w:val="00373E58"/>
    <w:rsid w:val="00376073"/>
    <w:rsid w:val="0037666B"/>
    <w:rsid w:val="00377452"/>
    <w:rsid w:val="003776FE"/>
    <w:rsid w:val="00381223"/>
    <w:rsid w:val="00381849"/>
    <w:rsid w:val="003823A0"/>
    <w:rsid w:val="00382704"/>
    <w:rsid w:val="00384F36"/>
    <w:rsid w:val="00385271"/>
    <w:rsid w:val="0038650F"/>
    <w:rsid w:val="003919DB"/>
    <w:rsid w:val="0039226E"/>
    <w:rsid w:val="00392CC8"/>
    <w:rsid w:val="00393909"/>
    <w:rsid w:val="003A2017"/>
    <w:rsid w:val="003A48CC"/>
    <w:rsid w:val="003A72EF"/>
    <w:rsid w:val="003B3DDB"/>
    <w:rsid w:val="003B4EED"/>
    <w:rsid w:val="003B6B2C"/>
    <w:rsid w:val="003C266A"/>
    <w:rsid w:val="003C3C5C"/>
    <w:rsid w:val="003C3E36"/>
    <w:rsid w:val="003C5083"/>
    <w:rsid w:val="003C602A"/>
    <w:rsid w:val="003D1539"/>
    <w:rsid w:val="003D1759"/>
    <w:rsid w:val="003D1896"/>
    <w:rsid w:val="003D3B14"/>
    <w:rsid w:val="003D62F7"/>
    <w:rsid w:val="003E1035"/>
    <w:rsid w:val="003E17F2"/>
    <w:rsid w:val="003E19F7"/>
    <w:rsid w:val="003E1EB2"/>
    <w:rsid w:val="003E2B32"/>
    <w:rsid w:val="003E3B4D"/>
    <w:rsid w:val="003E492C"/>
    <w:rsid w:val="003E710D"/>
    <w:rsid w:val="003E7A9C"/>
    <w:rsid w:val="003F328F"/>
    <w:rsid w:val="003F4A1B"/>
    <w:rsid w:val="003F531A"/>
    <w:rsid w:val="003F6B0B"/>
    <w:rsid w:val="003F7C9E"/>
    <w:rsid w:val="004025E8"/>
    <w:rsid w:val="00402768"/>
    <w:rsid w:val="00404C36"/>
    <w:rsid w:val="00406F38"/>
    <w:rsid w:val="004107CA"/>
    <w:rsid w:val="004111BC"/>
    <w:rsid w:val="004114CB"/>
    <w:rsid w:val="00411641"/>
    <w:rsid w:val="004125F4"/>
    <w:rsid w:val="004126D4"/>
    <w:rsid w:val="0041371F"/>
    <w:rsid w:val="00414703"/>
    <w:rsid w:val="00415548"/>
    <w:rsid w:val="00415D2B"/>
    <w:rsid w:val="00416C0A"/>
    <w:rsid w:val="00421941"/>
    <w:rsid w:val="004241E2"/>
    <w:rsid w:val="00424DE2"/>
    <w:rsid w:val="00432528"/>
    <w:rsid w:val="00432836"/>
    <w:rsid w:val="004365D4"/>
    <w:rsid w:val="004373D1"/>
    <w:rsid w:val="0043778D"/>
    <w:rsid w:val="00442FBB"/>
    <w:rsid w:val="0044473C"/>
    <w:rsid w:val="004454C2"/>
    <w:rsid w:val="00445CF2"/>
    <w:rsid w:val="00447347"/>
    <w:rsid w:val="00447F33"/>
    <w:rsid w:val="00450A27"/>
    <w:rsid w:val="00451819"/>
    <w:rsid w:val="00451EC2"/>
    <w:rsid w:val="004533E2"/>
    <w:rsid w:val="004562AD"/>
    <w:rsid w:val="00457D06"/>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973E4"/>
    <w:rsid w:val="00497A44"/>
    <w:rsid w:val="004A132C"/>
    <w:rsid w:val="004A1CD1"/>
    <w:rsid w:val="004A34F0"/>
    <w:rsid w:val="004B26D9"/>
    <w:rsid w:val="004B2C5E"/>
    <w:rsid w:val="004B4349"/>
    <w:rsid w:val="004B57F0"/>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0BAF"/>
    <w:rsid w:val="00502EAE"/>
    <w:rsid w:val="00503A1B"/>
    <w:rsid w:val="0050500F"/>
    <w:rsid w:val="00505279"/>
    <w:rsid w:val="005063E1"/>
    <w:rsid w:val="00507CC5"/>
    <w:rsid w:val="00516BBB"/>
    <w:rsid w:val="00520BC3"/>
    <w:rsid w:val="00520D41"/>
    <w:rsid w:val="005219F4"/>
    <w:rsid w:val="00523E83"/>
    <w:rsid w:val="005248BB"/>
    <w:rsid w:val="005308A5"/>
    <w:rsid w:val="00530E04"/>
    <w:rsid w:val="005314E9"/>
    <w:rsid w:val="00531723"/>
    <w:rsid w:val="0053275E"/>
    <w:rsid w:val="0053324F"/>
    <w:rsid w:val="00541CAE"/>
    <w:rsid w:val="00541D69"/>
    <w:rsid w:val="00541EF9"/>
    <w:rsid w:val="005431CF"/>
    <w:rsid w:val="00543D0A"/>
    <w:rsid w:val="0054428B"/>
    <w:rsid w:val="005454F3"/>
    <w:rsid w:val="005455E5"/>
    <w:rsid w:val="0054681B"/>
    <w:rsid w:val="0054779A"/>
    <w:rsid w:val="00547BA1"/>
    <w:rsid w:val="00556101"/>
    <w:rsid w:val="00557CB1"/>
    <w:rsid w:val="0056091E"/>
    <w:rsid w:val="005610FA"/>
    <w:rsid w:val="00561371"/>
    <w:rsid w:val="0056172D"/>
    <w:rsid w:val="005635F3"/>
    <w:rsid w:val="0056411C"/>
    <w:rsid w:val="00565B4C"/>
    <w:rsid w:val="005663FF"/>
    <w:rsid w:val="005677E5"/>
    <w:rsid w:val="00570D24"/>
    <w:rsid w:val="005724FB"/>
    <w:rsid w:val="00574C1A"/>
    <w:rsid w:val="00580EEB"/>
    <w:rsid w:val="00580FCF"/>
    <w:rsid w:val="00583673"/>
    <w:rsid w:val="00583D08"/>
    <w:rsid w:val="00587BE7"/>
    <w:rsid w:val="00587CBC"/>
    <w:rsid w:val="005946F0"/>
    <w:rsid w:val="00595DF1"/>
    <w:rsid w:val="00596524"/>
    <w:rsid w:val="00597D35"/>
    <w:rsid w:val="005A0A86"/>
    <w:rsid w:val="005A4A36"/>
    <w:rsid w:val="005A6D6D"/>
    <w:rsid w:val="005A7264"/>
    <w:rsid w:val="005A7A50"/>
    <w:rsid w:val="005B1601"/>
    <w:rsid w:val="005B4B90"/>
    <w:rsid w:val="005B4CFC"/>
    <w:rsid w:val="005B58B0"/>
    <w:rsid w:val="005C0298"/>
    <w:rsid w:val="005C0769"/>
    <w:rsid w:val="005C360A"/>
    <w:rsid w:val="005C78BF"/>
    <w:rsid w:val="005D0306"/>
    <w:rsid w:val="005D0B72"/>
    <w:rsid w:val="005D221C"/>
    <w:rsid w:val="005D2A43"/>
    <w:rsid w:val="005D6EA0"/>
    <w:rsid w:val="005D79F0"/>
    <w:rsid w:val="005E3819"/>
    <w:rsid w:val="005E6B2D"/>
    <w:rsid w:val="005E77EC"/>
    <w:rsid w:val="005E7B36"/>
    <w:rsid w:val="005F02E6"/>
    <w:rsid w:val="005F04D3"/>
    <w:rsid w:val="005F10F1"/>
    <w:rsid w:val="005F1911"/>
    <w:rsid w:val="005F2CBA"/>
    <w:rsid w:val="005F312C"/>
    <w:rsid w:val="005F3216"/>
    <w:rsid w:val="005F4679"/>
    <w:rsid w:val="005F4DFE"/>
    <w:rsid w:val="005F4EF9"/>
    <w:rsid w:val="005F7D95"/>
    <w:rsid w:val="006015AE"/>
    <w:rsid w:val="006017B1"/>
    <w:rsid w:val="0060685F"/>
    <w:rsid w:val="00607066"/>
    <w:rsid w:val="00607197"/>
    <w:rsid w:val="00607A16"/>
    <w:rsid w:val="00610711"/>
    <w:rsid w:val="006109F8"/>
    <w:rsid w:val="006147EA"/>
    <w:rsid w:val="00623075"/>
    <w:rsid w:val="00623910"/>
    <w:rsid w:val="00624A27"/>
    <w:rsid w:val="00624D74"/>
    <w:rsid w:val="00627020"/>
    <w:rsid w:val="0062716D"/>
    <w:rsid w:val="00627AF2"/>
    <w:rsid w:val="00631622"/>
    <w:rsid w:val="00632F94"/>
    <w:rsid w:val="00634289"/>
    <w:rsid w:val="0063632F"/>
    <w:rsid w:val="006422E9"/>
    <w:rsid w:val="00645D2E"/>
    <w:rsid w:val="00650C56"/>
    <w:rsid w:val="00652858"/>
    <w:rsid w:val="006558DC"/>
    <w:rsid w:val="00656B27"/>
    <w:rsid w:val="00657F8B"/>
    <w:rsid w:val="00660401"/>
    <w:rsid w:val="006618FC"/>
    <w:rsid w:val="00663D00"/>
    <w:rsid w:val="00663E86"/>
    <w:rsid w:val="006709DC"/>
    <w:rsid w:val="00671B7E"/>
    <w:rsid w:val="00674B71"/>
    <w:rsid w:val="006767BC"/>
    <w:rsid w:val="00677A70"/>
    <w:rsid w:val="00681D75"/>
    <w:rsid w:val="0068242E"/>
    <w:rsid w:val="00684BAF"/>
    <w:rsid w:val="00684FE5"/>
    <w:rsid w:val="00696EBB"/>
    <w:rsid w:val="006A1F10"/>
    <w:rsid w:val="006A2ED1"/>
    <w:rsid w:val="006A4D4E"/>
    <w:rsid w:val="006B4391"/>
    <w:rsid w:val="006B630A"/>
    <w:rsid w:val="006C1577"/>
    <w:rsid w:val="006C3A35"/>
    <w:rsid w:val="006C5ACD"/>
    <w:rsid w:val="006C6300"/>
    <w:rsid w:val="006D1544"/>
    <w:rsid w:val="006D1B2D"/>
    <w:rsid w:val="006D2DBF"/>
    <w:rsid w:val="006D3236"/>
    <w:rsid w:val="006D36B7"/>
    <w:rsid w:val="006D3A49"/>
    <w:rsid w:val="006D686D"/>
    <w:rsid w:val="006E0330"/>
    <w:rsid w:val="006E16F1"/>
    <w:rsid w:val="006E2475"/>
    <w:rsid w:val="006E359B"/>
    <w:rsid w:val="006E75BF"/>
    <w:rsid w:val="006F09B5"/>
    <w:rsid w:val="006F1349"/>
    <w:rsid w:val="006F201F"/>
    <w:rsid w:val="006F2C03"/>
    <w:rsid w:val="006F48B3"/>
    <w:rsid w:val="006F48B8"/>
    <w:rsid w:val="006F553C"/>
    <w:rsid w:val="006F5924"/>
    <w:rsid w:val="006F6258"/>
    <w:rsid w:val="006F65E1"/>
    <w:rsid w:val="006F7EBD"/>
    <w:rsid w:val="006F7F8E"/>
    <w:rsid w:val="00701552"/>
    <w:rsid w:val="00702A8E"/>
    <w:rsid w:val="0070380C"/>
    <w:rsid w:val="00704FDE"/>
    <w:rsid w:val="00705448"/>
    <w:rsid w:val="007122EC"/>
    <w:rsid w:val="00712D8B"/>
    <w:rsid w:val="00714504"/>
    <w:rsid w:val="0071742A"/>
    <w:rsid w:val="007215BF"/>
    <w:rsid w:val="00721F5D"/>
    <w:rsid w:val="00730E8F"/>
    <w:rsid w:val="00731D48"/>
    <w:rsid w:val="00734484"/>
    <w:rsid w:val="00734686"/>
    <w:rsid w:val="00734D37"/>
    <w:rsid w:val="0073623E"/>
    <w:rsid w:val="00742076"/>
    <w:rsid w:val="00745136"/>
    <w:rsid w:val="00745A15"/>
    <w:rsid w:val="00745DD2"/>
    <w:rsid w:val="00747FED"/>
    <w:rsid w:val="00751354"/>
    <w:rsid w:val="00754225"/>
    <w:rsid w:val="00756909"/>
    <w:rsid w:val="00760D10"/>
    <w:rsid w:val="00762108"/>
    <w:rsid w:val="00766C80"/>
    <w:rsid w:val="00770E38"/>
    <w:rsid w:val="007715EE"/>
    <w:rsid w:val="007751DE"/>
    <w:rsid w:val="0077622A"/>
    <w:rsid w:val="00776996"/>
    <w:rsid w:val="00780F81"/>
    <w:rsid w:val="0078133D"/>
    <w:rsid w:val="00781E34"/>
    <w:rsid w:val="00782067"/>
    <w:rsid w:val="00785785"/>
    <w:rsid w:val="00791DED"/>
    <w:rsid w:val="00792AA8"/>
    <w:rsid w:val="00793AAE"/>
    <w:rsid w:val="0079408C"/>
    <w:rsid w:val="00794972"/>
    <w:rsid w:val="00796EE7"/>
    <w:rsid w:val="00797022"/>
    <w:rsid w:val="007A0AED"/>
    <w:rsid w:val="007A13B5"/>
    <w:rsid w:val="007A3ABE"/>
    <w:rsid w:val="007A4C60"/>
    <w:rsid w:val="007A4CB0"/>
    <w:rsid w:val="007A5504"/>
    <w:rsid w:val="007A5B52"/>
    <w:rsid w:val="007A62C3"/>
    <w:rsid w:val="007B4102"/>
    <w:rsid w:val="007B61C6"/>
    <w:rsid w:val="007B651A"/>
    <w:rsid w:val="007B6648"/>
    <w:rsid w:val="007B6669"/>
    <w:rsid w:val="007B74DF"/>
    <w:rsid w:val="007C1053"/>
    <w:rsid w:val="007C2DF8"/>
    <w:rsid w:val="007C311B"/>
    <w:rsid w:val="007C3F5C"/>
    <w:rsid w:val="007C506B"/>
    <w:rsid w:val="007D0986"/>
    <w:rsid w:val="007D0AFE"/>
    <w:rsid w:val="007D36BC"/>
    <w:rsid w:val="007D59A7"/>
    <w:rsid w:val="007D698B"/>
    <w:rsid w:val="007D7BB6"/>
    <w:rsid w:val="007E5D35"/>
    <w:rsid w:val="007F006A"/>
    <w:rsid w:val="007F52A6"/>
    <w:rsid w:val="007F5789"/>
    <w:rsid w:val="007F68DA"/>
    <w:rsid w:val="007F6A5B"/>
    <w:rsid w:val="007F7058"/>
    <w:rsid w:val="007F7908"/>
    <w:rsid w:val="008004E7"/>
    <w:rsid w:val="0080276C"/>
    <w:rsid w:val="0080375D"/>
    <w:rsid w:val="00805E8D"/>
    <w:rsid w:val="008060C8"/>
    <w:rsid w:val="00810D1C"/>
    <w:rsid w:val="00810F5C"/>
    <w:rsid w:val="00811020"/>
    <w:rsid w:val="00812723"/>
    <w:rsid w:val="00814A6A"/>
    <w:rsid w:val="00814ED4"/>
    <w:rsid w:val="008152E3"/>
    <w:rsid w:val="0081557C"/>
    <w:rsid w:val="008159B1"/>
    <w:rsid w:val="00820282"/>
    <w:rsid w:val="0082117F"/>
    <w:rsid w:val="00825022"/>
    <w:rsid w:val="0082619C"/>
    <w:rsid w:val="00831A0D"/>
    <w:rsid w:val="00832A0B"/>
    <w:rsid w:val="00836AD2"/>
    <w:rsid w:val="0083730C"/>
    <w:rsid w:val="008375CC"/>
    <w:rsid w:val="008415CC"/>
    <w:rsid w:val="00842862"/>
    <w:rsid w:val="00845199"/>
    <w:rsid w:val="00847DFE"/>
    <w:rsid w:val="00851111"/>
    <w:rsid w:val="008525CF"/>
    <w:rsid w:val="008542CC"/>
    <w:rsid w:val="00854B89"/>
    <w:rsid w:val="00855B36"/>
    <w:rsid w:val="00860973"/>
    <w:rsid w:val="00860B77"/>
    <w:rsid w:val="0086183E"/>
    <w:rsid w:val="008648B5"/>
    <w:rsid w:val="00864AB8"/>
    <w:rsid w:val="0086641A"/>
    <w:rsid w:val="00867F68"/>
    <w:rsid w:val="008708ED"/>
    <w:rsid w:val="008737D3"/>
    <w:rsid w:val="00874BF3"/>
    <w:rsid w:val="00877CBF"/>
    <w:rsid w:val="00882D53"/>
    <w:rsid w:val="00883437"/>
    <w:rsid w:val="008834C5"/>
    <w:rsid w:val="00883C24"/>
    <w:rsid w:val="008853F8"/>
    <w:rsid w:val="008953BD"/>
    <w:rsid w:val="00895D65"/>
    <w:rsid w:val="0089771A"/>
    <w:rsid w:val="00897DB9"/>
    <w:rsid w:val="008A1DA2"/>
    <w:rsid w:val="008A4628"/>
    <w:rsid w:val="008B1A7F"/>
    <w:rsid w:val="008B47CB"/>
    <w:rsid w:val="008B6A6C"/>
    <w:rsid w:val="008C15BB"/>
    <w:rsid w:val="008C28E5"/>
    <w:rsid w:val="008C4E5F"/>
    <w:rsid w:val="008C6C82"/>
    <w:rsid w:val="008C76EC"/>
    <w:rsid w:val="008D15F7"/>
    <w:rsid w:val="008D19A2"/>
    <w:rsid w:val="008D1FDE"/>
    <w:rsid w:val="008D351D"/>
    <w:rsid w:val="008D5811"/>
    <w:rsid w:val="008E1C45"/>
    <w:rsid w:val="008E242E"/>
    <w:rsid w:val="008E429F"/>
    <w:rsid w:val="008E5811"/>
    <w:rsid w:val="008E647B"/>
    <w:rsid w:val="008E7B61"/>
    <w:rsid w:val="008F3AE2"/>
    <w:rsid w:val="008F52CB"/>
    <w:rsid w:val="008F57EF"/>
    <w:rsid w:val="008F6221"/>
    <w:rsid w:val="008F722B"/>
    <w:rsid w:val="008F777B"/>
    <w:rsid w:val="008F7CCE"/>
    <w:rsid w:val="009027B4"/>
    <w:rsid w:val="00903F3E"/>
    <w:rsid w:val="009040CC"/>
    <w:rsid w:val="00904834"/>
    <w:rsid w:val="009064E2"/>
    <w:rsid w:val="009077C7"/>
    <w:rsid w:val="0091220E"/>
    <w:rsid w:val="00913CA0"/>
    <w:rsid w:val="0091465A"/>
    <w:rsid w:val="00920216"/>
    <w:rsid w:val="00920463"/>
    <w:rsid w:val="00922F7B"/>
    <w:rsid w:val="009231E5"/>
    <w:rsid w:val="009236CF"/>
    <w:rsid w:val="009238C7"/>
    <w:rsid w:val="00923D68"/>
    <w:rsid w:val="0092415F"/>
    <w:rsid w:val="009245CA"/>
    <w:rsid w:val="00926E4D"/>
    <w:rsid w:val="0093352D"/>
    <w:rsid w:val="00933DAD"/>
    <w:rsid w:val="00934EE4"/>
    <w:rsid w:val="00936674"/>
    <w:rsid w:val="009376FF"/>
    <w:rsid w:val="00940185"/>
    <w:rsid w:val="00940BCD"/>
    <w:rsid w:val="00941279"/>
    <w:rsid w:val="00941E0A"/>
    <w:rsid w:val="009462D5"/>
    <w:rsid w:val="0095456C"/>
    <w:rsid w:val="009547B3"/>
    <w:rsid w:val="00956905"/>
    <w:rsid w:val="009614C6"/>
    <w:rsid w:val="00962BFB"/>
    <w:rsid w:val="00962E1C"/>
    <w:rsid w:val="0096349D"/>
    <w:rsid w:val="00964954"/>
    <w:rsid w:val="00966DEC"/>
    <w:rsid w:val="009722B8"/>
    <w:rsid w:val="00973CB4"/>
    <w:rsid w:val="0097673B"/>
    <w:rsid w:val="00977AD7"/>
    <w:rsid w:val="00985FEE"/>
    <w:rsid w:val="00987C7D"/>
    <w:rsid w:val="00990380"/>
    <w:rsid w:val="009921DB"/>
    <w:rsid w:val="009940EF"/>
    <w:rsid w:val="00994A8D"/>
    <w:rsid w:val="00994D06"/>
    <w:rsid w:val="00997CF0"/>
    <w:rsid w:val="009A0BBC"/>
    <w:rsid w:val="009A5AFD"/>
    <w:rsid w:val="009A5F3F"/>
    <w:rsid w:val="009A6EFD"/>
    <w:rsid w:val="009A76F7"/>
    <w:rsid w:val="009B39DC"/>
    <w:rsid w:val="009B5EC8"/>
    <w:rsid w:val="009B61E7"/>
    <w:rsid w:val="009C5116"/>
    <w:rsid w:val="009C6E72"/>
    <w:rsid w:val="009D3C3F"/>
    <w:rsid w:val="009D4D67"/>
    <w:rsid w:val="009D5D74"/>
    <w:rsid w:val="009D635B"/>
    <w:rsid w:val="009D66DC"/>
    <w:rsid w:val="009D7F6F"/>
    <w:rsid w:val="009E0393"/>
    <w:rsid w:val="009E07D3"/>
    <w:rsid w:val="009E3BA0"/>
    <w:rsid w:val="009F06F2"/>
    <w:rsid w:val="009F072E"/>
    <w:rsid w:val="009F27A3"/>
    <w:rsid w:val="009F635E"/>
    <w:rsid w:val="00A00A92"/>
    <w:rsid w:val="00A02C5D"/>
    <w:rsid w:val="00A040FF"/>
    <w:rsid w:val="00A04701"/>
    <w:rsid w:val="00A05DD6"/>
    <w:rsid w:val="00A0697D"/>
    <w:rsid w:val="00A140D3"/>
    <w:rsid w:val="00A1446B"/>
    <w:rsid w:val="00A167F2"/>
    <w:rsid w:val="00A17EFE"/>
    <w:rsid w:val="00A20C78"/>
    <w:rsid w:val="00A22019"/>
    <w:rsid w:val="00A2312E"/>
    <w:rsid w:val="00A24323"/>
    <w:rsid w:val="00A2512C"/>
    <w:rsid w:val="00A2515B"/>
    <w:rsid w:val="00A2588E"/>
    <w:rsid w:val="00A26EDF"/>
    <w:rsid w:val="00A34789"/>
    <w:rsid w:val="00A3630E"/>
    <w:rsid w:val="00A37747"/>
    <w:rsid w:val="00A37BB8"/>
    <w:rsid w:val="00A41FF8"/>
    <w:rsid w:val="00A42D87"/>
    <w:rsid w:val="00A44BD3"/>
    <w:rsid w:val="00A4521D"/>
    <w:rsid w:val="00A46D6F"/>
    <w:rsid w:val="00A51F0A"/>
    <w:rsid w:val="00A54EF2"/>
    <w:rsid w:val="00A55D48"/>
    <w:rsid w:val="00A57BEB"/>
    <w:rsid w:val="00A61673"/>
    <w:rsid w:val="00A62EEF"/>
    <w:rsid w:val="00A64926"/>
    <w:rsid w:val="00A66148"/>
    <w:rsid w:val="00A665CF"/>
    <w:rsid w:val="00A67CA7"/>
    <w:rsid w:val="00A73989"/>
    <w:rsid w:val="00A73EA6"/>
    <w:rsid w:val="00A7752F"/>
    <w:rsid w:val="00A85C35"/>
    <w:rsid w:val="00A92061"/>
    <w:rsid w:val="00A93556"/>
    <w:rsid w:val="00A93DBD"/>
    <w:rsid w:val="00A94249"/>
    <w:rsid w:val="00A94BC9"/>
    <w:rsid w:val="00A9505D"/>
    <w:rsid w:val="00A959BC"/>
    <w:rsid w:val="00AA0680"/>
    <w:rsid w:val="00AA3C60"/>
    <w:rsid w:val="00AA48BA"/>
    <w:rsid w:val="00AA4A31"/>
    <w:rsid w:val="00AA5BD6"/>
    <w:rsid w:val="00AB2FF4"/>
    <w:rsid w:val="00AB46FF"/>
    <w:rsid w:val="00AB5F9C"/>
    <w:rsid w:val="00AB6FCF"/>
    <w:rsid w:val="00AC1AD6"/>
    <w:rsid w:val="00AC37C2"/>
    <w:rsid w:val="00AC6764"/>
    <w:rsid w:val="00AD38A0"/>
    <w:rsid w:val="00AD3D24"/>
    <w:rsid w:val="00AD64DF"/>
    <w:rsid w:val="00AE1025"/>
    <w:rsid w:val="00AE1B32"/>
    <w:rsid w:val="00AE23B2"/>
    <w:rsid w:val="00AE3F03"/>
    <w:rsid w:val="00AE5E92"/>
    <w:rsid w:val="00AE64F0"/>
    <w:rsid w:val="00AE757A"/>
    <w:rsid w:val="00AF23C8"/>
    <w:rsid w:val="00AF2AE2"/>
    <w:rsid w:val="00AF2BD8"/>
    <w:rsid w:val="00AF4151"/>
    <w:rsid w:val="00B0377E"/>
    <w:rsid w:val="00B07BA9"/>
    <w:rsid w:val="00B10055"/>
    <w:rsid w:val="00B1141E"/>
    <w:rsid w:val="00B1278B"/>
    <w:rsid w:val="00B16058"/>
    <w:rsid w:val="00B17295"/>
    <w:rsid w:val="00B215F5"/>
    <w:rsid w:val="00B27A54"/>
    <w:rsid w:val="00B30517"/>
    <w:rsid w:val="00B30783"/>
    <w:rsid w:val="00B34CB1"/>
    <w:rsid w:val="00B41951"/>
    <w:rsid w:val="00B41F0F"/>
    <w:rsid w:val="00B42560"/>
    <w:rsid w:val="00B455AA"/>
    <w:rsid w:val="00B45778"/>
    <w:rsid w:val="00B457A1"/>
    <w:rsid w:val="00B4630F"/>
    <w:rsid w:val="00B464B1"/>
    <w:rsid w:val="00B47A4A"/>
    <w:rsid w:val="00B47B99"/>
    <w:rsid w:val="00B506F2"/>
    <w:rsid w:val="00B510E3"/>
    <w:rsid w:val="00B51C46"/>
    <w:rsid w:val="00B521AC"/>
    <w:rsid w:val="00B52702"/>
    <w:rsid w:val="00B5498D"/>
    <w:rsid w:val="00B5501D"/>
    <w:rsid w:val="00B57C32"/>
    <w:rsid w:val="00B6151E"/>
    <w:rsid w:val="00B61BEB"/>
    <w:rsid w:val="00B61DAF"/>
    <w:rsid w:val="00B64962"/>
    <w:rsid w:val="00B676EC"/>
    <w:rsid w:val="00B679B4"/>
    <w:rsid w:val="00B7016C"/>
    <w:rsid w:val="00B7039B"/>
    <w:rsid w:val="00B74D1E"/>
    <w:rsid w:val="00B761E4"/>
    <w:rsid w:val="00B76A18"/>
    <w:rsid w:val="00B81B79"/>
    <w:rsid w:val="00B82159"/>
    <w:rsid w:val="00B8422D"/>
    <w:rsid w:val="00B84C6C"/>
    <w:rsid w:val="00B855A6"/>
    <w:rsid w:val="00B85A76"/>
    <w:rsid w:val="00B904A5"/>
    <w:rsid w:val="00B92687"/>
    <w:rsid w:val="00B94248"/>
    <w:rsid w:val="00B942A1"/>
    <w:rsid w:val="00B94B4F"/>
    <w:rsid w:val="00B952B6"/>
    <w:rsid w:val="00B976F6"/>
    <w:rsid w:val="00BA2C40"/>
    <w:rsid w:val="00BA5ED0"/>
    <w:rsid w:val="00BA5F41"/>
    <w:rsid w:val="00BA6FBB"/>
    <w:rsid w:val="00BA7385"/>
    <w:rsid w:val="00BB187C"/>
    <w:rsid w:val="00BB296B"/>
    <w:rsid w:val="00BB3622"/>
    <w:rsid w:val="00BB45A8"/>
    <w:rsid w:val="00BB682C"/>
    <w:rsid w:val="00BB6D57"/>
    <w:rsid w:val="00BB7CA9"/>
    <w:rsid w:val="00BC236B"/>
    <w:rsid w:val="00BC2393"/>
    <w:rsid w:val="00BC2BB4"/>
    <w:rsid w:val="00BC37DD"/>
    <w:rsid w:val="00BC4EDF"/>
    <w:rsid w:val="00BC65D9"/>
    <w:rsid w:val="00BC7C52"/>
    <w:rsid w:val="00BD0CF6"/>
    <w:rsid w:val="00BD11B4"/>
    <w:rsid w:val="00BD1471"/>
    <w:rsid w:val="00BD14C5"/>
    <w:rsid w:val="00BD196A"/>
    <w:rsid w:val="00BD2081"/>
    <w:rsid w:val="00BD2311"/>
    <w:rsid w:val="00BD2B06"/>
    <w:rsid w:val="00BD6262"/>
    <w:rsid w:val="00BD7DCC"/>
    <w:rsid w:val="00BE4C48"/>
    <w:rsid w:val="00BE61C1"/>
    <w:rsid w:val="00BE64AF"/>
    <w:rsid w:val="00BE6717"/>
    <w:rsid w:val="00BF0381"/>
    <w:rsid w:val="00BF6E7B"/>
    <w:rsid w:val="00C01021"/>
    <w:rsid w:val="00C0141F"/>
    <w:rsid w:val="00C048AF"/>
    <w:rsid w:val="00C077E0"/>
    <w:rsid w:val="00C07DE6"/>
    <w:rsid w:val="00C14165"/>
    <w:rsid w:val="00C154B5"/>
    <w:rsid w:val="00C17872"/>
    <w:rsid w:val="00C205E9"/>
    <w:rsid w:val="00C212FC"/>
    <w:rsid w:val="00C233C9"/>
    <w:rsid w:val="00C23F48"/>
    <w:rsid w:val="00C262BD"/>
    <w:rsid w:val="00C26D23"/>
    <w:rsid w:val="00C310C2"/>
    <w:rsid w:val="00C31332"/>
    <w:rsid w:val="00C335DD"/>
    <w:rsid w:val="00C36525"/>
    <w:rsid w:val="00C40EB3"/>
    <w:rsid w:val="00C41981"/>
    <w:rsid w:val="00C41BD9"/>
    <w:rsid w:val="00C434FD"/>
    <w:rsid w:val="00C47AC7"/>
    <w:rsid w:val="00C5192E"/>
    <w:rsid w:val="00C52DE6"/>
    <w:rsid w:val="00C538D6"/>
    <w:rsid w:val="00C53FA4"/>
    <w:rsid w:val="00C55749"/>
    <w:rsid w:val="00C6016B"/>
    <w:rsid w:val="00C6039F"/>
    <w:rsid w:val="00C63334"/>
    <w:rsid w:val="00C634A7"/>
    <w:rsid w:val="00C638D7"/>
    <w:rsid w:val="00C638DF"/>
    <w:rsid w:val="00C64720"/>
    <w:rsid w:val="00C6517F"/>
    <w:rsid w:val="00C66A93"/>
    <w:rsid w:val="00C67310"/>
    <w:rsid w:val="00C67BA6"/>
    <w:rsid w:val="00C70DA3"/>
    <w:rsid w:val="00C71920"/>
    <w:rsid w:val="00C72A63"/>
    <w:rsid w:val="00C7756C"/>
    <w:rsid w:val="00C806D7"/>
    <w:rsid w:val="00C80AE4"/>
    <w:rsid w:val="00C857F1"/>
    <w:rsid w:val="00C871C4"/>
    <w:rsid w:val="00C9077A"/>
    <w:rsid w:val="00C9655D"/>
    <w:rsid w:val="00CA1130"/>
    <w:rsid w:val="00CA415F"/>
    <w:rsid w:val="00CA5EA7"/>
    <w:rsid w:val="00CB026C"/>
    <w:rsid w:val="00CB2C14"/>
    <w:rsid w:val="00CB307D"/>
    <w:rsid w:val="00CB5A49"/>
    <w:rsid w:val="00CB5C15"/>
    <w:rsid w:val="00CB678B"/>
    <w:rsid w:val="00CC1228"/>
    <w:rsid w:val="00CC1A21"/>
    <w:rsid w:val="00CC457F"/>
    <w:rsid w:val="00CC5035"/>
    <w:rsid w:val="00CC66DE"/>
    <w:rsid w:val="00CC7737"/>
    <w:rsid w:val="00CC7C0C"/>
    <w:rsid w:val="00CC7CEA"/>
    <w:rsid w:val="00CD0455"/>
    <w:rsid w:val="00CD75E3"/>
    <w:rsid w:val="00CD7CBE"/>
    <w:rsid w:val="00CE207A"/>
    <w:rsid w:val="00CE2627"/>
    <w:rsid w:val="00CE2EB2"/>
    <w:rsid w:val="00CE525D"/>
    <w:rsid w:val="00CE5C99"/>
    <w:rsid w:val="00CF16BD"/>
    <w:rsid w:val="00CF17AF"/>
    <w:rsid w:val="00CF23EE"/>
    <w:rsid w:val="00CF32BA"/>
    <w:rsid w:val="00D05C0A"/>
    <w:rsid w:val="00D07A75"/>
    <w:rsid w:val="00D11357"/>
    <w:rsid w:val="00D126F7"/>
    <w:rsid w:val="00D129F5"/>
    <w:rsid w:val="00D12ED9"/>
    <w:rsid w:val="00D141DD"/>
    <w:rsid w:val="00D1494A"/>
    <w:rsid w:val="00D21887"/>
    <w:rsid w:val="00D24FDB"/>
    <w:rsid w:val="00D266DE"/>
    <w:rsid w:val="00D31689"/>
    <w:rsid w:val="00D355E8"/>
    <w:rsid w:val="00D37274"/>
    <w:rsid w:val="00D4216F"/>
    <w:rsid w:val="00D43DD6"/>
    <w:rsid w:val="00D51736"/>
    <w:rsid w:val="00D51C2C"/>
    <w:rsid w:val="00D537D2"/>
    <w:rsid w:val="00D55A36"/>
    <w:rsid w:val="00D5689A"/>
    <w:rsid w:val="00D57072"/>
    <w:rsid w:val="00D61249"/>
    <w:rsid w:val="00D61AE5"/>
    <w:rsid w:val="00D63DFC"/>
    <w:rsid w:val="00D64636"/>
    <w:rsid w:val="00D660E7"/>
    <w:rsid w:val="00D668E4"/>
    <w:rsid w:val="00D67466"/>
    <w:rsid w:val="00D67AB4"/>
    <w:rsid w:val="00D7047B"/>
    <w:rsid w:val="00D729A9"/>
    <w:rsid w:val="00D741F4"/>
    <w:rsid w:val="00D74FEC"/>
    <w:rsid w:val="00D754C1"/>
    <w:rsid w:val="00D75505"/>
    <w:rsid w:val="00D75929"/>
    <w:rsid w:val="00D76695"/>
    <w:rsid w:val="00D77DAB"/>
    <w:rsid w:val="00D8228F"/>
    <w:rsid w:val="00D83CB1"/>
    <w:rsid w:val="00D84418"/>
    <w:rsid w:val="00D85013"/>
    <w:rsid w:val="00D862DA"/>
    <w:rsid w:val="00D8640C"/>
    <w:rsid w:val="00D86456"/>
    <w:rsid w:val="00D870BD"/>
    <w:rsid w:val="00D90D5B"/>
    <w:rsid w:val="00D90ED8"/>
    <w:rsid w:val="00D96163"/>
    <w:rsid w:val="00D97F7C"/>
    <w:rsid w:val="00DA0961"/>
    <w:rsid w:val="00DA19DC"/>
    <w:rsid w:val="00DA1C35"/>
    <w:rsid w:val="00DA29F0"/>
    <w:rsid w:val="00DA3C93"/>
    <w:rsid w:val="00DA3D7B"/>
    <w:rsid w:val="00DA6721"/>
    <w:rsid w:val="00DA7189"/>
    <w:rsid w:val="00DA7370"/>
    <w:rsid w:val="00DB1190"/>
    <w:rsid w:val="00DB1C5B"/>
    <w:rsid w:val="00DB4594"/>
    <w:rsid w:val="00DB4AA3"/>
    <w:rsid w:val="00DB68FF"/>
    <w:rsid w:val="00DB7230"/>
    <w:rsid w:val="00DC32BA"/>
    <w:rsid w:val="00DC3545"/>
    <w:rsid w:val="00DC4EA2"/>
    <w:rsid w:val="00DC5FD8"/>
    <w:rsid w:val="00DC74A9"/>
    <w:rsid w:val="00DD4C97"/>
    <w:rsid w:val="00DD63CC"/>
    <w:rsid w:val="00DD6537"/>
    <w:rsid w:val="00DD6667"/>
    <w:rsid w:val="00DD74A2"/>
    <w:rsid w:val="00DE1E84"/>
    <w:rsid w:val="00DE383B"/>
    <w:rsid w:val="00DE49BE"/>
    <w:rsid w:val="00DE5504"/>
    <w:rsid w:val="00DE6576"/>
    <w:rsid w:val="00DF4614"/>
    <w:rsid w:val="00DF6D10"/>
    <w:rsid w:val="00DF7B25"/>
    <w:rsid w:val="00E00B67"/>
    <w:rsid w:val="00E02731"/>
    <w:rsid w:val="00E02D1C"/>
    <w:rsid w:val="00E04659"/>
    <w:rsid w:val="00E05529"/>
    <w:rsid w:val="00E1259C"/>
    <w:rsid w:val="00E135A1"/>
    <w:rsid w:val="00E1496E"/>
    <w:rsid w:val="00E16EF1"/>
    <w:rsid w:val="00E177A0"/>
    <w:rsid w:val="00E17F63"/>
    <w:rsid w:val="00E25BF3"/>
    <w:rsid w:val="00E27FBC"/>
    <w:rsid w:val="00E33639"/>
    <w:rsid w:val="00E351C3"/>
    <w:rsid w:val="00E35790"/>
    <w:rsid w:val="00E42F8A"/>
    <w:rsid w:val="00E43C06"/>
    <w:rsid w:val="00E449B1"/>
    <w:rsid w:val="00E47B31"/>
    <w:rsid w:val="00E501F7"/>
    <w:rsid w:val="00E5082D"/>
    <w:rsid w:val="00E530DF"/>
    <w:rsid w:val="00E574A9"/>
    <w:rsid w:val="00E61355"/>
    <w:rsid w:val="00E613BC"/>
    <w:rsid w:val="00E61F1E"/>
    <w:rsid w:val="00E66861"/>
    <w:rsid w:val="00E66E21"/>
    <w:rsid w:val="00E67063"/>
    <w:rsid w:val="00E676B7"/>
    <w:rsid w:val="00E70F38"/>
    <w:rsid w:val="00E710FC"/>
    <w:rsid w:val="00E71915"/>
    <w:rsid w:val="00E72853"/>
    <w:rsid w:val="00E80916"/>
    <w:rsid w:val="00E82906"/>
    <w:rsid w:val="00E840DF"/>
    <w:rsid w:val="00E8560F"/>
    <w:rsid w:val="00E868E6"/>
    <w:rsid w:val="00E8780A"/>
    <w:rsid w:val="00E94A01"/>
    <w:rsid w:val="00E957FC"/>
    <w:rsid w:val="00E97331"/>
    <w:rsid w:val="00EA0289"/>
    <w:rsid w:val="00EA4349"/>
    <w:rsid w:val="00EA70D9"/>
    <w:rsid w:val="00EB0503"/>
    <w:rsid w:val="00EB11D1"/>
    <w:rsid w:val="00EB181B"/>
    <w:rsid w:val="00EB1CA4"/>
    <w:rsid w:val="00EB2DEA"/>
    <w:rsid w:val="00EB6CE3"/>
    <w:rsid w:val="00EC341C"/>
    <w:rsid w:val="00ED1657"/>
    <w:rsid w:val="00ED1F26"/>
    <w:rsid w:val="00ED40D0"/>
    <w:rsid w:val="00ED51E3"/>
    <w:rsid w:val="00ED5637"/>
    <w:rsid w:val="00ED6618"/>
    <w:rsid w:val="00EE504F"/>
    <w:rsid w:val="00EE5F4A"/>
    <w:rsid w:val="00EE71C9"/>
    <w:rsid w:val="00EF352D"/>
    <w:rsid w:val="00EF4AEE"/>
    <w:rsid w:val="00EF55B5"/>
    <w:rsid w:val="00EF6E41"/>
    <w:rsid w:val="00EF77BA"/>
    <w:rsid w:val="00F003FC"/>
    <w:rsid w:val="00F03F3B"/>
    <w:rsid w:val="00F07468"/>
    <w:rsid w:val="00F07BE6"/>
    <w:rsid w:val="00F11DDC"/>
    <w:rsid w:val="00F1302B"/>
    <w:rsid w:val="00F13F76"/>
    <w:rsid w:val="00F15582"/>
    <w:rsid w:val="00F2176B"/>
    <w:rsid w:val="00F22A0F"/>
    <w:rsid w:val="00F22D82"/>
    <w:rsid w:val="00F23A8E"/>
    <w:rsid w:val="00F26D40"/>
    <w:rsid w:val="00F30393"/>
    <w:rsid w:val="00F340B6"/>
    <w:rsid w:val="00F361B7"/>
    <w:rsid w:val="00F40BAE"/>
    <w:rsid w:val="00F418C4"/>
    <w:rsid w:val="00F45D44"/>
    <w:rsid w:val="00F52252"/>
    <w:rsid w:val="00F52F93"/>
    <w:rsid w:val="00F531ED"/>
    <w:rsid w:val="00F53600"/>
    <w:rsid w:val="00F54608"/>
    <w:rsid w:val="00F5474C"/>
    <w:rsid w:val="00F552F2"/>
    <w:rsid w:val="00F556B0"/>
    <w:rsid w:val="00F55E52"/>
    <w:rsid w:val="00F57EF0"/>
    <w:rsid w:val="00F61406"/>
    <w:rsid w:val="00F627E2"/>
    <w:rsid w:val="00F65259"/>
    <w:rsid w:val="00F66906"/>
    <w:rsid w:val="00F66DFC"/>
    <w:rsid w:val="00F71520"/>
    <w:rsid w:val="00F7176A"/>
    <w:rsid w:val="00F7483A"/>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52E7"/>
    <w:rsid w:val="00FB673E"/>
    <w:rsid w:val="00FB753B"/>
    <w:rsid w:val="00FC09A4"/>
    <w:rsid w:val="00FC3D57"/>
    <w:rsid w:val="00FC3EB4"/>
    <w:rsid w:val="00FC51B8"/>
    <w:rsid w:val="00FC5D03"/>
    <w:rsid w:val="00FC5FD1"/>
    <w:rsid w:val="00FC6C2D"/>
    <w:rsid w:val="00FD16AB"/>
    <w:rsid w:val="00FD2E3A"/>
    <w:rsid w:val="00FD38DC"/>
    <w:rsid w:val="00FD3E29"/>
    <w:rsid w:val="00FD6457"/>
    <w:rsid w:val="00FD755E"/>
    <w:rsid w:val="00FD7CD3"/>
    <w:rsid w:val="00FE44C5"/>
    <w:rsid w:val="00FE5D9B"/>
    <w:rsid w:val="00FE6FC5"/>
    <w:rsid w:val="00FE73C3"/>
    <w:rsid w:val="00FF1021"/>
    <w:rsid w:val="00FF141F"/>
    <w:rsid w:val="00FF406D"/>
    <w:rsid w:val="00FF5CE3"/>
    <w:rsid w:val="00FF5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D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445CF2"/>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445CF2"/>
    <w:pPr>
      <w:keepNext/>
      <w:numPr>
        <w:numId w:val="5"/>
      </w:numPr>
      <w:ind w:right="1296"/>
      <w:outlineLvl w:val="0"/>
    </w:pPr>
    <w:rPr>
      <w:u w:val="single"/>
    </w:rPr>
  </w:style>
  <w:style w:type="paragraph" w:styleId="Heading2">
    <w:name w:val="heading 2"/>
    <w:basedOn w:val="Normal"/>
    <w:next w:val="Normal"/>
    <w:uiPriority w:val="99"/>
    <w:qFormat/>
    <w:locked/>
    <w:rsid w:val="00445CF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445CF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445C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5CF2"/>
  </w:style>
  <w:style w:type="paragraph" w:styleId="Footer">
    <w:name w:val="footer"/>
    <w:basedOn w:val="Normal"/>
    <w:link w:val="FooterChar"/>
    <w:uiPriority w:val="43"/>
    <w:locked/>
    <w:rsid w:val="00445CF2"/>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445CF2"/>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445CF2"/>
    <w:pPr>
      <w:spacing w:before="240" w:line="240" w:lineRule="exact"/>
      <w:ind w:left="720" w:right="794" w:firstLine="0"/>
    </w:pPr>
  </w:style>
  <w:style w:type="paragraph" w:styleId="FootnoteText">
    <w:name w:val="footnote text"/>
    <w:basedOn w:val="Normal"/>
    <w:link w:val="FootnoteTextChar"/>
    <w:uiPriority w:val="53"/>
    <w:locked/>
    <w:rsid w:val="00445CF2"/>
    <w:pPr>
      <w:spacing w:after="240" w:line="240" w:lineRule="exact"/>
      <w:ind w:left="510" w:hanging="510"/>
    </w:pPr>
  </w:style>
  <w:style w:type="character" w:styleId="FootnoteReference">
    <w:name w:val="footnote reference"/>
    <w:uiPriority w:val="51"/>
    <w:locked/>
    <w:rsid w:val="00445CF2"/>
    <w:rPr>
      <w:b/>
      <w:sz w:val="28"/>
      <w:vertAlign w:val="superscript"/>
    </w:rPr>
  </w:style>
  <w:style w:type="paragraph" w:customStyle="1" w:styleId="FootIndAgain">
    <w:name w:val="FootIndAgain"/>
    <w:basedOn w:val="FootnoteText"/>
    <w:uiPriority w:val="47"/>
    <w:qFormat/>
    <w:locked/>
    <w:rsid w:val="00445CF2"/>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445CF2"/>
    <w:pPr>
      <w:ind w:firstLine="0"/>
    </w:pPr>
  </w:style>
  <w:style w:type="character" w:customStyle="1" w:styleId="Heading1Char">
    <w:name w:val="Heading 1 Char"/>
    <w:uiPriority w:val="99"/>
    <w:locked/>
    <w:rsid w:val="00445CF2"/>
    <w:rPr>
      <w:rFonts w:ascii="Univers" w:hAnsi="Univers"/>
      <w:sz w:val="26"/>
      <w:u w:val="single"/>
      <w:lang w:val="en-AU"/>
    </w:rPr>
  </w:style>
  <w:style w:type="character" w:customStyle="1" w:styleId="Heading2Char">
    <w:name w:val="Heading 2 Char"/>
    <w:uiPriority w:val="99"/>
    <w:locked/>
    <w:rsid w:val="00445CF2"/>
    <w:rPr>
      <w:rFonts w:ascii="Arial" w:hAnsi="Arial"/>
      <w:b/>
      <w:i/>
      <w:sz w:val="24"/>
      <w:lang w:val="en-AU"/>
    </w:rPr>
  </w:style>
  <w:style w:type="character" w:customStyle="1" w:styleId="Heading3Char">
    <w:name w:val="Heading 3 Char"/>
    <w:uiPriority w:val="99"/>
    <w:locked/>
    <w:rsid w:val="00445CF2"/>
    <w:rPr>
      <w:rFonts w:ascii="Arial" w:hAnsi="Arial"/>
      <w:sz w:val="24"/>
      <w:lang w:val="en-AU"/>
    </w:rPr>
  </w:style>
  <w:style w:type="paragraph" w:customStyle="1" w:styleId="NormalHC">
    <w:name w:val="Normal HC"/>
    <w:basedOn w:val="Normal"/>
    <w:uiPriority w:val="27"/>
    <w:qFormat/>
    <w:locked/>
    <w:rsid w:val="00445CF2"/>
    <w:pPr>
      <w:numPr>
        <w:numId w:val="16"/>
      </w:numPr>
      <w:spacing w:after="480"/>
      <w:ind w:left="0" w:hanging="720"/>
    </w:pPr>
  </w:style>
  <w:style w:type="paragraph" w:customStyle="1" w:styleId="HeadingFirst">
    <w:name w:val="Heading First"/>
    <w:basedOn w:val="NormalHC"/>
    <w:next w:val="HeadingV"/>
    <w:uiPriority w:val="15"/>
    <w:qFormat/>
    <w:locked/>
    <w:rsid w:val="00445CF2"/>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445CF2"/>
    <w:pPr>
      <w:keepNext/>
      <w:numPr>
        <w:numId w:val="0"/>
      </w:numPr>
      <w:outlineLvl w:val="2"/>
    </w:pPr>
    <w:rPr>
      <w:b/>
      <w:szCs w:val="20"/>
    </w:rPr>
  </w:style>
  <w:style w:type="paragraph" w:customStyle="1" w:styleId="HeadingL2">
    <w:name w:val="Heading L2"/>
    <w:basedOn w:val="HeadingL1"/>
    <w:next w:val="NormalHC"/>
    <w:uiPriority w:val="23"/>
    <w:qFormat/>
    <w:locked/>
    <w:rsid w:val="00445CF2"/>
    <w:pPr>
      <w:outlineLvl w:val="3"/>
    </w:pPr>
    <w:rPr>
      <w:b w:val="0"/>
      <w:i/>
    </w:rPr>
  </w:style>
  <w:style w:type="paragraph" w:customStyle="1" w:styleId="HeadingMatter">
    <w:name w:val="Heading Matter"/>
    <w:basedOn w:val="NormalHC"/>
    <w:next w:val="HeadingFirst"/>
    <w:uiPriority w:val="13"/>
    <w:qFormat/>
    <w:locked/>
    <w:rsid w:val="00445CF2"/>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445CF2"/>
    <w:pPr>
      <w:keepNext w:val="0"/>
    </w:pPr>
  </w:style>
  <w:style w:type="paragraph" w:customStyle="1" w:styleId="HeadingV">
    <w:name w:val="Heading V"/>
    <w:basedOn w:val="HeadingFirst"/>
    <w:next w:val="HeadingSecond"/>
    <w:uiPriority w:val="17"/>
    <w:qFormat/>
    <w:locked/>
    <w:rsid w:val="00445CF2"/>
    <w:rPr>
      <w:caps w:val="0"/>
      <w:u w:val="none"/>
    </w:rPr>
  </w:style>
  <w:style w:type="paragraph" w:customStyle="1" w:styleId="LeftrightafterHC">
    <w:name w:val="Leftright after HC"/>
    <w:basedOn w:val="Normal"/>
    <w:next w:val="leftright"/>
    <w:uiPriority w:val="31"/>
    <w:qFormat/>
    <w:locked/>
    <w:rsid w:val="00445CF2"/>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445CF2"/>
    <w:pPr>
      <w:ind w:firstLine="720"/>
    </w:pPr>
  </w:style>
  <w:style w:type="paragraph" w:customStyle="1" w:styleId="LeftrightHanging">
    <w:name w:val="LeftrightHanging"/>
    <w:basedOn w:val="NormalHC"/>
    <w:uiPriority w:val="35"/>
    <w:qFormat/>
    <w:locked/>
    <w:rsid w:val="00445CF2"/>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445CF2"/>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445CF2"/>
    <w:pPr>
      <w:spacing w:before="200"/>
      <w:ind w:left="2160"/>
    </w:pPr>
  </w:style>
  <w:style w:type="paragraph" w:customStyle="1" w:styleId="NormalafterHd2nd">
    <w:name w:val="Normal after Hd2nd"/>
    <w:basedOn w:val="NormalHC"/>
    <w:next w:val="NormalHC"/>
    <w:uiPriority w:val="29"/>
    <w:locked/>
    <w:rsid w:val="00445CF2"/>
    <w:pPr>
      <w:numPr>
        <w:numId w:val="0"/>
      </w:numPr>
      <w:spacing w:before="1000"/>
    </w:pPr>
  </w:style>
  <w:style w:type="character" w:customStyle="1" w:styleId="NormalHCChar">
    <w:name w:val="Normal HC Char"/>
    <w:uiPriority w:val="99"/>
    <w:semiHidden/>
    <w:locked/>
    <w:rsid w:val="00445CF2"/>
    <w:rPr>
      <w:rFonts w:ascii="Univers" w:hAnsi="Univers"/>
      <w:sz w:val="26"/>
      <w:szCs w:val="26"/>
    </w:rPr>
  </w:style>
  <w:style w:type="character" w:customStyle="1" w:styleId="StyleFootnoteReferenceChar">
    <w:name w:val="Style Footnote Reference Char"/>
    <w:uiPriority w:val="99"/>
    <w:semiHidden/>
    <w:locked/>
    <w:rsid w:val="00445CF2"/>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445CF2"/>
  </w:style>
  <w:style w:type="paragraph" w:customStyle="1" w:styleId="HeadingJudgment">
    <w:name w:val="Heading Judgment"/>
    <w:basedOn w:val="Normal"/>
    <w:uiPriority w:val="59"/>
    <w:qFormat/>
    <w:locked/>
    <w:rsid w:val="00445CF2"/>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445CF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445CF2"/>
    <w:pPr>
      <w:outlineLvl w:val="4"/>
    </w:pPr>
    <w:rPr>
      <w:b w:val="0"/>
    </w:rPr>
  </w:style>
  <w:style w:type="character" w:styleId="PageNumber">
    <w:name w:val="page number"/>
    <w:basedOn w:val="DefaultParagraphFont"/>
    <w:uiPriority w:val="57"/>
    <w:locked/>
    <w:rsid w:val="00445CF2"/>
  </w:style>
  <w:style w:type="paragraph" w:styleId="BalloonText">
    <w:name w:val="Balloon Text"/>
    <w:basedOn w:val="Normal"/>
    <w:link w:val="BalloonTextChar"/>
    <w:semiHidden/>
    <w:locked/>
    <w:rsid w:val="00445CF2"/>
    <w:rPr>
      <w:rFonts w:ascii="Tahoma" w:hAnsi="Tahoma" w:cs="Tahoma"/>
      <w:sz w:val="16"/>
      <w:szCs w:val="16"/>
      <w:lang w:eastAsia="en-US"/>
    </w:rPr>
  </w:style>
  <w:style w:type="character" w:customStyle="1" w:styleId="BalloonTextChar">
    <w:name w:val="Balloon Text Char"/>
    <w:basedOn w:val="DefaultParagraphFont"/>
    <w:link w:val="BalloonText"/>
    <w:semiHidden/>
    <w:rsid w:val="00445CF2"/>
    <w:rPr>
      <w:rFonts w:ascii="Tahoma" w:hAnsi="Tahoma" w:cs="Tahoma"/>
      <w:sz w:val="16"/>
      <w:szCs w:val="16"/>
      <w:lang w:eastAsia="en-US"/>
    </w:rPr>
  </w:style>
  <w:style w:type="paragraph" w:customStyle="1" w:styleId="ClosingText">
    <w:name w:val="Closing Text"/>
    <w:basedOn w:val="Normal"/>
    <w:uiPriority w:val="98"/>
    <w:semiHidden/>
    <w:qFormat/>
    <w:locked/>
    <w:rsid w:val="00445CF2"/>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445CF2"/>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445CF2"/>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445CF2"/>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445CF2"/>
    <w:rPr>
      <w:szCs w:val="20"/>
      <w:lang w:eastAsia="en-US"/>
    </w:rPr>
  </w:style>
  <w:style w:type="paragraph" w:customStyle="1" w:styleId="NormalBody">
    <w:name w:val="Normal Body"/>
    <w:basedOn w:val="NormalHC"/>
    <w:uiPriority w:val="28"/>
    <w:qFormat/>
    <w:locked/>
    <w:rsid w:val="00445CF2"/>
    <w:pPr>
      <w:numPr>
        <w:numId w:val="0"/>
      </w:numPr>
    </w:pPr>
    <w:rPr>
      <w:lang w:eastAsia="en-US"/>
    </w:rPr>
  </w:style>
  <w:style w:type="paragraph" w:customStyle="1" w:styleId="StyleFootnoteReference">
    <w:name w:val="Style Footnote Reference"/>
    <w:basedOn w:val="Normal"/>
    <w:next w:val="Normal"/>
    <w:semiHidden/>
    <w:rsid w:val="00445CF2"/>
    <w:rPr>
      <w:vertAlign w:val="superscript"/>
      <w:lang w:eastAsia="en-US"/>
    </w:rPr>
  </w:style>
  <w:style w:type="paragraph" w:styleId="ListNumber">
    <w:name w:val="List Number"/>
    <w:basedOn w:val="Normal"/>
    <w:uiPriority w:val="56"/>
    <w:locked/>
    <w:rsid w:val="00445CF2"/>
    <w:pPr>
      <w:numPr>
        <w:numId w:val="11"/>
      </w:numPr>
      <w:contextualSpacing/>
    </w:pPr>
  </w:style>
  <w:style w:type="paragraph" w:customStyle="1" w:styleId="FixListStyle">
    <w:name w:val="FixListStyle"/>
    <w:basedOn w:val="Normal"/>
    <w:uiPriority w:val="99"/>
    <w:qFormat/>
    <w:rsid w:val="00445CF2"/>
    <w:pPr>
      <w:numPr>
        <w:numId w:val="18"/>
      </w:numPr>
      <w:spacing w:after="480"/>
      <w:ind w:left="0" w:hanging="720"/>
    </w:pPr>
  </w:style>
  <w:style w:type="paragraph" w:customStyle="1" w:styleId="CatchwordsBold">
    <w:name w:val="Catchwords Bold"/>
    <w:basedOn w:val="Normal"/>
    <w:link w:val="CatchwordsBoldChar"/>
    <w:qFormat/>
    <w:rsid w:val="00445CF2"/>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445CF2"/>
    <w:rPr>
      <w:rFonts w:ascii="Times New Roman" w:hAnsi="Times New Roman"/>
      <w:b/>
      <w:szCs w:val="20"/>
    </w:rPr>
  </w:style>
  <w:style w:type="paragraph" w:customStyle="1" w:styleId="CatchwordsRight">
    <w:name w:val="Catchwords Right"/>
    <w:basedOn w:val="Normal"/>
    <w:link w:val="CatchwordsRightChar"/>
    <w:qFormat/>
    <w:rsid w:val="00445CF2"/>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445CF2"/>
    <w:rPr>
      <w:rFonts w:ascii="Times New Roman" w:hAnsi="Times New Roman"/>
      <w:szCs w:val="20"/>
    </w:rPr>
  </w:style>
  <w:style w:type="paragraph" w:customStyle="1" w:styleId="CatchwordsText">
    <w:name w:val="Catchwords Text"/>
    <w:basedOn w:val="Normal"/>
    <w:link w:val="CatchwordsTextChar"/>
    <w:qFormat/>
    <w:rsid w:val="00445CF2"/>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445CF2"/>
    <w:rPr>
      <w:rFonts w:ascii="Times New Roman" w:hAnsi="Times New Roman"/>
      <w:szCs w:val="20"/>
    </w:rPr>
  </w:style>
  <w:style w:type="paragraph" w:customStyle="1" w:styleId="CenteredBorder">
    <w:name w:val="Centered Border"/>
    <w:qFormat/>
    <w:rsid w:val="00445CF2"/>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445CF2"/>
    <w:pPr>
      <w:jc w:val="center"/>
    </w:pPr>
    <w:rPr>
      <w:rFonts w:ascii="Times New Roman" w:hAnsi="Times New Roman"/>
      <w:b/>
      <w:bCs/>
      <w:szCs w:val="20"/>
      <w:lang w:val="en-GB"/>
    </w:rPr>
  </w:style>
  <w:style w:type="character" w:customStyle="1" w:styleId="OrderCentred">
    <w:name w:val="Order Centred"/>
    <w:semiHidden/>
    <w:rsid w:val="00445CF2"/>
    <w:rPr>
      <w:b/>
      <w:bCs/>
      <w:sz w:val="26"/>
    </w:rPr>
  </w:style>
  <w:style w:type="paragraph" w:customStyle="1" w:styleId="OrdersTopLine">
    <w:name w:val="Orders TopLine"/>
    <w:qFormat/>
    <w:rsid w:val="00445CF2"/>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445CF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445CF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445CF2"/>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445CF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445CF2"/>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445CF2"/>
    <w:rPr>
      <w:rFonts w:ascii="Times New Roman" w:hAnsi="Times New Roman"/>
      <w:i/>
      <w:lang w:eastAsia="en-US"/>
    </w:rPr>
  </w:style>
  <w:style w:type="paragraph" w:customStyle="1" w:styleId="OrdersIndentLevel2i">
    <w:name w:val="Orders Indent Level 2 (i)"/>
    <w:basedOn w:val="Normal"/>
    <w:link w:val="OrdersIndentLevel2iChar"/>
    <w:qFormat/>
    <w:rsid w:val="00445CF2"/>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445CF2"/>
    <w:rPr>
      <w:rFonts w:ascii="Times New Roman" w:hAnsi="Times New Roman"/>
      <w:i/>
      <w:lang w:eastAsia="en-US"/>
    </w:rPr>
  </w:style>
  <w:style w:type="paragraph" w:customStyle="1" w:styleId="OrdersMatter">
    <w:name w:val="Orders Matter"/>
    <w:basedOn w:val="OrderCentreBold"/>
    <w:link w:val="OrdersMatterChar"/>
    <w:qFormat/>
    <w:rsid w:val="00445CF2"/>
  </w:style>
  <w:style w:type="character" w:customStyle="1" w:styleId="OrdersMatterChar">
    <w:name w:val="Orders Matter Char"/>
    <w:link w:val="OrdersMatter"/>
    <w:rsid w:val="00445CF2"/>
    <w:rPr>
      <w:rFonts w:ascii="Times New Roman" w:hAnsi="Times New Roman"/>
      <w:b/>
      <w:bCs/>
      <w:szCs w:val="20"/>
      <w:lang w:val="en-GB"/>
    </w:rPr>
  </w:style>
  <w:style w:type="paragraph" w:customStyle="1" w:styleId="OrdersNotice">
    <w:name w:val="Orders Notice"/>
    <w:rsid w:val="00445CF2"/>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445CF2"/>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445CF2"/>
    <w:rPr>
      <w:rFonts w:ascii="Times New Roman" w:hAnsi="Times New Roman"/>
      <w:szCs w:val="20"/>
      <w:lang w:eastAsia="en-US"/>
    </w:rPr>
  </w:style>
  <w:style w:type="paragraph" w:customStyle="1" w:styleId="OrdersText">
    <w:name w:val="Orders Text"/>
    <w:basedOn w:val="Normal"/>
    <w:link w:val="OrdersTextChar"/>
    <w:qFormat/>
    <w:rsid w:val="00445CF2"/>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445CF2"/>
    <w:rPr>
      <w:rFonts w:ascii="Times New Roman" w:hAnsi="Times New Roman"/>
      <w:i/>
      <w:lang w:eastAsia="en-US"/>
    </w:rPr>
  </w:style>
  <w:style w:type="paragraph" w:customStyle="1" w:styleId="OrdersCenteredBorder">
    <w:name w:val="Orders Centered Border"/>
    <w:qFormat/>
    <w:rsid w:val="00445CF2"/>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445CF2"/>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445CF2"/>
    <w:rPr>
      <w:rFonts w:ascii="Times New Roman" w:hAnsi="Times New Roman"/>
      <w:szCs w:val="20"/>
    </w:rPr>
  </w:style>
  <w:style w:type="paragraph" w:customStyle="1" w:styleId="LRHangingafterHC">
    <w:name w:val="LR Hanging after HC"/>
    <w:basedOn w:val="Normal"/>
    <w:next w:val="LeftrightHanging"/>
    <w:uiPriority w:val="99"/>
    <w:qFormat/>
    <w:rsid w:val="00445CF2"/>
    <w:pPr>
      <w:spacing w:before="720" w:line="240" w:lineRule="exact"/>
      <w:ind w:left="1440" w:right="794" w:hanging="720"/>
    </w:pPr>
  </w:style>
  <w:style w:type="paragraph" w:customStyle="1" w:styleId="NoNorm">
    <w:name w:val="No Norm"/>
    <w:basedOn w:val="Normal"/>
    <w:qFormat/>
    <w:rsid w:val="0077622A"/>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77622A"/>
    <w:pPr>
      <w:tabs>
        <w:tab w:val="clear" w:pos="2160"/>
        <w:tab w:val="left" w:pos="1418"/>
      </w:tabs>
      <w:ind w:left="1418" w:hanging="709"/>
    </w:pPr>
  </w:style>
  <w:style w:type="paragraph" w:customStyle="1" w:styleId="Indentlista">
    <w:name w:val="Indent list a)"/>
    <w:basedOn w:val="Noindentnormal"/>
    <w:qFormat/>
    <w:rsid w:val="0077622A"/>
    <w:pPr>
      <w:tabs>
        <w:tab w:val="left" w:pos="2268"/>
      </w:tabs>
      <w:spacing w:before="60"/>
      <w:ind w:left="2268" w:hanging="567"/>
    </w:pPr>
  </w:style>
  <w:style w:type="paragraph" w:styleId="ListBullet3">
    <w:name w:val="List Bullet 3"/>
    <w:basedOn w:val="Normal"/>
    <w:uiPriority w:val="99"/>
    <w:unhideWhenUsed/>
    <w:locked/>
    <w:rsid w:val="0077622A"/>
    <w:pPr>
      <w:tabs>
        <w:tab w:val="clear" w:pos="720"/>
        <w:tab w:val="num" w:pos="926"/>
      </w:tabs>
      <w:spacing w:before="120" w:line="312" w:lineRule="auto"/>
      <w:ind w:left="926" w:hanging="360"/>
      <w:contextualSpacing/>
      <w:jc w:val="both"/>
    </w:pPr>
    <w:rPr>
      <w:rFonts w:ascii="Arial" w:hAnsi="Arial" w:cs="Arial"/>
      <w:sz w:val="22"/>
      <w:szCs w:val="22"/>
    </w:rPr>
  </w:style>
  <w:style w:type="character" w:customStyle="1" w:styleId="FootnoteTextChar">
    <w:name w:val="Footnote Text Char"/>
    <w:basedOn w:val="DefaultParagraphFont"/>
    <w:link w:val="FootnoteText"/>
    <w:uiPriority w:val="53"/>
    <w:rsid w:val="0077622A"/>
  </w:style>
  <w:style w:type="paragraph" w:styleId="Quote">
    <w:name w:val="Quote"/>
    <w:basedOn w:val="Normal"/>
    <w:next w:val="NoNorm"/>
    <w:link w:val="QuoteChar"/>
    <w:uiPriority w:val="29"/>
    <w:qFormat/>
    <w:locked/>
    <w:rsid w:val="0077622A"/>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77622A"/>
    <w:rPr>
      <w:rFonts w:ascii="Arial" w:eastAsia="Calibri" w:hAnsi="Arial" w:cs="Arial"/>
      <w:sz w:val="20"/>
      <w:szCs w:val="22"/>
    </w:rPr>
  </w:style>
  <w:style w:type="character" w:styleId="CommentReference">
    <w:name w:val="annotation reference"/>
    <w:basedOn w:val="DefaultParagraphFont"/>
    <w:uiPriority w:val="99"/>
    <w:semiHidden/>
    <w:unhideWhenUsed/>
    <w:locked/>
    <w:rsid w:val="0077622A"/>
    <w:rPr>
      <w:sz w:val="16"/>
      <w:szCs w:val="16"/>
    </w:rPr>
  </w:style>
  <w:style w:type="paragraph" w:styleId="CommentText">
    <w:name w:val="annotation text"/>
    <w:basedOn w:val="Normal"/>
    <w:link w:val="CommentTextChar"/>
    <w:uiPriority w:val="99"/>
    <w:unhideWhenUsed/>
    <w:locked/>
    <w:rsid w:val="0077622A"/>
    <w:pPr>
      <w:spacing w:line="240" w:lineRule="auto"/>
    </w:pPr>
    <w:rPr>
      <w:sz w:val="20"/>
      <w:szCs w:val="20"/>
    </w:rPr>
  </w:style>
  <w:style w:type="character" w:customStyle="1" w:styleId="CommentTextChar">
    <w:name w:val="Comment Text Char"/>
    <w:basedOn w:val="DefaultParagraphFont"/>
    <w:link w:val="CommentText"/>
    <w:uiPriority w:val="99"/>
    <w:rsid w:val="0077622A"/>
    <w:rPr>
      <w:sz w:val="20"/>
      <w:szCs w:val="20"/>
    </w:rPr>
  </w:style>
  <w:style w:type="paragraph" w:styleId="CommentSubject">
    <w:name w:val="annotation subject"/>
    <w:basedOn w:val="CommentText"/>
    <w:next w:val="CommentText"/>
    <w:link w:val="CommentSubjectChar"/>
    <w:uiPriority w:val="99"/>
    <w:semiHidden/>
    <w:unhideWhenUsed/>
    <w:locked/>
    <w:rsid w:val="0077622A"/>
    <w:rPr>
      <w:b/>
      <w:bCs/>
    </w:rPr>
  </w:style>
  <w:style w:type="character" w:customStyle="1" w:styleId="CommentSubjectChar">
    <w:name w:val="Comment Subject Char"/>
    <w:basedOn w:val="CommentTextChar"/>
    <w:link w:val="CommentSubject"/>
    <w:uiPriority w:val="99"/>
    <w:semiHidden/>
    <w:rsid w:val="0077622A"/>
    <w:rPr>
      <w:b/>
      <w:bCs/>
      <w:sz w:val="20"/>
      <w:szCs w:val="20"/>
    </w:rPr>
  </w:style>
  <w:style w:type="paragraph" w:styleId="ListParagraph">
    <w:name w:val="List Paragraph"/>
    <w:basedOn w:val="Normal"/>
    <w:uiPriority w:val="55"/>
    <w:qFormat/>
    <w:locked/>
    <w:rsid w:val="0077622A"/>
    <w:pPr>
      <w:ind w:left="720"/>
      <w:contextualSpacing/>
    </w:pPr>
  </w:style>
  <w:style w:type="paragraph" w:styleId="ListBullet5">
    <w:name w:val="List Bullet 5"/>
    <w:basedOn w:val="Normal"/>
    <w:uiPriority w:val="99"/>
    <w:unhideWhenUsed/>
    <w:locked/>
    <w:rsid w:val="0077622A"/>
    <w:pPr>
      <w:tabs>
        <w:tab w:val="clear" w:pos="720"/>
        <w:tab w:val="num" w:pos="1492"/>
      </w:tabs>
      <w:spacing w:before="120" w:line="312" w:lineRule="auto"/>
      <w:ind w:left="1492" w:hanging="360"/>
      <w:contextualSpacing/>
      <w:jc w:val="both"/>
    </w:pPr>
    <w:rPr>
      <w:rFonts w:ascii="Arial" w:hAnsi="Arial" w:cs="Arial"/>
      <w:sz w:val="22"/>
      <w:szCs w:val="22"/>
    </w:rPr>
  </w:style>
  <w:style w:type="paragraph" w:styleId="Revision">
    <w:name w:val="Revision"/>
    <w:hidden/>
    <w:uiPriority w:val="99"/>
    <w:semiHidden/>
    <w:rsid w:val="0077622A"/>
  </w:style>
  <w:style w:type="paragraph" w:customStyle="1" w:styleId="Default">
    <w:name w:val="Default"/>
    <w:rsid w:val="0077622A"/>
    <w:pPr>
      <w:autoSpaceDE w:val="0"/>
      <w:autoSpaceDN w:val="0"/>
      <w:adjustRightInd w:val="0"/>
    </w:pPr>
    <w:rPr>
      <w:rFonts w:ascii="Times New Roman" w:hAnsi="Times New Roman"/>
      <w:color w:val="000000"/>
      <w:sz w:val="24"/>
      <w:szCs w:val="24"/>
    </w:rPr>
  </w:style>
  <w:style w:type="character" w:customStyle="1" w:styleId="cf01">
    <w:name w:val="cf01"/>
    <w:basedOn w:val="DefaultParagraphFont"/>
    <w:rsid w:val="00541D69"/>
    <w:rPr>
      <w:rFonts w:ascii="Segoe UI" w:hAnsi="Segoe UI" w:cs="Segoe UI" w:hint="default"/>
      <w:sz w:val="18"/>
      <w:szCs w:val="18"/>
    </w:rPr>
  </w:style>
  <w:style w:type="character" w:customStyle="1" w:styleId="cf11">
    <w:name w:val="cf11"/>
    <w:basedOn w:val="DefaultParagraphFont"/>
    <w:rsid w:val="00541D69"/>
    <w:rPr>
      <w:rFonts w:ascii="Segoe UI" w:hAnsi="Segoe UI" w:cs="Segoe UI" w:hint="default"/>
      <w:i/>
      <w:iCs/>
      <w:sz w:val="18"/>
      <w:szCs w:val="18"/>
    </w:rPr>
  </w:style>
  <w:style w:type="character" w:customStyle="1" w:styleId="sup">
    <w:name w:val="sup"/>
    <w:basedOn w:val="DefaultParagraphFont"/>
    <w:rsid w:val="00541D69"/>
  </w:style>
  <w:style w:type="character" w:styleId="Hyperlink">
    <w:name w:val="Hyperlink"/>
    <w:basedOn w:val="DefaultParagraphFont"/>
    <w:uiPriority w:val="99"/>
    <w:semiHidden/>
    <w:unhideWhenUsed/>
    <w:locked/>
    <w:rsid w:val="00541D69"/>
    <w:rPr>
      <w:color w:val="0000FF"/>
      <w:u w:val="single"/>
    </w:rPr>
  </w:style>
  <w:style w:type="character" w:customStyle="1" w:styleId="coitalic">
    <w:name w:val="co_italic"/>
    <w:basedOn w:val="DefaultParagraphFont"/>
    <w:rsid w:val="00541D69"/>
  </w:style>
  <w:style w:type="character" w:customStyle="1" w:styleId="colabel">
    <w:name w:val="co_label"/>
    <w:basedOn w:val="DefaultParagraphFont"/>
    <w:rsid w:val="00541D69"/>
  </w:style>
  <w:style w:type="character" w:customStyle="1" w:styleId="costarpage">
    <w:name w:val="co_starpage"/>
    <w:basedOn w:val="DefaultParagraphFont"/>
    <w:rsid w:val="00541D69"/>
  </w:style>
  <w:style w:type="paragraph" w:customStyle="1" w:styleId="Body">
    <w:name w:val="Body"/>
    <w:basedOn w:val="Normal"/>
    <w:qFormat/>
    <w:rsid w:val="00445CF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45CF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45CF2"/>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45CF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45CF2"/>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45CF2"/>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austlii.edu.au/cgi-bin/viewdoc/au/legis/cth/consol_act/coaca430/"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8A24BAD4-7C50-4D9B-B9C3-7844AF4A9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63</Pages>
  <Words>17623</Words>
  <Characters>100453</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2023-09-03T22:34:00Z</dcterms:created>
  <dcterms:modified xsi:type="dcterms:W3CDTF">2023-09-03T22:34:00Z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