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87E3" w14:textId="77777777" w:rsidR="00AA5366" w:rsidRPr="00704FF8" w:rsidRDefault="00AA5366" w:rsidP="00704FF8">
      <w:pPr>
        <w:pStyle w:val="OrdersTopLine"/>
      </w:pPr>
      <w:r w:rsidRPr="00704FF8">
        <w:t>HIGH COURT OF AUSTRALIA</w:t>
      </w:r>
    </w:p>
    <w:p w14:paraId="7F51F151" w14:textId="77777777" w:rsidR="00AA5366" w:rsidRPr="00704FF8" w:rsidRDefault="00AA5366" w:rsidP="00704FF8">
      <w:pPr>
        <w:pStyle w:val="OrderCentre"/>
      </w:pPr>
    </w:p>
    <w:p w14:paraId="05A3B92C" w14:textId="77777777" w:rsidR="00AA5366" w:rsidRPr="00704FF8" w:rsidRDefault="00AA5366" w:rsidP="00704FF8">
      <w:pPr>
        <w:pStyle w:val="OrderCentre"/>
      </w:pPr>
      <w:r w:rsidRPr="00704FF8">
        <w:t>KIEFEL CJ</w:t>
      </w:r>
      <w:r>
        <w:t>,</w:t>
      </w:r>
    </w:p>
    <w:p w14:paraId="7503937D" w14:textId="77777777" w:rsidR="00AA5366" w:rsidRPr="00704FF8" w:rsidRDefault="00AA5366" w:rsidP="00704FF8">
      <w:pPr>
        <w:pStyle w:val="OrderCentre"/>
      </w:pPr>
      <w:r w:rsidRPr="00704FF8">
        <w:t>GAGELER, GORDON</w:t>
      </w:r>
      <w:r>
        <w:t xml:space="preserve">, </w:t>
      </w:r>
      <w:r w:rsidRPr="00704FF8">
        <w:t>EDELMAN</w:t>
      </w:r>
      <w:r>
        <w:t xml:space="preserve"> </w:t>
      </w:r>
      <w:r w:rsidRPr="00704FF8">
        <w:t>AND</w:t>
      </w:r>
      <w:r>
        <w:t xml:space="preserve"> JAGOT</w:t>
      </w:r>
      <w:r w:rsidRPr="00704FF8">
        <w:t xml:space="preserve"> JJ</w:t>
      </w:r>
    </w:p>
    <w:p w14:paraId="253E1FB1" w14:textId="77777777" w:rsidR="00AA5366" w:rsidRPr="00427F3A" w:rsidRDefault="00AA5366" w:rsidP="00EE5374">
      <w:pPr>
        <w:pStyle w:val="Centre"/>
        <w:rPr>
          <w:lang w:val="en-AU"/>
        </w:rPr>
      </w:pPr>
    </w:p>
    <w:p w14:paraId="5B5297C0" w14:textId="77777777" w:rsidR="00AA5366" w:rsidRPr="00704FF8" w:rsidRDefault="00AA5366" w:rsidP="00704FF8">
      <w:pPr>
        <w:pStyle w:val="OrdersCenteredBorder"/>
      </w:pPr>
    </w:p>
    <w:p w14:paraId="0A948169" w14:textId="77777777" w:rsidR="00AA5366" w:rsidRPr="00704FF8" w:rsidRDefault="00AA5366" w:rsidP="0032341F">
      <w:pPr>
        <w:pStyle w:val="OrdersBodyHeading"/>
      </w:pPr>
    </w:p>
    <w:p w14:paraId="7E3558C1" w14:textId="77777777" w:rsidR="00AA5366" w:rsidRPr="0032341F" w:rsidRDefault="00AA5366" w:rsidP="009362E8">
      <w:pPr>
        <w:pStyle w:val="OrdersPartyName"/>
        <w:ind w:right="-1"/>
      </w:pPr>
      <w:r w:rsidRPr="002723FE">
        <w:t>CRIME AND CORRUPTION COMMISSION</w:t>
      </w:r>
      <w:r w:rsidRPr="0032341F">
        <w:tab/>
        <w:t>APPELLANT</w:t>
      </w:r>
    </w:p>
    <w:p w14:paraId="5F9AEC7B" w14:textId="77777777" w:rsidR="00AA5366" w:rsidRPr="0032341F" w:rsidRDefault="00AA5366" w:rsidP="009362E8">
      <w:pPr>
        <w:pStyle w:val="OrdersPartyName"/>
        <w:ind w:right="-1"/>
      </w:pPr>
    </w:p>
    <w:p w14:paraId="556F1B00" w14:textId="77777777" w:rsidR="00AA5366" w:rsidRPr="0032341F" w:rsidRDefault="00AA5366" w:rsidP="009362E8">
      <w:pPr>
        <w:pStyle w:val="OrdersPartyName"/>
        <w:ind w:right="-1"/>
      </w:pPr>
      <w:r w:rsidRPr="0032341F">
        <w:t>AND</w:t>
      </w:r>
    </w:p>
    <w:p w14:paraId="226BB38E" w14:textId="77777777" w:rsidR="00AA5366" w:rsidRPr="0032341F" w:rsidRDefault="00AA5366" w:rsidP="009362E8">
      <w:pPr>
        <w:pStyle w:val="OrdersPartyName"/>
        <w:ind w:right="-1"/>
      </w:pPr>
    </w:p>
    <w:p w14:paraId="18D41F49" w14:textId="77777777" w:rsidR="00AA5366" w:rsidRPr="0032341F" w:rsidRDefault="00AA5366" w:rsidP="009362E8">
      <w:pPr>
        <w:pStyle w:val="OrdersPartyName"/>
        <w:ind w:right="-1"/>
      </w:pPr>
      <w:r w:rsidRPr="002723FE">
        <w:t>PETER DAMIEN CARNE</w:t>
      </w:r>
      <w:r w:rsidRPr="0032341F">
        <w:tab/>
        <w:t>RESPONDENT</w:t>
      </w:r>
    </w:p>
    <w:p w14:paraId="1CC0FF0D" w14:textId="77777777" w:rsidR="00AA5366" w:rsidRPr="00427F3A" w:rsidRDefault="00AA5366" w:rsidP="00AF0A5E">
      <w:pPr>
        <w:pStyle w:val="BodyHeading"/>
      </w:pPr>
    </w:p>
    <w:p w14:paraId="33054CCC" w14:textId="77777777" w:rsidR="00AA5366" w:rsidRPr="00427F3A" w:rsidRDefault="00AA5366" w:rsidP="00BE0A6C">
      <w:pPr>
        <w:pStyle w:val="BodyHeading"/>
      </w:pPr>
    </w:p>
    <w:p w14:paraId="6D5FF4FD" w14:textId="77777777" w:rsidR="00AA5366" w:rsidRPr="00427F3A" w:rsidRDefault="00AA5366" w:rsidP="00EE5374">
      <w:pPr>
        <w:pStyle w:val="CentreItalics"/>
      </w:pPr>
      <w:r w:rsidRPr="002723FE">
        <w:t>Crime and Corruption Commission v Carne</w:t>
      </w:r>
    </w:p>
    <w:p w14:paraId="154687AC" w14:textId="77777777" w:rsidR="00AA5366" w:rsidRPr="00427F3A" w:rsidRDefault="00AA5366" w:rsidP="00E90E4F">
      <w:pPr>
        <w:pStyle w:val="OrdersCentre"/>
      </w:pPr>
      <w:r>
        <w:t>[2023</w:t>
      </w:r>
      <w:r w:rsidRPr="00427F3A">
        <w:t xml:space="preserve">] HCA </w:t>
      </w:r>
      <w:r>
        <w:t>28</w:t>
      </w:r>
    </w:p>
    <w:p w14:paraId="4DCF8B67" w14:textId="77777777" w:rsidR="00AA5366" w:rsidRDefault="00AA5366" w:rsidP="00E90E4F">
      <w:pPr>
        <w:pStyle w:val="OrdersCentreItalics"/>
      </w:pPr>
      <w:r>
        <w:t>Date of Hearing: 6 &amp; 7 June 2023</w:t>
      </w:r>
    </w:p>
    <w:p w14:paraId="2E23D7EB" w14:textId="77777777" w:rsidR="00AA5366" w:rsidRPr="00427F3A" w:rsidRDefault="00AA5366" w:rsidP="00E90E4F">
      <w:pPr>
        <w:pStyle w:val="OrdersCentreItalics"/>
      </w:pPr>
      <w:r>
        <w:t>Date of Judgment: 13 September 2023</w:t>
      </w:r>
    </w:p>
    <w:p w14:paraId="301F229F" w14:textId="77777777" w:rsidR="00AA5366" w:rsidRDefault="00AA5366" w:rsidP="00E90E4F">
      <w:pPr>
        <w:pStyle w:val="OrdersCentre"/>
      </w:pPr>
      <w:r w:rsidRPr="002723FE">
        <w:t>B66/2022</w:t>
      </w:r>
    </w:p>
    <w:p w14:paraId="357FF5D8" w14:textId="77777777" w:rsidR="00AA5366" w:rsidRPr="00427F3A" w:rsidRDefault="00AA5366" w:rsidP="00E90E4F">
      <w:pPr>
        <w:pStyle w:val="OrdersCentre"/>
      </w:pPr>
    </w:p>
    <w:p w14:paraId="09072F45" w14:textId="77777777" w:rsidR="00AA5366" w:rsidRPr="00BE0A6C" w:rsidRDefault="00AA5366" w:rsidP="00E90E4F">
      <w:pPr>
        <w:pStyle w:val="OrderCentreBold"/>
      </w:pPr>
      <w:r w:rsidRPr="00BE0A6C">
        <w:t>ORDER</w:t>
      </w:r>
    </w:p>
    <w:p w14:paraId="73AD2EB3" w14:textId="77777777" w:rsidR="00AA5366" w:rsidRPr="00427F3A" w:rsidRDefault="00AA5366" w:rsidP="00736C52">
      <w:pPr>
        <w:pStyle w:val="Centre"/>
        <w:rPr>
          <w:lang w:val="en-AU"/>
        </w:rPr>
      </w:pPr>
    </w:p>
    <w:p w14:paraId="55E5718D" w14:textId="77777777" w:rsidR="00AA5366" w:rsidRPr="002E4980" w:rsidRDefault="00AA5366" w:rsidP="00337073">
      <w:pPr>
        <w:pStyle w:val="OrdersText"/>
      </w:pPr>
      <w:r w:rsidRPr="002E4980">
        <w:t xml:space="preserve">Appeal </w:t>
      </w:r>
      <w:r>
        <w:t>dismissed with costs.</w:t>
      </w:r>
    </w:p>
    <w:p w14:paraId="5E42170C" w14:textId="77777777" w:rsidR="00AA5366" w:rsidRDefault="00AA5366" w:rsidP="00EE5374">
      <w:pPr>
        <w:pStyle w:val="Body"/>
      </w:pPr>
    </w:p>
    <w:p w14:paraId="287B059F" w14:textId="77777777" w:rsidR="00AA5366" w:rsidRPr="00427F3A" w:rsidRDefault="00AA5366" w:rsidP="00EE5374">
      <w:pPr>
        <w:pStyle w:val="Body"/>
      </w:pPr>
    </w:p>
    <w:p w14:paraId="12936B92" w14:textId="77777777" w:rsidR="00AA5366" w:rsidRPr="00427F3A" w:rsidRDefault="00AA5366" w:rsidP="0032341F">
      <w:pPr>
        <w:pStyle w:val="OrdersBody"/>
      </w:pPr>
      <w:r w:rsidRPr="00427F3A">
        <w:t xml:space="preserve">On appeal from the </w:t>
      </w:r>
      <w:r w:rsidRPr="00D82A33">
        <w:t>Supreme Court of Queensland</w:t>
      </w:r>
    </w:p>
    <w:p w14:paraId="3C928C77" w14:textId="77777777" w:rsidR="00AA5366" w:rsidRDefault="00AA5366" w:rsidP="00EE5374">
      <w:pPr>
        <w:pStyle w:val="Body"/>
      </w:pPr>
    </w:p>
    <w:p w14:paraId="5D23958F" w14:textId="77777777" w:rsidR="00AA5366" w:rsidRPr="00427F3A" w:rsidRDefault="00AA5366" w:rsidP="00EE5374">
      <w:pPr>
        <w:pStyle w:val="Body"/>
      </w:pPr>
    </w:p>
    <w:p w14:paraId="392D711B" w14:textId="77777777" w:rsidR="00AA5366" w:rsidRPr="00427F3A" w:rsidRDefault="00AA5366" w:rsidP="00E90E4F">
      <w:pPr>
        <w:pStyle w:val="OrdersBodyHeading"/>
      </w:pPr>
      <w:r w:rsidRPr="00427F3A">
        <w:t>Representation</w:t>
      </w:r>
    </w:p>
    <w:p w14:paraId="1F58F0B4" w14:textId="77777777" w:rsidR="00AA5366" w:rsidRDefault="00AA5366" w:rsidP="00EE5374">
      <w:pPr>
        <w:pStyle w:val="Body"/>
      </w:pPr>
    </w:p>
    <w:p w14:paraId="3216DF57" w14:textId="77777777" w:rsidR="00AA5366" w:rsidRPr="003635ED" w:rsidRDefault="00AA5366" w:rsidP="00E90E4F">
      <w:pPr>
        <w:pStyle w:val="OrdersBody"/>
      </w:pPr>
      <w:r w:rsidRPr="003635ED">
        <w:t>P J Dunning KC with M R Wilkinson and S E D Spottiswood for the appellant (instructed by Crime and Corruption Commission)</w:t>
      </w:r>
    </w:p>
    <w:p w14:paraId="3282DE0E" w14:textId="77777777" w:rsidR="00AA5366" w:rsidRPr="003635ED" w:rsidRDefault="00AA5366" w:rsidP="001B3C97">
      <w:pPr>
        <w:pStyle w:val="Body"/>
      </w:pPr>
    </w:p>
    <w:p w14:paraId="618D8392" w14:textId="77777777" w:rsidR="00AA5366" w:rsidRPr="003635ED" w:rsidRDefault="00AA5366" w:rsidP="00E90E4F">
      <w:pPr>
        <w:pStyle w:val="OrdersBody"/>
      </w:pPr>
      <w:r w:rsidRPr="003635ED">
        <w:t xml:space="preserve">J M Horton KC with J P Pemberton for the respondent (instructed by </w:t>
      </w:r>
      <w:proofErr w:type="spellStart"/>
      <w:r w:rsidRPr="003635ED">
        <w:t>Gilshenan</w:t>
      </w:r>
      <w:proofErr w:type="spellEnd"/>
      <w:r w:rsidRPr="003635ED">
        <w:t xml:space="preserve"> &amp; Luton Legal Practice)</w:t>
      </w:r>
    </w:p>
    <w:p w14:paraId="0CFD52A1" w14:textId="77777777" w:rsidR="00AA5366" w:rsidRPr="003635ED" w:rsidRDefault="00AA5366" w:rsidP="00992BB4">
      <w:pPr>
        <w:pStyle w:val="OrdersBody"/>
      </w:pPr>
    </w:p>
    <w:p w14:paraId="6D57B51D" w14:textId="77777777" w:rsidR="00AA5366" w:rsidRPr="003635ED" w:rsidRDefault="00AA5366" w:rsidP="00992BB4">
      <w:pPr>
        <w:pStyle w:val="OrdersBody"/>
      </w:pPr>
      <w:r w:rsidRPr="003635ED">
        <w:t xml:space="preserve">T M </w:t>
      </w:r>
      <w:proofErr w:type="spellStart"/>
      <w:r w:rsidRPr="003635ED">
        <w:t>Begbie</w:t>
      </w:r>
      <w:proofErr w:type="spellEnd"/>
      <w:r w:rsidRPr="003635ED">
        <w:t xml:space="preserve"> KC with P J </w:t>
      </w:r>
      <w:proofErr w:type="spellStart"/>
      <w:r w:rsidRPr="003635ED">
        <w:t>Melican</w:t>
      </w:r>
      <w:proofErr w:type="spellEnd"/>
      <w:r w:rsidRPr="003635ED">
        <w:t xml:space="preserve"> and E H I Smith </w:t>
      </w:r>
      <w:r>
        <w:t>for</w:t>
      </w:r>
      <w:r w:rsidRPr="003635ED">
        <w:t xml:space="preserve"> the Attorney-General of the Commonwealth, intervening (instructed by Australian Government Solicitor)</w:t>
      </w:r>
    </w:p>
    <w:p w14:paraId="58CC1670" w14:textId="0270127F" w:rsidR="00AA5366" w:rsidRDefault="00AA53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0825281" w14:textId="42A3D377" w:rsidR="00AA5366" w:rsidRDefault="00AA53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885BF19" w14:textId="77777777" w:rsidR="00AA5366" w:rsidRPr="003635ED" w:rsidRDefault="00AA5366" w:rsidP="00FE5A99">
      <w:pPr>
        <w:pStyle w:val="OrdersBody"/>
        <w:keepNext/>
      </w:pPr>
      <w:r w:rsidRPr="003635ED">
        <w:lastRenderedPageBreak/>
        <w:t>B W Walker SC with R M O</w:t>
      </w:r>
      <w:r w:rsidRPr="0093130E">
        <w:t>'</w:t>
      </w:r>
      <w:r w:rsidRPr="003635ED">
        <w:t xml:space="preserve">Gorman KC and C J </w:t>
      </w:r>
      <w:proofErr w:type="spellStart"/>
      <w:r w:rsidRPr="003635ED">
        <w:t>Tessmann</w:t>
      </w:r>
      <w:proofErr w:type="spellEnd"/>
      <w:r w:rsidRPr="003635ED">
        <w:t xml:space="preserve"> </w:t>
      </w:r>
      <w:r>
        <w:t>for</w:t>
      </w:r>
      <w:r w:rsidRPr="003635ED">
        <w:t xml:space="preserve"> the Speaker of the Legislative Assembly of Queensland, intervening (instructed by Clerk of the Queensland Parliament)</w:t>
      </w:r>
    </w:p>
    <w:p w14:paraId="2E00F7F4" w14:textId="77777777" w:rsidR="00AA5366" w:rsidRDefault="00AA5366" w:rsidP="00A01277">
      <w:pPr>
        <w:pStyle w:val="Body"/>
      </w:pPr>
    </w:p>
    <w:p w14:paraId="76350542" w14:textId="77777777" w:rsidR="00AA5366" w:rsidRDefault="00AA5366" w:rsidP="00EE5374">
      <w:pPr>
        <w:pStyle w:val="Body"/>
      </w:pPr>
    </w:p>
    <w:p w14:paraId="6B17A8F7" w14:textId="77777777" w:rsidR="00AA5366" w:rsidRDefault="00AA5366" w:rsidP="00EE5374">
      <w:pPr>
        <w:pStyle w:val="Body"/>
      </w:pPr>
    </w:p>
    <w:p w14:paraId="05B9EC77" w14:textId="77777777" w:rsidR="00AA5366" w:rsidRDefault="00AA5366" w:rsidP="00EE5374">
      <w:pPr>
        <w:pStyle w:val="Body"/>
      </w:pPr>
    </w:p>
    <w:p w14:paraId="48B157E3" w14:textId="77777777" w:rsidR="00AA5366" w:rsidRDefault="00AA5366" w:rsidP="00EE5374">
      <w:pPr>
        <w:pStyle w:val="Body"/>
      </w:pPr>
    </w:p>
    <w:p w14:paraId="56858451" w14:textId="77777777" w:rsidR="00AA5366" w:rsidRDefault="00AA5366" w:rsidP="00EE5374">
      <w:pPr>
        <w:pStyle w:val="Body"/>
      </w:pPr>
    </w:p>
    <w:p w14:paraId="5B3203FF" w14:textId="77777777" w:rsidR="00AA5366" w:rsidRDefault="00AA5366" w:rsidP="00EE5374">
      <w:pPr>
        <w:pStyle w:val="Body"/>
      </w:pPr>
    </w:p>
    <w:p w14:paraId="28D02F0C" w14:textId="77777777" w:rsidR="00AA5366" w:rsidRDefault="00AA5366" w:rsidP="00EE5374">
      <w:pPr>
        <w:pStyle w:val="Body"/>
      </w:pPr>
    </w:p>
    <w:p w14:paraId="55A997EE" w14:textId="77777777" w:rsidR="00AA5366" w:rsidRDefault="00AA5366" w:rsidP="00EE5374">
      <w:pPr>
        <w:pStyle w:val="Body"/>
      </w:pPr>
    </w:p>
    <w:p w14:paraId="6636649E" w14:textId="77777777" w:rsidR="00AA5366" w:rsidRDefault="00AA5366" w:rsidP="00EE5374">
      <w:pPr>
        <w:pStyle w:val="Body"/>
      </w:pPr>
    </w:p>
    <w:p w14:paraId="4FBEF576" w14:textId="77777777" w:rsidR="00AA5366" w:rsidRDefault="00AA5366" w:rsidP="00EE5374">
      <w:pPr>
        <w:pStyle w:val="Body"/>
      </w:pPr>
    </w:p>
    <w:p w14:paraId="6BDB9791" w14:textId="77777777" w:rsidR="00AA5366" w:rsidRDefault="00AA5366" w:rsidP="00EE5374">
      <w:pPr>
        <w:pStyle w:val="Body"/>
      </w:pPr>
    </w:p>
    <w:p w14:paraId="62527E80" w14:textId="77777777" w:rsidR="00AA5366" w:rsidRDefault="00AA5366" w:rsidP="00EE5374">
      <w:pPr>
        <w:pStyle w:val="Body"/>
      </w:pPr>
    </w:p>
    <w:p w14:paraId="11CBD2D6" w14:textId="77777777" w:rsidR="00AA5366" w:rsidRDefault="00AA5366" w:rsidP="00EE5374">
      <w:pPr>
        <w:pStyle w:val="Body"/>
      </w:pPr>
    </w:p>
    <w:p w14:paraId="53642984" w14:textId="77777777" w:rsidR="00AA5366" w:rsidRDefault="00AA5366" w:rsidP="00EE5374">
      <w:pPr>
        <w:pStyle w:val="Body"/>
      </w:pPr>
    </w:p>
    <w:p w14:paraId="44999B9F" w14:textId="77777777" w:rsidR="00AA5366" w:rsidRDefault="00AA5366" w:rsidP="00EE5374">
      <w:pPr>
        <w:pStyle w:val="Body"/>
      </w:pPr>
    </w:p>
    <w:p w14:paraId="53F40777" w14:textId="77777777" w:rsidR="00AA5366" w:rsidRDefault="00AA5366" w:rsidP="00EE5374">
      <w:pPr>
        <w:pStyle w:val="Body"/>
      </w:pPr>
    </w:p>
    <w:p w14:paraId="53CF3EDD" w14:textId="77777777" w:rsidR="00AA5366" w:rsidRDefault="00AA5366" w:rsidP="00EE5374">
      <w:pPr>
        <w:pStyle w:val="Body"/>
      </w:pPr>
    </w:p>
    <w:p w14:paraId="50AB8DEF" w14:textId="77777777" w:rsidR="00AA5366" w:rsidRDefault="00AA5366" w:rsidP="00EE5374">
      <w:pPr>
        <w:pStyle w:val="Body"/>
      </w:pPr>
    </w:p>
    <w:p w14:paraId="6070E802" w14:textId="77777777" w:rsidR="00AA5366" w:rsidRDefault="00AA5366" w:rsidP="00EE5374">
      <w:pPr>
        <w:pStyle w:val="Body"/>
      </w:pPr>
    </w:p>
    <w:p w14:paraId="66817AED" w14:textId="77777777" w:rsidR="00AA5366" w:rsidRDefault="00AA5366" w:rsidP="00EE5374">
      <w:pPr>
        <w:pStyle w:val="Body"/>
      </w:pPr>
    </w:p>
    <w:p w14:paraId="1055CD03" w14:textId="23454E1C" w:rsidR="00AA5366" w:rsidRDefault="00AA5366" w:rsidP="00EE5374">
      <w:pPr>
        <w:pStyle w:val="Body"/>
      </w:pPr>
    </w:p>
    <w:p w14:paraId="34D24ED5" w14:textId="42541A05" w:rsidR="00AA5366" w:rsidRDefault="00AA5366" w:rsidP="00EE5374">
      <w:pPr>
        <w:pStyle w:val="Body"/>
      </w:pPr>
    </w:p>
    <w:p w14:paraId="2F76FE3F" w14:textId="3342CFA8" w:rsidR="00AA5366" w:rsidRDefault="00AA5366" w:rsidP="00EE5374">
      <w:pPr>
        <w:pStyle w:val="Body"/>
      </w:pPr>
    </w:p>
    <w:p w14:paraId="25252C4F" w14:textId="5B96FE89" w:rsidR="00AA5366" w:rsidRDefault="00AA5366" w:rsidP="00EE5374">
      <w:pPr>
        <w:pStyle w:val="Body"/>
      </w:pPr>
    </w:p>
    <w:p w14:paraId="4AAFC2CF" w14:textId="77777777" w:rsidR="00AA5366" w:rsidRDefault="00AA5366" w:rsidP="00EE5374">
      <w:pPr>
        <w:pStyle w:val="Body"/>
      </w:pPr>
    </w:p>
    <w:p w14:paraId="46A6A9AE" w14:textId="77777777" w:rsidR="00AA5366" w:rsidRDefault="00AA5366" w:rsidP="00EE5374">
      <w:pPr>
        <w:pStyle w:val="Body"/>
      </w:pPr>
    </w:p>
    <w:p w14:paraId="02C85DE5" w14:textId="77777777" w:rsidR="00AA5366" w:rsidRDefault="00AA5366" w:rsidP="00EE5374">
      <w:pPr>
        <w:pStyle w:val="Body"/>
      </w:pPr>
    </w:p>
    <w:p w14:paraId="5BC6B9F6" w14:textId="77777777" w:rsidR="00AA5366" w:rsidRDefault="00AA5366" w:rsidP="00EE5374">
      <w:pPr>
        <w:pStyle w:val="Body"/>
      </w:pPr>
    </w:p>
    <w:p w14:paraId="71D8ECCE" w14:textId="77777777" w:rsidR="00AA5366" w:rsidRDefault="00AA5366" w:rsidP="00EE5374">
      <w:pPr>
        <w:pStyle w:val="Body"/>
      </w:pPr>
    </w:p>
    <w:p w14:paraId="2A0194E5" w14:textId="77777777" w:rsidR="00AA5366" w:rsidRDefault="00AA5366" w:rsidP="00EE5374">
      <w:pPr>
        <w:pStyle w:val="Body"/>
      </w:pPr>
    </w:p>
    <w:p w14:paraId="19B9EAFD" w14:textId="77777777" w:rsidR="00AA5366" w:rsidRDefault="00AA5366" w:rsidP="00EE5374">
      <w:pPr>
        <w:pStyle w:val="Body"/>
      </w:pPr>
    </w:p>
    <w:p w14:paraId="0C789E91" w14:textId="77777777" w:rsidR="00AA5366" w:rsidRDefault="00AA5366" w:rsidP="00EE5374">
      <w:pPr>
        <w:pStyle w:val="Body"/>
      </w:pPr>
    </w:p>
    <w:p w14:paraId="0A67CC10" w14:textId="77777777" w:rsidR="00AA5366" w:rsidRPr="00427F3A" w:rsidRDefault="00AA5366" w:rsidP="00EE5374">
      <w:pPr>
        <w:pStyle w:val="Body"/>
      </w:pPr>
    </w:p>
    <w:p w14:paraId="4B0C3BCF" w14:textId="77777777" w:rsidR="00AA5366" w:rsidRPr="00427F3A" w:rsidRDefault="00AA5366" w:rsidP="00F9713B">
      <w:pPr>
        <w:pStyle w:val="Notice"/>
        <w:rPr>
          <w:lang w:val="en-AU"/>
        </w:rPr>
      </w:pPr>
      <w:r w:rsidRPr="00427F3A">
        <w:rPr>
          <w:lang w:val="en-AU"/>
        </w:rPr>
        <w:t>Notice:  This copy of the Court's Reasons for Judgment is subject to formal revision prior to publication in the Commonwealth Law Reports.</w:t>
      </w:r>
    </w:p>
    <w:p w14:paraId="1426BE18" w14:textId="6CC5CCCC" w:rsidR="00AA5366" w:rsidRDefault="00AA53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AA4B151" w14:textId="77777777" w:rsidR="00D47854" w:rsidRDefault="00AA536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47854" w:rsidSect="00AA536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86892CB" w14:textId="77777777" w:rsidR="00D47854" w:rsidRPr="000569D0" w:rsidRDefault="00D47854" w:rsidP="00D47854">
      <w:pPr>
        <w:pStyle w:val="CatchwordsBold"/>
      </w:pPr>
      <w:r w:rsidRPr="000569D0">
        <w:lastRenderedPageBreak/>
        <w:t>CATCHWORDS</w:t>
      </w:r>
    </w:p>
    <w:p w14:paraId="0ED46ACA" w14:textId="77777777" w:rsidR="00D47854" w:rsidRPr="000569D0" w:rsidRDefault="00D47854" w:rsidP="00D47854">
      <w:pPr>
        <w:pStyle w:val="CatchwordsBold"/>
      </w:pPr>
    </w:p>
    <w:p w14:paraId="06117039" w14:textId="77777777" w:rsidR="00D47854" w:rsidRDefault="00D47854" w:rsidP="00D47854">
      <w:pPr>
        <w:pStyle w:val="CatchwordsBold"/>
      </w:pPr>
      <w:bookmarkStart w:id="0" w:name="CaseName"/>
      <w:r w:rsidRPr="00EB78F4">
        <w:t xml:space="preserve">Crime </w:t>
      </w:r>
      <w:r>
        <w:t>a</w:t>
      </w:r>
      <w:r w:rsidRPr="00EB78F4">
        <w:t xml:space="preserve">nd Corruption Commission </w:t>
      </w:r>
      <w:r>
        <w:t>v</w:t>
      </w:r>
      <w:r w:rsidRPr="00EB78F4">
        <w:t xml:space="preserve"> Carne</w:t>
      </w:r>
    </w:p>
    <w:p w14:paraId="660AEDF5" w14:textId="77777777" w:rsidR="00D47854" w:rsidRPr="000569D0" w:rsidRDefault="00D47854" w:rsidP="00D47854">
      <w:pPr>
        <w:pStyle w:val="CatchwordsBold"/>
      </w:pPr>
    </w:p>
    <w:p w14:paraId="4C57B322" w14:textId="00BDAF98" w:rsidR="00D47854" w:rsidRDefault="00D47854" w:rsidP="00D47854">
      <w:pPr>
        <w:pStyle w:val="CatchwordsText"/>
      </w:pPr>
      <w:r>
        <w:t>State Parliament</w:t>
      </w:r>
      <w:r w:rsidRPr="0050186F">
        <w:t xml:space="preserve"> –</w:t>
      </w:r>
      <w:r>
        <w:rPr>
          <w:i/>
          <w:iCs/>
        </w:rPr>
        <w:t xml:space="preserve"> </w:t>
      </w:r>
      <w:r>
        <w:t>Parliamentary p</w:t>
      </w:r>
      <w:r w:rsidRPr="000E6986">
        <w:t>rivilege – Where Crime</w:t>
      </w:r>
      <w:r>
        <w:t xml:space="preserve"> and Corruption Commission ("</w:t>
      </w:r>
      <w:r w:rsidRPr="009A20F9">
        <w:t>Commission</w:t>
      </w:r>
      <w:r>
        <w:t>") conducted investigation in response to complaint alleging corrupt conduct and maladministration by Public Trustee of Queensland </w:t>
      </w:r>
      <w:r w:rsidRPr="000E6986">
        <w:t>–</w:t>
      </w:r>
      <w:r>
        <w:t xml:space="preserve"> </w:t>
      </w:r>
      <w:r w:rsidRPr="000E6986">
        <w:t>Where</w:t>
      </w:r>
      <w:r>
        <w:t xml:space="preserve"> Commission then composed Report on allegations and investigation </w:t>
      </w:r>
      <w:r w:rsidRPr="000E6986">
        <w:t>– Where</w:t>
      </w:r>
      <w:r>
        <w:t xml:space="preserve"> Commission sought to use Parliamentary Crime and Corruption Committee ("Committee") to make Report public </w:t>
      </w:r>
      <w:r w:rsidRPr="000E6986">
        <w:t>–</w:t>
      </w:r>
      <w:r>
        <w:t xml:space="preserve"> </w:t>
      </w:r>
      <w:r w:rsidRPr="000E6986">
        <w:t>Where</w:t>
      </w:r>
      <w:r>
        <w:t xml:space="preserve"> Commission requested Committee direct under s 69(1)(b) of </w:t>
      </w:r>
      <w:r>
        <w:rPr>
          <w:i/>
          <w:iCs/>
        </w:rPr>
        <w:t xml:space="preserve">Crime and Corruption Act 2001 </w:t>
      </w:r>
      <w:r w:rsidRPr="000569D0">
        <w:t>(</w:t>
      </w:r>
      <w:r>
        <w:t>Qld</w:t>
      </w:r>
      <w:r w:rsidRPr="000569D0">
        <w:t>)</w:t>
      </w:r>
      <w:r>
        <w:t xml:space="preserve"> ("CC Act")</w:t>
      </w:r>
      <w:r w:rsidRPr="000569D0">
        <w:t xml:space="preserve"> </w:t>
      </w:r>
      <w:r>
        <w:t xml:space="preserve">that Report be given to Speaker of Legislative Assembly to be tabled in Legislative Assembly </w:t>
      </w:r>
      <w:r w:rsidRPr="000E6986">
        <w:t>–</w:t>
      </w:r>
      <w:r>
        <w:t xml:space="preserve"> </w:t>
      </w:r>
      <w:r w:rsidRPr="000E6986">
        <w:t>Where</w:t>
      </w:r>
      <w:r>
        <w:t xml:space="preserve"> s 69(1)(b) direction not given prior to or during court proceedings </w:t>
      </w:r>
      <w:r w:rsidRPr="000E6986">
        <w:t>–</w:t>
      </w:r>
      <w:r>
        <w:t xml:space="preserve"> </w:t>
      </w:r>
      <w:r w:rsidRPr="000E6986">
        <w:t xml:space="preserve">Where </w:t>
      </w:r>
      <w:r>
        <w:t xml:space="preserve">Committee issued certificate under s 55 of </w:t>
      </w:r>
      <w:r>
        <w:rPr>
          <w:i/>
          <w:iCs/>
        </w:rPr>
        <w:t xml:space="preserve">Parliament of Queensland Act 2001 </w:t>
      </w:r>
      <w:r>
        <w:t xml:space="preserve">(Qld) ("POQ Act") certifying Report was a document prepared for the purposes of, or incidental to, transacting business of the Committee under s 9(2)(c) of POQ Act </w:t>
      </w:r>
      <w:r w:rsidRPr="000E6986">
        <w:t>–</w:t>
      </w:r>
      <w:r>
        <w:t xml:space="preserve"> </w:t>
      </w:r>
      <w:r w:rsidRPr="000E6986">
        <w:t xml:space="preserve">Where </w:t>
      </w:r>
      <w:r>
        <w:t xml:space="preserve">s 9 of POQ Act defined "proceedings in the Assembly" to include "all words spoken and acts done in the course of, or for the purposes of or incidental to, transacting business of the Assembly or a committee" </w:t>
      </w:r>
      <w:r w:rsidRPr="000E6986">
        <w:t>–</w:t>
      </w:r>
      <w:r>
        <w:t xml:space="preserve"> </w:t>
      </w:r>
      <w:r w:rsidRPr="000E6986">
        <w:t xml:space="preserve">Where </w:t>
      </w:r>
      <w:r>
        <w:t xml:space="preserve">"proceedings in the Assembly" could not be impeached or questioned in any court under s 8 of POQ Act </w:t>
      </w:r>
      <w:r w:rsidRPr="000E6986">
        <w:t>–</w:t>
      </w:r>
      <w:r>
        <w:t xml:space="preserve"> Whether court precluded by s 8(1) of POQ Act from making declaration concerning Report because preparation and presentation of Report were "proceedings" in Legislative Assembly. </w:t>
      </w:r>
    </w:p>
    <w:p w14:paraId="5B80051A" w14:textId="77777777" w:rsidR="00D47854" w:rsidRDefault="00D47854" w:rsidP="00D47854">
      <w:pPr>
        <w:pStyle w:val="CatchwordsText"/>
      </w:pPr>
    </w:p>
    <w:p w14:paraId="5950A9E9" w14:textId="77777777" w:rsidR="00D47854" w:rsidRPr="00E82BCD" w:rsidRDefault="00D47854" w:rsidP="00D47854">
      <w:pPr>
        <w:pStyle w:val="CatchwordsText"/>
        <w:rPr>
          <w:highlight w:val="yellow"/>
        </w:rPr>
      </w:pPr>
      <w:r>
        <w:t xml:space="preserve">Statutes </w:t>
      </w:r>
      <w:r w:rsidRPr="000E6986">
        <w:t xml:space="preserve">– </w:t>
      </w:r>
      <w:r>
        <w:t xml:space="preserve">Construction </w:t>
      </w:r>
      <w:r w:rsidRPr="000E6986">
        <w:t xml:space="preserve">– </w:t>
      </w:r>
      <w:r>
        <w:t xml:space="preserve">Statutory powers </w:t>
      </w:r>
      <w:r w:rsidRPr="000E6986">
        <w:t xml:space="preserve">– </w:t>
      </w:r>
      <w:r w:rsidRPr="00906A6E">
        <w:t xml:space="preserve">Where </w:t>
      </w:r>
      <w:r>
        <w:t xml:space="preserve">CC Act established Commission and its functions and powers </w:t>
      </w:r>
      <w:r w:rsidRPr="000E6986">
        <w:t xml:space="preserve">– </w:t>
      </w:r>
      <w:r w:rsidRPr="005759A8">
        <w:t>Where Commission conducted investigation into alleged corrupt conduct – Where only consequent actions Commission took under CC Act were referring information to Attorney-General and making recommendations to Acting Public Trustee</w:t>
      </w:r>
      <w:r>
        <w:t xml:space="preserve"> </w:t>
      </w:r>
      <w:r w:rsidRPr="000E6986">
        <w:t>–</w:t>
      </w:r>
      <w:r>
        <w:t xml:space="preserve"> Where s 69 of CC Act applied to report on public hearing, research report or "other report" that Committee directs be given to Speaker of Legislative Assembly </w:t>
      </w:r>
      <w:r w:rsidRPr="000E6986">
        <w:t>–</w:t>
      </w:r>
      <w:r>
        <w:t xml:space="preserve"> Whether Report was "other report" for purposes of s 69(1)(b) of CC Act.</w:t>
      </w:r>
    </w:p>
    <w:bookmarkEnd w:id="0"/>
    <w:p w14:paraId="069325F7" w14:textId="77777777" w:rsidR="00D47854" w:rsidRPr="000569D0" w:rsidRDefault="00D47854" w:rsidP="00D47854">
      <w:pPr>
        <w:pStyle w:val="CatchwordsText"/>
        <w:rPr>
          <w:iCs/>
          <w:sz w:val="24"/>
          <w:szCs w:val="24"/>
        </w:rPr>
      </w:pPr>
    </w:p>
    <w:p w14:paraId="562431CC" w14:textId="77777777" w:rsidR="00D47854" w:rsidRDefault="00D47854" w:rsidP="00D47854">
      <w:pPr>
        <w:pStyle w:val="CatchwordsText"/>
      </w:pPr>
      <w:r w:rsidRPr="000569D0">
        <w:rPr>
          <w:iCs/>
        </w:rPr>
        <w:t xml:space="preserve">Words and phrases </w:t>
      </w:r>
      <w:r w:rsidRPr="000569D0">
        <w:t xml:space="preserve">– </w:t>
      </w:r>
      <w:r>
        <w:t>"adverse comment", "business of the Assembly or a committee", "corrupt conduct", "corruption functions", "for the purposes of, or incidental to, transacting business", "impeached or questioned in any court", "investigations and reporting", "parliamentary privilege", "proceedings in the Assembly", "reporting powers", "tabling requirements", "unit of public administration".</w:t>
      </w:r>
    </w:p>
    <w:p w14:paraId="45973A5F" w14:textId="77777777" w:rsidR="00D47854" w:rsidRPr="000569D0" w:rsidRDefault="00D47854" w:rsidP="00D47854">
      <w:pPr>
        <w:pStyle w:val="CatchwordsText"/>
      </w:pPr>
    </w:p>
    <w:p w14:paraId="55A7317E" w14:textId="77777777" w:rsidR="00D47854" w:rsidRPr="000569D0" w:rsidRDefault="00D47854" w:rsidP="00D47854">
      <w:pPr>
        <w:pStyle w:val="CatchwordsText"/>
      </w:pPr>
      <w:r w:rsidRPr="00D47854">
        <w:rPr>
          <w:i/>
          <w:iCs/>
        </w:rPr>
        <w:t>Crime and Corruption Act 2001</w:t>
      </w:r>
      <w:r>
        <w:t xml:space="preserve"> </w:t>
      </w:r>
      <w:r w:rsidRPr="000569D0">
        <w:t>(</w:t>
      </w:r>
      <w:r>
        <w:t>Qld</w:t>
      </w:r>
      <w:r w:rsidRPr="000569D0">
        <w:t xml:space="preserve">), </w:t>
      </w:r>
      <w:r w:rsidRPr="00943102">
        <w:t>s</w:t>
      </w:r>
      <w:r>
        <w:t xml:space="preserve">s 49, 64, </w:t>
      </w:r>
      <w:r w:rsidRPr="00943102">
        <w:t>69.</w:t>
      </w:r>
    </w:p>
    <w:p w14:paraId="0A228698" w14:textId="77777777" w:rsidR="00D47854" w:rsidRPr="00A83161" w:rsidRDefault="00D47854" w:rsidP="00D47854">
      <w:pPr>
        <w:pStyle w:val="CatchwordsText"/>
      </w:pPr>
      <w:r w:rsidRPr="00D47854">
        <w:rPr>
          <w:i/>
          <w:iCs/>
        </w:rPr>
        <w:t>Parliament of Queensland Act 2001</w:t>
      </w:r>
      <w:r>
        <w:t xml:space="preserve"> (Qld), ss 8, 9, 55.</w:t>
      </w:r>
    </w:p>
    <w:p w14:paraId="7B4EA504" w14:textId="131D94D9" w:rsidR="00AA5366" w:rsidRDefault="00AA5366" w:rsidP="00D47854">
      <w:pPr>
        <w:pStyle w:val="CatchwordsText"/>
      </w:pPr>
    </w:p>
    <w:p w14:paraId="70E40F30" w14:textId="0D6441B5" w:rsidR="00D47854" w:rsidRDefault="00D478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A398150" w14:textId="6B22BB9E" w:rsidR="00D47854" w:rsidRDefault="00D4785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E848945" w14:textId="77777777" w:rsidR="00AA5366" w:rsidRDefault="00AA5366" w:rsidP="00153410">
      <w:pPr>
        <w:pStyle w:val="FixListStyle"/>
        <w:tabs>
          <w:tab w:val="clear" w:pos="720"/>
          <w:tab w:val="left" w:pos="0"/>
        </w:tabs>
        <w:spacing w:after="260" w:line="280" w:lineRule="exact"/>
        <w:ind w:right="0"/>
        <w:jc w:val="both"/>
        <w:rPr>
          <w:rFonts w:ascii="Times New Roman" w:hAnsi="Times New Roman"/>
        </w:rPr>
        <w:sectPr w:rsidR="00AA5366" w:rsidSect="00D47854">
          <w:pgSz w:w="11907" w:h="16839" w:code="9"/>
          <w:pgMar w:top="1440" w:right="1701" w:bottom="1984" w:left="1701" w:header="720" w:footer="720" w:gutter="0"/>
          <w:pgNumType w:start="1"/>
          <w:cols w:space="720"/>
          <w:titlePg/>
          <w:docGrid w:linePitch="354"/>
        </w:sectPr>
      </w:pPr>
    </w:p>
    <w:p w14:paraId="13A7E076" w14:textId="1C97F175" w:rsidR="00307209" w:rsidRPr="00153410" w:rsidRDefault="00153410" w:rsidP="00153410">
      <w:pPr>
        <w:pStyle w:val="FixListStyle"/>
        <w:tabs>
          <w:tab w:val="clear" w:pos="720"/>
          <w:tab w:val="left" w:pos="0"/>
        </w:tabs>
        <w:spacing w:after="260" w:line="280" w:lineRule="exact"/>
        <w:ind w:right="0"/>
        <w:jc w:val="both"/>
        <w:rPr>
          <w:rFonts w:ascii="Times New Roman" w:hAnsi="Times New Roman"/>
        </w:rPr>
      </w:pPr>
      <w:r w:rsidRPr="00153410">
        <w:rPr>
          <w:rFonts w:ascii="Times New Roman" w:hAnsi="Times New Roman"/>
        </w:rPr>
        <w:lastRenderedPageBreak/>
        <w:t xml:space="preserve">KIEFEL CJ, GAGELER AND JAGOT JJ.   </w:t>
      </w:r>
      <w:r w:rsidR="00307209" w:rsidRPr="00153410">
        <w:rPr>
          <w:rFonts w:ascii="Times New Roman" w:hAnsi="Times New Roman"/>
        </w:rPr>
        <w:t xml:space="preserve">The office of the Public Trustee </w:t>
      </w:r>
      <w:r w:rsidR="00DC31A1" w:rsidRPr="00153410">
        <w:rPr>
          <w:rFonts w:ascii="Times New Roman" w:hAnsi="Times New Roman"/>
        </w:rPr>
        <w:t xml:space="preserve">of </w:t>
      </w:r>
      <w:r w:rsidR="00307209" w:rsidRPr="00153410">
        <w:rPr>
          <w:rFonts w:ascii="Times New Roman" w:hAnsi="Times New Roman"/>
        </w:rPr>
        <w:t xml:space="preserve">Queensland was established under the </w:t>
      </w:r>
      <w:r w:rsidR="00307209" w:rsidRPr="00153410">
        <w:rPr>
          <w:rFonts w:ascii="Times New Roman" w:hAnsi="Times New Roman"/>
          <w:i/>
          <w:iCs/>
        </w:rPr>
        <w:t>Public Trustee Act 1978</w:t>
      </w:r>
      <w:r w:rsidR="00307209" w:rsidRPr="00153410">
        <w:rPr>
          <w:rFonts w:ascii="Times New Roman" w:hAnsi="Times New Roman"/>
        </w:rPr>
        <w:t xml:space="preserve"> (Qld) and the Public Trustee is appointed under that Act</w:t>
      </w:r>
      <w:r w:rsidR="00307209" w:rsidRPr="00153410">
        <w:rPr>
          <w:rStyle w:val="FootnoteReference"/>
          <w:rFonts w:ascii="Times New Roman" w:hAnsi="Times New Roman"/>
          <w:sz w:val="24"/>
        </w:rPr>
        <w:footnoteReference w:id="2"/>
      </w:r>
      <w:r w:rsidR="00307209" w:rsidRPr="00153410">
        <w:rPr>
          <w:rFonts w:ascii="Times New Roman" w:hAnsi="Times New Roman"/>
        </w:rPr>
        <w:t>. The respondent held that office from March 2009 until March 2014, and from March 2016 until 31 July 2020, when his resignation took effect.</w:t>
      </w:r>
    </w:p>
    <w:p w14:paraId="2A5AD454"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Crime and Corruption Commission ("the Commission") was established under the </w:t>
      </w:r>
      <w:r w:rsidRPr="00153410">
        <w:rPr>
          <w:rFonts w:ascii="Times New Roman" w:hAnsi="Times New Roman"/>
          <w:i/>
          <w:iCs/>
        </w:rPr>
        <w:t>Crime and Corruption Act 2001</w:t>
      </w:r>
      <w:r w:rsidRPr="00153410">
        <w:rPr>
          <w:rFonts w:ascii="Times New Roman" w:hAnsi="Times New Roman"/>
        </w:rPr>
        <w:t xml:space="preserve"> (Qld) ("the CC Act")</w:t>
      </w:r>
      <w:r w:rsidRPr="00153410">
        <w:rPr>
          <w:rStyle w:val="FootnoteReference"/>
          <w:rFonts w:ascii="Times New Roman" w:hAnsi="Times New Roman"/>
          <w:sz w:val="24"/>
        </w:rPr>
        <w:footnoteReference w:id="3"/>
      </w:r>
      <w:r w:rsidRPr="00153410">
        <w:rPr>
          <w:rFonts w:ascii="Times New Roman" w:hAnsi="Times New Roman"/>
        </w:rPr>
        <w:t>. The Parliamentary Crime and Corruption Committee ("the Committee") was also established under the CC Act as a committee of the Legislative Assembly of Queensland</w:t>
      </w:r>
      <w:r w:rsidRPr="00153410">
        <w:rPr>
          <w:rStyle w:val="FootnoteReference"/>
          <w:rFonts w:ascii="Times New Roman" w:hAnsi="Times New Roman"/>
          <w:sz w:val="24"/>
        </w:rPr>
        <w:footnoteReference w:id="4"/>
      </w:r>
      <w:r w:rsidRPr="00153410">
        <w:rPr>
          <w:rFonts w:ascii="Times New Roman" w:hAnsi="Times New Roman"/>
        </w:rPr>
        <w:t>.</w:t>
      </w:r>
    </w:p>
    <w:p w14:paraId="79905C99" w14:textId="13AE5F4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On 25 June 2018 the Commission received an anonymous complaint against the respondent alleging that he had been involved in corrupt conduct and was guilty of maladministration. In September 2018, after further correspondence was received from the same person, the Commission commenced an investigation into the allegations.</w:t>
      </w:r>
    </w:p>
    <w:p w14:paraId="323D61BA" w14:textId="5A1BA414"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On 28 May 2019 the Commission referred certain information to the Attorney</w:t>
      </w:r>
      <w:r w:rsidRPr="00153410">
        <w:rPr>
          <w:rFonts w:ascii="Times New Roman" w:hAnsi="Times New Roman"/>
        </w:rPr>
        <w:noBreakHyphen/>
        <w:t xml:space="preserve">General for consideration of whether the respondent had engaged in "misbehaviour" within the meaning of the </w:t>
      </w:r>
      <w:r w:rsidRPr="00153410">
        <w:rPr>
          <w:rFonts w:ascii="Times New Roman" w:hAnsi="Times New Roman"/>
          <w:i/>
        </w:rPr>
        <w:t>Public Trustee Act</w:t>
      </w:r>
      <w:r w:rsidRPr="00153410">
        <w:rPr>
          <w:rFonts w:ascii="Times New Roman" w:hAnsi="Times New Roman"/>
        </w:rPr>
        <w:t>, and whether to take disciplinary action against the respondent. On 13 June 2019 the Attorney</w:t>
      </w:r>
      <w:r w:rsidRPr="00153410">
        <w:rPr>
          <w:rFonts w:ascii="Times New Roman" w:hAnsi="Times New Roman"/>
        </w:rPr>
        <w:noBreakHyphen/>
        <w:t>General advised the respondent that the Governor</w:t>
      </w:r>
      <w:r w:rsidRPr="00153410">
        <w:rPr>
          <w:rFonts w:ascii="Times New Roman" w:hAnsi="Times New Roman"/>
        </w:rPr>
        <w:noBreakHyphen/>
        <w:t>in</w:t>
      </w:r>
      <w:r w:rsidRPr="00153410">
        <w:rPr>
          <w:rFonts w:ascii="Times New Roman" w:hAnsi="Times New Roman"/>
        </w:rPr>
        <w:noBreakHyphen/>
        <w:t xml:space="preserve">Council had approved the suspension of his appointment as Public Trustee pending the outcome of a "show cause" process. In November 2019 a show cause letter in respect of </w:t>
      </w:r>
      <w:proofErr w:type="gramStart"/>
      <w:r w:rsidRPr="00153410">
        <w:rPr>
          <w:rFonts w:ascii="Times New Roman" w:hAnsi="Times New Roman"/>
        </w:rPr>
        <w:t>a number of</w:t>
      </w:r>
      <w:proofErr w:type="gramEnd"/>
      <w:r w:rsidRPr="00153410">
        <w:rPr>
          <w:rFonts w:ascii="Times New Roman" w:hAnsi="Times New Roman"/>
        </w:rPr>
        <w:t xml:space="preserve"> allegations of misbehaviour under the </w:t>
      </w:r>
      <w:r w:rsidRPr="00153410">
        <w:rPr>
          <w:rFonts w:ascii="Times New Roman" w:hAnsi="Times New Roman"/>
          <w:i/>
          <w:iCs/>
        </w:rPr>
        <w:t>Public Trustee Act</w:t>
      </w:r>
      <w:r w:rsidRPr="00153410">
        <w:rPr>
          <w:rFonts w:ascii="Times New Roman" w:hAnsi="Times New Roman"/>
        </w:rPr>
        <w:t xml:space="preserve"> was issued to the respondent. The respondent was invited to make submissions. </w:t>
      </w:r>
    </w:p>
    <w:p w14:paraId="77DAF80E" w14:textId="5E725BA8"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On 23 April 2020 the Commission wrote to the Acting Public Trustee, making </w:t>
      </w:r>
      <w:proofErr w:type="gramStart"/>
      <w:r w:rsidRPr="00153410">
        <w:rPr>
          <w:rFonts w:ascii="Times New Roman" w:hAnsi="Times New Roman"/>
        </w:rPr>
        <w:t>a number of</w:t>
      </w:r>
      <w:proofErr w:type="gramEnd"/>
      <w:r w:rsidRPr="00153410">
        <w:rPr>
          <w:rFonts w:ascii="Times New Roman" w:hAnsi="Times New Roman"/>
        </w:rPr>
        <w:t xml:space="preserve"> recommendations as to the operation of the Public Trust Office. The description of the subject matter of the letter contained the words "referral of recommendations". The topics to which recommendations were addressed included: ethics, the complaints management system, and the training of staff in relation thereto; improving relationships between staff and executive leadership; the use of corporate credit cards; the taking of leave and applications </w:t>
      </w:r>
      <w:r w:rsidRPr="00153410">
        <w:rPr>
          <w:rFonts w:ascii="Times New Roman" w:hAnsi="Times New Roman"/>
        </w:rPr>
        <w:lastRenderedPageBreak/>
        <w:t xml:space="preserve">for leave; the development of policies relating to the taking of external studies; and the development of codes of conduct as to standards of behaviour. </w:t>
      </w:r>
    </w:p>
    <w:p w14:paraId="266B28F9" w14:textId="78D65AFC"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Apart from the Commission's earlier referral to the Attorney</w:t>
      </w:r>
      <w:r w:rsidRPr="00153410">
        <w:rPr>
          <w:rFonts w:ascii="Times New Roman" w:hAnsi="Times New Roman"/>
        </w:rPr>
        <w:noBreakHyphen/>
        <w:t>General concerning possible disciplinary action, the making of those recommendations was the only action taken by the Commission consequent upon its investigation under the CC Act. On 30 April 2020 the Commission advised the respondent's solicitors that it had concluded its investigation and that at that time it was not proposing</w:t>
      </w:r>
      <w:r w:rsidR="00317CEF" w:rsidRPr="00153410">
        <w:rPr>
          <w:rFonts w:ascii="Times New Roman" w:hAnsi="Times New Roman"/>
        </w:rPr>
        <w:t xml:space="preserve"> that</w:t>
      </w:r>
      <w:r w:rsidRPr="00153410">
        <w:rPr>
          <w:rFonts w:ascii="Times New Roman" w:hAnsi="Times New Roman"/>
        </w:rPr>
        <w:t xml:space="preserve"> any criminal proceedings be brought against him. On the same day the Commission advised the Attorney</w:t>
      </w:r>
      <w:r w:rsidRPr="00153410">
        <w:rPr>
          <w:rFonts w:ascii="Times New Roman" w:hAnsi="Times New Roman"/>
        </w:rPr>
        <w:noBreakHyphen/>
        <w:t>General that it had been determined that no criminal prosecution would be pursued against the respondent and that the Commission had concluded its investigation.</w:t>
      </w:r>
    </w:p>
    <w:p w14:paraId="780FA3E8" w14:textId="4529590B"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Despite the Commission not proposing </w:t>
      </w:r>
      <w:r w:rsidR="004A5B50" w:rsidRPr="00153410">
        <w:rPr>
          <w:rFonts w:ascii="Times New Roman" w:hAnsi="Times New Roman"/>
        </w:rPr>
        <w:t xml:space="preserve">that </w:t>
      </w:r>
      <w:r w:rsidRPr="00153410">
        <w:rPr>
          <w:rFonts w:ascii="Times New Roman" w:hAnsi="Times New Roman"/>
        </w:rPr>
        <w:t xml:space="preserve">any criminal action be taken </w:t>
      </w:r>
      <w:r w:rsidR="009D5EB8" w:rsidRPr="00153410">
        <w:rPr>
          <w:rFonts w:ascii="Times New Roman" w:hAnsi="Times New Roman"/>
        </w:rPr>
        <w:t>and the Attorney-General's consideration of disciplinary action against the respondent being terminated by reason of the respondent's resignation</w:t>
      </w:r>
      <w:r w:rsidRPr="00153410">
        <w:rPr>
          <w:rFonts w:ascii="Times New Roman" w:hAnsi="Times New Roman"/>
        </w:rPr>
        <w:t xml:space="preserve">, </w:t>
      </w:r>
      <w:r w:rsidR="00A80FC4" w:rsidRPr="00153410">
        <w:rPr>
          <w:rFonts w:ascii="Times New Roman" w:hAnsi="Times New Roman"/>
        </w:rPr>
        <w:t xml:space="preserve">the Commission </w:t>
      </w:r>
      <w:r w:rsidRPr="00153410">
        <w:rPr>
          <w:rFonts w:ascii="Times New Roman" w:hAnsi="Times New Roman"/>
        </w:rPr>
        <w:t>took steps to compose a report on the allegations and the investigations, which it sought to make available to the public. The course that it took was to seek to have the report tabled in the Legislative Assembly with the assistance of the Committee.</w:t>
      </w:r>
    </w:p>
    <w:p w14:paraId="0B0FF81E" w14:textId="4E460E23"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In a private meeting held on 19 June 2020, the Chairperson of the Commission advised, in response to an enquiry from the Chairperson of the Committee, that the Commission had not made a final decision on whether to prepare a report in relation to the matter, but he thought the Commission should do so "because it is high profile and </w:t>
      </w:r>
      <w:r w:rsidR="004A5B50" w:rsidRPr="00153410">
        <w:rPr>
          <w:rFonts w:ascii="Times New Roman" w:hAnsi="Times New Roman"/>
        </w:rPr>
        <w:t xml:space="preserve">it </w:t>
      </w:r>
      <w:r w:rsidRPr="00153410">
        <w:rPr>
          <w:rFonts w:ascii="Times New Roman" w:hAnsi="Times New Roman"/>
        </w:rPr>
        <w:t>has been in the media". He said that after the show cause process had taken its course, the Commission "probably should articulate some of the concerns that [it] had". On 31 July 2020 the respondent resigned from his position as the Public Trustee. This brought the show cause process to an end.</w:t>
      </w:r>
    </w:p>
    <w:p w14:paraId="7EAE3BAF" w14:textId="2D97A50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On 4 September 2020 the Commission wrote to the respondent's solicitors enclosing a draft report and advised that the Commission "intends to publish a report on this investigation in accordance with section 69 of the [CC Act], providing an overview of the investigation and the outcomes". The respondent was invited to comment on the draft by 9 September 2020 (before the report was finalised).</w:t>
      </w:r>
    </w:p>
    <w:p w14:paraId="7D34AFE4" w14:textId="2A3FB5A4"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Section 69 of the CC Act, to which further reference will be made later in these reasons, applies to certain reports of the Commission: a report on a public hearing</w:t>
      </w:r>
      <w:r w:rsidR="003E6468" w:rsidRPr="00153410">
        <w:rPr>
          <w:rFonts w:ascii="Times New Roman" w:hAnsi="Times New Roman"/>
        </w:rPr>
        <w:t>,</w:t>
      </w:r>
      <w:r w:rsidRPr="00153410">
        <w:rPr>
          <w:rFonts w:ascii="Times New Roman" w:hAnsi="Times New Roman"/>
        </w:rPr>
        <w:t xml:space="preserve"> a research report or "other report that [the Committee] directs be given to </w:t>
      </w:r>
      <w:r w:rsidRPr="00153410">
        <w:rPr>
          <w:rFonts w:ascii="Times New Roman" w:hAnsi="Times New Roman"/>
        </w:rPr>
        <w:lastRenderedPageBreak/>
        <w:t>the Speaker"</w:t>
      </w:r>
      <w:r w:rsidRPr="00153410">
        <w:rPr>
          <w:rStyle w:val="FootnoteReference"/>
          <w:rFonts w:ascii="Times New Roman" w:hAnsi="Times New Roman"/>
          <w:sz w:val="24"/>
        </w:rPr>
        <w:footnoteReference w:id="5"/>
      </w:r>
      <w:r w:rsidRPr="00153410">
        <w:rPr>
          <w:rFonts w:ascii="Times New Roman" w:hAnsi="Times New Roman"/>
        </w:rPr>
        <w:t>. The Speaker is obliged to table the report</w:t>
      </w:r>
      <w:r w:rsidRPr="00153410">
        <w:rPr>
          <w:rStyle w:val="FootnoteReference"/>
          <w:rFonts w:ascii="Times New Roman" w:hAnsi="Times New Roman"/>
          <w:sz w:val="24"/>
        </w:rPr>
        <w:footnoteReference w:id="6"/>
      </w:r>
      <w:r w:rsidR="00210FE1" w:rsidRPr="00153410">
        <w:rPr>
          <w:rFonts w:ascii="Times New Roman" w:hAnsi="Times New Roman"/>
        </w:rPr>
        <w:t xml:space="preserve">, which, once tabled, </w:t>
      </w:r>
      <w:r w:rsidRPr="00153410">
        <w:rPr>
          <w:rFonts w:ascii="Times New Roman" w:hAnsi="Times New Roman"/>
        </w:rPr>
        <w:t>is given all the immunities and privileges of a report tabled and published by the Legislative Assembly</w:t>
      </w:r>
      <w:r w:rsidRPr="00153410">
        <w:rPr>
          <w:rStyle w:val="FootnoteReference"/>
          <w:rFonts w:ascii="Times New Roman" w:hAnsi="Times New Roman"/>
          <w:sz w:val="24"/>
        </w:rPr>
        <w:footnoteReference w:id="7"/>
      </w:r>
      <w:r w:rsidRPr="00153410">
        <w:rPr>
          <w:rFonts w:ascii="Times New Roman" w:hAnsi="Times New Roman"/>
        </w:rPr>
        <w:t>.</w:t>
      </w:r>
    </w:p>
    <w:p w14:paraId="694CBFD4" w14:textId="7659F03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On 11 September 2020 the Chairpersons of the Committee and the Commission met again. The Chairperson of the Committee asked whether the Commission would be seeking a direction under s 69 for the tabling of the report, to which the Chairperson of the Commission responded in the affirmative. He added that he did not see "why we should not publicly report in a matter that has so much public interest and is such an important matter in terms of workplace culture, corruption risks and so forth".</w:t>
      </w:r>
    </w:p>
    <w:p w14:paraId="4068078D" w14:textId="2FDC4D54"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On 6 October 2020 the Commission wrote to the respondent's solicitors, attaching a copy of a document entitled "An investigation into allegations relating to the former Public Trustee of Queensland</w:t>
      </w:r>
      <w:r w:rsidR="001B5457" w:rsidRPr="00153410">
        <w:rPr>
          <w:rFonts w:ascii="Times New Roman" w:hAnsi="Times New Roman"/>
        </w:rPr>
        <w:t xml:space="preserve">: </w:t>
      </w:r>
      <w:r w:rsidRPr="00153410">
        <w:rPr>
          <w:rFonts w:ascii="Times New Roman" w:hAnsi="Times New Roman"/>
        </w:rPr>
        <w:softHyphen/>
        <w:t xml:space="preserve">Investigation Report" ("the Report") and advised that the Commission had resolved to seek a direction from the Committee that it be given to the Speaker of the Legislative Assembly. In a letter sent to the Chairperson of the Committee the same day, the Chairperson of the Commission requested </w:t>
      </w:r>
      <w:r w:rsidR="00E37BF5" w:rsidRPr="00153410">
        <w:rPr>
          <w:rFonts w:ascii="Times New Roman" w:hAnsi="Times New Roman"/>
        </w:rPr>
        <w:t xml:space="preserve">that </w:t>
      </w:r>
      <w:r w:rsidRPr="00153410">
        <w:rPr>
          <w:rFonts w:ascii="Times New Roman" w:hAnsi="Times New Roman"/>
        </w:rPr>
        <w:t>"the Committee, pursuant to s 69(1)(b) of the [CC Act], direct that this report be given to the Speaker of the Legislative Assembly".</w:t>
      </w:r>
    </w:p>
    <w:p w14:paraId="71F67666" w14:textId="5432FDDA"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Report differed from the earlier draft in that</w:t>
      </w:r>
      <w:r w:rsidR="00EB47E5" w:rsidRPr="00153410">
        <w:rPr>
          <w:rFonts w:ascii="Times New Roman" w:hAnsi="Times New Roman"/>
        </w:rPr>
        <w:t>, relevantly,</w:t>
      </w:r>
      <w:r w:rsidRPr="00153410">
        <w:rPr>
          <w:rFonts w:ascii="Times New Roman" w:hAnsi="Times New Roman"/>
        </w:rPr>
        <w:t xml:space="preserve"> it included a foreword by the Chairperson of the Commission which spoke at some length about standards of conduct on the part of public officials who held positions of trust. Given that the respondent was identified in the Report as the public official whose conduct was the subject of allegations and investigation, the foreword would be understood to be directed to him and to be highly critical of him, although the body of the Report contained no findings </w:t>
      </w:r>
      <w:r w:rsidR="00331645" w:rsidRPr="00153410">
        <w:rPr>
          <w:rFonts w:ascii="Times New Roman" w:hAnsi="Times New Roman"/>
        </w:rPr>
        <w:t xml:space="preserve">of corrupt conduct </w:t>
      </w:r>
      <w:r w:rsidRPr="00153410">
        <w:rPr>
          <w:rFonts w:ascii="Times New Roman" w:hAnsi="Times New Roman"/>
        </w:rPr>
        <w:t>against him. The conclusion of the foreword contained a statement urging Ministers, senior public sector employees and members of the public to read the Report.</w:t>
      </w:r>
    </w:p>
    <w:p w14:paraId="17292084" w14:textId="6F07AA96"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b/>
          <w:bCs/>
        </w:rPr>
        <w:tab/>
      </w:r>
      <w:r w:rsidRPr="00153410">
        <w:rPr>
          <w:rFonts w:ascii="Times New Roman" w:hAnsi="Times New Roman"/>
        </w:rPr>
        <w:t xml:space="preserve">The Report referred to the receipt of the anonymous complaint against the respondent and discussed aspects of his professional life. It explained the position he held as Public Trustee, details of the allegations made against him and the fact that </w:t>
      </w:r>
      <w:r w:rsidR="001A08BD" w:rsidRPr="00153410">
        <w:rPr>
          <w:rFonts w:ascii="Times New Roman" w:hAnsi="Times New Roman"/>
        </w:rPr>
        <w:t xml:space="preserve">the Commission </w:t>
      </w:r>
      <w:r w:rsidRPr="00153410">
        <w:rPr>
          <w:rFonts w:ascii="Times New Roman" w:hAnsi="Times New Roman"/>
        </w:rPr>
        <w:t xml:space="preserve">had undertaken </w:t>
      </w:r>
      <w:r w:rsidR="00051E26" w:rsidRPr="00153410">
        <w:rPr>
          <w:rFonts w:ascii="Times New Roman" w:hAnsi="Times New Roman"/>
        </w:rPr>
        <w:t xml:space="preserve">an </w:t>
      </w:r>
      <w:r w:rsidRPr="00153410">
        <w:rPr>
          <w:rFonts w:ascii="Times New Roman" w:hAnsi="Times New Roman"/>
        </w:rPr>
        <w:t>investigation of them. It explained the Commission's decision to issue a public report.</w:t>
      </w:r>
    </w:p>
    <w:p w14:paraId="1FD12C5D" w14:textId="1F4818BB"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lastRenderedPageBreak/>
        <w:tab/>
        <w:t>In a section entitled "Referrals to other agencies and outcomes" the Report spoke of the Commission's communication to the Attorney</w:t>
      </w:r>
      <w:r w:rsidRPr="00153410">
        <w:rPr>
          <w:rFonts w:ascii="Times New Roman" w:hAnsi="Times New Roman"/>
        </w:rPr>
        <w:noBreakHyphen/>
        <w:t xml:space="preserve">General concerning possible disciplinary proceedings, the show cause process and the respondent's later resignation. In the following section, "Discussion and recommendations", it talked about the need for supervision of executives (including the Public Trustee), matters arising from the investigation relating to the respondent, and the recommendations </w:t>
      </w:r>
      <w:r w:rsidR="00A46FD0" w:rsidRPr="00153410">
        <w:rPr>
          <w:rFonts w:ascii="Times New Roman" w:hAnsi="Times New Roman"/>
        </w:rPr>
        <w:t xml:space="preserve">the Commission </w:t>
      </w:r>
      <w:r w:rsidRPr="00153410">
        <w:rPr>
          <w:rFonts w:ascii="Times New Roman" w:hAnsi="Times New Roman"/>
        </w:rPr>
        <w:t>had made to the Public Trust Office. At the conclusion of the document there appears a heading</w:t>
      </w:r>
      <w:r w:rsidR="007F39BA" w:rsidRPr="00153410">
        <w:rPr>
          <w:rFonts w:ascii="Times New Roman" w:hAnsi="Times New Roman"/>
        </w:rPr>
        <w:t>,</w:t>
      </w:r>
      <w:r w:rsidRPr="00153410">
        <w:rPr>
          <w:rFonts w:ascii="Times New Roman" w:hAnsi="Times New Roman"/>
        </w:rPr>
        <w:t xml:space="preserve"> "Responses"</w:t>
      </w:r>
      <w:r w:rsidR="007F39BA" w:rsidRPr="00153410">
        <w:rPr>
          <w:rFonts w:ascii="Times New Roman" w:hAnsi="Times New Roman"/>
        </w:rPr>
        <w:t>,</w:t>
      </w:r>
      <w:r w:rsidRPr="00153410">
        <w:rPr>
          <w:rFonts w:ascii="Times New Roman" w:hAnsi="Times New Roman"/>
        </w:rPr>
        <w:t xml:space="preserve"> after which was printed:</w:t>
      </w:r>
    </w:p>
    <w:p w14:paraId="285B7ABC" w14:textId="77777777" w:rsidR="00665356" w:rsidRDefault="00307209" w:rsidP="00153410">
      <w:pPr>
        <w:pStyle w:val="LeftrightafterHC"/>
        <w:spacing w:before="0" w:after="260" w:line="280" w:lineRule="exact"/>
        <w:ind w:right="0"/>
        <w:jc w:val="both"/>
        <w:rPr>
          <w:rFonts w:ascii="Times New Roman" w:hAnsi="Times New Roman"/>
        </w:rPr>
      </w:pPr>
      <w:r w:rsidRPr="00153410">
        <w:rPr>
          <w:rFonts w:ascii="Times New Roman" w:hAnsi="Times New Roman"/>
        </w:rPr>
        <w:t>"To be inserted if necessary (after Procedural Fairness)</w:t>
      </w:r>
      <w:r w:rsidR="00F920F9" w:rsidRPr="00153410">
        <w:rPr>
          <w:rFonts w:ascii="Times New Roman" w:hAnsi="Times New Roman"/>
        </w:rPr>
        <w:t xml:space="preserve"> </w:t>
      </w:r>
    </w:p>
    <w:p w14:paraId="0BB6616D" w14:textId="5C1B8F76" w:rsidR="00153410" w:rsidRDefault="00307209" w:rsidP="00153410">
      <w:pPr>
        <w:pStyle w:val="LeftrightafterHC"/>
        <w:spacing w:before="0" w:after="260" w:line="280" w:lineRule="exact"/>
        <w:ind w:right="0"/>
        <w:jc w:val="both"/>
        <w:rPr>
          <w:rFonts w:ascii="Times New Roman" w:hAnsi="Times New Roman"/>
        </w:rPr>
      </w:pPr>
      <w:r w:rsidRPr="00153410">
        <w:rPr>
          <w:rFonts w:ascii="Times New Roman" w:hAnsi="Times New Roman"/>
        </w:rPr>
        <w:t>Mr Carne".</w:t>
      </w:r>
    </w:p>
    <w:p w14:paraId="0AD316E6" w14:textId="18518DB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What appears in this incomplete section of the Report may acknowledge that the CC Act</w:t>
      </w:r>
      <w:r w:rsidRPr="00153410">
        <w:rPr>
          <w:rStyle w:val="FootnoteReference"/>
          <w:rFonts w:ascii="Times New Roman" w:hAnsi="Times New Roman"/>
          <w:sz w:val="24"/>
        </w:rPr>
        <w:footnoteReference w:id="8"/>
      </w:r>
      <w:r w:rsidRPr="00153410">
        <w:rPr>
          <w:rFonts w:ascii="Times New Roman" w:hAnsi="Times New Roman"/>
        </w:rPr>
        <w:t xml:space="preserve"> requires that where the Commission proposes to make an adverse comment about a person in a report that will be tabled in the Legislative Assembly, or published to the public, under the Act, it must not do so until the person has an opportunity to make submissions about the proposed adverse comment, and those submissions are required to be fairly stated in the report.</w:t>
      </w:r>
    </w:p>
    <w:p w14:paraId="5F2232C5" w14:textId="36997058"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incomplete section and the requirements of the CC Act might suggest that the Report was not in its intended final form. But the Report was sent to the Committee with a request for a direction under s 69 and so must be taken to have been in</w:t>
      </w:r>
      <w:r w:rsidR="0055782B" w:rsidRPr="00153410">
        <w:rPr>
          <w:rFonts w:ascii="Times New Roman" w:hAnsi="Times New Roman"/>
        </w:rPr>
        <w:t xml:space="preserve"> substantially</w:t>
      </w:r>
      <w:r w:rsidRPr="00153410">
        <w:rPr>
          <w:rFonts w:ascii="Times New Roman" w:hAnsi="Times New Roman"/>
        </w:rPr>
        <w:t xml:space="preserve"> final form. The proceedings have been conducted on this basis.</w:t>
      </w:r>
    </w:p>
    <w:p w14:paraId="3539A3EC" w14:textId="77777777" w:rsid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In October 2020 the respondent brought proceedings in the Supreme Court of Queensland seeking a declaration to the effect that the Report was "not a report for the purposes of s 69(1) of the [CC Act]", an injunction, or, in the alternative to an injunction, a declaration that the Commission's resolution to seek a direction from the Committee to enable the tabling of the Report was invalid. At the request of the Commission, the Committee deferred consideration of the request for the direction under s 69(1)(b) until the proceedings were concluded. That decision remains outstanding. </w:t>
      </w:r>
    </w:p>
    <w:p w14:paraId="403F031E" w14:textId="1BB977E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On 20 November 2020 the Chairperson of the Committee, at the request of the Commission, issued a certificate under s 55 of the </w:t>
      </w:r>
      <w:r w:rsidRPr="00153410">
        <w:rPr>
          <w:rFonts w:ascii="Times New Roman" w:hAnsi="Times New Roman"/>
          <w:i/>
          <w:iCs/>
        </w:rPr>
        <w:t>Parliament of Queensland Act 2001</w:t>
      </w:r>
      <w:r w:rsidRPr="00153410">
        <w:rPr>
          <w:rFonts w:ascii="Times New Roman" w:hAnsi="Times New Roman"/>
        </w:rPr>
        <w:t xml:space="preserve"> (Qld) ("the POQ Act") which</w:t>
      </w:r>
      <w:r w:rsidR="000B44DA" w:rsidRPr="00153410">
        <w:rPr>
          <w:rFonts w:ascii="Times New Roman" w:hAnsi="Times New Roman"/>
        </w:rPr>
        <w:t>,</w:t>
      </w:r>
      <w:r w:rsidRPr="00153410">
        <w:rPr>
          <w:rFonts w:ascii="Times New Roman" w:hAnsi="Times New Roman"/>
        </w:rPr>
        <w:t xml:space="preserve"> amongst other things, certified that the document titled "An investigation into allegations relating to the former Public Trustee of Queensland</w:t>
      </w:r>
      <w:r w:rsidR="000B44DA" w:rsidRPr="00153410">
        <w:rPr>
          <w:rFonts w:ascii="Times New Roman" w:hAnsi="Times New Roman"/>
        </w:rPr>
        <w:t xml:space="preserve">: </w:t>
      </w:r>
      <w:r w:rsidRPr="00153410">
        <w:rPr>
          <w:rFonts w:ascii="Times New Roman" w:hAnsi="Times New Roman"/>
        </w:rPr>
        <w:t xml:space="preserve">Investigation Report" is "a document prepared for the </w:t>
      </w:r>
      <w:r w:rsidRPr="00153410">
        <w:rPr>
          <w:rFonts w:ascii="Times New Roman" w:hAnsi="Times New Roman"/>
        </w:rPr>
        <w:lastRenderedPageBreak/>
        <w:t xml:space="preserve">purposes of, </w:t>
      </w:r>
      <w:r w:rsidR="000B44DA" w:rsidRPr="00153410">
        <w:rPr>
          <w:rFonts w:ascii="Times New Roman" w:hAnsi="Times New Roman"/>
        </w:rPr>
        <w:t xml:space="preserve">or </w:t>
      </w:r>
      <w:r w:rsidRPr="00153410">
        <w:rPr>
          <w:rFonts w:ascii="Times New Roman" w:hAnsi="Times New Roman"/>
        </w:rPr>
        <w:t>incidental to, transacting business of the [Committee] under s 9(2)(c) of the [POQ Act]" and a document "presented or submitted" to the Committee.</w:t>
      </w:r>
    </w:p>
    <w:p w14:paraId="4C676433" w14:textId="72443F8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Section 8(1) of the POQ Act provides that "freedom of speech and debates </w:t>
      </w:r>
      <w:r w:rsidRPr="00153410">
        <w:rPr>
          <w:rFonts w:ascii="Times New Roman" w:hAnsi="Times New Roman"/>
          <w:i/>
          <w:iCs/>
        </w:rPr>
        <w:t xml:space="preserve">or proceedings in the Assembly </w:t>
      </w:r>
      <w:proofErr w:type="spellStart"/>
      <w:r w:rsidRPr="00153410">
        <w:rPr>
          <w:rFonts w:ascii="Times New Roman" w:hAnsi="Times New Roman"/>
        </w:rPr>
        <w:t>can</w:t>
      </w:r>
      <w:r w:rsidR="000B44DA" w:rsidRPr="00153410">
        <w:rPr>
          <w:rFonts w:ascii="Times New Roman" w:hAnsi="Times New Roman"/>
        </w:rPr>
        <w:t xml:space="preserve"> </w:t>
      </w:r>
      <w:r w:rsidRPr="00153410">
        <w:rPr>
          <w:rFonts w:ascii="Times New Roman" w:hAnsi="Times New Roman"/>
        </w:rPr>
        <w:t>not</w:t>
      </w:r>
      <w:proofErr w:type="spellEnd"/>
      <w:r w:rsidRPr="00153410">
        <w:rPr>
          <w:rFonts w:ascii="Times New Roman" w:hAnsi="Times New Roman"/>
        </w:rPr>
        <w:t xml:space="preserve"> be impeached or questioned in any court or place out of the Assembly" (emphasis added). Section 9(1) gives as the meaning of "proceedings in the Assembly": "all words </w:t>
      </w:r>
      <w:proofErr w:type="gramStart"/>
      <w:r w:rsidRPr="00153410">
        <w:rPr>
          <w:rFonts w:ascii="Times New Roman" w:hAnsi="Times New Roman"/>
        </w:rPr>
        <w:t>spoken</w:t>
      </w:r>
      <w:proofErr w:type="gramEnd"/>
      <w:r w:rsidRPr="00153410">
        <w:rPr>
          <w:rFonts w:ascii="Times New Roman" w:hAnsi="Times New Roman"/>
        </w:rPr>
        <w:t xml:space="preserve"> and acts done in the course of, or for the purposes of or incidental to, transacting business of the Assembly or a committee". Section 9(2)(c) includes as "proceedings in the Assembly</w:t>
      </w:r>
      <w:r w:rsidR="0034577A" w:rsidRPr="00153410">
        <w:rPr>
          <w:rFonts w:ascii="Times New Roman" w:hAnsi="Times New Roman"/>
          <w:sz w:val="24"/>
          <w:szCs w:val="24"/>
        </w:rPr>
        <w:t xml:space="preserve"> </w:t>
      </w:r>
      <w:r w:rsidR="00F31973" w:rsidRPr="00153410">
        <w:rPr>
          <w:rFonts w:ascii="Times New Roman" w:hAnsi="Times New Roman"/>
          <w:sz w:val="24"/>
          <w:szCs w:val="24"/>
        </w:rPr>
        <w:t xml:space="preserve">... </w:t>
      </w:r>
      <w:r w:rsidRPr="00153410">
        <w:rPr>
          <w:rFonts w:ascii="Times New Roman" w:hAnsi="Times New Roman"/>
        </w:rPr>
        <w:t>presenting or submitting a document to the Assembly, a committee or an inquiry".</w:t>
      </w:r>
    </w:p>
    <w:p w14:paraId="357BCB40"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primary judge (Davis J) dismissed the respondent's application for declaratory and other relief</w:t>
      </w:r>
      <w:r w:rsidRPr="00153410">
        <w:rPr>
          <w:rStyle w:val="FootnoteReference"/>
          <w:rFonts w:ascii="Times New Roman" w:hAnsi="Times New Roman"/>
          <w:sz w:val="24"/>
        </w:rPr>
        <w:footnoteReference w:id="9"/>
      </w:r>
      <w:r w:rsidRPr="00153410">
        <w:rPr>
          <w:rFonts w:ascii="Times New Roman" w:hAnsi="Times New Roman"/>
        </w:rPr>
        <w:t>. The Court of Appeal by majority (McMurdo and Mullins </w:t>
      </w:r>
      <w:r w:rsidRPr="00153410">
        <w:rPr>
          <w:rFonts w:ascii="Times New Roman" w:hAnsi="Times New Roman"/>
          <w:caps/>
        </w:rPr>
        <w:t xml:space="preserve">jja, </w:t>
      </w:r>
      <w:proofErr w:type="spellStart"/>
      <w:r w:rsidRPr="00153410">
        <w:rPr>
          <w:rFonts w:ascii="Times New Roman" w:hAnsi="Times New Roman"/>
        </w:rPr>
        <w:t>Freeburn</w:t>
      </w:r>
      <w:proofErr w:type="spellEnd"/>
      <w:r w:rsidRPr="00153410">
        <w:rPr>
          <w:rFonts w:ascii="Times New Roman" w:hAnsi="Times New Roman"/>
        </w:rPr>
        <w:t> J dissenting) allowed the appeal and made an order declaring</w:t>
      </w:r>
      <w:r w:rsidRPr="00153410">
        <w:rPr>
          <w:rStyle w:val="FootnoteReference"/>
          <w:rFonts w:ascii="Times New Roman" w:hAnsi="Times New Roman"/>
          <w:sz w:val="24"/>
        </w:rPr>
        <w:footnoteReference w:id="10"/>
      </w:r>
      <w:r w:rsidRPr="00153410">
        <w:rPr>
          <w:rFonts w:ascii="Times New Roman" w:hAnsi="Times New Roman"/>
        </w:rPr>
        <w:t>:</w:t>
      </w:r>
    </w:p>
    <w:p w14:paraId="07BCCED1" w14:textId="77777777" w:rsidR="00153410" w:rsidRDefault="00307209" w:rsidP="00153410">
      <w:pPr>
        <w:pStyle w:val="LeftrightafterHC"/>
        <w:spacing w:before="0" w:after="260" w:line="280" w:lineRule="exact"/>
        <w:ind w:right="0"/>
        <w:jc w:val="both"/>
        <w:rPr>
          <w:rFonts w:ascii="Times New Roman" w:hAnsi="Times New Roman"/>
        </w:rPr>
      </w:pPr>
      <w:r w:rsidRPr="00153410">
        <w:rPr>
          <w:rFonts w:ascii="Times New Roman" w:hAnsi="Times New Roman"/>
        </w:rPr>
        <w:t>"[T]</w:t>
      </w:r>
      <w:bookmarkStart w:id="1" w:name="_Hlk139025074"/>
      <w:r w:rsidRPr="00153410">
        <w:rPr>
          <w:rFonts w:ascii="Times New Roman" w:hAnsi="Times New Roman"/>
        </w:rPr>
        <w:t xml:space="preserve">hat the document made by the [Commission] entitled 'An investigation </w:t>
      </w:r>
      <w:bookmarkEnd w:id="1"/>
      <w:r w:rsidRPr="00153410">
        <w:rPr>
          <w:rFonts w:ascii="Times New Roman" w:hAnsi="Times New Roman"/>
        </w:rPr>
        <w:t>into allegations relating to the former Public Trustee of Queensland: Investigation Report' is not a report for the purposes of s 69(1) of [the CC Act]."</w:t>
      </w:r>
    </w:p>
    <w:p w14:paraId="301A042D" w14:textId="34179506" w:rsidR="00307209" w:rsidRPr="00153410" w:rsidRDefault="00307209" w:rsidP="00153410">
      <w:pPr>
        <w:pStyle w:val="HeadingL1"/>
        <w:spacing w:after="260" w:line="280" w:lineRule="exact"/>
        <w:ind w:right="0"/>
        <w:jc w:val="both"/>
        <w:rPr>
          <w:rFonts w:ascii="Times New Roman" w:hAnsi="Times New Roman"/>
        </w:rPr>
      </w:pPr>
      <w:r w:rsidRPr="00153410">
        <w:rPr>
          <w:rFonts w:ascii="Times New Roman" w:hAnsi="Times New Roman"/>
        </w:rPr>
        <w:t>The appeal</w:t>
      </w:r>
      <w:r w:rsidR="004E0F4C" w:rsidRPr="00153410">
        <w:rPr>
          <w:rFonts w:ascii="Times New Roman" w:hAnsi="Times New Roman"/>
        </w:rPr>
        <w:t xml:space="preserve"> to this Court</w:t>
      </w:r>
    </w:p>
    <w:p w14:paraId="711EF362" w14:textId="0A60B2ED"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Commission's appeal to this Court </w:t>
      </w:r>
      <w:r w:rsidR="00F935D0" w:rsidRPr="00153410">
        <w:rPr>
          <w:rFonts w:ascii="Times New Roman" w:hAnsi="Times New Roman"/>
        </w:rPr>
        <w:t>is on two distinct grounds</w:t>
      </w:r>
      <w:r w:rsidRPr="00153410">
        <w:rPr>
          <w:rFonts w:ascii="Times New Roman" w:hAnsi="Times New Roman"/>
        </w:rPr>
        <w:t>.</w:t>
      </w:r>
    </w:p>
    <w:p w14:paraId="26C1573F" w14:textId="6083DD4C" w:rsidR="00DA39F8" w:rsidRPr="00153410" w:rsidRDefault="00F935D0" w:rsidP="00153410">
      <w:pPr>
        <w:pStyle w:val="FixListStyle"/>
        <w:spacing w:after="260" w:line="280" w:lineRule="exact"/>
        <w:ind w:right="0"/>
        <w:jc w:val="both"/>
        <w:rPr>
          <w:rFonts w:ascii="Times New Roman" w:hAnsi="Times New Roman"/>
        </w:rPr>
      </w:pPr>
      <w:r w:rsidRPr="00153410">
        <w:rPr>
          <w:rFonts w:ascii="Times New Roman" w:hAnsi="Times New Roman"/>
        </w:rPr>
        <w:tab/>
      </w:r>
      <w:r w:rsidR="0063743B" w:rsidRPr="00153410">
        <w:rPr>
          <w:rFonts w:ascii="Times New Roman" w:hAnsi="Times New Roman"/>
        </w:rPr>
        <w:t>The first ground of appeal is to the effect that the Court of Appeal was precluded from making the declaration by the prohibition in s 8(1) of the POQ Act on "proceedings" in the Legislative Assembly being "impeached or questioned" in any court. The Commission argues that its preparation and presentation of the Report were brought within the scope of "proceedings" in the Legislative Assembly by operation of s 9 of the POQ Act.</w:t>
      </w:r>
    </w:p>
    <w:p w14:paraId="53A70F1F" w14:textId="7B855C5C" w:rsidR="003B5D0D" w:rsidRPr="00153410" w:rsidRDefault="00DA39F8" w:rsidP="00153410">
      <w:pPr>
        <w:pStyle w:val="FixListStyle"/>
        <w:spacing w:after="260" w:line="280" w:lineRule="exact"/>
        <w:ind w:right="0"/>
        <w:jc w:val="both"/>
        <w:rPr>
          <w:rFonts w:ascii="Times New Roman" w:hAnsi="Times New Roman"/>
        </w:rPr>
      </w:pPr>
      <w:r w:rsidRPr="00153410">
        <w:rPr>
          <w:rFonts w:ascii="Times New Roman" w:hAnsi="Times New Roman"/>
        </w:rPr>
        <w:tab/>
      </w:r>
      <w:r w:rsidR="00141C08" w:rsidRPr="00153410">
        <w:rPr>
          <w:rFonts w:ascii="Times New Roman" w:hAnsi="Times New Roman"/>
        </w:rPr>
        <w:t>The answer to the first ground of appeal is that the Commission's argument that its preparation and presentation of the Report were brought within the scope of "proceedings" in the Legislative Assembly by operation of s 9 of the POQ Act must be rejected on the facts. Section 9 of the POQ Act was not satisfied because the Report was not prepared for, or presented to, the Committee for purposes of transacting business of the Committee</w:t>
      </w:r>
      <w:r w:rsidR="00BD6BA2" w:rsidRPr="00153410">
        <w:rPr>
          <w:rFonts w:ascii="Times New Roman" w:hAnsi="Times New Roman"/>
        </w:rPr>
        <w:t>;</w:t>
      </w:r>
      <w:r w:rsidR="00141C08" w:rsidRPr="00153410">
        <w:rPr>
          <w:rFonts w:ascii="Times New Roman" w:hAnsi="Times New Roman"/>
        </w:rPr>
        <w:t xml:space="preserve"> it was prepared by the Commission and </w:t>
      </w:r>
      <w:r w:rsidR="00141C08" w:rsidRPr="00153410">
        <w:rPr>
          <w:rFonts w:ascii="Times New Roman" w:hAnsi="Times New Roman"/>
        </w:rPr>
        <w:lastRenderedPageBreak/>
        <w:t xml:space="preserve">presented to </w:t>
      </w:r>
      <w:r w:rsidR="000F6D40" w:rsidRPr="00153410">
        <w:rPr>
          <w:rFonts w:ascii="Times New Roman" w:hAnsi="Times New Roman"/>
        </w:rPr>
        <w:t xml:space="preserve">the </w:t>
      </w:r>
      <w:r w:rsidR="00141C08" w:rsidRPr="00153410">
        <w:rPr>
          <w:rFonts w:ascii="Times New Roman" w:hAnsi="Times New Roman"/>
        </w:rPr>
        <w:t xml:space="preserve">Committee for the Commission's own purposes. Whether s 8(1) of the POQ Act would have the preclusive effect for which the Commission contends were s 9 satisfied is a large question </w:t>
      </w:r>
      <w:r w:rsidR="00D76352" w:rsidRPr="00153410">
        <w:rPr>
          <w:rFonts w:ascii="Times New Roman" w:hAnsi="Times New Roman"/>
        </w:rPr>
        <w:t>which</w:t>
      </w:r>
      <w:r w:rsidR="00141C08" w:rsidRPr="00153410">
        <w:rPr>
          <w:rFonts w:ascii="Times New Roman" w:hAnsi="Times New Roman"/>
        </w:rPr>
        <w:t xml:space="preserve"> does not properly arise for consideration.</w:t>
      </w:r>
    </w:p>
    <w:p w14:paraId="04407550" w14:textId="79AB2F87" w:rsidR="00141C08" w:rsidRPr="00153410" w:rsidRDefault="003B5D0D" w:rsidP="00153410">
      <w:pPr>
        <w:pStyle w:val="FixListStyle"/>
        <w:spacing w:after="260" w:line="280" w:lineRule="exact"/>
        <w:ind w:right="0"/>
        <w:jc w:val="both"/>
        <w:rPr>
          <w:rFonts w:ascii="Times New Roman" w:hAnsi="Times New Roman"/>
        </w:rPr>
      </w:pPr>
      <w:r w:rsidRPr="00153410">
        <w:rPr>
          <w:rFonts w:ascii="Times New Roman" w:hAnsi="Times New Roman"/>
        </w:rPr>
        <w:tab/>
        <w:t>The second ground of appeal is to the effect that the conclusion of the Court of Appeal that the Report is not a report for the purposes of s 69(1) of the CC Act is erroneous. Consideration of that ground requires examination of the provisions of the CC Act relating to reporting by the Commission and the identification of those reports comprehended by s 69(1). It also requires characterisation of the Report.</w:t>
      </w:r>
    </w:p>
    <w:p w14:paraId="44EFC305" w14:textId="2DCF2DC4" w:rsidR="00794711" w:rsidRPr="00153410" w:rsidRDefault="00794711"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answer to the second ground of appeal is that the conclusion of the Court of Appeal is correct: the Report is not a report to which s 69(1) of the CC Act applies. Indeed, there is no provision of the CC Act </w:t>
      </w:r>
      <w:r w:rsidR="00060B1B" w:rsidRPr="00153410">
        <w:rPr>
          <w:rFonts w:ascii="Times New Roman" w:hAnsi="Times New Roman"/>
        </w:rPr>
        <w:t>which</w:t>
      </w:r>
      <w:r w:rsidRPr="00153410">
        <w:rPr>
          <w:rFonts w:ascii="Times New Roman" w:hAnsi="Times New Roman"/>
        </w:rPr>
        <w:t xml:space="preserve"> authorises a report of this nature.</w:t>
      </w:r>
      <w:r w:rsidRPr="00153410">
        <w:rPr>
          <w:rFonts w:ascii="Times New Roman" w:hAnsi="Times New Roman"/>
        </w:rPr>
        <w:tab/>
      </w:r>
    </w:p>
    <w:p w14:paraId="72E484A3" w14:textId="122B3D09" w:rsidR="00307209" w:rsidRPr="00153410" w:rsidRDefault="00794711" w:rsidP="00153410">
      <w:pPr>
        <w:pStyle w:val="FixListStyle"/>
        <w:spacing w:after="260" w:line="280" w:lineRule="exact"/>
        <w:ind w:right="0"/>
        <w:jc w:val="both"/>
        <w:rPr>
          <w:rFonts w:ascii="Times New Roman" w:hAnsi="Times New Roman"/>
        </w:rPr>
      </w:pPr>
      <w:r w:rsidRPr="00153410">
        <w:rPr>
          <w:rFonts w:ascii="Times New Roman" w:hAnsi="Times New Roman"/>
        </w:rPr>
        <w:tab/>
      </w:r>
      <w:r w:rsidR="003F562C" w:rsidRPr="00153410">
        <w:rPr>
          <w:rFonts w:ascii="Times New Roman" w:hAnsi="Times New Roman"/>
        </w:rPr>
        <w:t>The correctness of the Court of Appeal's conclusion that the Report is not a report for the purposes of s 69(1) of the CC Act means that it is unnecessary to address an argument of the respondent, raised before the Court of Appeal and renewed in this Court, to the effect that he was denied procedural fairness in the preparation of the Report.</w:t>
      </w:r>
    </w:p>
    <w:p w14:paraId="43C14B9D" w14:textId="77777777" w:rsidR="00307209" w:rsidRPr="00153410" w:rsidRDefault="00307209" w:rsidP="00153410">
      <w:pPr>
        <w:pStyle w:val="HeadingL1"/>
        <w:spacing w:after="260" w:line="280" w:lineRule="exact"/>
        <w:ind w:right="0"/>
        <w:jc w:val="both"/>
        <w:rPr>
          <w:rFonts w:ascii="Times New Roman" w:hAnsi="Times New Roman"/>
        </w:rPr>
      </w:pPr>
      <w:r w:rsidRPr="00153410">
        <w:rPr>
          <w:rFonts w:ascii="Times New Roman" w:hAnsi="Times New Roman"/>
        </w:rPr>
        <w:t>The POQ Act</w:t>
      </w:r>
    </w:p>
    <w:p w14:paraId="697E9D2D"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Section 8 of the POQ Act provides:</w:t>
      </w:r>
    </w:p>
    <w:p w14:paraId="3960AAB4" w14:textId="77777777" w:rsidR="00307209" w:rsidRPr="00153410" w:rsidRDefault="00307209" w:rsidP="00153410">
      <w:pPr>
        <w:pStyle w:val="LeftrightHanging"/>
        <w:spacing w:before="0" w:after="260" w:line="280" w:lineRule="exact"/>
        <w:ind w:right="0"/>
        <w:jc w:val="both"/>
        <w:rPr>
          <w:rFonts w:ascii="Times New Roman" w:hAnsi="Times New Roman"/>
        </w:rPr>
      </w:pPr>
      <w:r w:rsidRPr="00153410">
        <w:rPr>
          <w:rFonts w:ascii="Times New Roman" w:hAnsi="Times New Roman"/>
        </w:rPr>
        <w:t>"(1)</w:t>
      </w:r>
      <w:r w:rsidRPr="00153410">
        <w:rPr>
          <w:rFonts w:ascii="Times New Roman" w:hAnsi="Times New Roman"/>
        </w:rPr>
        <w:tab/>
        <w:t xml:space="preserve">The freedom of speech and debates or proceedings in the Assembly </w:t>
      </w:r>
      <w:proofErr w:type="spellStart"/>
      <w:r w:rsidRPr="00153410">
        <w:rPr>
          <w:rFonts w:ascii="Times New Roman" w:hAnsi="Times New Roman"/>
        </w:rPr>
        <w:t>can not</w:t>
      </w:r>
      <w:proofErr w:type="spellEnd"/>
      <w:r w:rsidRPr="00153410">
        <w:rPr>
          <w:rFonts w:ascii="Times New Roman" w:hAnsi="Times New Roman"/>
        </w:rPr>
        <w:t xml:space="preserve"> be impeached or questioned in any court or place out of the Assembly.</w:t>
      </w:r>
    </w:p>
    <w:p w14:paraId="79984C9A" w14:textId="77777777" w:rsidR="00153410" w:rsidRDefault="00307209" w:rsidP="00153410">
      <w:pPr>
        <w:pStyle w:val="LeftrightHanging"/>
        <w:spacing w:before="0" w:after="260" w:line="280" w:lineRule="exact"/>
        <w:ind w:right="0"/>
        <w:jc w:val="both"/>
        <w:rPr>
          <w:rFonts w:ascii="Times New Roman" w:hAnsi="Times New Roman"/>
        </w:rPr>
      </w:pPr>
      <w:r w:rsidRPr="00153410">
        <w:rPr>
          <w:rFonts w:ascii="Times New Roman" w:hAnsi="Times New Roman"/>
        </w:rPr>
        <w:t>(2)</w:t>
      </w:r>
      <w:r w:rsidRPr="00153410">
        <w:rPr>
          <w:rFonts w:ascii="Times New Roman" w:hAnsi="Times New Roman"/>
        </w:rPr>
        <w:tab/>
        <w:t>To remove doubt, it is declared that subsection (1) is intended to have the same effect as article 9 of the Bill of Rights (1688) had in relation to the Assembly immediately before the commencement of the subsection."</w:t>
      </w:r>
    </w:p>
    <w:p w14:paraId="3069AB4A" w14:textId="1659442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meaning of "proceedings in the Assembly" is dealt with in s 9</w:t>
      </w:r>
      <w:r w:rsidR="001517FC" w:rsidRPr="00153410">
        <w:rPr>
          <w:rFonts w:ascii="Times New Roman" w:hAnsi="Times New Roman"/>
        </w:rPr>
        <w:t>,</w:t>
      </w:r>
      <w:r w:rsidRPr="00153410">
        <w:rPr>
          <w:rFonts w:ascii="Times New Roman" w:hAnsi="Times New Roman"/>
        </w:rPr>
        <w:t xml:space="preserve"> which, in relevant part, provides:</w:t>
      </w:r>
    </w:p>
    <w:p w14:paraId="60DD0EBF" w14:textId="77777777" w:rsidR="00307209" w:rsidRPr="00153410" w:rsidRDefault="00307209" w:rsidP="00153410">
      <w:pPr>
        <w:pStyle w:val="LeftrightHanging"/>
        <w:spacing w:before="0" w:after="260" w:line="280" w:lineRule="exact"/>
        <w:ind w:right="0"/>
        <w:jc w:val="both"/>
        <w:rPr>
          <w:rFonts w:ascii="Times New Roman" w:hAnsi="Times New Roman"/>
        </w:rPr>
      </w:pPr>
      <w:r w:rsidRPr="00153410">
        <w:rPr>
          <w:rFonts w:ascii="Times New Roman" w:hAnsi="Times New Roman"/>
        </w:rPr>
        <w:t>"(1)</w:t>
      </w:r>
      <w:r w:rsidRPr="00153410">
        <w:rPr>
          <w:rFonts w:ascii="Times New Roman" w:hAnsi="Times New Roman"/>
        </w:rPr>
        <w:tab/>
      </w:r>
      <w:r w:rsidRPr="00153410">
        <w:rPr>
          <w:rFonts w:ascii="Times New Roman" w:hAnsi="Times New Roman"/>
          <w:b/>
          <w:bCs/>
          <w:i/>
          <w:iCs/>
        </w:rPr>
        <w:t xml:space="preserve">Proceedings in the Assembly </w:t>
      </w:r>
      <w:r w:rsidRPr="00153410">
        <w:rPr>
          <w:rFonts w:ascii="Times New Roman" w:hAnsi="Times New Roman"/>
        </w:rPr>
        <w:t>include all words spoken and acts done in the course of, or for the purposes of or incidental to, transacting business of the Assembly or a committee.</w:t>
      </w:r>
    </w:p>
    <w:p w14:paraId="1B8B9F90" w14:textId="77777777" w:rsidR="00307209" w:rsidRPr="00153410" w:rsidRDefault="00307209" w:rsidP="00153410">
      <w:pPr>
        <w:pStyle w:val="LeftrightHanging"/>
        <w:spacing w:before="0" w:after="260" w:line="280" w:lineRule="exact"/>
        <w:ind w:right="0"/>
        <w:jc w:val="both"/>
        <w:rPr>
          <w:rFonts w:ascii="Times New Roman" w:hAnsi="Times New Roman"/>
        </w:rPr>
      </w:pPr>
      <w:r w:rsidRPr="00153410">
        <w:rPr>
          <w:rFonts w:ascii="Times New Roman" w:hAnsi="Times New Roman"/>
        </w:rPr>
        <w:t>(2)</w:t>
      </w:r>
      <w:r w:rsidRPr="00153410">
        <w:rPr>
          <w:rFonts w:ascii="Times New Roman" w:hAnsi="Times New Roman"/>
        </w:rPr>
        <w:tab/>
        <w:t>Without limiting subsection (1),</w:t>
      </w:r>
      <w:r w:rsidRPr="00153410">
        <w:rPr>
          <w:rFonts w:ascii="Times New Roman" w:hAnsi="Times New Roman"/>
          <w:b/>
          <w:bCs/>
          <w:i/>
          <w:iCs/>
        </w:rPr>
        <w:t xml:space="preserve"> proceedings in the Assembly </w:t>
      </w:r>
      <w:r w:rsidRPr="00153410">
        <w:rPr>
          <w:rFonts w:ascii="Times New Roman" w:hAnsi="Times New Roman"/>
        </w:rPr>
        <w:t>include—</w:t>
      </w:r>
    </w:p>
    <w:p w14:paraId="5675198C"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lastRenderedPageBreak/>
        <w:t xml:space="preserve">(a) </w:t>
      </w:r>
      <w:r w:rsidRPr="00153410">
        <w:rPr>
          <w:rFonts w:ascii="Times New Roman" w:hAnsi="Times New Roman"/>
        </w:rPr>
        <w:tab/>
        <w:t xml:space="preserve">giving evidence before the Assembly, a </w:t>
      </w:r>
      <w:proofErr w:type="gramStart"/>
      <w:r w:rsidRPr="00153410">
        <w:rPr>
          <w:rFonts w:ascii="Times New Roman" w:hAnsi="Times New Roman"/>
        </w:rPr>
        <w:t>committee</w:t>
      </w:r>
      <w:proofErr w:type="gramEnd"/>
      <w:r w:rsidRPr="00153410">
        <w:rPr>
          <w:rFonts w:ascii="Times New Roman" w:hAnsi="Times New Roman"/>
        </w:rPr>
        <w:t xml:space="preserve"> or an inquiry; and</w:t>
      </w:r>
    </w:p>
    <w:p w14:paraId="6561FF93"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w:t>
      </w:r>
    </w:p>
    <w:p w14:paraId="7B96A3EF"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(c)</w:t>
      </w:r>
      <w:r w:rsidRPr="00153410">
        <w:rPr>
          <w:rFonts w:ascii="Times New Roman" w:hAnsi="Times New Roman"/>
        </w:rPr>
        <w:tab/>
        <w:t xml:space="preserve">presenting or submitting a document to the Assembly, a </w:t>
      </w:r>
      <w:proofErr w:type="gramStart"/>
      <w:r w:rsidRPr="00153410">
        <w:rPr>
          <w:rFonts w:ascii="Times New Roman" w:hAnsi="Times New Roman"/>
        </w:rPr>
        <w:t>committee</w:t>
      </w:r>
      <w:proofErr w:type="gramEnd"/>
      <w:r w:rsidRPr="00153410">
        <w:rPr>
          <w:rFonts w:ascii="Times New Roman" w:hAnsi="Times New Roman"/>
        </w:rPr>
        <w:t xml:space="preserve"> or an inquiry; and</w:t>
      </w:r>
    </w:p>
    <w:p w14:paraId="5D1BF97D" w14:textId="3B9CA8CE" w:rsidR="00307209" w:rsidRPr="00153410" w:rsidRDefault="000E44D5" w:rsidP="00153410">
      <w:pPr>
        <w:pStyle w:val="LRHangingMore"/>
        <w:spacing w:before="0" w:after="260" w:line="280" w:lineRule="exact"/>
        <w:ind w:right="0"/>
        <w:jc w:val="both"/>
        <w:rPr>
          <w:rFonts w:ascii="Times New Roman" w:hAnsi="Times New Roman"/>
        </w:rPr>
      </w:pPr>
      <w:r w:rsidRPr="00153410">
        <w:rPr>
          <w:rFonts w:ascii="Times New Roman" w:hAnsi="Times New Roman"/>
        </w:rPr>
        <w:t xml:space="preserve">(d) </w:t>
      </w:r>
      <w:r w:rsidRPr="00153410">
        <w:rPr>
          <w:rFonts w:ascii="Times New Roman" w:hAnsi="Times New Roman"/>
        </w:rPr>
        <w:tab/>
      </w:r>
      <w:r w:rsidR="005045BC" w:rsidRPr="00153410">
        <w:rPr>
          <w:rFonts w:ascii="Times New Roman" w:hAnsi="Times New Roman"/>
        </w:rPr>
        <w:t xml:space="preserve">a document tabled in, or presented or submitted to, the Assembly, a </w:t>
      </w:r>
      <w:proofErr w:type="gramStart"/>
      <w:r w:rsidR="00A2450F" w:rsidRPr="00153410">
        <w:rPr>
          <w:rFonts w:ascii="Times New Roman" w:hAnsi="Times New Roman"/>
        </w:rPr>
        <w:t>c</w:t>
      </w:r>
      <w:r w:rsidR="005045BC" w:rsidRPr="00153410">
        <w:rPr>
          <w:rFonts w:ascii="Times New Roman" w:hAnsi="Times New Roman"/>
        </w:rPr>
        <w:t>ommittee</w:t>
      </w:r>
      <w:proofErr w:type="gramEnd"/>
      <w:r w:rsidR="005045BC" w:rsidRPr="00153410">
        <w:rPr>
          <w:rFonts w:ascii="Times New Roman" w:hAnsi="Times New Roman"/>
        </w:rPr>
        <w:t xml:space="preserve"> or an inquiry; and</w:t>
      </w:r>
    </w:p>
    <w:p w14:paraId="153F1F62"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(e)</w:t>
      </w:r>
      <w:r w:rsidRPr="00153410">
        <w:rPr>
          <w:rFonts w:ascii="Times New Roman" w:hAnsi="Times New Roman"/>
        </w:rPr>
        <w:tab/>
        <w:t>preparing a document for the purposes of, or incidental to, transacting business mentioned in paragraph (a) or (c); and</w:t>
      </w:r>
    </w:p>
    <w:p w14:paraId="31A3A674"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w:t>
      </w:r>
    </w:p>
    <w:p w14:paraId="6E357E4A" w14:textId="46353AF2" w:rsidR="00307209" w:rsidRPr="00153410" w:rsidRDefault="00307209" w:rsidP="00153410">
      <w:pPr>
        <w:pStyle w:val="LRHangingMore"/>
        <w:spacing w:before="0" w:after="260" w:line="280" w:lineRule="exact"/>
        <w:ind w:left="1440" w:right="0"/>
        <w:jc w:val="both"/>
        <w:rPr>
          <w:rFonts w:ascii="Times New Roman" w:hAnsi="Times New Roman"/>
        </w:rPr>
      </w:pPr>
      <w:r w:rsidRPr="00153410">
        <w:rPr>
          <w:rFonts w:ascii="Times New Roman" w:hAnsi="Times New Roman"/>
        </w:rPr>
        <w:t>(5)</w:t>
      </w:r>
      <w:r w:rsidRPr="00153410">
        <w:rPr>
          <w:rFonts w:ascii="Times New Roman" w:hAnsi="Times New Roman"/>
        </w:rPr>
        <w:tab/>
        <w:t xml:space="preserve">For this section, it does not matter what the nature of the business transacted by </w:t>
      </w:r>
      <w:r w:rsidR="00C45772" w:rsidRPr="00153410">
        <w:rPr>
          <w:rFonts w:ascii="Times New Roman" w:hAnsi="Times New Roman"/>
        </w:rPr>
        <w:t xml:space="preserve">a </w:t>
      </w:r>
      <w:r w:rsidRPr="00153410">
        <w:rPr>
          <w:rFonts w:ascii="Times New Roman" w:hAnsi="Times New Roman"/>
        </w:rPr>
        <w:t>committee is or whether the business is transacted under this Act or otherwise."</w:t>
      </w:r>
    </w:p>
    <w:p w14:paraId="2222E161" w14:textId="21F605BE"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In </w:t>
      </w:r>
      <w:r w:rsidRPr="00153410">
        <w:rPr>
          <w:rFonts w:ascii="Times New Roman" w:hAnsi="Times New Roman"/>
          <w:i/>
          <w:iCs/>
        </w:rPr>
        <w:t>Criminal Justice Commission v Parliamentary Criminal Justice Commissioner</w:t>
      </w:r>
      <w:r w:rsidRPr="00153410">
        <w:rPr>
          <w:rStyle w:val="FootnoteReference"/>
          <w:rFonts w:ascii="Times New Roman" w:hAnsi="Times New Roman"/>
          <w:sz w:val="24"/>
        </w:rPr>
        <w:footnoteReference w:id="11"/>
      </w:r>
      <w:r w:rsidRPr="00153410">
        <w:rPr>
          <w:rFonts w:ascii="Times New Roman" w:hAnsi="Times New Roman"/>
        </w:rPr>
        <w:t xml:space="preserve">, McPherson JA observed that Art 9 of the </w:t>
      </w:r>
      <w:r w:rsidRPr="00153410">
        <w:rPr>
          <w:rFonts w:ascii="Times New Roman" w:hAnsi="Times New Roman"/>
          <w:i/>
          <w:iCs/>
        </w:rPr>
        <w:t>Bill</w:t>
      </w:r>
      <w:r w:rsidRPr="00153410">
        <w:rPr>
          <w:rFonts w:ascii="Times New Roman" w:hAnsi="Times New Roman"/>
        </w:rPr>
        <w:t xml:space="preserve"> </w:t>
      </w:r>
      <w:r w:rsidRPr="00153410">
        <w:rPr>
          <w:rFonts w:ascii="Times New Roman" w:hAnsi="Times New Roman"/>
          <w:i/>
          <w:iCs/>
        </w:rPr>
        <w:t>of Rights 1688</w:t>
      </w:r>
      <w:r w:rsidRPr="00153410">
        <w:rPr>
          <w:rStyle w:val="FootnoteReference"/>
          <w:rFonts w:ascii="Times New Roman" w:hAnsi="Times New Roman"/>
          <w:sz w:val="24"/>
        </w:rPr>
        <w:footnoteReference w:id="12"/>
      </w:r>
      <w:r w:rsidRPr="00153410">
        <w:rPr>
          <w:rFonts w:ascii="Times New Roman" w:hAnsi="Times New Roman"/>
        </w:rPr>
        <w:t xml:space="preserve"> has always formed part of the law of Queensland. That is because, unlike some other States, Queensland came into existence as a separate entity in 1859 under a representative form of parliamentary government to which the </w:t>
      </w:r>
      <w:r w:rsidRPr="00153410">
        <w:rPr>
          <w:rFonts w:ascii="Times New Roman" w:hAnsi="Times New Roman"/>
          <w:i/>
        </w:rPr>
        <w:t>Bill of Rights 1688</w:t>
      </w:r>
      <w:r w:rsidRPr="00153410">
        <w:rPr>
          <w:rFonts w:ascii="Times New Roman" w:hAnsi="Times New Roman"/>
        </w:rPr>
        <w:t xml:space="preserve"> was capable of being attracted.</w:t>
      </w:r>
      <w:r w:rsidR="00CE7522" w:rsidRPr="00153410">
        <w:rPr>
          <w:rFonts w:ascii="Times New Roman" w:hAnsi="Times New Roman"/>
        </w:rPr>
        <w:t xml:space="preserve"> When that case was decided, s 5 of the </w:t>
      </w:r>
      <w:r w:rsidR="00CE7522" w:rsidRPr="00153410">
        <w:rPr>
          <w:rFonts w:ascii="Times New Roman" w:hAnsi="Times New Roman"/>
          <w:i/>
          <w:iCs/>
        </w:rPr>
        <w:t>Imperial Acts Application Act 1984</w:t>
      </w:r>
      <w:r w:rsidR="00CE7522" w:rsidRPr="00153410">
        <w:rPr>
          <w:rFonts w:ascii="Times New Roman" w:hAnsi="Times New Roman"/>
        </w:rPr>
        <w:t xml:space="preserve"> (Qld) relevantly provided that the </w:t>
      </w:r>
      <w:r w:rsidR="00CE7522" w:rsidRPr="00153410">
        <w:rPr>
          <w:rFonts w:ascii="Times New Roman" w:hAnsi="Times New Roman"/>
          <w:i/>
          <w:iCs/>
        </w:rPr>
        <w:t>Bill of Rights 1688</w:t>
      </w:r>
      <w:r w:rsidR="00CE7522" w:rsidRPr="00153410">
        <w:rPr>
          <w:rFonts w:ascii="Times New Roman" w:hAnsi="Times New Roman"/>
        </w:rPr>
        <w:t xml:space="preserve"> continued to have the same force and effect as it had in Queensland immediately prior to the commencement of that Act and s 3 of the </w:t>
      </w:r>
      <w:r w:rsidR="00CE7522" w:rsidRPr="00153410">
        <w:rPr>
          <w:rFonts w:ascii="Times New Roman" w:hAnsi="Times New Roman"/>
          <w:i/>
          <w:iCs/>
        </w:rPr>
        <w:t>Parliamentary Papers Act 1992</w:t>
      </w:r>
      <w:r w:rsidR="00CE7522" w:rsidRPr="00153410">
        <w:rPr>
          <w:rFonts w:ascii="Times New Roman" w:hAnsi="Times New Roman"/>
        </w:rPr>
        <w:t xml:space="preserve"> (Qld) relevantly defined "proceedings in Parliament" within Art 9 of the </w:t>
      </w:r>
      <w:r w:rsidR="00CE7522" w:rsidRPr="00153410">
        <w:rPr>
          <w:rFonts w:ascii="Times New Roman" w:hAnsi="Times New Roman"/>
          <w:i/>
          <w:iCs/>
        </w:rPr>
        <w:t>Bill of Rights 1688</w:t>
      </w:r>
      <w:r w:rsidR="00CE7522" w:rsidRPr="00153410">
        <w:rPr>
          <w:rFonts w:ascii="Times New Roman" w:hAnsi="Times New Roman"/>
        </w:rPr>
        <w:t xml:space="preserve"> as applied to the Queensland Parliament. It did so in terms equivalent to the definition of "proceedings in the Assembly" </w:t>
      </w:r>
      <w:r w:rsidR="005E245B" w:rsidRPr="00153410">
        <w:rPr>
          <w:rFonts w:ascii="Times New Roman" w:hAnsi="Times New Roman"/>
        </w:rPr>
        <w:t xml:space="preserve">in </w:t>
      </w:r>
      <w:r w:rsidR="00CE7522" w:rsidRPr="00153410">
        <w:rPr>
          <w:rFonts w:ascii="Times New Roman" w:hAnsi="Times New Roman"/>
        </w:rPr>
        <w:t xml:space="preserve">s 9(1) and (2) of the POQ Act. The </w:t>
      </w:r>
      <w:r w:rsidR="00CE7522" w:rsidRPr="00153410">
        <w:rPr>
          <w:rFonts w:ascii="Times New Roman" w:hAnsi="Times New Roman"/>
          <w:i/>
          <w:iCs/>
        </w:rPr>
        <w:t>Parliamentary Papers Act</w:t>
      </w:r>
      <w:r w:rsidR="00CE7522" w:rsidRPr="00153410">
        <w:rPr>
          <w:rFonts w:ascii="Times New Roman" w:hAnsi="Times New Roman"/>
        </w:rPr>
        <w:t xml:space="preserve"> was repealed on the commencement of the POQ Act</w:t>
      </w:r>
      <w:r w:rsidR="002877F2" w:rsidRPr="00153410">
        <w:rPr>
          <w:rStyle w:val="FootnoteReference"/>
          <w:rFonts w:ascii="Times New Roman" w:hAnsi="Times New Roman"/>
          <w:sz w:val="24"/>
        </w:rPr>
        <w:footnoteReference w:id="13"/>
      </w:r>
      <w:r w:rsidR="00CE7522" w:rsidRPr="00153410">
        <w:rPr>
          <w:rFonts w:ascii="Times New Roman" w:hAnsi="Times New Roman"/>
        </w:rPr>
        <w:t>.</w:t>
      </w:r>
    </w:p>
    <w:p w14:paraId="2F2D0867" w14:textId="78E98F02"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There can be no doubt that s 9 of the POQ Act</w:t>
      </w:r>
      <w:r w:rsidR="00BF5FDC" w:rsidRPr="00153410">
        <w:rPr>
          <w:rFonts w:ascii="Times New Roman" w:hAnsi="Times New Roman"/>
        </w:rPr>
        <w:t xml:space="preserve">, like s 3 of the </w:t>
      </w:r>
      <w:r w:rsidR="00BF5FDC" w:rsidRPr="00153410">
        <w:rPr>
          <w:rFonts w:ascii="Times New Roman" w:hAnsi="Times New Roman"/>
          <w:i/>
          <w:iCs/>
        </w:rPr>
        <w:t xml:space="preserve">Parliamentary </w:t>
      </w:r>
      <w:r w:rsidR="00530C67" w:rsidRPr="00153410">
        <w:rPr>
          <w:rFonts w:ascii="Times New Roman" w:hAnsi="Times New Roman"/>
          <w:i/>
          <w:iCs/>
        </w:rPr>
        <w:t xml:space="preserve">Papers Act </w:t>
      </w:r>
      <w:r w:rsidR="00530C67" w:rsidRPr="00153410">
        <w:rPr>
          <w:rFonts w:ascii="Times New Roman" w:hAnsi="Times New Roman"/>
        </w:rPr>
        <w:t>before it,</w:t>
      </w:r>
      <w:r w:rsidRPr="00153410">
        <w:rPr>
          <w:rFonts w:ascii="Times New Roman" w:hAnsi="Times New Roman"/>
        </w:rPr>
        <w:t xml:space="preserve"> has extended what acts, conduct or things might qualify as </w:t>
      </w:r>
      <w:r w:rsidRPr="00153410">
        <w:rPr>
          <w:rFonts w:ascii="Times New Roman" w:hAnsi="Times New Roman"/>
        </w:rPr>
        <w:lastRenderedPageBreak/>
        <w:t xml:space="preserve">"proceedings in the Assembly". The extension commenced with s 3 of the </w:t>
      </w:r>
      <w:r w:rsidRPr="00153410">
        <w:rPr>
          <w:rFonts w:ascii="Times New Roman" w:hAnsi="Times New Roman"/>
          <w:i/>
          <w:iCs/>
        </w:rPr>
        <w:t>Parliamentary Papers Act</w:t>
      </w:r>
      <w:r w:rsidRPr="00153410">
        <w:rPr>
          <w:rFonts w:ascii="Times New Roman" w:hAnsi="Times New Roman"/>
        </w:rPr>
        <w:t xml:space="preserve">, which was in terms </w:t>
      </w:r>
      <w:proofErr w:type="gramStart"/>
      <w:r w:rsidRPr="00153410">
        <w:rPr>
          <w:rFonts w:ascii="Times New Roman" w:hAnsi="Times New Roman"/>
        </w:rPr>
        <w:t>similar to</w:t>
      </w:r>
      <w:proofErr w:type="gramEnd"/>
      <w:r w:rsidRPr="00153410">
        <w:rPr>
          <w:rFonts w:ascii="Times New Roman" w:hAnsi="Times New Roman"/>
        </w:rPr>
        <w:t xml:space="preserve"> s 9 of the POQ Act. The Commission relies on s 9(2)(c), (d) and (e) as conferring a privilege because it contends that the Report was prepared for, and presented or submitted to, the Committee. But those facts do not conclude the question of whether s 8 of the POQ Act</w:t>
      </w:r>
      <w:r w:rsidRPr="00153410">
        <w:rPr>
          <w:rFonts w:ascii="Times New Roman" w:hAnsi="Times New Roman"/>
          <w:i/>
          <w:iCs/>
        </w:rPr>
        <w:t xml:space="preserve"> </w:t>
      </w:r>
      <w:r w:rsidRPr="00153410">
        <w:rPr>
          <w:rFonts w:ascii="Times New Roman" w:hAnsi="Times New Roman"/>
        </w:rPr>
        <w:t xml:space="preserve">applies. Section 9 limits whatever is said to amount to "proceedings in the Assembly". Where, as here, what is done does not take place </w:t>
      </w:r>
      <w:proofErr w:type="gramStart"/>
      <w:r w:rsidRPr="00153410">
        <w:rPr>
          <w:rFonts w:ascii="Times New Roman" w:hAnsi="Times New Roman"/>
        </w:rPr>
        <w:t>in the course of</w:t>
      </w:r>
      <w:proofErr w:type="gramEnd"/>
      <w:r w:rsidRPr="00153410">
        <w:rPr>
          <w:rFonts w:ascii="Times New Roman" w:hAnsi="Times New Roman"/>
        </w:rPr>
        <w:t xml:space="preserve"> transacting the business of the Committee, s 9(</w:t>
      </w:r>
      <w:r w:rsidR="006C161D" w:rsidRPr="00153410">
        <w:rPr>
          <w:rFonts w:ascii="Times New Roman" w:hAnsi="Times New Roman"/>
        </w:rPr>
        <w:t>1</w:t>
      </w:r>
      <w:r w:rsidRPr="00153410">
        <w:rPr>
          <w:rFonts w:ascii="Times New Roman" w:hAnsi="Times New Roman"/>
        </w:rPr>
        <w:t>) requires that it be done "for the purposes of or incidental to, transacting business of [the Committee]" before the privilege can attach to the Report.</w:t>
      </w:r>
    </w:p>
    <w:p w14:paraId="6DA819CD" w14:textId="5C64D2B5"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Before discussing </w:t>
      </w:r>
      <w:proofErr w:type="gramStart"/>
      <w:r w:rsidRPr="00153410">
        <w:rPr>
          <w:rFonts w:ascii="Times New Roman" w:hAnsi="Times New Roman"/>
        </w:rPr>
        <w:t>what</w:t>
      </w:r>
      <w:proofErr w:type="gramEnd"/>
      <w:r w:rsidRPr="00153410">
        <w:rPr>
          <w:rFonts w:ascii="Times New Roman" w:hAnsi="Times New Roman"/>
        </w:rPr>
        <w:t xml:space="preserve"> those words entail it is necessary to clarify an aspect of the construction of s 9(2)(e) in its reference to sub-s (2)(a), which refers to "giving evidence before</w:t>
      </w:r>
      <w:r w:rsidR="00464DC6" w:rsidRPr="00153410">
        <w:rPr>
          <w:rFonts w:ascii="Times New Roman" w:hAnsi="Times New Roman"/>
        </w:rPr>
        <w:t xml:space="preserve"> </w:t>
      </w:r>
      <w:r w:rsidRPr="00153410">
        <w:rPr>
          <w:rFonts w:ascii="Times New Roman" w:hAnsi="Times New Roman"/>
        </w:rPr>
        <w:t>... a committee", and sub-s (2)(c), which refers to "presenting or submitting a document to</w:t>
      </w:r>
      <w:r w:rsidR="00464DC6" w:rsidRPr="00153410">
        <w:rPr>
          <w:rFonts w:ascii="Times New Roman" w:hAnsi="Times New Roman"/>
        </w:rPr>
        <w:t xml:space="preserve"> </w:t>
      </w:r>
      <w:r w:rsidRPr="00153410">
        <w:rPr>
          <w:rFonts w:ascii="Times New Roman" w:hAnsi="Times New Roman"/>
        </w:rPr>
        <w:t xml:space="preserve">... a committee". </w:t>
      </w:r>
    </w:p>
    <w:p w14:paraId="64F2CB20" w14:textId="287ADD43"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A literal reading of s 9(2)(e) might suggest that the actions referred to in s 9(2)(a) or (c) themselves constitute the business of the Assembly or a committee. Such a reading is possible because the words "for the purposes of</w:t>
      </w:r>
      <w:r w:rsidR="0034577A" w:rsidRPr="00153410">
        <w:rPr>
          <w:rFonts w:ascii="Times New Roman" w:hAnsi="Times New Roman"/>
        </w:rPr>
        <w:t>,</w:t>
      </w:r>
      <w:r w:rsidRPr="00153410">
        <w:rPr>
          <w:rFonts w:ascii="Times New Roman" w:hAnsi="Times New Roman"/>
        </w:rPr>
        <w:t xml:space="preserve"> or incidental to, transacting business" are interposed between "preparing a document" and "mentioned in paragraph (a) or (c)", so that the "business" appears to be that mentioned in those paragraphs. However, that would not be a sensible construction of para (e), and it would not be consistent with s 9(1). Properly construed, para (e) should be read to refer to a document </w:t>
      </w:r>
      <w:r w:rsidR="008C3148" w:rsidRPr="00153410">
        <w:rPr>
          <w:rFonts w:ascii="Times New Roman" w:hAnsi="Times New Roman"/>
        </w:rPr>
        <w:t>that</w:t>
      </w:r>
      <w:r w:rsidRPr="00153410">
        <w:rPr>
          <w:rFonts w:ascii="Times New Roman" w:hAnsi="Times New Roman"/>
        </w:rPr>
        <w:t xml:space="preserve"> is prepared for the purposes of, or incidental to, transacting business of the Assembly or a committee.</w:t>
      </w:r>
    </w:p>
    <w:p w14:paraId="51677BFE"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As mentioned earlier, the question which arises with respect to s 9, given the limitation it places on "proceedings in the Assembly", is whether what was done was </w:t>
      </w:r>
      <w:proofErr w:type="gramStart"/>
      <w:r w:rsidRPr="00153410">
        <w:rPr>
          <w:rFonts w:ascii="Times New Roman" w:hAnsi="Times New Roman"/>
        </w:rPr>
        <w:t>actually for</w:t>
      </w:r>
      <w:proofErr w:type="gramEnd"/>
      <w:r w:rsidRPr="00153410">
        <w:rPr>
          <w:rFonts w:ascii="Times New Roman" w:hAnsi="Times New Roman"/>
        </w:rPr>
        <w:t xml:space="preserve"> the purposes of doing the business of the Committee. That is largely a question of fact. In </w:t>
      </w:r>
      <w:r w:rsidRPr="00153410">
        <w:rPr>
          <w:rFonts w:ascii="Times New Roman" w:hAnsi="Times New Roman"/>
          <w:i/>
          <w:iCs/>
        </w:rPr>
        <w:t xml:space="preserve">Rowley v </w:t>
      </w:r>
      <w:proofErr w:type="spellStart"/>
      <w:r w:rsidRPr="00153410">
        <w:rPr>
          <w:rFonts w:ascii="Times New Roman" w:hAnsi="Times New Roman"/>
          <w:i/>
          <w:iCs/>
        </w:rPr>
        <w:t>O'Chee</w:t>
      </w:r>
      <w:proofErr w:type="spellEnd"/>
      <w:r w:rsidRPr="00153410">
        <w:rPr>
          <w:rStyle w:val="FootnoteReference"/>
          <w:rFonts w:ascii="Times New Roman" w:hAnsi="Times New Roman"/>
          <w:sz w:val="24"/>
        </w:rPr>
        <w:footnoteReference w:id="14"/>
      </w:r>
      <w:r w:rsidRPr="00153410">
        <w:rPr>
          <w:rFonts w:ascii="Times New Roman" w:hAnsi="Times New Roman"/>
        </w:rPr>
        <w:t xml:space="preserve">, McPherson JA considered that the expression "purposes", in a provision of the </w:t>
      </w:r>
      <w:r w:rsidRPr="00153410">
        <w:rPr>
          <w:rFonts w:ascii="Times New Roman" w:hAnsi="Times New Roman"/>
          <w:i/>
          <w:iCs/>
        </w:rPr>
        <w:t>Parliamentary Privileges Act 1987</w:t>
      </w:r>
      <w:r w:rsidRPr="00153410">
        <w:rPr>
          <w:rFonts w:ascii="Times New Roman" w:hAnsi="Times New Roman"/>
        </w:rPr>
        <w:t xml:space="preserve"> (</w:t>
      </w:r>
      <w:proofErr w:type="spellStart"/>
      <w:r w:rsidRPr="00153410">
        <w:rPr>
          <w:rFonts w:ascii="Times New Roman" w:hAnsi="Times New Roman"/>
        </w:rPr>
        <w:t>Cth</w:t>
      </w:r>
      <w:proofErr w:type="spellEnd"/>
      <w:r w:rsidRPr="00153410">
        <w:rPr>
          <w:rFonts w:ascii="Times New Roman" w:hAnsi="Times New Roman"/>
        </w:rPr>
        <w:t xml:space="preserve">) </w:t>
      </w:r>
      <w:proofErr w:type="gramStart"/>
      <w:r w:rsidRPr="00153410">
        <w:rPr>
          <w:rFonts w:ascii="Times New Roman" w:hAnsi="Times New Roman"/>
        </w:rPr>
        <w:t>similar to</w:t>
      </w:r>
      <w:proofErr w:type="gramEnd"/>
      <w:r w:rsidRPr="00153410">
        <w:rPr>
          <w:rFonts w:ascii="Times New Roman" w:hAnsi="Times New Roman"/>
        </w:rPr>
        <w:t xml:space="preserve"> s 9(2)(e) of the POQ Act</w:t>
      </w:r>
      <w:r w:rsidRPr="00153410">
        <w:rPr>
          <w:rStyle w:val="FootnoteReference"/>
          <w:rFonts w:ascii="Times New Roman" w:hAnsi="Times New Roman"/>
          <w:sz w:val="24"/>
        </w:rPr>
        <w:footnoteReference w:id="15"/>
      </w:r>
      <w:r w:rsidRPr="00153410">
        <w:rPr>
          <w:rFonts w:ascii="Times New Roman" w:hAnsi="Times New Roman"/>
        </w:rPr>
        <w:t>, might be taken to introduce "an element of subjectivity or intention" which existed at the time the documents were prepared. His Honour, however, went on to apply an "independent basis or reason" in concluding that they were prepared for the requisite purpose</w:t>
      </w:r>
      <w:r w:rsidRPr="00153410">
        <w:rPr>
          <w:rStyle w:val="FootnoteReference"/>
          <w:rFonts w:ascii="Times New Roman" w:hAnsi="Times New Roman"/>
          <w:sz w:val="24"/>
        </w:rPr>
        <w:footnoteReference w:id="16"/>
      </w:r>
      <w:r w:rsidRPr="00153410">
        <w:rPr>
          <w:rFonts w:ascii="Times New Roman" w:hAnsi="Times New Roman"/>
        </w:rPr>
        <w:t>.</w:t>
      </w:r>
    </w:p>
    <w:p w14:paraId="0A0C924C" w14:textId="71942289"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lastRenderedPageBreak/>
        <w:tab/>
        <w:t xml:space="preserve">In argument on this appeal the Speaker of the Legislative Assembly of Queensland, intervening, put that the motivations or purpose of both the person who produces the document and the person who receives it are irrelevant to the question of whether a document is prepared for the purposes of the Assembly or a committee. The Speaker submitted that it is the functional connection, objectively considered, of the document with the Assembly or committee which must be considered. </w:t>
      </w:r>
    </w:p>
    <w:p w14:paraId="1F552AFA" w14:textId="3D380F7F"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latter submission should be accepted. In requiring that something be said or done for the purposes of conducting the business of the Assembly or a committee, s 9(</w:t>
      </w:r>
      <w:r w:rsidR="00B11C44" w:rsidRPr="00153410">
        <w:rPr>
          <w:rFonts w:ascii="Times New Roman" w:hAnsi="Times New Roman"/>
        </w:rPr>
        <w:t>1</w:t>
      </w:r>
      <w:r w:rsidRPr="00153410">
        <w:rPr>
          <w:rFonts w:ascii="Times New Roman" w:hAnsi="Times New Roman"/>
        </w:rPr>
        <w:t xml:space="preserve">) is clearly concerned with establishing a connection to the work of the Assembly or a committee. The mere preparation </w:t>
      </w:r>
      <w:r w:rsidR="000F6F73" w:rsidRPr="00153410">
        <w:rPr>
          <w:rFonts w:ascii="Times New Roman" w:hAnsi="Times New Roman"/>
        </w:rPr>
        <w:t xml:space="preserve">of </w:t>
      </w:r>
      <w:r w:rsidR="00D353B5" w:rsidRPr="00153410">
        <w:rPr>
          <w:rFonts w:ascii="Times New Roman" w:hAnsi="Times New Roman"/>
        </w:rPr>
        <w:t>a document</w:t>
      </w:r>
      <w:r w:rsidR="000F6F73" w:rsidRPr="00153410">
        <w:rPr>
          <w:rFonts w:ascii="Times New Roman" w:hAnsi="Times New Roman"/>
        </w:rPr>
        <w:t xml:space="preserve"> for them</w:t>
      </w:r>
      <w:r w:rsidRPr="00153410">
        <w:rPr>
          <w:rFonts w:ascii="Times New Roman" w:hAnsi="Times New Roman"/>
        </w:rPr>
        <w:t>, or presentation of a document to them</w:t>
      </w:r>
      <w:r w:rsidR="000F6F73" w:rsidRPr="00153410">
        <w:rPr>
          <w:rFonts w:ascii="Times New Roman" w:hAnsi="Times New Roman"/>
        </w:rPr>
        <w:t>,</w:t>
      </w:r>
      <w:r w:rsidRPr="00153410">
        <w:rPr>
          <w:rFonts w:ascii="Times New Roman" w:hAnsi="Times New Roman"/>
        </w:rPr>
        <w:t xml:space="preserve"> by a third party will not suffice if there is no other connection to their work at the time the document was prepared. As McPherson JA observed in </w:t>
      </w:r>
      <w:r w:rsidRPr="00153410">
        <w:rPr>
          <w:rFonts w:ascii="Times New Roman" w:hAnsi="Times New Roman"/>
          <w:i/>
          <w:iCs/>
        </w:rPr>
        <w:t xml:space="preserve">Rowley v </w:t>
      </w:r>
      <w:proofErr w:type="spellStart"/>
      <w:r w:rsidRPr="00153410">
        <w:rPr>
          <w:rFonts w:ascii="Times New Roman" w:hAnsi="Times New Roman"/>
          <w:i/>
          <w:iCs/>
        </w:rPr>
        <w:t>O'Chee</w:t>
      </w:r>
      <w:proofErr w:type="spellEnd"/>
      <w:r w:rsidRPr="00153410">
        <w:rPr>
          <w:rStyle w:val="FootnoteReference"/>
          <w:rFonts w:ascii="Times New Roman" w:hAnsi="Times New Roman"/>
          <w:sz w:val="24"/>
        </w:rPr>
        <w:footnoteReference w:id="17"/>
      </w:r>
      <w:r w:rsidRPr="00153410">
        <w:rPr>
          <w:rFonts w:ascii="Times New Roman" w:hAnsi="Times New Roman"/>
        </w:rPr>
        <w:t>,</w:t>
      </w:r>
      <w:r w:rsidRPr="00153410">
        <w:rPr>
          <w:rFonts w:ascii="Times New Roman" w:hAnsi="Times New Roman"/>
          <w:i/>
          <w:iCs/>
        </w:rPr>
        <w:t xml:space="preserve"> </w:t>
      </w:r>
      <w:r w:rsidRPr="00153410">
        <w:rPr>
          <w:rFonts w:ascii="Times New Roman" w:hAnsi="Times New Roman"/>
        </w:rPr>
        <w:t>not all mail that is delivered to and received by a member of Parliament attracts privilege.</w:t>
      </w:r>
    </w:p>
    <w:p w14:paraId="42D15EB7" w14:textId="7A6537F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r>
      <w:proofErr w:type="gramStart"/>
      <w:r w:rsidRPr="00153410">
        <w:rPr>
          <w:rFonts w:ascii="Times New Roman" w:hAnsi="Times New Roman"/>
        </w:rPr>
        <w:t xml:space="preserve">Generally speaking, </w:t>
      </w:r>
      <w:r w:rsidR="00305648" w:rsidRPr="00153410">
        <w:rPr>
          <w:rFonts w:ascii="Times New Roman" w:hAnsi="Times New Roman"/>
        </w:rPr>
        <w:t>the</w:t>
      </w:r>
      <w:proofErr w:type="gramEnd"/>
      <w:r w:rsidR="00305648" w:rsidRPr="00153410">
        <w:rPr>
          <w:rFonts w:ascii="Times New Roman" w:hAnsi="Times New Roman"/>
        </w:rPr>
        <w:t xml:space="preserve"> </w:t>
      </w:r>
      <w:r w:rsidRPr="00153410">
        <w:rPr>
          <w:rFonts w:ascii="Times New Roman" w:hAnsi="Times New Roman"/>
        </w:rPr>
        <w:t xml:space="preserve">intentions </w:t>
      </w:r>
      <w:r w:rsidR="00305648" w:rsidRPr="00153410">
        <w:rPr>
          <w:rFonts w:ascii="Times New Roman" w:hAnsi="Times New Roman"/>
        </w:rPr>
        <w:t xml:space="preserve">of those preparing the document </w:t>
      </w:r>
      <w:r w:rsidRPr="00153410">
        <w:rPr>
          <w:rFonts w:ascii="Times New Roman" w:hAnsi="Times New Roman"/>
        </w:rPr>
        <w:t>will say nothing about the requisite connection with the work of the Assembly or a committee. But in such a case as this, statements by the Commission of its intention, such as those extracted above</w:t>
      </w:r>
      <w:r w:rsidRPr="00153410">
        <w:rPr>
          <w:rStyle w:val="FootnoteReference"/>
          <w:rFonts w:ascii="Times New Roman" w:hAnsi="Times New Roman"/>
          <w:sz w:val="24"/>
        </w:rPr>
        <w:footnoteReference w:id="18"/>
      </w:r>
      <w:r w:rsidRPr="00153410">
        <w:rPr>
          <w:rFonts w:ascii="Times New Roman" w:hAnsi="Times New Roman"/>
        </w:rPr>
        <w:t>, may point away from there being a connection with the Committee's work, and instead point to the purpose of the work being that of the Commission itself.</w:t>
      </w:r>
    </w:p>
    <w:p w14:paraId="752B6BCB" w14:textId="184DB0E2"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Committee did not </w:t>
      </w:r>
      <w:r w:rsidR="008F55BC" w:rsidRPr="00153410">
        <w:rPr>
          <w:rFonts w:ascii="Times New Roman" w:hAnsi="Times New Roman"/>
        </w:rPr>
        <w:t xml:space="preserve">authorise, </w:t>
      </w:r>
      <w:r w:rsidRPr="00153410">
        <w:rPr>
          <w:rFonts w:ascii="Times New Roman" w:hAnsi="Times New Roman"/>
        </w:rPr>
        <w:t>and cannot be taken to have authorised</w:t>
      </w:r>
      <w:r w:rsidR="008F55BC" w:rsidRPr="00153410">
        <w:rPr>
          <w:rFonts w:ascii="Times New Roman" w:hAnsi="Times New Roman"/>
        </w:rPr>
        <w:t>,</w:t>
      </w:r>
      <w:r w:rsidRPr="00153410">
        <w:rPr>
          <w:rFonts w:ascii="Times New Roman" w:hAnsi="Times New Roman"/>
        </w:rPr>
        <w:t xml:space="preserve"> the preparation of the Report. That may have been the case if the Committee had directed the Commission to investigate the complaint under s 294 of the CC Act. In such a circumstance the Commission is obliged to report to the Committee with respect to such an investigation. That is not this case.</w:t>
      </w:r>
    </w:p>
    <w:p w14:paraId="1DD3385E" w14:textId="74B7BC6F"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Here the Report was prepared and presented to the Committee for the purpose of it being made public (by having it tabled in the Legislative Assembly). That purpose was that of the Commission. It was not that of the Committee. True it is that the Committee was asked to consider giving a direction under s 69(1)(b) of the CC </w:t>
      </w:r>
      <w:proofErr w:type="gramStart"/>
      <w:r w:rsidRPr="00153410">
        <w:rPr>
          <w:rFonts w:ascii="Times New Roman" w:hAnsi="Times New Roman"/>
        </w:rPr>
        <w:t>Act, and</w:t>
      </w:r>
      <w:proofErr w:type="gramEnd"/>
      <w:r w:rsidRPr="00153410">
        <w:rPr>
          <w:rFonts w:ascii="Times New Roman" w:hAnsi="Times New Roman"/>
        </w:rPr>
        <w:t xml:space="preserve"> would no doubt have done so had the proceedings not been commenced. The Committee agreed not to take that action until the conclusion of the proceedings. Had the Committee commenced consideration of such a direction, the Report may have been the subject of its business, but that point was not reached. The requisite connection is not established</w:t>
      </w:r>
      <w:r w:rsidR="00F136E7" w:rsidRPr="00153410">
        <w:rPr>
          <w:rFonts w:ascii="Times New Roman" w:hAnsi="Times New Roman"/>
        </w:rPr>
        <w:t xml:space="preserve"> on the facts of this case. If </w:t>
      </w:r>
      <w:r w:rsidR="00F136E7" w:rsidRPr="00153410">
        <w:rPr>
          <w:rFonts w:ascii="Times New Roman" w:hAnsi="Times New Roman"/>
        </w:rPr>
        <w:lastRenderedPageBreak/>
        <w:t xml:space="preserve">established, the </w:t>
      </w:r>
      <w:r w:rsidR="006E5698" w:rsidRPr="00153410">
        <w:rPr>
          <w:rFonts w:ascii="Times New Roman" w:hAnsi="Times New Roman"/>
        </w:rPr>
        <w:t xml:space="preserve">large question </w:t>
      </w:r>
      <w:r w:rsidR="00983F42" w:rsidRPr="00153410">
        <w:rPr>
          <w:rFonts w:ascii="Times New Roman" w:hAnsi="Times New Roman"/>
        </w:rPr>
        <w:t>of</w:t>
      </w:r>
      <w:r w:rsidR="006E5698" w:rsidRPr="00153410">
        <w:rPr>
          <w:rFonts w:ascii="Times New Roman" w:hAnsi="Times New Roman"/>
        </w:rPr>
        <w:t xml:space="preserve"> the preclusive effect of s </w:t>
      </w:r>
      <w:r w:rsidR="006520F8" w:rsidRPr="00153410">
        <w:rPr>
          <w:rFonts w:ascii="Times New Roman" w:hAnsi="Times New Roman"/>
        </w:rPr>
        <w:t>8</w:t>
      </w:r>
      <w:r w:rsidR="006E5698" w:rsidRPr="00153410">
        <w:rPr>
          <w:rFonts w:ascii="Times New Roman" w:hAnsi="Times New Roman"/>
        </w:rPr>
        <w:t>, which does not arise on the facts of this case, would have to be determined</w:t>
      </w:r>
      <w:r w:rsidRPr="00153410">
        <w:rPr>
          <w:rFonts w:ascii="Times New Roman" w:hAnsi="Times New Roman"/>
        </w:rPr>
        <w:t xml:space="preserve">. </w:t>
      </w:r>
    </w:p>
    <w:p w14:paraId="4B263E19" w14:textId="546C61B3"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This conclusion is not altered by the certificate issued under s 55 of the POQ Act, by which the Chairperson of the Committee certified that the Report was prepared for and presented to the Committee for its purposes. Section 55(</w:t>
      </w:r>
      <w:r w:rsidR="00C91D7C" w:rsidRPr="00153410">
        <w:rPr>
          <w:rFonts w:ascii="Times New Roman" w:hAnsi="Times New Roman"/>
        </w:rPr>
        <w:t>2</w:t>
      </w:r>
      <w:r w:rsidRPr="00153410">
        <w:rPr>
          <w:rFonts w:ascii="Times New Roman" w:hAnsi="Times New Roman"/>
        </w:rPr>
        <w:t>)(d) provides that a certificate stating that a document was prepared for the purposes in s 9(2)(a) or (</w:t>
      </w:r>
      <w:r w:rsidR="000635F2" w:rsidRPr="00153410">
        <w:rPr>
          <w:rFonts w:ascii="Times New Roman" w:hAnsi="Times New Roman"/>
        </w:rPr>
        <w:t>c</w:t>
      </w:r>
      <w:r w:rsidRPr="00153410">
        <w:rPr>
          <w:rFonts w:ascii="Times New Roman" w:hAnsi="Times New Roman"/>
        </w:rPr>
        <w:t>) is evidence of that fact. It does not, however, provide that it is conclusive</w:t>
      </w:r>
      <w:r w:rsidRPr="00153410">
        <w:rPr>
          <w:rStyle w:val="FootnoteReference"/>
          <w:rFonts w:ascii="Times New Roman" w:hAnsi="Times New Roman"/>
          <w:sz w:val="24"/>
        </w:rPr>
        <w:footnoteReference w:id="19"/>
      </w:r>
      <w:r w:rsidRPr="00153410">
        <w:rPr>
          <w:rFonts w:ascii="Times New Roman" w:hAnsi="Times New Roman"/>
        </w:rPr>
        <w:t>. The s 55 certificate may be rebutted by other evidence. The Commission's statements as to its purpose for preparing the Report do just that.</w:t>
      </w:r>
    </w:p>
    <w:p w14:paraId="152917A8" w14:textId="73A63FFF" w:rsidR="00307209" w:rsidRPr="00153410" w:rsidRDefault="00307209" w:rsidP="00153410">
      <w:pPr>
        <w:pStyle w:val="HeadingL1"/>
        <w:spacing w:after="260" w:line="280" w:lineRule="exact"/>
        <w:ind w:right="0"/>
        <w:jc w:val="both"/>
        <w:rPr>
          <w:rFonts w:ascii="Times New Roman" w:hAnsi="Times New Roman"/>
        </w:rPr>
      </w:pPr>
      <w:r w:rsidRPr="00153410">
        <w:rPr>
          <w:rFonts w:ascii="Times New Roman" w:hAnsi="Times New Roman"/>
        </w:rPr>
        <w:t>The Commission's reporting powers</w:t>
      </w:r>
      <w:r w:rsidR="0040719C" w:rsidRPr="00153410">
        <w:rPr>
          <w:rFonts w:ascii="Times New Roman" w:hAnsi="Times New Roman"/>
        </w:rPr>
        <w:t xml:space="preserve"> –</w:t>
      </w:r>
      <w:r w:rsidRPr="00153410">
        <w:rPr>
          <w:rFonts w:ascii="Times New Roman" w:hAnsi="Times New Roman"/>
        </w:rPr>
        <w:t xml:space="preserve"> </w:t>
      </w:r>
      <w:r w:rsidR="003B7B8D" w:rsidRPr="00153410">
        <w:rPr>
          <w:rFonts w:ascii="Times New Roman" w:hAnsi="Times New Roman"/>
        </w:rPr>
        <w:softHyphen/>
      </w:r>
      <w:r w:rsidRPr="00153410">
        <w:rPr>
          <w:rFonts w:ascii="Times New Roman" w:hAnsi="Times New Roman"/>
        </w:rPr>
        <w:t>the CC Act</w:t>
      </w:r>
    </w:p>
    <w:p w14:paraId="647D41F3"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main purposes of the CC Act are, as its name suggests, directed to crime and corruption. They are to combat and reduce the incidence of major crime, as well as to improve the integrity of, and to reduce the incidence of corruption in, the public sector</w:t>
      </w:r>
      <w:r w:rsidRPr="00153410">
        <w:rPr>
          <w:rStyle w:val="FootnoteReference"/>
          <w:rFonts w:ascii="Times New Roman" w:hAnsi="Times New Roman"/>
          <w:sz w:val="24"/>
        </w:rPr>
        <w:footnoteReference w:id="20"/>
      </w:r>
      <w:r w:rsidRPr="00153410">
        <w:rPr>
          <w:rFonts w:ascii="Times New Roman" w:hAnsi="Times New Roman"/>
        </w:rPr>
        <w:t>. These purposes are said to be achieved by giving the Commission special powers to investigate major crime and cases of corrupt conduct, particularly corruption cases that are more serious, as well as to assist units of public administration to deal effectively and appropriately with corruption by increasing their capacity to do so</w:t>
      </w:r>
      <w:r w:rsidRPr="00153410">
        <w:rPr>
          <w:rStyle w:val="FootnoteReference"/>
          <w:rFonts w:ascii="Times New Roman" w:hAnsi="Times New Roman"/>
          <w:sz w:val="24"/>
        </w:rPr>
        <w:footnoteReference w:id="21"/>
      </w:r>
      <w:r w:rsidRPr="00153410">
        <w:rPr>
          <w:rFonts w:ascii="Times New Roman" w:hAnsi="Times New Roman"/>
        </w:rPr>
        <w:t xml:space="preserve">. It is not necessary to detail the Commission's investigatory powers. </w:t>
      </w:r>
    </w:p>
    <w:p w14:paraId="3457F0C7" w14:textId="514C9AAB"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A "unit of public administration" is a defined term</w:t>
      </w:r>
      <w:r w:rsidRPr="00153410">
        <w:rPr>
          <w:rStyle w:val="FootnoteReference"/>
          <w:rFonts w:ascii="Times New Roman" w:hAnsi="Times New Roman"/>
          <w:sz w:val="24"/>
        </w:rPr>
        <w:footnoteReference w:id="22"/>
      </w:r>
      <w:r w:rsidRPr="00153410">
        <w:rPr>
          <w:rFonts w:ascii="Times New Roman" w:hAnsi="Times New Roman"/>
        </w:rPr>
        <w:t>. There is no dispute that the Public Trust Office comes within it. "Corrupt conduct" is defined broadly and includes conduct which could adversely affect the performance of functions or the exercise of powers of a unit of public administration or a person holding an appointment</w:t>
      </w:r>
      <w:r w:rsidR="00A3080D" w:rsidRPr="00153410">
        <w:rPr>
          <w:rFonts w:ascii="Times New Roman" w:hAnsi="Times New Roman"/>
        </w:rPr>
        <w:t xml:space="preserve">, and which </w:t>
      </w:r>
      <w:r w:rsidRPr="00153410">
        <w:rPr>
          <w:rFonts w:ascii="Times New Roman" w:hAnsi="Times New Roman"/>
        </w:rPr>
        <w:t>would, if proved, be a criminal offence or a disciplinary breach which provides grounds for terminating the services of a person</w:t>
      </w:r>
      <w:r w:rsidRPr="00153410">
        <w:rPr>
          <w:rStyle w:val="FootnoteReference"/>
          <w:rFonts w:ascii="Times New Roman" w:hAnsi="Times New Roman"/>
          <w:sz w:val="24"/>
        </w:rPr>
        <w:footnoteReference w:id="23"/>
      </w:r>
      <w:r w:rsidRPr="00153410">
        <w:rPr>
          <w:rFonts w:ascii="Times New Roman" w:hAnsi="Times New Roman"/>
        </w:rPr>
        <w:t xml:space="preserve">. It also </w:t>
      </w:r>
      <w:r w:rsidRPr="00153410">
        <w:rPr>
          <w:rFonts w:ascii="Times New Roman" w:hAnsi="Times New Roman"/>
        </w:rPr>
        <w:lastRenderedPageBreak/>
        <w:t>refers to conduct which could impair public confidence in public administration</w:t>
      </w:r>
      <w:r w:rsidRPr="00153410">
        <w:rPr>
          <w:rStyle w:val="FootnoteReference"/>
          <w:rFonts w:ascii="Times New Roman" w:hAnsi="Times New Roman"/>
          <w:sz w:val="24"/>
        </w:rPr>
        <w:footnoteReference w:id="24"/>
      </w:r>
      <w:r w:rsidRPr="00153410">
        <w:rPr>
          <w:rFonts w:ascii="Times New Roman" w:hAnsi="Times New Roman"/>
        </w:rPr>
        <w:t>. There is no issue arising here in connection with the meaning of corrupt conduct.</w:t>
      </w:r>
    </w:p>
    <w:p w14:paraId="2CBCD28B" w14:textId="4E5FE39D"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Chapter 2 of the CC Act is entitled "Commission functions, investigations and reporting". It is divided into six parts, five of which deal with the Commission's functions, with the other dealing with how those functions are to be performed. The two reporting powers here in question are to be found in separate parts of Ch 2. Section 49 ("Reports about complaints dealt with by the </w:t>
      </w:r>
      <w:r w:rsidR="00912106" w:rsidRPr="00153410">
        <w:rPr>
          <w:rFonts w:ascii="Times New Roman" w:hAnsi="Times New Roman"/>
        </w:rPr>
        <w:t>c</w:t>
      </w:r>
      <w:r w:rsidRPr="00153410">
        <w:rPr>
          <w:rFonts w:ascii="Times New Roman" w:hAnsi="Times New Roman"/>
        </w:rPr>
        <w:t>ommission") appears at the conclusion of Pt 3</w:t>
      </w:r>
      <w:r w:rsidR="00C43317" w:rsidRPr="00153410">
        <w:rPr>
          <w:rFonts w:ascii="Times New Roman" w:hAnsi="Times New Roman"/>
        </w:rPr>
        <w:t>,</w:t>
      </w:r>
      <w:r w:rsidRPr="00153410">
        <w:rPr>
          <w:rFonts w:ascii="Times New Roman" w:hAnsi="Times New Roman"/>
        </w:rPr>
        <w:t xml:space="preserve"> which deals with the Commission's corruption functions. </w:t>
      </w:r>
      <w:r w:rsidR="00846327" w:rsidRPr="00153410">
        <w:rPr>
          <w:rFonts w:ascii="Times New Roman" w:hAnsi="Times New Roman"/>
        </w:rPr>
        <w:t xml:space="preserve">Reporting </w:t>
      </w:r>
      <w:r w:rsidRPr="00153410">
        <w:rPr>
          <w:rFonts w:ascii="Times New Roman" w:hAnsi="Times New Roman"/>
        </w:rPr>
        <w:t>is the main topic dealt with in Pt 6</w:t>
      </w:r>
      <w:r w:rsidR="00463A3C" w:rsidRPr="00153410">
        <w:rPr>
          <w:rFonts w:ascii="Times New Roman" w:hAnsi="Times New Roman"/>
        </w:rPr>
        <w:t xml:space="preserve">, </w:t>
      </w:r>
      <w:proofErr w:type="gramStart"/>
      <w:r w:rsidR="00463A3C" w:rsidRPr="00153410">
        <w:rPr>
          <w:rFonts w:ascii="Times New Roman" w:hAnsi="Times New Roman"/>
        </w:rPr>
        <w:t xml:space="preserve">in particular </w:t>
      </w:r>
      <w:r w:rsidR="00185F4A" w:rsidRPr="00153410">
        <w:rPr>
          <w:rFonts w:ascii="Times New Roman" w:hAnsi="Times New Roman"/>
        </w:rPr>
        <w:t>through</w:t>
      </w:r>
      <w:proofErr w:type="gramEnd"/>
      <w:r w:rsidR="00463A3C" w:rsidRPr="00153410">
        <w:rPr>
          <w:rFonts w:ascii="Times New Roman" w:hAnsi="Times New Roman"/>
        </w:rPr>
        <w:t xml:space="preserve"> s 64</w:t>
      </w:r>
      <w:r w:rsidRPr="00153410">
        <w:rPr>
          <w:rFonts w:ascii="Times New Roman" w:hAnsi="Times New Roman"/>
        </w:rPr>
        <w:t>. Section</w:t>
      </w:r>
      <w:r w:rsidR="0057633A">
        <w:rPr>
          <w:rFonts w:ascii="Times New Roman" w:hAnsi="Times New Roman"/>
        </w:rPr>
        <w:t> </w:t>
      </w:r>
      <w:r w:rsidRPr="00153410">
        <w:rPr>
          <w:rFonts w:ascii="Times New Roman" w:hAnsi="Times New Roman"/>
        </w:rPr>
        <w:t>69 in Pt 6 also contains the tabling requirement for Commission reports.</w:t>
      </w:r>
    </w:p>
    <w:p w14:paraId="62E5E693" w14:textId="211B1E08"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Part 1 of Ch 2 identifies a "Prevention function"</w:t>
      </w:r>
      <w:r w:rsidRPr="00153410">
        <w:rPr>
          <w:rStyle w:val="FootnoteReference"/>
          <w:rFonts w:ascii="Times New Roman" w:hAnsi="Times New Roman"/>
          <w:sz w:val="24"/>
        </w:rPr>
        <w:footnoteReference w:id="25"/>
      </w:r>
      <w:r w:rsidRPr="00153410">
        <w:rPr>
          <w:rFonts w:ascii="Times New Roman" w:hAnsi="Times New Roman"/>
        </w:rPr>
        <w:t>. This function is performed by the Commission analysing intelligence and results of investigations, and providing information to units of public administration</w:t>
      </w:r>
      <w:r w:rsidR="00BA4EB7" w:rsidRPr="00153410">
        <w:rPr>
          <w:rFonts w:ascii="Times New Roman" w:hAnsi="Times New Roman"/>
        </w:rPr>
        <w:t>, among other things</w:t>
      </w:r>
      <w:r w:rsidRPr="00153410">
        <w:rPr>
          <w:rFonts w:ascii="Times New Roman" w:hAnsi="Times New Roman"/>
        </w:rPr>
        <w:t xml:space="preserve">. The Commission is required to have regard to this function in performing </w:t>
      </w:r>
      <w:proofErr w:type="gramStart"/>
      <w:r w:rsidRPr="00153410">
        <w:rPr>
          <w:rFonts w:ascii="Times New Roman" w:hAnsi="Times New Roman"/>
        </w:rPr>
        <w:t>all of</w:t>
      </w:r>
      <w:proofErr w:type="gramEnd"/>
      <w:r w:rsidRPr="00153410">
        <w:rPr>
          <w:rFonts w:ascii="Times New Roman" w:hAnsi="Times New Roman"/>
        </w:rPr>
        <w:t xml:space="preserve"> its functions</w:t>
      </w:r>
      <w:r w:rsidRPr="00153410">
        <w:rPr>
          <w:rStyle w:val="FootnoteReference"/>
          <w:rFonts w:ascii="Times New Roman" w:hAnsi="Times New Roman"/>
          <w:sz w:val="24"/>
        </w:rPr>
        <w:footnoteReference w:id="26"/>
      </w:r>
      <w:r w:rsidRPr="00153410">
        <w:rPr>
          <w:rFonts w:ascii="Times New Roman" w:hAnsi="Times New Roman"/>
        </w:rPr>
        <w:t>. Under this function the Commission can report on ways to prevent major crime and corruption</w:t>
      </w:r>
      <w:r w:rsidRPr="00153410">
        <w:rPr>
          <w:rStyle w:val="FootnoteReference"/>
          <w:rFonts w:ascii="Times New Roman" w:hAnsi="Times New Roman"/>
          <w:sz w:val="24"/>
        </w:rPr>
        <w:footnoteReference w:id="27"/>
      </w:r>
      <w:r w:rsidRPr="00153410">
        <w:rPr>
          <w:rFonts w:ascii="Times New Roman" w:hAnsi="Times New Roman"/>
        </w:rPr>
        <w:t>.</w:t>
      </w:r>
    </w:p>
    <w:p w14:paraId="28CB8B91" w14:textId="104BDA10"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Part 2 of Ch 2 identifies a "Crime function"</w:t>
      </w:r>
      <w:r w:rsidRPr="00153410">
        <w:rPr>
          <w:rStyle w:val="FootnoteReference"/>
          <w:rFonts w:ascii="Times New Roman" w:hAnsi="Times New Roman"/>
          <w:sz w:val="24"/>
        </w:rPr>
        <w:footnoteReference w:id="28"/>
      </w:r>
      <w:r w:rsidRPr="00153410">
        <w:rPr>
          <w:rFonts w:ascii="Times New Roman" w:hAnsi="Times New Roman"/>
        </w:rPr>
        <w:t xml:space="preserve">, which is to be performed by the investigations of major crime, by gathering evidence for the prosecution of persons for offences and the recovery of proceeds of </w:t>
      </w:r>
      <w:r w:rsidR="00731434" w:rsidRPr="00153410">
        <w:rPr>
          <w:rFonts w:ascii="Times New Roman" w:hAnsi="Times New Roman"/>
        </w:rPr>
        <w:t xml:space="preserve">major </w:t>
      </w:r>
      <w:r w:rsidRPr="00153410">
        <w:rPr>
          <w:rFonts w:ascii="Times New Roman" w:hAnsi="Times New Roman"/>
        </w:rPr>
        <w:t>crime or other property liable to forfeiture, and by liaising with other law enforcement agencies and prosecuting authorities</w:t>
      </w:r>
      <w:r w:rsidRPr="00153410">
        <w:rPr>
          <w:rStyle w:val="FootnoteReference"/>
          <w:rFonts w:ascii="Times New Roman" w:hAnsi="Times New Roman"/>
          <w:sz w:val="24"/>
        </w:rPr>
        <w:footnoteReference w:id="29"/>
      </w:r>
      <w:r w:rsidRPr="00153410">
        <w:rPr>
          <w:rFonts w:ascii="Times New Roman" w:hAnsi="Times New Roman"/>
        </w:rPr>
        <w:t>.</w:t>
      </w:r>
    </w:p>
    <w:p w14:paraId="23B5FE50" w14:textId="3ABADDC1"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Part 4 of Ch 2 identifies "Research, intelligence and other functions". The research function</w:t>
      </w:r>
      <w:r w:rsidR="003A044C" w:rsidRPr="00153410">
        <w:rPr>
          <w:rFonts w:ascii="Times New Roman" w:hAnsi="Times New Roman"/>
        </w:rPr>
        <w:t>s</w:t>
      </w:r>
      <w:r w:rsidRPr="00153410">
        <w:rPr>
          <w:rFonts w:ascii="Times New Roman" w:hAnsi="Times New Roman"/>
        </w:rPr>
        <w:t xml:space="preserve"> include conducting research to support the performance of </w:t>
      </w:r>
      <w:r w:rsidR="00B65B8D" w:rsidRPr="00153410">
        <w:rPr>
          <w:rFonts w:ascii="Times New Roman" w:hAnsi="Times New Roman"/>
        </w:rPr>
        <w:t xml:space="preserve">the Commission's </w:t>
      </w:r>
      <w:r w:rsidRPr="00153410">
        <w:rPr>
          <w:rFonts w:ascii="Times New Roman" w:hAnsi="Times New Roman"/>
        </w:rPr>
        <w:t>functions, into the incidence and prevention of criminal activity, and</w:t>
      </w:r>
      <w:r w:rsidR="0051010C" w:rsidRPr="00153410">
        <w:rPr>
          <w:rFonts w:ascii="Times New Roman" w:hAnsi="Times New Roman"/>
        </w:rPr>
        <w:t xml:space="preserve"> into</w:t>
      </w:r>
      <w:r w:rsidRPr="00153410">
        <w:rPr>
          <w:rFonts w:ascii="Times New Roman" w:hAnsi="Times New Roman"/>
        </w:rPr>
        <w:t xml:space="preserve"> other matters either referred to it by the Minister or as relevant to its </w:t>
      </w:r>
      <w:r w:rsidRPr="00153410">
        <w:rPr>
          <w:rFonts w:ascii="Times New Roman" w:hAnsi="Times New Roman"/>
        </w:rPr>
        <w:lastRenderedPageBreak/>
        <w:t>functions</w:t>
      </w:r>
      <w:r w:rsidRPr="00153410">
        <w:rPr>
          <w:rStyle w:val="FootnoteReference"/>
          <w:rFonts w:ascii="Times New Roman" w:hAnsi="Times New Roman"/>
          <w:sz w:val="24"/>
        </w:rPr>
        <w:footnoteReference w:id="30"/>
      </w:r>
      <w:r w:rsidRPr="00153410">
        <w:rPr>
          <w:rFonts w:ascii="Times New Roman" w:hAnsi="Times New Roman"/>
        </w:rPr>
        <w:t>. It</w:t>
      </w:r>
      <w:r w:rsidR="000848D2" w:rsidRPr="00153410">
        <w:rPr>
          <w:rFonts w:ascii="Times New Roman" w:hAnsi="Times New Roman"/>
        </w:rPr>
        <w:t>s</w:t>
      </w:r>
      <w:r w:rsidRPr="00153410">
        <w:rPr>
          <w:rFonts w:ascii="Times New Roman" w:hAnsi="Times New Roman"/>
        </w:rPr>
        <w:t xml:space="preserve"> intelligence functions </w:t>
      </w:r>
      <w:r w:rsidR="000848D2" w:rsidRPr="00153410">
        <w:rPr>
          <w:rFonts w:ascii="Times New Roman" w:hAnsi="Times New Roman"/>
        </w:rPr>
        <w:t xml:space="preserve">include </w:t>
      </w:r>
      <w:r w:rsidRPr="00153410">
        <w:rPr>
          <w:rFonts w:ascii="Times New Roman" w:hAnsi="Times New Roman"/>
        </w:rPr>
        <w:t xml:space="preserve">undertaking intelligence activities and analysing data </w:t>
      </w:r>
      <w:r w:rsidR="00A06B0C" w:rsidRPr="00153410">
        <w:rPr>
          <w:rFonts w:ascii="Times New Roman" w:hAnsi="Times New Roman"/>
        </w:rPr>
        <w:t xml:space="preserve">collected </w:t>
      </w:r>
      <w:r w:rsidRPr="00153410">
        <w:rPr>
          <w:rFonts w:ascii="Times New Roman" w:hAnsi="Times New Roman"/>
        </w:rPr>
        <w:t>to support its functions</w:t>
      </w:r>
      <w:r w:rsidRPr="00153410">
        <w:rPr>
          <w:rStyle w:val="FootnoteReference"/>
          <w:rFonts w:ascii="Times New Roman" w:hAnsi="Times New Roman"/>
          <w:sz w:val="24"/>
        </w:rPr>
        <w:footnoteReference w:id="31"/>
      </w:r>
      <w:r w:rsidRPr="00153410">
        <w:rPr>
          <w:rFonts w:ascii="Times New Roman" w:hAnsi="Times New Roman"/>
        </w:rPr>
        <w:t>.</w:t>
      </w:r>
    </w:p>
    <w:p w14:paraId="17EA053A" w14:textId="080CC810"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As earlier mentioned, Pt 3 of Ch 2 is entitled "Corruption". Division 1 deals with the Commission's "Corruption </w:t>
      </w:r>
      <w:r w:rsidR="001E5474" w:rsidRPr="00153410">
        <w:rPr>
          <w:rFonts w:ascii="Times New Roman" w:hAnsi="Times New Roman"/>
        </w:rPr>
        <w:t>f</w:t>
      </w:r>
      <w:r w:rsidRPr="00153410">
        <w:rPr>
          <w:rFonts w:ascii="Times New Roman" w:hAnsi="Times New Roman"/>
        </w:rPr>
        <w:t>unctions". Divisions 2, 3 and 4 provide for the making of a complaint about corrupt conduct, who may be responsible for dealing with it, and generally how the Commission may deal with a complaint. It is said generally that the performance of this function is intended to raise standards of integrity in and conduct of units of public administration</w:t>
      </w:r>
      <w:r w:rsidRPr="00153410">
        <w:rPr>
          <w:rStyle w:val="FootnoteReference"/>
          <w:rFonts w:ascii="Times New Roman" w:hAnsi="Times New Roman"/>
          <w:sz w:val="24"/>
        </w:rPr>
        <w:footnoteReference w:id="32"/>
      </w:r>
      <w:r w:rsidRPr="00153410">
        <w:rPr>
          <w:rFonts w:ascii="Times New Roman" w:hAnsi="Times New Roman"/>
        </w:rPr>
        <w:t>. The Commission is to ensure that a complaint about a matter involving corruption is dealt with in an appropriate way, having regard to s 34</w:t>
      </w:r>
      <w:r w:rsidRPr="00153410">
        <w:rPr>
          <w:rStyle w:val="FootnoteReference"/>
          <w:rFonts w:ascii="Times New Roman" w:hAnsi="Times New Roman"/>
          <w:sz w:val="24"/>
        </w:rPr>
        <w:footnoteReference w:id="33"/>
      </w:r>
      <w:r w:rsidRPr="00153410">
        <w:rPr>
          <w:rFonts w:ascii="Times New Roman" w:hAnsi="Times New Roman"/>
        </w:rPr>
        <w:t>. Section 34 contains guiding principles for the performance by the Commission of its corruption functions. They include an overriding responsibility to promote public confidence</w:t>
      </w:r>
      <w:r w:rsidR="00F5246E" w:rsidRPr="00153410">
        <w:rPr>
          <w:rFonts w:ascii="Times New Roman" w:hAnsi="Times New Roman"/>
        </w:rPr>
        <w:t xml:space="preserve"> in public administration</w:t>
      </w:r>
      <w:r w:rsidRPr="00153410">
        <w:rPr>
          <w:rStyle w:val="FootnoteReference"/>
          <w:rFonts w:ascii="Times New Roman" w:hAnsi="Times New Roman"/>
          <w:sz w:val="24"/>
        </w:rPr>
        <w:footnoteReference w:id="34"/>
      </w:r>
      <w:r w:rsidRPr="00153410">
        <w:rPr>
          <w:rFonts w:ascii="Times New Roman" w:hAnsi="Times New Roman"/>
        </w:rPr>
        <w:t xml:space="preserve">. Specifically, the Commission's functions include investigating and dealing with conduct </w:t>
      </w:r>
      <w:r w:rsidR="00EF7F86" w:rsidRPr="00153410">
        <w:rPr>
          <w:rFonts w:ascii="Times New Roman" w:hAnsi="Times New Roman"/>
        </w:rPr>
        <w:t xml:space="preserve">that </w:t>
      </w:r>
      <w:r w:rsidRPr="00153410">
        <w:rPr>
          <w:rFonts w:ascii="Times New Roman" w:hAnsi="Times New Roman"/>
        </w:rPr>
        <w:t>is liable to allow, encourage</w:t>
      </w:r>
      <w:r w:rsidR="00BD1E30" w:rsidRPr="00153410">
        <w:rPr>
          <w:rFonts w:ascii="Times New Roman" w:hAnsi="Times New Roman"/>
        </w:rPr>
        <w:t xml:space="preserve"> or</w:t>
      </w:r>
      <w:r w:rsidRPr="00153410">
        <w:rPr>
          <w:rFonts w:ascii="Times New Roman" w:hAnsi="Times New Roman"/>
        </w:rPr>
        <w:t xml:space="preserve"> cause, or that </w:t>
      </w:r>
      <w:proofErr w:type="gramStart"/>
      <w:r w:rsidRPr="00153410">
        <w:rPr>
          <w:rFonts w:ascii="Times New Roman" w:hAnsi="Times New Roman"/>
        </w:rPr>
        <w:t>is connected with</w:t>
      </w:r>
      <w:proofErr w:type="gramEnd"/>
      <w:r w:rsidRPr="00153410">
        <w:rPr>
          <w:rFonts w:ascii="Times New Roman" w:hAnsi="Times New Roman"/>
        </w:rPr>
        <w:t>, corrupt conduct</w:t>
      </w:r>
      <w:r w:rsidRPr="00153410">
        <w:rPr>
          <w:rStyle w:val="FootnoteReference"/>
          <w:rFonts w:ascii="Times New Roman" w:hAnsi="Times New Roman"/>
          <w:sz w:val="24"/>
        </w:rPr>
        <w:footnoteReference w:id="35"/>
      </w:r>
      <w:r w:rsidRPr="00153410">
        <w:rPr>
          <w:rFonts w:ascii="Times New Roman" w:hAnsi="Times New Roman"/>
        </w:rPr>
        <w:t>.</w:t>
      </w:r>
    </w:p>
    <w:p w14:paraId="07D74476" w14:textId="630A351A"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Commission performs its corruption functions by doing one or more of the things listed in s 35. This list </w:t>
      </w:r>
      <w:proofErr w:type="gramStart"/>
      <w:r w:rsidRPr="00153410">
        <w:rPr>
          <w:rFonts w:ascii="Times New Roman" w:hAnsi="Times New Roman"/>
        </w:rPr>
        <w:t>includes</w:t>
      </w:r>
      <w:r w:rsidR="00FF1A0F" w:rsidRPr="00153410">
        <w:rPr>
          <w:rFonts w:ascii="Times New Roman" w:hAnsi="Times New Roman"/>
        </w:rPr>
        <w:t>:</w:t>
      </w:r>
      <w:proofErr w:type="gramEnd"/>
      <w:r w:rsidRPr="00153410">
        <w:rPr>
          <w:rFonts w:ascii="Times New Roman" w:hAnsi="Times New Roman"/>
        </w:rPr>
        <w:t xml:space="preserve"> expeditiously assessing complaints involving corruption; referring complaints to a relevant public official; dealing with complaints either itself or in co</w:t>
      </w:r>
      <w:r w:rsidRPr="00153410">
        <w:rPr>
          <w:rFonts w:ascii="Times New Roman" w:hAnsi="Times New Roman"/>
        </w:rPr>
        <w:noBreakHyphen/>
        <w:t>operation with a unit of public administration; gathering evidence for the prosecution of offences or disciplinary proceedings; and making recommendations to a unit of public administration about dealing with complaints</w:t>
      </w:r>
      <w:r w:rsidRPr="00153410">
        <w:rPr>
          <w:rStyle w:val="FootnoteReference"/>
          <w:rFonts w:ascii="Times New Roman" w:hAnsi="Times New Roman"/>
          <w:sz w:val="24"/>
        </w:rPr>
        <w:footnoteReference w:id="36"/>
      </w:r>
      <w:r w:rsidRPr="00153410">
        <w:rPr>
          <w:rFonts w:ascii="Times New Roman" w:hAnsi="Times New Roman"/>
        </w:rPr>
        <w:t xml:space="preserve">. Section 36 provides that a person may make a complaint about corruption to the Commission for the purpose of the Commission dealing with the complaint under s 35. </w:t>
      </w:r>
    </w:p>
    <w:p w14:paraId="686A13CB" w14:textId="3BE05D22"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lastRenderedPageBreak/>
        <w:tab/>
        <w:t>The term to "deal with" a complaint is defined</w:t>
      </w:r>
      <w:r w:rsidRPr="00153410">
        <w:rPr>
          <w:rStyle w:val="FootnoteReference"/>
          <w:rFonts w:ascii="Times New Roman" w:hAnsi="Times New Roman"/>
          <w:sz w:val="24"/>
        </w:rPr>
        <w:footnoteReference w:id="37"/>
      </w:r>
      <w:r w:rsidRPr="00153410">
        <w:rPr>
          <w:rFonts w:ascii="Times New Roman" w:hAnsi="Times New Roman"/>
        </w:rPr>
        <w:t xml:space="preserve"> to </w:t>
      </w:r>
      <w:proofErr w:type="gramStart"/>
      <w:r w:rsidRPr="00153410">
        <w:rPr>
          <w:rFonts w:ascii="Times New Roman" w:hAnsi="Times New Roman"/>
        </w:rPr>
        <w:t>include:</w:t>
      </w:r>
      <w:proofErr w:type="gramEnd"/>
      <w:r w:rsidRPr="00153410">
        <w:rPr>
          <w:rFonts w:ascii="Times New Roman" w:hAnsi="Times New Roman"/>
        </w:rPr>
        <w:t xml:space="preserve"> investigating a complaint, information or matter; gathering evidence for prosecutions for offences or for disciplinary proceedings; referring the complaint, information or matter to an appropriate authority to commence a prosecution or disciplinary proceeding; starting a disciplinary proceeding</w:t>
      </w:r>
      <w:r w:rsidR="001223BE" w:rsidRPr="00153410">
        <w:rPr>
          <w:rFonts w:ascii="Times New Roman" w:hAnsi="Times New Roman"/>
        </w:rPr>
        <w:t>;</w:t>
      </w:r>
      <w:r w:rsidRPr="00153410">
        <w:rPr>
          <w:rFonts w:ascii="Times New Roman" w:hAnsi="Times New Roman"/>
        </w:rPr>
        <w:t xml:space="preserve"> and taking other action, including managerial action, to address the complaint.</w:t>
      </w:r>
    </w:p>
    <w:p w14:paraId="4886440A" w14:textId="2961B8B8"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It is after these comprehensive provisions concerning complaints, and how they are dealt with, that </w:t>
      </w:r>
      <w:proofErr w:type="spellStart"/>
      <w:r w:rsidRPr="00153410">
        <w:rPr>
          <w:rFonts w:ascii="Times New Roman" w:hAnsi="Times New Roman"/>
        </w:rPr>
        <w:t>Div</w:t>
      </w:r>
      <w:proofErr w:type="spellEnd"/>
      <w:r w:rsidRPr="00153410">
        <w:rPr>
          <w:rFonts w:ascii="Times New Roman" w:hAnsi="Times New Roman"/>
        </w:rPr>
        <w:t> 5 ("Action following investigation"), the last division in Pt 3, is addressed. It contains three provisions. The first is s 49</w:t>
      </w:r>
      <w:r w:rsidR="00AA2150" w:rsidRPr="00153410">
        <w:rPr>
          <w:rFonts w:ascii="Times New Roman" w:hAnsi="Times New Roman"/>
        </w:rPr>
        <w:t>,</w:t>
      </w:r>
      <w:r w:rsidRPr="00153410">
        <w:rPr>
          <w:rFonts w:ascii="Times New Roman" w:hAnsi="Times New Roman"/>
        </w:rPr>
        <w:t xml:space="preserve"> which, as earlier mentioned, is headed "Reports about complaints dealt with by the </w:t>
      </w:r>
      <w:r w:rsidR="002748E7" w:rsidRPr="00153410">
        <w:rPr>
          <w:rFonts w:ascii="Times New Roman" w:hAnsi="Times New Roman"/>
        </w:rPr>
        <w:t>c</w:t>
      </w:r>
      <w:r w:rsidRPr="00153410">
        <w:rPr>
          <w:rFonts w:ascii="Times New Roman" w:hAnsi="Times New Roman"/>
        </w:rPr>
        <w:t>ommission". It provides in relevant part:</w:t>
      </w:r>
    </w:p>
    <w:p w14:paraId="61ECFFAF" w14:textId="77777777" w:rsidR="00307209" w:rsidRPr="00153410" w:rsidRDefault="00307209" w:rsidP="00153410">
      <w:pPr>
        <w:pStyle w:val="LeftrightafterHC"/>
        <w:spacing w:before="0" w:after="260" w:line="280" w:lineRule="exact"/>
        <w:ind w:left="1440" w:right="0" w:hanging="720"/>
        <w:jc w:val="both"/>
        <w:rPr>
          <w:rFonts w:ascii="Times New Roman" w:hAnsi="Times New Roman"/>
        </w:rPr>
      </w:pPr>
      <w:r w:rsidRPr="00153410">
        <w:rPr>
          <w:rFonts w:ascii="Times New Roman" w:hAnsi="Times New Roman"/>
        </w:rPr>
        <w:t>"(1)</w:t>
      </w:r>
      <w:r w:rsidRPr="00153410">
        <w:rPr>
          <w:rFonts w:ascii="Times New Roman" w:hAnsi="Times New Roman"/>
        </w:rPr>
        <w:tab/>
        <w:t>This section applies if the commission investigates (either by itself or in cooperation with a public official), or assumes responsibility for the investigation of, a complaint about, or information or matter involving, corruption and decides that prosecution proceedings or disciplinary action should be considered.</w:t>
      </w:r>
    </w:p>
    <w:p w14:paraId="5C19C46C" w14:textId="77777777" w:rsidR="00307209" w:rsidRPr="00153410" w:rsidRDefault="00307209" w:rsidP="00153410">
      <w:pPr>
        <w:pStyle w:val="LeftrightafterHC"/>
        <w:spacing w:before="0" w:after="260" w:line="280" w:lineRule="exact"/>
        <w:ind w:left="1440" w:right="0" w:hanging="720"/>
        <w:jc w:val="both"/>
        <w:rPr>
          <w:rFonts w:ascii="Times New Roman" w:hAnsi="Times New Roman"/>
        </w:rPr>
      </w:pPr>
      <w:r w:rsidRPr="00153410">
        <w:rPr>
          <w:rFonts w:ascii="Times New Roman" w:hAnsi="Times New Roman"/>
        </w:rPr>
        <w:t>(2)</w:t>
      </w:r>
      <w:r w:rsidRPr="00153410">
        <w:rPr>
          <w:rFonts w:ascii="Times New Roman" w:hAnsi="Times New Roman"/>
        </w:rPr>
        <w:tab/>
        <w:t>The commission may report on the investigation to any of the following as appropriate—</w:t>
      </w:r>
    </w:p>
    <w:p w14:paraId="639159FE"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(a)</w:t>
      </w:r>
      <w:r w:rsidRPr="00153410">
        <w:rPr>
          <w:rFonts w:ascii="Times New Roman" w:hAnsi="Times New Roman"/>
        </w:rPr>
        <w:tab/>
        <w:t xml:space="preserve">a prosecuting authority, for the purposes of any prosecution proceedings the authority considers </w:t>
      </w:r>
      <w:proofErr w:type="gramStart"/>
      <w:r w:rsidRPr="00153410">
        <w:rPr>
          <w:rFonts w:ascii="Times New Roman" w:hAnsi="Times New Roman"/>
        </w:rPr>
        <w:t>warranted;</w:t>
      </w:r>
      <w:proofErr w:type="gramEnd"/>
    </w:p>
    <w:p w14:paraId="5A3661A7"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(b)</w:t>
      </w:r>
      <w:r w:rsidRPr="00153410">
        <w:rPr>
          <w:rFonts w:ascii="Times New Roman" w:hAnsi="Times New Roman"/>
        </w:rPr>
        <w:tab/>
        <w:t xml:space="preserve">the Chief Justice, if the report relates to conduct of a judge of, or other person holding judicial office in, the Supreme </w:t>
      </w:r>
      <w:proofErr w:type="gramStart"/>
      <w:r w:rsidRPr="00153410">
        <w:rPr>
          <w:rFonts w:ascii="Times New Roman" w:hAnsi="Times New Roman"/>
        </w:rPr>
        <w:t>Court;</w:t>
      </w:r>
      <w:proofErr w:type="gramEnd"/>
    </w:p>
    <w:p w14:paraId="734D3196"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(c)</w:t>
      </w:r>
      <w:r w:rsidRPr="00153410">
        <w:rPr>
          <w:rFonts w:ascii="Times New Roman" w:hAnsi="Times New Roman"/>
        </w:rPr>
        <w:tab/>
        <w:t xml:space="preserve">the Chief Judge of the District Court, if the report relates to conduct of a District Court </w:t>
      </w:r>
      <w:proofErr w:type="gramStart"/>
      <w:r w:rsidRPr="00153410">
        <w:rPr>
          <w:rFonts w:ascii="Times New Roman" w:hAnsi="Times New Roman"/>
        </w:rPr>
        <w:t>judge;</w:t>
      </w:r>
      <w:proofErr w:type="gramEnd"/>
    </w:p>
    <w:p w14:paraId="7374333C"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(d)</w:t>
      </w:r>
      <w:r w:rsidRPr="00153410">
        <w:rPr>
          <w:rFonts w:ascii="Times New Roman" w:hAnsi="Times New Roman"/>
        </w:rPr>
        <w:tab/>
        <w:t xml:space="preserve">the President of the Childrens Court, if the report relates to conduct of a person holding judicial office in the Childrens </w:t>
      </w:r>
      <w:proofErr w:type="gramStart"/>
      <w:r w:rsidRPr="00153410">
        <w:rPr>
          <w:rFonts w:ascii="Times New Roman" w:hAnsi="Times New Roman"/>
        </w:rPr>
        <w:t>Court;</w:t>
      </w:r>
      <w:proofErr w:type="gramEnd"/>
    </w:p>
    <w:p w14:paraId="4BDE8CCB"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(e)</w:t>
      </w:r>
      <w:r w:rsidRPr="00153410">
        <w:rPr>
          <w:rFonts w:ascii="Times New Roman" w:hAnsi="Times New Roman"/>
        </w:rPr>
        <w:tab/>
        <w:t xml:space="preserve">the Chief Magistrate, if the report relates to conduct of a </w:t>
      </w:r>
      <w:proofErr w:type="gramStart"/>
      <w:r w:rsidRPr="00153410">
        <w:rPr>
          <w:rFonts w:ascii="Times New Roman" w:hAnsi="Times New Roman"/>
        </w:rPr>
        <w:t>magistrate;</w:t>
      </w:r>
      <w:proofErr w:type="gramEnd"/>
    </w:p>
    <w:p w14:paraId="5C53D53B" w14:textId="77777777" w:rsid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(f)</w:t>
      </w:r>
      <w:r w:rsidRPr="00153410">
        <w:rPr>
          <w:rFonts w:ascii="Times New Roman" w:hAnsi="Times New Roman"/>
        </w:rPr>
        <w:tab/>
        <w:t xml:space="preserve">the chief executive officer of a relevant unit of public administration, for the purpose of taking disciplinary action, </w:t>
      </w:r>
      <w:r w:rsidRPr="00153410">
        <w:rPr>
          <w:rFonts w:ascii="Times New Roman" w:hAnsi="Times New Roman"/>
        </w:rPr>
        <w:lastRenderedPageBreak/>
        <w:t>if the report does not relate to the conduct of a judge, magistrate or other holder of judicial office."</w:t>
      </w:r>
    </w:p>
    <w:p w14:paraId="0DB4D395" w14:textId="559F5384"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It is further provided in sub</w:t>
      </w:r>
      <w:r w:rsidRPr="00153410">
        <w:rPr>
          <w:rFonts w:ascii="Times New Roman" w:hAnsi="Times New Roman"/>
        </w:rPr>
        <w:noBreakHyphen/>
        <w:t>s (3) of s 49 that if the Commission decides that</w:t>
      </w:r>
      <w:r w:rsidR="002748E7" w:rsidRPr="00153410">
        <w:rPr>
          <w:rFonts w:ascii="Times New Roman" w:hAnsi="Times New Roman"/>
        </w:rPr>
        <w:t xml:space="preserve"> prosecution</w:t>
      </w:r>
      <w:r w:rsidRPr="00153410">
        <w:rPr>
          <w:rFonts w:ascii="Times New Roman" w:hAnsi="Times New Roman"/>
        </w:rPr>
        <w:t xml:space="preserve"> proceedings for a particular offence should be considered, it must report on the investigation to the Attorney</w:t>
      </w:r>
      <w:r w:rsidRPr="00153410">
        <w:rPr>
          <w:rFonts w:ascii="Times New Roman" w:hAnsi="Times New Roman"/>
        </w:rPr>
        <w:noBreakHyphen/>
        <w:t>General. Sub</w:t>
      </w:r>
      <w:r w:rsidRPr="00153410">
        <w:rPr>
          <w:rFonts w:ascii="Times New Roman" w:hAnsi="Times New Roman"/>
        </w:rPr>
        <w:noBreakHyphen/>
        <w:t>s</w:t>
      </w:r>
      <w:r w:rsidR="007B033F" w:rsidRPr="00153410">
        <w:rPr>
          <w:rFonts w:ascii="Times New Roman" w:hAnsi="Times New Roman"/>
        </w:rPr>
        <w:t>ection</w:t>
      </w:r>
      <w:r w:rsidRPr="00153410">
        <w:rPr>
          <w:rFonts w:ascii="Times New Roman" w:hAnsi="Times New Roman"/>
        </w:rPr>
        <w:t> (4) provides that a report under either sub</w:t>
      </w:r>
      <w:r w:rsidRPr="00153410">
        <w:rPr>
          <w:rFonts w:ascii="Times New Roman" w:hAnsi="Times New Roman"/>
        </w:rPr>
        <w:noBreakHyphen/>
        <w:t>s (2) or (3) must include all relevant information known to the Commission that supports a charge, the commencement of proceedings or defences to charges.</w:t>
      </w:r>
    </w:p>
    <w:p w14:paraId="6D25B246"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Section 50 provides the circumstances in which the Commission may prosecute corrupt conduct. It applies if the Commission reports to the chief executive officer of a unit of public administration that corrupt conduct may have occurred, and that there is evidence supporting disciplinary proceedings regarding that conduct. In that circumstance, the Commission may apply to the Queensland Civil and Administrative Tribunal for certain orders under s 219I. Section 51 provides that nothing in Pt 3 limits the action which may be taken by the Commission or a unit of public administration to discipline or otherwise deal with a person for corruption.</w:t>
      </w:r>
    </w:p>
    <w:p w14:paraId="5A351BA4" w14:textId="6632F853"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subject of "reporting" more generally by the Commission is dealt with in Pt 6 of Ch 2. Section 64 in Pt 6 is headed "Commission's reports—general". It is relied upon by the </w:t>
      </w:r>
      <w:r w:rsidR="00855759" w:rsidRPr="00153410">
        <w:rPr>
          <w:rFonts w:ascii="Times New Roman" w:hAnsi="Times New Roman"/>
        </w:rPr>
        <w:t xml:space="preserve">Commission in these proceedings </w:t>
      </w:r>
      <w:r w:rsidRPr="00153410">
        <w:rPr>
          <w:rFonts w:ascii="Times New Roman" w:hAnsi="Times New Roman"/>
        </w:rPr>
        <w:t>as the source of the power for the Commission to make the Report. It provides in relevant part:</w:t>
      </w:r>
    </w:p>
    <w:p w14:paraId="4272584A" w14:textId="77777777" w:rsidR="00307209" w:rsidRPr="00153410" w:rsidRDefault="00307209" w:rsidP="00153410">
      <w:pPr>
        <w:pStyle w:val="LeftrightafterHC"/>
        <w:spacing w:before="0" w:after="260" w:line="280" w:lineRule="exact"/>
        <w:ind w:left="1440" w:right="0" w:hanging="720"/>
        <w:jc w:val="both"/>
        <w:rPr>
          <w:rFonts w:ascii="Times New Roman" w:hAnsi="Times New Roman"/>
        </w:rPr>
      </w:pPr>
      <w:r w:rsidRPr="00153410">
        <w:rPr>
          <w:rFonts w:ascii="Times New Roman" w:hAnsi="Times New Roman"/>
        </w:rPr>
        <w:t>"(1)</w:t>
      </w:r>
      <w:r w:rsidRPr="00153410">
        <w:rPr>
          <w:rFonts w:ascii="Times New Roman" w:hAnsi="Times New Roman"/>
        </w:rPr>
        <w:tab/>
        <w:t>The commission may report in performing its functions.</w:t>
      </w:r>
    </w:p>
    <w:p w14:paraId="37B1F66F" w14:textId="77777777" w:rsidR="00307209" w:rsidRPr="00153410" w:rsidRDefault="00307209" w:rsidP="00153410">
      <w:pPr>
        <w:pStyle w:val="LeftrightafterHC"/>
        <w:spacing w:before="0" w:after="260" w:line="280" w:lineRule="exact"/>
        <w:ind w:left="1440" w:right="0" w:hanging="720"/>
        <w:jc w:val="both"/>
        <w:rPr>
          <w:rFonts w:ascii="Times New Roman" w:hAnsi="Times New Roman"/>
        </w:rPr>
      </w:pPr>
      <w:r w:rsidRPr="00153410">
        <w:rPr>
          <w:rFonts w:ascii="Times New Roman" w:hAnsi="Times New Roman"/>
        </w:rPr>
        <w:t>(2)</w:t>
      </w:r>
      <w:r w:rsidRPr="00153410">
        <w:rPr>
          <w:rFonts w:ascii="Times New Roman" w:hAnsi="Times New Roman"/>
        </w:rPr>
        <w:tab/>
        <w:t>The commission must include in each of the reports—</w:t>
      </w:r>
    </w:p>
    <w:p w14:paraId="4147DB36" w14:textId="77777777" w:rsidR="00307209" w:rsidRP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(a)</w:t>
      </w:r>
      <w:r w:rsidRPr="00153410">
        <w:rPr>
          <w:rFonts w:ascii="Times New Roman" w:hAnsi="Times New Roman"/>
        </w:rPr>
        <w:tab/>
        <w:t xml:space="preserve">any recommendations, including, if appropriate and after consulting with the commissioner of police, a recommendation that the </w:t>
      </w:r>
      <w:proofErr w:type="gramStart"/>
      <w:r w:rsidRPr="00153410">
        <w:rPr>
          <w:rFonts w:ascii="Times New Roman" w:hAnsi="Times New Roman"/>
        </w:rPr>
        <w:t>Police Minister</w:t>
      </w:r>
      <w:proofErr w:type="gramEnd"/>
      <w:r w:rsidRPr="00153410">
        <w:rPr>
          <w:rFonts w:ascii="Times New Roman" w:hAnsi="Times New Roman"/>
        </w:rPr>
        <w:t xml:space="preserve"> give a direction to the commissioner of police under the Police Service Administration Act, section 4.6; and</w:t>
      </w:r>
    </w:p>
    <w:p w14:paraId="049F017F" w14:textId="77777777" w:rsidR="00153410" w:rsidRDefault="00307209" w:rsidP="00153410">
      <w:pPr>
        <w:pStyle w:val="LRHangingMore"/>
        <w:spacing w:before="0" w:after="260" w:line="280" w:lineRule="exact"/>
        <w:ind w:right="0"/>
        <w:jc w:val="both"/>
        <w:rPr>
          <w:rFonts w:ascii="Times New Roman" w:hAnsi="Times New Roman"/>
        </w:rPr>
      </w:pPr>
      <w:r w:rsidRPr="00153410">
        <w:rPr>
          <w:rFonts w:ascii="Times New Roman" w:hAnsi="Times New Roman"/>
        </w:rPr>
        <w:t>(b)</w:t>
      </w:r>
      <w:r w:rsidRPr="00153410">
        <w:rPr>
          <w:rFonts w:ascii="Times New Roman" w:hAnsi="Times New Roman"/>
        </w:rPr>
        <w:tab/>
        <w:t>an objective summary of all matters of which it is aware that support, oppose or are otherwise relevant to its recommendations."</w:t>
      </w:r>
    </w:p>
    <w:p w14:paraId="35CFB156" w14:textId="55B10F26"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Section 65, also in Pt 6, is headed "Commission reports—court procedures". It applies to a report by the Commission about the procedures and operations of a </w:t>
      </w:r>
      <w:proofErr w:type="gramStart"/>
      <w:r w:rsidRPr="00153410">
        <w:rPr>
          <w:rFonts w:ascii="Times New Roman" w:hAnsi="Times New Roman"/>
        </w:rPr>
        <w:t>State</w:t>
      </w:r>
      <w:proofErr w:type="gramEnd"/>
      <w:r w:rsidRPr="00153410">
        <w:rPr>
          <w:rFonts w:ascii="Times New Roman" w:hAnsi="Times New Roman"/>
        </w:rPr>
        <w:t xml:space="preserve"> court or its registry and administrative offices. The section deals with to whom such a report is to be given.</w:t>
      </w:r>
    </w:p>
    <w:p w14:paraId="7BD2F805" w14:textId="2C363CD6"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lastRenderedPageBreak/>
        <w:tab/>
        <w:t xml:space="preserve">Section 69 of the CC Act also appears in Pt 6. </w:t>
      </w:r>
      <w:r w:rsidR="005A500A" w:rsidRPr="00153410">
        <w:rPr>
          <w:rFonts w:ascii="Times New Roman" w:hAnsi="Times New Roman"/>
        </w:rPr>
        <w:t>D</w:t>
      </w:r>
      <w:r w:rsidRPr="00153410">
        <w:rPr>
          <w:rFonts w:ascii="Times New Roman" w:hAnsi="Times New Roman"/>
        </w:rPr>
        <w:t xml:space="preserve">ivision </w:t>
      </w:r>
      <w:r w:rsidR="005A500A" w:rsidRPr="00153410">
        <w:rPr>
          <w:rFonts w:ascii="Times New Roman" w:hAnsi="Times New Roman"/>
        </w:rPr>
        <w:t xml:space="preserve">4, </w:t>
      </w:r>
      <w:r w:rsidRPr="00153410">
        <w:rPr>
          <w:rFonts w:ascii="Times New Roman" w:hAnsi="Times New Roman"/>
        </w:rPr>
        <w:t>in which it is contained</w:t>
      </w:r>
      <w:r w:rsidR="005A500A" w:rsidRPr="00153410">
        <w:rPr>
          <w:rFonts w:ascii="Times New Roman" w:hAnsi="Times New Roman"/>
        </w:rPr>
        <w:t>,</w:t>
      </w:r>
      <w:r w:rsidRPr="00153410">
        <w:rPr>
          <w:rFonts w:ascii="Times New Roman" w:hAnsi="Times New Roman"/>
        </w:rPr>
        <w:t xml:space="preserve"> is entitled "Tabling requirements". As the heading of s 69 suggests ("Commission reports to be tabled"), and as has earlier been discussed, the section is concerned with the tabling of reports made by the Commission in the Legislative Assembly. Section 69(1) provides:</w:t>
      </w:r>
    </w:p>
    <w:p w14:paraId="6781D877" w14:textId="77777777" w:rsidR="00307209" w:rsidRPr="00153410" w:rsidRDefault="00307209" w:rsidP="00153410">
      <w:pPr>
        <w:pStyle w:val="leftright"/>
        <w:spacing w:before="0" w:after="260" w:line="280" w:lineRule="exact"/>
        <w:ind w:right="0"/>
        <w:jc w:val="both"/>
        <w:rPr>
          <w:rFonts w:ascii="Times New Roman" w:hAnsi="Times New Roman"/>
        </w:rPr>
      </w:pPr>
      <w:r w:rsidRPr="00153410">
        <w:rPr>
          <w:rFonts w:ascii="Times New Roman" w:hAnsi="Times New Roman"/>
        </w:rPr>
        <w:t>"This section applies to the following commission reports—</w:t>
      </w:r>
    </w:p>
    <w:p w14:paraId="7B5A48C9" w14:textId="77777777" w:rsidR="00307209" w:rsidRPr="00153410" w:rsidRDefault="00307209" w:rsidP="00153410">
      <w:pPr>
        <w:pStyle w:val="LRHangingMore"/>
        <w:spacing w:before="0" w:after="260" w:line="280" w:lineRule="exact"/>
        <w:ind w:left="1440" w:right="0"/>
        <w:jc w:val="both"/>
        <w:rPr>
          <w:rFonts w:ascii="Times New Roman" w:hAnsi="Times New Roman"/>
        </w:rPr>
      </w:pPr>
      <w:r w:rsidRPr="00153410">
        <w:rPr>
          <w:rFonts w:ascii="Times New Roman" w:hAnsi="Times New Roman"/>
        </w:rPr>
        <w:t>(a)</w:t>
      </w:r>
      <w:r w:rsidRPr="00153410">
        <w:rPr>
          <w:rFonts w:ascii="Times New Roman" w:hAnsi="Times New Roman"/>
        </w:rPr>
        <w:tab/>
        <w:t xml:space="preserve">a report on a public </w:t>
      </w:r>
      <w:proofErr w:type="gramStart"/>
      <w:r w:rsidRPr="00153410">
        <w:rPr>
          <w:rFonts w:ascii="Times New Roman" w:hAnsi="Times New Roman"/>
        </w:rPr>
        <w:t>hearing;</w:t>
      </w:r>
      <w:proofErr w:type="gramEnd"/>
    </w:p>
    <w:p w14:paraId="379A5029" w14:textId="77777777" w:rsidR="00153410" w:rsidRDefault="00307209" w:rsidP="00153410">
      <w:pPr>
        <w:pStyle w:val="LRHangingMore"/>
        <w:spacing w:before="0" w:after="260" w:line="280" w:lineRule="exact"/>
        <w:ind w:left="1440" w:right="0"/>
        <w:jc w:val="both"/>
        <w:rPr>
          <w:rFonts w:ascii="Times New Roman" w:hAnsi="Times New Roman"/>
        </w:rPr>
      </w:pPr>
      <w:r w:rsidRPr="00153410">
        <w:rPr>
          <w:rFonts w:ascii="Times New Roman" w:hAnsi="Times New Roman"/>
        </w:rPr>
        <w:t>(b)</w:t>
      </w:r>
      <w:r w:rsidRPr="00153410">
        <w:rPr>
          <w:rFonts w:ascii="Times New Roman" w:hAnsi="Times New Roman"/>
        </w:rPr>
        <w:tab/>
        <w:t>a research report or other report that the parliamentary committee directs be given to the Speaker."</w:t>
      </w:r>
    </w:p>
    <w:p w14:paraId="05710A33" w14:textId="1FE88DF2"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But s 69, notably, does not apply to a report made under s 49</w:t>
      </w:r>
      <w:r w:rsidRPr="00153410">
        <w:rPr>
          <w:rStyle w:val="FootnoteReference"/>
          <w:rFonts w:ascii="Times New Roman" w:hAnsi="Times New Roman"/>
          <w:sz w:val="24"/>
        </w:rPr>
        <w:footnoteReference w:id="38"/>
      </w:r>
      <w:r w:rsidRPr="00153410">
        <w:rPr>
          <w:rFonts w:ascii="Times New Roman" w:hAnsi="Times New Roman"/>
        </w:rPr>
        <w:t>.</w:t>
      </w:r>
    </w:p>
    <w:p w14:paraId="5CA10671"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reports to which s 69 applies are required to be tabled in the Legislative Assembly and their publication attracts parliamentary privilege, as discussed at the outset of these reasons</w:t>
      </w:r>
      <w:r w:rsidRPr="00153410">
        <w:rPr>
          <w:rStyle w:val="FootnoteReference"/>
          <w:rFonts w:ascii="Times New Roman" w:hAnsi="Times New Roman"/>
          <w:sz w:val="24"/>
        </w:rPr>
        <w:footnoteReference w:id="39"/>
      </w:r>
      <w:r w:rsidRPr="00153410">
        <w:rPr>
          <w:rFonts w:ascii="Times New Roman" w:hAnsi="Times New Roman"/>
        </w:rPr>
        <w:t>.</w:t>
      </w:r>
    </w:p>
    <w:p w14:paraId="2880F492" w14:textId="77777777" w:rsidR="00307209" w:rsidRPr="00153410" w:rsidRDefault="00307209" w:rsidP="00153410">
      <w:pPr>
        <w:pStyle w:val="HeadingL1"/>
        <w:spacing w:after="260" w:line="280" w:lineRule="exact"/>
        <w:ind w:right="0"/>
        <w:jc w:val="both"/>
        <w:rPr>
          <w:rFonts w:ascii="Times New Roman" w:hAnsi="Times New Roman"/>
        </w:rPr>
      </w:pPr>
      <w:r w:rsidRPr="00153410">
        <w:rPr>
          <w:rFonts w:ascii="Times New Roman" w:hAnsi="Times New Roman"/>
        </w:rPr>
        <w:t>Reporting powers, section </w:t>
      </w:r>
      <w:proofErr w:type="gramStart"/>
      <w:r w:rsidRPr="00153410">
        <w:rPr>
          <w:rFonts w:ascii="Times New Roman" w:hAnsi="Times New Roman"/>
        </w:rPr>
        <w:t>69</w:t>
      </w:r>
      <w:proofErr w:type="gramEnd"/>
      <w:r w:rsidRPr="00153410">
        <w:rPr>
          <w:rFonts w:ascii="Times New Roman" w:hAnsi="Times New Roman"/>
        </w:rPr>
        <w:t xml:space="preserve"> and the Report</w:t>
      </w:r>
    </w:p>
    <w:p w14:paraId="76333E82"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Clearly enough the Report does not concern a public hearing or a matter of research. For s 69 to apply to it, the Report must qualify as an "other report", within the meaning of s 69(1)(b), before the Committee can then direct that it be given to the Speaker. Section 69 does not give the Committee itself the power to authorise a report. Its terms refer to a report which is in </w:t>
      </w:r>
      <w:proofErr w:type="gramStart"/>
      <w:r w:rsidRPr="00153410">
        <w:rPr>
          <w:rFonts w:ascii="Times New Roman" w:hAnsi="Times New Roman"/>
        </w:rPr>
        <w:t>existence</w:t>
      </w:r>
      <w:proofErr w:type="gramEnd"/>
      <w:r w:rsidRPr="00153410">
        <w:rPr>
          <w:rFonts w:ascii="Times New Roman" w:hAnsi="Times New Roman"/>
        </w:rPr>
        <w:t xml:space="preserve"> and which may be tabled in the Legislative Assembly. The power to make such a report must therefore be found in a power given elsewhere in the CC Act.</w:t>
      </w:r>
    </w:p>
    <w:p w14:paraId="26F1E748"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It is not difficult to infer that the reports to which s 69(1) refers are those made under the broad power of s 64, which permits the Commission to report about the performance of its functions. This may be inferred from the nature of the reports to which s 64 refers and their suitability for publication, and from the place of ss 64 and 69 in the scheme of Ch 2.</w:t>
      </w:r>
    </w:p>
    <w:p w14:paraId="294277EB" w14:textId="37C8A0CE"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fact that both ss 64 and 69 are to be found within Pt 6, which is concerned with reporting and the tabling of reports, most clearly identifies s 64 reports as the "reports" to which s 69 refers. The exception of s 49 reports from s 69 tends to confirm this. The subjects of report</w:t>
      </w:r>
      <w:r w:rsidR="00236572" w:rsidRPr="00153410">
        <w:rPr>
          <w:rFonts w:ascii="Times New Roman" w:hAnsi="Times New Roman"/>
        </w:rPr>
        <w:t>s</w:t>
      </w:r>
      <w:r w:rsidRPr="00153410">
        <w:rPr>
          <w:rFonts w:ascii="Times New Roman" w:hAnsi="Times New Roman"/>
        </w:rPr>
        <w:t xml:space="preserve"> under s 64, which arise from the </w:t>
      </w:r>
      <w:r w:rsidRPr="00153410">
        <w:rPr>
          <w:rFonts w:ascii="Times New Roman" w:hAnsi="Times New Roman"/>
        </w:rPr>
        <w:lastRenderedPageBreak/>
        <w:t>performance by the Commission of its functions, are those dealt with in the parts of Ch 2 which precede Pt 6.</w:t>
      </w:r>
    </w:p>
    <w:p w14:paraId="75FF4623" w14:textId="432F622B"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three </w:t>
      </w:r>
      <w:r w:rsidR="00763ACF" w:rsidRPr="00153410">
        <w:rPr>
          <w:rFonts w:ascii="Times New Roman" w:hAnsi="Times New Roman"/>
        </w:rPr>
        <w:t xml:space="preserve">types of </w:t>
      </w:r>
      <w:r w:rsidRPr="00153410">
        <w:rPr>
          <w:rFonts w:ascii="Times New Roman" w:hAnsi="Times New Roman"/>
        </w:rPr>
        <w:t xml:space="preserve">report specified in s 69(1) are clearly referable to the s 64 power. </w:t>
      </w:r>
      <w:r w:rsidR="000E17C4" w:rsidRPr="00153410">
        <w:rPr>
          <w:rFonts w:ascii="Times New Roman" w:hAnsi="Times New Roman"/>
        </w:rPr>
        <w:t xml:space="preserve">They </w:t>
      </w:r>
      <w:r w:rsidRPr="00153410">
        <w:rPr>
          <w:rFonts w:ascii="Times New Roman" w:hAnsi="Times New Roman"/>
        </w:rPr>
        <w:t>may be said to relate to the performance of the Commission's functions. So far as concerns a report on a public hearing, the Commission is authorised to hold hearings "in relation to any matter relevant to the performance of its functions", although a hearing is not generally open to the public</w:t>
      </w:r>
      <w:r w:rsidRPr="00153410">
        <w:rPr>
          <w:rStyle w:val="FootnoteReference"/>
          <w:rFonts w:ascii="Times New Roman" w:hAnsi="Times New Roman"/>
          <w:sz w:val="24"/>
        </w:rPr>
        <w:footnoteReference w:id="40"/>
      </w:r>
      <w:r w:rsidRPr="00153410">
        <w:rPr>
          <w:rFonts w:ascii="Times New Roman" w:hAnsi="Times New Roman"/>
        </w:rPr>
        <w:t xml:space="preserve">. The </w:t>
      </w:r>
      <w:r w:rsidR="006B6202" w:rsidRPr="00153410">
        <w:rPr>
          <w:rFonts w:ascii="Times New Roman" w:hAnsi="Times New Roman"/>
        </w:rPr>
        <w:t xml:space="preserve">research </w:t>
      </w:r>
      <w:r w:rsidRPr="00153410">
        <w:rPr>
          <w:rFonts w:ascii="Times New Roman" w:hAnsi="Times New Roman"/>
        </w:rPr>
        <w:t>report there specified clearly refers to the performance of the Commission's research functions.</w:t>
      </w:r>
    </w:p>
    <w:p w14:paraId="5D32AFC3" w14:textId="12FC0149"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Reports made by the Commission under s 64(1) may concern many matters which come to its attention </w:t>
      </w:r>
      <w:proofErr w:type="gramStart"/>
      <w:r w:rsidRPr="00153410">
        <w:rPr>
          <w:rFonts w:ascii="Times New Roman" w:hAnsi="Times New Roman"/>
        </w:rPr>
        <w:t>in the course of</w:t>
      </w:r>
      <w:proofErr w:type="gramEnd"/>
      <w:r w:rsidRPr="00153410">
        <w:rPr>
          <w:rFonts w:ascii="Times New Roman" w:hAnsi="Times New Roman"/>
        </w:rPr>
        <w:t xml:space="preserve"> the performance of its functions, save for that of its crime function</w:t>
      </w:r>
      <w:r w:rsidR="00FF734A" w:rsidRPr="00153410">
        <w:rPr>
          <w:rStyle w:val="FootnoteReference"/>
          <w:rFonts w:ascii="Times New Roman" w:hAnsi="Times New Roman"/>
          <w:sz w:val="24"/>
        </w:rPr>
        <w:footnoteReference w:id="41"/>
      </w:r>
      <w:r w:rsidRPr="00153410">
        <w:rPr>
          <w:rFonts w:ascii="Times New Roman" w:hAnsi="Times New Roman"/>
        </w:rPr>
        <w:t xml:space="preserve">. The purpose of such reports is the attainment of the broad statutory objectives of the CC Act, concerning corruption in the public sector. Those objectives are achieved in part by recommendations made and advice given by the Commission to units of public administration as part of its prevention function. The letter from the Commission to the </w:t>
      </w:r>
      <w:r w:rsidR="006D7CD9">
        <w:rPr>
          <w:rFonts w:ascii="Times New Roman" w:hAnsi="Times New Roman"/>
        </w:rPr>
        <w:t xml:space="preserve">Acting </w:t>
      </w:r>
      <w:r w:rsidRPr="00153410">
        <w:rPr>
          <w:rFonts w:ascii="Times New Roman" w:hAnsi="Times New Roman"/>
        </w:rPr>
        <w:t>Public Trust</w:t>
      </w:r>
      <w:r w:rsidR="006D7CD9">
        <w:rPr>
          <w:rFonts w:ascii="Times New Roman" w:hAnsi="Times New Roman"/>
        </w:rPr>
        <w:t>ee</w:t>
      </w:r>
      <w:r w:rsidRPr="00153410">
        <w:rPr>
          <w:rFonts w:ascii="Times New Roman" w:hAnsi="Times New Roman"/>
        </w:rPr>
        <w:t xml:space="preserve"> </w:t>
      </w:r>
      <w:r w:rsidR="006B5A93" w:rsidRPr="00153410">
        <w:rPr>
          <w:rFonts w:ascii="Times New Roman" w:hAnsi="Times New Roman"/>
        </w:rPr>
        <w:t>of 23 April 2020</w:t>
      </w:r>
      <w:r w:rsidRPr="00153410">
        <w:rPr>
          <w:rFonts w:ascii="Times New Roman" w:hAnsi="Times New Roman"/>
        </w:rPr>
        <w:t xml:space="preserve"> may well qualify as a report under s 64.</w:t>
      </w:r>
    </w:p>
    <w:p w14:paraId="65136819" w14:textId="66A40E75"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The subject</w:t>
      </w:r>
      <w:r w:rsidR="00AD561C" w:rsidRPr="00153410">
        <w:rPr>
          <w:rFonts w:ascii="Times New Roman" w:hAnsi="Times New Roman"/>
        </w:rPr>
        <w:t>s</w:t>
      </w:r>
      <w:r w:rsidRPr="00153410">
        <w:rPr>
          <w:rFonts w:ascii="Times New Roman" w:hAnsi="Times New Roman"/>
        </w:rPr>
        <w:t xml:space="preserve"> of reports made under s 64 are clearly of a kind which might be brought to the attention of the Legislative Assembly or be made public. The recommendations in such reports may well require consideration of a legislative response. </w:t>
      </w:r>
      <w:r w:rsidR="00D36969" w:rsidRPr="00153410">
        <w:rPr>
          <w:rFonts w:ascii="Times New Roman" w:hAnsi="Times New Roman"/>
        </w:rPr>
        <w:t xml:space="preserve">Reports </w:t>
      </w:r>
      <w:r w:rsidR="00541AE7" w:rsidRPr="00153410">
        <w:rPr>
          <w:rFonts w:ascii="Times New Roman" w:hAnsi="Times New Roman"/>
        </w:rPr>
        <w:t xml:space="preserve">made </w:t>
      </w:r>
      <w:r w:rsidR="00D36969" w:rsidRPr="00153410">
        <w:rPr>
          <w:rFonts w:ascii="Times New Roman" w:hAnsi="Times New Roman"/>
        </w:rPr>
        <w:t>under s</w:t>
      </w:r>
      <w:r w:rsidR="00541AE7" w:rsidRPr="00153410">
        <w:rPr>
          <w:rFonts w:ascii="Times New Roman" w:hAnsi="Times New Roman"/>
        </w:rPr>
        <w:t> </w:t>
      </w:r>
      <w:r w:rsidR="00D36969" w:rsidRPr="00153410">
        <w:rPr>
          <w:rFonts w:ascii="Times New Roman" w:hAnsi="Times New Roman"/>
        </w:rPr>
        <w:t xml:space="preserve">49 </w:t>
      </w:r>
      <w:r w:rsidRPr="00153410">
        <w:rPr>
          <w:rFonts w:ascii="Times New Roman" w:hAnsi="Times New Roman"/>
        </w:rPr>
        <w:t>are of a distinctly different nature, involving the investigation of the conduct of individuals</w:t>
      </w:r>
      <w:r w:rsidR="002936EA" w:rsidRPr="00153410">
        <w:rPr>
          <w:rFonts w:ascii="Times New Roman" w:hAnsi="Times New Roman"/>
        </w:rPr>
        <w:t>,</w:t>
      </w:r>
      <w:r w:rsidRPr="00153410">
        <w:rPr>
          <w:rFonts w:ascii="Times New Roman" w:hAnsi="Times New Roman"/>
        </w:rPr>
        <w:t xml:space="preserve"> and are made for different purposes. This is no doubt why they are excluded from s 69.</w:t>
      </w:r>
    </w:p>
    <w:p w14:paraId="348D85C9" w14:textId="585306A8"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Section 49 appears in Pt 3</w:t>
      </w:r>
      <w:r w:rsidR="002F0256" w:rsidRPr="00153410">
        <w:rPr>
          <w:rFonts w:ascii="Times New Roman" w:hAnsi="Times New Roman"/>
        </w:rPr>
        <w:t>,</w:t>
      </w:r>
      <w:r w:rsidRPr="00153410">
        <w:rPr>
          <w:rFonts w:ascii="Times New Roman" w:hAnsi="Times New Roman"/>
        </w:rPr>
        <w:t xml:space="preserve"> which concerns the Commission's corruption functions. Section 49 deals with only one subject: reports about complaints dealt with by the Commission. It is the only provision in Ch 2 which deals with that subject. The power to report given by s 49 may be exercised only in the limited circumstances there specified: where the Commission has investigated a complaint and decided that prosecution proceedings or disciplinary action should be considered</w:t>
      </w:r>
      <w:r w:rsidRPr="00153410">
        <w:rPr>
          <w:rStyle w:val="FootnoteReference"/>
          <w:rFonts w:ascii="Times New Roman" w:hAnsi="Times New Roman"/>
          <w:sz w:val="24"/>
        </w:rPr>
        <w:footnoteReference w:id="42"/>
      </w:r>
      <w:r w:rsidRPr="00153410">
        <w:rPr>
          <w:rFonts w:ascii="Times New Roman" w:hAnsi="Times New Roman"/>
        </w:rPr>
        <w:t xml:space="preserve">. It is exercised by reporting to the person appropriate to take the action </w:t>
      </w:r>
      <w:r w:rsidRPr="00153410">
        <w:rPr>
          <w:rFonts w:ascii="Times New Roman" w:hAnsi="Times New Roman"/>
        </w:rPr>
        <w:lastRenderedPageBreak/>
        <w:t>proposed</w:t>
      </w:r>
      <w:r w:rsidRPr="00153410">
        <w:rPr>
          <w:rStyle w:val="FootnoteReference"/>
          <w:rFonts w:ascii="Times New Roman" w:hAnsi="Times New Roman"/>
          <w:sz w:val="24"/>
        </w:rPr>
        <w:footnoteReference w:id="43"/>
      </w:r>
      <w:r w:rsidRPr="00153410">
        <w:rPr>
          <w:rFonts w:ascii="Times New Roman" w:hAnsi="Times New Roman"/>
        </w:rPr>
        <w:t xml:space="preserve">. </w:t>
      </w:r>
      <w:r w:rsidR="006C69BD" w:rsidRPr="00153410">
        <w:rPr>
          <w:rFonts w:ascii="Times New Roman" w:hAnsi="Times New Roman"/>
        </w:rPr>
        <w:t xml:space="preserve">Otherwise, the Commission has </w:t>
      </w:r>
      <w:r w:rsidRPr="00153410">
        <w:rPr>
          <w:rFonts w:ascii="Times New Roman" w:hAnsi="Times New Roman"/>
        </w:rPr>
        <w:t xml:space="preserve">no power to do anything further </w:t>
      </w:r>
      <w:r w:rsidR="000E5129" w:rsidRPr="00153410">
        <w:rPr>
          <w:rFonts w:ascii="Times New Roman" w:hAnsi="Times New Roman"/>
        </w:rPr>
        <w:t>in relation to the investigation of the complaint</w:t>
      </w:r>
      <w:r w:rsidRPr="00153410">
        <w:rPr>
          <w:rFonts w:ascii="Times New Roman" w:hAnsi="Times New Roman"/>
        </w:rPr>
        <w:t>.</w:t>
      </w:r>
    </w:p>
    <w:p w14:paraId="34524FC7" w14:textId="44441C0B"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power to report to appropriate persons, so that they can </w:t>
      </w:r>
      <w:proofErr w:type="gramStart"/>
      <w:r w:rsidRPr="00153410">
        <w:rPr>
          <w:rFonts w:ascii="Times New Roman" w:hAnsi="Times New Roman"/>
        </w:rPr>
        <w:t>take action</w:t>
      </w:r>
      <w:proofErr w:type="gramEnd"/>
      <w:r w:rsidRPr="00153410">
        <w:rPr>
          <w:rFonts w:ascii="Times New Roman" w:hAnsi="Times New Roman"/>
        </w:rPr>
        <w:t xml:space="preserve"> against a person who has been investigated for corrupt conduct, is a very different power from that given by s 64. It is a "special power, subject to limitations and qualifications"</w:t>
      </w:r>
      <w:r w:rsidRPr="00153410">
        <w:rPr>
          <w:rStyle w:val="FootnoteReference"/>
          <w:rFonts w:ascii="Times New Roman" w:hAnsi="Times New Roman"/>
          <w:sz w:val="24"/>
        </w:rPr>
        <w:footnoteReference w:id="44"/>
      </w:r>
      <w:r w:rsidRPr="00153410">
        <w:rPr>
          <w:rFonts w:ascii="Times New Roman" w:hAnsi="Times New Roman"/>
        </w:rPr>
        <w:t xml:space="preserve">. It may be understood to mean that the Commission is not to exercise an unqualified power to report on the </w:t>
      </w:r>
      <w:r w:rsidR="00A83415" w:rsidRPr="00153410">
        <w:rPr>
          <w:rFonts w:ascii="Times New Roman" w:hAnsi="Times New Roman"/>
        </w:rPr>
        <w:t>investigation</w:t>
      </w:r>
      <w:r w:rsidR="00C51828" w:rsidRPr="00153410">
        <w:rPr>
          <w:rFonts w:ascii="Times New Roman" w:hAnsi="Times New Roman"/>
        </w:rPr>
        <w:t xml:space="preserve"> of </w:t>
      </w:r>
      <w:r w:rsidR="00983F42" w:rsidRPr="00153410">
        <w:rPr>
          <w:rFonts w:ascii="Times New Roman" w:hAnsi="Times New Roman"/>
        </w:rPr>
        <w:t>a</w:t>
      </w:r>
      <w:r w:rsidR="00C51828" w:rsidRPr="00153410">
        <w:rPr>
          <w:rFonts w:ascii="Times New Roman" w:hAnsi="Times New Roman"/>
        </w:rPr>
        <w:t xml:space="preserve"> complaint </w:t>
      </w:r>
      <w:r w:rsidRPr="00153410">
        <w:rPr>
          <w:rFonts w:ascii="Times New Roman" w:hAnsi="Times New Roman"/>
        </w:rPr>
        <w:t>to a different audience.</w:t>
      </w:r>
    </w:p>
    <w:p w14:paraId="54CB6460" w14:textId="7777777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In </w:t>
      </w:r>
      <w:r w:rsidRPr="00153410">
        <w:rPr>
          <w:rFonts w:ascii="Times New Roman" w:hAnsi="Times New Roman"/>
          <w:i/>
          <w:iCs/>
        </w:rPr>
        <w:t>Anthony Hordern &amp; Sons Ltd v Amalgamated Clothing and Allied Trades Union of Australia</w:t>
      </w:r>
      <w:r w:rsidRPr="00153410">
        <w:rPr>
          <w:rStyle w:val="FootnoteReference"/>
          <w:rFonts w:ascii="Times New Roman" w:hAnsi="Times New Roman"/>
          <w:sz w:val="24"/>
        </w:rPr>
        <w:footnoteReference w:id="45"/>
      </w:r>
      <w:r w:rsidRPr="00153410">
        <w:rPr>
          <w:rFonts w:ascii="Times New Roman" w:hAnsi="Times New Roman"/>
        </w:rPr>
        <w:t>, it was explained that:</w:t>
      </w:r>
    </w:p>
    <w:p w14:paraId="0F882360" w14:textId="77777777" w:rsidR="00153410" w:rsidRDefault="00307209" w:rsidP="00153410">
      <w:pPr>
        <w:pStyle w:val="LeftrightafterHC"/>
        <w:spacing w:before="0" w:after="260" w:line="280" w:lineRule="exact"/>
        <w:ind w:right="0"/>
        <w:jc w:val="both"/>
        <w:rPr>
          <w:rFonts w:ascii="Times New Roman" w:hAnsi="Times New Roman"/>
        </w:rPr>
      </w:pPr>
      <w:r w:rsidRPr="00153410">
        <w:rPr>
          <w:rFonts w:ascii="Times New Roman" w:hAnsi="Times New Roman"/>
        </w:rPr>
        <w:t>"[w]hen the Legislature explicitly gives a power by a particular provision which prescribes the mode in which it shall be exercised and the conditions and restrictions which must be observed, it excludes the operation of general expressions in the same instrument which might otherwise have been relied upon for the same power."</w:t>
      </w:r>
    </w:p>
    <w:p w14:paraId="485C9575" w14:textId="43FB01FD"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t xml:space="preserve">The notion which underlies </w:t>
      </w:r>
      <w:r w:rsidRPr="00153410">
        <w:rPr>
          <w:rFonts w:ascii="Times New Roman" w:hAnsi="Times New Roman"/>
          <w:i/>
          <w:iCs/>
        </w:rPr>
        <w:t>Anthony Hordern</w:t>
      </w:r>
      <w:r w:rsidRPr="00153410">
        <w:rPr>
          <w:rFonts w:ascii="Times New Roman" w:hAnsi="Times New Roman"/>
        </w:rPr>
        <w:t xml:space="preserve"> is "that affirmative words appointing or limiting an order or form of things may also have a negative force and forbid the doing of the thing otherwise"</w:t>
      </w:r>
      <w:r w:rsidRPr="00153410">
        <w:rPr>
          <w:rStyle w:val="FootnoteReference"/>
          <w:rFonts w:ascii="Times New Roman" w:hAnsi="Times New Roman"/>
          <w:sz w:val="24"/>
        </w:rPr>
        <w:footnoteReference w:id="46"/>
      </w:r>
      <w:r w:rsidRPr="00153410">
        <w:rPr>
          <w:rFonts w:ascii="Times New Roman" w:hAnsi="Times New Roman"/>
        </w:rPr>
        <w:t>. It has an obvious affinity with the maxim "when there is express mention of certain things, then anything not mentioned is excluded"</w:t>
      </w:r>
      <w:r w:rsidRPr="00153410">
        <w:rPr>
          <w:rStyle w:val="FootnoteReference"/>
          <w:rFonts w:ascii="Times New Roman" w:hAnsi="Times New Roman"/>
          <w:sz w:val="24"/>
        </w:rPr>
        <w:footnoteReference w:id="47"/>
      </w:r>
      <w:r w:rsidRPr="00153410">
        <w:rPr>
          <w:rFonts w:ascii="Times New Roman" w:hAnsi="Times New Roman"/>
        </w:rPr>
        <w:t>.</w:t>
      </w:r>
    </w:p>
    <w:p w14:paraId="22DE8B4A" w14:textId="37EDE657"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lastRenderedPageBreak/>
        <w:tab/>
        <w:t xml:space="preserve">Even without this principle of construction it might be said that the scheme of the CC Act, and what is to be done under each of ss 49 and 64, point strongly to s 64 having no part to play with respect to reports on investigations as to corrupt conduct. The </w:t>
      </w:r>
      <w:proofErr w:type="gramStart"/>
      <w:r w:rsidRPr="00153410">
        <w:rPr>
          <w:rFonts w:ascii="Times New Roman" w:hAnsi="Times New Roman"/>
        </w:rPr>
        <w:t>ultimate conclusion</w:t>
      </w:r>
      <w:proofErr w:type="gramEnd"/>
      <w:r w:rsidRPr="00153410">
        <w:rPr>
          <w:rFonts w:ascii="Times New Roman" w:hAnsi="Times New Roman"/>
        </w:rPr>
        <w:t xml:space="preserve"> to be drawn from the process of construction is that there is only one power which may be exercised to report on a particular investigation into alleged corrupt conduct on the part of an individual</w:t>
      </w:r>
      <w:r w:rsidR="00E04325" w:rsidRPr="00153410">
        <w:rPr>
          <w:rFonts w:ascii="Times New Roman" w:hAnsi="Times New Roman"/>
        </w:rPr>
        <w:t>,</w:t>
      </w:r>
      <w:r w:rsidRPr="00153410">
        <w:rPr>
          <w:rFonts w:ascii="Times New Roman" w:hAnsi="Times New Roman"/>
        </w:rPr>
        <w:t xml:space="preserve"> and that is found in s 49.</w:t>
      </w:r>
    </w:p>
    <w:p w14:paraId="4E924AEE" w14:textId="264DDA4E" w:rsidR="00307209" w:rsidRPr="00153410"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ab/>
      </w:r>
      <w:r w:rsidR="00CE166D" w:rsidRPr="00153410">
        <w:rPr>
          <w:rFonts w:ascii="Times New Roman" w:hAnsi="Times New Roman"/>
        </w:rPr>
        <w:t xml:space="preserve">There may be cases in which the characterisation of a report </w:t>
      </w:r>
      <w:r w:rsidR="00195626" w:rsidRPr="00153410">
        <w:rPr>
          <w:rFonts w:ascii="Times New Roman" w:hAnsi="Times New Roman"/>
        </w:rPr>
        <w:t xml:space="preserve">purportedly made under s </w:t>
      </w:r>
      <w:r w:rsidR="00B84BE9" w:rsidRPr="00153410">
        <w:rPr>
          <w:rFonts w:ascii="Times New Roman" w:hAnsi="Times New Roman"/>
        </w:rPr>
        <w:t xml:space="preserve">64 as one which is not a report on the investigation of a complaint </w:t>
      </w:r>
      <w:r w:rsidR="00E63143" w:rsidRPr="00153410">
        <w:rPr>
          <w:rFonts w:ascii="Times New Roman" w:hAnsi="Times New Roman"/>
        </w:rPr>
        <w:t>outside of the exclusive power to do so in s 49 involves evaluative questions. This is not such a case. The Report in this case is a report about the investigation</w:t>
      </w:r>
      <w:r w:rsidR="00A9588A" w:rsidRPr="00153410">
        <w:rPr>
          <w:rFonts w:ascii="Times New Roman" w:hAnsi="Times New Roman"/>
        </w:rPr>
        <w:t xml:space="preserve"> of the complaint about the respondent outside of the exclusive power to do so in s 49. Accordingly, t</w:t>
      </w:r>
      <w:r w:rsidRPr="00153410">
        <w:rPr>
          <w:rFonts w:ascii="Times New Roman" w:hAnsi="Times New Roman"/>
        </w:rPr>
        <w:t xml:space="preserve">he Report is obviously not one made under s 49, but this is beside the point. To qualify as a report for the purposes of a direction under s 69(1)(b) of the CC Act it must be one for which s 64 provides </w:t>
      </w:r>
      <w:r w:rsidRPr="00153410" w:rsidDel="00C94260">
        <w:rPr>
          <w:rFonts w:ascii="Times New Roman" w:hAnsi="Times New Roman"/>
        </w:rPr>
        <w:t xml:space="preserve">a </w:t>
      </w:r>
      <w:r w:rsidRPr="00153410">
        <w:rPr>
          <w:rFonts w:ascii="Times New Roman" w:hAnsi="Times New Roman"/>
        </w:rPr>
        <w:t>power to report. Whilst the Commission can no doubt report more generally about the performance of its corruption functions, s 49 is the sole source of a power to make a report on an investigation of a particular complaint of corrupt conduct. Section 64 does not provide such a power.</w:t>
      </w:r>
    </w:p>
    <w:p w14:paraId="5D517D60" w14:textId="77777777" w:rsidR="00307209" w:rsidRPr="00153410" w:rsidRDefault="00307209" w:rsidP="00153410">
      <w:pPr>
        <w:pStyle w:val="HeadingL1"/>
        <w:spacing w:after="260" w:line="280" w:lineRule="exact"/>
        <w:ind w:right="0"/>
        <w:jc w:val="both"/>
        <w:rPr>
          <w:rFonts w:ascii="Times New Roman" w:hAnsi="Times New Roman"/>
        </w:rPr>
      </w:pPr>
      <w:r w:rsidRPr="00153410">
        <w:rPr>
          <w:rFonts w:ascii="Times New Roman" w:hAnsi="Times New Roman"/>
        </w:rPr>
        <w:t>Order</w:t>
      </w:r>
    </w:p>
    <w:p w14:paraId="5DB58C95" w14:textId="77777777" w:rsidR="00816474" w:rsidRDefault="00307209" w:rsidP="00153410">
      <w:pPr>
        <w:pStyle w:val="FixListStyle"/>
        <w:spacing w:after="260" w:line="280" w:lineRule="exact"/>
        <w:ind w:right="0"/>
        <w:jc w:val="both"/>
        <w:rPr>
          <w:rFonts w:ascii="Times New Roman" w:hAnsi="Times New Roman"/>
        </w:rPr>
      </w:pPr>
      <w:r w:rsidRPr="00153410">
        <w:rPr>
          <w:rFonts w:ascii="Times New Roman" w:hAnsi="Times New Roman"/>
        </w:rPr>
        <w:t xml:space="preserve"> </w:t>
      </w:r>
      <w:r w:rsidRPr="00153410">
        <w:rPr>
          <w:rFonts w:ascii="Times New Roman" w:hAnsi="Times New Roman"/>
        </w:rPr>
        <w:tab/>
        <w:t>The appeal should be dismissed with costs.</w:t>
      </w:r>
    </w:p>
    <w:p w14:paraId="404078BF" w14:textId="77777777" w:rsidR="00816474" w:rsidRDefault="00816474" w:rsidP="00153410">
      <w:pPr>
        <w:pStyle w:val="FixListStyle"/>
        <w:spacing w:after="260" w:line="280" w:lineRule="exact"/>
        <w:ind w:right="0"/>
        <w:jc w:val="both"/>
        <w:rPr>
          <w:rFonts w:ascii="Times New Roman" w:hAnsi="Times New Roman"/>
        </w:rPr>
        <w:sectPr w:rsidR="00816474" w:rsidSect="00AA536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FFB73B5" w14:textId="77777777" w:rsidR="00816474" w:rsidRPr="00933CB1" w:rsidRDefault="00816474" w:rsidP="00933CB1">
      <w:pPr>
        <w:pStyle w:val="FixListStyle"/>
        <w:tabs>
          <w:tab w:val="clear" w:pos="720"/>
          <w:tab w:val="left" w:pos="0"/>
        </w:tabs>
        <w:spacing w:after="260" w:line="280" w:lineRule="exact"/>
        <w:ind w:right="0"/>
        <w:jc w:val="both"/>
        <w:rPr>
          <w:rFonts w:ascii="Times New Roman" w:hAnsi="Times New Roman"/>
        </w:rPr>
      </w:pPr>
      <w:r w:rsidRPr="00933CB1">
        <w:rPr>
          <w:rFonts w:ascii="Times New Roman" w:hAnsi="Times New Roman"/>
        </w:rPr>
        <w:lastRenderedPageBreak/>
        <w:t xml:space="preserve">GORDON AND EDELMAN JJ.   The appellant, the Commission, is a permanent anti-corruption commission established under s 220 of the </w:t>
      </w:r>
      <w:r w:rsidRPr="00933CB1">
        <w:rPr>
          <w:rFonts w:ascii="Times New Roman" w:hAnsi="Times New Roman"/>
          <w:i/>
          <w:iCs/>
        </w:rPr>
        <w:t>Crime and Corruption Act 2001</w:t>
      </w:r>
      <w:r w:rsidRPr="00933CB1">
        <w:rPr>
          <w:rFonts w:ascii="Times New Roman" w:hAnsi="Times New Roman"/>
        </w:rPr>
        <w:t xml:space="preserve"> (Qld)</w:t>
      </w:r>
      <w:r w:rsidRPr="00933CB1">
        <w:rPr>
          <w:rFonts w:ascii="Times New Roman" w:hAnsi="Times New Roman"/>
          <w:i/>
          <w:iCs/>
        </w:rPr>
        <w:t xml:space="preserve"> </w:t>
      </w:r>
      <w:r w:rsidRPr="00933CB1">
        <w:rPr>
          <w:rFonts w:ascii="Times New Roman" w:hAnsi="Times New Roman"/>
        </w:rPr>
        <w:t>("the CC Act"). The Parliamentary Crime and Corruption Committee ("the PCCC") is the Commission's parliamentary oversight body</w:t>
      </w:r>
      <w:r w:rsidRPr="00933CB1">
        <w:rPr>
          <w:rStyle w:val="FootnoteReference"/>
          <w:rFonts w:ascii="Times New Roman" w:hAnsi="Times New Roman"/>
          <w:sz w:val="24"/>
        </w:rPr>
        <w:footnoteReference w:id="48"/>
      </w:r>
      <w:r w:rsidRPr="00933CB1">
        <w:rPr>
          <w:rFonts w:ascii="Times New Roman" w:hAnsi="Times New Roman"/>
        </w:rPr>
        <w:t>. As</w:t>
      </w:r>
      <w:r>
        <w:rPr>
          <w:rFonts w:ascii="Times New Roman" w:hAnsi="Times New Roman"/>
        </w:rPr>
        <w:t> </w:t>
      </w:r>
      <w:r w:rsidRPr="00933CB1">
        <w:rPr>
          <w:rFonts w:ascii="Times New Roman" w:hAnsi="Times New Roman"/>
        </w:rPr>
        <w:t xml:space="preserve">a standing committee of the Legislative Assembly of Queensland, the PCCC is a committee for the purposes of the </w:t>
      </w:r>
      <w:r w:rsidRPr="00933CB1">
        <w:rPr>
          <w:rFonts w:ascii="Times New Roman" w:hAnsi="Times New Roman"/>
          <w:i/>
          <w:iCs/>
        </w:rPr>
        <w:t>Parliament of Queensland Act 2001</w:t>
      </w:r>
      <w:r w:rsidRPr="00933CB1">
        <w:rPr>
          <w:rFonts w:ascii="Times New Roman" w:hAnsi="Times New Roman"/>
        </w:rPr>
        <w:t xml:space="preserve"> (Qld) ("the POQ Act")</w:t>
      </w:r>
      <w:r w:rsidRPr="00933CB1">
        <w:rPr>
          <w:rStyle w:val="FootnoteReference"/>
          <w:rFonts w:ascii="Times New Roman" w:hAnsi="Times New Roman"/>
          <w:sz w:val="24"/>
        </w:rPr>
        <w:footnoteReference w:id="49"/>
      </w:r>
      <w:r w:rsidRPr="00933CB1">
        <w:rPr>
          <w:rFonts w:ascii="Times New Roman" w:hAnsi="Times New Roman"/>
        </w:rPr>
        <w:t xml:space="preserve">. </w:t>
      </w:r>
    </w:p>
    <w:p w14:paraId="4C92DB0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This appeal concerns a draft document entitled "[a]n investigation into allegations relating to the former Public Trustee of Queensland: Investigation Report", prepared by the Commission in October 2020 ("the October Draft"). The October Draft was prepared six months after the conclusion of an investigation under the CC Act into allegations of corrupt conduct against the respondent, Mr</w:t>
      </w:r>
      <w:r>
        <w:rPr>
          <w:rFonts w:ascii="Times New Roman" w:hAnsi="Times New Roman"/>
        </w:rPr>
        <w:t> </w:t>
      </w:r>
      <w:r w:rsidRPr="00933CB1">
        <w:rPr>
          <w:rFonts w:ascii="Times New Roman" w:hAnsi="Times New Roman"/>
        </w:rPr>
        <w:t>Carne. Mr Carne held the office of Public Trustee of Queensland</w:t>
      </w:r>
      <w:r w:rsidRPr="00933CB1">
        <w:rPr>
          <w:rStyle w:val="FootnoteReference"/>
          <w:rFonts w:ascii="Times New Roman" w:hAnsi="Times New Roman"/>
          <w:sz w:val="24"/>
        </w:rPr>
        <w:footnoteReference w:id="50"/>
      </w:r>
      <w:r w:rsidRPr="00933CB1">
        <w:rPr>
          <w:rFonts w:ascii="Times New Roman" w:hAnsi="Times New Roman"/>
        </w:rPr>
        <w:t xml:space="preserve">, relevantly, from March 2016 until 31 July 2020. That investigation did not result in criminal charges. A "show cause" disciplinary process ceased when Mr Carne resigned. </w:t>
      </w:r>
    </w:p>
    <w:p w14:paraId="38EA0B3D"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On 19 June 2020, some two months after that investigation was completed, the chair of the PCCC and the Commission's chair discussed a proposed report. An</w:t>
      </w:r>
      <w:r>
        <w:rPr>
          <w:rFonts w:ascii="Times New Roman" w:hAnsi="Times New Roman"/>
        </w:rPr>
        <w:t> </w:t>
      </w:r>
      <w:r w:rsidRPr="00933CB1">
        <w:rPr>
          <w:rFonts w:ascii="Times New Roman" w:hAnsi="Times New Roman"/>
        </w:rPr>
        <w:t>initial draft of the report was prepared by the Commission. It was provided to Mr Carne for comment, on the basis that the Commission intended to publish the report in accordance with s 69 of the CC Act. Following receipt of the initial draft report, Mr Carne made confidential submissions and challenged the Commission's power to proceed under s 69 of the CC Act.</w:t>
      </w:r>
    </w:p>
    <w:p w14:paraId="05BDFFA0"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A further draft of the report was then prepared – the October Draft – which</w:t>
      </w:r>
      <w:r>
        <w:rPr>
          <w:rFonts w:ascii="Times New Roman" w:hAnsi="Times New Roman"/>
        </w:rPr>
        <w:t> </w:t>
      </w:r>
      <w:r w:rsidRPr="00933CB1">
        <w:rPr>
          <w:rFonts w:ascii="Times New Roman" w:hAnsi="Times New Roman"/>
        </w:rPr>
        <w:t xml:space="preserve">was not provided to Mr Carne. The October Draft might have been substantially </w:t>
      </w:r>
      <w:proofErr w:type="gramStart"/>
      <w:r w:rsidRPr="00933CB1">
        <w:rPr>
          <w:rFonts w:ascii="Times New Roman" w:hAnsi="Times New Roman"/>
        </w:rPr>
        <w:t>complete</w:t>
      </w:r>
      <w:proofErr w:type="gramEnd"/>
      <w:r w:rsidRPr="00933CB1">
        <w:rPr>
          <w:rFonts w:ascii="Times New Roman" w:hAnsi="Times New Roman"/>
        </w:rPr>
        <w:t xml:space="preserve"> but it remained in draft form. It contained an attachment for "Responses" which read "[t]o be inserted if necessary (after Procedural Fairness</w:t>
      </w:r>
      <w:proofErr w:type="gramStart"/>
      <w:r w:rsidRPr="00933CB1">
        <w:rPr>
          <w:rFonts w:ascii="Times New Roman" w:hAnsi="Times New Roman"/>
        </w:rPr>
        <w:t>)</w:t>
      </w:r>
      <w:proofErr w:type="gramEnd"/>
      <w:r w:rsidRPr="00933CB1">
        <w:rPr>
          <w:rFonts w:ascii="Times New Roman" w:hAnsi="Times New Roman"/>
        </w:rPr>
        <w:t xml:space="preserve"> Mr Carne". It</w:t>
      </w:r>
      <w:r>
        <w:rPr>
          <w:rFonts w:ascii="Times New Roman" w:hAnsi="Times New Roman"/>
        </w:rPr>
        <w:t> </w:t>
      </w:r>
      <w:r w:rsidRPr="00933CB1">
        <w:rPr>
          <w:rFonts w:ascii="Times New Roman" w:hAnsi="Times New Roman"/>
        </w:rPr>
        <w:t>also contained an "Annexure 1", which read "[t]o be removed if not needed" and</w:t>
      </w:r>
      <w:r>
        <w:rPr>
          <w:rFonts w:ascii="Times New Roman" w:hAnsi="Times New Roman"/>
        </w:rPr>
        <w:t> </w:t>
      </w:r>
      <w:r w:rsidRPr="00933CB1">
        <w:rPr>
          <w:rFonts w:ascii="Times New Roman" w:hAnsi="Times New Roman"/>
        </w:rPr>
        <w:t xml:space="preserve">was otherwise blank. The Commission sent the October Draft to the PCCC's chair and asked the PCCC to direct, pursuant to s 69(1)(b) of the CC Act, that the October Draft be given to the Speaker of the Legislative Assembly. It is unclear whether, and at what stage, the October Draft would have been completed with an opportunity provided to Mr Carne to respond and the insertion of any response and annexures, or the removal of the provision for responses and an annexure. </w:t>
      </w:r>
    </w:p>
    <w:p w14:paraId="65045625"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lastRenderedPageBreak/>
        <w:tab/>
        <w:t>Mr Carne sought a declaration in the Supreme Court of Queensland that the October Draft was not a report for the purposes of s 69(1) of the CC Act. Mr Carne also claimed that he had been denied procedural fairness in the preparation of the October Draft. At the request of the Commission, the PCCC agreed not to give a direction under s 69(1)(b) of the CC Act while the proceedings were on foot. The</w:t>
      </w:r>
      <w:r>
        <w:rPr>
          <w:rFonts w:ascii="Times New Roman" w:hAnsi="Times New Roman"/>
        </w:rPr>
        <w:t> </w:t>
      </w:r>
      <w:r w:rsidRPr="00933CB1">
        <w:rPr>
          <w:rFonts w:ascii="Times New Roman" w:hAnsi="Times New Roman"/>
        </w:rPr>
        <w:t>chair of the PCCC issued an evidentiary certificate under s 55 of the POQ Act certifying, amongst other things, that the October Draft was "prepared for the purposes of, or incidental to, transacting business of the [PCCC] under s 9(2)(c) of</w:t>
      </w:r>
      <w:r>
        <w:rPr>
          <w:rFonts w:ascii="Times New Roman" w:hAnsi="Times New Roman"/>
        </w:rPr>
        <w:t> </w:t>
      </w:r>
      <w:r w:rsidRPr="00933CB1">
        <w:rPr>
          <w:rFonts w:ascii="Times New Roman" w:hAnsi="Times New Roman"/>
        </w:rPr>
        <w:t>the [POQ Act]" and that it was "presented or submitted" to the PCCC. That</w:t>
      </w:r>
      <w:r>
        <w:rPr>
          <w:rFonts w:ascii="Times New Roman" w:hAnsi="Times New Roman"/>
        </w:rPr>
        <w:t> </w:t>
      </w:r>
      <w:r w:rsidRPr="00933CB1">
        <w:rPr>
          <w:rFonts w:ascii="Times New Roman" w:hAnsi="Times New Roman"/>
        </w:rPr>
        <w:t>certificate was prima facie evidence that the October Draft, in the hands of the PCCC, formed part of proceedings in the Assembly and, accordingly, was the subject of parliamentary privilege and could not be impeached or questioned in any court</w:t>
      </w:r>
      <w:r w:rsidRPr="00933CB1">
        <w:rPr>
          <w:rStyle w:val="FootnoteReference"/>
          <w:rFonts w:ascii="Times New Roman" w:hAnsi="Times New Roman"/>
          <w:sz w:val="24"/>
        </w:rPr>
        <w:footnoteReference w:id="51"/>
      </w:r>
      <w:r w:rsidRPr="00933CB1">
        <w:rPr>
          <w:rFonts w:ascii="Times New Roman" w:hAnsi="Times New Roman"/>
        </w:rPr>
        <w:t xml:space="preserve">. </w:t>
      </w:r>
    </w:p>
    <w:p w14:paraId="7269AC0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The primary judge dismissed Mr </w:t>
      </w:r>
      <w:proofErr w:type="spellStart"/>
      <w:r w:rsidRPr="00933CB1">
        <w:rPr>
          <w:rFonts w:ascii="Times New Roman" w:hAnsi="Times New Roman"/>
        </w:rPr>
        <w:t>Carne's</w:t>
      </w:r>
      <w:proofErr w:type="spellEnd"/>
      <w:r w:rsidRPr="00933CB1">
        <w:rPr>
          <w:rFonts w:ascii="Times New Roman" w:hAnsi="Times New Roman"/>
        </w:rPr>
        <w:t xml:space="preserve"> application for declaratory and other relief. The Court of Appeal of the Supreme Court of Queensland (McMurdo</w:t>
      </w:r>
      <w:r>
        <w:rPr>
          <w:rFonts w:ascii="Times New Roman" w:hAnsi="Times New Roman"/>
        </w:rPr>
        <w:t> </w:t>
      </w:r>
      <w:r w:rsidRPr="00933CB1">
        <w:rPr>
          <w:rFonts w:ascii="Times New Roman" w:hAnsi="Times New Roman"/>
        </w:rPr>
        <w:t xml:space="preserve">and Mullins JJA, </w:t>
      </w:r>
      <w:proofErr w:type="spellStart"/>
      <w:r w:rsidRPr="00933CB1">
        <w:rPr>
          <w:rFonts w:ascii="Times New Roman" w:hAnsi="Times New Roman"/>
        </w:rPr>
        <w:t>Freeburn</w:t>
      </w:r>
      <w:proofErr w:type="spellEnd"/>
      <w:r w:rsidRPr="00933CB1">
        <w:rPr>
          <w:rFonts w:ascii="Times New Roman" w:hAnsi="Times New Roman"/>
        </w:rPr>
        <w:t xml:space="preserve"> J dissenting) allowed </w:t>
      </w:r>
      <w:r w:rsidRPr="00933CB1" w:rsidDel="00526DD7">
        <w:rPr>
          <w:rFonts w:ascii="Times New Roman" w:hAnsi="Times New Roman"/>
        </w:rPr>
        <w:t xml:space="preserve">the </w:t>
      </w:r>
      <w:r w:rsidRPr="00933CB1">
        <w:rPr>
          <w:rFonts w:ascii="Times New Roman" w:hAnsi="Times New Roman"/>
        </w:rPr>
        <w:t>appeal and made an order declaring that the October Draft – "the document made by the [Commission] entitled 'An investigation into allegations relating to the former Public Trustee of Queensland: Investigation Report'" – "is not a report for the purposes of s 69(1) of the [CC Act]".</w:t>
      </w:r>
    </w:p>
    <w:p w14:paraId="5AFA23B2"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We agree with the order proposed by Kiefel CJ, Gageler and Jagot JJ, and</w:t>
      </w:r>
      <w:r>
        <w:rPr>
          <w:rFonts w:ascii="Times New Roman" w:hAnsi="Times New Roman"/>
        </w:rPr>
        <w:t> </w:t>
      </w:r>
      <w:r w:rsidRPr="00933CB1">
        <w:rPr>
          <w:rFonts w:ascii="Times New Roman" w:hAnsi="Times New Roman"/>
        </w:rPr>
        <w:t>would express our reasons in the following way. In short, the Court of Appeal was correct to find that the October Draft was not a report for the purposes of s</w:t>
      </w:r>
      <w:r>
        <w:rPr>
          <w:rFonts w:ascii="Times New Roman" w:hAnsi="Times New Roman"/>
        </w:rPr>
        <w:t> </w:t>
      </w:r>
      <w:r w:rsidRPr="00933CB1">
        <w:rPr>
          <w:rFonts w:ascii="Times New Roman" w:hAnsi="Times New Roman"/>
        </w:rPr>
        <w:t>69(1) of the CC Act. The declaration sought by Mr Carne, and made by the Court of Appeal,</w:t>
      </w:r>
      <w:r w:rsidRPr="00933CB1">
        <w:rPr>
          <w:rFonts w:ascii="Times New Roman" w:hAnsi="Times New Roman"/>
          <w:b/>
          <w:bCs/>
        </w:rPr>
        <w:t xml:space="preserve"> </w:t>
      </w:r>
      <w:r w:rsidRPr="00933CB1">
        <w:rPr>
          <w:rFonts w:ascii="Times New Roman" w:hAnsi="Times New Roman"/>
        </w:rPr>
        <w:t xml:space="preserve">should not be set aside. </w:t>
      </w:r>
    </w:p>
    <w:p w14:paraId="49384DB0"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Parliamentary privilege does not present any obstacle to the declaration made by the Court of Appeal. That is because, on the facts, no question of parliamentary privilege arises; no </w:t>
      </w:r>
      <w:r w:rsidRPr="00933CB1">
        <w:rPr>
          <w:rFonts w:ascii="Times New Roman" w:hAnsi="Times New Roman"/>
          <w:i/>
          <w:iCs/>
        </w:rPr>
        <w:t>act</w:t>
      </w:r>
      <w:r w:rsidRPr="00933CB1">
        <w:rPr>
          <w:rFonts w:ascii="Times New Roman" w:hAnsi="Times New Roman"/>
        </w:rPr>
        <w:t xml:space="preserve"> was done </w:t>
      </w:r>
      <w:proofErr w:type="gramStart"/>
      <w:r w:rsidRPr="00933CB1">
        <w:rPr>
          <w:rFonts w:ascii="Times New Roman" w:hAnsi="Times New Roman"/>
        </w:rPr>
        <w:t>in the course of</w:t>
      </w:r>
      <w:proofErr w:type="gramEnd"/>
      <w:r w:rsidRPr="00933CB1">
        <w:rPr>
          <w:rFonts w:ascii="Times New Roman" w:hAnsi="Times New Roman"/>
        </w:rPr>
        <w:t>, or for the purposes of or incidental to, transacting business of the PCCC to which parliamentary privilege could attach. In particular, the October Draft was not prepared "for the purposes of or incidental to, transacting business" of the PCCC</w:t>
      </w:r>
      <w:r w:rsidRPr="00933CB1">
        <w:rPr>
          <w:rStyle w:val="FootnoteReference"/>
          <w:rFonts w:ascii="Times New Roman" w:hAnsi="Times New Roman"/>
          <w:sz w:val="24"/>
        </w:rPr>
        <w:footnoteReference w:id="52"/>
      </w:r>
      <w:r w:rsidRPr="00933CB1">
        <w:rPr>
          <w:rFonts w:ascii="Times New Roman" w:hAnsi="Times New Roman"/>
        </w:rPr>
        <w:t xml:space="preserve">. </w:t>
      </w:r>
    </w:p>
    <w:p w14:paraId="1009339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Mr Carne made a further submission in this Court alleging that he would be denied procedural fairness by publication of the October Draft. That submission was made only as an alternative, </w:t>
      </w:r>
      <w:proofErr w:type="gramStart"/>
      <w:r w:rsidRPr="00933CB1">
        <w:rPr>
          <w:rFonts w:ascii="Times New Roman" w:hAnsi="Times New Roman"/>
        </w:rPr>
        <w:t>in the event that</w:t>
      </w:r>
      <w:proofErr w:type="gramEnd"/>
      <w:r w:rsidRPr="00933CB1">
        <w:rPr>
          <w:rFonts w:ascii="Times New Roman" w:hAnsi="Times New Roman"/>
        </w:rPr>
        <w:t xml:space="preserve"> it was concluded that he was not entitled to a declaration. In circumstances in which the declaration by the Court of </w:t>
      </w:r>
      <w:r w:rsidRPr="00933CB1">
        <w:rPr>
          <w:rFonts w:ascii="Times New Roman" w:hAnsi="Times New Roman"/>
        </w:rPr>
        <w:lastRenderedPageBreak/>
        <w:t>Appeal was properly made, Mr </w:t>
      </w:r>
      <w:proofErr w:type="spellStart"/>
      <w:r w:rsidRPr="00933CB1">
        <w:rPr>
          <w:rFonts w:ascii="Times New Roman" w:hAnsi="Times New Roman"/>
        </w:rPr>
        <w:t>Carne's</w:t>
      </w:r>
      <w:proofErr w:type="spellEnd"/>
      <w:r w:rsidRPr="00933CB1">
        <w:rPr>
          <w:rFonts w:ascii="Times New Roman" w:hAnsi="Times New Roman"/>
        </w:rPr>
        <w:t xml:space="preserve"> complaint that publication of the October</w:t>
      </w:r>
      <w:r>
        <w:rPr>
          <w:rFonts w:ascii="Times New Roman" w:hAnsi="Times New Roman"/>
        </w:rPr>
        <w:t> </w:t>
      </w:r>
      <w:r w:rsidRPr="00933CB1">
        <w:rPr>
          <w:rFonts w:ascii="Times New Roman" w:hAnsi="Times New Roman"/>
        </w:rPr>
        <w:t xml:space="preserve">Draft would deny him procedural fairness does not need to be determined. </w:t>
      </w:r>
    </w:p>
    <w:p w14:paraId="4C0D6C8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This appeal concerns the intersection of two statutes – the CC Act and the POQ Act. It is necessary to construe the two Acts separately. Resolution of the issues turns not only on the facts</w:t>
      </w:r>
      <w:r w:rsidRPr="00933CB1">
        <w:rPr>
          <w:rStyle w:val="FootnoteReference"/>
          <w:rFonts w:ascii="Times New Roman" w:hAnsi="Times New Roman"/>
          <w:sz w:val="24"/>
        </w:rPr>
        <w:footnoteReference w:id="53"/>
      </w:r>
      <w:r w:rsidRPr="00933CB1">
        <w:rPr>
          <w:rFonts w:ascii="Times New Roman" w:hAnsi="Times New Roman"/>
        </w:rPr>
        <w:t xml:space="preserve">, but also on the statutory powers of the person or persons doing the relevant acts. </w:t>
      </w:r>
    </w:p>
    <w:p w14:paraId="3A09E2EB" w14:textId="77777777" w:rsidR="00816474" w:rsidRPr="00933CB1" w:rsidRDefault="00816474" w:rsidP="00933CB1">
      <w:pPr>
        <w:pStyle w:val="HeadingL1"/>
        <w:spacing w:after="260" w:line="280" w:lineRule="exact"/>
        <w:ind w:right="0"/>
        <w:jc w:val="both"/>
        <w:rPr>
          <w:rFonts w:ascii="Times New Roman" w:hAnsi="Times New Roman"/>
        </w:rPr>
      </w:pPr>
      <w:r w:rsidRPr="00933CB1">
        <w:rPr>
          <w:rFonts w:ascii="Times New Roman" w:hAnsi="Times New Roman"/>
          <w:i/>
          <w:iCs/>
        </w:rPr>
        <w:t>Crime and Corruption Act 2001</w:t>
      </w:r>
      <w:r w:rsidRPr="00933CB1">
        <w:rPr>
          <w:rFonts w:ascii="Times New Roman" w:hAnsi="Times New Roman"/>
        </w:rPr>
        <w:t xml:space="preserve"> (Qld)</w:t>
      </w:r>
    </w:p>
    <w:p w14:paraId="285323B8"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The CC Act, passed in 2001, established the Commission</w:t>
      </w:r>
      <w:r w:rsidRPr="00933CB1">
        <w:rPr>
          <w:rStyle w:val="FootnoteReference"/>
          <w:rFonts w:ascii="Times New Roman" w:hAnsi="Times New Roman"/>
          <w:sz w:val="24"/>
        </w:rPr>
        <w:footnoteReference w:id="54"/>
      </w:r>
      <w:r w:rsidRPr="00933CB1">
        <w:rPr>
          <w:rFonts w:ascii="Times New Roman" w:hAnsi="Times New Roman"/>
        </w:rPr>
        <w:t xml:space="preserve"> and its functions and powers</w:t>
      </w:r>
      <w:r w:rsidRPr="00933CB1">
        <w:rPr>
          <w:rStyle w:val="FootnoteReference"/>
          <w:rFonts w:ascii="Times New Roman" w:hAnsi="Times New Roman"/>
          <w:sz w:val="24"/>
        </w:rPr>
        <w:footnoteReference w:id="55"/>
      </w:r>
      <w:r w:rsidRPr="00933CB1">
        <w:rPr>
          <w:rFonts w:ascii="Times New Roman" w:hAnsi="Times New Roman"/>
        </w:rPr>
        <w:t>, imposed statutory limitations and conditions on the exercise of functions and powers by the Commission</w:t>
      </w:r>
      <w:r w:rsidRPr="00933CB1">
        <w:rPr>
          <w:rStyle w:val="FootnoteReference"/>
          <w:rFonts w:ascii="Times New Roman" w:hAnsi="Times New Roman"/>
          <w:sz w:val="24"/>
        </w:rPr>
        <w:footnoteReference w:id="56"/>
      </w:r>
      <w:r w:rsidRPr="00933CB1">
        <w:rPr>
          <w:rFonts w:ascii="Times New Roman" w:hAnsi="Times New Roman"/>
        </w:rPr>
        <w:t>, and established the PCCC and its relationship to the Parliament</w:t>
      </w:r>
      <w:r w:rsidRPr="00933CB1">
        <w:rPr>
          <w:rStyle w:val="FootnoteReference"/>
          <w:rFonts w:ascii="Times New Roman" w:hAnsi="Times New Roman"/>
          <w:sz w:val="24"/>
        </w:rPr>
        <w:footnoteReference w:id="57"/>
      </w:r>
      <w:r w:rsidRPr="00933CB1">
        <w:rPr>
          <w:rFonts w:ascii="Times New Roman" w:hAnsi="Times New Roman"/>
        </w:rPr>
        <w:t>. The Commission has four categories of functions</w:t>
      </w:r>
      <w:r>
        <w:rPr>
          <w:rFonts w:ascii="Times New Roman" w:hAnsi="Times New Roman"/>
        </w:rPr>
        <w:t> </w:t>
      </w:r>
      <w:r w:rsidRPr="00933CB1">
        <w:rPr>
          <w:rFonts w:ascii="Times New Roman" w:hAnsi="Times New Roman"/>
        </w:rPr>
        <w:t>– "prevention" (Pt 1 of Ch 2); "crime" (Pt 2 of Ch 2); "corruption" (Pt 3 of Ch 2) and "research, intelligence and other functions" (Pt 4 of Ch 2). It is necessary to address the first three categories. The Commission's powers in relation to each are different, particularly in relation to reporting (which is addressed in Pt 6 of Ch 2 of the CC Act).</w:t>
      </w:r>
    </w:p>
    <w:p w14:paraId="188E1539"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rPr>
        <w:tab/>
        <w:t xml:space="preserve">First, the Commission has a </w:t>
      </w:r>
      <w:r w:rsidRPr="00933CB1">
        <w:rPr>
          <w:rFonts w:ascii="Times New Roman" w:hAnsi="Times New Roman"/>
          <w:i/>
        </w:rPr>
        <w:t>prevention function</w:t>
      </w:r>
      <w:r w:rsidRPr="00933CB1">
        <w:rPr>
          <w:rFonts w:ascii="Times New Roman" w:hAnsi="Times New Roman"/>
        </w:rPr>
        <w:t xml:space="preserve"> of "helping to prevent major crime and corruption"</w:t>
      </w:r>
      <w:r w:rsidRPr="00933CB1">
        <w:rPr>
          <w:rStyle w:val="FootnoteReference"/>
          <w:rFonts w:ascii="Times New Roman" w:hAnsi="Times New Roman"/>
          <w:sz w:val="24"/>
        </w:rPr>
        <w:footnoteReference w:id="58"/>
      </w:r>
      <w:r w:rsidRPr="00933CB1">
        <w:rPr>
          <w:rFonts w:ascii="Times New Roman" w:hAnsi="Times New Roman"/>
        </w:rPr>
        <w:t>. Section 24 provides that the Commission may perform that function by, among other things, analysing the results of its investigations and the information it gathers in performing its functions</w:t>
      </w:r>
      <w:r w:rsidRPr="00933CB1">
        <w:rPr>
          <w:rStyle w:val="FootnoteReference"/>
          <w:rFonts w:ascii="Times New Roman" w:hAnsi="Times New Roman"/>
          <w:sz w:val="24"/>
        </w:rPr>
        <w:footnoteReference w:id="59"/>
      </w:r>
      <w:r w:rsidRPr="00933CB1">
        <w:rPr>
          <w:rFonts w:ascii="Times New Roman" w:hAnsi="Times New Roman"/>
        </w:rPr>
        <w:t>; analysing systems used within units of public administration to prevent corruption</w:t>
      </w:r>
      <w:r w:rsidRPr="00933CB1">
        <w:rPr>
          <w:rStyle w:val="FootnoteReference"/>
          <w:rFonts w:ascii="Times New Roman" w:hAnsi="Times New Roman"/>
          <w:sz w:val="24"/>
        </w:rPr>
        <w:footnoteReference w:id="60"/>
      </w:r>
      <w:r w:rsidRPr="00933CB1">
        <w:rPr>
          <w:rFonts w:ascii="Times New Roman" w:hAnsi="Times New Roman"/>
        </w:rPr>
        <w:t xml:space="preserve">; providing information to, consulting with, and making </w:t>
      </w:r>
      <w:r w:rsidRPr="00933CB1">
        <w:rPr>
          <w:rFonts w:ascii="Times New Roman" w:hAnsi="Times New Roman"/>
        </w:rPr>
        <w:lastRenderedPageBreak/>
        <w:t>recommendations to, units of public administration</w:t>
      </w:r>
      <w:r w:rsidRPr="00933CB1">
        <w:rPr>
          <w:rStyle w:val="FootnoteReference"/>
          <w:rFonts w:ascii="Times New Roman" w:hAnsi="Times New Roman"/>
          <w:sz w:val="24"/>
        </w:rPr>
        <w:footnoteReference w:id="61"/>
      </w:r>
      <w:r w:rsidRPr="00933CB1">
        <w:rPr>
          <w:rFonts w:ascii="Times New Roman" w:hAnsi="Times New Roman"/>
        </w:rPr>
        <w:t>; and reporting on ways to prevent major crime and corruption</w:t>
      </w:r>
      <w:r w:rsidRPr="00933CB1">
        <w:rPr>
          <w:rStyle w:val="FootnoteReference"/>
          <w:rFonts w:ascii="Times New Roman" w:hAnsi="Times New Roman"/>
          <w:sz w:val="24"/>
        </w:rPr>
        <w:footnoteReference w:id="62"/>
      </w:r>
      <w:r w:rsidRPr="00933CB1">
        <w:rPr>
          <w:rFonts w:ascii="Times New Roman" w:hAnsi="Times New Roman"/>
        </w:rPr>
        <w:t>.</w:t>
      </w:r>
    </w:p>
    <w:p w14:paraId="1DD0FB35"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Next, the Commission has a </w:t>
      </w:r>
      <w:r w:rsidRPr="00933CB1">
        <w:rPr>
          <w:rFonts w:ascii="Times New Roman" w:hAnsi="Times New Roman"/>
          <w:i/>
        </w:rPr>
        <w:t>crime function</w:t>
      </w:r>
      <w:r w:rsidRPr="00933CB1">
        <w:rPr>
          <w:rFonts w:ascii="Times New Roman" w:hAnsi="Times New Roman"/>
        </w:rPr>
        <w:t>, which relevantly includes to investigate major crime referred to it by "the reference committee"</w:t>
      </w:r>
      <w:r w:rsidRPr="00933CB1">
        <w:rPr>
          <w:rStyle w:val="FootnoteReference"/>
          <w:rFonts w:ascii="Times New Roman" w:hAnsi="Times New Roman"/>
          <w:sz w:val="24"/>
        </w:rPr>
        <w:footnoteReference w:id="63"/>
      </w:r>
      <w:r w:rsidRPr="00933CB1">
        <w:rPr>
          <w:rFonts w:ascii="Times New Roman" w:hAnsi="Times New Roman"/>
        </w:rPr>
        <w:t xml:space="preserve">. How the Commission may perform its crime function is addressed in s 26. The procedure for referrals is addressed in </w:t>
      </w:r>
      <w:proofErr w:type="spellStart"/>
      <w:r w:rsidRPr="00933CB1">
        <w:rPr>
          <w:rFonts w:ascii="Times New Roman" w:hAnsi="Times New Roman"/>
        </w:rPr>
        <w:t>Div</w:t>
      </w:r>
      <w:proofErr w:type="spellEnd"/>
      <w:r w:rsidRPr="00933CB1">
        <w:rPr>
          <w:rFonts w:ascii="Times New Roman" w:hAnsi="Times New Roman"/>
        </w:rPr>
        <w:t> 2 of Pt 2.</w:t>
      </w:r>
    </w:p>
    <w:p w14:paraId="7541EF60"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Third, the Commission has </w:t>
      </w:r>
      <w:r w:rsidRPr="00933CB1">
        <w:rPr>
          <w:rFonts w:ascii="Times New Roman" w:hAnsi="Times New Roman"/>
          <w:i/>
        </w:rPr>
        <w:t>corruption functions</w:t>
      </w:r>
      <w:r w:rsidRPr="00933CB1">
        <w:rPr>
          <w:rFonts w:ascii="Times New Roman" w:hAnsi="Times New Roman"/>
        </w:rPr>
        <w:t>,</w:t>
      </w:r>
      <w:r w:rsidRPr="00933CB1">
        <w:rPr>
          <w:rFonts w:ascii="Times New Roman" w:hAnsi="Times New Roman"/>
          <w:b/>
          <w:bCs/>
          <w:i/>
        </w:rPr>
        <w:t xml:space="preserve"> </w:t>
      </w:r>
      <w:r w:rsidRPr="00933CB1">
        <w:rPr>
          <w:rFonts w:ascii="Times New Roman" w:hAnsi="Times New Roman"/>
        </w:rPr>
        <w:t xml:space="preserve">which are "to raise standards of integrity and conduct in units of public administration" (s 33(1)(a)) and "to ensure a complaint about, or information or matter involving, corruption is dealt with in an appropriate way, having regard to the principles set out in section 34" (s 33(1)(b)). Significantly, the Commission's corruption functions also include "investigating and otherwise dealing with ... conduct liable to allow, encourage or cause corrupt conduct; and ... conduct connected with corrupt conduct" (s 33(2)(a)), and investigating whether such conduct, or corrupt conduct itself, "may have happened, may be happening or may happen" (s 33(2)(b)). </w:t>
      </w:r>
    </w:p>
    <w:p w14:paraId="7D892EE1"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The Commission applies principles prescribed by s 34 when performing its corruption functions. The principles are listed under four headings – cooperation, capacity building, devolution and public interest. Under the "public interest" heading, a prescribed principle is that the Commission "has an overriding responsibility to promote public confidence ... in the integrity of units of public administration"</w:t>
      </w:r>
      <w:r w:rsidRPr="00933CB1">
        <w:rPr>
          <w:rStyle w:val="FootnoteReference"/>
          <w:rFonts w:ascii="Times New Roman" w:hAnsi="Times New Roman"/>
          <w:sz w:val="24"/>
        </w:rPr>
        <w:footnoteReference w:id="64"/>
      </w:r>
      <w:r w:rsidRPr="00933CB1">
        <w:rPr>
          <w:rFonts w:ascii="Times New Roman" w:hAnsi="Times New Roman"/>
        </w:rPr>
        <w:t xml:space="preserve">. </w:t>
      </w:r>
    </w:p>
    <w:p w14:paraId="12D87B6E"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rPr>
        <w:tab/>
      </w:r>
      <w:r w:rsidRPr="00933CB1">
        <w:rPr>
          <w:rFonts w:ascii="Times New Roman" w:hAnsi="Times New Roman"/>
          <w:lang w:eastAsia="en-US"/>
        </w:rPr>
        <w:t>How the Commission performs its corruption functions is addressed in s 35(1) of the CC Act. It provides that, without limiting how the Commission may perform its corruption functions, it performs those functions by, among other things, "expeditiously assessing complaints about, or information or matters (also</w:t>
      </w:r>
      <w:r>
        <w:rPr>
          <w:rFonts w:ascii="Times New Roman" w:hAnsi="Times New Roman"/>
          <w:lang w:eastAsia="en-US"/>
        </w:rPr>
        <w:t> </w:t>
      </w:r>
      <w:r w:rsidRPr="00933CB1">
        <w:rPr>
          <w:rFonts w:ascii="Times New Roman" w:hAnsi="Times New Roman"/>
          <w:i/>
          <w:lang w:eastAsia="en-US"/>
        </w:rPr>
        <w:t>complaints</w:t>
      </w:r>
      <w:r w:rsidRPr="00933CB1">
        <w:rPr>
          <w:rFonts w:ascii="Times New Roman" w:hAnsi="Times New Roman"/>
          <w:lang w:eastAsia="en-US"/>
        </w:rPr>
        <w:t>) involving, corruption made or notified to it"</w:t>
      </w:r>
      <w:r w:rsidRPr="00933CB1">
        <w:rPr>
          <w:rStyle w:val="FootnoteReference"/>
          <w:rFonts w:ascii="Times New Roman" w:hAnsi="Times New Roman"/>
          <w:sz w:val="24"/>
        </w:rPr>
        <w:footnoteReference w:id="65"/>
      </w:r>
      <w:r w:rsidRPr="00933CB1">
        <w:rPr>
          <w:rFonts w:ascii="Times New Roman" w:hAnsi="Times New Roman"/>
          <w:lang w:eastAsia="en-US"/>
        </w:rPr>
        <w:t>; "referring</w:t>
      </w:r>
      <w:r>
        <w:rPr>
          <w:rFonts w:ascii="Times New Roman" w:hAnsi="Times New Roman"/>
          <w:lang w:eastAsia="en-US"/>
        </w:rPr>
        <w:t> </w:t>
      </w:r>
      <w:r w:rsidRPr="00933CB1">
        <w:rPr>
          <w:rFonts w:ascii="Times New Roman" w:hAnsi="Times New Roman"/>
          <w:lang w:eastAsia="en-US"/>
        </w:rPr>
        <w:t>complaints about corruption within a unit of public administration to a relevant public official to be dealt with by the public official"</w:t>
      </w:r>
      <w:r w:rsidRPr="00933CB1">
        <w:rPr>
          <w:rStyle w:val="FootnoteReference"/>
          <w:rFonts w:ascii="Times New Roman" w:hAnsi="Times New Roman"/>
          <w:sz w:val="24"/>
        </w:rPr>
        <w:footnoteReference w:id="66"/>
      </w:r>
      <w:r w:rsidRPr="00933CB1">
        <w:rPr>
          <w:rFonts w:ascii="Times New Roman" w:hAnsi="Times New Roman"/>
          <w:lang w:eastAsia="en-US"/>
        </w:rPr>
        <w:t xml:space="preserve">; "dealing with complaints about corrupt conduct, by itself or in cooperation with a unit of public </w:t>
      </w:r>
      <w:r w:rsidRPr="00933CB1">
        <w:rPr>
          <w:rFonts w:ascii="Times New Roman" w:hAnsi="Times New Roman"/>
          <w:lang w:eastAsia="en-US"/>
        </w:rPr>
        <w:lastRenderedPageBreak/>
        <w:t>administration"</w:t>
      </w:r>
      <w:r w:rsidRPr="00933CB1">
        <w:rPr>
          <w:rStyle w:val="FootnoteReference"/>
          <w:rFonts w:ascii="Times New Roman" w:hAnsi="Times New Roman"/>
          <w:sz w:val="24"/>
        </w:rPr>
        <w:footnoteReference w:id="67"/>
      </w:r>
      <w:r w:rsidRPr="00933CB1">
        <w:rPr>
          <w:rFonts w:ascii="Times New Roman" w:hAnsi="Times New Roman"/>
          <w:lang w:eastAsia="en-US"/>
        </w:rPr>
        <w:t>; and</w:t>
      </w:r>
      <w:r>
        <w:rPr>
          <w:rFonts w:ascii="Times New Roman" w:hAnsi="Times New Roman"/>
          <w:lang w:eastAsia="en-US"/>
        </w:rPr>
        <w:t> </w:t>
      </w:r>
      <w:r w:rsidRPr="00933CB1">
        <w:rPr>
          <w:rFonts w:ascii="Times New Roman" w:hAnsi="Times New Roman"/>
          <w:lang w:eastAsia="en-US"/>
        </w:rPr>
        <w:t>"assuming responsibility for, and completing, an</w:t>
      </w:r>
      <w:r>
        <w:rPr>
          <w:rFonts w:ascii="Times New Roman" w:hAnsi="Times New Roman"/>
          <w:lang w:eastAsia="en-US"/>
        </w:rPr>
        <w:t> </w:t>
      </w:r>
      <w:r w:rsidRPr="00933CB1">
        <w:rPr>
          <w:rFonts w:ascii="Times New Roman" w:hAnsi="Times New Roman"/>
          <w:lang w:eastAsia="en-US"/>
        </w:rPr>
        <w:t>investigation, by itself or in cooperation with a unit of public administration, if</w:t>
      </w:r>
      <w:r>
        <w:rPr>
          <w:rFonts w:ascii="Times New Roman" w:hAnsi="Times New Roman"/>
          <w:lang w:eastAsia="en-US"/>
        </w:rPr>
        <w:t> </w:t>
      </w:r>
      <w:r w:rsidRPr="00933CB1">
        <w:rPr>
          <w:rFonts w:ascii="Times New Roman" w:hAnsi="Times New Roman"/>
          <w:lang w:eastAsia="en-US"/>
        </w:rPr>
        <w:t>the commission considers that action to be appropriate having regard to the principles set out in section 34"</w:t>
      </w:r>
      <w:r w:rsidRPr="00933CB1">
        <w:rPr>
          <w:rStyle w:val="FootnoteReference"/>
          <w:rFonts w:ascii="Times New Roman" w:hAnsi="Times New Roman"/>
          <w:sz w:val="24"/>
        </w:rPr>
        <w:footnoteReference w:id="68"/>
      </w:r>
      <w:r w:rsidRPr="00933CB1">
        <w:rPr>
          <w:rFonts w:ascii="Times New Roman" w:hAnsi="Times New Roman"/>
          <w:lang w:eastAsia="en-US"/>
        </w:rPr>
        <w:t xml:space="preserve">. </w:t>
      </w:r>
    </w:p>
    <w:p w14:paraId="1603F106"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tab/>
        <w:t>In performing its corruption functions in a way mentioned in s 35(1), the</w:t>
      </w:r>
      <w:r>
        <w:rPr>
          <w:rFonts w:ascii="Times New Roman" w:hAnsi="Times New Roman"/>
          <w:lang w:eastAsia="en-US"/>
        </w:rPr>
        <w:t> </w:t>
      </w:r>
      <w:r w:rsidRPr="00933CB1">
        <w:rPr>
          <w:rFonts w:ascii="Times New Roman" w:hAnsi="Times New Roman"/>
          <w:lang w:eastAsia="en-US"/>
        </w:rPr>
        <w:t>Commission "should, whenever possible, liaise with a relevant public official"</w:t>
      </w:r>
      <w:r w:rsidRPr="00933CB1">
        <w:rPr>
          <w:rStyle w:val="FootnoteReference"/>
          <w:rFonts w:ascii="Times New Roman" w:hAnsi="Times New Roman"/>
          <w:sz w:val="24"/>
        </w:rPr>
        <w:footnoteReference w:id="69"/>
      </w:r>
      <w:r w:rsidRPr="00933CB1">
        <w:rPr>
          <w:rFonts w:ascii="Times New Roman" w:hAnsi="Times New Roman"/>
          <w:lang w:eastAsia="en-US"/>
        </w:rPr>
        <w:t xml:space="preserve"> and, in performing its corruption function under s 33(1)(b), the</w:t>
      </w:r>
      <w:r>
        <w:rPr>
          <w:rFonts w:ascii="Times New Roman" w:hAnsi="Times New Roman"/>
          <w:lang w:eastAsia="en-US"/>
        </w:rPr>
        <w:t> </w:t>
      </w:r>
      <w:r w:rsidRPr="00933CB1">
        <w:rPr>
          <w:rFonts w:ascii="Times New Roman" w:hAnsi="Times New Roman"/>
          <w:lang w:eastAsia="en-US"/>
        </w:rPr>
        <w:t>Commission "must focus on more serious cases of corrupt conduct and cases of systemic corrupt conduct within a unit of public administration"</w:t>
      </w:r>
      <w:r w:rsidRPr="00933CB1">
        <w:rPr>
          <w:rStyle w:val="FootnoteReference"/>
          <w:rFonts w:ascii="Times New Roman" w:hAnsi="Times New Roman"/>
          <w:sz w:val="24"/>
        </w:rPr>
        <w:footnoteReference w:id="70"/>
      </w:r>
      <w:r w:rsidRPr="00933CB1">
        <w:rPr>
          <w:rFonts w:ascii="Times New Roman" w:hAnsi="Times New Roman"/>
          <w:lang w:eastAsia="en-US"/>
        </w:rPr>
        <w:t>.</w:t>
      </w:r>
    </w:p>
    <w:p w14:paraId="3042204A"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tab/>
        <w:t>A number of terms are defined.</w:t>
      </w:r>
      <w:r w:rsidRPr="00933CB1" w:rsidDel="00C22BC4">
        <w:rPr>
          <w:rFonts w:ascii="Times New Roman" w:hAnsi="Times New Roman"/>
          <w:lang w:eastAsia="en-US"/>
        </w:rPr>
        <w:t xml:space="preserve"> </w:t>
      </w:r>
      <w:r w:rsidRPr="00933CB1">
        <w:rPr>
          <w:rFonts w:ascii="Times New Roman" w:hAnsi="Times New Roman"/>
          <w:lang w:eastAsia="en-US"/>
        </w:rPr>
        <w:t>"[C]</w:t>
      </w:r>
      <w:proofErr w:type="spellStart"/>
      <w:r w:rsidRPr="00933CB1">
        <w:rPr>
          <w:rFonts w:ascii="Times New Roman" w:hAnsi="Times New Roman"/>
          <w:lang w:eastAsia="en-US"/>
        </w:rPr>
        <w:t>orrupt</w:t>
      </w:r>
      <w:proofErr w:type="spellEnd"/>
      <w:r w:rsidRPr="00933CB1">
        <w:rPr>
          <w:rFonts w:ascii="Times New Roman" w:hAnsi="Times New Roman"/>
          <w:lang w:eastAsia="en-US"/>
        </w:rPr>
        <w:t xml:space="preserve"> conduct" is defined in s 15</w:t>
      </w:r>
      <w:r w:rsidRPr="00933CB1">
        <w:rPr>
          <w:rFonts w:ascii="Times New Roman" w:hAnsi="Times New Roman"/>
          <w:b/>
          <w:sz w:val="24"/>
          <w:vertAlign w:val="superscript"/>
          <w:lang w:eastAsia="en-US"/>
        </w:rPr>
        <w:footnoteReference w:id="71"/>
      </w:r>
      <w:r w:rsidRPr="00933CB1">
        <w:rPr>
          <w:rFonts w:ascii="Times New Roman" w:hAnsi="Times New Roman"/>
          <w:lang w:eastAsia="en-US"/>
        </w:rPr>
        <w:t>. There are two definitions, each with three cumulative elements. Under the first definition in s 15(1), there must be conduct of a person, regardless of whether the person holds or held an appointment, that:</w:t>
      </w:r>
    </w:p>
    <w:p w14:paraId="73DD77B1" w14:textId="77777777" w:rsidR="00816474" w:rsidRPr="00933CB1" w:rsidRDefault="00816474" w:rsidP="00933CB1">
      <w:pPr>
        <w:pStyle w:val="NormalBody"/>
        <w:spacing w:after="260" w:line="280" w:lineRule="exact"/>
        <w:ind w:left="720" w:right="0" w:hanging="720"/>
        <w:jc w:val="both"/>
        <w:rPr>
          <w:rFonts w:ascii="Times New Roman" w:hAnsi="Times New Roman"/>
        </w:rPr>
      </w:pPr>
      <w:r w:rsidRPr="00933CB1">
        <w:rPr>
          <w:rFonts w:ascii="Times New Roman" w:hAnsi="Times New Roman"/>
        </w:rPr>
        <w:t>(a)</w:t>
      </w:r>
      <w:r w:rsidRPr="00933CB1">
        <w:rPr>
          <w:rFonts w:ascii="Times New Roman" w:hAnsi="Times New Roman"/>
        </w:rPr>
        <w:tab/>
        <w:t>adversely affects, or could adversely affect, directly or indirectly, the</w:t>
      </w:r>
      <w:r>
        <w:rPr>
          <w:rFonts w:ascii="Times New Roman" w:hAnsi="Times New Roman"/>
        </w:rPr>
        <w:t> </w:t>
      </w:r>
      <w:r w:rsidRPr="00933CB1">
        <w:rPr>
          <w:rFonts w:ascii="Times New Roman" w:hAnsi="Times New Roman"/>
        </w:rPr>
        <w:t xml:space="preserve">performance of functions or the exercise of powers of, relevantly, a unit of public administration; </w:t>
      </w:r>
    </w:p>
    <w:p w14:paraId="1245C614" w14:textId="77777777" w:rsidR="00816474" w:rsidRPr="00933CB1" w:rsidRDefault="00816474" w:rsidP="00933CB1">
      <w:pPr>
        <w:pStyle w:val="NormalBody"/>
        <w:spacing w:after="260" w:line="280" w:lineRule="exact"/>
        <w:ind w:left="720" w:right="0" w:hanging="720"/>
        <w:jc w:val="both"/>
        <w:rPr>
          <w:rFonts w:ascii="Times New Roman" w:hAnsi="Times New Roman"/>
        </w:rPr>
      </w:pPr>
      <w:r w:rsidRPr="00933CB1">
        <w:rPr>
          <w:rFonts w:ascii="Times New Roman" w:hAnsi="Times New Roman"/>
        </w:rPr>
        <w:t>(b)</w:t>
      </w:r>
      <w:r w:rsidRPr="00933CB1">
        <w:rPr>
          <w:rFonts w:ascii="Times New Roman" w:hAnsi="Times New Roman"/>
        </w:rPr>
        <w:tab/>
        <w:t>results, or could result, directly or indirectly, in the performance of functions or the exercise of powers mentioned in para (a) in a way that (</w:t>
      </w:r>
      <w:proofErr w:type="spellStart"/>
      <w:r w:rsidRPr="00933CB1">
        <w:rPr>
          <w:rFonts w:ascii="Times New Roman" w:hAnsi="Times New Roman"/>
        </w:rPr>
        <w:t>i</w:t>
      </w:r>
      <w:proofErr w:type="spellEnd"/>
      <w:r w:rsidRPr="00933CB1">
        <w:rPr>
          <w:rFonts w:ascii="Times New Roman" w:hAnsi="Times New Roman"/>
        </w:rPr>
        <w:t>)</w:t>
      </w:r>
      <w:r>
        <w:rPr>
          <w:rFonts w:ascii="Times New Roman" w:hAnsi="Times New Roman"/>
        </w:rPr>
        <w:t> </w:t>
      </w:r>
      <w:r w:rsidRPr="00933CB1">
        <w:rPr>
          <w:rFonts w:ascii="Times New Roman" w:hAnsi="Times New Roman"/>
        </w:rPr>
        <w:t>is</w:t>
      </w:r>
      <w:r>
        <w:rPr>
          <w:rFonts w:ascii="Times New Roman" w:hAnsi="Times New Roman"/>
        </w:rPr>
        <w:t> </w:t>
      </w:r>
      <w:r w:rsidRPr="00933CB1">
        <w:rPr>
          <w:rFonts w:ascii="Times New Roman" w:hAnsi="Times New Roman"/>
        </w:rPr>
        <w:t>not honest or is not impartial; (ii) involves a breach of the trust placed in a person holding an appointment, either knowingly or recklessly; or</w:t>
      </w:r>
      <w:r>
        <w:rPr>
          <w:rFonts w:ascii="Times New Roman" w:hAnsi="Times New Roman"/>
        </w:rPr>
        <w:t> </w:t>
      </w:r>
      <w:r w:rsidRPr="00933CB1">
        <w:rPr>
          <w:rFonts w:ascii="Times New Roman" w:hAnsi="Times New Roman"/>
        </w:rPr>
        <w:t>(iii) involves a misuse of information or material acquired in or in connection with the performance of functions or the exercise of powers of a person holding an appointment; and</w:t>
      </w:r>
    </w:p>
    <w:p w14:paraId="19CC9BA6" w14:textId="77777777" w:rsidR="00816474" w:rsidRPr="00933CB1" w:rsidRDefault="00816474" w:rsidP="00933CB1">
      <w:pPr>
        <w:pStyle w:val="NormalBody"/>
        <w:spacing w:after="260" w:line="280" w:lineRule="exact"/>
        <w:ind w:left="720" w:right="0" w:hanging="720"/>
        <w:jc w:val="both"/>
        <w:rPr>
          <w:rFonts w:ascii="Times New Roman" w:hAnsi="Times New Roman"/>
        </w:rPr>
      </w:pPr>
      <w:r w:rsidRPr="00933CB1">
        <w:rPr>
          <w:rFonts w:ascii="Times New Roman" w:hAnsi="Times New Roman"/>
        </w:rPr>
        <w:t>(c)</w:t>
      </w:r>
      <w:r w:rsidRPr="00933CB1">
        <w:rPr>
          <w:rFonts w:ascii="Times New Roman" w:hAnsi="Times New Roman"/>
        </w:rPr>
        <w:tab/>
        <w:t>would, if proved, be a criminal offence or a disciplinary breach providing reasonable grounds for terminating the person's services, if the person is or were the holder of an appointment.</w:t>
      </w:r>
    </w:p>
    <w:p w14:paraId="597BF37D" w14:textId="77777777" w:rsidR="00816474" w:rsidRPr="00933CB1" w:rsidRDefault="00816474" w:rsidP="00933CB1">
      <w:pPr>
        <w:pStyle w:val="NormalBody"/>
        <w:spacing w:after="260" w:line="280" w:lineRule="exact"/>
        <w:ind w:right="0"/>
        <w:jc w:val="both"/>
        <w:rPr>
          <w:rFonts w:ascii="Times New Roman" w:hAnsi="Times New Roman"/>
        </w:rPr>
      </w:pPr>
      <w:r w:rsidRPr="00933CB1">
        <w:rPr>
          <w:rFonts w:ascii="Times New Roman" w:hAnsi="Times New Roman"/>
        </w:rPr>
        <w:t xml:space="preserve">Under the second definition in s 15(2), "corrupt conduct" also means conduct of a person that "impairs, or could impair, public confidence in public administration"; </w:t>
      </w:r>
      <w:r w:rsidRPr="00933CB1">
        <w:rPr>
          <w:rFonts w:ascii="Times New Roman" w:hAnsi="Times New Roman"/>
          <w:i/>
        </w:rPr>
        <w:lastRenderedPageBreak/>
        <w:t>and</w:t>
      </w:r>
      <w:r w:rsidRPr="00933CB1">
        <w:rPr>
          <w:rFonts w:ascii="Times New Roman" w:hAnsi="Times New Roman"/>
        </w:rPr>
        <w:t xml:space="preserve"> involves or could involve, amongst other things, "dishonestly obtaining ... a</w:t>
      </w:r>
      <w:r>
        <w:rPr>
          <w:rFonts w:ascii="Times New Roman" w:hAnsi="Times New Roman"/>
        </w:rPr>
        <w:t> </w:t>
      </w:r>
      <w:r w:rsidRPr="00933CB1">
        <w:rPr>
          <w:rFonts w:ascii="Times New Roman" w:hAnsi="Times New Roman"/>
        </w:rPr>
        <w:t xml:space="preserve">benefit from the payment or application of public funds ..."; </w:t>
      </w:r>
      <w:r w:rsidRPr="00933CB1">
        <w:rPr>
          <w:rFonts w:ascii="Times New Roman" w:hAnsi="Times New Roman"/>
          <w:i/>
        </w:rPr>
        <w:t>and</w:t>
      </w:r>
      <w:r w:rsidRPr="00933CB1">
        <w:rPr>
          <w:rFonts w:ascii="Times New Roman" w:hAnsi="Times New Roman"/>
        </w:rPr>
        <w:t xml:space="preserve"> the conduct if proved would satisfy the same condition in s 15(1)(c) above. </w:t>
      </w:r>
    </w:p>
    <w:p w14:paraId="0338E77E"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tab/>
      </w:r>
      <w:r w:rsidRPr="00933CB1">
        <w:rPr>
          <w:rFonts w:ascii="Times New Roman" w:hAnsi="Times New Roman"/>
        </w:rPr>
        <w:t>"[U]nit of public administration" includes the Legislative Assembly, and</w:t>
      </w:r>
      <w:r>
        <w:rPr>
          <w:rFonts w:ascii="Times New Roman" w:hAnsi="Times New Roman"/>
        </w:rPr>
        <w:t> </w:t>
      </w:r>
      <w:r w:rsidRPr="00933CB1">
        <w:rPr>
          <w:rFonts w:ascii="Times New Roman" w:hAnsi="Times New Roman"/>
        </w:rPr>
        <w:t>the Parliamentary Service</w:t>
      </w:r>
      <w:r w:rsidRPr="00933CB1">
        <w:rPr>
          <w:rStyle w:val="FootnoteReference"/>
          <w:rFonts w:ascii="Times New Roman" w:hAnsi="Times New Roman"/>
          <w:sz w:val="24"/>
        </w:rPr>
        <w:footnoteReference w:id="72"/>
      </w:r>
      <w:r w:rsidRPr="00933CB1">
        <w:rPr>
          <w:rFonts w:ascii="Times New Roman" w:hAnsi="Times New Roman"/>
        </w:rPr>
        <w:t>, as well as a noncorporate entity established or maintained under an Act that is funded to any extent with State money</w:t>
      </w:r>
      <w:r w:rsidRPr="00933CB1">
        <w:rPr>
          <w:rStyle w:val="FootnoteReference"/>
          <w:rFonts w:ascii="Times New Roman" w:hAnsi="Times New Roman"/>
          <w:sz w:val="24"/>
        </w:rPr>
        <w:footnoteReference w:id="73"/>
      </w:r>
      <w:r w:rsidRPr="00933CB1">
        <w:rPr>
          <w:rFonts w:ascii="Times New Roman" w:hAnsi="Times New Roman"/>
        </w:rPr>
        <w:t>. There</w:t>
      </w:r>
      <w:r>
        <w:rPr>
          <w:rFonts w:ascii="Times New Roman" w:hAnsi="Times New Roman"/>
        </w:rPr>
        <w:t> </w:t>
      </w:r>
      <w:r w:rsidRPr="00933CB1">
        <w:rPr>
          <w:rFonts w:ascii="Times New Roman" w:hAnsi="Times New Roman"/>
        </w:rPr>
        <w:t>was no dispute that the Public Trust Office was a unit of public administration.</w:t>
      </w:r>
    </w:p>
    <w:p w14:paraId="39158186"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rPr>
        <w:tab/>
      </w:r>
      <w:r w:rsidRPr="00933CB1">
        <w:rPr>
          <w:rFonts w:ascii="Times New Roman" w:hAnsi="Times New Roman"/>
          <w:lang w:eastAsia="en-US"/>
        </w:rPr>
        <w:t xml:space="preserve">Procedures for making a complaint about corrupt conduct and what the Commission is to do on receiving a complaint are set out in </w:t>
      </w:r>
      <w:proofErr w:type="spellStart"/>
      <w:r w:rsidRPr="00933CB1">
        <w:rPr>
          <w:rFonts w:ascii="Times New Roman" w:hAnsi="Times New Roman"/>
          <w:lang w:eastAsia="en-US"/>
        </w:rPr>
        <w:t>Divs</w:t>
      </w:r>
      <w:proofErr w:type="spellEnd"/>
      <w:r w:rsidRPr="00933CB1">
        <w:rPr>
          <w:rFonts w:ascii="Times New Roman" w:hAnsi="Times New Roman"/>
          <w:lang w:eastAsia="en-US"/>
        </w:rPr>
        <w:t xml:space="preserve"> 2-4 of Pt 3 of Ch 2 of the CC Act. Relevantly, s 45(1) provides that the Commission has primary responsibility for dealing with complaints about, or information or matter involving, corrupt conduct. </w:t>
      </w:r>
      <w:r w:rsidRPr="00933CB1">
        <w:rPr>
          <w:rFonts w:ascii="Times New Roman" w:hAnsi="Times New Roman"/>
        </w:rPr>
        <w:t>The phrase "</w:t>
      </w:r>
      <w:r w:rsidRPr="00933CB1">
        <w:rPr>
          <w:rFonts w:ascii="Times New Roman" w:hAnsi="Times New Roman"/>
          <w:b/>
          <w:bCs/>
          <w:i/>
          <w:iCs/>
        </w:rPr>
        <w:t>deal with</w:t>
      </w:r>
      <w:r w:rsidRPr="00933CB1">
        <w:rPr>
          <w:rFonts w:ascii="Times New Roman" w:hAnsi="Times New Roman"/>
        </w:rPr>
        <w:t>, a complaint about corruption or information or matter involving corruption" is defined in Sch 2 as relevantly including to "investigate the complaint, information or matter"; "refer the complaint, information or matter to an appropriate authority to start a prosecution or disciplinary proceeding"; "start a disciplinary proceeding"; and "take other action, including managerial action, to address the complaint in an appropriate way".</w:t>
      </w:r>
    </w:p>
    <w:p w14:paraId="0916C6BB"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tab/>
        <w:t>Section 46(1) provides that the Commission deals with a complaint about, or information or matter involving, corrupt conduct by expeditiously assessing each corruption complaint and "taking the action the commission considers most appropriate in the circumstances having regard to the principles set out in section</w:t>
      </w:r>
      <w:r>
        <w:rPr>
          <w:rFonts w:ascii="Times New Roman" w:hAnsi="Times New Roman"/>
          <w:lang w:eastAsia="en-US"/>
        </w:rPr>
        <w:t> </w:t>
      </w:r>
      <w:r w:rsidRPr="00933CB1">
        <w:rPr>
          <w:rFonts w:ascii="Times New Roman" w:hAnsi="Times New Roman"/>
          <w:lang w:eastAsia="en-US"/>
        </w:rPr>
        <w:t xml:space="preserve">34". Section 46(2) lists the action the Commission may take. It may: </w:t>
      </w:r>
    </w:p>
    <w:p w14:paraId="49D29E45" w14:textId="77777777" w:rsidR="00816474" w:rsidRPr="00933CB1" w:rsidRDefault="00816474" w:rsidP="00933CB1">
      <w:pPr>
        <w:pStyle w:val="LeftrightHanging"/>
        <w:spacing w:before="0" w:after="260" w:line="280" w:lineRule="exact"/>
        <w:ind w:right="0"/>
        <w:jc w:val="both"/>
        <w:rPr>
          <w:rFonts w:ascii="Times New Roman" w:hAnsi="Times New Roman"/>
        </w:rPr>
      </w:pPr>
      <w:r w:rsidRPr="00933CB1">
        <w:rPr>
          <w:rFonts w:ascii="Times New Roman" w:hAnsi="Times New Roman"/>
          <w:lang w:eastAsia="en-US"/>
        </w:rPr>
        <w:t>"(a)</w:t>
      </w:r>
      <w:r w:rsidRPr="00933CB1">
        <w:rPr>
          <w:rFonts w:ascii="Times New Roman" w:hAnsi="Times New Roman"/>
          <w:lang w:eastAsia="en-US"/>
        </w:rPr>
        <w:tab/>
      </w:r>
      <w:r w:rsidRPr="00933CB1">
        <w:rPr>
          <w:rFonts w:ascii="Times New Roman" w:hAnsi="Times New Roman"/>
        </w:rPr>
        <w:t>deal with each complaint about corrupt conduct that it considers should not be referred to a public official to be dealt with;</w:t>
      </w:r>
    </w:p>
    <w:p w14:paraId="300E8898" w14:textId="77777777" w:rsidR="00816474" w:rsidRPr="00933CB1" w:rsidRDefault="00816474" w:rsidP="00933CB1">
      <w:pPr>
        <w:pStyle w:val="LeftrightHanging"/>
        <w:spacing w:before="0" w:after="260" w:line="280" w:lineRule="exact"/>
        <w:ind w:right="0"/>
        <w:jc w:val="both"/>
        <w:rPr>
          <w:rFonts w:ascii="Times New Roman" w:hAnsi="Times New Roman"/>
          <w:lang w:eastAsia="en-US"/>
        </w:rPr>
      </w:pPr>
      <w:r w:rsidRPr="00933CB1">
        <w:rPr>
          <w:rFonts w:ascii="Times New Roman" w:hAnsi="Times New Roman"/>
          <w:lang w:eastAsia="en-US"/>
        </w:rPr>
        <w:t>(b)</w:t>
      </w:r>
      <w:r w:rsidRPr="00933CB1">
        <w:rPr>
          <w:rFonts w:ascii="Times New Roman" w:hAnsi="Times New Roman"/>
          <w:lang w:eastAsia="en-US"/>
        </w:rPr>
        <w:tab/>
        <w:t xml:space="preserve">refer a complaint about corrupt conduct to a public official to be dealt with by the public official or in cooperation with the commission, </w:t>
      </w:r>
      <w:r w:rsidRPr="00933CB1">
        <w:rPr>
          <w:rFonts w:ascii="Times New Roman" w:hAnsi="Times New Roman"/>
          <w:i/>
          <w:iCs/>
          <w:lang w:eastAsia="en-US"/>
        </w:rPr>
        <w:t>subject to the commission's monitoring role</w:t>
      </w:r>
      <w:r w:rsidRPr="00933CB1">
        <w:rPr>
          <w:rFonts w:ascii="Times New Roman" w:hAnsi="Times New Roman"/>
          <w:lang w:eastAsia="en-US"/>
        </w:rPr>
        <w:t>;</w:t>
      </w:r>
    </w:p>
    <w:p w14:paraId="389B0CA8" w14:textId="77777777" w:rsidR="00816474" w:rsidRPr="00933CB1" w:rsidRDefault="00816474" w:rsidP="00933CB1">
      <w:pPr>
        <w:pStyle w:val="LeftrightHanging"/>
        <w:spacing w:before="0" w:after="260" w:line="280" w:lineRule="exact"/>
        <w:ind w:right="0"/>
        <w:jc w:val="both"/>
        <w:rPr>
          <w:rFonts w:ascii="Times New Roman" w:hAnsi="Times New Roman"/>
          <w:lang w:eastAsia="en-US"/>
        </w:rPr>
      </w:pPr>
      <w:r w:rsidRPr="00933CB1">
        <w:rPr>
          <w:rFonts w:ascii="Times New Roman" w:hAnsi="Times New Roman"/>
          <w:lang w:eastAsia="en-US"/>
        </w:rPr>
        <w:t>...</w:t>
      </w:r>
    </w:p>
    <w:p w14:paraId="2F414FEA" w14:textId="77777777" w:rsidR="00816474" w:rsidRDefault="00816474" w:rsidP="00933CB1">
      <w:pPr>
        <w:pStyle w:val="LeftrightHanging"/>
        <w:spacing w:before="0" w:after="260" w:line="280" w:lineRule="exact"/>
        <w:ind w:right="0"/>
        <w:jc w:val="both"/>
        <w:rPr>
          <w:rFonts w:ascii="Times New Roman" w:hAnsi="Times New Roman"/>
        </w:rPr>
      </w:pPr>
      <w:r w:rsidRPr="00933CB1">
        <w:rPr>
          <w:rFonts w:ascii="Times New Roman" w:hAnsi="Times New Roman"/>
          <w:lang w:eastAsia="en-US"/>
        </w:rPr>
        <w:t>(g)</w:t>
      </w:r>
      <w:r w:rsidRPr="00933CB1">
        <w:rPr>
          <w:rFonts w:ascii="Times New Roman" w:hAnsi="Times New Roman"/>
          <w:lang w:eastAsia="en-US"/>
        </w:rPr>
        <w:tab/>
      </w:r>
      <w:r w:rsidRPr="00933CB1">
        <w:rPr>
          <w:rFonts w:ascii="Times New Roman" w:hAnsi="Times New Roman"/>
        </w:rPr>
        <w:t>if the commission is satisfied that [the complaint is frivolous etc] take no action or discontinue action." (emphasis added)</w:t>
      </w:r>
    </w:p>
    <w:p w14:paraId="77A39766"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lastRenderedPageBreak/>
        <w:tab/>
        <w:t xml:space="preserve">Section 46A provides that where there is a matter that falls within s 33(2) – the extended definition of </w:t>
      </w:r>
      <w:r w:rsidRPr="00933CB1">
        <w:rPr>
          <w:rFonts w:ascii="Times New Roman" w:hAnsi="Times New Roman"/>
          <w:i/>
          <w:lang w:eastAsia="en-US"/>
        </w:rPr>
        <w:t>corruption functions –</w:t>
      </w:r>
      <w:r w:rsidRPr="00933CB1">
        <w:rPr>
          <w:rFonts w:ascii="Times New Roman" w:hAnsi="Times New Roman"/>
          <w:lang w:eastAsia="en-US"/>
        </w:rPr>
        <w:t xml:space="preserve"> the Commission deals with the matter by: assessing it; if the Commission considers it appropriate, investigating</w:t>
      </w:r>
      <w:r>
        <w:rPr>
          <w:rFonts w:ascii="Times New Roman" w:hAnsi="Times New Roman"/>
          <w:lang w:eastAsia="en-US"/>
        </w:rPr>
        <w:t> </w:t>
      </w:r>
      <w:r w:rsidRPr="00933CB1">
        <w:rPr>
          <w:rFonts w:ascii="Times New Roman" w:hAnsi="Times New Roman"/>
          <w:lang w:eastAsia="en-US"/>
        </w:rPr>
        <w:t>the matter; and taking the action the Commission "considers most appropriate in the circumstances having regard to the public interest principle set out in section 34(d)".</w:t>
      </w:r>
    </w:p>
    <w:p w14:paraId="59F42AA0"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lang w:eastAsia="en-US"/>
        </w:rPr>
        <w:tab/>
        <w:t xml:space="preserve">Other relevant aspects of the CC Act must be noted. </w:t>
      </w:r>
      <w:r w:rsidRPr="00933CB1">
        <w:rPr>
          <w:rFonts w:ascii="Times New Roman" w:hAnsi="Times New Roman"/>
        </w:rPr>
        <w:t>Chapter 4 of the CC</w:t>
      </w:r>
      <w:r>
        <w:rPr>
          <w:rFonts w:ascii="Times New Roman" w:hAnsi="Times New Roman"/>
        </w:rPr>
        <w:t> </w:t>
      </w:r>
      <w:r w:rsidRPr="00933CB1">
        <w:rPr>
          <w:rFonts w:ascii="Times New Roman" w:hAnsi="Times New Roman"/>
        </w:rPr>
        <w:t>Act addresses the Commission's hearings. Subject to some limited and presently irrelevant exceptions, the Commission may authorise the holding of a hearing in relation to any matter relevant to the performance of its functions</w:t>
      </w:r>
      <w:r w:rsidRPr="00933CB1">
        <w:rPr>
          <w:rStyle w:val="FootnoteReference"/>
          <w:rFonts w:ascii="Times New Roman" w:hAnsi="Times New Roman"/>
          <w:sz w:val="24"/>
        </w:rPr>
        <w:footnoteReference w:id="74"/>
      </w:r>
      <w:r w:rsidRPr="00933CB1">
        <w:rPr>
          <w:rFonts w:ascii="Times New Roman" w:hAnsi="Times New Roman"/>
        </w:rPr>
        <w:t xml:space="preserve">. Generally, a hearing is </w:t>
      </w:r>
      <w:r w:rsidRPr="00933CB1">
        <w:rPr>
          <w:rFonts w:ascii="Times New Roman" w:hAnsi="Times New Roman"/>
          <w:i/>
          <w:iCs/>
        </w:rPr>
        <w:t xml:space="preserve">not </w:t>
      </w:r>
      <w:r w:rsidRPr="00933CB1">
        <w:rPr>
          <w:rFonts w:ascii="Times New Roman" w:hAnsi="Times New Roman"/>
        </w:rPr>
        <w:t>open to the public</w:t>
      </w:r>
      <w:r w:rsidRPr="00933CB1">
        <w:rPr>
          <w:rStyle w:val="FootnoteReference"/>
          <w:rFonts w:ascii="Times New Roman" w:hAnsi="Times New Roman"/>
          <w:sz w:val="24"/>
        </w:rPr>
        <w:footnoteReference w:id="75"/>
      </w:r>
      <w:r w:rsidRPr="00933CB1">
        <w:rPr>
          <w:rFonts w:ascii="Times New Roman" w:hAnsi="Times New Roman"/>
        </w:rPr>
        <w:t>. Where a person claims, among</w:t>
      </w:r>
      <w:r>
        <w:rPr>
          <w:rFonts w:ascii="Times New Roman" w:hAnsi="Times New Roman"/>
        </w:rPr>
        <w:t> </w:t>
      </w:r>
      <w:r w:rsidRPr="00933CB1">
        <w:rPr>
          <w:rFonts w:ascii="Times New Roman" w:hAnsi="Times New Roman"/>
        </w:rPr>
        <w:t>other things, that a Commission investigation into corrupt conduct (including a matter mentioned in s 33(2)) is being conducted unfairly, that person may apply to a Supreme Court judge for an order in the nature of a mandatory or restrictive injunction – a form of judicial review – during the investigation</w:t>
      </w:r>
      <w:r w:rsidRPr="00933CB1">
        <w:rPr>
          <w:rStyle w:val="FootnoteReference"/>
          <w:rFonts w:ascii="Times New Roman" w:hAnsi="Times New Roman"/>
          <w:sz w:val="24"/>
        </w:rPr>
        <w:footnoteReference w:id="76"/>
      </w:r>
      <w:r w:rsidRPr="00933CB1">
        <w:rPr>
          <w:rFonts w:ascii="Times New Roman" w:hAnsi="Times New Roman"/>
        </w:rPr>
        <w:t>.</w:t>
      </w:r>
    </w:p>
    <w:p w14:paraId="07141EA9" w14:textId="77777777" w:rsidR="00816474" w:rsidRPr="00933CB1" w:rsidRDefault="00816474" w:rsidP="00933CB1">
      <w:pPr>
        <w:pStyle w:val="FixListStyle"/>
        <w:spacing w:after="260" w:line="280" w:lineRule="exact"/>
        <w:ind w:right="0"/>
        <w:jc w:val="both"/>
        <w:rPr>
          <w:rFonts w:ascii="Times New Roman" w:hAnsi="Times New Roman"/>
          <w:lang w:eastAsia="en-US"/>
        </w:rPr>
      </w:pPr>
      <w:r w:rsidRPr="00933CB1">
        <w:rPr>
          <w:rFonts w:ascii="Times New Roman" w:hAnsi="Times New Roman"/>
        </w:rPr>
        <w:tab/>
        <w:t xml:space="preserve">If the Commission investigates a complaint about, or information or matter involving, corruption </w:t>
      </w:r>
      <w:r w:rsidRPr="00933CB1">
        <w:rPr>
          <w:rFonts w:ascii="Times New Roman" w:hAnsi="Times New Roman"/>
          <w:i/>
          <w:iCs/>
        </w:rPr>
        <w:t>and decides</w:t>
      </w:r>
      <w:r w:rsidRPr="00933CB1">
        <w:rPr>
          <w:rFonts w:ascii="Times New Roman" w:hAnsi="Times New Roman"/>
        </w:rPr>
        <w:t xml:space="preserve"> that prosecution proceedings or disciplinary action </w:t>
      </w:r>
      <w:r w:rsidRPr="00933CB1">
        <w:rPr>
          <w:rFonts w:ascii="Times New Roman" w:hAnsi="Times New Roman"/>
          <w:i/>
        </w:rPr>
        <w:t>should be considered</w:t>
      </w:r>
      <w:r w:rsidRPr="00933CB1">
        <w:rPr>
          <w:rStyle w:val="FootnoteReference"/>
          <w:rFonts w:ascii="Times New Roman" w:hAnsi="Times New Roman"/>
          <w:sz w:val="24"/>
        </w:rPr>
        <w:footnoteReference w:id="77"/>
      </w:r>
      <w:r w:rsidRPr="00933CB1">
        <w:rPr>
          <w:rFonts w:ascii="Times New Roman" w:hAnsi="Times New Roman"/>
        </w:rPr>
        <w:t xml:space="preserve">, then s 49(2) provides: </w:t>
      </w:r>
    </w:p>
    <w:p w14:paraId="29E8E767" w14:textId="77777777" w:rsidR="00816474" w:rsidRPr="00933CB1" w:rsidRDefault="00816474" w:rsidP="00933CB1">
      <w:pPr>
        <w:pStyle w:val="LeftrightafterHC"/>
        <w:spacing w:before="0" w:after="260" w:line="280" w:lineRule="exact"/>
        <w:ind w:right="0"/>
        <w:jc w:val="both"/>
        <w:rPr>
          <w:rFonts w:ascii="Times New Roman" w:hAnsi="Times New Roman"/>
        </w:rPr>
      </w:pPr>
      <w:r w:rsidRPr="00933CB1">
        <w:rPr>
          <w:rFonts w:ascii="Times New Roman" w:hAnsi="Times New Roman"/>
        </w:rPr>
        <w:t xml:space="preserve">"The commission </w:t>
      </w:r>
      <w:r w:rsidRPr="00933CB1">
        <w:rPr>
          <w:rFonts w:ascii="Times New Roman" w:hAnsi="Times New Roman"/>
          <w:i/>
        </w:rPr>
        <w:t>may report on the investigation</w:t>
      </w:r>
      <w:r w:rsidRPr="00933CB1">
        <w:rPr>
          <w:rFonts w:ascii="Times New Roman" w:hAnsi="Times New Roman"/>
        </w:rPr>
        <w:t xml:space="preserve"> to any of the following as appropriate –</w:t>
      </w:r>
    </w:p>
    <w:p w14:paraId="6702221F" w14:textId="77777777" w:rsidR="00816474" w:rsidRPr="00933CB1" w:rsidRDefault="00816474" w:rsidP="00933CB1">
      <w:pPr>
        <w:pStyle w:val="LeftrightHanging"/>
        <w:spacing w:before="0" w:after="260" w:line="280" w:lineRule="exact"/>
        <w:ind w:right="0"/>
        <w:jc w:val="both"/>
        <w:rPr>
          <w:rFonts w:ascii="Times New Roman" w:hAnsi="Times New Roman"/>
        </w:rPr>
      </w:pPr>
      <w:r w:rsidRPr="00933CB1">
        <w:rPr>
          <w:rFonts w:ascii="Times New Roman" w:hAnsi="Times New Roman"/>
        </w:rPr>
        <w:t>(a)</w:t>
      </w:r>
      <w:r w:rsidRPr="00933CB1">
        <w:rPr>
          <w:rFonts w:ascii="Times New Roman" w:hAnsi="Times New Roman"/>
        </w:rPr>
        <w:tab/>
        <w:t>a prosecuting authority, for the purposes of any prosecution proceedings the authority considers warranted;</w:t>
      </w:r>
    </w:p>
    <w:p w14:paraId="57E3F8F2" w14:textId="77777777" w:rsidR="00816474" w:rsidRPr="00933CB1" w:rsidRDefault="00816474" w:rsidP="00933CB1">
      <w:pPr>
        <w:pStyle w:val="leftright"/>
        <w:spacing w:before="0" w:after="260" w:line="280" w:lineRule="exact"/>
        <w:ind w:right="0"/>
        <w:jc w:val="both"/>
        <w:rPr>
          <w:rFonts w:ascii="Times New Roman" w:hAnsi="Times New Roman"/>
        </w:rPr>
      </w:pPr>
      <w:r w:rsidRPr="00933CB1">
        <w:rPr>
          <w:rFonts w:ascii="Times New Roman" w:hAnsi="Times New Roman"/>
        </w:rPr>
        <w:t>...</w:t>
      </w:r>
    </w:p>
    <w:p w14:paraId="5FD23527" w14:textId="77777777" w:rsidR="00816474" w:rsidRDefault="00816474" w:rsidP="00933CB1">
      <w:pPr>
        <w:pStyle w:val="LeftrightHanging"/>
        <w:spacing w:before="0" w:after="260" w:line="280" w:lineRule="exact"/>
        <w:ind w:right="0"/>
        <w:jc w:val="both"/>
        <w:rPr>
          <w:rFonts w:ascii="Times New Roman" w:hAnsi="Times New Roman"/>
        </w:rPr>
      </w:pPr>
      <w:r w:rsidRPr="00933CB1">
        <w:rPr>
          <w:rFonts w:ascii="Times New Roman" w:hAnsi="Times New Roman"/>
        </w:rPr>
        <w:t>(f)</w:t>
      </w:r>
      <w:r w:rsidRPr="00933CB1">
        <w:rPr>
          <w:rFonts w:ascii="Times New Roman" w:hAnsi="Times New Roman"/>
        </w:rPr>
        <w:tab/>
        <w:t xml:space="preserve">the chief executive officer of a relevant unit of public administration, </w:t>
      </w:r>
      <w:r w:rsidRPr="00933CB1">
        <w:rPr>
          <w:rFonts w:ascii="Times New Roman" w:hAnsi="Times New Roman"/>
          <w:i/>
          <w:iCs/>
        </w:rPr>
        <w:t>for the purpose of taking disciplinary action</w:t>
      </w:r>
      <w:r w:rsidRPr="00933CB1">
        <w:rPr>
          <w:rFonts w:ascii="Times New Roman" w:hAnsi="Times New Roman"/>
        </w:rPr>
        <w:t>, if the report does not relate to the conduct of a judge, magistrate or other holder of judicial office."</w:t>
      </w:r>
      <w:r>
        <w:rPr>
          <w:rFonts w:ascii="Times New Roman" w:hAnsi="Times New Roman"/>
        </w:rPr>
        <w:t xml:space="preserve"> </w:t>
      </w:r>
      <w:r w:rsidRPr="00933CB1">
        <w:rPr>
          <w:rFonts w:ascii="Times New Roman" w:hAnsi="Times New Roman"/>
        </w:rPr>
        <w:t>(emphasis added)</w:t>
      </w:r>
    </w:p>
    <w:p w14:paraId="1E4DFFD2" w14:textId="77777777" w:rsidR="00816474" w:rsidRPr="00933CB1" w:rsidRDefault="00816474" w:rsidP="00933CB1">
      <w:pPr>
        <w:pStyle w:val="NormalBody"/>
        <w:spacing w:after="260" w:line="280" w:lineRule="exact"/>
        <w:ind w:right="0"/>
        <w:jc w:val="both"/>
        <w:rPr>
          <w:rFonts w:ascii="Times New Roman" w:hAnsi="Times New Roman"/>
        </w:rPr>
      </w:pPr>
      <w:r w:rsidRPr="00933CB1">
        <w:rPr>
          <w:rFonts w:ascii="Times New Roman" w:hAnsi="Times New Roman"/>
        </w:rPr>
        <w:t xml:space="preserve">In the case of Mr Carne, s 49 was engaged in May 2019 when the Commission reported to the Attorney-General that the Commission had decided that </w:t>
      </w:r>
      <w:r w:rsidRPr="00933CB1">
        <w:rPr>
          <w:rFonts w:ascii="Times New Roman" w:hAnsi="Times New Roman"/>
        </w:rPr>
        <w:lastRenderedPageBreak/>
        <w:t>"disciplinary action" should be considered. As will be seen, that "report" to the Attorney-General could not be published under s 69 of the CC Act</w:t>
      </w:r>
      <w:r w:rsidRPr="00933CB1">
        <w:rPr>
          <w:rStyle w:val="FootnoteReference"/>
          <w:rFonts w:ascii="Times New Roman" w:hAnsi="Times New Roman"/>
          <w:sz w:val="24"/>
        </w:rPr>
        <w:footnoteReference w:id="78"/>
      </w:r>
      <w:r w:rsidRPr="00933CB1">
        <w:rPr>
          <w:rFonts w:ascii="Times New Roman" w:hAnsi="Times New Roman"/>
        </w:rPr>
        <w:t>.</w:t>
      </w:r>
    </w:p>
    <w:p w14:paraId="315BEF49"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Section 51 provides that nothing in Pt 3 – the </w:t>
      </w:r>
      <w:r w:rsidRPr="00933CB1">
        <w:rPr>
          <w:rFonts w:ascii="Times New Roman" w:hAnsi="Times New Roman"/>
          <w:i/>
          <w:iCs/>
        </w:rPr>
        <w:t>corruption functions</w:t>
      </w:r>
      <w:r w:rsidRPr="00933CB1">
        <w:rPr>
          <w:rFonts w:ascii="Times New Roman" w:hAnsi="Times New Roman"/>
        </w:rPr>
        <w:t xml:space="preserve"> – "limits</w:t>
      </w:r>
      <w:r>
        <w:rPr>
          <w:rFonts w:ascii="Times New Roman" w:hAnsi="Times New Roman"/>
        </w:rPr>
        <w:t> </w:t>
      </w:r>
      <w:r w:rsidRPr="00933CB1">
        <w:rPr>
          <w:rFonts w:ascii="Times New Roman" w:hAnsi="Times New Roman"/>
        </w:rPr>
        <w:t xml:space="preserve">the action </w:t>
      </w:r>
      <w:r w:rsidRPr="00933CB1">
        <w:rPr>
          <w:rFonts w:ascii="Times New Roman" w:hAnsi="Times New Roman"/>
          <w:i/>
          <w:iCs/>
        </w:rPr>
        <w:t>that may lawfully</w:t>
      </w:r>
      <w:r w:rsidRPr="00933CB1">
        <w:rPr>
          <w:rFonts w:ascii="Times New Roman" w:hAnsi="Times New Roman"/>
        </w:rPr>
        <w:t xml:space="preserve"> be taken by the commission or a unit of public administration to discipline or otherwise deal with a person for corruption" (emphasis added). The Commission may use information in its possession when performing its functions</w:t>
      </w:r>
      <w:r w:rsidRPr="00933CB1">
        <w:rPr>
          <w:rStyle w:val="FootnoteReference"/>
          <w:rFonts w:ascii="Times New Roman" w:hAnsi="Times New Roman"/>
          <w:sz w:val="24"/>
        </w:rPr>
        <w:footnoteReference w:id="79"/>
      </w:r>
      <w:r w:rsidRPr="00933CB1">
        <w:rPr>
          <w:rFonts w:ascii="Times New Roman" w:hAnsi="Times New Roman"/>
        </w:rPr>
        <w:t>. In particular, the Commission may give information to any entity the Commission considers appropriate</w:t>
      </w:r>
      <w:r w:rsidRPr="00933CB1">
        <w:rPr>
          <w:rStyle w:val="FootnoteReference"/>
          <w:rFonts w:ascii="Times New Roman" w:hAnsi="Times New Roman"/>
          <w:sz w:val="24"/>
        </w:rPr>
        <w:footnoteReference w:id="80"/>
      </w:r>
      <w:r w:rsidRPr="00933CB1">
        <w:rPr>
          <w:rFonts w:ascii="Times New Roman" w:hAnsi="Times New Roman"/>
        </w:rPr>
        <w:t>. Section 60(2) (together with s 49(2)(f)) was the power relied upon by the Commission when it wrote to the Attorney-General in May 2019 and s 60(2) was also the power relied upon by the Commission when it disseminated evidence relating to allegations of academic misconduct to the Queensland University of Technology ("QUT") between July and October 2019.</w:t>
      </w:r>
    </w:p>
    <w:p w14:paraId="2EF78EC0"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Part 6 of Ch 2 of the CC Act is headed "Reporting". Part 6 "does not apply in relation </w:t>
      </w:r>
      <w:r w:rsidRPr="00933CB1">
        <w:rPr>
          <w:rFonts w:ascii="Times New Roman" w:hAnsi="Times New Roman"/>
          <w:iCs/>
        </w:rPr>
        <w:t>to</w:t>
      </w:r>
      <w:r w:rsidRPr="00933CB1">
        <w:rPr>
          <w:rFonts w:ascii="Times New Roman" w:hAnsi="Times New Roman"/>
          <w:i/>
        </w:rPr>
        <w:t xml:space="preserve"> the performance of</w:t>
      </w:r>
      <w:r w:rsidRPr="00933CB1">
        <w:rPr>
          <w:rFonts w:ascii="Times New Roman" w:hAnsi="Times New Roman"/>
        </w:rPr>
        <w:t xml:space="preserve"> </w:t>
      </w:r>
      <w:r w:rsidRPr="00933CB1">
        <w:rPr>
          <w:rFonts w:ascii="Times New Roman" w:hAnsi="Times New Roman"/>
          <w:i/>
        </w:rPr>
        <w:t>crime functions</w:t>
      </w:r>
      <w:r w:rsidRPr="00933CB1">
        <w:rPr>
          <w:rFonts w:ascii="Times New Roman" w:hAnsi="Times New Roman"/>
        </w:rPr>
        <w:t>"</w:t>
      </w:r>
      <w:r w:rsidRPr="00933CB1">
        <w:rPr>
          <w:rFonts w:ascii="Times New Roman" w:hAnsi="Times New Roman"/>
          <w:b/>
          <w:bCs/>
          <w:sz w:val="24"/>
          <w:vertAlign w:val="superscript"/>
        </w:rPr>
        <w:footnoteReference w:id="81"/>
      </w:r>
      <w:r w:rsidRPr="00933CB1">
        <w:rPr>
          <w:rFonts w:ascii="Times New Roman" w:hAnsi="Times New Roman"/>
        </w:rPr>
        <w:t>. It does apply to corruption functions. Under s 64(1), the Commission may report in performing its functions (except, of course, its crime functions). The Commission relevantly must include in each of the reports any recommendations</w:t>
      </w:r>
      <w:r w:rsidRPr="00933CB1">
        <w:rPr>
          <w:rStyle w:val="FootnoteReference"/>
          <w:rFonts w:ascii="Times New Roman" w:hAnsi="Times New Roman"/>
          <w:sz w:val="24"/>
        </w:rPr>
        <w:footnoteReference w:id="82"/>
      </w:r>
      <w:r w:rsidRPr="00933CB1">
        <w:rPr>
          <w:rFonts w:ascii="Times New Roman" w:hAnsi="Times New Roman"/>
        </w:rPr>
        <w:t xml:space="preserve"> and "an objective summary of all matters of which it is aware that support, oppose or are otherwise relevant to its recommendations"</w:t>
      </w:r>
      <w:r w:rsidRPr="00933CB1">
        <w:rPr>
          <w:rStyle w:val="FootnoteReference"/>
          <w:rFonts w:ascii="Times New Roman" w:hAnsi="Times New Roman"/>
          <w:sz w:val="24"/>
        </w:rPr>
        <w:footnoteReference w:id="83"/>
      </w:r>
      <w:r w:rsidRPr="00933CB1">
        <w:rPr>
          <w:rFonts w:ascii="Times New Roman" w:hAnsi="Times New Roman"/>
        </w:rPr>
        <w:t>.</w:t>
      </w:r>
    </w:p>
    <w:p w14:paraId="6A2C1D4F"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r>
      <w:r w:rsidRPr="00933CB1">
        <w:rPr>
          <w:rFonts w:ascii="Times New Roman" w:hAnsi="Times New Roman"/>
          <w:lang w:eastAsia="en-US"/>
        </w:rPr>
        <w:t xml:space="preserve">Section 69, in </w:t>
      </w:r>
      <w:proofErr w:type="spellStart"/>
      <w:r w:rsidRPr="00933CB1">
        <w:rPr>
          <w:rFonts w:ascii="Times New Roman" w:hAnsi="Times New Roman"/>
          <w:lang w:eastAsia="en-US"/>
        </w:rPr>
        <w:t>Div</w:t>
      </w:r>
      <w:proofErr w:type="spellEnd"/>
      <w:r w:rsidRPr="00933CB1">
        <w:rPr>
          <w:rFonts w:ascii="Times New Roman" w:hAnsi="Times New Roman"/>
          <w:lang w:eastAsia="en-US"/>
        </w:rPr>
        <w:t xml:space="preserve"> 4 of Pt 6, is headed "Tabling requirements". It requires the existence of "a report" within the meaning of the CC Act. It is not a separate reporting power. It applies to a report on a public hearing, a research report or </w:t>
      </w:r>
      <w:r w:rsidRPr="00933CB1">
        <w:rPr>
          <w:rFonts w:ascii="Times New Roman" w:hAnsi="Times New Roman"/>
          <w:lang w:eastAsia="en-US"/>
        </w:rPr>
        <w:lastRenderedPageBreak/>
        <w:t xml:space="preserve">"other report that the [PCCC] </w:t>
      </w:r>
      <w:r w:rsidRPr="00933CB1">
        <w:rPr>
          <w:rFonts w:ascii="Times New Roman" w:hAnsi="Times New Roman"/>
          <w:i/>
          <w:iCs/>
          <w:lang w:eastAsia="en-US"/>
        </w:rPr>
        <w:t>directs</w:t>
      </w:r>
      <w:r w:rsidRPr="00933CB1">
        <w:rPr>
          <w:rFonts w:ascii="Times New Roman" w:hAnsi="Times New Roman"/>
          <w:lang w:eastAsia="en-US"/>
        </w:rPr>
        <w:t xml:space="preserve"> be given to the Speaker"</w:t>
      </w:r>
      <w:r w:rsidRPr="00933CB1">
        <w:rPr>
          <w:rStyle w:val="FootnoteReference"/>
          <w:rFonts w:ascii="Times New Roman" w:hAnsi="Times New Roman"/>
          <w:sz w:val="24"/>
          <w:lang w:eastAsia="en-US"/>
        </w:rPr>
        <w:footnoteReference w:id="84"/>
      </w:r>
      <w:r w:rsidRPr="00933CB1">
        <w:rPr>
          <w:rFonts w:ascii="Times New Roman" w:hAnsi="Times New Roman"/>
          <w:lang w:eastAsia="en-US"/>
        </w:rPr>
        <w:t xml:space="preserve">. That section does </w:t>
      </w:r>
      <w:r w:rsidRPr="00933CB1">
        <w:rPr>
          <w:rFonts w:ascii="Times New Roman" w:hAnsi="Times New Roman"/>
          <w:i/>
          <w:iCs/>
          <w:lang w:eastAsia="en-US"/>
        </w:rPr>
        <w:t>not</w:t>
      </w:r>
      <w:r w:rsidRPr="00933CB1">
        <w:rPr>
          <w:rFonts w:ascii="Times New Roman" w:hAnsi="Times New Roman"/>
          <w:lang w:eastAsia="en-US"/>
        </w:rPr>
        <w:t xml:space="preserve"> apply to a report under s 49</w:t>
      </w:r>
      <w:r w:rsidRPr="00933CB1">
        <w:rPr>
          <w:rStyle w:val="FootnoteReference"/>
          <w:rFonts w:ascii="Times New Roman" w:hAnsi="Times New Roman"/>
          <w:sz w:val="24"/>
          <w:lang w:eastAsia="en-US"/>
        </w:rPr>
        <w:footnoteReference w:id="85"/>
      </w:r>
      <w:r w:rsidRPr="00933CB1">
        <w:rPr>
          <w:rFonts w:ascii="Times New Roman" w:hAnsi="Times New Roman"/>
          <w:lang w:eastAsia="en-US"/>
        </w:rPr>
        <w:t>.</w:t>
      </w:r>
    </w:p>
    <w:p w14:paraId="396D5D6E"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lang w:eastAsia="en-US"/>
        </w:rPr>
        <w:tab/>
        <w:t xml:space="preserve">Two other provisions should be noted. Section </w:t>
      </w:r>
      <w:r w:rsidRPr="00933CB1">
        <w:rPr>
          <w:rFonts w:ascii="Times New Roman" w:hAnsi="Times New Roman"/>
        </w:rPr>
        <w:t xml:space="preserve">71 provides that the Commission may, </w:t>
      </w:r>
      <w:r w:rsidRPr="00933CB1">
        <w:rPr>
          <w:rFonts w:ascii="Times New Roman" w:hAnsi="Times New Roman"/>
          <w:i/>
          <w:iCs/>
        </w:rPr>
        <w:t>with the PCCC's consent</w:t>
      </w:r>
      <w:r w:rsidRPr="00933CB1">
        <w:rPr>
          <w:rFonts w:ascii="Times New Roman" w:hAnsi="Times New Roman"/>
        </w:rPr>
        <w:t xml:space="preserve">, give the PCCC information orally or in writing, whether or not at the request of the PCCC, that is </w:t>
      </w:r>
      <w:r w:rsidRPr="00933CB1">
        <w:rPr>
          <w:rFonts w:ascii="Times New Roman" w:hAnsi="Times New Roman"/>
          <w:i/>
          <w:iCs/>
        </w:rPr>
        <w:t>not included in a report under s 69</w:t>
      </w:r>
      <w:r w:rsidRPr="00933CB1">
        <w:rPr>
          <w:rFonts w:ascii="Times New Roman" w:hAnsi="Times New Roman"/>
        </w:rPr>
        <w:t xml:space="preserve">. It was not suggested that s 71 was engaged. Section 71A(2) provides that if the Commission proposes to make an adverse comment about a person in a report to be published under the CC Act, the Commission must first give the person an opportunity to make submissions about the proposed adverse comment. </w:t>
      </w:r>
    </w:p>
    <w:p w14:paraId="33A616DC" w14:textId="77777777" w:rsidR="00816474" w:rsidRPr="00933CB1" w:rsidRDefault="00816474" w:rsidP="00933CB1">
      <w:pPr>
        <w:pStyle w:val="HeadingL1"/>
        <w:spacing w:after="260" w:line="280" w:lineRule="exact"/>
        <w:ind w:right="0"/>
        <w:jc w:val="both"/>
        <w:rPr>
          <w:rFonts w:ascii="Times New Roman" w:hAnsi="Times New Roman"/>
        </w:rPr>
      </w:pPr>
      <w:r w:rsidRPr="00933CB1">
        <w:rPr>
          <w:rFonts w:ascii="Times New Roman" w:hAnsi="Times New Roman"/>
        </w:rPr>
        <w:t>Was the October Draft a report for the purposes of s 69(1) of the CC Act?</w:t>
      </w:r>
    </w:p>
    <w:p w14:paraId="05C7BDD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r>
      <w:r w:rsidRPr="00933CB1">
        <w:rPr>
          <w:rFonts w:ascii="Times New Roman" w:hAnsi="Times New Roman"/>
          <w:lang w:eastAsia="en-US"/>
        </w:rPr>
        <w:t xml:space="preserve">A central issue in this appeal is the status of the October Draft. At the outset, certain facts and matters must be stated. First, it was not a report under s 49 and, even if it was, s 69 did not permit such a report to be given to the Speaker. </w:t>
      </w:r>
    </w:p>
    <w:p w14:paraId="5ACB3C6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lang w:eastAsia="en-US"/>
        </w:rPr>
        <w:tab/>
        <w:t>Next, it was not a report that the PCCC directed be given to the Speaker under s 69. Indeed, the PCCC's letter to the Commission of 13 October 2020 stated:</w:t>
      </w:r>
    </w:p>
    <w:p w14:paraId="41D9C81C" w14:textId="77777777" w:rsidR="00816474" w:rsidRPr="00933CB1" w:rsidRDefault="00816474" w:rsidP="00933CB1">
      <w:pPr>
        <w:pStyle w:val="LeftrightafterHC"/>
        <w:spacing w:before="0" w:after="260" w:line="280" w:lineRule="exact"/>
        <w:ind w:right="0"/>
        <w:jc w:val="both"/>
        <w:rPr>
          <w:rFonts w:ascii="Times New Roman" w:hAnsi="Times New Roman"/>
        </w:rPr>
      </w:pPr>
      <w:r w:rsidRPr="00933CB1">
        <w:rPr>
          <w:rFonts w:ascii="Times New Roman" w:hAnsi="Times New Roman"/>
        </w:rPr>
        <w:t>"Thank you for your correspondence, dated 6 and 8 October 2020, in</w:t>
      </w:r>
      <w:r>
        <w:rPr>
          <w:rFonts w:ascii="Times New Roman" w:hAnsi="Times New Roman"/>
        </w:rPr>
        <w:t> </w:t>
      </w:r>
      <w:r w:rsidRPr="00933CB1">
        <w:rPr>
          <w:rFonts w:ascii="Times New Roman" w:hAnsi="Times New Roman"/>
        </w:rPr>
        <w:t xml:space="preserve">relation to the [Commission's] request that the [PCCC] give a direction, under section 69 of the [CC Act], to the [Commission] to table its report titled </w:t>
      </w:r>
      <w:r w:rsidRPr="00933CB1">
        <w:rPr>
          <w:rFonts w:ascii="Times New Roman" w:hAnsi="Times New Roman"/>
          <w:i/>
          <w:iCs/>
        </w:rPr>
        <w:t xml:space="preserve">An investigation into allegations relating to the former Public Trustee of Queensland </w:t>
      </w:r>
      <w:r w:rsidRPr="00933CB1">
        <w:rPr>
          <w:rFonts w:ascii="Times New Roman" w:hAnsi="Times New Roman"/>
        </w:rPr>
        <w:t>(the Investigation Report).</w:t>
      </w:r>
    </w:p>
    <w:p w14:paraId="5ADEC1F2" w14:textId="77777777" w:rsidR="00816474" w:rsidRPr="00933CB1" w:rsidRDefault="00816474" w:rsidP="00933CB1">
      <w:pPr>
        <w:pStyle w:val="leftright"/>
        <w:spacing w:before="0" w:after="260" w:line="280" w:lineRule="exact"/>
        <w:ind w:right="0"/>
        <w:jc w:val="both"/>
        <w:rPr>
          <w:rFonts w:ascii="Times New Roman" w:hAnsi="Times New Roman"/>
        </w:rPr>
      </w:pPr>
      <w:r w:rsidRPr="00933CB1">
        <w:rPr>
          <w:rFonts w:ascii="Times New Roman" w:hAnsi="Times New Roman"/>
        </w:rPr>
        <w:t xml:space="preserve">The [PCCC] notes that Mr Peter </w:t>
      </w:r>
      <w:proofErr w:type="spellStart"/>
      <w:r w:rsidRPr="00933CB1">
        <w:rPr>
          <w:rFonts w:ascii="Times New Roman" w:hAnsi="Times New Roman"/>
        </w:rPr>
        <w:t>Carne's</w:t>
      </w:r>
      <w:proofErr w:type="spellEnd"/>
      <w:r w:rsidRPr="00933CB1">
        <w:rPr>
          <w:rFonts w:ascii="Times New Roman" w:hAnsi="Times New Roman"/>
        </w:rPr>
        <w:t xml:space="preserve"> legal representatives ... have filed an originating application ... seeking declarations and an order prohibiting the [Commission] from proceeding with the publication of the Investigation Report. </w:t>
      </w:r>
    </w:p>
    <w:p w14:paraId="2EC350B5" w14:textId="77777777" w:rsidR="00816474" w:rsidRDefault="00816474" w:rsidP="00933CB1">
      <w:pPr>
        <w:pStyle w:val="leftright"/>
        <w:spacing w:before="0" w:after="260" w:line="280" w:lineRule="exact"/>
        <w:ind w:right="0"/>
        <w:jc w:val="both"/>
        <w:rPr>
          <w:rFonts w:ascii="Times New Roman" w:hAnsi="Times New Roman"/>
        </w:rPr>
      </w:pPr>
      <w:r w:rsidRPr="00933CB1">
        <w:rPr>
          <w:rFonts w:ascii="Times New Roman" w:hAnsi="Times New Roman"/>
          <w:i/>
          <w:iCs/>
        </w:rPr>
        <w:t>The [PCCC] considered your correspondence at its meeting today. The</w:t>
      </w:r>
      <w:r>
        <w:rPr>
          <w:rFonts w:ascii="Times New Roman" w:hAnsi="Times New Roman"/>
          <w:i/>
          <w:iCs/>
        </w:rPr>
        <w:t> </w:t>
      </w:r>
      <w:r w:rsidRPr="00933CB1">
        <w:rPr>
          <w:rFonts w:ascii="Times New Roman" w:hAnsi="Times New Roman"/>
          <w:i/>
          <w:iCs/>
        </w:rPr>
        <w:t>[PCCC] resolved, as per your request, to defer its consideration of the [Commission's] request for a direction to give the final version of the Investigation Report to the Speaker, in accordance with section 69(1)(b) of</w:t>
      </w:r>
      <w:r>
        <w:rPr>
          <w:rFonts w:ascii="Times New Roman" w:hAnsi="Times New Roman"/>
          <w:i/>
          <w:iCs/>
        </w:rPr>
        <w:t> </w:t>
      </w:r>
      <w:r w:rsidRPr="00933CB1">
        <w:rPr>
          <w:rFonts w:ascii="Times New Roman" w:hAnsi="Times New Roman"/>
          <w:i/>
          <w:iCs/>
        </w:rPr>
        <w:t xml:space="preserve">the CC Act, until Mr </w:t>
      </w:r>
      <w:proofErr w:type="spellStart"/>
      <w:r w:rsidRPr="00933CB1">
        <w:rPr>
          <w:rFonts w:ascii="Times New Roman" w:hAnsi="Times New Roman"/>
          <w:i/>
          <w:iCs/>
        </w:rPr>
        <w:t>Carne's</w:t>
      </w:r>
      <w:proofErr w:type="spellEnd"/>
      <w:r w:rsidRPr="00933CB1">
        <w:rPr>
          <w:rFonts w:ascii="Times New Roman" w:hAnsi="Times New Roman"/>
          <w:i/>
          <w:iCs/>
        </w:rPr>
        <w:t xml:space="preserve"> application has been decided by the Supreme Court</w:t>
      </w:r>
      <w:r w:rsidRPr="00933CB1">
        <w:rPr>
          <w:rFonts w:ascii="Times New Roman" w:hAnsi="Times New Roman"/>
        </w:rPr>
        <w:t xml:space="preserve">." (emphasis added) </w:t>
      </w:r>
    </w:p>
    <w:p w14:paraId="15FC09E5" w14:textId="77777777" w:rsidR="00816474" w:rsidRPr="00933CB1" w:rsidRDefault="00816474" w:rsidP="00933CB1">
      <w:pPr>
        <w:pStyle w:val="NormalBody"/>
        <w:spacing w:after="260" w:line="280" w:lineRule="exact"/>
        <w:ind w:right="0"/>
        <w:jc w:val="both"/>
        <w:rPr>
          <w:rFonts w:ascii="Times New Roman" w:hAnsi="Times New Roman"/>
        </w:rPr>
      </w:pPr>
      <w:r w:rsidRPr="00933CB1">
        <w:rPr>
          <w:rFonts w:ascii="Times New Roman" w:hAnsi="Times New Roman"/>
        </w:rPr>
        <w:lastRenderedPageBreak/>
        <w:t xml:space="preserve">And, the October Draft was not information or a document that the PCCC requested or </w:t>
      </w:r>
      <w:r w:rsidRPr="00933CB1" w:rsidDel="0008543D">
        <w:rPr>
          <w:rFonts w:ascii="Times New Roman" w:hAnsi="Times New Roman"/>
        </w:rPr>
        <w:t xml:space="preserve">consented </w:t>
      </w:r>
      <w:r w:rsidRPr="00933CB1">
        <w:rPr>
          <w:rFonts w:ascii="Times New Roman" w:hAnsi="Times New Roman"/>
        </w:rPr>
        <w:t xml:space="preserve">to receive. The October Draft was not prepared at the direction, or request, of the PCCC; it was not accepted by the PCCC; it was not provided to the PCCC by agreement and it was not adopted by the PCCC. </w:t>
      </w:r>
    </w:p>
    <w:p w14:paraId="01145D61"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Finally, it was not an "other report" within the meaning of s 69(1)(b). That</w:t>
      </w:r>
      <w:r>
        <w:rPr>
          <w:rFonts w:ascii="Times New Roman" w:hAnsi="Times New Roman"/>
        </w:rPr>
        <w:t> </w:t>
      </w:r>
      <w:r w:rsidRPr="00933CB1">
        <w:rPr>
          <w:rFonts w:ascii="Times New Roman" w:hAnsi="Times New Roman"/>
        </w:rPr>
        <w:t>statement needs explanation. As has been explained, where, as here, the</w:t>
      </w:r>
      <w:r>
        <w:rPr>
          <w:rFonts w:ascii="Times New Roman" w:hAnsi="Times New Roman"/>
        </w:rPr>
        <w:t> </w:t>
      </w:r>
      <w:r w:rsidRPr="00933CB1">
        <w:rPr>
          <w:rFonts w:ascii="Times New Roman" w:hAnsi="Times New Roman"/>
        </w:rPr>
        <w:t>Commission was performing its corruption functions, those functions</w:t>
      </w:r>
      <w:r w:rsidRPr="00933CB1">
        <w:rPr>
          <w:rStyle w:val="FootnoteReference"/>
          <w:rFonts w:ascii="Times New Roman" w:hAnsi="Times New Roman"/>
          <w:sz w:val="24"/>
        </w:rPr>
        <w:footnoteReference w:id="86"/>
      </w:r>
      <w:r w:rsidRPr="00933CB1">
        <w:rPr>
          <w:rFonts w:ascii="Times New Roman" w:hAnsi="Times New Roman"/>
        </w:rPr>
        <w:t>, as well as the principles to be applied</w:t>
      </w:r>
      <w:r w:rsidRPr="00933CB1">
        <w:rPr>
          <w:rStyle w:val="FootnoteReference"/>
          <w:rFonts w:ascii="Times New Roman" w:hAnsi="Times New Roman"/>
          <w:sz w:val="24"/>
        </w:rPr>
        <w:footnoteReference w:id="87"/>
      </w:r>
      <w:r w:rsidRPr="00933CB1">
        <w:rPr>
          <w:rFonts w:ascii="Times New Roman" w:hAnsi="Times New Roman"/>
        </w:rPr>
        <w:t>, were prescribed. Those functions and principles included, relevantly, to raise standards of integrity and conduct in units of public administration, a preventative function, and, no less significantly, expeditiously assessing and dealing with complaints about corrupt conduct. Its actions during an investigation were limited</w:t>
      </w:r>
      <w:r w:rsidRPr="00933CB1">
        <w:rPr>
          <w:rStyle w:val="FootnoteReference"/>
          <w:rFonts w:ascii="Times New Roman" w:hAnsi="Times New Roman"/>
          <w:sz w:val="24"/>
        </w:rPr>
        <w:footnoteReference w:id="88"/>
      </w:r>
      <w:r w:rsidRPr="00933CB1">
        <w:rPr>
          <w:rFonts w:ascii="Times New Roman" w:hAnsi="Times New Roman"/>
        </w:rPr>
        <w:t xml:space="preserve">. </w:t>
      </w:r>
    </w:p>
    <w:p w14:paraId="054EF4C9"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And its actions </w:t>
      </w:r>
      <w:r w:rsidRPr="00933CB1">
        <w:rPr>
          <w:rFonts w:ascii="Times New Roman" w:hAnsi="Times New Roman"/>
          <w:i/>
          <w:iCs/>
        </w:rPr>
        <w:t>following</w:t>
      </w:r>
      <w:r w:rsidRPr="00933CB1">
        <w:rPr>
          <w:rFonts w:ascii="Times New Roman" w:hAnsi="Times New Roman"/>
        </w:rPr>
        <w:t xml:space="preserve"> investigation were also limited</w:t>
      </w:r>
      <w:r w:rsidRPr="00933CB1">
        <w:rPr>
          <w:rStyle w:val="FootnoteReference"/>
          <w:rFonts w:ascii="Times New Roman" w:hAnsi="Times New Roman"/>
          <w:sz w:val="24"/>
        </w:rPr>
        <w:footnoteReference w:id="89"/>
      </w:r>
      <w:r w:rsidRPr="00933CB1">
        <w:rPr>
          <w:rFonts w:ascii="Times New Roman" w:hAnsi="Times New Roman"/>
        </w:rPr>
        <w:t>. If the Commission decided that prosecution proceedings or disciplinary action should be considered, its avenues for reporting such action were limited</w:t>
      </w:r>
      <w:r w:rsidRPr="00933CB1">
        <w:rPr>
          <w:rStyle w:val="FootnoteReference"/>
          <w:rFonts w:ascii="Times New Roman" w:hAnsi="Times New Roman"/>
          <w:sz w:val="24"/>
        </w:rPr>
        <w:footnoteReference w:id="90"/>
      </w:r>
      <w:r w:rsidRPr="00933CB1">
        <w:rPr>
          <w:rFonts w:ascii="Times New Roman" w:hAnsi="Times New Roman"/>
        </w:rPr>
        <w:t>. No s 49 report could be tabled</w:t>
      </w:r>
      <w:r w:rsidRPr="00933CB1">
        <w:rPr>
          <w:rStyle w:val="FootnoteReference"/>
          <w:rFonts w:ascii="Times New Roman" w:hAnsi="Times New Roman"/>
          <w:sz w:val="24"/>
        </w:rPr>
        <w:footnoteReference w:id="91"/>
      </w:r>
      <w:r w:rsidRPr="00933CB1">
        <w:rPr>
          <w:rFonts w:ascii="Times New Roman" w:hAnsi="Times New Roman"/>
        </w:rPr>
        <w:t xml:space="preserve">. None of those actions were open or available to the Commission in the case of Mr Carne. Put in different terms, once the investigation into Mr Carne was complete, if the Commission decided that there would be no prosecution, or disciplinary action taken, then no actions were authorised by s 49. </w:t>
      </w:r>
    </w:p>
    <w:p w14:paraId="41116C62"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What then to make of the powers given to the Commission under ss 60 and</w:t>
      </w:r>
      <w:r>
        <w:rPr>
          <w:rFonts w:ascii="Times New Roman" w:hAnsi="Times New Roman"/>
        </w:rPr>
        <w:t> </w:t>
      </w:r>
      <w:r w:rsidRPr="00933CB1">
        <w:rPr>
          <w:rFonts w:ascii="Times New Roman" w:hAnsi="Times New Roman"/>
        </w:rPr>
        <w:t>64? It may be accepted that the Commission may use any information, document or thing in the Commission's possession in performing its functions</w:t>
      </w:r>
      <w:r w:rsidRPr="00933CB1">
        <w:rPr>
          <w:rStyle w:val="FootnoteReference"/>
          <w:rFonts w:ascii="Times New Roman" w:hAnsi="Times New Roman"/>
          <w:sz w:val="24"/>
        </w:rPr>
        <w:footnoteReference w:id="92"/>
      </w:r>
      <w:r w:rsidRPr="00933CB1">
        <w:rPr>
          <w:rFonts w:ascii="Times New Roman" w:hAnsi="Times New Roman"/>
        </w:rPr>
        <w:t>. So, for example, the Commission was able to, and did</w:t>
      </w:r>
      <w:r w:rsidRPr="00933CB1">
        <w:rPr>
          <w:rStyle w:val="FootnoteReference"/>
          <w:rFonts w:ascii="Times New Roman" w:hAnsi="Times New Roman"/>
          <w:sz w:val="24"/>
        </w:rPr>
        <w:footnoteReference w:id="93"/>
      </w:r>
      <w:r w:rsidRPr="00933CB1">
        <w:rPr>
          <w:rFonts w:ascii="Times New Roman" w:hAnsi="Times New Roman"/>
        </w:rPr>
        <w:t xml:space="preserve">, give information about Mr Carne to the Attorney-General and to QUT. And, after the investigation was </w:t>
      </w:r>
      <w:r w:rsidRPr="00933CB1">
        <w:rPr>
          <w:rFonts w:ascii="Times New Roman" w:hAnsi="Times New Roman"/>
        </w:rPr>
        <w:lastRenderedPageBreak/>
        <w:t>completed, the Commission was able to</w:t>
      </w:r>
      <w:r w:rsidRPr="00933CB1">
        <w:rPr>
          <w:rStyle w:val="FootnoteReference"/>
          <w:rFonts w:ascii="Times New Roman" w:hAnsi="Times New Roman"/>
          <w:sz w:val="24"/>
        </w:rPr>
        <w:footnoteReference w:id="94"/>
      </w:r>
      <w:r w:rsidRPr="00933CB1">
        <w:rPr>
          <w:rFonts w:ascii="Times New Roman" w:hAnsi="Times New Roman"/>
        </w:rPr>
        <w:t>, and did, report to the acting Public</w:t>
      </w:r>
      <w:r>
        <w:rPr>
          <w:rFonts w:ascii="Times New Roman" w:hAnsi="Times New Roman"/>
        </w:rPr>
        <w:t> </w:t>
      </w:r>
      <w:r w:rsidRPr="00933CB1">
        <w:rPr>
          <w:rFonts w:ascii="Times New Roman" w:hAnsi="Times New Roman"/>
        </w:rPr>
        <w:t>Trustee making a number of recommendations as to the operation of the Public Trust Office,</w:t>
      </w:r>
      <w:r w:rsidRPr="00933CB1" w:rsidDel="00E5505B">
        <w:rPr>
          <w:rFonts w:ascii="Times New Roman" w:hAnsi="Times New Roman"/>
        </w:rPr>
        <w:t xml:space="preserve"> </w:t>
      </w:r>
      <w:r w:rsidRPr="00933CB1">
        <w:rPr>
          <w:rFonts w:ascii="Times New Roman" w:hAnsi="Times New Roman"/>
        </w:rPr>
        <w:t>including recommendations about ethics; the complaints management system, and the training of staff in relation thereto; improving</w:t>
      </w:r>
      <w:r>
        <w:rPr>
          <w:rFonts w:ascii="Times New Roman" w:hAnsi="Times New Roman"/>
        </w:rPr>
        <w:t> </w:t>
      </w:r>
      <w:r w:rsidRPr="00933CB1">
        <w:rPr>
          <w:rFonts w:ascii="Times New Roman" w:hAnsi="Times New Roman"/>
        </w:rPr>
        <w:t>relationships between staff and executive leadership; the use of corporate credit cards; the taking of leave and applications for leave; the</w:t>
      </w:r>
      <w:r>
        <w:rPr>
          <w:rFonts w:ascii="Times New Roman" w:hAnsi="Times New Roman"/>
        </w:rPr>
        <w:t> </w:t>
      </w:r>
      <w:r w:rsidRPr="00933CB1">
        <w:rPr>
          <w:rFonts w:ascii="Times New Roman" w:hAnsi="Times New Roman"/>
        </w:rPr>
        <w:t xml:space="preserve">development of policies relating to the taking of external studies; and the development of codes of conduct as to standards of behaviour. </w:t>
      </w:r>
    </w:p>
    <w:p w14:paraId="5477B4C3"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But what the Commission cannot do under s 64 is to prepare a report concerning allegations of corrupt conduct which seeks to circumvent the limits on its reporting powers and functions contained in Pt 3 of Ch 2 of the CC Act. Here,</w:t>
      </w:r>
      <w:r>
        <w:rPr>
          <w:rFonts w:ascii="Times New Roman" w:hAnsi="Times New Roman"/>
        </w:rPr>
        <w:t> </w:t>
      </w:r>
      <w:r w:rsidRPr="00933CB1">
        <w:rPr>
          <w:rFonts w:ascii="Times New Roman" w:hAnsi="Times New Roman"/>
        </w:rPr>
        <w:t>the Commission was able to and did report under s 49 to the Attorney</w:t>
      </w:r>
      <w:r>
        <w:rPr>
          <w:rFonts w:ascii="Times New Roman" w:hAnsi="Times New Roman"/>
        </w:rPr>
        <w:noBreakHyphen/>
      </w:r>
      <w:r w:rsidRPr="00933CB1">
        <w:rPr>
          <w:rFonts w:ascii="Times New Roman" w:hAnsi="Times New Roman"/>
        </w:rPr>
        <w:t>General in relation to disciplinary action that might be taken against Mr</w:t>
      </w:r>
      <w:r>
        <w:rPr>
          <w:rFonts w:ascii="Times New Roman" w:hAnsi="Times New Roman"/>
        </w:rPr>
        <w:t> </w:t>
      </w:r>
      <w:r w:rsidRPr="00933CB1">
        <w:rPr>
          <w:rFonts w:ascii="Times New Roman" w:hAnsi="Times New Roman"/>
        </w:rPr>
        <w:t>Carne</w:t>
      </w:r>
      <w:r w:rsidRPr="00933CB1">
        <w:rPr>
          <w:rStyle w:val="FootnoteReference"/>
          <w:rFonts w:ascii="Times New Roman" w:hAnsi="Times New Roman"/>
          <w:sz w:val="24"/>
        </w:rPr>
        <w:footnoteReference w:id="95"/>
      </w:r>
      <w:r w:rsidRPr="00933CB1">
        <w:rPr>
          <w:rFonts w:ascii="Times New Roman" w:hAnsi="Times New Roman"/>
        </w:rPr>
        <w:t>. The Commission, consistent with its functions and powers of raising standards of integrity and conduct in units of public administration, also was able to and did report under s 64 to the acting Public Trustee in relation to what might be described as recommendations about the matters that were identified during or as a result of the investigation. The October Draft, in its form and content, was not of that kind. It was, as its title suggests, a document reporting on "[a]n investigation into allegations relating to the former Public Trustee of Queensland: Investigation</w:t>
      </w:r>
      <w:r>
        <w:rPr>
          <w:rFonts w:ascii="Times New Roman" w:hAnsi="Times New Roman"/>
        </w:rPr>
        <w:t> </w:t>
      </w:r>
      <w:r w:rsidRPr="00933CB1">
        <w:rPr>
          <w:rFonts w:ascii="Times New Roman" w:hAnsi="Times New Roman"/>
        </w:rPr>
        <w:t>Report". It was prepared by the Commission in October 2020, six</w:t>
      </w:r>
      <w:r>
        <w:rPr>
          <w:rFonts w:ascii="Times New Roman" w:hAnsi="Times New Roman"/>
        </w:rPr>
        <w:t> </w:t>
      </w:r>
      <w:r w:rsidRPr="00933CB1">
        <w:rPr>
          <w:rFonts w:ascii="Times New Roman" w:hAnsi="Times New Roman"/>
        </w:rPr>
        <w:t>months after the conclusion of the investigation under the CC Act into allegations of corrupt conduct against Mr Carne. It is not clear on what basis the Commission prepared the October Draft. It was not a report under s 49. It was not a disclosure of information under s 60. Put in different terms, to the extent that under s 64 the Commission may prepare a report in performing its functions, it is necessary to identify the relevant function. No relevant function was identified. Section 51(1) does not lead to a different conclusion. It does not limit the actions that may lawfully be taken by the Commission. The October Draft was not a lawful action.</w:t>
      </w:r>
    </w:p>
    <w:p w14:paraId="0F5E9088"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For those reasons, as the Court of Appeal declared, the October Draft was not a report for the purposes of s 69(1) of the CC Act. It is</w:t>
      </w:r>
      <w:r w:rsidRPr="00933CB1" w:rsidDel="00DD5613">
        <w:rPr>
          <w:rFonts w:ascii="Times New Roman" w:hAnsi="Times New Roman"/>
        </w:rPr>
        <w:t xml:space="preserve"> </w:t>
      </w:r>
      <w:r w:rsidRPr="00933CB1">
        <w:rPr>
          <w:rFonts w:ascii="Times New Roman" w:hAnsi="Times New Roman"/>
        </w:rPr>
        <w:t>necessary, therefore, to</w:t>
      </w:r>
      <w:r>
        <w:rPr>
          <w:rFonts w:ascii="Times New Roman" w:hAnsi="Times New Roman"/>
        </w:rPr>
        <w:t> </w:t>
      </w:r>
      <w:r w:rsidRPr="00933CB1">
        <w:rPr>
          <w:rFonts w:ascii="Times New Roman" w:hAnsi="Times New Roman"/>
        </w:rPr>
        <w:t xml:space="preserve">turn to consider the POQ Act and whether the October Draft is subject to parliamentary privilege. If the October Draft is subject to parliamentary privilege then a large question arises as to whether the declaration made by the Court of Appeal infringes that privilege. </w:t>
      </w:r>
    </w:p>
    <w:p w14:paraId="39DB7644" w14:textId="77777777" w:rsidR="00816474" w:rsidRPr="00933CB1" w:rsidRDefault="00816474" w:rsidP="00933CB1">
      <w:pPr>
        <w:pStyle w:val="HeadingL1"/>
        <w:spacing w:after="260" w:line="280" w:lineRule="exact"/>
        <w:ind w:right="0"/>
        <w:jc w:val="both"/>
        <w:rPr>
          <w:rFonts w:ascii="Times New Roman" w:hAnsi="Times New Roman"/>
        </w:rPr>
      </w:pPr>
      <w:r w:rsidRPr="00933CB1">
        <w:rPr>
          <w:rFonts w:ascii="Times New Roman" w:hAnsi="Times New Roman"/>
          <w:i/>
          <w:iCs/>
        </w:rPr>
        <w:lastRenderedPageBreak/>
        <w:t>Parliament of Queensland Act 2001</w:t>
      </w:r>
      <w:r w:rsidRPr="00933CB1">
        <w:rPr>
          <w:rFonts w:ascii="Times New Roman" w:hAnsi="Times New Roman"/>
        </w:rPr>
        <w:t xml:space="preserve"> (Qld)</w:t>
      </w:r>
    </w:p>
    <w:p w14:paraId="3354E5C5"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Parliamentary privilege is a "bulwark of representative government"</w:t>
      </w:r>
      <w:r w:rsidRPr="00933CB1">
        <w:rPr>
          <w:rStyle w:val="FootnoteReference"/>
          <w:rFonts w:ascii="Times New Roman" w:hAnsi="Times New Roman"/>
          <w:sz w:val="24"/>
        </w:rPr>
        <w:footnoteReference w:id="96"/>
      </w:r>
      <w:r w:rsidRPr="00933CB1">
        <w:rPr>
          <w:rFonts w:ascii="Times New Roman" w:hAnsi="Times New Roman"/>
        </w:rPr>
        <w:t>. It</w:t>
      </w:r>
      <w:r>
        <w:rPr>
          <w:rFonts w:ascii="Times New Roman" w:hAnsi="Times New Roman"/>
        </w:rPr>
        <w:t> </w:t>
      </w:r>
      <w:r w:rsidRPr="00933CB1">
        <w:rPr>
          <w:rFonts w:ascii="Times New Roman" w:hAnsi="Times New Roman"/>
        </w:rPr>
        <w:t>has long antecedents</w:t>
      </w:r>
      <w:r w:rsidRPr="00933CB1">
        <w:rPr>
          <w:rStyle w:val="FootnoteReference"/>
          <w:rFonts w:ascii="Times New Roman" w:hAnsi="Times New Roman"/>
          <w:sz w:val="24"/>
        </w:rPr>
        <w:footnoteReference w:id="97"/>
      </w:r>
      <w:r w:rsidRPr="00933CB1">
        <w:rPr>
          <w:rFonts w:ascii="Times New Roman" w:hAnsi="Times New Roman"/>
        </w:rPr>
        <w:t>. It allows Parliament to perform its functions without obstruction</w:t>
      </w:r>
      <w:r w:rsidRPr="00933CB1">
        <w:rPr>
          <w:rFonts w:ascii="Times New Roman" w:hAnsi="Times New Roman"/>
          <w:b/>
          <w:bCs/>
          <w:sz w:val="24"/>
          <w:vertAlign w:val="superscript"/>
        </w:rPr>
        <w:footnoteReference w:id="98"/>
      </w:r>
      <w:r w:rsidRPr="00933CB1">
        <w:rPr>
          <w:rFonts w:ascii="Times New Roman" w:hAnsi="Times New Roman"/>
        </w:rPr>
        <w:t>. Parliamentary privilege shields certain areas of legislative activity from judicial or executive review, thereby giving "the legislative branch of government the autonomy it requires to perform its constitutional functions"</w:t>
      </w:r>
      <w:r w:rsidRPr="00933CB1">
        <w:rPr>
          <w:rFonts w:ascii="Times New Roman" w:hAnsi="Times New Roman"/>
          <w:b/>
          <w:sz w:val="24"/>
          <w:vertAlign w:val="superscript"/>
        </w:rPr>
        <w:footnoteReference w:id="99"/>
      </w:r>
      <w:r w:rsidRPr="00933CB1">
        <w:rPr>
          <w:rFonts w:ascii="Times New Roman" w:hAnsi="Times New Roman"/>
        </w:rPr>
        <w:t>. Parliamentary privilege operates to ensure that a person who participates in parliamentary proceedings can do so knowing, at the time of that participation, that</w:t>
      </w:r>
      <w:r>
        <w:rPr>
          <w:rFonts w:ascii="Times New Roman" w:hAnsi="Times New Roman"/>
        </w:rPr>
        <w:t> </w:t>
      </w:r>
      <w:r w:rsidRPr="00933CB1">
        <w:rPr>
          <w:rFonts w:ascii="Times New Roman" w:hAnsi="Times New Roman"/>
        </w:rPr>
        <w:t>what they say cannot "later be held against them in the courts", thereby</w:t>
      </w:r>
      <w:r>
        <w:rPr>
          <w:rFonts w:ascii="Times New Roman" w:hAnsi="Times New Roman"/>
        </w:rPr>
        <w:t> </w:t>
      </w:r>
      <w:r w:rsidRPr="00933CB1">
        <w:rPr>
          <w:rFonts w:ascii="Times New Roman" w:hAnsi="Times New Roman"/>
        </w:rPr>
        <w:t>ensuring that such a person is not inhibited in providing information to the Parliament or in otherwise participating in parliamentary proceedings</w:t>
      </w:r>
      <w:r w:rsidRPr="00933CB1">
        <w:rPr>
          <w:rFonts w:ascii="Times New Roman" w:hAnsi="Times New Roman"/>
          <w:b/>
          <w:bCs/>
          <w:sz w:val="24"/>
          <w:vertAlign w:val="superscript"/>
        </w:rPr>
        <w:footnoteReference w:id="100"/>
      </w:r>
      <w:r w:rsidRPr="00933CB1">
        <w:rPr>
          <w:rFonts w:ascii="Times New Roman" w:hAnsi="Times New Roman"/>
        </w:rPr>
        <w:t xml:space="preserve">. This is the "basic concept underlying article 9" of the </w:t>
      </w:r>
      <w:r w:rsidRPr="00933CB1">
        <w:rPr>
          <w:rFonts w:ascii="Times New Roman" w:hAnsi="Times New Roman"/>
          <w:i/>
          <w:iCs/>
        </w:rPr>
        <w:t>Bill of Rights 1688</w:t>
      </w:r>
      <w:r w:rsidRPr="00933CB1">
        <w:rPr>
          <w:rFonts w:ascii="Times New Roman" w:hAnsi="Times New Roman"/>
          <w:b/>
          <w:sz w:val="24"/>
          <w:vertAlign w:val="superscript"/>
        </w:rPr>
        <w:footnoteReference w:id="101"/>
      </w:r>
      <w:r w:rsidRPr="00933CB1">
        <w:rPr>
          <w:rFonts w:ascii="Times New Roman" w:hAnsi="Times New Roman"/>
        </w:rPr>
        <w:t xml:space="preserve">. </w:t>
      </w:r>
    </w:p>
    <w:p w14:paraId="5AFF92F4"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Section 9(1)(a) of the </w:t>
      </w:r>
      <w:r w:rsidRPr="00933CB1">
        <w:rPr>
          <w:rFonts w:ascii="Times New Roman" w:hAnsi="Times New Roman"/>
          <w:i/>
        </w:rPr>
        <w:t>Constitution of Queensland 2001</w:t>
      </w:r>
      <w:r w:rsidRPr="00933CB1">
        <w:rPr>
          <w:rFonts w:ascii="Times New Roman" w:hAnsi="Times New Roman"/>
        </w:rPr>
        <w:t xml:space="preserve"> (Qld) contemplates that the Assembly will "define" its own privileges. This is what the Assembly has done through the enactment of ss 6, 8 and 9 of the POQ Act</w:t>
      </w:r>
      <w:r w:rsidRPr="00933CB1">
        <w:rPr>
          <w:rFonts w:ascii="Times New Roman" w:hAnsi="Times New Roman"/>
          <w:b/>
          <w:sz w:val="24"/>
          <w:vertAlign w:val="superscript"/>
        </w:rPr>
        <w:footnoteReference w:id="102"/>
      </w:r>
      <w:r w:rsidRPr="00933CB1">
        <w:rPr>
          <w:rFonts w:ascii="Times New Roman" w:hAnsi="Times New Roman"/>
        </w:rPr>
        <w:t xml:space="preserve">. </w:t>
      </w:r>
      <w:r w:rsidRPr="00933CB1">
        <w:rPr>
          <w:rFonts w:ascii="Times New Roman" w:eastAsia="Calibri" w:hAnsi="Times New Roman"/>
        </w:rPr>
        <w:t>Section 6 of the POQ Act provides that "[n]</w:t>
      </w:r>
      <w:proofErr w:type="spellStart"/>
      <w:r w:rsidRPr="00933CB1">
        <w:rPr>
          <w:rFonts w:ascii="Times New Roman" w:eastAsia="Calibri" w:hAnsi="Times New Roman"/>
        </w:rPr>
        <w:t>othing</w:t>
      </w:r>
      <w:proofErr w:type="spellEnd"/>
      <w:r w:rsidRPr="00933CB1">
        <w:rPr>
          <w:rFonts w:ascii="Times New Roman" w:eastAsia="Calibri" w:hAnsi="Times New Roman"/>
        </w:rPr>
        <w:t xml:space="preserve"> in this Act derogates from any power, right or immunity of the Assembly or its members or committees". </w:t>
      </w:r>
    </w:p>
    <w:p w14:paraId="19B5730F" w14:textId="77777777" w:rsidR="00816474" w:rsidRPr="00933CB1" w:rsidRDefault="00816474" w:rsidP="000465C6">
      <w:pPr>
        <w:pStyle w:val="FixListStyle"/>
        <w:keepNext/>
        <w:spacing w:after="260" w:line="280" w:lineRule="exact"/>
        <w:ind w:right="0"/>
        <w:jc w:val="both"/>
        <w:rPr>
          <w:rFonts w:ascii="Times New Roman" w:hAnsi="Times New Roman"/>
        </w:rPr>
      </w:pPr>
      <w:r w:rsidRPr="00933CB1">
        <w:rPr>
          <w:rFonts w:ascii="Times New Roman" w:eastAsia="Calibri" w:hAnsi="Times New Roman"/>
        </w:rPr>
        <w:lastRenderedPageBreak/>
        <w:tab/>
        <w:t>Section 8</w:t>
      </w:r>
      <w:r w:rsidRPr="00933CB1" w:rsidDel="000C14B5">
        <w:rPr>
          <w:rFonts w:ascii="Times New Roman" w:eastAsia="Calibri" w:hAnsi="Times New Roman"/>
        </w:rPr>
        <w:t xml:space="preserve"> </w:t>
      </w:r>
      <w:r w:rsidRPr="00933CB1">
        <w:rPr>
          <w:rFonts w:ascii="Times New Roman" w:eastAsia="Calibri" w:hAnsi="Times New Roman"/>
        </w:rPr>
        <w:t xml:space="preserve">provides: </w:t>
      </w:r>
    </w:p>
    <w:p w14:paraId="610BC6D0" w14:textId="77777777" w:rsidR="00816474" w:rsidRPr="00933CB1" w:rsidRDefault="00816474" w:rsidP="000465C6">
      <w:pPr>
        <w:pStyle w:val="LeftrightHanging"/>
        <w:keepNext/>
        <w:spacing w:before="0" w:after="260" w:line="280" w:lineRule="exact"/>
        <w:ind w:right="0"/>
        <w:jc w:val="both"/>
        <w:rPr>
          <w:rFonts w:ascii="Times New Roman" w:eastAsia="Calibri" w:hAnsi="Times New Roman"/>
        </w:rPr>
      </w:pPr>
      <w:r w:rsidRPr="00933CB1">
        <w:rPr>
          <w:rFonts w:ascii="Times New Roman" w:eastAsia="Calibri" w:hAnsi="Times New Roman"/>
        </w:rPr>
        <w:t>"(1)</w:t>
      </w:r>
      <w:r w:rsidRPr="00933CB1">
        <w:rPr>
          <w:rFonts w:ascii="Times New Roman" w:eastAsia="Calibri" w:hAnsi="Times New Roman"/>
        </w:rPr>
        <w:tab/>
        <w:t xml:space="preserve">The freedom of speech and debates or </w:t>
      </w:r>
      <w:r w:rsidRPr="00933CB1">
        <w:rPr>
          <w:rFonts w:ascii="Times New Roman" w:eastAsia="Calibri" w:hAnsi="Times New Roman"/>
          <w:i/>
          <w:iCs/>
        </w:rPr>
        <w:t>proceedings in the Assembly</w:t>
      </w:r>
      <w:r w:rsidRPr="00933CB1">
        <w:rPr>
          <w:rFonts w:ascii="Times New Roman" w:eastAsia="Calibri" w:hAnsi="Times New Roman"/>
        </w:rPr>
        <w:t xml:space="preserve"> </w:t>
      </w:r>
      <w:proofErr w:type="spellStart"/>
      <w:r w:rsidRPr="00933CB1">
        <w:rPr>
          <w:rFonts w:ascii="Times New Roman" w:eastAsia="Calibri" w:hAnsi="Times New Roman"/>
        </w:rPr>
        <w:t>can not</w:t>
      </w:r>
      <w:proofErr w:type="spellEnd"/>
      <w:r w:rsidRPr="00933CB1">
        <w:rPr>
          <w:rFonts w:ascii="Times New Roman" w:eastAsia="Calibri" w:hAnsi="Times New Roman"/>
        </w:rPr>
        <w:t xml:space="preserve"> be </w:t>
      </w:r>
      <w:r w:rsidRPr="00933CB1">
        <w:rPr>
          <w:rFonts w:ascii="Times New Roman" w:eastAsia="Calibri" w:hAnsi="Times New Roman"/>
          <w:i/>
          <w:iCs/>
        </w:rPr>
        <w:t>impeached or questioned</w:t>
      </w:r>
      <w:r w:rsidRPr="00933CB1">
        <w:rPr>
          <w:rFonts w:ascii="Times New Roman" w:eastAsia="Calibri" w:hAnsi="Times New Roman"/>
        </w:rPr>
        <w:t xml:space="preserve"> in any court or place out of the Assembly. </w:t>
      </w:r>
    </w:p>
    <w:p w14:paraId="1BD6F487" w14:textId="77777777" w:rsidR="00816474"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(2)</w:t>
      </w:r>
      <w:r w:rsidRPr="00933CB1">
        <w:rPr>
          <w:rFonts w:ascii="Times New Roman" w:eastAsia="Calibri" w:hAnsi="Times New Roman"/>
        </w:rPr>
        <w:tab/>
        <w:t>To remove doubt, it is declared that subsection (1) is intended to have the same effect as article 9 of the Bill of Rights (1688) had in relation to the Assembly immediately before the commencement of the subsection." (emphasis added)</w:t>
      </w:r>
    </w:p>
    <w:p w14:paraId="206FA627" w14:textId="77777777" w:rsidR="00816474" w:rsidRPr="00933CB1" w:rsidRDefault="00816474" w:rsidP="00933CB1">
      <w:pPr>
        <w:pStyle w:val="FixListStyle"/>
        <w:spacing w:after="260" w:line="280" w:lineRule="exact"/>
        <w:ind w:right="0"/>
        <w:jc w:val="both"/>
        <w:rPr>
          <w:rFonts w:ascii="Times New Roman" w:eastAsia="Calibri" w:hAnsi="Times New Roman"/>
        </w:rPr>
      </w:pPr>
      <w:r w:rsidRPr="00933CB1">
        <w:rPr>
          <w:rFonts w:ascii="Times New Roman" w:eastAsia="Calibri" w:hAnsi="Times New Roman"/>
        </w:rPr>
        <w:tab/>
        <w:t>Section 9 is important. It relevantly provides:</w:t>
      </w:r>
    </w:p>
    <w:p w14:paraId="7645E81A" w14:textId="77777777" w:rsidR="00816474" w:rsidRPr="00933CB1"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"(1)</w:t>
      </w:r>
      <w:r w:rsidRPr="00933CB1">
        <w:rPr>
          <w:rFonts w:ascii="Times New Roman" w:eastAsia="Calibri" w:hAnsi="Times New Roman"/>
        </w:rPr>
        <w:tab/>
      </w:r>
      <w:r w:rsidRPr="00933CB1">
        <w:rPr>
          <w:rFonts w:ascii="Times New Roman" w:eastAsia="Calibri" w:hAnsi="Times New Roman"/>
          <w:b/>
        </w:rPr>
        <w:t>Proceedings in the Assembly</w:t>
      </w:r>
      <w:r w:rsidRPr="00933CB1">
        <w:rPr>
          <w:rFonts w:ascii="Times New Roman" w:eastAsia="Calibri" w:hAnsi="Times New Roman"/>
        </w:rPr>
        <w:t xml:space="preserve"> include all words spoken and acts done in the course of, or </w:t>
      </w:r>
      <w:r w:rsidRPr="00933CB1">
        <w:rPr>
          <w:rFonts w:ascii="Times New Roman" w:eastAsia="Calibri" w:hAnsi="Times New Roman"/>
          <w:i/>
          <w:iCs/>
        </w:rPr>
        <w:t>for the purposes of</w:t>
      </w:r>
      <w:r w:rsidRPr="00933CB1">
        <w:rPr>
          <w:rFonts w:ascii="Times New Roman" w:eastAsia="Calibri" w:hAnsi="Times New Roman"/>
        </w:rPr>
        <w:t xml:space="preserve"> or incidental to, transacting business of the Assembly or a committee. </w:t>
      </w:r>
    </w:p>
    <w:p w14:paraId="72E627A7" w14:textId="77777777" w:rsidR="00816474" w:rsidRPr="00933CB1"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(2)</w:t>
      </w:r>
      <w:r w:rsidRPr="00933CB1">
        <w:rPr>
          <w:rFonts w:ascii="Times New Roman" w:eastAsia="Calibri" w:hAnsi="Times New Roman"/>
        </w:rPr>
        <w:tab/>
        <w:t xml:space="preserve">Without limiting subsection (1), </w:t>
      </w:r>
      <w:r w:rsidRPr="00933CB1">
        <w:rPr>
          <w:rFonts w:ascii="Times New Roman" w:eastAsia="Calibri" w:hAnsi="Times New Roman"/>
          <w:b/>
        </w:rPr>
        <w:t>proceedings in the Assembly</w:t>
      </w:r>
      <w:r w:rsidRPr="00933CB1">
        <w:rPr>
          <w:rFonts w:ascii="Times New Roman" w:eastAsia="Calibri" w:hAnsi="Times New Roman"/>
        </w:rPr>
        <w:t xml:space="preserve"> include –</w:t>
      </w:r>
    </w:p>
    <w:p w14:paraId="028C1567"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(a)</w:t>
      </w:r>
      <w:r w:rsidRPr="00933CB1">
        <w:rPr>
          <w:rFonts w:ascii="Times New Roman" w:eastAsia="Calibri" w:hAnsi="Times New Roman"/>
        </w:rPr>
        <w:tab/>
        <w:t>giving evidence before the Assembly, a committee or an inquiry; and</w:t>
      </w:r>
    </w:p>
    <w:p w14:paraId="531DBAE7"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(b)</w:t>
      </w:r>
      <w:r w:rsidRPr="00933CB1">
        <w:rPr>
          <w:rFonts w:ascii="Times New Roman" w:eastAsia="Calibri" w:hAnsi="Times New Roman"/>
        </w:rPr>
        <w:tab/>
        <w:t>evidence given before the Assembly, a committee or an inquiry; and</w:t>
      </w:r>
    </w:p>
    <w:p w14:paraId="36980963"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(c)</w:t>
      </w:r>
      <w:r w:rsidRPr="00933CB1">
        <w:rPr>
          <w:rFonts w:ascii="Times New Roman" w:eastAsia="Calibri" w:hAnsi="Times New Roman"/>
        </w:rPr>
        <w:tab/>
        <w:t>presenting or submitting a document to the Assembly, a</w:t>
      </w:r>
      <w:r>
        <w:rPr>
          <w:rFonts w:ascii="Times New Roman" w:eastAsia="Calibri" w:hAnsi="Times New Roman"/>
        </w:rPr>
        <w:t> </w:t>
      </w:r>
      <w:r w:rsidRPr="00933CB1">
        <w:rPr>
          <w:rFonts w:ascii="Times New Roman" w:eastAsia="Calibri" w:hAnsi="Times New Roman"/>
        </w:rPr>
        <w:t>committee or an inquiry; and</w:t>
      </w:r>
    </w:p>
    <w:p w14:paraId="01ACE0CD"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(d)</w:t>
      </w:r>
      <w:r w:rsidRPr="00933CB1">
        <w:rPr>
          <w:rFonts w:ascii="Times New Roman" w:eastAsia="Calibri" w:hAnsi="Times New Roman"/>
        </w:rPr>
        <w:tab/>
        <w:t>a document tabled in, or presented or submitted to, the</w:t>
      </w:r>
      <w:r>
        <w:rPr>
          <w:rFonts w:ascii="Times New Roman" w:eastAsia="Calibri" w:hAnsi="Times New Roman"/>
        </w:rPr>
        <w:t> </w:t>
      </w:r>
      <w:r w:rsidRPr="00933CB1">
        <w:rPr>
          <w:rFonts w:ascii="Times New Roman" w:eastAsia="Calibri" w:hAnsi="Times New Roman"/>
        </w:rPr>
        <w:t>Assembly, a committee</w:t>
      </w:r>
      <w:r w:rsidRPr="00933CB1">
        <w:rPr>
          <w:rFonts w:ascii="Times New Roman" w:eastAsia="Calibri" w:hAnsi="Times New Roman"/>
          <w:b/>
          <w:bCs/>
        </w:rPr>
        <w:t xml:space="preserve"> </w:t>
      </w:r>
      <w:r w:rsidRPr="00933CB1">
        <w:rPr>
          <w:rFonts w:ascii="Times New Roman" w:eastAsia="Calibri" w:hAnsi="Times New Roman"/>
        </w:rPr>
        <w:t>or an inquiry; and</w:t>
      </w:r>
    </w:p>
    <w:p w14:paraId="6038D709"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(e)</w:t>
      </w:r>
      <w:r w:rsidRPr="00933CB1">
        <w:rPr>
          <w:rFonts w:ascii="Times New Roman" w:eastAsia="Calibri" w:hAnsi="Times New Roman"/>
        </w:rPr>
        <w:tab/>
        <w:t>preparing a document for the purposes of, or incidental to, transacting business mentioned in paragraph (a) or (c); and</w:t>
      </w:r>
    </w:p>
    <w:p w14:paraId="7F9E67CF" w14:textId="77777777" w:rsidR="00816474" w:rsidRPr="00933CB1"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ab/>
        <w:t>...</w:t>
      </w:r>
    </w:p>
    <w:p w14:paraId="7B01647C" w14:textId="77777777" w:rsidR="00816474" w:rsidRPr="00933CB1"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(3)</w:t>
      </w:r>
      <w:r w:rsidRPr="00933CB1">
        <w:rPr>
          <w:rFonts w:ascii="Times New Roman" w:eastAsia="Calibri" w:hAnsi="Times New Roman"/>
        </w:rPr>
        <w:tab/>
        <w:t>Despite subsection (2)(d), section 8 does not apply to a document mentioned in subsection (2)(d) –</w:t>
      </w:r>
    </w:p>
    <w:p w14:paraId="7F78E5A6"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(a)</w:t>
      </w:r>
      <w:r w:rsidRPr="00933CB1">
        <w:rPr>
          <w:rFonts w:ascii="Times New Roman" w:eastAsia="Calibri" w:hAnsi="Times New Roman"/>
        </w:rPr>
        <w:tab/>
        <w:t>in relation to a purpose for which it was brought into existence other than for the purpose of being tabled in, or presented or submitted to, the Assembly or a committee or an inquiry; and</w:t>
      </w:r>
    </w:p>
    <w:p w14:paraId="5C0F1434" w14:textId="77777777" w:rsidR="00816474" w:rsidRPr="00933CB1" w:rsidRDefault="00816474" w:rsidP="00933CB1">
      <w:pPr>
        <w:pStyle w:val="LRHangingMore"/>
        <w:spacing w:before="0" w:after="260" w:line="280" w:lineRule="exact"/>
        <w:ind w:right="0"/>
        <w:jc w:val="both"/>
        <w:rPr>
          <w:rFonts w:ascii="Times New Roman" w:eastAsia="Calibri" w:hAnsi="Times New Roman"/>
        </w:rPr>
      </w:pPr>
      <w:r w:rsidRPr="00933CB1">
        <w:rPr>
          <w:rFonts w:ascii="Times New Roman" w:eastAsia="Calibri" w:hAnsi="Times New Roman"/>
        </w:rPr>
        <w:t>(b)</w:t>
      </w:r>
      <w:r w:rsidRPr="00933CB1">
        <w:rPr>
          <w:rFonts w:ascii="Times New Roman" w:eastAsia="Calibri" w:hAnsi="Times New Roman"/>
        </w:rPr>
        <w:tab/>
        <w:t>if the document has been authorised by the Assembly or the committee to be published.</w:t>
      </w:r>
    </w:p>
    <w:p w14:paraId="4986F551" w14:textId="77777777" w:rsidR="00816474" w:rsidRPr="00933CB1" w:rsidRDefault="00816474" w:rsidP="00933CB1">
      <w:pPr>
        <w:pStyle w:val="leftright"/>
        <w:spacing w:before="0" w:after="260" w:line="280" w:lineRule="exact"/>
        <w:ind w:left="1440" w:right="0"/>
        <w:jc w:val="both"/>
        <w:rPr>
          <w:rFonts w:ascii="Times New Roman" w:eastAsia="Calibri" w:hAnsi="Times New Roman"/>
        </w:rPr>
      </w:pPr>
      <w:r w:rsidRPr="00933CB1">
        <w:rPr>
          <w:rFonts w:ascii="Times New Roman" w:eastAsia="Calibri" w:hAnsi="Times New Roman"/>
        </w:rPr>
        <w:lastRenderedPageBreak/>
        <w:t xml:space="preserve">Example – A document evidencing fraud in a department tabled at a portfolio committee inquiry can be used in a criminal prosecution for the fraud if the document was not created for the committee's inquiry and the committee has authorised the document to be published. </w:t>
      </w:r>
    </w:p>
    <w:p w14:paraId="597E09E1" w14:textId="77777777" w:rsidR="00816474" w:rsidRPr="00933CB1" w:rsidRDefault="00816474" w:rsidP="00933CB1">
      <w:pPr>
        <w:pStyle w:val="leftright"/>
        <w:spacing w:before="0" w:after="260" w:line="280" w:lineRule="exact"/>
        <w:ind w:right="0"/>
        <w:jc w:val="both"/>
        <w:rPr>
          <w:rFonts w:ascii="Times New Roman" w:eastAsia="Calibri" w:hAnsi="Times New Roman"/>
        </w:rPr>
      </w:pPr>
      <w:r w:rsidRPr="00933CB1">
        <w:rPr>
          <w:rFonts w:ascii="Times New Roman" w:eastAsia="Calibri" w:hAnsi="Times New Roman"/>
        </w:rPr>
        <w:t>...</w:t>
      </w:r>
    </w:p>
    <w:p w14:paraId="534DD454" w14:textId="77777777" w:rsidR="00816474" w:rsidRDefault="00816474" w:rsidP="00933CB1">
      <w:pPr>
        <w:pStyle w:val="LeftrightHanging"/>
        <w:spacing w:before="0" w:after="260" w:line="280" w:lineRule="exact"/>
        <w:ind w:right="0"/>
        <w:jc w:val="both"/>
        <w:rPr>
          <w:rFonts w:ascii="Times New Roman" w:eastAsia="Calibri" w:hAnsi="Times New Roman"/>
        </w:rPr>
      </w:pPr>
      <w:r w:rsidRPr="00933CB1">
        <w:rPr>
          <w:rFonts w:ascii="Times New Roman" w:eastAsia="Calibri" w:hAnsi="Times New Roman"/>
        </w:rPr>
        <w:t>(5)</w:t>
      </w:r>
      <w:r w:rsidRPr="00933CB1">
        <w:rPr>
          <w:rFonts w:ascii="Times New Roman" w:eastAsia="Calibri" w:hAnsi="Times New Roman"/>
        </w:rPr>
        <w:tab/>
        <w:t>For this section, it does not matter what the nature of the business transacted by a committee is or whether the business is transacted under this Act or otherwise." (emphasis in italics added)</w:t>
      </w:r>
    </w:p>
    <w:p w14:paraId="6BD78151"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As is apparent, s 9(1) defines "proceedings in the Assembly" to relevantly include "all ... acts done in the course of, or for the purposes of or incidental to, transacting business of ... a committee". It is a critical functional limitation. It</w:t>
      </w:r>
      <w:r>
        <w:rPr>
          <w:rFonts w:ascii="Times New Roman" w:hAnsi="Times New Roman"/>
        </w:rPr>
        <w:t> </w:t>
      </w:r>
      <w:r w:rsidRPr="00933CB1">
        <w:rPr>
          <w:rFonts w:ascii="Times New Roman" w:hAnsi="Times New Roman"/>
        </w:rPr>
        <w:t>identifies the need to focus on the purposes of the Assembly or the committee. That focal point is reinforced by s 9(3), which relevantly provides that, where a document is prepared for a purpose other than being presented to a committee, s</w:t>
      </w:r>
      <w:r>
        <w:rPr>
          <w:rFonts w:ascii="Times New Roman" w:hAnsi="Times New Roman"/>
        </w:rPr>
        <w:t> </w:t>
      </w:r>
      <w:r w:rsidRPr="00933CB1">
        <w:rPr>
          <w:rFonts w:ascii="Times New Roman" w:hAnsi="Times New Roman"/>
        </w:rPr>
        <w:t>8</w:t>
      </w:r>
      <w:r>
        <w:rPr>
          <w:rFonts w:ascii="Times New Roman" w:hAnsi="Times New Roman"/>
        </w:rPr>
        <w:t> </w:t>
      </w:r>
      <w:r w:rsidRPr="00933CB1">
        <w:rPr>
          <w:rFonts w:ascii="Times New Roman" w:hAnsi="Times New Roman"/>
        </w:rPr>
        <w:t xml:space="preserve">does not apply to that document in relation to that purpose if the committee authorised the document to be published. </w:t>
      </w:r>
    </w:p>
    <w:p w14:paraId="4588E25B"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The relevant limit – "all words spoken and acts done ... for the purposes of</w:t>
      </w:r>
      <w:r>
        <w:rPr>
          <w:rFonts w:ascii="Times New Roman" w:hAnsi="Times New Roman"/>
        </w:rPr>
        <w:t> </w:t>
      </w:r>
      <w:r w:rsidRPr="00933CB1">
        <w:rPr>
          <w:rFonts w:ascii="Times New Roman" w:hAnsi="Times New Roman"/>
        </w:rPr>
        <w:t>... a committee" – is an objective inquiry in the sense that it involves the drawing of inferences from objective facts</w:t>
      </w:r>
      <w:r w:rsidRPr="00933CB1">
        <w:rPr>
          <w:rStyle w:val="FootnoteReference"/>
          <w:rFonts w:ascii="Times New Roman" w:hAnsi="Times New Roman"/>
          <w:sz w:val="24"/>
        </w:rPr>
        <w:footnoteReference w:id="103"/>
      </w:r>
      <w:r w:rsidRPr="00933CB1">
        <w:rPr>
          <w:rFonts w:ascii="Times New Roman" w:hAnsi="Times New Roman"/>
        </w:rPr>
        <w:t>.</w:t>
      </w:r>
      <w:r w:rsidRPr="00933CB1" w:rsidDel="0080186A">
        <w:rPr>
          <w:rFonts w:ascii="Times New Roman" w:hAnsi="Times New Roman"/>
        </w:rPr>
        <w:t xml:space="preserve"> </w:t>
      </w:r>
      <w:r w:rsidRPr="00933CB1">
        <w:rPr>
          <w:rFonts w:ascii="Times New Roman" w:hAnsi="Times New Roman"/>
        </w:rPr>
        <w:t>To the extent that some cases may suggest otherwise</w:t>
      </w:r>
      <w:r w:rsidRPr="00933CB1">
        <w:rPr>
          <w:rStyle w:val="FootnoteReference"/>
          <w:rFonts w:ascii="Times New Roman" w:hAnsi="Times New Roman"/>
          <w:sz w:val="24"/>
        </w:rPr>
        <w:footnoteReference w:id="104"/>
      </w:r>
      <w:r w:rsidRPr="00933CB1">
        <w:rPr>
          <w:rFonts w:ascii="Times New Roman" w:hAnsi="Times New Roman"/>
        </w:rPr>
        <w:t xml:space="preserve"> they are wrong and should not be followed. As when</w:t>
      </w:r>
      <w:r w:rsidRPr="00933CB1" w:rsidDel="00F92A06">
        <w:rPr>
          <w:rFonts w:ascii="Times New Roman" w:hAnsi="Times New Roman"/>
        </w:rPr>
        <w:t xml:space="preserve"> </w:t>
      </w:r>
      <w:r w:rsidRPr="00933CB1">
        <w:rPr>
          <w:rFonts w:ascii="Times New Roman" w:hAnsi="Times New Roman"/>
        </w:rPr>
        <w:t>construing the objective purpose of Parliament in passing legislation, one does not equate the subjective purpose of a given individual</w:t>
      </w:r>
      <w:r w:rsidRPr="00933CB1" w:rsidDel="003B57D6">
        <w:rPr>
          <w:rFonts w:ascii="Times New Roman" w:hAnsi="Times New Roman"/>
        </w:rPr>
        <w:t xml:space="preserve"> </w:t>
      </w:r>
      <w:r w:rsidRPr="00933CB1">
        <w:rPr>
          <w:rFonts w:ascii="Times New Roman" w:hAnsi="Times New Roman"/>
        </w:rPr>
        <w:t>with the objective purpose of the institution of which they are a part</w:t>
      </w:r>
      <w:r w:rsidRPr="00933CB1">
        <w:rPr>
          <w:rStyle w:val="FootnoteReference"/>
          <w:rFonts w:ascii="Times New Roman" w:hAnsi="Times New Roman"/>
          <w:sz w:val="24"/>
        </w:rPr>
        <w:footnoteReference w:id="105"/>
      </w:r>
      <w:r w:rsidRPr="00933CB1">
        <w:rPr>
          <w:rFonts w:ascii="Times New Roman" w:hAnsi="Times New Roman"/>
        </w:rPr>
        <w:t>. Nor does one attempt to aggregate subjective purposes of individual members of a committee. Rather, the inferences drawn from objective facts are directed towards the identification of an objective purpose of the committee as a body itself.</w:t>
      </w:r>
    </w:p>
    <w:p w14:paraId="2F60A67C"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Further,</w:t>
      </w:r>
      <w:r w:rsidRPr="00933CB1" w:rsidDel="003B57D6">
        <w:rPr>
          <w:rFonts w:ascii="Times New Roman" w:hAnsi="Times New Roman"/>
        </w:rPr>
        <w:t xml:space="preserve"> </w:t>
      </w:r>
      <w:r w:rsidRPr="00933CB1">
        <w:rPr>
          <w:rFonts w:ascii="Times New Roman" w:hAnsi="Times New Roman"/>
        </w:rPr>
        <w:t xml:space="preserve">the relevant purpose or purposes that are the subject of inquiry in determining whether parliamentary privilege exists are those of the Assembly or a committee, such as the PCCC. If it were otherwise, privilege could attach to </w:t>
      </w:r>
      <w:r w:rsidRPr="00933CB1">
        <w:rPr>
          <w:rFonts w:ascii="Times New Roman" w:hAnsi="Times New Roman"/>
        </w:rPr>
        <w:lastRenderedPageBreak/>
        <w:t xml:space="preserve">documents provided by strangers to Parliament and its committees, based on nothing more than the purposes of those strangers. </w:t>
      </w:r>
      <w:r w:rsidRPr="00933CB1" w:rsidDel="007C3661">
        <w:rPr>
          <w:rFonts w:ascii="Times New Roman" w:hAnsi="Times New Roman"/>
        </w:rPr>
        <w:t>F</w:t>
      </w:r>
      <w:r w:rsidRPr="00933CB1" w:rsidDel="00A96B0F">
        <w:rPr>
          <w:rFonts w:ascii="Times New Roman" w:hAnsi="Times New Roman"/>
        </w:rPr>
        <w:t>or example,</w:t>
      </w:r>
      <w:r w:rsidRPr="00933CB1">
        <w:rPr>
          <w:rFonts w:ascii="Times New Roman" w:hAnsi="Times New Roman"/>
        </w:rPr>
        <w:t xml:space="preserve"> </w:t>
      </w:r>
      <w:r w:rsidRPr="00933CB1" w:rsidDel="007C3661">
        <w:rPr>
          <w:rFonts w:ascii="Times New Roman" w:hAnsi="Times New Roman"/>
        </w:rPr>
        <w:t>j</w:t>
      </w:r>
      <w:r w:rsidRPr="00933CB1">
        <w:rPr>
          <w:rFonts w:ascii="Times New Roman" w:hAnsi="Times New Roman"/>
        </w:rPr>
        <w:t>unk mail received by a committee does not attract parliamentary privilege</w:t>
      </w:r>
      <w:r w:rsidRPr="00933CB1">
        <w:rPr>
          <w:rStyle w:val="FootnoteReference"/>
          <w:rFonts w:ascii="Times New Roman" w:hAnsi="Times New Roman"/>
          <w:sz w:val="24"/>
        </w:rPr>
        <w:footnoteReference w:id="106"/>
      </w:r>
      <w:r w:rsidRPr="00933CB1">
        <w:rPr>
          <w:rFonts w:ascii="Times New Roman" w:hAnsi="Times New Roman"/>
        </w:rPr>
        <w:t xml:space="preserve">. </w:t>
      </w:r>
    </w:p>
    <w:p w14:paraId="29DFAC54" w14:textId="77777777" w:rsidR="00816474" w:rsidRPr="00933CB1" w:rsidRDefault="00816474" w:rsidP="00933CB1">
      <w:pPr>
        <w:pStyle w:val="HeadingL1"/>
        <w:spacing w:after="260" w:line="280" w:lineRule="exact"/>
        <w:ind w:right="0"/>
        <w:jc w:val="both"/>
        <w:rPr>
          <w:rFonts w:ascii="Times New Roman" w:hAnsi="Times New Roman"/>
        </w:rPr>
      </w:pPr>
      <w:r w:rsidRPr="00933CB1">
        <w:rPr>
          <w:rFonts w:ascii="Times New Roman" w:hAnsi="Times New Roman"/>
        </w:rPr>
        <w:t>Was the October Draft subject to parliamentary privilege?</w:t>
      </w:r>
    </w:p>
    <w:p w14:paraId="04E2DEB9" w14:textId="3B31FF9C"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It is for the courts to decide whether a claimed privilege is necessary for the legislature to function. The court has no power to review the rightness or wrongness of a decision made pursuant to the privilege</w:t>
      </w:r>
      <w:r w:rsidRPr="00933CB1">
        <w:rPr>
          <w:rStyle w:val="FootnoteReference"/>
          <w:rFonts w:ascii="Times New Roman" w:hAnsi="Times New Roman"/>
          <w:sz w:val="24"/>
        </w:rPr>
        <w:footnoteReference w:id="107"/>
      </w:r>
      <w:r w:rsidRPr="00933CB1">
        <w:rPr>
          <w:rFonts w:ascii="Times New Roman" w:hAnsi="Times New Roman"/>
        </w:rPr>
        <w:t xml:space="preserve">. As Dixon CJ said in </w:t>
      </w:r>
      <w:r w:rsidRPr="00933CB1">
        <w:rPr>
          <w:rFonts w:ascii="Times New Roman" w:hAnsi="Times New Roman"/>
          <w:i/>
          <w:iCs/>
        </w:rPr>
        <w:t xml:space="preserve">R v Richards; Ex </w:t>
      </w:r>
      <w:proofErr w:type="spellStart"/>
      <w:r w:rsidRPr="00933CB1">
        <w:rPr>
          <w:rFonts w:ascii="Times New Roman" w:hAnsi="Times New Roman"/>
          <w:i/>
          <w:iCs/>
        </w:rPr>
        <w:t>parte</w:t>
      </w:r>
      <w:proofErr w:type="spellEnd"/>
      <w:r w:rsidRPr="00933CB1">
        <w:rPr>
          <w:rFonts w:ascii="Times New Roman" w:hAnsi="Times New Roman"/>
          <w:i/>
          <w:iCs/>
        </w:rPr>
        <w:t xml:space="preserve"> Fitzpatrick and Browne</w:t>
      </w:r>
      <w:r w:rsidRPr="00933CB1">
        <w:rPr>
          <w:rFonts w:ascii="Times New Roman" w:hAnsi="Times New Roman"/>
        </w:rPr>
        <w:t>,</w:t>
      </w:r>
      <w:r w:rsidRPr="00933CB1">
        <w:rPr>
          <w:rFonts w:ascii="Times New Roman" w:hAnsi="Times New Roman"/>
          <w:i/>
          <w:iCs/>
        </w:rPr>
        <w:t xml:space="preserve"> </w:t>
      </w:r>
      <w:r w:rsidRPr="00933CB1">
        <w:rPr>
          <w:rFonts w:ascii="Times New Roman" w:hAnsi="Times New Roman"/>
        </w:rPr>
        <w:t>"it is for the courts to judge of the existence in either House of Parliament of a privilege, but, given an undoubted privilege, it is for the House to judge of the occasion and of the manner of its exercise"</w:t>
      </w:r>
      <w:r w:rsidRPr="00933CB1">
        <w:rPr>
          <w:rFonts w:ascii="Times New Roman" w:hAnsi="Times New Roman"/>
          <w:b/>
          <w:bCs/>
          <w:sz w:val="24"/>
          <w:vertAlign w:val="superscript"/>
        </w:rPr>
        <w:footnoteReference w:id="108"/>
      </w:r>
      <w:r w:rsidRPr="00933CB1">
        <w:rPr>
          <w:rFonts w:ascii="Times New Roman" w:hAnsi="Times New Roman"/>
        </w:rPr>
        <w:t>. Put differently, the intervention by the courts is only "at the initial jurisdictional level"</w:t>
      </w:r>
      <w:r w:rsidRPr="00933CB1">
        <w:rPr>
          <w:rStyle w:val="FootnoteReference"/>
          <w:rFonts w:ascii="Times New Roman" w:hAnsi="Times New Roman"/>
          <w:sz w:val="24"/>
        </w:rPr>
        <w:footnoteReference w:id="109"/>
      </w:r>
      <w:r w:rsidRPr="00933CB1">
        <w:rPr>
          <w:rFonts w:ascii="Times New Roman" w:hAnsi="Times New Roman"/>
        </w:rPr>
        <w:t>. The court will not interfere with proceedings and procedures of Parliament</w:t>
      </w:r>
      <w:r w:rsidRPr="00933CB1">
        <w:rPr>
          <w:rStyle w:val="FootnoteReference"/>
          <w:rFonts w:ascii="Times New Roman" w:hAnsi="Times New Roman"/>
          <w:sz w:val="24"/>
        </w:rPr>
        <w:footnoteReference w:id="110"/>
      </w:r>
      <w:r w:rsidRPr="00933CB1">
        <w:rPr>
          <w:rFonts w:ascii="Times New Roman" w:hAnsi="Times New Roman"/>
        </w:rPr>
        <w:t>. Thus, once it is accepted that the privilege exists, and</w:t>
      </w:r>
      <w:r w:rsidR="00F045D7">
        <w:rPr>
          <w:rFonts w:ascii="Times New Roman" w:hAnsi="Times New Roman"/>
        </w:rPr>
        <w:t> </w:t>
      </w:r>
      <w:r w:rsidRPr="00933CB1">
        <w:rPr>
          <w:rFonts w:ascii="Times New Roman" w:hAnsi="Times New Roman"/>
        </w:rPr>
        <w:t xml:space="preserve">that the Parliament has determined the occasion of its exercise, nothing further falls to be determined. </w:t>
      </w:r>
    </w:p>
    <w:p w14:paraId="0E870845"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It is unnecessary and inappropriate to determine the metes and bounds of parliamentary privilege in this case. In assessing the existence of the privilege in this matter, it cannot be said that the October Draft was brought into existence "in</w:t>
      </w:r>
      <w:r>
        <w:rPr>
          <w:rFonts w:ascii="Times New Roman" w:hAnsi="Times New Roman"/>
        </w:rPr>
        <w:t> </w:t>
      </w:r>
      <w:r w:rsidRPr="00933CB1">
        <w:rPr>
          <w:rFonts w:ascii="Times New Roman" w:hAnsi="Times New Roman"/>
        </w:rPr>
        <w:t>the course of, or for the purposes of or incidental to, transacting business of the [PCCC]". The oral exchanges between the PCCC and the Commission in June and September 2020 did not occur at a meeting of the PCCC</w:t>
      </w:r>
      <w:r w:rsidRPr="00933CB1">
        <w:rPr>
          <w:rStyle w:val="FootnoteReference"/>
          <w:rFonts w:ascii="Times New Roman" w:hAnsi="Times New Roman"/>
          <w:sz w:val="24"/>
        </w:rPr>
        <w:footnoteReference w:id="111"/>
      </w:r>
      <w:r w:rsidRPr="00933CB1">
        <w:rPr>
          <w:rFonts w:ascii="Times New Roman" w:hAnsi="Times New Roman"/>
        </w:rPr>
        <w:t xml:space="preserve">. Until September 2020, the only purpose animating the preparation of the October Draft was the Commission's purpose – it did not raise any business of the PCCC. It is not sufficient that there is a "statutory relationship" between the Commission and the PCCC for the purposes of the Commission to become the purposes of the PCCC – </w:t>
      </w:r>
      <w:r w:rsidRPr="00933CB1">
        <w:rPr>
          <w:rFonts w:ascii="Times New Roman" w:hAnsi="Times New Roman"/>
        </w:rPr>
        <w:lastRenderedPageBreak/>
        <w:t>even with a "statutory relationship" the purposes of the Commission cannot be attributed to the PCCC. The</w:t>
      </w:r>
      <w:r w:rsidRPr="00933CB1" w:rsidDel="00F92A06">
        <w:rPr>
          <w:rFonts w:ascii="Times New Roman" w:hAnsi="Times New Roman"/>
        </w:rPr>
        <w:t xml:space="preserve"> </w:t>
      </w:r>
      <w:r w:rsidRPr="00933CB1">
        <w:rPr>
          <w:rFonts w:ascii="Times New Roman" w:hAnsi="Times New Roman"/>
        </w:rPr>
        <w:t>Commission is not the PCCC's agent.</w:t>
      </w:r>
    </w:p>
    <w:p w14:paraId="6D550738"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 xml:space="preserve">The PCCC did not exercise any of its powers to call for the production of any document or thing. The PCCC had not exercised and was not exercising one or more of its prescribed functions. None of the acts of the PCCC in this case were </w:t>
      </w:r>
      <w:r w:rsidRPr="00933CB1">
        <w:rPr>
          <w:rFonts w:ascii="Times New Roman" w:hAnsi="Times New Roman"/>
          <w:i/>
          <w:iCs/>
        </w:rPr>
        <w:t>in the course</w:t>
      </w:r>
      <w:r w:rsidRPr="00933CB1">
        <w:rPr>
          <w:rFonts w:ascii="Times New Roman" w:hAnsi="Times New Roman"/>
        </w:rPr>
        <w:t xml:space="preserve"> </w:t>
      </w:r>
      <w:r w:rsidRPr="00933CB1">
        <w:rPr>
          <w:rFonts w:ascii="Times New Roman" w:hAnsi="Times New Roman"/>
          <w:i/>
        </w:rPr>
        <w:t>of</w:t>
      </w:r>
      <w:r w:rsidRPr="00933CB1">
        <w:rPr>
          <w:rFonts w:ascii="Times New Roman" w:hAnsi="Times New Roman"/>
        </w:rPr>
        <w:t xml:space="preserve"> or </w:t>
      </w:r>
      <w:r w:rsidRPr="00933CB1">
        <w:rPr>
          <w:rFonts w:ascii="Times New Roman" w:hAnsi="Times New Roman"/>
          <w:i/>
          <w:iCs/>
        </w:rPr>
        <w:t>for the</w:t>
      </w:r>
      <w:r w:rsidRPr="00933CB1">
        <w:rPr>
          <w:rFonts w:ascii="Times New Roman" w:hAnsi="Times New Roman"/>
        </w:rPr>
        <w:t xml:space="preserve"> </w:t>
      </w:r>
      <w:r w:rsidRPr="00933CB1">
        <w:rPr>
          <w:rFonts w:ascii="Times New Roman" w:hAnsi="Times New Roman"/>
          <w:i/>
          <w:iCs/>
        </w:rPr>
        <w:t>purposes of</w:t>
      </w:r>
      <w:r w:rsidRPr="00933CB1">
        <w:rPr>
          <w:rFonts w:ascii="Times New Roman" w:hAnsi="Times New Roman"/>
        </w:rPr>
        <w:t xml:space="preserve"> or </w:t>
      </w:r>
      <w:r w:rsidRPr="00933CB1">
        <w:rPr>
          <w:rFonts w:ascii="Times New Roman" w:hAnsi="Times New Roman"/>
          <w:i/>
          <w:iCs/>
        </w:rPr>
        <w:t>incidental</w:t>
      </w:r>
      <w:r w:rsidRPr="00933CB1">
        <w:rPr>
          <w:rFonts w:ascii="Times New Roman" w:hAnsi="Times New Roman"/>
        </w:rPr>
        <w:t xml:space="preserve"> </w:t>
      </w:r>
      <w:r w:rsidRPr="00933CB1">
        <w:rPr>
          <w:rFonts w:ascii="Times New Roman" w:hAnsi="Times New Roman"/>
          <w:i/>
        </w:rPr>
        <w:t>to</w:t>
      </w:r>
      <w:r w:rsidRPr="00933CB1">
        <w:rPr>
          <w:rFonts w:ascii="Times New Roman" w:hAnsi="Times New Roman"/>
        </w:rPr>
        <w:t xml:space="preserve"> transacting business of the PCCC. It is not enough that the PCCC had a "particular responsibility for monitoring and reviewing the commission's performance"</w:t>
      </w:r>
      <w:r w:rsidRPr="00933CB1">
        <w:rPr>
          <w:rStyle w:val="FootnoteReference"/>
          <w:rFonts w:ascii="Times New Roman" w:hAnsi="Times New Roman"/>
          <w:sz w:val="24"/>
        </w:rPr>
        <w:footnoteReference w:id="112"/>
      </w:r>
      <w:r w:rsidRPr="00933CB1">
        <w:rPr>
          <w:rFonts w:ascii="Times New Roman" w:hAnsi="Times New Roman"/>
        </w:rPr>
        <w:t xml:space="preserve"> and that it had a general supervisory function under s 292(c) of the CC Act</w:t>
      </w:r>
      <w:r w:rsidRPr="00933CB1">
        <w:rPr>
          <w:rStyle w:val="FootnoteReference"/>
          <w:rFonts w:ascii="Times New Roman" w:hAnsi="Times New Roman"/>
          <w:sz w:val="24"/>
        </w:rPr>
        <w:footnoteReference w:id="113"/>
      </w:r>
      <w:r w:rsidRPr="00933CB1">
        <w:rPr>
          <w:rFonts w:ascii="Times New Roman" w:hAnsi="Times New Roman"/>
        </w:rPr>
        <w:t>. The PCCC needed, at a minimum, to elect to exercise its powers or statutory functions to create a connection between the October Draft and the transacting of its business</w:t>
      </w:r>
      <w:r w:rsidRPr="00933CB1">
        <w:rPr>
          <w:rStyle w:val="FootnoteReference"/>
          <w:rFonts w:ascii="Times New Roman" w:hAnsi="Times New Roman"/>
          <w:sz w:val="24"/>
        </w:rPr>
        <w:footnoteReference w:id="114"/>
      </w:r>
      <w:r w:rsidRPr="00933CB1">
        <w:rPr>
          <w:rFonts w:ascii="Times New Roman" w:hAnsi="Times New Roman"/>
        </w:rPr>
        <w:t>. The PCCC could not be a post box which insulated all documents received from the Commission with parliamentary privilege. It needed to at least elect to exercise a power or a statutory function in relation to the October Draft</w:t>
      </w:r>
      <w:r w:rsidRPr="00933CB1">
        <w:rPr>
          <w:rStyle w:val="FootnoteReference"/>
          <w:rFonts w:ascii="Times New Roman" w:hAnsi="Times New Roman"/>
          <w:sz w:val="24"/>
        </w:rPr>
        <w:footnoteReference w:id="115"/>
      </w:r>
      <w:r w:rsidRPr="00933CB1">
        <w:rPr>
          <w:rFonts w:ascii="Times New Roman" w:hAnsi="Times New Roman"/>
        </w:rPr>
        <w:t>.</w:t>
      </w:r>
    </w:p>
    <w:p w14:paraId="7202EC79" w14:textId="77777777" w:rsidR="00816474" w:rsidRPr="00933CB1" w:rsidRDefault="00816474" w:rsidP="00933CB1">
      <w:pPr>
        <w:pStyle w:val="FixListStyle"/>
        <w:spacing w:after="260" w:line="280" w:lineRule="exact"/>
        <w:ind w:right="0"/>
        <w:jc w:val="both"/>
        <w:rPr>
          <w:rFonts w:ascii="Times New Roman" w:hAnsi="Times New Roman"/>
        </w:rPr>
      </w:pPr>
      <w:r w:rsidRPr="00933CB1">
        <w:rPr>
          <w:rFonts w:ascii="Times New Roman" w:hAnsi="Times New Roman"/>
        </w:rPr>
        <w:tab/>
        <w:t>The current case may be distinguished from one where a parliamentary committee, upon receiving a document unrelated to the business of the parliamentary committee, elects to retain it for the purpose of transacting its business</w:t>
      </w:r>
      <w:r w:rsidRPr="00933CB1">
        <w:rPr>
          <w:rStyle w:val="FootnoteReference"/>
          <w:rFonts w:ascii="Times New Roman" w:hAnsi="Times New Roman"/>
          <w:sz w:val="24"/>
        </w:rPr>
        <w:footnoteReference w:id="116"/>
      </w:r>
      <w:r w:rsidRPr="00933CB1">
        <w:rPr>
          <w:rFonts w:ascii="Times New Roman" w:hAnsi="Times New Roman"/>
        </w:rPr>
        <w:t>. In such cases, the application of ss 8 and 9 of the POQ Act would have the result that the document would be privileged. However, on the agreed facts between the parties, the facts do not support a finding that the PCCC elected to keep the October Draft for the purpose of transacting its business</w:t>
      </w:r>
      <w:r w:rsidRPr="00933CB1">
        <w:rPr>
          <w:rStyle w:val="FootnoteReference"/>
          <w:rFonts w:ascii="Times New Roman" w:hAnsi="Times New Roman"/>
          <w:sz w:val="24"/>
        </w:rPr>
        <w:footnoteReference w:id="117"/>
      </w:r>
      <w:r w:rsidRPr="00933CB1">
        <w:rPr>
          <w:rFonts w:ascii="Times New Roman" w:hAnsi="Times New Roman"/>
        </w:rPr>
        <w:t>. Indeed, the</w:t>
      </w:r>
      <w:r>
        <w:rPr>
          <w:rFonts w:ascii="Times New Roman" w:hAnsi="Times New Roman"/>
        </w:rPr>
        <w:t> </w:t>
      </w:r>
      <w:r w:rsidRPr="00933CB1">
        <w:rPr>
          <w:rFonts w:ascii="Times New Roman" w:hAnsi="Times New Roman"/>
        </w:rPr>
        <w:t xml:space="preserve">PCCC's own letter to the Commission rebuts the two facts set out in the s 55 certificate. Put in different terms, that letter is evidence that the October Draft was </w:t>
      </w:r>
      <w:r w:rsidRPr="00933CB1">
        <w:rPr>
          <w:rFonts w:ascii="Times New Roman" w:hAnsi="Times New Roman"/>
          <w:i/>
          <w:iCs/>
        </w:rPr>
        <w:t>not</w:t>
      </w:r>
      <w:r w:rsidRPr="00933CB1">
        <w:rPr>
          <w:rFonts w:ascii="Times New Roman" w:hAnsi="Times New Roman"/>
        </w:rPr>
        <w:t xml:space="preserve"> presented or submitted to the PCCC and that the October Draft was </w:t>
      </w:r>
      <w:r w:rsidRPr="00933CB1">
        <w:rPr>
          <w:rFonts w:ascii="Times New Roman" w:hAnsi="Times New Roman"/>
          <w:i/>
          <w:iCs/>
        </w:rPr>
        <w:t xml:space="preserve">not </w:t>
      </w:r>
      <w:r w:rsidRPr="00933CB1">
        <w:rPr>
          <w:rFonts w:ascii="Times New Roman" w:hAnsi="Times New Roman"/>
        </w:rPr>
        <w:t xml:space="preserve">"prepared for the purposes of, or incidental to, transacting business" of the PCCC under s 9(2)(c) of the POQ Act. As the letter records, the October Draft was sent to the PCCC by the Commission with a request that the PCCC give a direction under s 69(1)(b) of the CC Act but the PCCC resolved to "defer its consideration of the [Commission's] request for a direction to give the final version of the </w:t>
      </w:r>
      <w:r w:rsidRPr="00933CB1">
        <w:rPr>
          <w:rFonts w:ascii="Times New Roman" w:hAnsi="Times New Roman"/>
        </w:rPr>
        <w:lastRenderedPageBreak/>
        <w:t>Investigation Report to the Speaker". Not only was consideration of the Commission's request deferred by the PCCC, but the PCCC recognised that the direction that was being sought concerned "the final version of the Investigation Report", a document which did not then exist.</w:t>
      </w:r>
    </w:p>
    <w:p w14:paraId="5DBF7C8D" w14:textId="6DD08BC1" w:rsidR="00A73989" w:rsidRPr="00816474" w:rsidRDefault="00816474" w:rsidP="00816474">
      <w:pPr>
        <w:pStyle w:val="FixListStyle"/>
        <w:spacing w:after="260" w:line="280" w:lineRule="exact"/>
        <w:ind w:right="0"/>
        <w:jc w:val="both"/>
        <w:rPr>
          <w:rFonts w:ascii="Times New Roman" w:hAnsi="Times New Roman"/>
        </w:rPr>
      </w:pPr>
      <w:r w:rsidRPr="00933CB1">
        <w:rPr>
          <w:rFonts w:ascii="Times New Roman" w:hAnsi="Times New Roman"/>
        </w:rPr>
        <w:tab/>
        <w:t>Since the October Draft was not the subject of parliamentary privilege it is unnecessary to consider whether parliamentary privilege would have precluded the declaration sought by Mr Carne and made by the Court of Appeal. That declaration</w:t>
      </w:r>
      <w:r w:rsidRPr="00933CB1">
        <w:rPr>
          <w:rFonts w:ascii="Times New Roman" w:hAnsi="Times New Roman"/>
          <w:b/>
          <w:bCs/>
        </w:rPr>
        <w:t xml:space="preserve"> </w:t>
      </w:r>
      <w:r w:rsidRPr="00933CB1">
        <w:rPr>
          <w:rFonts w:ascii="Times New Roman" w:hAnsi="Times New Roman"/>
        </w:rPr>
        <w:t xml:space="preserve">should not be set aside. </w:t>
      </w:r>
    </w:p>
    <w:sectPr w:rsidR="00A73989" w:rsidRPr="00816474" w:rsidSect="00816474">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8DB0" w14:textId="77777777" w:rsidR="00DD0C51" w:rsidRDefault="00DD0C51">
      <w:pPr>
        <w:spacing w:line="240" w:lineRule="auto"/>
      </w:pPr>
      <w:r>
        <w:separator/>
      </w:r>
    </w:p>
  </w:endnote>
  <w:endnote w:type="continuationSeparator" w:id="0">
    <w:p w14:paraId="10D78F94" w14:textId="77777777" w:rsidR="00DD0C51" w:rsidRDefault="00DD0C51">
      <w:pPr>
        <w:spacing w:line="240" w:lineRule="auto"/>
      </w:pPr>
      <w:r>
        <w:continuationSeparator/>
      </w:r>
    </w:p>
  </w:endnote>
  <w:endnote w:type="continuationNotice" w:id="1">
    <w:p w14:paraId="31819123" w14:textId="77777777" w:rsidR="00DD0C51" w:rsidRDefault="00DD0C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0F9" w14:textId="77777777" w:rsidR="00AA5366" w:rsidRDefault="00AA5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E6A7" w14:textId="77777777" w:rsidR="00AA5366" w:rsidRDefault="00AA5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BBA" w14:textId="77777777" w:rsidR="00AA5366" w:rsidRDefault="00AA53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35E1" w14:textId="77777777" w:rsidR="00AA5366" w:rsidRDefault="00AA53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CEF8" w14:textId="77777777" w:rsidR="00AA5366" w:rsidRDefault="00AA53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3F7E" w14:textId="77777777" w:rsidR="00AA5366" w:rsidRDefault="00AA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96B5" w14:textId="77777777" w:rsidR="00DD0C51" w:rsidRPr="00153410" w:rsidRDefault="00DD0C51" w:rsidP="00153410">
      <w:pPr>
        <w:pStyle w:val="Footer"/>
        <w:spacing w:before="120" w:after="20"/>
        <w:ind w:right="0"/>
        <w:rPr>
          <w:rFonts w:ascii="Times New Roman" w:hAnsi="Times New Roman"/>
        </w:rPr>
      </w:pPr>
      <w:r>
        <w:continuationSeparator/>
      </w:r>
    </w:p>
  </w:footnote>
  <w:footnote w:type="continuationSeparator" w:id="0">
    <w:p w14:paraId="660C25AE" w14:textId="77777777" w:rsidR="00DD0C51" w:rsidRPr="00153410" w:rsidRDefault="00DD0C51" w:rsidP="00153410">
      <w:pPr>
        <w:pStyle w:val="Footer"/>
        <w:spacing w:before="120" w:after="20"/>
        <w:ind w:right="0"/>
        <w:rPr>
          <w:rFonts w:ascii="Times New Roman" w:hAnsi="Times New Roman"/>
        </w:rPr>
      </w:pPr>
      <w:r w:rsidRPr="00153410">
        <w:rPr>
          <w:rFonts w:ascii="Times New Roman" w:hAnsi="Times New Roman"/>
        </w:rPr>
        <w:continuationSeparator/>
      </w:r>
    </w:p>
  </w:footnote>
  <w:footnote w:type="continuationNotice" w:id="1">
    <w:p w14:paraId="7337B380" w14:textId="77777777" w:rsidR="00DD0C51" w:rsidRPr="00816474" w:rsidRDefault="00DD0C51">
      <w:pPr>
        <w:jc w:val="right"/>
        <w:rPr>
          <w:rFonts w:ascii="Times New Roman" w:hAnsi="Times New Roman"/>
          <w:sz w:val="24"/>
        </w:rPr>
      </w:pPr>
    </w:p>
  </w:footnote>
  <w:footnote w:id="2">
    <w:p w14:paraId="346F1EA8"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Public Trustee Act 1978</w:t>
      </w:r>
      <w:r w:rsidRPr="00153410">
        <w:rPr>
          <w:rFonts w:ascii="Times New Roman" w:hAnsi="Times New Roman"/>
          <w:sz w:val="24"/>
        </w:rPr>
        <w:t xml:space="preserve"> (Qld), s</w:t>
      </w:r>
      <w:r w:rsidRPr="00153410" w:rsidDel="00FA6ACF">
        <w:rPr>
          <w:rFonts w:ascii="Times New Roman" w:hAnsi="Times New Roman"/>
          <w:sz w:val="24"/>
          <w:lang w:val="en-US"/>
        </w:rPr>
        <w:t xml:space="preserve"> </w:t>
      </w:r>
      <w:r w:rsidRPr="00153410">
        <w:rPr>
          <w:rFonts w:ascii="Times New Roman" w:hAnsi="Times New Roman"/>
          <w:sz w:val="24"/>
          <w:lang w:val="en-US"/>
        </w:rPr>
        <w:t>9(1).</w:t>
      </w:r>
    </w:p>
  </w:footnote>
  <w:footnote w:id="3">
    <w:p w14:paraId="25F7E18F"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w:t>
      </w:r>
      <w:r w:rsidRPr="00153410">
        <w:rPr>
          <w:rFonts w:ascii="Times New Roman" w:hAnsi="Times New Roman"/>
          <w:sz w:val="24"/>
          <w:lang w:val="en-US"/>
        </w:rPr>
        <w:t> 220.</w:t>
      </w:r>
    </w:p>
  </w:footnote>
  <w:footnote w:id="4">
    <w:p w14:paraId="3194EC37"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 </w:t>
      </w:r>
      <w:r w:rsidRPr="00153410">
        <w:rPr>
          <w:rFonts w:ascii="Times New Roman" w:hAnsi="Times New Roman"/>
          <w:sz w:val="24"/>
          <w:lang w:val="en-US"/>
        </w:rPr>
        <w:t>291.</w:t>
      </w:r>
    </w:p>
  </w:footnote>
  <w:footnote w:id="5">
    <w:p w14:paraId="3936B579" w14:textId="77777777" w:rsidR="00307209" w:rsidRPr="00153410" w:rsidRDefault="00307209" w:rsidP="00153410">
      <w:pPr>
        <w:pStyle w:val="FootnoteText"/>
        <w:spacing w:line="280" w:lineRule="exact"/>
        <w:ind w:right="0"/>
        <w:jc w:val="both"/>
        <w:rPr>
          <w:rFonts w:ascii="Times New Roman" w:hAnsi="Times New Roman"/>
          <w:sz w:val="24"/>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rPr>
        <w:tab/>
      </w:r>
      <w:r w:rsidRPr="00153410">
        <w:rPr>
          <w:rFonts w:ascii="Times New Roman" w:hAnsi="Times New Roman"/>
          <w:i/>
          <w:iCs/>
          <w:sz w:val="24"/>
        </w:rPr>
        <w:t>Crime and Corruption Act 2001</w:t>
      </w:r>
      <w:r w:rsidRPr="00153410">
        <w:rPr>
          <w:rFonts w:ascii="Times New Roman" w:hAnsi="Times New Roman"/>
          <w:sz w:val="24"/>
        </w:rPr>
        <w:t xml:space="preserve"> (Qld), s</w:t>
      </w:r>
      <w:r w:rsidRPr="00153410">
        <w:rPr>
          <w:rFonts w:ascii="Times New Roman" w:hAnsi="Times New Roman"/>
          <w:sz w:val="24"/>
          <w:lang w:val="en-US"/>
        </w:rPr>
        <w:t> 69(1).</w:t>
      </w:r>
    </w:p>
  </w:footnote>
  <w:footnote w:id="6">
    <w:p w14:paraId="02DCC558" w14:textId="77777777" w:rsidR="00307209" w:rsidRPr="00153410" w:rsidRDefault="00307209" w:rsidP="00153410">
      <w:pPr>
        <w:pStyle w:val="FootnoteText"/>
        <w:spacing w:line="280" w:lineRule="exact"/>
        <w:ind w:right="0"/>
        <w:jc w:val="both"/>
        <w:rPr>
          <w:rFonts w:ascii="Times New Roman" w:hAnsi="Times New Roman"/>
          <w:sz w:val="24"/>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rPr>
        <w:tab/>
      </w:r>
      <w:r w:rsidRPr="00153410">
        <w:rPr>
          <w:rFonts w:ascii="Times New Roman" w:hAnsi="Times New Roman"/>
          <w:i/>
          <w:iCs/>
          <w:sz w:val="24"/>
        </w:rPr>
        <w:t>Crime and Corruption Act 2001</w:t>
      </w:r>
      <w:r w:rsidRPr="00153410">
        <w:rPr>
          <w:rFonts w:ascii="Times New Roman" w:hAnsi="Times New Roman"/>
          <w:sz w:val="24"/>
        </w:rPr>
        <w:t xml:space="preserve"> (Qld), s</w:t>
      </w:r>
      <w:r w:rsidRPr="00153410">
        <w:rPr>
          <w:rFonts w:ascii="Times New Roman" w:hAnsi="Times New Roman"/>
          <w:sz w:val="24"/>
          <w:lang w:val="en-US"/>
        </w:rPr>
        <w:t> 69(4).</w:t>
      </w:r>
    </w:p>
  </w:footnote>
  <w:footnote w:id="7">
    <w:p w14:paraId="6A8B6109" w14:textId="66D26495" w:rsidR="00307209" w:rsidRPr="00153410" w:rsidRDefault="00307209" w:rsidP="00153410">
      <w:pPr>
        <w:pStyle w:val="FootnoteText"/>
        <w:spacing w:line="280" w:lineRule="exact"/>
        <w:ind w:right="0"/>
        <w:jc w:val="both"/>
        <w:rPr>
          <w:rFonts w:ascii="Times New Roman" w:hAnsi="Times New Roman"/>
          <w:i/>
          <w:iCs/>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See </w:t>
      </w:r>
      <w:r w:rsidRPr="00153410">
        <w:rPr>
          <w:rFonts w:ascii="Times New Roman" w:hAnsi="Times New Roman"/>
          <w:i/>
          <w:iCs/>
          <w:sz w:val="24"/>
          <w:lang w:val="en-US"/>
        </w:rPr>
        <w:t xml:space="preserve">Parliament of Queensland Act 2001 </w:t>
      </w:r>
      <w:r w:rsidRPr="00153410">
        <w:rPr>
          <w:rFonts w:ascii="Times New Roman" w:hAnsi="Times New Roman"/>
          <w:sz w:val="24"/>
          <w:lang w:val="en-US"/>
        </w:rPr>
        <w:t>(Qld), ss 8-9</w:t>
      </w:r>
      <w:r w:rsidR="00B45D88" w:rsidRPr="00153410">
        <w:rPr>
          <w:rFonts w:ascii="Times New Roman" w:hAnsi="Times New Roman"/>
          <w:sz w:val="24"/>
          <w:lang w:val="en-US"/>
        </w:rPr>
        <w:t xml:space="preserve"> and</w:t>
      </w:r>
      <w:r w:rsidR="00616B29" w:rsidRPr="00153410">
        <w:rPr>
          <w:rFonts w:ascii="Times New Roman" w:hAnsi="Times New Roman"/>
          <w:sz w:val="24"/>
          <w:lang w:val="en-US"/>
        </w:rPr>
        <w:t xml:space="preserve"> Ch 3</w:t>
      </w:r>
      <w:r w:rsidR="00B45D88" w:rsidRPr="00153410">
        <w:rPr>
          <w:rFonts w:ascii="Times New Roman" w:hAnsi="Times New Roman"/>
          <w:sz w:val="24"/>
          <w:lang w:val="en-US"/>
        </w:rPr>
        <w:t xml:space="preserve"> Pt 3</w:t>
      </w:r>
      <w:r w:rsidRPr="00153410">
        <w:rPr>
          <w:rFonts w:ascii="Times New Roman" w:hAnsi="Times New Roman"/>
          <w:sz w:val="24"/>
          <w:lang w:val="en-US"/>
        </w:rPr>
        <w:t>.</w:t>
      </w:r>
      <w:r w:rsidRPr="00153410">
        <w:rPr>
          <w:rFonts w:ascii="Times New Roman" w:hAnsi="Times New Roman"/>
          <w:i/>
          <w:iCs/>
          <w:sz w:val="24"/>
          <w:lang w:val="en-US"/>
        </w:rPr>
        <w:t xml:space="preserve"> </w:t>
      </w:r>
    </w:p>
  </w:footnote>
  <w:footnote w:id="8">
    <w:p w14:paraId="00168C96"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w:t>
      </w:r>
      <w:r w:rsidRPr="00153410">
        <w:rPr>
          <w:rFonts w:ascii="Times New Roman" w:hAnsi="Times New Roman"/>
          <w:sz w:val="24"/>
          <w:lang w:val="en-US"/>
        </w:rPr>
        <w:t> 71A.</w:t>
      </w:r>
    </w:p>
  </w:footnote>
  <w:footnote w:id="9">
    <w:p w14:paraId="7C1C19B3"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lang w:val="en-US"/>
        </w:rPr>
        <w:t xml:space="preserve">Carne v Crime and Corruption Commission </w:t>
      </w:r>
      <w:r w:rsidRPr="00153410">
        <w:rPr>
          <w:rFonts w:ascii="Times New Roman" w:hAnsi="Times New Roman"/>
          <w:sz w:val="24"/>
          <w:lang w:val="en-US"/>
        </w:rPr>
        <w:t>[2021] QSC 228.</w:t>
      </w:r>
    </w:p>
  </w:footnote>
  <w:footnote w:id="10">
    <w:p w14:paraId="5D12E59B" w14:textId="054E3124"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lang w:val="en-US"/>
        </w:rPr>
        <w:t xml:space="preserve">Carne v Crime and Corruption Commission </w:t>
      </w:r>
      <w:r w:rsidRPr="00153410">
        <w:rPr>
          <w:rFonts w:ascii="Times New Roman" w:hAnsi="Times New Roman"/>
          <w:sz w:val="24"/>
          <w:lang w:val="en-US"/>
        </w:rPr>
        <w:t xml:space="preserve">(2022) </w:t>
      </w:r>
      <w:r w:rsidR="005F59CE" w:rsidRPr="00153410">
        <w:rPr>
          <w:rFonts w:ascii="Times New Roman" w:hAnsi="Times New Roman"/>
          <w:sz w:val="24"/>
          <w:lang w:val="en-US"/>
        </w:rPr>
        <w:t xml:space="preserve">11 QR 334 </w:t>
      </w:r>
      <w:r w:rsidRPr="00153410">
        <w:rPr>
          <w:rFonts w:ascii="Times New Roman" w:hAnsi="Times New Roman"/>
          <w:sz w:val="24"/>
          <w:lang w:val="en-US"/>
        </w:rPr>
        <w:t xml:space="preserve">at </w:t>
      </w:r>
      <w:r w:rsidR="00BF1855" w:rsidRPr="00153410">
        <w:rPr>
          <w:rFonts w:ascii="Times New Roman" w:hAnsi="Times New Roman"/>
          <w:sz w:val="24"/>
          <w:lang w:val="en-US"/>
        </w:rPr>
        <w:t xml:space="preserve">366 </w:t>
      </w:r>
      <w:r w:rsidR="0086643C" w:rsidRPr="00153410">
        <w:rPr>
          <w:rFonts w:ascii="Times New Roman" w:hAnsi="Times New Roman"/>
          <w:sz w:val="24"/>
          <w:lang w:val="en-US"/>
        </w:rPr>
        <w:t>[82]</w:t>
      </w:r>
      <w:r w:rsidRPr="00153410">
        <w:rPr>
          <w:rFonts w:ascii="Times New Roman" w:hAnsi="Times New Roman"/>
          <w:sz w:val="24"/>
          <w:lang w:val="en-US"/>
        </w:rPr>
        <w:t>.</w:t>
      </w:r>
    </w:p>
  </w:footnote>
  <w:footnote w:id="11">
    <w:p w14:paraId="38FF636B" w14:textId="6FC8B83C"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003B423F" w:rsidRPr="00153410">
        <w:rPr>
          <w:rFonts w:ascii="Times New Roman" w:hAnsi="Times New Roman"/>
          <w:sz w:val="24"/>
          <w:lang w:val="en-US"/>
        </w:rPr>
        <w:t>[</w:t>
      </w:r>
      <w:r w:rsidRPr="00153410">
        <w:rPr>
          <w:rFonts w:ascii="Times New Roman" w:hAnsi="Times New Roman"/>
          <w:sz w:val="24"/>
          <w:lang w:val="en-US"/>
        </w:rPr>
        <w:t>2002</w:t>
      </w:r>
      <w:r w:rsidR="003B423F" w:rsidRPr="00153410">
        <w:rPr>
          <w:rFonts w:ascii="Times New Roman" w:hAnsi="Times New Roman"/>
          <w:sz w:val="24"/>
          <w:lang w:val="en-US"/>
        </w:rPr>
        <w:t xml:space="preserve">] </w:t>
      </w:r>
      <w:r w:rsidRPr="00153410">
        <w:rPr>
          <w:rFonts w:ascii="Times New Roman" w:hAnsi="Times New Roman"/>
          <w:sz w:val="24"/>
          <w:lang w:val="en-US"/>
        </w:rPr>
        <w:t xml:space="preserve">2 </w:t>
      </w:r>
      <w:proofErr w:type="spellStart"/>
      <w:r w:rsidRPr="00153410">
        <w:rPr>
          <w:rFonts w:ascii="Times New Roman" w:hAnsi="Times New Roman"/>
          <w:sz w:val="24"/>
          <w:lang w:val="en-US"/>
        </w:rPr>
        <w:t>Qd</w:t>
      </w:r>
      <w:proofErr w:type="spellEnd"/>
      <w:r w:rsidRPr="00153410">
        <w:rPr>
          <w:rFonts w:ascii="Times New Roman" w:hAnsi="Times New Roman"/>
          <w:sz w:val="24"/>
          <w:lang w:val="en-US"/>
        </w:rPr>
        <w:t xml:space="preserve"> R 8 at 21 [21].</w:t>
      </w:r>
    </w:p>
  </w:footnote>
  <w:footnote w:id="12">
    <w:p w14:paraId="3895E03B" w14:textId="0250D5EE"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Art 9: "That the </w:t>
      </w:r>
      <w:proofErr w:type="spellStart"/>
      <w:r w:rsidRPr="00153410">
        <w:rPr>
          <w:rFonts w:ascii="Times New Roman" w:hAnsi="Times New Roman"/>
          <w:sz w:val="24"/>
          <w:lang w:val="en-US"/>
        </w:rPr>
        <w:t>Freedome</w:t>
      </w:r>
      <w:proofErr w:type="spellEnd"/>
      <w:r w:rsidRPr="00153410">
        <w:rPr>
          <w:rFonts w:ascii="Times New Roman" w:hAnsi="Times New Roman"/>
          <w:sz w:val="24"/>
          <w:lang w:val="en-US"/>
        </w:rPr>
        <w:t xml:space="preserve"> of Speech and Debates or Proceedings in </w:t>
      </w:r>
      <w:proofErr w:type="spellStart"/>
      <w:r w:rsidRPr="00153410">
        <w:rPr>
          <w:rFonts w:ascii="Times New Roman" w:hAnsi="Times New Roman"/>
          <w:sz w:val="24"/>
          <w:lang w:val="en-US"/>
        </w:rPr>
        <w:t>Parlyament</w:t>
      </w:r>
      <w:proofErr w:type="spellEnd"/>
      <w:r w:rsidRPr="00153410">
        <w:rPr>
          <w:rFonts w:ascii="Times New Roman" w:hAnsi="Times New Roman"/>
          <w:sz w:val="24"/>
          <w:lang w:val="en-US"/>
        </w:rPr>
        <w:t xml:space="preserve"> ought not to be impeached or questioned in any Court or Place out of </w:t>
      </w:r>
      <w:proofErr w:type="spellStart"/>
      <w:r w:rsidRPr="00153410">
        <w:rPr>
          <w:rFonts w:ascii="Times New Roman" w:hAnsi="Times New Roman"/>
          <w:sz w:val="24"/>
          <w:lang w:val="en-US"/>
        </w:rPr>
        <w:t>Parlyament</w:t>
      </w:r>
      <w:proofErr w:type="spellEnd"/>
      <w:r w:rsidR="0089230A" w:rsidRPr="00153410">
        <w:rPr>
          <w:rFonts w:ascii="Times New Roman" w:hAnsi="Times New Roman"/>
          <w:sz w:val="24"/>
          <w:lang w:val="en-US"/>
        </w:rPr>
        <w:t>.</w:t>
      </w:r>
      <w:r w:rsidRPr="00153410">
        <w:rPr>
          <w:rFonts w:ascii="Times New Roman" w:hAnsi="Times New Roman"/>
          <w:sz w:val="24"/>
          <w:lang w:val="en-US"/>
        </w:rPr>
        <w:t>"</w:t>
      </w:r>
    </w:p>
  </w:footnote>
  <w:footnote w:id="13">
    <w:p w14:paraId="76470849" w14:textId="3BDB9145" w:rsidR="002877F2" w:rsidRPr="00153410" w:rsidRDefault="002877F2"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The </w:t>
      </w:r>
      <w:r w:rsidRPr="00153410">
        <w:rPr>
          <w:rFonts w:ascii="Times New Roman" w:hAnsi="Times New Roman"/>
          <w:i/>
          <w:iCs/>
          <w:sz w:val="24"/>
          <w:lang w:val="en-US"/>
        </w:rPr>
        <w:t xml:space="preserve">Parliamentary Papers Act 1992 </w:t>
      </w:r>
      <w:r w:rsidRPr="00153410">
        <w:rPr>
          <w:rFonts w:ascii="Times New Roman" w:hAnsi="Times New Roman"/>
          <w:sz w:val="24"/>
          <w:lang w:val="en-US"/>
        </w:rPr>
        <w:t xml:space="preserve">(Qld) was </w:t>
      </w:r>
      <w:r w:rsidRPr="00153410">
        <w:rPr>
          <w:rFonts w:ascii="Times New Roman" w:hAnsi="Times New Roman"/>
          <w:sz w:val="24"/>
        </w:rPr>
        <w:t>repealed on 6 June 2002.</w:t>
      </w:r>
    </w:p>
  </w:footnote>
  <w:footnote w:id="14">
    <w:p w14:paraId="6418C22F" w14:textId="1109E8BB"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00246164" w:rsidRPr="00153410">
        <w:rPr>
          <w:rFonts w:ascii="Times New Roman" w:hAnsi="Times New Roman"/>
          <w:sz w:val="24"/>
          <w:lang w:val="en-US"/>
        </w:rPr>
        <w:t>[</w:t>
      </w:r>
      <w:r w:rsidRPr="00153410">
        <w:rPr>
          <w:rFonts w:ascii="Times New Roman" w:hAnsi="Times New Roman"/>
          <w:sz w:val="24"/>
          <w:lang w:val="en-US"/>
        </w:rPr>
        <w:t>2000</w:t>
      </w:r>
      <w:r w:rsidR="00246164" w:rsidRPr="00153410">
        <w:rPr>
          <w:rFonts w:ascii="Times New Roman" w:hAnsi="Times New Roman"/>
          <w:sz w:val="24"/>
          <w:lang w:val="en-US"/>
        </w:rPr>
        <w:t>]</w:t>
      </w:r>
      <w:r w:rsidRPr="00153410">
        <w:rPr>
          <w:rFonts w:ascii="Times New Roman" w:hAnsi="Times New Roman"/>
          <w:sz w:val="24"/>
          <w:lang w:val="en-US"/>
        </w:rPr>
        <w:t xml:space="preserve"> 1 </w:t>
      </w:r>
      <w:proofErr w:type="spellStart"/>
      <w:r w:rsidRPr="00153410">
        <w:rPr>
          <w:rFonts w:ascii="Times New Roman" w:hAnsi="Times New Roman"/>
          <w:sz w:val="24"/>
          <w:lang w:val="en-US"/>
        </w:rPr>
        <w:t>Qd</w:t>
      </w:r>
      <w:proofErr w:type="spellEnd"/>
      <w:r w:rsidRPr="00153410">
        <w:rPr>
          <w:rFonts w:ascii="Times New Roman" w:hAnsi="Times New Roman"/>
          <w:sz w:val="24"/>
          <w:lang w:val="en-US"/>
        </w:rPr>
        <w:t xml:space="preserve"> R 207 at 220.</w:t>
      </w:r>
    </w:p>
  </w:footnote>
  <w:footnote w:id="15">
    <w:p w14:paraId="24DE801C" w14:textId="4DDA25E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See </w:t>
      </w:r>
      <w:r w:rsidRPr="00153410">
        <w:rPr>
          <w:rFonts w:ascii="Times New Roman" w:hAnsi="Times New Roman"/>
          <w:i/>
          <w:iCs/>
          <w:sz w:val="24"/>
        </w:rPr>
        <w:t>Parliamentary Privileges Act 1987</w:t>
      </w:r>
      <w:r w:rsidRPr="00153410">
        <w:rPr>
          <w:rFonts w:ascii="Times New Roman" w:hAnsi="Times New Roman"/>
          <w:sz w:val="24"/>
        </w:rPr>
        <w:t xml:space="preserve"> (</w:t>
      </w:r>
      <w:proofErr w:type="spellStart"/>
      <w:r w:rsidRPr="00153410">
        <w:rPr>
          <w:rFonts w:ascii="Times New Roman" w:hAnsi="Times New Roman"/>
          <w:sz w:val="24"/>
        </w:rPr>
        <w:t>Cth</w:t>
      </w:r>
      <w:proofErr w:type="spellEnd"/>
      <w:r w:rsidRPr="00153410">
        <w:rPr>
          <w:rFonts w:ascii="Times New Roman" w:hAnsi="Times New Roman"/>
          <w:sz w:val="24"/>
        </w:rPr>
        <w:t>)</w:t>
      </w:r>
      <w:r w:rsidR="009D0DA7" w:rsidRPr="00153410">
        <w:rPr>
          <w:rFonts w:ascii="Times New Roman" w:hAnsi="Times New Roman"/>
          <w:sz w:val="24"/>
        </w:rPr>
        <w:t>,</w:t>
      </w:r>
      <w:r w:rsidRPr="00153410">
        <w:rPr>
          <w:rFonts w:ascii="Times New Roman" w:hAnsi="Times New Roman"/>
          <w:sz w:val="24"/>
        </w:rPr>
        <w:t xml:space="preserve"> s</w:t>
      </w:r>
      <w:r w:rsidRPr="00153410">
        <w:rPr>
          <w:rFonts w:ascii="Times New Roman" w:hAnsi="Times New Roman"/>
          <w:sz w:val="24"/>
          <w:lang w:val="en-US"/>
        </w:rPr>
        <w:t> 16(2)(c)</w:t>
      </w:r>
      <w:r w:rsidR="009D0DA7" w:rsidRPr="00153410">
        <w:rPr>
          <w:rFonts w:ascii="Times New Roman" w:hAnsi="Times New Roman"/>
          <w:sz w:val="24"/>
          <w:lang w:val="en-US"/>
        </w:rPr>
        <w:t>,</w:t>
      </w:r>
      <w:r w:rsidRPr="00153410">
        <w:rPr>
          <w:rFonts w:ascii="Times New Roman" w:hAnsi="Times New Roman"/>
          <w:sz w:val="24"/>
          <w:lang w:val="en-US"/>
        </w:rPr>
        <w:t xml:space="preserve"> quoted in </w:t>
      </w:r>
      <w:r w:rsidRPr="00153410">
        <w:rPr>
          <w:rFonts w:ascii="Times New Roman" w:hAnsi="Times New Roman"/>
          <w:i/>
          <w:iCs/>
          <w:sz w:val="24"/>
          <w:lang w:val="en-US"/>
        </w:rPr>
        <w:t xml:space="preserve">Rowley v </w:t>
      </w:r>
      <w:proofErr w:type="spellStart"/>
      <w:r w:rsidRPr="00153410">
        <w:rPr>
          <w:rFonts w:ascii="Times New Roman" w:hAnsi="Times New Roman"/>
          <w:i/>
          <w:iCs/>
          <w:sz w:val="24"/>
          <w:lang w:val="en-US"/>
        </w:rPr>
        <w:t>O'Chee</w:t>
      </w:r>
      <w:proofErr w:type="spellEnd"/>
      <w:r w:rsidRPr="00153410">
        <w:rPr>
          <w:rFonts w:ascii="Times New Roman" w:hAnsi="Times New Roman"/>
          <w:i/>
          <w:iCs/>
          <w:sz w:val="24"/>
          <w:lang w:val="en-US"/>
        </w:rPr>
        <w:t xml:space="preserve"> </w:t>
      </w:r>
      <w:r w:rsidR="00246164" w:rsidRPr="00153410">
        <w:rPr>
          <w:rFonts w:ascii="Times New Roman" w:hAnsi="Times New Roman"/>
          <w:sz w:val="24"/>
          <w:lang w:val="en-US"/>
        </w:rPr>
        <w:t>[</w:t>
      </w:r>
      <w:r w:rsidRPr="00153410">
        <w:rPr>
          <w:rFonts w:ascii="Times New Roman" w:hAnsi="Times New Roman"/>
          <w:sz w:val="24"/>
          <w:lang w:val="en-US"/>
        </w:rPr>
        <w:t>2000</w:t>
      </w:r>
      <w:r w:rsidR="00246164" w:rsidRPr="00153410">
        <w:rPr>
          <w:rFonts w:ascii="Times New Roman" w:hAnsi="Times New Roman"/>
          <w:sz w:val="24"/>
          <w:lang w:val="en-US"/>
        </w:rPr>
        <w:t>]</w:t>
      </w:r>
      <w:r w:rsidRPr="00153410">
        <w:rPr>
          <w:rFonts w:ascii="Times New Roman" w:hAnsi="Times New Roman"/>
          <w:sz w:val="24"/>
          <w:lang w:val="en-US"/>
        </w:rPr>
        <w:t xml:space="preserve"> 1 </w:t>
      </w:r>
      <w:proofErr w:type="spellStart"/>
      <w:r w:rsidRPr="00153410">
        <w:rPr>
          <w:rFonts w:ascii="Times New Roman" w:hAnsi="Times New Roman"/>
          <w:sz w:val="24"/>
          <w:lang w:val="en-US"/>
        </w:rPr>
        <w:t>Qd</w:t>
      </w:r>
      <w:proofErr w:type="spellEnd"/>
      <w:r w:rsidRPr="00153410">
        <w:rPr>
          <w:rFonts w:ascii="Times New Roman" w:hAnsi="Times New Roman"/>
          <w:sz w:val="24"/>
          <w:lang w:val="en-US"/>
        </w:rPr>
        <w:t xml:space="preserve"> R 207 at 219.</w:t>
      </w:r>
    </w:p>
  </w:footnote>
  <w:footnote w:id="16">
    <w:p w14:paraId="06E56F64" w14:textId="4F20325B"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lang w:val="en-US"/>
        </w:rPr>
        <w:t xml:space="preserve">Rowley v </w:t>
      </w:r>
      <w:proofErr w:type="spellStart"/>
      <w:r w:rsidRPr="00153410">
        <w:rPr>
          <w:rFonts w:ascii="Times New Roman" w:hAnsi="Times New Roman"/>
          <w:i/>
          <w:iCs/>
          <w:sz w:val="24"/>
          <w:lang w:val="en-US"/>
        </w:rPr>
        <w:t>O'Chee</w:t>
      </w:r>
      <w:proofErr w:type="spellEnd"/>
      <w:r w:rsidRPr="00153410">
        <w:rPr>
          <w:rFonts w:ascii="Times New Roman" w:hAnsi="Times New Roman"/>
          <w:i/>
          <w:iCs/>
          <w:sz w:val="24"/>
          <w:lang w:val="en-US"/>
        </w:rPr>
        <w:t xml:space="preserve"> </w:t>
      </w:r>
      <w:r w:rsidR="00246164" w:rsidRPr="00153410">
        <w:rPr>
          <w:rFonts w:ascii="Times New Roman" w:hAnsi="Times New Roman"/>
          <w:sz w:val="24"/>
          <w:lang w:val="en-US"/>
        </w:rPr>
        <w:t>[</w:t>
      </w:r>
      <w:r w:rsidRPr="00153410">
        <w:rPr>
          <w:rFonts w:ascii="Times New Roman" w:hAnsi="Times New Roman"/>
          <w:sz w:val="24"/>
          <w:lang w:val="en-US"/>
        </w:rPr>
        <w:t>2000</w:t>
      </w:r>
      <w:r w:rsidR="00246164" w:rsidRPr="00153410">
        <w:rPr>
          <w:rFonts w:ascii="Times New Roman" w:hAnsi="Times New Roman"/>
          <w:sz w:val="24"/>
          <w:lang w:val="en-US"/>
        </w:rPr>
        <w:t>]</w:t>
      </w:r>
      <w:r w:rsidRPr="00153410">
        <w:rPr>
          <w:rFonts w:ascii="Times New Roman" w:hAnsi="Times New Roman"/>
          <w:sz w:val="24"/>
          <w:lang w:val="en-US"/>
        </w:rPr>
        <w:t xml:space="preserve"> 1 </w:t>
      </w:r>
      <w:proofErr w:type="spellStart"/>
      <w:r w:rsidRPr="00153410">
        <w:rPr>
          <w:rFonts w:ascii="Times New Roman" w:hAnsi="Times New Roman"/>
          <w:sz w:val="24"/>
          <w:lang w:val="en-US"/>
        </w:rPr>
        <w:t>Qd</w:t>
      </w:r>
      <w:proofErr w:type="spellEnd"/>
      <w:r w:rsidRPr="00153410">
        <w:rPr>
          <w:rFonts w:ascii="Times New Roman" w:hAnsi="Times New Roman"/>
          <w:sz w:val="24"/>
          <w:lang w:val="en-US"/>
        </w:rPr>
        <w:t xml:space="preserve"> R 207 at 220-221.</w:t>
      </w:r>
    </w:p>
  </w:footnote>
  <w:footnote w:id="17">
    <w:p w14:paraId="2AEF122A" w14:textId="163C4DA9"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00C02BDE" w:rsidRPr="00153410">
        <w:rPr>
          <w:rFonts w:ascii="Times New Roman" w:hAnsi="Times New Roman"/>
          <w:sz w:val="24"/>
          <w:lang w:val="en-US"/>
        </w:rPr>
        <w:t>[</w:t>
      </w:r>
      <w:r w:rsidRPr="00153410">
        <w:rPr>
          <w:rFonts w:ascii="Times New Roman" w:hAnsi="Times New Roman"/>
          <w:sz w:val="24"/>
          <w:lang w:val="en-US"/>
        </w:rPr>
        <w:t>2000</w:t>
      </w:r>
      <w:r w:rsidR="00C02BDE" w:rsidRPr="00153410">
        <w:rPr>
          <w:rFonts w:ascii="Times New Roman" w:hAnsi="Times New Roman"/>
          <w:sz w:val="24"/>
          <w:lang w:val="en-US"/>
        </w:rPr>
        <w:t xml:space="preserve">] </w:t>
      </w:r>
      <w:r w:rsidRPr="00153410">
        <w:rPr>
          <w:rFonts w:ascii="Times New Roman" w:hAnsi="Times New Roman"/>
          <w:sz w:val="24"/>
          <w:lang w:val="en-US"/>
        </w:rPr>
        <w:t xml:space="preserve">1 </w:t>
      </w:r>
      <w:proofErr w:type="spellStart"/>
      <w:r w:rsidRPr="00153410">
        <w:rPr>
          <w:rFonts w:ascii="Times New Roman" w:hAnsi="Times New Roman"/>
          <w:sz w:val="24"/>
          <w:lang w:val="en-US"/>
        </w:rPr>
        <w:t>Qd</w:t>
      </w:r>
      <w:proofErr w:type="spellEnd"/>
      <w:r w:rsidRPr="00153410">
        <w:rPr>
          <w:rFonts w:ascii="Times New Roman" w:hAnsi="Times New Roman"/>
          <w:sz w:val="24"/>
          <w:lang w:val="en-US"/>
        </w:rPr>
        <w:t xml:space="preserve"> R 207 at 221.</w:t>
      </w:r>
    </w:p>
  </w:footnote>
  <w:footnote w:id="18">
    <w:p w14:paraId="3098AFFF"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See [8] and [11].</w:t>
      </w:r>
    </w:p>
  </w:footnote>
  <w:footnote w:id="19">
    <w:p w14:paraId="529B4968" w14:textId="0A4D5D1A"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As to examples of legislation so providing, see the provisions discussed in </w:t>
      </w:r>
      <w:r w:rsidRPr="00153410">
        <w:rPr>
          <w:rFonts w:ascii="Times New Roman" w:hAnsi="Times New Roman"/>
          <w:i/>
          <w:iCs/>
          <w:sz w:val="24"/>
          <w:lang w:val="en-US"/>
        </w:rPr>
        <w:t>R (Jackson) v Attorney</w:t>
      </w:r>
      <w:r w:rsidR="00C65BB0" w:rsidRPr="00153410">
        <w:rPr>
          <w:rFonts w:ascii="Times New Roman" w:hAnsi="Times New Roman"/>
          <w:i/>
          <w:iCs/>
          <w:sz w:val="24"/>
          <w:lang w:val="en-US"/>
        </w:rPr>
        <w:t xml:space="preserve"> </w:t>
      </w:r>
      <w:r w:rsidRPr="00153410">
        <w:rPr>
          <w:rFonts w:ascii="Times New Roman" w:hAnsi="Times New Roman"/>
          <w:i/>
          <w:iCs/>
          <w:sz w:val="24"/>
          <w:lang w:val="en-US"/>
        </w:rPr>
        <w:t>General</w:t>
      </w:r>
      <w:r w:rsidRPr="00153410">
        <w:rPr>
          <w:rFonts w:ascii="Times New Roman" w:hAnsi="Times New Roman"/>
          <w:sz w:val="24"/>
          <w:lang w:val="en-US"/>
        </w:rPr>
        <w:t xml:space="preserve"> [2006] </w:t>
      </w:r>
      <w:r w:rsidR="004D1980" w:rsidRPr="00153410">
        <w:rPr>
          <w:rFonts w:ascii="Times New Roman" w:hAnsi="Times New Roman"/>
          <w:sz w:val="24"/>
          <w:lang w:val="en-US"/>
        </w:rPr>
        <w:t xml:space="preserve">1 </w:t>
      </w:r>
      <w:r w:rsidRPr="00153410">
        <w:rPr>
          <w:rFonts w:ascii="Times New Roman" w:hAnsi="Times New Roman"/>
          <w:sz w:val="24"/>
          <w:lang w:val="en-US"/>
        </w:rPr>
        <w:t xml:space="preserve">AC 262 at 288-289 [49]-[51], 305 [110]; </w:t>
      </w:r>
      <w:r w:rsidRPr="00153410">
        <w:rPr>
          <w:rFonts w:ascii="Times New Roman" w:hAnsi="Times New Roman"/>
          <w:i/>
          <w:iCs/>
          <w:sz w:val="24"/>
          <w:lang w:val="en-US"/>
        </w:rPr>
        <w:t>Minister Administering the Crown Lands Act v New South Wales Aboriginal Land Council</w:t>
      </w:r>
      <w:r w:rsidRPr="00153410">
        <w:rPr>
          <w:rFonts w:ascii="Times New Roman" w:hAnsi="Times New Roman"/>
          <w:sz w:val="24"/>
          <w:lang w:val="en-US"/>
        </w:rPr>
        <w:t xml:space="preserve"> [2016] NSWCA 253 at [14] and </w:t>
      </w:r>
      <w:r w:rsidR="00F050DE" w:rsidRPr="00153410">
        <w:rPr>
          <w:rFonts w:ascii="Times New Roman" w:hAnsi="Times New Roman"/>
          <w:sz w:val="24"/>
          <w:lang w:val="en-US"/>
        </w:rPr>
        <w:t xml:space="preserve">the </w:t>
      </w:r>
      <w:r w:rsidR="00482056" w:rsidRPr="00153410">
        <w:rPr>
          <w:rFonts w:ascii="Times New Roman" w:hAnsi="Times New Roman"/>
          <w:sz w:val="24"/>
          <w:lang w:val="en-US"/>
        </w:rPr>
        <w:t xml:space="preserve">authorities </w:t>
      </w:r>
      <w:r w:rsidRPr="00153410">
        <w:rPr>
          <w:rFonts w:ascii="Times New Roman" w:hAnsi="Times New Roman"/>
          <w:sz w:val="24"/>
          <w:lang w:val="en-US"/>
        </w:rPr>
        <w:t>there cited.</w:t>
      </w:r>
    </w:p>
  </w:footnote>
  <w:footnote w:id="20">
    <w:p w14:paraId="2A5C0EEC"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4(1).</w:t>
      </w:r>
    </w:p>
  </w:footnote>
  <w:footnote w:id="21">
    <w:p w14:paraId="28B53C0B"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5.</w:t>
      </w:r>
    </w:p>
  </w:footnote>
  <w:footnote w:id="22">
    <w:p w14:paraId="4BCD3056"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20.</w:t>
      </w:r>
    </w:p>
  </w:footnote>
  <w:footnote w:id="23">
    <w:p w14:paraId="16BA4807"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lang w:val="en-US"/>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 15(1). </w:t>
      </w:r>
    </w:p>
  </w:footnote>
  <w:footnote w:id="24">
    <w:p w14:paraId="0369EC5E"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 15(2).</w:t>
      </w:r>
    </w:p>
  </w:footnote>
  <w:footnote w:id="25">
    <w:p w14:paraId="119D91FE"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23.</w:t>
      </w:r>
    </w:p>
  </w:footnote>
  <w:footnote w:id="26">
    <w:p w14:paraId="64F66775"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24(g).</w:t>
      </w:r>
    </w:p>
  </w:footnote>
  <w:footnote w:id="27">
    <w:p w14:paraId="5BEBD775"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24(</w:t>
      </w:r>
      <w:proofErr w:type="spellStart"/>
      <w:r w:rsidRPr="00153410">
        <w:rPr>
          <w:rFonts w:ascii="Times New Roman" w:hAnsi="Times New Roman"/>
          <w:sz w:val="24"/>
          <w:lang w:val="en-US"/>
        </w:rPr>
        <w:t>i</w:t>
      </w:r>
      <w:proofErr w:type="spellEnd"/>
      <w:r w:rsidRPr="00153410">
        <w:rPr>
          <w:rFonts w:ascii="Times New Roman" w:hAnsi="Times New Roman"/>
          <w:sz w:val="24"/>
          <w:lang w:val="en-US"/>
        </w:rPr>
        <w:t>).</w:t>
      </w:r>
    </w:p>
  </w:footnote>
  <w:footnote w:id="28">
    <w:p w14:paraId="01B58930"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25.</w:t>
      </w:r>
    </w:p>
  </w:footnote>
  <w:footnote w:id="29">
    <w:p w14:paraId="2C5C9635"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26.</w:t>
      </w:r>
    </w:p>
  </w:footnote>
  <w:footnote w:id="30">
    <w:p w14:paraId="76FB49B1"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52.</w:t>
      </w:r>
    </w:p>
  </w:footnote>
  <w:footnote w:id="31">
    <w:p w14:paraId="2147055C"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53.</w:t>
      </w:r>
    </w:p>
  </w:footnote>
  <w:footnote w:id="32">
    <w:p w14:paraId="3CA57037"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 s 33(1)(a).</w:t>
      </w:r>
    </w:p>
  </w:footnote>
  <w:footnote w:id="33">
    <w:p w14:paraId="31CEC6FF"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33(1)(b).</w:t>
      </w:r>
    </w:p>
  </w:footnote>
  <w:footnote w:id="34">
    <w:p w14:paraId="64B4F662" w14:textId="77777777" w:rsidR="00307209" w:rsidRPr="00153410" w:rsidRDefault="00307209" w:rsidP="00153410">
      <w:pPr>
        <w:pStyle w:val="FootnoteText"/>
        <w:spacing w:line="280" w:lineRule="exact"/>
        <w:ind w:right="0"/>
        <w:jc w:val="both"/>
        <w:rPr>
          <w:rFonts w:ascii="Times New Roman" w:hAnsi="Times New Roman"/>
          <w:sz w:val="24"/>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34(d).</w:t>
      </w:r>
    </w:p>
  </w:footnote>
  <w:footnote w:id="35">
    <w:p w14:paraId="0D5CEDF6" w14:textId="6F7ED67B"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33</w:t>
      </w:r>
      <w:r w:rsidR="00B047F4" w:rsidRPr="00153410">
        <w:rPr>
          <w:rFonts w:ascii="Times New Roman" w:hAnsi="Times New Roman"/>
          <w:sz w:val="24"/>
          <w:lang w:val="en-US"/>
        </w:rPr>
        <w:t>(2)</w:t>
      </w:r>
      <w:r w:rsidRPr="00153410">
        <w:rPr>
          <w:rFonts w:ascii="Times New Roman" w:hAnsi="Times New Roman"/>
          <w:sz w:val="24"/>
          <w:lang w:val="en-US"/>
        </w:rPr>
        <w:t>.</w:t>
      </w:r>
    </w:p>
  </w:footnote>
  <w:footnote w:id="36">
    <w:p w14:paraId="4121C079"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35(1).</w:t>
      </w:r>
    </w:p>
  </w:footnote>
  <w:footnote w:id="37">
    <w:p w14:paraId="46E1AE16"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Sch 2.</w:t>
      </w:r>
    </w:p>
  </w:footnote>
  <w:footnote w:id="38">
    <w:p w14:paraId="5AE04A72"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69(2).</w:t>
      </w:r>
    </w:p>
  </w:footnote>
  <w:footnote w:id="39">
    <w:p w14:paraId="6994EA0D"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lang w:val="en-US"/>
        </w:rPr>
        <w:t xml:space="preserve"> </w:t>
      </w:r>
      <w:r w:rsidRPr="00153410">
        <w:rPr>
          <w:rFonts w:ascii="Times New Roman" w:hAnsi="Times New Roman"/>
          <w:sz w:val="24"/>
          <w:lang w:val="en-US"/>
        </w:rPr>
        <w:tab/>
        <w:t>See [10].</w:t>
      </w:r>
    </w:p>
  </w:footnote>
  <w:footnote w:id="40">
    <w:p w14:paraId="10E3F17B"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ss 176-177.</w:t>
      </w:r>
    </w:p>
  </w:footnote>
  <w:footnote w:id="41">
    <w:p w14:paraId="59D32E98" w14:textId="6BE67683" w:rsidR="00FF734A" w:rsidRPr="00153410" w:rsidRDefault="00FF734A"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s 63.</w:t>
      </w:r>
    </w:p>
  </w:footnote>
  <w:footnote w:id="42">
    <w:p w14:paraId="13B3BFB9" w14:textId="77777777" w:rsidR="00307209" w:rsidRPr="00153410" w:rsidRDefault="00307209" w:rsidP="00153410">
      <w:pPr>
        <w:pStyle w:val="FootnoteText"/>
        <w:spacing w:line="280" w:lineRule="exact"/>
        <w:ind w:right="0"/>
        <w:jc w:val="both"/>
        <w:rPr>
          <w:rFonts w:ascii="Times New Roman" w:hAnsi="Times New Roman"/>
          <w:sz w:val="24"/>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xml:space="preserve">, s 49(1). </w:t>
      </w:r>
    </w:p>
  </w:footnote>
  <w:footnote w:id="43">
    <w:p w14:paraId="71CECCFC" w14:textId="77777777" w:rsidR="00307209" w:rsidRPr="00153410" w:rsidRDefault="00307209" w:rsidP="00153410">
      <w:pPr>
        <w:pStyle w:val="FootnoteText"/>
        <w:spacing w:line="280" w:lineRule="exact"/>
        <w:ind w:right="0"/>
        <w:jc w:val="both"/>
        <w:rPr>
          <w:rFonts w:ascii="Times New Roman" w:hAnsi="Times New Roman"/>
          <w:sz w:val="24"/>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rPr>
        <w:tab/>
      </w:r>
      <w:r w:rsidRPr="00153410">
        <w:rPr>
          <w:rFonts w:ascii="Times New Roman" w:hAnsi="Times New Roman"/>
          <w:i/>
          <w:iCs/>
          <w:sz w:val="24"/>
        </w:rPr>
        <w:t>Crime and Corruption Act 2001</w:t>
      </w:r>
      <w:r w:rsidRPr="00153410">
        <w:rPr>
          <w:rFonts w:ascii="Times New Roman" w:hAnsi="Times New Roman"/>
          <w:sz w:val="24"/>
        </w:rPr>
        <w:t xml:space="preserve"> (Qld)</w:t>
      </w:r>
      <w:r w:rsidRPr="00153410">
        <w:rPr>
          <w:rFonts w:ascii="Times New Roman" w:hAnsi="Times New Roman"/>
          <w:sz w:val="24"/>
          <w:lang w:val="en-US"/>
        </w:rPr>
        <w:t xml:space="preserve">, s 49(2)-(3). </w:t>
      </w:r>
    </w:p>
  </w:footnote>
  <w:footnote w:id="44">
    <w:p w14:paraId="259AC2E7"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 xml:space="preserve">Anthony Hordern &amp; Sons Ltd v Amalgamated Clothing and Allied Trades Union of Australia </w:t>
      </w:r>
      <w:r w:rsidRPr="00153410">
        <w:rPr>
          <w:rFonts w:ascii="Times New Roman" w:hAnsi="Times New Roman"/>
          <w:sz w:val="24"/>
          <w:lang w:val="en-US"/>
        </w:rPr>
        <w:t>(1932) 47 CLR 1 at 7.</w:t>
      </w:r>
    </w:p>
  </w:footnote>
  <w:footnote w:id="45">
    <w:p w14:paraId="3D33EC5D"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t xml:space="preserve">(1932) 47 CLR 1 at 7. See also more recently </w:t>
      </w:r>
      <w:r w:rsidRPr="00153410">
        <w:rPr>
          <w:rFonts w:ascii="Times New Roman" w:hAnsi="Times New Roman"/>
          <w:i/>
          <w:iCs/>
          <w:sz w:val="24"/>
          <w:lang w:val="en-US"/>
        </w:rPr>
        <w:t>Australian Education Union v Department of Education</w:t>
      </w:r>
      <w:r w:rsidRPr="00153410">
        <w:rPr>
          <w:rFonts w:ascii="Times New Roman" w:hAnsi="Times New Roman"/>
          <w:i/>
          <w:sz w:val="24"/>
          <w:lang w:val="en-US"/>
        </w:rPr>
        <w:t xml:space="preserve"> </w:t>
      </w:r>
      <w:r w:rsidRPr="00153410">
        <w:rPr>
          <w:rFonts w:ascii="Times New Roman" w:hAnsi="Times New Roman"/>
          <w:i/>
          <w:iCs/>
          <w:sz w:val="24"/>
          <w:lang w:val="en-US"/>
        </w:rPr>
        <w:t>and Children's Services</w:t>
      </w:r>
      <w:r w:rsidRPr="00153410">
        <w:rPr>
          <w:rFonts w:ascii="Times New Roman" w:hAnsi="Times New Roman"/>
          <w:sz w:val="24"/>
          <w:lang w:val="en-US"/>
        </w:rPr>
        <w:t xml:space="preserve"> (2012) 248 CLR 1 at 15 [31]; </w:t>
      </w:r>
      <w:r w:rsidRPr="00153410">
        <w:rPr>
          <w:rFonts w:ascii="Times New Roman" w:hAnsi="Times New Roman"/>
          <w:i/>
          <w:iCs/>
          <w:sz w:val="24"/>
          <w:lang w:val="en-US"/>
        </w:rPr>
        <w:t>Plaintiff S4/2014 v Minister for Immigration and Border Protection</w:t>
      </w:r>
      <w:r w:rsidRPr="00153410">
        <w:rPr>
          <w:rFonts w:ascii="Times New Roman" w:hAnsi="Times New Roman"/>
          <w:sz w:val="24"/>
          <w:lang w:val="en-US"/>
        </w:rPr>
        <w:t xml:space="preserve"> (2014) 253 CLR 219 at 236-237 [43]-[46]; </w:t>
      </w:r>
      <w:r w:rsidRPr="00153410">
        <w:rPr>
          <w:rFonts w:ascii="Times New Roman" w:hAnsi="Times New Roman"/>
          <w:i/>
          <w:iCs/>
          <w:sz w:val="24"/>
          <w:lang w:val="en-US"/>
        </w:rPr>
        <w:t>Esso Australia Pty Ltd v Australian Workers' Union</w:t>
      </w:r>
      <w:r w:rsidRPr="00153410">
        <w:rPr>
          <w:rFonts w:ascii="Times New Roman" w:hAnsi="Times New Roman"/>
          <w:sz w:val="24"/>
          <w:lang w:val="en-US"/>
        </w:rPr>
        <w:t xml:space="preserve"> (2017) 263 CLR 551 at 579 [47]; </w:t>
      </w:r>
      <w:r w:rsidRPr="00153410">
        <w:rPr>
          <w:rFonts w:ascii="Times New Roman" w:hAnsi="Times New Roman"/>
          <w:i/>
          <w:iCs/>
          <w:sz w:val="24"/>
          <w:lang w:val="en-US"/>
        </w:rPr>
        <w:t xml:space="preserve">Northern Land Council v </w:t>
      </w:r>
      <w:proofErr w:type="spellStart"/>
      <w:r w:rsidRPr="00153410">
        <w:rPr>
          <w:rFonts w:ascii="Times New Roman" w:hAnsi="Times New Roman"/>
          <w:i/>
          <w:iCs/>
          <w:sz w:val="24"/>
          <w:lang w:val="en-US"/>
        </w:rPr>
        <w:t>Quall</w:t>
      </w:r>
      <w:proofErr w:type="spellEnd"/>
      <w:r w:rsidRPr="00153410">
        <w:rPr>
          <w:rFonts w:ascii="Times New Roman" w:hAnsi="Times New Roman"/>
          <w:sz w:val="24"/>
          <w:lang w:val="en-US"/>
        </w:rPr>
        <w:t xml:space="preserve"> (2020) 271 CLR 394 at 424 [61]-[62]; </w:t>
      </w:r>
      <w:r w:rsidRPr="00153410">
        <w:rPr>
          <w:rFonts w:ascii="Times New Roman" w:hAnsi="Times New Roman"/>
          <w:i/>
          <w:iCs/>
          <w:sz w:val="24"/>
          <w:lang w:val="en-US"/>
        </w:rPr>
        <w:t xml:space="preserve">Minister for Immigration and Border Protection v </w:t>
      </w:r>
      <w:proofErr w:type="spellStart"/>
      <w:r w:rsidRPr="00153410">
        <w:rPr>
          <w:rFonts w:ascii="Times New Roman" w:hAnsi="Times New Roman"/>
          <w:i/>
          <w:iCs/>
          <w:sz w:val="24"/>
          <w:lang w:val="en-US"/>
        </w:rPr>
        <w:t>Makasa</w:t>
      </w:r>
      <w:proofErr w:type="spellEnd"/>
      <w:r w:rsidRPr="00153410">
        <w:rPr>
          <w:rFonts w:ascii="Times New Roman" w:hAnsi="Times New Roman"/>
          <w:sz w:val="24"/>
          <w:lang w:val="en-US"/>
        </w:rPr>
        <w:t xml:space="preserve"> (2021) 270 CLR 430 at 448 [54]</w:t>
      </w:r>
      <w:r w:rsidRPr="00153410">
        <w:rPr>
          <w:rFonts w:ascii="Times New Roman" w:hAnsi="Times New Roman"/>
          <w:sz w:val="24"/>
          <w:lang w:val="en-US"/>
        </w:rPr>
        <w:noBreakHyphen/>
        <w:t>[55].</w:t>
      </w:r>
    </w:p>
  </w:footnote>
  <w:footnote w:id="46">
    <w:p w14:paraId="0BFF7A77" w14:textId="7777777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 xml:space="preserve">R v Kirby; Ex </w:t>
      </w:r>
      <w:proofErr w:type="spellStart"/>
      <w:r w:rsidRPr="00153410">
        <w:rPr>
          <w:rFonts w:ascii="Times New Roman" w:hAnsi="Times New Roman"/>
          <w:i/>
          <w:iCs/>
          <w:sz w:val="24"/>
        </w:rPr>
        <w:t>parte</w:t>
      </w:r>
      <w:proofErr w:type="spellEnd"/>
      <w:r w:rsidRPr="00153410">
        <w:rPr>
          <w:rFonts w:ascii="Times New Roman" w:hAnsi="Times New Roman"/>
          <w:i/>
          <w:iCs/>
          <w:sz w:val="24"/>
        </w:rPr>
        <w:t xml:space="preserve"> Boilermakers' Society of Australia</w:t>
      </w:r>
      <w:r w:rsidRPr="00153410">
        <w:rPr>
          <w:rFonts w:ascii="Times New Roman" w:hAnsi="Times New Roman"/>
          <w:sz w:val="24"/>
        </w:rPr>
        <w:t xml:space="preserve"> (1956) 94 CLR 254 at 270.</w:t>
      </w:r>
    </w:p>
  </w:footnote>
  <w:footnote w:id="47">
    <w:p w14:paraId="6309D011" w14:textId="54F95BC7" w:rsidR="00307209" w:rsidRPr="00153410" w:rsidRDefault="00307209" w:rsidP="00153410">
      <w:pPr>
        <w:pStyle w:val="FootnoteText"/>
        <w:spacing w:line="280" w:lineRule="exact"/>
        <w:ind w:right="0"/>
        <w:jc w:val="both"/>
        <w:rPr>
          <w:rFonts w:ascii="Times New Roman" w:hAnsi="Times New Roman"/>
          <w:sz w:val="24"/>
          <w:lang w:val="en-US"/>
        </w:rPr>
      </w:pPr>
      <w:r w:rsidRPr="00153410">
        <w:rPr>
          <w:rStyle w:val="FootnoteReference"/>
          <w:rFonts w:ascii="Times New Roman" w:hAnsi="Times New Roman"/>
          <w:sz w:val="22"/>
          <w:vertAlign w:val="baseline"/>
        </w:rPr>
        <w:footnoteRef/>
      </w:r>
      <w:r w:rsidRPr="00153410">
        <w:rPr>
          <w:rFonts w:ascii="Times New Roman" w:hAnsi="Times New Roman"/>
          <w:sz w:val="24"/>
        </w:rPr>
        <w:t xml:space="preserve"> </w:t>
      </w:r>
      <w:r w:rsidRPr="00153410">
        <w:rPr>
          <w:rFonts w:ascii="Times New Roman" w:hAnsi="Times New Roman"/>
          <w:sz w:val="24"/>
          <w:lang w:val="en-US"/>
        </w:rPr>
        <w:tab/>
      </w:r>
      <w:r w:rsidRPr="00153410">
        <w:rPr>
          <w:rFonts w:ascii="Times New Roman" w:hAnsi="Times New Roman"/>
          <w:i/>
          <w:iCs/>
          <w:sz w:val="24"/>
        </w:rPr>
        <w:t>Minister for Immigration and Multicultural and Indigenous Affairs v Nystrom</w:t>
      </w:r>
      <w:r w:rsidRPr="00153410">
        <w:rPr>
          <w:rFonts w:ascii="Times New Roman" w:hAnsi="Times New Roman"/>
          <w:sz w:val="24"/>
          <w:lang w:val="en-US"/>
        </w:rPr>
        <w:t xml:space="preserve"> (2006) 228 CLR 566 at 586</w:t>
      </w:r>
      <w:r w:rsidR="00FB1AE6" w:rsidRPr="00153410">
        <w:rPr>
          <w:rFonts w:ascii="Times New Roman" w:hAnsi="Times New Roman"/>
          <w:sz w:val="24"/>
          <w:lang w:val="en-US"/>
        </w:rPr>
        <w:t xml:space="preserve"> </w:t>
      </w:r>
      <w:r w:rsidRPr="00153410">
        <w:rPr>
          <w:rFonts w:ascii="Times New Roman" w:hAnsi="Times New Roman"/>
          <w:sz w:val="24"/>
          <w:lang w:val="en-US"/>
        </w:rPr>
        <w:t>[54].</w:t>
      </w:r>
    </w:p>
  </w:footnote>
  <w:footnote w:id="48">
    <w:p w14:paraId="512FC818"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ss 9, 291, 292.</w:t>
      </w:r>
    </w:p>
  </w:footnote>
  <w:footnote w:id="49">
    <w:p w14:paraId="311C24C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POQ Act, Schedule, definition of "committee"; CC Act, ss 9 and 291.</w:t>
      </w:r>
    </w:p>
  </w:footnote>
  <w:footnote w:id="50">
    <w:p w14:paraId="1FBAA009"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Under the </w:t>
      </w:r>
      <w:r w:rsidRPr="00933CB1">
        <w:rPr>
          <w:rFonts w:ascii="Times New Roman" w:hAnsi="Times New Roman"/>
          <w:i/>
          <w:iCs/>
          <w:sz w:val="24"/>
        </w:rPr>
        <w:t>Public Trustee Act 1978</w:t>
      </w:r>
      <w:r w:rsidRPr="00933CB1">
        <w:rPr>
          <w:rFonts w:ascii="Times New Roman" w:hAnsi="Times New Roman"/>
          <w:sz w:val="24"/>
        </w:rPr>
        <w:t xml:space="preserve"> (Qld), s 9(1).</w:t>
      </w:r>
    </w:p>
  </w:footnote>
  <w:footnote w:id="51">
    <w:p w14:paraId="559A3B48"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POQ Act, ss 8, 9, and Ch 3, Pt 3.</w:t>
      </w:r>
    </w:p>
  </w:footnote>
  <w:footnote w:id="52">
    <w:p w14:paraId="18E113F9"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See POQ Act, s 9(1). </w:t>
      </w:r>
    </w:p>
  </w:footnote>
  <w:footnote w:id="53">
    <w:p w14:paraId="0DC7F0A1"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The facts are set out in the reasons of the other members of the Court.</w:t>
      </w:r>
    </w:p>
  </w:footnote>
  <w:footnote w:id="54">
    <w:p w14:paraId="4A671AA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ss 5(1) and 220.</w:t>
      </w:r>
    </w:p>
  </w:footnote>
  <w:footnote w:id="55">
    <w:p w14:paraId="7076E537"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w:t>
      </w:r>
      <w:proofErr w:type="spellStart"/>
      <w:r w:rsidRPr="00933CB1">
        <w:rPr>
          <w:rFonts w:ascii="Times New Roman" w:hAnsi="Times New Roman"/>
          <w:sz w:val="24"/>
        </w:rPr>
        <w:t>Chs</w:t>
      </w:r>
      <w:proofErr w:type="spellEnd"/>
      <w:r w:rsidRPr="00933CB1">
        <w:rPr>
          <w:rFonts w:ascii="Times New Roman" w:hAnsi="Times New Roman"/>
          <w:sz w:val="24"/>
        </w:rPr>
        <w:t xml:space="preserve"> 2 and 3. </w:t>
      </w:r>
    </w:p>
  </w:footnote>
  <w:footnote w:id="56">
    <w:p w14:paraId="1C4459AE"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w:t>
      </w:r>
      <w:proofErr w:type="spellStart"/>
      <w:r w:rsidRPr="00933CB1">
        <w:rPr>
          <w:rFonts w:ascii="Times New Roman" w:hAnsi="Times New Roman"/>
          <w:sz w:val="24"/>
        </w:rPr>
        <w:t>Chs</w:t>
      </w:r>
      <w:proofErr w:type="spellEnd"/>
      <w:r w:rsidRPr="00933CB1">
        <w:rPr>
          <w:rFonts w:ascii="Times New Roman" w:hAnsi="Times New Roman"/>
          <w:sz w:val="24"/>
        </w:rPr>
        <w:t xml:space="preserve"> 2 and 3. </w:t>
      </w:r>
    </w:p>
  </w:footnote>
  <w:footnote w:id="57">
    <w:p w14:paraId="053134DE"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ss 9 and 291.</w:t>
      </w:r>
    </w:p>
  </w:footnote>
  <w:footnote w:id="58">
    <w:p w14:paraId="4BC5D528"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23.</w:t>
      </w:r>
    </w:p>
  </w:footnote>
  <w:footnote w:id="59">
    <w:p w14:paraId="7F8F3552"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24(b).</w:t>
      </w:r>
    </w:p>
  </w:footnote>
  <w:footnote w:id="60">
    <w:p w14:paraId="33FD8A2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24(c).</w:t>
      </w:r>
    </w:p>
  </w:footnote>
  <w:footnote w:id="61">
    <w:p w14:paraId="20AA655F"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24(e).</w:t>
      </w:r>
    </w:p>
  </w:footnote>
  <w:footnote w:id="62">
    <w:p w14:paraId="43FFA782"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24(</w:t>
      </w:r>
      <w:proofErr w:type="spellStart"/>
      <w:r w:rsidRPr="00933CB1">
        <w:rPr>
          <w:rFonts w:ascii="Times New Roman" w:hAnsi="Times New Roman"/>
          <w:sz w:val="24"/>
        </w:rPr>
        <w:t>i</w:t>
      </w:r>
      <w:proofErr w:type="spellEnd"/>
      <w:r w:rsidRPr="00933CB1">
        <w:rPr>
          <w:rFonts w:ascii="Times New Roman" w:hAnsi="Times New Roman"/>
          <w:sz w:val="24"/>
        </w:rPr>
        <w:t>).</w:t>
      </w:r>
    </w:p>
  </w:footnote>
  <w:footnote w:id="63">
    <w:p w14:paraId="41C9F055"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25(a).</w:t>
      </w:r>
    </w:p>
  </w:footnote>
  <w:footnote w:id="64">
    <w:p w14:paraId="7B15B901"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34(d). </w:t>
      </w:r>
    </w:p>
  </w:footnote>
  <w:footnote w:id="65">
    <w:p w14:paraId="0B674A3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35(1)(a).</w:t>
      </w:r>
    </w:p>
  </w:footnote>
  <w:footnote w:id="66">
    <w:p w14:paraId="1495B96E"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35(1)(b).</w:t>
      </w:r>
    </w:p>
  </w:footnote>
  <w:footnote w:id="67">
    <w:p w14:paraId="4EF767F5"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35(1)(e).</w:t>
      </w:r>
    </w:p>
  </w:footnote>
  <w:footnote w:id="68">
    <w:p w14:paraId="045C0849"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35(1)(g).</w:t>
      </w:r>
    </w:p>
  </w:footnote>
  <w:footnote w:id="69">
    <w:p w14:paraId="59B689AC"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35(2).</w:t>
      </w:r>
    </w:p>
  </w:footnote>
  <w:footnote w:id="70">
    <w:p w14:paraId="4ACC6B51"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35(3).</w:t>
      </w:r>
    </w:p>
  </w:footnote>
  <w:footnote w:id="71">
    <w:p w14:paraId="1F3DE87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also definition of "corrupt conduct" in Sch 2. "[C]</w:t>
      </w:r>
      <w:proofErr w:type="spellStart"/>
      <w:r w:rsidRPr="00933CB1">
        <w:rPr>
          <w:rFonts w:ascii="Times New Roman" w:hAnsi="Times New Roman"/>
          <w:sz w:val="24"/>
        </w:rPr>
        <w:t>orruption</w:t>
      </w:r>
      <w:proofErr w:type="spellEnd"/>
      <w:r w:rsidRPr="00933CB1">
        <w:rPr>
          <w:rFonts w:ascii="Times New Roman" w:hAnsi="Times New Roman"/>
          <w:sz w:val="24"/>
        </w:rPr>
        <w:t>" is defined in Sch 2 to mean "corrupt conduct or police misconduct".</w:t>
      </w:r>
    </w:p>
  </w:footnote>
  <w:footnote w:id="72">
    <w:p w14:paraId="250C794C"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20(1)(a). </w:t>
      </w:r>
    </w:p>
  </w:footnote>
  <w:footnote w:id="73">
    <w:p w14:paraId="6A961E71"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20(1)(f)(</w:t>
      </w:r>
      <w:proofErr w:type="spellStart"/>
      <w:r w:rsidRPr="00933CB1">
        <w:rPr>
          <w:rFonts w:ascii="Times New Roman" w:hAnsi="Times New Roman"/>
          <w:sz w:val="24"/>
        </w:rPr>
        <w:t>i</w:t>
      </w:r>
      <w:proofErr w:type="spellEnd"/>
      <w:r w:rsidRPr="00933CB1">
        <w:rPr>
          <w:rFonts w:ascii="Times New Roman" w:hAnsi="Times New Roman"/>
          <w:sz w:val="24"/>
        </w:rPr>
        <w:t>).</w:t>
      </w:r>
    </w:p>
  </w:footnote>
  <w:footnote w:id="74">
    <w:p w14:paraId="1C1AB9F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176(1).</w:t>
      </w:r>
    </w:p>
  </w:footnote>
  <w:footnote w:id="75">
    <w:p w14:paraId="485D9F5C"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177(1).</w:t>
      </w:r>
    </w:p>
  </w:footnote>
  <w:footnote w:id="76">
    <w:p w14:paraId="4AB769B5"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ss 332, 333, 334.</w:t>
      </w:r>
    </w:p>
  </w:footnote>
  <w:footnote w:id="77">
    <w:p w14:paraId="795F240F"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49(1).</w:t>
      </w:r>
    </w:p>
  </w:footnote>
  <w:footnote w:id="78">
    <w:p w14:paraId="51F75573"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69(2).</w:t>
      </w:r>
    </w:p>
  </w:footnote>
  <w:footnote w:id="79">
    <w:p w14:paraId="1895FC5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60(1).</w:t>
      </w:r>
    </w:p>
  </w:footnote>
  <w:footnote w:id="80">
    <w:p w14:paraId="4CFD533E"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60(2).</w:t>
      </w:r>
    </w:p>
  </w:footnote>
  <w:footnote w:id="81">
    <w:p w14:paraId="2D6F449F"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63 (emphasis added). As explained, "crime functions" are dealt with in Ch 2, Pt 2. </w:t>
      </w:r>
    </w:p>
  </w:footnote>
  <w:footnote w:id="82">
    <w:p w14:paraId="20A84C19"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64(2)(a).</w:t>
      </w:r>
    </w:p>
  </w:footnote>
  <w:footnote w:id="83">
    <w:p w14:paraId="737C27B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64(2)(b).</w:t>
      </w:r>
    </w:p>
  </w:footnote>
  <w:footnote w:id="84">
    <w:p w14:paraId="7D0D2A2A"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69(1) </w:t>
      </w:r>
      <w:r w:rsidRPr="00933CB1">
        <w:rPr>
          <w:rFonts w:ascii="Times New Roman" w:hAnsi="Times New Roman"/>
          <w:sz w:val="24"/>
          <w:lang w:eastAsia="en-US"/>
        </w:rPr>
        <w:t>(emphasis added)</w:t>
      </w:r>
      <w:r w:rsidRPr="00933CB1">
        <w:rPr>
          <w:rFonts w:ascii="Times New Roman" w:hAnsi="Times New Roman"/>
          <w:sz w:val="24"/>
        </w:rPr>
        <w:t>.</w:t>
      </w:r>
    </w:p>
  </w:footnote>
  <w:footnote w:id="85">
    <w:p w14:paraId="7D17898F"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69(2).</w:t>
      </w:r>
    </w:p>
  </w:footnote>
  <w:footnote w:id="86">
    <w:p w14:paraId="0B054058"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33.</w:t>
      </w:r>
    </w:p>
  </w:footnote>
  <w:footnote w:id="87">
    <w:p w14:paraId="63821A27"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34.</w:t>
      </w:r>
    </w:p>
  </w:footnote>
  <w:footnote w:id="88">
    <w:p w14:paraId="11322E2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w:t>
      </w:r>
      <w:r>
        <w:rPr>
          <w:rFonts w:ascii="Times New Roman" w:hAnsi="Times New Roman"/>
          <w:sz w:val="24"/>
        </w:rPr>
        <w:t>84</w:t>
      </w:r>
      <w:r w:rsidRPr="00933CB1">
        <w:rPr>
          <w:rFonts w:ascii="Times New Roman" w:hAnsi="Times New Roman"/>
          <w:sz w:val="24"/>
        </w:rPr>
        <w:t>]-[</w:t>
      </w:r>
      <w:r>
        <w:rPr>
          <w:rFonts w:ascii="Times New Roman" w:hAnsi="Times New Roman"/>
          <w:sz w:val="24"/>
        </w:rPr>
        <w:t>87</w:t>
      </w:r>
      <w:r w:rsidRPr="00933CB1">
        <w:rPr>
          <w:rFonts w:ascii="Times New Roman" w:hAnsi="Times New Roman"/>
          <w:sz w:val="24"/>
        </w:rPr>
        <w:t>] above.</w:t>
      </w:r>
    </w:p>
  </w:footnote>
  <w:footnote w:id="89">
    <w:p w14:paraId="4D2040F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w:t>
      </w:r>
      <w:r>
        <w:rPr>
          <w:rFonts w:ascii="Times New Roman" w:hAnsi="Times New Roman"/>
          <w:sz w:val="24"/>
        </w:rPr>
        <w:t>94</w:t>
      </w:r>
      <w:r w:rsidRPr="00933CB1">
        <w:rPr>
          <w:rFonts w:ascii="Times New Roman" w:hAnsi="Times New Roman"/>
          <w:sz w:val="24"/>
        </w:rPr>
        <w:t xml:space="preserve">] above. See also CC Act, Ch 2, Pt 3, </w:t>
      </w:r>
      <w:proofErr w:type="spellStart"/>
      <w:r w:rsidRPr="00933CB1">
        <w:rPr>
          <w:rFonts w:ascii="Times New Roman" w:hAnsi="Times New Roman"/>
          <w:sz w:val="24"/>
        </w:rPr>
        <w:t>Div</w:t>
      </w:r>
      <w:proofErr w:type="spellEnd"/>
      <w:r w:rsidRPr="00933CB1">
        <w:rPr>
          <w:rFonts w:ascii="Times New Roman" w:hAnsi="Times New Roman"/>
          <w:sz w:val="24"/>
        </w:rPr>
        <w:t> 5.</w:t>
      </w:r>
    </w:p>
  </w:footnote>
  <w:footnote w:id="90">
    <w:p w14:paraId="696823AE"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w:t>
      </w:r>
      <w:r>
        <w:rPr>
          <w:rFonts w:ascii="Times New Roman" w:hAnsi="Times New Roman"/>
          <w:sz w:val="24"/>
        </w:rPr>
        <w:t>94</w:t>
      </w:r>
      <w:r w:rsidRPr="00933CB1">
        <w:rPr>
          <w:rFonts w:ascii="Times New Roman" w:hAnsi="Times New Roman"/>
          <w:sz w:val="24"/>
        </w:rPr>
        <w:t>] above.</w:t>
      </w:r>
    </w:p>
  </w:footnote>
  <w:footnote w:id="91">
    <w:p w14:paraId="5B2DCB03"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69(2).</w:t>
      </w:r>
    </w:p>
  </w:footnote>
  <w:footnote w:id="92">
    <w:p w14:paraId="06D21526"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CC Act, s 60(1).</w:t>
      </w:r>
    </w:p>
  </w:footnote>
  <w:footnote w:id="93">
    <w:p w14:paraId="44820B3A"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w:t>
      </w:r>
      <w:r>
        <w:rPr>
          <w:rFonts w:ascii="Times New Roman" w:hAnsi="Times New Roman"/>
          <w:sz w:val="24"/>
        </w:rPr>
        <w:t>95</w:t>
      </w:r>
      <w:r w:rsidRPr="00933CB1">
        <w:rPr>
          <w:rFonts w:ascii="Times New Roman" w:hAnsi="Times New Roman"/>
          <w:sz w:val="24"/>
        </w:rPr>
        <w:t>] above.</w:t>
      </w:r>
    </w:p>
  </w:footnote>
  <w:footnote w:id="94">
    <w:p w14:paraId="4BF5814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64(1) and (2). </w:t>
      </w:r>
    </w:p>
  </w:footnote>
  <w:footnote w:id="95">
    <w:p w14:paraId="246DF031"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w:t>
      </w:r>
      <w:r>
        <w:rPr>
          <w:rFonts w:ascii="Times New Roman" w:hAnsi="Times New Roman"/>
          <w:sz w:val="24"/>
        </w:rPr>
        <w:t>94</w:t>
      </w:r>
      <w:r w:rsidRPr="00933CB1">
        <w:rPr>
          <w:rFonts w:ascii="Times New Roman" w:hAnsi="Times New Roman"/>
          <w:sz w:val="24"/>
        </w:rPr>
        <w:t xml:space="preserve">] above. </w:t>
      </w:r>
    </w:p>
  </w:footnote>
  <w:footnote w:id="96">
    <w:p w14:paraId="28A44864"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 xml:space="preserve">Rowley v </w:t>
      </w:r>
      <w:proofErr w:type="spellStart"/>
      <w:r w:rsidRPr="00933CB1">
        <w:rPr>
          <w:rFonts w:ascii="Times New Roman" w:hAnsi="Times New Roman"/>
          <w:i/>
          <w:iCs/>
          <w:sz w:val="24"/>
        </w:rPr>
        <w:t>O'Chee</w:t>
      </w:r>
      <w:proofErr w:type="spellEnd"/>
      <w:r w:rsidRPr="00933CB1">
        <w:rPr>
          <w:rFonts w:ascii="Times New Roman" w:hAnsi="Times New Roman"/>
          <w:sz w:val="24"/>
        </w:rPr>
        <w:t xml:space="preserve"> [2000]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218, citing </w:t>
      </w:r>
      <w:r w:rsidRPr="00933CB1">
        <w:rPr>
          <w:rFonts w:ascii="Times New Roman" w:hAnsi="Times New Roman"/>
          <w:i/>
          <w:iCs/>
          <w:sz w:val="24"/>
        </w:rPr>
        <w:t>R v Jackson</w:t>
      </w:r>
      <w:r w:rsidRPr="00933CB1">
        <w:rPr>
          <w:rFonts w:ascii="Times New Roman" w:hAnsi="Times New Roman"/>
          <w:sz w:val="24"/>
        </w:rPr>
        <w:t xml:space="preserve"> (1987) 8 NSWLR 116 at 118, 121. </w:t>
      </w:r>
    </w:p>
  </w:footnote>
  <w:footnote w:id="97">
    <w:p w14:paraId="4179EDD5"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See </w:t>
      </w:r>
      <w:r w:rsidRPr="00933CB1">
        <w:rPr>
          <w:rFonts w:ascii="Times New Roman" w:hAnsi="Times New Roman"/>
          <w:i/>
          <w:iCs/>
          <w:sz w:val="24"/>
        </w:rPr>
        <w:t>Bill of Rights 1688</w:t>
      </w:r>
      <w:r w:rsidRPr="00933CB1">
        <w:rPr>
          <w:rFonts w:ascii="Times New Roman" w:hAnsi="Times New Roman"/>
          <w:sz w:val="24"/>
        </w:rPr>
        <w:t xml:space="preserve">, Art 9; Australia, House of Representatives, </w:t>
      </w:r>
      <w:r w:rsidRPr="00933CB1">
        <w:rPr>
          <w:rFonts w:ascii="Times New Roman" w:hAnsi="Times New Roman"/>
          <w:i/>
          <w:iCs/>
          <w:sz w:val="24"/>
        </w:rPr>
        <w:t>Parliamentary</w:t>
      </w:r>
      <w:r>
        <w:rPr>
          <w:rFonts w:ascii="Times New Roman" w:hAnsi="Times New Roman"/>
          <w:i/>
          <w:iCs/>
          <w:sz w:val="24"/>
        </w:rPr>
        <w:t> </w:t>
      </w:r>
      <w:r w:rsidRPr="00933CB1">
        <w:rPr>
          <w:rFonts w:ascii="Times New Roman" w:hAnsi="Times New Roman"/>
          <w:i/>
          <w:iCs/>
          <w:sz w:val="24"/>
        </w:rPr>
        <w:t>Privileges Bill 1987</w:t>
      </w:r>
      <w:r w:rsidRPr="00933CB1">
        <w:rPr>
          <w:rFonts w:ascii="Times New Roman" w:hAnsi="Times New Roman"/>
          <w:sz w:val="24"/>
        </w:rPr>
        <w:t xml:space="preserve">, Explanatory Memorandum at 9; </w:t>
      </w:r>
      <w:r w:rsidRPr="00933CB1">
        <w:rPr>
          <w:rFonts w:ascii="Times New Roman" w:hAnsi="Times New Roman"/>
          <w:i/>
          <w:iCs/>
          <w:sz w:val="24"/>
        </w:rPr>
        <w:t>Prebble v Television New Zealand Ltd</w:t>
      </w:r>
      <w:r w:rsidRPr="00933CB1">
        <w:rPr>
          <w:rFonts w:ascii="Times New Roman" w:hAnsi="Times New Roman"/>
          <w:sz w:val="24"/>
        </w:rPr>
        <w:t xml:space="preserve"> [1995] 1 AC 321 at 332. </w:t>
      </w:r>
    </w:p>
  </w:footnote>
  <w:footnote w:id="98">
    <w:p w14:paraId="7DA5E57C"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Elder, </w:t>
      </w:r>
      <w:r w:rsidRPr="00933CB1">
        <w:rPr>
          <w:rFonts w:ascii="Times New Roman" w:hAnsi="Times New Roman"/>
          <w:i/>
          <w:iCs/>
          <w:sz w:val="24"/>
        </w:rPr>
        <w:t>House of Representatives Practice</w:t>
      </w:r>
      <w:r w:rsidRPr="00933CB1">
        <w:rPr>
          <w:rFonts w:ascii="Times New Roman" w:hAnsi="Times New Roman"/>
          <w:sz w:val="24"/>
        </w:rPr>
        <w:t xml:space="preserve">, 7th ed (2018) at 733. See also </w:t>
      </w:r>
      <w:proofErr w:type="spellStart"/>
      <w:r w:rsidRPr="00933CB1">
        <w:rPr>
          <w:rFonts w:ascii="Times New Roman" w:hAnsi="Times New Roman"/>
          <w:i/>
          <w:iCs/>
          <w:sz w:val="24"/>
        </w:rPr>
        <w:t>Szwarcbord</w:t>
      </w:r>
      <w:proofErr w:type="spellEnd"/>
      <w:r w:rsidRPr="00933CB1">
        <w:rPr>
          <w:rFonts w:ascii="Times New Roman" w:hAnsi="Times New Roman"/>
          <w:i/>
          <w:iCs/>
          <w:sz w:val="24"/>
        </w:rPr>
        <w:t xml:space="preserve"> v Gallop</w:t>
      </w:r>
      <w:r w:rsidRPr="00933CB1">
        <w:rPr>
          <w:rFonts w:ascii="Times New Roman" w:hAnsi="Times New Roman"/>
          <w:sz w:val="24"/>
        </w:rPr>
        <w:t xml:space="preserve"> (2002) 167 FLR 262 at 265 [8]. </w:t>
      </w:r>
    </w:p>
  </w:footnote>
  <w:footnote w:id="99">
    <w:p w14:paraId="6061AF78"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proofErr w:type="spellStart"/>
      <w:r w:rsidRPr="00933CB1">
        <w:rPr>
          <w:rFonts w:ascii="Times New Roman" w:hAnsi="Times New Roman"/>
          <w:i/>
          <w:iCs/>
          <w:sz w:val="24"/>
        </w:rPr>
        <w:t>Chagnon</w:t>
      </w:r>
      <w:proofErr w:type="spellEnd"/>
      <w:r w:rsidRPr="00933CB1">
        <w:rPr>
          <w:rFonts w:ascii="Times New Roman" w:hAnsi="Times New Roman"/>
          <w:i/>
          <w:iCs/>
          <w:sz w:val="24"/>
        </w:rPr>
        <w:t xml:space="preserve"> v </w:t>
      </w:r>
      <w:proofErr w:type="spellStart"/>
      <w:r w:rsidRPr="00933CB1">
        <w:rPr>
          <w:rFonts w:ascii="Times New Roman" w:hAnsi="Times New Roman"/>
          <w:i/>
          <w:iCs/>
          <w:sz w:val="24"/>
        </w:rPr>
        <w:t>Syndicat</w:t>
      </w:r>
      <w:proofErr w:type="spellEnd"/>
      <w:r w:rsidRPr="00933CB1">
        <w:rPr>
          <w:rFonts w:ascii="Times New Roman" w:hAnsi="Times New Roman"/>
          <w:i/>
          <w:iCs/>
          <w:sz w:val="24"/>
        </w:rPr>
        <w:t xml:space="preserve"> de la </w:t>
      </w:r>
      <w:proofErr w:type="spellStart"/>
      <w:r w:rsidRPr="00933CB1">
        <w:rPr>
          <w:rFonts w:ascii="Times New Roman" w:hAnsi="Times New Roman"/>
          <w:i/>
          <w:iCs/>
          <w:sz w:val="24"/>
        </w:rPr>
        <w:t>fonction</w:t>
      </w:r>
      <w:proofErr w:type="spellEnd"/>
      <w:r w:rsidRPr="00933CB1">
        <w:rPr>
          <w:rFonts w:ascii="Times New Roman" w:hAnsi="Times New Roman"/>
          <w:i/>
          <w:iCs/>
          <w:sz w:val="24"/>
        </w:rPr>
        <w:t xml:space="preserve"> </w:t>
      </w:r>
      <w:proofErr w:type="spellStart"/>
      <w:r w:rsidRPr="00933CB1">
        <w:rPr>
          <w:rFonts w:ascii="Times New Roman" w:hAnsi="Times New Roman"/>
          <w:i/>
          <w:iCs/>
          <w:sz w:val="24"/>
        </w:rPr>
        <w:t>publique</w:t>
      </w:r>
      <w:proofErr w:type="spellEnd"/>
      <w:r w:rsidRPr="00933CB1">
        <w:rPr>
          <w:rFonts w:ascii="Times New Roman" w:hAnsi="Times New Roman"/>
          <w:i/>
          <w:iCs/>
          <w:sz w:val="24"/>
        </w:rPr>
        <w:t xml:space="preserve"> et </w:t>
      </w:r>
      <w:proofErr w:type="spellStart"/>
      <w:r w:rsidRPr="00933CB1">
        <w:rPr>
          <w:rFonts w:ascii="Times New Roman" w:hAnsi="Times New Roman"/>
          <w:i/>
          <w:iCs/>
          <w:sz w:val="24"/>
        </w:rPr>
        <w:t>parapublique</w:t>
      </w:r>
      <w:proofErr w:type="spellEnd"/>
      <w:r w:rsidRPr="00933CB1">
        <w:rPr>
          <w:rFonts w:ascii="Times New Roman" w:hAnsi="Times New Roman"/>
          <w:i/>
          <w:iCs/>
          <w:sz w:val="24"/>
        </w:rPr>
        <w:t xml:space="preserve"> du Québec</w:t>
      </w:r>
      <w:r w:rsidRPr="00933CB1">
        <w:rPr>
          <w:rFonts w:ascii="Times New Roman" w:hAnsi="Times New Roman"/>
          <w:sz w:val="24"/>
        </w:rPr>
        <w:t xml:space="preserve"> [2018] 2</w:t>
      </w:r>
      <w:r>
        <w:rPr>
          <w:rFonts w:ascii="Times New Roman" w:hAnsi="Times New Roman"/>
          <w:sz w:val="24"/>
        </w:rPr>
        <w:t> </w:t>
      </w:r>
      <w:r w:rsidRPr="00933CB1">
        <w:rPr>
          <w:rFonts w:ascii="Times New Roman" w:hAnsi="Times New Roman"/>
          <w:sz w:val="24"/>
        </w:rPr>
        <w:t>SCR 687 at 698 [1].</w:t>
      </w:r>
    </w:p>
  </w:footnote>
  <w:footnote w:id="100">
    <w:p w14:paraId="1E957E5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Prebble</w:t>
      </w:r>
      <w:r w:rsidRPr="00933CB1">
        <w:rPr>
          <w:rFonts w:ascii="Times New Roman" w:hAnsi="Times New Roman"/>
          <w:sz w:val="24"/>
        </w:rPr>
        <w:t xml:space="preserve"> [1995] 1 AC 321 at 334. See also </w:t>
      </w:r>
      <w:r w:rsidRPr="00933CB1">
        <w:rPr>
          <w:rFonts w:ascii="Times New Roman" w:hAnsi="Times New Roman"/>
          <w:i/>
          <w:iCs/>
          <w:sz w:val="24"/>
        </w:rPr>
        <w:t xml:space="preserve">Rowley </w:t>
      </w:r>
      <w:r w:rsidRPr="00933CB1">
        <w:rPr>
          <w:rFonts w:ascii="Times New Roman" w:hAnsi="Times New Roman"/>
          <w:sz w:val="24"/>
        </w:rPr>
        <w:t xml:space="preserve">[2000]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224. </w:t>
      </w:r>
    </w:p>
  </w:footnote>
  <w:footnote w:id="101">
    <w:p w14:paraId="681B963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Prebble</w:t>
      </w:r>
      <w:r w:rsidRPr="00933CB1">
        <w:rPr>
          <w:rFonts w:ascii="Times New Roman" w:hAnsi="Times New Roman"/>
          <w:sz w:val="24"/>
        </w:rPr>
        <w:t xml:space="preserve"> [1995] 1 AC 321 at 334, 336. </w:t>
      </w:r>
    </w:p>
  </w:footnote>
  <w:footnote w:id="102">
    <w:p w14:paraId="055F471B"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See, concerning an earlier statutory provision to the same effect, </w:t>
      </w:r>
      <w:r w:rsidRPr="00933CB1">
        <w:rPr>
          <w:rFonts w:ascii="Times New Roman" w:hAnsi="Times New Roman"/>
          <w:i/>
          <w:iCs/>
          <w:sz w:val="24"/>
        </w:rPr>
        <w:t>Criminal Justice Commission v Parliamentary Criminal Justice Commissioner</w:t>
      </w:r>
      <w:r w:rsidRPr="00933CB1">
        <w:rPr>
          <w:rFonts w:ascii="Times New Roman" w:hAnsi="Times New Roman"/>
          <w:sz w:val="24"/>
        </w:rPr>
        <w:t xml:space="preserve"> [2002] 2 </w:t>
      </w:r>
      <w:proofErr w:type="spellStart"/>
      <w:r w:rsidRPr="00933CB1">
        <w:rPr>
          <w:rFonts w:ascii="Times New Roman" w:hAnsi="Times New Roman"/>
          <w:sz w:val="24"/>
        </w:rPr>
        <w:t>Qd</w:t>
      </w:r>
      <w:proofErr w:type="spellEnd"/>
      <w:r w:rsidRPr="00933CB1">
        <w:rPr>
          <w:rFonts w:ascii="Times New Roman" w:hAnsi="Times New Roman"/>
          <w:sz w:val="24"/>
        </w:rPr>
        <w:t xml:space="preserve"> R 8 at 21. </w:t>
      </w:r>
    </w:p>
  </w:footnote>
  <w:footnote w:id="103">
    <w:p w14:paraId="333778FA"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 xml:space="preserve">Rowley </w:t>
      </w:r>
      <w:r w:rsidRPr="00933CB1">
        <w:rPr>
          <w:rFonts w:ascii="Times New Roman" w:hAnsi="Times New Roman"/>
          <w:sz w:val="24"/>
        </w:rPr>
        <w:t xml:space="preserve">[2000]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220.</w:t>
      </w:r>
    </w:p>
  </w:footnote>
  <w:footnote w:id="104">
    <w:p w14:paraId="7228E21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See, </w:t>
      </w:r>
      <w:proofErr w:type="spellStart"/>
      <w:r w:rsidRPr="00933CB1">
        <w:rPr>
          <w:rFonts w:ascii="Times New Roman" w:hAnsi="Times New Roman"/>
          <w:sz w:val="24"/>
        </w:rPr>
        <w:t>eg</w:t>
      </w:r>
      <w:proofErr w:type="spellEnd"/>
      <w:r w:rsidRPr="00933CB1">
        <w:rPr>
          <w:rFonts w:ascii="Times New Roman" w:hAnsi="Times New Roman"/>
          <w:sz w:val="24"/>
        </w:rPr>
        <w:t xml:space="preserve">, </w:t>
      </w:r>
      <w:r w:rsidRPr="00933CB1">
        <w:rPr>
          <w:rFonts w:ascii="Times New Roman" w:hAnsi="Times New Roman"/>
          <w:i/>
          <w:iCs/>
          <w:sz w:val="24"/>
        </w:rPr>
        <w:t>Carrigan v Cash</w:t>
      </w:r>
      <w:r w:rsidRPr="00933CB1">
        <w:rPr>
          <w:rFonts w:ascii="Times New Roman" w:hAnsi="Times New Roman"/>
          <w:sz w:val="24"/>
        </w:rPr>
        <w:t xml:space="preserve"> [2017] FCAFC 86 at [11]-[20].</w:t>
      </w:r>
    </w:p>
  </w:footnote>
  <w:footnote w:id="105">
    <w:p w14:paraId="25757873"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See, </w:t>
      </w:r>
      <w:proofErr w:type="spellStart"/>
      <w:r w:rsidRPr="00933CB1">
        <w:rPr>
          <w:rFonts w:ascii="Times New Roman" w:hAnsi="Times New Roman"/>
          <w:sz w:val="24"/>
        </w:rPr>
        <w:t>eg</w:t>
      </w:r>
      <w:proofErr w:type="spellEnd"/>
      <w:r w:rsidRPr="00933CB1">
        <w:rPr>
          <w:rFonts w:ascii="Times New Roman" w:hAnsi="Times New Roman"/>
          <w:sz w:val="24"/>
        </w:rPr>
        <w:t xml:space="preserve">, </w:t>
      </w:r>
      <w:r w:rsidRPr="00933CB1">
        <w:rPr>
          <w:rFonts w:ascii="Times New Roman" w:hAnsi="Times New Roman"/>
          <w:i/>
          <w:iCs/>
          <w:sz w:val="24"/>
        </w:rPr>
        <w:t>Nolan v Clifford</w:t>
      </w:r>
      <w:r w:rsidRPr="00933CB1">
        <w:rPr>
          <w:rFonts w:ascii="Times New Roman" w:hAnsi="Times New Roman"/>
          <w:sz w:val="24"/>
        </w:rPr>
        <w:t xml:space="preserve"> (1904) 1 CLR 429 at 447-448; </w:t>
      </w:r>
      <w:r w:rsidRPr="00933CB1">
        <w:rPr>
          <w:rFonts w:ascii="Times New Roman" w:hAnsi="Times New Roman"/>
          <w:i/>
          <w:iCs/>
          <w:sz w:val="24"/>
        </w:rPr>
        <w:t>Arthur Yates &amp; Co Pty Ltd v Vegetable Seeds Committee</w:t>
      </w:r>
      <w:r w:rsidRPr="00933CB1">
        <w:rPr>
          <w:rFonts w:ascii="Times New Roman" w:hAnsi="Times New Roman"/>
          <w:sz w:val="24"/>
        </w:rPr>
        <w:t xml:space="preserve"> (1945) 72 CLR 37 at 68; </w:t>
      </w:r>
      <w:proofErr w:type="spellStart"/>
      <w:r w:rsidRPr="00933CB1">
        <w:rPr>
          <w:rFonts w:ascii="Times New Roman" w:hAnsi="Times New Roman"/>
          <w:i/>
          <w:iCs/>
          <w:sz w:val="24"/>
        </w:rPr>
        <w:t>Wik</w:t>
      </w:r>
      <w:proofErr w:type="spellEnd"/>
      <w:r w:rsidRPr="00933CB1">
        <w:rPr>
          <w:rFonts w:ascii="Times New Roman" w:hAnsi="Times New Roman"/>
          <w:i/>
          <w:iCs/>
          <w:sz w:val="24"/>
        </w:rPr>
        <w:t xml:space="preserve"> Peoples v Queensland</w:t>
      </w:r>
      <w:r w:rsidRPr="00933CB1">
        <w:rPr>
          <w:rFonts w:ascii="Times New Roman" w:hAnsi="Times New Roman"/>
          <w:sz w:val="24"/>
        </w:rPr>
        <w:t xml:space="preserve"> (1996) 187 CLR 1 at 168-169; </w:t>
      </w:r>
      <w:r w:rsidRPr="00933CB1">
        <w:rPr>
          <w:rFonts w:ascii="Times New Roman" w:hAnsi="Times New Roman"/>
          <w:i/>
          <w:iCs/>
          <w:sz w:val="24"/>
        </w:rPr>
        <w:t>Eastman v The Queen</w:t>
      </w:r>
      <w:r w:rsidRPr="00933CB1">
        <w:rPr>
          <w:rFonts w:ascii="Times New Roman" w:hAnsi="Times New Roman"/>
          <w:sz w:val="24"/>
        </w:rPr>
        <w:t xml:space="preserve"> (2000) 203 CLR 1 at 46 [</w:t>
      </w:r>
      <w:proofErr w:type="gramStart"/>
      <w:r w:rsidRPr="00933CB1">
        <w:rPr>
          <w:rFonts w:ascii="Times New Roman" w:hAnsi="Times New Roman"/>
          <w:sz w:val="24"/>
        </w:rPr>
        <w:t>146]</w:t>
      </w:r>
      <w:r>
        <w:rPr>
          <w:rFonts w:ascii="Times New Roman" w:hAnsi="Times New Roman"/>
          <w:sz w:val="24"/>
        </w:rPr>
        <w:noBreakHyphen/>
      </w:r>
      <w:proofErr w:type="gramEnd"/>
      <w:r w:rsidRPr="00933CB1">
        <w:rPr>
          <w:rFonts w:ascii="Times New Roman" w:hAnsi="Times New Roman"/>
          <w:sz w:val="24"/>
        </w:rPr>
        <w:t xml:space="preserve">[147]; </w:t>
      </w:r>
      <w:r w:rsidRPr="00933CB1">
        <w:rPr>
          <w:rFonts w:ascii="Times New Roman" w:hAnsi="Times New Roman"/>
          <w:i/>
          <w:iCs/>
          <w:sz w:val="24"/>
        </w:rPr>
        <w:t>APLA Ltd v Legal Services Commissioner (NSW)</w:t>
      </w:r>
      <w:r w:rsidRPr="00933CB1">
        <w:rPr>
          <w:rFonts w:ascii="Times New Roman" w:hAnsi="Times New Roman"/>
          <w:sz w:val="24"/>
        </w:rPr>
        <w:t xml:space="preserve"> (2005) 224 CLR 322 at 462 [423]. </w:t>
      </w:r>
    </w:p>
  </w:footnote>
  <w:footnote w:id="106">
    <w:p w14:paraId="269A9857"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 xml:space="preserve">Rowley </w:t>
      </w:r>
      <w:r w:rsidRPr="00933CB1">
        <w:rPr>
          <w:rFonts w:ascii="Times New Roman" w:hAnsi="Times New Roman"/>
          <w:sz w:val="24"/>
        </w:rPr>
        <w:t xml:space="preserve">[2000]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221. </w:t>
      </w:r>
    </w:p>
  </w:footnote>
  <w:footnote w:id="107">
    <w:p w14:paraId="13D2FCCD"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Egan v Willis</w:t>
      </w:r>
      <w:r w:rsidRPr="00933CB1">
        <w:rPr>
          <w:rFonts w:ascii="Times New Roman" w:hAnsi="Times New Roman"/>
          <w:sz w:val="24"/>
        </w:rPr>
        <w:t xml:space="preserve"> (1998) 195 CLR 424 at 446 [27]; </w:t>
      </w:r>
      <w:r w:rsidRPr="00933CB1">
        <w:rPr>
          <w:rFonts w:ascii="Times New Roman" w:hAnsi="Times New Roman"/>
          <w:i/>
          <w:iCs/>
          <w:sz w:val="24"/>
        </w:rPr>
        <w:t>Re Reid; Ex </w:t>
      </w:r>
      <w:proofErr w:type="spellStart"/>
      <w:r w:rsidRPr="00933CB1">
        <w:rPr>
          <w:rFonts w:ascii="Times New Roman" w:hAnsi="Times New Roman"/>
          <w:i/>
          <w:iCs/>
          <w:sz w:val="24"/>
        </w:rPr>
        <w:t>parte</w:t>
      </w:r>
      <w:proofErr w:type="spellEnd"/>
      <w:r w:rsidRPr="00933CB1">
        <w:rPr>
          <w:rFonts w:ascii="Times New Roman" w:hAnsi="Times New Roman"/>
          <w:i/>
          <w:iCs/>
          <w:sz w:val="24"/>
        </w:rPr>
        <w:t xml:space="preserve"> </w:t>
      </w:r>
      <w:proofErr w:type="spellStart"/>
      <w:r w:rsidRPr="00933CB1">
        <w:rPr>
          <w:rFonts w:ascii="Times New Roman" w:hAnsi="Times New Roman"/>
          <w:i/>
          <w:iCs/>
          <w:sz w:val="24"/>
        </w:rPr>
        <w:t>Bienstein</w:t>
      </w:r>
      <w:proofErr w:type="spellEnd"/>
      <w:r w:rsidRPr="00933CB1">
        <w:rPr>
          <w:rFonts w:ascii="Times New Roman" w:hAnsi="Times New Roman"/>
          <w:sz w:val="24"/>
        </w:rPr>
        <w:t xml:space="preserve"> (2001) 182 ALR 473 at 479 [25]. See also </w:t>
      </w:r>
      <w:r w:rsidRPr="00933CB1">
        <w:rPr>
          <w:rFonts w:ascii="Times New Roman" w:hAnsi="Times New Roman"/>
          <w:i/>
          <w:iCs/>
          <w:sz w:val="24"/>
        </w:rPr>
        <w:t>Leyonhjelm v Hanson-Young</w:t>
      </w:r>
      <w:r w:rsidRPr="00933CB1">
        <w:rPr>
          <w:rFonts w:ascii="Times New Roman" w:hAnsi="Times New Roman"/>
          <w:sz w:val="24"/>
        </w:rPr>
        <w:t xml:space="preserve"> (2021) 282 FCR 341 at 437 [363]. </w:t>
      </w:r>
    </w:p>
  </w:footnote>
  <w:footnote w:id="108">
    <w:p w14:paraId="20390AFC"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(1955) 92 CLR 157 at 162, quoted with approval in </w:t>
      </w:r>
      <w:r w:rsidRPr="00933CB1">
        <w:rPr>
          <w:rFonts w:ascii="Times New Roman" w:hAnsi="Times New Roman"/>
          <w:i/>
          <w:iCs/>
          <w:sz w:val="24"/>
        </w:rPr>
        <w:t>Egan</w:t>
      </w:r>
      <w:r w:rsidRPr="00933CB1">
        <w:rPr>
          <w:rFonts w:ascii="Times New Roman" w:hAnsi="Times New Roman"/>
          <w:sz w:val="24"/>
        </w:rPr>
        <w:t xml:space="preserve"> (1998) 195 CLR 424 at 446 [27]. See also </w:t>
      </w:r>
      <w:r w:rsidRPr="00933CB1">
        <w:rPr>
          <w:rFonts w:ascii="Times New Roman" w:hAnsi="Times New Roman"/>
          <w:i/>
          <w:iCs/>
          <w:sz w:val="24"/>
        </w:rPr>
        <w:t>Leyonhjelm</w:t>
      </w:r>
      <w:r w:rsidRPr="00933CB1" w:rsidDel="001E7DD4">
        <w:rPr>
          <w:rFonts w:ascii="Times New Roman" w:hAnsi="Times New Roman"/>
          <w:i/>
          <w:iCs/>
          <w:sz w:val="24"/>
        </w:rPr>
        <w:t xml:space="preserve"> </w:t>
      </w:r>
      <w:r w:rsidRPr="00933CB1">
        <w:rPr>
          <w:rFonts w:ascii="Times New Roman" w:hAnsi="Times New Roman"/>
          <w:sz w:val="24"/>
        </w:rPr>
        <w:t xml:space="preserve">(2021) 282 FCR 341 at 437 [363]. </w:t>
      </w:r>
    </w:p>
  </w:footnote>
  <w:footnote w:id="109">
    <w:p w14:paraId="4767161A"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Egan</w:t>
      </w:r>
      <w:r w:rsidRPr="00933CB1">
        <w:rPr>
          <w:rFonts w:ascii="Times New Roman" w:hAnsi="Times New Roman"/>
          <w:sz w:val="24"/>
        </w:rPr>
        <w:t xml:space="preserve"> (1998) 195 CLR 424 at 446 [27], quoting </w:t>
      </w:r>
      <w:r w:rsidRPr="00933CB1">
        <w:rPr>
          <w:rFonts w:ascii="Times New Roman" w:hAnsi="Times New Roman"/>
          <w:i/>
          <w:iCs/>
          <w:sz w:val="24"/>
        </w:rPr>
        <w:t>New Brunswick Broadcasting Co v Nova Scotia</w:t>
      </w:r>
      <w:r w:rsidRPr="00933CB1">
        <w:rPr>
          <w:rFonts w:ascii="Times New Roman" w:hAnsi="Times New Roman"/>
          <w:sz w:val="24"/>
        </w:rPr>
        <w:t xml:space="preserve"> [1993] 1 SCR 319 at 384. </w:t>
      </w:r>
    </w:p>
  </w:footnote>
  <w:footnote w:id="110">
    <w:p w14:paraId="58C7B1E5"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Cormack v Cope</w:t>
      </w:r>
      <w:r w:rsidRPr="00933CB1">
        <w:rPr>
          <w:rFonts w:ascii="Times New Roman" w:hAnsi="Times New Roman"/>
          <w:sz w:val="24"/>
        </w:rPr>
        <w:t xml:space="preserve"> (1974) 131 CLR 432 at 453-454, 465, 467, 472. See also </w:t>
      </w:r>
      <w:r w:rsidRPr="00933CB1">
        <w:rPr>
          <w:rFonts w:ascii="Times New Roman" w:hAnsi="Times New Roman"/>
          <w:i/>
          <w:iCs/>
          <w:sz w:val="24"/>
        </w:rPr>
        <w:t>Osborne v The Commonwealth</w:t>
      </w:r>
      <w:r w:rsidRPr="00933CB1">
        <w:rPr>
          <w:rFonts w:ascii="Times New Roman" w:hAnsi="Times New Roman"/>
          <w:sz w:val="24"/>
        </w:rPr>
        <w:t xml:space="preserve"> (1911) 12 CLR 321 at 336-337, 351-354. </w:t>
      </w:r>
    </w:p>
  </w:footnote>
  <w:footnote w:id="111">
    <w:p w14:paraId="00007EDA"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See Reasons of Kiefel CJ, Gageler and Jagot JJ at [8] and [11].</w:t>
      </w:r>
    </w:p>
  </w:footnote>
  <w:footnote w:id="112">
    <w:p w14:paraId="2E0F30D0"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CC Act, s 9. </w:t>
      </w:r>
    </w:p>
  </w:footnote>
  <w:footnote w:id="113">
    <w:p w14:paraId="17D05736"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That function is "to examine the commission's annual report and its other reports and report to the Legislative Assembly on any matter appearing in or arising out of the reports". </w:t>
      </w:r>
    </w:p>
  </w:footnote>
  <w:footnote w:id="114">
    <w:p w14:paraId="2EAE63FF"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Rowley</w:t>
      </w:r>
      <w:r w:rsidRPr="00933CB1">
        <w:rPr>
          <w:rFonts w:ascii="Times New Roman" w:hAnsi="Times New Roman"/>
          <w:sz w:val="24"/>
        </w:rPr>
        <w:t xml:space="preserve"> [2000]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221; </w:t>
      </w:r>
      <w:proofErr w:type="spellStart"/>
      <w:r w:rsidRPr="00933CB1">
        <w:rPr>
          <w:rFonts w:ascii="Times New Roman" w:hAnsi="Times New Roman"/>
          <w:i/>
          <w:iCs/>
          <w:sz w:val="24"/>
        </w:rPr>
        <w:t>Szwarcbord</w:t>
      </w:r>
      <w:proofErr w:type="spellEnd"/>
      <w:r w:rsidRPr="00933CB1">
        <w:rPr>
          <w:rFonts w:ascii="Times New Roman" w:hAnsi="Times New Roman"/>
          <w:i/>
          <w:iCs/>
          <w:sz w:val="24"/>
        </w:rPr>
        <w:t xml:space="preserve"> </w:t>
      </w:r>
      <w:r w:rsidRPr="00933CB1">
        <w:rPr>
          <w:rFonts w:ascii="Times New Roman" w:hAnsi="Times New Roman"/>
          <w:sz w:val="24"/>
        </w:rPr>
        <w:t>(2002) 167 FLR 262 at 267</w:t>
      </w:r>
      <w:r w:rsidRPr="00933CB1">
        <w:rPr>
          <w:rFonts w:ascii="Times New Roman" w:hAnsi="Times New Roman"/>
          <w:sz w:val="24"/>
        </w:rPr>
        <w:noBreakHyphen/>
        <w:t>268 [22].</w:t>
      </w:r>
    </w:p>
  </w:footnote>
  <w:footnote w:id="115">
    <w:p w14:paraId="733EFC02"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Rowley</w:t>
      </w:r>
      <w:r w:rsidRPr="00933CB1">
        <w:rPr>
          <w:rFonts w:ascii="Times New Roman" w:hAnsi="Times New Roman"/>
          <w:sz w:val="24"/>
        </w:rPr>
        <w:t xml:space="preserve"> [2000]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221; </w:t>
      </w:r>
      <w:proofErr w:type="spellStart"/>
      <w:r w:rsidRPr="00933CB1">
        <w:rPr>
          <w:rFonts w:ascii="Times New Roman" w:hAnsi="Times New Roman"/>
          <w:i/>
          <w:iCs/>
          <w:sz w:val="24"/>
        </w:rPr>
        <w:t>Szwarcbord</w:t>
      </w:r>
      <w:proofErr w:type="spellEnd"/>
      <w:r w:rsidRPr="00933CB1">
        <w:rPr>
          <w:rFonts w:ascii="Times New Roman" w:hAnsi="Times New Roman"/>
          <w:sz w:val="24"/>
        </w:rPr>
        <w:t xml:space="preserve"> (2002) 167 FLR 262 at 267</w:t>
      </w:r>
      <w:r w:rsidRPr="00933CB1">
        <w:rPr>
          <w:rFonts w:ascii="Times New Roman" w:hAnsi="Times New Roman"/>
          <w:sz w:val="24"/>
        </w:rPr>
        <w:noBreakHyphen/>
        <w:t>268 [22].</w:t>
      </w:r>
    </w:p>
  </w:footnote>
  <w:footnote w:id="116">
    <w:p w14:paraId="5256D8C7"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r>
      <w:r w:rsidRPr="00933CB1">
        <w:rPr>
          <w:rFonts w:ascii="Times New Roman" w:hAnsi="Times New Roman"/>
          <w:i/>
          <w:iCs/>
          <w:sz w:val="24"/>
        </w:rPr>
        <w:t>Rowley</w:t>
      </w:r>
      <w:r w:rsidRPr="00933CB1">
        <w:rPr>
          <w:rFonts w:ascii="Times New Roman" w:hAnsi="Times New Roman"/>
          <w:sz w:val="24"/>
        </w:rPr>
        <w:t xml:space="preserve"> [2000] 1 </w:t>
      </w:r>
      <w:proofErr w:type="spellStart"/>
      <w:r w:rsidRPr="00933CB1">
        <w:rPr>
          <w:rFonts w:ascii="Times New Roman" w:hAnsi="Times New Roman"/>
          <w:sz w:val="24"/>
        </w:rPr>
        <w:t>Qd</w:t>
      </w:r>
      <w:proofErr w:type="spellEnd"/>
      <w:r w:rsidRPr="00933CB1">
        <w:rPr>
          <w:rFonts w:ascii="Times New Roman" w:hAnsi="Times New Roman"/>
          <w:sz w:val="24"/>
        </w:rPr>
        <w:t xml:space="preserve"> R 207 at 221; </w:t>
      </w:r>
      <w:proofErr w:type="spellStart"/>
      <w:r w:rsidRPr="00933CB1">
        <w:rPr>
          <w:rFonts w:ascii="Times New Roman" w:hAnsi="Times New Roman"/>
          <w:i/>
          <w:iCs/>
          <w:sz w:val="24"/>
        </w:rPr>
        <w:t>Szwarcbord</w:t>
      </w:r>
      <w:proofErr w:type="spellEnd"/>
      <w:r w:rsidRPr="00933CB1">
        <w:rPr>
          <w:rFonts w:ascii="Times New Roman" w:hAnsi="Times New Roman"/>
          <w:sz w:val="24"/>
        </w:rPr>
        <w:t xml:space="preserve"> (2002) 167 FLR 262 at 267</w:t>
      </w:r>
      <w:r w:rsidRPr="00933CB1">
        <w:rPr>
          <w:rFonts w:ascii="Times New Roman" w:hAnsi="Times New Roman"/>
          <w:sz w:val="24"/>
        </w:rPr>
        <w:noBreakHyphen/>
        <w:t>268 [22].</w:t>
      </w:r>
    </w:p>
  </w:footnote>
  <w:footnote w:id="117">
    <w:p w14:paraId="68C73477" w14:textId="77777777" w:rsidR="00816474" w:rsidRPr="00933CB1" w:rsidRDefault="00816474" w:rsidP="00933CB1">
      <w:pPr>
        <w:pStyle w:val="FootnoteText"/>
        <w:spacing w:line="280" w:lineRule="exact"/>
        <w:ind w:right="0"/>
        <w:jc w:val="both"/>
        <w:rPr>
          <w:rFonts w:ascii="Times New Roman" w:hAnsi="Times New Roman"/>
          <w:sz w:val="24"/>
        </w:rPr>
      </w:pPr>
      <w:r w:rsidRPr="00933CB1">
        <w:rPr>
          <w:rStyle w:val="FootnoteReference"/>
          <w:rFonts w:ascii="Times New Roman" w:hAnsi="Times New Roman"/>
          <w:sz w:val="22"/>
          <w:vertAlign w:val="baseline"/>
        </w:rPr>
        <w:footnoteRef/>
      </w:r>
      <w:r w:rsidRPr="00933CB1">
        <w:rPr>
          <w:rFonts w:ascii="Times New Roman" w:hAnsi="Times New Roman"/>
          <w:sz w:val="24"/>
        </w:rPr>
        <w:t xml:space="preserve"> </w:t>
      </w:r>
      <w:r w:rsidRPr="00933CB1">
        <w:rPr>
          <w:rFonts w:ascii="Times New Roman" w:hAnsi="Times New Roman"/>
          <w:sz w:val="24"/>
        </w:rPr>
        <w:tab/>
        <w:t xml:space="preserve">This is analogous to the outcome in </w:t>
      </w:r>
      <w:proofErr w:type="spellStart"/>
      <w:r w:rsidRPr="00933CB1">
        <w:rPr>
          <w:rFonts w:ascii="Times New Roman" w:hAnsi="Times New Roman"/>
          <w:i/>
          <w:iCs/>
          <w:sz w:val="24"/>
        </w:rPr>
        <w:t>Szwarcbord</w:t>
      </w:r>
      <w:proofErr w:type="spellEnd"/>
      <w:r w:rsidRPr="00933CB1">
        <w:rPr>
          <w:rFonts w:ascii="Times New Roman" w:hAnsi="Times New Roman"/>
          <w:sz w:val="24"/>
        </w:rPr>
        <w:t xml:space="preserve"> (2002) 167 FLR 262 at 268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9B90" w14:textId="77777777" w:rsidR="00153410" w:rsidRPr="00AA5366" w:rsidRDefault="00153410" w:rsidP="00AA5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138D" w14:textId="34AED13E" w:rsidR="00153410" w:rsidRPr="00AA5366" w:rsidRDefault="00AA5366" w:rsidP="00AA536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4785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4785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CBC9" w14:textId="7C81F23D" w:rsidR="00307209" w:rsidRPr="00AA5366" w:rsidRDefault="00307209" w:rsidP="00AA5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4F8" w14:textId="77777777" w:rsidR="00AA5366" w:rsidRPr="00153410" w:rsidRDefault="00AA5366" w:rsidP="00153410">
    <w:pPr>
      <w:pStyle w:val="Header"/>
      <w:tabs>
        <w:tab w:val="clear" w:pos="4153"/>
        <w:tab w:val="clear" w:pos="8306"/>
        <w:tab w:val="right" w:pos="1304"/>
      </w:tabs>
      <w:spacing w:line="280" w:lineRule="exact"/>
      <w:ind w:firstLine="0"/>
      <w:rPr>
        <w:rFonts w:ascii="Times New Roman" w:hAnsi="Times New Roman"/>
        <w:i/>
        <w:sz w:val="22"/>
      </w:rPr>
    </w:pPr>
    <w:r w:rsidRPr="00153410">
      <w:rPr>
        <w:rFonts w:ascii="Times New Roman" w:hAnsi="Times New Roman"/>
        <w:i/>
        <w:sz w:val="22"/>
      </w:rPr>
      <w:t>Kiefel</w:t>
    </w:r>
    <w:r w:rsidRPr="00153410">
      <w:rPr>
        <w:rFonts w:ascii="Times New Roman" w:hAnsi="Times New Roman"/>
        <w:i/>
        <w:sz w:val="22"/>
      </w:rPr>
      <w:tab/>
      <w:t>CJ</w:t>
    </w:r>
  </w:p>
  <w:p w14:paraId="0DF2289E" w14:textId="77777777" w:rsidR="00AA5366" w:rsidRPr="00153410" w:rsidRDefault="00AA5366" w:rsidP="00153410">
    <w:pPr>
      <w:pStyle w:val="Header"/>
      <w:tabs>
        <w:tab w:val="clear" w:pos="4153"/>
        <w:tab w:val="clear" w:pos="8306"/>
        <w:tab w:val="right" w:pos="1304"/>
      </w:tabs>
      <w:spacing w:line="280" w:lineRule="exact"/>
      <w:ind w:firstLine="0"/>
      <w:rPr>
        <w:rFonts w:ascii="Times New Roman" w:hAnsi="Times New Roman"/>
        <w:i/>
        <w:sz w:val="22"/>
      </w:rPr>
    </w:pPr>
    <w:r w:rsidRPr="00153410">
      <w:rPr>
        <w:rFonts w:ascii="Times New Roman" w:hAnsi="Times New Roman"/>
        <w:i/>
        <w:sz w:val="22"/>
      </w:rPr>
      <w:t>Gageler</w:t>
    </w:r>
    <w:r w:rsidRPr="00153410">
      <w:rPr>
        <w:rFonts w:ascii="Times New Roman" w:hAnsi="Times New Roman"/>
        <w:i/>
        <w:sz w:val="22"/>
      </w:rPr>
      <w:tab/>
      <w:t>J</w:t>
    </w:r>
  </w:p>
  <w:p w14:paraId="1E0CE38F" w14:textId="77777777" w:rsidR="00AA5366" w:rsidRDefault="00AA5366" w:rsidP="0015341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F82943A" w14:textId="77777777" w:rsidR="00AA5366" w:rsidRDefault="00AA5366" w:rsidP="00153410">
    <w:pPr>
      <w:pStyle w:val="Header"/>
      <w:tabs>
        <w:tab w:val="clear" w:pos="4153"/>
        <w:tab w:val="clear" w:pos="8306"/>
        <w:tab w:val="right" w:pos="1304"/>
      </w:tabs>
      <w:spacing w:line="280" w:lineRule="exact"/>
      <w:ind w:firstLine="0"/>
      <w:rPr>
        <w:rFonts w:ascii="Times New Roman" w:hAnsi="Times New Roman"/>
        <w:i/>
        <w:sz w:val="22"/>
      </w:rPr>
    </w:pPr>
  </w:p>
  <w:p w14:paraId="7F7D6682" w14:textId="77777777" w:rsidR="00AA5366" w:rsidRDefault="00AA5366" w:rsidP="0015341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8D289BB" w14:textId="77777777" w:rsidR="00AA5366" w:rsidRPr="00153410" w:rsidRDefault="00AA5366" w:rsidP="0015341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46B7" w14:textId="77777777" w:rsidR="00AA5366" w:rsidRPr="00153410" w:rsidRDefault="00AA5366" w:rsidP="00153410">
    <w:pPr>
      <w:pStyle w:val="Header"/>
      <w:tabs>
        <w:tab w:val="clear" w:pos="4153"/>
        <w:tab w:val="clear" w:pos="8306"/>
        <w:tab w:val="left" w:pos="7200"/>
        <w:tab w:val="right" w:pos="8504"/>
      </w:tabs>
      <w:spacing w:line="280" w:lineRule="exact"/>
      <w:jc w:val="right"/>
      <w:rPr>
        <w:rFonts w:ascii="Times New Roman" w:hAnsi="Times New Roman"/>
        <w:i/>
        <w:sz w:val="22"/>
      </w:rPr>
    </w:pPr>
    <w:r w:rsidRPr="00153410">
      <w:rPr>
        <w:rFonts w:ascii="Times New Roman" w:hAnsi="Times New Roman"/>
        <w:i/>
        <w:sz w:val="22"/>
      </w:rPr>
      <w:tab/>
      <w:t>Kiefel</w:t>
    </w:r>
    <w:r w:rsidRPr="00153410">
      <w:rPr>
        <w:rFonts w:ascii="Times New Roman" w:hAnsi="Times New Roman"/>
        <w:i/>
        <w:sz w:val="22"/>
      </w:rPr>
      <w:tab/>
      <w:t>CJ</w:t>
    </w:r>
  </w:p>
  <w:p w14:paraId="1E8AD717" w14:textId="77777777" w:rsidR="00AA5366" w:rsidRPr="00153410" w:rsidRDefault="00AA5366" w:rsidP="00153410">
    <w:pPr>
      <w:pStyle w:val="Header"/>
      <w:tabs>
        <w:tab w:val="clear" w:pos="4153"/>
        <w:tab w:val="clear" w:pos="8306"/>
        <w:tab w:val="left" w:pos="7200"/>
        <w:tab w:val="right" w:pos="8504"/>
      </w:tabs>
      <w:spacing w:line="280" w:lineRule="exact"/>
      <w:jc w:val="right"/>
      <w:rPr>
        <w:rFonts w:ascii="Times New Roman" w:hAnsi="Times New Roman"/>
        <w:i/>
        <w:sz w:val="22"/>
      </w:rPr>
    </w:pPr>
    <w:r w:rsidRPr="00153410">
      <w:rPr>
        <w:rFonts w:ascii="Times New Roman" w:hAnsi="Times New Roman"/>
        <w:i/>
        <w:sz w:val="22"/>
      </w:rPr>
      <w:tab/>
      <w:t>Gageler</w:t>
    </w:r>
    <w:r w:rsidRPr="00153410">
      <w:rPr>
        <w:rFonts w:ascii="Times New Roman" w:hAnsi="Times New Roman"/>
        <w:i/>
        <w:sz w:val="22"/>
      </w:rPr>
      <w:tab/>
      <w:t>J</w:t>
    </w:r>
  </w:p>
  <w:p w14:paraId="4F6A4374" w14:textId="77777777" w:rsidR="00AA5366" w:rsidRDefault="00AA5366" w:rsidP="0015341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AAA9886" w14:textId="77777777" w:rsidR="00AA5366" w:rsidRDefault="00AA5366" w:rsidP="00153410">
    <w:pPr>
      <w:pStyle w:val="Header"/>
      <w:tabs>
        <w:tab w:val="clear" w:pos="4153"/>
        <w:tab w:val="clear" w:pos="8306"/>
        <w:tab w:val="left" w:pos="7200"/>
        <w:tab w:val="right" w:pos="8504"/>
      </w:tabs>
      <w:spacing w:line="280" w:lineRule="exact"/>
      <w:jc w:val="right"/>
      <w:rPr>
        <w:rFonts w:ascii="Times New Roman" w:hAnsi="Times New Roman"/>
        <w:i/>
        <w:sz w:val="22"/>
      </w:rPr>
    </w:pPr>
  </w:p>
  <w:p w14:paraId="3DAA2F49" w14:textId="77777777" w:rsidR="00AA5366" w:rsidRDefault="00AA5366" w:rsidP="0015341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E4DEDB" w14:textId="77777777" w:rsidR="00AA5366" w:rsidRPr="00153410" w:rsidRDefault="00AA5366" w:rsidP="0015341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FA40" w14:textId="77777777" w:rsidR="00AA5366"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p w14:paraId="7FA92B09" w14:textId="77777777" w:rsidR="00AA5366"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p w14:paraId="17E4E48B" w14:textId="77777777" w:rsidR="00AA5366"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p w14:paraId="43206E1B" w14:textId="77777777" w:rsidR="00AA5366"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p w14:paraId="4E2CD1D5" w14:textId="77777777" w:rsidR="00AA5366"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p w14:paraId="287AB1EC" w14:textId="77777777" w:rsidR="00AA5366" w:rsidRPr="00153410" w:rsidRDefault="00AA5366" w:rsidP="0015341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A1D5" w14:textId="77777777" w:rsidR="00933CB1" w:rsidRPr="00933CB1" w:rsidRDefault="00D47854" w:rsidP="00933CB1">
    <w:pPr>
      <w:pStyle w:val="Header"/>
      <w:tabs>
        <w:tab w:val="clear" w:pos="4153"/>
        <w:tab w:val="clear" w:pos="8306"/>
        <w:tab w:val="right" w:pos="1304"/>
      </w:tabs>
      <w:spacing w:line="280" w:lineRule="exact"/>
      <w:ind w:firstLine="0"/>
      <w:rPr>
        <w:rFonts w:ascii="Times New Roman" w:hAnsi="Times New Roman"/>
        <w:i/>
        <w:sz w:val="22"/>
      </w:rPr>
    </w:pPr>
    <w:r w:rsidRPr="00933CB1">
      <w:rPr>
        <w:rFonts w:ascii="Times New Roman" w:hAnsi="Times New Roman"/>
        <w:i/>
        <w:sz w:val="22"/>
      </w:rPr>
      <w:t>Gordon</w:t>
    </w:r>
    <w:r w:rsidRPr="00933CB1">
      <w:rPr>
        <w:rFonts w:ascii="Times New Roman" w:hAnsi="Times New Roman"/>
        <w:i/>
        <w:sz w:val="22"/>
      </w:rPr>
      <w:tab/>
      <w:t>J</w:t>
    </w:r>
  </w:p>
  <w:p w14:paraId="273131BC" w14:textId="77777777" w:rsidR="00933CB1" w:rsidRDefault="00D47854" w:rsidP="00933CB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54DCC78" w14:textId="77777777" w:rsidR="00933CB1" w:rsidRDefault="00D47854" w:rsidP="00933CB1">
    <w:pPr>
      <w:pStyle w:val="Header"/>
      <w:tabs>
        <w:tab w:val="clear" w:pos="4153"/>
        <w:tab w:val="clear" w:pos="8306"/>
        <w:tab w:val="right" w:pos="1304"/>
      </w:tabs>
      <w:spacing w:line="280" w:lineRule="exact"/>
      <w:ind w:firstLine="0"/>
      <w:rPr>
        <w:rFonts w:ascii="Times New Roman" w:hAnsi="Times New Roman"/>
        <w:i/>
        <w:sz w:val="22"/>
      </w:rPr>
    </w:pPr>
  </w:p>
  <w:p w14:paraId="34A9E2E6" w14:textId="77777777" w:rsidR="00933CB1" w:rsidRDefault="00D47854" w:rsidP="00933CB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725A15" w14:textId="77777777" w:rsidR="00933CB1" w:rsidRPr="00933CB1" w:rsidRDefault="00D47854" w:rsidP="00933CB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E381" w14:textId="77777777" w:rsidR="00933CB1" w:rsidRPr="00933CB1" w:rsidRDefault="00D47854" w:rsidP="00933CB1">
    <w:pPr>
      <w:pStyle w:val="Header"/>
      <w:tabs>
        <w:tab w:val="clear" w:pos="4153"/>
        <w:tab w:val="clear" w:pos="8306"/>
        <w:tab w:val="left" w:pos="7200"/>
        <w:tab w:val="right" w:pos="8504"/>
      </w:tabs>
      <w:spacing w:line="280" w:lineRule="exact"/>
      <w:jc w:val="right"/>
      <w:rPr>
        <w:rFonts w:ascii="Times New Roman" w:hAnsi="Times New Roman"/>
        <w:i/>
        <w:sz w:val="22"/>
      </w:rPr>
    </w:pPr>
    <w:r w:rsidRPr="00933CB1">
      <w:rPr>
        <w:rFonts w:ascii="Times New Roman" w:hAnsi="Times New Roman"/>
        <w:i/>
        <w:sz w:val="22"/>
      </w:rPr>
      <w:tab/>
      <w:t>Gordon</w:t>
    </w:r>
    <w:r w:rsidRPr="00933CB1">
      <w:rPr>
        <w:rFonts w:ascii="Times New Roman" w:hAnsi="Times New Roman"/>
        <w:i/>
        <w:sz w:val="22"/>
      </w:rPr>
      <w:tab/>
      <w:t>J</w:t>
    </w:r>
  </w:p>
  <w:p w14:paraId="46B5BD9B" w14:textId="77777777" w:rsidR="00933CB1" w:rsidRDefault="00D47854" w:rsidP="00933CB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537B2CF" w14:textId="77777777" w:rsidR="00933CB1" w:rsidRDefault="00D47854" w:rsidP="00933CB1">
    <w:pPr>
      <w:pStyle w:val="Header"/>
      <w:tabs>
        <w:tab w:val="clear" w:pos="4153"/>
        <w:tab w:val="clear" w:pos="8306"/>
        <w:tab w:val="left" w:pos="7200"/>
        <w:tab w:val="right" w:pos="8504"/>
      </w:tabs>
      <w:spacing w:line="280" w:lineRule="exact"/>
      <w:jc w:val="right"/>
      <w:rPr>
        <w:rFonts w:ascii="Times New Roman" w:hAnsi="Times New Roman"/>
        <w:i/>
        <w:sz w:val="22"/>
      </w:rPr>
    </w:pPr>
  </w:p>
  <w:p w14:paraId="04D37E54" w14:textId="77777777" w:rsidR="00933CB1" w:rsidRDefault="00D47854" w:rsidP="00933CB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0A208CC" w14:textId="77777777" w:rsidR="00933CB1" w:rsidRPr="00933CB1" w:rsidRDefault="00D47854" w:rsidP="00933CB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EBCD" w14:textId="77777777" w:rsidR="00933CB1" w:rsidRDefault="00D47854" w:rsidP="00933CB1">
    <w:pPr>
      <w:pStyle w:val="Header"/>
      <w:tabs>
        <w:tab w:val="clear" w:pos="4153"/>
        <w:tab w:val="clear" w:pos="8306"/>
        <w:tab w:val="center" w:pos="1134"/>
      </w:tabs>
      <w:spacing w:line="280" w:lineRule="exact"/>
      <w:ind w:firstLine="0"/>
      <w:rPr>
        <w:rFonts w:ascii="Times New Roman" w:hAnsi="Times New Roman"/>
        <w:i/>
        <w:sz w:val="22"/>
      </w:rPr>
    </w:pPr>
  </w:p>
  <w:p w14:paraId="0F91E819" w14:textId="77777777" w:rsidR="00933CB1" w:rsidRDefault="00D47854" w:rsidP="00933CB1">
    <w:pPr>
      <w:pStyle w:val="Header"/>
      <w:tabs>
        <w:tab w:val="clear" w:pos="4153"/>
        <w:tab w:val="clear" w:pos="8306"/>
        <w:tab w:val="center" w:pos="1134"/>
      </w:tabs>
      <w:spacing w:line="280" w:lineRule="exact"/>
      <w:ind w:firstLine="0"/>
      <w:rPr>
        <w:rFonts w:ascii="Times New Roman" w:hAnsi="Times New Roman"/>
        <w:i/>
        <w:sz w:val="22"/>
      </w:rPr>
    </w:pPr>
  </w:p>
  <w:p w14:paraId="6B81CBA4" w14:textId="77777777" w:rsidR="00933CB1" w:rsidRDefault="00D47854" w:rsidP="00933CB1">
    <w:pPr>
      <w:pStyle w:val="Header"/>
      <w:tabs>
        <w:tab w:val="clear" w:pos="4153"/>
        <w:tab w:val="clear" w:pos="8306"/>
        <w:tab w:val="center" w:pos="1134"/>
      </w:tabs>
      <w:spacing w:line="280" w:lineRule="exact"/>
      <w:ind w:firstLine="0"/>
      <w:rPr>
        <w:rFonts w:ascii="Times New Roman" w:hAnsi="Times New Roman"/>
        <w:i/>
        <w:sz w:val="22"/>
      </w:rPr>
    </w:pPr>
  </w:p>
  <w:p w14:paraId="6D6E3422" w14:textId="77777777" w:rsidR="00933CB1" w:rsidRDefault="00D47854" w:rsidP="00933CB1">
    <w:pPr>
      <w:pStyle w:val="Header"/>
      <w:tabs>
        <w:tab w:val="clear" w:pos="4153"/>
        <w:tab w:val="clear" w:pos="8306"/>
        <w:tab w:val="center" w:pos="1134"/>
      </w:tabs>
      <w:spacing w:line="280" w:lineRule="exact"/>
      <w:ind w:firstLine="0"/>
      <w:rPr>
        <w:rFonts w:ascii="Times New Roman" w:hAnsi="Times New Roman"/>
        <w:i/>
        <w:sz w:val="22"/>
      </w:rPr>
    </w:pPr>
  </w:p>
  <w:p w14:paraId="37D2E960" w14:textId="77777777" w:rsidR="00C8411A" w:rsidRPr="00933CB1" w:rsidRDefault="00D47854" w:rsidP="00933CB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7775522">
    <w:abstractNumId w:val="10"/>
  </w:num>
  <w:num w:numId="2" w16cid:durableId="473571781">
    <w:abstractNumId w:val="14"/>
  </w:num>
  <w:num w:numId="3" w16cid:durableId="1274944961">
    <w:abstractNumId w:val="17"/>
  </w:num>
  <w:num w:numId="4" w16cid:durableId="2069186276">
    <w:abstractNumId w:val="13"/>
  </w:num>
  <w:num w:numId="5" w16cid:durableId="625815437">
    <w:abstractNumId w:val="16"/>
  </w:num>
  <w:num w:numId="6" w16cid:durableId="442268021">
    <w:abstractNumId w:val="6"/>
  </w:num>
  <w:num w:numId="7" w16cid:durableId="1232427261">
    <w:abstractNumId w:val="9"/>
  </w:num>
  <w:num w:numId="8" w16cid:durableId="1747610066">
    <w:abstractNumId w:val="7"/>
  </w:num>
  <w:num w:numId="9" w16cid:durableId="1195774793">
    <w:abstractNumId w:val="5"/>
  </w:num>
  <w:num w:numId="10" w16cid:durableId="2119448185">
    <w:abstractNumId w:val="4"/>
  </w:num>
  <w:num w:numId="11" w16cid:durableId="780995868">
    <w:abstractNumId w:val="8"/>
  </w:num>
  <w:num w:numId="12" w16cid:durableId="537593086">
    <w:abstractNumId w:val="3"/>
  </w:num>
  <w:num w:numId="13" w16cid:durableId="1124807006">
    <w:abstractNumId w:val="2"/>
  </w:num>
  <w:num w:numId="14" w16cid:durableId="1283264421">
    <w:abstractNumId w:val="1"/>
  </w:num>
  <w:num w:numId="15" w16cid:durableId="2133163717">
    <w:abstractNumId w:val="0"/>
  </w:num>
  <w:num w:numId="16" w16cid:durableId="745691343">
    <w:abstractNumId w:val="12"/>
  </w:num>
  <w:num w:numId="17" w16cid:durableId="1020081227">
    <w:abstractNumId w:val="15"/>
  </w:num>
  <w:num w:numId="18" w16cid:durableId="684940058">
    <w:abstractNumId w:val="11"/>
  </w:num>
  <w:num w:numId="19" w16cid:durableId="1471704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09"/>
    <w:rsid w:val="00002069"/>
    <w:rsid w:val="00002CE6"/>
    <w:rsid w:val="0000316A"/>
    <w:rsid w:val="000049B7"/>
    <w:rsid w:val="00014B34"/>
    <w:rsid w:val="000168C9"/>
    <w:rsid w:val="00016C20"/>
    <w:rsid w:val="00016DBB"/>
    <w:rsid w:val="00017144"/>
    <w:rsid w:val="00021796"/>
    <w:rsid w:val="000250AF"/>
    <w:rsid w:val="000251B5"/>
    <w:rsid w:val="00025490"/>
    <w:rsid w:val="0002561E"/>
    <w:rsid w:val="000268E1"/>
    <w:rsid w:val="0003575A"/>
    <w:rsid w:val="000360EB"/>
    <w:rsid w:val="00037A5F"/>
    <w:rsid w:val="00037D87"/>
    <w:rsid w:val="00043D2C"/>
    <w:rsid w:val="00046812"/>
    <w:rsid w:val="00051E26"/>
    <w:rsid w:val="00055ACD"/>
    <w:rsid w:val="0005612A"/>
    <w:rsid w:val="00056F27"/>
    <w:rsid w:val="000573AF"/>
    <w:rsid w:val="00060B1B"/>
    <w:rsid w:val="0006169E"/>
    <w:rsid w:val="000626FD"/>
    <w:rsid w:val="000635F2"/>
    <w:rsid w:val="0006432B"/>
    <w:rsid w:val="000653D4"/>
    <w:rsid w:val="00071C35"/>
    <w:rsid w:val="00072F0F"/>
    <w:rsid w:val="00075F50"/>
    <w:rsid w:val="00080D77"/>
    <w:rsid w:val="0008435D"/>
    <w:rsid w:val="000848D2"/>
    <w:rsid w:val="0008558C"/>
    <w:rsid w:val="00085F13"/>
    <w:rsid w:val="000A28D4"/>
    <w:rsid w:val="000A2EB4"/>
    <w:rsid w:val="000A3DA3"/>
    <w:rsid w:val="000A63C6"/>
    <w:rsid w:val="000B2B3F"/>
    <w:rsid w:val="000B44DA"/>
    <w:rsid w:val="000B4630"/>
    <w:rsid w:val="000B497F"/>
    <w:rsid w:val="000B710D"/>
    <w:rsid w:val="000B7558"/>
    <w:rsid w:val="000C04DC"/>
    <w:rsid w:val="000C0D98"/>
    <w:rsid w:val="000D25E6"/>
    <w:rsid w:val="000E17C4"/>
    <w:rsid w:val="000E44D5"/>
    <w:rsid w:val="000E5129"/>
    <w:rsid w:val="000E65F7"/>
    <w:rsid w:val="000E779D"/>
    <w:rsid w:val="000F1345"/>
    <w:rsid w:val="000F6D40"/>
    <w:rsid w:val="000F6F73"/>
    <w:rsid w:val="001001B9"/>
    <w:rsid w:val="00102254"/>
    <w:rsid w:val="0010702C"/>
    <w:rsid w:val="00110970"/>
    <w:rsid w:val="00111568"/>
    <w:rsid w:val="001120C0"/>
    <w:rsid w:val="001150BF"/>
    <w:rsid w:val="00115EB0"/>
    <w:rsid w:val="001168F2"/>
    <w:rsid w:val="00120207"/>
    <w:rsid w:val="001223BE"/>
    <w:rsid w:val="00123C1B"/>
    <w:rsid w:val="00124190"/>
    <w:rsid w:val="00125E3C"/>
    <w:rsid w:val="00133E7E"/>
    <w:rsid w:val="0013456F"/>
    <w:rsid w:val="0013622A"/>
    <w:rsid w:val="00141C08"/>
    <w:rsid w:val="00142072"/>
    <w:rsid w:val="001436A7"/>
    <w:rsid w:val="00143FCB"/>
    <w:rsid w:val="00145627"/>
    <w:rsid w:val="00146A41"/>
    <w:rsid w:val="00151679"/>
    <w:rsid w:val="001517FC"/>
    <w:rsid w:val="0015318E"/>
    <w:rsid w:val="00153410"/>
    <w:rsid w:val="00163D92"/>
    <w:rsid w:val="00164144"/>
    <w:rsid w:val="00172ADE"/>
    <w:rsid w:val="00175703"/>
    <w:rsid w:val="001758DE"/>
    <w:rsid w:val="00176D25"/>
    <w:rsid w:val="0018342E"/>
    <w:rsid w:val="001840C2"/>
    <w:rsid w:val="00184B46"/>
    <w:rsid w:val="00185939"/>
    <w:rsid w:val="00185F4A"/>
    <w:rsid w:val="001876F6"/>
    <w:rsid w:val="00191E23"/>
    <w:rsid w:val="001953B1"/>
    <w:rsid w:val="00195626"/>
    <w:rsid w:val="001963C0"/>
    <w:rsid w:val="00197956"/>
    <w:rsid w:val="001A08BD"/>
    <w:rsid w:val="001A446E"/>
    <w:rsid w:val="001B17A8"/>
    <w:rsid w:val="001B5457"/>
    <w:rsid w:val="001B63C6"/>
    <w:rsid w:val="001C402E"/>
    <w:rsid w:val="001C48D4"/>
    <w:rsid w:val="001C7C93"/>
    <w:rsid w:val="001D2755"/>
    <w:rsid w:val="001D36CD"/>
    <w:rsid w:val="001D4F49"/>
    <w:rsid w:val="001D7982"/>
    <w:rsid w:val="001E1D3D"/>
    <w:rsid w:val="001E47D1"/>
    <w:rsid w:val="001E5474"/>
    <w:rsid w:val="001E6A64"/>
    <w:rsid w:val="001E75C5"/>
    <w:rsid w:val="001F3F2A"/>
    <w:rsid w:val="001F69C2"/>
    <w:rsid w:val="00200105"/>
    <w:rsid w:val="002048D1"/>
    <w:rsid w:val="00204B34"/>
    <w:rsid w:val="00206BEF"/>
    <w:rsid w:val="002079CB"/>
    <w:rsid w:val="0021096E"/>
    <w:rsid w:val="00210DE8"/>
    <w:rsid w:val="00210FE1"/>
    <w:rsid w:val="00211D73"/>
    <w:rsid w:val="00212A3E"/>
    <w:rsid w:val="00214BF2"/>
    <w:rsid w:val="00215A7F"/>
    <w:rsid w:val="00216522"/>
    <w:rsid w:val="00221D19"/>
    <w:rsid w:val="0022666B"/>
    <w:rsid w:val="0022734D"/>
    <w:rsid w:val="0023447F"/>
    <w:rsid w:val="002350B3"/>
    <w:rsid w:val="00236572"/>
    <w:rsid w:val="0023798E"/>
    <w:rsid w:val="00242EE4"/>
    <w:rsid w:val="0024462E"/>
    <w:rsid w:val="00246164"/>
    <w:rsid w:val="00246AB1"/>
    <w:rsid w:val="002474FA"/>
    <w:rsid w:val="00253493"/>
    <w:rsid w:val="00257AFB"/>
    <w:rsid w:val="00262782"/>
    <w:rsid w:val="0026293D"/>
    <w:rsid w:val="00265982"/>
    <w:rsid w:val="00270154"/>
    <w:rsid w:val="00271F70"/>
    <w:rsid w:val="0027408B"/>
    <w:rsid w:val="00274155"/>
    <w:rsid w:val="002748E7"/>
    <w:rsid w:val="00276B56"/>
    <w:rsid w:val="00280F46"/>
    <w:rsid w:val="002819FD"/>
    <w:rsid w:val="0028583A"/>
    <w:rsid w:val="00287368"/>
    <w:rsid w:val="002877F2"/>
    <w:rsid w:val="00287873"/>
    <w:rsid w:val="002916CC"/>
    <w:rsid w:val="0029278C"/>
    <w:rsid w:val="00292B39"/>
    <w:rsid w:val="00292E65"/>
    <w:rsid w:val="002936EA"/>
    <w:rsid w:val="0029697C"/>
    <w:rsid w:val="002979F1"/>
    <w:rsid w:val="002A13E1"/>
    <w:rsid w:val="002A3248"/>
    <w:rsid w:val="002B0846"/>
    <w:rsid w:val="002B1304"/>
    <w:rsid w:val="002C1C46"/>
    <w:rsid w:val="002C2C11"/>
    <w:rsid w:val="002C5981"/>
    <w:rsid w:val="002D0410"/>
    <w:rsid w:val="002D0899"/>
    <w:rsid w:val="002D1707"/>
    <w:rsid w:val="002D17E2"/>
    <w:rsid w:val="002D3F5B"/>
    <w:rsid w:val="002E0EC8"/>
    <w:rsid w:val="002E278F"/>
    <w:rsid w:val="002E3B4D"/>
    <w:rsid w:val="002F0256"/>
    <w:rsid w:val="002F0522"/>
    <w:rsid w:val="002F0734"/>
    <w:rsid w:val="00301975"/>
    <w:rsid w:val="0030542C"/>
    <w:rsid w:val="00305648"/>
    <w:rsid w:val="00307209"/>
    <w:rsid w:val="00310418"/>
    <w:rsid w:val="00312FFC"/>
    <w:rsid w:val="003150BF"/>
    <w:rsid w:val="003150CE"/>
    <w:rsid w:val="00315E92"/>
    <w:rsid w:val="00317CEF"/>
    <w:rsid w:val="00323B9E"/>
    <w:rsid w:val="00330804"/>
    <w:rsid w:val="00331645"/>
    <w:rsid w:val="00334087"/>
    <w:rsid w:val="00334A6B"/>
    <w:rsid w:val="003361E3"/>
    <w:rsid w:val="003366B2"/>
    <w:rsid w:val="00340066"/>
    <w:rsid w:val="0034288B"/>
    <w:rsid w:val="0034332B"/>
    <w:rsid w:val="0034577A"/>
    <w:rsid w:val="0034681C"/>
    <w:rsid w:val="003600A8"/>
    <w:rsid w:val="00366524"/>
    <w:rsid w:val="00371C24"/>
    <w:rsid w:val="00373E58"/>
    <w:rsid w:val="00376073"/>
    <w:rsid w:val="00377452"/>
    <w:rsid w:val="00381223"/>
    <w:rsid w:val="00381849"/>
    <w:rsid w:val="003823A0"/>
    <w:rsid w:val="00384F36"/>
    <w:rsid w:val="00385271"/>
    <w:rsid w:val="00391540"/>
    <w:rsid w:val="0039226E"/>
    <w:rsid w:val="00392CC8"/>
    <w:rsid w:val="003A044C"/>
    <w:rsid w:val="003A2017"/>
    <w:rsid w:val="003A435F"/>
    <w:rsid w:val="003A48CC"/>
    <w:rsid w:val="003A72EF"/>
    <w:rsid w:val="003B423F"/>
    <w:rsid w:val="003B4EED"/>
    <w:rsid w:val="003B5D0D"/>
    <w:rsid w:val="003B6B2C"/>
    <w:rsid w:val="003B7B8D"/>
    <w:rsid w:val="003C266A"/>
    <w:rsid w:val="003C602A"/>
    <w:rsid w:val="003D1759"/>
    <w:rsid w:val="003D1896"/>
    <w:rsid w:val="003D3B14"/>
    <w:rsid w:val="003D62F7"/>
    <w:rsid w:val="003E1035"/>
    <w:rsid w:val="003E17F2"/>
    <w:rsid w:val="003E19F7"/>
    <w:rsid w:val="003E1EB2"/>
    <w:rsid w:val="003E492C"/>
    <w:rsid w:val="003E6468"/>
    <w:rsid w:val="003E710D"/>
    <w:rsid w:val="003E7A9C"/>
    <w:rsid w:val="003E7B2B"/>
    <w:rsid w:val="003F328F"/>
    <w:rsid w:val="003F531A"/>
    <w:rsid w:val="003F562C"/>
    <w:rsid w:val="003F7C9E"/>
    <w:rsid w:val="004025E8"/>
    <w:rsid w:val="00402768"/>
    <w:rsid w:val="00404C36"/>
    <w:rsid w:val="00406F38"/>
    <w:rsid w:val="0040719C"/>
    <w:rsid w:val="004107CA"/>
    <w:rsid w:val="004111BC"/>
    <w:rsid w:val="004114CB"/>
    <w:rsid w:val="004125F4"/>
    <w:rsid w:val="004126D4"/>
    <w:rsid w:val="00414703"/>
    <w:rsid w:val="00415D2B"/>
    <w:rsid w:val="00416C0A"/>
    <w:rsid w:val="00421941"/>
    <w:rsid w:val="00424DE2"/>
    <w:rsid w:val="00432528"/>
    <w:rsid w:val="00432836"/>
    <w:rsid w:val="00434500"/>
    <w:rsid w:val="004372BD"/>
    <w:rsid w:val="004373D1"/>
    <w:rsid w:val="0043778D"/>
    <w:rsid w:val="004454C2"/>
    <w:rsid w:val="00447347"/>
    <w:rsid w:val="00447F33"/>
    <w:rsid w:val="00450A27"/>
    <w:rsid w:val="00451EC2"/>
    <w:rsid w:val="00463357"/>
    <w:rsid w:val="00463A04"/>
    <w:rsid w:val="00463A3C"/>
    <w:rsid w:val="00464DC6"/>
    <w:rsid w:val="00465255"/>
    <w:rsid w:val="00470BD1"/>
    <w:rsid w:val="00473718"/>
    <w:rsid w:val="00473869"/>
    <w:rsid w:val="0047410E"/>
    <w:rsid w:val="00474397"/>
    <w:rsid w:val="0048054A"/>
    <w:rsid w:val="004818E8"/>
    <w:rsid w:val="00482056"/>
    <w:rsid w:val="00482F67"/>
    <w:rsid w:val="00483006"/>
    <w:rsid w:val="00484915"/>
    <w:rsid w:val="00485961"/>
    <w:rsid w:val="00487387"/>
    <w:rsid w:val="004919FD"/>
    <w:rsid w:val="004A132C"/>
    <w:rsid w:val="004A5B50"/>
    <w:rsid w:val="004B26D9"/>
    <w:rsid w:val="004B2A54"/>
    <w:rsid w:val="004B2C5E"/>
    <w:rsid w:val="004B3853"/>
    <w:rsid w:val="004B774B"/>
    <w:rsid w:val="004C4629"/>
    <w:rsid w:val="004C4B71"/>
    <w:rsid w:val="004D087E"/>
    <w:rsid w:val="004D1980"/>
    <w:rsid w:val="004D19DB"/>
    <w:rsid w:val="004D1E88"/>
    <w:rsid w:val="004D3CD7"/>
    <w:rsid w:val="004D58DE"/>
    <w:rsid w:val="004D5B5D"/>
    <w:rsid w:val="004D63E2"/>
    <w:rsid w:val="004E0F4C"/>
    <w:rsid w:val="004E3F30"/>
    <w:rsid w:val="004E46F8"/>
    <w:rsid w:val="004E50C8"/>
    <w:rsid w:val="004E653E"/>
    <w:rsid w:val="004E65F5"/>
    <w:rsid w:val="004E7E88"/>
    <w:rsid w:val="004F00E0"/>
    <w:rsid w:val="004F2D77"/>
    <w:rsid w:val="004F3E28"/>
    <w:rsid w:val="004F621F"/>
    <w:rsid w:val="00502EAE"/>
    <w:rsid w:val="00503A1B"/>
    <w:rsid w:val="005045BC"/>
    <w:rsid w:val="005048EB"/>
    <w:rsid w:val="0050500F"/>
    <w:rsid w:val="00505188"/>
    <w:rsid w:val="00505279"/>
    <w:rsid w:val="005063E1"/>
    <w:rsid w:val="00506B14"/>
    <w:rsid w:val="00507CC5"/>
    <w:rsid w:val="0051010C"/>
    <w:rsid w:val="00516BBB"/>
    <w:rsid w:val="00523E83"/>
    <w:rsid w:val="005248BB"/>
    <w:rsid w:val="00530496"/>
    <w:rsid w:val="005308A5"/>
    <w:rsid w:val="00530C67"/>
    <w:rsid w:val="005314E9"/>
    <w:rsid w:val="00531723"/>
    <w:rsid w:val="0053275E"/>
    <w:rsid w:val="0053324F"/>
    <w:rsid w:val="00541AE7"/>
    <w:rsid w:val="00541EF9"/>
    <w:rsid w:val="005431CF"/>
    <w:rsid w:val="00543D0A"/>
    <w:rsid w:val="005454F3"/>
    <w:rsid w:val="005455E5"/>
    <w:rsid w:val="0054681B"/>
    <w:rsid w:val="0054779A"/>
    <w:rsid w:val="00547BA1"/>
    <w:rsid w:val="00556101"/>
    <w:rsid w:val="00557760"/>
    <w:rsid w:val="0055782B"/>
    <w:rsid w:val="00557CB1"/>
    <w:rsid w:val="0056091E"/>
    <w:rsid w:val="00561371"/>
    <w:rsid w:val="0056172D"/>
    <w:rsid w:val="005635F3"/>
    <w:rsid w:val="0056411C"/>
    <w:rsid w:val="00565B4C"/>
    <w:rsid w:val="005663FF"/>
    <w:rsid w:val="005677E5"/>
    <w:rsid w:val="00570D24"/>
    <w:rsid w:val="00574C1A"/>
    <w:rsid w:val="0057633A"/>
    <w:rsid w:val="00580EEB"/>
    <w:rsid w:val="00580FCF"/>
    <w:rsid w:val="00583673"/>
    <w:rsid w:val="00583D08"/>
    <w:rsid w:val="00587A2F"/>
    <w:rsid w:val="00587BE7"/>
    <w:rsid w:val="00587CBC"/>
    <w:rsid w:val="005951AC"/>
    <w:rsid w:val="00595DF1"/>
    <w:rsid w:val="00596524"/>
    <w:rsid w:val="00597D35"/>
    <w:rsid w:val="005A4A36"/>
    <w:rsid w:val="005A500A"/>
    <w:rsid w:val="005A6D6D"/>
    <w:rsid w:val="005A7264"/>
    <w:rsid w:val="005B1601"/>
    <w:rsid w:val="005B4CFC"/>
    <w:rsid w:val="005B58B0"/>
    <w:rsid w:val="005B6C73"/>
    <w:rsid w:val="005B7A84"/>
    <w:rsid w:val="005C0298"/>
    <w:rsid w:val="005C0769"/>
    <w:rsid w:val="005C360A"/>
    <w:rsid w:val="005D221C"/>
    <w:rsid w:val="005D2A43"/>
    <w:rsid w:val="005D6EA0"/>
    <w:rsid w:val="005E245B"/>
    <w:rsid w:val="005E68B8"/>
    <w:rsid w:val="005E7B36"/>
    <w:rsid w:val="005F02E6"/>
    <w:rsid w:val="005F10F1"/>
    <w:rsid w:val="005F1911"/>
    <w:rsid w:val="005F2CBA"/>
    <w:rsid w:val="005F3216"/>
    <w:rsid w:val="005F4DFE"/>
    <w:rsid w:val="005F4EF9"/>
    <w:rsid w:val="005F59CE"/>
    <w:rsid w:val="006015AE"/>
    <w:rsid w:val="006017B1"/>
    <w:rsid w:val="0060685F"/>
    <w:rsid w:val="00607066"/>
    <w:rsid w:val="00607197"/>
    <w:rsid w:val="00607A16"/>
    <w:rsid w:val="006109F8"/>
    <w:rsid w:val="006147EA"/>
    <w:rsid w:val="00616B29"/>
    <w:rsid w:val="00616DDE"/>
    <w:rsid w:val="00623075"/>
    <w:rsid w:val="00623910"/>
    <w:rsid w:val="00624A27"/>
    <w:rsid w:val="00624D74"/>
    <w:rsid w:val="0062716D"/>
    <w:rsid w:val="00627AF2"/>
    <w:rsid w:val="00632F94"/>
    <w:rsid w:val="0063632F"/>
    <w:rsid w:val="0063743B"/>
    <w:rsid w:val="00644240"/>
    <w:rsid w:val="00650C56"/>
    <w:rsid w:val="006520F8"/>
    <w:rsid w:val="00652858"/>
    <w:rsid w:val="006558DC"/>
    <w:rsid w:val="00656B27"/>
    <w:rsid w:val="00657F8B"/>
    <w:rsid w:val="00660401"/>
    <w:rsid w:val="006618FC"/>
    <w:rsid w:val="00663D00"/>
    <w:rsid w:val="00663E86"/>
    <w:rsid w:val="00665356"/>
    <w:rsid w:val="00671B7E"/>
    <w:rsid w:val="006767BC"/>
    <w:rsid w:val="00681D75"/>
    <w:rsid w:val="0068242E"/>
    <w:rsid w:val="006824C0"/>
    <w:rsid w:val="00684BAF"/>
    <w:rsid w:val="006932D7"/>
    <w:rsid w:val="00696EBB"/>
    <w:rsid w:val="006A1F10"/>
    <w:rsid w:val="006A4D4E"/>
    <w:rsid w:val="006B5A93"/>
    <w:rsid w:val="006B6202"/>
    <w:rsid w:val="006B630A"/>
    <w:rsid w:val="006C0B23"/>
    <w:rsid w:val="006C1577"/>
    <w:rsid w:val="006C161D"/>
    <w:rsid w:val="006C5ACD"/>
    <w:rsid w:val="006C6300"/>
    <w:rsid w:val="006C69BD"/>
    <w:rsid w:val="006D1544"/>
    <w:rsid w:val="006D36B7"/>
    <w:rsid w:val="006D3A49"/>
    <w:rsid w:val="006D686D"/>
    <w:rsid w:val="006D7CD9"/>
    <w:rsid w:val="006E16F1"/>
    <w:rsid w:val="006E359B"/>
    <w:rsid w:val="006E5400"/>
    <w:rsid w:val="006E5698"/>
    <w:rsid w:val="006E6973"/>
    <w:rsid w:val="006E6BD4"/>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434"/>
    <w:rsid w:val="00731D48"/>
    <w:rsid w:val="00734484"/>
    <w:rsid w:val="007371F1"/>
    <w:rsid w:val="00742076"/>
    <w:rsid w:val="00742373"/>
    <w:rsid w:val="00743113"/>
    <w:rsid w:val="00745136"/>
    <w:rsid w:val="00745A15"/>
    <w:rsid w:val="00745DD2"/>
    <w:rsid w:val="00751354"/>
    <w:rsid w:val="007525F3"/>
    <w:rsid w:val="00756909"/>
    <w:rsid w:val="00760D10"/>
    <w:rsid w:val="00762108"/>
    <w:rsid w:val="00763ACF"/>
    <w:rsid w:val="00770E38"/>
    <w:rsid w:val="007751DE"/>
    <w:rsid w:val="0078133D"/>
    <w:rsid w:val="00781E34"/>
    <w:rsid w:val="00785785"/>
    <w:rsid w:val="00791DED"/>
    <w:rsid w:val="00792AA8"/>
    <w:rsid w:val="00793AAE"/>
    <w:rsid w:val="00794625"/>
    <w:rsid w:val="00794711"/>
    <w:rsid w:val="00794972"/>
    <w:rsid w:val="00794B55"/>
    <w:rsid w:val="00796EE7"/>
    <w:rsid w:val="00797022"/>
    <w:rsid w:val="007A3ABE"/>
    <w:rsid w:val="007A4CB0"/>
    <w:rsid w:val="007A5B52"/>
    <w:rsid w:val="007A62C3"/>
    <w:rsid w:val="007B033F"/>
    <w:rsid w:val="007B4102"/>
    <w:rsid w:val="007B651A"/>
    <w:rsid w:val="007B6648"/>
    <w:rsid w:val="007B6669"/>
    <w:rsid w:val="007C311B"/>
    <w:rsid w:val="007C506B"/>
    <w:rsid w:val="007D0986"/>
    <w:rsid w:val="007D59A7"/>
    <w:rsid w:val="007D698B"/>
    <w:rsid w:val="007D7BB6"/>
    <w:rsid w:val="007E3043"/>
    <w:rsid w:val="007E5D35"/>
    <w:rsid w:val="007F39BA"/>
    <w:rsid w:val="007F52A6"/>
    <w:rsid w:val="007F5789"/>
    <w:rsid w:val="007F68DA"/>
    <w:rsid w:val="008004E7"/>
    <w:rsid w:val="0080276C"/>
    <w:rsid w:val="008060C8"/>
    <w:rsid w:val="00810F5C"/>
    <w:rsid w:val="00812723"/>
    <w:rsid w:val="00814A6A"/>
    <w:rsid w:val="00814ED4"/>
    <w:rsid w:val="008152E3"/>
    <w:rsid w:val="0081557C"/>
    <w:rsid w:val="008159B1"/>
    <w:rsid w:val="00815E93"/>
    <w:rsid w:val="00816474"/>
    <w:rsid w:val="00820282"/>
    <w:rsid w:val="0082117F"/>
    <w:rsid w:val="0082619C"/>
    <w:rsid w:val="00831A0D"/>
    <w:rsid w:val="00836AD2"/>
    <w:rsid w:val="008375CC"/>
    <w:rsid w:val="008415CC"/>
    <w:rsid w:val="00842862"/>
    <w:rsid w:val="00843E82"/>
    <w:rsid w:val="00845199"/>
    <w:rsid w:val="00846327"/>
    <w:rsid w:val="00847DFE"/>
    <w:rsid w:val="00851111"/>
    <w:rsid w:val="008525CF"/>
    <w:rsid w:val="008542CC"/>
    <w:rsid w:val="00855759"/>
    <w:rsid w:val="00860973"/>
    <w:rsid w:val="00860B77"/>
    <w:rsid w:val="0086183E"/>
    <w:rsid w:val="00862A6D"/>
    <w:rsid w:val="008645BC"/>
    <w:rsid w:val="008648B5"/>
    <w:rsid w:val="0086641A"/>
    <w:rsid w:val="0086643C"/>
    <w:rsid w:val="00867F68"/>
    <w:rsid w:val="008737D3"/>
    <w:rsid w:val="00877CBF"/>
    <w:rsid w:val="00882D53"/>
    <w:rsid w:val="00883437"/>
    <w:rsid w:val="008834C5"/>
    <w:rsid w:val="00883C24"/>
    <w:rsid w:val="008853F8"/>
    <w:rsid w:val="0089230A"/>
    <w:rsid w:val="008953BD"/>
    <w:rsid w:val="008A2726"/>
    <w:rsid w:val="008A4628"/>
    <w:rsid w:val="008B3C6F"/>
    <w:rsid w:val="008B47CB"/>
    <w:rsid w:val="008B688A"/>
    <w:rsid w:val="008B6A6C"/>
    <w:rsid w:val="008C15BB"/>
    <w:rsid w:val="008C28E5"/>
    <w:rsid w:val="008C3148"/>
    <w:rsid w:val="008C4E5F"/>
    <w:rsid w:val="008C6C82"/>
    <w:rsid w:val="008C7414"/>
    <w:rsid w:val="008D15F7"/>
    <w:rsid w:val="008D1FDE"/>
    <w:rsid w:val="008D351D"/>
    <w:rsid w:val="008E1C45"/>
    <w:rsid w:val="008E242E"/>
    <w:rsid w:val="008E647B"/>
    <w:rsid w:val="008E7B61"/>
    <w:rsid w:val="008F3AE2"/>
    <w:rsid w:val="008F55BC"/>
    <w:rsid w:val="008F6221"/>
    <w:rsid w:val="008F722B"/>
    <w:rsid w:val="008F777B"/>
    <w:rsid w:val="008F7CCE"/>
    <w:rsid w:val="009064E2"/>
    <w:rsid w:val="009077C7"/>
    <w:rsid w:val="00911C4F"/>
    <w:rsid w:val="00912106"/>
    <w:rsid w:val="0091220E"/>
    <w:rsid w:val="0091465A"/>
    <w:rsid w:val="00920216"/>
    <w:rsid w:val="00920463"/>
    <w:rsid w:val="009231E5"/>
    <w:rsid w:val="009238C7"/>
    <w:rsid w:val="00923D68"/>
    <w:rsid w:val="009245CA"/>
    <w:rsid w:val="00926E4D"/>
    <w:rsid w:val="00931AF9"/>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52EC"/>
    <w:rsid w:val="0097673B"/>
    <w:rsid w:val="00983F42"/>
    <w:rsid w:val="00987C7D"/>
    <w:rsid w:val="00990380"/>
    <w:rsid w:val="009921DB"/>
    <w:rsid w:val="009940EF"/>
    <w:rsid w:val="00994A8D"/>
    <w:rsid w:val="00994D06"/>
    <w:rsid w:val="00997CF0"/>
    <w:rsid w:val="009A0BBC"/>
    <w:rsid w:val="009A5AFD"/>
    <w:rsid w:val="009A6EFD"/>
    <w:rsid w:val="009B39DC"/>
    <w:rsid w:val="009B61E7"/>
    <w:rsid w:val="009B7DAF"/>
    <w:rsid w:val="009C351F"/>
    <w:rsid w:val="009C4AD3"/>
    <w:rsid w:val="009C6C9D"/>
    <w:rsid w:val="009C6E72"/>
    <w:rsid w:val="009D0DA7"/>
    <w:rsid w:val="009D3C3F"/>
    <w:rsid w:val="009D4D67"/>
    <w:rsid w:val="009D5EB8"/>
    <w:rsid w:val="009D635B"/>
    <w:rsid w:val="009D66DC"/>
    <w:rsid w:val="009D7F6F"/>
    <w:rsid w:val="009E0393"/>
    <w:rsid w:val="009E07D3"/>
    <w:rsid w:val="009F06F2"/>
    <w:rsid w:val="009F4F27"/>
    <w:rsid w:val="009F635E"/>
    <w:rsid w:val="00A02C5D"/>
    <w:rsid w:val="00A06B0C"/>
    <w:rsid w:val="00A140D3"/>
    <w:rsid w:val="00A1446B"/>
    <w:rsid w:val="00A167F2"/>
    <w:rsid w:val="00A17EFE"/>
    <w:rsid w:val="00A20C78"/>
    <w:rsid w:val="00A2312E"/>
    <w:rsid w:val="00A24323"/>
    <w:rsid w:val="00A2450F"/>
    <w:rsid w:val="00A2512C"/>
    <w:rsid w:val="00A2515B"/>
    <w:rsid w:val="00A2588E"/>
    <w:rsid w:val="00A26EDF"/>
    <w:rsid w:val="00A3080D"/>
    <w:rsid w:val="00A34789"/>
    <w:rsid w:val="00A3630E"/>
    <w:rsid w:val="00A37163"/>
    <w:rsid w:val="00A37BB8"/>
    <w:rsid w:val="00A41FF8"/>
    <w:rsid w:val="00A42D87"/>
    <w:rsid w:val="00A44BD3"/>
    <w:rsid w:val="00A4521D"/>
    <w:rsid w:val="00A46D6F"/>
    <w:rsid w:val="00A46FD0"/>
    <w:rsid w:val="00A51F0A"/>
    <w:rsid w:val="00A54EF2"/>
    <w:rsid w:val="00A55D48"/>
    <w:rsid w:val="00A57BEB"/>
    <w:rsid w:val="00A61673"/>
    <w:rsid w:val="00A64926"/>
    <w:rsid w:val="00A665CF"/>
    <w:rsid w:val="00A67CA7"/>
    <w:rsid w:val="00A73989"/>
    <w:rsid w:val="00A7752F"/>
    <w:rsid w:val="00A80FC4"/>
    <w:rsid w:val="00A83415"/>
    <w:rsid w:val="00A85C35"/>
    <w:rsid w:val="00A92061"/>
    <w:rsid w:val="00A94249"/>
    <w:rsid w:val="00A94BC9"/>
    <w:rsid w:val="00A9588A"/>
    <w:rsid w:val="00A959BC"/>
    <w:rsid w:val="00A96233"/>
    <w:rsid w:val="00AA2150"/>
    <w:rsid w:val="00AA3C60"/>
    <w:rsid w:val="00AA4E0F"/>
    <w:rsid w:val="00AA5366"/>
    <w:rsid w:val="00AB2FF4"/>
    <w:rsid w:val="00AB5F9C"/>
    <w:rsid w:val="00AC1AD6"/>
    <w:rsid w:val="00AC2E8B"/>
    <w:rsid w:val="00AC4669"/>
    <w:rsid w:val="00AD561C"/>
    <w:rsid w:val="00AD64DF"/>
    <w:rsid w:val="00AE1025"/>
    <w:rsid w:val="00AE2BAE"/>
    <w:rsid w:val="00AE3F03"/>
    <w:rsid w:val="00AE64F0"/>
    <w:rsid w:val="00AF23C8"/>
    <w:rsid w:val="00AF2AE2"/>
    <w:rsid w:val="00B03544"/>
    <w:rsid w:val="00B0377E"/>
    <w:rsid w:val="00B047F4"/>
    <w:rsid w:val="00B072C3"/>
    <w:rsid w:val="00B07BA9"/>
    <w:rsid w:val="00B10055"/>
    <w:rsid w:val="00B1141E"/>
    <w:rsid w:val="00B11C44"/>
    <w:rsid w:val="00B1278B"/>
    <w:rsid w:val="00B17295"/>
    <w:rsid w:val="00B215F5"/>
    <w:rsid w:val="00B278D4"/>
    <w:rsid w:val="00B27A54"/>
    <w:rsid w:val="00B30783"/>
    <w:rsid w:val="00B36C53"/>
    <w:rsid w:val="00B41F0F"/>
    <w:rsid w:val="00B42560"/>
    <w:rsid w:val="00B455AA"/>
    <w:rsid w:val="00B45778"/>
    <w:rsid w:val="00B457A1"/>
    <w:rsid w:val="00B45D88"/>
    <w:rsid w:val="00B4630F"/>
    <w:rsid w:val="00B464B1"/>
    <w:rsid w:val="00B47A4A"/>
    <w:rsid w:val="00B47B99"/>
    <w:rsid w:val="00B506F2"/>
    <w:rsid w:val="00B510E3"/>
    <w:rsid w:val="00B521AC"/>
    <w:rsid w:val="00B52702"/>
    <w:rsid w:val="00B52C86"/>
    <w:rsid w:val="00B5498D"/>
    <w:rsid w:val="00B5501D"/>
    <w:rsid w:val="00B6151E"/>
    <w:rsid w:val="00B64962"/>
    <w:rsid w:val="00B65B8D"/>
    <w:rsid w:val="00B676EC"/>
    <w:rsid w:val="00B7016C"/>
    <w:rsid w:val="00B7039B"/>
    <w:rsid w:val="00B74D1E"/>
    <w:rsid w:val="00B76A18"/>
    <w:rsid w:val="00B84BE9"/>
    <w:rsid w:val="00B84C6C"/>
    <w:rsid w:val="00B92687"/>
    <w:rsid w:val="00B94248"/>
    <w:rsid w:val="00B942A1"/>
    <w:rsid w:val="00B94B4F"/>
    <w:rsid w:val="00B976F6"/>
    <w:rsid w:val="00BA4EB7"/>
    <w:rsid w:val="00BA5F41"/>
    <w:rsid w:val="00BA7385"/>
    <w:rsid w:val="00BB187C"/>
    <w:rsid w:val="00BB296B"/>
    <w:rsid w:val="00BB3622"/>
    <w:rsid w:val="00BB682C"/>
    <w:rsid w:val="00BB7CA9"/>
    <w:rsid w:val="00BC236B"/>
    <w:rsid w:val="00BC2BB4"/>
    <w:rsid w:val="00BC4632"/>
    <w:rsid w:val="00BC65D9"/>
    <w:rsid w:val="00BC7C52"/>
    <w:rsid w:val="00BD0CF6"/>
    <w:rsid w:val="00BD1471"/>
    <w:rsid w:val="00BD14C5"/>
    <w:rsid w:val="00BD196A"/>
    <w:rsid w:val="00BD1E30"/>
    <w:rsid w:val="00BD2081"/>
    <w:rsid w:val="00BD2311"/>
    <w:rsid w:val="00BD2E7A"/>
    <w:rsid w:val="00BD6262"/>
    <w:rsid w:val="00BD6BA2"/>
    <w:rsid w:val="00BE4C48"/>
    <w:rsid w:val="00BE61C1"/>
    <w:rsid w:val="00BE64AF"/>
    <w:rsid w:val="00BE6717"/>
    <w:rsid w:val="00BF0381"/>
    <w:rsid w:val="00BF1855"/>
    <w:rsid w:val="00BF5FDC"/>
    <w:rsid w:val="00BF6E7B"/>
    <w:rsid w:val="00C01021"/>
    <w:rsid w:val="00C0141F"/>
    <w:rsid w:val="00C02BDE"/>
    <w:rsid w:val="00C048AF"/>
    <w:rsid w:val="00C077E0"/>
    <w:rsid w:val="00C07DE6"/>
    <w:rsid w:val="00C154B5"/>
    <w:rsid w:val="00C17872"/>
    <w:rsid w:val="00C205E9"/>
    <w:rsid w:val="00C212FC"/>
    <w:rsid w:val="00C23F48"/>
    <w:rsid w:val="00C262BD"/>
    <w:rsid w:val="00C310C2"/>
    <w:rsid w:val="00C36525"/>
    <w:rsid w:val="00C40EB3"/>
    <w:rsid w:val="00C41BD9"/>
    <w:rsid w:val="00C43317"/>
    <w:rsid w:val="00C434FD"/>
    <w:rsid w:val="00C45772"/>
    <w:rsid w:val="00C46D06"/>
    <w:rsid w:val="00C47AC7"/>
    <w:rsid w:val="00C51828"/>
    <w:rsid w:val="00C5192E"/>
    <w:rsid w:val="00C52DE6"/>
    <w:rsid w:val="00C6016B"/>
    <w:rsid w:val="00C634A7"/>
    <w:rsid w:val="00C638D7"/>
    <w:rsid w:val="00C638DF"/>
    <w:rsid w:val="00C64720"/>
    <w:rsid w:val="00C6517F"/>
    <w:rsid w:val="00C65414"/>
    <w:rsid w:val="00C65BB0"/>
    <w:rsid w:val="00C66F37"/>
    <w:rsid w:val="00C67BA6"/>
    <w:rsid w:val="00C70DA3"/>
    <w:rsid w:val="00C71920"/>
    <w:rsid w:val="00C72A63"/>
    <w:rsid w:val="00C738BF"/>
    <w:rsid w:val="00C80AE4"/>
    <w:rsid w:val="00C857F1"/>
    <w:rsid w:val="00C871C4"/>
    <w:rsid w:val="00C91D7C"/>
    <w:rsid w:val="00CA1130"/>
    <w:rsid w:val="00CA24B2"/>
    <w:rsid w:val="00CA415F"/>
    <w:rsid w:val="00CA5EA7"/>
    <w:rsid w:val="00CB026C"/>
    <w:rsid w:val="00CB2C14"/>
    <w:rsid w:val="00CB5A49"/>
    <w:rsid w:val="00CB5C15"/>
    <w:rsid w:val="00CB678B"/>
    <w:rsid w:val="00CC1228"/>
    <w:rsid w:val="00CC1A21"/>
    <w:rsid w:val="00CC59E8"/>
    <w:rsid w:val="00CC66DE"/>
    <w:rsid w:val="00CC7C0C"/>
    <w:rsid w:val="00CD6CF6"/>
    <w:rsid w:val="00CD75E3"/>
    <w:rsid w:val="00CE166D"/>
    <w:rsid w:val="00CE2627"/>
    <w:rsid w:val="00CE2EB2"/>
    <w:rsid w:val="00CE525D"/>
    <w:rsid w:val="00CE5C99"/>
    <w:rsid w:val="00CE7522"/>
    <w:rsid w:val="00CF23EE"/>
    <w:rsid w:val="00D11357"/>
    <w:rsid w:val="00D126F7"/>
    <w:rsid w:val="00D129F5"/>
    <w:rsid w:val="00D12ED9"/>
    <w:rsid w:val="00D141DD"/>
    <w:rsid w:val="00D1494A"/>
    <w:rsid w:val="00D21887"/>
    <w:rsid w:val="00D266DE"/>
    <w:rsid w:val="00D31689"/>
    <w:rsid w:val="00D353B5"/>
    <w:rsid w:val="00D355E8"/>
    <w:rsid w:val="00D36174"/>
    <w:rsid w:val="00D36969"/>
    <w:rsid w:val="00D43DD6"/>
    <w:rsid w:val="00D47854"/>
    <w:rsid w:val="00D51C2C"/>
    <w:rsid w:val="00D55A36"/>
    <w:rsid w:val="00D5689A"/>
    <w:rsid w:val="00D57072"/>
    <w:rsid w:val="00D60B45"/>
    <w:rsid w:val="00D61249"/>
    <w:rsid w:val="00D61AE5"/>
    <w:rsid w:val="00D64636"/>
    <w:rsid w:val="00D668E4"/>
    <w:rsid w:val="00D67466"/>
    <w:rsid w:val="00D7047B"/>
    <w:rsid w:val="00D729A9"/>
    <w:rsid w:val="00D72BC6"/>
    <w:rsid w:val="00D741F4"/>
    <w:rsid w:val="00D74FEC"/>
    <w:rsid w:val="00D75505"/>
    <w:rsid w:val="00D76352"/>
    <w:rsid w:val="00D76695"/>
    <w:rsid w:val="00D77DAB"/>
    <w:rsid w:val="00D8228F"/>
    <w:rsid w:val="00D83CB1"/>
    <w:rsid w:val="00D862DA"/>
    <w:rsid w:val="00D8640C"/>
    <w:rsid w:val="00D86456"/>
    <w:rsid w:val="00D870BD"/>
    <w:rsid w:val="00D90ED8"/>
    <w:rsid w:val="00DA39F8"/>
    <w:rsid w:val="00DA3D7B"/>
    <w:rsid w:val="00DA6721"/>
    <w:rsid w:val="00DA7189"/>
    <w:rsid w:val="00DA7370"/>
    <w:rsid w:val="00DB1190"/>
    <w:rsid w:val="00DB4594"/>
    <w:rsid w:val="00DB4AA3"/>
    <w:rsid w:val="00DB68FF"/>
    <w:rsid w:val="00DB7230"/>
    <w:rsid w:val="00DC31A1"/>
    <w:rsid w:val="00DC32BA"/>
    <w:rsid w:val="00DC5FD8"/>
    <w:rsid w:val="00DD0C51"/>
    <w:rsid w:val="00DD6537"/>
    <w:rsid w:val="00DD6667"/>
    <w:rsid w:val="00DD74A2"/>
    <w:rsid w:val="00DE383B"/>
    <w:rsid w:val="00DE49BE"/>
    <w:rsid w:val="00DE6576"/>
    <w:rsid w:val="00DF4614"/>
    <w:rsid w:val="00DF6D10"/>
    <w:rsid w:val="00DF7B25"/>
    <w:rsid w:val="00E00B67"/>
    <w:rsid w:val="00E04325"/>
    <w:rsid w:val="00E135A1"/>
    <w:rsid w:val="00E1496E"/>
    <w:rsid w:val="00E16EF1"/>
    <w:rsid w:val="00E177A0"/>
    <w:rsid w:val="00E17F63"/>
    <w:rsid w:val="00E37BF5"/>
    <w:rsid w:val="00E43C06"/>
    <w:rsid w:val="00E449B1"/>
    <w:rsid w:val="00E47B31"/>
    <w:rsid w:val="00E501F7"/>
    <w:rsid w:val="00E5082D"/>
    <w:rsid w:val="00E574A9"/>
    <w:rsid w:val="00E61355"/>
    <w:rsid w:val="00E613BC"/>
    <w:rsid w:val="00E61F1E"/>
    <w:rsid w:val="00E63143"/>
    <w:rsid w:val="00E66861"/>
    <w:rsid w:val="00E66E21"/>
    <w:rsid w:val="00E67063"/>
    <w:rsid w:val="00E70F38"/>
    <w:rsid w:val="00E710FC"/>
    <w:rsid w:val="00E71915"/>
    <w:rsid w:val="00E80916"/>
    <w:rsid w:val="00E840DF"/>
    <w:rsid w:val="00E8560F"/>
    <w:rsid w:val="00E8780A"/>
    <w:rsid w:val="00E957FC"/>
    <w:rsid w:val="00E97CF4"/>
    <w:rsid w:val="00EA0289"/>
    <w:rsid w:val="00EA6E21"/>
    <w:rsid w:val="00EB11D1"/>
    <w:rsid w:val="00EB181B"/>
    <w:rsid w:val="00EB1CA4"/>
    <w:rsid w:val="00EB2DEA"/>
    <w:rsid w:val="00EB47E5"/>
    <w:rsid w:val="00EC341C"/>
    <w:rsid w:val="00ED1657"/>
    <w:rsid w:val="00ED5637"/>
    <w:rsid w:val="00ED6618"/>
    <w:rsid w:val="00EE71C9"/>
    <w:rsid w:val="00EE7F33"/>
    <w:rsid w:val="00EF339F"/>
    <w:rsid w:val="00EF352D"/>
    <w:rsid w:val="00EF4AEE"/>
    <w:rsid w:val="00EF6E41"/>
    <w:rsid w:val="00EF7F86"/>
    <w:rsid w:val="00F03F3B"/>
    <w:rsid w:val="00F045D7"/>
    <w:rsid w:val="00F050DE"/>
    <w:rsid w:val="00F07468"/>
    <w:rsid w:val="00F11DDC"/>
    <w:rsid w:val="00F1302B"/>
    <w:rsid w:val="00F136E7"/>
    <w:rsid w:val="00F1396C"/>
    <w:rsid w:val="00F13F76"/>
    <w:rsid w:val="00F2176B"/>
    <w:rsid w:val="00F22D82"/>
    <w:rsid w:val="00F23A8E"/>
    <w:rsid w:val="00F26D40"/>
    <w:rsid w:val="00F31973"/>
    <w:rsid w:val="00F340B6"/>
    <w:rsid w:val="00F361B7"/>
    <w:rsid w:val="00F3778A"/>
    <w:rsid w:val="00F40BAE"/>
    <w:rsid w:val="00F40D36"/>
    <w:rsid w:val="00F5246E"/>
    <w:rsid w:val="00F52F93"/>
    <w:rsid w:val="00F531ED"/>
    <w:rsid w:val="00F54608"/>
    <w:rsid w:val="00F552F2"/>
    <w:rsid w:val="00F55E52"/>
    <w:rsid w:val="00F57EF0"/>
    <w:rsid w:val="00F627E2"/>
    <w:rsid w:val="00F66DFC"/>
    <w:rsid w:val="00F71050"/>
    <w:rsid w:val="00F71099"/>
    <w:rsid w:val="00F71520"/>
    <w:rsid w:val="00F7590F"/>
    <w:rsid w:val="00F75FE2"/>
    <w:rsid w:val="00F772CC"/>
    <w:rsid w:val="00F8569E"/>
    <w:rsid w:val="00F85A14"/>
    <w:rsid w:val="00F90EB0"/>
    <w:rsid w:val="00F913C6"/>
    <w:rsid w:val="00F920F9"/>
    <w:rsid w:val="00F935D0"/>
    <w:rsid w:val="00F94864"/>
    <w:rsid w:val="00F95BDD"/>
    <w:rsid w:val="00FA02EE"/>
    <w:rsid w:val="00FA33A6"/>
    <w:rsid w:val="00FA5C27"/>
    <w:rsid w:val="00FA7B80"/>
    <w:rsid w:val="00FB0B18"/>
    <w:rsid w:val="00FB1AE6"/>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1A0F"/>
    <w:rsid w:val="00FF406D"/>
    <w:rsid w:val="00FF5CE3"/>
    <w:rsid w:val="00FF73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2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D60B4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D60B45"/>
    <w:pPr>
      <w:keepNext/>
      <w:numPr>
        <w:numId w:val="5"/>
      </w:numPr>
      <w:ind w:right="1296"/>
      <w:outlineLvl w:val="0"/>
    </w:pPr>
    <w:rPr>
      <w:u w:val="single"/>
    </w:rPr>
  </w:style>
  <w:style w:type="paragraph" w:styleId="Heading2">
    <w:name w:val="heading 2"/>
    <w:basedOn w:val="Normal"/>
    <w:next w:val="Normal"/>
    <w:uiPriority w:val="99"/>
    <w:semiHidden/>
    <w:qFormat/>
    <w:locked/>
    <w:rsid w:val="00D60B45"/>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D60B45"/>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D60B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B45"/>
  </w:style>
  <w:style w:type="paragraph" w:styleId="Footer">
    <w:name w:val="footer"/>
    <w:basedOn w:val="Normal"/>
    <w:link w:val="FooterChar"/>
    <w:uiPriority w:val="43"/>
    <w:locked/>
    <w:rsid w:val="00D60B45"/>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D60B45"/>
    <w:pPr>
      <w:spacing w:before="240" w:line="240" w:lineRule="exact"/>
      <w:ind w:left="720" w:right="794" w:firstLine="0"/>
    </w:pPr>
  </w:style>
  <w:style w:type="paragraph" w:styleId="FootnoteText">
    <w:name w:val="footnote text"/>
    <w:basedOn w:val="Normal"/>
    <w:link w:val="FootnoteTextChar"/>
    <w:uiPriority w:val="53"/>
    <w:locked/>
    <w:rsid w:val="00D60B45"/>
    <w:pPr>
      <w:spacing w:after="240" w:line="240" w:lineRule="exact"/>
      <w:ind w:left="510" w:hanging="510"/>
    </w:pPr>
  </w:style>
  <w:style w:type="character" w:styleId="FootnoteReference">
    <w:name w:val="footnote reference"/>
    <w:uiPriority w:val="51"/>
    <w:locked/>
    <w:rsid w:val="00D60B45"/>
    <w:rPr>
      <w:b/>
      <w:sz w:val="28"/>
      <w:vertAlign w:val="superscript"/>
    </w:rPr>
  </w:style>
  <w:style w:type="paragraph" w:customStyle="1" w:styleId="FootIndAgain">
    <w:name w:val="FootIndAgain"/>
    <w:basedOn w:val="FootnoteText"/>
    <w:uiPriority w:val="47"/>
    <w:qFormat/>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D60B45"/>
    <w:pPr>
      <w:ind w:firstLine="0"/>
    </w:pPr>
  </w:style>
  <w:style w:type="character" w:customStyle="1" w:styleId="Heading1Char">
    <w:name w:val="Heading 1 Char"/>
    <w:uiPriority w:val="99"/>
    <w:semiHidden/>
    <w:locked/>
    <w:rsid w:val="00D60B45"/>
    <w:rPr>
      <w:rFonts w:ascii="Univers" w:hAnsi="Univers"/>
      <w:sz w:val="26"/>
      <w:u w:val="single"/>
      <w:lang w:val="en-AU"/>
    </w:rPr>
  </w:style>
  <w:style w:type="character" w:customStyle="1" w:styleId="Heading2Char">
    <w:name w:val="Heading 2 Char"/>
    <w:uiPriority w:val="99"/>
    <w:semiHidden/>
    <w:locked/>
    <w:rsid w:val="00D60B45"/>
    <w:rPr>
      <w:rFonts w:ascii="Arial" w:hAnsi="Arial"/>
      <w:b/>
      <w:i/>
      <w:sz w:val="24"/>
      <w:lang w:val="en-AU"/>
    </w:rPr>
  </w:style>
  <w:style w:type="character" w:customStyle="1" w:styleId="Heading3Char">
    <w:name w:val="Heading 3 Char"/>
    <w:uiPriority w:val="99"/>
    <w:semiHidden/>
    <w:locked/>
    <w:rsid w:val="00D60B45"/>
    <w:rPr>
      <w:rFonts w:ascii="Arial" w:hAnsi="Arial"/>
      <w:sz w:val="24"/>
      <w:lang w:val="en-AU"/>
    </w:rPr>
  </w:style>
  <w:style w:type="paragraph" w:customStyle="1" w:styleId="NormalHC">
    <w:name w:val="Normal HC"/>
    <w:basedOn w:val="Normal"/>
    <w:uiPriority w:val="27"/>
    <w:qFormat/>
    <w:locked/>
    <w:rsid w:val="00D60B45"/>
    <w:pPr>
      <w:numPr>
        <w:numId w:val="16"/>
      </w:numPr>
      <w:spacing w:after="480"/>
      <w:ind w:left="0" w:hanging="720"/>
    </w:pPr>
  </w:style>
  <w:style w:type="paragraph" w:customStyle="1" w:styleId="HeadingFirst">
    <w:name w:val="Heading First"/>
    <w:basedOn w:val="NormalHC"/>
    <w:next w:val="HeadingV"/>
    <w:uiPriority w:val="15"/>
    <w:qFormat/>
    <w:locked/>
    <w:rsid w:val="00D60B45"/>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D60B45"/>
    <w:pPr>
      <w:keepNext/>
      <w:numPr>
        <w:numId w:val="0"/>
      </w:numPr>
      <w:outlineLvl w:val="2"/>
    </w:pPr>
    <w:rPr>
      <w:b/>
      <w:szCs w:val="20"/>
    </w:rPr>
  </w:style>
  <w:style w:type="paragraph" w:customStyle="1" w:styleId="HeadingL2">
    <w:name w:val="Heading L2"/>
    <w:basedOn w:val="HeadingL1"/>
    <w:next w:val="NormalHC"/>
    <w:uiPriority w:val="23"/>
    <w:qFormat/>
    <w:locked/>
    <w:rsid w:val="00D60B45"/>
    <w:pPr>
      <w:outlineLvl w:val="3"/>
    </w:pPr>
    <w:rPr>
      <w:b w:val="0"/>
      <w:i/>
    </w:rPr>
  </w:style>
  <w:style w:type="paragraph" w:customStyle="1" w:styleId="HeadingMatter">
    <w:name w:val="Heading Matter"/>
    <w:basedOn w:val="NormalHC"/>
    <w:next w:val="HeadingFirst"/>
    <w:uiPriority w:val="13"/>
    <w:qFormat/>
    <w:locked/>
    <w:rsid w:val="00D60B45"/>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D60B45"/>
    <w:pPr>
      <w:keepNext w:val="0"/>
    </w:pPr>
  </w:style>
  <w:style w:type="paragraph" w:customStyle="1" w:styleId="HeadingV">
    <w:name w:val="Heading V"/>
    <w:basedOn w:val="HeadingFirst"/>
    <w:next w:val="HeadingSecond"/>
    <w:uiPriority w:val="17"/>
    <w:qFormat/>
    <w:locked/>
    <w:rsid w:val="00D60B45"/>
    <w:rPr>
      <w:caps w:val="0"/>
      <w:u w:val="none"/>
    </w:rPr>
  </w:style>
  <w:style w:type="paragraph" w:customStyle="1" w:styleId="LeftrightafterHC">
    <w:name w:val="Leftright after HC"/>
    <w:basedOn w:val="Normal"/>
    <w:next w:val="leftright"/>
    <w:uiPriority w:val="31"/>
    <w:qFormat/>
    <w:locked/>
    <w:rsid w:val="00D60B45"/>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D60B45"/>
    <w:pPr>
      <w:ind w:firstLine="720"/>
    </w:pPr>
  </w:style>
  <w:style w:type="paragraph" w:customStyle="1" w:styleId="LeftrightHanging">
    <w:name w:val="LeftrightHanging"/>
    <w:basedOn w:val="NormalHC"/>
    <w:uiPriority w:val="35"/>
    <w:qFormat/>
    <w:locked/>
    <w:rsid w:val="00D60B45"/>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D60B45"/>
    <w:pPr>
      <w:spacing w:before="200"/>
      <w:ind w:left="2160"/>
    </w:pPr>
  </w:style>
  <w:style w:type="paragraph" w:customStyle="1" w:styleId="NormalafterHd2nd">
    <w:name w:val="Normal after Hd2nd"/>
    <w:basedOn w:val="NormalHC"/>
    <w:next w:val="NormalHC"/>
    <w:uiPriority w:val="29"/>
    <w:locked/>
    <w:rsid w:val="00D60B45"/>
    <w:pPr>
      <w:numPr>
        <w:numId w:val="0"/>
      </w:numPr>
      <w:spacing w:before="1000"/>
    </w:pPr>
  </w:style>
  <w:style w:type="character" w:customStyle="1" w:styleId="NormalHCChar">
    <w:name w:val="Normal HC Char"/>
    <w:uiPriority w:val="99"/>
    <w:semiHidden/>
    <w:locked/>
    <w:rsid w:val="00D60B45"/>
    <w:rPr>
      <w:rFonts w:ascii="Univers" w:hAnsi="Univers"/>
      <w:sz w:val="26"/>
      <w:szCs w:val="26"/>
    </w:rPr>
  </w:style>
  <w:style w:type="character" w:customStyle="1" w:styleId="StyleFootnoteReferenceChar">
    <w:name w:val="Style Footnote Reference Char"/>
    <w:uiPriority w:val="99"/>
    <w:semiHidden/>
    <w:locked/>
    <w:rsid w:val="00D60B45"/>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D60B45"/>
  </w:style>
  <w:style w:type="paragraph" w:customStyle="1" w:styleId="HeadingJudgment">
    <w:name w:val="Heading Judgment"/>
    <w:basedOn w:val="Normal"/>
    <w:uiPriority w:val="59"/>
    <w:qFormat/>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D60B45"/>
    <w:pPr>
      <w:outlineLvl w:val="4"/>
    </w:pPr>
    <w:rPr>
      <w:b w:val="0"/>
    </w:rPr>
  </w:style>
  <w:style w:type="character" w:styleId="PageNumber">
    <w:name w:val="page number"/>
    <w:basedOn w:val="DefaultParagraphFont"/>
    <w:uiPriority w:val="57"/>
    <w:locked/>
    <w:rsid w:val="00D60B45"/>
  </w:style>
  <w:style w:type="paragraph" w:styleId="BalloonText">
    <w:name w:val="Balloon Text"/>
    <w:basedOn w:val="Normal"/>
    <w:link w:val="BalloonTextChar"/>
    <w:semiHidden/>
    <w:locked/>
    <w:rsid w:val="00D60B45"/>
    <w:rPr>
      <w:rFonts w:ascii="Tahoma" w:hAnsi="Tahoma" w:cs="Tahoma"/>
      <w:sz w:val="16"/>
      <w:szCs w:val="16"/>
      <w:lang w:eastAsia="en-US"/>
    </w:rPr>
  </w:style>
  <w:style w:type="character" w:customStyle="1" w:styleId="BalloonTextChar">
    <w:name w:val="Balloon Text Char"/>
    <w:basedOn w:val="DefaultParagraphFont"/>
    <w:link w:val="BalloonText"/>
    <w:semiHidden/>
    <w:rsid w:val="00D60B45"/>
    <w:rPr>
      <w:rFonts w:ascii="Tahoma" w:hAnsi="Tahoma" w:cs="Tahoma"/>
      <w:sz w:val="16"/>
      <w:szCs w:val="16"/>
      <w:lang w:eastAsia="en-US"/>
    </w:rPr>
  </w:style>
  <w:style w:type="paragraph" w:customStyle="1" w:styleId="ClosingText">
    <w:name w:val="Closing Text"/>
    <w:basedOn w:val="Normal"/>
    <w:uiPriority w:val="98"/>
    <w:semiHidden/>
    <w:qFormat/>
    <w:locked/>
    <w:rsid w:val="00D60B45"/>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D60B45"/>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D60B45"/>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D60B45"/>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D60B45"/>
    <w:rPr>
      <w:szCs w:val="20"/>
      <w:lang w:eastAsia="en-US"/>
    </w:rPr>
  </w:style>
  <w:style w:type="paragraph" w:customStyle="1" w:styleId="NormalBody">
    <w:name w:val="Normal Body"/>
    <w:basedOn w:val="NormalHC"/>
    <w:uiPriority w:val="28"/>
    <w:qFormat/>
    <w:locked/>
    <w:rsid w:val="00D60B45"/>
    <w:pPr>
      <w:numPr>
        <w:numId w:val="0"/>
      </w:numPr>
    </w:pPr>
    <w:rPr>
      <w:lang w:eastAsia="en-US"/>
    </w:rPr>
  </w:style>
  <w:style w:type="paragraph" w:customStyle="1" w:styleId="StyleFootnoteReference">
    <w:name w:val="Style Footnote Reference"/>
    <w:basedOn w:val="Normal"/>
    <w:next w:val="Normal"/>
    <w:semiHidden/>
    <w:rsid w:val="00D60B45"/>
    <w:rPr>
      <w:vertAlign w:val="superscript"/>
      <w:lang w:eastAsia="en-US"/>
    </w:rPr>
  </w:style>
  <w:style w:type="paragraph" w:styleId="ListNumber">
    <w:name w:val="List Number"/>
    <w:basedOn w:val="Normal"/>
    <w:uiPriority w:val="56"/>
    <w:locked/>
    <w:rsid w:val="00D60B45"/>
    <w:pPr>
      <w:numPr>
        <w:numId w:val="11"/>
      </w:numPr>
      <w:contextualSpacing/>
    </w:pPr>
  </w:style>
  <w:style w:type="paragraph" w:customStyle="1" w:styleId="FixListStyle">
    <w:name w:val="FixListStyle"/>
    <w:basedOn w:val="Normal"/>
    <w:uiPriority w:val="99"/>
    <w:qFormat/>
    <w:rsid w:val="00D60B45"/>
    <w:pPr>
      <w:numPr>
        <w:numId w:val="18"/>
      </w:numPr>
      <w:spacing w:after="480"/>
      <w:ind w:left="0" w:hanging="720"/>
    </w:pPr>
  </w:style>
  <w:style w:type="paragraph" w:customStyle="1" w:styleId="CatchwordsBold">
    <w:name w:val="Catchwords Bold"/>
    <w:basedOn w:val="Normal"/>
    <w:link w:val="CatchwordsBoldChar"/>
    <w:qFormat/>
    <w:rsid w:val="00D60B45"/>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D60B45"/>
    <w:rPr>
      <w:rFonts w:ascii="Times New Roman" w:hAnsi="Times New Roman"/>
      <w:b/>
      <w:szCs w:val="20"/>
    </w:rPr>
  </w:style>
  <w:style w:type="paragraph" w:customStyle="1" w:styleId="CatchwordsRight">
    <w:name w:val="Catchwords Right"/>
    <w:basedOn w:val="Normal"/>
    <w:link w:val="CatchwordsRightChar"/>
    <w:qFormat/>
    <w:rsid w:val="00D60B45"/>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D60B45"/>
    <w:rPr>
      <w:rFonts w:ascii="Times New Roman" w:hAnsi="Times New Roman"/>
      <w:szCs w:val="20"/>
    </w:rPr>
  </w:style>
  <w:style w:type="paragraph" w:customStyle="1" w:styleId="CatchwordsText">
    <w:name w:val="Catchwords Text"/>
    <w:basedOn w:val="Normal"/>
    <w:link w:val="CatchwordsTextChar"/>
    <w:qFormat/>
    <w:rsid w:val="00D60B45"/>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D60B45"/>
    <w:rPr>
      <w:rFonts w:ascii="Times New Roman" w:hAnsi="Times New Roman"/>
      <w:szCs w:val="20"/>
    </w:rPr>
  </w:style>
  <w:style w:type="paragraph" w:customStyle="1" w:styleId="CenteredBorder">
    <w:name w:val="Centered Border"/>
    <w:qFormat/>
    <w:rsid w:val="00D60B4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D60B45"/>
    <w:pPr>
      <w:jc w:val="center"/>
    </w:pPr>
    <w:rPr>
      <w:rFonts w:ascii="Times New Roman" w:hAnsi="Times New Roman"/>
      <w:b/>
      <w:bCs/>
      <w:szCs w:val="20"/>
      <w:lang w:val="en-GB"/>
    </w:rPr>
  </w:style>
  <w:style w:type="character" w:customStyle="1" w:styleId="OrderCentred">
    <w:name w:val="Order Centred"/>
    <w:semiHidden/>
    <w:rsid w:val="00D60B45"/>
    <w:rPr>
      <w:b/>
      <w:bCs/>
      <w:sz w:val="26"/>
    </w:rPr>
  </w:style>
  <w:style w:type="paragraph" w:customStyle="1" w:styleId="OrdersTopLine">
    <w:name w:val="Orders TopLine"/>
    <w:qFormat/>
    <w:rsid w:val="00D60B45"/>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D60B4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D60B4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D60B45"/>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D60B4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D60B45"/>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D60B45"/>
    <w:rPr>
      <w:rFonts w:ascii="Times New Roman" w:hAnsi="Times New Roman"/>
      <w:i/>
      <w:lang w:eastAsia="en-US"/>
    </w:rPr>
  </w:style>
  <w:style w:type="paragraph" w:customStyle="1" w:styleId="OrdersIndentLevel2i">
    <w:name w:val="Orders Indent Level 2 (i)"/>
    <w:basedOn w:val="Normal"/>
    <w:link w:val="OrdersIndentLevel2iChar"/>
    <w:qFormat/>
    <w:rsid w:val="00D60B45"/>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D60B45"/>
    <w:rPr>
      <w:rFonts w:ascii="Times New Roman" w:hAnsi="Times New Roman"/>
      <w:i/>
      <w:lang w:eastAsia="en-US"/>
    </w:rPr>
  </w:style>
  <w:style w:type="paragraph" w:customStyle="1" w:styleId="OrdersMatter">
    <w:name w:val="Orders Matter"/>
    <w:basedOn w:val="OrderCentreBold"/>
    <w:link w:val="OrdersMatterChar"/>
    <w:qFormat/>
    <w:rsid w:val="00D60B45"/>
  </w:style>
  <w:style w:type="character" w:customStyle="1" w:styleId="OrdersMatterChar">
    <w:name w:val="Orders Matter Char"/>
    <w:link w:val="OrdersMatter"/>
    <w:rsid w:val="00D60B45"/>
    <w:rPr>
      <w:rFonts w:ascii="Times New Roman" w:hAnsi="Times New Roman"/>
      <w:b/>
      <w:bCs/>
      <w:szCs w:val="20"/>
      <w:lang w:val="en-GB"/>
    </w:rPr>
  </w:style>
  <w:style w:type="paragraph" w:customStyle="1" w:styleId="OrdersNotice">
    <w:name w:val="Orders Notice"/>
    <w:rsid w:val="00D60B45"/>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D60B45"/>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D60B45"/>
    <w:rPr>
      <w:rFonts w:ascii="Times New Roman" w:hAnsi="Times New Roman"/>
      <w:szCs w:val="20"/>
      <w:lang w:eastAsia="en-US"/>
    </w:rPr>
  </w:style>
  <w:style w:type="paragraph" w:customStyle="1" w:styleId="OrdersText">
    <w:name w:val="Orders Text"/>
    <w:basedOn w:val="Normal"/>
    <w:link w:val="OrdersTextChar"/>
    <w:qFormat/>
    <w:rsid w:val="00D60B45"/>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D60B45"/>
    <w:rPr>
      <w:rFonts w:ascii="Times New Roman" w:hAnsi="Times New Roman"/>
      <w:i/>
      <w:lang w:eastAsia="en-US"/>
    </w:rPr>
  </w:style>
  <w:style w:type="paragraph" w:customStyle="1" w:styleId="OrdersCenteredBorder">
    <w:name w:val="Orders Centered Border"/>
    <w:qFormat/>
    <w:rsid w:val="00D60B4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D60B45"/>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D60B45"/>
    <w:rPr>
      <w:rFonts w:ascii="Times New Roman" w:hAnsi="Times New Roman"/>
      <w:szCs w:val="20"/>
    </w:rPr>
  </w:style>
  <w:style w:type="paragraph" w:customStyle="1" w:styleId="LRHangingafterHC">
    <w:name w:val="LR Hanging after HC"/>
    <w:basedOn w:val="Normal"/>
    <w:next w:val="LeftrightHanging"/>
    <w:uiPriority w:val="99"/>
    <w:qFormat/>
    <w:rsid w:val="00D60B45"/>
    <w:pPr>
      <w:spacing w:before="720" w:line="240" w:lineRule="exact"/>
      <w:ind w:left="1440" w:right="794" w:hanging="720"/>
    </w:pPr>
  </w:style>
  <w:style w:type="paragraph" w:styleId="Revision">
    <w:name w:val="Revision"/>
    <w:hidden/>
    <w:uiPriority w:val="99"/>
    <w:semiHidden/>
    <w:rsid w:val="00307209"/>
  </w:style>
  <w:style w:type="character" w:styleId="CommentReference">
    <w:name w:val="annotation reference"/>
    <w:basedOn w:val="DefaultParagraphFont"/>
    <w:uiPriority w:val="99"/>
    <w:semiHidden/>
    <w:unhideWhenUsed/>
    <w:locked/>
    <w:rsid w:val="00307209"/>
    <w:rPr>
      <w:sz w:val="16"/>
      <w:szCs w:val="16"/>
    </w:rPr>
  </w:style>
  <w:style w:type="paragraph" w:styleId="CommentText">
    <w:name w:val="annotation text"/>
    <w:basedOn w:val="Normal"/>
    <w:link w:val="CommentTextChar"/>
    <w:uiPriority w:val="99"/>
    <w:semiHidden/>
    <w:unhideWhenUsed/>
    <w:locked/>
    <w:rsid w:val="00307209"/>
    <w:pPr>
      <w:spacing w:line="240" w:lineRule="auto"/>
    </w:pPr>
    <w:rPr>
      <w:sz w:val="20"/>
      <w:szCs w:val="20"/>
    </w:rPr>
  </w:style>
  <w:style w:type="character" w:customStyle="1" w:styleId="CommentTextChar">
    <w:name w:val="Comment Text Char"/>
    <w:basedOn w:val="DefaultParagraphFont"/>
    <w:link w:val="CommentText"/>
    <w:uiPriority w:val="99"/>
    <w:semiHidden/>
    <w:rsid w:val="00307209"/>
    <w:rPr>
      <w:sz w:val="20"/>
      <w:szCs w:val="20"/>
    </w:rPr>
  </w:style>
  <w:style w:type="paragraph" w:styleId="CommentSubject">
    <w:name w:val="annotation subject"/>
    <w:basedOn w:val="CommentText"/>
    <w:next w:val="CommentText"/>
    <w:link w:val="CommentSubjectChar"/>
    <w:uiPriority w:val="99"/>
    <w:semiHidden/>
    <w:unhideWhenUsed/>
    <w:locked/>
    <w:rsid w:val="00307209"/>
    <w:rPr>
      <w:b/>
      <w:bCs/>
    </w:rPr>
  </w:style>
  <w:style w:type="character" w:customStyle="1" w:styleId="CommentSubjectChar">
    <w:name w:val="Comment Subject Char"/>
    <w:basedOn w:val="CommentTextChar"/>
    <w:link w:val="CommentSubject"/>
    <w:uiPriority w:val="99"/>
    <w:semiHidden/>
    <w:rsid w:val="00307209"/>
    <w:rPr>
      <w:b/>
      <w:bCs/>
      <w:sz w:val="20"/>
      <w:szCs w:val="20"/>
    </w:rPr>
  </w:style>
  <w:style w:type="character" w:styleId="Hyperlink">
    <w:name w:val="Hyperlink"/>
    <w:basedOn w:val="DefaultParagraphFont"/>
    <w:uiPriority w:val="99"/>
    <w:unhideWhenUsed/>
    <w:locked/>
    <w:rsid w:val="00307209"/>
    <w:rPr>
      <w:color w:val="0000FF" w:themeColor="hyperlink"/>
      <w:u w:val="single"/>
    </w:rPr>
  </w:style>
  <w:style w:type="character" w:styleId="UnresolvedMention">
    <w:name w:val="Unresolved Mention"/>
    <w:basedOn w:val="DefaultParagraphFont"/>
    <w:uiPriority w:val="99"/>
    <w:semiHidden/>
    <w:unhideWhenUsed/>
    <w:rsid w:val="00307209"/>
    <w:rPr>
      <w:color w:val="605E5C"/>
      <w:shd w:val="clear" w:color="auto" w:fill="E1DFDD"/>
    </w:rPr>
  </w:style>
  <w:style w:type="character" w:styleId="FollowedHyperlink">
    <w:name w:val="FollowedHyperlink"/>
    <w:basedOn w:val="DefaultParagraphFont"/>
    <w:uiPriority w:val="99"/>
    <w:semiHidden/>
    <w:unhideWhenUsed/>
    <w:locked/>
    <w:rsid w:val="00307209"/>
    <w:rPr>
      <w:color w:val="800080" w:themeColor="followedHyperlink"/>
      <w:u w:val="single"/>
    </w:rPr>
  </w:style>
  <w:style w:type="character" w:customStyle="1" w:styleId="FootnoteTextChar">
    <w:name w:val="Footnote Text Char"/>
    <w:basedOn w:val="DefaultParagraphFont"/>
    <w:link w:val="FootnoteText"/>
    <w:uiPriority w:val="53"/>
    <w:rsid w:val="00816474"/>
  </w:style>
  <w:style w:type="paragraph" w:customStyle="1" w:styleId="Body">
    <w:name w:val="Body"/>
    <w:basedOn w:val="Normal"/>
    <w:qFormat/>
    <w:rsid w:val="00AA53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A536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A536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A536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A536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A5366"/>
    <w:pPr>
      <w:jc w:val="center"/>
    </w:pPr>
    <w:rPr>
      <w:rFonts w:ascii="Times New Roman" w:hAnsi="Times New Roman"/>
      <w:bCs/>
      <w:szCs w:val="20"/>
      <w:lang w:val="en-GB"/>
    </w:rPr>
  </w:style>
  <w:style w:type="paragraph" w:customStyle="1" w:styleId="Default">
    <w:name w:val="Default"/>
    <w:rsid w:val="00D4785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23A53-0DCE-4A9C-BAD7-D9BA1181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41</Pages>
  <Words>12336</Words>
  <Characters>61509</Characters>
  <Application>Microsoft Office Word</Application>
  <DocSecurity>0</DocSecurity>
  <Lines>512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2023-09-08T06:10:00Z</dcterms:created>
  <dcterms:modified xsi:type="dcterms:W3CDTF">2023-09-08T06:14:00Z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