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07D3" w14:textId="77777777" w:rsidR="00D7204C" w:rsidRPr="00704FF8" w:rsidRDefault="00D7204C" w:rsidP="00704FF8">
      <w:pPr>
        <w:pStyle w:val="OrdersTopLine"/>
      </w:pPr>
      <w:r w:rsidRPr="00704FF8">
        <w:t>HIGH COURT OF AUSTRALIA</w:t>
      </w:r>
    </w:p>
    <w:p w14:paraId="10D809B7" w14:textId="77777777" w:rsidR="00D7204C" w:rsidRPr="00704FF8" w:rsidRDefault="00D7204C" w:rsidP="00704FF8">
      <w:pPr>
        <w:pStyle w:val="OrderCentre"/>
      </w:pPr>
    </w:p>
    <w:p w14:paraId="4AF95FB6" w14:textId="77777777" w:rsidR="00D7204C" w:rsidRDefault="00D7204C" w:rsidP="00704FF8">
      <w:pPr>
        <w:pStyle w:val="OrderCentre"/>
      </w:pPr>
      <w:r w:rsidRPr="00704FF8">
        <w:t>GAGELER</w:t>
      </w:r>
      <w:r>
        <w:t xml:space="preserve"> CJ</w:t>
      </w:r>
    </w:p>
    <w:p w14:paraId="5BD9A5BA" w14:textId="77777777" w:rsidR="00D7204C" w:rsidRPr="00704FF8" w:rsidRDefault="00D7204C" w:rsidP="00704FF8">
      <w:pPr>
        <w:pStyle w:val="OrderCentre"/>
      </w:pPr>
      <w:r w:rsidRPr="00704FF8">
        <w:t>GORDON</w:t>
      </w:r>
      <w:r>
        <w:t xml:space="preserve">, </w:t>
      </w:r>
      <w:r w:rsidRPr="004C496B">
        <w:t>STEWARD</w:t>
      </w:r>
      <w:r>
        <w:t>,</w:t>
      </w:r>
      <w:r w:rsidRPr="004C496B">
        <w:t xml:space="preserve"> </w:t>
      </w:r>
      <w:r>
        <w:t xml:space="preserve">GLEESON </w:t>
      </w:r>
      <w:r w:rsidRPr="00704FF8">
        <w:t>AND</w:t>
      </w:r>
      <w:r>
        <w:t xml:space="preserve"> JAGOT</w:t>
      </w:r>
      <w:r w:rsidRPr="00704FF8">
        <w:t xml:space="preserve"> JJ</w:t>
      </w:r>
    </w:p>
    <w:p w14:paraId="47B7BDE4" w14:textId="77777777" w:rsidR="00D7204C" w:rsidRPr="00427F3A" w:rsidRDefault="00D7204C" w:rsidP="00EE5374">
      <w:pPr>
        <w:pStyle w:val="Centre"/>
        <w:rPr>
          <w:lang w:val="en-AU"/>
        </w:rPr>
      </w:pPr>
    </w:p>
    <w:p w14:paraId="6EFCAE30" w14:textId="77777777" w:rsidR="00D7204C" w:rsidRPr="00704FF8" w:rsidRDefault="00D7204C" w:rsidP="00704FF8">
      <w:pPr>
        <w:pStyle w:val="OrdersCenteredBorder"/>
      </w:pPr>
    </w:p>
    <w:p w14:paraId="6EB369E3" w14:textId="77777777" w:rsidR="00D7204C" w:rsidRPr="00704FF8" w:rsidRDefault="00D7204C" w:rsidP="0032341F">
      <w:pPr>
        <w:pStyle w:val="OrdersBodyHeading"/>
      </w:pPr>
    </w:p>
    <w:p w14:paraId="73F20C71" w14:textId="77777777" w:rsidR="00D7204C" w:rsidRPr="0032341F" w:rsidRDefault="00D7204C" w:rsidP="009362E8">
      <w:pPr>
        <w:pStyle w:val="OrdersPartyName"/>
        <w:ind w:right="-1"/>
      </w:pPr>
      <w:r w:rsidRPr="009979EF">
        <w:t>GLEN PATRICK</w:t>
      </w:r>
      <w:r>
        <w:t xml:space="preserve"> </w:t>
      </w:r>
      <w:r w:rsidRPr="009979EF">
        <w:t>MCNAMARA</w:t>
      </w:r>
      <w:r w:rsidRPr="0032341F">
        <w:tab/>
        <w:t>APPELLANT</w:t>
      </w:r>
    </w:p>
    <w:p w14:paraId="27D4494F" w14:textId="77777777" w:rsidR="00D7204C" w:rsidRPr="0032341F" w:rsidRDefault="00D7204C" w:rsidP="009362E8">
      <w:pPr>
        <w:pStyle w:val="OrdersPartyName"/>
        <w:ind w:right="-1"/>
      </w:pPr>
    </w:p>
    <w:p w14:paraId="160D11BA" w14:textId="77777777" w:rsidR="00D7204C" w:rsidRPr="0032341F" w:rsidRDefault="00D7204C" w:rsidP="009362E8">
      <w:pPr>
        <w:pStyle w:val="OrdersPartyName"/>
        <w:ind w:right="-1"/>
      </w:pPr>
      <w:r w:rsidRPr="0032341F">
        <w:t>AND</w:t>
      </w:r>
    </w:p>
    <w:p w14:paraId="0E6DBEA0" w14:textId="77777777" w:rsidR="00D7204C" w:rsidRPr="0032341F" w:rsidRDefault="00D7204C" w:rsidP="009362E8">
      <w:pPr>
        <w:pStyle w:val="OrdersPartyName"/>
        <w:ind w:right="-1"/>
      </w:pPr>
    </w:p>
    <w:p w14:paraId="2336C07E" w14:textId="77777777" w:rsidR="00D7204C" w:rsidRPr="0032341F" w:rsidRDefault="00D7204C" w:rsidP="009362E8">
      <w:pPr>
        <w:pStyle w:val="OrdersPartyName"/>
        <w:ind w:right="-1"/>
      </w:pPr>
      <w:r w:rsidRPr="009979EF">
        <w:t>THE KING</w:t>
      </w:r>
      <w:r w:rsidRPr="0032341F">
        <w:tab/>
        <w:t>RESPONDENT</w:t>
      </w:r>
    </w:p>
    <w:p w14:paraId="06835660" w14:textId="77777777" w:rsidR="00D7204C" w:rsidRPr="00427F3A" w:rsidRDefault="00D7204C" w:rsidP="00AF0A5E">
      <w:pPr>
        <w:pStyle w:val="BodyHeading"/>
      </w:pPr>
    </w:p>
    <w:p w14:paraId="779567FB" w14:textId="77777777" w:rsidR="00D7204C" w:rsidRPr="00427F3A" w:rsidRDefault="00D7204C" w:rsidP="00BE0A6C">
      <w:pPr>
        <w:pStyle w:val="BodyHeading"/>
      </w:pPr>
    </w:p>
    <w:p w14:paraId="39C2F07C" w14:textId="77777777" w:rsidR="00D7204C" w:rsidRPr="00427F3A" w:rsidRDefault="00D7204C" w:rsidP="00EE5374">
      <w:pPr>
        <w:pStyle w:val="CentreItalics"/>
      </w:pPr>
      <w:r w:rsidRPr="009979EF">
        <w:t>McNamara v The King</w:t>
      </w:r>
    </w:p>
    <w:p w14:paraId="069098E5" w14:textId="77777777" w:rsidR="00D7204C" w:rsidRPr="00427F3A" w:rsidRDefault="00D7204C" w:rsidP="00E90E4F">
      <w:pPr>
        <w:pStyle w:val="OrdersCentre"/>
      </w:pPr>
      <w:r>
        <w:t>[2023</w:t>
      </w:r>
      <w:r w:rsidRPr="00427F3A">
        <w:t xml:space="preserve">] HCA </w:t>
      </w:r>
      <w:r>
        <w:t>36</w:t>
      </w:r>
    </w:p>
    <w:p w14:paraId="7446467B" w14:textId="77777777" w:rsidR="00D7204C" w:rsidRDefault="00D7204C" w:rsidP="00E90E4F">
      <w:pPr>
        <w:pStyle w:val="OrdersCentreItalics"/>
      </w:pPr>
      <w:r>
        <w:t>Date of Hearing: 16 May 2023</w:t>
      </w:r>
    </w:p>
    <w:p w14:paraId="470ACCDA" w14:textId="77777777" w:rsidR="00D7204C" w:rsidRPr="00427F3A" w:rsidRDefault="00D7204C" w:rsidP="00E90E4F">
      <w:pPr>
        <w:pStyle w:val="OrdersCentreItalics"/>
      </w:pPr>
      <w:r>
        <w:t>Date of Judgment: 15 November 2023</w:t>
      </w:r>
    </w:p>
    <w:p w14:paraId="04619DE4" w14:textId="77777777" w:rsidR="00D7204C" w:rsidRDefault="00D7204C" w:rsidP="00E90E4F">
      <w:pPr>
        <w:pStyle w:val="OrdersCentre"/>
      </w:pPr>
      <w:r w:rsidRPr="009979EF">
        <w:t>S143/2022</w:t>
      </w:r>
    </w:p>
    <w:p w14:paraId="2FF2ED60" w14:textId="77777777" w:rsidR="00D7204C" w:rsidRPr="00427F3A" w:rsidRDefault="00D7204C" w:rsidP="00E90E4F">
      <w:pPr>
        <w:pStyle w:val="OrdersCentre"/>
      </w:pPr>
    </w:p>
    <w:p w14:paraId="15894289" w14:textId="77777777" w:rsidR="00D7204C" w:rsidRPr="00BE0A6C" w:rsidRDefault="00D7204C" w:rsidP="00E90E4F">
      <w:pPr>
        <w:pStyle w:val="OrderCentreBold"/>
      </w:pPr>
      <w:r w:rsidRPr="00BE0A6C">
        <w:t>ORDER</w:t>
      </w:r>
    </w:p>
    <w:p w14:paraId="4DCA4042" w14:textId="77777777" w:rsidR="00D7204C" w:rsidRPr="00427F3A" w:rsidRDefault="00D7204C" w:rsidP="00736C52">
      <w:pPr>
        <w:pStyle w:val="Centre"/>
        <w:rPr>
          <w:lang w:val="en-AU"/>
        </w:rPr>
      </w:pPr>
    </w:p>
    <w:p w14:paraId="6310108C" w14:textId="77777777" w:rsidR="00D7204C" w:rsidRPr="00F97CCF" w:rsidRDefault="00D7204C" w:rsidP="00F97CCF">
      <w:pPr>
        <w:pStyle w:val="OrdersText"/>
      </w:pPr>
      <w:r w:rsidRPr="00F97CCF">
        <w:t>Appeal dismissed.</w:t>
      </w:r>
    </w:p>
    <w:p w14:paraId="7A57AC43" w14:textId="77777777" w:rsidR="00D7204C" w:rsidRDefault="00D7204C" w:rsidP="00EE5374">
      <w:pPr>
        <w:pStyle w:val="Body"/>
      </w:pPr>
    </w:p>
    <w:p w14:paraId="10788BA4" w14:textId="77777777" w:rsidR="00D7204C" w:rsidRPr="00427F3A" w:rsidRDefault="00D7204C" w:rsidP="00EE5374">
      <w:pPr>
        <w:pStyle w:val="Body"/>
      </w:pPr>
    </w:p>
    <w:p w14:paraId="7B91CB72" w14:textId="77777777" w:rsidR="00D7204C" w:rsidRPr="00427F3A" w:rsidRDefault="00D7204C" w:rsidP="0032341F">
      <w:pPr>
        <w:pStyle w:val="OrdersBody"/>
      </w:pPr>
      <w:r w:rsidRPr="00427F3A">
        <w:t xml:space="preserve">On appeal from the </w:t>
      </w:r>
      <w:r w:rsidRPr="009979EF">
        <w:t>Supreme Court of New South Wales</w:t>
      </w:r>
    </w:p>
    <w:p w14:paraId="2336CF73" w14:textId="77777777" w:rsidR="00D7204C" w:rsidRDefault="00D7204C" w:rsidP="00EE5374">
      <w:pPr>
        <w:pStyle w:val="Body"/>
      </w:pPr>
    </w:p>
    <w:p w14:paraId="08C12C26" w14:textId="77777777" w:rsidR="00D7204C" w:rsidRPr="00427F3A" w:rsidRDefault="00D7204C" w:rsidP="00EE5374">
      <w:pPr>
        <w:pStyle w:val="Body"/>
      </w:pPr>
    </w:p>
    <w:p w14:paraId="75C75836" w14:textId="77777777" w:rsidR="00D7204C" w:rsidRPr="009979EF" w:rsidRDefault="00D7204C" w:rsidP="00E90E4F">
      <w:pPr>
        <w:pStyle w:val="OrdersBodyHeading"/>
      </w:pPr>
      <w:r w:rsidRPr="009979EF">
        <w:t>Representation</w:t>
      </w:r>
    </w:p>
    <w:p w14:paraId="7B900879" w14:textId="77777777" w:rsidR="00D7204C" w:rsidRPr="009979EF" w:rsidRDefault="00D7204C" w:rsidP="00EE5374">
      <w:pPr>
        <w:pStyle w:val="Body"/>
      </w:pPr>
    </w:p>
    <w:p w14:paraId="5FA209B5" w14:textId="77777777" w:rsidR="00D7204C" w:rsidRPr="009979EF" w:rsidRDefault="00D7204C" w:rsidP="00E90E4F">
      <w:pPr>
        <w:pStyle w:val="OrdersBody"/>
      </w:pPr>
      <w:r w:rsidRPr="009979EF">
        <w:t>G O</w:t>
      </w:r>
      <w:r w:rsidRPr="009979EF">
        <w:rPr>
          <w:lang w:val="en-AU"/>
        </w:rPr>
        <w:t>'</w:t>
      </w:r>
      <w:r w:rsidRPr="009979EF">
        <w:t>L Reynolds SC with G D Wendler and D A Ward for the appellant (instructed by Kings Law Group)</w:t>
      </w:r>
    </w:p>
    <w:p w14:paraId="665B596A" w14:textId="77777777" w:rsidR="00D7204C" w:rsidRPr="009979EF" w:rsidRDefault="00D7204C" w:rsidP="001B3C97">
      <w:pPr>
        <w:pStyle w:val="Body"/>
      </w:pPr>
    </w:p>
    <w:p w14:paraId="59823097" w14:textId="77777777" w:rsidR="00D7204C" w:rsidRPr="009979EF" w:rsidRDefault="00D7204C" w:rsidP="00E90E4F">
      <w:pPr>
        <w:pStyle w:val="OrdersBody"/>
      </w:pPr>
      <w:r w:rsidRPr="009979EF">
        <w:t xml:space="preserve">S C Dowling SC with E </w:t>
      </w:r>
      <w:proofErr w:type="spellStart"/>
      <w:r w:rsidRPr="009979EF">
        <w:t>Balodis</w:t>
      </w:r>
      <w:proofErr w:type="spellEnd"/>
      <w:r w:rsidRPr="009979EF">
        <w:t xml:space="preserve"> and A L </w:t>
      </w:r>
      <w:proofErr w:type="spellStart"/>
      <w:r w:rsidRPr="009979EF">
        <w:t>Bonnor</w:t>
      </w:r>
      <w:proofErr w:type="spellEnd"/>
      <w:r w:rsidRPr="009979EF">
        <w:t xml:space="preserve"> for the respondent (instructed by Director of Public Prosecutions (NSW))</w:t>
      </w:r>
    </w:p>
    <w:p w14:paraId="728EFF12" w14:textId="77777777" w:rsidR="00D7204C" w:rsidRPr="009979EF" w:rsidRDefault="00D7204C" w:rsidP="00A01277">
      <w:pPr>
        <w:pStyle w:val="Body"/>
      </w:pPr>
    </w:p>
    <w:p w14:paraId="72DC5D28" w14:textId="77777777" w:rsidR="00D7204C" w:rsidRDefault="00D7204C" w:rsidP="00EE5374">
      <w:pPr>
        <w:pStyle w:val="Body"/>
      </w:pPr>
    </w:p>
    <w:p w14:paraId="0AEEBF0C" w14:textId="77777777" w:rsidR="00D7204C" w:rsidRPr="00427F3A" w:rsidRDefault="00D7204C" w:rsidP="00EE5374">
      <w:pPr>
        <w:pStyle w:val="Body"/>
      </w:pPr>
    </w:p>
    <w:p w14:paraId="0423D80D" w14:textId="77777777" w:rsidR="00D7204C" w:rsidRPr="00427F3A" w:rsidRDefault="00D7204C" w:rsidP="00F9713B">
      <w:pPr>
        <w:pStyle w:val="Notice"/>
        <w:rPr>
          <w:lang w:val="en-AU"/>
        </w:rPr>
      </w:pPr>
      <w:r w:rsidRPr="00427F3A">
        <w:rPr>
          <w:lang w:val="en-AU"/>
        </w:rPr>
        <w:t>Notice:  This copy of the Court's Reasons for Judgment is subject to formal revision prior to publication in the Commonwealth Law Reports.</w:t>
      </w:r>
    </w:p>
    <w:p w14:paraId="55D448F1" w14:textId="69E8CBF6" w:rsidR="00D7204C" w:rsidRDefault="00D720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737C1CF" w14:textId="77777777" w:rsidR="00D7204C" w:rsidRDefault="00D720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7204C" w:rsidSect="00D7204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FD2C469" w14:textId="77777777" w:rsidR="00D7204C" w:rsidRDefault="00D7204C" w:rsidP="001649CA">
      <w:pPr>
        <w:pStyle w:val="CatchwordsBold"/>
      </w:pPr>
      <w:r w:rsidRPr="00B9489E">
        <w:lastRenderedPageBreak/>
        <w:t>CATCHWORDS</w:t>
      </w:r>
    </w:p>
    <w:p w14:paraId="23C5B515" w14:textId="77777777" w:rsidR="00D7204C" w:rsidRPr="00B9489E" w:rsidRDefault="00D7204C" w:rsidP="001649CA">
      <w:pPr>
        <w:pStyle w:val="CatchwordsBold"/>
      </w:pPr>
    </w:p>
    <w:p w14:paraId="72C09E4C" w14:textId="77777777" w:rsidR="00D7204C" w:rsidRPr="00B9489E" w:rsidRDefault="00D7204C" w:rsidP="001649CA">
      <w:pPr>
        <w:pStyle w:val="CatchwordsBold"/>
      </w:pPr>
      <w:r>
        <w:t xml:space="preserve">McNamara v The King </w:t>
      </w:r>
    </w:p>
    <w:p w14:paraId="6285C83D" w14:textId="77777777" w:rsidR="00D7204C" w:rsidRPr="00B9489E" w:rsidRDefault="00D7204C" w:rsidP="00D7204C">
      <w:pPr>
        <w:pStyle w:val="Default"/>
      </w:pPr>
    </w:p>
    <w:p w14:paraId="415FA51A" w14:textId="77777777" w:rsidR="00D7204C" w:rsidRDefault="00D7204C" w:rsidP="00D7204C">
      <w:pPr>
        <w:pStyle w:val="CatchwordsText"/>
      </w:pPr>
      <w:r>
        <w:t xml:space="preserve">Evidence </w:t>
      </w:r>
      <w:r w:rsidRPr="00E25064">
        <w:t>–</w:t>
      </w:r>
      <w:r>
        <w:t xml:space="preserve"> Criminal trial </w:t>
      </w:r>
      <w:r w:rsidRPr="00461331">
        <w:t>–</w:t>
      </w:r>
      <w:r>
        <w:t xml:space="preserve"> Joint trial – Discretionary exclusion rule </w:t>
      </w:r>
      <w:r w:rsidRPr="003658D2">
        <w:t>–</w:t>
      </w:r>
      <w:r w:rsidRPr="007033D8">
        <w:t xml:space="preserve"> </w:t>
      </w:r>
      <w:r>
        <w:t>Where appellant and co</w:t>
      </w:r>
      <w:r>
        <w:noBreakHyphen/>
        <w:t xml:space="preserve">accused convicted of murder and </w:t>
      </w:r>
      <w:r w:rsidRPr="007B3B59">
        <w:t xml:space="preserve">supplying large commercial quantity of methylamphetamine – </w:t>
      </w:r>
      <w:r>
        <w:t xml:space="preserve">Where appellant sought to lead </w:t>
      </w:r>
      <w:r w:rsidRPr="00F45251">
        <w:t xml:space="preserve">evidence </w:t>
      </w:r>
      <w:r>
        <w:t>at trial</w:t>
      </w:r>
      <w:r w:rsidRPr="00F45251">
        <w:t xml:space="preserve"> that </w:t>
      </w:r>
      <w:r>
        <w:t>co</w:t>
      </w:r>
      <w:r>
        <w:noBreakHyphen/>
        <w:t>accused</w:t>
      </w:r>
      <w:r w:rsidRPr="00F45251">
        <w:t xml:space="preserve"> admitted </w:t>
      </w:r>
      <w:r>
        <w:t>participation</w:t>
      </w:r>
      <w:r w:rsidRPr="00F45251">
        <w:t xml:space="preserve"> in several homicides and other criminal violence </w:t>
      </w:r>
      <w:r>
        <w:t xml:space="preserve">to establish defence of duress </w:t>
      </w:r>
      <w:r w:rsidRPr="00F45251">
        <w:t xml:space="preserve">– </w:t>
      </w:r>
      <w:r>
        <w:t xml:space="preserve">Where evidence excluded because unfairly </w:t>
      </w:r>
      <w:r w:rsidRPr="00F45251">
        <w:t xml:space="preserve">prejudicial to </w:t>
      </w:r>
      <w:r>
        <w:t>co</w:t>
      </w:r>
      <w:r>
        <w:noBreakHyphen/>
        <w:t>accused</w:t>
      </w:r>
      <w:r w:rsidRPr="00F45251">
        <w:t xml:space="preserve"> –</w:t>
      </w:r>
      <w:r>
        <w:t xml:space="preserve"> Where s 135(a) of </w:t>
      </w:r>
      <w:r w:rsidRPr="000D37BC">
        <w:rPr>
          <w:i/>
          <w:iCs/>
        </w:rPr>
        <w:t>Evidence Act</w:t>
      </w:r>
      <w:r w:rsidRPr="00D409A6">
        <w:t xml:space="preserve"> </w:t>
      </w:r>
      <w:r w:rsidRPr="00BA7C9A">
        <w:rPr>
          <w:i/>
          <w:iCs/>
        </w:rPr>
        <w:t>1995</w:t>
      </w:r>
      <w:r w:rsidRPr="00D409A6">
        <w:t xml:space="preserve"> (NSW) </w:t>
      </w:r>
      <w:r>
        <w:t>permits court to refuse to admit</w:t>
      </w:r>
      <w:r w:rsidRPr="000D37BC">
        <w:t xml:space="preserve"> </w:t>
      </w:r>
      <w:r w:rsidRPr="00D409A6">
        <w:t xml:space="preserve">evidence </w:t>
      </w:r>
      <w:r>
        <w:t xml:space="preserve">if probative value substantially outweighed by danger of </w:t>
      </w:r>
      <w:r w:rsidRPr="00D409A6">
        <w:t>unfair prejudic</w:t>
      </w:r>
      <w:r>
        <w:t>e</w:t>
      </w:r>
      <w:r w:rsidRPr="00D409A6">
        <w:t xml:space="preserve"> to </w:t>
      </w:r>
      <w:r>
        <w:t>"</w:t>
      </w:r>
      <w:r w:rsidRPr="00D409A6">
        <w:t>a party</w:t>
      </w:r>
      <w:r>
        <w:t>"</w:t>
      </w:r>
      <w:r w:rsidRPr="00D409A6">
        <w:t xml:space="preserve"> – </w:t>
      </w:r>
      <w:r>
        <w:t>Whether "</w:t>
      </w:r>
      <w:r w:rsidRPr="00D409A6">
        <w:t>a party</w:t>
      </w:r>
      <w:r>
        <w:t>"</w:t>
      </w:r>
      <w:r w:rsidRPr="00D409A6">
        <w:t xml:space="preserve"> includes co</w:t>
      </w:r>
      <w:r>
        <w:noBreakHyphen/>
      </w:r>
      <w:r w:rsidRPr="00D409A6">
        <w:t>accused in joint criminal trial</w:t>
      </w:r>
      <w:r>
        <w:t>.</w:t>
      </w:r>
    </w:p>
    <w:p w14:paraId="0D4DA13A" w14:textId="77777777" w:rsidR="00D7204C" w:rsidRDefault="00D7204C" w:rsidP="00D7204C">
      <w:pPr>
        <w:pStyle w:val="CatchwordsText"/>
      </w:pPr>
    </w:p>
    <w:p w14:paraId="762EEC2F" w14:textId="77777777" w:rsidR="00D7204C" w:rsidRPr="00ED7EA8" w:rsidRDefault="00D7204C" w:rsidP="00D7204C">
      <w:pPr>
        <w:pStyle w:val="CatchwordsText"/>
      </w:pPr>
      <w:r w:rsidRPr="00B9489E">
        <w:t>Words and phrases –</w:t>
      </w:r>
      <w:r>
        <w:t xml:space="preserve"> </w:t>
      </w:r>
      <w:r w:rsidRPr="00D02843">
        <w:t>"a party"</w:t>
      </w:r>
      <w:r>
        <w:t>, "</w:t>
      </w:r>
      <w:r w:rsidRPr="00425227">
        <w:t>discretionary exclusion"</w:t>
      </w:r>
      <w:r>
        <w:t>, "evidence", "interests of justice", "</w:t>
      </w:r>
      <w:r w:rsidRPr="007B4FCD">
        <w:t>joint criminal trial"</w:t>
      </w:r>
      <w:r>
        <w:t xml:space="preserve">, </w:t>
      </w:r>
      <w:r w:rsidRPr="007B4FCD">
        <w:t>"joint indictment"</w:t>
      </w:r>
      <w:r>
        <w:t xml:space="preserve">, </w:t>
      </w:r>
      <w:r w:rsidRPr="007B4FCD">
        <w:t xml:space="preserve">"jointly charged", </w:t>
      </w:r>
      <w:r>
        <w:t>"</w:t>
      </w:r>
      <w:r w:rsidRPr="009E4B68">
        <w:t>proceeding"</w:t>
      </w:r>
      <w:r>
        <w:t xml:space="preserve">, "reasons of principle and policy", </w:t>
      </w:r>
      <w:r w:rsidRPr="009E4B68">
        <w:t xml:space="preserve">"right to adduce admissible evidence", </w:t>
      </w:r>
      <w:r>
        <w:t>"unfairly prejudicial".</w:t>
      </w:r>
    </w:p>
    <w:p w14:paraId="0127B72C" w14:textId="77777777" w:rsidR="00D7204C" w:rsidRPr="00B9489E" w:rsidRDefault="00D7204C" w:rsidP="00D7204C">
      <w:pPr>
        <w:pStyle w:val="CatchwordsText"/>
      </w:pPr>
    </w:p>
    <w:p w14:paraId="06E8E441" w14:textId="77777777" w:rsidR="00D7204C" w:rsidRDefault="00D7204C" w:rsidP="00D7204C">
      <w:pPr>
        <w:pStyle w:val="CatchwordsText"/>
        <w:rPr>
          <w:i/>
          <w:iCs/>
        </w:rPr>
      </w:pPr>
      <w:r w:rsidRPr="009E4B68">
        <w:rPr>
          <w:i/>
          <w:iCs/>
        </w:rPr>
        <w:t>Criminal Procedure Act 1986</w:t>
      </w:r>
      <w:r>
        <w:t xml:space="preserve"> (NSW), ss 21(2)(b), 29, 29A.</w:t>
      </w:r>
    </w:p>
    <w:p w14:paraId="6BAABC44" w14:textId="39E45049" w:rsidR="00D7204C" w:rsidRDefault="00D7204C" w:rsidP="00D7204C">
      <w:pPr>
        <w:pStyle w:val="CatchwordsText"/>
      </w:pPr>
      <w:r w:rsidRPr="009E4B68">
        <w:rPr>
          <w:i/>
          <w:iCs/>
        </w:rPr>
        <w:t>Evidence Act 1995</w:t>
      </w:r>
      <w:r w:rsidRPr="00687AE7">
        <w:t xml:space="preserve"> (NSW)</w:t>
      </w:r>
      <w:r>
        <w:t xml:space="preserve">, ss 9, </w:t>
      </w:r>
      <w:r w:rsidRPr="00272B13">
        <w:t>135(a)</w:t>
      </w:r>
      <w:r>
        <w:t>.</w:t>
      </w:r>
    </w:p>
    <w:p w14:paraId="10058022" w14:textId="77777777" w:rsidR="00D7204C" w:rsidRPr="00904CD6" w:rsidRDefault="00D7204C" w:rsidP="00D7204C">
      <w:pPr>
        <w:pStyle w:val="CatchwordsText"/>
      </w:pPr>
    </w:p>
    <w:p w14:paraId="3E1147EE" w14:textId="77777777" w:rsidR="00D7204C" w:rsidRDefault="00D7204C" w:rsidP="001649CA">
      <w:pPr>
        <w:pStyle w:val="CatchwordsText"/>
      </w:pPr>
    </w:p>
    <w:p w14:paraId="22E57FF3" w14:textId="596A501D" w:rsidR="00D7204C" w:rsidRDefault="00D7204C" w:rsidP="00D720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E904346" w14:textId="0E50C50B" w:rsidR="00D7204C" w:rsidRDefault="00D720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BA3FD5A" w14:textId="6D3B5509" w:rsidR="00D7204C" w:rsidRDefault="00D720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83A3754" w14:textId="77777777" w:rsidR="00D7204C" w:rsidRDefault="00D7204C" w:rsidP="001720E4">
      <w:pPr>
        <w:pStyle w:val="FixListStyle"/>
        <w:tabs>
          <w:tab w:val="clear" w:pos="720"/>
          <w:tab w:val="left" w:pos="0"/>
        </w:tabs>
        <w:spacing w:after="260" w:line="280" w:lineRule="exact"/>
        <w:ind w:right="0"/>
        <w:jc w:val="both"/>
        <w:rPr>
          <w:rFonts w:ascii="Times New Roman" w:hAnsi="Times New Roman"/>
        </w:rPr>
        <w:sectPr w:rsidR="00D7204C" w:rsidSect="00D7204C">
          <w:pgSz w:w="11907" w:h="16839" w:code="9"/>
          <w:pgMar w:top="1440" w:right="1701" w:bottom="1984" w:left="1701" w:header="720" w:footer="720" w:gutter="0"/>
          <w:pgNumType w:start="1"/>
          <w:cols w:space="720"/>
          <w:titlePg/>
          <w:docGrid w:linePitch="354"/>
        </w:sectPr>
      </w:pPr>
    </w:p>
    <w:p w14:paraId="5F627EAA" w14:textId="78A8C914" w:rsidR="007F652D" w:rsidRPr="001720E4" w:rsidRDefault="001720E4" w:rsidP="001720E4">
      <w:pPr>
        <w:pStyle w:val="FixListStyle"/>
        <w:tabs>
          <w:tab w:val="clear" w:pos="720"/>
          <w:tab w:val="left" w:pos="0"/>
        </w:tabs>
        <w:spacing w:after="260" w:line="280" w:lineRule="exact"/>
        <w:ind w:right="0"/>
        <w:jc w:val="both"/>
        <w:rPr>
          <w:rFonts w:ascii="Times New Roman" w:hAnsi="Times New Roman"/>
        </w:rPr>
      </w:pPr>
      <w:r w:rsidRPr="001720E4">
        <w:rPr>
          <w:rFonts w:ascii="Times New Roman" w:hAnsi="Times New Roman"/>
        </w:rPr>
        <w:lastRenderedPageBreak/>
        <w:t>GAGELER</w:t>
      </w:r>
      <w:r w:rsidR="007273B7">
        <w:rPr>
          <w:rFonts w:ascii="Times New Roman" w:hAnsi="Times New Roman"/>
        </w:rPr>
        <w:t xml:space="preserve"> CJ</w:t>
      </w:r>
      <w:r w:rsidRPr="001720E4">
        <w:rPr>
          <w:rFonts w:ascii="Times New Roman" w:hAnsi="Times New Roman"/>
        </w:rPr>
        <w:t xml:space="preserve">, GLEESON AND JAGOT JJ.   </w:t>
      </w:r>
      <w:r w:rsidR="007F652D" w:rsidRPr="001720E4">
        <w:rPr>
          <w:rFonts w:ascii="Times New Roman" w:hAnsi="Times New Roman"/>
        </w:rPr>
        <w:t xml:space="preserve">Section 135(a) of the </w:t>
      </w:r>
      <w:r w:rsidR="007F652D" w:rsidRPr="001720E4">
        <w:rPr>
          <w:rFonts w:ascii="Times New Roman" w:hAnsi="Times New Roman"/>
          <w:i/>
        </w:rPr>
        <w:t>Evidence Act 1995</w:t>
      </w:r>
      <w:r w:rsidR="007F652D" w:rsidRPr="001720E4">
        <w:rPr>
          <w:rFonts w:ascii="Times New Roman" w:hAnsi="Times New Roman"/>
        </w:rPr>
        <w:t xml:space="preserve"> (NSW) ("the Evidence Act") empowers a court to refuse to admit evidence, that is relevant and otherwise admissible in "a proceeding", if the probative value of the evidence is substantially outweighed by the danger that it might be unfairly prejudicial to "a party". The question in this appeal is whether "a party" includes a co-accused in a joint criminal trial. The answer is that it does. The Court of Criminal Appeal of the Supreme Court of New South Wales was correct so to hold, and the appeal must be dismissed.</w:t>
      </w:r>
    </w:p>
    <w:p w14:paraId="60A231F2"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To explain that answer in a manner responsive to the argument of the appellant, it is necessary to say something of the nature of a joint criminal trial, to examine the antecedent common law pertaining to the exclusion of evidence sought to be adduced by a co-accused, and to explain more fully how the scheme of the Evidence Act applies to a joint criminal trial.</w:t>
      </w:r>
    </w:p>
    <w:p w14:paraId="49630A39" w14:textId="77777777" w:rsidR="007F652D" w:rsidRPr="001720E4" w:rsidRDefault="007F652D" w:rsidP="001720E4">
      <w:pPr>
        <w:pStyle w:val="HeadingL1"/>
        <w:spacing w:after="260" w:line="280" w:lineRule="exact"/>
        <w:ind w:right="0"/>
        <w:jc w:val="both"/>
        <w:rPr>
          <w:rFonts w:ascii="Times New Roman" w:hAnsi="Times New Roman"/>
        </w:rPr>
      </w:pPr>
      <w:r w:rsidRPr="001720E4">
        <w:rPr>
          <w:rFonts w:ascii="Times New Roman" w:hAnsi="Times New Roman"/>
        </w:rPr>
        <w:t>Background to the appeal</w:t>
      </w:r>
    </w:p>
    <w:p w14:paraId="778C0977" w14:textId="177AF8F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appellant, Glen McNamara, and his co-accused, Roger Rogerson, were tried by a jury before Bellew J in the Supreme Court of New South Wales on a single indictment presented by the Director of Public Prosecutions on behalf of the Crown in right of the State of New South Wales. The indictment charged them jointly with one count of murder and one count of supplying a large commercial quantity of methylamphetamine. The Crown case was that McNamara and Rogerson engaged in a joint criminal enterprise described as a "drug rip-off". Their plan was for McNamara to lure the deceased, Jamie Gao, a drug supplier, to a storage unit with the methylamphetamine where Rogerson was to pose as a purchaser. Their plan was then to dispossess Gao of the methylamphetamine and to cover their tracks by killing Gao and disposing of his body.</w:t>
      </w:r>
    </w:p>
    <w:p w14:paraId="5254157D" w14:textId="55B42335"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McNamara's case was that he was not party to a joint criminal enterprise with Rogerson either to dispossess Gao of the drugs or to kill Gao. His case was that an altercation between Gao and Rogerson occurred at the storage unit. The altercation culminated in Rogerson shooting Gao twice with a gun. Until the shooting, McNamara had been unaware that Rogerson had brought a gun to the storage unit. Following the shooting, he assisted Rogerson handling the drugs and disposing of Gao's body under the duress of Rogerson.</w:t>
      </w:r>
    </w:p>
    <w:p w14:paraId="7EC92E9A" w14:textId="7AB78FF4"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Rogerson's case was likewise that he was not party to such a joint criminal enterprise with McNamara, although his story of what occurred was different. His case was that he had gone to the storage unit to assist McNamara as his "second set of eyes". When he entered the storage unit, Gao was already lying dead on the floor.</w:t>
      </w:r>
    </w:p>
    <w:p w14:paraId="070DD41E" w14:textId="73D640C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lastRenderedPageBreak/>
        <w:tab/>
        <w:t>The Crown closed its case on the 49th day of the trial. McNamara and Rogerson then consecutively went into evidence. After giving his evidence in chief, each was cross-examined by counsel for the Crown and by counsel for the other accused.</w:t>
      </w:r>
    </w:p>
    <w:p w14:paraId="388F3447" w14:textId="7D81324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McNamara testified in his evidence in chief that, immediately after the fatal second shot, he asked Rogerson "why? why? why?". He testified that Rogerson in response approached him with the gun pointed directly at his head. McNamara sought to testify that Rogerson said:</w:t>
      </w:r>
    </w:p>
    <w:p w14:paraId="26FC7250" w14:textId="77777777" w:rsidR="001720E4" w:rsidRDefault="007F652D" w:rsidP="001720E4">
      <w:pPr>
        <w:pStyle w:val="leftright"/>
        <w:spacing w:before="0" w:after="260" w:line="280" w:lineRule="exact"/>
        <w:ind w:right="0"/>
        <w:jc w:val="both"/>
        <w:rPr>
          <w:rFonts w:ascii="Times New Roman" w:hAnsi="Times New Roman"/>
          <w:b/>
          <w:bCs/>
        </w:rPr>
      </w:pPr>
      <w:r w:rsidRPr="001720E4">
        <w:rPr>
          <w:rFonts w:ascii="Times New Roman" w:hAnsi="Times New Roman"/>
        </w:rPr>
        <w:t xml:space="preserve">"I did Drury, I did Drury. I'll do you too. Get up and fucking help me </w:t>
      </w:r>
      <w:proofErr w:type="gramStart"/>
      <w:r w:rsidRPr="001720E4">
        <w:rPr>
          <w:rFonts w:ascii="Times New Roman" w:hAnsi="Times New Roman"/>
        </w:rPr>
        <w:t>you</w:t>
      </w:r>
      <w:proofErr w:type="gramEnd"/>
      <w:r w:rsidRPr="001720E4">
        <w:rPr>
          <w:rFonts w:ascii="Times New Roman" w:hAnsi="Times New Roman"/>
        </w:rPr>
        <w:t xml:space="preserve"> weak cunt or I'll leave you on the floor lying next to him ... He pulled the fucking knife first, get up and help me or you'll be as dead as him, then I'll kill your girls." </w:t>
      </w:r>
    </w:p>
    <w:p w14:paraId="483B85CC" w14:textId="6E1B4394" w:rsidR="007F652D" w:rsidRPr="001720E4" w:rsidRDefault="007F652D" w:rsidP="001720E4">
      <w:pPr>
        <w:pStyle w:val="NormalBody"/>
        <w:spacing w:after="260" w:line="280" w:lineRule="exact"/>
        <w:ind w:right="0"/>
        <w:jc w:val="both"/>
        <w:rPr>
          <w:rFonts w:ascii="Times New Roman" w:hAnsi="Times New Roman"/>
          <w:b/>
          <w:bCs/>
        </w:rPr>
      </w:pPr>
      <w:r w:rsidRPr="001720E4">
        <w:rPr>
          <w:rFonts w:ascii="Times New Roman" w:hAnsi="Times New Roman"/>
        </w:rPr>
        <w:t xml:space="preserve">The reference to "Drury" was to Michael Drury. </w:t>
      </w:r>
    </w:p>
    <w:p w14:paraId="2E88C4BE" w14:textId="15C01CD0"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McNamara additionally sought to testify to having had a conversation with Rogerson some months earlier. The earlier conversation was said to have occurred on a social occasion and in the context of McNamara having agreed to write a book about Rogerson. During the conversation, according to McNamara, Rogerson told McNamara that Rogerson had shot Michael Drury, had murdered Christopher </w:t>
      </w:r>
      <w:proofErr w:type="gramStart"/>
      <w:r w:rsidRPr="001720E4">
        <w:rPr>
          <w:rFonts w:ascii="Times New Roman" w:hAnsi="Times New Roman"/>
        </w:rPr>
        <w:t>Flannery</w:t>
      </w:r>
      <w:proofErr w:type="gramEnd"/>
      <w:r w:rsidRPr="001720E4">
        <w:rPr>
          <w:rFonts w:ascii="Times New Roman" w:hAnsi="Times New Roman"/>
        </w:rPr>
        <w:t xml:space="preserve"> and disposed of his body, had murdered Warren Lanfranchi, had arranged the murder of Alan Williams, and had been involved with the murders of Sallyanne </w:t>
      </w:r>
      <w:proofErr w:type="spellStart"/>
      <w:r w:rsidRPr="001720E4">
        <w:rPr>
          <w:rFonts w:ascii="Times New Roman" w:hAnsi="Times New Roman"/>
        </w:rPr>
        <w:t>Huckstepp</w:t>
      </w:r>
      <w:proofErr w:type="spellEnd"/>
      <w:r w:rsidRPr="001720E4">
        <w:rPr>
          <w:rFonts w:ascii="Times New Roman" w:hAnsi="Times New Roman"/>
        </w:rPr>
        <w:t xml:space="preserve"> and Luton Chu. </w:t>
      </w:r>
    </w:p>
    <w:p w14:paraId="4FF07A80" w14:textId="4AC542D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Having been appropriately forewarned of the terms of that proposed testimony, counsel for Rogerson objected to the admission of the whole of the earlier conversation and to the admission of the words "I did Drury</w:t>
      </w:r>
      <w:r w:rsidR="00367B22" w:rsidRPr="001720E4">
        <w:rPr>
          <w:rFonts w:ascii="Times New Roman" w:hAnsi="Times New Roman"/>
        </w:rPr>
        <w:t>,</w:t>
      </w:r>
      <w:r w:rsidRPr="001720E4">
        <w:rPr>
          <w:rFonts w:ascii="Times New Roman" w:hAnsi="Times New Roman"/>
        </w:rPr>
        <w:t xml:space="preserve"> I did Drury". The basis of the objection was that the probative value of that proposed testimony to McNamara was substantially outweighed by the danger of its prejudicial effect on Rogerson. </w:t>
      </w:r>
    </w:p>
    <w:p w14:paraId="5798534B" w14:textId="0CA29E5C"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In a reasoned ruling, the trial judge upheld the objection</w:t>
      </w:r>
      <w:r w:rsidRPr="001720E4">
        <w:rPr>
          <w:rStyle w:val="FootnoteReference"/>
          <w:rFonts w:ascii="Times New Roman" w:hAnsi="Times New Roman"/>
          <w:sz w:val="24"/>
        </w:rPr>
        <w:footnoteReference w:id="2"/>
      </w:r>
      <w:r w:rsidRPr="001720E4">
        <w:rPr>
          <w:rFonts w:ascii="Times New Roman" w:hAnsi="Times New Roman"/>
        </w:rPr>
        <w:t xml:space="preserve">. No point having been taken before the trial judge that he lacked power to exclude the proposed testimony of McNamara under s 135(a) of the Evidence Act, his Honour explained that he was persuaded that the probative value of the testimony to McNamara was outweighed by the real danger that it would be unfairly prejudicial to Rogerson and therefore that the power </w:t>
      </w:r>
      <w:r w:rsidR="005F5296" w:rsidRPr="001720E4">
        <w:rPr>
          <w:rFonts w:ascii="Times New Roman" w:hAnsi="Times New Roman"/>
        </w:rPr>
        <w:t xml:space="preserve">under s 135(a) of the Evidence Act </w:t>
      </w:r>
      <w:r w:rsidRPr="001720E4">
        <w:rPr>
          <w:rFonts w:ascii="Times New Roman" w:hAnsi="Times New Roman"/>
        </w:rPr>
        <w:t xml:space="preserve">should be exercised to exclude the testimony. As to the probative value of the testimony to McNamara, his Honour found that it added little to McNamara's case of duress, </w:t>
      </w:r>
      <w:r w:rsidRPr="001720E4">
        <w:rPr>
          <w:rFonts w:ascii="Times New Roman" w:hAnsi="Times New Roman"/>
        </w:rPr>
        <w:lastRenderedPageBreak/>
        <w:t>the "real basis" of the duress McNamara asserted stemming from a combination of seeing Gao shot in cold blood and the threat made by Rogerson immediately afterwards</w:t>
      </w:r>
      <w:r w:rsidRPr="001720E4">
        <w:rPr>
          <w:rStyle w:val="FootnoteReference"/>
          <w:rFonts w:ascii="Times New Roman" w:hAnsi="Times New Roman"/>
          <w:sz w:val="24"/>
        </w:rPr>
        <w:footnoteReference w:id="3"/>
      </w:r>
      <w:r w:rsidRPr="001720E4">
        <w:rPr>
          <w:rFonts w:ascii="Times New Roman" w:hAnsi="Times New Roman"/>
        </w:rPr>
        <w:t xml:space="preserve">. As to the danger of unfair prejudice to Rogerson, his Honour was satisfied that there was a real danger that admission of the testimony would leave the jury with a distinct impression that Rogerson was complicit in the murder of </w:t>
      </w:r>
      <w:proofErr w:type="gramStart"/>
      <w:r w:rsidRPr="001720E4">
        <w:rPr>
          <w:rFonts w:ascii="Times New Roman" w:hAnsi="Times New Roman"/>
        </w:rPr>
        <w:t>a number of</w:t>
      </w:r>
      <w:proofErr w:type="gramEnd"/>
      <w:r w:rsidRPr="001720E4">
        <w:rPr>
          <w:rFonts w:ascii="Times New Roman" w:hAnsi="Times New Roman"/>
        </w:rPr>
        <w:t xml:space="preserve"> other people</w:t>
      </w:r>
      <w:r w:rsidRPr="001720E4">
        <w:rPr>
          <w:rStyle w:val="FootnoteReference"/>
          <w:rFonts w:ascii="Times New Roman" w:hAnsi="Times New Roman"/>
          <w:sz w:val="24"/>
        </w:rPr>
        <w:footnoteReference w:id="4"/>
      </w:r>
      <w:r w:rsidRPr="001720E4">
        <w:rPr>
          <w:rFonts w:ascii="Times New Roman" w:hAnsi="Times New Roman"/>
        </w:rPr>
        <w:t>. That gave rise to a danger that the jury would be improperly influenced by that impression in reaching their verdict as to whether Rogerson had murdered Gao. His Honour considered that danger to be incapable of being alleviated by a direction in any terms</w:t>
      </w:r>
      <w:r w:rsidRPr="001720E4">
        <w:rPr>
          <w:rStyle w:val="FootnoteReference"/>
          <w:rFonts w:ascii="Times New Roman" w:hAnsi="Times New Roman"/>
          <w:sz w:val="24"/>
        </w:rPr>
        <w:footnoteReference w:id="5"/>
      </w:r>
      <w:r w:rsidRPr="001720E4">
        <w:rPr>
          <w:rFonts w:ascii="Times New Roman" w:hAnsi="Times New Roman"/>
        </w:rPr>
        <w:t>.</w:t>
      </w:r>
    </w:p>
    <w:p w14:paraId="09C05970" w14:textId="55A1D7E2"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McNamara's evidence in chief as adduced at the trial accordingly omitted the words "I did Drury</w:t>
      </w:r>
      <w:r w:rsidR="00A51442" w:rsidRPr="001720E4">
        <w:rPr>
          <w:rFonts w:ascii="Times New Roman" w:hAnsi="Times New Roman"/>
        </w:rPr>
        <w:t>,</w:t>
      </w:r>
      <w:r w:rsidRPr="001720E4">
        <w:rPr>
          <w:rFonts w:ascii="Times New Roman" w:hAnsi="Times New Roman"/>
        </w:rPr>
        <w:t xml:space="preserve"> I did Drury" from his account of what Rogerson said to him at the storage unit and omitted all reference to the earlier convers</w:t>
      </w:r>
      <w:r w:rsidR="00746FD1" w:rsidRPr="001720E4">
        <w:rPr>
          <w:rFonts w:ascii="Times New Roman" w:hAnsi="Times New Roman"/>
        </w:rPr>
        <w:t>at</w:t>
      </w:r>
      <w:r w:rsidRPr="001720E4">
        <w:rPr>
          <w:rFonts w:ascii="Times New Roman" w:hAnsi="Times New Roman"/>
        </w:rPr>
        <w:t>ion between McNamara and Rogerson.</w:t>
      </w:r>
    </w:p>
    <w:p w14:paraId="3333D476"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Prior to the trial, Rogerson and McNamara had each unsuccessfully applied for a separate trial</w:t>
      </w:r>
      <w:r w:rsidRPr="001720E4">
        <w:rPr>
          <w:rStyle w:val="FootnoteReference"/>
          <w:rFonts w:ascii="Times New Roman" w:hAnsi="Times New Roman"/>
          <w:sz w:val="24"/>
        </w:rPr>
        <w:footnoteReference w:id="6"/>
      </w:r>
      <w:r w:rsidRPr="001720E4">
        <w:rPr>
          <w:rFonts w:ascii="Times New Roman" w:hAnsi="Times New Roman"/>
        </w:rPr>
        <w:t>. After the ruling of the trial judge which excluded McNamara's proposed testimony, McNamara did not make a further application for a separate trial.</w:t>
      </w:r>
    </w:p>
    <w:p w14:paraId="666A843D" w14:textId="5D6C7DC2"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In his summing up, the trial judge instructed the jury repeatedly that the prosecution bore the onus of proof "from start to finish" and that the ultimate question for them was whether they were satisfied beyond reasonable doubt that each element of each offence against each accused had been made out. His Honour instructed the jury that the fact that McNamara and Rogerson were being tried together was essentially a matter of administrative convenience and that the jury needed to consider the Crown case against each of them in respect of each count in the indictment separately. His Honour also instructed that, subject to presently immaterial exceptions in respect of which he gave specific directions, </w:t>
      </w:r>
      <w:proofErr w:type="gramStart"/>
      <w:r w:rsidRPr="001720E4">
        <w:rPr>
          <w:rFonts w:ascii="Times New Roman" w:hAnsi="Times New Roman"/>
        </w:rPr>
        <w:t>all of</w:t>
      </w:r>
      <w:proofErr w:type="gramEnd"/>
      <w:r w:rsidRPr="001720E4">
        <w:rPr>
          <w:rFonts w:ascii="Times New Roman" w:hAnsi="Times New Roman"/>
        </w:rPr>
        <w:t xml:space="preserve"> the evidence admitted in the trial was capable of being used by the jury "either for or against any party". He spelt out that he meant by that instruction that </w:t>
      </w:r>
      <w:proofErr w:type="gramStart"/>
      <w:r w:rsidRPr="001720E4">
        <w:rPr>
          <w:rFonts w:ascii="Times New Roman" w:hAnsi="Times New Roman"/>
        </w:rPr>
        <w:t>all of</w:t>
      </w:r>
      <w:proofErr w:type="gramEnd"/>
      <w:r w:rsidRPr="001720E4">
        <w:rPr>
          <w:rFonts w:ascii="Times New Roman" w:hAnsi="Times New Roman"/>
        </w:rPr>
        <w:t xml:space="preserve"> the evidence was capable of being used by the jury for or against the Crown or for against either McNamara or Rogerson. No complaint has been made in this appeal about any of those instructions. As will become apparent, all were impeccable. </w:t>
      </w:r>
    </w:p>
    <w:p w14:paraId="1F5FFC0B" w14:textId="26216056"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lastRenderedPageBreak/>
        <w:tab/>
        <w:t xml:space="preserve">The jury found McNamara and Rogerson each guilty as charged. For the murder of Gao, each was convicted and sentenced to imprisonment for life without parole. For the supply of the methylamphetamine, each was convicted and sentenced to imprisonment for 12 years with a non-parole period of nine years. </w:t>
      </w:r>
    </w:p>
    <w:p w14:paraId="4054EA58" w14:textId="344B843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McNamara and Rogerson each appealed against his conviction. Each appeal was heard and dismissed by the Court of Criminal Appeal constituted by Bell P, R</w:t>
      </w:r>
      <w:r w:rsidR="00FB787B">
        <w:rPr>
          <w:rFonts w:ascii="Times New Roman" w:hAnsi="Times New Roman"/>
        </w:rPr>
        <w:t> </w:t>
      </w:r>
      <w:r w:rsidRPr="001720E4">
        <w:rPr>
          <w:rFonts w:ascii="Times New Roman" w:hAnsi="Times New Roman"/>
        </w:rPr>
        <w:t>A Hulme and Beech-Jones JJ.</w:t>
      </w:r>
    </w:p>
    <w:p w14:paraId="14AEFC3A" w14:textId="2B1CD481"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One of the grounds on which McNamara unsuccessfully appealed against his conviction to the Court of Criminal Appeal was to the effect that the trial judge was wrong to uphold Rogerson's objection to McNamara's proposed testimony. Despite the point not having been taken before the trial judge, McNamara argued that the trial judge lacked power to exclude the testimony under s 135(a) of the Evidence Act because Rogerson was not "a party" to McNamara's trial. McNamara argued in the alternative that, if there was power to exclude his testimony, the power should not have been exercised because the probative value of the testimony to him should not have been found to have been substantially outweighed by the danger of its prejudicial effect on Rogerson. The Court of Criminal Appeal unanimously rejected both arguments</w:t>
      </w:r>
      <w:r w:rsidRPr="001720E4">
        <w:rPr>
          <w:rStyle w:val="FootnoteReference"/>
          <w:rFonts w:ascii="Times New Roman" w:hAnsi="Times New Roman"/>
          <w:sz w:val="24"/>
        </w:rPr>
        <w:footnoteReference w:id="7"/>
      </w:r>
      <w:r w:rsidRPr="001720E4">
        <w:rPr>
          <w:rFonts w:ascii="Times New Roman" w:hAnsi="Times New Roman"/>
        </w:rPr>
        <w:t>. Only the first of those arguments was renewed before this Court.</w:t>
      </w:r>
    </w:p>
    <w:p w14:paraId="180EF0C6"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sole ground on which McNamara sought and was granted special leave to appeal to this Court was that the Court of Criminal Appeal was wrong to reject his argument that there was no power to exclude his testimony under s 135(a) of the Evidence Act because Rogerson was not "a party" to his trial. No issue was sought to be raised or has been raised before this Court as to the correctness of the exercise of the power assuming the power to have been available.</w:t>
      </w:r>
    </w:p>
    <w:p w14:paraId="10379C25" w14:textId="77777777" w:rsidR="007F652D" w:rsidRPr="001720E4" w:rsidRDefault="007F652D" w:rsidP="001720E4">
      <w:pPr>
        <w:pStyle w:val="HeadingL1"/>
        <w:spacing w:after="260" w:line="280" w:lineRule="exact"/>
        <w:ind w:right="0"/>
        <w:jc w:val="both"/>
        <w:rPr>
          <w:rFonts w:ascii="Times New Roman" w:hAnsi="Times New Roman"/>
        </w:rPr>
      </w:pPr>
      <w:r w:rsidRPr="001720E4">
        <w:rPr>
          <w:rFonts w:ascii="Times New Roman" w:hAnsi="Times New Roman"/>
        </w:rPr>
        <w:t>The arguments on the appeal</w:t>
      </w:r>
    </w:p>
    <w:p w14:paraId="406E0478" w14:textId="63AD50F5"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Though McNamara's argument was directed ultimately to the construction of s 135(a) of the Evidence Act, McNamara pitched </w:t>
      </w:r>
      <w:r w:rsidR="005E4208" w:rsidRPr="001720E4">
        <w:rPr>
          <w:rFonts w:ascii="Times New Roman" w:hAnsi="Times New Roman"/>
        </w:rPr>
        <w:t>the</w:t>
      </w:r>
      <w:r w:rsidRPr="001720E4">
        <w:rPr>
          <w:rFonts w:ascii="Times New Roman" w:hAnsi="Times New Roman"/>
        </w:rPr>
        <w:t xml:space="preserve"> argument at a level of high common law principle. </w:t>
      </w:r>
    </w:p>
    <w:p w14:paraId="57AE3EF1" w14:textId="08353333"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McNamara argued that the fundamental conception of a joint criminal trial at common law is that of </w:t>
      </w:r>
      <w:r w:rsidR="00BB3D92" w:rsidRPr="001720E4">
        <w:rPr>
          <w:rFonts w:ascii="Times New Roman" w:hAnsi="Times New Roman"/>
        </w:rPr>
        <w:t xml:space="preserve">the </w:t>
      </w:r>
      <w:r w:rsidRPr="001720E4">
        <w:rPr>
          <w:rFonts w:ascii="Times New Roman" w:hAnsi="Times New Roman"/>
        </w:rPr>
        <w:t xml:space="preserve">concurrent holding of separate trials of separate cases each exclusively between the Crown and a co-accused. In each of those several trials, according to McNamara, the co-accused has an unfettered right to make full answer to the Crown case against him or her by adducing admissible evidence probative of his or her innocence. Evidence adduced by one co-accused in the trial </w:t>
      </w:r>
      <w:r w:rsidRPr="001720E4">
        <w:rPr>
          <w:rFonts w:ascii="Times New Roman" w:hAnsi="Times New Roman"/>
        </w:rPr>
        <w:lastRenderedPageBreak/>
        <w:t xml:space="preserve">of that accused in answer to the Crown case against that co-accused does not become evidence in the Crown case against another co-accused in the trial of that other accused unless the Crown elects to re-open and to adopt the evidence of the co-accused in its separate case against the other co-accused. Unless the Crown takes that course of electing to adopt evidence sought to be adduced by one co-accused in its case against another co-accused, so McNamara's argument went, no occasion can arise for that evidence to be the subject of objection by the other co-accused. </w:t>
      </w:r>
    </w:p>
    <w:p w14:paraId="52B18B1A" w14:textId="3C06D9D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To the extent</w:t>
      </w:r>
      <w:r w:rsidR="007E5593" w:rsidRPr="001720E4">
        <w:rPr>
          <w:rFonts w:ascii="Times New Roman" w:hAnsi="Times New Roman"/>
        </w:rPr>
        <w:t xml:space="preserve"> there is a risk</w:t>
      </w:r>
      <w:r w:rsidRPr="001720E4">
        <w:rPr>
          <w:rFonts w:ascii="Times New Roman" w:hAnsi="Times New Roman"/>
        </w:rPr>
        <w:t xml:space="preserve"> that relevant and otherwise admissible evidence adduced by one co-accused in answer to the Crown case against that co-accused might </w:t>
      </w:r>
      <w:r w:rsidR="009748E7" w:rsidRPr="001720E4">
        <w:rPr>
          <w:rFonts w:ascii="Times New Roman" w:hAnsi="Times New Roman"/>
        </w:rPr>
        <w:t>be</w:t>
      </w:r>
      <w:r w:rsidRPr="001720E4">
        <w:rPr>
          <w:rFonts w:ascii="Times New Roman" w:hAnsi="Times New Roman"/>
        </w:rPr>
        <w:t xml:space="preserve"> improperly considered by the jury in the Crown case against another co-accused, McNamara argued that risk must be managed by the trial judge in the separate trial between the Crown and that other co-accused. The management tools available to the trial judge in that distinct trial include giving appropriate directions </w:t>
      </w:r>
      <w:r w:rsidR="00BB3D92" w:rsidRPr="001720E4">
        <w:rPr>
          <w:rFonts w:ascii="Times New Roman" w:hAnsi="Times New Roman"/>
        </w:rPr>
        <w:t xml:space="preserve">cautioning against </w:t>
      </w:r>
      <w:r w:rsidRPr="001720E4">
        <w:rPr>
          <w:rFonts w:ascii="Times New Roman" w:hAnsi="Times New Roman"/>
        </w:rPr>
        <w:t>use of the evidence by the jury in their consideration of the Crown case against that other co-accused. The management tools available to the trial judge also include, as a last resort, the continuing availability of the power to order a separate trial of the Crown case against that other co-accused. Those management tools do not include any power to exclude the evidence from the case of the co-accused who seeks to adduce that evidence in his or her own defence.</w:t>
      </w:r>
    </w:p>
    <w:p w14:paraId="00323F56" w14:textId="6DE11AB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By way of principal illustration of the operation of the common law principle for which he contended, McNamara referred to the decision of the Privy Council in </w:t>
      </w:r>
      <w:proofErr w:type="spellStart"/>
      <w:r w:rsidRPr="001720E4">
        <w:rPr>
          <w:rFonts w:ascii="Times New Roman" w:hAnsi="Times New Roman"/>
          <w:i/>
          <w:iCs/>
        </w:rPr>
        <w:t>Lowery</w:t>
      </w:r>
      <w:proofErr w:type="spellEnd"/>
      <w:r w:rsidRPr="001720E4">
        <w:rPr>
          <w:rFonts w:ascii="Times New Roman" w:hAnsi="Times New Roman"/>
          <w:i/>
          <w:iCs/>
        </w:rPr>
        <w:t xml:space="preserve"> v The Queen</w:t>
      </w:r>
      <w:r w:rsidRPr="001720E4">
        <w:rPr>
          <w:rStyle w:val="FootnoteReference"/>
          <w:rFonts w:ascii="Times New Roman" w:hAnsi="Times New Roman"/>
          <w:sz w:val="24"/>
        </w:rPr>
        <w:footnoteReference w:id="8"/>
      </w:r>
      <w:r w:rsidR="0085645D" w:rsidRPr="001720E4">
        <w:rPr>
          <w:rFonts w:ascii="Times New Roman" w:hAnsi="Times New Roman"/>
        </w:rPr>
        <w:t>.</w:t>
      </w:r>
      <w:r w:rsidRPr="001720E4">
        <w:rPr>
          <w:rFonts w:ascii="Times New Roman" w:hAnsi="Times New Roman"/>
        </w:rPr>
        <w:t xml:space="preserve"> There, in a joint trial of two co-accused charged with the callous murder of a young girl, evidence of the opinion of a psychologist as to the respective intelligences and personalities of the two was held admissible in the defence of one co-accused as a basis upon which to attempt to persuade the jury that the other co-accused was the more likely to have killed the girl. The Privy Council specifically endorsed</w:t>
      </w:r>
      <w:r w:rsidRPr="001720E4">
        <w:rPr>
          <w:rStyle w:val="FootnoteReference"/>
          <w:rFonts w:ascii="Times New Roman" w:hAnsi="Times New Roman"/>
          <w:sz w:val="24"/>
        </w:rPr>
        <w:footnoteReference w:id="9"/>
      </w:r>
      <w:r w:rsidRPr="001720E4">
        <w:rPr>
          <w:rFonts w:ascii="Times New Roman" w:hAnsi="Times New Roman"/>
        </w:rPr>
        <w:t xml:space="preserve"> a statement in the decision of the Full Court of the Supreme Court of Victoria in </w:t>
      </w:r>
      <w:r w:rsidRPr="001720E4">
        <w:rPr>
          <w:rFonts w:ascii="Times New Roman" w:hAnsi="Times New Roman"/>
          <w:i/>
          <w:iCs/>
        </w:rPr>
        <w:t xml:space="preserve">R v </w:t>
      </w:r>
      <w:proofErr w:type="spellStart"/>
      <w:r w:rsidRPr="001720E4">
        <w:rPr>
          <w:rFonts w:ascii="Times New Roman" w:hAnsi="Times New Roman"/>
          <w:i/>
          <w:iCs/>
        </w:rPr>
        <w:t>Lowery</w:t>
      </w:r>
      <w:proofErr w:type="spellEnd"/>
      <w:r w:rsidRPr="001720E4">
        <w:rPr>
          <w:rFonts w:ascii="Times New Roman" w:hAnsi="Times New Roman"/>
          <w:i/>
          <w:iCs/>
        </w:rPr>
        <w:t xml:space="preserve"> </w:t>
      </w:r>
      <w:r w:rsidR="00915907" w:rsidRPr="001720E4">
        <w:rPr>
          <w:rFonts w:ascii="Times New Roman" w:hAnsi="Times New Roman"/>
          <w:i/>
          <w:iCs/>
        </w:rPr>
        <w:t>[</w:t>
      </w:r>
      <w:r w:rsidRPr="001720E4">
        <w:rPr>
          <w:rFonts w:ascii="Times New Roman" w:hAnsi="Times New Roman"/>
          <w:i/>
          <w:iCs/>
        </w:rPr>
        <w:t>No 3</w:t>
      </w:r>
      <w:r w:rsidR="00915907" w:rsidRPr="001720E4">
        <w:rPr>
          <w:rFonts w:ascii="Times New Roman" w:hAnsi="Times New Roman"/>
          <w:i/>
          <w:iCs/>
        </w:rPr>
        <w:t>]</w:t>
      </w:r>
      <w:r w:rsidRPr="001720E4">
        <w:rPr>
          <w:rStyle w:val="FootnoteReference"/>
          <w:rFonts w:ascii="Times New Roman" w:hAnsi="Times New Roman"/>
          <w:sz w:val="24"/>
        </w:rPr>
        <w:footnoteReference w:id="10"/>
      </w:r>
      <w:r w:rsidRPr="001720E4">
        <w:rPr>
          <w:rFonts w:ascii="Times New Roman" w:hAnsi="Times New Roman"/>
          <w:i/>
          <w:iCs/>
        </w:rPr>
        <w:t xml:space="preserve"> </w:t>
      </w:r>
      <w:r w:rsidRPr="001720E4">
        <w:rPr>
          <w:rFonts w:ascii="Times New Roman" w:hAnsi="Times New Roman"/>
        </w:rPr>
        <w:t>under appeal to the effect that there appeared no reason of policy or fairness which justified or required the exclusion of evidence tendered by an accused in disproof of his or her own guilt.</w:t>
      </w:r>
    </w:p>
    <w:p w14:paraId="22B48662" w14:textId="029AC1E1"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McNamara argued that the common law principle for which he contended is unaffected by the </w:t>
      </w:r>
      <w:r w:rsidRPr="001720E4">
        <w:rPr>
          <w:rFonts w:ascii="Times New Roman" w:hAnsi="Times New Roman"/>
          <w:i/>
          <w:iCs/>
        </w:rPr>
        <w:t>Criminal Procedure Act 1986</w:t>
      </w:r>
      <w:r w:rsidRPr="001720E4">
        <w:rPr>
          <w:rFonts w:ascii="Times New Roman" w:hAnsi="Times New Roman"/>
        </w:rPr>
        <w:t xml:space="preserve"> (NSW) ("the Criminal Procedure Act") and is safeguarded by s 9(1) of the Evidence Act which provides </w:t>
      </w:r>
      <w:r w:rsidRPr="001720E4">
        <w:rPr>
          <w:rFonts w:ascii="Times New Roman" w:hAnsi="Times New Roman"/>
        </w:rPr>
        <w:lastRenderedPageBreak/>
        <w:t>that the Evidence Act "does not affect the operation of a principle or rule of common law ... in relation to evidence in a proceeding to which [the] Act applies, except so far as [the] Act provides otherwise expressly or by necessary intendment". Thus, according to McNamara, a co-accused retains an unfettered common law right to adduce admissible evidence in answer to the Crown case against that co-accused. Neither expressly nor by necessary intendment does s 135(a) of the Evidence Act impinge on that common law right.</w:t>
      </w:r>
    </w:p>
    <w:p w14:paraId="029423AA" w14:textId="47AE682E"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Director of Public Prosecutions disputed almost every aspect of McNamara's account of the features of a joint criminal trial at common law. In particular, the Director disputed the proposition that a co-accused has, or ever had, an unfettered common law right to adduce admissible evidence in support of his or her innocence. As a counterpoint to the principal illustration of the operation of the common law principle for which McNamara contended, the Director referred to an aspect of the decision of the Full Court of the Supreme Court of Victoria in </w:t>
      </w:r>
      <w:r w:rsidRPr="001720E4">
        <w:rPr>
          <w:rFonts w:ascii="Times New Roman" w:hAnsi="Times New Roman"/>
          <w:i/>
          <w:iCs/>
        </w:rPr>
        <w:t xml:space="preserve">R v </w:t>
      </w:r>
      <w:proofErr w:type="spellStart"/>
      <w:r w:rsidRPr="001720E4">
        <w:rPr>
          <w:rFonts w:ascii="Times New Roman" w:hAnsi="Times New Roman"/>
          <w:i/>
          <w:iCs/>
        </w:rPr>
        <w:t>Lowery</w:t>
      </w:r>
      <w:proofErr w:type="spellEnd"/>
      <w:r w:rsidRPr="001720E4">
        <w:rPr>
          <w:rFonts w:ascii="Times New Roman" w:hAnsi="Times New Roman"/>
          <w:i/>
          <w:iCs/>
        </w:rPr>
        <w:t xml:space="preserve"> </w:t>
      </w:r>
      <w:r w:rsidR="00696EF9" w:rsidRPr="001720E4">
        <w:rPr>
          <w:rFonts w:ascii="Times New Roman" w:hAnsi="Times New Roman"/>
          <w:i/>
          <w:iCs/>
        </w:rPr>
        <w:t>[</w:t>
      </w:r>
      <w:r w:rsidRPr="001720E4">
        <w:rPr>
          <w:rFonts w:ascii="Times New Roman" w:hAnsi="Times New Roman"/>
          <w:i/>
          <w:iCs/>
        </w:rPr>
        <w:t>No 3</w:t>
      </w:r>
      <w:r w:rsidR="00696EF9" w:rsidRPr="001720E4">
        <w:rPr>
          <w:rFonts w:ascii="Times New Roman" w:hAnsi="Times New Roman"/>
          <w:i/>
          <w:iCs/>
        </w:rPr>
        <w:t>]</w:t>
      </w:r>
      <w:r w:rsidRPr="001720E4">
        <w:rPr>
          <w:rFonts w:ascii="Times New Roman" w:hAnsi="Times New Roman"/>
          <w:i/>
          <w:iCs/>
        </w:rPr>
        <w:t xml:space="preserve"> </w:t>
      </w:r>
      <w:r w:rsidRPr="001720E4">
        <w:rPr>
          <w:rFonts w:ascii="Times New Roman" w:hAnsi="Times New Roman"/>
        </w:rPr>
        <w:t xml:space="preserve">which had not been the subject of appeal to the Privy Council in </w:t>
      </w:r>
      <w:proofErr w:type="spellStart"/>
      <w:r w:rsidRPr="001720E4">
        <w:rPr>
          <w:rFonts w:ascii="Times New Roman" w:hAnsi="Times New Roman"/>
          <w:i/>
        </w:rPr>
        <w:t>Lowery</w:t>
      </w:r>
      <w:proofErr w:type="spellEnd"/>
      <w:r w:rsidRPr="001720E4">
        <w:rPr>
          <w:rFonts w:ascii="Times New Roman" w:hAnsi="Times New Roman"/>
          <w:i/>
        </w:rPr>
        <w:t xml:space="preserve"> v The Queen</w:t>
      </w:r>
      <w:r w:rsidRPr="001720E4">
        <w:rPr>
          <w:rFonts w:ascii="Times New Roman" w:hAnsi="Times New Roman"/>
        </w:rPr>
        <w:t>. The Full Court had specifically considered and rejected an argument that the trial judge had erred in refusing to exclude the opinion evidence of the psychologist "in the exercise of his discretion". The Full Court stated that "[</w:t>
      </w:r>
      <w:proofErr w:type="spellStart"/>
      <w:r w:rsidRPr="001720E4">
        <w:rPr>
          <w:rFonts w:ascii="Times New Roman" w:hAnsi="Times New Roman"/>
        </w:rPr>
        <w:t>i</w:t>
      </w:r>
      <w:proofErr w:type="spellEnd"/>
      <w:r w:rsidRPr="001720E4">
        <w:rPr>
          <w:rFonts w:ascii="Times New Roman" w:hAnsi="Times New Roman"/>
        </w:rPr>
        <w:t xml:space="preserve">]t must be borne in mind that what fell to be assessed ... was not the relative positions of the Crown and [a co-accused], but the probative value of </w:t>
      </w:r>
      <w:r w:rsidR="00C82A67" w:rsidRPr="001720E4">
        <w:rPr>
          <w:rFonts w:ascii="Times New Roman" w:hAnsi="Times New Roman"/>
        </w:rPr>
        <w:t xml:space="preserve">the </w:t>
      </w:r>
      <w:r w:rsidRPr="001720E4">
        <w:rPr>
          <w:rFonts w:ascii="Times New Roman" w:hAnsi="Times New Roman"/>
        </w:rPr>
        <w:t>evidence to the defence of [one co-accused] and the prejudicial effect on the defence of [the other]"</w:t>
      </w:r>
      <w:r w:rsidRPr="001720E4">
        <w:rPr>
          <w:rStyle w:val="FootnoteReference"/>
          <w:rFonts w:ascii="Times New Roman" w:hAnsi="Times New Roman"/>
          <w:sz w:val="24"/>
        </w:rPr>
        <w:footnoteReference w:id="11"/>
      </w:r>
      <w:r w:rsidRPr="001720E4">
        <w:rPr>
          <w:rFonts w:ascii="Times New Roman" w:hAnsi="Times New Roman"/>
        </w:rPr>
        <w:t xml:space="preserve">. That reasoning, the Director pointed out, assumed the existence of a common law discretion on the part of a trial judge to exclude evidence the probative value of which to one co-accused was outweighed by its prejudicial effect on the other. The reasoning went further in underscoring that the trial judge's exercise of that common law discretion involved consideration of the positions of the co-accused relative to each other and not the positions of each co-accused relative to the Crown. </w:t>
      </w:r>
    </w:p>
    <w:p w14:paraId="0828EC41" w14:textId="08DF77DE"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Whatever the position at common law, the Director argued</w:t>
      </w:r>
      <w:proofErr w:type="gramStart"/>
      <w:r w:rsidRPr="001720E4">
        <w:rPr>
          <w:rFonts w:ascii="Times New Roman" w:hAnsi="Times New Roman"/>
        </w:rPr>
        <w:t>, it is clear that, within</w:t>
      </w:r>
      <w:proofErr w:type="gramEnd"/>
      <w:r w:rsidRPr="001720E4">
        <w:rPr>
          <w:rFonts w:ascii="Times New Roman" w:hAnsi="Times New Roman"/>
        </w:rPr>
        <w:t xml:space="preserve"> the meaning of the Evidence Act, a joint criminal trial is "a proceeding" to which each co-accused is "a party", although a co-accused can also fall within several other descriptors within that Act.</w:t>
      </w:r>
    </w:p>
    <w:p w14:paraId="24FC35A3" w14:textId="77777777" w:rsidR="007F652D" w:rsidRPr="001720E4" w:rsidRDefault="007F652D" w:rsidP="001720E4">
      <w:pPr>
        <w:pStyle w:val="HeadingL1"/>
        <w:spacing w:after="260" w:line="280" w:lineRule="exact"/>
        <w:ind w:right="0"/>
        <w:jc w:val="both"/>
        <w:rPr>
          <w:rFonts w:ascii="Times New Roman" w:hAnsi="Times New Roman"/>
        </w:rPr>
      </w:pPr>
      <w:r w:rsidRPr="001720E4">
        <w:rPr>
          <w:rFonts w:ascii="Times New Roman" w:hAnsi="Times New Roman"/>
        </w:rPr>
        <w:t>Joint criminal trials at common law</w:t>
      </w:r>
    </w:p>
    <w:p w14:paraId="7AA26546"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No account of the features of a criminal trial at common law could be proffered without circumspection. Historical analysis has demonstrated that the nature of a criminal trial changed markedly during the period between the end of the seventeenth century and the end of the eighteenth century from a proceeding </w:t>
      </w:r>
      <w:r w:rsidRPr="001720E4">
        <w:rPr>
          <w:rFonts w:ascii="Times New Roman" w:hAnsi="Times New Roman"/>
        </w:rPr>
        <w:lastRenderedPageBreak/>
        <w:t>which had been essentially inquisitorial to one which became essentially adversarial</w:t>
      </w:r>
      <w:r w:rsidRPr="001720E4">
        <w:rPr>
          <w:rStyle w:val="FootnoteReference"/>
          <w:rFonts w:ascii="Times New Roman" w:hAnsi="Times New Roman"/>
          <w:sz w:val="24"/>
        </w:rPr>
        <w:footnoteReference w:id="12"/>
      </w:r>
      <w:r w:rsidRPr="001720E4">
        <w:rPr>
          <w:rFonts w:ascii="Times New Roman" w:hAnsi="Times New Roman"/>
        </w:rPr>
        <w:t xml:space="preserve">. </w:t>
      </w:r>
    </w:p>
    <w:p w14:paraId="431432CA" w14:textId="04297D7A"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Many aspects of criminal procedure now considered fundamental were introduced only in the nineteenth and early twentieth centuries, and then only in consequence of statute</w:t>
      </w:r>
      <w:r w:rsidRPr="001720E4">
        <w:rPr>
          <w:rStyle w:val="FootnoteReference"/>
          <w:rFonts w:ascii="Times New Roman" w:hAnsi="Times New Roman"/>
          <w:sz w:val="24"/>
        </w:rPr>
        <w:footnoteReference w:id="13"/>
      </w:r>
      <w:r w:rsidRPr="001720E4">
        <w:rPr>
          <w:rFonts w:ascii="Times New Roman" w:hAnsi="Times New Roman"/>
        </w:rPr>
        <w:t>. The competence of an accused to give sworn evidence in his or her own defence is a pertinent example. That competence simply did not exist at common law</w:t>
      </w:r>
      <w:r w:rsidRPr="001720E4">
        <w:rPr>
          <w:rStyle w:val="FootnoteReference"/>
          <w:rFonts w:ascii="Times New Roman" w:hAnsi="Times New Roman"/>
          <w:sz w:val="24"/>
        </w:rPr>
        <w:footnoteReference w:id="14"/>
      </w:r>
      <w:r w:rsidRPr="001720E4">
        <w:rPr>
          <w:rFonts w:ascii="Times New Roman" w:hAnsi="Times New Roman"/>
        </w:rPr>
        <w:t>. It was introduced by statute in New South Wales only in 1891</w:t>
      </w:r>
      <w:r w:rsidRPr="001720E4">
        <w:rPr>
          <w:rStyle w:val="FootnoteReference"/>
          <w:rFonts w:ascii="Times New Roman" w:hAnsi="Times New Roman"/>
          <w:sz w:val="24"/>
        </w:rPr>
        <w:footnoteReference w:id="15"/>
      </w:r>
      <w:r w:rsidRPr="001720E4">
        <w:rPr>
          <w:rFonts w:ascii="Times New Roman" w:hAnsi="Times New Roman"/>
        </w:rPr>
        <w:t xml:space="preserve"> and in England </w:t>
      </w:r>
      <w:r w:rsidR="00AA4E04" w:rsidRPr="001720E4">
        <w:rPr>
          <w:rFonts w:ascii="Times New Roman" w:hAnsi="Times New Roman"/>
        </w:rPr>
        <w:t xml:space="preserve">only </w:t>
      </w:r>
      <w:r w:rsidRPr="001720E4">
        <w:rPr>
          <w:rFonts w:ascii="Times New Roman" w:hAnsi="Times New Roman"/>
        </w:rPr>
        <w:t>in 1898</w:t>
      </w:r>
      <w:r w:rsidRPr="001720E4">
        <w:rPr>
          <w:rStyle w:val="FootnoteReference"/>
          <w:rFonts w:ascii="Times New Roman" w:hAnsi="Times New Roman"/>
          <w:sz w:val="24"/>
        </w:rPr>
        <w:footnoteReference w:id="16"/>
      </w:r>
      <w:r w:rsidRPr="001720E4">
        <w:rPr>
          <w:rFonts w:ascii="Times New Roman" w:hAnsi="Times New Roman"/>
        </w:rPr>
        <w:t>. The scenario with which the present case is concerned – of one co-accused seeking to testify adverse</w:t>
      </w:r>
      <w:r w:rsidR="00554971" w:rsidRPr="001720E4">
        <w:rPr>
          <w:rFonts w:ascii="Times New Roman" w:hAnsi="Times New Roman"/>
        </w:rPr>
        <w:t>ly</w:t>
      </w:r>
      <w:r w:rsidRPr="001720E4">
        <w:rPr>
          <w:rFonts w:ascii="Times New Roman" w:hAnsi="Times New Roman"/>
        </w:rPr>
        <w:t xml:space="preserve"> to another co-accused</w:t>
      </w:r>
      <w:r w:rsidR="00003AB3">
        <w:rPr>
          <w:rFonts w:ascii="Times New Roman" w:hAnsi="Times New Roman"/>
        </w:rPr>
        <w:t> </w:t>
      </w:r>
      <w:r w:rsidRPr="001720E4">
        <w:rPr>
          <w:rFonts w:ascii="Times New Roman" w:hAnsi="Times New Roman"/>
        </w:rPr>
        <w:t>– could not have arisen in a common law trial before then given that neither co-accused could have testified at all.</w:t>
      </w:r>
    </w:p>
    <w:p w14:paraId="78ED5774" w14:textId="30711CB3"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Many common law rules of criminal procedure now considered fundamental were fashioned from conventional practice into rules of law quite late in the development of the common law. The power and duty of a court to exclude relevant and otherwise admissible prosecution evidence the probative value of which was outweighed by its forensic prejudice to an accused was acknowledged to have developed into a rule of law only in 1914</w:t>
      </w:r>
      <w:r w:rsidRPr="001720E4">
        <w:rPr>
          <w:rStyle w:val="FootnoteReference"/>
          <w:rFonts w:ascii="Times New Roman" w:hAnsi="Times New Roman"/>
          <w:sz w:val="24"/>
        </w:rPr>
        <w:footnoteReference w:id="17"/>
      </w:r>
      <w:r w:rsidRPr="001720E4">
        <w:rPr>
          <w:rFonts w:ascii="Times New Roman" w:hAnsi="Times New Roman"/>
        </w:rPr>
        <w:t>. The "golden thread" said to have been seen "throughout the web of English criminal law"</w:t>
      </w:r>
      <w:r w:rsidRPr="001720E4">
        <w:rPr>
          <w:rStyle w:val="FootnoteReference"/>
          <w:rFonts w:ascii="Times New Roman" w:hAnsi="Times New Roman"/>
          <w:sz w:val="24"/>
        </w:rPr>
        <w:footnoteReference w:id="18"/>
      </w:r>
      <w:r w:rsidRPr="001720E4">
        <w:rPr>
          <w:rFonts w:ascii="Times New Roman" w:hAnsi="Times New Roman"/>
        </w:rPr>
        <w:t xml:space="preserve"> – "that the prosecution must prove the charge it makes beyond reasonable doubt, and, consequently, that if, on the material before the jury, there is a reasonable doubt, </w:t>
      </w:r>
      <w:r w:rsidRPr="001720E4">
        <w:rPr>
          <w:rFonts w:ascii="Times New Roman" w:hAnsi="Times New Roman"/>
        </w:rPr>
        <w:lastRenderedPageBreak/>
        <w:t>the [accused] should have the benefit of it"</w:t>
      </w:r>
      <w:r w:rsidRPr="001720E4">
        <w:rPr>
          <w:rStyle w:val="FootnoteReference"/>
          <w:rFonts w:ascii="Times New Roman" w:hAnsi="Times New Roman"/>
          <w:sz w:val="24"/>
        </w:rPr>
        <w:footnoteReference w:id="19"/>
      </w:r>
      <w:r w:rsidRPr="001720E4">
        <w:rPr>
          <w:rFonts w:ascii="Times New Roman" w:hAnsi="Times New Roman"/>
        </w:rPr>
        <w:t xml:space="preserve"> – was "discovered"</w:t>
      </w:r>
      <w:r w:rsidRPr="001720E4">
        <w:rPr>
          <w:rStyle w:val="FootnoteReference"/>
          <w:rFonts w:ascii="Times New Roman" w:hAnsi="Times New Roman"/>
          <w:sz w:val="24"/>
        </w:rPr>
        <w:footnoteReference w:id="20"/>
      </w:r>
      <w:r w:rsidRPr="001720E4">
        <w:rPr>
          <w:rFonts w:ascii="Times New Roman" w:hAnsi="Times New Roman"/>
        </w:rPr>
        <w:t xml:space="preserve"> only in 1935</w:t>
      </w:r>
      <w:r w:rsidRPr="001720E4">
        <w:rPr>
          <w:rStyle w:val="FootnoteReference"/>
          <w:rFonts w:ascii="Times New Roman" w:hAnsi="Times New Roman"/>
          <w:sz w:val="24"/>
        </w:rPr>
        <w:footnoteReference w:id="21"/>
      </w:r>
      <w:r w:rsidRPr="001720E4">
        <w:rPr>
          <w:rFonts w:ascii="Times New Roman" w:hAnsi="Times New Roman"/>
        </w:rPr>
        <w:t>. It will be seen that such support as is to be found in appellate decisions in common law jurisdictions for the existence of the unfettered common law right of a co-accused to give testimony adverse to another co-accused, for which McNamara argued, is of very much more recent origin.</w:t>
      </w:r>
    </w:p>
    <w:p w14:paraId="444108CF" w14:textId="46BF726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There is nevertheless one feature of criminal procedure for trial by jury at common law the requirement for which has been constant through the centuries and remains foundational to the conduct of a trial by jury: the indictment. The indictment is the written accusation (sometimes styled an "information" or a "presentment") which charges one or more accused with one or more offences (each referred to as a "count") and which in so doing constitutes a plea of the Crown</w:t>
      </w:r>
      <w:r w:rsidRPr="001720E4">
        <w:rPr>
          <w:rStyle w:val="FootnoteReference"/>
          <w:rFonts w:ascii="Times New Roman" w:hAnsi="Times New Roman"/>
          <w:sz w:val="24"/>
        </w:rPr>
        <w:footnoteReference w:id="22"/>
      </w:r>
      <w:r w:rsidRPr="001720E4">
        <w:rPr>
          <w:rFonts w:ascii="Times New Roman" w:hAnsi="Times New Roman"/>
        </w:rPr>
        <w:t xml:space="preserve">. Presentation of the indictment to a court initiated the arraignment of the accused. If and to the extent that an accused pleaded not guilty to the charge or charges set out in the indictment, so as to be taken to have put himself or herself "upon the Country" for trial, the indictment then founded the jurisdiction of the court to empanel a jury to try the issues joined between the Crown and that accused in relation to </w:t>
      </w:r>
      <w:r w:rsidR="0084107C" w:rsidRPr="001720E4">
        <w:rPr>
          <w:rFonts w:ascii="Times New Roman" w:hAnsi="Times New Roman"/>
        </w:rPr>
        <w:t xml:space="preserve">the </w:t>
      </w:r>
      <w:r w:rsidRPr="001720E4">
        <w:rPr>
          <w:rFonts w:ascii="Times New Roman" w:hAnsi="Times New Roman"/>
        </w:rPr>
        <w:t>disputed charge or charges</w:t>
      </w:r>
      <w:r w:rsidRPr="001720E4">
        <w:rPr>
          <w:rStyle w:val="FootnoteReference"/>
          <w:rFonts w:ascii="Times New Roman" w:hAnsi="Times New Roman"/>
          <w:sz w:val="24"/>
        </w:rPr>
        <w:footnoteReference w:id="23"/>
      </w:r>
      <w:r w:rsidRPr="001720E4">
        <w:rPr>
          <w:rFonts w:ascii="Times New Roman" w:hAnsi="Times New Roman"/>
        </w:rPr>
        <w:t>. Those basic incidents of a trial on indictment at common law appear to have become conventional by the second half of the eighteenth century</w:t>
      </w:r>
      <w:r w:rsidRPr="001720E4">
        <w:rPr>
          <w:rStyle w:val="FootnoteReference"/>
          <w:rFonts w:ascii="Times New Roman" w:hAnsi="Times New Roman"/>
          <w:sz w:val="24"/>
        </w:rPr>
        <w:footnoteReference w:id="24"/>
      </w:r>
      <w:r w:rsidRPr="001720E4">
        <w:rPr>
          <w:rFonts w:ascii="Times New Roman" w:hAnsi="Times New Roman"/>
        </w:rPr>
        <w:t xml:space="preserve"> and to have been settled by the second half of the nineteenth century</w:t>
      </w:r>
      <w:r w:rsidRPr="001720E4">
        <w:rPr>
          <w:rStyle w:val="FootnoteReference"/>
          <w:rFonts w:ascii="Times New Roman" w:hAnsi="Times New Roman"/>
          <w:sz w:val="24"/>
        </w:rPr>
        <w:footnoteReference w:id="25"/>
      </w:r>
      <w:r w:rsidRPr="001720E4">
        <w:rPr>
          <w:rFonts w:ascii="Times New Roman" w:hAnsi="Times New Roman"/>
        </w:rPr>
        <w:t xml:space="preserve">. Following </w:t>
      </w:r>
      <w:r w:rsidR="007C0D6D" w:rsidRPr="001720E4">
        <w:rPr>
          <w:rFonts w:ascii="Times New Roman" w:hAnsi="Times New Roman"/>
        </w:rPr>
        <w:t xml:space="preserve">the </w:t>
      </w:r>
      <w:r w:rsidRPr="001720E4">
        <w:rPr>
          <w:rFonts w:ascii="Times New Roman" w:hAnsi="Times New Roman"/>
        </w:rPr>
        <w:t xml:space="preserve">introduction of trial by jury in New South Wales as the standard method of trial of "all crimes </w:t>
      </w:r>
      <w:proofErr w:type="spellStart"/>
      <w:r w:rsidRPr="001720E4">
        <w:rPr>
          <w:rFonts w:ascii="Times New Roman" w:hAnsi="Times New Roman"/>
        </w:rPr>
        <w:t>misdemeanors</w:t>
      </w:r>
      <w:proofErr w:type="spellEnd"/>
      <w:r w:rsidRPr="001720E4">
        <w:rPr>
          <w:rFonts w:ascii="Times New Roman" w:hAnsi="Times New Roman"/>
        </w:rPr>
        <w:t xml:space="preserve"> and offences cognizable in the Supreme Court ... and prosecuted by information in the name of Her Majesty's Attorney General or other officer duly appointed for such purpose </w:t>
      </w:r>
      <w:r w:rsidRPr="001720E4">
        <w:rPr>
          <w:rFonts w:ascii="Times New Roman" w:hAnsi="Times New Roman"/>
        </w:rPr>
        <w:lastRenderedPageBreak/>
        <w:t>by the Governor" by statute in 1839</w:t>
      </w:r>
      <w:r w:rsidRPr="001720E4">
        <w:rPr>
          <w:rStyle w:val="FootnoteReference"/>
          <w:rFonts w:ascii="Times New Roman" w:hAnsi="Times New Roman"/>
          <w:sz w:val="24"/>
        </w:rPr>
        <w:footnoteReference w:id="26"/>
      </w:r>
      <w:r w:rsidRPr="001720E4">
        <w:rPr>
          <w:rFonts w:ascii="Times New Roman" w:hAnsi="Times New Roman"/>
        </w:rPr>
        <w:t xml:space="preserve">, </w:t>
      </w:r>
      <w:r w:rsidR="007E43E8" w:rsidRPr="001720E4">
        <w:rPr>
          <w:rFonts w:ascii="Times New Roman" w:hAnsi="Times New Roman"/>
        </w:rPr>
        <w:t xml:space="preserve">those incidents </w:t>
      </w:r>
      <w:r w:rsidRPr="001720E4">
        <w:rPr>
          <w:rFonts w:ascii="Times New Roman" w:hAnsi="Times New Roman"/>
        </w:rPr>
        <w:t>were incorporated into the scheme of the</w:t>
      </w:r>
      <w:r w:rsidRPr="001720E4">
        <w:rPr>
          <w:rFonts w:ascii="Times New Roman" w:hAnsi="Times New Roman"/>
          <w:i/>
          <w:iCs/>
        </w:rPr>
        <w:t xml:space="preserve"> Criminal Law Amendment Act 1883</w:t>
      </w:r>
      <w:r w:rsidRPr="001720E4">
        <w:rPr>
          <w:rFonts w:ascii="Times New Roman" w:hAnsi="Times New Roman"/>
        </w:rPr>
        <w:t xml:space="preserve"> (NSW)</w:t>
      </w:r>
      <w:r w:rsidRPr="001720E4">
        <w:rPr>
          <w:rStyle w:val="FootnoteReference"/>
          <w:rFonts w:ascii="Times New Roman" w:hAnsi="Times New Roman"/>
          <w:sz w:val="24"/>
        </w:rPr>
        <w:footnoteReference w:id="27"/>
      </w:r>
      <w:r w:rsidRPr="001720E4">
        <w:rPr>
          <w:rFonts w:ascii="Times New Roman" w:hAnsi="Times New Roman"/>
        </w:rPr>
        <w:t xml:space="preserve"> and the </w:t>
      </w:r>
      <w:r w:rsidRPr="001720E4">
        <w:rPr>
          <w:rFonts w:ascii="Times New Roman" w:hAnsi="Times New Roman"/>
          <w:i/>
          <w:iCs/>
        </w:rPr>
        <w:t>Crimes Act 1900</w:t>
      </w:r>
      <w:r w:rsidRPr="001720E4">
        <w:rPr>
          <w:rFonts w:ascii="Times New Roman" w:hAnsi="Times New Roman"/>
        </w:rPr>
        <w:t xml:space="preserve"> (NSW)</w:t>
      </w:r>
      <w:r w:rsidRPr="001720E4">
        <w:rPr>
          <w:rStyle w:val="FootnoteReference"/>
          <w:rFonts w:ascii="Times New Roman" w:hAnsi="Times New Roman"/>
          <w:sz w:val="24"/>
        </w:rPr>
        <w:footnoteReference w:id="28"/>
      </w:r>
      <w:r w:rsidRPr="001720E4">
        <w:rPr>
          <w:rFonts w:ascii="Times New Roman" w:hAnsi="Times New Roman"/>
        </w:rPr>
        <w:t xml:space="preserve"> and are preserved within the scheme of the Criminal Procedure Act</w:t>
      </w:r>
      <w:r w:rsidRPr="001720E4">
        <w:rPr>
          <w:rStyle w:val="FootnoteReference"/>
          <w:rFonts w:ascii="Times New Roman" w:hAnsi="Times New Roman"/>
          <w:sz w:val="24"/>
        </w:rPr>
        <w:footnoteReference w:id="29"/>
      </w:r>
      <w:r w:rsidRPr="001720E4">
        <w:rPr>
          <w:rFonts w:ascii="Times New Roman" w:hAnsi="Times New Roman"/>
        </w:rPr>
        <w:t>.</w:t>
      </w:r>
    </w:p>
    <w:p w14:paraId="0DFBB6DB" w14:textId="74C19362"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procedure was eventually recognised to involve something </w:t>
      </w:r>
      <w:r w:rsidR="00B96F29" w:rsidRPr="001720E4">
        <w:rPr>
          <w:rFonts w:ascii="Times New Roman" w:hAnsi="Times New Roman"/>
        </w:rPr>
        <w:t xml:space="preserve">which has come to be </w:t>
      </w:r>
      <w:r w:rsidRPr="001720E4">
        <w:rPr>
          <w:rFonts w:ascii="Times New Roman" w:hAnsi="Times New Roman"/>
        </w:rPr>
        <w:t>described as the "one indictment, one jury" rule: that "in a trial upon indictment the jury is, and can only be, impanelled and sworn to try the issues of the particular indictment</w:t>
      </w:r>
      <w:r w:rsidR="00357DBA" w:rsidRPr="001720E4">
        <w:rPr>
          <w:rFonts w:ascii="Times New Roman" w:hAnsi="Times New Roman"/>
        </w:rPr>
        <w:t xml:space="preserve"> – </w:t>
      </w:r>
      <w:r w:rsidRPr="001720E4">
        <w:rPr>
          <w:rFonts w:ascii="Times New Roman" w:hAnsi="Times New Roman"/>
        </w:rPr>
        <w:t>to find whether the accused be guilty or not guilty upon that indictment and no other"</w:t>
      </w:r>
      <w:r w:rsidRPr="001720E4">
        <w:rPr>
          <w:rStyle w:val="FootnoteReference"/>
          <w:rFonts w:ascii="Times New Roman" w:hAnsi="Times New Roman"/>
          <w:sz w:val="24"/>
        </w:rPr>
        <w:footnoteReference w:id="30"/>
      </w:r>
      <w:r w:rsidRPr="001720E4">
        <w:rPr>
          <w:rFonts w:ascii="Times New Roman" w:hAnsi="Times New Roman"/>
        </w:rPr>
        <w:t>. "The jurors are specially chosen for the single purpose of trying one indictment or such of the prisoners arraigned on one indictment as they may have in charge" such that "there is no way allowed by law of putting in charge of one jury at one time two or more prisoners arraigned upon separate indictments"</w:t>
      </w:r>
      <w:r w:rsidRPr="001720E4">
        <w:rPr>
          <w:rStyle w:val="FootnoteReference"/>
          <w:rFonts w:ascii="Times New Roman" w:hAnsi="Times New Roman"/>
          <w:sz w:val="24"/>
        </w:rPr>
        <w:footnoteReference w:id="31"/>
      </w:r>
      <w:r w:rsidRPr="001720E4">
        <w:rPr>
          <w:rFonts w:ascii="Times New Roman" w:hAnsi="Times New Roman"/>
        </w:rPr>
        <w:t xml:space="preserve">. The "one indictment, one jury" rule was recognised to have crystallised into a common law rule by the House of Lords in 1921, in </w:t>
      </w:r>
      <w:r w:rsidRPr="001720E4">
        <w:rPr>
          <w:rFonts w:ascii="Times New Roman" w:hAnsi="Times New Roman"/>
          <w:i/>
          <w:iCs/>
        </w:rPr>
        <w:t>Crane v Director of Public Prosecutions</w:t>
      </w:r>
      <w:r w:rsidRPr="001720E4">
        <w:rPr>
          <w:rStyle w:val="FootnoteReference"/>
          <w:rFonts w:ascii="Times New Roman" w:hAnsi="Times New Roman"/>
          <w:sz w:val="24"/>
        </w:rPr>
        <w:footnoteReference w:id="32"/>
      </w:r>
      <w:r w:rsidRPr="001720E4">
        <w:rPr>
          <w:rFonts w:ascii="Times New Roman" w:hAnsi="Times New Roman"/>
        </w:rPr>
        <w:t xml:space="preserve">, and was acknowledged by this Court nine years later in </w:t>
      </w:r>
      <w:r w:rsidRPr="001720E4">
        <w:rPr>
          <w:rFonts w:ascii="Times New Roman" w:hAnsi="Times New Roman"/>
          <w:i/>
          <w:iCs/>
        </w:rPr>
        <w:t>Munday v Gill</w:t>
      </w:r>
      <w:r w:rsidRPr="001720E4">
        <w:rPr>
          <w:rStyle w:val="FootnoteReference"/>
          <w:rFonts w:ascii="Times New Roman" w:hAnsi="Times New Roman"/>
          <w:sz w:val="24"/>
        </w:rPr>
        <w:footnoteReference w:id="33"/>
      </w:r>
      <w:r w:rsidRPr="001720E4">
        <w:rPr>
          <w:rFonts w:ascii="Times New Roman" w:hAnsi="Times New Roman"/>
        </w:rPr>
        <w:t xml:space="preserve">. The common law rule was held by the Court of Criminal Appeal in </w:t>
      </w:r>
      <w:r w:rsidRPr="001720E4">
        <w:rPr>
          <w:rFonts w:ascii="Times New Roman" w:hAnsi="Times New Roman"/>
          <w:i/>
          <w:iCs/>
        </w:rPr>
        <w:t xml:space="preserve">R v </w:t>
      </w:r>
      <w:proofErr w:type="spellStart"/>
      <w:r w:rsidRPr="001720E4">
        <w:rPr>
          <w:rFonts w:ascii="Times New Roman" w:hAnsi="Times New Roman"/>
          <w:i/>
          <w:iCs/>
        </w:rPr>
        <w:t>Swansson</w:t>
      </w:r>
      <w:proofErr w:type="spellEnd"/>
      <w:r w:rsidRPr="001720E4">
        <w:rPr>
          <w:rStyle w:val="FootnoteReference"/>
          <w:rFonts w:ascii="Times New Roman" w:hAnsi="Times New Roman"/>
          <w:sz w:val="24"/>
        </w:rPr>
        <w:footnoteReference w:id="34"/>
      </w:r>
      <w:r w:rsidRPr="001720E4">
        <w:rPr>
          <w:rFonts w:ascii="Times New Roman" w:hAnsi="Times New Roman"/>
        </w:rPr>
        <w:t xml:space="preserve"> to survive in New South Wales unaffected by the Criminal Procedure Act. </w:t>
      </w:r>
    </w:p>
    <w:p w14:paraId="0CA2B83E"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To confine one jury to one trial on one indictment has never been thought incompatible with charging one accused with more than one offence on one indictment or with charging multiple accused with one or more offences on one indictment as occurred in the present case. In this respect, something needs to be said of two provisions of the Criminal Procedure Act which have sometimes of </w:t>
      </w:r>
      <w:r w:rsidRPr="001720E4">
        <w:rPr>
          <w:rFonts w:ascii="Times New Roman" w:hAnsi="Times New Roman"/>
        </w:rPr>
        <w:lastRenderedPageBreak/>
        <w:t>late been conflated in practice</w:t>
      </w:r>
      <w:r w:rsidRPr="001720E4">
        <w:rPr>
          <w:rStyle w:val="FootnoteReference"/>
          <w:rFonts w:ascii="Times New Roman" w:hAnsi="Times New Roman"/>
          <w:sz w:val="24"/>
        </w:rPr>
        <w:footnoteReference w:id="35"/>
      </w:r>
      <w:r w:rsidRPr="001720E4">
        <w:rPr>
          <w:rFonts w:ascii="Times New Roman" w:hAnsi="Times New Roman"/>
        </w:rPr>
        <w:t xml:space="preserve"> but which have different provenances and distinct operations.</w:t>
      </w:r>
    </w:p>
    <w:p w14:paraId="5982DD57" w14:textId="6314FBDE"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first is s 21(2)(b), which appears within Pt 2 headed "Indictments and other matters". Section 21(2)(b) is expressed to empower a court to "order a separate trial of any count or counts of [an] indictment" if the court forms the opinion that "it is desirable to direct that an accused person be tried separately for any one or more offences charged in [the] indictment". The reference to "an accused person" is to any accused person charged in the one indictment. That provision assumes the capacity of the Crown to charge multiple accused with one or more offences on one indictment</w:t>
      </w:r>
      <w:r w:rsidR="008F6E30" w:rsidRPr="001720E4">
        <w:rPr>
          <w:rFonts w:ascii="Times New Roman" w:hAnsi="Times New Roman"/>
        </w:rPr>
        <w:t>,</w:t>
      </w:r>
      <w:r w:rsidRPr="001720E4">
        <w:rPr>
          <w:rFonts w:ascii="Times New Roman" w:hAnsi="Times New Roman"/>
        </w:rPr>
        <w:t xml:space="preserve"> thereby result</w:t>
      </w:r>
      <w:r w:rsidR="008F6E30" w:rsidRPr="001720E4">
        <w:rPr>
          <w:rFonts w:ascii="Times New Roman" w:hAnsi="Times New Roman"/>
        </w:rPr>
        <w:t>ing</w:t>
      </w:r>
      <w:r w:rsidRPr="001720E4">
        <w:rPr>
          <w:rFonts w:ascii="Times New Roman" w:hAnsi="Times New Roman"/>
        </w:rPr>
        <w:t xml:space="preserve"> in a single trial</w:t>
      </w:r>
      <w:r w:rsidR="008F6E30" w:rsidRPr="001720E4">
        <w:rPr>
          <w:rFonts w:ascii="Times New Roman" w:hAnsi="Times New Roman"/>
        </w:rPr>
        <w:t>,</w:t>
      </w:r>
      <w:r w:rsidRPr="001720E4">
        <w:rPr>
          <w:rFonts w:ascii="Times New Roman" w:hAnsi="Times New Roman"/>
        </w:rPr>
        <w:t xml:space="preserve"> and restates the power which a court had at common law nevertheless to order separate trials and thereby to bring about a severance of the indictment. </w:t>
      </w:r>
    </w:p>
    <w:p w14:paraId="0C724300" w14:textId="4066C6D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second is s 29(2), which appears within Pt 3 headed "Criminal proceedings generally" and which is explained by s 28(1) to apply "to the extent that it is capable of being applied, to all offences, however arising ... in whatever court dealt with". Section 29(2) is expressed to empower a court in specified circumstances to "hear and determine together proceedings related to offences alleged to have been committed by 2 or more accused persons" subject to the prohibition in s 29(3) that "[p]</w:t>
      </w:r>
      <w:proofErr w:type="spellStart"/>
      <w:r w:rsidRPr="001720E4">
        <w:rPr>
          <w:rFonts w:ascii="Times New Roman" w:hAnsi="Times New Roman"/>
        </w:rPr>
        <w:t>roceedings</w:t>
      </w:r>
      <w:proofErr w:type="spellEnd"/>
      <w:r w:rsidRPr="001720E4">
        <w:rPr>
          <w:rFonts w:ascii="Times New Roman" w:hAnsi="Times New Roman"/>
        </w:rPr>
        <w:t xml:space="preserve"> related to 2 or more offences or 2 or more accused persons may not be heard together if the court is of the opinion that the matters ought to be heard and determined separately in the interests of justice". Despite the generality of their language, s 29(2) and (3) are properly construed against the background of the provenance of s 29 in the </w:t>
      </w:r>
      <w:r w:rsidRPr="001720E4">
        <w:rPr>
          <w:rFonts w:ascii="Times New Roman" w:hAnsi="Times New Roman"/>
          <w:i/>
          <w:iCs/>
        </w:rPr>
        <w:t>Justices Act 1902 (NSW)</w:t>
      </w:r>
      <w:r w:rsidRPr="001720E4">
        <w:rPr>
          <w:rStyle w:val="FootnoteReference"/>
          <w:rFonts w:ascii="Times New Roman" w:hAnsi="Times New Roman"/>
          <w:sz w:val="24"/>
        </w:rPr>
        <w:footnoteReference w:id="36"/>
      </w:r>
      <w:r w:rsidRPr="001720E4">
        <w:rPr>
          <w:rFonts w:ascii="Times New Roman" w:hAnsi="Times New Roman"/>
        </w:rPr>
        <w:t xml:space="preserve"> and its subsequent legislative history</w:t>
      </w:r>
      <w:r w:rsidRPr="001720E4">
        <w:rPr>
          <w:rStyle w:val="FootnoteReference"/>
          <w:rFonts w:ascii="Times New Roman" w:hAnsi="Times New Roman"/>
          <w:sz w:val="24"/>
        </w:rPr>
        <w:footnoteReference w:id="37"/>
      </w:r>
      <w:r w:rsidRPr="001720E4">
        <w:rPr>
          <w:rFonts w:ascii="Times New Roman" w:hAnsi="Times New Roman"/>
        </w:rPr>
        <w:t xml:space="preserve"> as confined to summary proceedings. In respect of summary proceedings, as </w:t>
      </w:r>
      <w:r w:rsidRPr="001720E4">
        <w:rPr>
          <w:rFonts w:ascii="Times New Roman" w:hAnsi="Times New Roman"/>
          <w:i/>
          <w:iCs/>
        </w:rPr>
        <w:t>Munday v Gill</w:t>
      </w:r>
      <w:r w:rsidRPr="001720E4">
        <w:rPr>
          <w:rStyle w:val="FootnoteReference"/>
          <w:rFonts w:ascii="Times New Roman" w:hAnsi="Times New Roman"/>
          <w:sz w:val="24"/>
        </w:rPr>
        <w:footnoteReference w:id="38"/>
      </w:r>
      <w:r w:rsidRPr="001720E4">
        <w:rPr>
          <w:rFonts w:ascii="Times New Roman" w:hAnsi="Times New Roman"/>
          <w:i/>
          <w:iCs/>
        </w:rPr>
        <w:t xml:space="preserve"> </w:t>
      </w:r>
      <w:r w:rsidRPr="001720E4">
        <w:rPr>
          <w:rFonts w:ascii="Times New Roman" w:hAnsi="Times New Roman"/>
        </w:rPr>
        <w:t xml:space="preserve">established, the "one indictment, one jury" rule had no analogue: separate proceedings against different accused charged on different </w:t>
      </w:r>
      <w:proofErr w:type="spellStart"/>
      <w:proofErr w:type="gramStart"/>
      <w:r w:rsidRPr="001720E4">
        <w:rPr>
          <w:rFonts w:ascii="Times New Roman" w:hAnsi="Times New Roman"/>
        </w:rPr>
        <w:t>informations</w:t>
      </w:r>
      <w:proofErr w:type="spellEnd"/>
      <w:proofErr w:type="gramEnd"/>
      <w:r w:rsidRPr="001720E4">
        <w:rPr>
          <w:rFonts w:ascii="Times New Roman" w:hAnsi="Times New Roman"/>
        </w:rPr>
        <w:t xml:space="preserve"> could be heard together without affecting the jurisdiction of the justices to hear them. </w:t>
      </w:r>
    </w:p>
    <w:p w14:paraId="16811C29" w14:textId="61202ADD" w:rsidR="007F652D" w:rsidRPr="001720E4" w:rsidRDefault="00B96F29" w:rsidP="001720E4">
      <w:pPr>
        <w:pStyle w:val="FixListStyle"/>
        <w:spacing w:after="260" w:line="280" w:lineRule="exact"/>
        <w:ind w:right="0"/>
        <w:jc w:val="both"/>
        <w:rPr>
          <w:rFonts w:ascii="Times New Roman" w:hAnsi="Times New Roman"/>
        </w:rPr>
      </w:pPr>
      <w:r w:rsidRPr="001720E4">
        <w:rPr>
          <w:rFonts w:ascii="Times New Roman" w:hAnsi="Times New Roman"/>
        </w:rPr>
        <w:lastRenderedPageBreak/>
        <w:tab/>
      </w:r>
      <w:r w:rsidR="007F652D" w:rsidRPr="001720E4">
        <w:rPr>
          <w:rFonts w:ascii="Times New Roman" w:hAnsi="Times New Roman"/>
        </w:rPr>
        <w:t>Accordingly, in the language of s 28(1), neither s 29(2) nor s</w:t>
      </w:r>
      <w:r w:rsidR="00966034" w:rsidRPr="001720E4">
        <w:rPr>
          <w:rFonts w:ascii="Times New Roman" w:hAnsi="Times New Roman"/>
        </w:rPr>
        <w:t> </w:t>
      </w:r>
      <w:r w:rsidR="007F652D" w:rsidRPr="001720E4">
        <w:rPr>
          <w:rFonts w:ascii="Times New Roman" w:hAnsi="Times New Roman"/>
        </w:rPr>
        <w:t>29(3) is "capable of being applied" to proceedings on indictment. Having no application to proceedings on indictment, s 29(2) and (3) cannot be taken to contradict the "one indictment, one jury" rule of the common law. Section 29(2) does not empower a court to hear and determine together proceedings on two or more indictments. Nor do the references to proceedings related to offences alleged to have been committed by two or more accused persons in s 29(2) and (3) indicate that the trial of multiple accused on one indictment involves the hearing and determination together of multiple proceedings. </w:t>
      </w:r>
    </w:p>
    <w:p w14:paraId="72221D78" w14:textId="229E44A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Lest it be thought to have been overlooked, something should also be said about one aspect of s 29A, which was inserted into Pt 3 of the Criminal Procedure Act in 2020</w:t>
      </w:r>
      <w:r w:rsidRPr="001720E4">
        <w:rPr>
          <w:rStyle w:val="FootnoteReference"/>
          <w:rFonts w:ascii="Times New Roman" w:hAnsi="Times New Roman"/>
          <w:sz w:val="24"/>
        </w:rPr>
        <w:footnoteReference w:id="39"/>
      </w:r>
      <w:r w:rsidRPr="001720E4">
        <w:rPr>
          <w:rFonts w:ascii="Times New Roman" w:hAnsi="Times New Roman"/>
        </w:rPr>
        <w:t>. Section 29</w:t>
      </w:r>
      <w:proofErr w:type="gramStart"/>
      <w:r w:rsidRPr="001720E4">
        <w:rPr>
          <w:rFonts w:ascii="Times New Roman" w:hAnsi="Times New Roman"/>
        </w:rPr>
        <w:t>A(</w:t>
      </w:r>
      <w:proofErr w:type="gramEnd"/>
      <w:r w:rsidRPr="001720E4">
        <w:rPr>
          <w:rFonts w:ascii="Times New Roman" w:hAnsi="Times New Roman"/>
        </w:rPr>
        <w:t xml:space="preserve">1) makes provision for circumstances in which "[a] court must hear and determine together proceedings for 2 or more offences" alleged to have been committed by the same person and where the prosecution has given notice that it intends to rely on tendency or coincidence evidence that relates to more than one of those offences. </w:t>
      </w:r>
      <w:r w:rsidR="002F63AE" w:rsidRPr="001720E4">
        <w:rPr>
          <w:rFonts w:ascii="Times New Roman" w:hAnsi="Times New Roman"/>
        </w:rPr>
        <w:t>Section</w:t>
      </w:r>
      <w:r w:rsidR="00640170" w:rsidRPr="001720E4">
        <w:rPr>
          <w:rFonts w:ascii="Times New Roman" w:hAnsi="Times New Roman"/>
        </w:rPr>
        <w:t> </w:t>
      </w:r>
      <w:r w:rsidRPr="001720E4">
        <w:rPr>
          <w:rFonts w:ascii="Times New Roman" w:hAnsi="Times New Roman"/>
        </w:rPr>
        <w:t>29A(1)(b)(</w:t>
      </w:r>
      <w:proofErr w:type="spellStart"/>
      <w:r w:rsidRPr="001720E4">
        <w:rPr>
          <w:rFonts w:ascii="Times New Roman" w:hAnsi="Times New Roman"/>
        </w:rPr>
        <w:t>i</w:t>
      </w:r>
      <w:proofErr w:type="spellEnd"/>
      <w:r w:rsidRPr="001720E4">
        <w:rPr>
          <w:rFonts w:ascii="Times New Roman" w:hAnsi="Times New Roman"/>
        </w:rPr>
        <w:t xml:space="preserve">) specifies as one of those circumstances if </w:t>
      </w:r>
      <w:r w:rsidR="008F6746" w:rsidRPr="001720E4">
        <w:rPr>
          <w:rFonts w:ascii="Times New Roman" w:hAnsi="Times New Roman"/>
        </w:rPr>
        <w:t>"</w:t>
      </w:r>
      <w:r w:rsidRPr="001720E4">
        <w:rPr>
          <w:rFonts w:ascii="Times New Roman" w:hAnsi="Times New Roman"/>
        </w:rPr>
        <w:t>the offences are</w:t>
      </w:r>
      <w:r w:rsidR="0064335D" w:rsidRPr="001720E4">
        <w:rPr>
          <w:rFonts w:ascii="Times New Roman" w:hAnsi="Times New Roman"/>
        </w:rPr>
        <w:t xml:space="preserve"> ...</w:t>
      </w:r>
      <w:r w:rsidRPr="001720E4">
        <w:rPr>
          <w:rFonts w:ascii="Times New Roman" w:hAnsi="Times New Roman"/>
        </w:rPr>
        <w:t xml:space="preserve"> charged in the same indictment". To the extent that </w:t>
      </w:r>
      <w:r w:rsidR="00317492" w:rsidRPr="001720E4">
        <w:rPr>
          <w:rFonts w:ascii="Times New Roman" w:hAnsi="Times New Roman"/>
        </w:rPr>
        <w:t xml:space="preserve">those provisions </w:t>
      </w:r>
      <w:r w:rsidRPr="001720E4">
        <w:rPr>
          <w:rFonts w:ascii="Times New Roman" w:hAnsi="Times New Roman"/>
        </w:rPr>
        <w:t xml:space="preserve">may assume that the trial of an accused for multiple offences charged in the same indictment involves the hearing and determination together of multiple proceedings, </w:t>
      </w:r>
      <w:r w:rsidR="00706559" w:rsidRPr="001720E4">
        <w:rPr>
          <w:rFonts w:ascii="Times New Roman" w:hAnsi="Times New Roman"/>
        </w:rPr>
        <w:t>they are</w:t>
      </w:r>
      <w:r w:rsidR="00D420A6" w:rsidRPr="001720E4">
        <w:rPr>
          <w:rFonts w:ascii="Times New Roman" w:hAnsi="Times New Roman"/>
        </w:rPr>
        <w:t xml:space="preserve"> </w:t>
      </w:r>
      <w:r w:rsidRPr="001720E4">
        <w:rPr>
          <w:rFonts w:ascii="Times New Roman" w:hAnsi="Times New Roman"/>
        </w:rPr>
        <w:t>mistaken as to the common law nature of a trial on indictment. That mistaken assumption cannot itself alter the common law nature of a trial on indictment. Nor can it affect the construction of any other provision of the Act. "An Act of Parliament does not alter the law by merely betraying an erroneous opinion of it"</w:t>
      </w:r>
      <w:r w:rsidRPr="001720E4">
        <w:rPr>
          <w:rStyle w:val="FootnoteReference"/>
          <w:rFonts w:ascii="Times New Roman" w:hAnsi="Times New Roman"/>
          <w:sz w:val="24"/>
        </w:rPr>
        <w:footnoteReference w:id="40"/>
      </w:r>
      <w:r w:rsidRPr="001720E4">
        <w:rPr>
          <w:rFonts w:ascii="Times New Roman" w:hAnsi="Times New Roman"/>
        </w:rPr>
        <w:t>.</w:t>
      </w:r>
    </w:p>
    <w:p w14:paraId="21D176DD"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Where multiple accused have together been charged with one offence on one indictment, it has not been thought inappropriate to refer to them as "co-accused" who are "jointly charged" on a "joint indictment" and to refer to the resultant trial in the event of pleas of not guilty as a "joint trial". That terminology has not been thought inappropriate even though it has been recognised that every joint charge against two or more co-accused on a joint indictment is also a several charge against each of those co-accused such that it may be open to the jury in a </w:t>
      </w:r>
      <w:r w:rsidRPr="001720E4">
        <w:rPr>
          <w:rFonts w:ascii="Times New Roman" w:hAnsi="Times New Roman"/>
        </w:rPr>
        <w:lastRenderedPageBreak/>
        <w:t>joint trial to return a verdict of guilty in respect of one co-accused and a verdict of not guilty in respect of another co-accused</w:t>
      </w:r>
      <w:r w:rsidRPr="001720E4">
        <w:rPr>
          <w:rStyle w:val="FootnoteReference"/>
          <w:rFonts w:ascii="Times New Roman" w:hAnsi="Times New Roman"/>
          <w:sz w:val="24"/>
        </w:rPr>
        <w:footnoteReference w:id="41"/>
      </w:r>
      <w:r w:rsidRPr="001720E4">
        <w:rPr>
          <w:rFonts w:ascii="Times New Roman" w:hAnsi="Times New Roman"/>
        </w:rPr>
        <w:t>.</w:t>
      </w:r>
    </w:p>
    <w:p w14:paraId="7BC9AFE8" w14:textId="3995E03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Moreover, given that the evidentiary issues joined by the plea of the Crown and the separate plea of each co-accused might differ, it has not been thought inappropriate in the joint trial of a joint charge against two or more co-accused to refer to the Crown "case" against each co-accused and the defence "case" for each co-accused. Occasional references to "the trial" of each co-accused</w:t>
      </w:r>
      <w:r w:rsidRPr="001720E4">
        <w:rPr>
          <w:rStyle w:val="FootnoteReference"/>
          <w:rFonts w:ascii="Times New Roman" w:hAnsi="Times New Roman"/>
          <w:sz w:val="24"/>
        </w:rPr>
        <w:footnoteReference w:id="42"/>
      </w:r>
      <w:r w:rsidRPr="001720E4">
        <w:rPr>
          <w:rFonts w:ascii="Times New Roman" w:hAnsi="Times New Roman"/>
        </w:rPr>
        <w:t xml:space="preserve"> should not be taken to countenance the notion of a joint trial involving </w:t>
      </w:r>
      <w:r w:rsidR="0050152A" w:rsidRPr="001720E4">
        <w:rPr>
          <w:rFonts w:ascii="Times New Roman" w:hAnsi="Times New Roman"/>
        </w:rPr>
        <w:t xml:space="preserve">the </w:t>
      </w:r>
      <w:r w:rsidRPr="001720E4">
        <w:rPr>
          <w:rFonts w:ascii="Times New Roman" w:hAnsi="Times New Roman"/>
        </w:rPr>
        <w:t xml:space="preserve">concurrent conduct of separate </w:t>
      </w:r>
      <w:proofErr w:type="gramStart"/>
      <w:r w:rsidRPr="001720E4">
        <w:rPr>
          <w:rFonts w:ascii="Times New Roman" w:hAnsi="Times New Roman"/>
        </w:rPr>
        <w:t>trials, but</w:t>
      </w:r>
      <w:proofErr w:type="gramEnd"/>
      <w:r w:rsidRPr="001720E4">
        <w:rPr>
          <w:rFonts w:ascii="Times New Roman" w:hAnsi="Times New Roman"/>
        </w:rPr>
        <w:t xml:space="preserve"> should be understood as referring to the hearing and determination of the issues joined by those respective cases within the one joint trial. For so long as there remains one indictment there can remain but one trial. </w:t>
      </w:r>
    </w:p>
    <w:p w14:paraId="036E5D42"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Reference to the decision of the Full Court of the Supreme Court of South Australia in </w:t>
      </w:r>
      <w:r w:rsidRPr="001720E4">
        <w:rPr>
          <w:rFonts w:ascii="Times New Roman" w:hAnsi="Times New Roman"/>
          <w:i/>
          <w:iCs/>
        </w:rPr>
        <w:t>R v</w:t>
      </w:r>
      <w:r w:rsidRPr="001720E4">
        <w:rPr>
          <w:rFonts w:ascii="Times New Roman" w:hAnsi="Times New Roman"/>
        </w:rPr>
        <w:t xml:space="preserve"> </w:t>
      </w:r>
      <w:r w:rsidRPr="001720E4">
        <w:rPr>
          <w:rFonts w:ascii="Times New Roman" w:hAnsi="Times New Roman"/>
          <w:i/>
          <w:iCs/>
        </w:rPr>
        <w:t>Webb and Hay</w:t>
      </w:r>
      <w:r w:rsidRPr="001720E4">
        <w:rPr>
          <w:rStyle w:val="FootnoteReference"/>
          <w:rFonts w:ascii="Times New Roman" w:hAnsi="Times New Roman"/>
          <w:sz w:val="24"/>
        </w:rPr>
        <w:footnoteReference w:id="43"/>
      </w:r>
      <w:r w:rsidRPr="001720E4">
        <w:rPr>
          <w:rFonts w:ascii="Times New Roman" w:hAnsi="Times New Roman"/>
        </w:rPr>
        <w:t xml:space="preserve">, as affirmed on appeal to this Court in </w:t>
      </w:r>
      <w:r w:rsidRPr="001720E4">
        <w:rPr>
          <w:rFonts w:ascii="Times New Roman" w:hAnsi="Times New Roman"/>
          <w:i/>
        </w:rPr>
        <w:t>Webb v The Queen</w:t>
      </w:r>
      <w:r w:rsidRPr="001720E4">
        <w:rPr>
          <w:rStyle w:val="FootnoteReference"/>
          <w:rFonts w:ascii="Times New Roman" w:hAnsi="Times New Roman"/>
          <w:sz w:val="24"/>
        </w:rPr>
        <w:t xml:space="preserve"> </w:t>
      </w:r>
      <w:r w:rsidRPr="001720E4">
        <w:rPr>
          <w:rStyle w:val="FootnoteReference"/>
          <w:rFonts w:ascii="Times New Roman" w:hAnsi="Times New Roman"/>
          <w:sz w:val="24"/>
        </w:rPr>
        <w:footnoteReference w:id="44"/>
      </w:r>
      <w:r w:rsidRPr="001720E4">
        <w:rPr>
          <w:rFonts w:ascii="Times New Roman" w:hAnsi="Times New Roman"/>
        </w:rPr>
        <w:t xml:space="preserve">, is sufficient to refute the contention of McNamara that evidence adduced by one co-accused in his or her defence was available at common law to be used by the jury in considering their verdict in respect of another co-accused only if the evidence was adopted by the Crown in its case against that other co-accused. The timing of that decision is significant in that the decision can be taken to illustrate the position at common law as understood in Australia immediately before the enactment of the </w:t>
      </w:r>
      <w:r w:rsidRPr="001720E4">
        <w:rPr>
          <w:rFonts w:ascii="Times New Roman" w:hAnsi="Times New Roman"/>
          <w:i/>
          <w:iCs/>
        </w:rPr>
        <w:t>Evidence Act 1995</w:t>
      </w:r>
      <w:r w:rsidRPr="001720E4">
        <w:rPr>
          <w:rFonts w:ascii="Times New Roman" w:hAnsi="Times New Roman"/>
        </w:rPr>
        <w:t xml:space="preserve"> (</w:t>
      </w:r>
      <w:proofErr w:type="spellStart"/>
      <w:r w:rsidRPr="001720E4">
        <w:rPr>
          <w:rFonts w:ascii="Times New Roman" w:hAnsi="Times New Roman"/>
        </w:rPr>
        <w:t>Cth</w:t>
      </w:r>
      <w:proofErr w:type="spellEnd"/>
      <w:r w:rsidRPr="001720E4">
        <w:rPr>
          <w:rFonts w:ascii="Times New Roman" w:hAnsi="Times New Roman"/>
        </w:rPr>
        <w:t>) ("the Commonwealth Evidence Act") and the Evidence Act (together, "the Uniform Evidence Acts").</w:t>
      </w:r>
    </w:p>
    <w:p w14:paraId="3BFC57C3" w14:textId="648FFC94"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r>
      <w:r w:rsidRPr="001720E4">
        <w:rPr>
          <w:rFonts w:ascii="Times New Roman" w:hAnsi="Times New Roman"/>
          <w:i/>
          <w:iCs/>
        </w:rPr>
        <w:t>R v</w:t>
      </w:r>
      <w:r w:rsidRPr="001720E4">
        <w:rPr>
          <w:rFonts w:ascii="Times New Roman" w:hAnsi="Times New Roman"/>
        </w:rPr>
        <w:t xml:space="preserve"> </w:t>
      </w:r>
      <w:r w:rsidRPr="001720E4">
        <w:rPr>
          <w:rFonts w:ascii="Times New Roman" w:hAnsi="Times New Roman"/>
          <w:i/>
          <w:iCs/>
        </w:rPr>
        <w:t>Webb and Hay</w:t>
      </w:r>
      <w:r w:rsidRPr="001720E4">
        <w:rPr>
          <w:rFonts w:ascii="Times New Roman" w:hAnsi="Times New Roman"/>
        </w:rPr>
        <w:t xml:space="preserve"> concerned the trial of two co-accused who were jointly charged with murder. Hay gave evidence that Webb delivered the fatal blow. Webb did not give evidence at all. Webb argued that Hay's evidence required the trial judge to have warned the jury that it was dangerous to convict on the uncorroborated evidence of an accomplice. King CJ, with whom other members of the Full Court agreed, rejected that argument. King CJ said that the requirement for such a warning at common law was "confined to the evidence of a witness for </w:t>
      </w:r>
      <w:r w:rsidRPr="001720E4">
        <w:rPr>
          <w:rFonts w:ascii="Times New Roman" w:hAnsi="Times New Roman"/>
        </w:rPr>
        <w:lastRenderedPageBreak/>
        <w:t>the prosecution"</w:t>
      </w:r>
      <w:r w:rsidRPr="001720E4">
        <w:rPr>
          <w:rStyle w:val="FootnoteReference"/>
          <w:rFonts w:ascii="Times New Roman" w:hAnsi="Times New Roman"/>
          <w:sz w:val="24"/>
        </w:rPr>
        <w:footnoteReference w:id="45"/>
      </w:r>
      <w:r w:rsidRPr="001720E4">
        <w:rPr>
          <w:rFonts w:ascii="Times New Roman" w:hAnsi="Times New Roman"/>
        </w:rPr>
        <w:t xml:space="preserve"> and adopted the statement of Gleeson CJ, Campbell and Mathews JJ in </w:t>
      </w:r>
      <w:r w:rsidRPr="001720E4">
        <w:rPr>
          <w:rFonts w:ascii="Times New Roman" w:hAnsi="Times New Roman"/>
          <w:i/>
          <w:iCs/>
        </w:rPr>
        <w:t>R v Henning</w:t>
      </w:r>
      <w:r w:rsidRPr="001720E4">
        <w:rPr>
          <w:rStyle w:val="FootnoteReference"/>
          <w:rFonts w:ascii="Times New Roman" w:hAnsi="Times New Roman"/>
          <w:sz w:val="24"/>
        </w:rPr>
        <w:footnoteReference w:id="46"/>
      </w:r>
      <w:r w:rsidRPr="001720E4">
        <w:rPr>
          <w:rFonts w:ascii="Times New Roman" w:hAnsi="Times New Roman"/>
        </w:rPr>
        <w:t xml:space="preserve"> that "d</w:t>
      </w:r>
      <w:r w:rsidRPr="001720E4">
        <w:rPr>
          <w:rFonts w:ascii="Times New Roman" w:hAnsi="Times New Roman"/>
          <w:color w:val="000000"/>
          <w:shd w:val="clear" w:color="auto" w:fill="FFFFFF"/>
        </w:rPr>
        <w:t>ifferent principles apply when the supposed accomplice</w:t>
      </w:r>
      <w:r w:rsidRPr="001720E4">
        <w:rPr>
          <w:rFonts w:ascii="Times New Roman" w:hAnsi="Times New Roman"/>
          <w:color w:val="000000"/>
        </w:rPr>
        <w:t xml:space="preserve"> </w:t>
      </w:r>
      <w:r w:rsidRPr="001720E4">
        <w:rPr>
          <w:rFonts w:ascii="Times New Roman" w:hAnsi="Times New Roman"/>
          <w:color w:val="000000"/>
          <w:shd w:val="clear" w:color="auto" w:fill="FFFFFF"/>
        </w:rPr>
        <w:t>who gives evidence against a co-accused is himself an</w:t>
      </w:r>
      <w:r w:rsidRPr="001720E4">
        <w:rPr>
          <w:rFonts w:ascii="Times New Roman" w:hAnsi="Times New Roman"/>
          <w:color w:val="000000"/>
        </w:rPr>
        <w:t xml:space="preserve"> </w:t>
      </w:r>
      <w:r w:rsidRPr="001720E4">
        <w:rPr>
          <w:rFonts w:ascii="Times New Roman" w:hAnsi="Times New Roman"/>
          <w:color w:val="000000"/>
          <w:shd w:val="clear" w:color="auto" w:fill="FFFFFF"/>
        </w:rPr>
        <w:t>accused giving evidence in his own case" in which event "[c]</w:t>
      </w:r>
      <w:proofErr w:type="spellStart"/>
      <w:r w:rsidRPr="001720E4">
        <w:rPr>
          <w:rFonts w:ascii="Times New Roman" w:hAnsi="Times New Roman"/>
          <w:color w:val="000000"/>
          <w:shd w:val="clear" w:color="auto" w:fill="FFFFFF"/>
        </w:rPr>
        <w:t>onsiderable</w:t>
      </w:r>
      <w:proofErr w:type="spellEnd"/>
      <w:r w:rsidRPr="001720E4">
        <w:rPr>
          <w:rFonts w:ascii="Times New Roman" w:hAnsi="Times New Roman"/>
          <w:color w:val="000000"/>
          <w:shd w:val="clear" w:color="auto" w:fill="FFFFFF"/>
        </w:rPr>
        <w:t xml:space="preserve"> latitude must be allowed in</w:t>
      </w:r>
      <w:r w:rsidRPr="001720E4">
        <w:rPr>
          <w:rFonts w:ascii="Times New Roman" w:hAnsi="Times New Roman"/>
          <w:color w:val="000000"/>
        </w:rPr>
        <w:t xml:space="preserve"> </w:t>
      </w:r>
      <w:r w:rsidRPr="001720E4">
        <w:rPr>
          <w:rFonts w:ascii="Times New Roman" w:hAnsi="Times New Roman"/>
          <w:color w:val="000000"/>
          <w:shd w:val="clear" w:color="auto" w:fill="FFFFFF"/>
        </w:rPr>
        <w:t>order to enable trial judges to address the situation in a</w:t>
      </w:r>
      <w:r w:rsidRPr="001720E4">
        <w:rPr>
          <w:rFonts w:ascii="Times New Roman" w:hAnsi="Times New Roman"/>
          <w:color w:val="000000"/>
        </w:rPr>
        <w:t xml:space="preserve"> </w:t>
      </w:r>
      <w:r w:rsidRPr="001720E4">
        <w:rPr>
          <w:rFonts w:ascii="Times New Roman" w:hAnsi="Times New Roman"/>
          <w:color w:val="000000"/>
          <w:shd w:val="clear" w:color="auto" w:fill="FFFFFF"/>
        </w:rPr>
        <w:t>manner which will adapt to the competing interests in the</w:t>
      </w:r>
      <w:r w:rsidRPr="001720E4">
        <w:rPr>
          <w:rFonts w:ascii="Times New Roman" w:hAnsi="Times New Roman"/>
          <w:color w:val="000000"/>
        </w:rPr>
        <w:t xml:space="preserve"> </w:t>
      </w:r>
      <w:r w:rsidRPr="001720E4">
        <w:rPr>
          <w:rFonts w:ascii="Times New Roman" w:hAnsi="Times New Roman"/>
          <w:color w:val="000000"/>
          <w:shd w:val="clear" w:color="auto" w:fill="FFFFFF"/>
        </w:rPr>
        <w:t>particular case"</w:t>
      </w:r>
      <w:r w:rsidR="004D5173" w:rsidRPr="001720E4">
        <w:rPr>
          <w:rFonts w:ascii="Times New Roman" w:hAnsi="Times New Roman"/>
          <w:color w:val="000000"/>
          <w:shd w:val="clear" w:color="auto" w:fill="FFFFFF"/>
        </w:rPr>
        <w:t>.</w:t>
      </w:r>
      <w:r w:rsidRPr="001720E4">
        <w:rPr>
          <w:rFonts w:ascii="Times New Roman" w:hAnsi="Times New Roman"/>
          <w:color w:val="000000"/>
          <w:shd w:val="clear" w:color="auto" w:fill="FFFFFF"/>
        </w:rPr>
        <w:t xml:space="preserve"> </w:t>
      </w:r>
      <w:r w:rsidRPr="001720E4">
        <w:rPr>
          <w:rFonts w:ascii="Times New Roman" w:hAnsi="Times New Roman"/>
        </w:rPr>
        <w:t xml:space="preserve">That reasoning was </w:t>
      </w:r>
      <w:r w:rsidRPr="001720E4">
        <w:rPr>
          <w:rFonts w:ascii="Times New Roman" w:hAnsi="Times New Roman"/>
          <w:color w:val="000000"/>
          <w:shd w:val="clear" w:color="auto" w:fill="FFFFFF"/>
        </w:rPr>
        <w:t>specifically endorsed</w:t>
      </w:r>
      <w:r w:rsidRPr="001720E4">
        <w:rPr>
          <w:rFonts w:ascii="Times New Roman" w:hAnsi="Times New Roman"/>
        </w:rPr>
        <w:t xml:space="preserve"> on appeal by </w:t>
      </w:r>
      <w:r w:rsidR="00317492" w:rsidRPr="001720E4">
        <w:rPr>
          <w:rFonts w:ascii="Times New Roman" w:hAnsi="Times New Roman"/>
        </w:rPr>
        <w:t xml:space="preserve">four </w:t>
      </w:r>
      <w:r w:rsidRPr="001720E4">
        <w:rPr>
          <w:rFonts w:ascii="Times New Roman" w:hAnsi="Times New Roman"/>
        </w:rPr>
        <w:t>members of this Court</w:t>
      </w:r>
      <w:r w:rsidRPr="001720E4">
        <w:rPr>
          <w:rStyle w:val="FootnoteReference"/>
          <w:rFonts w:ascii="Times New Roman" w:hAnsi="Times New Roman"/>
          <w:sz w:val="24"/>
        </w:rPr>
        <w:footnoteReference w:id="47"/>
      </w:r>
      <w:r w:rsidRPr="001720E4">
        <w:rPr>
          <w:rFonts w:ascii="Times New Roman" w:hAnsi="Times New Roman"/>
        </w:rPr>
        <w:t xml:space="preserve">. </w:t>
      </w:r>
    </w:p>
    <w:p w14:paraId="5ABFA2D0" w14:textId="03D5A7E4"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For reasons also specifically endorsed on appeal by three members of this Court</w:t>
      </w:r>
      <w:r w:rsidRPr="001720E4">
        <w:rPr>
          <w:rStyle w:val="FootnoteReference"/>
          <w:rFonts w:ascii="Times New Roman" w:hAnsi="Times New Roman"/>
          <w:sz w:val="24"/>
        </w:rPr>
        <w:footnoteReference w:id="48"/>
      </w:r>
      <w:r w:rsidRPr="001720E4">
        <w:rPr>
          <w:rFonts w:ascii="Times New Roman" w:hAnsi="Times New Roman"/>
        </w:rPr>
        <w:t>, King CJ went on to reject a distinct argument that the trial judge should have ordered separate trials of Webb and Hay</w:t>
      </w:r>
      <w:r w:rsidRPr="001720E4">
        <w:rPr>
          <w:rStyle w:val="FootnoteReference"/>
          <w:rFonts w:ascii="Times New Roman" w:hAnsi="Times New Roman"/>
          <w:sz w:val="24"/>
        </w:rPr>
        <w:footnoteReference w:id="49"/>
      </w:r>
      <w:r w:rsidRPr="001720E4">
        <w:rPr>
          <w:rFonts w:ascii="Times New Roman" w:hAnsi="Times New Roman"/>
        </w:rPr>
        <w:t xml:space="preserve">. Drawing on his earlier discussion of principle in </w:t>
      </w:r>
      <w:r w:rsidRPr="001720E4">
        <w:rPr>
          <w:rFonts w:ascii="Times New Roman" w:hAnsi="Times New Roman"/>
          <w:i/>
          <w:iCs/>
        </w:rPr>
        <w:t>R v Collie</w:t>
      </w:r>
      <w:r w:rsidRPr="001720E4">
        <w:rPr>
          <w:rStyle w:val="FootnoteReference"/>
          <w:rFonts w:ascii="Times New Roman" w:hAnsi="Times New Roman"/>
          <w:sz w:val="24"/>
        </w:rPr>
        <w:footnoteReference w:id="50"/>
      </w:r>
      <w:r w:rsidRPr="001720E4">
        <w:rPr>
          <w:rFonts w:ascii="Times New Roman" w:hAnsi="Times New Roman"/>
        </w:rPr>
        <w:t xml:space="preserve">, King CJ referred to there being "strong reasons of principle and policy why persons charged with committing an offence jointly ought to be tried together", especially "where each seeks to cast the blame on the other", leading to the conclusion "that ordinarily persons accused of committing a crime jointly ought to be tried jointly". </w:t>
      </w:r>
    </w:p>
    <w:p w14:paraId="04D5F0A4" w14:textId="5CF09E30"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Reasons of principle and policy earlier identified in </w:t>
      </w:r>
      <w:r w:rsidRPr="001720E4">
        <w:rPr>
          <w:rFonts w:ascii="Times New Roman" w:hAnsi="Times New Roman"/>
          <w:i/>
          <w:iCs/>
        </w:rPr>
        <w:t>R v Collie</w:t>
      </w:r>
      <w:r w:rsidRPr="001720E4">
        <w:rPr>
          <w:rFonts w:ascii="Times New Roman" w:hAnsi="Times New Roman"/>
        </w:rPr>
        <w:t xml:space="preserve"> to support the joint trial of two or more co-accused charged with the same offence centrally include the desirability of a jury having before them "the respective accounts and explanations which are given by all of the alleged criminal participants in [an] incident" in order "to arrive at the truth of the matter"</w:t>
      </w:r>
      <w:r w:rsidRPr="001720E4">
        <w:rPr>
          <w:rStyle w:val="FootnoteReference"/>
          <w:rFonts w:ascii="Times New Roman" w:hAnsi="Times New Roman"/>
          <w:sz w:val="24"/>
        </w:rPr>
        <w:footnoteReference w:id="51"/>
      </w:r>
      <w:r w:rsidRPr="001720E4">
        <w:rPr>
          <w:rFonts w:ascii="Times New Roman" w:hAnsi="Times New Roman"/>
        </w:rPr>
        <w:t>. It was there emphasised that, "</w:t>
      </w:r>
      <w:r w:rsidRPr="001720E4">
        <w:rPr>
          <w:rFonts w:ascii="Times New Roman" w:eastAsiaTheme="minorHAnsi" w:hAnsi="Times New Roman"/>
        </w:rPr>
        <w:t>p</w:t>
      </w:r>
      <w:r w:rsidRPr="001720E4">
        <w:rPr>
          <w:rFonts w:ascii="Times New Roman" w:hAnsi="Times New Roman"/>
        </w:rPr>
        <w:t xml:space="preserve">articularly when each of the accused is seeking to cast the blame on to the other, the interests of justice demand that the jury should have the whole picture presented to them and not half of </w:t>
      </w:r>
      <w:proofErr w:type="gramStart"/>
      <w:r w:rsidRPr="001720E4">
        <w:rPr>
          <w:rFonts w:ascii="Times New Roman" w:hAnsi="Times New Roman"/>
        </w:rPr>
        <w:t>it, and</w:t>
      </w:r>
      <w:proofErr w:type="gramEnd"/>
      <w:r w:rsidRPr="001720E4">
        <w:rPr>
          <w:rFonts w:ascii="Times New Roman" w:hAnsi="Times New Roman"/>
        </w:rPr>
        <w:t xml:space="preserve"> should see the person on whom blame is sought to be cast as well as the person seeking to cast it"</w:t>
      </w:r>
      <w:r w:rsidRPr="001720E4">
        <w:rPr>
          <w:rStyle w:val="FootnoteReference"/>
          <w:rFonts w:ascii="Times New Roman" w:hAnsi="Times New Roman"/>
          <w:sz w:val="24"/>
        </w:rPr>
        <w:footnoteReference w:id="52"/>
      </w:r>
      <w:r w:rsidRPr="001720E4">
        <w:rPr>
          <w:rFonts w:ascii="Times New Roman" w:hAnsi="Times New Roman"/>
        </w:rPr>
        <w:t xml:space="preserve">. Pursuit of that objective </w:t>
      </w:r>
      <w:r w:rsidRPr="001720E4">
        <w:rPr>
          <w:rFonts w:ascii="Times New Roman" w:hAnsi="Times New Roman"/>
        </w:rPr>
        <w:lastRenderedPageBreak/>
        <w:t xml:space="preserve">would be thwarted were evidence given by a co-accused not available to be weighed by the jury in considering their verdicts in respect of each other co-accused, subject to such </w:t>
      </w:r>
      <w:proofErr w:type="gramStart"/>
      <w:r w:rsidRPr="001720E4">
        <w:rPr>
          <w:rFonts w:ascii="Times New Roman" w:hAnsi="Times New Roman"/>
        </w:rPr>
        <w:t>particular exclusions</w:t>
      </w:r>
      <w:proofErr w:type="gramEnd"/>
      <w:r w:rsidRPr="001720E4">
        <w:rPr>
          <w:rFonts w:ascii="Times New Roman" w:hAnsi="Times New Roman"/>
        </w:rPr>
        <w:t xml:space="preserve"> or limitations on use as might be warranted in the circumstances of a particular trial. Other important reasons of principle and policy which have properly been recognised to support a joint trial include the avoidance of inconsistent verdicts</w:t>
      </w:r>
      <w:r w:rsidRPr="001720E4">
        <w:rPr>
          <w:rStyle w:val="FootnoteReference"/>
          <w:rFonts w:ascii="Times New Roman" w:hAnsi="Times New Roman"/>
          <w:sz w:val="24"/>
        </w:rPr>
        <w:footnoteReference w:id="53"/>
      </w:r>
      <w:r w:rsidRPr="001720E4">
        <w:rPr>
          <w:rFonts w:ascii="Times New Roman" w:hAnsi="Times New Roman"/>
        </w:rPr>
        <w:t xml:space="preserve"> and the delay in the administration of justice, the increased public expense, and the increased trauma and inconvenience to witnesses, associated with the conduct of separate trials</w:t>
      </w:r>
      <w:r w:rsidRPr="001720E4">
        <w:rPr>
          <w:rStyle w:val="FootnoteReference"/>
          <w:rFonts w:ascii="Times New Roman" w:hAnsi="Times New Roman"/>
          <w:sz w:val="24"/>
        </w:rPr>
        <w:footnoteReference w:id="54"/>
      </w:r>
      <w:r w:rsidRPr="001720E4">
        <w:rPr>
          <w:rFonts w:ascii="Times New Roman" w:hAnsi="Times New Roman"/>
        </w:rPr>
        <w:t>.</w:t>
      </w:r>
    </w:p>
    <w:p w14:paraId="1E7D6659" w14:textId="0763A2BA"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Mindful that such reasons of principle and policy might not prevail against countervailing considerations in every case, and could not in any case prevail against the fundamental right of an accused to a fair trial, the common law recognised the power of a court presented with a joint indictment to sever the indictment by ordering separate trials of any one or more charges against any one or more accused where the court was satisfied that the overall interests of justice affirmatively required that course to be taken. The power was exercisable before trial and remained exercisable at any stage during the trial. The same is true of the statutory power to order a separate trial now reposed in a court by s 21(2)(b) </w:t>
      </w:r>
      <w:r w:rsidR="00F6349A" w:rsidRPr="001720E4">
        <w:rPr>
          <w:rFonts w:ascii="Times New Roman" w:hAnsi="Times New Roman"/>
        </w:rPr>
        <w:t xml:space="preserve">of </w:t>
      </w:r>
      <w:r w:rsidRPr="001720E4">
        <w:rPr>
          <w:rFonts w:ascii="Times New Roman" w:hAnsi="Times New Roman"/>
        </w:rPr>
        <w:t>the Criminal Procedure Act</w:t>
      </w:r>
      <w:r w:rsidRPr="001720E4">
        <w:rPr>
          <w:rStyle w:val="FootnoteReference"/>
          <w:rFonts w:ascii="Times New Roman" w:hAnsi="Times New Roman"/>
          <w:sz w:val="24"/>
        </w:rPr>
        <w:footnoteReference w:id="55"/>
      </w:r>
      <w:r w:rsidRPr="001720E4">
        <w:rPr>
          <w:rFonts w:ascii="Times New Roman" w:hAnsi="Times New Roman"/>
        </w:rPr>
        <w:t xml:space="preserve">. </w:t>
      </w:r>
    </w:p>
    <w:p w14:paraId="4BCC2299" w14:textId="398B5068"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Given that it is in the nature of a joint trial that evidence adverse to one or more co-accused can become known to the jury which would not be known to separate juries were separate trials of each co-accused to be conducted, the existence of some risk of forensic prejudice to an accused arising from the admission of such evidence is inherent in any joint trial and is not of itself inconsistent with the overall interests of justice supporting the conduct or continuation of the joint trial. Prejudice to a co-accused will not result in the ordering of a separate trial if it is amenable to nullification by judicial direction to the jury</w:t>
      </w:r>
      <w:r w:rsidRPr="001720E4">
        <w:rPr>
          <w:rStyle w:val="FootnoteReference"/>
          <w:rFonts w:ascii="Times New Roman" w:hAnsi="Times New Roman"/>
          <w:sz w:val="24"/>
        </w:rPr>
        <w:footnoteReference w:id="56"/>
      </w:r>
      <w:r w:rsidRPr="001720E4">
        <w:rPr>
          <w:rFonts w:ascii="Times New Roman" w:hAnsi="Times New Roman"/>
        </w:rPr>
        <w:t xml:space="preserve">. Having regard to the strength of the reasons of principle and policy which ordinarily weigh in favour of a joint trial, however, even substantial prejudice to a co-accused of a kind not </w:t>
      </w:r>
      <w:proofErr w:type="gramStart"/>
      <w:r w:rsidRPr="001720E4">
        <w:rPr>
          <w:rFonts w:ascii="Times New Roman" w:hAnsi="Times New Roman"/>
        </w:rPr>
        <w:t>really amenable</w:t>
      </w:r>
      <w:proofErr w:type="gramEnd"/>
      <w:r w:rsidRPr="001720E4">
        <w:rPr>
          <w:rFonts w:ascii="Times New Roman" w:hAnsi="Times New Roman"/>
        </w:rPr>
        <w:t xml:space="preserve"> to nullification by judicial </w:t>
      </w:r>
      <w:r w:rsidRPr="001720E4">
        <w:rPr>
          <w:rFonts w:ascii="Times New Roman" w:hAnsi="Times New Roman"/>
        </w:rPr>
        <w:lastRenderedPageBreak/>
        <w:t>direction will not result in the ordering of a separate trial "as a matter of course"</w:t>
      </w:r>
      <w:r w:rsidRPr="001720E4">
        <w:rPr>
          <w:rStyle w:val="FootnoteReference"/>
          <w:rFonts w:ascii="Times New Roman" w:hAnsi="Times New Roman"/>
          <w:sz w:val="24"/>
        </w:rPr>
        <w:footnoteReference w:id="57"/>
      </w:r>
      <w:r w:rsidRPr="001720E4">
        <w:rPr>
          <w:rFonts w:ascii="Times New Roman" w:hAnsi="Times New Roman"/>
        </w:rPr>
        <w:t xml:space="preserve">. To justify the ordering of a separate trial, the </w:t>
      </w:r>
      <w:proofErr w:type="gramStart"/>
      <w:r w:rsidRPr="001720E4">
        <w:rPr>
          <w:rFonts w:ascii="Times New Roman" w:hAnsi="Times New Roman"/>
        </w:rPr>
        <w:t>particular prejudice</w:t>
      </w:r>
      <w:proofErr w:type="gramEnd"/>
      <w:r w:rsidRPr="001720E4">
        <w:rPr>
          <w:rFonts w:ascii="Times New Roman" w:hAnsi="Times New Roman"/>
        </w:rPr>
        <w:t xml:space="preserve"> to a co-accused must rather be shown to be such as would occasion "positive injustice"</w:t>
      </w:r>
      <w:r w:rsidRPr="001720E4">
        <w:rPr>
          <w:rStyle w:val="FootnoteReference"/>
          <w:rFonts w:ascii="Times New Roman" w:hAnsi="Times New Roman"/>
          <w:sz w:val="24"/>
        </w:rPr>
        <w:footnoteReference w:id="58"/>
      </w:r>
      <w:r w:rsidRPr="001720E4">
        <w:rPr>
          <w:rFonts w:ascii="Times New Roman" w:hAnsi="Times New Roman"/>
        </w:rPr>
        <w:t>. In a joint trial, as in any other trial, "[a]</w:t>
      </w:r>
      <w:r w:rsidRPr="001720E4">
        <w:rPr>
          <w:rFonts w:ascii="Times New Roman" w:hAnsi="Times New Roman"/>
          <w:color w:val="000000"/>
          <w:sz w:val="27"/>
          <w:szCs w:val="27"/>
          <w:shd w:val="clear" w:color="auto" w:fill="FFFFFF"/>
        </w:rPr>
        <w:t xml:space="preserve"> </w:t>
      </w:r>
      <w:r w:rsidRPr="001720E4">
        <w:rPr>
          <w:rFonts w:ascii="Times New Roman" w:hAnsi="Times New Roman"/>
        </w:rPr>
        <w:t>fair trial according to law does not mean a perfect trial, free from possible detriment or disadvantage of any kind or degree to the accused"</w:t>
      </w:r>
      <w:r w:rsidRPr="001720E4">
        <w:rPr>
          <w:rStyle w:val="FootnoteReference"/>
          <w:rFonts w:ascii="Times New Roman" w:hAnsi="Times New Roman"/>
          <w:sz w:val="24"/>
        </w:rPr>
        <w:footnoteReference w:id="59"/>
      </w:r>
      <w:r w:rsidRPr="001720E4">
        <w:rPr>
          <w:rFonts w:ascii="Times New Roman" w:hAnsi="Times New Roman"/>
        </w:rPr>
        <w:t>.</w:t>
      </w:r>
    </w:p>
    <w:p w14:paraId="71581F3F"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Whether or not the right of a co-accused to adduce admissible evidence probative of his or her innocence for which McNamara contended ought to be understood to form, or ever to have formed, a principle of the common law of Australia falls to be ascertained against that broader background of considerations supporting the conduct and continuation of a joint trial. </w:t>
      </w:r>
    </w:p>
    <w:p w14:paraId="5CB3A1A8" w14:textId="00063A3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Apart from the decision of the Privy Council in </w:t>
      </w:r>
      <w:proofErr w:type="spellStart"/>
      <w:r w:rsidRPr="001720E4">
        <w:rPr>
          <w:rFonts w:ascii="Times New Roman" w:hAnsi="Times New Roman"/>
          <w:i/>
          <w:iCs/>
        </w:rPr>
        <w:t>Lowery</w:t>
      </w:r>
      <w:proofErr w:type="spellEnd"/>
      <w:r w:rsidRPr="001720E4">
        <w:rPr>
          <w:rFonts w:ascii="Times New Roman" w:hAnsi="Times New Roman"/>
        </w:rPr>
        <w:t xml:space="preserve">, McNamara placed the weight of his argument in favour of a co-accused having an unfettered right to adduce admissible evidence probative of his or her innocence on reasons given by Devlin J in </w:t>
      </w:r>
      <w:r w:rsidRPr="001720E4">
        <w:rPr>
          <w:rFonts w:ascii="Times New Roman" w:hAnsi="Times New Roman"/>
          <w:i/>
          <w:iCs/>
        </w:rPr>
        <w:t>R v Miller</w:t>
      </w:r>
      <w:r w:rsidRPr="001720E4">
        <w:rPr>
          <w:rStyle w:val="FootnoteReference"/>
          <w:rFonts w:ascii="Times New Roman" w:hAnsi="Times New Roman"/>
          <w:sz w:val="24"/>
        </w:rPr>
        <w:footnoteReference w:id="60"/>
      </w:r>
      <w:r w:rsidRPr="001720E4">
        <w:rPr>
          <w:rFonts w:ascii="Times New Roman" w:hAnsi="Times New Roman"/>
        </w:rPr>
        <w:t xml:space="preserve"> for refusing to order a separate trial in circumstances where counsel for one co-accused sought to adduce relevant evidence bearing on the character of another co-accused during cross-examination of a Crown witness. Having noted that a question which sought to elicit relevant evidence bearing on the character of a co-accused would rarely be asked by counsel for the prosecution given the power and duty of the court to exclude it were the court of the opinion that its prejudicial effect outweighed its probative value, Devlin J said that "[n]o such limitation applies to a question asked by counsel for the defence", adding that "[h]is duty is to adduce any evidence which is relevant to his own case and assists his client, whether or not it prejudices anyone else"</w:t>
      </w:r>
      <w:r w:rsidRPr="001720E4">
        <w:rPr>
          <w:rStyle w:val="FootnoteReference"/>
          <w:rFonts w:ascii="Times New Roman" w:hAnsi="Times New Roman"/>
          <w:sz w:val="24"/>
        </w:rPr>
        <w:footnoteReference w:id="61"/>
      </w:r>
      <w:r w:rsidRPr="001720E4">
        <w:rPr>
          <w:rFonts w:ascii="Times New Roman" w:hAnsi="Times New Roman"/>
        </w:rPr>
        <w:t xml:space="preserve">. </w:t>
      </w:r>
    </w:p>
    <w:p w14:paraId="724D87EA" w14:textId="445647D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No issue was raised in </w:t>
      </w:r>
      <w:r w:rsidRPr="001720E4">
        <w:rPr>
          <w:rFonts w:ascii="Times New Roman" w:hAnsi="Times New Roman"/>
          <w:i/>
          <w:iCs/>
        </w:rPr>
        <w:t>Miller</w:t>
      </w:r>
      <w:r w:rsidRPr="001720E4">
        <w:rPr>
          <w:rFonts w:ascii="Times New Roman" w:hAnsi="Times New Roman"/>
        </w:rPr>
        <w:t xml:space="preserve"> as to whether the </w:t>
      </w:r>
      <w:proofErr w:type="gramStart"/>
      <w:r w:rsidRPr="001720E4">
        <w:rPr>
          <w:rFonts w:ascii="Times New Roman" w:hAnsi="Times New Roman"/>
        </w:rPr>
        <w:t>particular question</w:t>
      </w:r>
      <w:proofErr w:type="gramEnd"/>
      <w:r w:rsidRPr="001720E4">
        <w:rPr>
          <w:rFonts w:ascii="Times New Roman" w:hAnsi="Times New Roman"/>
        </w:rPr>
        <w:t xml:space="preserve"> sought to be asked by counsel for the co-accused in that case could and should have been excluded in the exercise of a judicial discretion. The only issue was whether a separate trial should be ordered in the interests of justice. Still, it is noteworthy that, in resolving that issue in the negative, Devlin J emphasised, consistently with </w:t>
      </w:r>
      <w:r w:rsidRPr="001720E4">
        <w:rPr>
          <w:rFonts w:ascii="Times New Roman" w:hAnsi="Times New Roman"/>
        </w:rPr>
        <w:lastRenderedPageBreak/>
        <w:t>the considerations which support the conduct and continuation of a joint trial, that "the interest</w:t>
      </w:r>
      <w:r w:rsidR="00654AB1" w:rsidRPr="001720E4">
        <w:rPr>
          <w:rFonts w:ascii="Times New Roman" w:hAnsi="Times New Roman"/>
        </w:rPr>
        <w:t>s</w:t>
      </w:r>
      <w:r w:rsidRPr="001720E4">
        <w:rPr>
          <w:rFonts w:ascii="Times New Roman" w:hAnsi="Times New Roman"/>
        </w:rPr>
        <w:t xml:space="preserve"> of justice are not necessarily the same as the interests of the </w:t>
      </w:r>
      <w:r w:rsidR="00EF60AD" w:rsidRPr="001720E4">
        <w:rPr>
          <w:rFonts w:ascii="Times New Roman" w:hAnsi="Times New Roman"/>
        </w:rPr>
        <w:t>accused</w:t>
      </w:r>
      <w:r w:rsidRPr="001720E4">
        <w:rPr>
          <w:rFonts w:ascii="Times New Roman" w:hAnsi="Times New Roman"/>
        </w:rPr>
        <w:t>"</w:t>
      </w:r>
      <w:r w:rsidRPr="001720E4">
        <w:rPr>
          <w:rStyle w:val="FootnoteReference"/>
          <w:rFonts w:ascii="Times New Roman" w:hAnsi="Times New Roman"/>
          <w:sz w:val="24"/>
        </w:rPr>
        <w:footnoteReference w:id="62"/>
      </w:r>
      <w:r w:rsidRPr="001720E4">
        <w:rPr>
          <w:rFonts w:ascii="Times New Roman" w:hAnsi="Times New Roman"/>
        </w:rPr>
        <w:t xml:space="preserve">. </w:t>
      </w:r>
    </w:p>
    <w:p w14:paraId="23640CB4" w14:textId="35730AD0"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Despite no issue having arisen in </w:t>
      </w:r>
      <w:r w:rsidRPr="001720E4">
        <w:rPr>
          <w:rFonts w:ascii="Times New Roman" w:hAnsi="Times New Roman"/>
          <w:i/>
          <w:iCs/>
        </w:rPr>
        <w:t xml:space="preserve">Miller </w:t>
      </w:r>
      <w:r w:rsidRPr="001720E4">
        <w:rPr>
          <w:rFonts w:ascii="Times New Roman" w:hAnsi="Times New Roman"/>
        </w:rPr>
        <w:t>as to the existence of a judicial discretion to exclude evidence of one co-accused the probative value of which was outweighed by its prejudicial effect on another co-accused, the reasoning of Devlin</w:t>
      </w:r>
      <w:r w:rsidR="00577825">
        <w:rPr>
          <w:rFonts w:ascii="Times New Roman" w:hAnsi="Times New Roman"/>
        </w:rPr>
        <w:t> </w:t>
      </w:r>
      <w:r w:rsidRPr="001720E4">
        <w:rPr>
          <w:rFonts w:ascii="Times New Roman" w:hAnsi="Times New Roman"/>
        </w:rPr>
        <w:t xml:space="preserve">J in </w:t>
      </w:r>
      <w:r w:rsidRPr="001720E4">
        <w:rPr>
          <w:rFonts w:ascii="Times New Roman" w:hAnsi="Times New Roman"/>
          <w:i/>
          <w:iCs/>
        </w:rPr>
        <w:t xml:space="preserve">Miller </w:t>
      </w:r>
      <w:r w:rsidRPr="001720E4">
        <w:rPr>
          <w:rFonts w:ascii="Times New Roman" w:hAnsi="Times New Roman"/>
        </w:rPr>
        <w:t xml:space="preserve">was relied on by the Privy Council on appeal from the Court of Appeal of Hong Kong in </w:t>
      </w:r>
      <w:r w:rsidRPr="001720E4">
        <w:rPr>
          <w:rFonts w:ascii="Times New Roman" w:hAnsi="Times New Roman"/>
          <w:i/>
          <w:iCs/>
        </w:rPr>
        <w:t>Lui Mei Lin v The Queen</w:t>
      </w:r>
      <w:r w:rsidRPr="001720E4">
        <w:rPr>
          <w:rStyle w:val="FootnoteReference"/>
          <w:rFonts w:ascii="Times New Roman" w:hAnsi="Times New Roman"/>
          <w:sz w:val="24"/>
        </w:rPr>
        <w:footnoteReference w:id="63"/>
      </w:r>
      <w:r w:rsidRPr="001720E4">
        <w:rPr>
          <w:rFonts w:ascii="Times New Roman" w:hAnsi="Times New Roman"/>
        </w:rPr>
        <w:t xml:space="preserve"> to hold that the right of a co-accused to adduce evidence relevant to the defence of that co-accused in cross-examination of another co-accused was unfettered. </w:t>
      </w:r>
    </w:p>
    <w:p w14:paraId="5048100F" w14:textId="1B9ABE95"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Six years later, in the same year as and shortly after the enactment of the Uniform Evidence Acts, the Privy Council on appeal from the Court of Appeal of Jamaica in </w:t>
      </w:r>
      <w:proofErr w:type="spellStart"/>
      <w:r w:rsidRPr="001720E4">
        <w:rPr>
          <w:rFonts w:ascii="Times New Roman" w:hAnsi="Times New Roman"/>
          <w:i/>
          <w:iCs/>
        </w:rPr>
        <w:t>Lobban</w:t>
      </w:r>
      <w:proofErr w:type="spellEnd"/>
      <w:r w:rsidRPr="001720E4">
        <w:rPr>
          <w:rFonts w:ascii="Times New Roman" w:hAnsi="Times New Roman"/>
          <w:i/>
          <w:iCs/>
        </w:rPr>
        <w:t xml:space="preserve"> v The Queen</w:t>
      </w:r>
      <w:r w:rsidRPr="001720E4">
        <w:rPr>
          <w:rStyle w:val="FootnoteReference"/>
          <w:rFonts w:ascii="Times New Roman" w:hAnsi="Times New Roman"/>
          <w:sz w:val="24"/>
        </w:rPr>
        <w:footnoteReference w:id="64"/>
      </w:r>
      <w:r w:rsidRPr="001720E4">
        <w:rPr>
          <w:rFonts w:ascii="Times New Roman" w:hAnsi="Times New Roman"/>
        </w:rPr>
        <w:t xml:space="preserve"> relied again on the reasoning of Devlin J in </w:t>
      </w:r>
      <w:r w:rsidRPr="001720E4">
        <w:rPr>
          <w:rFonts w:ascii="Times New Roman" w:hAnsi="Times New Roman"/>
          <w:i/>
          <w:iCs/>
        </w:rPr>
        <w:t>Miller</w:t>
      </w:r>
      <w:r w:rsidRPr="001720E4">
        <w:rPr>
          <w:rFonts w:ascii="Times New Roman" w:hAnsi="Times New Roman"/>
        </w:rPr>
        <w:t>. The Privy Council linked</w:t>
      </w:r>
      <w:r w:rsidRPr="001720E4">
        <w:rPr>
          <w:rFonts w:ascii="Times New Roman" w:hAnsi="Times New Roman"/>
          <w:i/>
          <w:iCs/>
        </w:rPr>
        <w:t xml:space="preserve"> </w:t>
      </w:r>
      <w:r w:rsidRPr="001720E4">
        <w:rPr>
          <w:rFonts w:ascii="Times New Roman" w:hAnsi="Times New Roman"/>
        </w:rPr>
        <w:t xml:space="preserve">the reasoning of Devlin J in </w:t>
      </w:r>
      <w:r w:rsidRPr="001720E4">
        <w:rPr>
          <w:rFonts w:ascii="Times New Roman" w:hAnsi="Times New Roman"/>
          <w:i/>
          <w:iCs/>
        </w:rPr>
        <w:t xml:space="preserve">Miller </w:t>
      </w:r>
      <w:r w:rsidRPr="001720E4">
        <w:rPr>
          <w:rFonts w:ascii="Times New Roman" w:hAnsi="Times New Roman"/>
        </w:rPr>
        <w:t xml:space="preserve">to a reference by Lord Morris in the House of Lords in </w:t>
      </w:r>
      <w:r w:rsidRPr="001720E4">
        <w:rPr>
          <w:rFonts w:ascii="Times New Roman" w:hAnsi="Times New Roman"/>
          <w:i/>
          <w:iCs/>
        </w:rPr>
        <w:t>Murdoch v Taylor</w:t>
      </w:r>
      <w:r w:rsidRPr="001720E4">
        <w:rPr>
          <w:rStyle w:val="FootnoteReference"/>
          <w:rFonts w:ascii="Times New Roman" w:hAnsi="Times New Roman"/>
          <w:sz w:val="24"/>
        </w:rPr>
        <w:footnoteReference w:id="65"/>
      </w:r>
      <w:r w:rsidRPr="001720E4">
        <w:rPr>
          <w:rFonts w:ascii="Times New Roman" w:hAnsi="Times New Roman"/>
        </w:rPr>
        <w:t xml:space="preserve"> to a criminal defendant, in the statutory setting there under consideration</w:t>
      </w:r>
      <w:r w:rsidRPr="001720E4">
        <w:rPr>
          <w:rStyle w:val="FootnoteReference"/>
          <w:rFonts w:ascii="Times New Roman" w:hAnsi="Times New Roman"/>
          <w:sz w:val="24"/>
        </w:rPr>
        <w:footnoteReference w:id="66"/>
      </w:r>
      <w:r w:rsidRPr="001720E4">
        <w:rPr>
          <w:rFonts w:ascii="Times New Roman" w:hAnsi="Times New Roman"/>
        </w:rPr>
        <w:t xml:space="preserve">, having "liberty to defend himself by such legitimate means as he thinks it wise to employ" to confine the power and duty of a court to </w:t>
      </w:r>
      <w:r w:rsidR="00A7175C" w:rsidRPr="001720E4">
        <w:rPr>
          <w:rFonts w:ascii="Times New Roman" w:hAnsi="Times New Roman"/>
        </w:rPr>
        <w:t>exclude</w:t>
      </w:r>
      <w:r w:rsidRPr="001720E4">
        <w:rPr>
          <w:rFonts w:ascii="Times New Roman" w:hAnsi="Times New Roman"/>
        </w:rPr>
        <w:t xml:space="preserve"> prejudicial evidence to evidence sought to be adduced by the Crown and to reject the proposition that a trial judge had any discretion to exclude evidence sought to be adduced by a co-accused the probative value of which to that co-accused was outweighed by its prejudicial effect on another co-accused. The Privy Council referred in </w:t>
      </w:r>
      <w:proofErr w:type="spellStart"/>
      <w:r w:rsidRPr="001720E4">
        <w:rPr>
          <w:rFonts w:ascii="Times New Roman" w:hAnsi="Times New Roman"/>
          <w:i/>
          <w:iCs/>
        </w:rPr>
        <w:t>Lobban</w:t>
      </w:r>
      <w:proofErr w:type="spellEnd"/>
      <w:r w:rsidRPr="001720E4">
        <w:rPr>
          <w:rFonts w:ascii="Times New Roman" w:hAnsi="Times New Roman"/>
        </w:rPr>
        <w:t xml:space="preserve"> to "a defendant's absolute right, subject to considerations of relevance, to deploy his case asserting his innocence as he sees fit"</w:t>
      </w:r>
      <w:r w:rsidRPr="001720E4">
        <w:rPr>
          <w:rStyle w:val="FootnoteReference"/>
          <w:rFonts w:ascii="Times New Roman" w:hAnsi="Times New Roman"/>
          <w:sz w:val="24"/>
        </w:rPr>
        <w:footnoteReference w:id="67"/>
      </w:r>
      <w:r w:rsidRPr="001720E4">
        <w:rPr>
          <w:rFonts w:ascii="Times New Roman" w:hAnsi="Times New Roman"/>
        </w:rPr>
        <w:t xml:space="preserve">. The reasoning in </w:t>
      </w:r>
      <w:proofErr w:type="spellStart"/>
      <w:r w:rsidRPr="001720E4">
        <w:rPr>
          <w:rFonts w:ascii="Times New Roman" w:hAnsi="Times New Roman"/>
          <w:i/>
          <w:iCs/>
        </w:rPr>
        <w:t>Lobban</w:t>
      </w:r>
      <w:proofErr w:type="spellEnd"/>
      <w:r w:rsidRPr="001720E4">
        <w:rPr>
          <w:rFonts w:ascii="Times New Roman" w:hAnsi="Times New Roman"/>
          <w:i/>
          <w:iCs/>
        </w:rPr>
        <w:t xml:space="preserve"> </w:t>
      </w:r>
      <w:r w:rsidRPr="001720E4">
        <w:rPr>
          <w:rFonts w:ascii="Times New Roman" w:hAnsi="Times New Roman"/>
        </w:rPr>
        <w:t xml:space="preserve">was soon afterwards noted in this Court in </w:t>
      </w:r>
      <w:r w:rsidRPr="001720E4">
        <w:rPr>
          <w:rFonts w:ascii="Times New Roman" w:hAnsi="Times New Roman"/>
          <w:i/>
          <w:iCs/>
        </w:rPr>
        <w:t>Bannon v The Queen</w:t>
      </w:r>
      <w:r w:rsidRPr="001720E4">
        <w:rPr>
          <w:rStyle w:val="FootnoteReference"/>
          <w:rFonts w:ascii="Times New Roman" w:hAnsi="Times New Roman"/>
          <w:sz w:val="24"/>
        </w:rPr>
        <w:footnoteReference w:id="68"/>
      </w:r>
      <w:r w:rsidRPr="001720E4">
        <w:rPr>
          <w:rFonts w:ascii="Times New Roman" w:hAnsi="Times New Roman"/>
        </w:rPr>
        <w:t xml:space="preserve"> without any view being expressed as to whether that reasoning ought to be accepted in Australia.</w:t>
      </w:r>
    </w:p>
    <w:p w14:paraId="779CF1E7" w14:textId="4977CC0C"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lastRenderedPageBreak/>
        <w:tab/>
        <w:t xml:space="preserve">On the authority of </w:t>
      </w:r>
      <w:proofErr w:type="spellStart"/>
      <w:r w:rsidRPr="001720E4">
        <w:rPr>
          <w:rFonts w:ascii="Times New Roman" w:hAnsi="Times New Roman"/>
          <w:i/>
          <w:iCs/>
        </w:rPr>
        <w:t>Lobban</w:t>
      </w:r>
      <w:proofErr w:type="spellEnd"/>
      <w:r w:rsidRPr="001720E4">
        <w:rPr>
          <w:rFonts w:ascii="Times New Roman" w:hAnsi="Times New Roman"/>
          <w:i/>
          <w:iCs/>
        </w:rPr>
        <w:t xml:space="preserve">, </w:t>
      </w:r>
      <w:r w:rsidRPr="001720E4">
        <w:rPr>
          <w:rFonts w:ascii="Times New Roman" w:hAnsi="Times New Roman"/>
        </w:rPr>
        <w:t>the proposition that a co-accused has an unfettered right to adduce admissible evidence probative of his or her innocence subsequently came to be accepted by</w:t>
      </w:r>
      <w:r w:rsidRPr="001720E4">
        <w:rPr>
          <w:rFonts w:ascii="Times New Roman" w:hAnsi="Times New Roman"/>
          <w:i/>
          <w:iCs/>
        </w:rPr>
        <w:t xml:space="preserve"> </w:t>
      </w:r>
      <w:r w:rsidRPr="001720E4">
        <w:rPr>
          <w:rFonts w:ascii="Times New Roman" w:hAnsi="Times New Roman"/>
        </w:rPr>
        <w:t xml:space="preserve">the Privy Council on appeal from the Court of Appeal of Hong Kong in </w:t>
      </w:r>
      <w:r w:rsidRPr="001720E4">
        <w:rPr>
          <w:rFonts w:ascii="Times New Roman" w:hAnsi="Times New Roman"/>
          <w:i/>
          <w:iCs/>
        </w:rPr>
        <w:t xml:space="preserve">Tan Siew </w:t>
      </w:r>
      <w:proofErr w:type="spellStart"/>
      <w:r w:rsidRPr="001720E4">
        <w:rPr>
          <w:rFonts w:ascii="Times New Roman" w:hAnsi="Times New Roman"/>
          <w:i/>
          <w:iCs/>
        </w:rPr>
        <w:t>Gim</w:t>
      </w:r>
      <w:proofErr w:type="spellEnd"/>
      <w:r w:rsidRPr="001720E4">
        <w:rPr>
          <w:rFonts w:ascii="Times New Roman" w:hAnsi="Times New Roman"/>
          <w:i/>
          <w:iCs/>
        </w:rPr>
        <w:t xml:space="preserve"> v The Queen</w:t>
      </w:r>
      <w:r w:rsidRPr="001720E4">
        <w:rPr>
          <w:rStyle w:val="FootnoteReference"/>
          <w:rFonts w:ascii="Times New Roman" w:hAnsi="Times New Roman"/>
          <w:sz w:val="24"/>
        </w:rPr>
        <w:footnoteReference w:id="69"/>
      </w:r>
      <w:r w:rsidRPr="001720E4">
        <w:rPr>
          <w:rFonts w:ascii="Times New Roman" w:hAnsi="Times New Roman"/>
        </w:rPr>
        <w:t xml:space="preserve">, by the House of Lords in </w:t>
      </w:r>
      <w:r w:rsidRPr="001720E4">
        <w:rPr>
          <w:rFonts w:ascii="Times New Roman" w:hAnsi="Times New Roman"/>
          <w:i/>
          <w:iCs/>
        </w:rPr>
        <w:t>R v Myers</w:t>
      </w:r>
      <w:r w:rsidRPr="001720E4">
        <w:rPr>
          <w:rStyle w:val="FootnoteReference"/>
          <w:rFonts w:ascii="Times New Roman" w:hAnsi="Times New Roman"/>
          <w:sz w:val="24"/>
        </w:rPr>
        <w:footnoteReference w:id="70"/>
      </w:r>
      <w:r w:rsidRPr="001720E4">
        <w:rPr>
          <w:rFonts w:ascii="Times New Roman" w:hAnsi="Times New Roman"/>
        </w:rPr>
        <w:t xml:space="preserve"> and by the Court of Appeal of New Zealand in </w:t>
      </w:r>
      <w:r w:rsidRPr="001720E4">
        <w:rPr>
          <w:rFonts w:ascii="Times New Roman" w:hAnsi="Times New Roman"/>
          <w:i/>
          <w:iCs/>
        </w:rPr>
        <w:t>R v Hartley</w:t>
      </w:r>
      <w:r w:rsidRPr="001720E4">
        <w:rPr>
          <w:rStyle w:val="FootnoteReference"/>
          <w:rFonts w:ascii="Times New Roman" w:hAnsi="Times New Roman"/>
          <w:sz w:val="24"/>
        </w:rPr>
        <w:footnoteReference w:id="71"/>
      </w:r>
      <w:r w:rsidRPr="001720E4">
        <w:rPr>
          <w:rFonts w:ascii="Times New Roman" w:hAnsi="Times New Roman"/>
          <w:i/>
          <w:iCs/>
        </w:rPr>
        <w:t xml:space="preserve">. </w:t>
      </w:r>
      <w:r w:rsidRPr="001720E4">
        <w:rPr>
          <w:rFonts w:ascii="Times New Roman" w:hAnsi="Times New Roman"/>
        </w:rPr>
        <w:t>The proposition has since also come to be accepted by Courts of Appeal of the Supreme Courts of Queensland</w:t>
      </w:r>
      <w:r w:rsidRPr="001720E4">
        <w:rPr>
          <w:rStyle w:val="FootnoteReference"/>
          <w:rFonts w:ascii="Times New Roman" w:hAnsi="Times New Roman"/>
          <w:sz w:val="24"/>
        </w:rPr>
        <w:footnoteReference w:id="72"/>
      </w:r>
      <w:r w:rsidRPr="001720E4">
        <w:rPr>
          <w:rFonts w:ascii="Times New Roman" w:hAnsi="Times New Roman"/>
        </w:rPr>
        <w:t>, South Australia</w:t>
      </w:r>
      <w:r w:rsidRPr="001720E4">
        <w:rPr>
          <w:rStyle w:val="FootnoteReference"/>
          <w:rFonts w:ascii="Times New Roman" w:hAnsi="Times New Roman"/>
          <w:sz w:val="24"/>
        </w:rPr>
        <w:footnoteReference w:id="73"/>
      </w:r>
      <w:r w:rsidRPr="001720E4">
        <w:rPr>
          <w:rFonts w:ascii="Times New Roman" w:hAnsi="Times New Roman"/>
        </w:rPr>
        <w:t xml:space="preserve"> and Western Australia</w:t>
      </w:r>
      <w:r w:rsidRPr="001720E4">
        <w:rPr>
          <w:rStyle w:val="FootnoteReference"/>
          <w:rFonts w:ascii="Times New Roman" w:hAnsi="Times New Roman"/>
          <w:sz w:val="24"/>
        </w:rPr>
        <w:footnoteReference w:id="74"/>
      </w:r>
      <w:r w:rsidRPr="001720E4">
        <w:rPr>
          <w:rFonts w:ascii="Times New Roman" w:hAnsi="Times New Roman"/>
        </w:rPr>
        <w:t xml:space="preserve">. At the present time, Queensland, South </w:t>
      </w:r>
      <w:proofErr w:type="gramStart"/>
      <w:r w:rsidRPr="001720E4">
        <w:rPr>
          <w:rFonts w:ascii="Times New Roman" w:hAnsi="Times New Roman"/>
        </w:rPr>
        <w:t>Australia</w:t>
      </w:r>
      <w:proofErr w:type="gramEnd"/>
      <w:r w:rsidRPr="001720E4">
        <w:rPr>
          <w:rFonts w:ascii="Times New Roman" w:hAnsi="Times New Roman"/>
        </w:rPr>
        <w:t xml:space="preserve"> and Western Australia are the only three of the Australian States and Territories which have not adopted </w:t>
      </w:r>
      <w:r w:rsidR="005A4CF2" w:rsidRPr="001720E4">
        <w:rPr>
          <w:rFonts w:ascii="Times New Roman" w:hAnsi="Times New Roman"/>
        </w:rPr>
        <w:t xml:space="preserve">legislation in the same form as the </w:t>
      </w:r>
      <w:r w:rsidRPr="001720E4">
        <w:rPr>
          <w:rFonts w:ascii="Times New Roman" w:hAnsi="Times New Roman"/>
        </w:rPr>
        <w:t>Uniform Evidence Acts. Whether the proposition should be taken to have acquired the status of a principle of the common law of Australia operative in those three States need not now be determined.</w:t>
      </w:r>
    </w:p>
    <w:p w14:paraId="5AF91EAE"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Under the common law as understood in Australia during the period of roughly two decades after the decision of the Privy Council in </w:t>
      </w:r>
      <w:proofErr w:type="spellStart"/>
      <w:r w:rsidRPr="001720E4">
        <w:rPr>
          <w:rFonts w:ascii="Times New Roman" w:hAnsi="Times New Roman"/>
          <w:i/>
          <w:iCs/>
        </w:rPr>
        <w:t>Lowery</w:t>
      </w:r>
      <w:proofErr w:type="spellEnd"/>
      <w:r w:rsidRPr="001720E4">
        <w:rPr>
          <w:rFonts w:ascii="Times New Roman" w:hAnsi="Times New Roman"/>
          <w:i/>
          <w:iCs/>
        </w:rPr>
        <w:t xml:space="preserve"> </w:t>
      </w:r>
      <w:r w:rsidRPr="001720E4">
        <w:rPr>
          <w:rFonts w:ascii="Times New Roman" w:hAnsi="Times New Roman"/>
        </w:rPr>
        <w:t xml:space="preserve">and before the enactment of the Evidence Act, the question whether the acknowledged right of a co-accused to adduce otherwise admissible evidence in his or her defence was qualified by a discretion on the part of the trial judge to exclude that evidence if satisfied that its probative value to that co-accused was outweighed by its prejudicial effect on another co-accused could only be described as unsettled. The Court of Criminal Appeal of New South Wales in </w:t>
      </w:r>
      <w:r w:rsidRPr="001720E4">
        <w:rPr>
          <w:rFonts w:ascii="Times New Roman" w:hAnsi="Times New Roman"/>
          <w:i/>
          <w:iCs/>
        </w:rPr>
        <w:t>R v Murray</w:t>
      </w:r>
      <w:r w:rsidRPr="001720E4">
        <w:rPr>
          <w:rStyle w:val="FootnoteReference"/>
          <w:rFonts w:ascii="Times New Roman" w:hAnsi="Times New Roman"/>
          <w:sz w:val="24"/>
        </w:rPr>
        <w:footnoteReference w:id="75"/>
      </w:r>
      <w:r w:rsidRPr="001720E4">
        <w:rPr>
          <w:rFonts w:ascii="Times New Roman" w:hAnsi="Times New Roman"/>
        </w:rPr>
        <w:t xml:space="preserve"> and </w:t>
      </w:r>
      <w:r w:rsidRPr="001720E4">
        <w:rPr>
          <w:rFonts w:ascii="Times New Roman" w:hAnsi="Times New Roman"/>
          <w:i/>
          <w:iCs/>
        </w:rPr>
        <w:t>R v Visser</w:t>
      </w:r>
      <w:r w:rsidRPr="001720E4">
        <w:rPr>
          <w:rStyle w:val="FootnoteReference"/>
          <w:rFonts w:ascii="Times New Roman" w:hAnsi="Times New Roman"/>
          <w:sz w:val="24"/>
        </w:rPr>
        <w:footnoteReference w:id="76"/>
      </w:r>
      <w:r w:rsidRPr="001720E4">
        <w:rPr>
          <w:rFonts w:ascii="Times New Roman" w:hAnsi="Times New Roman"/>
        </w:rPr>
        <w:t xml:space="preserve"> denied the existence of any discretion. On the other hand, as noted after </w:t>
      </w:r>
      <w:proofErr w:type="spellStart"/>
      <w:r w:rsidRPr="001720E4">
        <w:rPr>
          <w:rFonts w:ascii="Times New Roman" w:hAnsi="Times New Roman"/>
          <w:i/>
          <w:iCs/>
        </w:rPr>
        <w:t>Lobban</w:t>
      </w:r>
      <w:proofErr w:type="spellEnd"/>
      <w:r w:rsidRPr="001720E4">
        <w:rPr>
          <w:rFonts w:ascii="Times New Roman" w:hAnsi="Times New Roman"/>
          <w:i/>
          <w:iCs/>
        </w:rPr>
        <w:t xml:space="preserve"> </w:t>
      </w:r>
      <w:r w:rsidRPr="001720E4">
        <w:rPr>
          <w:rFonts w:ascii="Times New Roman" w:hAnsi="Times New Roman"/>
        </w:rPr>
        <w:t xml:space="preserve">in </w:t>
      </w:r>
      <w:r w:rsidRPr="001720E4">
        <w:rPr>
          <w:rFonts w:ascii="Times New Roman" w:hAnsi="Times New Roman"/>
          <w:i/>
          <w:iCs/>
        </w:rPr>
        <w:lastRenderedPageBreak/>
        <w:t xml:space="preserve">R v </w:t>
      </w:r>
      <w:proofErr w:type="spellStart"/>
      <w:r w:rsidRPr="001720E4">
        <w:rPr>
          <w:rFonts w:ascii="Times New Roman" w:hAnsi="Times New Roman"/>
          <w:i/>
          <w:iCs/>
        </w:rPr>
        <w:t>Su</w:t>
      </w:r>
      <w:proofErr w:type="spellEnd"/>
      <w:r w:rsidRPr="001720E4">
        <w:rPr>
          <w:rStyle w:val="FootnoteReference"/>
          <w:rFonts w:ascii="Times New Roman" w:hAnsi="Times New Roman"/>
          <w:sz w:val="24"/>
        </w:rPr>
        <w:footnoteReference w:id="77"/>
      </w:r>
      <w:r w:rsidRPr="001720E4">
        <w:rPr>
          <w:rFonts w:ascii="Times New Roman" w:hAnsi="Times New Roman"/>
        </w:rPr>
        <w:t xml:space="preserve">, the decisions of the Full Court of the Supreme Court of Victoria in </w:t>
      </w:r>
      <w:r w:rsidRPr="001720E4">
        <w:rPr>
          <w:rFonts w:ascii="Times New Roman" w:hAnsi="Times New Roman"/>
          <w:i/>
          <w:iCs/>
        </w:rPr>
        <w:t xml:space="preserve">R v </w:t>
      </w:r>
      <w:proofErr w:type="spellStart"/>
      <w:r w:rsidRPr="001720E4">
        <w:rPr>
          <w:rFonts w:ascii="Times New Roman" w:hAnsi="Times New Roman"/>
          <w:i/>
          <w:iCs/>
        </w:rPr>
        <w:t>Darrington</w:t>
      </w:r>
      <w:proofErr w:type="spellEnd"/>
      <w:r w:rsidRPr="001720E4">
        <w:rPr>
          <w:rStyle w:val="FootnoteReference"/>
          <w:rFonts w:ascii="Times New Roman" w:hAnsi="Times New Roman"/>
          <w:sz w:val="24"/>
        </w:rPr>
        <w:footnoteReference w:id="78"/>
      </w:r>
      <w:r w:rsidRPr="001720E4">
        <w:rPr>
          <w:rFonts w:ascii="Times New Roman" w:hAnsi="Times New Roman"/>
        </w:rPr>
        <w:t xml:space="preserve"> and </w:t>
      </w:r>
      <w:r w:rsidRPr="001720E4">
        <w:rPr>
          <w:rFonts w:ascii="Times New Roman" w:hAnsi="Times New Roman"/>
          <w:i/>
          <w:iCs/>
        </w:rPr>
        <w:t>R v Gibb</w:t>
      </w:r>
      <w:r w:rsidRPr="001720E4">
        <w:rPr>
          <w:rStyle w:val="FootnoteReference"/>
          <w:rFonts w:ascii="Times New Roman" w:hAnsi="Times New Roman"/>
          <w:sz w:val="24"/>
        </w:rPr>
        <w:footnoteReference w:id="79"/>
      </w:r>
      <w:r w:rsidRPr="001720E4">
        <w:rPr>
          <w:rFonts w:ascii="Times New Roman" w:hAnsi="Times New Roman"/>
        </w:rPr>
        <w:t xml:space="preserve"> supported the existence of a discretion whilst demonstrating that circumstances justifying its exercise would be exceptional. </w:t>
      </w:r>
    </w:p>
    <w:p w14:paraId="221AEB7B"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Instructively, in </w:t>
      </w:r>
      <w:proofErr w:type="spellStart"/>
      <w:r w:rsidRPr="001720E4">
        <w:rPr>
          <w:rFonts w:ascii="Times New Roman" w:hAnsi="Times New Roman"/>
          <w:i/>
          <w:iCs/>
        </w:rPr>
        <w:t>Darrington</w:t>
      </w:r>
      <w:proofErr w:type="spellEnd"/>
      <w:r w:rsidRPr="001720E4">
        <w:rPr>
          <w:rStyle w:val="FootnoteReference"/>
          <w:rFonts w:ascii="Times New Roman" w:hAnsi="Times New Roman"/>
          <w:sz w:val="24"/>
        </w:rPr>
        <w:footnoteReference w:id="80"/>
      </w:r>
      <w:r w:rsidRPr="001720E4">
        <w:rPr>
          <w:rFonts w:ascii="Times New Roman" w:hAnsi="Times New Roman"/>
        </w:rPr>
        <w:t>, Jenkinson J tied the existence of a discretion on the part of the trial judge to exclude otherwise admissible evidence sought to be adduced by a co-accused, if satisfied that its probative value to that co-accused was outweighed by its prejudicial effect on another co-accused, to the reasons of principle and policy recognised to support the holding of a joint trial. His Honour identified the considerations favouring the existence of the discretion to have been threefold. The first was that "the exercise of an uncontrollable right to adduce any relevant evidence tending to exculpate one of several accused jointly charged with a crime and tending to inculpate another of them may subject the jury to intellectual and emotional burdens of such a character that the administration of criminal justice by jury trial is quite stultified". The second was that "to obviate or lessen the burdens of that character by the exercise of the power to order separate trials of several accused jointly charged would in some cases frustrate one of the primary purposes of the criminal law, by enabling a party to a criminal offence to secure acquittal by giving at his separate trial an explanation, of the circumstances proved against him, which exculpated him and which was controvertible only by one or more of the others charged". The third was that the slightness of the probative value of evidence to the co-accused seeking to adduce it might be sufficient to justify subordination of the interests of that co-accused "to those other interests which the system of trial of criminal issues by jury is designed to serve".</w:t>
      </w:r>
    </w:p>
    <w:p w14:paraId="7DC8813B" w14:textId="63573440"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Despite views about the common law position within Australia at the time of the framing of the Uniform Evidence Acts having been divided, strong reasons of principle and policy had accordingly been advanced in support of the existence of a judicial discretion to exclude admissible evidence of a co-accused where the probative value of that evidence to that co-accused was outweighed by its prejudicial effect on another co-accused. The commentary proffered by the Australian Law Reform Commission ("</w:t>
      </w:r>
      <w:r w:rsidR="00F127BA" w:rsidRPr="001720E4">
        <w:rPr>
          <w:rFonts w:ascii="Times New Roman" w:hAnsi="Times New Roman"/>
        </w:rPr>
        <w:t xml:space="preserve">the </w:t>
      </w:r>
      <w:r w:rsidRPr="001720E4">
        <w:rPr>
          <w:rFonts w:ascii="Times New Roman" w:hAnsi="Times New Roman"/>
        </w:rPr>
        <w:t xml:space="preserve">ALRC") in support of its preliminary </w:t>
      </w:r>
      <w:r w:rsidRPr="001720E4">
        <w:rPr>
          <w:rFonts w:ascii="Times New Roman" w:hAnsi="Times New Roman"/>
        </w:rPr>
        <w:lastRenderedPageBreak/>
        <w:t>draft of what became s 135 of the Evidence Act</w:t>
      </w:r>
      <w:r w:rsidRPr="001720E4">
        <w:rPr>
          <w:rStyle w:val="FootnoteReference"/>
          <w:rFonts w:ascii="Times New Roman" w:hAnsi="Times New Roman"/>
          <w:sz w:val="24"/>
        </w:rPr>
        <w:footnoteReference w:id="81"/>
      </w:r>
      <w:r w:rsidRPr="001720E4">
        <w:rPr>
          <w:rFonts w:ascii="Times New Roman" w:hAnsi="Times New Roman"/>
        </w:rPr>
        <w:t xml:space="preserve">, to which specific regard may be had in the interpretation of that section in accordance with s 3(3) of the Evidence Act, </w:t>
      </w:r>
      <w:proofErr w:type="gramStart"/>
      <w:r w:rsidRPr="001720E4">
        <w:rPr>
          <w:rFonts w:ascii="Times New Roman" w:hAnsi="Times New Roman"/>
        </w:rPr>
        <w:t>acknowledged</w:t>
      </w:r>
      <w:proofErr w:type="gramEnd"/>
      <w:r w:rsidRPr="001720E4">
        <w:rPr>
          <w:rFonts w:ascii="Times New Roman" w:hAnsi="Times New Roman"/>
        </w:rPr>
        <w:t xml:space="preserve"> and cut through that equivocality. The ALRC stated that "if no judicial discretion exists in this </w:t>
      </w:r>
      <w:proofErr w:type="gramStart"/>
      <w:r w:rsidRPr="001720E4">
        <w:rPr>
          <w:rFonts w:ascii="Times New Roman" w:hAnsi="Times New Roman"/>
        </w:rPr>
        <w:t>area</w:t>
      </w:r>
      <w:proofErr w:type="gramEnd"/>
      <w:r w:rsidRPr="001720E4">
        <w:rPr>
          <w:rFonts w:ascii="Times New Roman" w:hAnsi="Times New Roman"/>
        </w:rPr>
        <w:t xml:space="preserve"> it is suggested that it should be introduced, so that the court, in considering the legitimate interests of the two accused, can balance the value of the evidence to one against the dangers to the other"</w:t>
      </w:r>
      <w:r w:rsidRPr="001720E4">
        <w:rPr>
          <w:rStyle w:val="FootnoteReference"/>
          <w:rFonts w:ascii="Times New Roman" w:hAnsi="Times New Roman"/>
          <w:sz w:val="24"/>
        </w:rPr>
        <w:footnoteReference w:id="82"/>
      </w:r>
      <w:r w:rsidRPr="001720E4">
        <w:rPr>
          <w:rFonts w:ascii="Times New Roman" w:hAnsi="Times New Roman"/>
        </w:rPr>
        <w:t xml:space="preserve">. </w:t>
      </w:r>
    </w:p>
    <w:p w14:paraId="1012B371"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Nothing in any subsequent stage of the legislative history of the Evidence Act indicates any change to the policy intent so stated. The section as enacted will be seen to have succeeded in implementing it.</w:t>
      </w:r>
    </w:p>
    <w:p w14:paraId="387AA508" w14:textId="77777777" w:rsidR="007F652D" w:rsidRPr="001720E4" w:rsidRDefault="007F652D" w:rsidP="001720E4">
      <w:pPr>
        <w:pStyle w:val="HeadingL1"/>
        <w:spacing w:after="260" w:line="280" w:lineRule="exact"/>
        <w:ind w:right="0"/>
        <w:jc w:val="both"/>
        <w:rPr>
          <w:rFonts w:ascii="Times New Roman" w:hAnsi="Times New Roman"/>
        </w:rPr>
      </w:pPr>
      <w:r w:rsidRPr="001720E4">
        <w:rPr>
          <w:rFonts w:ascii="Times New Roman" w:hAnsi="Times New Roman"/>
        </w:rPr>
        <w:t>Joint criminal trials and the Evidence Act</w:t>
      </w:r>
    </w:p>
    <w:p w14:paraId="5419F979" w14:textId="78A9DC2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As has been foreshadowed, the construction of s 135(a) is appropriately addressed in the context of a more general examination of how the scheme of the Evidence Act applies to a joint criminal trial. A component of that more general examination involves the operation of s 9(1) of the Evidence Act upon which McNamara relied as the textual basis for his argument that the unfettered common law right of a co-accused to adduce admissible evidence probative of his or her innocence, which he argues to be part of the common law of Australia, requires s</w:t>
      </w:r>
      <w:r w:rsidR="00577825">
        <w:rPr>
          <w:rFonts w:ascii="Times New Roman" w:hAnsi="Times New Roman"/>
        </w:rPr>
        <w:t> </w:t>
      </w:r>
      <w:r w:rsidRPr="001720E4">
        <w:rPr>
          <w:rFonts w:ascii="Times New Roman" w:hAnsi="Times New Roman"/>
        </w:rPr>
        <w:t>135(a) to be given a confined construction.</w:t>
      </w:r>
    </w:p>
    <w:p w14:paraId="0384816F"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Section 9 of the Evidence Act provides in full:</w:t>
      </w:r>
    </w:p>
    <w:p w14:paraId="0D663713" w14:textId="77777777" w:rsidR="007F652D" w:rsidRPr="001720E4" w:rsidRDefault="007F652D" w:rsidP="001720E4">
      <w:pPr>
        <w:pStyle w:val="leftright"/>
        <w:spacing w:before="0" w:after="260" w:line="280" w:lineRule="exact"/>
        <w:ind w:left="1440" w:right="0" w:hanging="720"/>
        <w:jc w:val="both"/>
        <w:rPr>
          <w:rFonts w:ascii="Times New Roman" w:hAnsi="Times New Roman"/>
        </w:rPr>
      </w:pPr>
      <w:r w:rsidRPr="001720E4">
        <w:rPr>
          <w:rFonts w:ascii="Times New Roman" w:hAnsi="Times New Roman"/>
        </w:rPr>
        <w:t>"(1)</w:t>
      </w:r>
      <w:r w:rsidRPr="001720E4">
        <w:rPr>
          <w:rFonts w:ascii="Times New Roman" w:hAnsi="Times New Roman"/>
        </w:rPr>
        <w:tab/>
        <w:t>This Act does not affect the operation of a principle or rule of common law or equity in relation to evidence in a proceeding to which this Act applies, except so far as this Act provides otherwise expressly or by necessary intendment.</w:t>
      </w:r>
    </w:p>
    <w:p w14:paraId="255B8CC6" w14:textId="160039FC" w:rsidR="007F652D" w:rsidRPr="001720E4" w:rsidRDefault="007F652D" w:rsidP="001720E4">
      <w:pPr>
        <w:pStyle w:val="leftright"/>
        <w:spacing w:before="0" w:after="260" w:line="280" w:lineRule="exact"/>
        <w:ind w:left="1440" w:right="0" w:hanging="720"/>
        <w:jc w:val="both"/>
        <w:rPr>
          <w:rFonts w:ascii="Times New Roman" w:hAnsi="Times New Roman"/>
        </w:rPr>
      </w:pPr>
      <w:r w:rsidRPr="001720E4">
        <w:rPr>
          <w:rFonts w:ascii="Times New Roman" w:hAnsi="Times New Roman"/>
        </w:rPr>
        <w:t>(2)</w:t>
      </w:r>
      <w:r w:rsidRPr="001720E4">
        <w:rPr>
          <w:rFonts w:ascii="Times New Roman" w:hAnsi="Times New Roman"/>
        </w:rPr>
        <w:tab/>
        <w:t xml:space="preserve">Without limiting subsection (1), this Act does not affect the operation of such a principle or rule so far as it relates to any of the following </w:t>
      </w:r>
      <w:r w:rsidR="00EF30BE" w:rsidRPr="001720E4">
        <w:rPr>
          <w:rFonts w:ascii="Times New Roman" w:hAnsi="Times New Roman"/>
        </w:rPr>
        <w:t>–</w:t>
      </w:r>
    </w:p>
    <w:p w14:paraId="44345C99" w14:textId="77777777" w:rsidR="007F652D" w:rsidRPr="001720E4" w:rsidRDefault="007F652D" w:rsidP="001720E4">
      <w:pPr>
        <w:pStyle w:val="leftright"/>
        <w:spacing w:before="0" w:after="260" w:line="280" w:lineRule="exact"/>
        <w:ind w:left="2160" w:right="0" w:hanging="720"/>
        <w:jc w:val="both"/>
        <w:rPr>
          <w:rFonts w:ascii="Times New Roman" w:hAnsi="Times New Roman"/>
        </w:rPr>
      </w:pPr>
      <w:r w:rsidRPr="001720E4">
        <w:rPr>
          <w:rFonts w:ascii="Times New Roman" w:hAnsi="Times New Roman"/>
        </w:rPr>
        <w:t>(a)</w:t>
      </w:r>
      <w:r w:rsidRPr="001720E4">
        <w:rPr>
          <w:rFonts w:ascii="Times New Roman" w:hAnsi="Times New Roman"/>
        </w:rPr>
        <w:tab/>
        <w:t xml:space="preserve">admission or use of evidence of reasons for a decision of a member of a jury, or of the deliberations of a member of a </w:t>
      </w:r>
      <w:r w:rsidRPr="001720E4">
        <w:rPr>
          <w:rFonts w:ascii="Times New Roman" w:hAnsi="Times New Roman"/>
        </w:rPr>
        <w:lastRenderedPageBreak/>
        <w:t>jury in relation to such a decision, in a proceeding by way of appeal from a judgment, decree, order or sentence of a court,</w:t>
      </w:r>
    </w:p>
    <w:p w14:paraId="27D13D2A" w14:textId="77777777" w:rsidR="007F652D" w:rsidRPr="001720E4" w:rsidRDefault="007F652D" w:rsidP="001720E4">
      <w:pPr>
        <w:pStyle w:val="leftright"/>
        <w:spacing w:before="0" w:after="260" w:line="280" w:lineRule="exact"/>
        <w:ind w:left="2160" w:right="0" w:hanging="720"/>
        <w:jc w:val="both"/>
        <w:rPr>
          <w:rFonts w:ascii="Times New Roman" w:hAnsi="Times New Roman"/>
        </w:rPr>
      </w:pPr>
      <w:r w:rsidRPr="001720E4">
        <w:rPr>
          <w:rFonts w:ascii="Times New Roman" w:hAnsi="Times New Roman"/>
        </w:rPr>
        <w:t>(b)</w:t>
      </w:r>
      <w:r w:rsidRPr="001720E4">
        <w:rPr>
          <w:rFonts w:ascii="Times New Roman" w:hAnsi="Times New Roman"/>
        </w:rPr>
        <w:tab/>
        <w:t>the operation of a legal or evidential presumption that is not inconsistent with this Act,</w:t>
      </w:r>
    </w:p>
    <w:p w14:paraId="34FB23E5" w14:textId="77777777" w:rsidR="001720E4" w:rsidRDefault="007F652D" w:rsidP="001720E4">
      <w:pPr>
        <w:pStyle w:val="leftright"/>
        <w:spacing w:before="0" w:after="260" w:line="280" w:lineRule="exact"/>
        <w:ind w:left="2160" w:right="0" w:hanging="720"/>
        <w:jc w:val="both"/>
        <w:rPr>
          <w:rFonts w:ascii="Times New Roman" w:hAnsi="Times New Roman"/>
        </w:rPr>
      </w:pPr>
      <w:r w:rsidRPr="001720E4">
        <w:rPr>
          <w:rFonts w:ascii="Times New Roman" w:hAnsi="Times New Roman"/>
        </w:rPr>
        <w:t>(c)</w:t>
      </w:r>
      <w:r w:rsidRPr="001720E4">
        <w:rPr>
          <w:rFonts w:ascii="Times New Roman" w:hAnsi="Times New Roman"/>
        </w:rPr>
        <w:tab/>
        <w:t>a court's power to dispense with the operation of a rule of evidence or procedure in an interlocutory proceeding."</w:t>
      </w:r>
    </w:p>
    <w:p w14:paraId="2C345712" w14:textId="6123C9A2"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Section 9 of the Evidence Act has an operation broader than s 9 of the Commonwealth Evidence Act, which provides "[f]or the avoidance of doubt" that the Commonwealth Evidence Act "does not affect" specified categories of Commonwealth, State and Territory laws. The "common law" to which s 9(1) of the Evidence Act refers "must be understood either as a body of law created and defined by the courts or as a body of law which, having been declared by the courts at a particular time, may in truth be – and be subsequently declared to be – different"</w:t>
      </w:r>
      <w:r w:rsidRPr="001720E4">
        <w:rPr>
          <w:rStyle w:val="FootnoteReference"/>
          <w:rFonts w:ascii="Times New Roman" w:hAnsi="Times New Roman"/>
          <w:sz w:val="24"/>
        </w:rPr>
        <w:footnoteReference w:id="83"/>
      </w:r>
      <w:r w:rsidRPr="001720E4">
        <w:rPr>
          <w:rFonts w:ascii="Times New Roman" w:hAnsi="Times New Roman"/>
        </w:rPr>
        <w:t>. The same must be true, perhaps even more so, of the reference to "equity"</w:t>
      </w:r>
      <w:r w:rsidRPr="001720E4">
        <w:rPr>
          <w:rStyle w:val="FootnoteReference"/>
          <w:rFonts w:ascii="Times New Roman" w:hAnsi="Times New Roman"/>
          <w:sz w:val="24"/>
        </w:rPr>
        <w:footnoteReference w:id="84"/>
      </w:r>
      <w:r w:rsidRPr="001720E4">
        <w:rPr>
          <w:rFonts w:ascii="Times New Roman" w:hAnsi="Times New Roman"/>
        </w:rPr>
        <w:t>. The principles of common law and equity to which s 9(1) refers are therefore not confined to antecedent principles. Nor, as s 9(2) illustrates, are they confined to "fundamental" principles</w:t>
      </w:r>
      <w:r w:rsidRPr="001720E4">
        <w:rPr>
          <w:rStyle w:val="FootnoteReference"/>
          <w:rFonts w:ascii="Times New Roman" w:hAnsi="Times New Roman"/>
          <w:sz w:val="24"/>
        </w:rPr>
        <w:footnoteReference w:id="85"/>
      </w:r>
      <w:r w:rsidRPr="001720E4">
        <w:rPr>
          <w:rFonts w:ascii="Times New Roman" w:hAnsi="Times New Roman"/>
        </w:rPr>
        <w:t xml:space="preserve">. </w:t>
      </w:r>
    </w:p>
    <w:p w14:paraId="6EFD1BD6" w14:textId="255B4E3D"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But nor does the declaration in s 9(1), that the Evidence Act does not affect the operation of a principle of common law or equity in relation to evidence "except so far as [it] provides otherwise expressly or by necessary intendment", equate to a "stringent" requirement for the manifestation of "a clear expression of an unmistakable and unambiguous intention" to displace such a principle in order for the Act to be construed as doing so</w:t>
      </w:r>
      <w:r w:rsidRPr="001720E4">
        <w:rPr>
          <w:rStyle w:val="FootnoteReference"/>
          <w:rFonts w:ascii="Times New Roman" w:hAnsi="Times New Roman"/>
          <w:sz w:val="24"/>
        </w:rPr>
        <w:footnoteReference w:id="86"/>
      </w:r>
      <w:r w:rsidRPr="001720E4">
        <w:rPr>
          <w:rFonts w:ascii="Times New Roman" w:hAnsi="Times New Roman"/>
        </w:rPr>
        <w:t xml:space="preserve">. The provision does not enact a principle of strict or narrow construction. Its purpose and effect are merely to confirm that the Evidence Act does not operate to cover the field of the law of evidence. In the language of the Attorney-General of New South Wales in his second reading speech for the Evidence Act, "whilst the [Act] codifies many aspects of the law of evidence, it is not intended to operate as an exhaustive code". The Attorney-General specifically referred to the principles of common law and equity which </w:t>
      </w:r>
      <w:r w:rsidRPr="001720E4">
        <w:rPr>
          <w:rFonts w:ascii="Times New Roman" w:hAnsi="Times New Roman"/>
        </w:rPr>
        <w:lastRenderedPageBreak/>
        <w:t>s</w:t>
      </w:r>
      <w:r w:rsidR="00577825">
        <w:rPr>
          <w:rFonts w:ascii="Times New Roman" w:hAnsi="Times New Roman"/>
        </w:rPr>
        <w:t> </w:t>
      </w:r>
      <w:r w:rsidRPr="001720E4">
        <w:rPr>
          <w:rFonts w:ascii="Times New Roman" w:hAnsi="Times New Roman"/>
        </w:rPr>
        <w:t>9(1) says are not affected by the Act and explained that "because the [Act] is comprehensive, the scope for operation of these principles and rules will be extremely limited"</w:t>
      </w:r>
      <w:r w:rsidRPr="001720E4">
        <w:rPr>
          <w:rStyle w:val="FootnoteReference"/>
          <w:rFonts w:ascii="Times New Roman" w:hAnsi="Times New Roman"/>
          <w:sz w:val="24"/>
        </w:rPr>
        <w:footnoteReference w:id="87"/>
      </w:r>
      <w:r w:rsidRPr="001720E4">
        <w:rPr>
          <w:rFonts w:ascii="Times New Roman" w:hAnsi="Times New Roman"/>
        </w:rPr>
        <w:t>.</w:t>
      </w:r>
    </w:p>
    <w:p w14:paraId="7F21D9D3" w14:textId="4A8E3D8D"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In </w:t>
      </w:r>
      <w:proofErr w:type="spellStart"/>
      <w:r w:rsidRPr="001720E4">
        <w:rPr>
          <w:rFonts w:ascii="Times New Roman" w:hAnsi="Times New Roman"/>
          <w:i/>
          <w:iCs/>
        </w:rPr>
        <w:t>Papakosmas</w:t>
      </w:r>
      <w:proofErr w:type="spellEnd"/>
      <w:r w:rsidRPr="001720E4">
        <w:rPr>
          <w:rFonts w:ascii="Times New Roman" w:hAnsi="Times New Roman"/>
          <w:i/>
          <w:iCs/>
        </w:rPr>
        <w:t xml:space="preserve"> v The Queen</w:t>
      </w:r>
      <w:r w:rsidRPr="001720E4">
        <w:rPr>
          <w:rStyle w:val="FootnoteReference"/>
          <w:rFonts w:ascii="Times New Roman" w:hAnsi="Times New Roman"/>
          <w:sz w:val="24"/>
        </w:rPr>
        <w:footnoteReference w:id="88"/>
      </w:r>
      <w:r w:rsidRPr="001720E4">
        <w:rPr>
          <w:rFonts w:ascii="Times New Roman" w:hAnsi="Times New Roman"/>
        </w:rPr>
        <w:t xml:space="preserve"> Gleeson CJ and Hayne J remarked that the language and legislative history of the Evidence Act make clear that the Act "was intended to make, and that it has made, substantial changes to the law of evidence in New South Wales", that the language of the Act is determinative of the scope of its application, and that the construction of that language is not to be approached on the assumption that it conforms to the pre-existing common law. The subsequent observation by Gleeson CJ, </w:t>
      </w:r>
      <w:proofErr w:type="spellStart"/>
      <w:r w:rsidRPr="001720E4">
        <w:rPr>
          <w:rFonts w:ascii="Times New Roman" w:hAnsi="Times New Roman"/>
        </w:rPr>
        <w:t>Gummow</w:t>
      </w:r>
      <w:proofErr w:type="spellEnd"/>
      <w:r w:rsidRPr="001720E4">
        <w:rPr>
          <w:rFonts w:ascii="Times New Roman" w:hAnsi="Times New Roman"/>
        </w:rPr>
        <w:t xml:space="preserve">, </w:t>
      </w:r>
      <w:proofErr w:type="spellStart"/>
      <w:r w:rsidRPr="001720E4">
        <w:rPr>
          <w:rFonts w:ascii="Times New Roman" w:hAnsi="Times New Roman"/>
        </w:rPr>
        <w:t>Heydon</w:t>
      </w:r>
      <w:proofErr w:type="spellEnd"/>
      <w:r w:rsidRPr="001720E4">
        <w:rPr>
          <w:rFonts w:ascii="Times New Roman" w:hAnsi="Times New Roman"/>
        </w:rPr>
        <w:t xml:space="preserve"> and </w:t>
      </w:r>
      <w:proofErr w:type="spellStart"/>
      <w:r w:rsidRPr="001720E4">
        <w:rPr>
          <w:rFonts w:ascii="Times New Roman" w:hAnsi="Times New Roman"/>
        </w:rPr>
        <w:t>Crennan</w:t>
      </w:r>
      <w:proofErr w:type="spellEnd"/>
      <w:r w:rsidRPr="001720E4">
        <w:rPr>
          <w:rFonts w:ascii="Times New Roman" w:hAnsi="Times New Roman"/>
        </w:rPr>
        <w:t xml:space="preserve"> JJ in </w:t>
      </w:r>
      <w:r w:rsidRPr="001720E4">
        <w:rPr>
          <w:rFonts w:ascii="Times New Roman" w:hAnsi="Times New Roman"/>
          <w:i/>
          <w:iCs/>
        </w:rPr>
        <w:t>Cornwell v The Queen</w:t>
      </w:r>
      <w:r w:rsidRPr="001720E4">
        <w:rPr>
          <w:rStyle w:val="FootnoteReference"/>
          <w:rFonts w:ascii="Times New Roman" w:hAnsi="Times New Roman"/>
          <w:sz w:val="24"/>
        </w:rPr>
        <w:footnoteReference w:id="89"/>
      </w:r>
      <w:r w:rsidRPr="001720E4">
        <w:rPr>
          <w:rFonts w:ascii="Times New Roman" w:hAnsi="Times New Roman"/>
        </w:rPr>
        <w:t>, to the effect that where the ALRC thought that its proposals would change the law significantly it was normally careful to make its intention to do so clear, was an observation which bore on the discernment of the purpose of the statutory language in issue in that case. The observation was not directed to the operation of s 9(1).</w:t>
      </w:r>
    </w:p>
    <w:p w14:paraId="50AE61DF"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upshot is that the construction of s 135(a) turns on the meaning properly to be attributed to the text of that provision purposively construed in the context of the Evidence Act. Section 9(1) would not require any modification of a purposive and contextual construction of the text of s 135(a) even if it were assumed that the principle for which McNamara contends was at the time of enactment of the Uniform Evidence Acts, or has since become, a principle of the common law of Australia. </w:t>
      </w:r>
    </w:p>
    <w:p w14:paraId="4CED8958" w14:textId="110F8C54"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Critical to a purposive and contextual construction of the text of s 135(a) is understanding how the Evidence Act applies to a joint criminal trial. And key to understanding how the Evidence Act applies to a joint criminal trial is an appreciation of two ubiquitous and generic undefined statutory terms. The foundational term is "proceeding". The other inherently related term is "party".</w:t>
      </w:r>
    </w:p>
    <w:p w14:paraId="4FBACCEF"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Evidence Act uses the plural in expressing itself to apply to "all proceedings"</w:t>
      </w:r>
      <w:r w:rsidRPr="001720E4">
        <w:rPr>
          <w:rStyle w:val="FootnoteReference"/>
          <w:rFonts w:ascii="Times New Roman" w:hAnsi="Times New Roman"/>
          <w:sz w:val="24"/>
        </w:rPr>
        <w:footnoteReference w:id="90"/>
      </w:r>
      <w:r w:rsidRPr="001720E4">
        <w:rPr>
          <w:rFonts w:ascii="Times New Roman" w:hAnsi="Times New Roman"/>
        </w:rPr>
        <w:t xml:space="preserve"> in a designated court. For some purposes, it draws a distinction </w:t>
      </w:r>
      <w:r w:rsidRPr="001720E4">
        <w:rPr>
          <w:rFonts w:ascii="Times New Roman" w:hAnsi="Times New Roman"/>
        </w:rPr>
        <w:lastRenderedPageBreak/>
        <w:t>between "a criminal proceeding" and "a civil proceeding", defining "civil proceeding" to mean "a proceeding other than a criminal proceeding"</w:t>
      </w:r>
      <w:r w:rsidRPr="001720E4">
        <w:rPr>
          <w:rStyle w:val="FootnoteReference"/>
          <w:rFonts w:ascii="Times New Roman" w:hAnsi="Times New Roman"/>
          <w:sz w:val="24"/>
        </w:rPr>
        <w:footnoteReference w:id="91"/>
      </w:r>
      <w:r w:rsidRPr="001720E4">
        <w:rPr>
          <w:rFonts w:ascii="Times New Roman" w:hAnsi="Times New Roman"/>
        </w:rPr>
        <w:t xml:space="preserve"> and "criminal proceeding" to mean "a prosecution for an offence"</w:t>
      </w:r>
      <w:r w:rsidRPr="001720E4">
        <w:rPr>
          <w:rStyle w:val="FootnoteReference"/>
          <w:rFonts w:ascii="Times New Roman" w:hAnsi="Times New Roman"/>
          <w:sz w:val="24"/>
        </w:rPr>
        <w:footnoteReference w:id="92"/>
      </w:r>
      <w:r w:rsidRPr="001720E4">
        <w:rPr>
          <w:rFonts w:ascii="Times New Roman" w:hAnsi="Times New Roman"/>
        </w:rPr>
        <w:t>. The latter definition encompasses what it describes for more particular purposes as "a criminal proceeding for an indictable offence"</w:t>
      </w:r>
      <w:r w:rsidRPr="001720E4">
        <w:rPr>
          <w:rStyle w:val="FootnoteReference"/>
          <w:rFonts w:ascii="Times New Roman" w:hAnsi="Times New Roman"/>
          <w:sz w:val="24"/>
        </w:rPr>
        <w:footnoteReference w:id="93"/>
      </w:r>
      <w:r w:rsidRPr="001720E4">
        <w:rPr>
          <w:rFonts w:ascii="Times New Roman" w:hAnsi="Times New Roman"/>
        </w:rPr>
        <w:t>. To the extent that it refers to "a proceeding" that is "a criminal proceeding", it therefore encompasses a trial by jury on an indictment.</w:t>
      </w:r>
    </w:p>
    <w:p w14:paraId="4C54D01B"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Throughout the Evidence Act, the term "party" is used in provisions applicable to a criminal proceeding and to a civil proceeding alike. In that context, as the Court of Criminal Appeal correctly observed in the decision under appeal, the term is apt to describe a participant in a proceeding whose rights or liabilities might be affected by evidence adduced in that proceeding</w:t>
      </w:r>
      <w:r w:rsidRPr="001720E4">
        <w:rPr>
          <w:rStyle w:val="FootnoteReference"/>
          <w:rFonts w:ascii="Times New Roman" w:hAnsi="Times New Roman"/>
          <w:sz w:val="24"/>
        </w:rPr>
        <w:footnoteReference w:id="94"/>
      </w:r>
      <w:r w:rsidRPr="001720E4">
        <w:rPr>
          <w:rFonts w:ascii="Times New Roman" w:hAnsi="Times New Roman"/>
        </w:rPr>
        <w:t xml:space="preserve"> and is apt to describe all and each of those participants</w:t>
      </w:r>
      <w:r w:rsidRPr="001720E4">
        <w:rPr>
          <w:rStyle w:val="FootnoteReference"/>
          <w:rFonts w:ascii="Times New Roman" w:hAnsi="Times New Roman"/>
          <w:sz w:val="24"/>
        </w:rPr>
        <w:footnoteReference w:id="95"/>
      </w:r>
      <w:r w:rsidRPr="001720E4">
        <w:rPr>
          <w:rFonts w:ascii="Times New Roman" w:hAnsi="Times New Roman"/>
        </w:rPr>
        <w:t>. More specifically, in its application to a criminal proceeding, including a proceeding on an indictment, the term is apt to describe both a participant whom other provisions refer to as "the prosecutor" and a participant whom those same provisions refer to as "a defendant"</w:t>
      </w:r>
      <w:r w:rsidRPr="001720E4">
        <w:rPr>
          <w:rStyle w:val="FootnoteReference"/>
          <w:rFonts w:ascii="Times New Roman" w:hAnsi="Times New Roman"/>
          <w:sz w:val="24"/>
        </w:rPr>
        <w:footnoteReference w:id="96"/>
      </w:r>
      <w:r w:rsidRPr="001720E4">
        <w:rPr>
          <w:rFonts w:ascii="Times New Roman" w:hAnsi="Times New Roman"/>
        </w:rPr>
        <w:t>.</w:t>
      </w:r>
    </w:p>
    <w:p w14:paraId="6CC06922"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Applying the terminology of the Evidence Act to the one joint trial which must be had on the one joint indictment, it is therefore apparent that the joint trial is "a proceeding" to which the Crown ("the prosecutor") is "a party" and to which each co-accused ("a defendant") is also "a party". Once that is accepted, the coherent scheme of the Evidence Act in its application to a joint trial on a joint indictment readily unfolds.</w:t>
      </w:r>
    </w:p>
    <w:p w14:paraId="2C8E2893" w14:textId="01503CD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Provisions concerning the adducing of evidence within Ch </w:t>
      </w:r>
      <w:r w:rsidR="008616EB" w:rsidRPr="001720E4">
        <w:rPr>
          <w:rFonts w:ascii="Times New Roman" w:hAnsi="Times New Roman"/>
        </w:rPr>
        <w:t>2</w:t>
      </w:r>
      <w:r w:rsidRPr="001720E4">
        <w:rPr>
          <w:rFonts w:ascii="Times New Roman" w:hAnsi="Times New Roman"/>
        </w:rPr>
        <w:t xml:space="preserve"> of the Evidence Act furnish illustrations. Section 17(2), providing that in a criminal proceeding "[a] defendant is not competent to give evidence as a witness for the prosecution", has the effect that no co-accused is competent to give evidence as a </w:t>
      </w:r>
      <w:r w:rsidRPr="001720E4">
        <w:rPr>
          <w:rFonts w:ascii="Times New Roman" w:hAnsi="Times New Roman"/>
        </w:rPr>
        <w:lastRenderedPageBreak/>
        <w:t>witness for the Crown in a joint trial</w:t>
      </w:r>
      <w:r w:rsidRPr="001720E4">
        <w:rPr>
          <w:rStyle w:val="FootnoteReference"/>
          <w:rFonts w:ascii="Times New Roman" w:hAnsi="Times New Roman"/>
          <w:sz w:val="24"/>
        </w:rPr>
        <w:footnoteReference w:id="97"/>
      </w:r>
      <w:r w:rsidRPr="001720E4">
        <w:rPr>
          <w:rFonts w:ascii="Times New Roman" w:hAnsi="Times New Roman"/>
        </w:rPr>
        <w:t>. Section 20(2), providing that in a criminal proceeding on an indictable offence "any party (other than the prosecutor) may comment on the failure of the defendant to give evidence", has the effect that any co-accused may comment on the failure of any other co-accused to give evidence in the joint trial</w:t>
      </w:r>
      <w:r w:rsidRPr="001720E4">
        <w:rPr>
          <w:rStyle w:val="FootnoteReference"/>
          <w:rFonts w:ascii="Times New Roman" w:hAnsi="Times New Roman"/>
          <w:sz w:val="24"/>
        </w:rPr>
        <w:footnoteReference w:id="98"/>
      </w:r>
      <w:r w:rsidRPr="001720E4">
        <w:rPr>
          <w:rFonts w:ascii="Times New Roman" w:hAnsi="Times New Roman"/>
        </w:rPr>
        <w:t>. Section 27, providing that "[a] party may question any witness, except as provided by this Act", must be read with the explanation in the Dictionary that "</w:t>
      </w:r>
      <w:r w:rsidR="00313D49" w:rsidRPr="001720E4">
        <w:rPr>
          <w:rFonts w:ascii="Times New Roman" w:hAnsi="Times New Roman"/>
        </w:rPr>
        <w:t>[</w:t>
      </w:r>
      <w:r w:rsidRPr="001720E4">
        <w:rPr>
          <w:rFonts w:ascii="Times New Roman" w:hAnsi="Times New Roman"/>
        </w:rPr>
        <w:t>a</w:t>
      </w:r>
      <w:r w:rsidR="00313D49" w:rsidRPr="001720E4">
        <w:rPr>
          <w:rFonts w:ascii="Times New Roman" w:hAnsi="Times New Roman"/>
        </w:rPr>
        <w:t>]</w:t>
      </w:r>
      <w:r w:rsidRPr="001720E4">
        <w:rPr>
          <w:rFonts w:ascii="Times New Roman" w:hAnsi="Times New Roman"/>
        </w:rPr>
        <w:t xml:space="preserve"> reference in this Act to a witness includes a reference to a party giving evidence", including "a defendant in a criminal proceeding"</w:t>
      </w:r>
      <w:r w:rsidRPr="001720E4">
        <w:rPr>
          <w:rStyle w:val="FootnoteReference"/>
          <w:rFonts w:ascii="Times New Roman" w:hAnsi="Times New Roman"/>
          <w:sz w:val="24"/>
        </w:rPr>
        <w:footnoteReference w:id="99"/>
      </w:r>
      <w:r w:rsidRPr="001720E4">
        <w:rPr>
          <w:rFonts w:ascii="Times New Roman" w:hAnsi="Times New Roman"/>
        </w:rPr>
        <w:t xml:space="preserve">. Subject to restrictions imposed by other sections of the Act, s 27 has the effect that each co-accused is entitled to cross-examine each other co-accused who chooses to give evidence in chief in his or her defence in the </w:t>
      </w:r>
      <w:r w:rsidR="004D71BC" w:rsidRPr="001720E4">
        <w:rPr>
          <w:rFonts w:ascii="Times New Roman" w:hAnsi="Times New Roman"/>
        </w:rPr>
        <w:t xml:space="preserve">joint </w:t>
      </w:r>
      <w:r w:rsidRPr="001720E4">
        <w:rPr>
          <w:rFonts w:ascii="Times New Roman" w:hAnsi="Times New Roman"/>
        </w:rPr>
        <w:t>trial. McNamara and Rogerson each exercised the entitlement conferred by that section when cross-examining the other.</w:t>
      </w:r>
    </w:p>
    <w:p w14:paraId="64B7668B" w14:textId="39BA7936"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Moving to Ch </w:t>
      </w:r>
      <w:r w:rsidR="00313D49" w:rsidRPr="001720E4">
        <w:rPr>
          <w:rFonts w:ascii="Times New Roman" w:hAnsi="Times New Roman"/>
        </w:rPr>
        <w:t>3</w:t>
      </w:r>
      <w:r w:rsidRPr="001720E4">
        <w:rPr>
          <w:rFonts w:ascii="Times New Roman" w:hAnsi="Times New Roman"/>
        </w:rPr>
        <w:t xml:space="preserve"> of the Evidence Act, concerning the admissibility of evidence, it would be forgivable at this point in the analysis simply to point to the language of s 135(a), providing that "[a] court may refuse to admit evidence if its probative value is substantially outweighed by the danger that the evidence might</w:t>
      </w:r>
      <w:r w:rsidR="00577825">
        <w:rPr>
          <w:rFonts w:ascii="Times New Roman" w:hAnsi="Times New Roman"/>
        </w:rPr>
        <w:t> </w:t>
      </w:r>
      <w:r w:rsidRPr="001720E4">
        <w:rPr>
          <w:rFonts w:ascii="Times New Roman" w:hAnsi="Times New Roman"/>
        </w:rPr>
        <w:t xml:space="preserve">... be unfairly prejudicial to a party". Each co-accused being "a party" to the one proceeding constituted by the joint trial on the one </w:t>
      </w:r>
      <w:r w:rsidR="00A135E8" w:rsidRPr="001720E4">
        <w:rPr>
          <w:rFonts w:ascii="Times New Roman" w:hAnsi="Times New Roman"/>
        </w:rPr>
        <w:t>jo</w:t>
      </w:r>
      <w:r w:rsidR="002C3267" w:rsidRPr="001720E4">
        <w:rPr>
          <w:rFonts w:ascii="Times New Roman" w:hAnsi="Times New Roman"/>
        </w:rPr>
        <w:t>i</w:t>
      </w:r>
      <w:r w:rsidR="00A135E8" w:rsidRPr="001720E4">
        <w:rPr>
          <w:rFonts w:ascii="Times New Roman" w:hAnsi="Times New Roman"/>
        </w:rPr>
        <w:t xml:space="preserve">nt </w:t>
      </w:r>
      <w:r w:rsidRPr="001720E4">
        <w:rPr>
          <w:rFonts w:ascii="Times New Roman" w:hAnsi="Times New Roman"/>
        </w:rPr>
        <w:t>indictment, the language of the provision can be seen to be more than adequate to implement the policy intent of the ALRC to empower a court to refuse to admit evidence sought to be adduced by one co-accused if the probative value of that evidence is substantially outweighed by the danger that it might be unfairly prejudicial to another co-accused.</w:t>
      </w:r>
    </w:p>
    <w:p w14:paraId="6AE5C5D9" w14:textId="1509ED4F"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To underline the coherence of the general language of s 135(a) operating in that way to empower a court to refuse to admit evidence sought to be adduced by one co-accused if the probative value of that evidence is substantially outweighed by the danger that it might be unfairly prejudicial to another co-accused, however, it is appropriate to relate that specific operation of s 135(a) to the place of that provision within the structure of Ch </w:t>
      </w:r>
      <w:r w:rsidR="001628B1" w:rsidRPr="001720E4">
        <w:rPr>
          <w:rFonts w:ascii="Times New Roman" w:hAnsi="Times New Roman"/>
        </w:rPr>
        <w:t>3</w:t>
      </w:r>
      <w:r w:rsidRPr="001720E4">
        <w:rPr>
          <w:rFonts w:ascii="Times New Roman" w:hAnsi="Times New Roman"/>
        </w:rPr>
        <w:t xml:space="preserve">. </w:t>
      </w:r>
    </w:p>
    <w:p w14:paraId="0BE4107E" w14:textId="68228F2D"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Pivotal to the operation of Ch </w:t>
      </w:r>
      <w:r w:rsidR="001628B1" w:rsidRPr="001720E4">
        <w:rPr>
          <w:rFonts w:ascii="Times New Roman" w:hAnsi="Times New Roman"/>
        </w:rPr>
        <w:t>3</w:t>
      </w:r>
      <w:r w:rsidRPr="001720E4">
        <w:rPr>
          <w:rFonts w:ascii="Times New Roman" w:hAnsi="Times New Roman"/>
        </w:rPr>
        <w:t xml:space="preserve"> are s</w:t>
      </w:r>
      <w:r w:rsidR="00192B14" w:rsidRPr="001720E4">
        <w:rPr>
          <w:rFonts w:ascii="Times New Roman" w:hAnsi="Times New Roman"/>
        </w:rPr>
        <w:t>s</w:t>
      </w:r>
      <w:r w:rsidRPr="001720E4">
        <w:rPr>
          <w:rFonts w:ascii="Times New Roman" w:hAnsi="Times New Roman"/>
        </w:rPr>
        <w:t xml:space="preserve"> 55(1) and 56(1). Section 55(1) provides that "evidence that, if it were accepted, could rationally affect (directly or </w:t>
      </w:r>
      <w:r w:rsidRPr="001720E4">
        <w:rPr>
          <w:rFonts w:ascii="Times New Roman" w:hAnsi="Times New Roman"/>
        </w:rPr>
        <w:lastRenderedPageBreak/>
        <w:t>indirectly) the assessment of the probability of the existence of a fact in issue in the proceeding" is, without more, "evidence that is relevant in a proceeding". Section 56(1) then provides that "evidence that is relevant in a proceeding" is evidence that is "admissible in the proceeding"</w:t>
      </w:r>
      <w:r w:rsidR="006318B4" w:rsidRPr="001720E4">
        <w:rPr>
          <w:rFonts w:ascii="Times New Roman" w:hAnsi="Times New Roman"/>
        </w:rPr>
        <w:t>,</w:t>
      </w:r>
      <w:r w:rsidRPr="001720E4">
        <w:rPr>
          <w:rFonts w:ascii="Times New Roman" w:hAnsi="Times New Roman"/>
        </w:rPr>
        <w:t xml:space="preserve"> "[e]</w:t>
      </w:r>
      <w:proofErr w:type="spellStart"/>
      <w:r w:rsidRPr="001720E4">
        <w:rPr>
          <w:rFonts w:ascii="Times New Roman" w:hAnsi="Times New Roman"/>
        </w:rPr>
        <w:t>xcept</w:t>
      </w:r>
      <w:proofErr w:type="spellEnd"/>
      <w:r w:rsidRPr="001720E4">
        <w:rPr>
          <w:rFonts w:ascii="Times New Roman" w:hAnsi="Times New Roman"/>
        </w:rPr>
        <w:t xml:space="preserve"> as otherwise provided" by the Evidence Act. The corollary of s 56(1), spelt out in s 56(2), is that "[e]</w:t>
      </w:r>
      <w:proofErr w:type="spellStart"/>
      <w:r w:rsidRPr="001720E4">
        <w:rPr>
          <w:rFonts w:ascii="Times New Roman" w:hAnsi="Times New Roman"/>
        </w:rPr>
        <w:t>vidence</w:t>
      </w:r>
      <w:proofErr w:type="spellEnd"/>
      <w:r w:rsidRPr="001720E4">
        <w:rPr>
          <w:rFonts w:ascii="Times New Roman" w:hAnsi="Times New Roman"/>
        </w:rPr>
        <w:t xml:space="preserve"> that is not relevant in the proceeding is not admissible".</w:t>
      </w:r>
    </w:p>
    <w:p w14:paraId="47597296"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Sections 55(1) and 56(1) combine to produce the result that evidence probative of the existence of one fact in issue in a proceeding is admissible in the totality of the proceeding. The evidence, if admitted, is then available to be used in the totality of the proceeding in the assessment of the probability of the existence of any other fact in issue in the proceeding, including any fact in issue between parties to the proceeding other than the party adducing it, unless and to the extent that its admission is excluded, or its use is limited, by or under another provision of the Evidence Act. </w:t>
      </w:r>
    </w:p>
    <w:p w14:paraId="4D8DC2E7" w14:textId="77777777"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combined operation of ss 55(1) and 56(1) in their application to a multi-party civil proceeding was explained by Austin J in </w:t>
      </w:r>
      <w:r w:rsidRPr="001720E4">
        <w:rPr>
          <w:rFonts w:ascii="Times New Roman" w:hAnsi="Times New Roman"/>
          <w:i/>
        </w:rPr>
        <w:t>Australian Securities</w:t>
      </w:r>
      <w:r w:rsidRPr="001720E4">
        <w:rPr>
          <w:rFonts w:ascii="Times New Roman" w:hAnsi="Times New Roman"/>
          <w:i/>
          <w:iCs/>
        </w:rPr>
        <w:t xml:space="preserve"> and Investments Commission v Vines</w:t>
      </w:r>
      <w:r w:rsidRPr="001720E4">
        <w:rPr>
          <w:rStyle w:val="FootnoteReference"/>
          <w:rFonts w:ascii="Times New Roman" w:hAnsi="Times New Roman"/>
          <w:sz w:val="24"/>
        </w:rPr>
        <w:footnoteReference w:id="100"/>
      </w:r>
      <w:r w:rsidRPr="001720E4">
        <w:rPr>
          <w:rFonts w:ascii="Times New Roman" w:hAnsi="Times New Roman"/>
        </w:rPr>
        <w:t>. His Honour said:</w:t>
      </w:r>
    </w:p>
    <w:p w14:paraId="7DFC82F8" w14:textId="77777777" w:rsidR="001720E4" w:rsidRDefault="007F652D" w:rsidP="001720E4">
      <w:pPr>
        <w:pStyle w:val="leftright"/>
        <w:spacing w:before="0" w:after="260" w:line="280" w:lineRule="exact"/>
        <w:ind w:right="0"/>
        <w:jc w:val="both"/>
        <w:rPr>
          <w:rFonts w:ascii="Times New Roman" w:hAnsi="Times New Roman"/>
        </w:rPr>
      </w:pPr>
      <w:r w:rsidRPr="001720E4">
        <w:rPr>
          <w:rFonts w:ascii="Times New Roman" w:hAnsi="Times New Roman"/>
        </w:rPr>
        <w:t xml:space="preserve">"It is notable that both ss 55 and 56 address the question whether evidence is admissible </w:t>
      </w:r>
      <w:r w:rsidRPr="001720E4">
        <w:rPr>
          <w:rFonts w:ascii="Times New Roman" w:hAnsi="Times New Roman"/>
          <w:i/>
        </w:rPr>
        <w:t>in a proceeding</w:t>
      </w:r>
      <w:r w:rsidRPr="001720E4">
        <w:rPr>
          <w:rFonts w:ascii="Times New Roman" w:hAnsi="Times New Roman"/>
        </w:rPr>
        <w:t>. Where a plaintiff seeks to make out separate cases against several defendants in a single proceeding, the question to which the Evidence Act provides an answer is whether evidence is admissible in the proceeding, not whether evidence is admissible to prove the plaintiff's case against a particular defendant. The answer it gives is that if the evidence is relevant, it is admissible. Once it is admitted, it is evidence in the proceeding, and therefore available to be used for any purpose, unless one of the exclusionary rules of the Act or any surviving general law exclusionary rule applies, or the Court makes use of its statutory discretions to exclude admissible evidence or limit its use."</w:t>
      </w:r>
    </w:p>
    <w:p w14:paraId="3BE277A1" w14:textId="1F43901E"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combined operation of ss 55(1) and 56(1) can be no different in their application to a multi-party criminal proceeding. For the purposes of s 55(1), the facts in issue in a criminal proceeding are the ultimate facts which establish the elements of the offence or offences charged together with such</w:t>
      </w:r>
      <w:r w:rsidR="0086200D" w:rsidRPr="001720E4">
        <w:rPr>
          <w:rFonts w:ascii="Times New Roman" w:hAnsi="Times New Roman"/>
        </w:rPr>
        <w:t xml:space="preserve"> other</w:t>
      </w:r>
      <w:r w:rsidRPr="001720E4">
        <w:rPr>
          <w:rFonts w:ascii="Times New Roman" w:hAnsi="Times New Roman"/>
        </w:rPr>
        <w:t xml:space="preserve"> facts the existence of which may be probative of </w:t>
      </w:r>
      <w:r w:rsidR="0086200D" w:rsidRPr="001720E4">
        <w:rPr>
          <w:rFonts w:ascii="Times New Roman" w:hAnsi="Times New Roman"/>
        </w:rPr>
        <w:t xml:space="preserve">the existence of </w:t>
      </w:r>
      <w:r w:rsidRPr="001720E4">
        <w:rPr>
          <w:rFonts w:ascii="Times New Roman" w:hAnsi="Times New Roman"/>
        </w:rPr>
        <w:t>those ultimate facts</w:t>
      </w:r>
      <w:r w:rsidRPr="001720E4">
        <w:rPr>
          <w:rStyle w:val="FootnoteReference"/>
          <w:rFonts w:ascii="Times New Roman" w:hAnsi="Times New Roman"/>
          <w:sz w:val="24"/>
        </w:rPr>
        <w:footnoteReference w:id="101"/>
      </w:r>
      <w:r w:rsidRPr="001720E4">
        <w:rPr>
          <w:rFonts w:ascii="Times New Roman" w:hAnsi="Times New Roman"/>
        </w:rPr>
        <w:t xml:space="preserve">. </w:t>
      </w:r>
      <w:r w:rsidRPr="001720E4">
        <w:rPr>
          <w:rFonts w:ascii="Times New Roman" w:hAnsi="Times New Roman"/>
        </w:rPr>
        <w:lastRenderedPageBreak/>
        <w:t xml:space="preserve">Applied to a criminal proceeding constituted by a joint trial on a joint indictment, ss 55(1) and 56(1) produce the result that any evidence adduced on the basis that it is probative of the existence of a fact in issue between the Crown and a co-accused is available to be used by the jury in assessing the probability of the existence of any other fact in issue between the Crown and that co-accused or between the Crown and any other co-accused, unless and to the extent that the admission of the evidence is excluded, or the use of the evidence is limited, by or under some other section. That is so for all evidence adduced in the joint trial, whether by the Crown or any co-accused and whether in examination in chief or in cross-examination. </w:t>
      </w:r>
    </w:p>
    <w:p w14:paraId="7A143699" w14:textId="3629B9B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Within the framework so set by s 55(1) and s 56(1), ss 135, 136 and 137 use similar terminology to provide for a complementary set of exclusions and limitations. In particular, s 135(a)'s provision that "[t]he court may refuse to admit evidence if its probative value is substantially outweighed by the danger that the evidence might ... be unfairly prejudicial to a party" is mirrored by s 136(a)'s provision that "[t]he court may limit the use to be made of evidence if there is a danger that a particular use of the evidence might ... be unfairly prejudicial to a party". Each of those discretionary provisions is applicable in a criminal proceeding as it is in a civil proceeding. Section 137 then adds that "[</w:t>
      </w:r>
      <w:proofErr w:type="spellStart"/>
      <w:r w:rsidRPr="001720E4">
        <w:rPr>
          <w:rFonts w:ascii="Times New Roman" w:hAnsi="Times New Roman"/>
        </w:rPr>
        <w:t>i</w:t>
      </w:r>
      <w:proofErr w:type="spellEnd"/>
      <w:r w:rsidRPr="001720E4">
        <w:rPr>
          <w:rFonts w:ascii="Times New Roman" w:hAnsi="Times New Roman"/>
        </w:rPr>
        <w:t>]n a criminal proceeding, the court must refuse to admit evidence adduced by the prosecutor if its probative value is outweighed by the danger of unfair prejudice to the defendant".</w:t>
      </w:r>
      <w:r w:rsidR="00EB4B0E" w:rsidRPr="001720E4">
        <w:rPr>
          <w:rFonts w:ascii="Times New Roman" w:hAnsi="Times New Roman"/>
        </w:rPr>
        <w:t xml:space="preserve"> </w:t>
      </w:r>
    </w:p>
    <w:p w14:paraId="747F86FC" w14:textId="6F0A4612"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r>
      <w:r w:rsidR="002C01CC" w:rsidRPr="001720E4">
        <w:rPr>
          <w:rFonts w:ascii="Times New Roman" w:hAnsi="Times New Roman"/>
        </w:rPr>
        <w:t xml:space="preserve">The express confining of s 137 to </w:t>
      </w:r>
      <w:r w:rsidR="00254043" w:rsidRPr="001720E4">
        <w:rPr>
          <w:rFonts w:ascii="Times New Roman" w:hAnsi="Times New Roman"/>
        </w:rPr>
        <w:t>"</w:t>
      </w:r>
      <w:r w:rsidR="00C6724D" w:rsidRPr="001720E4">
        <w:rPr>
          <w:rFonts w:ascii="Times New Roman" w:hAnsi="Times New Roman"/>
        </w:rPr>
        <w:t xml:space="preserve">evidence adduced by </w:t>
      </w:r>
      <w:r w:rsidR="008368E1" w:rsidRPr="001720E4">
        <w:rPr>
          <w:rFonts w:ascii="Times New Roman" w:hAnsi="Times New Roman"/>
        </w:rPr>
        <w:t xml:space="preserve">the prosecutor" </w:t>
      </w:r>
      <w:r w:rsidR="00BB531F" w:rsidRPr="001720E4">
        <w:rPr>
          <w:rFonts w:ascii="Times New Roman" w:hAnsi="Times New Roman"/>
        </w:rPr>
        <w:t xml:space="preserve">serves implicitly to </w:t>
      </w:r>
      <w:r w:rsidR="009E4A09" w:rsidRPr="001720E4">
        <w:rPr>
          <w:rFonts w:ascii="Times New Roman" w:hAnsi="Times New Roman"/>
        </w:rPr>
        <w:t xml:space="preserve">confirm </w:t>
      </w:r>
      <w:r w:rsidR="00254043" w:rsidRPr="001720E4">
        <w:rPr>
          <w:rFonts w:ascii="Times New Roman" w:hAnsi="Times New Roman"/>
        </w:rPr>
        <w:t xml:space="preserve">that the reference to </w:t>
      </w:r>
      <w:r w:rsidR="00BB531F" w:rsidRPr="001720E4">
        <w:rPr>
          <w:rFonts w:ascii="Times New Roman" w:hAnsi="Times New Roman"/>
        </w:rPr>
        <w:t xml:space="preserve">"evidence" in </w:t>
      </w:r>
      <w:r w:rsidR="00B75167" w:rsidRPr="001720E4">
        <w:rPr>
          <w:rFonts w:ascii="Times New Roman" w:hAnsi="Times New Roman"/>
        </w:rPr>
        <w:t xml:space="preserve">each of s 135(a) and </w:t>
      </w:r>
      <w:r w:rsidR="0026520C" w:rsidRPr="001720E4">
        <w:rPr>
          <w:rFonts w:ascii="Times New Roman" w:hAnsi="Times New Roman"/>
        </w:rPr>
        <w:t xml:space="preserve">s 136(a) extends to evidence adduced by </w:t>
      </w:r>
      <w:r w:rsidR="0036327B" w:rsidRPr="001720E4">
        <w:rPr>
          <w:rFonts w:ascii="Times New Roman" w:hAnsi="Times New Roman"/>
        </w:rPr>
        <w:t>any party</w:t>
      </w:r>
      <w:r w:rsidR="00FB5A17" w:rsidRPr="001720E4">
        <w:rPr>
          <w:rFonts w:ascii="Times New Roman" w:hAnsi="Times New Roman"/>
        </w:rPr>
        <w:t xml:space="preserve"> including </w:t>
      </w:r>
      <w:r w:rsidR="00776D5E" w:rsidRPr="001720E4">
        <w:rPr>
          <w:rFonts w:ascii="Times New Roman" w:hAnsi="Times New Roman"/>
        </w:rPr>
        <w:t xml:space="preserve">evidence adduced by any co-accused. </w:t>
      </w:r>
      <w:r w:rsidRPr="001720E4">
        <w:rPr>
          <w:rFonts w:ascii="Times New Roman" w:hAnsi="Times New Roman"/>
        </w:rPr>
        <w:t xml:space="preserve">The danger of unfair prejudice to "a party" which </w:t>
      </w:r>
      <w:proofErr w:type="gramStart"/>
      <w:r w:rsidRPr="001720E4">
        <w:rPr>
          <w:rFonts w:ascii="Times New Roman" w:hAnsi="Times New Roman"/>
        </w:rPr>
        <w:t>is able to</w:t>
      </w:r>
      <w:proofErr w:type="gramEnd"/>
      <w:r w:rsidRPr="001720E4">
        <w:rPr>
          <w:rFonts w:ascii="Times New Roman" w:hAnsi="Times New Roman"/>
        </w:rPr>
        <w:t xml:space="preserve"> be considered by a court in determining whether to exclude or limit the use of evidence under s 135(a) or </w:t>
      </w:r>
      <w:r w:rsidR="00E51225" w:rsidRPr="001720E4">
        <w:rPr>
          <w:rFonts w:ascii="Times New Roman" w:hAnsi="Times New Roman"/>
        </w:rPr>
        <w:t xml:space="preserve">s </w:t>
      </w:r>
      <w:r w:rsidRPr="001720E4">
        <w:rPr>
          <w:rFonts w:ascii="Times New Roman" w:hAnsi="Times New Roman"/>
        </w:rPr>
        <w:t>136(a), no less than the danger of unfair prejudice to "the defendant" which must be considered by a court in determining whether to exclude evidence under s 137, is unfair prejudice to any co-accused.</w:t>
      </w:r>
    </w:p>
    <w:p w14:paraId="5B6A780B" w14:textId="6AEEA50E"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To bring home the coherence of that operation of those provisions within the structure of Ch </w:t>
      </w:r>
      <w:r w:rsidR="00A64EC6" w:rsidRPr="001720E4">
        <w:rPr>
          <w:rFonts w:ascii="Times New Roman" w:hAnsi="Times New Roman"/>
        </w:rPr>
        <w:t>3</w:t>
      </w:r>
      <w:r w:rsidRPr="001720E4">
        <w:rPr>
          <w:rFonts w:ascii="Times New Roman" w:hAnsi="Times New Roman"/>
        </w:rPr>
        <w:t xml:space="preserve">, without attempting to be comprehensive, three further aspects of the statutory scheme in its application to a joint trial on a joint indictment which follow from understanding each co-accused to be "a party" to the one "proceeding" are appropriate to be noted. </w:t>
      </w:r>
    </w:p>
    <w:p w14:paraId="1E8C19A3" w14:textId="31FCDE89"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first concerns the </w:t>
      </w:r>
      <w:proofErr w:type="gramStart"/>
      <w:r w:rsidRPr="001720E4">
        <w:rPr>
          <w:rFonts w:ascii="Times New Roman" w:hAnsi="Times New Roman"/>
        </w:rPr>
        <w:t>manner in which</w:t>
      </w:r>
      <w:proofErr w:type="gramEnd"/>
      <w:r w:rsidRPr="001720E4">
        <w:rPr>
          <w:rFonts w:ascii="Times New Roman" w:hAnsi="Times New Roman"/>
        </w:rPr>
        <w:t xml:space="preserve"> the "hearsay rule" in s 59 is modified in its application to evidence of an admission by a co-accused in the outworking of ss 81 and 83. By force of s 81, evidence of an out-of-court representation by a co-accused adverse to that co-accused is not excluded by the hearsay rule in s 59. If probative of a fact in issue, and not otherwise excluded, it is admissible under </w:t>
      </w:r>
      <w:r w:rsidRPr="001720E4">
        <w:rPr>
          <w:rFonts w:ascii="Times New Roman" w:hAnsi="Times New Roman"/>
        </w:rPr>
        <w:lastRenderedPageBreak/>
        <w:t>s</w:t>
      </w:r>
      <w:r w:rsidR="00577825">
        <w:rPr>
          <w:rFonts w:ascii="Times New Roman" w:hAnsi="Times New Roman"/>
        </w:rPr>
        <w:t> </w:t>
      </w:r>
      <w:r w:rsidRPr="001720E4">
        <w:rPr>
          <w:rFonts w:ascii="Times New Roman" w:hAnsi="Times New Roman"/>
        </w:rPr>
        <w:t>56(1). By force of s 83, however, evidence of the admission continues to be excluded as against another co-accused (being a "third party" within the definition in s 83(</w:t>
      </w:r>
      <w:r w:rsidR="0045519C" w:rsidRPr="001720E4">
        <w:rPr>
          <w:rFonts w:ascii="Times New Roman" w:hAnsi="Times New Roman"/>
        </w:rPr>
        <w:t>4</w:t>
      </w:r>
      <w:r w:rsidRPr="001720E4">
        <w:rPr>
          <w:rFonts w:ascii="Times New Roman" w:hAnsi="Times New Roman"/>
        </w:rPr>
        <w:t xml:space="preserve">)). The admission of one co-accused is by those means rendered unavailable to be used by the jury in assessing the probability of the existence of any fact in issue between the Crown and another co-accused unless that other co-accused consents to that use. </w:t>
      </w:r>
    </w:p>
    <w:p w14:paraId="7FC03B4E" w14:textId="5C5B35AD"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second concerns the operation of the "tendency rule" in s 97 and the "coincidence rule" in s 98. Each is expressed to make it a condition of the admissibility of evidence of the nature to which it refers that "the party seeking to adduce the evidence gave reasonable notice in writing to each other party of the party’s intention to adduce the evidence" and that "the court thinks that the evidence will, either by itself or having regard to other evidence adduced or to be adduced by the party seeking to adduce the evidence, have significant probative value". Those conditions apply to tendency or coincidence evidence sought to be adduced by a co-accused just as they apply to tendency or coincidence evidence sought to be adduced by the Crown. Only tendency or coincidence evidence sought to be adduced by the Crown is subject to the additional condition of admissibility set out in s 101. Were a co-accused to seek to adduce tendency evidence of the kind admitted in </w:t>
      </w:r>
      <w:proofErr w:type="spellStart"/>
      <w:r w:rsidRPr="001720E4">
        <w:rPr>
          <w:rFonts w:ascii="Times New Roman" w:hAnsi="Times New Roman"/>
          <w:i/>
          <w:iCs/>
        </w:rPr>
        <w:t>Lowery</w:t>
      </w:r>
      <w:proofErr w:type="spellEnd"/>
      <w:r w:rsidRPr="001720E4">
        <w:rPr>
          <w:rFonts w:ascii="Times New Roman" w:hAnsi="Times New Roman"/>
        </w:rPr>
        <w:t>, for example, then (unless that evidence were to be confined to expert opinion evidence about the character of that co-accused so as to be within the exception to the tendency rule for which separate provision is made in s 111) that co-accused would need to comply with the two conditions set out in s 97. The co-accused would need to give reasonable notice in writing to each other co-accused and to the Crown of his or her intention to adduce the evidence. The co-accused would then need to satisfy the court that the evidence was not simply of probative value but of significant probative value. Those two conditions of s 97 would need to be met before any question would arise as to excluding the evidence under s 135(a) or limiting its use under s 136(a).</w:t>
      </w:r>
    </w:p>
    <w:p w14:paraId="0CB02F47" w14:textId="1F77912B" w:rsidR="007F652D" w:rsidRPr="001720E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 xml:space="preserve">The third concerns the </w:t>
      </w:r>
      <w:proofErr w:type="gramStart"/>
      <w:r w:rsidRPr="001720E4">
        <w:rPr>
          <w:rFonts w:ascii="Times New Roman" w:hAnsi="Times New Roman"/>
        </w:rPr>
        <w:t>manner in which</w:t>
      </w:r>
      <w:proofErr w:type="gramEnd"/>
      <w:r w:rsidRPr="001720E4">
        <w:rPr>
          <w:rFonts w:ascii="Times New Roman" w:hAnsi="Times New Roman"/>
        </w:rPr>
        <w:t xml:space="preserve"> the "credibility rule" in s 102 is modified by s 104. Section 104 is expressed to apply "only to credibility evidence in a criminal proceeding". The section makes general provision to the effect that "[a] defendant must not be cross-examined about a matter that is relevant to the assessment of the defendant’s credibility, unless the court gives leave". The section goes on to provide that "[l]eave is not to be given for cross-examination by another defendant unless ... the evidence that the defendant to be cross-examined has given includes evidence adverse to the defendant seeking leave to cross-examine, and ... that evidence has been admitted". The terms of that restriction on leave would make no sense unless evidence adduced in chief by one co-accused has the potential to be used by the jury to find facts adversely to another co-accused, which it has through the operation of </w:t>
      </w:r>
      <w:r w:rsidR="00617529" w:rsidRPr="001720E4">
        <w:rPr>
          <w:rFonts w:ascii="Times New Roman" w:hAnsi="Times New Roman"/>
        </w:rPr>
        <w:t>s</w:t>
      </w:r>
      <w:r w:rsidRPr="001720E4">
        <w:rPr>
          <w:rFonts w:ascii="Times New Roman" w:hAnsi="Times New Roman"/>
        </w:rPr>
        <w:t xml:space="preserve">s 55(1) and 56(1) already explained. The grant of leave is correspondingly governed by considerations which specifically include </w:t>
      </w:r>
      <w:r w:rsidRPr="001720E4">
        <w:rPr>
          <w:rFonts w:ascii="Times New Roman" w:hAnsi="Times New Roman"/>
        </w:rPr>
        <w:lastRenderedPageBreak/>
        <w:t>"the extent to which to do so would be unfair to a party"</w:t>
      </w:r>
      <w:r w:rsidRPr="001720E4">
        <w:rPr>
          <w:rStyle w:val="FootnoteReference"/>
          <w:rFonts w:ascii="Times New Roman" w:hAnsi="Times New Roman"/>
          <w:sz w:val="24"/>
        </w:rPr>
        <w:footnoteReference w:id="102"/>
      </w:r>
      <w:r w:rsidR="006E64FB" w:rsidRPr="001720E4">
        <w:rPr>
          <w:rFonts w:ascii="Times New Roman" w:hAnsi="Times New Roman"/>
        </w:rPr>
        <w:t>; a consideration which encompasses the extent to which the grant of leave to the co-accused to cross-examine the other co-accused would be unfair to that co-accused or another co-accused.</w:t>
      </w:r>
    </w:p>
    <w:p w14:paraId="5E1267B8" w14:textId="77777777" w:rsidR="007F652D" w:rsidRPr="001720E4" w:rsidRDefault="007F652D" w:rsidP="001720E4">
      <w:pPr>
        <w:pStyle w:val="HeadingL1"/>
        <w:spacing w:after="260" w:line="280" w:lineRule="exact"/>
        <w:ind w:right="0"/>
        <w:jc w:val="both"/>
        <w:rPr>
          <w:rFonts w:ascii="Times New Roman" w:hAnsi="Times New Roman"/>
        </w:rPr>
      </w:pPr>
      <w:r w:rsidRPr="001720E4">
        <w:rPr>
          <w:rFonts w:ascii="Times New Roman" w:hAnsi="Times New Roman"/>
        </w:rPr>
        <w:t>Order</w:t>
      </w:r>
    </w:p>
    <w:p w14:paraId="6B9F207F" w14:textId="77777777" w:rsidR="00A568B4" w:rsidRDefault="007F652D" w:rsidP="001720E4">
      <w:pPr>
        <w:pStyle w:val="FixListStyle"/>
        <w:spacing w:after="260" w:line="280" w:lineRule="exact"/>
        <w:ind w:right="0"/>
        <w:jc w:val="both"/>
        <w:rPr>
          <w:rFonts w:ascii="Times New Roman" w:hAnsi="Times New Roman"/>
        </w:rPr>
      </w:pPr>
      <w:r w:rsidRPr="001720E4">
        <w:rPr>
          <w:rFonts w:ascii="Times New Roman" w:hAnsi="Times New Roman"/>
        </w:rPr>
        <w:tab/>
        <w:t>The appeal must be dismissed.</w:t>
      </w:r>
    </w:p>
    <w:p w14:paraId="0FD6564B" w14:textId="77777777" w:rsidR="00A568B4" w:rsidRDefault="00A568B4" w:rsidP="001720E4">
      <w:pPr>
        <w:pStyle w:val="FixListStyle"/>
        <w:spacing w:after="260" w:line="280" w:lineRule="exact"/>
        <w:ind w:right="0"/>
        <w:jc w:val="both"/>
        <w:rPr>
          <w:rFonts w:ascii="Times New Roman" w:hAnsi="Times New Roman"/>
        </w:rPr>
        <w:sectPr w:rsidR="00A568B4" w:rsidSect="00D7204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84038AF" w14:textId="77777777" w:rsidR="00A568B4" w:rsidRPr="004C50DC" w:rsidRDefault="00A568B4" w:rsidP="004C50DC">
      <w:pPr>
        <w:pStyle w:val="FixListStyle"/>
        <w:tabs>
          <w:tab w:val="clear" w:pos="720"/>
          <w:tab w:val="left" w:pos="0"/>
        </w:tabs>
        <w:spacing w:after="260" w:line="280" w:lineRule="exact"/>
        <w:ind w:right="0"/>
        <w:jc w:val="both"/>
        <w:rPr>
          <w:rFonts w:ascii="Times New Roman" w:hAnsi="Times New Roman"/>
        </w:rPr>
      </w:pPr>
      <w:r w:rsidRPr="004C50DC">
        <w:rPr>
          <w:rFonts w:ascii="Times New Roman" w:hAnsi="Times New Roman"/>
        </w:rPr>
        <w:lastRenderedPageBreak/>
        <w:t>GORDON</w:t>
      </w:r>
      <w:r>
        <w:rPr>
          <w:rFonts w:ascii="Times New Roman" w:hAnsi="Times New Roman"/>
        </w:rPr>
        <w:t xml:space="preserve"> AND STEWARD J</w:t>
      </w:r>
      <w:r w:rsidRPr="004C50DC">
        <w:rPr>
          <w:rFonts w:ascii="Times New Roman" w:hAnsi="Times New Roman"/>
        </w:rPr>
        <w:t>J.</w:t>
      </w:r>
      <w:r>
        <w:rPr>
          <w:rFonts w:ascii="Times New Roman" w:hAnsi="Times New Roman"/>
        </w:rPr>
        <w:t xml:space="preserve"> </w:t>
      </w:r>
      <w:r w:rsidRPr="004C50DC">
        <w:rPr>
          <w:rFonts w:ascii="Times New Roman" w:hAnsi="Times New Roman"/>
        </w:rPr>
        <w:t xml:space="preserve">  Under s 135(a) of the </w:t>
      </w:r>
      <w:r w:rsidRPr="004C50DC">
        <w:rPr>
          <w:rFonts w:ascii="Times New Roman" w:hAnsi="Times New Roman"/>
          <w:i/>
          <w:iCs/>
        </w:rPr>
        <w:t>Evidence Act 1995</w:t>
      </w:r>
      <w:r w:rsidRPr="004C50DC">
        <w:rPr>
          <w:rFonts w:ascii="Times New Roman" w:hAnsi="Times New Roman"/>
        </w:rPr>
        <w:t xml:space="preserve"> (NSW), the court may refuse to admit evidence if its probative value is substantially outweighed by the danger that the evidence might be unfairly prejudicial to a party. Glen McNamara and Roger Rogerson were charged with murder on a single indictment and tried jointly before a jury. At the joint trial, McNamara sought to admit into evidence conversations he had had with Rogerson, his co-accused, in support of his defence of duress. The trial judge refused to admit part of one conversation and the entirety of another under s 135(a) of the Act on the basis that the probative value of that evidence was substantially outweighed by the danger that the evidence might be unfairly prejudicial to Rogerson.</w:t>
      </w:r>
    </w:p>
    <w:p w14:paraId="32CB8351"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sole issue on appeal to this Court is whether the trial judge and the Court of Criminal Appeal of the Supreme Court of New South Wales were correct to hold that, in the expression "unfairly prejudicial to a party" in s 135(a) of the Act, the word "party" extends to and includes a co-accused in a joint trial. The</w:t>
      </w:r>
      <w:r>
        <w:rPr>
          <w:rFonts w:ascii="Times New Roman" w:hAnsi="Times New Roman"/>
        </w:rPr>
        <w:t> </w:t>
      </w:r>
      <w:r w:rsidRPr="004C50DC">
        <w:rPr>
          <w:rFonts w:ascii="Times New Roman" w:hAnsi="Times New Roman"/>
        </w:rPr>
        <w:t>answer is that they were right to so hold. As these reasons will show, the text of the Act properly construed requires that conclusion. The structure and architecture of the Act and aspects of criminal practice and procedure against which the Act was enacted – single indictment for co-accused, joint trial of co</w:t>
      </w:r>
      <w:r w:rsidRPr="004C50DC">
        <w:rPr>
          <w:rFonts w:ascii="Times New Roman" w:hAnsi="Times New Roman"/>
        </w:rPr>
        <w:noBreakHyphen/>
        <w:t xml:space="preserve">accused on that indictment, power to sever the indictment and order separate trials before or during a joint trial – combine to require the result that the discretion in s 135(a) applies to evidence given, or proposed to be given, by one co-accused in a joint trial. The appeal should be dismissed. </w:t>
      </w:r>
    </w:p>
    <w:p w14:paraId="447989ED"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We adopt the facts giving rise to the appeal and the course of the proceedings which are set out in the reasons of Gageler CJ, Gleeson and Jagot JJ.</w:t>
      </w:r>
    </w:p>
    <w:p w14:paraId="05AD183A" w14:textId="77777777" w:rsidR="00A568B4" w:rsidRPr="004C50DC" w:rsidRDefault="00A568B4" w:rsidP="004C50DC">
      <w:pPr>
        <w:pStyle w:val="HeadingL1"/>
        <w:spacing w:after="260" w:line="280" w:lineRule="exact"/>
        <w:ind w:right="0"/>
        <w:jc w:val="both"/>
        <w:rPr>
          <w:rFonts w:ascii="Times New Roman" w:hAnsi="Times New Roman"/>
          <w:i/>
          <w:iCs/>
        </w:rPr>
      </w:pPr>
      <w:r w:rsidRPr="004C50DC">
        <w:rPr>
          <w:rFonts w:ascii="Times New Roman" w:hAnsi="Times New Roman"/>
          <w:i/>
          <w:iCs/>
        </w:rPr>
        <w:t>Evidence Act</w:t>
      </w:r>
    </w:p>
    <w:p w14:paraId="5C87155A"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starting point is the Act</w:t>
      </w:r>
      <w:r w:rsidRPr="004C50DC">
        <w:rPr>
          <w:rFonts w:ascii="Times New Roman" w:hAnsi="Times New Roman"/>
          <w:b/>
          <w:sz w:val="24"/>
          <w:vertAlign w:val="superscript"/>
        </w:rPr>
        <w:footnoteReference w:id="103"/>
      </w:r>
      <w:r w:rsidRPr="004C50DC">
        <w:rPr>
          <w:rFonts w:ascii="Times New Roman" w:hAnsi="Times New Roman"/>
        </w:rPr>
        <w:t xml:space="preserve">. The Act relevantly applies to "all proceedings in </w:t>
      </w:r>
      <w:proofErr w:type="gramStart"/>
      <w:r w:rsidRPr="004C50DC">
        <w:rPr>
          <w:rFonts w:ascii="Times New Roman" w:hAnsi="Times New Roman"/>
        </w:rPr>
        <w:t>a</w:t>
      </w:r>
      <w:proofErr w:type="gramEnd"/>
      <w:r w:rsidRPr="004C50DC">
        <w:rPr>
          <w:rFonts w:ascii="Times New Roman" w:hAnsi="Times New Roman"/>
        </w:rPr>
        <w:t xml:space="preserve"> NSW court"</w:t>
      </w:r>
      <w:r w:rsidRPr="004C50DC">
        <w:rPr>
          <w:rFonts w:ascii="Times New Roman" w:hAnsi="Times New Roman"/>
          <w:b/>
          <w:sz w:val="24"/>
          <w:vertAlign w:val="superscript"/>
        </w:rPr>
        <w:footnoteReference w:id="104"/>
      </w:r>
      <w:r w:rsidRPr="004C50DC">
        <w:rPr>
          <w:rFonts w:ascii="Times New Roman" w:hAnsi="Times New Roman"/>
        </w:rPr>
        <w:t>; it applies to criminal and civil proceedings. The Act was intended to make and made substantial changes to the law of evidence in New</w:t>
      </w:r>
      <w:r>
        <w:rPr>
          <w:rFonts w:ascii="Times New Roman" w:hAnsi="Times New Roman"/>
        </w:rPr>
        <w:t> </w:t>
      </w:r>
      <w:r w:rsidRPr="004C50DC">
        <w:rPr>
          <w:rFonts w:ascii="Times New Roman" w:hAnsi="Times New Roman"/>
        </w:rPr>
        <w:t>South Wales</w:t>
      </w:r>
      <w:r w:rsidRPr="004C50DC">
        <w:rPr>
          <w:rFonts w:ascii="Times New Roman" w:hAnsi="Times New Roman"/>
          <w:b/>
          <w:bCs/>
          <w:sz w:val="24"/>
          <w:vertAlign w:val="superscript"/>
        </w:rPr>
        <w:footnoteReference w:id="105"/>
      </w:r>
      <w:r w:rsidRPr="004C50DC">
        <w:rPr>
          <w:rFonts w:ascii="Times New Roman" w:hAnsi="Times New Roman"/>
        </w:rPr>
        <w:t xml:space="preserve">. As a result, the language of the Act is determinative of the </w:t>
      </w:r>
      <w:r w:rsidRPr="004C50DC">
        <w:rPr>
          <w:rFonts w:ascii="Times New Roman" w:hAnsi="Times New Roman"/>
        </w:rPr>
        <w:lastRenderedPageBreak/>
        <w:t>scope of its application, and the meaning and effect of that language is not to be determined "in the light of, and in a manner that conforms to, the pre-existing common law"</w:t>
      </w:r>
      <w:r w:rsidRPr="004C50DC">
        <w:rPr>
          <w:rFonts w:ascii="Times New Roman" w:hAnsi="Times New Roman"/>
          <w:b/>
          <w:bCs/>
          <w:sz w:val="24"/>
          <w:vertAlign w:val="superscript"/>
        </w:rPr>
        <w:footnoteReference w:id="106"/>
      </w:r>
      <w:r w:rsidRPr="004C50DC">
        <w:rPr>
          <w:rFonts w:ascii="Times New Roman" w:hAnsi="Times New Roman"/>
        </w:rPr>
        <w:t>. It will be necessary to later consider s 9(1) of the Act which preserves "the</w:t>
      </w:r>
      <w:r>
        <w:rPr>
          <w:rFonts w:ascii="Times New Roman" w:hAnsi="Times New Roman"/>
        </w:rPr>
        <w:t> </w:t>
      </w:r>
      <w:r w:rsidRPr="004C50DC">
        <w:rPr>
          <w:rFonts w:ascii="Times New Roman" w:hAnsi="Times New Roman"/>
        </w:rPr>
        <w:t>operation of a principle or rule of common law or equity in relation to evidence" except so far as the Act "provides otherwise expressly or by necessary intendment". As it happens, and as explained below, s 135 is consistent with the common law.</w:t>
      </w:r>
    </w:p>
    <w:p w14:paraId="454B04F2"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Under the Act, if evidence is </w:t>
      </w:r>
      <w:r w:rsidRPr="004C50DC">
        <w:rPr>
          <w:rFonts w:ascii="Times New Roman" w:hAnsi="Times New Roman"/>
          <w:i/>
          <w:iCs/>
        </w:rPr>
        <w:t>relevant</w:t>
      </w:r>
      <w:r w:rsidRPr="004C50DC" w:rsidDel="009501E6">
        <w:rPr>
          <w:rFonts w:ascii="Times New Roman" w:hAnsi="Times New Roman"/>
        </w:rPr>
        <w:t xml:space="preserve">, </w:t>
      </w:r>
      <w:r w:rsidRPr="004C50DC">
        <w:rPr>
          <w:rFonts w:ascii="Times New Roman" w:hAnsi="Times New Roman"/>
        </w:rPr>
        <w:t>meaning that, if it were accepted, it</w:t>
      </w:r>
      <w:r>
        <w:rPr>
          <w:rFonts w:ascii="Times New Roman" w:hAnsi="Times New Roman"/>
        </w:rPr>
        <w:t> </w:t>
      </w:r>
      <w:r w:rsidRPr="004C50DC">
        <w:rPr>
          <w:rFonts w:ascii="Times New Roman" w:hAnsi="Times New Roman"/>
        </w:rPr>
        <w:t>could rationally affect (directly or indirectly) the assessment of the probability of the existence of a fact in issue in the proceeding</w:t>
      </w:r>
      <w:r w:rsidRPr="004C50DC">
        <w:rPr>
          <w:rFonts w:ascii="Times New Roman" w:hAnsi="Times New Roman"/>
          <w:b/>
          <w:sz w:val="24"/>
          <w:vertAlign w:val="superscript"/>
        </w:rPr>
        <w:footnoteReference w:id="107"/>
      </w:r>
      <w:r w:rsidRPr="004C50DC">
        <w:rPr>
          <w:rFonts w:ascii="Times New Roman" w:hAnsi="Times New Roman"/>
        </w:rPr>
        <w:t>, it is admissible, subject to the exclusions in the Act. As s 56 provides, "[e]</w:t>
      </w:r>
      <w:proofErr w:type="spellStart"/>
      <w:r w:rsidRPr="004C50DC">
        <w:rPr>
          <w:rFonts w:ascii="Times New Roman" w:hAnsi="Times New Roman"/>
        </w:rPr>
        <w:t>xcept</w:t>
      </w:r>
      <w:proofErr w:type="spellEnd"/>
      <w:r w:rsidRPr="004C50DC">
        <w:rPr>
          <w:rFonts w:ascii="Times New Roman" w:hAnsi="Times New Roman"/>
        </w:rPr>
        <w:t xml:space="preserve"> as otherwise provided by this Act, evidence that is relevant in a proceeding is admissible in the proceeding" and</w:t>
      </w:r>
      <w:r>
        <w:rPr>
          <w:rFonts w:ascii="Times New Roman" w:hAnsi="Times New Roman"/>
        </w:rPr>
        <w:t> </w:t>
      </w:r>
      <w:r w:rsidRPr="004C50DC">
        <w:rPr>
          <w:rFonts w:ascii="Times New Roman" w:hAnsi="Times New Roman"/>
        </w:rPr>
        <w:t>"[e]</w:t>
      </w:r>
      <w:proofErr w:type="spellStart"/>
      <w:r w:rsidRPr="004C50DC">
        <w:rPr>
          <w:rFonts w:ascii="Times New Roman" w:hAnsi="Times New Roman"/>
        </w:rPr>
        <w:t>vidence</w:t>
      </w:r>
      <w:proofErr w:type="spellEnd"/>
      <w:r w:rsidRPr="004C50DC">
        <w:rPr>
          <w:rFonts w:ascii="Times New Roman" w:hAnsi="Times New Roman"/>
        </w:rPr>
        <w:t xml:space="preserve"> that is not relevant in the proceeding is not admissible". In sum, once evidence is through the gateway of ss 55 and 56 of the Act, it is, by definition, "probative"</w:t>
      </w:r>
      <w:r w:rsidRPr="004C50DC">
        <w:rPr>
          <w:rStyle w:val="FootnoteReference"/>
          <w:rFonts w:ascii="Times New Roman" w:hAnsi="Times New Roman"/>
          <w:sz w:val="24"/>
        </w:rPr>
        <w:footnoteReference w:id="108"/>
      </w:r>
      <w:r w:rsidRPr="004C50DC">
        <w:rPr>
          <w:rFonts w:ascii="Times New Roman" w:hAnsi="Times New Roman"/>
        </w:rPr>
        <w:t xml:space="preserve"> and is relevant for all purposes and in respect of all parties unless excluded by an exclusionary rule or a discretionary or mandatory exclusion</w:t>
      </w:r>
      <w:r w:rsidRPr="004C50DC">
        <w:rPr>
          <w:rFonts w:ascii="Times New Roman" w:hAnsi="Times New Roman"/>
          <w:b/>
          <w:sz w:val="24"/>
          <w:vertAlign w:val="superscript"/>
        </w:rPr>
        <w:footnoteReference w:id="109"/>
      </w:r>
      <w:r w:rsidRPr="004C50DC">
        <w:rPr>
          <w:rFonts w:ascii="Times New Roman" w:hAnsi="Times New Roman"/>
        </w:rPr>
        <w:t>.</w:t>
      </w:r>
    </w:p>
    <w:p w14:paraId="6A099D4A"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One of those discretionary exclusions is s 135(a) of the Act. It contains a general discretion to refuse to admit evidence. It provides that:</w:t>
      </w:r>
    </w:p>
    <w:p w14:paraId="0DE416DF" w14:textId="77777777" w:rsidR="00A568B4" w:rsidRPr="004C50DC" w:rsidRDefault="00A568B4" w:rsidP="004C50DC">
      <w:pPr>
        <w:pStyle w:val="leftright"/>
        <w:spacing w:before="0" w:after="260" w:line="280" w:lineRule="exact"/>
        <w:ind w:right="0"/>
        <w:jc w:val="both"/>
        <w:rPr>
          <w:rFonts w:ascii="Times New Roman" w:hAnsi="Times New Roman"/>
        </w:rPr>
      </w:pPr>
      <w:r w:rsidRPr="004C50DC">
        <w:rPr>
          <w:rFonts w:ascii="Times New Roman" w:hAnsi="Times New Roman"/>
        </w:rPr>
        <w:t>"</w:t>
      </w:r>
      <w:r w:rsidRPr="004C50DC">
        <w:rPr>
          <w:rFonts w:ascii="Times New Roman" w:eastAsia="Symbol" w:hAnsi="Times New Roman"/>
        </w:rPr>
        <w:t>The</w:t>
      </w:r>
      <w:r w:rsidRPr="004C50DC">
        <w:rPr>
          <w:rFonts w:ascii="Times New Roman" w:hAnsi="Times New Roman"/>
        </w:rPr>
        <w:t xml:space="preserve"> court may refuse to admit evidence if its probative value is substantially outweighed by the danger that the evidence might:</w:t>
      </w:r>
    </w:p>
    <w:p w14:paraId="024E2D93" w14:textId="77777777" w:rsidR="00A568B4" w:rsidRPr="004C50DC" w:rsidRDefault="00A568B4" w:rsidP="008F310E">
      <w:pPr>
        <w:pStyle w:val="FixListStyle"/>
        <w:numPr>
          <w:ilvl w:val="0"/>
          <w:numId w:val="0"/>
        </w:numPr>
        <w:spacing w:after="260" w:line="280" w:lineRule="exact"/>
        <w:ind w:left="709" w:right="0"/>
        <w:jc w:val="both"/>
        <w:rPr>
          <w:rFonts w:ascii="Times New Roman" w:hAnsi="Times New Roman"/>
        </w:rPr>
      </w:pPr>
      <w:r w:rsidRPr="004C50DC">
        <w:rPr>
          <w:rFonts w:ascii="Times New Roman" w:hAnsi="Times New Roman"/>
        </w:rPr>
        <w:t>(a)</w:t>
      </w:r>
      <w:r w:rsidRPr="004C50DC">
        <w:rPr>
          <w:rFonts w:ascii="Times New Roman" w:hAnsi="Times New Roman"/>
        </w:rPr>
        <w:tab/>
        <w:t xml:space="preserve">be unfairly prejudicial to a </w:t>
      </w:r>
      <w:r w:rsidRPr="004C50DC">
        <w:rPr>
          <w:rFonts w:ascii="Times New Roman" w:hAnsi="Times New Roman"/>
          <w:i/>
          <w:iCs/>
        </w:rPr>
        <w:t>party</w:t>
      </w:r>
      <w:r w:rsidRPr="004C50DC">
        <w:rPr>
          <w:rFonts w:ascii="Times New Roman" w:hAnsi="Times New Roman"/>
        </w:rPr>
        <w:t>, ..." (emphasis added)</w:t>
      </w:r>
    </w:p>
    <w:p w14:paraId="0C371B99"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"[P]arty" is not defined in the Act. The phrase "unfairly prejudicial to a party" in s 135(a) does not by its ordinary meaning indicate any confinement or limitation such that it cannot apply to a co-accused in a joint trial. As the Court of Criminal Appeal said, "party" is "apt to describe those persons who are participating in a legal proceeding and whose rights and liabilities may be affected by the evidence adduced in that proceeding" and thus, in a joint trial on a single indictment, that includes a co-accused. As will be seen, none of the other provisions in the Act requires, let alone compels, a different conclusion; </w:t>
      </w:r>
      <w:r w:rsidRPr="004C50DC">
        <w:rPr>
          <w:rFonts w:ascii="Times New Roman" w:hAnsi="Times New Roman"/>
        </w:rPr>
        <w:lastRenderedPageBreak/>
        <w:t>other</w:t>
      </w:r>
      <w:r>
        <w:rPr>
          <w:rFonts w:ascii="Times New Roman" w:hAnsi="Times New Roman"/>
        </w:rPr>
        <w:t> </w:t>
      </w:r>
      <w:r w:rsidRPr="004C50DC">
        <w:rPr>
          <w:rFonts w:ascii="Times New Roman" w:hAnsi="Times New Roman"/>
        </w:rPr>
        <w:t>provisions of the Act support "party" in s 135(a) including a co-accused in a joint trial.</w:t>
      </w:r>
    </w:p>
    <w:p w14:paraId="392A8318"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For example, in Pt 2.1 of the Act, headed "Witnesses", s 20(2) provides that "[a] judge or any party (other than a prosecutor) may comment on a failure of the defendant to give evidence" and then proceeds to address a joint trial of co-accused by stating that "unless the comment is made by </w:t>
      </w:r>
      <w:r w:rsidRPr="004C50DC">
        <w:rPr>
          <w:rFonts w:ascii="Times New Roman" w:hAnsi="Times New Roman"/>
          <w:i/>
          <w:iCs/>
        </w:rPr>
        <w:t>another defendant in the proceeding</w:t>
      </w:r>
      <w:r w:rsidRPr="004C50DC">
        <w:rPr>
          <w:rFonts w:ascii="Times New Roman" w:hAnsi="Times New Roman"/>
        </w:rPr>
        <w:t xml:space="preserve">, the comment must not suggest that the defendant failed to give evidence because the defendant was, or believed that he or she was, guilty of the offence concerned" (emphasis added). </w:t>
      </w:r>
    </w:p>
    <w:p w14:paraId="2EF3F744"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Similarly, s 27 of the Act provides that "[a] </w:t>
      </w:r>
      <w:r w:rsidRPr="004C50DC">
        <w:rPr>
          <w:rFonts w:ascii="Times New Roman" w:hAnsi="Times New Roman"/>
          <w:i/>
          <w:iCs/>
        </w:rPr>
        <w:t>party</w:t>
      </w:r>
      <w:r w:rsidRPr="004C50DC">
        <w:rPr>
          <w:rFonts w:ascii="Times New Roman" w:hAnsi="Times New Roman"/>
        </w:rPr>
        <w:t xml:space="preserve"> may question any witness, except as provided by this Act" (emphasis added). The term "witness" is defined to include a party giving evidence, and a reference to a "party" in that definition includes a defendant in a criminal proceeding</w:t>
      </w:r>
      <w:r w:rsidRPr="004C50DC">
        <w:rPr>
          <w:rFonts w:ascii="Times New Roman" w:hAnsi="Times New Roman"/>
          <w:b/>
          <w:sz w:val="24"/>
          <w:vertAlign w:val="superscript"/>
        </w:rPr>
        <w:footnoteReference w:id="110"/>
      </w:r>
      <w:r w:rsidRPr="004C50DC">
        <w:rPr>
          <w:rFonts w:ascii="Times New Roman" w:hAnsi="Times New Roman"/>
        </w:rPr>
        <w:t>. As questioning of a defendant in a criminal proceeding will likely include cross-examination, two other definitions should be noted. "[C]ross-examiner" is defined to mean "a party who is cross</w:t>
      </w:r>
      <w:r>
        <w:rPr>
          <w:rFonts w:ascii="Times New Roman" w:hAnsi="Times New Roman"/>
        </w:rPr>
        <w:noBreakHyphen/>
      </w:r>
      <w:r w:rsidRPr="004C50DC">
        <w:rPr>
          <w:rFonts w:ascii="Times New Roman" w:hAnsi="Times New Roman"/>
        </w:rPr>
        <w:t>examining a witness"</w:t>
      </w:r>
      <w:r w:rsidRPr="004C50DC">
        <w:rPr>
          <w:rFonts w:ascii="Times New Roman" w:hAnsi="Times New Roman"/>
          <w:b/>
          <w:sz w:val="24"/>
          <w:vertAlign w:val="superscript"/>
        </w:rPr>
        <w:footnoteReference w:id="111"/>
      </w:r>
      <w:r w:rsidRPr="004C50DC">
        <w:rPr>
          <w:rFonts w:ascii="Times New Roman" w:hAnsi="Times New Roman"/>
        </w:rPr>
        <w:t xml:space="preserve"> and "[a] reference in this Act to cross-examination of a witness is a reference to the questioning of a witness by a party other than the party who called the witness to give evidence"</w:t>
      </w:r>
      <w:r w:rsidRPr="004C50DC">
        <w:rPr>
          <w:rFonts w:ascii="Times New Roman" w:hAnsi="Times New Roman"/>
          <w:b/>
          <w:sz w:val="24"/>
          <w:vertAlign w:val="superscript"/>
        </w:rPr>
        <w:footnoteReference w:id="112"/>
      </w:r>
      <w:r w:rsidRPr="004C50DC">
        <w:rPr>
          <w:rFonts w:ascii="Times New Roman" w:hAnsi="Times New Roman"/>
        </w:rPr>
        <w:t>. In the trial the subject of this appeal, s 27 conferred upon each of McNamara and Rogerson the right to cross</w:t>
      </w:r>
      <w:r w:rsidRPr="004C50DC">
        <w:rPr>
          <w:rFonts w:ascii="Times New Roman" w:hAnsi="Times New Roman"/>
        </w:rPr>
        <w:noBreakHyphen/>
        <w:t xml:space="preserve">examine the other when the other gave evidence – a right they each exercised. </w:t>
      </w:r>
      <w:bookmarkStart w:id="0" w:name="_Hlk138422910"/>
      <w:r w:rsidRPr="004C50DC">
        <w:rPr>
          <w:rFonts w:ascii="Times New Roman" w:hAnsi="Times New Roman"/>
        </w:rPr>
        <w:t>Put in different terms, t</w:t>
      </w:r>
      <w:bookmarkEnd w:id="0"/>
      <w:r w:rsidRPr="004C50DC">
        <w:rPr>
          <w:rFonts w:ascii="Times New Roman" w:hAnsi="Times New Roman"/>
        </w:rPr>
        <w:t>o enable cross-examination of a co</w:t>
      </w:r>
      <w:r w:rsidRPr="004C50DC">
        <w:rPr>
          <w:rFonts w:ascii="Times New Roman" w:hAnsi="Times New Roman"/>
        </w:rPr>
        <w:noBreakHyphen/>
        <w:t>accused under s 27, "party" must refer to a co-accused. Next, s 37 of the Act regulates the use of leading questions in examination in chief and re-examination. Leading</w:t>
      </w:r>
      <w:r>
        <w:rPr>
          <w:rFonts w:ascii="Times New Roman" w:hAnsi="Times New Roman"/>
        </w:rPr>
        <w:t> </w:t>
      </w:r>
      <w:r w:rsidRPr="004C50DC">
        <w:rPr>
          <w:rFonts w:ascii="Times New Roman" w:hAnsi="Times New Roman"/>
        </w:rPr>
        <w:t>questions may be put relevantly if there is no objection and "each other party to the proceeding" is legally represented</w:t>
      </w:r>
      <w:r w:rsidRPr="004C50DC">
        <w:rPr>
          <w:rStyle w:val="FootnoteReference"/>
          <w:rFonts w:ascii="Times New Roman" w:hAnsi="Times New Roman"/>
          <w:sz w:val="24"/>
        </w:rPr>
        <w:footnoteReference w:id="113"/>
      </w:r>
      <w:r w:rsidRPr="004C50DC">
        <w:rPr>
          <w:rFonts w:ascii="Times New Roman" w:hAnsi="Times New Roman"/>
        </w:rPr>
        <w:t xml:space="preserve">. In the context of a criminal proceeding where there is more than one accused, "each other party" in s 37(1)(c) must refer to a co-accused. </w:t>
      </w:r>
    </w:p>
    <w:p w14:paraId="6061C82A"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Part 3.2 of the Act concerns hearsay evidence. Section 65 in Pt 3.2 applies in criminal proceedings. It allows first</w:t>
      </w:r>
      <w:r w:rsidRPr="004C50DC">
        <w:rPr>
          <w:rFonts w:ascii="Times New Roman" w:hAnsi="Times New Roman"/>
        </w:rPr>
        <w:noBreakHyphen/>
        <w:t>hand hearsay to be admitted where a person who made a previous representation is not available to give evidence about an asserted fact</w:t>
      </w:r>
      <w:r w:rsidRPr="004C50DC">
        <w:rPr>
          <w:rStyle w:val="FootnoteReference"/>
          <w:rFonts w:ascii="Times New Roman" w:hAnsi="Times New Roman"/>
          <w:sz w:val="24"/>
        </w:rPr>
        <w:footnoteReference w:id="114"/>
      </w:r>
      <w:r w:rsidRPr="004C50DC">
        <w:rPr>
          <w:rFonts w:ascii="Times New Roman" w:hAnsi="Times New Roman"/>
        </w:rPr>
        <w:t>. Where</w:t>
      </w:r>
      <w:r w:rsidRPr="004C50DC" w:rsidDel="009412C3">
        <w:rPr>
          <w:rFonts w:ascii="Times New Roman" w:hAnsi="Times New Roman"/>
        </w:rPr>
        <w:t xml:space="preserve"> </w:t>
      </w:r>
      <w:r w:rsidRPr="004C50DC">
        <w:rPr>
          <w:rFonts w:ascii="Times New Roman" w:hAnsi="Times New Roman"/>
        </w:rPr>
        <w:t xml:space="preserve">evidence of a previous representation about a matter has been adduced by "a defendant" and has been admitted pursuant to s 65(8), s 65(9) </w:t>
      </w:r>
      <w:r w:rsidRPr="004C50DC">
        <w:rPr>
          <w:rFonts w:ascii="Times New Roman" w:hAnsi="Times New Roman"/>
        </w:rPr>
        <w:lastRenderedPageBreak/>
        <w:t>relevantly allows "another party" to also adduce hearsay evidence about that matter. "[A]</w:t>
      </w:r>
      <w:proofErr w:type="spellStart"/>
      <w:r w:rsidRPr="004C50DC">
        <w:rPr>
          <w:rFonts w:ascii="Times New Roman" w:hAnsi="Times New Roman"/>
        </w:rPr>
        <w:t>nother</w:t>
      </w:r>
      <w:proofErr w:type="spellEnd"/>
      <w:r w:rsidRPr="004C50DC">
        <w:rPr>
          <w:rFonts w:ascii="Times New Roman" w:hAnsi="Times New Roman"/>
        </w:rPr>
        <w:t xml:space="preserve"> party" includes the Crown and necessarily a co-accused. Section 67 of the Act reinforces that conclusion. It relevantly requires a party who intends to adduce hearsay evidence to give reasonable notice in writing to "each</w:t>
      </w:r>
      <w:r>
        <w:rPr>
          <w:rFonts w:ascii="Times New Roman" w:hAnsi="Times New Roman"/>
        </w:rPr>
        <w:t> </w:t>
      </w:r>
      <w:r w:rsidRPr="004C50DC">
        <w:rPr>
          <w:rFonts w:ascii="Times New Roman" w:hAnsi="Times New Roman"/>
        </w:rPr>
        <w:t>other party" of their intention to adduce that evidence. This includes giving notice to a co-accused, because the evidence cannot be used against a defendant who did not have a reasonable opportunity to cross-examine the witness about that evidence</w:t>
      </w:r>
      <w:r w:rsidRPr="004C50DC">
        <w:rPr>
          <w:rFonts w:ascii="Times New Roman" w:hAnsi="Times New Roman"/>
          <w:b/>
          <w:sz w:val="24"/>
          <w:vertAlign w:val="superscript"/>
        </w:rPr>
        <w:footnoteReference w:id="115"/>
      </w:r>
      <w:r w:rsidRPr="004C50DC">
        <w:rPr>
          <w:rFonts w:ascii="Times New Roman" w:hAnsi="Times New Roman"/>
        </w:rPr>
        <w:t xml:space="preserve">. </w:t>
      </w:r>
    </w:p>
    <w:p w14:paraId="2248D2A5"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Part 3.4 of the Act, headed "Admissions", also reinforces the conclusion that "party" when used in the Act includes any co</w:t>
      </w:r>
      <w:r w:rsidRPr="004C50DC">
        <w:rPr>
          <w:rFonts w:ascii="Times New Roman" w:hAnsi="Times New Roman"/>
        </w:rPr>
        <w:noBreakHyphen/>
        <w:t>accused in a joint trial. The Act defines an "admission" as "a previous representation that is ... made by a person who is or becomes a party to a proceeding (including a defendant in a criminal proceeding)" which is "adverse to the person's interest in the outcome of the proceeding"</w:t>
      </w:r>
      <w:r w:rsidRPr="004C50DC">
        <w:rPr>
          <w:rFonts w:ascii="Times New Roman" w:hAnsi="Times New Roman"/>
          <w:b/>
          <w:sz w:val="24"/>
          <w:vertAlign w:val="superscript"/>
        </w:rPr>
        <w:footnoteReference w:id="116"/>
      </w:r>
      <w:r w:rsidRPr="004C50DC">
        <w:rPr>
          <w:rFonts w:ascii="Times New Roman" w:hAnsi="Times New Roman"/>
        </w:rPr>
        <w:t>.</w:t>
      </w:r>
      <w:r w:rsidRPr="004C50DC" w:rsidDel="00C765BB">
        <w:rPr>
          <w:rFonts w:ascii="Times New Roman" w:hAnsi="Times New Roman"/>
        </w:rPr>
        <w:t xml:space="preserve"> </w:t>
      </w:r>
      <w:r w:rsidRPr="004C50DC">
        <w:rPr>
          <w:rFonts w:ascii="Times New Roman" w:hAnsi="Times New Roman"/>
        </w:rPr>
        <w:t>Section 81(1) provides that "[t]he hearsay rule and the opinion rule do not apply to evidence of an admission". However, s 83(1) confirms the application of the hearsay and opinion rules to evidence of an admission "in respect of the case of a third party". Section 83(4) defines "third party" as "a party to the proceeding concerned, other than the party who: (a) made the admission, or</w:t>
      </w:r>
      <w:r>
        <w:rPr>
          <w:rFonts w:ascii="Times New Roman" w:hAnsi="Times New Roman"/>
        </w:rPr>
        <w:t> </w:t>
      </w:r>
      <w:r w:rsidRPr="004C50DC">
        <w:rPr>
          <w:rFonts w:ascii="Times New Roman" w:hAnsi="Times New Roman"/>
        </w:rPr>
        <w:t>(b)</w:t>
      </w:r>
      <w:r>
        <w:rPr>
          <w:rFonts w:ascii="Times New Roman" w:hAnsi="Times New Roman"/>
        </w:rPr>
        <w:t> </w:t>
      </w:r>
      <w:r w:rsidRPr="004C50DC">
        <w:rPr>
          <w:rFonts w:ascii="Times New Roman" w:hAnsi="Times New Roman"/>
        </w:rPr>
        <w:t>adduced the evidence". Thus, an accused may rely on an admission made by a co-accused and tendered by the Crown which exculpates the first accused. A</w:t>
      </w:r>
      <w:r>
        <w:rPr>
          <w:rFonts w:ascii="Times New Roman" w:hAnsi="Times New Roman"/>
        </w:rPr>
        <w:t> </w:t>
      </w:r>
      <w:r w:rsidRPr="004C50DC">
        <w:rPr>
          <w:rFonts w:ascii="Times New Roman" w:hAnsi="Times New Roman"/>
        </w:rPr>
        <w:t>"third party" in s 83 must include a co</w:t>
      </w:r>
      <w:r w:rsidRPr="004C50DC">
        <w:rPr>
          <w:rFonts w:ascii="Times New Roman" w:hAnsi="Times New Roman"/>
        </w:rPr>
        <w:noBreakHyphen/>
        <w:t xml:space="preserve">accused. </w:t>
      </w:r>
    </w:p>
    <w:p w14:paraId="5EC5C02F"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Section 87 – concerned with admissions made with authority – provides,</w:t>
      </w:r>
      <w:r>
        <w:rPr>
          <w:rFonts w:ascii="Times New Roman" w:hAnsi="Times New Roman"/>
        </w:rPr>
        <w:t> </w:t>
      </w:r>
      <w:r w:rsidRPr="004C50DC">
        <w:rPr>
          <w:rFonts w:ascii="Times New Roman" w:hAnsi="Times New Roman"/>
        </w:rPr>
        <w:t xml:space="preserve">among other things, that for the purpose of determining whether a previous representation made by a person is also taken to be an admission by a </w:t>
      </w:r>
      <w:r w:rsidRPr="004C50DC" w:rsidDel="000D3C5A">
        <w:rPr>
          <w:rFonts w:ascii="Times New Roman" w:hAnsi="Times New Roman"/>
        </w:rPr>
        <w:t>party</w:t>
      </w:r>
      <w:r w:rsidRPr="004C50DC" w:rsidDel="00367C03">
        <w:rPr>
          <w:rFonts w:ascii="Times New Roman" w:hAnsi="Times New Roman"/>
        </w:rPr>
        <w:t>,</w:t>
      </w:r>
      <w:r w:rsidRPr="004C50DC">
        <w:rPr>
          <w:rFonts w:ascii="Times New Roman" w:hAnsi="Times New Roman"/>
        </w:rPr>
        <w:t xml:space="preserve"> the</w:t>
      </w:r>
      <w:r>
        <w:rPr>
          <w:rFonts w:ascii="Times New Roman" w:hAnsi="Times New Roman"/>
        </w:rPr>
        <w:t> </w:t>
      </w:r>
      <w:r w:rsidRPr="004C50DC">
        <w:rPr>
          <w:rFonts w:ascii="Times New Roman" w:hAnsi="Times New Roman"/>
        </w:rPr>
        <w:t>court is to admit the representation if it is reasonably open to find that "the</w:t>
      </w:r>
      <w:r>
        <w:rPr>
          <w:rFonts w:ascii="Times New Roman" w:hAnsi="Times New Roman"/>
        </w:rPr>
        <w:t> </w:t>
      </w:r>
      <w:r w:rsidRPr="004C50DC">
        <w:rPr>
          <w:rFonts w:ascii="Times New Roman" w:hAnsi="Times New Roman"/>
        </w:rPr>
        <w:t>representation was made by the person in furtherance of a common purpose</w:t>
      </w:r>
      <w:r>
        <w:rPr>
          <w:rFonts w:ascii="Times New Roman" w:hAnsi="Times New Roman"/>
        </w:rPr>
        <w:t> </w:t>
      </w:r>
      <w:r w:rsidRPr="004C50DC">
        <w:rPr>
          <w:rFonts w:ascii="Times New Roman" w:hAnsi="Times New Roman"/>
        </w:rPr>
        <w:t>... that the person had with the party or one or more persons including the party"</w:t>
      </w:r>
      <w:r w:rsidRPr="004C50DC">
        <w:rPr>
          <w:rStyle w:val="FootnoteReference"/>
          <w:rFonts w:ascii="Times New Roman" w:hAnsi="Times New Roman"/>
          <w:bCs/>
          <w:sz w:val="24"/>
        </w:rPr>
        <w:footnoteReference w:id="117"/>
      </w:r>
      <w:r w:rsidRPr="004C50DC">
        <w:rPr>
          <w:rFonts w:ascii="Times New Roman" w:hAnsi="Times New Roman"/>
        </w:rPr>
        <w:t xml:space="preserve">. The reference to "party" in s 87 refers to an accused, any accused, in a criminal trial involving multiple accused. </w:t>
      </w:r>
    </w:p>
    <w:p w14:paraId="636AA669"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Part 3.6 of the</w:t>
      </w:r>
      <w:r w:rsidRPr="004C50DC" w:rsidDel="00D716CB">
        <w:rPr>
          <w:rFonts w:ascii="Times New Roman" w:hAnsi="Times New Roman"/>
        </w:rPr>
        <w:t xml:space="preserve"> </w:t>
      </w:r>
      <w:r w:rsidRPr="004C50DC">
        <w:rPr>
          <w:rFonts w:ascii="Times New Roman" w:hAnsi="Times New Roman"/>
        </w:rPr>
        <w:t>Act addresses tendency and coincidence evidence. Section</w:t>
      </w:r>
      <w:r>
        <w:rPr>
          <w:rFonts w:ascii="Times New Roman" w:hAnsi="Times New Roman"/>
        </w:rPr>
        <w:t> </w:t>
      </w:r>
      <w:r w:rsidRPr="004C50DC">
        <w:rPr>
          <w:rFonts w:ascii="Times New Roman" w:hAnsi="Times New Roman"/>
        </w:rPr>
        <w:t>97(1)(a) – concerned with the tendency rule – relevantly establishes the requirement for a party seeking to adduce evidence of a tendency to give reasonable written notice, a tendency notice, "to each other party" of the party's intention to adduce the evidence. "[P]arty" must include a co-accused otherwise there would be no obligation to provide a tendency notice to a co</w:t>
      </w:r>
      <w:r w:rsidRPr="004C50DC">
        <w:rPr>
          <w:rFonts w:ascii="Times New Roman" w:hAnsi="Times New Roman"/>
        </w:rPr>
        <w:noBreakHyphen/>
        <w:t xml:space="preserve">accused. As the </w:t>
      </w:r>
      <w:r w:rsidRPr="004C50DC">
        <w:rPr>
          <w:rFonts w:ascii="Times New Roman" w:hAnsi="Times New Roman"/>
        </w:rPr>
        <w:lastRenderedPageBreak/>
        <w:t>Crown submitted, the same can be said in respect of the notice requirements in ss 67 (hearsay evidence), 73(2)(b) (reputation evidence), 98(1)(a)</w:t>
      </w:r>
      <w:r>
        <w:rPr>
          <w:rFonts w:ascii="Times New Roman" w:hAnsi="Times New Roman"/>
        </w:rPr>
        <w:t> </w:t>
      </w:r>
      <w:r w:rsidRPr="004C50DC">
        <w:rPr>
          <w:rFonts w:ascii="Times New Roman" w:hAnsi="Times New Roman"/>
        </w:rPr>
        <w:t>(coincidence</w:t>
      </w:r>
      <w:r>
        <w:rPr>
          <w:rFonts w:ascii="Times New Roman" w:hAnsi="Times New Roman"/>
        </w:rPr>
        <w:t> </w:t>
      </w:r>
      <w:r w:rsidRPr="004C50DC">
        <w:rPr>
          <w:rFonts w:ascii="Times New Roman" w:hAnsi="Times New Roman"/>
        </w:rPr>
        <w:t>evidence) and 177(2) (expert certificates). Other notice or service requirements in ss 49(a) (documents in foreign countries), 50(2)(a)</w:t>
      </w:r>
      <w:r>
        <w:rPr>
          <w:rFonts w:ascii="Times New Roman" w:hAnsi="Times New Roman"/>
        </w:rPr>
        <w:t> </w:t>
      </w:r>
      <w:r w:rsidRPr="004C50DC">
        <w:rPr>
          <w:rFonts w:ascii="Times New Roman" w:hAnsi="Times New Roman"/>
        </w:rPr>
        <w:t>(summaries of voluminous or complex documents) and 100(6)(a) (conditions a court may impose upon making a direction dispensing with notice requirements for tendency or coincidence evidence) of the Act similarly provide for notice or service to "each</w:t>
      </w:r>
      <w:r>
        <w:rPr>
          <w:rFonts w:ascii="Times New Roman" w:hAnsi="Times New Roman"/>
        </w:rPr>
        <w:t> </w:t>
      </w:r>
      <w:r w:rsidRPr="004C50DC">
        <w:rPr>
          <w:rFonts w:ascii="Times New Roman" w:hAnsi="Times New Roman"/>
        </w:rPr>
        <w:t>other party". In each instance, for notice or service to be provided to a co</w:t>
      </w:r>
      <w:r>
        <w:rPr>
          <w:rFonts w:ascii="Times New Roman" w:hAnsi="Times New Roman"/>
        </w:rPr>
        <w:noBreakHyphen/>
      </w:r>
      <w:r w:rsidRPr="004C50DC">
        <w:rPr>
          <w:rFonts w:ascii="Times New Roman" w:hAnsi="Times New Roman"/>
        </w:rPr>
        <w:t>accused, they must be a "party".</w:t>
      </w:r>
    </w:p>
    <w:p w14:paraId="0D7EF419"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Next, Pt 3.11 of the Act, which is headed "Discretionary and mandatory exclusions", relevantly contains ss 135 and 136. Section 136 provides that "[t]he</w:t>
      </w:r>
      <w:r>
        <w:rPr>
          <w:rFonts w:ascii="Times New Roman" w:hAnsi="Times New Roman"/>
        </w:rPr>
        <w:t> </w:t>
      </w:r>
      <w:r w:rsidRPr="004C50DC">
        <w:rPr>
          <w:rFonts w:ascii="Times New Roman" w:hAnsi="Times New Roman"/>
        </w:rPr>
        <w:t>court may limit the use to be made of evidence if there is a danger that a particular use of the evidence might ... be unfairly prejudicial to a party". As the Crown submitted, it was impractical and artificial for counsel for McNamara to accept that s 136 could be used to limit the use to be made of evidence in a trial of co</w:t>
      </w:r>
      <w:r w:rsidRPr="004C50DC">
        <w:rPr>
          <w:rFonts w:ascii="Times New Roman" w:hAnsi="Times New Roman"/>
        </w:rPr>
        <w:noBreakHyphen/>
        <w:t>accused, but s 135 could not. Put in different terms, contrary to the submissions of counsel for McNamara, "party" must have the same meaning in both ss 135 and 136. Finally, throughout the Act</w:t>
      </w:r>
      <w:r w:rsidRPr="004C50DC">
        <w:rPr>
          <w:rFonts w:ascii="Times New Roman" w:hAnsi="Times New Roman"/>
          <w:b/>
          <w:sz w:val="24"/>
          <w:vertAlign w:val="superscript"/>
        </w:rPr>
        <w:footnoteReference w:id="118"/>
      </w:r>
      <w:r w:rsidRPr="004C50DC">
        <w:rPr>
          <w:rFonts w:ascii="Times New Roman" w:hAnsi="Times New Roman"/>
        </w:rPr>
        <w:t>, "proceeding" rather than "proceedings" has</w:t>
      </w:r>
      <w:r>
        <w:rPr>
          <w:rFonts w:ascii="Times New Roman" w:hAnsi="Times New Roman"/>
        </w:rPr>
        <w:t> </w:t>
      </w:r>
      <w:r w:rsidRPr="004C50DC">
        <w:rPr>
          <w:rFonts w:ascii="Times New Roman" w:hAnsi="Times New Roman"/>
        </w:rPr>
        <w:t xml:space="preserve">been used in contexts and in a manner which indicate that while there may be multiple cases, there is a single proceeding. </w:t>
      </w:r>
    </w:p>
    <w:p w14:paraId="5A67106A"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That analysis of the Act is not exhaustive. It is sufficient to demonstrate that the architecture and structure of the Act does not indicate any confinement or limitation so as </w:t>
      </w:r>
      <w:r w:rsidRPr="004C50DC" w:rsidDel="00C3667C">
        <w:rPr>
          <w:rFonts w:ascii="Times New Roman" w:hAnsi="Times New Roman"/>
        </w:rPr>
        <w:t xml:space="preserve">to exclude a co-accused in a joint trial from the word </w:t>
      </w:r>
      <w:r w:rsidRPr="004C50DC">
        <w:rPr>
          <w:rFonts w:ascii="Times New Roman" w:hAnsi="Times New Roman"/>
        </w:rPr>
        <w:t xml:space="preserve">"party" </w:t>
      </w:r>
      <w:r w:rsidRPr="004C50DC" w:rsidDel="00C3667C">
        <w:rPr>
          <w:rFonts w:ascii="Times New Roman" w:hAnsi="Times New Roman"/>
        </w:rPr>
        <w:t>in</w:t>
      </w:r>
      <w:r>
        <w:rPr>
          <w:rFonts w:ascii="Times New Roman" w:hAnsi="Times New Roman"/>
        </w:rPr>
        <w:t> </w:t>
      </w:r>
      <w:r w:rsidRPr="004C50DC">
        <w:rPr>
          <w:rFonts w:ascii="Times New Roman" w:hAnsi="Times New Roman"/>
        </w:rPr>
        <w:t xml:space="preserve">s 135(a). "[P]arty" refers to and is intended to refer to a co-accused in a joint trial. </w:t>
      </w:r>
    </w:p>
    <w:p w14:paraId="3EED883A" w14:textId="77777777" w:rsidR="00A568B4" w:rsidRPr="004C50DC" w:rsidRDefault="00A568B4" w:rsidP="004C50DC">
      <w:pPr>
        <w:pStyle w:val="HeadingL1"/>
        <w:spacing w:after="260" w:line="280" w:lineRule="exact"/>
        <w:ind w:right="0"/>
        <w:jc w:val="both"/>
        <w:rPr>
          <w:rFonts w:ascii="Times New Roman" w:hAnsi="Times New Roman"/>
          <w:szCs w:val="26"/>
        </w:rPr>
      </w:pPr>
      <w:r w:rsidRPr="004C50DC">
        <w:rPr>
          <w:rFonts w:ascii="Times New Roman" w:hAnsi="Times New Roman"/>
          <w:szCs w:val="26"/>
        </w:rPr>
        <w:t>Wider legal context</w:t>
      </w:r>
    </w:p>
    <w:p w14:paraId="398FEB1E"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Act applies to criminal proceedings. What then of the wider legal context – aspects of criminal practice and procedure – against which the Act was enacted? As noted earlier, s 9(1) of the Act preserves the "operation of a principle or rule of common law or equity in relation to evidence</w:t>
      </w:r>
      <w:r w:rsidRPr="004C50DC" w:rsidDel="00833B33">
        <w:rPr>
          <w:rFonts w:ascii="Times New Roman" w:hAnsi="Times New Roman"/>
        </w:rPr>
        <w:t>"</w:t>
      </w:r>
      <w:r w:rsidRPr="004C50DC">
        <w:rPr>
          <w:rFonts w:ascii="Times New Roman" w:hAnsi="Times New Roman"/>
        </w:rPr>
        <w:t xml:space="preserve"> except so far as the Act </w:t>
      </w:r>
      <w:r w:rsidRPr="004C50DC" w:rsidDel="00833B33">
        <w:rPr>
          <w:rFonts w:ascii="Times New Roman" w:hAnsi="Times New Roman"/>
        </w:rPr>
        <w:t>"</w:t>
      </w:r>
      <w:r w:rsidRPr="004C50DC">
        <w:rPr>
          <w:rFonts w:ascii="Times New Roman" w:hAnsi="Times New Roman"/>
        </w:rPr>
        <w:t>provides otherwise expressly or by necessary intendment". Section 9 has been interpreted to preserve common law rules of evidence that could be classified as part of the substantive law, such as the parol evidence rule, the doctrines of res judicata and issue estoppel, and the law relating to presumptions</w:t>
      </w:r>
      <w:r w:rsidRPr="004C50DC">
        <w:rPr>
          <w:rStyle w:val="FootnoteReference"/>
          <w:rFonts w:ascii="Times New Roman" w:hAnsi="Times New Roman"/>
          <w:sz w:val="24"/>
        </w:rPr>
        <w:footnoteReference w:id="119"/>
      </w:r>
      <w:r w:rsidRPr="004C50DC">
        <w:rPr>
          <w:rFonts w:ascii="Times New Roman" w:hAnsi="Times New Roman"/>
        </w:rPr>
        <w:t xml:space="preserve">. The Act has </w:t>
      </w:r>
      <w:r w:rsidRPr="004C50DC">
        <w:rPr>
          <w:rFonts w:ascii="Times New Roman" w:hAnsi="Times New Roman"/>
        </w:rPr>
        <w:lastRenderedPageBreak/>
        <w:t>also been held to preserve underlying principles of the accusatorial and adversarial system of a criminal trial</w:t>
      </w:r>
      <w:r w:rsidRPr="004C50DC">
        <w:rPr>
          <w:rStyle w:val="FootnoteReference"/>
          <w:rFonts w:ascii="Times New Roman" w:hAnsi="Times New Roman"/>
          <w:sz w:val="24"/>
        </w:rPr>
        <w:footnoteReference w:id="120"/>
      </w:r>
      <w:r w:rsidRPr="004C50DC">
        <w:rPr>
          <w:rFonts w:ascii="Times New Roman" w:hAnsi="Times New Roman"/>
        </w:rPr>
        <w:t xml:space="preserve">. As five members of this Court recently observed in </w:t>
      </w:r>
      <w:r w:rsidRPr="004C50DC">
        <w:rPr>
          <w:rFonts w:ascii="Times New Roman" w:hAnsi="Times New Roman"/>
          <w:i/>
          <w:iCs/>
        </w:rPr>
        <w:t>Nguyen v The Queen</w:t>
      </w:r>
      <w:r w:rsidRPr="004C50DC">
        <w:rPr>
          <w:rFonts w:ascii="Times New Roman" w:hAnsi="Times New Roman"/>
        </w:rPr>
        <w:t>, in relation</w:t>
      </w:r>
      <w:r w:rsidRPr="004C50DC">
        <w:rPr>
          <w:rFonts w:ascii="Times New Roman" w:hAnsi="Times New Roman"/>
          <w:i/>
          <w:iCs/>
        </w:rPr>
        <w:t xml:space="preserve"> </w:t>
      </w:r>
      <w:r w:rsidRPr="004C50DC">
        <w:rPr>
          <w:rFonts w:ascii="Times New Roman" w:hAnsi="Times New Roman"/>
        </w:rPr>
        <w:t xml:space="preserve">to the Uniform Evidence Act and the </w:t>
      </w:r>
      <w:r w:rsidRPr="004C50DC">
        <w:rPr>
          <w:rFonts w:ascii="Times New Roman" w:hAnsi="Times New Roman"/>
          <w:i/>
          <w:iCs/>
        </w:rPr>
        <w:t xml:space="preserve">Criminal Code </w:t>
      </w:r>
      <w:r w:rsidRPr="004C50DC">
        <w:rPr>
          <w:rFonts w:ascii="Times New Roman" w:hAnsi="Times New Roman"/>
        </w:rPr>
        <w:t>(NT), "[t]he conduct of a criminal trial is subject to practices and procedures which ... may be informed by principles or rules which are regarded as fundamental to the conduct of a criminal trial", and which are not to be found in those kinds of statutes</w:t>
      </w:r>
      <w:r w:rsidRPr="004C50DC">
        <w:rPr>
          <w:rStyle w:val="FootnoteReference"/>
          <w:rFonts w:ascii="Times New Roman" w:hAnsi="Times New Roman"/>
          <w:sz w:val="24"/>
        </w:rPr>
        <w:footnoteReference w:id="121"/>
      </w:r>
      <w:r w:rsidRPr="004C50DC">
        <w:rPr>
          <w:rFonts w:ascii="Times New Roman" w:hAnsi="Times New Roman"/>
        </w:rPr>
        <w:t xml:space="preserve">. </w:t>
      </w:r>
    </w:p>
    <w:p w14:paraId="613BB3C4"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At least three aspects of criminal practice and procedure combine to require the result that the discretion in s 135(a) applies to evidence given by a co-accused in a joint trial. </w:t>
      </w:r>
    </w:p>
    <w:p w14:paraId="4A6C4630" w14:textId="77777777" w:rsidR="00A568B4" w:rsidRPr="004C50DC" w:rsidRDefault="00A568B4" w:rsidP="004C50DC">
      <w:pPr>
        <w:pStyle w:val="HeadingL2"/>
        <w:spacing w:after="260" w:line="280" w:lineRule="exact"/>
        <w:ind w:right="0"/>
        <w:jc w:val="both"/>
        <w:rPr>
          <w:rFonts w:ascii="Times New Roman" w:hAnsi="Times New Roman"/>
          <w:szCs w:val="26"/>
        </w:rPr>
      </w:pPr>
      <w:r w:rsidRPr="004C50DC">
        <w:rPr>
          <w:rFonts w:ascii="Times New Roman" w:hAnsi="Times New Roman"/>
          <w:szCs w:val="26"/>
        </w:rPr>
        <w:t>Single indictment and joint trial of co-</w:t>
      </w:r>
      <w:proofErr w:type="gramStart"/>
      <w:r w:rsidRPr="004C50DC">
        <w:rPr>
          <w:rFonts w:ascii="Times New Roman" w:hAnsi="Times New Roman"/>
          <w:szCs w:val="26"/>
        </w:rPr>
        <w:t>accused</w:t>
      </w:r>
      <w:proofErr w:type="gramEnd"/>
    </w:p>
    <w:p w14:paraId="36CD6D10"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In enacting the Act, including s 135(a), the legislature must be taken to have been aware that in a trial upon indictment, the jury can only be empanelled and sworn to try the issues on the particular indictment, whether or not there are multiple co</w:t>
      </w:r>
      <w:r w:rsidRPr="004C50DC">
        <w:rPr>
          <w:rFonts w:ascii="Times New Roman" w:hAnsi="Times New Roman"/>
        </w:rPr>
        <w:noBreakHyphen/>
        <w:t>accused</w:t>
      </w:r>
      <w:r w:rsidRPr="004C50DC">
        <w:rPr>
          <w:rStyle w:val="FootnoteReference"/>
          <w:rFonts w:ascii="Times New Roman" w:hAnsi="Times New Roman"/>
          <w:bCs/>
          <w:sz w:val="24"/>
        </w:rPr>
        <w:footnoteReference w:id="122"/>
      </w:r>
      <w:r w:rsidRPr="004C50DC">
        <w:rPr>
          <w:rFonts w:ascii="Times New Roman" w:hAnsi="Times New Roman"/>
        </w:rPr>
        <w:t>. There can only be a single indictment for co-accused</w:t>
      </w:r>
      <w:r w:rsidRPr="004C50DC">
        <w:rPr>
          <w:rStyle w:val="FootnoteReference"/>
          <w:rFonts w:ascii="Times New Roman" w:hAnsi="Times New Roman"/>
          <w:sz w:val="24"/>
        </w:rPr>
        <w:footnoteReference w:id="123"/>
      </w:r>
      <w:r w:rsidRPr="004C50DC">
        <w:rPr>
          <w:rFonts w:ascii="Times New Roman" w:hAnsi="Times New Roman"/>
        </w:rPr>
        <w:t xml:space="preserve">. </w:t>
      </w:r>
    </w:p>
    <w:p w14:paraId="01DDDF8D"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As Gavan Duffy and Starke JJ said in </w:t>
      </w:r>
      <w:r w:rsidRPr="004C50DC">
        <w:rPr>
          <w:rFonts w:ascii="Times New Roman" w:hAnsi="Times New Roman"/>
          <w:i/>
          <w:iCs/>
        </w:rPr>
        <w:t>Munday v Gill</w:t>
      </w:r>
      <w:r w:rsidRPr="004C50DC">
        <w:rPr>
          <w:rFonts w:ascii="Times New Roman" w:hAnsi="Times New Roman"/>
        </w:rPr>
        <w:t>, "in a trial upon indictment the jury is, and can only be, impanelled and sworn to try the issues of the particular indictment – to find whether the accused be guilty or not guilty upon that indictment and no other. Therefore the simultaneous trial of several indictments is impossible"</w:t>
      </w:r>
      <w:r w:rsidRPr="004C50DC">
        <w:rPr>
          <w:rStyle w:val="FootnoteReference"/>
          <w:rFonts w:ascii="Times New Roman" w:hAnsi="Times New Roman"/>
          <w:sz w:val="24"/>
        </w:rPr>
        <w:footnoteReference w:id="124"/>
      </w:r>
      <w:r w:rsidRPr="004C50DC">
        <w:rPr>
          <w:rFonts w:ascii="Times New Roman" w:hAnsi="Times New Roman"/>
        </w:rPr>
        <w:t xml:space="preserve">. </w:t>
      </w:r>
    </w:p>
    <w:p w14:paraId="37D5C471"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lastRenderedPageBreak/>
        <w:tab/>
        <w:t>It has been said that at common law "each count in an indictment is really a separate indictment"</w:t>
      </w:r>
      <w:r w:rsidRPr="004C50DC">
        <w:rPr>
          <w:rStyle w:val="FootnoteReference"/>
          <w:rFonts w:ascii="Times New Roman" w:hAnsi="Times New Roman"/>
          <w:bCs/>
          <w:sz w:val="24"/>
        </w:rPr>
        <w:footnoteReference w:id="125"/>
      </w:r>
      <w:r w:rsidRPr="004C50DC">
        <w:rPr>
          <w:rFonts w:ascii="Times New Roman" w:hAnsi="Times New Roman"/>
        </w:rPr>
        <w:t xml:space="preserve"> and that "[</w:t>
      </w:r>
      <w:proofErr w:type="spellStart"/>
      <w:r w:rsidRPr="004C50DC">
        <w:rPr>
          <w:rFonts w:ascii="Times New Roman" w:hAnsi="Times New Roman"/>
        </w:rPr>
        <w:t>i</w:t>
      </w:r>
      <w:proofErr w:type="spellEnd"/>
      <w:r w:rsidRPr="004C50DC">
        <w:rPr>
          <w:rFonts w:ascii="Times New Roman" w:hAnsi="Times New Roman"/>
        </w:rPr>
        <w:t>]</w:t>
      </w:r>
      <w:proofErr w:type="spellStart"/>
      <w:r w:rsidRPr="004C50DC">
        <w:rPr>
          <w:rFonts w:ascii="Times New Roman" w:hAnsi="Times New Roman"/>
        </w:rPr>
        <w:t>ndictments</w:t>
      </w:r>
      <w:proofErr w:type="spellEnd"/>
      <w:r w:rsidRPr="004C50DC">
        <w:rPr>
          <w:rFonts w:ascii="Times New Roman" w:hAnsi="Times New Roman"/>
        </w:rPr>
        <w:t xml:space="preserve"> are to be read jointly and severally"</w:t>
      </w:r>
      <w:r w:rsidRPr="004C50DC">
        <w:rPr>
          <w:rStyle w:val="FootnoteReference"/>
          <w:rFonts w:ascii="Times New Roman" w:hAnsi="Times New Roman"/>
          <w:bCs/>
          <w:sz w:val="24"/>
        </w:rPr>
        <w:footnoteReference w:id="126"/>
      </w:r>
      <w:r w:rsidRPr="004C50DC">
        <w:rPr>
          <w:rFonts w:ascii="Times New Roman" w:hAnsi="Times New Roman"/>
        </w:rPr>
        <w:t xml:space="preserve">. However, this does not detract from the fact that </w:t>
      </w:r>
      <w:bookmarkStart w:id="1" w:name="_Hlk138858643"/>
      <w:r w:rsidRPr="004C50DC">
        <w:rPr>
          <w:rFonts w:ascii="Times New Roman" w:hAnsi="Times New Roman"/>
        </w:rPr>
        <w:t>there is only a single indictment for co-accused in a joint trial</w:t>
      </w:r>
      <w:r w:rsidRPr="004C50DC">
        <w:rPr>
          <w:rStyle w:val="FootnoteReference"/>
          <w:rFonts w:ascii="Times New Roman" w:hAnsi="Times New Roman"/>
          <w:sz w:val="24"/>
        </w:rPr>
        <w:footnoteReference w:id="127"/>
      </w:r>
      <w:bookmarkEnd w:id="1"/>
      <w:r w:rsidRPr="004C50DC">
        <w:rPr>
          <w:rFonts w:ascii="Times New Roman" w:hAnsi="Times New Roman"/>
        </w:rPr>
        <w:t>. A single indictment of multiple accused will be presented where the matters charged arise out of the same facts and matters. When this is the charge, it is described as a joint charge</w:t>
      </w:r>
      <w:r w:rsidRPr="004C50DC">
        <w:rPr>
          <w:rStyle w:val="FootnoteReference"/>
          <w:rFonts w:ascii="Times New Roman" w:hAnsi="Times New Roman"/>
          <w:sz w:val="24"/>
        </w:rPr>
        <w:footnoteReference w:id="128"/>
      </w:r>
      <w:r w:rsidRPr="004C50DC">
        <w:rPr>
          <w:rFonts w:ascii="Times New Roman" w:hAnsi="Times New Roman"/>
        </w:rPr>
        <w:t xml:space="preserve">. As Lord Diplock said in </w:t>
      </w:r>
      <w:r w:rsidRPr="004C50DC">
        <w:rPr>
          <w:rFonts w:ascii="Times New Roman" w:hAnsi="Times New Roman"/>
          <w:i/>
          <w:iCs/>
        </w:rPr>
        <w:t>Director of Public Prosecutions v Merriman</w:t>
      </w:r>
      <w:r w:rsidRPr="004C50DC">
        <w:rPr>
          <w:rFonts w:ascii="Times New Roman" w:hAnsi="Times New Roman"/>
        </w:rPr>
        <w:t>, "[a] 'joint offence' of two defendants means no more than that there is this connection between the separate offences of each, so that as against each defendant not only his own physical acts but also those of the other defendant may be relied upon by the prosecution as an actus reus of the offence with which he is charged"</w:t>
      </w:r>
      <w:r w:rsidRPr="004C50DC">
        <w:rPr>
          <w:rStyle w:val="FootnoteReference"/>
          <w:rFonts w:ascii="Times New Roman" w:hAnsi="Times New Roman"/>
          <w:sz w:val="24"/>
        </w:rPr>
        <w:footnoteReference w:id="129"/>
      </w:r>
      <w:r w:rsidRPr="004C50DC">
        <w:rPr>
          <w:rFonts w:ascii="Times New Roman" w:hAnsi="Times New Roman"/>
        </w:rPr>
        <w:t>. In a trial of a co-accused on a single indictment, there is not "more than one trial actually taking place"</w:t>
      </w:r>
      <w:r w:rsidRPr="004C50DC">
        <w:rPr>
          <w:rStyle w:val="FootnoteReference"/>
          <w:rFonts w:ascii="Times New Roman" w:hAnsi="Times New Roman"/>
          <w:sz w:val="24"/>
        </w:rPr>
        <w:footnoteReference w:id="130"/>
      </w:r>
      <w:r w:rsidRPr="004C50DC">
        <w:rPr>
          <w:rFonts w:ascii="Times New Roman" w:hAnsi="Times New Roman"/>
        </w:rPr>
        <w:t xml:space="preserve">. The foregoing proposition is not denied by the fact that all crime is individual and that each accused needs to be proved guilty independently. </w:t>
      </w:r>
    </w:p>
    <w:p w14:paraId="1EDE00F1"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Counsel for McNamara's reliance on </w:t>
      </w:r>
      <w:r w:rsidRPr="004C50DC">
        <w:rPr>
          <w:rFonts w:ascii="Times New Roman" w:hAnsi="Times New Roman"/>
          <w:i/>
          <w:iCs/>
        </w:rPr>
        <w:t>R v</w:t>
      </w:r>
      <w:r w:rsidRPr="004C50DC">
        <w:rPr>
          <w:rFonts w:ascii="Times New Roman" w:hAnsi="Times New Roman"/>
        </w:rPr>
        <w:t xml:space="preserve"> </w:t>
      </w:r>
      <w:r w:rsidRPr="004C50DC">
        <w:rPr>
          <w:rFonts w:ascii="Times New Roman" w:hAnsi="Times New Roman"/>
          <w:i/>
          <w:iCs/>
        </w:rPr>
        <w:t>Stringer</w:t>
      </w:r>
      <w:r w:rsidRPr="004C50DC">
        <w:rPr>
          <w:rStyle w:val="FootnoteReference"/>
          <w:rFonts w:ascii="Times New Roman" w:hAnsi="Times New Roman"/>
          <w:sz w:val="24"/>
        </w:rPr>
        <w:footnoteReference w:id="131"/>
      </w:r>
      <w:r w:rsidRPr="004C50DC">
        <w:rPr>
          <w:rFonts w:ascii="Times New Roman" w:hAnsi="Times New Roman"/>
        </w:rPr>
        <w:t xml:space="preserve"> and </w:t>
      </w:r>
      <w:r w:rsidRPr="004C50DC">
        <w:rPr>
          <w:rFonts w:ascii="Times New Roman" w:hAnsi="Times New Roman"/>
          <w:i/>
          <w:iCs/>
        </w:rPr>
        <w:t>Latham v The Queen</w:t>
      </w:r>
      <w:r w:rsidRPr="004C50DC">
        <w:rPr>
          <w:rStyle w:val="FootnoteReference"/>
          <w:rFonts w:ascii="Times New Roman" w:hAnsi="Times New Roman"/>
          <w:sz w:val="24"/>
        </w:rPr>
        <w:footnoteReference w:id="132"/>
      </w:r>
      <w:r w:rsidRPr="004C50DC">
        <w:rPr>
          <w:rFonts w:ascii="Times New Roman" w:hAnsi="Times New Roman"/>
        </w:rPr>
        <w:t xml:space="preserve"> for the proposition that there are two separate trials and therefore two separate proceedings is misplaced. It was submitted that </w:t>
      </w:r>
      <w:r w:rsidRPr="004C50DC">
        <w:rPr>
          <w:rFonts w:ascii="Times New Roman" w:hAnsi="Times New Roman"/>
          <w:i/>
          <w:iCs/>
        </w:rPr>
        <w:t>Stringer</w:t>
      </w:r>
      <w:r w:rsidRPr="004C50DC">
        <w:rPr>
          <w:rFonts w:ascii="Times New Roman" w:hAnsi="Times New Roman"/>
        </w:rPr>
        <w:t xml:space="preserve"> and </w:t>
      </w:r>
      <w:r w:rsidRPr="004C50DC">
        <w:rPr>
          <w:rFonts w:ascii="Times New Roman" w:hAnsi="Times New Roman"/>
          <w:i/>
          <w:iCs/>
        </w:rPr>
        <w:t>Latham</w:t>
      </w:r>
      <w:r w:rsidRPr="004C50DC">
        <w:rPr>
          <w:rFonts w:ascii="Times New Roman" w:hAnsi="Times New Roman"/>
        </w:rPr>
        <w:t xml:space="preserve"> established that each count in an indictment is effectively a separate indictment. Neither is authority for that proposition. The statement in </w:t>
      </w:r>
      <w:r w:rsidRPr="004C50DC">
        <w:rPr>
          <w:rFonts w:ascii="Times New Roman" w:hAnsi="Times New Roman"/>
          <w:i/>
          <w:iCs/>
        </w:rPr>
        <w:t>Stringer</w:t>
      </w:r>
      <w:r w:rsidRPr="004C50DC">
        <w:rPr>
          <w:rFonts w:ascii="Times New Roman" w:hAnsi="Times New Roman"/>
        </w:rPr>
        <w:t xml:space="preserve"> that "each count in an indictment is really a separate indictment" was made in the context of demonstrating that the charging of two offences on a </w:t>
      </w:r>
      <w:r w:rsidRPr="004C50DC">
        <w:rPr>
          <w:rFonts w:ascii="Times New Roman" w:hAnsi="Times New Roman"/>
          <w:i/>
          <w:iCs/>
        </w:rPr>
        <w:t>single</w:t>
      </w:r>
      <w:r w:rsidRPr="004C50DC">
        <w:rPr>
          <w:rFonts w:ascii="Times New Roman" w:hAnsi="Times New Roman"/>
        </w:rPr>
        <w:t xml:space="preserve"> indictment did not give rise to issues of double jeopardy</w:t>
      </w:r>
      <w:r w:rsidRPr="004C50DC">
        <w:rPr>
          <w:rStyle w:val="FootnoteReference"/>
          <w:rFonts w:ascii="Times New Roman" w:hAnsi="Times New Roman"/>
          <w:sz w:val="24"/>
        </w:rPr>
        <w:footnoteReference w:id="133"/>
      </w:r>
      <w:r w:rsidRPr="004C50DC">
        <w:rPr>
          <w:rFonts w:ascii="Times New Roman" w:hAnsi="Times New Roman"/>
        </w:rPr>
        <w:t xml:space="preserve">. The statement in </w:t>
      </w:r>
      <w:r w:rsidRPr="004C50DC">
        <w:rPr>
          <w:rFonts w:ascii="Times New Roman" w:hAnsi="Times New Roman"/>
          <w:i/>
          <w:iCs/>
        </w:rPr>
        <w:t>Latham</w:t>
      </w:r>
      <w:r w:rsidRPr="004C50DC">
        <w:rPr>
          <w:rFonts w:ascii="Times New Roman" w:hAnsi="Times New Roman"/>
        </w:rPr>
        <w:t xml:space="preserve"> that "[e]ach count is in fact and theory a separate indictment"</w:t>
      </w:r>
      <w:r w:rsidRPr="004C50DC">
        <w:rPr>
          <w:rStyle w:val="FootnoteReference"/>
          <w:rFonts w:ascii="Times New Roman" w:hAnsi="Times New Roman"/>
          <w:sz w:val="24"/>
        </w:rPr>
        <w:footnoteReference w:id="134"/>
      </w:r>
      <w:r w:rsidRPr="004C50DC">
        <w:rPr>
          <w:rFonts w:ascii="Times New Roman" w:hAnsi="Times New Roman"/>
        </w:rPr>
        <w:t xml:space="preserve"> was used for a different purpose – </w:t>
      </w:r>
      <w:r w:rsidRPr="004C50DC">
        <w:rPr>
          <w:rFonts w:ascii="Times New Roman" w:hAnsi="Times New Roman"/>
        </w:rPr>
        <w:lastRenderedPageBreak/>
        <w:t>to</w:t>
      </w:r>
      <w:r>
        <w:rPr>
          <w:rFonts w:ascii="Times New Roman" w:hAnsi="Times New Roman"/>
        </w:rPr>
        <w:t> </w:t>
      </w:r>
      <w:r w:rsidRPr="004C50DC">
        <w:rPr>
          <w:rFonts w:ascii="Times New Roman" w:hAnsi="Times New Roman"/>
        </w:rPr>
        <w:t>justify not ordering a new trial after a jury failed to provide a verdict on one count of a single indictment of co-accused</w:t>
      </w:r>
      <w:r w:rsidRPr="004C50DC">
        <w:rPr>
          <w:rStyle w:val="FootnoteReference"/>
          <w:rFonts w:ascii="Times New Roman" w:hAnsi="Times New Roman"/>
          <w:sz w:val="24"/>
        </w:rPr>
        <w:footnoteReference w:id="135"/>
      </w:r>
      <w:r w:rsidRPr="004C50DC">
        <w:rPr>
          <w:rFonts w:ascii="Times New Roman" w:hAnsi="Times New Roman"/>
        </w:rPr>
        <w:t xml:space="preserve">. Whether there are two separate "cases" before a jury of two or more accused on a joint indictment is not to the point. To the extent that co-accused have separate cases, the analysis supports the opposite proposition – that an accused is a party to a co-accused's case. </w:t>
      </w:r>
    </w:p>
    <w:p w14:paraId="45D6D885" w14:textId="77777777" w:rsidR="00A568B4" w:rsidRPr="004C50DC" w:rsidRDefault="00A568B4" w:rsidP="004C50DC">
      <w:pPr>
        <w:pStyle w:val="HeadingL2"/>
        <w:spacing w:after="260" w:line="280" w:lineRule="exact"/>
        <w:ind w:right="0"/>
        <w:jc w:val="both"/>
        <w:rPr>
          <w:rFonts w:ascii="Times New Roman" w:hAnsi="Times New Roman"/>
          <w:szCs w:val="26"/>
        </w:rPr>
      </w:pPr>
      <w:r w:rsidRPr="004C50DC">
        <w:rPr>
          <w:rFonts w:ascii="Times New Roman" w:hAnsi="Times New Roman"/>
          <w:szCs w:val="26"/>
        </w:rPr>
        <w:t xml:space="preserve">Power to order joint trials and separate </w:t>
      </w:r>
      <w:proofErr w:type="gramStart"/>
      <w:r w:rsidRPr="004C50DC">
        <w:rPr>
          <w:rFonts w:ascii="Times New Roman" w:hAnsi="Times New Roman"/>
          <w:szCs w:val="26"/>
        </w:rPr>
        <w:t>trials</w:t>
      </w:r>
      <w:proofErr w:type="gramEnd"/>
      <w:r w:rsidRPr="004C50DC">
        <w:rPr>
          <w:rFonts w:ascii="Times New Roman" w:hAnsi="Times New Roman"/>
          <w:szCs w:val="26"/>
        </w:rPr>
        <w:t xml:space="preserve"> </w:t>
      </w:r>
    </w:p>
    <w:p w14:paraId="5E3D3E48"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Similarly, in enacting the Act, including s 135(a), the legislature must be taken to have been aware of the </w:t>
      </w:r>
      <w:r w:rsidRPr="004C50DC">
        <w:rPr>
          <w:rFonts w:ascii="Times New Roman" w:hAnsi="Times New Roman"/>
          <w:i/>
          <w:iCs/>
        </w:rPr>
        <w:t xml:space="preserve">Criminal Procedure Act 1986 </w:t>
      </w:r>
      <w:r w:rsidRPr="004C50DC">
        <w:rPr>
          <w:rFonts w:ascii="Times New Roman" w:hAnsi="Times New Roman"/>
        </w:rPr>
        <w:t>(NSW)</w:t>
      </w:r>
      <w:r w:rsidRPr="004C50DC">
        <w:rPr>
          <w:rFonts w:ascii="Times New Roman" w:hAnsi="Times New Roman"/>
          <w:i/>
          <w:iCs/>
        </w:rPr>
        <w:t xml:space="preserve"> </w:t>
      </w:r>
      <w:r w:rsidRPr="004C50DC">
        <w:rPr>
          <w:rFonts w:ascii="Times New Roman" w:hAnsi="Times New Roman"/>
        </w:rPr>
        <w:t>which</w:t>
      </w:r>
      <w:r>
        <w:rPr>
          <w:rFonts w:ascii="Times New Roman" w:hAnsi="Times New Roman"/>
        </w:rPr>
        <w:t> </w:t>
      </w:r>
      <w:r w:rsidRPr="004C50DC">
        <w:rPr>
          <w:rFonts w:ascii="Times New Roman" w:hAnsi="Times New Roman"/>
        </w:rPr>
        <w:t>empowers a court, under s 29(2), to order a joint trial but also, under</w:t>
      </w:r>
      <w:r>
        <w:rPr>
          <w:rFonts w:ascii="Times New Roman" w:hAnsi="Times New Roman"/>
        </w:rPr>
        <w:t> </w:t>
      </w:r>
      <w:r w:rsidRPr="004C50DC">
        <w:rPr>
          <w:rFonts w:ascii="Times New Roman" w:hAnsi="Times New Roman"/>
        </w:rPr>
        <w:t>s</w:t>
      </w:r>
      <w:r>
        <w:rPr>
          <w:rFonts w:ascii="Times New Roman" w:hAnsi="Times New Roman"/>
        </w:rPr>
        <w:t> </w:t>
      </w:r>
      <w:r w:rsidRPr="004C50DC">
        <w:rPr>
          <w:rFonts w:ascii="Times New Roman" w:hAnsi="Times New Roman"/>
        </w:rPr>
        <w:t>21(2)(b), to</w:t>
      </w:r>
      <w:r>
        <w:rPr>
          <w:rFonts w:ascii="Times New Roman" w:hAnsi="Times New Roman"/>
        </w:rPr>
        <w:t> </w:t>
      </w:r>
      <w:r w:rsidRPr="004C50DC">
        <w:rPr>
          <w:rFonts w:ascii="Times New Roman" w:hAnsi="Times New Roman"/>
        </w:rPr>
        <w:t>"order a separate trial" for an accused. The starting point is that "[w]here the crime is one in which the Crown alleges a common purpose in two or more persons to commit a crime prima facie they should be tried together"</w:t>
      </w:r>
      <w:r w:rsidRPr="004C50DC">
        <w:rPr>
          <w:rStyle w:val="FootnoteReference"/>
          <w:rFonts w:ascii="Times New Roman" w:hAnsi="Times New Roman"/>
          <w:sz w:val="24"/>
        </w:rPr>
        <w:footnoteReference w:id="136"/>
      </w:r>
      <w:r w:rsidRPr="004C50DC">
        <w:rPr>
          <w:rFonts w:ascii="Times New Roman" w:hAnsi="Times New Roman"/>
        </w:rPr>
        <w:t>. The fact that one accused is intending to say that he or she acted under duress by the other accused (whether both are charged as principal offenders or as principal offender and accessory after the fact) is not of itself a valid reason for severing the trial of individual accused persons</w:t>
      </w:r>
      <w:r w:rsidRPr="004C50DC">
        <w:rPr>
          <w:rStyle w:val="FootnoteReference"/>
          <w:rFonts w:ascii="Times New Roman" w:hAnsi="Times New Roman"/>
          <w:sz w:val="24"/>
        </w:rPr>
        <w:footnoteReference w:id="137"/>
      </w:r>
      <w:r w:rsidRPr="004C50DC">
        <w:rPr>
          <w:rFonts w:ascii="Times New Roman" w:hAnsi="Times New Roman"/>
        </w:rPr>
        <w:t>. In fact, that one accused alleges that he or she was coerced by a co-accused is a reason for adhering to a joint trial</w:t>
      </w:r>
      <w:r w:rsidRPr="004C50DC">
        <w:rPr>
          <w:rStyle w:val="FootnoteReference"/>
          <w:rFonts w:ascii="Times New Roman" w:hAnsi="Times New Roman"/>
          <w:sz w:val="24"/>
        </w:rPr>
        <w:footnoteReference w:id="138"/>
      </w:r>
      <w:r w:rsidRPr="004C50DC">
        <w:rPr>
          <w:rFonts w:ascii="Times New Roman" w:hAnsi="Times New Roman"/>
        </w:rPr>
        <w:t xml:space="preserve">. </w:t>
      </w:r>
    </w:p>
    <w:p w14:paraId="6E8B336F"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rationale for joint trials is well established. The interests of justice dictate strong reasons of principle and public policy for joint offences to be tried jointly, especially where co-accused run "cut</w:t>
      </w:r>
      <w:r w:rsidRPr="004C50DC">
        <w:rPr>
          <w:rFonts w:ascii="Times New Roman" w:hAnsi="Times New Roman"/>
        </w:rPr>
        <w:noBreakHyphen/>
        <w:t>throat" defences</w:t>
      </w:r>
      <w:r w:rsidRPr="004C50DC">
        <w:rPr>
          <w:rStyle w:val="FootnoteReference"/>
          <w:rFonts w:ascii="Times New Roman" w:hAnsi="Times New Roman"/>
          <w:bCs/>
          <w:sz w:val="24"/>
        </w:rPr>
        <w:footnoteReference w:id="139"/>
      </w:r>
      <w:r w:rsidRPr="004C50DC">
        <w:rPr>
          <w:rFonts w:ascii="Times New Roman" w:hAnsi="Times New Roman"/>
        </w:rPr>
        <w:t>. Four matters of "public interest" have been articulated in favour of joint trials</w:t>
      </w:r>
      <w:r w:rsidRPr="004C50DC">
        <w:rPr>
          <w:rStyle w:val="FootnoteReference"/>
          <w:rFonts w:ascii="Times New Roman" w:hAnsi="Times New Roman"/>
          <w:sz w:val="24"/>
        </w:rPr>
        <w:footnoteReference w:id="140"/>
      </w:r>
      <w:r w:rsidRPr="004C50DC">
        <w:rPr>
          <w:rFonts w:ascii="Times New Roman" w:hAnsi="Times New Roman"/>
        </w:rPr>
        <w:t xml:space="preserve">: (1) it is important to bear in mind the use of court time and public expense incurred if more than one trial is conducted; (2) it is against the interests of justice that there should be </w:t>
      </w:r>
      <w:r w:rsidRPr="004C50DC">
        <w:rPr>
          <w:rFonts w:ascii="Times New Roman" w:hAnsi="Times New Roman"/>
        </w:rPr>
        <w:lastRenderedPageBreak/>
        <w:t>inconsistent verdicts and where the accounts of the accused differ or conflict, the</w:t>
      </w:r>
      <w:r>
        <w:rPr>
          <w:rFonts w:ascii="Times New Roman" w:hAnsi="Times New Roman"/>
        </w:rPr>
        <w:t> </w:t>
      </w:r>
      <w:r w:rsidRPr="004C50DC">
        <w:rPr>
          <w:rFonts w:ascii="Times New Roman" w:hAnsi="Times New Roman"/>
        </w:rPr>
        <w:t>differences should be resolved by the same jury at the same trial; (3) it is the policy of the law to reach finality as expeditiously as possible; and</w:t>
      </w:r>
      <w:r>
        <w:rPr>
          <w:rFonts w:ascii="Times New Roman" w:hAnsi="Times New Roman"/>
        </w:rPr>
        <w:t> </w:t>
      </w:r>
      <w:r w:rsidRPr="004C50DC">
        <w:rPr>
          <w:rFonts w:ascii="Times New Roman" w:hAnsi="Times New Roman"/>
        </w:rPr>
        <w:t>(4)</w:t>
      </w:r>
      <w:r>
        <w:rPr>
          <w:rFonts w:ascii="Times New Roman" w:hAnsi="Times New Roman"/>
        </w:rPr>
        <w:t> </w:t>
      </w:r>
      <w:r w:rsidRPr="004C50DC">
        <w:rPr>
          <w:rFonts w:ascii="Times New Roman" w:hAnsi="Times New Roman"/>
        </w:rPr>
        <w:t>witnesses</w:t>
      </w:r>
      <w:r>
        <w:rPr>
          <w:rFonts w:ascii="Times New Roman" w:hAnsi="Times New Roman"/>
        </w:rPr>
        <w:t> </w:t>
      </w:r>
      <w:r w:rsidRPr="004C50DC">
        <w:rPr>
          <w:rFonts w:ascii="Times New Roman" w:hAnsi="Times New Roman"/>
        </w:rPr>
        <w:t xml:space="preserve">should not be required to give evidence of the same events at a succession of trials. </w:t>
      </w:r>
    </w:p>
    <w:p w14:paraId="6D411D03"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On the other hand, </w:t>
      </w:r>
      <w:bookmarkStart w:id="5" w:name="_Hlk138768081"/>
      <w:r w:rsidRPr="004C50DC">
        <w:rPr>
          <w:rFonts w:ascii="Times New Roman" w:hAnsi="Times New Roman"/>
        </w:rPr>
        <w:t xml:space="preserve">considerations relevant to the question of whether an application for a separate trial should be granted </w:t>
      </w:r>
      <w:bookmarkEnd w:id="5"/>
      <w:r w:rsidRPr="004C50DC">
        <w:rPr>
          <w:rFonts w:ascii="Times New Roman" w:hAnsi="Times New Roman"/>
        </w:rPr>
        <w:t xml:space="preserve">were explained by Hunt J in </w:t>
      </w:r>
      <w:r w:rsidRPr="004C50DC">
        <w:rPr>
          <w:rFonts w:ascii="Times New Roman" w:hAnsi="Times New Roman"/>
          <w:i/>
          <w:iCs/>
        </w:rPr>
        <w:t xml:space="preserve">R v </w:t>
      </w:r>
      <w:proofErr w:type="spellStart"/>
      <w:r w:rsidRPr="004C50DC">
        <w:rPr>
          <w:rFonts w:ascii="Times New Roman" w:hAnsi="Times New Roman"/>
          <w:i/>
          <w:iCs/>
        </w:rPr>
        <w:t>Middis</w:t>
      </w:r>
      <w:proofErr w:type="spellEnd"/>
      <w:r w:rsidRPr="004C50DC">
        <w:rPr>
          <w:rStyle w:val="FootnoteReference"/>
          <w:rFonts w:ascii="Times New Roman" w:hAnsi="Times New Roman"/>
          <w:sz w:val="24"/>
        </w:rPr>
        <w:footnoteReference w:id="141"/>
      </w:r>
      <w:r w:rsidRPr="004C50DC">
        <w:rPr>
          <w:rFonts w:ascii="Times New Roman" w:hAnsi="Times New Roman"/>
          <w:i/>
          <w:iCs/>
        </w:rPr>
        <w:t xml:space="preserve"> </w:t>
      </w:r>
      <w:r w:rsidRPr="004C50DC">
        <w:rPr>
          <w:rFonts w:ascii="Times New Roman" w:hAnsi="Times New Roman"/>
        </w:rPr>
        <w:t>in the following terms:</w:t>
      </w:r>
    </w:p>
    <w:p w14:paraId="7602E74F" w14:textId="77777777" w:rsidR="00A568B4" w:rsidRPr="004C50DC" w:rsidRDefault="00A568B4" w:rsidP="004C50DC">
      <w:pPr>
        <w:pStyle w:val="leftright"/>
        <w:spacing w:before="0" w:after="260" w:line="280" w:lineRule="exact"/>
        <w:ind w:right="0"/>
        <w:jc w:val="both"/>
        <w:rPr>
          <w:rFonts w:ascii="Times New Roman" w:hAnsi="Times New Roman"/>
        </w:rPr>
      </w:pPr>
      <w:r w:rsidRPr="004C50DC">
        <w:rPr>
          <w:rFonts w:ascii="Times New Roman" w:hAnsi="Times New Roman"/>
        </w:rPr>
        <w:tab/>
        <w:t>"Briefly, the relevant principles are that: (1) where the evidence against an applicant for a separate trial is significantly weaker than and different to that admissible against another or the other accused to be jointly tried with him, and (2) where the evidence against those other accused contains material highly prejudicial to the applicant although not admissible against him, and (3) where there is a real risk that the weaker Crown case against the applicant will be made immeasurably stronger by reason of the prejudicial material, a separate trial will usually be ordered in relation to the charges against the applicant. The applicant must show that positive injustice would be caused to him in a joint trial.</w:t>
      </w:r>
    </w:p>
    <w:p w14:paraId="6870BF34" w14:textId="77777777" w:rsidR="00A568B4" w:rsidRPr="004C50DC" w:rsidRDefault="00A568B4" w:rsidP="004C50DC">
      <w:pPr>
        <w:pStyle w:val="leftright"/>
        <w:spacing w:before="0" w:after="260" w:line="280" w:lineRule="exact"/>
        <w:ind w:right="0"/>
        <w:jc w:val="both"/>
        <w:rPr>
          <w:rFonts w:ascii="Times New Roman" w:hAnsi="Times New Roman"/>
        </w:rPr>
      </w:pPr>
      <w:r w:rsidRPr="004C50DC">
        <w:rPr>
          <w:rFonts w:ascii="Times New Roman" w:hAnsi="Times New Roman"/>
        </w:rPr>
        <w:tab/>
        <w:t>...</w:t>
      </w:r>
    </w:p>
    <w:p w14:paraId="48641152" w14:textId="77777777" w:rsidR="00A568B4" w:rsidRDefault="00A568B4" w:rsidP="004C50DC">
      <w:pPr>
        <w:pStyle w:val="leftright"/>
        <w:spacing w:before="0" w:after="260" w:line="280" w:lineRule="exact"/>
        <w:ind w:right="0"/>
        <w:jc w:val="both"/>
        <w:rPr>
          <w:rFonts w:ascii="Times New Roman" w:hAnsi="Times New Roman"/>
        </w:rPr>
      </w:pPr>
      <w:r w:rsidRPr="004C50DC">
        <w:rPr>
          <w:rFonts w:ascii="Times New Roman" w:hAnsi="Times New Roman"/>
        </w:rPr>
        <w:tab/>
        <w:t xml:space="preserve">I do not believe that the Court of Criminal Appeal in </w:t>
      </w:r>
      <w:r w:rsidRPr="004C50DC">
        <w:rPr>
          <w:rFonts w:ascii="Times New Roman" w:hAnsi="Times New Roman"/>
          <w:i/>
          <w:iCs/>
        </w:rPr>
        <w:t>Regina v Oliver</w:t>
      </w:r>
      <w:r w:rsidRPr="004C50DC">
        <w:rPr>
          <w:rFonts w:ascii="Times New Roman" w:hAnsi="Times New Roman"/>
        </w:rPr>
        <w:t xml:space="preserve"> [(1984) 57 ALR 543] intended an applicant for a separate trial to demonstrate that positive injustice would more likely than not be caused by a joint trial (as it was suggested in argument); nor do I accept that a mere possibility of prejudice is sufficient (as it was also suggested in argument). In my view, what the Court of Criminal Appeal was saying was that, as</w:t>
      </w:r>
      <w:r>
        <w:rPr>
          <w:rFonts w:ascii="Times New Roman" w:hAnsi="Times New Roman"/>
        </w:rPr>
        <w:t> </w:t>
      </w:r>
      <w:r w:rsidRPr="004C50DC">
        <w:rPr>
          <w:rFonts w:ascii="Times New Roman" w:hAnsi="Times New Roman"/>
        </w:rPr>
        <w:t>some prejudice to one or other accused is inevitable in any joint trial, it</w:t>
      </w:r>
      <w:r>
        <w:rPr>
          <w:rFonts w:ascii="Times New Roman" w:hAnsi="Times New Roman"/>
        </w:rPr>
        <w:t> </w:t>
      </w:r>
      <w:r w:rsidRPr="004C50DC">
        <w:rPr>
          <w:rFonts w:ascii="Times New Roman" w:hAnsi="Times New Roman"/>
        </w:rPr>
        <w:t>must be shown by an applicant for a separate trial that the particular prejudice upon which reliance is placed by him would – if it arises [–] result</w:t>
      </w:r>
      <w:r>
        <w:rPr>
          <w:rFonts w:ascii="Times New Roman" w:hAnsi="Times New Roman"/>
        </w:rPr>
        <w:t> </w:t>
      </w:r>
      <w:r w:rsidRPr="004C50DC">
        <w:rPr>
          <w:rFonts w:ascii="Times New Roman" w:hAnsi="Times New Roman"/>
        </w:rPr>
        <w:t>in positive injustice to him in a joint trial."</w:t>
      </w:r>
    </w:p>
    <w:p w14:paraId="41F9520D" w14:textId="77777777" w:rsidR="00A568B4" w:rsidRPr="004C50DC" w:rsidRDefault="00A568B4" w:rsidP="004C50DC">
      <w:pPr>
        <w:pStyle w:val="NormalBody"/>
        <w:spacing w:after="260" w:line="280" w:lineRule="exact"/>
        <w:ind w:right="0"/>
        <w:jc w:val="both"/>
        <w:rPr>
          <w:rFonts w:ascii="Times New Roman" w:hAnsi="Times New Roman"/>
        </w:rPr>
      </w:pPr>
      <w:r w:rsidRPr="004C50DC">
        <w:rPr>
          <w:rFonts w:ascii="Times New Roman" w:hAnsi="Times New Roman"/>
        </w:rPr>
        <w:t>That passage has been approved in New South Wales on a number of occasions</w:t>
      </w:r>
      <w:r w:rsidRPr="004C50DC">
        <w:rPr>
          <w:rFonts w:ascii="Times New Roman" w:hAnsi="Times New Roman"/>
          <w:b/>
          <w:sz w:val="24"/>
          <w:vertAlign w:val="superscript"/>
        </w:rPr>
        <w:footnoteReference w:id="142"/>
      </w:r>
      <w:r w:rsidRPr="004C50DC">
        <w:rPr>
          <w:rFonts w:ascii="Times New Roman" w:hAnsi="Times New Roman"/>
        </w:rPr>
        <w:t>.</w:t>
      </w:r>
    </w:p>
    <w:p w14:paraId="14CD9FB5"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lastRenderedPageBreak/>
        <w:tab/>
        <w:t>Consistent with those principles, prejudice to a co-accused will generally not be sufficient to justify the ordering of separate trials if jury directions would nullify the prejudice</w:t>
      </w:r>
      <w:r w:rsidRPr="004C50DC">
        <w:rPr>
          <w:rStyle w:val="FootnoteReference"/>
          <w:rFonts w:ascii="Times New Roman" w:hAnsi="Times New Roman"/>
          <w:sz w:val="24"/>
        </w:rPr>
        <w:footnoteReference w:id="143"/>
      </w:r>
      <w:r w:rsidRPr="004C50DC">
        <w:rPr>
          <w:rFonts w:ascii="Times New Roman" w:hAnsi="Times New Roman"/>
        </w:rPr>
        <w:t>. It is also for those reasons that an appellate court will not interfere with the trial judge's discretion to not have separate trials unless it would appear that "something occurred later, during the course of the trial, which brought about a miscarriage of justice"</w:t>
      </w:r>
      <w:r w:rsidRPr="004C50DC">
        <w:rPr>
          <w:rStyle w:val="FootnoteReference"/>
          <w:rFonts w:ascii="Times New Roman" w:hAnsi="Times New Roman"/>
          <w:sz w:val="24"/>
        </w:rPr>
        <w:footnoteReference w:id="144"/>
      </w:r>
      <w:r w:rsidRPr="004C50DC">
        <w:rPr>
          <w:rFonts w:ascii="Times New Roman" w:hAnsi="Times New Roman"/>
        </w:rPr>
        <w:t>. A defining principle of criminal law remains – "[a] presentment should always be severed where that is both desirable and practicable in order to ensure a fair trial"</w:t>
      </w:r>
      <w:r w:rsidRPr="004C50DC">
        <w:rPr>
          <w:rStyle w:val="FootnoteReference"/>
          <w:rFonts w:ascii="Times New Roman" w:hAnsi="Times New Roman"/>
          <w:sz w:val="24"/>
        </w:rPr>
        <w:footnoteReference w:id="145"/>
      </w:r>
      <w:r w:rsidRPr="004C50DC">
        <w:rPr>
          <w:rFonts w:ascii="Times New Roman" w:hAnsi="Times New Roman"/>
        </w:rPr>
        <w:t xml:space="preserve">. </w:t>
      </w:r>
    </w:p>
    <w:p w14:paraId="2F749435"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Section</w:t>
      </w:r>
      <w:r w:rsidRPr="004C50DC" w:rsidDel="00390CA2">
        <w:rPr>
          <w:rFonts w:ascii="Times New Roman" w:hAnsi="Times New Roman"/>
        </w:rPr>
        <w:t xml:space="preserve"> 21(2) of the </w:t>
      </w:r>
      <w:r w:rsidRPr="004C50DC" w:rsidDel="00390CA2">
        <w:rPr>
          <w:rFonts w:ascii="Times New Roman" w:hAnsi="Times New Roman"/>
          <w:i/>
          <w:iCs/>
        </w:rPr>
        <w:t>Criminal Procedure</w:t>
      </w:r>
      <w:r w:rsidRPr="004C50DC">
        <w:rPr>
          <w:rFonts w:ascii="Times New Roman" w:hAnsi="Times New Roman"/>
          <w:i/>
          <w:iCs/>
        </w:rPr>
        <w:t xml:space="preserve"> Act</w:t>
      </w:r>
      <w:r w:rsidRPr="004C50DC" w:rsidDel="00390CA2">
        <w:rPr>
          <w:rFonts w:ascii="Times New Roman" w:hAnsi="Times New Roman"/>
          <w:i/>
          <w:iCs/>
        </w:rPr>
        <w:t xml:space="preserve"> </w:t>
      </w:r>
      <w:r w:rsidRPr="004C50DC">
        <w:rPr>
          <w:rFonts w:ascii="Times New Roman" w:hAnsi="Times New Roman"/>
        </w:rPr>
        <w:t>separately, and collectively with the other aspects of criminal practice and procedure to which reference will be made, compels the conclusion that "party" in s 135(a) of the Act was intended to include a co</w:t>
      </w:r>
      <w:r w:rsidRPr="004C50DC">
        <w:rPr>
          <w:rFonts w:ascii="Times New Roman" w:hAnsi="Times New Roman"/>
        </w:rPr>
        <w:noBreakHyphen/>
        <w:t>accused in a joint trial.</w:t>
      </w:r>
    </w:p>
    <w:p w14:paraId="26668A99" w14:textId="77777777" w:rsidR="00A568B4" w:rsidRPr="004C50DC" w:rsidRDefault="00A568B4" w:rsidP="004C50DC">
      <w:pPr>
        <w:pStyle w:val="HeadingL2"/>
        <w:spacing w:after="260" w:line="280" w:lineRule="exact"/>
        <w:ind w:right="0"/>
        <w:jc w:val="both"/>
        <w:rPr>
          <w:rFonts w:ascii="Times New Roman" w:hAnsi="Times New Roman"/>
          <w:szCs w:val="26"/>
        </w:rPr>
      </w:pPr>
      <w:r w:rsidRPr="004C50DC">
        <w:rPr>
          <w:rFonts w:ascii="Times New Roman" w:hAnsi="Times New Roman"/>
          <w:szCs w:val="26"/>
        </w:rPr>
        <w:t>Evidence at a joint trial</w:t>
      </w:r>
    </w:p>
    <w:p w14:paraId="46DFE526"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Counsel for McNamara submitted that "party" in s 135(a) should be construed as not extending to a co</w:t>
      </w:r>
      <w:r w:rsidRPr="004C50DC">
        <w:rPr>
          <w:rFonts w:ascii="Times New Roman" w:hAnsi="Times New Roman"/>
        </w:rPr>
        <w:noBreakHyphen/>
        <w:t>accused because in a joint trial only the Crown or the accused could object to evidence being led in the accused's case. This</w:t>
      </w:r>
      <w:r>
        <w:rPr>
          <w:rFonts w:ascii="Times New Roman" w:hAnsi="Times New Roman"/>
        </w:rPr>
        <w:t> </w:t>
      </w:r>
      <w:r w:rsidRPr="004C50DC">
        <w:rPr>
          <w:rFonts w:ascii="Times New Roman" w:hAnsi="Times New Roman"/>
        </w:rPr>
        <w:t>submission had no basis in authority and counsel accepted that no provision of the Act supported it. Rather, the justification for the assertion that prejudice to a co-accused is not considered when applying s 135(a) of the Act was said to arise from two matters – that at common law an accused had an unfettered right to adduce evidence and the nature of the joint trial. The submission is rejected. The</w:t>
      </w:r>
      <w:r>
        <w:rPr>
          <w:rFonts w:ascii="Times New Roman" w:hAnsi="Times New Roman"/>
        </w:rPr>
        <w:t> </w:t>
      </w:r>
      <w:r w:rsidRPr="004C50DC">
        <w:rPr>
          <w:rFonts w:ascii="Times New Roman" w:hAnsi="Times New Roman"/>
        </w:rPr>
        <w:t xml:space="preserve">nature of the joint trial has been addressed. It compels the contrary conclusion. </w:t>
      </w:r>
    </w:p>
    <w:p w14:paraId="1666CD48"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The contention that at common law an accused had an unfettered right to adduce evidence should not be accepted. Such a "right" does not exist and cannot be picked up by s 9 of the Act – it is not a "principle or rule of common law". </w:t>
      </w:r>
      <w:r w:rsidRPr="004C50DC">
        <w:rPr>
          <w:rFonts w:ascii="Times New Roman" w:hAnsi="Times New Roman"/>
        </w:rPr>
        <w:lastRenderedPageBreak/>
        <w:t>There</w:t>
      </w:r>
      <w:r>
        <w:rPr>
          <w:rFonts w:ascii="Times New Roman" w:hAnsi="Times New Roman"/>
        </w:rPr>
        <w:t> </w:t>
      </w:r>
      <w:r w:rsidRPr="004C50DC">
        <w:rPr>
          <w:rFonts w:ascii="Times New Roman" w:hAnsi="Times New Roman"/>
        </w:rPr>
        <w:t>was and is no such unfettered right in this country</w:t>
      </w:r>
      <w:r w:rsidRPr="004C50DC">
        <w:rPr>
          <w:rStyle w:val="FootnoteReference"/>
          <w:rFonts w:ascii="Times New Roman" w:hAnsi="Times New Roman"/>
          <w:sz w:val="24"/>
        </w:rPr>
        <w:footnoteReference w:id="146"/>
      </w:r>
      <w:r w:rsidRPr="004C50DC">
        <w:rPr>
          <w:rFonts w:ascii="Times New Roman" w:hAnsi="Times New Roman"/>
        </w:rPr>
        <w:t>. On any view, an</w:t>
      </w:r>
      <w:r>
        <w:rPr>
          <w:rFonts w:ascii="Times New Roman" w:hAnsi="Times New Roman"/>
        </w:rPr>
        <w:t> </w:t>
      </w:r>
      <w:r w:rsidRPr="004C50DC">
        <w:rPr>
          <w:rFonts w:ascii="Times New Roman" w:hAnsi="Times New Roman"/>
        </w:rPr>
        <w:t>accused cannot adduce irrelevant evidence</w:t>
      </w:r>
      <w:r w:rsidRPr="004C50DC">
        <w:rPr>
          <w:rStyle w:val="FootnoteReference"/>
          <w:rFonts w:ascii="Times New Roman" w:hAnsi="Times New Roman"/>
          <w:sz w:val="24"/>
        </w:rPr>
        <w:footnoteReference w:id="147"/>
      </w:r>
      <w:r w:rsidRPr="004C50DC">
        <w:rPr>
          <w:rFonts w:ascii="Times New Roman" w:hAnsi="Times New Roman"/>
        </w:rPr>
        <w:t>. Rather, trial judges retain a discretion to refuse to admit evidence</w:t>
      </w:r>
      <w:r w:rsidRPr="004C50DC">
        <w:rPr>
          <w:rStyle w:val="FootnoteReference"/>
          <w:rFonts w:ascii="Times New Roman" w:hAnsi="Times New Roman"/>
          <w:sz w:val="24"/>
        </w:rPr>
        <w:footnoteReference w:id="148"/>
      </w:r>
      <w:r w:rsidRPr="004C50DC">
        <w:rPr>
          <w:rFonts w:ascii="Times New Roman" w:hAnsi="Times New Roman"/>
        </w:rPr>
        <w:t>. However, the circumstances in which the discretion will be exercised to refuse to admit evidence in support of a defence are "few"</w:t>
      </w:r>
      <w:r w:rsidRPr="004C50DC">
        <w:rPr>
          <w:rStyle w:val="FootnoteReference"/>
          <w:rFonts w:ascii="Times New Roman" w:hAnsi="Times New Roman"/>
          <w:sz w:val="24"/>
        </w:rPr>
        <w:footnoteReference w:id="149"/>
      </w:r>
      <w:r w:rsidRPr="004C50DC">
        <w:rPr>
          <w:rFonts w:ascii="Times New Roman" w:hAnsi="Times New Roman"/>
        </w:rPr>
        <w:t>, "exceptional"</w:t>
      </w:r>
      <w:r w:rsidRPr="004C50DC">
        <w:rPr>
          <w:rStyle w:val="FootnoteReference"/>
          <w:rFonts w:ascii="Times New Roman" w:hAnsi="Times New Roman"/>
          <w:sz w:val="24"/>
        </w:rPr>
        <w:footnoteReference w:id="150"/>
      </w:r>
      <w:r w:rsidRPr="004C50DC">
        <w:rPr>
          <w:rFonts w:ascii="Times New Roman" w:hAnsi="Times New Roman"/>
        </w:rPr>
        <w:t xml:space="preserve"> and "will necessarily be rare"</w:t>
      </w:r>
      <w:r w:rsidRPr="004C50DC">
        <w:rPr>
          <w:rStyle w:val="FootnoteReference"/>
          <w:rFonts w:ascii="Times New Roman" w:hAnsi="Times New Roman"/>
          <w:sz w:val="24"/>
        </w:rPr>
        <w:footnoteReference w:id="151"/>
      </w:r>
      <w:r w:rsidRPr="004C50DC">
        <w:rPr>
          <w:rFonts w:ascii="Times New Roman" w:hAnsi="Times New Roman"/>
        </w:rPr>
        <w:t xml:space="preserve">. </w:t>
      </w:r>
    </w:p>
    <w:p w14:paraId="00DDFAE8"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A number of authorities – </w:t>
      </w:r>
      <w:r w:rsidRPr="004C50DC">
        <w:rPr>
          <w:rFonts w:ascii="Times New Roman" w:hAnsi="Times New Roman"/>
          <w:i/>
          <w:iCs/>
        </w:rPr>
        <w:t xml:space="preserve">R v </w:t>
      </w:r>
      <w:proofErr w:type="spellStart"/>
      <w:r w:rsidRPr="004C50DC">
        <w:rPr>
          <w:rFonts w:ascii="Times New Roman" w:hAnsi="Times New Roman"/>
          <w:i/>
          <w:iCs/>
        </w:rPr>
        <w:t>Lowery</w:t>
      </w:r>
      <w:proofErr w:type="spellEnd"/>
      <w:r w:rsidRPr="004C50DC">
        <w:rPr>
          <w:rFonts w:ascii="Times New Roman" w:hAnsi="Times New Roman"/>
          <w:i/>
          <w:iCs/>
        </w:rPr>
        <w:t xml:space="preserve"> [No 3</w:t>
      </w:r>
      <w:r w:rsidRPr="004C50DC">
        <w:rPr>
          <w:rFonts w:ascii="Times New Roman" w:hAnsi="Times New Roman"/>
          <w:i/>
        </w:rPr>
        <w:t>]</w:t>
      </w:r>
      <w:r w:rsidRPr="004C50DC">
        <w:rPr>
          <w:rStyle w:val="FootnoteReference"/>
          <w:rFonts w:ascii="Times New Roman" w:hAnsi="Times New Roman"/>
          <w:sz w:val="24"/>
        </w:rPr>
        <w:t xml:space="preserve"> </w:t>
      </w:r>
      <w:r w:rsidRPr="004C50DC">
        <w:rPr>
          <w:rStyle w:val="FootnoteReference"/>
          <w:rFonts w:ascii="Times New Roman" w:hAnsi="Times New Roman"/>
          <w:sz w:val="24"/>
        </w:rPr>
        <w:footnoteReference w:id="152"/>
      </w:r>
      <w:r w:rsidRPr="004C50DC">
        <w:rPr>
          <w:rFonts w:ascii="Times New Roman" w:hAnsi="Times New Roman"/>
        </w:rPr>
        <w:t xml:space="preserve">, </w:t>
      </w:r>
      <w:r w:rsidRPr="004C50DC">
        <w:rPr>
          <w:rFonts w:ascii="Times New Roman" w:hAnsi="Times New Roman"/>
          <w:i/>
          <w:iCs/>
        </w:rPr>
        <w:t xml:space="preserve">R v </w:t>
      </w:r>
      <w:proofErr w:type="spellStart"/>
      <w:r w:rsidRPr="004C50DC">
        <w:rPr>
          <w:rFonts w:ascii="Times New Roman" w:hAnsi="Times New Roman"/>
          <w:i/>
          <w:iCs/>
        </w:rPr>
        <w:t>Darrington</w:t>
      </w:r>
      <w:proofErr w:type="spellEnd"/>
      <w:r w:rsidRPr="004C50DC">
        <w:rPr>
          <w:rStyle w:val="FootnoteReference"/>
          <w:rFonts w:ascii="Times New Roman" w:hAnsi="Times New Roman"/>
          <w:sz w:val="24"/>
        </w:rPr>
        <w:footnoteReference w:id="153"/>
      </w:r>
      <w:r w:rsidRPr="004C50DC">
        <w:rPr>
          <w:rFonts w:ascii="Times New Roman" w:hAnsi="Times New Roman"/>
          <w:i/>
          <w:iCs/>
        </w:rPr>
        <w:t xml:space="preserve"> </w:t>
      </w:r>
      <w:r w:rsidRPr="004C50DC">
        <w:rPr>
          <w:rFonts w:ascii="Times New Roman" w:hAnsi="Times New Roman"/>
        </w:rPr>
        <w:t>and</w:t>
      </w:r>
      <w:r w:rsidRPr="004C50DC">
        <w:rPr>
          <w:rFonts w:ascii="Times New Roman" w:hAnsi="Times New Roman"/>
          <w:i/>
          <w:iCs/>
        </w:rPr>
        <w:t xml:space="preserve"> R v Gibb</w:t>
      </w:r>
      <w:r w:rsidRPr="004C50DC">
        <w:rPr>
          <w:rStyle w:val="FootnoteReference"/>
          <w:rFonts w:ascii="Times New Roman" w:hAnsi="Times New Roman"/>
          <w:sz w:val="24"/>
        </w:rPr>
        <w:footnoteReference w:id="154"/>
      </w:r>
      <w:r w:rsidRPr="004C50DC">
        <w:rPr>
          <w:rFonts w:ascii="Times New Roman" w:hAnsi="Times New Roman"/>
        </w:rPr>
        <w:t xml:space="preserve"> – support the existence of the judicial discretion to exclude evidence brought by one co-accused against another due to its prejudicial effect. In </w:t>
      </w:r>
      <w:proofErr w:type="spellStart"/>
      <w:r w:rsidRPr="004C50DC">
        <w:rPr>
          <w:rFonts w:ascii="Times New Roman" w:hAnsi="Times New Roman"/>
          <w:i/>
          <w:iCs/>
        </w:rPr>
        <w:t>Lowery</w:t>
      </w:r>
      <w:proofErr w:type="spellEnd"/>
      <w:r w:rsidRPr="004C50DC">
        <w:rPr>
          <w:rFonts w:ascii="Times New Roman" w:hAnsi="Times New Roman"/>
          <w:i/>
          <w:iCs/>
        </w:rPr>
        <w:t xml:space="preserve"> [No 3]</w:t>
      </w:r>
      <w:r w:rsidRPr="004C50DC">
        <w:rPr>
          <w:rFonts w:ascii="Times New Roman" w:hAnsi="Times New Roman"/>
        </w:rPr>
        <w:t>, it was said that there is a "need for an accused person to be left unfettered in defending himself by any legitimate means against the charge made against him"</w:t>
      </w:r>
      <w:r w:rsidRPr="004C50DC">
        <w:rPr>
          <w:rStyle w:val="FootnoteReference"/>
          <w:rFonts w:ascii="Times New Roman" w:hAnsi="Times New Roman"/>
          <w:sz w:val="24"/>
        </w:rPr>
        <w:footnoteReference w:id="155"/>
      </w:r>
      <w:r w:rsidRPr="004C50DC">
        <w:rPr>
          <w:rFonts w:ascii="Times New Roman" w:hAnsi="Times New Roman"/>
        </w:rPr>
        <w:t xml:space="preserve">. It was held, however, that the trial judge did not act "unjustly or unreasonably by exercising his discretion to admit evidence which was relevant to disprove the guilt of King" because it could not be said that the "probative value to the defence of King was so weak compared with the prejudicial effect on the defence of </w:t>
      </w:r>
      <w:proofErr w:type="spellStart"/>
      <w:r w:rsidRPr="004C50DC">
        <w:rPr>
          <w:rFonts w:ascii="Times New Roman" w:hAnsi="Times New Roman"/>
        </w:rPr>
        <w:t>Lowery</w:t>
      </w:r>
      <w:proofErr w:type="spellEnd"/>
      <w:r w:rsidRPr="004C50DC">
        <w:rPr>
          <w:rFonts w:ascii="Times New Roman" w:hAnsi="Times New Roman"/>
        </w:rPr>
        <w:t xml:space="preserve"> as to require the Judge to exclude it as a matter of discretion"</w:t>
      </w:r>
      <w:r w:rsidRPr="004C50DC">
        <w:rPr>
          <w:rStyle w:val="FootnoteReference"/>
          <w:rFonts w:ascii="Times New Roman" w:hAnsi="Times New Roman"/>
          <w:bCs/>
          <w:sz w:val="24"/>
        </w:rPr>
        <w:footnoteReference w:id="156"/>
      </w:r>
      <w:r w:rsidRPr="004C50DC">
        <w:rPr>
          <w:rFonts w:ascii="Times New Roman" w:hAnsi="Times New Roman"/>
        </w:rPr>
        <w:t xml:space="preserve">. </w:t>
      </w:r>
      <w:r w:rsidRPr="004C50DC">
        <w:rPr>
          <w:rFonts w:ascii="Times New Roman" w:hAnsi="Times New Roman"/>
        </w:rPr>
        <w:lastRenderedPageBreak/>
        <w:t>The Court found it unnecessary to rule on the submission as to whether the discretion existed because the discretion in that case was "rightly exercised"</w:t>
      </w:r>
      <w:r w:rsidRPr="004C50DC">
        <w:rPr>
          <w:rStyle w:val="FootnoteReference"/>
          <w:rFonts w:ascii="Times New Roman" w:hAnsi="Times New Roman"/>
          <w:sz w:val="24"/>
        </w:rPr>
        <w:footnoteReference w:id="157"/>
      </w:r>
      <w:r w:rsidRPr="004C50DC">
        <w:rPr>
          <w:rFonts w:ascii="Times New Roman" w:hAnsi="Times New Roman"/>
        </w:rPr>
        <w:t xml:space="preserve">. </w:t>
      </w:r>
    </w:p>
    <w:p w14:paraId="5EEF4F26"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In </w:t>
      </w:r>
      <w:proofErr w:type="spellStart"/>
      <w:r w:rsidRPr="004C50DC">
        <w:rPr>
          <w:rFonts w:ascii="Times New Roman" w:hAnsi="Times New Roman"/>
          <w:i/>
          <w:iCs/>
        </w:rPr>
        <w:t>Darrington</w:t>
      </w:r>
      <w:proofErr w:type="spellEnd"/>
      <w:r w:rsidRPr="004C50DC">
        <w:rPr>
          <w:rFonts w:ascii="Times New Roman" w:hAnsi="Times New Roman"/>
        </w:rPr>
        <w:t>, Jenkinson J said (Young CJ agreeing) that "a discretion is reposed in the trial Judge to exclude evidence otherwise admissible which is tendered by one of several accused in disproof of his guilt of a crime charged against them jointly"</w:t>
      </w:r>
      <w:r w:rsidRPr="004C50DC">
        <w:rPr>
          <w:rStyle w:val="FootnoteReference"/>
          <w:rFonts w:ascii="Times New Roman" w:hAnsi="Times New Roman"/>
          <w:sz w:val="24"/>
        </w:rPr>
        <w:footnoteReference w:id="158"/>
      </w:r>
      <w:r w:rsidRPr="004C50DC">
        <w:rPr>
          <w:rFonts w:ascii="Times New Roman" w:hAnsi="Times New Roman"/>
        </w:rPr>
        <w:t xml:space="preserve">. And in </w:t>
      </w:r>
      <w:r w:rsidRPr="004C50DC">
        <w:rPr>
          <w:rFonts w:ascii="Times New Roman" w:hAnsi="Times New Roman"/>
          <w:i/>
          <w:iCs/>
        </w:rPr>
        <w:t>Gibb</w:t>
      </w:r>
      <w:r w:rsidRPr="004C50DC">
        <w:rPr>
          <w:rFonts w:ascii="Times New Roman" w:hAnsi="Times New Roman"/>
        </w:rPr>
        <w:t>, it was said that a trial judge "retains a discretion to exclude [evidence relevant to the accused's defence] in a proper case ... [b]</w:t>
      </w:r>
      <w:proofErr w:type="spellStart"/>
      <w:r w:rsidRPr="004C50DC">
        <w:rPr>
          <w:rFonts w:ascii="Times New Roman" w:hAnsi="Times New Roman"/>
        </w:rPr>
        <w:t>ut</w:t>
      </w:r>
      <w:proofErr w:type="spellEnd"/>
      <w:r w:rsidRPr="004C50DC">
        <w:rPr>
          <w:rFonts w:ascii="Times New Roman" w:hAnsi="Times New Roman"/>
        </w:rPr>
        <w:t xml:space="preserve"> such an exercise of discretion will necessarily be rare"</w:t>
      </w:r>
      <w:r w:rsidRPr="004C50DC">
        <w:rPr>
          <w:rStyle w:val="FootnoteReference"/>
          <w:rFonts w:ascii="Times New Roman" w:hAnsi="Times New Roman"/>
          <w:sz w:val="24"/>
        </w:rPr>
        <w:footnoteReference w:id="159"/>
      </w:r>
      <w:r w:rsidRPr="004C50DC">
        <w:rPr>
          <w:rFonts w:ascii="Times New Roman" w:hAnsi="Times New Roman"/>
        </w:rPr>
        <w:t>. There may be exceptionally rare cases where a defendant will not be able to admit all evidence that they intend to admit</w:t>
      </w:r>
      <w:r w:rsidRPr="004C50DC">
        <w:rPr>
          <w:rStyle w:val="FootnoteReference"/>
          <w:rFonts w:ascii="Times New Roman" w:hAnsi="Times New Roman"/>
          <w:sz w:val="24"/>
        </w:rPr>
        <w:footnoteReference w:id="160"/>
      </w:r>
      <w:r w:rsidRPr="004C50DC">
        <w:rPr>
          <w:rFonts w:ascii="Times New Roman" w:hAnsi="Times New Roman"/>
        </w:rPr>
        <w:t>.</w:t>
      </w:r>
    </w:p>
    <w:p w14:paraId="1DBC5FD7"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Similarly, Devlin J's remark in </w:t>
      </w:r>
      <w:r w:rsidRPr="004C50DC">
        <w:rPr>
          <w:rFonts w:ascii="Times New Roman" w:hAnsi="Times New Roman"/>
          <w:i/>
          <w:iCs/>
        </w:rPr>
        <w:t>R v</w:t>
      </w:r>
      <w:r w:rsidRPr="004C50DC">
        <w:rPr>
          <w:rFonts w:ascii="Times New Roman" w:hAnsi="Times New Roman"/>
        </w:rPr>
        <w:t xml:space="preserve"> </w:t>
      </w:r>
      <w:r w:rsidRPr="004C50DC">
        <w:rPr>
          <w:rFonts w:ascii="Times New Roman" w:hAnsi="Times New Roman"/>
          <w:i/>
          <w:iCs/>
        </w:rPr>
        <w:t>Miller</w:t>
      </w:r>
      <w:r w:rsidRPr="004C50DC">
        <w:rPr>
          <w:rStyle w:val="FootnoteReference"/>
          <w:rFonts w:ascii="Times New Roman" w:hAnsi="Times New Roman"/>
          <w:sz w:val="24"/>
        </w:rPr>
        <w:footnoteReference w:id="161"/>
      </w:r>
      <w:r w:rsidRPr="004C50DC">
        <w:rPr>
          <w:rFonts w:ascii="Times New Roman" w:hAnsi="Times New Roman"/>
        </w:rPr>
        <w:t xml:space="preserve"> about counsel's duty being to "adduce any evidence which is relevant to his own case ... whether or not it prejudices anyone else" was qualified by his statements that that principle "does</w:t>
      </w:r>
      <w:r>
        <w:rPr>
          <w:rFonts w:ascii="Times New Roman" w:hAnsi="Times New Roman"/>
        </w:rPr>
        <w:t> </w:t>
      </w:r>
      <w:r w:rsidRPr="004C50DC">
        <w:rPr>
          <w:rFonts w:ascii="Times New Roman" w:hAnsi="Times New Roman"/>
        </w:rPr>
        <w:t xml:space="preserve">not open the field to any question" and that "care ought to be taken not to go any further than is strictly necessary for the proof of the relevant point". </w:t>
      </w:r>
    </w:p>
    <w:p w14:paraId="5EB583C9"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Counsel for McNamara suggested that the "high-water mark" for the proposition that there existed no judicial discretion to exclude evidence brought by one co-accused against another due to its prejudicial effect</w:t>
      </w:r>
      <w:r w:rsidRPr="004C50DC" w:rsidDel="005A53A8">
        <w:rPr>
          <w:rFonts w:ascii="Times New Roman" w:hAnsi="Times New Roman"/>
        </w:rPr>
        <w:t xml:space="preserve"> </w:t>
      </w:r>
      <w:r w:rsidRPr="004C50DC">
        <w:rPr>
          <w:rFonts w:ascii="Times New Roman" w:hAnsi="Times New Roman"/>
        </w:rPr>
        <w:t xml:space="preserve">could be found in </w:t>
      </w:r>
      <w:bookmarkStart w:id="7" w:name="_Hlk138840410"/>
      <w:r w:rsidRPr="004C50DC">
        <w:rPr>
          <w:rFonts w:ascii="Times New Roman" w:hAnsi="Times New Roman"/>
          <w:i/>
          <w:iCs/>
        </w:rPr>
        <w:t>R v Murray</w:t>
      </w:r>
      <w:bookmarkEnd w:id="7"/>
      <w:r w:rsidRPr="004C50DC">
        <w:rPr>
          <w:rStyle w:val="FootnoteReference"/>
          <w:rFonts w:ascii="Times New Roman" w:hAnsi="Times New Roman"/>
          <w:sz w:val="24"/>
        </w:rPr>
        <w:footnoteReference w:id="162"/>
      </w:r>
      <w:r w:rsidRPr="004C50DC">
        <w:rPr>
          <w:rFonts w:ascii="Times New Roman" w:hAnsi="Times New Roman"/>
        </w:rPr>
        <w:t xml:space="preserve"> and </w:t>
      </w:r>
      <w:r w:rsidRPr="004C50DC">
        <w:rPr>
          <w:rFonts w:ascii="Times New Roman" w:hAnsi="Times New Roman"/>
          <w:i/>
          <w:iCs/>
        </w:rPr>
        <w:t>R v Visser</w:t>
      </w:r>
      <w:r w:rsidRPr="004C50DC">
        <w:rPr>
          <w:rStyle w:val="FootnoteReference"/>
          <w:rFonts w:ascii="Times New Roman" w:hAnsi="Times New Roman"/>
          <w:sz w:val="24"/>
        </w:rPr>
        <w:footnoteReference w:id="163"/>
      </w:r>
      <w:r w:rsidRPr="004C50DC">
        <w:rPr>
          <w:rFonts w:ascii="Times New Roman" w:hAnsi="Times New Roman"/>
          <w:i/>
          <w:iCs/>
        </w:rPr>
        <w:t xml:space="preserve">. </w:t>
      </w:r>
      <w:r w:rsidRPr="004C50DC">
        <w:rPr>
          <w:rFonts w:ascii="Times New Roman" w:hAnsi="Times New Roman"/>
        </w:rPr>
        <w:t xml:space="preserve">Counsel for McNamara submitted that those cases relied on </w:t>
      </w:r>
      <w:r w:rsidRPr="004C50DC">
        <w:rPr>
          <w:rFonts w:ascii="Times New Roman" w:hAnsi="Times New Roman"/>
          <w:i/>
          <w:iCs/>
        </w:rPr>
        <w:t>Miller</w:t>
      </w:r>
      <w:r w:rsidRPr="004C50DC">
        <w:rPr>
          <w:rFonts w:ascii="Times New Roman" w:hAnsi="Times New Roman"/>
        </w:rPr>
        <w:t xml:space="preserve">. Neither </w:t>
      </w:r>
      <w:r w:rsidRPr="004C50DC">
        <w:rPr>
          <w:rFonts w:ascii="Times New Roman" w:hAnsi="Times New Roman"/>
          <w:i/>
          <w:iCs/>
        </w:rPr>
        <w:t>Murray</w:t>
      </w:r>
      <w:r w:rsidRPr="004C50DC" w:rsidDel="003E7FB5">
        <w:rPr>
          <w:rFonts w:ascii="Times New Roman" w:hAnsi="Times New Roman"/>
        </w:rPr>
        <w:t xml:space="preserve"> </w:t>
      </w:r>
      <w:r w:rsidRPr="004C50DC">
        <w:rPr>
          <w:rFonts w:ascii="Times New Roman" w:hAnsi="Times New Roman"/>
        </w:rPr>
        <w:t xml:space="preserve">nor </w:t>
      </w:r>
      <w:r w:rsidRPr="004C50DC">
        <w:rPr>
          <w:rFonts w:ascii="Times New Roman" w:hAnsi="Times New Roman"/>
          <w:i/>
          <w:iCs/>
        </w:rPr>
        <w:t>Visser</w:t>
      </w:r>
      <w:r w:rsidRPr="004C50DC">
        <w:rPr>
          <w:rFonts w:ascii="Times New Roman" w:hAnsi="Times New Roman"/>
        </w:rPr>
        <w:t xml:space="preserve"> acknowledged the qualifications in </w:t>
      </w:r>
      <w:r w:rsidRPr="004C50DC">
        <w:rPr>
          <w:rFonts w:ascii="Times New Roman" w:hAnsi="Times New Roman"/>
          <w:i/>
          <w:iCs/>
        </w:rPr>
        <w:t>Miller</w:t>
      </w:r>
      <w:r w:rsidRPr="004C50DC">
        <w:rPr>
          <w:rFonts w:ascii="Times New Roman" w:hAnsi="Times New Roman"/>
        </w:rPr>
        <w:t xml:space="preserve"> explained above. And neither case engaged in a detailed examination of the existence of the judicial discretion or the purported unfettered "right". In the context of other Australian cases</w:t>
      </w:r>
      <w:r w:rsidRPr="004C50DC">
        <w:rPr>
          <w:rStyle w:val="FootnoteReference"/>
          <w:rFonts w:ascii="Times New Roman" w:hAnsi="Times New Roman"/>
          <w:sz w:val="24"/>
        </w:rPr>
        <w:footnoteReference w:id="164"/>
      </w:r>
      <w:r w:rsidRPr="004C50DC">
        <w:rPr>
          <w:rFonts w:ascii="Times New Roman" w:hAnsi="Times New Roman"/>
        </w:rPr>
        <w:t xml:space="preserve">, </w:t>
      </w:r>
      <w:r w:rsidRPr="004C50DC">
        <w:rPr>
          <w:rFonts w:ascii="Times New Roman" w:hAnsi="Times New Roman"/>
          <w:i/>
          <w:iCs/>
        </w:rPr>
        <w:t>Murray</w:t>
      </w:r>
      <w:r w:rsidRPr="004C50DC">
        <w:rPr>
          <w:rFonts w:ascii="Times New Roman" w:hAnsi="Times New Roman"/>
        </w:rPr>
        <w:t xml:space="preserve"> and </w:t>
      </w:r>
      <w:r w:rsidRPr="004C50DC">
        <w:rPr>
          <w:rFonts w:ascii="Times New Roman" w:hAnsi="Times New Roman"/>
          <w:i/>
          <w:iCs/>
        </w:rPr>
        <w:t>Visser</w:t>
      </w:r>
      <w:r w:rsidRPr="004C50DC">
        <w:rPr>
          <w:rFonts w:ascii="Times New Roman" w:hAnsi="Times New Roman"/>
        </w:rPr>
        <w:t xml:space="preserve"> cannot be understood as </w:t>
      </w:r>
      <w:r w:rsidRPr="004C50DC">
        <w:rPr>
          <w:rFonts w:ascii="Times New Roman" w:hAnsi="Times New Roman"/>
        </w:rPr>
        <w:lastRenderedPageBreak/>
        <w:t xml:space="preserve">establishing an unfettered "right" of a co-accused to adduce all evidence relevant to their defence. </w:t>
      </w:r>
    </w:p>
    <w:p w14:paraId="748D9733"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existence of the discretion at common law to refuse to admit evidence coheres with the duty of the trial judge to provide an accused with a fair trial</w:t>
      </w:r>
      <w:r w:rsidRPr="004C50DC">
        <w:rPr>
          <w:rStyle w:val="FootnoteReference"/>
          <w:rFonts w:ascii="Times New Roman" w:hAnsi="Times New Roman"/>
          <w:sz w:val="24"/>
        </w:rPr>
        <w:footnoteReference w:id="165"/>
      </w:r>
      <w:r w:rsidRPr="004C50DC">
        <w:rPr>
          <w:rFonts w:ascii="Times New Roman" w:hAnsi="Times New Roman"/>
        </w:rPr>
        <w:t>. As</w:t>
      </w:r>
      <w:r>
        <w:rPr>
          <w:rFonts w:ascii="Times New Roman" w:hAnsi="Times New Roman"/>
        </w:rPr>
        <w:t> </w:t>
      </w:r>
      <w:r w:rsidRPr="004C50DC">
        <w:rPr>
          <w:rFonts w:ascii="Times New Roman" w:hAnsi="Times New Roman"/>
        </w:rPr>
        <w:t>the Crown submitted, the existence of the discretion at common law is consistent with s 135. There is no inconsistency to be resolved between the common law and the Act. Perhaps that is why the drafters of the Act did not "direct</w:t>
      </w:r>
      <w:r>
        <w:rPr>
          <w:rFonts w:ascii="Times New Roman" w:hAnsi="Times New Roman"/>
        </w:rPr>
        <w:t> </w:t>
      </w:r>
      <w:r w:rsidRPr="004C50DC">
        <w:rPr>
          <w:rFonts w:ascii="Times New Roman" w:hAnsi="Times New Roman"/>
        </w:rPr>
        <w:t xml:space="preserve">themselves" to the issue as counsel for McNamara suggested they would have had they intended to resolve it. Put differently, there was no need, as counsel for McNamara put it, for an "express ouster" or an "ouster by a necessary intendment" because no ouster was intended. </w:t>
      </w:r>
    </w:p>
    <w:p w14:paraId="76EE6FEB"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 xml:space="preserve">While uncommon, there are other limitations on this alleged unfettered "right" of an accused to adduce all evidence relevant to their defence including public interest immunity, legal professional privilege and evidence of sexual reputation or sexual experience in s 294CB of the </w:t>
      </w:r>
      <w:r w:rsidRPr="004C50DC">
        <w:rPr>
          <w:rFonts w:ascii="Times New Roman" w:hAnsi="Times New Roman"/>
          <w:i/>
          <w:iCs/>
        </w:rPr>
        <w:t>Criminal Procedure Act</w:t>
      </w:r>
      <w:r w:rsidRPr="004C50DC">
        <w:rPr>
          <w:rFonts w:ascii="Times New Roman" w:hAnsi="Times New Roman"/>
        </w:rPr>
        <w:t xml:space="preserve">. As the Crown stated, the "exceptional and cautious application of a discretion is very, very different from the proposition that there is no discretion". </w:t>
      </w:r>
    </w:p>
    <w:p w14:paraId="344875E5"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In each case, one has to consider what the interests of justice require</w:t>
      </w:r>
      <w:r w:rsidRPr="004C50DC">
        <w:rPr>
          <w:rStyle w:val="FootnoteReference"/>
          <w:rFonts w:ascii="Times New Roman" w:hAnsi="Times New Roman"/>
          <w:sz w:val="24"/>
        </w:rPr>
        <w:footnoteReference w:id="166"/>
      </w:r>
      <w:r w:rsidRPr="004C50DC">
        <w:rPr>
          <w:rFonts w:ascii="Times New Roman" w:hAnsi="Times New Roman"/>
        </w:rPr>
        <w:t>. The</w:t>
      </w:r>
      <w:r>
        <w:rPr>
          <w:rFonts w:ascii="Times New Roman" w:hAnsi="Times New Roman"/>
        </w:rPr>
        <w:t> </w:t>
      </w:r>
      <w:r w:rsidRPr="004C50DC">
        <w:rPr>
          <w:rFonts w:ascii="Times New Roman" w:hAnsi="Times New Roman"/>
        </w:rPr>
        <w:t>interests of justice are not just the interests of the accused</w:t>
      </w:r>
      <w:r w:rsidRPr="004C50DC">
        <w:rPr>
          <w:rStyle w:val="FootnoteReference"/>
          <w:rFonts w:ascii="Times New Roman" w:hAnsi="Times New Roman"/>
          <w:sz w:val="24"/>
        </w:rPr>
        <w:footnoteReference w:id="167"/>
      </w:r>
      <w:r w:rsidRPr="004C50DC">
        <w:rPr>
          <w:rFonts w:ascii="Times New Roman" w:hAnsi="Times New Roman"/>
        </w:rPr>
        <w:t xml:space="preserve">. As Jenkinson J explained in </w:t>
      </w:r>
      <w:proofErr w:type="spellStart"/>
      <w:r w:rsidRPr="004C50DC">
        <w:rPr>
          <w:rFonts w:ascii="Times New Roman" w:hAnsi="Times New Roman"/>
          <w:i/>
          <w:iCs/>
        </w:rPr>
        <w:t>Darrington</w:t>
      </w:r>
      <w:proofErr w:type="spellEnd"/>
      <w:r w:rsidRPr="004C50DC">
        <w:rPr>
          <w:rFonts w:ascii="Times New Roman" w:hAnsi="Times New Roman"/>
        </w:rPr>
        <w:t>, there are "fundamental" considerations which support the existence of discretionary control by the trial judge over this alleged "right"</w:t>
      </w:r>
      <w:r w:rsidRPr="004C50DC">
        <w:rPr>
          <w:rStyle w:val="FootnoteReference"/>
          <w:rFonts w:ascii="Times New Roman" w:hAnsi="Times New Roman"/>
          <w:sz w:val="24"/>
        </w:rPr>
        <w:footnoteReference w:id="168"/>
      </w:r>
      <w:r w:rsidRPr="004C50DC">
        <w:rPr>
          <w:rFonts w:ascii="Times New Roman" w:hAnsi="Times New Roman"/>
        </w:rPr>
        <w:t>. These considerations include not over-burdening the jury, not allowing the accused to have a separate trial where they could secure their acquittal through an explanation which cannot be controverted by a co</w:t>
      </w:r>
      <w:r w:rsidRPr="004C50DC">
        <w:rPr>
          <w:rFonts w:ascii="Times New Roman" w:hAnsi="Times New Roman"/>
        </w:rPr>
        <w:noBreakHyphen/>
        <w:t>accused and not allowing evidence of only slight probative value to undermine other interests of the system of the criminal trial</w:t>
      </w:r>
      <w:r w:rsidRPr="004C50DC">
        <w:rPr>
          <w:rStyle w:val="FootnoteReference"/>
          <w:rFonts w:ascii="Times New Roman" w:hAnsi="Times New Roman"/>
          <w:sz w:val="24"/>
        </w:rPr>
        <w:footnoteReference w:id="169"/>
      </w:r>
      <w:r w:rsidRPr="004C50DC">
        <w:rPr>
          <w:rFonts w:ascii="Times New Roman" w:hAnsi="Times New Roman"/>
        </w:rPr>
        <w:t xml:space="preserve">. </w:t>
      </w:r>
    </w:p>
    <w:p w14:paraId="5ADF9ED7"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lastRenderedPageBreak/>
        <w:tab/>
        <w:t xml:space="preserve">The importance of the discretion was explained in one common situation in these terms in </w:t>
      </w:r>
      <w:r w:rsidRPr="004C50DC">
        <w:rPr>
          <w:rFonts w:ascii="Times New Roman" w:hAnsi="Times New Roman"/>
          <w:i/>
          <w:iCs/>
        </w:rPr>
        <w:t>Stagno v Western Australia</w:t>
      </w:r>
      <w:r w:rsidRPr="004C50DC">
        <w:rPr>
          <w:rStyle w:val="FootnoteReference"/>
          <w:rFonts w:ascii="Times New Roman" w:hAnsi="Times New Roman"/>
          <w:sz w:val="24"/>
        </w:rPr>
        <w:footnoteReference w:id="170"/>
      </w:r>
      <w:r w:rsidRPr="004C50DC">
        <w:rPr>
          <w:rFonts w:ascii="Times New Roman" w:hAnsi="Times New Roman"/>
        </w:rPr>
        <w:t>:</w:t>
      </w:r>
    </w:p>
    <w:p w14:paraId="4FDD9757" w14:textId="77777777" w:rsidR="00A568B4" w:rsidRDefault="00A568B4" w:rsidP="004C50DC">
      <w:pPr>
        <w:pStyle w:val="leftright"/>
        <w:spacing w:before="0" w:after="260" w:line="280" w:lineRule="exact"/>
        <w:ind w:right="0"/>
        <w:jc w:val="both"/>
        <w:rPr>
          <w:rFonts w:ascii="Times New Roman" w:hAnsi="Times New Roman"/>
        </w:rPr>
      </w:pPr>
      <w:r w:rsidRPr="004C50DC">
        <w:rPr>
          <w:rFonts w:ascii="Times New Roman" w:hAnsi="Times New Roman"/>
        </w:rPr>
        <w:t>"It is commonplace that one accused will have made an out of court statement implicating a co-accused and that the prosecution will seek to adduce evidence of the statement in the case against its maker. Generally, a</w:t>
      </w:r>
      <w:r>
        <w:rPr>
          <w:rFonts w:ascii="Times New Roman" w:hAnsi="Times New Roman"/>
        </w:rPr>
        <w:t> </w:t>
      </w:r>
      <w:r w:rsidRPr="004C50DC">
        <w:rPr>
          <w:rFonts w:ascii="Times New Roman" w:hAnsi="Times New Roman"/>
        </w:rPr>
        <w:t xml:space="preserve">direction that the jury must not use the statement as evidence in the case against the co-accused will be sufficient to ensure a fair trial. There may, however, be instances where an out of court statement is so prejudicial to the co-accused that it cannot be assumed that the prejudice will be removed by a direction to the jury". </w:t>
      </w:r>
    </w:p>
    <w:p w14:paraId="0303BA67" w14:textId="77777777" w:rsidR="00A568B4" w:rsidRPr="004C50DC" w:rsidRDefault="00A568B4" w:rsidP="004C50DC">
      <w:pPr>
        <w:pStyle w:val="NormalBody"/>
        <w:spacing w:after="260" w:line="280" w:lineRule="exact"/>
        <w:ind w:right="0"/>
        <w:jc w:val="both"/>
        <w:rPr>
          <w:rFonts w:ascii="Times New Roman" w:hAnsi="Times New Roman"/>
        </w:rPr>
      </w:pPr>
      <w:r w:rsidRPr="004C50DC">
        <w:rPr>
          <w:rFonts w:ascii="Times New Roman" w:hAnsi="Times New Roman"/>
        </w:rPr>
        <w:t>Where a jury direction is insufficient to guard against the risk of impermissible prejudice to the accused, an application for separate trials should generally be granted</w:t>
      </w:r>
      <w:r w:rsidRPr="004C50DC">
        <w:rPr>
          <w:rStyle w:val="FootnoteReference"/>
          <w:rFonts w:ascii="Times New Roman" w:hAnsi="Times New Roman"/>
          <w:sz w:val="24"/>
        </w:rPr>
        <w:footnoteReference w:id="171"/>
      </w:r>
      <w:r w:rsidRPr="004C50DC">
        <w:rPr>
          <w:rFonts w:ascii="Times New Roman" w:hAnsi="Times New Roman"/>
        </w:rPr>
        <w:t>.</w:t>
      </w:r>
    </w:p>
    <w:p w14:paraId="4112B412" w14:textId="77777777" w:rsidR="00A568B4" w:rsidRPr="004C50DC" w:rsidRDefault="00A568B4" w:rsidP="004C50DC">
      <w:pPr>
        <w:pStyle w:val="FixListStyle"/>
        <w:spacing w:after="260" w:line="280" w:lineRule="exact"/>
        <w:ind w:right="0"/>
        <w:jc w:val="both"/>
        <w:rPr>
          <w:rFonts w:ascii="Times New Roman" w:hAnsi="Times New Roman"/>
        </w:rPr>
      </w:pPr>
      <w:r w:rsidRPr="004C50DC">
        <w:rPr>
          <w:rFonts w:ascii="Times New Roman" w:hAnsi="Times New Roman"/>
        </w:rPr>
        <w:tab/>
        <w:t>The words "to a party" in s 135(a) do not alter the outcome – the focus is on reducing prejudice. Properly construed, s 135(a) cannot be understood as excluding consideration of prejudice to a co-accused in determining whether a court should refuse to admit otherwise relevant and admissible evidence.</w:t>
      </w:r>
    </w:p>
    <w:p w14:paraId="7D937D8C" w14:textId="29CC505C" w:rsidR="00A73989" w:rsidRPr="00A568B4" w:rsidRDefault="00A568B4" w:rsidP="001720E4">
      <w:pPr>
        <w:pStyle w:val="FixListStyle"/>
        <w:spacing w:after="260" w:line="280" w:lineRule="exact"/>
        <w:ind w:right="0"/>
        <w:jc w:val="both"/>
        <w:rPr>
          <w:rFonts w:ascii="Times New Roman" w:hAnsi="Times New Roman"/>
        </w:rPr>
      </w:pPr>
      <w:r w:rsidRPr="00A568B4">
        <w:rPr>
          <w:rFonts w:ascii="Times New Roman" w:hAnsi="Times New Roman"/>
        </w:rPr>
        <w:tab/>
        <w:t>This appeal should be dismissed.</w:t>
      </w:r>
    </w:p>
    <w:sectPr w:rsidR="00A73989" w:rsidRPr="00A568B4" w:rsidSect="00A568B4">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2F46" w14:textId="77777777" w:rsidR="00CC2939" w:rsidRDefault="00CC2939">
      <w:pPr>
        <w:spacing w:line="240" w:lineRule="auto"/>
      </w:pPr>
      <w:r>
        <w:separator/>
      </w:r>
    </w:p>
  </w:endnote>
  <w:endnote w:type="continuationSeparator" w:id="0">
    <w:p w14:paraId="57F94B62" w14:textId="77777777" w:rsidR="00CC2939" w:rsidRDefault="00CC2939">
      <w:pPr>
        <w:spacing w:line="240" w:lineRule="auto"/>
      </w:pPr>
      <w:r>
        <w:continuationSeparator/>
      </w:r>
    </w:p>
  </w:endnote>
  <w:endnote w:type="continuationNotice" w:id="1">
    <w:p w14:paraId="2194A5F0" w14:textId="77777777" w:rsidR="00CC2939" w:rsidRDefault="00CC29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A32A" w14:textId="77777777" w:rsidR="00D7204C" w:rsidRDefault="00D72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7E41" w14:textId="77777777" w:rsidR="00D7204C" w:rsidRDefault="00D72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B93" w14:textId="77777777" w:rsidR="00D7204C" w:rsidRDefault="00D72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32D" w14:textId="77777777" w:rsidR="00D7204C" w:rsidRDefault="00D720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9726" w14:textId="77777777" w:rsidR="00D7204C" w:rsidRDefault="00D720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04A5" w14:textId="77777777" w:rsidR="00D7204C" w:rsidRDefault="00D7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A31" w14:textId="77777777" w:rsidR="00CC2939" w:rsidRPr="001720E4" w:rsidRDefault="00CC2939" w:rsidP="001720E4">
      <w:pPr>
        <w:pStyle w:val="Footer"/>
        <w:spacing w:before="120" w:after="20"/>
        <w:ind w:right="0"/>
        <w:rPr>
          <w:rFonts w:ascii="Times New Roman" w:hAnsi="Times New Roman"/>
        </w:rPr>
      </w:pPr>
      <w:r>
        <w:continuationSeparator/>
      </w:r>
    </w:p>
  </w:footnote>
  <w:footnote w:type="continuationSeparator" w:id="0">
    <w:p w14:paraId="07DCA9AF" w14:textId="77777777" w:rsidR="00CC2939" w:rsidRPr="001720E4" w:rsidRDefault="00CC2939" w:rsidP="001720E4">
      <w:pPr>
        <w:pStyle w:val="Footer"/>
        <w:spacing w:before="120" w:after="20"/>
        <w:ind w:right="0"/>
        <w:rPr>
          <w:rFonts w:ascii="Times New Roman" w:hAnsi="Times New Roman"/>
        </w:rPr>
      </w:pPr>
      <w:r w:rsidRPr="001720E4">
        <w:rPr>
          <w:rFonts w:ascii="Times New Roman" w:hAnsi="Times New Roman"/>
        </w:rPr>
        <w:continuationSeparator/>
      </w:r>
    </w:p>
  </w:footnote>
  <w:footnote w:type="continuationNotice" w:id="1">
    <w:p w14:paraId="6B7AAD7D" w14:textId="77777777" w:rsidR="00CC2939" w:rsidRPr="00A568B4" w:rsidRDefault="00CC2939">
      <w:pPr>
        <w:jc w:val="right"/>
        <w:rPr>
          <w:rFonts w:ascii="Times New Roman" w:hAnsi="Times New Roman"/>
          <w:sz w:val="24"/>
        </w:rPr>
      </w:pPr>
    </w:p>
  </w:footnote>
  <w:footnote w:id="2">
    <w:p w14:paraId="47DFDDC4" w14:textId="5829E69F"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Rogerson </w:t>
      </w:r>
      <w:r w:rsidR="004A7628" w:rsidRPr="001720E4">
        <w:rPr>
          <w:rFonts w:ascii="Times New Roman" w:hAnsi="Times New Roman"/>
          <w:i/>
          <w:iCs/>
          <w:sz w:val="24"/>
        </w:rPr>
        <w:t>[</w:t>
      </w:r>
      <w:r w:rsidRPr="001720E4">
        <w:rPr>
          <w:rFonts w:ascii="Times New Roman" w:hAnsi="Times New Roman"/>
          <w:i/>
          <w:iCs/>
          <w:sz w:val="24"/>
        </w:rPr>
        <w:t>No 45</w:t>
      </w:r>
      <w:r w:rsidR="004A7628" w:rsidRPr="001720E4">
        <w:rPr>
          <w:rFonts w:ascii="Times New Roman" w:hAnsi="Times New Roman"/>
          <w:i/>
          <w:iCs/>
          <w:sz w:val="24"/>
        </w:rPr>
        <w:t>]</w:t>
      </w:r>
      <w:r w:rsidRPr="001720E4">
        <w:rPr>
          <w:rFonts w:ascii="Times New Roman" w:hAnsi="Times New Roman"/>
          <w:sz w:val="24"/>
        </w:rPr>
        <w:t xml:space="preserve"> [2016] NSWSC 452.</w:t>
      </w:r>
    </w:p>
  </w:footnote>
  <w:footnote w:id="3">
    <w:p w14:paraId="724B900E" w14:textId="6D975C86"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r>
      <w:r w:rsidRPr="001720E4">
        <w:rPr>
          <w:rFonts w:ascii="Times New Roman" w:hAnsi="Times New Roman"/>
          <w:i/>
          <w:iCs/>
          <w:sz w:val="24"/>
        </w:rPr>
        <w:t xml:space="preserve">R v Rogerson </w:t>
      </w:r>
      <w:r w:rsidR="00960403" w:rsidRPr="001720E4">
        <w:rPr>
          <w:rFonts w:ascii="Times New Roman" w:hAnsi="Times New Roman"/>
          <w:i/>
          <w:iCs/>
          <w:sz w:val="24"/>
        </w:rPr>
        <w:t>[</w:t>
      </w:r>
      <w:r w:rsidRPr="001720E4">
        <w:rPr>
          <w:rFonts w:ascii="Times New Roman" w:hAnsi="Times New Roman"/>
          <w:i/>
          <w:iCs/>
          <w:sz w:val="24"/>
        </w:rPr>
        <w:t>No 45</w:t>
      </w:r>
      <w:r w:rsidR="00960403" w:rsidRPr="001720E4">
        <w:rPr>
          <w:rFonts w:ascii="Times New Roman" w:hAnsi="Times New Roman"/>
          <w:i/>
          <w:iCs/>
          <w:sz w:val="24"/>
        </w:rPr>
        <w:t>]</w:t>
      </w:r>
      <w:r w:rsidRPr="001720E4">
        <w:rPr>
          <w:rFonts w:ascii="Times New Roman" w:hAnsi="Times New Roman"/>
          <w:sz w:val="24"/>
        </w:rPr>
        <w:t xml:space="preserve"> [2016] NSWSC 452 at [35].</w:t>
      </w:r>
    </w:p>
  </w:footnote>
  <w:footnote w:id="4">
    <w:p w14:paraId="57E2507C" w14:textId="1F21A9D2"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Rogerson </w:t>
      </w:r>
      <w:r w:rsidR="00960403" w:rsidRPr="001720E4">
        <w:rPr>
          <w:rFonts w:ascii="Times New Roman" w:hAnsi="Times New Roman"/>
          <w:i/>
          <w:iCs/>
          <w:sz w:val="24"/>
        </w:rPr>
        <w:t>[</w:t>
      </w:r>
      <w:r w:rsidRPr="001720E4">
        <w:rPr>
          <w:rFonts w:ascii="Times New Roman" w:hAnsi="Times New Roman"/>
          <w:i/>
          <w:iCs/>
          <w:sz w:val="24"/>
        </w:rPr>
        <w:t>No 45</w:t>
      </w:r>
      <w:r w:rsidR="00960403" w:rsidRPr="001720E4">
        <w:rPr>
          <w:rFonts w:ascii="Times New Roman" w:hAnsi="Times New Roman"/>
          <w:i/>
          <w:iCs/>
          <w:sz w:val="24"/>
        </w:rPr>
        <w:t>]</w:t>
      </w:r>
      <w:r w:rsidRPr="001720E4">
        <w:rPr>
          <w:rFonts w:ascii="Times New Roman" w:hAnsi="Times New Roman"/>
          <w:sz w:val="24"/>
        </w:rPr>
        <w:t xml:space="preserve"> [2016] NSWSC 452 at [40].</w:t>
      </w:r>
    </w:p>
  </w:footnote>
  <w:footnote w:id="5">
    <w:p w14:paraId="2036985D" w14:textId="402B04E8"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Rogerson </w:t>
      </w:r>
      <w:r w:rsidR="00960403" w:rsidRPr="001720E4">
        <w:rPr>
          <w:rFonts w:ascii="Times New Roman" w:hAnsi="Times New Roman"/>
          <w:i/>
          <w:iCs/>
          <w:sz w:val="24"/>
        </w:rPr>
        <w:t>[</w:t>
      </w:r>
      <w:r w:rsidRPr="001720E4">
        <w:rPr>
          <w:rFonts w:ascii="Times New Roman" w:hAnsi="Times New Roman"/>
          <w:i/>
          <w:iCs/>
          <w:sz w:val="24"/>
        </w:rPr>
        <w:t>No 45</w:t>
      </w:r>
      <w:r w:rsidR="00960403" w:rsidRPr="001720E4">
        <w:rPr>
          <w:rFonts w:ascii="Times New Roman" w:hAnsi="Times New Roman"/>
          <w:i/>
          <w:iCs/>
          <w:sz w:val="24"/>
        </w:rPr>
        <w:t>]</w:t>
      </w:r>
      <w:r w:rsidRPr="001720E4">
        <w:rPr>
          <w:rFonts w:ascii="Times New Roman" w:hAnsi="Times New Roman"/>
          <w:sz w:val="24"/>
        </w:rPr>
        <w:t xml:space="preserve"> [2016] NSWSC 452 at [41].</w:t>
      </w:r>
    </w:p>
  </w:footnote>
  <w:footnote w:id="6">
    <w:p w14:paraId="697FF02A" w14:textId="53092455"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Rogerson </w:t>
      </w:r>
      <w:r w:rsidR="00960403" w:rsidRPr="001720E4">
        <w:rPr>
          <w:rFonts w:ascii="Times New Roman" w:hAnsi="Times New Roman"/>
          <w:i/>
          <w:iCs/>
          <w:sz w:val="24"/>
        </w:rPr>
        <w:t>[</w:t>
      </w:r>
      <w:r w:rsidRPr="001720E4">
        <w:rPr>
          <w:rFonts w:ascii="Times New Roman" w:hAnsi="Times New Roman"/>
          <w:i/>
          <w:iCs/>
          <w:sz w:val="24"/>
        </w:rPr>
        <w:t>No 3</w:t>
      </w:r>
      <w:r w:rsidR="00960403" w:rsidRPr="001720E4">
        <w:rPr>
          <w:rFonts w:ascii="Times New Roman" w:hAnsi="Times New Roman"/>
          <w:i/>
          <w:iCs/>
          <w:sz w:val="24"/>
        </w:rPr>
        <w:t>]</w:t>
      </w:r>
      <w:r w:rsidRPr="001720E4">
        <w:rPr>
          <w:rFonts w:ascii="Times New Roman" w:hAnsi="Times New Roman"/>
          <w:sz w:val="24"/>
        </w:rPr>
        <w:t xml:space="preserve"> [2015] NSWSC 965.</w:t>
      </w:r>
    </w:p>
  </w:footnote>
  <w:footnote w:id="7">
    <w:p w14:paraId="6C2D66ED"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Rogerson v The Queen</w:t>
      </w:r>
      <w:r w:rsidRPr="001720E4">
        <w:rPr>
          <w:rFonts w:ascii="Times New Roman" w:hAnsi="Times New Roman"/>
          <w:sz w:val="24"/>
        </w:rPr>
        <w:t xml:space="preserve"> (2021) 290 A Crim R 239 at 243-263 [478]-[562].</w:t>
      </w:r>
    </w:p>
  </w:footnote>
  <w:footnote w:id="8">
    <w:p w14:paraId="24D292FA"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[1974] AC 85.</w:t>
      </w:r>
    </w:p>
  </w:footnote>
  <w:footnote w:id="9">
    <w:p w14:paraId="3D5D447B"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[1974] AC 85 at 102.</w:t>
      </w:r>
    </w:p>
  </w:footnote>
  <w:footnote w:id="10">
    <w:p w14:paraId="3E18FD59"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[1972] VR 939 at 945.</w:t>
      </w:r>
    </w:p>
  </w:footnote>
  <w:footnote w:id="11">
    <w:p w14:paraId="5FBC10ED" w14:textId="34D9DDBC"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Lowery </w:t>
      </w:r>
      <w:r w:rsidR="00AE00A4" w:rsidRPr="001720E4">
        <w:rPr>
          <w:rFonts w:ascii="Times New Roman" w:hAnsi="Times New Roman"/>
          <w:i/>
          <w:iCs/>
          <w:sz w:val="24"/>
        </w:rPr>
        <w:t>[</w:t>
      </w:r>
      <w:r w:rsidRPr="001720E4">
        <w:rPr>
          <w:rFonts w:ascii="Times New Roman" w:hAnsi="Times New Roman"/>
          <w:i/>
          <w:iCs/>
          <w:sz w:val="24"/>
        </w:rPr>
        <w:t>No 3</w:t>
      </w:r>
      <w:r w:rsidR="00AE00A4" w:rsidRPr="001720E4">
        <w:rPr>
          <w:rFonts w:ascii="Times New Roman" w:hAnsi="Times New Roman"/>
          <w:i/>
          <w:iCs/>
          <w:sz w:val="24"/>
        </w:rPr>
        <w:t>]</w:t>
      </w:r>
      <w:r w:rsidRPr="001720E4">
        <w:rPr>
          <w:rFonts w:ascii="Times New Roman" w:hAnsi="Times New Roman"/>
          <w:sz w:val="24"/>
        </w:rPr>
        <w:t xml:space="preserve"> [1972] VR 939 at 947.</w:t>
      </w:r>
    </w:p>
  </w:footnote>
  <w:footnote w:id="12">
    <w:p w14:paraId="4CE24CE2"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Langbein, </w:t>
      </w:r>
      <w:r w:rsidRPr="001720E4">
        <w:rPr>
          <w:rFonts w:ascii="Times New Roman" w:hAnsi="Times New Roman"/>
          <w:i/>
          <w:iCs/>
          <w:sz w:val="24"/>
        </w:rPr>
        <w:t>The Origins of Adversary Criminal Trial</w:t>
      </w:r>
      <w:r w:rsidRPr="001720E4">
        <w:rPr>
          <w:rFonts w:ascii="Times New Roman" w:hAnsi="Times New Roman"/>
          <w:sz w:val="24"/>
        </w:rPr>
        <w:t xml:space="preserve"> (2003).</w:t>
      </w:r>
    </w:p>
  </w:footnote>
  <w:footnote w:id="13">
    <w:p w14:paraId="20AC4C73" w14:textId="36B9AD30"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See Smith, "The Trial: Adversarial Characteristics and Responsibilities; Pre-trial and Trial Procedures"</w:t>
      </w:r>
      <w:r w:rsidR="001A79EF" w:rsidRPr="001720E4">
        <w:rPr>
          <w:rFonts w:ascii="Times New Roman" w:hAnsi="Times New Roman"/>
          <w:sz w:val="24"/>
        </w:rPr>
        <w:t>,</w:t>
      </w:r>
      <w:r w:rsidRPr="001720E4">
        <w:rPr>
          <w:rFonts w:ascii="Times New Roman" w:hAnsi="Times New Roman"/>
          <w:sz w:val="24"/>
        </w:rPr>
        <w:t xml:space="preserve"> in Baker (ed), </w:t>
      </w:r>
      <w:r w:rsidRPr="001720E4">
        <w:rPr>
          <w:rFonts w:ascii="Times New Roman" w:hAnsi="Times New Roman"/>
          <w:i/>
          <w:iCs/>
          <w:sz w:val="24"/>
        </w:rPr>
        <w:t xml:space="preserve">The Oxford History of the Laws of England </w:t>
      </w:r>
      <w:r w:rsidRPr="001720E4">
        <w:rPr>
          <w:rFonts w:ascii="Times New Roman" w:hAnsi="Times New Roman"/>
          <w:sz w:val="24"/>
        </w:rPr>
        <w:t>(2010)</w:t>
      </w:r>
      <w:r w:rsidR="001A79EF" w:rsidRPr="001720E4">
        <w:rPr>
          <w:rFonts w:ascii="Times New Roman" w:hAnsi="Times New Roman"/>
          <w:sz w:val="24"/>
        </w:rPr>
        <w:t xml:space="preserve">, </w:t>
      </w:r>
      <w:r w:rsidR="003E6513" w:rsidRPr="001720E4">
        <w:rPr>
          <w:rFonts w:ascii="Times New Roman" w:hAnsi="Times New Roman"/>
          <w:sz w:val="24"/>
        </w:rPr>
        <w:t>vol 13, 58</w:t>
      </w:r>
      <w:r w:rsidRPr="001720E4">
        <w:rPr>
          <w:rFonts w:ascii="Times New Roman" w:hAnsi="Times New Roman"/>
          <w:sz w:val="24"/>
        </w:rPr>
        <w:t xml:space="preserve"> at 60-121.</w:t>
      </w:r>
    </w:p>
  </w:footnote>
  <w:footnote w:id="14">
    <w:p w14:paraId="0CFDA329"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ab/>
      </w:r>
      <w:r w:rsidRPr="001720E4">
        <w:rPr>
          <w:rFonts w:ascii="Times New Roman" w:hAnsi="Times New Roman"/>
          <w:i/>
          <w:iCs/>
          <w:sz w:val="24"/>
        </w:rPr>
        <w:t xml:space="preserve">Cornwell v The Queen </w:t>
      </w:r>
      <w:r w:rsidRPr="001720E4">
        <w:rPr>
          <w:rFonts w:ascii="Times New Roman" w:hAnsi="Times New Roman"/>
          <w:sz w:val="24"/>
        </w:rPr>
        <w:t>(2007) 231 CLR 260 at 272.</w:t>
      </w:r>
    </w:p>
  </w:footnote>
  <w:footnote w:id="15">
    <w:p w14:paraId="79690507"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6 of the </w:t>
      </w:r>
      <w:r w:rsidRPr="001720E4">
        <w:rPr>
          <w:rFonts w:ascii="Times New Roman" w:hAnsi="Times New Roman"/>
          <w:i/>
          <w:iCs/>
          <w:sz w:val="24"/>
        </w:rPr>
        <w:t xml:space="preserve">Criminal Law and Evidence Amendment Act of 1891 </w:t>
      </w:r>
      <w:r w:rsidRPr="001720E4">
        <w:rPr>
          <w:rFonts w:ascii="Times New Roman" w:hAnsi="Times New Roman"/>
          <w:sz w:val="24"/>
        </w:rPr>
        <w:t xml:space="preserve">(NSW). See </w:t>
      </w:r>
      <w:r w:rsidRPr="001720E4">
        <w:rPr>
          <w:rFonts w:ascii="Times New Roman" w:hAnsi="Times New Roman"/>
          <w:i/>
          <w:iCs/>
          <w:sz w:val="24"/>
        </w:rPr>
        <w:t xml:space="preserve">R v Stalder </w:t>
      </w:r>
      <w:r w:rsidRPr="001720E4">
        <w:rPr>
          <w:rFonts w:ascii="Times New Roman" w:hAnsi="Times New Roman"/>
          <w:sz w:val="24"/>
        </w:rPr>
        <w:t xml:space="preserve">[1981] 2 NSWLR 9 at 24. </w:t>
      </w:r>
    </w:p>
  </w:footnote>
  <w:footnote w:id="16">
    <w:p w14:paraId="4CF2D308"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1 of the </w:t>
      </w:r>
      <w:r w:rsidRPr="001720E4">
        <w:rPr>
          <w:rFonts w:ascii="Times New Roman" w:hAnsi="Times New Roman"/>
          <w:i/>
          <w:iCs/>
          <w:sz w:val="24"/>
        </w:rPr>
        <w:t xml:space="preserve">Criminal Evidence Act 1898 </w:t>
      </w:r>
      <w:r w:rsidRPr="001720E4">
        <w:rPr>
          <w:rFonts w:ascii="Times New Roman" w:hAnsi="Times New Roman"/>
          <w:sz w:val="24"/>
        </w:rPr>
        <w:t>(UK).</w:t>
      </w:r>
    </w:p>
  </w:footnote>
  <w:footnote w:id="17">
    <w:p w14:paraId="1A96AC8E" w14:textId="7A18C05E"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Christie</w:t>
      </w:r>
      <w:r w:rsidRPr="001720E4">
        <w:rPr>
          <w:rFonts w:ascii="Times New Roman" w:hAnsi="Times New Roman"/>
          <w:sz w:val="24"/>
        </w:rPr>
        <w:t xml:space="preserve"> [1914] AC 545 at 559. See Pattenden, </w:t>
      </w:r>
      <w:r w:rsidRPr="001720E4">
        <w:rPr>
          <w:rFonts w:ascii="Times New Roman" w:hAnsi="Times New Roman"/>
          <w:i/>
          <w:iCs/>
          <w:sz w:val="24"/>
        </w:rPr>
        <w:t xml:space="preserve">The Judge, </w:t>
      </w:r>
      <w:proofErr w:type="gramStart"/>
      <w:r w:rsidRPr="001720E4">
        <w:rPr>
          <w:rFonts w:ascii="Times New Roman" w:hAnsi="Times New Roman"/>
          <w:i/>
          <w:iCs/>
          <w:sz w:val="24"/>
        </w:rPr>
        <w:t>Discretion</w:t>
      </w:r>
      <w:proofErr w:type="gramEnd"/>
      <w:r w:rsidRPr="001720E4">
        <w:rPr>
          <w:rFonts w:ascii="Times New Roman" w:hAnsi="Times New Roman"/>
          <w:i/>
          <w:iCs/>
          <w:sz w:val="24"/>
        </w:rPr>
        <w:t xml:space="preserve"> and the Criminal Trial</w:t>
      </w:r>
      <w:r w:rsidRPr="001720E4">
        <w:rPr>
          <w:rFonts w:ascii="Times New Roman" w:hAnsi="Times New Roman"/>
          <w:sz w:val="24"/>
        </w:rPr>
        <w:t xml:space="preserve"> (1982) </w:t>
      </w:r>
      <w:r w:rsidR="009E25B5" w:rsidRPr="001720E4">
        <w:rPr>
          <w:rFonts w:ascii="Times New Roman" w:hAnsi="Times New Roman"/>
          <w:sz w:val="24"/>
        </w:rPr>
        <w:t xml:space="preserve">at </w:t>
      </w:r>
      <w:r w:rsidRPr="001720E4">
        <w:rPr>
          <w:rFonts w:ascii="Times New Roman" w:hAnsi="Times New Roman"/>
          <w:sz w:val="24"/>
        </w:rPr>
        <w:t>66-67.</w:t>
      </w:r>
    </w:p>
  </w:footnote>
  <w:footnote w:id="18">
    <w:p w14:paraId="2166847A"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r>
      <w:r w:rsidRPr="001720E4">
        <w:rPr>
          <w:rFonts w:ascii="Times New Roman" w:hAnsi="Times New Roman"/>
          <w:i/>
          <w:iCs/>
          <w:sz w:val="24"/>
          <w:lang w:val="en-US"/>
        </w:rPr>
        <w:t>Thomas v The Queen</w:t>
      </w:r>
      <w:r w:rsidRPr="001720E4">
        <w:rPr>
          <w:rFonts w:ascii="Times New Roman" w:hAnsi="Times New Roman"/>
          <w:sz w:val="24"/>
          <w:lang w:val="en-US"/>
        </w:rPr>
        <w:t xml:space="preserve"> (1960) 102 CLR 584 at 602.</w:t>
      </w:r>
    </w:p>
  </w:footnote>
  <w:footnote w:id="19">
    <w:p w14:paraId="74F4FB55"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Mancini v Director of Public Prosecutions</w:t>
      </w:r>
      <w:r w:rsidRPr="001720E4">
        <w:rPr>
          <w:rFonts w:ascii="Times New Roman" w:hAnsi="Times New Roman"/>
          <w:sz w:val="24"/>
        </w:rPr>
        <w:t xml:space="preserve"> [1942] AC 1 at 11.</w:t>
      </w:r>
    </w:p>
  </w:footnote>
  <w:footnote w:id="20">
    <w:p w14:paraId="755AE2DD"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r>
      <w:r w:rsidRPr="001720E4">
        <w:rPr>
          <w:rFonts w:ascii="Times New Roman" w:hAnsi="Times New Roman"/>
          <w:i/>
          <w:iCs/>
          <w:sz w:val="24"/>
          <w:lang w:val="en-US"/>
        </w:rPr>
        <w:t>Parker v The Queen</w:t>
      </w:r>
      <w:r w:rsidRPr="001720E4">
        <w:rPr>
          <w:rFonts w:ascii="Times New Roman" w:hAnsi="Times New Roman"/>
          <w:sz w:val="24"/>
          <w:lang w:val="en-US"/>
        </w:rPr>
        <w:t xml:space="preserve"> (1963) 111 CLR 610 at 661.</w:t>
      </w:r>
    </w:p>
  </w:footnote>
  <w:footnote w:id="21">
    <w:p w14:paraId="3ABE2335"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Woolmington v Director of Public Prosecutions</w:t>
      </w:r>
      <w:r w:rsidRPr="001720E4">
        <w:rPr>
          <w:rFonts w:ascii="Times New Roman" w:hAnsi="Times New Roman"/>
          <w:sz w:val="24"/>
        </w:rPr>
        <w:t xml:space="preserve"> [1935] AC 462 at 481-482.</w:t>
      </w:r>
    </w:p>
  </w:footnote>
  <w:footnote w:id="22">
    <w:p w14:paraId="2B5989E3"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r>
      <w:r w:rsidRPr="001720E4">
        <w:rPr>
          <w:rFonts w:ascii="Times New Roman" w:hAnsi="Times New Roman"/>
          <w:i/>
          <w:iCs/>
          <w:sz w:val="24"/>
        </w:rPr>
        <w:t>Munday v Gill</w:t>
      </w:r>
      <w:r w:rsidRPr="001720E4">
        <w:rPr>
          <w:rFonts w:ascii="Times New Roman" w:hAnsi="Times New Roman"/>
          <w:sz w:val="24"/>
        </w:rPr>
        <w:t xml:space="preserve"> (1930) 44 CLR 38 at 86; </w:t>
      </w:r>
      <w:r w:rsidRPr="001720E4">
        <w:rPr>
          <w:rFonts w:ascii="Times New Roman" w:hAnsi="Times New Roman"/>
          <w:i/>
          <w:iCs/>
          <w:sz w:val="24"/>
          <w:lang w:val="en-US"/>
        </w:rPr>
        <w:t>John L Pty Ltd v Attorney-General (NSW)</w:t>
      </w:r>
      <w:r w:rsidRPr="001720E4">
        <w:rPr>
          <w:rFonts w:ascii="Times New Roman" w:hAnsi="Times New Roman"/>
          <w:sz w:val="24"/>
          <w:lang w:val="en-US"/>
        </w:rPr>
        <w:t xml:space="preserve"> (1987) 163 CLR 508 at 523-524; </w:t>
      </w:r>
      <w:r w:rsidRPr="001720E4">
        <w:rPr>
          <w:rFonts w:ascii="Times New Roman" w:hAnsi="Times New Roman"/>
          <w:i/>
          <w:sz w:val="24"/>
          <w:lang w:val="en-US"/>
        </w:rPr>
        <w:t>R v Hull</w:t>
      </w:r>
      <w:r w:rsidRPr="001720E4">
        <w:rPr>
          <w:rFonts w:ascii="Times New Roman" w:hAnsi="Times New Roman"/>
          <w:sz w:val="24"/>
          <w:lang w:val="en-US"/>
        </w:rPr>
        <w:t xml:space="preserve"> (1989) 16 NSWLR 385 at 389-393. </w:t>
      </w:r>
    </w:p>
  </w:footnote>
  <w:footnote w:id="23">
    <w:p w14:paraId="250B96F1"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Munday v Gill</w:t>
      </w:r>
      <w:r w:rsidRPr="001720E4">
        <w:rPr>
          <w:rFonts w:ascii="Times New Roman" w:hAnsi="Times New Roman"/>
          <w:sz w:val="24"/>
        </w:rPr>
        <w:t xml:space="preserve"> (1930) 44 CLR 38 at 86-87.</w:t>
      </w:r>
    </w:p>
  </w:footnote>
  <w:footnote w:id="24">
    <w:p w14:paraId="48AA6E59" w14:textId="4491D825"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Blackstone, </w:t>
      </w:r>
      <w:r w:rsidRPr="001720E4">
        <w:rPr>
          <w:rFonts w:ascii="Times New Roman" w:hAnsi="Times New Roman"/>
          <w:i/>
          <w:iCs/>
          <w:sz w:val="24"/>
        </w:rPr>
        <w:t>Commentaries on the Laws of England</w:t>
      </w:r>
      <w:r w:rsidRPr="001720E4">
        <w:rPr>
          <w:rFonts w:ascii="Times New Roman" w:hAnsi="Times New Roman"/>
          <w:sz w:val="24"/>
        </w:rPr>
        <w:t xml:space="preserve"> (1769)</w:t>
      </w:r>
      <w:r w:rsidR="0089717C" w:rsidRPr="001720E4">
        <w:rPr>
          <w:rFonts w:ascii="Times New Roman" w:hAnsi="Times New Roman"/>
          <w:sz w:val="24"/>
        </w:rPr>
        <w:t>, bk 4</w:t>
      </w:r>
      <w:r w:rsidRPr="001720E4">
        <w:rPr>
          <w:rFonts w:ascii="Times New Roman" w:hAnsi="Times New Roman"/>
          <w:sz w:val="24"/>
        </w:rPr>
        <w:t xml:space="preserve"> at 299, 317-319, 333-335, 342-345. Compare Baker, "Criminal Courts and Procedure 1550-1800"</w:t>
      </w:r>
      <w:r w:rsidR="005B006B" w:rsidRPr="001720E4">
        <w:rPr>
          <w:rFonts w:ascii="Times New Roman" w:hAnsi="Times New Roman"/>
          <w:sz w:val="24"/>
        </w:rPr>
        <w:t>,</w:t>
      </w:r>
      <w:r w:rsidRPr="001720E4">
        <w:rPr>
          <w:rFonts w:ascii="Times New Roman" w:hAnsi="Times New Roman"/>
          <w:sz w:val="24"/>
        </w:rPr>
        <w:t xml:space="preserve"> in </w:t>
      </w:r>
      <w:r w:rsidRPr="001720E4">
        <w:rPr>
          <w:rFonts w:ascii="Times New Roman" w:hAnsi="Times New Roman"/>
          <w:i/>
          <w:iCs/>
          <w:sz w:val="24"/>
        </w:rPr>
        <w:t>Collected Papers on English Legal History</w:t>
      </w:r>
      <w:r w:rsidRPr="001720E4">
        <w:rPr>
          <w:rFonts w:ascii="Times New Roman" w:hAnsi="Times New Roman"/>
          <w:sz w:val="24"/>
        </w:rPr>
        <w:t xml:space="preserve"> (2013)</w:t>
      </w:r>
      <w:r w:rsidR="001C5281" w:rsidRPr="001720E4">
        <w:rPr>
          <w:rFonts w:ascii="Times New Roman" w:hAnsi="Times New Roman"/>
          <w:sz w:val="24"/>
        </w:rPr>
        <w:t>, vol 2, 1015</w:t>
      </w:r>
      <w:r w:rsidRPr="001720E4">
        <w:rPr>
          <w:rFonts w:ascii="Times New Roman" w:hAnsi="Times New Roman"/>
          <w:sz w:val="24"/>
        </w:rPr>
        <w:t xml:space="preserve"> at 1046; Beattie, </w:t>
      </w:r>
      <w:r w:rsidRPr="001720E4">
        <w:rPr>
          <w:rFonts w:ascii="Times New Roman" w:hAnsi="Times New Roman"/>
          <w:i/>
          <w:iCs/>
          <w:sz w:val="24"/>
        </w:rPr>
        <w:t>Crime and the Courts in England 1660-1800</w:t>
      </w:r>
      <w:r w:rsidRPr="001720E4">
        <w:rPr>
          <w:rFonts w:ascii="Times New Roman" w:hAnsi="Times New Roman"/>
          <w:sz w:val="24"/>
        </w:rPr>
        <w:t xml:space="preserve"> (1986) at 395-396.</w:t>
      </w:r>
    </w:p>
  </w:footnote>
  <w:footnote w:id="25">
    <w:p w14:paraId="4D581B28" w14:textId="0B0787E9"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Stephen, </w:t>
      </w:r>
      <w:r w:rsidR="0029382D" w:rsidRPr="001720E4">
        <w:rPr>
          <w:rFonts w:ascii="Times New Roman" w:hAnsi="Times New Roman"/>
          <w:i/>
          <w:iCs/>
          <w:sz w:val="24"/>
        </w:rPr>
        <w:t xml:space="preserve">A </w:t>
      </w:r>
      <w:r w:rsidRPr="001720E4">
        <w:rPr>
          <w:rFonts w:ascii="Times New Roman" w:hAnsi="Times New Roman"/>
          <w:i/>
          <w:iCs/>
          <w:sz w:val="24"/>
        </w:rPr>
        <w:t>History of the Criminal Law of England</w:t>
      </w:r>
      <w:r w:rsidRPr="001720E4">
        <w:rPr>
          <w:rFonts w:ascii="Times New Roman" w:hAnsi="Times New Roman"/>
          <w:sz w:val="24"/>
        </w:rPr>
        <w:t xml:space="preserve"> (1883)</w:t>
      </w:r>
      <w:r w:rsidR="000960FD" w:rsidRPr="001720E4">
        <w:rPr>
          <w:rFonts w:ascii="Times New Roman" w:hAnsi="Times New Roman"/>
          <w:sz w:val="24"/>
        </w:rPr>
        <w:t>, vol 1</w:t>
      </w:r>
      <w:r w:rsidRPr="001720E4">
        <w:rPr>
          <w:rFonts w:ascii="Times New Roman" w:hAnsi="Times New Roman"/>
          <w:sz w:val="24"/>
        </w:rPr>
        <w:t xml:space="preserve"> at 297-307.</w:t>
      </w:r>
    </w:p>
  </w:footnote>
  <w:footnote w:id="26">
    <w:p w14:paraId="4816AAAB"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r>
      <w:r w:rsidRPr="001720E4">
        <w:rPr>
          <w:rFonts w:ascii="Times New Roman" w:hAnsi="Times New Roman"/>
          <w:i/>
          <w:iCs/>
          <w:sz w:val="24"/>
          <w:lang w:val="en-US"/>
        </w:rPr>
        <w:t>Jury Trials Act 1839</w:t>
      </w:r>
      <w:r w:rsidRPr="001720E4">
        <w:rPr>
          <w:rFonts w:ascii="Times New Roman" w:hAnsi="Times New Roman"/>
          <w:sz w:val="24"/>
          <w:lang w:val="en-US"/>
        </w:rPr>
        <w:t xml:space="preserve"> (NSW). See </w:t>
      </w:r>
      <w:r w:rsidRPr="001720E4">
        <w:rPr>
          <w:rFonts w:ascii="Times New Roman" w:hAnsi="Times New Roman"/>
          <w:i/>
          <w:iCs/>
          <w:sz w:val="24"/>
          <w:lang w:val="en-US"/>
        </w:rPr>
        <w:t>Alqudsi v The Queen</w:t>
      </w:r>
      <w:r w:rsidRPr="001720E4">
        <w:rPr>
          <w:rFonts w:ascii="Times New Roman" w:hAnsi="Times New Roman"/>
          <w:sz w:val="24"/>
          <w:lang w:val="en-US"/>
        </w:rPr>
        <w:t xml:space="preserve"> (2016) 258 CLR 203 at 254-255 [129].</w:t>
      </w:r>
    </w:p>
  </w:footnote>
  <w:footnote w:id="27">
    <w:p w14:paraId="289E337F"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lang w:val="en-US"/>
        </w:rPr>
        <w:tab/>
        <w:t xml:space="preserve">See s 332 </w:t>
      </w:r>
      <w:r w:rsidRPr="001720E4">
        <w:rPr>
          <w:rFonts w:ascii="Times New Roman" w:hAnsi="Times New Roman"/>
          <w:sz w:val="24"/>
        </w:rPr>
        <w:t>of the</w:t>
      </w:r>
      <w:r w:rsidRPr="001720E4">
        <w:rPr>
          <w:rFonts w:ascii="Times New Roman" w:hAnsi="Times New Roman"/>
          <w:i/>
          <w:iCs/>
          <w:sz w:val="24"/>
        </w:rPr>
        <w:t xml:space="preserve"> Criminal Law Amendment Act</w:t>
      </w:r>
      <w:r w:rsidRPr="001720E4">
        <w:rPr>
          <w:rFonts w:ascii="Times New Roman" w:hAnsi="Times New Roman"/>
          <w:i/>
          <w:iCs/>
          <w:sz w:val="24"/>
          <w:lang w:val="en-US"/>
        </w:rPr>
        <w:t>.</w:t>
      </w:r>
    </w:p>
  </w:footnote>
  <w:footnote w:id="28">
    <w:p w14:paraId="582A4CA7"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s 395 of the </w:t>
      </w:r>
      <w:r w:rsidRPr="001720E4">
        <w:rPr>
          <w:rFonts w:ascii="Times New Roman" w:hAnsi="Times New Roman"/>
          <w:i/>
          <w:iCs/>
          <w:sz w:val="24"/>
        </w:rPr>
        <w:t xml:space="preserve">Crimes Act 1900 </w:t>
      </w:r>
      <w:r w:rsidRPr="001720E4">
        <w:rPr>
          <w:rFonts w:ascii="Times New Roman" w:hAnsi="Times New Roman"/>
          <w:sz w:val="24"/>
        </w:rPr>
        <w:t>(NSW).</w:t>
      </w:r>
    </w:p>
  </w:footnote>
  <w:footnote w:id="29">
    <w:p w14:paraId="69CB8160"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See ss 130 and 154 of the Criminal Procedure Act.</w:t>
      </w:r>
    </w:p>
  </w:footnote>
  <w:footnote w:id="30">
    <w:p w14:paraId="3F2F307E"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Munday v Gill</w:t>
      </w:r>
      <w:r w:rsidRPr="001720E4">
        <w:rPr>
          <w:rFonts w:ascii="Times New Roman" w:hAnsi="Times New Roman"/>
          <w:sz w:val="24"/>
        </w:rPr>
        <w:t xml:space="preserve"> (1930) 44 CLR 38 at 76. </w:t>
      </w:r>
    </w:p>
  </w:footnote>
  <w:footnote w:id="31">
    <w:p w14:paraId="10642BD7"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Munday v Gill</w:t>
      </w:r>
      <w:r w:rsidRPr="001720E4">
        <w:rPr>
          <w:rFonts w:ascii="Times New Roman" w:hAnsi="Times New Roman"/>
          <w:sz w:val="24"/>
        </w:rPr>
        <w:t xml:space="preserve"> (1930) 44 CLR 38 at 87.</w:t>
      </w:r>
    </w:p>
  </w:footnote>
  <w:footnote w:id="32">
    <w:p w14:paraId="6DF29751"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[1921] 2 AC 299.</w:t>
      </w:r>
    </w:p>
  </w:footnote>
  <w:footnote w:id="33">
    <w:p w14:paraId="0EA3F1D2" w14:textId="7F4545CD"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(1930) 44 CLR 38 at 76, 87.</w:t>
      </w:r>
    </w:p>
  </w:footnote>
  <w:footnote w:id="34">
    <w:p w14:paraId="4280AE46"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(2007) 69 NSWLR 406 at 409-411 [11]-[31].</w:t>
      </w:r>
    </w:p>
  </w:footnote>
  <w:footnote w:id="35">
    <w:p w14:paraId="5DAA9AFB" w14:textId="26A086D0"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proofErr w:type="gramStart"/>
      <w:r w:rsidR="002B069D" w:rsidRPr="001720E4">
        <w:rPr>
          <w:rFonts w:ascii="Times New Roman" w:hAnsi="Times New Roman"/>
          <w:sz w:val="24"/>
        </w:rPr>
        <w:t>e</w:t>
      </w:r>
      <w:r w:rsidRPr="001720E4">
        <w:rPr>
          <w:rFonts w:ascii="Times New Roman" w:hAnsi="Times New Roman"/>
          <w:sz w:val="24"/>
        </w:rPr>
        <w:t>g</w:t>
      </w:r>
      <w:proofErr w:type="gramEnd"/>
      <w:r w:rsidRPr="001720E4">
        <w:rPr>
          <w:rFonts w:ascii="Times New Roman" w:hAnsi="Times New Roman"/>
          <w:sz w:val="24"/>
        </w:rPr>
        <w:t xml:space="preserve"> </w:t>
      </w:r>
      <w:r w:rsidRPr="001720E4">
        <w:rPr>
          <w:rFonts w:ascii="Times New Roman" w:hAnsi="Times New Roman"/>
          <w:i/>
          <w:iCs/>
          <w:sz w:val="24"/>
        </w:rPr>
        <w:t xml:space="preserve">FX v </w:t>
      </w:r>
      <w:r w:rsidR="002B069D" w:rsidRPr="001720E4">
        <w:rPr>
          <w:rFonts w:ascii="Times New Roman" w:hAnsi="Times New Roman"/>
          <w:i/>
          <w:iCs/>
          <w:sz w:val="24"/>
        </w:rPr>
        <w:t xml:space="preserve">The Queen </w:t>
      </w:r>
      <w:r w:rsidR="002B069D" w:rsidRPr="001720E4">
        <w:rPr>
          <w:rFonts w:ascii="Times New Roman" w:hAnsi="Times New Roman"/>
          <w:sz w:val="24"/>
        </w:rPr>
        <w:t>(2020) 290 A Crim R 31</w:t>
      </w:r>
      <w:r w:rsidR="004B612D" w:rsidRPr="001720E4">
        <w:rPr>
          <w:rFonts w:ascii="Times New Roman" w:hAnsi="Times New Roman"/>
          <w:sz w:val="24"/>
        </w:rPr>
        <w:t xml:space="preserve"> at 38 [164]-[166]</w:t>
      </w:r>
      <w:r w:rsidRPr="001720E4">
        <w:rPr>
          <w:rFonts w:ascii="Times New Roman" w:hAnsi="Times New Roman"/>
          <w:sz w:val="24"/>
        </w:rPr>
        <w:t xml:space="preserve">; </w:t>
      </w:r>
      <w:r w:rsidRPr="001720E4">
        <w:rPr>
          <w:rFonts w:ascii="Times New Roman" w:hAnsi="Times New Roman"/>
          <w:i/>
          <w:iCs/>
          <w:sz w:val="24"/>
        </w:rPr>
        <w:t xml:space="preserve">Caleo v </w:t>
      </w:r>
      <w:r w:rsidR="004B612D" w:rsidRPr="001720E4">
        <w:rPr>
          <w:rFonts w:ascii="Times New Roman" w:hAnsi="Times New Roman"/>
          <w:i/>
          <w:iCs/>
          <w:sz w:val="24"/>
        </w:rPr>
        <w:t xml:space="preserve">The Queen </w:t>
      </w:r>
      <w:r w:rsidR="004B612D" w:rsidRPr="001720E4">
        <w:rPr>
          <w:rFonts w:ascii="Times New Roman" w:hAnsi="Times New Roman"/>
          <w:sz w:val="24"/>
        </w:rPr>
        <w:t xml:space="preserve">(2021) 290 A Crim R </w:t>
      </w:r>
      <w:r w:rsidR="00435198" w:rsidRPr="001720E4">
        <w:rPr>
          <w:rFonts w:ascii="Times New Roman" w:hAnsi="Times New Roman"/>
          <w:sz w:val="24"/>
        </w:rPr>
        <w:t>352 at 375-376 [132]-[133]</w:t>
      </w:r>
      <w:r w:rsidRPr="001720E4">
        <w:rPr>
          <w:rFonts w:ascii="Times New Roman" w:hAnsi="Times New Roman"/>
          <w:sz w:val="24"/>
        </w:rPr>
        <w:t xml:space="preserve">. Compare </w:t>
      </w:r>
      <w:r w:rsidRPr="001720E4">
        <w:rPr>
          <w:rFonts w:ascii="Times New Roman" w:hAnsi="Times New Roman"/>
          <w:i/>
          <w:iCs/>
          <w:sz w:val="24"/>
        </w:rPr>
        <w:t>R v Newson</w:t>
      </w:r>
      <w:r w:rsidRPr="001720E4">
        <w:rPr>
          <w:rFonts w:ascii="Times New Roman" w:hAnsi="Times New Roman"/>
          <w:sz w:val="24"/>
        </w:rPr>
        <w:t xml:space="preserve"> [2020] NSWSC 462 at [11].</w:t>
      </w:r>
    </w:p>
  </w:footnote>
  <w:footnote w:id="36">
    <w:p w14:paraId="75086A12"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78A of the </w:t>
      </w:r>
      <w:r w:rsidRPr="001720E4">
        <w:rPr>
          <w:rFonts w:ascii="Times New Roman" w:hAnsi="Times New Roman"/>
          <w:i/>
          <w:iCs/>
          <w:sz w:val="24"/>
        </w:rPr>
        <w:t>Justices Act 1902</w:t>
      </w:r>
      <w:r w:rsidRPr="001720E4">
        <w:rPr>
          <w:rFonts w:ascii="Times New Roman" w:hAnsi="Times New Roman"/>
          <w:sz w:val="24"/>
        </w:rPr>
        <w:t xml:space="preserve"> (NSW) as substituted by Item (2) of Sch 1 to the </w:t>
      </w:r>
      <w:r w:rsidRPr="001720E4">
        <w:rPr>
          <w:rFonts w:ascii="Times New Roman" w:hAnsi="Times New Roman"/>
          <w:i/>
          <w:iCs/>
          <w:sz w:val="24"/>
        </w:rPr>
        <w:t>Justices (Amendment) Act 1987</w:t>
      </w:r>
      <w:r w:rsidRPr="001720E4">
        <w:rPr>
          <w:rFonts w:ascii="Times New Roman" w:hAnsi="Times New Roman"/>
          <w:sz w:val="24"/>
        </w:rPr>
        <w:t xml:space="preserve"> (NSW).</w:t>
      </w:r>
    </w:p>
  </w:footnote>
  <w:footnote w:id="37">
    <w:p w14:paraId="5EDA1B0A"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w:t>
      </w:r>
      <w:r w:rsidRPr="001720E4">
        <w:rPr>
          <w:rFonts w:ascii="Times New Roman" w:hAnsi="Times New Roman"/>
          <w:i/>
          <w:iCs/>
          <w:sz w:val="24"/>
        </w:rPr>
        <w:t>R v Darwiche</w:t>
      </w:r>
      <w:r w:rsidRPr="001720E4">
        <w:rPr>
          <w:rFonts w:ascii="Times New Roman" w:hAnsi="Times New Roman"/>
          <w:sz w:val="24"/>
        </w:rPr>
        <w:t xml:space="preserve"> [2006] NSWSC 929 at [114]-[118].</w:t>
      </w:r>
    </w:p>
  </w:footnote>
  <w:footnote w:id="38">
    <w:p w14:paraId="704C3B0D"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(1930) 44 CLR 38 at 88-90.</w:t>
      </w:r>
    </w:p>
  </w:footnote>
  <w:footnote w:id="39">
    <w:p w14:paraId="37825B8F"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Item 1.8 [3] of Sch 1 to the </w:t>
      </w:r>
      <w:r w:rsidRPr="001720E4">
        <w:rPr>
          <w:rFonts w:ascii="Times New Roman" w:hAnsi="Times New Roman"/>
          <w:i/>
          <w:iCs/>
          <w:sz w:val="24"/>
        </w:rPr>
        <w:t>Stronger Communities Legislation Amendment (Miscellaneous) Act 2020</w:t>
      </w:r>
      <w:r w:rsidRPr="001720E4">
        <w:rPr>
          <w:rFonts w:ascii="Times New Roman" w:hAnsi="Times New Roman"/>
          <w:sz w:val="24"/>
        </w:rPr>
        <w:t xml:space="preserve"> (NSW).</w:t>
      </w:r>
    </w:p>
  </w:footnote>
  <w:footnote w:id="40">
    <w:p w14:paraId="1EFF3DEA" w14:textId="640FEEDA"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Deputy Federal Commissioner of Taxes (SA) v Elders' Trustee and Executor Co Ltd</w:t>
      </w:r>
      <w:r w:rsidRPr="001720E4">
        <w:rPr>
          <w:rFonts w:ascii="Times New Roman" w:hAnsi="Times New Roman"/>
          <w:sz w:val="24"/>
        </w:rPr>
        <w:t xml:space="preserve"> (1936) 57 CLR 610 at 625</w:t>
      </w:r>
      <w:r w:rsidR="008B6744" w:rsidRPr="001720E4">
        <w:rPr>
          <w:rFonts w:ascii="Times New Roman" w:hAnsi="Times New Roman"/>
          <w:sz w:val="24"/>
        </w:rPr>
        <w:t xml:space="preserve">; </w:t>
      </w:r>
      <w:r w:rsidR="008B6744" w:rsidRPr="001720E4">
        <w:rPr>
          <w:rFonts w:ascii="Times New Roman" w:hAnsi="Times New Roman"/>
          <w:i/>
          <w:iCs/>
          <w:sz w:val="24"/>
        </w:rPr>
        <w:t>Environment Protection Authority v Caltex Refining Co Pty Ltd</w:t>
      </w:r>
      <w:r w:rsidR="008B6744" w:rsidRPr="001720E4">
        <w:rPr>
          <w:rFonts w:ascii="Times New Roman" w:hAnsi="Times New Roman"/>
          <w:sz w:val="24"/>
        </w:rPr>
        <w:t xml:space="preserve"> (1993) 178 CLR 477 at 505-506.</w:t>
      </w:r>
    </w:p>
  </w:footnote>
  <w:footnote w:id="41">
    <w:p w14:paraId="40F6FFFE" w14:textId="59F834DC"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Fenwick</w:t>
      </w:r>
      <w:r w:rsidRPr="001720E4">
        <w:rPr>
          <w:rFonts w:ascii="Times New Roman" w:hAnsi="Times New Roman"/>
          <w:sz w:val="24"/>
        </w:rPr>
        <w:t xml:space="preserve"> (1953) 54 SR (NSW) 147 at 152; </w:t>
      </w:r>
      <w:r w:rsidRPr="001720E4">
        <w:rPr>
          <w:rFonts w:ascii="Times New Roman" w:hAnsi="Times New Roman"/>
          <w:i/>
          <w:iCs/>
          <w:sz w:val="24"/>
        </w:rPr>
        <w:t>Director of Public Prosecutions v Merriman</w:t>
      </w:r>
      <w:r w:rsidRPr="001720E4">
        <w:rPr>
          <w:rFonts w:ascii="Times New Roman" w:hAnsi="Times New Roman"/>
          <w:sz w:val="24"/>
        </w:rPr>
        <w:t xml:space="preserve"> [1973] AC 584 at 591-594, 606-607; </w:t>
      </w:r>
      <w:r w:rsidR="005E5A09" w:rsidRPr="001720E4">
        <w:rPr>
          <w:rFonts w:ascii="Times New Roman" w:hAnsi="Times New Roman"/>
          <w:i/>
          <w:iCs/>
          <w:sz w:val="24"/>
        </w:rPr>
        <w:t>R</w:t>
      </w:r>
      <w:r w:rsidRPr="001720E4">
        <w:rPr>
          <w:rFonts w:ascii="Times New Roman" w:hAnsi="Times New Roman"/>
          <w:i/>
          <w:iCs/>
          <w:sz w:val="24"/>
        </w:rPr>
        <w:t xml:space="preserve"> v Darby</w:t>
      </w:r>
      <w:r w:rsidRPr="001720E4">
        <w:rPr>
          <w:rFonts w:ascii="Times New Roman" w:hAnsi="Times New Roman"/>
          <w:sz w:val="24"/>
        </w:rPr>
        <w:t xml:space="preserve"> (1982) 148 CLR 668 at 677; </w:t>
      </w:r>
      <w:r w:rsidRPr="001720E4">
        <w:rPr>
          <w:rFonts w:ascii="Times New Roman" w:hAnsi="Times New Roman"/>
          <w:i/>
          <w:iCs/>
          <w:sz w:val="24"/>
        </w:rPr>
        <w:t>King v The Queen</w:t>
      </w:r>
      <w:r w:rsidRPr="001720E4">
        <w:rPr>
          <w:rFonts w:ascii="Times New Roman" w:hAnsi="Times New Roman"/>
          <w:sz w:val="24"/>
        </w:rPr>
        <w:t xml:space="preserve"> (1986) 161 CLR 423 at 433-434.</w:t>
      </w:r>
    </w:p>
  </w:footnote>
  <w:footnote w:id="42">
    <w:p w14:paraId="5EC77FC6" w14:textId="5DF36D2E"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proofErr w:type="gramStart"/>
      <w:r w:rsidR="005E5A09" w:rsidRPr="001720E4">
        <w:rPr>
          <w:rFonts w:ascii="Times New Roman" w:hAnsi="Times New Roman"/>
          <w:sz w:val="24"/>
        </w:rPr>
        <w:t>e</w:t>
      </w:r>
      <w:r w:rsidRPr="001720E4">
        <w:rPr>
          <w:rFonts w:ascii="Times New Roman" w:hAnsi="Times New Roman"/>
          <w:sz w:val="24"/>
        </w:rPr>
        <w:t>g</w:t>
      </w:r>
      <w:proofErr w:type="gramEnd"/>
      <w:r w:rsidRPr="001720E4">
        <w:rPr>
          <w:rFonts w:ascii="Times New Roman" w:hAnsi="Times New Roman"/>
          <w:sz w:val="24"/>
        </w:rPr>
        <w:t xml:space="preserve"> </w:t>
      </w:r>
      <w:r w:rsidRPr="001720E4">
        <w:rPr>
          <w:rFonts w:ascii="Times New Roman" w:hAnsi="Times New Roman"/>
          <w:i/>
          <w:iCs/>
          <w:sz w:val="24"/>
        </w:rPr>
        <w:t>Bannon v The Queen</w:t>
      </w:r>
      <w:r w:rsidRPr="001720E4">
        <w:rPr>
          <w:rFonts w:ascii="Times New Roman" w:hAnsi="Times New Roman"/>
          <w:sz w:val="24"/>
        </w:rPr>
        <w:t xml:space="preserve"> (1995) 185 CLR 1 at 13. See also Ross, "One Accused's Evidence of </w:t>
      </w:r>
      <w:r w:rsidR="005E5A09" w:rsidRPr="001720E4">
        <w:rPr>
          <w:rFonts w:ascii="Times New Roman" w:hAnsi="Times New Roman"/>
          <w:sz w:val="24"/>
        </w:rPr>
        <w:t>A</w:t>
      </w:r>
      <w:r w:rsidRPr="001720E4">
        <w:rPr>
          <w:rFonts w:ascii="Times New Roman" w:hAnsi="Times New Roman"/>
          <w:sz w:val="24"/>
        </w:rPr>
        <w:t xml:space="preserve">nother's Criminal Disposition" (2006) 11 </w:t>
      </w:r>
      <w:r w:rsidRPr="001720E4">
        <w:rPr>
          <w:rFonts w:ascii="Times New Roman" w:hAnsi="Times New Roman"/>
          <w:i/>
          <w:sz w:val="24"/>
        </w:rPr>
        <w:t>Deakin Law Review</w:t>
      </w:r>
      <w:r w:rsidRPr="001720E4">
        <w:rPr>
          <w:rFonts w:ascii="Times New Roman" w:hAnsi="Times New Roman"/>
          <w:sz w:val="24"/>
        </w:rPr>
        <w:t xml:space="preserve"> 179 at 179.</w:t>
      </w:r>
    </w:p>
  </w:footnote>
  <w:footnote w:id="43">
    <w:p w14:paraId="267DBA3B"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(1992) 59 SASR 563.</w:t>
      </w:r>
    </w:p>
  </w:footnote>
  <w:footnote w:id="44">
    <w:p w14:paraId="405E211B"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(1994) 181 CLR 41.</w:t>
      </w:r>
    </w:p>
  </w:footnote>
  <w:footnote w:id="45">
    <w:p w14:paraId="7628E112"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(1992) 59 SASR 563 at 581.</w:t>
      </w:r>
    </w:p>
  </w:footnote>
  <w:footnote w:id="46">
    <w:p w14:paraId="194F6EB2" w14:textId="09F83F83"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506D8A" w:rsidRPr="001720E4">
        <w:rPr>
          <w:rFonts w:ascii="Times New Roman" w:hAnsi="Times New Roman"/>
          <w:sz w:val="24"/>
        </w:rPr>
        <w:t>U</w:t>
      </w:r>
      <w:r w:rsidRPr="001720E4">
        <w:rPr>
          <w:rFonts w:ascii="Times New Roman" w:hAnsi="Times New Roman"/>
          <w:sz w:val="24"/>
        </w:rPr>
        <w:t>nreported, Court of Criminal Appeal of New South Wales, 11</w:t>
      </w:r>
      <w:r w:rsidR="002432E8" w:rsidRPr="001720E4">
        <w:rPr>
          <w:rFonts w:ascii="Times New Roman" w:hAnsi="Times New Roman"/>
          <w:sz w:val="24"/>
        </w:rPr>
        <w:t> </w:t>
      </w:r>
      <w:r w:rsidRPr="001720E4">
        <w:rPr>
          <w:rFonts w:ascii="Times New Roman" w:hAnsi="Times New Roman"/>
          <w:sz w:val="24"/>
        </w:rPr>
        <w:t xml:space="preserve">May 1990. </w:t>
      </w:r>
    </w:p>
  </w:footnote>
  <w:footnote w:id="47">
    <w:p w14:paraId="17565F95" w14:textId="275590FD"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FE2EE9" w:rsidRPr="001720E4">
        <w:rPr>
          <w:rFonts w:ascii="Times New Roman" w:hAnsi="Times New Roman"/>
          <w:i/>
          <w:iCs/>
          <w:sz w:val="24"/>
        </w:rPr>
        <w:t xml:space="preserve">Webb v The Queen </w:t>
      </w:r>
      <w:r w:rsidRPr="001720E4">
        <w:rPr>
          <w:rFonts w:ascii="Times New Roman" w:hAnsi="Times New Roman"/>
          <w:sz w:val="24"/>
        </w:rPr>
        <w:t>(1994) 181 CLR 41 at 56, 80-81, 93-94.</w:t>
      </w:r>
    </w:p>
  </w:footnote>
  <w:footnote w:id="48">
    <w:p w14:paraId="679DA474"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(1994) 181 CLR 41 at 56, 89.</w:t>
      </w:r>
    </w:p>
  </w:footnote>
  <w:footnote w:id="49">
    <w:p w14:paraId="25BAE15D"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(1992) 59 SASR 563 at 585.</w:t>
      </w:r>
    </w:p>
  </w:footnote>
  <w:footnote w:id="50">
    <w:p w14:paraId="0D6483DB"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(1991) 56 SASR 302 at 307-311.</w:t>
      </w:r>
    </w:p>
  </w:footnote>
  <w:footnote w:id="51">
    <w:p w14:paraId="64231E94" w14:textId="7830568C"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(1991) 56 SASR 302 at 309</w:t>
      </w:r>
      <w:r w:rsidR="007C274A" w:rsidRPr="001720E4">
        <w:rPr>
          <w:rFonts w:ascii="Times New Roman" w:hAnsi="Times New Roman"/>
          <w:sz w:val="24"/>
        </w:rPr>
        <w:t>,</w:t>
      </w:r>
      <w:r w:rsidRPr="001720E4">
        <w:rPr>
          <w:rFonts w:ascii="Times New Roman" w:hAnsi="Times New Roman"/>
          <w:sz w:val="24"/>
        </w:rPr>
        <w:t xml:space="preserve"> quoting </w:t>
      </w:r>
      <w:r w:rsidRPr="001720E4">
        <w:rPr>
          <w:rFonts w:ascii="Times New Roman" w:hAnsi="Times New Roman"/>
          <w:i/>
          <w:iCs/>
          <w:sz w:val="24"/>
        </w:rPr>
        <w:t>R v Glover</w:t>
      </w:r>
      <w:r w:rsidRPr="001720E4">
        <w:rPr>
          <w:rFonts w:ascii="Times New Roman" w:hAnsi="Times New Roman"/>
          <w:sz w:val="24"/>
        </w:rPr>
        <w:t xml:space="preserve"> (1987) 46 SASR 310 at 312.</w:t>
      </w:r>
    </w:p>
  </w:footnote>
  <w:footnote w:id="52">
    <w:p w14:paraId="3259128C" w14:textId="68156C0C"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 xml:space="preserve">R v Collie </w:t>
      </w:r>
      <w:r w:rsidRPr="001720E4">
        <w:rPr>
          <w:rFonts w:ascii="Times New Roman" w:hAnsi="Times New Roman"/>
          <w:sz w:val="24"/>
        </w:rPr>
        <w:t>(1991) 56 SASR 302 at 308</w:t>
      </w:r>
      <w:r w:rsidR="003E625A" w:rsidRPr="001720E4">
        <w:rPr>
          <w:rFonts w:ascii="Times New Roman" w:hAnsi="Times New Roman"/>
          <w:sz w:val="24"/>
        </w:rPr>
        <w:t>,</w:t>
      </w:r>
      <w:r w:rsidRPr="001720E4">
        <w:rPr>
          <w:rFonts w:ascii="Times New Roman" w:hAnsi="Times New Roman"/>
          <w:sz w:val="24"/>
        </w:rPr>
        <w:t xml:space="preserve"> citing </w:t>
      </w:r>
      <w:r w:rsidRPr="001720E4">
        <w:rPr>
          <w:rFonts w:ascii="Times New Roman" w:hAnsi="Times New Roman"/>
          <w:i/>
          <w:iCs/>
          <w:sz w:val="24"/>
        </w:rPr>
        <w:t xml:space="preserve">R v Gibbins and Proctor </w:t>
      </w:r>
      <w:r w:rsidRPr="001720E4">
        <w:rPr>
          <w:rFonts w:ascii="Times New Roman" w:hAnsi="Times New Roman"/>
          <w:sz w:val="24"/>
        </w:rPr>
        <w:t>(1918) 13 Cr App R 134 at 137</w:t>
      </w:r>
      <w:r w:rsidR="00645107" w:rsidRPr="001720E4">
        <w:rPr>
          <w:rFonts w:ascii="Times New Roman" w:hAnsi="Times New Roman"/>
          <w:sz w:val="24"/>
        </w:rPr>
        <w:t>,</w:t>
      </w:r>
      <w:r w:rsidRPr="001720E4">
        <w:rPr>
          <w:rFonts w:ascii="Times New Roman" w:hAnsi="Times New Roman"/>
          <w:sz w:val="24"/>
        </w:rPr>
        <w:t xml:space="preserve"> </w:t>
      </w:r>
      <w:r w:rsidRPr="001720E4">
        <w:rPr>
          <w:rFonts w:ascii="Times New Roman" w:hAnsi="Times New Roman"/>
          <w:i/>
          <w:iCs/>
          <w:sz w:val="24"/>
        </w:rPr>
        <w:t xml:space="preserve">R v Grondkowski </w:t>
      </w:r>
      <w:r w:rsidRPr="001720E4">
        <w:rPr>
          <w:rFonts w:ascii="Times New Roman" w:hAnsi="Times New Roman"/>
          <w:sz w:val="24"/>
        </w:rPr>
        <w:t>[1946] KB 369</w:t>
      </w:r>
      <w:r w:rsidR="00654DC7" w:rsidRPr="001720E4">
        <w:rPr>
          <w:rFonts w:ascii="Times New Roman" w:hAnsi="Times New Roman"/>
          <w:sz w:val="24"/>
        </w:rPr>
        <w:t xml:space="preserve"> and</w:t>
      </w:r>
      <w:r w:rsidRPr="001720E4">
        <w:rPr>
          <w:rFonts w:ascii="Times New Roman" w:hAnsi="Times New Roman"/>
          <w:sz w:val="24"/>
        </w:rPr>
        <w:t xml:space="preserve"> </w:t>
      </w:r>
      <w:r w:rsidRPr="001720E4">
        <w:rPr>
          <w:rFonts w:ascii="Times New Roman" w:hAnsi="Times New Roman"/>
          <w:i/>
          <w:iCs/>
          <w:sz w:val="24"/>
        </w:rPr>
        <w:t xml:space="preserve">R v Kerekes </w:t>
      </w:r>
      <w:r w:rsidRPr="001720E4">
        <w:rPr>
          <w:rFonts w:ascii="Times New Roman" w:hAnsi="Times New Roman"/>
          <w:sz w:val="24"/>
        </w:rPr>
        <w:t xml:space="preserve">(1951) 70 WN (NSW) 102. See also </w:t>
      </w:r>
      <w:r w:rsidRPr="001720E4">
        <w:rPr>
          <w:rFonts w:ascii="Times New Roman" w:hAnsi="Times New Roman"/>
          <w:i/>
          <w:iCs/>
          <w:sz w:val="24"/>
        </w:rPr>
        <w:t xml:space="preserve">Ali v </w:t>
      </w:r>
      <w:r w:rsidR="00654DC7" w:rsidRPr="001720E4">
        <w:rPr>
          <w:rFonts w:ascii="Times New Roman" w:hAnsi="Times New Roman"/>
          <w:i/>
          <w:iCs/>
          <w:sz w:val="24"/>
        </w:rPr>
        <w:t>The Queen</w:t>
      </w:r>
      <w:r w:rsidR="00654DC7" w:rsidRPr="001720E4">
        <w:rPr>
          <w:rFonts w:ascii="Times New Roman" w:hAnsi="Times New Roman"/>
          <w:sz w:val="24"/>
        </w:rPr>
        <w:t xml:space="preserve"> </w:t>
      </w:r>
      <w:r w:rsidRPr="001720E4">
        <w:rPr>
          <w:rFonts w:ascii="Times New Roman" w:hAnsi="Times New Roman"/>
          <w:sz w:val="24"/>
        </w:rPr>
        <w:t>(2005)</w:t>
      </w:r>
      <w:r w:rsidR="00654DC7" w:rsidRPr="001720E4">
        <w:rPr>
          <w:rFonts w:ascii="Times New Roman" w:hAnsi="Times New Roman"/>
          <w:sz w:val="24"/>
        </w:rPr>
        <w:t xml:space="preserve"> 79 ALJR 662 at 670 [58];</w:t>
      </w:r>
      <w:r w:rsidRPr="001720E4">
        <w:rPr>
          <w:rFonts w:ascii="Times New Roman" w:hAnsi="Times New Roman"/>
          <w:sz w:val="24"/>
        </w:rPr>
        <w:t xml:space="preserve"> 214 ALR 1 at 12.</w:t>
      </w:r>
    </w:p>
  </w:footnote>
  <w:footnote w:id="53">
    <w:p w14:paraId="1E29453A" w14:textId="40D0A51D" w:rsidR="007F652D" w:rsidRPr="001720E4" w:rsidRDefault="007F652D" w:rsidP="001720E4">
      <w:pPr>
        <w:pStyle w:val="FootnoteText"/>
        <w:spacing w:line="280" w:lineRule="exact"/>
        <w:ind w:right="0"/>
        <w:jc w:val="both"/>
        <w:rPr>
          <w:rFonts w:ascii="Times New Roman" w:hAnsi="Times New Roman"/>
          <w:iCs/>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sz w:val="24"/>
        </w:rPr>
        <w:t xml:space="preserve">Webb v The Queen </w:t>
      </w:r>
      <w:r w:rsidRPr="001720E4">
        <w:rPr>
          <w:rFonts w:ascii="Times New Roman" w:hAnsi="Times New Roman"/>
          <w:sz w:val="24"/>
        </w:rPr>
        <w:t xml:space="preserve">(1994) 181 CLR 41 at 89, citing </w:t>
      </w:r>
      <w:r w:rsidRPr="001720E4">
        <w:rPr>
          <w:rFonts w:ascii="Times New Roman" w:hAnsi="Times New Roman"/>
          <w:i/>
          <w:iCs/>
          <w:sz w:val="24"/>
        </w:rPr>
        <w:t>R v Demirok</w:t>
      </w:r>
      <w:r w:rsidRPr="001720E4">
        <w:rPr>
          <w:rFonts w:ascii="Times New Roman" w:hAnsi="Times New Roman"/>
          <w:sz w:val="24"/>
        </w:rPr>
        <w:t xml:space="preserve"> [1976] VR 244 at 254.</w:t>
      </w:r>
    </w:p>
  </w:footnote>
  <w:footnote w:id="54">
    <w:p w14:paraId="305176AC"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Demirok</w:t>
      </w:r>
      <w:r w:rsidRPr="001720E4">
        <w:rPr>
          <w:rFonts w:ascii="Times New Roman" w:hAnsi="Times New Roman"/>
          <w:sz w:val="24"/>
        </w:rPr>
        <w:t xml:space="preserve"> [1976] VR 244 at 254.</w:t>
      </w:r>
    </w:p>
  </w:footnote>
  <w:footnote w:id="55">
    <w:p w14:paraId="40426B97"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See s 21(3) of the Criminal Procedure Act.</w:t>
      </w:r>
    </w:p>
  </w:footnote>
  <w:footnote w:id="56">
    <w:p w14:paraId="4F266828"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Henry</w:t>
      </w:r>
      <w:r w:rsidRPr="001720E4">
        <w:rPr>
          <w:rFonts w:ascii="Times New Roman" w:hAnsi="Times New Roman"/>
          <w:sz w:val="24"/>
        </w:rPr>
        <w:t xml:space="preserve"> [2008] NSWCCA 248 at [12].</w:t>
      </w:r>
    </w:p>
  </w:footnote>
  <w:footnote w:id="57">
    <w:p w14:paraId="0F769A61" w14:textId="50945DC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also </w:t>
      </w:r>
      <w:r w:rsidR="005F4194" w:rsidRPr="001720E4">
        <w:rPr>
          <w:rFonts w:ascii="Times New Roman" w:hAnsi="Times New Roman"/>
          <w:i/>
          <w:iCs/>
          <w:sz w:val="24"/>
        </w:rPr>
        <w:t xml:space="preserve">R v </w:t>
      </w:r>
      <w:r w:rsidRPr="001720E4">
        <w:rPr>
          <w:rFonts w:ascii="Times New Roman" w:hAnsi="Times New Roman"/>
          <w:i/>
          <w:iCs/>
          <w:sz w:val="24"/>
        </w:rPr>
        <w:t>Jones and Waghorn</w:t>
      </w:r>
      <w:r w:rsidRPr="001720E4">
        <w:rPr>
          <w:rFonts w:ascii="Times New Roman" w:hAnsi="Times New Roman"/>
          <w:sz w:val="24"/>
        </w:rPr>
        <w:t xml:space="preserve"> (1991) 55 A Crim R 159 at 164, citing </w:t>
      </w:r>
      <w:r w:rsidR="009D05D1" w:rsidRPr="001720E4">
        <w:rPr>
          <w:rFonts w:ascii="Times New Roman" w:hAnsi="Times New Roman"/>
          <w:i/>
          <w:iCs/>
          <w:sz w:val="24"/>
        </w:rPr>
        <w:t xml:space="preserve">R v </w:t>
      </w:r>
      <w:r w:rsidRPr="001720E4">
        <w:rPr>
          <w:rFonts w:ascii="Times New Roman" w:hAnsi="Times New Roman"/>
          <w:i/>
          <w:iCs/>
          <w:sz w:val="24"/>
        </w:rPr>
        <w:t xml:space="preserve">Ditroia and Tucci </w:t>
      </w:r>
      <w:r w:rsidRPr="001720E4">
        <w:rPr>
          <w:rFonts w:ascii="Times New Roman" w:hAnsi="Times New Roman"/>
          <w:sz w:val="24"/>
        </w:rPr>
        <w:t>[1981] VR 247.</w:t>
      </w:r>
    </w:p>
  </w:footnote>
  <w:footnote w:id="58">
    <w:p w14:paraId="540D3887"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Caleo v The Queen</w:t>
      </w:r>
      <w:r w:rsidRPr="001720E4">
        <w:rPr>
          <w:rFonts w:ascii="Times New Roman" w:hAnsi="Times New Roman"/>
          <w:sz w:val="24"/>
        </w:rPr>
        <w:t xml:space="preserve"> (2021) 290 A Crim R 352 at 377-378 [137]-[138].</w:t>
      </w:r>
    </w:p>
  </w:footnote>
  <w:footnote w:id="59">
    <w:p w14:paraId="1A3E8337"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Awad v The Queen</w:t>
      </w:r>
      <w:r w:rsidRPr="001720E4">
        <w:rPr>
          <w:rFonts w:ascii="Times New Roman" w:hAnsi="Times New Roman"/>
          <w:sz w:val="24"/>
        </w:rPr>
        <w:t xml:space="preserve"> (2022) 296 A Crim R 561 at 587 [115], quoting </w:t>
      </w:r>
      <w:r w:rsidRPr="001720E4">
        <w:rPr>
          <w:rFonts w:ascii="Times New Roman" w:hAnsi="Times New Roman"/>
          <w:i/>
          <w:iCs/>
          <w:sz w:val="24"/>
        </w:rPr>
        <w:t>Jarvie v The Magistrates' Court of Victoria</w:t>
      </w:r>
      <w:r w:rsidRPr="001720E4">
        <w:rPr>
          <w:rFonts w:ascii="Times New Roman" w:hAnsi="Times New Roman"/>
          <w:sz w:val="24"/>
        </w:rPr>
        <w:t xml:space="preserve"> [1995] 1 VR 84 at 90.</w:t>
      </w:r>
    </w:p>
  </w:footnote>
  <w:footnote w:id="60">
    <w:p w14:paraId="6B3C853B" w14:textId="1ECF2756"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767FB7" w:rsidRPr="001720E4">
        <w:rPr>
          <w:rFonts w:ascii="Times New Roman" w:hAnsi="Times New Roman"/>
          <w:sz w:val="24"/>
        </w:rPr>
        <w:t>[</w:t>
      </w:r>
      <w:r w:rsidRPr="001720E4">
        <w:rPr>
          <w:rFonts w:ascii="Times New Roman" w:hAnsi="Times New Roman"/>
          <w:sz w:val="24"/>
        </w:rPr>
        <w:t>1952</w:t>
      </w:r>
      <w:r w:rsidR="00767FB7" w:rsidRPr="001720E4">
        <w:rPr>
          <w:rFonts w:ascii="Times New Roman" w:hAnsi="Times New Roman"/>
          <w:sz w:val="24"/>
        </w:rPr>
        <w:t>]</w:t>
      </w:r>
      <w:r w:rsidR="004D1383" w:rsidRPr="001720E4">
        <w:rPr>
          <w:rFonts w:ascii="Times New Roman" w:hAnsi="Times New Roman"/>
          <w:sz w:val="24"/>
        </w:rPr>
        <w:t xml:space="preserve"> 2 All ER 667</w:t>
      </w:r>
      <w:r w:rsidRPr="001720E4">
        <w:rPr>
          <w:rFonts w:ascii="Times New Roman" w:hAnsi="Times New Roman"/>
          <w:sz w:val="24"/>
        </w:rPr>
        <w:t>.</w:t>
      </w:r>
    </w:p>
  </w:footnote>
  <w:footnote w:id="61">
    <w:p w14:paraId="0BD027BE" w14:textId="3179302C"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767FB7" w:rsidRPr="001720E4">
        <w:rPr>
          <w:rFonts w:ascii="Times New Roman" w:hAnsi="Times New Roman"/>
          <w:sz w:val="24"/>
        </w:rPr>
        <w:t>[</w:t>
      </w:r>
      <w:r w:rsidRPr="001720E4">
        <w:rPr>
          <w:rFonts w:ascii="Times New Roman" w:hAnsi="Times New Roman"/>
          <w:sz w:val="24"/>
        </w:rPr>
        <w:t>1952</w:t>
      </w:r>
      <w:r w:rsidR="00767FB7" w:rsidRPr="001720E4">
        <w:rPr>
          <w:rFonts w:ascii="Times New Roman" w:hAnsi="Times New Roman"/>
          <w:sz w:val="24"/>
        </w:rPr>
        <w:t>]</w:t>
      </w:r>
      <w:r w:rsidRPr="001720E4">
        <w:rPr>
          <w:rFonts w:ascii="Times New Roman" w:hAnsi="Times New Roman"/>
          <w:sz w:val="24"/>
        </w:rPr>
        <w:t xml:space="preserve"> </w:t>
      </w:r>
      <w:r w:rsidR="001C1AFB" w:rsidRPr="001720E4">
        <w:rPr>
          <w:rFonts w:ascii="Times New Roman" w:hAnsi="Times New Roman"/>
          <w:sz w:val="24"/>
        </w:rPr>
        <w:t xml:space="preserve">2 All ER 667 at </w:t>
      </w:r>
      <w:r w:rsidR="006F035A" w:rsidRPr="001720E4">
        <w:rPr>
          <w:rFonts w:ascii="Times New Roman" w:hAnsi="Times New Roman"/>
          <w:sz w:val="24"/>
        </w:rPr>
        <w:t>669</w:t>
      </w:r>
      <w:r w:rsidR="001C1AFB" w:rsidRPr="001720E4">
        <w:rPr>
          <w:rFonts w:ascii="Times New Roman" w:hAnsi="Times New Roman"/>
          <w:sz w:val="24"/>
        </w:rPr>
        <w:t>.</w:t>
      </w:r>
    </w:p>
  </w:footnote>
  <w:footnote w:id="62">
    <w:p w14:paraId="4B914883" w14:textId="57A53E8D"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767FB7" w:rsidRPr="001720E4">
        <w:rPr>
          <w:rFonts w:ascii="Times New Roman" w:hAnsi="Times New Roman"/>
          <w:sz w:val="24"/>
        </w:rPr>
        <w:t>[</w:t>
      </w:r>
      <w:r w:rsidRPr="001720E4">
        <w:rPr>
          <w:rFonts w:ascii="Times New Roman" w:hAnsi="Times New Roman"/>
          <w:sz w:val="24"/>
        </w:rPr>
        <w:t>1952</w:t>
      </w:r>
      <w:r w:rsidR="00767FB7" w:rsidRPr="001720E4">
        <w:rPr>
          <w:rFonts w:ascii="Times New Roman" w:hAnsi="Times New Roman"/>
          <w:sz w:val="24"/>
        </w:rPr>
        <w:t>]</w:t>
      </w:r>
      <w:r w:rsidRPr="001720E4">
        <w:rPr>
          <w:rFonts w:ascii="Times New Roman" w:hAnsi="Times New Roman"/>
          <w:sz w:val="24"/>
        </w:rPr>
        <w:t xml:space="preserve"> </w:t>
      </w:r>
      <w:r w:rsidR="001C1AFB" w:rsidRPr="001720E4">
        <w:rPr>
          <w:rFonts w:ascii="Times New Roman" w:hAnsi="Times New Roman"/>
          <w:sz w:val="24"/>
        </w:rPr>
        <w:t xml:space="preserve">2 All ER 667 at </w:t>
      </w:r>
      <w:r w:rsidR="00C40690" w:rsidRPr="001720E4">
        <w:rPr>
          <w:rFonts w:ascii="Times New Roman" w:hAnsi="Times New Roman"/>
          <w:sz w:val="24"/>
        </w:rPr>
        <w:t>670</w:t>
      </w:r>
      <w:r w:rsidRPr="001720E4">
        <w:rPr>
          <w:rFonts w:ascii="Times New Roman" w:hAnsi="Times New Roman"/>
          <w:sz w:val="24"/>
        </w:rPr>
        <w:t>.</w:t>
      </w:r>
    </w:p>
  </w:footnote>
  <w:footnote w:id="63">
    <w:p w14:paraId="1F97B50A"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[1989] AC 288 at 296-297.</w:t>
      </w:r>
    </w:p>
  </w:footnote>
  <w:footnote w:id="64">
    <w:p w14:paraId="1A09063E" w14:textId="0B3ACE58"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[1995] 1 WLR 877</w:t>
      </w:r>
      <w:r w:rsidR="00C83C3A" w:rsidRPr="001720E4">
        <w:rPr>
          <w:rFonts w:ascii="Times New Roman" w:hAnsi="Times New Roman"/>
          <w:sz w:val="24"/>
        </w:rPr>
        <w:t xml:space="preserve"> at 886-889; [1995] 2 All ER 602 at 611-613</w:t>
      </w:r>
      <w:r w:rsidRPr="001720E4">
        <w:rPr>
          <w:rFonts w:ascii="Times New Roman" w:hAnsi="Times New Roman"/>
          <w:sz w:val="24"/>
        </w:rPr>
        <w:t>.</w:t>
      </w:r>
    </w:p>
  </w:footnote>
  <w:footnote w:id="65">
    <w:p w14:paraId="6741488B"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[1965] AC 574 at 584.</w:t>
      </w:r>
    </w:p>
  </w:footnote>
  <w:footnote w:id="66">
    <w:p w14:paraId="4E88FC6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1(f)(iii) of the </w:t>
      </w:r>
      <w:r w:rsidRPr="001720E4">
        <w:rPr>
          <w:rFonts w:ascii="Times New Roman" w:hAnsi="Times New Roman"/>
          <w:i/>
          <w:iCs/>
          <w:sz w:val="24"/>
        </w:rPr>
        <w:t>Criminal Evidence Act 1898</w:t>
      </w:r>
      <w:r w:rsidRPr="001720E4">
        <w:rPr>
          <w:rFonts w:ascii="Times New Roman" w:hAnsi="Times New Roman"/>
          <w:sz w:val="24"/>
        </w:rPr>
        <w:t xml:space="preserve"> (UK).</w:t>
      </w:r>
    </w:p>
  </w:footnote>
  <w:footnote w:id="67">
    <w:p w14:paraId="7847B137" w14:textId="660F900F"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[1995] 1 WLR 877 at 889</w:t>
      </w:r>
      <w:r w:rsidR="00C043B2" w:rsidRPr="001720E4">
        <w:rPr>
          <w:rFonts w:ascii="Times New Roman" w:hAnsi="Times New Roman"/>
          <w:sz w:val="24"/>
        </w:rPr>
        <w:t>; [1995] 2 All ER 602 at 613</w:t>
      </w:r>
      <w:r w:rsidRPr="001720E4">
        <w:rPr>
          <w:rFonts w:ascii="Times New Roman" w:hAnsi="Times New Roman"/>
          <w:sz w:val="24"/>
        </w:rPr>
        <w:t>.</w:t>
      </w:r>
    </w:p>
  </w:footnote>
  <w:footnote w:id="68">
    <w:p w14:paraId="716674DA"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(1995) 185 CLR 1 at 23.</w:t>
      </w:r>
    </w:p>
  </w:footnote>
  <w:footnote w:id="69">
    <w:p w14:paraId="029DC25D"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[1995] UKPC 25 at 4. </w:t>
      </w:r>
    </w:p>
  </w:footnote>
  <w:footnote w:id="70">
    <w:p w14:paraId="7936244D"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[1998] AC 124 at 136, 145.</w:t>
      </w:r>
    </w:p>
  </w:footnote>
  <w:footnote w:id="71">
    <w:p w14:paraId="2D1B98DC"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[2007] 3 NZLR 299 at 309 [60], [62].</w:t>
      </w:r>
    </w:p>
  </w:footnote>
  <w:footnote w:id="72">
    <w:p w14:paraId="16C3F648" w14:textId="6F9177FA"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Roughan</w:t>
      </w:r>
      <w:r w:rsidRPr="001720E4">
        <w:rPr>
          <w:rFonts w:ascii="Times New Roman" w:hAnsi="Times New Roman"/>
          <w:sz w:val="24"/>
        </w:rPr>
        <w:t xml:space="preserve"> </w:t>
      </w:r>
      <w:r w:rsidRPr="001720E4">
        <w:rPr>
          <w:rFonts w:ascii="Times New Roman" w:hAnsi="Times New Roman"/>
          <w:i/>
          <w:iCs/>
          <w:sz w:val="24"/>
        </w:rPr>
        <w:t>and Jones</w:t>
      </w:r>
      <w:r w:rsidRPr="001720E4">
        <w:rPr>
          <w:rFonts w:ascii="Times New Roman" w:hAnsi="Times New Roman"/>
          <w:sz w:val="24"/>
        </w:rPr>
        <w:t xml:space="preserve"> (2007) 179 A Crim R 389 at 403 [68]-[70] (</w:t>
      </w:r>
      <w:r w:rsidR="00FA259B" w:rsidRPr="001720E4">
        <w:rPr>
          <w:rFonts w:ascii="Times New Roman" w:hAnsi="Times New Roman"/>
          <w:sz w:val="24"/>
        </w:rPr>
        <w:t xml:space="preserve">410 </w:t>
      </w:r>
      <w:r w:rsidRPr="001720E4">
        <w:rPr>
          <w:rFonts w:ascii="Times New Roman" w:hAnsi="Times New Roman"/>
          <w:sz w:val="24"/>
        </w:rPr>
        <w:t xml:space="preserve">[102] contra), affirmed on other grounds in </w:t>
      </w:r>
      <w:r w:rsidRPr="001720E4">
        <w:rPr>
          <w:rFonts w:ascii="Times New Roman" w:hAnsi="Times New Roman"/>
          <w:i/>
          <w:iCs/>
          <w:sz w:val="24"/>
        </w:rPr>
        <w:t xml:space="preserve">Jones v </w:t>
      </w:r>
      <w:proofErr w:type="gramStart"/>
      <w:r w:rsidRPr="001720E4">
        <w:rPr>
          <w:rFonts w:ascii="Times New Roman" w:hAnsi="Times New Roman"/>
          <w:i/>
          <w:iCs/>
          <w:sz w:val="24"/>
        </w:rPr>
        <w:t>The</w:t>
      </w:r>
      <w:proofErr w:type="gramEnd"/>
      <w:r w:rsidRPr="001720E4">
        <w:rPr>
          <w:rFonts w:ascii="Times New Roman" w:hAnsi="Times New Roman"/>
          <w:i/>
          <w:iCs/>
          <w:sz w:val="24"/>
        </w:rPr>
        <w:t xml:space="preserve"> Queen</w:t>
      </w:r>
      <w:r w:rsidRPr="001720E4">
        <w:rPr>
          <w:rFonts w:ascii="Times New Roman" w:hAnsi="Times New Roman"/>
          <w:sz w:val="24"/>
        </w:rPr>
        <w:t xml:space="preserve"> (2009) 83 ALJR 671; 254 ALR 626.</w:t>
      </w:r>
    </w:p>
  </w:footnote>
  <w:footnote w:id="73">
    <w:p w14:paraId="76CBF122"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 v Murch</w:t>
      </w:r>
      <w:r w:rsidRPr="001720E4">
        <w:rPr>
          <w:rFonts w:ascii="Times New Roman" w:hAnsi="Times New Roman"/>
          <w:sz w:val="24"/>
        </w:rPr>
        <w:t xml:space="preserve"> (2014) 119 SASR 427 at 435-436 [33]-[38].</w:t>
      </w:r>
    </w:p>
  </w:footnote>
  <w:footnote w:id="74">
    <w:p w14:paraId="08EEA269" w14:textId="16C4C9A9"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Russell v Western Australia</w:t>
      </w:r>
      <w:r w:rsidRPr="001720E4">
        <w:rPr>
          <w:rFonts w:ascii="Times New Roman" w:hAnsi="Times New Roman"/>
          <w:sz w:val="24"/>
        </w:rPr>
        <w:t xml:space="preserve"> (2011) 214 A Crim R 326 at 348 [79]; </w:t>
      </w:r>
      <w:r w:rsidRPr="001720E4">
        <w:rPr>
          <w:rFonts w:ascii="Times New Roman" w:hAnsi="Times New Roman"/>
          <w:i/>
          <w:iCs/>
          <w:sz w:val="24"/>
        </w:rPr>
        <w:t>Mansfield v Western Australia</w:t>
      </w:r>
      <w:r w:rsidRPr="001720E4">
        <w:rPr>
          <w:rFonts w:ascii="Times New Roman" w:hAnsi="Times New Roman"/>
          <w:sz w:val="24"/>
        </w:rPr>
        <w:t xml:space="preserve"> (2017) 52 WAR 233 at 257 [106]. Compare </w:t>
      </w:r>
      <w:r w:rsidRPr="001720E4">
        <w:rPr>
          <w:rFonts w:ascii="Times New Roman" w:hAnsi="Times New Roman"/>
          <w:i/>
          <w:iCs/>
          <w:sz w:val="24"/>
        </w:rPr>
        <w:t xml:space="preserve">Kazemi v </w:t>
      </w:r>
      <w:r w:rsidR="00754010" w:rsidRPr="001720E4">
        <w:rPr>
          <w:rFonts w:ascii="Times New Roman" w:hAnsi="Times New Roman"/>
          <w:i/>
          <w:iCs/>
          <w:sz w:val="24"/>
        </w:rPr>
        <w:t xml:space="preserve">The Queen </w:t>
      </w:r>
      <w:r w:rsidR="00754010" w:rsidRPr="001720E4">
        <w:rPr>
          <w:rFonts w:ascii="Times New Roman" w:hAnsi="Times New Roman"/>
          <w:sz w:val="24"/>
        </w:rPr>
        <w:t>(2003) 28 WAR 176 at 177 [8], 184 [58]</w:t>
      </w:r>
      <w:r w:rsidR="00387FAC" w:rsidRPr="001720E4">
        <w:rPr>
          <w:rFonts w:ascii="Times New Roman" w:hAnsi="Times New Roman"/>
          <w:sz w:val="24"/>
        </w:rPr>
        <w:t>, [60]</w:t>
      </w:r>
      <w:r w:rsidRPr="001720E4">
        <w:rPr>
          <w:rFonts w:ascii="Times New Roman" w:hAnsi="Times New Roman"/>
          <w:sz w:val="24"/>
        </w:rPr>
        <w:t>.</w:t>
      </w:r>
    </w:p>
  </w:footnote>
  <w:footnote w:id="75">
    <w:p w14:paraId="45D94FC4"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[1980] 2 NSWLR 526 at 535.</w:t>
      </w:r>
    </w:p>
  </w:footnote>
  <w:footnote w:id="76">
    <w:p w14:paraId="3CD5DFD4" w14:textId="20CDE585"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(1983) 12 A Crim R 315 at 320, 325-326</w:t>
      </w:r>
      <w:r w:rsidR="00793058" w:rsidRPr="001720E4">
        <w:rPr>
          <w:rFonts w:ascii="Times New Roman" w:hAnsi="Times New Roman"/>
          <w:sz w:val="24"/>
        </w:rPr>
        <w:t>. A</w:t>
      </w:r>
      <w:r w:rsidR="00F66938" w:rsidRPr="001720E4">
        <w:rPr>
          <w:rFonts w:ascii="Times New Roman" w:hAnsi="Times New Roman"/>
          <w:sz w:val="24"/>
        </w:rPr>
        <w:t xml:space="preserve">n abridged </w:t>
      </w:r>
      <w:r w:rsidR="002B58C7" w:rsidRPr="001720E4">
        <w:rPr>
          <w:rFonts w:ascii="Times New Roman" w:hAnsi="Times New Roman"/>
          <w:sz w:val="24"/>
        </w:rPr>
        <w:t>report is available at</w:t>
      </w:r>
      <w:r w:rsidR="00793058" w:rsidRPr="001720E4">
        <w:rPr>
          <w:rFonts w:ascii="Times New Roman" w:hAnsi="Times New Roman"/>
          <w:sz w:val="24"/>
        </w:rPr>
        <w:t xml:space="preserve"> [1983] 3 NSWLR </w:t>
      </w:r>
      <w:r w:rsidR="00AA08F8" w:rsidRPr="001720E4">
        <w:rPr>
          <w:rFonts w:ascii="Times New Roman" w:hAnsi="Times New Roman"/>
          <w:sz w:val="24"/>
        </w:rPr>
        <w:t xml:space="preserve">240. </w:t>
      </w:r>
    </w:p>
  </w:footnote>
  <w:footnote w:id="77">
    <w:p w14:paraId="73F8A8BF"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[1997] 1 VR 1 at 65-66.</w:t>
      </w:r>
    </w:p>
  </w:footnote>
  <w:footnote w:id="78">
    <w:p w14:paraId="256E945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[1980] VR 353.</w:t>
      </w:r>
    </w:p>
  </w:footnote>
  <w:footnote w:id="79">
    <w:p w14:paraId="1E3D5EEB"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[1983] 2 VR 155 at 163. See also </w:t>
      </w:r>
      <w:r w:rsidRPr="001720E4">
        <w:rPr>
          <w:rFonts w:ascii="Times New Roman" w:hAnsi="Times New Roman"/>
          <w:i/>
          <w:sz w:val="24"/>
        </w:rPr>
        <w:t xml:space="preserve">R v </w:t>
      </w:r>
      <w:r w:rsidRPr="001720E4">
        <w:rPr>
          <w:rFonts w:ascii="Times New Roman" w:hAnsi="Times New Roman"/>
          <w:i/>
          <w:iCs/>
          <w:sz w:val="24"/>
        </w:rPr>
        <w:t xml:space="preserve">Carranceja </w:t>
      </w:r>
      <w:r w:rsidRPr="001720E4">
        <w:rPr>
          <w:rFonts w:ascii="Times New Roman" w:hAnsi="Times New Roman"/>
          <w:sz w:val="24"/>
        </w:rPr>
        <w:t>(1989) 42 A Crim R 402 at 407.</w:t>
      </w:r>
    </w:p>
  </w:footnote>
  <w:footnote w:id="80">
    <w:p w14:paraId="336F0F4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[1980] VR 353 at 385.</w:t>
      </w:r>
    </w:p>
  </w:footnote>
  <w:footnote w:id="81">
    <w:p w14:paraId="46A9C938" w14:textId="5C450480"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w:t>
      </w:r>
      <w:r w:rsidR="00793540" w:rsidRPr="001720E4">
        <w:rPr>
          <w:rFonts w:ascii="Times New Roman" w:hAnsi="Times New Roman"/>
          <w:sz w:val="24"/>
        </w:rPr>
        <w:t xml:space="preserve">cl </w:t>
      </w:r>
      <w:r w:rsidRPr="001720E4">
        <w:rPr>
          <w:rFonts w:ascii="Times New Roman" w:hAnsi="Times New Roman"/>
          <w:sz w:val="24"/>
        </w:rPr>
        <w:t xml:space="preserve">114 of the Draft Evidence Bill in </w:t>
      </w:r>
      <w:r w:rsidR="00793540" w:rsidRPr="001720E4">
        <w:rPr>
          <w:rFonts w:ascii="Times New Roman" w:hAnsi="Times New Roman"/>
          <w:sz w:val="24"/>
        </w:rPr>
        <w:t xml:space="preserve">Australian Law Reform Commission, </w:t>
      </w:r>
      <w:r w:rsidR="00793540" w:rsidRPr="001720E4">
        <w:rPr>
          <w:rFonts w:ascii="Times New Roman" w:hAnsi="Times New Roman"/>
          <w:i/>
          <w:iCs/>
          <w:sz w:val="24"/>
        </w:rPr>
        <w:t>Evidence</w:t>
      </w:r>
      <w:r w:rsidR="00214877" w:rsidRPr="001720E4">
        <w:rPr>
          <w:rFonts w:ascii="Times New Roman" w:hAnsi="Times New Roman"/>
          <w:sz w:val="24"/>
        </w:rPr>
        <w:t>,</w:t>
      </w:r>
      <w:r w:rsidR="00793540" w:rsidRPr="001720E4">
        <w:rPr>
          <w:rFonts w:ascii="Times New Roman" w:hAnsi="Times New Roman"/>
          <w:sz w:val="24"/>
        </w:rPr>
        <w:t xml:space="preserve"> </w:t>
      </w:r>
      <w:r w:rsidRPr="001720E4">
        <w:rPr>
          <w:rFonts w:ascii="Times New Roman" w:hAnsi="Times New Roman"/>
          <w:sz w:val="24"/>
        </w:rPr>
        <w:t>Report No 26</w:t>
      </w:r>
      <w:r w:rsidR="00214877" w:rsidRPr="001720E4">
        <w:rPr>
          <w:rFonts w:ascii="Times New Roman" w:hAnsi="Times New Roman"/>
          <w:sz w:val="24"/>
        </w:rPr>
        <w:t xml:space="preserve"> (1985),</w:t>
      </w:r>
      <w:r w:rsidRPr="001720E4">
        <w:rPr>
          <w:rFonts w:ascii="Times New Roman" w:hAnsi="Times New Roman"/>
          <w:sz w:val="24"/>
        </w:rPr>
        <w:t xml:space="preserve"> </w:t>
      </w:r>
      <w:r w:rsidR="00214877" w:rsidRPr="001720E4">
        <w:rPr>
          <w:rFonts w:ascii="Times New Roman" w:hAnsi="Times New Roman"/>
          <w:sz w:val="24"/>
        </w:rPr>
        <w:t>v</w:t>
      </w:r>
      <w:r w:rsidRPr="001720E4">
        <w:rPr>
          <w:rFonts w:ascii="Times New Roman" w:hAnsi="Times New Roman"/>
          <w:sz w:val="24"/>
        </w:rPr>
        <w:t>ol 2 at 57.</w:t>
      </w:r>
    </w:p>
  </w:footnote>
  <w:footnote w:id="82">
    <w:p w14:paraId="7A994C8C" w14:textId="231E383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008B70EA" w:rsidRPr="001720E4">
        <w:rPr>
          <w:rFonts w:ascii="Times New Roman" w:hAnsi="Times New Roman"/>
          <w:sz w:val="24"/>
        </w:rPr>
        <w:t xml:space="preserve">Australian Law Reform Commission, </w:t>
      </w:r>
      <w:r w:rsidR="008B70EA" w:rsidRPr="001720E4">
        <w:rPr>
          <w:rFonts w:ascii="Times New Roman" w:hAnsi="Times New Roman"/>
          <w:i/>
          <w:iCs/>
          <w:sz w:val="24"/>
        </w:rPr>
        <w:t>Evidence</w:t>
      </w:r>
      <w:r w:rsidR="008B70EA" w:rsidRPr="001720E4">
        <w:rPr>
          <w:rFonts w:ascii="Times New Roman" w:hAnsi="Times New Roman"/>
          <w:sz w:val="24"/>
        </w:rPr>
        <w:t>, Report No 26 (1985), vol 1</w:t>
      </w:r>
      <w:r w:rsidR="00ED5F73" w:rsidRPr="001720E4">
        <w:rPr>
          <w:rFonts w:ascii="Times New Roman" w:hAnsi="Times New Roman"/>
          <w:sz w:val="24"/>
        </w:rPr>
        <w:t xml:space="preserve"> at </w:t>
      </w:r>
      <w:r w:rsidRPr="001720E4">
        <w:rPr>
          <w:rFonts w:ascii="Times New Roman" w:hAnsi="Times New Roman"/>
          <w:sz w:val="24"/>
        </w:rPr>
        <w:t>464 [811].</w:t>
      </w:r>
    </w:p>
  </w:footnote>
  <w:footnote w:id="83">
    <w:p w14:paraId="661A8394"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Western Australia v Commonwealth</w:t>
      </w:r>
      <w:r w:rsidRPr="001720E4">
        <w:rPr>
          <w:rFonts w:ascii="Times New Roman" w:hAnsi="Times New Roman"/>
          <w:sz w:val="24"/>
        </w:rPr>
        <w:t xml:space="preserve"> (1995) 183 CLR 373 at 485. See </w:t>
      </w:r>
      <w:r w:rsidRPr="001720E4">
        <w:rPr>
          <w:rFonts w:ascii="Times New Roman" w:hAnsi="Times New Roman"/>
          <w:i/>
          <w:sz w:val="24"/>
        </w:rPr>
        <w:t>Meteyard v Love</w:t>
      </w:r>
      <w:r w:rsidRPr="001720E4">
        <w:rPr>
          <w:rFonts w:ascii="Times New Roman" w:hAnsi="Times New Roman"/>
          <w:sz w:val="24"/>
        </w:rPr>
        <w:t xml:space="preserve"> (2005) 65 NSWLR 36 at 67 [118].</w:t>
      </w:r>
    </w:p>
  </w:footnote>
  <w:footnote w:id="84">
    <w:p w14:paraId="2236B430"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Aid/Watch Inc. v Federal Commissioner of Taxation</w:t>
      </w:r>
      <w:r w:rsidRPr="001720E4">
        <w:rPr>
          <w:rFonts w:ascii="Times New Roman" w:hAnsi="Times New Roman"/>
          <w:sz w:val="24"/>
        </w:rPr>
        <w:t xml:space="preserve"> (2010) 241 CLR 539 at 549 [23].</w:t>
      </w:r>
    </w:p>
  </w:footnote>
  <w:footnote w:id="85">
    <w:p w14:paraId="27AB4CBD"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Compare </w:t>
      </w:r>
      <w:r w:rsidRPr="001720E4">
        <w:rPr>
          <w:rFonts w:ascii="Times New Roman" w:hAnsi="Times New Roman"/>
          <w:i/>
          <w:iCs/>
          <w:sz w:val="24"/>
        </w:rPr>
        <w:t xml:space="preserve">Coco v The Queen </w:t>
      </w:r>
      <w:r w:rsidRPr="001720E4">
        <w:rPr>
          <w:rFonts w:ascii="Times New Roman" w:hAnsi="Times New Roman"/>
          <w:sz w:val="24"/>
        </w:rPr>
        <w:t>(1994) 179 CLR 427 at 437.</w:t>
      </w:r>
    </w:p>
  </w:footnote>
  <w:footnote w:id="86">
    <w:p w14:paraId="71ABA415"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Compare </w:t>
      </w:r>
      <w:r w:rsidRPr="001720E4">
        <w:rPr>
          <w:rFonts w:ascii="Times New Roman" w:hAnsi="Times New Roman"/>
          <w:i/>
          <w:iCs/>
          <w:sz w:val="24"/>
        </w:rPr>
        <w:t xml:space="preserve">Coco v The Queen </w:t>
      </w:r>
      <w:r w:rsidRPr="001720E4">
        <w:rPr>
          <w:rFonts w:ascii="Times New Roman" w:hAnsi="Times New Roman"/>
          <w:sz w:val="24"/>
        </w:rPr>
        <w:t>(1994) 179 CLR 427 at 437-438.</w:t>
      </w:r>
    </w:p>
  </w:footnote>
  <w:footnote w:id="87">
    <w:p w14:paraId="60C2A70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New South Wales, Legislative Council, </w:t>
      </w:r>
      <w:r w:rsidRPr="001720E4">
        <w:rPr>
          <w:rFonts w:ascii="Times New Roman" w:hAnsi="Times New Roman"/>
          <w:i/>
          <w:iCs/>
          <w:sz w:val="24"/>
        </w:rPr>
        <w:t xml:space="preserve">Parliamentary Debates </w:t>
      </w:r>
      <w:r w:rsidRPr="001720E4">
        <w:rPr>
          <w:rFonts w:ascii="Times New Roman" w:hAnsi="Times New Roman"/>
          <w:sz w:val="24"/>
        </w:rPr>
        <w:t xml:space="preserve">(Hansard), 24 May 1995 at 114. </w:t>
      </w:r>
    </w:p>
  </w:footnote>
  <w:footnote w:id="88">
    <w:p w14:paraId="268E7283"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(1999) 196 CLR 297 at 302 [10]. See also at 310 [39], 312 [46], 324 [88]. See also </w:t>
      </w:r>
      <w:r w:rsidRPr="001720E4">
        <w:rPr>
          <w:rFonts w:ascii="Times New Roman" w:hAnsi="Times New Roman"/>
          <w:i/>
          <w:iCs/>
          <w:sz w:val="24"/>
        </w:rPr>
        <w:t>IMM v The Queen</w:t>
      </w:r>
      <w:r w:rsidRPr="001720E4">
        <w:rPr>
          <w:rFonts w:ascii="Times New Roman" w:hAnsi="Times New Roman"/>
          <w:sz w:val="24"/>
        </w:rPr>
        <w:t xml:space="preserve"> (2016) 257 CLR 300 at 311 [35].</w:t>
      </w:r>
    </w:p>
  </w:footnote>
  <w:footnote w:id="89">
    <w:p w14:paraId="41CBE38E"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(2007) 231 CLR 260 at 289 [72].</w:t>
      </w:r>
    </w:p>
  </w:footnote>
  <w:footnote w:id="90">
    <w:p w14:paraId="45E5A1DE"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4(1) of the Evidence Act. </w:t>
      </w:r>
    </w:p>
  </w:footnote>
  <w:footnote w:id="91">
    <w:p w14:paraId="157F8EFA"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Evidence Act (definition of "civil proceeding").</w:t>
      </w:r>
    </w:p>
  </w:footnote>
  <w:footnote w:id="92">
    <w:p w14:paraId="599CD1AE"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Evidence Act (definition of "criminal proceeding"). </w:t>
      </w:r>
    </w:p>
  </w:footnote>
  <w:footnote w:id="93">
    <w:p w14:paraId="7024D74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Section 20 of the Evidence Act. </w:t>
      </w:r>
    </w:p>
  </w:footnote>
  <w:footnote w:id="94">
    <w:p w14:paraId="50639B2E"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Rogerson v The Queen</w:t>
      </w:r>
      <w:r w:rsidRPr="001720E4">
        <w:rPr>
          <w:rFonts w:ascii="Times New Roman" w:hAnsi="Times New Roman"/>
          <w:sz w:val="24"/>
        </w:rPr>
        <w:t xml:space="preserve"> (2021) 290 A Crim R 239 at 254 [522].</w:t>
      </w:r>
    </w:p>
  </w:footnote>
  <w:footnote w:id="95">
    <w:p w14:paraId="18450C34"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iCs/>
          <w:sz w:val="24"/>
        </w:rPr>
        <w:t>Rogerson v The Queen</w:t>
      </w:r>
      <w:r w:rsidRPr="001720E4">
        <w:rPr>
          <w:rFonts w:ascii="Times New Roman" w:hAnsi="Times New Roman"/>
          <w:sz w:val="24"/>
        </w:rPr>
        <w:t xml:space="preserve"> (2021) 290 A Crim R 239 at 252-253 [516]. See ss 5(2) and 8(b) of the </w:t>
      </w:r>
      <w:r w:rsidRPr="001720E4">
        <w:rPr>
          <w:rFonts w:ascii="Times New Roman" w:hAnsi="Times New Roman"/>
          <w:i/>
          <w:iCs/>
          <w:sz w:val="24"/>
        </w:rPr>
        <w:t>Interpretation Act 1987</w:t>
      </w:r>
      <w:r w:rsidRPr="001720E4">
        <w:rPr>
          <w:rFonts w:ascii="Times New Roman" w:hAnsi="Times New Roman"/>
          <w:sz w:val="24"/>
        </w:rPr>
        <w:t xml:space="preserve"> (NSW).</w:t>
      </w:r>
    </w:p>
  </w:footnote>
  <w:footnote w:id="96">
    <w:p w14:paraId="2BF1EE39" w14:textId="378464F9"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See, eg, ss 20, 66(3), 73(2), 85, 101, 104</w:t>
      </w:r>
      <w:r w:rsidR="001E1871" w:rsidRPr="001720E4">
        <w:rPr>
          <w:rFonts w:ascii="Times New Roman" w:hAnsi="Times New Roman"/>
          <w:sz w:val="24"/>
        </w:rPr>
        <w:t xml:space="preserve"> of the Evidence Act</w:t>
      </w:r>
      <w:r w:rsidRPr="001720E4">
        <w:rPr>
          <w:rFonts w:ascii="Times New Roman" w:hAnsi="Times New Roman"/>
          <w:sz w:val="24"/>
        </w:rPr>
        <w:t>.</w:t>
      </w:r>
    </w:p>
  </w:footnote>
  <w:footnote w:id="97">
    <w:p w14:paraId="7B4CD78C" w14:textId="75921F31"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Compare </w:t>
      </w:r>
      <w:r w:rsidRPr="001720E4">
        <w:rPr>
          <w:rFonts w:ascii="Times New Roman" w:hAnsi="Times New Roman"/>
          <w:i/>
          <w:iCs/>
          <w:sz w:val="24"/>
        </w:rPr>
        <w:t>Kirk v Industrial Court of New South Wales</w:t>
      </w:r>
      <w:r w:rsidRPr="001720E4">
        <w:rPr>
          <w:rFonts w:ascii="Times New Roman" w:hAnsi="Times New Roman"/>
          <w:sz w:val="24"/>
        </w:rPr>
        <w:t xml:space="preserve"> (2010) 239 CLR 531 at </w:t>
      </w:r>
      <w:r w:rsidR="00D63403" w:rsidRPr="001720E4">
        <w:rPr>
          <w:rFonts w:ascii="Times New Roman" w:hAnsi="Times New Roman"/>
          <w:sz w:val="24"/>
        </w:rPr>
        <w:t xml:space="preserve">565 </w:t>
      </w:r>
      <w:r w:rsidRPr="001720E4">
        <w:rPr>
          <w:rFonts w:ascii="Times New Roman" w:hAnsi="Times New Roman"/>
          <w:sz w:val="24"/>
        </w:rPr>
        <w:t>[51]-[52].</w:t>
      </w:r>
    </w:p>
  </w:footnote>
  <w:footnote w:id="98">
    <w:p w14:paraId="4DF603B4" w14:textId="72DBE28B"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See </w:t>
      </w:r>
      <w:r w:rsidR="00313D49" w:rsidRPr="001720E4">
        <w:rPr>
          <w:rFonts w:ascii="Times New Roman" w:hAnsi="Times New Roman"/>
          <w:i/>
          <w:iCs/>
          <w:sz w:val="24"/>
        </w:rPr>
        <w:t xml:space="preserve">RPS v The Queen </w:t>
      </w:r>
      <w:r w:rsidR="00313D49" w:rsidRPr="001720E4">
        <w:rPr>
          <w:rFonts w:ascii="Times New Roman" w:hAnsi="Times New Roman"/>
          <w:sz w:val="24"/>
        </w:rPr>
        <w:t xml:space="preserve">(2000) 199 CLR 620; </w:t>
      </w:r>
      <w:r w:rsidRPr="001720E4">
        <w:rPr>
          <w:rFonts w:ascii="Times New Roman" w:hAnsi="Times New Roman"/>
          <w:i/>
          <w:iCs/>
          <w:sz w:val="24"/>
        </w:rPr>
        <w:t xml:space="preserve">Azzopardi v The Queen </w:t>
      </w:r>
      <w:r w:rsidRPr="001720E4">
        <w:rPr>
          <w:rFonts w:ascii="Times New Roman" w:hAnsi="Times New Roman"/>
          <w:sz w:val="24"/>
        </w:rPr>
        <w:t>(2001) 205 CLR 50</w:t>
      </w:r>
      <w:r w:rsidR="00313D49" w:rsidRPr="001720E4">
        <w:rPr>
          <w:rFonts w:ascii="Times New Roman" w:hAnsi="Times New Roman"/>
          <w:sz w:val="24"/>
        </w:rPr>
        <w:t>.</w:t>
      </w:r>
    </w:p>
  </w:footnote>
  <w:footnote w:id="99">
    <w:p w14:paraId="71F8F551" w14:textId="77777777"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Clause 7 of Pt 2 of the Dictionary to the Evidence Act.</w:t>
      </w:r>
    </w:p>
  </w:footnote>
  <w:footnote w:id="100">
    <w:p w14:paraId="76E817F6"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 xml:space="preserve">(2003) 48 ACSR 282 at 287 [22]. See also </w:t>
      </w:r>
      <w:r w:rsidRPr="001720E4">
        <w:rPr>
          <w:rFonts w:ascii="Times New Roman" w:hAnsi="Times New Roman"/>
          <w:i/>
          <w:iCs/>
          <w:sz w:val="24"/>
        </w:rPr>
        <w:t>Johnstone v New South Wales</w:t>
      </w:r>
      <w:r w:rsidRPr="001720E4">
        <w:rPr>
          <w:rFonts w:ascii="Times New Roman" w:hAnsi="Times New Roman"/>
          <w:sz w:val="24"/>
        </w:rPr>
        <w:t xml:space="preserve"> (2010) 202 A Crim R 422 at 448 [102].</w:t>
      </w:r>
    </w:p>
  </w:footnote>
  <w:footnote w:id="101">
    <w:p w14:paraId="40EC3C2B" w14:textId="77777777" w:rsidR="007F652D" w:rsidRPr="001720E4" w:rsidRDefault="007F652D" w:rsidP="001720E4">
      <w:pPr>
        <w:pStyle w:val="FootnoteText"/>
        <w:spacing w:line="280" w:lineRule="exact"/>
        <w:ind w:right="0"/>
        <w:jc w:val="both"/>
        <w:rPr>
          <w:rFonts w:ascii="Times New Roman" w:hAnsi="Times New Roman"/>
          <w:sz w:val="24"/>
          <w:lang w:val="en-US"/>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r>
      <w:r w:rsidRPr="001720E4">
        <w:rPr>
          <w:rFonts w:ascii="Times New Roman" w:hAnsi="Times New Roman"/>
          <w:i/>
          <w:sz w:val="24"/>
        </w:rPr>
        <w:t>Smith v The Queen</w:t>
      </w:r>
      <w:r w:rsidRPr="001720E4">
        <w:rPr>
          <w:rFonts w:ascii="Times New Roman" w:hAnsi="Times New Roman"/>
          <w:sz w:val="24"/>
        </w:rPr>
        <w:t xml:space="preserve"> (2001) 206 CLR 650 at 654 [7]. See also </w:t>
      </w:r>
      <w:r w:rsidRPr="001720E4">
        <w:rPr>
          <w:rFonts w:ascii="Times New Roman" w:hAnsi="Times New Roman"/>
          <w:i/>
          <w:sz w:val="24"/>
        </w:rPr>
        <w:t>Hughes v The Queen</w:t>
      </w:r>
      <w:r w:rsidRPr="001720E4">
        <w:rPr>
          <w:rFonts w:ascii="Times New Roman" w:hAnsi="Times New Roman"/>
          <w:sz w:val="24"/>
        </w:rPr>
        <w:t xml:space="preserve"> (2017) 263 CLR 338 at 349 [16].</w:t>
      </w:r>
    </w:p>
  </w:footnote>
  <w:footnote w:id="102">
    <w:p w14:paraId="41CD0494" w14:textId="4A20B819" w:rsidR="007F652D" w:rsidRPr="001720E4" w:rsidRDefault="007F652D" w:rsidP="001720E4">
      <w:pPr>
        <w:pStyle w:val="FootnoteText"/>
        <w:spacing w:line="280" w:lineRule="exact"/>
        <w:ind w:right="0"/>
        <w:jc w:val="both"/>
        <w:rPr>
          <w:rFonts w:ascii="Times New Roman" w:hAnsi="Times New Roman"/>
          <w:sz w:val="24"/>
        </w:rPr>
      </w:pPr>
      <w:r w:rsidRPr="001720E4">
        <w:rPr>
          <w:rStyle w:val="FootnoteReference"/>
          <w:rFonts w:ascii="Times New Roman" w:hAnsi="Times New Roman"/>
          <w:sz w:val="22"/>
          <w:vertAlign w:val="baseline"/>
        </w:rPr>
        <w:footnoteRef/>
      </w:r>
      <w:r w:rsidRPr="001720E4">
        <w:rPr>
          <w:rFonts w:ascii="Times New Roman" w:hAnsi="Times New Roman"/>
          <w:sz w:val="24"/>
        </w:rPr>
        <w:t xml:space="preserve"> </w:t>
      </w:r>
      <w:r w:rsidRPr="001720E4">
        <w:rPr>
          <w:rFonts w:ascii="Times New Roman" w:hAnsi="Times New Roman"/>
          <w:sz w:val="24"/>
        </w:rPr>
        <w:tab/>
        <w:t>Section 192</w:t>
      </w:r>
      <w:r w:rsidR="00617529" w:rsidRPr="001720E4">
        <w:rPr>
          <w:rFonts w:ascii="Times New Roman" w:hAnsi="Times New Roman"/>
          <w:sz w:val="24"/>
        </w:rPr>
        <w:t>(2)(b)</w:t>
      </w:r>
      <w:r w:rsidRPr="001720E4">
        <w:rPr>
          <w:rFonts w:ascii="Times New Roman" w:hAnsi="Times New Roman"/>
          <w:sz w:val="24"/>
        </w:rPr>
        <w:t xml:space="preserve"> of the Evidence Act.</w:t>
      </w:r>
    </w:p>
  </w:footnote>
  <w:footnote w:id="103">
    <w:p w14:paraId="6FE62FE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IMM v The Queen</w:t>
      </w:r>
      <w:r w:rsidRPr="004C50DC">
        <w:rPr>
          <w:rFonts w:ascii="Times New Roman" w:hAnsi="Times New Roman"/>
          <w:sz w:val="24"/>
        </w:rPr>
        <w:t xml:space="preserve"> (2016) 257 CLR 300 at 311 [35], citing </w:t>
      </w:r>
      <w:proofErr w:type="spellStart"/>
      <w:r w:rsidRPr="004C50DC">
        <w:rPr>
          <w:rFonts w:ascii="Times New Roman" w:hAnsi="Times New Roman"/>
          <w:i/>
          <w:iCs/>
          <w:sz w:val="24"/>
        </w:rPr>
        <w:t>Papakosmas</w:t>
      </w:r>
      <w:proofErr w:type="spellEnd"/>
      <w:r w:rsidRPr="004C50DC">
        <w:rPr>
          <w:rFonts w:ascii="Times New Roman" w:hAnsi="Times New Roman"/>
          <w:i/>
          <w:iCs/>
          <w:sz w:val="24"/>
        </w:rPr>
        <w:t xml:space="preserve"> v The Queen</w:t>
      </w:r>
      <w:r w:rsidRPr="004C50DC">
        <w:rPr>
          <w:rFonts w:ascii="Times New Roman" w:hAnsi="Times New Roman"/>
          <w:sz w:val="24"/>
        </w:rPr>
        <w:t xml:space="preserve"> (1999) 196 CLR 297 at 302 [10] and </w:t>
      </w:r>
      <w:r w:rsidRPr="004C50DC">
        <w:rPr>
          <w:rFonts w:ascii="Times New Roman" w:hAnsi="Times New Roman"/>
          <w:i/>
          <w:iCs/>
          <w:sz w:val="24"/>
        </w:rPr>
        <w:t>R v Ellis</w:t>
      </w:r>
      <w:r w:rsidRPr="004C50DC">
        <w:rPr>
          <w:rFonts w:ascii="Times New Roman" w:hAnsi="Times New Roman"/>
          <w:sz w:val="24"/>
        </w:rPr>
        <w:t xml:space="preserve"> (2003) 58 NSWLR 700 at 716-717 [78].</w:t>
      </w:r>
    </w:p>
  </w:footnote>
  <w:footnote w:id="104">
    <w:p w14:paraId="6CC7B223"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s 4.</w:t>
      </w:r>
    </w:p>
  </w:footnote>
  <w:footnote w:id="105">
    <w:p w14:paraId="4409DC08"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Papakosmas</w:t>
      </w:r>
      <w:proofErr w:type="spellEnd"/>
      <w:r w:rsidRPr="004C50DC">
        <w:rPr>
          <w:rFonts w:ascii="Times New Roman" w:hAnsi="Times New Roman"/>
          <w:i/>
          <w:iCs/>
          <w:sz w:val="24"/>
        </w:rPr>
        <w:t xml:space="preserve"> </w:t>
      </w:r>
      <w:r w:rsidRPr="004C50DC">
        <w:rPr>
          <w:rFonts w:ascii="Times New Roman" w:hAnsi="Times New Roman"/>
          <w:sz w:val="24"/>
        </w:rPr>
        <w:t xml:space="preserve">(1999) 196 CLR 297 at 302 [10], 310 [38]-[40], 312 [46], 324 [88]; </w:t>
      </w:r>
      <w:r w:rsidRPr="004C50DC">
        <w:rPr>
          <w:rFonts w:ascii="Times New Roman" w:hAnsi="Times New Roman"/>
          <w:i/>
          <w:iCs/>
          <w:sz w:val="24"/>
        </w:rPr>
        <w:t>Ellis</w:t>
      </w:r>
      <w:r w:rsidRPr="004C50DC">
        <w:rPr>
          <w:rFonts w:ascii="Times New Roman" w:hAnsi="Times New Roman"/>
          <w:sz w:val="24"/>
        </w:rPr>
        <w:t xml:space="preserve"> (2003) 58 NSWLR 700 at 715-717 [70], [74], [78]; </w:t>
      </w:r>
      <w:r w:rsidRPr="004C50DC">
        <w:rPr>
          <w:rFonts w:ascii="Times New Roman" w:hAnsi="Times New Roman"/>
          <w:i/>
          <w:iCs/>
          <w:sz w:val="24"/>
        </w:rPr>
        <w:t xml:space="preserve">IMM </w:t>
      </w:r>
      <w:r w:rsidRPr="004C50DC">
        <w:rPr>
          <w:rFonts w:ascii="Times New Roman" w:hAnsi="Times New Roman"/>
          <w:sz w:val="24"/>
        </w:rPr>
        <w:t xml:space="preserve">(2016) 257 CLR 300 at 311 [35]. See also Australian Law Reform Commission, </w:t>
      </w:r>
      <w:r w:rsidRPr="004C50DC">
        <w:rPr>
          <w:rFonts w:ascii="Times New Roman" w:hAnsi="Times New Roman"/>
          <w:i/>
          <w:iCs/>
          <w:sz w:val="24"/>
        </w:rPr>
        <w:t>Evidence</w:t>
      </w:r>
      <w:r w:rsidRPr="004C50DC">
        <w:rPr>
          <w:rFonts w:ascii="Times New Roman" w:hAnsi="Times New Roman"/>
          <w:sz w:val="24"/>
        </w:rPr>
        <w:t>, Report No 26 (1985), vol 1 at 350 [638], [640] ("ALRC Report").</w:t>
      </w:r>
      <w:r w:rsidRPr="004C50DC" w:rsidDel="00D57703">
        <w:rPr>
          <w:rFonts w:ascii="Times New Roman" w:hAnsi="Times New Roman"/>
          <w:sz w:val="24"/>
        </w:rPr>
        <w:t xml:space="preserve"> </w:t>
      </w:r>
    </w:p>
  </w:footnote>
  <w:footnote w:id="106">
    <w:p w14:paraId="494AE75D"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Papakosmas</w:t>
      </w:r>
      <w:proofErr w:type="spellEnd"/>
      <w:r w:rsidRPr="004C50DC">
        <w:rPr>
          <w:rFonts w:ascii="Times New Roman" w:hAnsi="Times New Roman"/>
          <w:i/>
          <w:iCs/>
          <w:sz w:val="24"/>
        </w:rPr>
        <w:t xml:space="preserve"> </w:t>
      </w:r>
      <w:r w:rsidRPr="004C50DC">
        <w:rPr>
          <w:rFonts w:ascii="Times New Roman" w:hAnsi="Times New Roman"/>
          <w:sz w:val="24"/>
        </w:rPr>
        <w:t xml:space="preserve">(1999) 196 CLR 297 at 302 [10]; see also at 310 [38]-[40], 312 [46], 324 [88]. </w:t>
      </w:r>
    </w:p>
  </w:footnote>
  <w:footnote w:id="107">
    <w:p w14:paraId="599AA710"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Evidence Act</w:t>
      </w:r>
      <w:r w:rsidRPr="004C50DC">
        <w:rPr>
          <w:rFonts w:ascii="Times New Roman" w:hAnsi="Times New Roman"/>
          <w:sz w:val="24"/>
        </w:rPr>
        <w:t>, s 55.</w:t>
      </w:r>
    </w:p>
  </w:footnote>
  <w:footnote w:id="108">
    <w:p w14:paraId="1D07E73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IMM </w:t>
      </w:r>
      <w:r w:rsidRPr="004C50DC">
        <w:rPr>
          <w:rFonts w:ascii="Times New Roman" w:hAnsi="Times New Roman"/>
          <w:sz w:val="24"/>
        </w:rPr>
        <w:t>(2016) 257 CLR 300 at 312 [40].</w:t>
      </w:r>
    </w:p>
  </w:footnote>
  <w:footnote w:id="109">
    <w:p w14:paraId="533DA04A"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Australian Securities and Investments Commission v Vines</w:t>
      </w:r>
      <w:r w:rsidRPr="004C50DC">
        <w:rPr>
          <w:rFonts w:ascii="Times New Roman" w:hAnsi="Times New Roman"/>
          <w:sz w:val="24"/>
        </w:rPr>
        <w:t xml:space="preserve"> (2003) 48 ACSR 282 at 287 [22].</w:t>
      </w:r>
    </w:p>
  </w:footnote>
  <w:footnote w:id="110">
    <w:p w14:paraId="7E3B0E0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Dictionary, Pt 2, cl 7.</w:t>
      </w:r>
    </w:p>
  </w:footnote>
  <w:footnote w:id="111">
    <w:p w14:paraId="3A95DF8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Dictionary, Pt 1, definition of "cross-examiner".</w:t>
      </w:r>
    </w:p>
  </w:footnote>
  <w:footnote w:id="112">
    <w:p w14:paraId="22AD5F37"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Dictionary, Pt 2, cl 2(2).</w:t>
      </w:r>
    </w:p>
  </w:footnote>
  <w:footnote w:id="113">
    <w:p w14:paraId="702A8FA7"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s 37(1)(c).</w:t>
      </w:r>
    </w:p>
  </w:footnote>
  <w:footnote w:id="114">
    <w:p w14:paraId="2BD5EF3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Evidence Act</w:t>
      </w:r>
      <w:r w:rsidRPr="004C50DC">
        <w:rPr>
          <w:rFonts w:ascii="Times New Roman" w:hAnsi="Times New Roman"/>
          <w:sz w:val="24"/>
        </w:rPr>
        <w:t>, s 65(1).</w:t>
      </w:r>
    </w:p>
  </w:footnote>
  <w:footnote w:id="115">
    <w:p w14:paraId="4947841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s 65(4).</w:t>
      </w:r>
    </w:p>
  </w:footnote>
  <w:footnote w:id="116">
    <w:p w14:paraId="57A4835C"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Dictionary, Pt 1, definition of "admission".</w:t>
      </w:r>
    </w:p>
  </w:footnote>
  <w:footnote w:id="117">
    <w:p w14:paraId="5D50420D"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xml:space="preserve">, s 87(1)(c). </w:t>
      </w:r>
    </w:p>
  </w:footnote>
  <w:footnote w:id="118">
    <w:p w14:paraId="6B02E08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Evidence Act</w:t>
      </w:r>
      <w:r w:rsidRPr="004C50DC">
        <w:rPr>
          <w:rFonts w:ascii="Times New Roman" w:hAnsi="Times New Roman"/>
          <w:sz w:val="24"/>
        </w:rPr>
        <w:t xml:space="preserve">, ss 4, 20, 55, 56; cf </w:t>
      </w:r>
      <w:r w:rsidRPr="004C50DC">
        <w:rPr>
          <w:rFonts w:ascii="Times New Roman" w:hAnsi="Times New Roman"/>
          <w:i/>
          <w:iCs/>
          <w:sz w:val="24"/>
        </w:rPr>
        <w:t xml:space="preserve">Interpretation Act 1987 </w:t>
      </w:r>
      <w:r w:rsidRPr="004C50DC">
        <w:rPr>
          <w:rFonts w:ascii="Times New Roman" w:hAnsi="Times New Roman"/>
          <w:sz w:val="24"/>
        </w:rPr>
        <w:t>(NSW), s 8(b).</w:t>
      </w:r>
    </w:p>
  </w:footnote>
  <w:footnote w:id="119">
    <w:p w14:paraId="686DC71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sz w:val="24"/>
        </w:rPr>
        <w:t>Haddara</w:t>
      </w:r>
      <w:proofErr w:type="spellEnd"/>
      <w:r w:rsidRPr="004C50DC">
        <w:rPr>
          <w:rFonts w:ascii="Times New Roman" w:hAnsi="Times New Roman"/>
          <w:i/>
          <w:sz w:val="24"/>
        </w:rPr>
        <w:t xml:space="preserve"> v The Queen</w:t>
      </w:r>
      <w:r w:rsidRPr="004C50DC">
        <w:rPr>
          <w:rFonts w:ascii="Times New Roman" w:hAnsi="Times New Roman"/>
          <w:sz w:val="24"/>
        </w:rPr>
        <w:t xml:space="preserve"> (2014) 43 VR 53 at 71-72 [54]-[55]. See also </w:t>
      </w:r>
      <w:r w:rsidRPr="004C50DC">
        <w:rPr>
          <w:rFonts w:ascii="Times New Roman" w:hAnsi="Times New Roman"/>
          <w:i/>
          <w:iCs/>
          <w:sz w:val="24"/>
        </w:rPr>
        <w:t>Evidence Act</w:t>
      </w:r>
      <w:r w:rsidRPr="004C50DC">
        <w:rPr>
          <w:rFonts w:ascii="Times New Roman" w:hAnsi="Times New Roman"/>
          <w:sz w:val="24"/>
        </w:rPr>
        <w:t xml:space="preserve">, s 93(c); </w:t>
      </w:r>
      <w:r w:rsidRPr="004C50DC">
        <w:rPr>
          <w:rFonts w:ascii="Times New Roman" w:hAnsi="Times New Roman"/>
          <w:i/>
          <w:iCs/>
          <w:sz w:val="24"/>
        </w:rPr>
        <w:t xml:space="preserve">Harkins v </w:t>
      </w:r>
      <w:r w:rsidRPr="004C50DC">
        <w:rPr>
          <w:rFonts w:ascii="Times New Roman" w:hAnsi="Times New Roman"/>
          <w:i/>
          <w:sz w:val="24"/>
        </w:rPr>
        <w:t xml:space="preserve">Butcher </w:t>
      </w:r>
      <w:r w:rsidRPr="004C50DC">
        <w:rPr>
          <w:rFonts w:ascii="Times New Roman" w:hAnsi="Times New Roman"/>
          <w:sz w:val="24"/>
        </w:rPr>
        <w:t xml:space="preserve">(2002) 55 NSWLR 558 at 563 [15]; </w:t>
      </w:r>
      <w:r w:rsidRPr="004C50DC">
        <w:rPr>
          <w:rFonts w:ascii="Times New Roman" w:hAnsi="Times New Roman"/>
          <w:i/>
          <w:iCs/>
          <w:sz w:val="24"/>
        </w:rPr>
        <w:t>Evans v The Queen</w:t>
      </w:r>
      <w:r w:rsidRPr="004C50DC">
        <w:rPr>
          <w:rFonts w:ascii="Times New Roman" w:hAnsi="Times New Roman"/>
          <w:sz w:val="24"/>
        </w:rPr>
        <w:t xml:space="preserve"> (2007) 235 CLR 521 at 587 [224]; </w:t>
      </w:r>
      <w:r w:rsidRPr="004C50DC">
        <w:rPr>
          <w:rFonts w:ascii="Times New Roman" w:hAnsi="Times New Roman"/>
          <w:i/>
          <w:iCs/>
          <w:sz w:val="24"/>
        </w:rPr>
        <w:t>International Finance Trust Co Ltd v New South Wales Crime Commission</w:t>
      </w:r>
      <w:r w:rsidRPr="004C50DC">
        <w:rPr>
          <w:rFonts w:ascii="Times New Roman" w:hAnsi="Times New Roman"/>
          <w:sz w:val="24"/>
        </w:rPr>
        <w:t xml:space="preserve"> (2008) 251 ALR 479 at 484 [13]; Odgers,</w:t>
      </w:r>
      <w:r>
        <w:rPr>
          <w:rFonts w:ascii="Times New Roman" w:hAnsi="Times New Roman"/>
          <w:sz w:val="24"/>
        </w:rPr>
        <w:t> </w:t>
      </w:r>
      <w:r w:rsidRPr="004C50DC">
        <w:rPr>
          <w:rFonts w:ascii="Times New Roman" w:hAnsi="Times New Roman"/>
          <w:i/>
          <w:iCs/>
          <w:sz w:val="24"/>
        </w:rPr>
        <w:t>Uniform</w:t>
      </w:r>
      <w:r>
        <w:rPr>
          <w:rFonts w:ascii="Times New Roman" w:hAnsi="Times New Roman"/>
          <w:i/>
          <w:iCs/>
          <w:sz w:val="24"/>
        </w:rPr>
        <w:t> </w:t>
      </w:r>
      <w:r w:rsidRPr="004C50DC">
        <w:rPr>
          <w:rFonts w:ascii="Times New Roman" w:hAnsi="Times New Roman"/>
          <w:i/>
          <w:iCs/>
          <w:sz w:val="24"/>
        </w:rPr>
        <w:t>Evidence Law</w:t>
      </w:r>
      <w:r w:rsidRPr="004C50DC">
        <w:rPr>
          <w:rFonts w:ascii="Times New Roman" w:hAnsi="Times New Roman"/>
          <w:sz w:val="24"/>
        </w:rPr>
        <w:t xml:space="preserve">, 17th ed (2022) at 77 [9.150]. </w:t>
      </w:r>
    </w:p>
  </w:footnote>
  <w:footnote w:id="120">
    <w:p w14:paraId="567C4C1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sz w:val="24"/>
        </w:rPr>
        <w:t>R v Soma</w:t>
      </w:r>
      <w:r w:rsidRPr="004C50DC">
        <w:rPr>
          <w:rFonts w:ascii="Times New Roman" w:hAnsi="Times New Roman"/>
          <w:sz w:val="24"/>
        </w:rPr>
        <w:t xml:space="preserve"> (2003) 212 CLR 299 at 308 [27]; </w:t>
      </w:r>
      <w:r w:rsidRPr="004C50DC">
        <w:rPr>
          <w:rFonts w:ascii="Times New Roman" w:hAnsi="Times New Roman"/>
          <w:i/>
          <w:iCs/>
          <w:sz w:val="24"/>
        </w:rPr>
        <w:t>R v Ronen</w:t>
      </w:r>
      <w:r w:rsidRPr="004C50DC">
        <w:rPr>
          <w:rFonts w:ascii="Times New Roman" w:hAnsi="Times New Roman"/>
          <w:sz w:val="24"/>
        </w:rPr>
        <w:t xml:space="preserve"> (2004) 62 NSWLR 707 at 722 [67]; Odgers, </w:t>
      </w:r>
      <w:r w:rsidRPr="004C50DC">
        <w:rPr>
          <w:rFonts w:ascii="Times New Roman" w:hAnsi="Times New Roman"/>
          <w:i/>
          <w:iCs/>
          <w:sz w:val="24"/>
        </w:rPr>
        <w:t>Uniform Evidence Law</w:t>
      </w:r>
      <w:r w:rsidRPr="004C50DC">
        <w:rPr>
          <w:rFonts w:ascii="Times New Roman" w:hAnsi="Times New Roman"/>
          <w:sz w:val="24"/>
        </w:rPr>
        <w:t xml:space="preserve">, 17th ed (2022) at 76 [9.90]. See </w:t>
      </w:r>
      <w:r w:rsidRPr="004C50DC">
        <w:rPr>
          <w:rFonts w:ascii="Times New Roman" w:hAnsi="Times New Roman"/>
          <w:i/>
          <w:iCs/>
          <w:sz w:val="24"/>
        </w:rPr>
        <w:t xml:space="preserve">Nguyen v The Queen </w:t>
      </w:r>
      <w:r w:rsidRPr="004C50DC">
        <w:rPr>
          <w:rFonts w:ascii="Times New Roman" w:hAnsi="Times New Roman"/>
          <w:sz w:val="24"/>
        </w:rPr>
        <w:t>(2020) 269 CLR 299 at 311 [26].</w:t>
      </w:r>
    </w:p>
  </w:footnote>
  <w:footnote w:id="121">
    <w:p w14:paraId="797F32A4"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(2020) 269 CLR 299 at 311 [26] (footnote omitted).</w:t>
      </w:r>
    </w:p>
  </w:footnote>
  <w:footnote w:id="122">
    <w:p w14:paraId="1FC6B13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Munday v Gill</w:t>
      </w:r>
      <w:r w:rsidRPr="004C50DC">
        <w:rPr>
          <w:rFonts w:ascii="Times New Roman" w:hAnsi="Times New Roman"/>
          <w:sz w:val="24"/>
        </w:rPr>
        <w:t xml:space="preserve"> (1930) 44 CLR 38 at 76, 87. </w:t>
      </w:r>
    </w:p>
  </w:footnote>
  <w:footnote w:id="123">
    <w:p w14:paraId="2488892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Munday </w:t>
      </w:r>
      <w:r w:rsidRPr="004C50DC">
        <w:rPr>
          <w:rFonts w:ascii="Times New Roman" w:hAnsi="Times New Roman"/>
          <w:sz w:val="24"/>
        </w:rPr>
        <w:t xml:space="preserve">(1930) 44 CLR 38 at 76, 87. See also </w:t>
      </w:r>
      <w:r w:rsidRPr="004C50DC">
        <w:rPr>
          <w:rFonts w:ascii="Times New Roman" w:hAnsi="Times New Roman"/>
          <w:i/>
          <w:iCs/>
          <w:sz w:val="24"/>
        </w:rPr>
        <w:t>R v Crane</w:t>
      </w:r>
      <w:r w:rsidRPr="004C50DC">
        <w:rPr>
          <w:rFonts w:ascii="Times New Roman" w:hAnsi="Times New Roman"/>
          <w:sz w:val="24"/>
        </w:rPr>
        <w:t xml:space="preserve"> [1921] 2 AC 299 at 319</w:t>
      </w:r>
      <w:r>
        <w:rPr>
          <w:rFonts w:ascii="Times New Roman" w:hAnsi="Times New Roman"/>
          <w:sz w:val="24"/>
        </w:rPr>
        <w:noBreakHyphen/>
      </w:r>
      <w:r w:rsidRPr="004C50DC">
        <w:rPr>
          <w:rFonts w:ascii="Times New Roman" w:hAnsi="Times New Roman"/>
          <w:sz w:val="24"/>
        </w:rPr>
        <w:t xml:space="preserve">320, 321-322, 330-331, 335-336; </w:t>
      </w:r>
      <w:r w:rsidRPr="004C50DC">
        <w:rPr>
          <w:rFonts w:ascii="Times New Roman" w:hAnsi="Times New Roman"/>
          <w:i/>
          <w:iCs/>
          <w:sz w:val="24"/>
        </w:rPr>
        <w:t>R v Dennis</w:t>
      </w:r>
      <w:r w:rsidRPr="004C50DC">
        <w:rPr>
          <w:rFonts w:ascii="Times New Roman" w:hAnsi="Times New Roman"/>
          <w:sz w:val="24"/>
        </w:rPr>
        <w:t xml:space="preserve"> [1924] 1 KB 867 at 868-869. Section 130(2) of the </w:t>
      </w:r>
      <w:r w:rsidRPr="004C50DC">
        <w:rPr>
          <w:rFonts w:ascii="Times New Roman" w:hAnsi="Times New Roman"/>
          <w:i/>
          <w:iCs/>
          <w:sz w:val="24"/>
        </w:rPr>
        <w:t xml:space="preserve">Criminal Procedure Act 1986 </w:t>
      </w:r>
      <w:r w:rsidRPr="004C50DC">
        <w:rPr>
          <w:rFonts w:ascii="Times New Roman" w:hAnsi="Times New Roman"/>
          <w:sz w:val="24"/>
        </w:rPr>
        <w:t>(NSW)</w:t>
      </w:r>
      <w:r w:rsidRPr="004C50DC">
        <w:rPr>
          <w:rFonts w:ascii="Times New Roman" w:hAnsi="Times New Roman"/>
          <w:i/>
          <w:iCs/>
          <w:sz w:val="24"/>
        </w:rPr>
        <w:t xml:space="preserve"> </w:t>
      </w:r>
      <w:r w:rsidRPr="004C50DC">
        <w:rPr>
          <w:rFonts w:ascii="Times New Roman" w:hAnsi="Times New Roman"/>
          <w:sz w:val="24"/>
        </w:rPr>
        <w:t>relevantly</w:t>
      </w:r>
      <w:r w:rsidRPr="004C50DC">
        <w:rPr>
          <w:rFonts w:ascii="Times New Roman" w:hAnsi="Times New Roman"/>
          <w:i/>
          <w:iCs/>
          <w:sz w:val="24"/>
        </w:rPr>
        <w:t xml:space="preserve"> </w:t>
      </w:r>
      <w:r w:rsidRPr="004C50DC">
        <w:rPr>
          <w:rFonts w:ascii="Times New Roman" w:hAnsi="Times New Roman"/>
          <w:sz w:val="24"/>
        </w:rPr>
        <w:t xml:space="preserve">provides that "[t]he court has jurisdiction with respect to the conduct of proceedings on indictment as soon as the indictment is presented and the accused person is arraigned". </w:t>
      </w:r>
    </w:p>
  </w:footnote>
  <w:footnote w:id="124">
    <w:p w14:paraId="2501992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Munday </w:t>
      </w:r>
      <w:r w:rsidRPr="004C50DC">
        <w:rPr>
          <w:rFonts w:ascii="Times New Roman" w:hAnsi="Times New Roman"/>
          <w:sz w:val="24"/>
        </w:rPr>
        <w:t xml:space="preserve">(1930) 44 CLR 38 at 76. </w:t>
      </w:r>
    </w:p>
  </w:footnote>
  <w:footnote w:id="125">
    <w:p w14:paraId="495CF85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 Stringer</w:t>
      </w:r>
      <w:r w:rsidRPr="004C50DC">
        <w:rPr>
          <w:rFonts w:ascii="Times New Roman" w:hAnsi="Times New Roman"/>
          <w:sz w:val="24"/>
        </w:rPr>
        <w:t xml:space="preserve"> [1933] 1 KB 704 at 712. </w:t>
      </w:r>
    </w:p>
  </w:footnote>
  <w:footnote w:id="126">
    <w:p w14:paraId="0EAFB13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 Fenwick</w:t>
      </w:r>
      <w:r w:rsidRPr="004C50DC">
        <w:rPr>
          <w:rFonts w:ascii="Times New Roman" w:hAnsi="Times New Roman"/>
          <w:sz w:val="24"/>
        </w:rPr>
        <w:t xml:space="preserve"> (1953) 54 SR (NSW) 147 at 152. </w:t>
      </w:r>
    </w:p>
  </w:footnote>
  <w:footnote w:id="127">
    <w:p w14:paraId="052D7640"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Munday </w:t>
      </w:r>
      <w:r w:rsidRPr="004C50DC">
        <w:rPr>
          <w:rFonts w:ascii="Times New Roman" w:hAnsi="Times New Roman"/>
          <w:sz w:val="24"/>
        </w:rPr>
        <w:t xml:space="preserve">(1930) 44 CLR 38 at 76, 87. </w:t>
      </w:r>
    </w:p>
  </w:footnote>
  <w:footnote w:id="128">
    <w:p w14:paraId="3C1E39BC"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See, eg, </w:t>
      </w:r>
      <w:r w:rsidRPr="004C50DC">
        <w:rPr>
          <w:rFonts w:ascii="Times New Roman" w:hAnsi="Times New Roman"/>
          <w:i/>
          <w:iCs/>
          <w:sz w:val="24"/>
        </w:rPr>
        <w:t>Director of Public Prosecutions v Merriman</w:t>
      </w:r>
      <w:r w:rsidRPr="004C50DC">
        <w:rPr>
          <w:rFonts w:ascii="Times New Roman" w:hAnsi="Times New Roman"/>
          <w:sz w:val="24"/>
        </w:rPr>
        <w:t xml:space="preserve"> [1973] AC 584 at 592 where Lord Morris </w:t>
      </w:r>
      <w:proofErr w:type="gramStart"/>
      <w:r w:rsidRPr="004C50DC">
        <w:rPr>
          <w:rFonts w:ascii="Times New Roman" w:hAnsi="Times New Roman"/>
          <w:sz w:val="24"/>
        </w:rPr>
        <w:t>stated</w:t>
      </w:r>
      <w:proofErr w:type="gramEnd"/>
      <w:r w:rsidRPr="004C50DC">
        <w:rPr>
          <w:rFonts w:ascii="Times New Roman" w:hAnsi="Times New Roman"/>
          <w:sz w:val="24"/>
        </w:rPr>
        <w:t xml:space="preserve"> "there is no magic in speaking of a joint charge". </w:t>
      </w:r>
    </w:p>
  </w:footnote>
  <w:footnote w:id="129">
    <w:p w14:paraId="6E99BBE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[1973] AC 584 at 606. </w:t>
      </w:r>
    </w:p>
  </w:footnote>
  <w:footnote w:id="130">
    <w:p w14:paraId="1AC9BE1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w:t>
      </w:r>
      <w:r w:rsidRPr="004C50DC">
        <w:rPr>
          <w:rFonts w:ascii="Times New Roman" w:hAnsi="Times New Roman"/>
          <w:sz w:val="24"/>
        </w:rPr>
        <w:t xml:space="preserve"> </w:t>
      </w:r>
      <w:proofErr w:type="spellStart"/>
      <w:r w:rsidRPr="004C50DC">
        <w:rPr>
          <w:rFonts w:ascii="Times New Roman" w:hAnsi="Times New Roman"/>
          <w:i/>
          <w:iCs/>
          <w:sz w:val="24"/>
        </w:rPr>
        <w:t>Swannson</w:t>
      </w:r>
      <w:proofErr w:type="spellEnd"/>
      <w:r w:rsidRPr="004C50DC">
        <w:rPr>
          <w:rFonts w:ascii="Times New Roman" w:hAnsi="Times New Roman"/>
          <w:i/>
          <w:iCs/>
          <w:sz w:val="24"/>
        </w:rPr>
        <w:t xml:space="preserve"> </w:t>
      </w:r>
      <w:r w:rsidRPr="004C50DC">
        <w:rPr>
          <w:rFonts w:ascii="Times New Roman" w:hAnsi="Times New Roman"/>
          <w:sz w:val="24"/>
        </w:rPr>
        <w:t>(2007) 69 NSWLR 406 at 436 [186].</w:t>
      </w:r>
    </w:p>
  </w:footnote>
  <w:footnote w:id="131">
    <w:p w14:paraId="488E7543"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[1933] 1 KB 704.</w:t>
      </w:r>
    </w:p>
  </w:footnote>
  <w:footnote w:id="132">
    <w:p w14:paraId="1C355D50"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bookmarkStart w:id="2" w:name="_Hlk138861961"/>
      <w:r w:rsidRPr="004C50DC">
        <w:rPr>
          <w:rFonts w:ascii="Times New Roman" w:hAnsi="Times New Roman"/>
          <w:sz w:val="24"/>
        </w:rPr>
        <w:t>(1864) 5 B &amp; S 635 [122 ER 968]</w:t>
      </w:r>
      <w:bookmarkEnd w:id="2"/>
      <w:r w:rsidRPr="004C50DC">
        <w:rPr>
          <w:rFonts w:ascii="Times New Roman" w:hAnsi="Times New Roman"/>
          <w:sz w:val="24"/>
        </w:rPr>
        <w:t>.</w:t>
      </w:r>
    </w:p>
  </w:footnote>
  <w:footnote w:id="133">
    <w:p w14:paraId="464994F6"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Stringer</w:t>
      </w:r>
      <w:r w:rsidRPr="004C50DC">
        <w:rPr>
          <w:rFonts w:ascii="Times New Roman" w:hAnsi="Times New Roman"/>
          <w:sz w:val="24"/>
        </w:rPr>
        <w:t xml:space="preserve"> [1933] 1 KB 704 at 712.</w:t>
      </w:r>
    </w:p>
  </w:footnote>
  <w:footnote w:id="134">
    <w:p w14:paraId="0FE4857A"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(1864) 5 B &amp; S 635 at 643 [122 ER 968 at 971].</w:t>
      </w:r>
    </w:p>
  </w:footnote>
  <w:footnote w:id="135">
    <w:p w14:paraId="4CE1403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(1864) 5 B &amp; S 635 at 641-643 [122 ER 968 at 970-971].</w:t>
      </w:r>
    </w:p>
  </w:footnote>
  <w:footnote w:id="136">
    <w:p w14:paraId="7869158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R v </w:t>
      </w:r>
      <w:proofErr w:type="spellStart"/>
      <w:r w:rsidRPr="004C50DC">
        <w:rPr>
          <w:rFonts w:ascii="Times New Roman" w:hAnsi="Times New Roman"/>
          <w:i/>
          <w:iCs/>
          <w:sz w:val="24"/>
        </w:rPr>
        <w:t>Demirok</w:t>
      </w:r>
      <w:proofErr w:type="spellEnd"/>
      <w:r w:rsidRPr="004C50DC">
        <w:rPr>
          <w:rFonts w:ascii="Times New Roman" w:hAnsi="Times New Roman"/>
          <w:sz w:val="24"/>
        </w:rPr>
        <w:t xml:space="preserve"> [1976] VR 244 at 252, quoting </w:t>
      </w:r>
      <w:r w:rsidRPr="004C50DC">
        <w:rPr>
          <w:rFonts w:ascii="Times New Roman" w:hAnsi="Times New Roman"/>
          <w:i/>
          <w:iCs/>
          <w:sz w:val="24"/>
        </w:rPr>
        <w:t>R v </w:t>
      </w:r>
      <w:bookmarkStart w:id="3" w:name="_Hlk138769157"/>
      <w:proofErr w:type="spellStart"/>
      <w:r w:rsidRPr="004C50DC">
        <w:rPr>
          <w:rFonts w:ascii="Times New Roman" w:hAnsi="Times New Roman"/>
          <w:i/>
          <w:iCs/>
          <w:sz w:val="24"/>
        </w:rPr>
        <w:t>Kerekes</w:t>
      </w:r>
      <w:proofErr w:type="spellEnd"/>
      <w:r w:rsidRPr="004C50DC">
        <w:rPr>
          <w:rFonts w:ascii="Times New Roman" w:hAnsi="Times New Roman"/>
          <w:sz w:val="24"/>
        </w:rPr>
        <w:t> [1951] 70 WN (NSW) 102</w:t>
      </w:r>
      <w:r>
        <w:rPr>
          <w:rFonts w:ascii="Times New Roman" w:hAnsi="Times New Roman"/>
          <w:sz w:val="24"/>
        </w:rPr>
        <w:t> </w:t>
      </w:r>
      <w:r w:rsidRPr="004C50DC">
        <w:rPr>
          <w:rFonts w:ascii="Times New Roman" w:hAnsi="Times New Roman"/>
          <w:sz w:val="24"/>
        </w:rPr>
        <w:t>at 105</w:t>
      </w:r>
      <w:bookmarkEnd w:id="3"/>
      <w:r w:rsidRPr="004C50DC">
        <w:rPr>
          <w:rFonts w:ascii="Times New Roman" w:hAnsi="Times New Roman"/>
          <w:sz w:val="24"/>
        </w:rPr>
        <w:t xml:space="preserve">; </w:t>
      </w:r>
      <w:r w:rsidRPr="004C50DC">
        <w:rPr>
          <w:rFonts w:ascii="Times New Roman" w:hAnsi="Times New Roman"/>
          <w:i/>
          <w:iCs/>
          <w:sz w:val="24"/>
        </w:rPr>
        <w:t>R v Glover</w:t>
      </w:r>
      <w:r w:rsidRPr="004C50DC">
        <w:rPr>
          <w:rFonts w:ascii="Times New Roman" w:hAnsi="Times New Roman"/>
          <w:sz w:val="24"/>
        </w:rPr>
        <w:t xml:space="preserve"> (1987) 46 SASR 310 at 312.</w:t>
      </w:r>
    </w:p>
  </w:footnote>
  <w:footnote w:id="137">
    <w:p w14:paraId="726AF76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Western Australia v Russell</w:t>
      </w:r>
      <w:r w:rsidRPr="004C50DC">
        <w:rPr>
          <w:rFonts w:ascii="Times New Roman" w:hAnsi="Times New Roman"/>
          <w:sz w:val="24"/>
        </w:rPr>
        <w:t xml:space="preserve"> [2009] WASCA 154 at [72], citing </w:t>
      </w:r>
      <w:r w:rsidRPr="004C50DC">
        <w:rPr>
          <w:rFonts w:ascii="Times New Roman" w:hAnsi="Times New Roman"/>
          <w:i/>
          <w:iCs/>
          <w:sz w:val="24"/>
        </w:rPr>
        <w:t xml:space="preserve">R v </w:t>
      </w:r>
      <w:proofErr w:type="spellStart"/>
      <w:r w:rsidRPr="004C50DC">
        <w:rPr>
          <w:rFonts w:ascii="Times New Roman" w:hAnsi="Times New Roman"/>
          <w:i/>
          <w:iCs/>
          <w:sz w:val="24"/>
        </w:rPr>
        <w:t>Eriemo</w:t>
      </w:r>
      <w:proofErr w:type="spellEnd"/>
      <w:r w:rsidRPr="004C50DC">
        <w:rPr>
          <w:rFonts w:ascii="Times New Roman" w:hAnsi="Times New Roman"/>
          <w:sz w:val="24"/>
        </w:rPr>
        <w:t xml:space="preserve"> [1995] 2 Cr App R 206 at 211 and </w:t>
      </w:r>
      <w:r w:rsidRPr="004C50DC">
        <w:rPr>
          <w:rFonts w:ascii="Times New Roman" w:hAnsi="Times New Roman"/>
          <w:i/>
          <w:iCs/>
          <w:sz w:val="24"/>
        </w:rPr>
        <w:t>R v </w:t>
      </w:r>
      <w:proofErr w:type="spellStart"/>
      <w:r w:rsidRPr="004C50DC">
        <w:rPr>
          <w:rFonts w:ascii="Times New Roman" w:hAnsi="Times New Roman"/>
          <w:i/>
          <w:iCs/>
          <w:sz w:val="24"/>
        </w:rPr>
        <w:t>Grondkowski</w:t>
      </w:r>
      <w:proofErr w:type="spellEnd"/>
      <w:r w:rsidRPr="004C50DC">
        <w:rPr>
          <w:rFonts w:ascii="Times New Roman" w:hAnsi="Times New Roman"/>
          <w:sz w:val="24"/>
        </w:rPr>
        <w:t xml:space="preserve"> [1946] KB 369 at 372-374. See also </w:t>
      </w:r>
      <w:r w:rsidRPr="004C50DC">
        <w:rPr>
          <w:rFonts w:ascii="Times New Roman" w:hAnsi="Times New Roman"/>
          <w:i/>
          <w:iCs/>
          <w:sz w:val="24"/>
        </w:rPr>
        <w:t>Ali v The Queen</w:t>
      </w:r>
      <w:r w:rsidRPr="004C50DC">
        <w:rPr>
          <w:rFonts w:ascii="Times New Roman" w:hAnsi="Times New Roman"/>
          <w:sz w:val="24"/>
        </w:rPr>
        <w:t xml:space="preserve"> (2005) 79 ALJR 662 at 670 [58]; 214 ALR 1 at 12.</w:t>
      </w:r>
    </w:p>
  </w:footnote>
  <w:footnote w:id="138">
    <w:p w14:paraId="0CA2799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 Gibb</w:t>
      </w:r>
      <w:r w:rsidRPr="004C50DC">
        <w:rPr>
          <w:rFonts w:ascii="Times New Roman" w:hAnsi="Times New Roman"/>
          <w:sz w:val="24"/>
        </w:rPr>
        <w:t xml:space="preserve"> [1983] 2 VR 155 at 163. See also </w:t>
      </w:r>
      <w:bookmarkStart w:id="4" w:name="_Hlk138766521"/>
      <w:r w:rsidRPr="004C50DC">
        <w:rPr>
          <w:rFonts w:ascii="Times New Roman" w:hAnsi="Times New Roman"/>
          <w:i/>
          <w:iCs/>
          <w:sz w:val="24"/>
        </w:rPr>
        <w:t>Webb v The Queen</w:t>
      </w:r>
      <w:r w:rsidRPr="004C50DC">
        <w:rPr>
          <w:rFonts w:ascii="Times New Roman" w:hAnsi="Times New Roman"/>
          <w:sz w:val="24"/>
        </w:rPr>
        <w:t xml:space="preserve"> (1994) 181 CLR 41 at 56, 88-89</w:t>
      </w:r>
      <w:bookmarkEnd w:id="4"/>
      <w:r w:rsidRPr="004C50DC">
        <w:rPr>
          <w:rFonts w:ascii="Times New Roman" w:hAnsi="Times New Roman"/>
          <w:sz w:val="24"/>
        </w:rPr>
        <w:t xml:space="preserve">; </w:t>
      </w:r>
      <w:r w:rsidRPr="004C50DC">
        <w:rPr>
          <w:rFonts w:ascii="Times New Roman" w:hAnsi="Times New Roman"/>
          <w:i/>
          <w:iCs/>
          <w:sz w:val="24"/>
        </w:rPr>
        <w:t xml:space="preserve">R v </w:t>
      </w:r>
      <w:proofErr w:type="spellStart"/>
      <w:r w:rsidRPr="004C50DC">
        <w:rPr>
          <w:rFonts w:ascii="Times New Roman" w:hAnsi="Times New Roman"/>
          <w:i/>
          <w:iCs/>
          <w:sz w:val="24"/>
        </w:rPr>
        <w:t>Roughan</w:t>
      </w:r>
      <w:proofErr w:type="spellEnd"/>
      <w:r w:rsidRPr="004C50DC">
        <w:rPr>
          <w:rFonts w:ascii="Times New Roman" w:hAnsi="Times New Roman"/>
          <w:sz w:val="24"/>
        </w:rPr>
        <w:t xml:space="preserve"> (2007) 179 A Crim R 389 at 398-399 [49]-[50]. </w:t>
      </w:r>
    </w:p>
  </w:footnote>
  <w:footnote w:id="139">
    <w:p w14:paraId="501F9F33"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Webb </w:t>
      </w:r>
      <w:r w:rsidRPr="004C50DC">
        <w:rPr>
          <w:rFonts w:ascii="Times New Roman" w:hAnsi="Times New Roman"/>
          <w:sz w:val="24"/>
        </w:rPr>
        <w:t xml:space="preserve">(1994) 181 CLR 41 at 56, 88-89; </w:t>
      </w:r>
      <w:proofErr w:type="spellStart"/>
      <w:r w:rsidRPr="004C50DC">
        <w:rPr>
          <w:rFonts w:ascii="Times New Roman" w:hAnsi="Times New Roman"/>
          <w:i/>
          <w:iCs/>
          <w:sz w:val="24"/>
        </w:rPr>
        <w:t>Roughan</w:t>
      </w:r>
      <w:proofErr w:type="spellEnd"/>
      <w:r w:rsidRPr="004C50DC">
        <w:rPr>
          <w:rFonts w:ascii="Times New Roman" w:hAnsi="Times New Roman"/>
          <w:sz w:val="24"/>
        </w:rPr>
        <w:t xml:space="preserve"> (2007) 179 A Crim R 389 at 398</w:t>
      </w:r>
      <w:r>
        <w:rPr>
          <w:rFonts w:ascii="Times New Roman" w:hAnsi="Times New Roman"/>
          <w:sz w:val="24"/>
        </w:rPr>
        <w:noBreakHyphen/>
      </w:r>
      <w:r w:rsidRPr="004C50DC">
        <w:rPr>
          <w:rFonts w:ascii="Times New Roman" w:hAnsi="Times New Roman"/>
          <w:sz w:val="24"/>
        </w:rPr>
        <w:t xml:space="preserve">399 [49]-[50]. </w:t>
      </w:r>
    </w:p>
  </w:footnote>
  <w:footnote w:id="140">
    <w:p w14:paraId="682B3F57"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Demirok</w:t>
      </w:r>
      <w:proofErr w:type="spellEnd"/>
      <w:r w:rsidRPr="004C50DC">
        <w:rPr>
          <w:rFonts w:ascii="Times New Roman" w:hAnsi="Times New Roman"/>
          <w:sz w:val="24"/>
        </w:rPr>
        <w:t xml:space="preserve"> [1976] VR 244 at 254. See also </w:t>
      </w:r>
      <w:r w:rsidRPr="004C50DC">
        <w:rPr>
          <w:rFonts w:ascii="Times New Roman" w:hAnsi="Times New Roman"/>
          <w:i/>
          <w:iCs/>
          <w:sz w:val="24"/>
        </w:rPr>
        <w:t xml:space="preserve">Webb </w:t>
      </w:r>
      <w:r w:rsidRPr="004C50DC">
        <w:rPr>
          <w:rFonts w:ascii="Times New Roman" w:hAnsi="Times New Roman"/>
          <w:sz w:val="24"/>
        </w:rPr>
        <w:t xml:space="preserve">(1994) 181 CLR 41 at 56, 88-89, citing </w:t>
      </w:r>
      <w:r w:rsidRPr="004C50DC">
        <w:rPr>
          <w:rFonts w:ascii="Times New Roman" w:hAnsi="Times New Roman"/>
          <w:i/>
          <w:iCs/>
          <w:sz w:val="24"/>
        </w:rPr>
        <w:t>R v Collie</w:t>
      </w:r>
      <w:r w:rsidRPr="004C50DC">
        <w:rPr>
          <w:rFonts w:ascii="Times New Roman" w:hAnsi="Times New Roman"/>
          <w:sz w:val="24"/>
        </w:rPr>
        <w:t xml:space="preserve"> (1991) 56 SASR 302 at 307</w:t>
      </w:r>
      <w:r w:rsidRPr="004C50DC">
        <w:rPr>
          <w:rFonts w:ascii="Times New Roman" w:hAnsi="Times New Roman"/>
          <w:sz w:val="24"/>
        </w:rPr>
        <w:noBreakHyphen/>
        <w:t xml:space="preserve">311; </w:t>
      </w:r>
      <w:r w:rsidRPr="004C50DC">
        <w:rPr>
          <w:rFonts w:ascii="Times New Roman" w:hAnsi="Times New Roman"/>
          <w:i/>
          <w:iCs/>
          <w:sz w:val="24"/>
        </w:rPr>
        <w:t>Samia v United States</w:t>
      </w:r>
      <w:r w:rsidRPr="004C50DC">
        <w:rPr>
          <w:rFonts w:ascii="Times New Roman" w:hAnsi="Times New Roman"/>
          <w:sz w:val="24"/>
        </w:rPr>
        <w:t xml:space="preserve"> (2023) 599 US 635 at 654-655. </w:t>
      </w:r>
    </w:p>
  </w:footnote>
  <w:footnote w:id="141">
    <w:p w14:paraId="5E29E850"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Unreported, Supreme Court of New South Wales, 27 March 1991 at 4-5.</w:t>
      </w:r>
    </w:p>
  </w:footnote>
  <w:footnote w:id="142">
    <w:p w14:paraId="08C21AA2" w14:textId="77777777" w:rsidR="00A568B4" w:rsidRPr="004C50DC" w:rsidRDefault="00A568B4" w:rsidP="004C50DC">
      <w:pPr>
        <w:pStyle w:val="FootnoteText"/>
        <w:spacing w:line="280" w:lineRule="exact"/>
        <w:ind w:right="0"/>
        <w:jc w:val="both"/>
        <w:rPr>
          <w:rFonts w:ascii="Times New Roman" w:hAnsi="Times New Roman"/>
          <w:i/>
          <w:iCs/>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See </w:t>
      </w:r>
      <w:proofErr w:type="spellStart"/>
      <w:r w:rsidRPr="004C50DC">
        <w:rPr>
          <w:rFonts w:ascii="Times New Roman" w:hAnsi="Times New Roman"/>
          <w:i/>
          <w:iCs/>
          <w:sz w:val="24"/>
        </w:rPr>
        <w:t>Caleo</w:t>
      </w:r>
      <w:proofErr w:type="spellEnd"/>
      <w:r w:rsidRPr="004C50DC">
        <w:rPr>
          <w:rFonts w:ascii="Times New Roman" w:hAnsi="Times New Roman"/>
          <w:i/>
          <w:iCs/>
          <w:sz w:val="24"/>
        </w:rPr>
        <w:t xml:space="preserve"> v The Queen </w:t>
      </w:r>
      <w:r w:rsidRPr="004C50DC">
        <w:rPr>
          <w:rFonts w:ascii="Times New Roman" w:hAnsi="Times New Roman"/>
          <w:sz w:val="24"/>
        </w:rPr>
        <w:t xml:space="preserve">(2021) 290 A Crim R 352 at 377 [137], [138], citing </w:t>
      </w:r>
      <w:r w:rsidRPr="004C50DC">
        <w:rPr>
          <w:rFonts w:ascii="Times New Roman" w:hAnsi="Times New Roman"/>
          <w:i/>
          <w:iCs/>
          <w:sz w:val="24"/>
        </w:rPr>
        <w:t xml:space="preserve">R v </w:t>
      </w:r>
      <w:proofErr w:type="spellStart"/>
      <w:r w:rsidRPr="004C50DC">
        <w:rPr>
          <w:rFonts w:ascii="Times New Roman" w:hAnsi="Times New Roman"/>
          <w:i/>
          <w:iCs/>
          <w:sz w:val="24"/>
        </w:rPr>
        <w:t>Baartman</w:t>
      </w:r>
      <w:proofErr w:type="spellEnd"/>
      <w:r w:rsidRPr="004C50DC">
        <w:rPr>
          <w:rFonts w:ascii="Times New Roman" w:hAnsi="Times New Roman"/>
          <w:i/>
          <w:iCs/>
          <w:sz w:val="24"/>
        </w:rPr>
        <w:t xml:space="preserve"> </w:t>
      </w:r>
      <w:r w:rsidRPr="004C50DC">
        <w:rPr>
          <w:rFonts w:ascii="Times New Roman" w:hAnsi="Times New Roman"/>
          <w:sz w:val="24"/>
        </w:rPr>
        <w:t xml:space="preserve">(unreported, Court of Criminal Appeal of New South Wales, 6 October 1994), </w:t>
      </w:r>
      <w:r w:rsidRPr="004C50DC">
        <w:rPr>
          <w:rFonts w:ascii="Times New Roman" w:hAnsi="Times New Roman"/>
          <w:i/>
          <w:iCs/>
          <w:sz w:val="24"/>
        </w:rPr>
        <w:t xml:space="preserve">R v </w:t>
      </w:r>
      <w:proofErr w:type="spellStart"/>
      <w:r w:rsidRPr="004C50DC">
        <w:rPr>
          <w:rFonts w:ascii="Times New Roman" w:hAnsi="Times New Roman"/>
          <w:i/>
          <w:iCs/>
          <w:sz w:val="24"/>
        </w:rPr>
        <w:t>Chami</w:t>
      </w:r>
      <w:proofErr w:type="spellEnd"/>
      <w:r w:rsidRPr="004C50DC">
        <w:rPr>
          <w:rFonts w:ascii="Times New Roman" w:hAnsi="Times New Roman"/>
          <w:i/>
          <w:iCs/>
          <w:sz w:val="24"/>
        </w:rPr>
        <w:t xml:space="preserve"> </w:t>
      </w:r>
      <w:r w:rsidRPr="004C50DC">
        <w:rPr>
          <w:rFonts w:ascii="Times New Roman" w:hAnsi="Times New Roman"/>
          <w:sz w:val="24"/>
        </w:rPr>
        <w:t xml:space="preserve">(2002) 128 A Crim R 428 at 430 [12], </w:t>
      </w:r>
      <w:proofErr w:type="spellStart"/>
      <w:r w:rsidRPr="004C50DC">
        <w:rPr>
          <w:rFonts w:ascii="Times New Roman" w:hAnsi="Times New Roman"/>
          <w:i/>
          <w:iCs/>
          <w:sz w:val="24"/>
        </w:rPr>
        <w:t>Symss</w:t>
      </w:r>
      <w:proofErr w:type="spellEnd"/>
      <w:r w:rsidRPr="004C50DC">
        <w:rPr>
          <w:rFonts w:ascii="Times New Roman" w:hAnsi="Times New Roman"/>
          <w:i/>
          <w:iCs/>
          <w:sz w:val="24"/>
        </w:rPr>
        <w:t xml:space="preserve"> v The Queen </w:t>
      </w:r>
      <w:r w:rsidRPr="004C50DC">
        <w:rPr>
          <w:rFonts w:ascii="Times New Roman" w:hAnsi="Times New Roman"/>
          <w:sz w:val="24"/>
        </w:rPr>
        <w:t>[2003] NSWCCA</w:t>
      </w:r>
      <w:r w:rsidRPr="004C50DC">
        <w:rPr>
          <w:rFonts w:ascii="Times New Roman" w:hAnsi="Times New Roman"/>
          <w:i/>
          <w:iCs/>
          <w:sz w:val="24"/>
        </w:rPr>
        <w:t xml:space="preserve"> </w:t>
      </w:r>
      <w:r w:rsidRPr="004C50DC">
        <w:rPr>
          <w:rFonts w:ascii="Times New Roman" w:hAnsi="Times New Roman"/>
          <w:sz w:val="24"/>
        </w:rPr>
        <w:t xml:space="preserve">77 at [69], </w:t>
      </w:r>
      <w:r w:rsidRPr="004C50DC">
        <w:rPr>
          <w:rFonts w:ascii="Times New Roman" w:hAnsi="Times New Roman"/>
          <w:i/>
          <w:iCs/>
          <w:sz w:val="24"/>
        </w:rPr>
        <w:t xml:space="preserve">Pham v The Queen </w:t>
      </w:r>
      <w:r w:rsidRPr="004C50DC">
        <w:rPr>
          <w:rFonts w:ascii="Times New Roman" w:hAnsi="Times New Roman"/>
          <w:sz w:val="24"/>
        </w:rPr>
        <w:t xml:space="preserve">[2006] NSWCCA 3 at [10], </w:t>
      </w:r>
      <w:proofErr w:type="spellStart"/>
      <w:r w:rsidRPr="004C50DC">
        <w:rPr>
          <w:rFonts w:ascii="Times New Roman" w:hAnsi="Times New Roman"/>
          <w:i/>
          <w:iCs/>
          <w:sz w:val="24"/>
        </w:rPr>
        <w:t>Madubuko</w:t>
      </w:r>
      <w:proofErr w:type="spellEnd"/>
      <w:r w:rsidRPr="004C50DC">
        <w:rPr>
          <w:rFonts w:ascii="Times New Roman" w:hAnsi="Times New Roman"/>
          <w:i/>
          <w:iCs/>
          <w:sz w:val="24"/>
        </w:rPr>
        <w:t xml:space="preserve"> v The Queen </w:t>
      </w:r>
      <w:r w:rsidRPr="004C50DC">
        <w:rPr>
          <w:rFonts w:ascii="Times New Roman" w:hAnsi="Times New Roman"/>
          <w:sz w:val="24"/>
        </w:rPr>
        <w:t xml:space="preserve">(2011) 210 A Crim R 249 at 258-259 [28], </w:t>
      </w:r>
      <w:r w:rsidRPr="004C50DC">
        <w:rPr>
          <w:rFonts w:ascii="Times New Roman" w:hAnsi="Times New Roman"/>
          <w:i/>
          <w:iCs/>
          <w:sz w:val="24"/>
        </w:rPr>
        <w:t xml:space="preserve">Trotter v The Queen </w:t>
      </w:r>
      <w:r w:rsidRPr="004C50DC">
        <w:rPr>
          <w:rFonts w:ascii="Times New Roman" w:hAnsi="Times New Roman"/>
          <w:sz w:val="24"/>
        </w:rPr>
        <w:t>[2016] NSWCCA</w:t>
      </w:r>
      <w:r w:rsidRPr="004C50DC">
        <w:rPr>
          <w:rFonts w:ascii="Times New Roman" w:hAnsi="Times New Roman"/>
          <w:i/>
          <w:iCs/>
          <w:sz w:val="24"/>
        </w:rPr>
        <w:t xml:space="preserve"> </w:t>
      </w:r>
      <w:r w:rsidRPr="004C50DC">
        <w:rPr>
          <w:rFonts w:ascii="Times New Roman" w:hAnsi="Times New Roman"/>
          <w:sz w:val="24"/>
        </w:rPr>
        <w:t xml:space="preserve">57 at [26]-[27] and </w:t>
      </w:r>
      <w:proofErr w:type="spellStart"/>
      <w:r w:rsidRPr="004C50DC">
        <w:rPr>
          <w:rFonts w:ascii="Times New Roman" w:hAnsi="Times New Roman"/>
          <w:i/>
          <w:iCs/>
          <w:sz w:val="24"/>
        </w:rPr>
        <w:t>Hamalainen</w:t>
      </w:r>
      <w:proofErr w:type="spellEnd"/>
      <w:r w:rsidRPr="004C50DC">
        <w:rPr>
          <w:rFonts w:ascii="Times New Roman" w:hAnsi="Times New Roman"/>
          <w:i/>
          <w:iCs/>
          <w:sz w:val="24"/>
        </w:rPr>
        <w:t xml:space="preserve"> v The Queen </w:t>
      </w:r>
      <w:r w:rsidRPr="004C50DC">
        <w:rPr>
          <w:rFonts w:ascii="Times New Roman" w:hAnsi="Times New Roman"/>
          <w:sz w:val="24"/>
        </w:rPr>
        <w:t xml:space="preserve">[2019] NSWCCA 276 at [68]. </w:t>
      </w:r>
    </w:p>
  </w:footnote>
  <w:footnote w:id="143">
    <w:p w14:paraId="19847CF7"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Sutton v The Queen</w:t>
      </w:r>
      <w:r w:rsidRPr="004C50DC">
        <w:rPr>
          <w:rFonts w:ascii="Times New Roman" w:hAnsi="Times New Roman"/>
          <w:sz w:val="24"/>
        </w:rPr>
        <w:t xml:space="preserve"> (1984) 152 CLR 528 at 542; </w:t>
      </w:r>
      <w:r w:rsidRPr="004C50DC">
        <w:rPr>
          <w:rFonts w:ascii="Times New Roman" w:hAnsi="Times New Roman"/>
          <w:i/>
          <w:iCs/>
          <w:sz w:val="24"/>
        </w:rPr>
        <w:t>R v Henry</w:t>
      </w:r>
      <w:r w:rsidRPr="004C50DC">
        <w:rPr>
          <w:rFonts w:ascii="Times New Roman" w:hAnsi="Times New Roman"/>
          <w:sz w:val="24"/>
        </w:rPr>
        <w:t xml:space="preserve"> [2008] NSWCCA 248 at [12(3)]; </w:t>
      </w:r>
      <w:r w:rsidRPr="004C50DC">
        <w:rPr>
          <w:rFonts w:ascii="Times New Roman" w:hAnsi="Times New Roman"/>
          <w:i/>
          <w:iCs/>
          <w:sz w:val="24"/>
        </w:rPr>
        <w:t>Stagno v Western Australia</w:t>
      </w:r>
      <w:r w:rsidRPr="004C50DC">
        <w:rPr>
          <w:rFonts w:ascii="Times New Roman" w:hAnsi="Times New Roman"/>
          <w:sz w:val="24"/>
        </w:rPr>
        <w:t xml:space="preserve"> [2013] WASC 186 at [13(h)]. See also </w:t>
      </w:r>
      <w:r w:rsidRPr="004C50DC">
        <w:rPr>
          <w:rFonts w:ascii="Times New Roman" w:hAnsi="Times New Roman"/>
          <w:i/>
          <w:iCs/>
          <w:sz w:val="24"/>
        </w:rPr>
        <w:t>R v Christou</w:t>
      </w:r>
      <w:r w:rsidRPr="004C50DC">
        <w:rPr>
          <w:rFonts w:ascii="Times New Roman" w:hAnsi="Times New Roman"/>
          <w:sz w:val="24"/>
        </w:rPr>
        <w:t xml:space="preserve"> [1997] AC 117 at 129.</w:t>
      </w:r>
    </w:p>
  </w:footnote>
  <w:footnote w:id="144">
    <w:p w14:paraId="0ABAC77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Demirok</w:t>
      </w:r>
      <w:proofErr w:type="spellEnd"/>
      <w:r w:rsidRPr="004C50DC">
        <w:rPr>
          <w:rFonts w:ascii="Times New Roman" w:hAnsi="Times New Roman"/>
          <w:sz w:val="24"/>
        </w:rPr>
        <w:t xml:space="preserve"> [1976] VR 244 at 252, quoting </w:t>
      </w:r>
      <w:proofErr w:type="spellStart"/>
      <w:r w:rsidRPr="004C50DC">
        <w:rPr>
          <w:rFonts w:ascii="Times New Roman" w:hAnsi="Times New Roman"/>
          <w:i/>
          <w:iCs/>
          <w:sz w:val="24"/>
        </w:rPr>
        <w:t>Kerekes</w:t>
      </w:r>
      <w:proofErr w:type="spellEnd"/>
      <w:r w:rsidRPr="004C50DC">
        <w:rPr>
          <w:rFonts w:ascii="Times New Roman" w:hAnsi="Times New Roman"/>
          <w:sz w:val="24"/>
        </w:rPr>
        <w:t xml:space="preserve"> [1951] 70 WN (NSW) 102 at 105. </w:t>
      </w:r>
    </w:p>
  </w:footnote>
  <w:footnote w:id="145">
    <w:p w14:paraId="3A83728E"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 TJB</w:t>
      </w:r>
      <w:r w:rsidRPr="004C50DC">
        <w:rPr>
          <w:rFonts w:ascii="Times New Roman" w:hAnsi="Times New Roman"/>
          <w:sz w:val="24"/>
        </w:rPr>
        <w:t xml:space="preserve"> [1998] 4 VR 621 at 630; see also </w:t>
      </w:r>
      <w:r w:rsidRPr="004C50DC">
        <w:rPr>
          <w:rFonts w:ascii="Times New Roman" w:hAnsi="Times New Roman"/>
          <w:i/>
          <w:iCs/>
          <w:sz w:val="24"/>
        </w:rPr>
        <w:t>Dietrich v The Queen</w:t>
      </w:r>
      <w:r w:rsidRPr="004C50DC">
        <w:rPr>
          <w:rFonts w:ascii="Times New Roman" w:hAnsi="Times New Roman"/>
          <w:sz w:val="24"/>
        </w:rPr>
        <w:t xml:space="preserve"> (1992) 177 CLR 292 at 299-300, 311, 326-329, 353, 362; </w:t>
      </w:r>
      <w:r w:rsidRPr="004C50DC">
        <w:rPr>
          <w:rFonts w:ascii="Times New Roman" w:hAnsi="Times New Roman"/>
          <w:i/>
          <w:iCs/>
          <w:sz w:val="24"/>
        </w:rPr>
        <w:t>X7 v Australian Crime Commission</w:t>
      </w:r>
      <w:r w:rsidRPr="004C50DC">
        <w:rPr>
          <w:rFonts w:ascii="Times New Roman" w:hAnsi="Times New Roman"/>
          <w:sz w:val="24"/>
        </w:rPr>
        <w:t xml:space="preserve"> (2013) 248 CLR 92 at 116-117 [37]</w:t>
      </w:r>
      <w:r w:rsidRPr="004C50DC">
        <w:rPr>
          <w:rFonts w:ascii="Times New Roman" w:hAnsi="Times New Roman"/>
          <w:sz w:val="24"/>
        </w:rPr>
        <w:noBreakHyphen/>
        <w:t>[38].</w:t>
      </w:r>
    </w:p>
  </w:footnote>
  <w:footnote w:id="146">
    <w:p w14:paraId="5FCE864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sz w:val="24"/>
        </w:rPr>
        <w:t>cf</w:t>
      </w:r>
      <w:proofErr w:type="spellEnd"/>
      <w:r w:rsidRPr="004C50DC">
        <w:rPr>
          <w:rFonts w:ascii="Times New Roman" w:hAnsi="Times New Roman"/>
          <w:sz w:val="24"/>
        </w:rPr>
        <w:t xml:space="preserve"> </w:t>
      </w:r>
      <w:r w:rsidRPr="004C50DC">
        <w:rPr>
          <w:rFonts w:ascii="Times New Roman" w:hAnsi="Times New Roman"/>
          <w:i/>
          <w:iCs/>
          <w:sz w:val="24"/>
        </w:rPr>
        <w:t xml:space="preserve">Tan Siew </w:t>
      </w:r>
      <w:proofErr w:type="spellStart"/>
      <w:r w:rsidRPr="004C50DC">
        <w:rPr>
          <w:rFonts w:ascii="Times New Roman" w:hAnsi="Times New Roman"/>
          <w:i/>
          <w:iCs/>
          <w:sz w:val="24"/>
        </w:rPr>
        <w:t>Gim</w:t>
      </w:r>
      <w:proofErr w:type="spellEnd"/>
      <w:r w:rsidRPr="004C50DC">
        <w:rPr>
          <w:rFonts w:ascii="Times New Roman" w:hAnsi="Times New Roman"/>
          <w:i/>
          <w:iCs/>
          <w:sz w:val="24"/>
        </w:rPr>
        <w:t xml:space="preserve"> v The Queen</w:t>
      </w:r>
      <w:r w:rsidRPr="004C50DC">
        <w:rPr>
          <w:rFonts w:ascii="Times New Roman" w:hAnsi="Times New Roman"/>
          <w:sz w:val="24"/>
        </w:rPr>
        <w:t xml:space="preserve"> [1995] UKPC 25 at 4-5; </w:t>
      </w:r>
      <w:r w:rsidRPr="004C50DC">
        <w:rPr>
          <w:rFonts w:ascii="Times New Roman" w:hAnsi="Times New Roman"/>
          <w:i/>
          <w:sz w:val="24"/>
        </w:rPr>
        <w:t>R v Myers</w:t>
      </w:r>
      <w:r w:rsidRPr="004C50DC">
        <w:rPr>
          <w:rFonts w:ascii="Times New Roman" w:hAnsi="Times New Roman"/>
          <w:sz w:val="24"/>
        </w:rPr>
        <w:t xml:space="preserve"> [1998] AC 124 at 136, 145; </w:t>
      </w:r>
      <w:r w:rsidRPr="004C50DC">
        <w:rPr>
          <w:rFonts w:ascii="Times New Roman" w:hAnsi="Times New Roman"/>
          <w:i/>
          <w:sz w:val="24"/>
        </w:rPr>
        <w:t>R v Hartley</w:t>
      </w:r>
      <w:r w:rsidRPr="004C50DC">
        <w:rPr>
          <w:rFonts w:ascii="Times New Roman" w:hAnsi="Times New Roman"/>
          <w:sz w:val="24"/>
        </w:rPr>
        <w:t xml:space="preserve"> [2007] 3 NZLR 299 at 309 [60], [62].</w:t>
      </w:r>
    </w:p>
  </w:footnote>
  <w:footnote w:id="147">
    <w:p w14:paraId="11014F3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Evidence Act</w:t>
      </w:r>
      <w:r w:rsidRPr="004C50DC">
        <w:rPr>
          <w:rFonts w:ascii="Times New Roman" w:hAnsi="Times New Roman"/>
          <w:sz w:val="24"/>
        </w:rPr>
        <w:t xml:space="preserve">, s 56(2). </w:t>
      </w:r>
    </w:p>
  </w:footnote>
  <w:footnote w:id="148">
    <w:p w14:paraId="7A47F3F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R v</w:t>
      </w:r>
      <w:r w:rsidRPr="004C50DC">
        <w:rPr>
          <w:rFonts w:ascii="Times New Roman" w:hAnsi="Times New Roman"/>
          <w:sz w:val="24"/>
        </w:rPr>
        <w:t xml:space="preserve"> </w:t>
      </w:r>
      <w:proofErr w:type="spellStart"/>
      <w:r w:rsidRPr="004C50DC">
        <w:rPr>
          <w:rFonts w:ascii="Times New Roman" w:hAnsi="Times New Roman"/>
          <w:i/>
          <w:iCs/>
          <w:sz w:val="24"/>
        </w:rPr>
        <w:t>Lowery</w:t>
      </w:r>
      <w:proofErr w:type="spellEnd"/>
      <w:r w:rsidRPr="004C50DC">
        <w:rPr>
          <w:rFonts w:ascii="Times New Roman" w:hAnsi="Times New Roman"/>
          <w:i/>
          <w:iCs/>
          <w:sz w:val="24"/>
        </w:rPr>
        <w:t xml:space="preserve"> [No 3] </w:t>
      </w:r>
      <w:r w:rsidRPr="004C50DC">
        <w:rPr>
          <w:rFonts w:ascii="Times New Roman" w:hAnsi="Times New Roman"/>
          <w:sz w:val="24"/>
        </w:rPr>
        <w:t xml:space="preserve">[1972] VR 939 at 948; </w:t>
      </w:r>
      <w:r w:rsidRPr="004C50DC">
        <w:rPr>
          <w:rFonts w:ascii="Times New Roman" w:hAnsi="Times New Roman"/>
          <w:i/>
          <w:iCs/>
          <w:sz w:val="24"/>
        </w:rPr>
        <w:t xml:space="preserve">R v </w:t>
      </w:r>
      <w:proofErr w:type="spellStart"/>
      <w:r w:rsidRPr="004C50DC">
        <w:rPr>
          <w:rFonts w:ascii="Times New Roman" w:hAnsi="Times New Roman"/>
          <w:i/>
          <w:iCs/>
          <w:sz w:val="24"/>
        </w:rPr>
        <w:t>Darrington</w:t>
      </w:r>
      <w:proofErr w:type="spellEnd"/>
      <w:r w:rsidRPr="004C50DC">
        <w:rPr>
          <w:rFonts w:ascii="Times New Roman" w:hAnsi="Times New Roman"/>
          <w:sz w:val="24"/>
        </w:rPr>
        <w:t xml:space="preserve"> [1980] VR 353 at 384</w:t>
      </w:r>
      <w:r>
        <w:rPr>
          <w:rFonts w:ascii="Times New Roman" w:hAnsi="Times New Roman"/>
          <w:sz w:val="24"/>
        </w:rPr>
        <w:noBreakHyphen/>
      </w:r>
      <w:r w:rsidRPr="004C50DC">
        <w:rPr>
          <w:rFonts w:ascii="Times New Roman" w:hAnsi="Times New Roman"/>
          <w:sz w:val="24"/>
        </w:rPr>
        <w:t xml:space="preserve">385; </w:t>
      </w:r>
      <w:r w:rsidRPr="004C50DC">
        <w:rPr>
          <w:rFonts w:ascii="Times New Roman" w:hAnsi="Times New Roman"/>
          <w:i/>
          <w:iCs/>
          <w:sz w:val="24"/>
        </w:rPr>
        <w:t xml:space="preserve">Gibb </w:t>
      </w:r>
      <w:bookmarkStart w:id="6" w:name="_Hlk138684183"/>
      <w:r w:rsidRPr="004C50DC">
        <w:rPr>
          <w:rFonts w:ascii="Times New Roman" w:hAnsi="Times New Roman"/>
          <w:sz w:val="24"/>
        </w:rPr>
        <w:t>[1983] 2 VR 155 at 163</w:t>
      </w:r>
      <w:bookmarkEnd w:id="6"/>
      <w:r w:rsidRPr="004C50DC">
        <w:rPr>
          <w:rFonts w:ascii="Times New Roman" w:hAnsi="Times New Roman"/>
          <w:sz w:val="24"/>
        </w:rPr>
        <w:t xml:space="preserve">; </w:t>
      </w:r>
      <w:r w:rsidRPr="004C50DC">
        <w:rPr>
          <w:rFonts w:ascii="Times New Roman" w:hAnsi="Times New Roman"/>
          <w:i/>
          <w:iCs/>
          <w:sz w:val="24"/>
        </w:rPr>
        <w:t xml:space="preserve">R v </w:t>
      </w:r>
      <w:proofErr w:type="spellStart"/>
      <w:r w:rsidRPr="004C50DC">
        <w:rPr>
          <w:rFonts w:ascii="Times New Roman" w:hAnsi="Times New Roman"/>
          <w:i/>
          <w:iCs/>
          <w:sz w:val="24"/>
        </w:rPr>
        <w:t>Su</w:t>
      </w:r>
      <w:proofErr w:type="spellEnd"/>
      <w:r w:rsidRPr="004C50DC">
        <w:rPr>
          <w:rFonts w:ascii="Times New Roman" w:hAnsi="Times New Roman"/>
          <w:sz w:val="24"/>
        </w:rPr>
        <w:t xml:space="preserve"> [1997] 1 VR 1 at 65-66. See also </w:t>
      </w:r>
      <w:r w:rsidRPr="004C50DC">
        <w:rPr>
          <w:rFonts w:ascii="Times New Roman" w:hAnsi="Times New Roman"/>
          <w:i/>
          <w:iCs/>
          <w:sz w:val="24"/>
        </w:rPr>
        <w:t>R v</w:t>
      </w:r>
      <w:r w:rsidRPr="004C50DC">
        <w:rPr>
          <w:rFonts w:ascii="Times New Roman" w:hAnsi="Times New Roman"/>
          <w:sz w:val="24"/>
        </w:rPr>
        <w:t xml:space="preserve"> </w:t>
      </w:r>
      <w:r w:rsidRPr="004C50DC">
        <w:rPr>
          <w:rFonts w:ascii="Times New Roman" w:hAnsi="Times New Roman"/>
          <w:i/>
          <w:iCs/>
          <w:sz w:val="24"/>
        </w:rPr>
        <w:t>Taylor</w:t>
      </w:r>
      <w:r w:rsidRPr="004C50DC">
        <w:rPr>
          <w:rFonts w:ascii="Times New Roman" w:hAnsi="Times New Roman"/>
          <w:sz w:val="24"/>
        </w:rPr>
        <w:t xml:space="preserve"> [2003] NSWCCA 194 at [130]. See also ALRC Report at 464 [811]. </w:t>
      </w:r>
    </w:p>
  </w:footnote>
  <w:footnote w:id="149">
    <w:p w14:paraId="35687EBD"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Taylor</w:t>
      </w:r>
      <w:r w:rsidRPr="004C50DC">
        <w:rPr>
          <w:rFonts w:ascii="Times New Roman" w:hAnsi="Times New Roman"/>
          <w:sz w:val="24"/>
        </w:rPr>
        <w:t xml:space="preserve"> [2003] NSWCCA 194 at [130]. </w:t>
      </w:r>
    </w:p>
  </w:footnote>
  <w:footnote w:id="150">
    <w:p w14:paraId="04D2F14E"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sidDel="00113FB3">
        <w:rPr>
          <w:rFonts w:ascii="Times New Roman" w:hAnsi="Times New Roman"/>
          <w:i/>
          <w:iCs/>
          <w:sz w:val="24"/>
        </w:rPr>
        <w:t>Su</w:t>
      </w:r>
      <w:proofErr w:type="spellEnd"/>
      <w:r w:rsidRPr="004C50DC" w:rsidDel="00113FB3">
        <w:rPr>
          <w:rFonts w:ascii="Times New Roman" w:hAnsi="Times New Roman"/>
          <w:sz w:val="24"/>
        </w:rPr>
        <w:t xml:space="preserve"> [1997] 1 VR 1 at 66. </w:t>
      </w:r>
    </w:p>
  </w:footnote>
  <w:footnote w:id="151">
    <w:p w14:paraId="2B7FEC3E"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Gibb </w:t>
      </w:r>
      <w:r w:rsidRPr="004C50DC">
        <w:rPr>
          <w:rFonts w:ascii="Times New Roman" w:hAnsi="Times New Roman"/>
          <w:sz w:val="24"/>
        </w:rPr>
        <w:t xml:space="preserve">[1983] 2 VR 155 at 163. </w:t>
      </w:r>
    </w:p>
  </w:footnote>
  <w:footnote w:id="152">
    <w:p w14:paraId="6596D51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[1972] VR 939 at 948.</w:t>
      </w:r>
    </w:p>
  </w:footnote>
  <w:footnote w:id="153">
    <w:p w14:paraId="667AF4D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[1980] VR 353 at 384-385.</w:t>
      </w:r>
    </w:p>
  </w:footnote>
  <w:footnote w:id="154">
    <w:p w14:paraId="1610534C"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[1983] 2 VR 155 at 163.</w:t>
      </w:r>
    </w:p>
  </w:footnote>
  <w:footnote w:id="155">
    <w:p w14:paraId="0B58470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[1972] VR 939 at 947. </w:t>
      </w:r>
    </w:p>
  </w:footnote>
  <w:footnote w:id="156">
    <w:p w14:paraId="54A8B446"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Lowery</w:t>
      </w:r>
      <w:proofErr w:type="spellEnd"/>
      <w:r w:rsidRPr="004C50DC">
        <w:rPr>
          <w:rFonts w:ascii="Times New Roman" w:hAnsi="Times New Roman"/>
          <w:i/>
          <w:iCs/>
          <w:sz w:val="24"/>
        </w:rPr>
        <w:t xml:space="preserve"> [No 3] </w:t>
      </w:r>
      <w:r w:rsidRPr="004C50DC">
        <w:rPr>
          <w:rFonts w:ascii="Times New Roman" w:hAnsi="Times New Roman"/>
          <w:sz w:val="24"/>
        </w:rPr>
        <w:t xml:space="preserve">[1972] VR 939 at 947. </w:t>
      </w:r>
    </w:p>
  </w:footnote>
  <w:footnote w:id="157">
    <w:p w14:paraId="6718C322"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Lowery</w:t>
      </w:r>
      <w:proofErr w:type="spellEnd"/>
      <w:r w:rsidRPr="004C50DC">
        <w:rPr>
          <w:rFonts w:ascii="Times New Roman" w:hAnsi="Times New Roman"/>
          <w:i/>
          <w:iCs/>
          <w:sz w:val="24"/>
        </w:rPr>
        <w:t xml:space="preserve"> [No 3] </w:t>
      </w:r>
      <w:r w:rsidRPr="004C50DC">
        <w:rPr>
          <w:rFonts w:ascii="Times New Roman" w:hAnsi="Times New Roman"/>
          <w:sz w:val="24"/>
        </w:rPr>
        <w:t xml:space="preserve">[1972] VR 939 at 948. </w:t>
      </w:r>
    </w:p>
  </w:footnote>
  <w:footnote w:id="158">
    <w:p w14:paraId="3C02EA2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[1980] VR 353 at 385. </w:t>
      </w:r>
    </w:p>
  </w:footnote>
  <w:footnote w:id="159">
    <w:p w14:paraId="56DDF59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[1983] 2 VR 155 at 163.</w:t>
      </w:r>
    </w:p>
  </w:footnote>
  <w:footnote w:id="160">
    <w:p w14:paraId="1C22B13E"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Taylor</w:t>
      </w:r>
      <w:r w:rsidRPr="004C50DC">
        <w:rPr>
          <w:rFonts w:ascii="Times New Roman" w:hAnsi="Times New Roman"/>
          <w:sz w:val="24"/>
        </w:rPr>
        <w:t xml:space="preserve"> [2003] NSWCCA 194 at [130]; </w:t>
      </w:r>
      <w:r w:rsidRPr="004C50DC">
        <w:rPr>
          <w:rFonts w:ascii="Times New Roman" w:hAnsi="Times New Roman"/>
          <w:i/>
          <w:iCs/>
          <w:sz w:val="24"/>
        </w:rPr>
        <w:t>Hayward v The Queen</w:t>
      </w:r>
      <w:r w:rsidRPr="004C50DC">
        <w:rPr>
          <w:rFonts w:ascii="Times New Roman" w:hAnsi="Times New Roman"/>
          <w:sz w:val="24"/>
        </w:rPr>
        <w:t xml:space="preserve"> (2018) 97 NSWLR 852 at 872 [75], citing </w:t>
      </w:r>
      <w:r w:rsidRPr="004C50DC">
        <w:rPr>
          <w:rFonts w:ascii="Times New Roman" w:hAnsi="Times New Roman"/>
          <w:i/>
          <w:iCs/>
          <w:sz w:val="24"/>
        </w:rPr>
        <w:t>Alister v The Queen</w:t>
      </w:r>
      <w:r w:rsidRPr="004C50DC">
        <w:rPr>
          <w:rFonts w:ascii="Times New Roman" w:hAnsi="Times New Roman"/>
          <w:sz w:val="24"/>
        </w:rPr>
        <w:t xml:space="preserve"> (1983) 154 CLR 404. </w:t>
      </w:r>
    </w:p>
  </w:footnote>
  <w:footnote w:id="161">
    <w:p w14:paraId="79F64AC5"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[1952] 2 All ER 667 at 669. </w:t>
      </w:r>
    </w:p>
  </w:footnote>
  <w:footnote w:id="162">
    <w:p w14:paraId="789F710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[1980] 2 NSWLR 526.</w:t>
      </w:r>
    </w:p>
  </w:footnote>
  <w:footnote w:id="163">
    <w:p w14:paraId="17C13248"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[1983] 3 NSWLR 240. </w:t>
      </w:r>
    </w:p>
  </w:footnote>
  <w:footnote w:id="164">
    <w:p w14:paraId="69B2A1EF"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Lowery</w:t>
      </w:r>
      <w:proofErr w:type="spellEnd"/>
      <w:r w:rsidRPr="004C50DC">
        <w:rPr>
          <w:rFonts w:ascii="Times New Roman" w:hAnsi="Times New Roman"/>
          <w:i/>
          <w:iCs/>
          <w:sz w:val="24"/>
        </w:rPr>
        <w:t xml:space="preserve"> [No 3] </w:t>
      </w:r>
      <w:r w:rsidRPr="004C50DC">
        <w:rPr>
          <w:rFonts w:ascii="Times New Roman" w:hAnsi="Times New Roman"/>
          <w:sz w:val="24"/>
        </w:rPr>
        <w:t xml:space="preserve">[1972] VR 939 at 948; </w:t>
      </w:r>
      <w:proofErr w:type="spellStart"/>
      <w:r w:rsidRPr="004C50DC">
        <w:rPr>
          <w:rFonts w:ascii="Times New Roman" w:hAnsi="Times New Roman"/>
          <w:i/>
          <w:iCs/>
          <w:sz w:val="24"/>
        </w:rPr>
        <w:t>Darrington</w:t>
      </w:r>
      <w:proofErr w:type="spellEnd"/>
      <w:r w:rsidRPr="004C50DC">
        <w:rPr>
          <w:rFonts w:ascii="Times New Roman" w:hAnsi="Times New Roman"/>
          <w:sz w:val="24"/>
        </w:rPr>
        <w:t xml:space="preserve"> [1980] VR 353 at 384-385; </w:t>
      </w:r>
      <w:r w:rsidRPr="004C50DC">
        <w:rPr>
          <w:rFonts w:ascii="Times New Roman" w:hAnsi="Times New Roman"/>
          <w:i/>
          <w:iCs/>
          <w:sz w:val="24"/>
        </w:rPr>
        <w:t>Gibb</w:t>
      </w:r>
      <w:r>
        <w:rPr>
          <w:rFonts w:ascii="Times New Roman" w:hAnsi="Times New Roman"/>
          <w:i/>
          <w:iCs/>
          <w:sz w:val="24"/>
        </w:rPr>
        <w:t> </w:t>
      </w:r>
      <w:r w:rsidRPr="004C50DC">
        <w:rPr>
          <w:rFonts w:ascii="Times New Roman" w:hAnsi="Times New Roman"/>
          <w:sz w:val="24"/>
        </w:rPr>
        <w:t xml:space="preserve">[1983] 2 VR 155 at 163; </w:t>
      </w:r>
      <w:proofErr w:type="spellStart"/>
      <w:r w:rsidRPr="004C50DC">
        <w:rPr>
          <w:rFonts w:ascii="Times New Roman" w:hAnsi="Times New Roman"/>
          <w:i/>
          <w:iCs/>
          <w:sz w:val="24"/>
        </w:rPr>
        <w:t>Su</w:t>
      </w:r>
      <w:proofErr w:type="spellEnd"/>
      <w:r w:rsidRPr="004C50DC">
        <w:rPr>
          <w:rFonts w:ascii="Times New Roman" w:hAnsi="Times New Roman"/>
          <w:sz w:val="24"/>
        </w:rPr>
        <w:t xml:space="preserve"> [1997] 1 VR 1 at 66. See also </w:t>
      </w:r>
      <w:r w:rsidRPr="004C50DC">
        <w:rPr>
          <w:rFonts w:ascii="Times New Roman" w:hAnsi="Times New Roman"/>
          <w:i/>
          <w:iCs/>
          <w:sz w:val="24"/>
        </w:rPr>
        <w:t>Taylor</w:t>
      </w:r>
      <w:r w:rsidRPr="004C50DC">
        <w:rPr>
          <w:rFonts w:ascii="Times New Roman" w:hAnsi="Times New Roman"/>
          <w:sz w:val="24"/>
        </w:rPr>
        <w:t xml:space="preserve"> [2003] NSWCCA 194 at [130].</w:t>
      </w:r>
    </w:p>
  </w:footnote>
  <w:footnote w:id="165">
    <w:p w14:paraId="04FB4D5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Sutton </w:t>
      </w:r>
      <w:r w:rsidRPr="004C50DC">
        <w:rPr>
          <w:rFonts w:ascii="Times New Roman" w:hAnsi="Times New Roman"/>
          <w:sz w:val="24"/>
        </w:rPr>
        <w:t xml:space="preserve">(1984) 152 CLR 528 at 558; </w:t>
      </w:r>
      <w:r w:rsidRPr="004C50DC">
        <w:rPr>
          <w:rFonts w:ascii="Times New Roman" w:hAnsi="Times New Roman"/>
          <w:i/>
          <w:iCs/>
          <w:sz w:val="24"/>
        </w:rPr>
        <w:t xml:space="preserve">Dietrich </w:t>
      </w:r>
      <w:r w:rsidRPr="004C50DC">
        <w:rPr>
          <w:rFonts w:ascii="Times New Roman" w:hAnsi="Times New Roman"/>
          <w:sz w:val="24"/>
        </w:rPr>
        <w:t xml:space="preserve">(1992) 177 CLR 292 at 299, citing </w:t>
      </w:r>
      <w:r w:rsidRPr="004C50DC">
        <w:rPr>
          <w:rFonts w:ascii="Times New Roman" w:hAnsi="Times New Roman"/>
          <w:i/>
          <w:iCs/>
          <w:sz w:val="24"/>
        </w:rPr>
        <w:t>Jago v District Court (NSW)</w:t>
      </w:r>
      <w:r w:rsidRPr="004C50DC">
        <w:rPr>
          <w:rFonts w:ascii="Times New Roman" w:hAnsi="Times New Roman"/>
          <w:sz w:val="24"/>
        </w:rPr>
        <w:t xml:space="preserve"> (1989) 168 CLR 23 at 29, 56, 72, 75. See also </w:t>
      </w:r>
      <w:r w:rsidRPr="004C50DC">
        <w:rPr>
          <w:rFonts w:ascii="Times New Roman" w:hAnsi="Times New Roman"/>
          <w:i/>
          <w:iCs/>
          <w:sz w:val="24"/>
        </w:rPr>
        <w:t xml:space="preserve">Dietrich </w:t>
      </w:r>
      <w:r w:rsidRPr="004C50DC">
        <w:rPr>
          <w:rFonts w:ascii="Times New Roman" w:hAnsi="Times New Roman"/>
          <w:sz w:val="24"/>
        </w:rPr>
        <w:t>(1992) 177 CLR 292 at 362.</w:t>
      </w:r>
    </w:p>
  </w:footnote>
  <w:footnote w:id="166">
    <w:p w14:paraId="37D35561"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Miller</w:t>
      </w:r>
      <w:r w:rsidRPr="004C50DC">
        <w:rPr>
          <w:rFonts w:ascii="Times New Roman" w:hAnsi="Times New Roman"/>
          <w:sz w:val="24"/>
        </w:rPr>
        <w:t xml:space="preserve"> [1952] 2 All ER 667 at 670. </w:t>
      </w:r>
    </w:p>
  </w:footnote>
  <w:footnote w:id="167">
    <w:p w14:paraId="417F425B"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Miller</w:t>
      </w:r>
      <w:r w:rsidRPr="004C50DC">
        <w:rPr>
          <w:rFonts w:ascii="Times New Roman" w:hAnsi="Times New Roman"/>
          <w:sz w:val="24"/>
        </w:rPr>
        <w:t xml:space="preserve"> [1952] 2 All ER 667 at 670, citing </w:t>
      </w:r>
      <w:r w:rsidRPr="004C50DC">
        <w:rPr>
          <w:rFonts w:ascii="Times New Roman" w:hAnsi="Times New Roman"/>
          <w:i/>
          <w:iCs/>
          <w:sz w:val="24"/>
        </w:rPr>
        <w:t xml:space="preserve">R v </w:t>
      </w:r>
      <w:proofErr w:type="spellStart"/>
      <w:r w:rsidRPr="004C50DC">
        <w:rPr>
          <w:rFonts w:ascii="Times New Roman" w:hAnsi="Times New Roman"/>
          <w:i/>
          <w:iCs/>
          <w:sz w:val="24"/>
        </w:rPr>
        <w:t>Grondkowski</w:t>
      </w:r>
      <w:proofErr w:type="spellEnd"/>
      <w:r w:rsidRPr="004C50DC">
        <w:rPr>
          <w:rFonts w:ascii="Times New Roman" w:hAnsi="Times New Roman"/>
          <w:sz w:val="24"/>
        </w:rPr>
        <w:t xml:space="preserve"> [1946] KB 369.</w:t>
      </w:r>
    </w:p>
  </w:footnote>
  <w:footnote w:id="168">
    <w:p w14:paraId="4A2167E9"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[1980] VR 353 at 384-385. </w:t>
      </w:r>
    </w:p>
  </w:footnote>
  <w:footnote w:id="169">
    <w:p w14:paraId="7E9C4117"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proofErr w:type="spellStart"/>
      <w:r w:rsidRPr="004C50DC">
        <w:rPr>
          <w:rFonts w:ascii="Times New Roman" w:hAnsi="Times New Roman"/>
          <w:i/>
          <w:iCs/>
          <w:sz w:val="24"/>
        </w:rPr>
        <w:t>Darrington</w:t>
      </w:r>
      <w:proofErr w:type="spellEnd"/>
      <w:r w:rsidRPr="004C50DC">
        <w:rPr>
          <w:rFonts w:ascii="Times New Roman" w:hAnsi="Times New Roman"/>
          <w:i/>
          <w:iCs/>
          <w:sz w:val="24"/>
        </w:rPr>
        <w:t xml:space="preserve"> </w:t>
      </w:r>
      <w:r w:rsidRPr="004C50DC">
        <w:rPr>
          <w:rFonts w:ascii="Times New Roman" w:hAnsi="Times New Roman"/>
          <w:sz w:val="24"/>
        </w:rPr>
        <w:t>[1980] VR 353 at 385.</w:t>
      </w:r>
    </w:p>
  </w:footnote>
  <w:footnote w:id="170">
    <w:p w14:paraId="4B79FB54"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t xml:space="preserve">[2013] WASC 186 at [13(h)], citing </w:t>
      </w:r>
      <w:r w:rsidRPr="004C50DC">
        <w:rPr>
          <w:rFonts w:ascii="Times New Roman" w:hAnsi="Times New Roman"/>
          <w:i/>
          <w:iCs/>
          <w:sz w:val="24"/>
        </w:rPr>
        <w:t>Re Attorney-General's Reference No 1 of 1977</w:t>
      </w:r>
      <w:r w:rsidRPr="004C50DC">
        <w:rPr>
          <w:rFonts w:ascii="Times New Roman" w:hAnsi="Times New Roman"/>
          <w:sz w:val="24"/>
        </w:rPr>
        <w:t xml:space="preserve"> [1979] WAR 45 and </w:t>
      </w:r>
      <w:r w:rsidRPr="004C50DC">
        <w:rPr>
          <w:rFonts w:ascii="Times New Roman" w:hAnsi="Times New Roman"/>
          <w:i/>
          <w:iCs/>
          <w:sz w:val="24"/>
        </w:rPr>
        <w:t>Western Australia v Bowen</w:t>
      </w:r>
      <w:r w:rsidRPr="004C50DC">
        <w:rPr>
          <w:rFonts w:ascii="Times New Roman" w:hAnsi="Times New Roman"/>
          <w:sz w:val="24"/>
        </w:rPr>
        <w:t xml:space="preserve"> (2006) 32 WAR 81 at 95-96 [54]; see also </w:t>
      </w:r>
      <w:r w:rsidRPr="004C50DC">
        <w:rPr>
          <w:rFonts w:ascii="Times New Roman" w:hAnsi="Times New Roman"/>
          <w:i/>
          <w:iCs/>
          <w:sz w:val="24"/>
        </w:rPr>
        <w:t>Zammit v Western Australia</w:t>
      </w:r>
      <w:r w:rsidRPr="004C50DC">
        <w:rPr>
          <w:rFonts w:ascii="Times New Roman" w:hAnsi="Times New Roman"/>
          <w:sz w:val="24"/>
        </w:rPr>
        <w:t xml:space="preserve"> (2007) 34 WAR 302 at 322 [65].</w:t>
      </w:r>
    </w:p>
  </w:footnote>
  <w:footnote w:id="171">
    <w:p w14:paraId="21AB959E" w14:textId="77777777" w:rsidR="00A568B4" w:rsidRPr="004C50DC" w:rsidRDefault="00A568B4" w:rsidP="004C50DC">
      <w:pPr>
        <w:pStyle w:val="FootnoteText"/>
        <w:spacing w:line="280" w:lineRule="exact"/>
        <w:ind w:right="0"/>
        <w:jc w:val="both"/>
        <w:rPr>
          <w:rFonts w:ascii="Times New Roman" w:hAnsi="Times New Roman"/>
          <w:sz w:val="24"/>
        </w:rPr>
      </w:pPr>
      <w:r w:rsidRPr="004C50DC">
        <w:rPr>
          <w:rStyle w:val="FootnoteReference"/>
          <w:rFonts w:ascii="Times New Roman" w:hAnsi="Times New Roman"/>
          <w:sz w:val="22"/>
          <w:vertAlign w:val="baseline"/>
        </w:rPr>
        <w:footnoteRef/>
      </w:r>
      <w:r w:rsidRPr="004C50DC">
        <w:rPr>
          <w:rFonts w:ascii="Times New Roman" w:hAnsi="Times New Roman"/>
          <w:sz w:val="24"/>
        </w:rPr>
        <w:t xml:space="preserve"> </w:t>
      </w:r>
      <w:r w:rsidRPr="004C50DC">
        <w:rPr>
          <w:rFonts w:ascii="Times New Roman" w:hAnsi="Times New Roman"/>
          <w:sz w:val="24"/>
        </w:rPr>
        <w:tab/>
      </w:r>
      <w:r w:rsidRPr="004C50DC">
        <w:rPr>
          <w:rFonts w:ascii="Times New Roman" w:hAnsi="Times New Roman"/>
          <w:i/>
          <w:iCs/>
          <w:sz w:val="24"/>
        </w:rPr>
        <w:t xml:space="preserve">Sutton </w:t>
      </w:r>
      <w:r w:rsidRPr="004C50DC">
        <w:rPr>
          <w:rFonts w:ascii="Times New Roman" w:hAnsi="Times New Roman"/>
          <w:sz w:val="24"/>
        </w:rPr>
        <w:t xml:space="preserve">(1984) 152 CLR 528 at 541-542; </w:t>
      </w:r>
      <w:r w:rsidRPr="004C50DC">
        <w:rPr>
          <w:rFonts w:ascii="Times New Roman" w:hAnsi="Times New Roman"/>
          <w:i/>
          <w:iCs/>
          <w:sz w:val="24"/>
        </w:rPr>
        <w:t>De Jesus v The Queen</w:t>
      </w:r>
      <w:r w:rsidRPr="004C50DC">
        <w:rPr>
          <w:rFonts w:ascii="Times New Roman" w:hAnsi="Times New Roman"/>
          <w:sz w:val="24"/>
        </w:rPr>
        <w:t xml:space="preserve"> (1986) 61 ALJR 1 at 3, 7, 8; 68 ALR 1 at 4-5, 12, 13; </w:t>
      </w:r>
      <w:r w:rsidRPr="004C50DC">
        <w:rPr>
          <w:rFonts w:ascii="Times New Roman" w:hAnsi="Times New Roman"/>
          <w:i/>
          <w:iCs/>
          <w:sz w:val="24"/>
        </w:rPr>
        <w:t>KRM v The Queen</w:t>
      </w:r>
      <w:r w:rsidRPr="004C50DC">
        <w:rPr>
          <w:rFonts w:ascii="Times New Roman" w:hAnsi="Times New Roman"/>
          <w:sz w:val="24"/>
        </w:rPr>
        <w:t xml:space="preserve"> (2001) 206 CLR 221 at 234</w:t>
      </w:r>
      <w:r>
        <w:rPr>
          <w:rFonts w:ascii="Times New Roman" w:hAnsi="Times New Roman"/>
          <w:sz w:val="24"/>
        </w:rPr>
        <w:noBreakHyphen/>
      </w:r>
      <w:r w:rsidRPr="004C50DC">
        <w:rPr>
          <w:rFonts w:ascii="Times New Roman" w:hAnsi="Times New Roman"/>
          <w:sz w:val="24"/>
        </w:rPr>
        <w:t xml:space="preserve">235 [38]. See also </w:t>
      </w:r>
      <w:r w:rsidRPr="004C50DC">
        <w:rPr>
          <w:rFonts w:ascii="Times New Roman" w:hAnsi="Times New Roman"/>
          <w:i/>
          <w:iCs/>
          <w:sz w:val="24"/>
        </w:rPr>
        <w:t>R v Verma</w:t>
      </w:r>
      <w:r w:rsidRPr="004C50DC">
        <w:rPr>
          <w:rFonts w:ascii="Times New Roman" w:hAnsi="Times New Roman"/>
          <w:sz w:val="24"/>
        </w:rPr>
        <w:t xml:space="preserve"> (1987) 30 A Crim R 441 at 444; </w:t>
      </w:r>
      <w:proofErr w:type="spellStart"/>
      <w:r w:rsidRPr="004C50DC">
        <w:rPr>
          <w:rFonts w:ascii="Times New Roman" w:hAnsi="Times New Roman"/>
          <w:i/>
          <w:iCs/>
          <w:sz w:val="24"/>
        </w:rPr>
        <w:t>Lobban</w:t>
      </w:r>
      <w:proofErr w:type="spellEnd"/>
      <w:r w:rsidRPr="004C50DC">
        <w:rPr>
          <w:rFonts w:ascii="Times New Roman" w:hAnsi="Times New Roman"/>
          <w:i/>
          <w:iCs/>
          <w:sz w:val="24"/>
        </w:rPr>
        <w:t xml:space="preserve"> v The Queen</w:t>
      </w:r>
      <w:r w:rsidRPr="004C50DC">
        <w:rPr>
          <w:rFonts w:ascii="Times New Roman" w:hAnsi="Times New Roman"/>
          <w:sz w:val="24"/>
        </w:rPr>
        <w:t xml:space="preserve"> [1995] 1 WLR 877 at 889; [1995] 2 All ER 602 at 613; </w:t>
      </w:r>
      <w:r w:rsidRPr="004C50DC">
        <w:rPr>
          <w:rFonts w:ascii="Times New Roman" w:hAnsi="Times New Roman"/>
          <w:i/>
          <w:iCs/>
          <w:sz w:val="24"/>
        </w:rPr>
        <w:t>Winning v The Queen</w:t>
      </w:r>
      <w:r w:rsidRPr="004C50DC">
        <w:rPr>
          <w:rFonts w:ascii="Times New Roman" w:hAnsi="Times New Roman"/>
          <w:sz w:val="24"/>
        </w:rPr>
        <w:t xml:space="preserve"> [2002] WASCA 44 at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1D7B" w14:textId="77777777" w:rsidR="001720E4" w:rsidRPr="00D7204C" w:rsidRDefault="001720E4" w:rsidP="00D72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9AF6" w14:textId="16070AD8" w:rsidR="001720E4" w:rsidRPr="00D7204C" w:rsidRDefault="00D7204C" w:rsidP="00D7204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BF5B" w14:textId="412CA683" w:rsidR="00432CC8" w:rsidRPr="00D7204C" w:rsidRDefault="00432CC8" w:rsidP="00D720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D2AF" w14:textId="77777777" w:rsidR="00D7204C" w:rsidRPr="001720E4" w:rsidRDefault="00D7204C" w:rsidP="001720E4">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720E4">
      <w:rPr>
        <w:rFonts w:ascii="Times New Roman" w:hAnsi="Times New Roman"/>
        <w:i/>
        <w:sz w:val="22"/>
      </w:rPr>
      <w:t>Gageler</w:t>
    </w:r>
    <w:proofErr w:type="spellEnd"/>
    <w:r w:rsidRPr="001720E4">
      <w:rPr>
        <w:rFonts w:ascii="Times New Roman" w:hAnsi="Times New Roman"/>
        <w:i/>
        <w:sz w:val="22"/>
      </w:rPr>
      <w:tab/>
      <w:t>CJ</w:t>
    </w:r>
  </w:p>
  <w:p w14:paraId="791D45CF" w14:textId="77777777" w:rsidR="00D7204C" w:rsidRPr="001720E4" w:rsidRDefault="00D7204C" w:rsidP="001720E4">
    <w:pPr>
      <w:pStyle w:val="Header"/>
      <w:tabs>
        <w:tab w:val="clear" w:pos="4153"/>
        <w:tab w:val="clear" w:pos="8306"/>
        <w:tab w:val="right" w:pos="1304"/>
      </w:tabs>
      <w:spacing w:line="280" w:lineRule="exact"/>
      <w:ind w:firstLine="0"/>
      <w:rPr>
        <w:rFonts w:ascii="Times New Roman" w:hAnsi="Times New Roman"/>
        <w:i/>
        <w:sz w:val="22"/>
      </w:rPr>
    </w:pPr>
    <w:r w:rsidRPr="001720E4">
      <w:rPr>
        <w:rFonts w:ascii="Times New Roman" w:hAnsi="Times New Roman"/>
        <w:i/>
        <w:sz w:val="22"/>
      </w:rPr>
      <w:t>Gleeson</w:t>
    </w:r>
    <w:r w:rsidRPr="001720E4">
      <w:rPr>
        <w:rFonts w:ascii="Times New Roman" w:hAnsi="Times New Roman"/>
        <w:i/>
        <w:sz w:val="22"/>
      </w:rPr>
      <w:tab/>
      <w:t>J</w:t>
    </w:r>
  </w:p>
  <w:p w14:paraId="730C05EA" w14:textId="77777777" w:rsidR="00D7204C" w:rsidRDefault="00D7204C" w:rsidP="001720E4">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2F4BDB9E" w14:textId="77777777" w:rsidR="00D7204C" w:rsidRDefault="00D7204C" w:rsidP="001720E4">
    <w:pPr>
      <w:pStyle w:val="Header"/>
      <w:tabs>
        <w:tab w:val="clear" w:pos="4153"/>
        <w:tab w:val="clear" w:pos="8306"/>
        <w:tab w:val="right" w:pos="1304"/>
      </w:tabs>
      <w:spacing w:line="280" w:lineRule="exact"/>
      <w:ind w:firstLine="0"/>
      <w:rPr>
        <w:rFonts w:ascii="Times New Roman" w:hAnsi="Times New Roman"/>
        <w:i/>
        <w:sz w:val="22"/>
      </w:rPr>
    </w:pPr>
  </w:p>
  <w:p w14:paraId="0C350EC0" w14:textId="77777777" w:rsidR="00D7204C" w:rsidRDefault="00D7204C" w:rsidP="001720E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43</w:t>
    </w:r>
    <w:r>
      <w:rPr>
        <w:rFonts w:ascii="Times New Roman" w:hAnsi="Times New Roman"/>
        <w:sz w:val="22"/>
      </w:rPr>
      <w:fldChar w:fldCharType="end"/>
    </w:r>
    <w:r>
      <w:rPr>
        <w:rFonts w:ascii="Times New Roman" w:hAnsi="Times New Roman"/>
        <w:sz w:val="22"/>
      </w:rPr>
      <w:t>.</w:t>
    </w:r>
  </w:p>
  <w:p w14:paraId="6A8380C3" w14:textId="77777777" w:rsidR="00D7204C" w:rsidRPr="001720E4" w:rsidRDefault="00D7204C" w:rsidP="001720E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1A62" w14:textId="77777777" w:rsidR="00D7204C" w:rsidRPr="001720E4" w:rsidRDefault="00D7204C" w:rsidP="001720E4">
    <w:pPr>
      <w:pStyle w:val="Header"/>
      <w:tabs>
        <w:tab w:val="clear" w:pos="4153"/>
        <w:tab w:val="clear" w:pos="8306"/>
        <w:tab w:val="left" w:pos="7200"/>
        <w:tab w:val="right" w:pos="8504"/>
      </w:tabs>
      <w:spacing w:line="280" w:lineRule="exact"/>
      <w:jc w:val="right"/>
      <w:rPr>
        <w:rFonts w:ascii="Times New Roman" w:hAnsi="Times New Roman"/>
        <w:i/>
        <w:sz w:val="22"/>
      </w:rPr>
    </w:pPr>
    <w:r w:rsidRPr="001720E4">
      <w:rPr>
        <w:rFonts w:ascii="Times New Roman" w:hAnsi="Times New Roman"/>
        <w:i/>
        <w:sz w:val="22"/>
      </w:rPr>
      <w:tab/>
    </w:r>
    <w:proofErr w:type="spellStart"/>
    <w:r w:rsidRPr="001720E4">
      <w:rPr>
        <w:rFonts w:ascii="Times New Roman" w:hAnsi="Times New Roman"/>
        <w:i/>
        <w:sz w:val="22"/>
      </w:rPr>
      <w:t>Gageler</w:t>
    </w:r>
    <w:proofErr w:type="spellEnd"/>
    <w:r w:rsidRPr="001720E4">
      <w:rPr>
        <w:rFonts w:ascii="Times New Roman" w:hAnsi="Times New Roman"/>
        <w:i/>
        <w:sz w:val="22"/>
      </w:rPr>
      <w:tab/>
      <w:t>CJ</w:t>
    </w:r>
  </w:p>
  <w:p w14:paraId="1401F6CC" w14:textId="77777777" w:rsidR="00D7204C" w:rsidRPr="001720E4" w:rsidRDefault="00D7204C" w:rsidP="001720E4">
    <w:pPr>
      <w:pStyle w:val="Header"/>
      <w:tabs>
        <w:tab w:val="clear" w:pos="4153"/>
        <w:tab w:val="clear" w:pos="8306"/>
        <w:tab w:val="left" w:pos="7200"/>
        <w:tab w:val="right" w:pos="8504"/>
      </w:tabs>
      <w:spacing w:line="280" w:lineRule="exact"/>
      <w:jc w:val="right"/>
      <w:rPr>
        <w:rFonts w:ascii="Times New Roman" w:hAnsi="Times New Roman"/>
        <w:i/>
        <w:sz w:val="22"/>
      </w:rPr>
    </w:pPr>
    <w:r w:rsidRPr="001720E4">
      <w:rPr>
        <w:rFonts w:ascii="Times New Roman" w:hAnsi="Times New Roman"/>
        <w:i/>
        <w:sz w:val="22"/>
      </w:rPr>
      <w:tab/>
      <w:t>Gleeson</w:t>
    </w:r>
    <w:r w:rsidRPr="001720E4">
      <w:rPr>
        <w:rFonts w:ascii="Times New Roman" w:hAnsi="Times New Roman"/>
        <w:i/>
        <w:sz w:val="22"/>
      </w:rPr>
      <w:tab/>
      <w:t>J</w:t>
    </w:r>
  </w:p>
  <w:p w14:paraId="2A65B7BE" w14:textId="77777777" w:rsidR="00D7204C" w:rsidRDefault="00D7204C" w:rsidP="001720E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1B46C061" w14:textId="77777777" w:rsidR="00D7204C" w:rsidRDefault="00D7204C" w:rsidP="001720E4">
    <w:pPr>
      <w:pStyle w:val="Header"/>
      <w:tabs>
        <w:tab w:val="clear" w:pos="4153"/>
        <w:tab w:val="clear" w:pos="8306"/>
        <w:tab w:val="left" w:pos="7200"/>
        <w:tab w:val="right" w:pos="8504"/>
      </w:tabs>
      <w:spacing w:line="280" w:lineRule="exact"/>
      <w:jc w:val="right"/>
      <w:rPr>
        <w:rFonts w:ascii="Times New Roman" w:hAnsi="Times New Roman"/>
        <w:i/>
        <w:sz w:val="22"/>
      </w:rPr>
    </w:pPr>
  </w:p>
  <w:p w14:paraId="044F003D" w14:textId="77777777" w:rsidR="00D7204C" w:rsidRDefault="00D7204C" w:rsidP="001720E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43</w:t>
    </w:r>
    <w:r>
      <w:rPr>
        <w:rFonts w:ascii="Times New Roman" w:hAnsi="Times New Roman"/>
        <w:sz w:val="22"/>
      </w:rPr>
      <w:fldChar w:fldCharType="end"/>
    </w:r>
    <w:r>
      <w:rPr>
        <w:rFonts w:ascii="Times New Roman" w:hAnsi="Times New Roman"/>
        <w:sz w:val="22"/>
      </w:rPr>
      <w:t>.</w:t>
    </w:r>
  </w:p>
  <w:p w14:paraId="65C8E412" w14:textId="77777777" w:rsidR="00D7204C" w:rsidRPr="001720E4" w:rsidRDefault="00D7204C" w:rsidP="001720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CC3E" w14:textId="77777777" w:rsidR="00D7204C"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p w14:paraId="19466814" w14:textId="77777777" w:rsidR="00D7204C"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p w14:paraId="3D137CEA" w14:textId="77777777" w:rsidR="00D7204C"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p w14:paraId="2FABF8F2" w14:textId="77777777" w:rsidR="00D7204C"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p w14:paraId="737A30E1" w14:textId="77777777" w:rsidR="00D7204C"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p w14:paraId="31B22731" w14:textId="77777777" w:rsidR="00D7204C" w:rsidRPr="001720E4" w:rsidRDefault="00D7204C" w:rsidP="001720E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888B" w14:textId="77777777" w:rsidR="009678E2" w:rsidRPr="00A82E66" w:rsidRDefault="00A568B4" w:rsidP="009678E2">
    <w:pPr>
      <w:pStyle w:val="Header"/>
      <w:tabs>
        <w:tab w:val="clear" w:pos="4153"/>
        <w:tab w:val="clear" w:pos="8306"/>
        <w:tab w:val="right" w:pos="1304"/>
      </w:tabs>
      <w:spacing w:line="280" w:lineRule="exact"/>
      <w:ind w:firstLine="0"/>
      <w:rPr>
        <w:rFonts w:ascii="Times New Roman" w:hAnsi="Times New Roman"/>
        <w:i/>
        <w:sz w:val="22"/>
      </w:rPr>
    </w:pPr>
    <w:r w:rsidRPr="00A82E66">
      <w:rPr>
        <w:rFonts w:ascii="Times New Roman" w:hAnsi="Times New Roman"/>
        <w:i/>
        <w:sz w:val="22"/>
      </w:rPr>
      <w:t>Gordon</w:t>
    </w:r>
    <w:r w:rsidRPr="00A82E66">
      <w:rPr>
        <w:rFonts w:ascii="Times New Roman" w:hAnsi="Times New Roman"/>
        <w:i/>
        <w:sz w:val="22"/>
      </w:rPr>
      <w:tab/>
      <w:t>J</w:t>
    </w:r>
  </w:p>
  <w:p w14:paraId="265E148A" w14:textId="77777777" w:rsidR="004C50DC" w:rsidRDefault="00A568B4" w:rsidP="004C50D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246B606" w14:textId="77777777" w:rsidR="003B0FDF" w:rsidRDefault="00D7204C" w:rsidP="004C50DC">
    <w:pPr>
      <w:pStyle w:val="Header"/>
      <w:tabs>
        <w:tab w:val="clear" w:pos="4153"/>
        <w:tab w:val="clear" w:pos="8306"/>
        <w:tab w:val="right" w:pos="1304"/>
      </w:tabs>
      <w:spacing w:line="280" w:lineRule="exact"/>
      <w:ind w:firstLine="0"/>
      <w:rPr>
        <w:rFonts w:ascii="Times New Roman" w:hAnsi="Times New Roman"/>
        <w:i/>
        <w:sz w:val="22"/>
      </w:rPr>
    </w:pPr>
  </w:p>
  <w:p w14:paraId="6DC1A705" w14:textId="77777777" w:rsidR="004C50DC" w:rsidRDefault="00A568B4" w:rsidP="004C50D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931566B" w14:textId="77777777" w:rsidR="004C50DC" w:rsidRPr="004C50DC" w:rsidRDefault="00D7204C" w:rsidP="004C50D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DD09" w14:textId="77777777" w:rsidR="004C50DC" w:rsidRDefault="00A568B4" w:rsidP="004C50D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229C7943" w14:textId="77777777" w:rsidR="004C50DC" w:rsidRDefault="00A568B4" w:rsidP="004C50D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7E4D4C2" w14:textId="77777777" w:rsidR="002A1FF5" w:rsidRDefault="00D7204C" w:rsidP="004C50DC">
    <w:pPr>
      <w:pStyle w:val="Header"/>
      <w:tabs>
        <w:tab w:val="clear" w:pos="4153"/>
        <w:tab w:val="clear" w:pos="8306"/>
        <w:tab w:val="left" w:pos="7200"/>
        <w:tab w:val="right" w:pos="8504"/>
      </w:tabs>
      <w:spacing w:line="280" w:lineRule="exact"/>
      <w:jc w:val="right"/>
      <w:rPr>
        <w:rFonts w:ascii="Times New Roman" w:hAnsi="Times New Roman"/>
        <w:i/>
        <w:sz w:val="22"/>
      </w:rPr>
    </w:pPr>
  </w:p>
  <w:p w14:paraId="50C2F303" w14:textId="77777777" w:rsidR="004C50DC" w:rsidRDefault="00A568B4" w:rsidP="004C50D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F1A071" w14:textId="77777777" w:rsidR="004C50DC" w:rsidRPr="004C50DC" w:rsidRDefault="00D7204C" w:rsidP="004C50D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7C7C" w14:textId="77777777" w:rsidR="004C50DC" w:rsidRDefault="00D7204C" w:rsidP="004C50DC">
    <w:pPr>
      <w:pStyle w:val="Header"/>
      <w:tabs>
        <w:tab w:val="clear" w:pos="4153"/>
        <w:tab w:val="clear" w:pos="8306"/>
        <w:tab w:val="center" w:pos="1134"/>
      </w:tabs>
      <w:spacing w:line="280" w:lineRule="exact"/>
      <w:ind w:firstLine="0"/>
      <w:rPr>
        <w:rFonts w:ascii="Times New Roman" w:hAnsi="Times New Roman"/>
        <w:i/>
        <w:sz w:val="22"/>
      </w:rPr>
    </w:pPr>
  </w:p>
  <w:p w14:paraId="3769611D" w14:textId="77777777" w:rsidR="004C50DC" w:rsidRDefault="00D7204C" w:rsidP="004C50DC">
    <w:pPr>
      <w:pStyle w:val="Header"/>
      <w:tabs>
        <w:tab w:val="clear" w:pos="4153"/>
        <w:tab w:val="clear" w:pos="8306"/>
        <w:tab w:val="center" w:pos="1134"/>
      </w:tabs>
      <w:spacing w:line="280" w:lineRule="exact"/>
      <w:ind w:firstLine="0"/>
      <w:rPr>
        <w:rFonts w:ascii="Times New Roman" w:hAnsi="Times New Roman"/>
        <w:i/>
        <w:sz w:val="22"/>
      </w:rPr>
    </w:pPr>
  </w:p>
  <w:p w14:paraId="60BF54A0" w14:textId="77777777" w:rsidR="004C50DC" w:rsidRDefault="00D7204C" w:rsidP="004C50DC">
    <w:pPr>
      <w:pStyle w:val="Header"/>
      <w:tabs>
        <w:tab w:val="clear" w:pos="4153"/>
        <w:tab w:val="clear" w:pos="8306"/>
        <w:tab w:val="center" w:pos="1134"/>
      </w:tabs>
      <w:spacing w:line="280" w:lineRule="exact"/>
      <w:ind w:firstLine="0"/>
      <w:rPr>
        <w:rFonts w:ascii="Times New Roman" w:hAnsi="Times New Roman"/>
        <w:i/>
        <w:sz w:val="22"/>
      </w:rPr>
    </w:pPr>
  </w:p>
  <w:p w14:paraId="271E55B8" w14:textId="77777777" w:rsidR="00897089" w:rsidRDefault="00D7204C" w:rsidP="004C50DC">
    <w:pPr>
      <w:pStyle w:val="Header"/>
      <w:tabs>
        <w:tab w:val="clear" w:pos="4153"/>
        <w:tab w:val="clear" w:pos="8306"/>
        <w:tab w:val="center" w:pos="1134"/>
      </w:tabs>
      <w:spacing w:line="280" w:lineRule="exact"/>
      <w:ind w:firstLine="0"/>
      <w:rPr>
        <w:rFonts w:ascii="Times New Roman" w:hAnsi="Times New Roman"/>
        <w:i/>
        <w:sz w:val="22"/>
      </w:rPr>
    </w:pPr>
  </w:p>
  <w:p w14:paraId="51CB3448" w14:textId="77777777" w:rsidR="00D144F4" w:rsidRPr="004C50DC" w:rsidRDefault="00D7204C" w:rsidP="004C50D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3927968">
    <w:abstractNumId w:val="10"/>
  </w:num>
  <w:num w:numId="2" w16cid:durableId="844901037">
    <w:abstractNumId w:val="14"/>
  </w:num>
  <w:num w:numId="3" w16cid:durableId="570769628">
    <w:abstractNumId w:val="17"/>
  </w:num>
  <w:num w:numId="4" w16cid:durableId="1331101990">
    <w:abstractNumId w:val="13"/>
  </w:num>
  <w:num w:numId="5" w16cid:durableId="1440682060">
    <w:abstractNumId w:val="16"/>
  </w:num>
  <w:num w:numId="6" w16cid:durableId="461732931">
    <w:abstractNumId w:val="6"/>
  </w:num>
  <w:num w:numId="7" w16cid:durableId="19667440">
    <w:abstractNumId w:val="9"/>
  </w:num>
  <w:num w:numId="8" w16cid:durableId="875506691">
    <w:abstractNumId w:val="7"/>
  </w:num>
  <w:num w:numId="9" w16cid:durableId="1747998858">
    <w:abstractNumId w:val="5"/>
  </w:num>
  <w:num w:numId="10" w16cid:durableId="398283867">
    <w:abstractNumId w:val="4"/>
  </w:num>
  <w:num w:numId="11" w16cid:durableId="404841968">
    <w:abstractNumId w:val="8"/>
  </w:num>
  <w:num w:numId="12" w16cid:durableId="1258101113">
    <w:abstractNumId w:val="3"/>
  </w:num>
  <w:num w:numId="13" w16cid:durableId="355735415">
    <w:abstractNumId w:val="2"/>
  </w:num>
  <w:num w:numId="14" w16cid:durableId="1456946077">
    <w:abstractNumId w:val="1"/>
  </w:num>
  <w:num w:numId="15" w16cid:durableId="1147743582">
    <w:abstractNumId w:val="0"/>
  </w:num>
  <w:num w:numId="16" w16cid:durableId="2051342806">
    <w:abstractNumId w:val="12"/>
  </w:num>
  <w:num w:numId="17" w16cid:durableId="214128249">
    <w:abstractNumId w:val="15"/>
  </w:num>
  <w:num w:numId="18" w16cid:durableId="1444306536">
    <w:abstractNumId w:val="11"/>
  </w:num>
  <w:num w:numId="19" w16cid:durableId="1601328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2D"/>
    <w:rsid w:val="00002069"/>
    <w:rsid w:val="00002CE6"/>
    <w:rsid w:val="0000316A"/>
    <w:rsid w:val="00003AB3"/>
    <w:rsid w:val="000049B7"/>
    <w:rsid w:val="00014B34"/>
    <w:rsid w:val="000168C9"/>
    <w:rsid w:val="00016C20"/>
    <w:rsid w:val="00016DBB"/>
    <w:rsid w:val="00017144"/>
    <w:rsid w:val="000250AF"/>
    <w:rsid w:val="00025490"/>
    <w:rsid w:val="0002561E"/>
    <w:rsid w:val="000268E1"/>
    <w:rsid w:val="000332CF"/>
    <w:rsid w:val="0003575A"/>
    <w:rsid w:val="000360EB"/>
    <w:rsid w:val="00037A5F"/>
    <w:rsid w:val="00037D87"/>
    <w:rsid w:val="000430F9"/>
    <w:rsid w:val="00043D2C"/>
    <w:rsid w:val="00046812"/>
    <w:rsid w:val="00055ACD"/>
    <w:rsid w:val="00056F27"/>
    <w:rsid w:val="000573AF"/>
    <w:rsid w:val="0006169E"/>
    <w:rsid w:val="000626FD"/>
    <w:rsid w:val="0006432B"/>
    <w:rsid w:val="000653D4"/>
    <w:rsid w:val="00071C35"/>
    <w:rsid w:val="00071E04"/>
    <w:rsid w:val="00075F50"/>
    <w:rsid w:val="00080D77"/>
    <w:rsid w:val="0008435D"/>
    <w:rsid w:val="0008558C"/>
    <w:rsid w:val="00085F13"/>
    <w:rsid w:val="000928B9"/>
    <w:rsid w:val="000960FD"/>
    <w:rsid w:val="00097F32"/>
    <w:rsid w:val="000A28D4"/>
    <w:rsid w:val="000A2EB4"/>
    <w:rsid w:val="000A3DA3"/>
    <w:rsid w:val="000A63C6"/>
    <w:rsid w:val="000B10C8"/>
    <w:rsid w:val="000B4630"/>
    <w:rsid w:val="000B497F"/>
    <w:rsid w:val="000B710D"/>
    <w:rsid w:val="000B7558"/>
    <w:rsid w:val="000C04DC"/>
    <w:rsid w:val="000C0D98"/>
    <w:rsid w:val="000D25E6"/>
    <w:rsid w:val="000D551A"/>
    <w:rsid w:val="000E0825"/>
    <w:rsid w:val="000E2C64"/>
    <w:rsid w:val="000E65F7"/>
    <w:rsid w:val="000F1345"/>
    <w:rsid w:val="001001B9"/>
    <w:rsid w:val="00101D56"/>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1799"/>
    <w:rsid w:val="001628B1"/>
    <w:rsid w:val="00163D92"/>
    <w:rsid w:val="00164144"/>
    <w:rsid w:val="001720E4"/>
    <w:rsid w:val="00172ADE"/>
    <w:rsid w:val="0017503E"/>
    <w:rsid w:val="00175703"/>
    <w:rsid w:val="001758DE"/>
    <w:rsid w:val="00176D25"/>
    <w:rsid w:val="0018342E"/>
    <w:rsid w:val="001840C2"/>
    <w:rsid w:val="00184B46"/>
    <w:rsid w:val="00185939"/>
    <w:rsid w:val="001876F6"/>
    <w:rsid w:val="00190CCD"/>
    <w:rsid w:val="00191E23"/>
    <w:rsid w:val="00192B14"/>
    <w:rsid w:val="00193A1C"/>
    <w:rsid w:val="00194152"/>
    <w:rsid w:val="001953B1"/>
    <w:rsid w:val="001963C0"/>
    <w:rsid w:val="00197956"/>
    <w:rsid w:val="001A2D09"/>
    <w:rsid w:val="001A446E"/>
    <w:rsid w:val="001A5D66"/>
    <w:rsid w:val="001A79EF"/>
    <w:rsid w:val="001B17A8"/>
    <w:rsid w:val="001B4AEB"/>
    <w:rsid w:val="001B63C6"/>
    <w:rsid w:val="001C1AFB"/>
    <w:rsid w:val="001C48D4"/>
    <w:rsid w:val="001C5281"/>
    <w:rsid w:val="001C7C93"/>
    <w:rsid w:val="001D36CD"/>
    <w:rsid w:val="001D4F49"/>
    <w:rsid w:val="001D6437"/>
    <w:rsid w:val="001D68DE"/>
    <w:rsid w:val="001D7982"/>
    <w:rsid w:val="001D7B9E"/>
    <w:rsid w:val="001E1871"/>
    <w:rsid w:val="001E1D3D"/>
    <w:rsid w:val="001E2E84"/>
    <w:rsid w:val="001E47D1"/>
    <w:rsid w:val="001E6A64"/>
    <w:rsid w:val="001E75C5"/>
    <w:rsid w:val="001E7B61"/>
    <w:rsid w:val="001F3F2A"/>
    <w:rsid w:val="001F69C2"/>
    <w:rsid w:val="002048D1"/>
    <w:rsid w:val="002079CB"/>
    <w:rsid w:val="0021096E"/>
    <w:rsid w:val="00210DE8"/>
    <w:rsid w:val="00211D73"/>
    <w:rsid w:val="00212A3E"/>
    <w:rsid w:val="00214877"/>
    <w:rsid w:val="00214BF2"/>
    <w:rsid w:val="00215A7F"/>
    <w:rsid w:val="00216522"/>
    <w:rsid w:val="00221D19"/>
    <w:rsid w:val="0022666B"/>
    <w:rsid w:val="0022734D"/>
    <w:rsid w:val="0023447F"/>
    <w:rsid w:val="002350B3"/>
    <w:rsid w:val="0023798E"/>
    <w:rsid w:val="00242EE4"/>
    <w:rsid w:val="002432E8"/>
    <w:rsid w:val="0024462E"/>
    <w:rsid w:val="002474FA"/>
    <w:rsid w:val="002476A6"/>
    <w:rsid w:val="00252BB1"/>
    <w:rsid w:val="00253493"/>
    <w:rsid w:val="00254043"/>
    <w:rsid w:val="00257AFB"/>
    <w:rsid w:val="0026293D"/>
    <w:rsid w:val="0026520C"/>
    <w:rsid w:val="00265982"/>
    <w:rsid w:val="00270154"/>
    <w:rsid w:val="00271F70"/>
    <w:rsid w:val="00272E5D"/>
    <w:rsid w:val="0027408B"/>
    <w:rsid w:val="00274BE3"/>
    <w:rsid w:val="00276B56"/>
    <w:rsid w:val="00280F46"/>
    <w:rsid w:val="002819FD"/>
    <w:rsid w:val="002829BC"/>
    <w:rsid w:val="0028583A"/>
    <w:rsid w:val="00287368"/>
    <w:rsid w:val="00287873"/>
    <w:rsid w:val="002916CC"/>
    <w:rsid w:val="00292716"/>
    <w:rsid w:val="0029278C"/>
    <w:rsid w:val="00292E65"/>
    <w:rsid w:val="0029382D"/>
    <w:rsid w:val="0029697C"/>
    <w:rsid w:val="002979F1"/>
    <w:rsid w:val="002A13E1"/>
    <w:rsid w:val="002A3248"/>
    <w:rsid w:val="002B069D"/>
    <w:rsid w:val="002B0846"/>
    <w:rsid w:val="002B1304"/>
    <w:rsid w:val="002B58C7"/>
    <w:rsid w:val="002C01CC"/>
    <w:rsid w:val="002C3267"/>
    <w:rsid w:val="002C47C1"/>
    <w:rsid w:val="002C5981"/>
    <w:rsid w:val="002D0410"/>
    <w:rsid w:val="002D0899"/>
    <w:rsid w:val="002D1707"/>
    <w:rsid w:val="002D17E2"/>
    <w:rsid w:val="002D3F5B"/>
    <w:rsid w:val="002D5E2D"/>
    <w:rsid w:val="002E0EC8"/>
    <w:rsid w:val="002E278F"/>
    <w:rsid w:val="002E3B4D"/>
    <w:rsid w:val="002F0522"/>
    <w:rsid w:val="002F0734"/>
    <w:rsid w:val="002F4633"/>
    <w:rsid w:val="002F63AE"/>
    <w:rsid w:val="00301975"/>
    <w:rsid w:val="0030542C"/>
    <w:rsid w:val="00310418"/>
    <w:rsid w:val="00312FFC"/>
    <w:rsid w:val="00313D49"/>
    <w:rsid w:val="003149CF"/>
    <w:rsid w:val="003150BF"/>
    <w:rsid w:val="003150CE"/>
    <w:rsid w:val="00315E92"/>
    <w:rsid w:val="00317492"/>
    <w:rsid w:val="00317903"/>
    <w:rsid w:val="00323B9E"/>
    <w:rsid w:val="003256FA"/>
    <w:rsid w:val="00325BAE"/>
    <w:rsid w:val="003272E3"/>
    <w:rsid w:val="003274F7"/>
    <w:rsid w:val="00330804"/>
    <w:rsid w:val="00331587"/>
    <w:rsid w:val="00334A6B"/>
    <w:rsid w:val="003366B2"/>
    <w:rsid w:val="00340066"/>
    <w:rsid w:val="00340C3C"/>
    <w:rsid w:val="0034288B"/>
    <w:rsid w:val="0034332B"/>
    <w:rsid w:val="0034681C"/>
    <w:rsid w:val="003508FF"/>
    <w:rsid w:val="00357DBA"/>
    <w:rsid w:val="003600A8"/>
    <w:rsid w:val="0036327B"/>
    <w:rsid w:val="003642DC"/>
    <w:rsid w:val="00366524"/>
    <w:rsid w:val="00367B22"/>
    <w:rsid w:val="00371919"/>
    <w:rsid w:val="00373E58"/>
    <w:rsid w:val="00376073"/>
    <w:rsid w:val="00377452"/>
    <w:rsid w:val="00381223"/>
    <w:rsid w:val="00381849"/>
    <w:rsid w:val="003823A0"/>
    <w:rsid w:val="00384F36"/>
    <w:rsid w:val="00385271"/>
    <w:rsid w:val="00387FAC"/>
    <w:rsid w:val="0039226E"/>
    <w:rsid w:val="00392CC8"/>
    <w:rsid w:val="003A2017"/>
    <w:rsid w:val="003A48CC"/>
    <w:rsid w:val="003A72EF"/>
    <w:rsid w:val="003B4EED"/>
    <w:rsid w:val="003B6B2C"/>
    <w:rsid w:val="003C266A"/>
    <w:rsid w:val="003C602A"/>
    <w:rsid w:val="003D1759"/>
    <w:rsid w:val="003D1896"/>
    <w:rsid w:val="003D2A23"/>
    <w:rsid w:val="003D3B14"/>
    <w:rsid w:val="003D62F7"/>
    <w:rsid w:val="003E079A"/>
    <w:rsid w:val="003E1035"/>
    <w:rsid w:val="003E1238"/>
    <w:rsid w:val="003E17F2"/>
    <w:rsid w:val="003E19F7"/>
    <w:rsid w:val="003E1EB2"/>
    <w:rsid w:val="003E492C"/>
    <w:rsid w:val="003E625A"/>
    <w:rsid w:val="003E6513"/>
    <w:rsid w:val="003E6904"/>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2958"/>
    <w:rsid w:val="00414703"/>
    <w:rsid w:val="00415D2B"/>
    <w:rsid w:val="00416C0A"/>
    <w:rsid w:val="00421941"/>
    <w:rsid w:val="00424DE2"/>
    <w:rsid w:val="004267D0"/>
    <w:rsid w:val="00431963"/>
    <w:rsid w:val="00432528"/>
    <w:rsid w:val="00432836"/>
    <w:rsid w:val="00432CC8"/>
    <w:rsid w:val="00434798"/>
    <w:rsid w:val="00435198"/>
    <w:rsid w:val="004373D1"/>
    <w:rsid w:val="0043778D"/>
    <w:rsid w:val="00441AED"/>
    <w:rsid w:val="004454C2"/>
    <w:rsid w:val="00447347"/>
    <w:rsid w:val="00447CE7"/>
    <w:rsid w:val="00447F33"/>
    <w:rsid w:val="00450A27"/>
    <w:rsid w:val="00451EC2"/>
    <w:rsid w:val="00454F20"/>
    <w:rsid w:val="0045519C"/>
    <w:rsid w:val="0045522E"/>
    <w:rsid w:val="00463357"/>
    <w:rsid w:val="00463A04"/>
    <w:rsid w:val="00465255"/>
    <w:rsid w:val="00473718"/>
    <w:rsid w:val="00473869"/>
    <w:rsid w:val="00473B10"/>
    <w:rsid w:val="0047410E"/>
    <w:rsid w:val="00474C64"/>
    <w:rsid w:val="0048054A"/>
    <w:rsid w:val="004818E8"/>
    <w:rsid w:val="00482F67"/>
    <w:rsid w:val="00483006"/>
    <w:rsid w:val="00484915"/>
    <w:rsid w:val="00485961"/>
    <w:rsid w:val="00487387"/>
    <w:rsid w:val="004919FD"/>
    <w:rsid w:val="00495AF8"/>
    <w:rsid w:val="004A132C"/>
    <w:rsid w:val="004A440E"/>
    <w:rsid w:val="004A7628"/>
    <w:rsid w:val="004B26D9"/>
    <w:rsid w:val="004B2C5E"/>
    <w:rsid w:val="004B3F8D"/>
    <w:rsid w:val="004B612D"/>
    <w:rsid w:val="004B774B"/>
    <w:rsid w:val="004C4629"/>
    <w:rsid w:val="004C4B71"/>
    <w:rsid w:val="004C7D7C"/>
    <w:rsid w:val="004D087E"/>
    <w:rsid w:val="004D1383"/>
    <w:rsid w:val="004D19DB"/>
    <w:rsid w:val="004D1E88"/>
    <w:rsid w:val="004D3B7D"/>
    <w:rsid w:val="004D3CD7"/>
    <w:rsid w:val="004D5173"/>
    <w:rsid w:val="004D58DE"/>
    <w:rsid w:val="004D63E2"/>
    <w:rsid w:val="004D71BC"/>
    <w:rsid w:val="004E3F30"/>
    <w:rsid w:val="004E46F8"/>
    <w:rsid w:val="004E4F4A"/>
    <w:rsid w:val="004E50C8"/>
    <w:rsid w:val="004E653E"/>
    <w:rsid w:val="004E65F5"/>
    <w:rsid w:val="004F2D77"/>
    <w:rsid w:val="004F3E28"/>
    <w:rsid w:val="004F621F"/>
    <w:rsid w:val="004F7AF2"/>
    <w:rsid w:val="0050152A"/>
    <w:rsid w:val="00502EAE"/>
    <w:rsid w:val="00503A1B"/>
    <w:rsid w:val="0050500F"/>
    <w:rsid w:val="00505279"/>
    <w:rsid w:val="005063E1"/>
    <w:rsid w:val="00506D8A"/>
    <w:rsid w:val="00507CC5"/>
    <w:rsid w:val="00516BBB"/>
    <w:rsid w:val="00523E83"/>
    <w:rsid w:val="005248BB"/>
    <w:rsid w:val="005308A5"/>
    <w:rsid w:val="005314E9"/>
    <w:rsid w:val="00531723"/>
    <w:rsid w:val="0053275E"/>
    <w:rsid w:val="005330E8"/>
    <w:rsid w:val="0053324F"/>
    <w:rsid w:val="00535B57"/>
    <w:rsid w:val="00541EF9"/>
    <w:rsid w:val="005431CF"/>
    <w:rsid w:val="00543D0A"/>
    <w:rsid w:val="005454F3"/>
    <w:rsid w:val="005455E5"/>
    <w:rsid w:val="0054681B"/>
    <w:rsid w:val="0054779A"/>
    <w:rsid w:val="00547BA1"/>
    <w:rsid w:val="00554971"/>
    <w:rsid w:val="00556101"/>
    <w:rsid w:val="0055714F"/>
    <w:rsid w:val="00557CB1"/>
    <w:rsid w:val="0056091E"/>
    <w:rsid w:val="00561371"/>
    <w:rsid w:val="0056172D"/>
    <w:rsid w:val="00562563"/>
    <w:rsid w:val="005635F3"/>
    <w:rsid w:val="0056411C"/>
    <w:rsid w:val="00565B4C"/>
    <w:rsid w:val="005663FF"/>
    <w:rsid w:val="005677E5"/>
    <w:rsid w:val="00570D24"/>
    <w:rsid w:val="00574C1A"/>
    <w:rsid w:val="00577825"/>
    <w:rsid w:val="00580EEB"/>
    <w:rsid w:val="00580FCF"/>
    <w:rsid w:val="00583673"/>
    <w:rsid w:val="00583D08"/>
    <w:rsid w:val="00587BE7"/>
    <w:rsid w:val="00587CBC"/>
    <w:rsid w:val="00590EF0"/>
    <w:rsid w:val="00595DF1"/>
    <w:rsid w:val="00596524"/>
    <w:rsid w:val="00597D35"/>
    <w:rsid w:val="005A4A36"/>
    <w:rsid w:val="005A4CF2"/>
    <w:rsid w:val="005A6D6D"/>
    <w:rsid w:val="005A7264"/>
    <w:rsid w:val="005B006B"/>
    <w:rsid w:val="005B1601"/>
    <w:rsid w:val="005B4CFC"/>
    <w:rsid w:val="005B58B0"/>
    <w:rsid w:val="005B6868"/>
    <w:rsid w:val="005B69F5"/>
    <w:rsid w:val="005C0298"/>
    <w:rsid w:val="005C0769"/>
    <w:rsid w:val="005C16FE"/>
    <w:rsid w:val="005C360A"/>
    <w:rsid w:val="005D221C"/>
    <w:rsid w:val="005D2A43"/>
    <w:rsid w:val="005D6EA0"/>
    <w:rsid w:val="005E4208"/>
    <w:rsid w:val="005E5A09"/>
    <w:rsid w:val="005E7B36"/>
    <w:rsid w:val="005F02E6"/>
    <w:rsid w:val="005F10F1"/>
    <w:rsid w:val="005F1911"/>
    <w:rsid w:val="005F2CBA"/>
    <w:rsid w:val="005F3216"/>
    <w:rsid w:val="005F4194"/>
    <w:rsid w:val="005F4DFE"/>
    <w:rsid w:val="005F4EF9"/>
    <w:rsid w:val="005F5296"/>
    <w:rsid w:val="006015AE"/>
    <w:rsid w:val="006017B1"/>
    <w:rsid w:val="0060685F"/>
    <w:rsid w:val="00607066"/>
    <w:rsid w:val="00607197"/>
    <w:rsid w:val="00607A16"/>
    <w:rsid w:val="006109F8"/>
    <w:rsid w:val="006147EA"/>
    <w:rsid w:val="00617529"/>
    <w:rsid w:val="00623075"/>
    <w:rsid w:val="00623910"/>
    <w:rsid w:val="00624A27"/>
    <w:rsid w:val="00624C16"/>
    <w:rsid w:val="00624D74"/>
    <w:rsid w:val="0062716D"/>
    <w:rsid w:val="00627AF2"/>
    <w:rsid w:val="006318B4"/>
    <w:rsid w:val="00632F94"/>
    <w:rsid w:val="0063632F"/>
    <w:rsid w:val="00640170"/>
    <w:rsid w:val="0064335D"/>
    <w:rsid w:val="00645107"/>
    <w:rsid w:val="00650C56"/>
    <w:rsid w:val="00652858"/>
    <w:rsid w:val="00654AB1"/>
    <w:rsid w:val="00654DC7"/>
    <w:rsid w:val="006558DC"/>
    <w:rsid w:val="00656B27"/>
    <w:rsid w:val="00657F8B"/>
    <w:rsid w:val="00660401"/>
    <w:rsid w:val="006618FC"/>
    <w:rsid w:val="00663D00"/>
    <w:rsid w:val="00663E86"/>
    <w:rsid w:val="00671B7E"/>
    <w:rsid w:val="00673C78"/>
    <w:rsid w:val="00674566"/>
    <w:rsid w:val="006767BC"/>
    <w:rsid w:val="00681D75"/>
    <w:rsid w:val="0068242E"/>
    <w:rsid w:val="006849F4"/>
    <w:rsid w:val="00684BAF"/>
    <w:rsid w:val="00696089"/>
    <w:rsid w:val="00696EBB"/>
    <w:rsid w:val="00696EF9"/>
    <w:rsid w:val="006A1F10"/>
    <w:rsid w:val="006A39A6"/>
    <w:rsid w:val="006A4D4E"/>
    <w:rsid w:val="006A66BE"/>
    <w:rsid w:val="006B630A"/>
    <w:rsid w:val="006C1577"/>
    <w:rsid w:val="006C5ACD"/>
    <w:rsid w:val="006C6300"/>
    <w:rsid w:val="006D1544"/>
    <w:rsid w:val="006D36B7"/>
    <w:rsid w:val="006D3A49"/>
    <w:rsid w:val="006D63FC"/>
    <w:rsid w:val="006D686D"/>
    <w:rsid w:val="006E0960"/>
    <w:rsid w:val="006E16F1"/>
    <w:rsid w:val="006E29FA"/>
    <w:rsid w:val="006E2F81"/>
    <w:rsid w:val="006E359B"/>
    <w:rsid w:val="006E52D9"/>
    <w:rsid w:val="006E64FB"/>
    <w:rsid w:val="006E75BF"/>
    <w:rsid w:val="006F035A"/>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06559"/>
    <w:rsid w:val="007122EC"/>
    <w:rsid w:val="00714504"/>
    <w:rsid w:val="0071742A"/>
    <w:rsid w:val="0072554F"/>
    <w:rsid w:val="007273B7"/>
    <w:rsid w:val="00730E8F"/>
    <w:rsid w:val="00731D48"/>
    <w:rsid w:val="00734484"/>
    <w:rsid w:val="00742076"/>
    <w:rsid w:val="00745136"/>
    <w:rsid w:val="00745A15"/>
    <w:rsid w:val="00745DD2"/>
    <w:rsid w:val="00746FD1"/>
    <w:rsid w:val="00751354"/>
    <w:rsid w:val="00754010"/>
    <w:rsid w:val="00756909"/>
    <w:rsid w:val="00760D10"/>
    <w:rsid w:val="0076164E"/>
    <w:rsid w:val="00762108"/>
    <w:rsid w:val="0076402B"/>
    <w:rsid w:val="00767FB7"/>
    <w:rsid w:val="00770E38"/>
    <w:rsid w:val="007734DD"/>
    <w:rsid w:val="0077491A"/>
    <w:rsid w:val="007751DE"/>
    <w:rsid w:val="00776D5E"/>
    <w:rsid w:val="0078133D"/>
    <w:rsid w:val="00781E34"/>
    <w:rsid w:val="00785785"/>
    <w:rsid w:val="00791DED"/>
    <w:rsid w:val="00792AA8"/>
    <w:rsid w:val="00793058"/>
    <w:rsid w:val="00793540"/>
    <w:rsid w:val="00793AAE"/>
    <w:rsid w:val="00794972"/>
    <w:rsid w:val="00796EE7"/>
    <w:rsid w:val="00797022"/>
    <w:rsid w:val="007A3ABE"/>
    <w:rsid w:val="007A4CB0"/>
    <w:rsid w:val="007A5B52"/>
    <w:rsid w:val="007A62C3"/>
    <w:rsid w:val="007B0440"/>
    <w:rsid w:val="007B3F6A"/>
    <w:rsid w:val="007B4102"/>
    <w:rsid w:val="007B651A"/>
    <w:rsid w:val="007B6648"/>
    <w:rsid w:val="007B6669"/>
    <w:rsid w:val="007C0D6D"/>
    <w:rsid w:val="007C1CA8"/>
    <w:rsid w:val="007C274A"/>
    <w:rsid w:val="007C311B"/>
    <w:rsid w:val="007C506B"/>
    <w:rsid w:val="007D0986"/>
    <w:rsid w:val="007D59A7"/>
    <w:rsid w:val="007D698B"/>
    <w:rsid w:val="007D7BB6"/>
    <w:rsid w:val="007E43E8"/>
    <w:rsid w:val="007E5593"/>
    <w:rsid w:val="007E5D35"/>
    <w:rsid w:val="007F52A6"/>
    <w:rsid w:val="007F5789"/>
    <w:rsid w:val="007F652D"/>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8E1"/>
    <w:rsid w:val="00836AD2"/>
    <w:rsid w:val="008375CC"/>
    <w:rsid w:val="0084107C"/>
    <w:rsid w:val="008415CC"/>
    <w:rsid w:val="00842862"/>
    <w:rsid w:val="00845199"/>
    <w:rsid w:val="00846AA5"/>
    <w:rsid w:val="00847DFE"/>
    <w:rsid w:val="00851111"/>
    <w:rsid w:val="008525CF"/>
    <w:rsid w:val="008542CC"/>
    <w:rsid w:val="0085645D"/>
    <w:rsid w:val="0085701B"/>
    <w:rsid w:val="00860973"/>
    <w:rsid w:val="00860B77"/>
    <w:rsid w:val="008616EB"/>
    <w:rsid w:val="0086183E"/>
    <w:rsid w:val="0086200D"/>
    <w:rsid w:val="008648B5"/>
    <w:rsid w:val="0086641A"/>
    <w:rsid w:val="00867F68"/>
    <w:rsid w:val="008729B5"/>
    <w:rsid w:val="008737D3"/>
    <w:rsid w:val="00877CBF"/>
    <w:rsid w:val="00880D18"/>
    <w:rsid w:val="00882D53"/>
    <w:rsid w:val="00883437"/>
    <w:rsid w:val="008834C5"/>
    <w:rsid w:val="00883C24"/>
    <w:rsid w:val="008853F8"/>
    <w:rsid w:val="00891A8E"/>
    <w:rsid w:val="008953BD"/>
    <w:rsid w:val="0089717C"/>
    <w:rsid w:val="008A4628"/>
    <w:rsid w:val="008B47CB"/>
    <w:rsid w:val="008B6744"/>
    <w:rsid w:val="008B6A6C"/>
    <w:rsid w:val="008B70EA"/>
    <w:rsid w:val="008C15BB"/>
    <w:rsid w:val="008C28E5"/>
    <w:rsid w:val="008C4E5F"/>
    <w:rsid w:val="008C6C82"/>
    <w:rsid w:val="008D15F7"/>
    <w:rsid w:val="008D1FDE"/>
    <w:rsid w:val="008D351D"/>
    <w:rsid w:val="008D5DF9"/>
    <w:rsid w:val="008E1C45"/>
    <w:rsid w:val="008E242E"/>
    <w:rsid w:val="008E647B"/>
    <w:rsid w:val="008E7B61"/>
    <w:rsid w:val="008F3AE2"/>
    <w:rsid w:val="008F55CE"/>
    <w:rsid w:val="008F6221"/>
    <w:rsid w:val="008F6746"/>
    <w:rsid w:val="008F6E30"/>
    <w:rsid w:val="008F722B"/>
    <w:rsid w:val="008F777B"/>
    <w:rsid w:val="008F7CCE"/>
    <w:rsid w:val="0090050B"/>
    <w:rsid w:val="009064E2"/>
    <w:rsid w:val="009077C7"/>
    <w:rsid w:val="0091220E"/>
    <w:rsid w:val="00912A8D"/>
    <w:rsid w:val="0091465A"/>
    <w:rsid w:val="00915907"/>
    <w:rsid w:val="00920216"/>
    <w:rsid w:val="00920463"/>
    <w:rsid w:val="009231E5"/>
    <w:rsid w:val="009238C7"/>
    <w:rsid w:val="00923D68"/>
    <w:rsid w:val="009245CA"/>
    <w:rsid w:val="00926E4D"/>
    <w:rsid w:val="009274F2"/>
    <w:rsid w:val="009303DF"/>
    <w:rsid w:val="0093183C"/>
    <w:rsid w:val="0093352D"/>
    <w:rsid w:val="00935ADB"/>
    <w:rsid w:val="009376FF"/>
    <w:rsid w:val="00937C27"/>
    <w:rsid w:val="00940185"/>
    <w:rsid w:val="00940BCD"/>
    <w:rsid w:val="00941279"/>
    <w:rsid w:val="0094606A"/>
    <w:rsid w:val="009462D5"/>
    <w:rsid w:val="0095456C"/>
    <w:rsid w:val="009547B3"/>
    <w:rsid w:val="00956905"/>
    <w:rsid w:val="00960403"/>
    <w:rsid w:val="009613CF"/>
    <w:rsid w:val="009614C6"/>
    <w:rsid w:val="00962BFB"/>
    <w:rsid w:val="00962E1C"/>
    <w:rsid w:val="0096349D"/>
    <w:rsid w:val="00963560"/>
    <w:rsid w:val="00964954"/>
    <w:rsid w:val="00966034"/>
    <w:rsid w:val="00966DEC"/>
    <w:rsid w:val="00973516"/>
    <w:rsid w:val="009748E7"/>
    <w:rsid w:val="00975E3B"/>
    <w:rsid w:val="0097673B"/>
    <w:rsid w:val="00987C7D"/>
    <w:rsid w:val="00990380"/>
    <w:rsid w:val="009921DB"/>
    <w:rsid w:val="009940EF"/>
    <w:rsid w:val="00994A8D"/>
    <w:rsid w:val="00994D06"/>
    <w:rsid w:val="00997CF0"/>
    <w:rsid w:val="009A0BBC"/>
    <w:rsid w:val="009A3C2F"/>
    <w:rsid w:val="009A5AFD"/>
    <w:rsid w:val="009A6EFD"/>
    <w:rsid w:val="009B1CC4"/>
    <w:rsid w:val="009B39DC"/>
    <w:rsid w:val="009B61E7"/>
    <w:rsid w:val="009C55BE"/>
    <w:rsid w:val="009C6E72"/>
    <w:rsid w:val="009D05D1"/>
    <w:rsid w:val="009D1985"/>
    <w:rsid w:val="009D3C3F"/>
    <w:rsid w:val="009D4D67"/>
    <w:rsid w:val="009D635B"/>
    <w:rsid w:val="009D66DC"/>
    <w:rsid w:val="009D7F6F"/>
    <w:rsid w:val="009E0393"/>
    <w:rsid w:val="009E07D3"/>
    <w:rsid w:val="009E0A5E"/>
    <w:rsid w:val="009E25B5"/>
    <w:rsid w:val="009E4A09"/>
    <w:rsid w:val="009F06F2"/>
    <w:rsid w:val="009F4F70"/>
    <w:rsid w:val="009F635E"/>
    <w:rsid w:val="00A01CB5"/>
    <w:rsid w:val="00A02C5D"/>
    <w:rsid w:val="00A03992"/>
    <w:rsid w:val="00A122AB"/>
    <w:rsid w:val="00A129BA"/>
    <w:rsid w:val="00A135E8"/>
    <w:rsid w:val="00A140D3"/>
    <w:rsid w:val="00A1446B"/>
    <w:rsid w:val="00A167F2"/>
    <w:rsid w:val="00A17EFE"/>
    <w:rsid w:val="00A20C78"/>
    <w:rsid w:val="00A2312E"/>
    <w:rsid w:val="00A24323"/>
    <w:rsid w:val="00A24F86"/>
    <w:rsid w:val="00A2512C"/>
    <w:rsid w:val="00A2515B"/>
    <w:rsid w:val="00A2588E"/>
    <w:rsid w:val="00A26EDF"/>
    <w:rsid w:val="00A34789"/>
    <w:rsid w:val="00A3630E"/>
    <w:rsid w:val="00A37BB8"/>
    <w:rsid w:val="00A41FF8"/>
    <w:rsid w:val="00A42D87"/>
    <w:rsid w:val="00A43747"/>
    <w:rsid w:val="00A44BD3"/>
    <w:rsid w:val="00A4521D"/>
    <w:rsid w:val="00A46D6F"/>
    <w:rsid w:val="00A51442"/>
    <w:rsid w:val="00A51F0A"/>
    <w:rsid w:val="00A52686"/>
    <w:rsid w:val="00A54EF2"/>
    <w:rsid w:val="00A55D48"/>
    <w:rsid w:val="00A568B4"/>
    <w:rsid w:val="00A57BEB"/>
    <w:rsid w:val="00A61673"/>
    <w:rsid w:val="00A64926"/>
    <w:rsid w:val="00A64EC6"/>
    <w:rsid w:val="00A665CF"/>
    <w:rsid w:val="00A67CA7"/>
    <w:rsid w:val="00A7175C"/>
    <w:rsid w:val="00A73989"/>
    <w:rsid w:val="00A7752F"/>
    <w:rsid w:val="00A85C35"/>
    <w:rsid w:val="00A86FCD"/>
    <w:rsid w:val="00A92061"/>
    <w:rsid w:val="00A94249"/>
    <w:rsid w:val="00A94BC9"/>
    <w:rsid w:val="00A959BC"/>
    <w:rsid w:val="00AA08F8"/>
    <w:rsid w:val="00AA3C60"/>
    <w:rsid w:val="00AA4E04"/>
    <w:rsid w:val="00AB2FF4"/>
    <w:rsid w:val="00AB5F9C"/>
    <w:rsid w:val="00AC0227"/>
    <w:rsid w:val="00AC1AD6"/>
    <w:rsid w:val="00AD3127"/>
    <w:rsid w:val="00AD64DF"/>
    <w:rsid w:val="00AE00A4"/>
    <w:rsid w:val="00AE1025"/>
    <w:rsid w:val="00AE1ECC"/>
    <w:rsid w:val="00AE3F03"/>
    <w:rsid w:val="00AE64F0"/>
    <w:rsid w:val="00AF23C8"/>
    <w:rsid w:val="00AF2AE2"/>
    <w:rsid w:val="00B0377E"/>
    <w:rsid w:val="00B0459E"/>
    <w:rsid w:val="00B07BA9"/>
    <w:rsid w:val="00B10055"/>
    <w:rsid w:val="00B1141E"/>
    <w:rsid w:val="00B1278B"/>
    <w:rsid w:val="00B17295"/>
    <w:rsid w:val="00B21225"/>
    <w:rsid w:val="00B215F5"/>
    <w:rsid w:val="00B27A54"/>
    <w:rsid w:val="00B30281"/>
    <w:rsid w:val="00B30783"/>
    <w:rsid w:val="00B34F6B"/>
    <w:rsid w:val="00B3732D"/>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1096"/>
    <w:rsid w:val="00B74A56"/>
    <w:rsid w:val="00B74D1E"/>
    <w:rsid w:val="00B75167"/>
    <w:rsid w:val="00B76A18"/>
    <w:rsid w:val="00B84055"/>
    <w:rsid w:val="00B84C6C"/>
    <w:rsid w:val="00B92687"/>
    <w:rsid w:val="00B9404E"/>
    <w:rsid w:val="00B94248"/>
    <w:rsid w:val="00B942A1"/>
    <w:rsid w:val="00B94B4F"/>
    <w:rsid w:val="00B96F29"/>
    <w:rsid w:val="00B976F6"/>
    <w:rsid w:val="00BA2664"/>
    <w:rsid w:val="00BA4C70"/>
    <w:rsid w:val="00BA5F41"/>
    <w:rsid w:val="00BA7385"/>
    <w:rsid w:val="00BB187C"/>
    <w:rsid w:val="00BB296B"/>
    <w:rsid w:val="00BB3622"/>
    <w:rsid w:val="00BB3D92"/>
    <w:rsid w:val="00BB531F"/>
    <w:rsid w:val="00BB682C"/>
    <w:rsid w:val="00BB7CA9"/>
    <w:rsid w:val="00BC236B"/>
    <w:rsid w:val="00BC2677"/>
    <w:rsid w:val="00BC2BB4"/>
    <w:rsid w:val="00BC65D9"/>
    <w:rsid w:val="00BC7C52"/>
    <w:rsid w:val="00BD0CF6"/>
    <w:rsid w:val="00BD1471"/>
    <w:rsid w:val="00BD14C5"/>
    <w:rsid w:val="00BD196A"/>
    <w:rsid w:val="00BD2081"/>
    <w:rsid w:val="00BD2311"/>
    <w:rsid w:val="00BD4B9A"/>
    <w:rsid w:val="00BD6262"/>
    <w:rsid w:val="00BE4C48"/>
    <w:rsid w:val="00BE61C1"/>
    <w:rsid w:val="00BE64AF"/>
    <w:rsid w:val="00BE6717"/>
    <w:rsid w:val="00BE6A4A"/>
    <w:rsid w:val="00BF0381"/>
    <w:rsid w:val="00BF4D06"/>
    <w:rsid w:val="00BF6E7B"/>
    <w:rsid w:val="00C01021"/>
    <w:rsid w:val="00C0141F"/>
    <w:rsid w:val="00C043B2"/>
    <w:rsid w:val="00C048AF"/>
    <w:rsid w:val="00C077E0"/>
    <w:rsid w:val="00C07DE6"/>
    <w:rsid w:val="00C154B5"/>
    <w:rsid w:val="00C17872"/>
    <w:rsid w:val="00C205E9"/>
    <w:rsid w:val="00C212FC"/>
    <w:rsid w:val="00C22ED7"/>
    <w:rsid w:val="00C23F48"/>
    <w:rsid w:val="00C262BD"/>
    <w:rsid w:val="00C310C2"/>
    <w:rsid w:val="00C35A37"/>
    <w:rsid w:val="00C36525"/>
    <w:rsid w:val="00C40690"/>
    <w:rsid w:val="00C40EB3"/>
    <w:rsid w:val="00C41BD9"/>
    <w:rsid w:val="00C434FD"/>
    <w:rsid w:val="00C47AC7"/>
    <w:rsid w:val="00C5192E"/>
    <w:rsid w:val="00C52DE6"/>
    <w:rsid w:val="00C6016B"/>
    <w:rsid w:val="00C634A7"/>
    <w:rsid w:val="00C638D7"/>
    <w:rsid w:val="00C638DF"/>
    <w:rsid w:val="00C64720"/>
    <w:rsid w:val="00C6517F"/>
    <w:rsid w:val="00C655BA"/>
    <w:rsid w:val="00C6724D"/>
    <w:rsid w:val="00C67BA6"/>
    <w:rsid w:val="00C70DA3"/>
    <w:rsid w:val="00C71920"/>
    <w:rsid w:val="00C72A63"/>
    <w:rsid w:val="00C75ECE"/>
    <w:rsid w:val="00C80AE4"/>
    <w:rsid w:val="00C82A67"/>
    <w:rsid w:val="00C83C3A"/>
    <w:rsid w:val="00C856FB"/>
    <w:rsid w:val="00C857F1"/>
    <w:rsid w:val="00C8664A"/>
    <w:rsid w:val="00C871C4"/>
    <w:rsid w:val="00CA1130"/>
    <w:rsid w:val="00CA415F"/>
    <w:rsid w:val="00CA5EA7"/>
    <w:rsid w:val="00CB026C"/>
    <w:rsid w:val="00CB2C14"/>
    <w:rsid w:val="00CB5A49"/>
    <w:rsid w:val="00CB5C15"/>
    <w:rsid w:val="00CB678B"/>
    <w:rsid w:val="00CB68B4"/>
    <w:rsid w:val="00CC0441"/>
    <w:rsid w:val="00CC1228"/>
    <w:rsid w:val="00CC1A21"/>
    <w:rsid w:val="00CC2939"/>
    <w:rsid w:val="00CC2C4E"/>
    <w:rsid w:val="00CC66DE"/>
    <w:rsid w:val="00CC7C0C"/>
    <w:rsid w:val="00CD75E3"/>
    <w:rsid w:val="00CE2627"/>
    <w:rsid w:val="00CE2EB2"/>
    <w:rsid w:val="00CE525D"/>
    <w:rsid w:val="00CE5C99"/>
    <w:rsid w:val="00CF23EE"/>
    <w:rsid w:val="00CF75F7"/>
    <w:rsid w:val="00D05E27"/>
    <w:rsid w:val="00D11357"/>
    <w:rsid w:val="00D126F7"/>
    <w:rsid w:val="00D129F5"/>
    <w:rsid w:val="00D12ED9"/>
    <w:rsid w:val="00D141DD"/>
    <w:rsid w:val="00D1494A"/>
    <w:rsid w:val="00D21887"/>
    <w:rsid w:val="00D266DE"/>
    <w:rsid w:val="00D31689"/>
    <w:rsid w:val="00D355E8"/>
    <w:rsid w:val="00D40404"/>
    <w:rsid w:val="00D420A6"/>
    <w:rsid w:val="00D43DD6"/>
    <w:rsid w:val="00D51C2C"/>
    <w:rsid w:val="00D520C8"/>
    <w:rsid w:val="00D55A36"/>
    <w:rsid w:val="00D5689A"/>
    <w:rsid w:val="00D57072"/>
    <w:rsid w:val="00D60DF9"/>
    <w:rsid w:val="00D61249"/>
    <w:rsid w:val="00D61AE5"/>
    <w:rsid w:val="00D63403"/>
    <w:rsid w:val="00D64636"/>
    <w:rsid w:val="00D668E4"/>
    <w:rsid w:val="00D67466"/>
    <w:rsid w:val="00D7047B"/>
    <w:rsid w:val="00D71636"/>
    <w:rsid w:val="00D7204C"/>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13C1"/>
    <w:rsid w:val="00DB33E2"/>
    <w:rsid w:val="00DB4594"/>
    <w:rsid w:val="00DB4AA3"/>
    <w:rsid w:val="00DB5699"/>
    <w:rsid w:val="00DB68FF"/>
    <w:rsid w:val="00DB7230"/>
    <w:rsid w:val="00DC32BA"/>
    <w:rsid w:val="00DC5FD8"/>
    <w:rsid w:val="00DD6537"/>
    <w:rsid w:val="00DD6667"/>
    <w:rsid w:val="00DD74A2"/>
    <w:rsid w:val="00DD77EE"/>
    <w:rsid w:val="00DE383B"/>
    <w:rsid w:val="00DE49BE"/>
    <w:rsid w:val="00DE6576"/>
    <w:rsid w:val="00DF4614"/>
    <w:rsid w:val="00DF6D10"/>
    <w:rsid w:val="00DF7B25"/>
    <w:rsid w:val="00E00B67"/>
    <w:rsid w:val="00E135A1"/>
    <w:rsid w:val="00E1496E"/>
    <w:rsid w:val="00E154AD"/>
    <w:rsid w:val="00E16EF1"/>
    <w:rsid w:val="00E177A0"/>
    <w:rsid w:val="00E17F63"/>
    <w:rsid w:val="00E333A8"/>
    <w:rsid w:val="00E363F3"/>
    <w:rsid w:val="00E43C06"/>
    <w:rsid w:val="00E449B1"/>
    <w:rsid w:val="00E47B31"/>
    <w:rsid w:val="00E47D65"/>
    <w:rsid w:val="00E501F7"/>
    <w:rsid w:val="00E5082D"/>
    <w:rsid w:val="00E51225"/>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B4B0E"/>
    <w:rsid w:val="00EC341C"/>
    <w:rsid w:val="00ED1657"/>
    <w:rsid w:val="00ED5637"/>
    <w:rsid w:val="00ED5F73"/>
    <w:rsid w:val="00ED6618"/>
    <w:rsid w:val="00EE71C9"/>
    <w:rsid w:val="00EF30BE"/>
    <w:rsid w:val="00EF352D"/>
    <w:rsid w:val="00EF4AEE"/>
    <w:rsid w:val="00EF60AD"/>
    <w:rsid w:val="00EF6E41"/>
    <w:rsid w:val="00F03F3B"/>
    <w:rsid w:val="00F07468"/>
    <w:rsid w:val="00F11DDC"/>
    <w:rsid w:val="00F12601"/>
    <w:rsid w:val="00F127BA"/>
    <w:rsid w:val="00F1302B"/>
    <w:rsid w:val="00F13F76"/>
    <w:rsid w:val="00F2176B"/>
    <w:rsid w:val="00F22D82"/>
    <w:rsid w:val="00F23A8E"/>
    <w:rsid w:val="00F24B5D"/>
    <w:rsid w:val="00F256A3"/>
    <w:rsid w:val="00F26D40"/>
    <w:rsid w:val="00F340B6"/>
    <w:rsid w:val="00F361B7"/>
    <w:rsid w:val="00F40BAE"/>
    <w:rsid w:val="00F52F93"/>
    <w:rsid w:val="00F531ED"/>
    <w:rsid w:val="00F54608"/>
    <w:rsid w:val="00F552F2"/>
    <w:rsid w:val="00F55E52"/>
    <w:rsid w:val="00F57EF0"/>
    <w:rsid w:val="00F621DE"/>
    <w:rsid w:val="00F627E2"/>
    <w:rsid w:val="00F6349A"/>
    <w:rsid w:val="00F66938"/>
    <w:rsid w:val="00F66DFC"/>
    <w:rsid w:val="00F71520"/>
    <w:rsid w:val="00F7590F"/>
    <w:rsid w:val="00F75FE2"/>
    <w:rsid w:val="00F772CC"/>
    <w:rsid w:val="00F8569E"/>
    <w:rsid w:val="00F85A14"/>
    <w:rsid w:val="00F87AA7"/>
    <w:rsid w:val="00F90EB0"/>
    <w:rsid w:val="00F913C6"/>
    <w:rsid w:val="00F94864"/>
    <w:rsid w:val="00F95BDD"/>
    <w:rsid w:val="00F97349"/>
    <w:rsid w:val="00FA02EE"/>
    <w:rsid w:val="00FA259B"/>
    <w:rsid w:val="00FA33A6"/>
    <w:rsid w:val="00FA3B2D"/>
    <w:rsid w:val="00FA7B80"/>
    <w:rsid w:val="00FB0B18"/>
    <w:rsid w:val="00FB2ACA"/>
    <w:rsid w:val="00FB5A17"/>
    <w:rsid w:val="00FB673E"/>
    <w:rsid w:val="00FB753B"/>
    <w:rsid w:val="00FB787B"/>
    <w:rsid w:val="00FC3D57"/>
    <w:rsid w:val="00FC3EB4"/>
    <w:rsid w:val="00FC51B8"/>
    <w:rsid w:val="00FC5FD1"/>
    <w:rsid w:val="00FC6C2D"/>
    <w:rsid w:val="00FD16AB"/>
    <w:rsid w:val="00FD2E3A"/>
    <w:rsid w:val="00FD38DC"/>
    <w:rsid w:val="00FD6457"/>
    <w:rsid w:val="00FD755E"/>
    <w:rsid w:val="00FD7CD3"/>
    <w:rsid w:val="00FE1418"/>
    <w:rsid w:val="00FE2EE9"/>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3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D7204C"/>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D7204C"/>
    <w:pPr>
      <w:keepNext/>
      <w:numPr>
        <w:numId w:val="5"/>
      </w:numPr>
      <w:ind w:right="1296"/>
      <w:outlineLvl w:val="0"/>
    </w:pPr>
    <w:rPr>
      <w:u w:val="single"/>
    </w:rPr>
  </w:style>
  <w:style w:type="paragraph" w:styleId="Heading2">
    <w:name w:val="heading 2"/>
    <w:basedOn w:val="Normal"/>
    <w:next w:val="Normal"/>
    <w:uiPriority w:val="99"/>
    <w:semiHidden/>
    <w:qFormat/>
    <w:locked/>
    <w:rsid w:val="00D7204C"/>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D7204C"/>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D720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204C"/>
  </w:style>
  <w:style w:type="paragraph" w:styleId="Footer">
    <w:name w:val="footer"/>
    <w:basedOn w:val="Normal"/>
    <w:link w:val="FooterChar"/>
    <w:uiPriority w:val="43"/>
    <w:locked/>
    <w:rsid w:val="00D7204C"/>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D7204C"/>
    <w:pPr>
      <w:spacing w:before="240" w:line="240" w:lineRule="exact"/>
      <w:ind w:left="720" w:right="794" w:firstLine="0"/>
    </w:pPr>
  </w:style>
  <w:style w:type="paragraph" w:styleId="FootnoteText">
    <w:name w:val="footnote text"/>
    <w:basedOn w:val="Normal"/>
    <w:link w:val="FootnoteTextChar"/>
    <w:uiPriority w:val="53"/>
    <w:locked/>
    <w:rsid w:val="00D7204C"/>
    <w:pPr>
      <w:spacing w:after="240" w:line="240" w:lineRule="exact"/>
      <w:ind w:left="510" w:hanging="510"/>
    </w:pPr>
  </w:style>
  <w:style w:type="character" w:styleId="FootnoteReference">
    <w:name w:val="footnote reference"/>
    <w:uiPriority w:val="51"/>
    <w:locked/>
    <w:rsid w:val="00D7204C"/>
    <w:rPr>
      <w:b/>
      <w:sz w:val="28"/>
      <w:vertAlign w:val="superscript"/>
    </w:rPr>
  </w:style>
  <w:style w:type="paragraph" w:customStyle="1" w:styleId="FootIndAgain">
    <w:name w:val="FootIndAgain"/>
    <w:basedOn w:val="FootnoteText"/>
    <w:uiPriority w:val="47"/>
    <w:qFormat/>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D7204C"/>
    <w:pPr>
      <w:ind w:firstLine="0"/>
    </w:pPr>
  </w:style>
  <w:style w:type="character" w:customStyle="1" w:styleId="Heading1Char">
    <w:name w:val="Heading 1 Char"/>
    <w:uiPriority w:val="99"/>
    <w:semiHidden/>
    <w:locked/>
    <w:rsid w:val="00D7204C"/>
    <w:rPr>
      <w:rFonts w:ascii="Univers" w:hAnsi="Univers"/>
      <w:sz w:val="26"/>
      <w:u w:val="single"/>
      <w:lang w:val="en-AU"/>
    </w:rPr>
  </w:style>
  <w:style w:type="character" w:customStyle="1" w:styleId="Heading2Char">
    <w:name w:val="Heading 2 Char"/>
    <w:uiPriority w:val="99"/>
    <w:semiHidden/>
    <w:locked/>
    <w:rsid w:val="00D7204C"/>
    <w:rPr>
      <w:rFonts w:ascii="Arial" w:hAnsi="Arial"/>
      <w:b/>
      <w:i/>
      <w:sz w:val="24"/>
      <w:lang w:val="en-AU"/>
    </w:rPr>
  </w:style>
  <w:style w:type="character" w:customStyle="1" w:styleId="Heading3Char">
    <w:name w:val="Heading 3 Char"/>
    <w:uiPriority w:val="99"/>
    <w:semiHidden/>
    <w:locked/>
    <w:rsid w:val="00D7204C"/>
    <w:rPr>
      <w:rFonts w:ascii="Arial" w:hAnsi="Arial"/>
      <w:sz w:val="24"/>
      <w:lang w:val="en-AU"/>
    </w:rPr>
  </w:style>
  <w:style w:type="paragraph" w:customStyle="1" w:styleId="NormalHC">
    <w:name w:val="Normal HC"/>
    <w:basedOn w:val="Normal"/>
    <w:uiPriority w:val="27"/>
    <w:qFormat/>
    <w:locked/>
    <w:rsid w:val="00D7204C"/>
    <w:pPr>
      <w:numPr>
        <w:numId w:val="16"/>
      </w:numPr>
      <w:spacing w:after="480"/>
      <w:ind w:left="0" w:hanging="720"/>
    </w:pPr>
  </w:style>
  <w:style w:type="paragraph" w:customStyle="1" w:styleId="HeadingFirst">
    <w:name w:val="Heading First"/>
    <w:basedOn w:val="NormalHC"/>
    <w:next w:val="HeadingV"/>
    <w:uiPriority w:val="15"/>
    <w:qFormat/>
    <w:locked/>
    <w:rsid w:val="00D7204C"/>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D7204C"/>
    <w:pPr>
      <w:keepNext/>
      <w:numPr>
        <w:numId w:val="0"/>
      </w:numPr>
      <w:outlineLvl w:val="2"/>
    </w:pPr>
    <w:rPr>
      <w:b/>
      <w:szCs w:val="20"/>
    </w:rPr>
  </w:style>
  <w:style w:type="paragraph" w:customStyle="1" w:styleId="HeadingL2">
    <w:name w:val="Heading L2"/>
    <w:basedOn w:val="HeadingL1"/>
    <w:next w:val="NormalHC"/>
    <w:uiPriority w:val="23"/>
    <w:qFormat/>
    <w:locked/>
    <w:rsid w:val="00D7204C"/>
    <w:pPr>
      <w:outlineLvl w:val="3"/>
    </w:pPr>
    <w:rPr>
      <w:b w:val="0"/>
      <w:i/>
    </w:rPr>
  </w:style>
  <w:style w:type="paragraph" w:customStyle="1" w:styleId="HeadingMatter">
    <w:name w:val="Heading Matter"/>
    <w:basedOn w:val="NormalHC"/>
    <w:next w:val="HeadingFirst"/>
    <w:uiPriority w:val="13"/>
    <w:qFormat/>
    <w:locked/>
    <w:rsid w:val="00D7204C"/>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D7204C"/>
    <w:pPr>
      <w:keepNext w:val="0"/>
    </w:pPr>
  </w:style>
  <w:style w:type="paragraph" w:customStyle="1" w:styleId="HeadingV">
    <w:name w:val="Heading V"/>
    <w:basedOn w:val="HeadingFirst"/>
    <w:next w:val="HeadingSecond"/>
    <w:uiPriority w:val="17"/>
    <w:qFormat/>
    <w:locked/>
    <w:rsid w:val="00D7204C"/>
    <w:rPr>
      <w:caps w:val="0"/>
      <w:u w:val="none"/>
    </w:rPr>
  </w:style>
  <w:style w:type="paragraph" w:customStyle="1" w:styleId="LeftrightafterHC">
    <w:name w:val="Leftright after HC"/>
    <w:basedOn w:val="Normal"/>
    <w:next w:val="leftright"/>
    <w:uiPriority w:val="31"/>
    <w:qFormat/>
    <w:locked/>
    <w:rsid w:val="00D7204C"/>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D7204C"/>
    <w:pPr>
      <w:ind w:firstLine="720"/>
    </w:pPr>
  </w:style>
  <w:style w:type="paragraph" w:customStyle="1" w:styleId="LeftrightHanging">
    <w:name w:val="LeftrightHanging"/>
    <w:basedOn w:val="NormalHC"/>
    <w:uiPriority w:val="35"/>
    <w:qFormat/>
    <w:locked/>
    <w:rsid w:val="00D7204C"/>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D7204C"/>
    <w:pPr>
      <w:spacing w:before="200"/>
      <w:ind w:left="2160"/>
    </w:pPr>
  </w:style>
  <w:style w:type="paragraph" w:customStyle="1" w:styleId="NormalafterHd2nd">
    <w:name w:val="Normal after Hd2nd"/>
    <w:basedOn w:val="NormalHC"/>
    <w:next w:val="NormalHC"/>
    <w:uiPriority w:val="29"/>
    <w:locked/>
    <w:rsid w:val="00D7204C"/>
    <w:pPr>
      <w:numPr>
        <w:numId w:val="0"/>
      </w:numPr>
      <w:spacing w:before="1000"/>
    </w:pPr>
  </w:style>
  <w:style w:type="character" w:customStyle="1" w:styleId="NormalHCChar">
    <w:name w:val="Normal HC Char"/>
    <w:uiPriority w:val="99"/>
    <w:semiHidden/>
    <w:locked/>
    <w:rsid w:val="00D7204C"/>
    <w:rPr>
      <w:rFonts w:ascii="Univers" w:hAnsi="Univers"/>
      <w:sz w:val="26"/>
      <w:szCs w:val="26"/>
    </w:rPr>
  </w:style>
  <w:style w:type="character" w:customStyle="1" w:styleId="StyleFootnoteReferenceChar">
    <w:name w:val="Style Footnote Reference Char"/>
    <w:uiPriority w:val="99"/>
    <w:semiHidden/>
    <w:locked/>
    <w:rsid w:val="00D7204C"/>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D7204C"/>
  </w:style>
  <w:style w:type="paragraph" w:customStyle="1" w:styleId="HeadingJudgment">
    <w:name w:val="Heading Judgment"/>
    <w:basedOn w:val="Normal"/>
    <w:uiPriority w:val="59"/>
    <w:qFormat/>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D7204C"/>
    <w:pPr>
      <w:outlineLvl w:val="4"/>
    </w:pPr>
    <w:rPr>
      <w:b w:val="0"/>
    </w:rPr>
  </w:style>
  <w:style w:type="character" w:styleId="PageNumber">
    <w:name w:val="page number"/>
    <w:basedOn w:val="DefaultParagraphFont"/>
    <w:uiPriority w:val="57"/>
    <w:locked/>
    <w:rsid w:val="00D7204C"/>
  </w:style>
  <w:style w:type="paragraph" w:styleId="BalloonText">
    <w:name w:val="Balloon Text"/>
    <w:basedOn w:val="Normal"/>
    <w:link w:val="BalloonTextChar"/>
    <w:semiHidden/>
    <w:locked/>
    <w:rsid w:val="00D7204C"/>
    <w:rPr>
      <w:rFonts w:ascii="Tahoma" w:hAnsi="Tahoma" w:cs="Tahoma"/>
      <w:sz w:val="16"/>
      <w:szCs w:val="16"/>
      <w:lang w:eastAsia="en-US"/>
    </w:rPr>
  </w:style>
  <w:style w:type="character" w:customStyle="1" w:styleId="BalloonTextChar">
    <w:name w:val="Balloon Text Char"/>
    <w:basedOn w:val="DefaultParagraphFont"/>
    <w:link w:val="BalloonText"/>
    <w:semiHidden/>
    <w:rsid w:val="00D7204C"/>
    <w:rPr>
      <w:rFonts w:ascii="Tahoma" w:hAnsi="Tahoma" w:cs="Tahoma"/>
      <w:sz w:val="16"/>
      <w:szCs w:val="16"/>
      <w:lang w:eastAsia="en-US"/>
    </w:rPr>
  </w:style>
  <w:style w:type="paragraph" w:customStyle="1" w:styleId="ClosingText">
    <w:name w:val="Closing Text"/>
    <w:basedOn w:val="Normal"/>
    <w:uiPriority w:val="98"/>
    <w:semiHidden/>
    <w:qFormat/>
    <w:locked/>
    <w:rsid w:val="00D7204C"/>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D7204C"/>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D7204C"/>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D7204C"/>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D7204C"/>
    <w:rPr>
      <w:szCs w:val="20"/>
      <w:lang w:eastAsia="en-US"/>
    </w:rPr>
  </w:style>
  <w:style w:type="paragraph" w:customStyle="1" w:styleId="NormalBody">
    <w:name w:val="Normal Body"/>
    <w:basedOn w:val="NormalHC"/>
    <w:uiPriority w:val="28"/>
    <w:qFormat/>
    <w:locked/>
    <w:rsid w:val="00D7204C"/>
    <w:pPr>
      <w:numPr>
        <w:numId w:val="0"/>
      </w:numPr>
    </w:pPr>
    <w:rPr>
      <w:lang w:eastAsia="en-US"/>
    </w:rPr>
  </w:style>
  <w:style w:type="paragraph" w:customStyle="1" w:styleId="StyleFootnoteReference">
    <w:name w:val="Style Footnote Reference"/>
    <w:basedOn w:val="Normal"/>
    <w:next w:val="Normal"/>
    <w:semiHidden/>
    <w:rsid w:val="00D7204C"/>
    <w:rPr>
      <w:vertAlign w:val="superscript"/>
      <w:lang w:eastAsia="en-US"/>
    </w:rPr>
  </w:style>
  <w:style w:type="paragraph" w:styleId="ListNumber">
    <w:name w:val="List Number"/>
    <w:basedOn w:val="Normal"/>
    <w:uiPriority w:val="56"/>
    <w:locked/>
    <w:rsid w:val="00D7204C"/>
    <w:pPr>
      <w:numPr>
        <w:numId w:val="11"/>
      </w:numPr>
      <w:contextualSpacing/>
    </w:pPr>
  </w:style>
  <w:style w:type="paragraph" w:customStyle="1" w:styleId="FixListStyle">
    <w:name w:val="FixListStyle"/>
    <w:basedOn w:val="Normal"/>
    <w:uiPriority w:val="99"/>
    <w:qFormat/>
    <w:rsid w:val="00D7204C"/>
    <w:pPr>
      <w:numPr>
        <w:numId w:val="18"/>
      </w:numPr>
      <w:spacing w:after="480"/>
      <w:ind w:left="0" w:hanging="720"/>
    </w:pPr>
  </w:style>
  <w:style w:type="paragraph" w:customStyle="1" w:styleId="CatchwordsBold">
    <w:name w:val="Catchwords Bold"/>
    <w:basedOn w:val="Normal"/>
    <w:link w:val="CatchwordsBoldChar"/>
    <w:qFormat/>
    <w:rsid w:val="00D7204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D7204C"/>
    <w:rPr>
      <w:rFonts w:ascii="Times New Roman" w:hAnsi="Times New Roman"/>
      <w:b/>
      <w:szCs w:val="20"/>
    </w:rPr>
  </w:style>
  <w:style w:type="paragraph" w:customStyle="1" w:styleId="CatchwordsRight">
    <w:name w:val="Catchwords Right"/>
    <w:basedOn w:val="Normal"/>
    <w:link w:val="CatchwordsRightChar"/>
    <w:qFormat/>
    <w:rsid w:val="00D7204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D7204C"/>
    <w:rPr>
      <w:rFonts w:ascii="Times New Roman" w:hAnsi="Times New Roman"/>
      <w:szCs w:val="20"/>
    </w:rPr>
  </w:style>
  <w:style w:type="paragraph" w:customStyle="1" w:styleId="CatchwordsText">
    <w:name w:val="Catchwords Text"/>
    <w:basedOn w:val="Normal"/>
    <w:link w:val="CatchwordsTextChar"/>
    <w:qFormat/>
    <w:rsid w:val="00D7204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D7204C"/>
    <w:rPr>
      <w:rFonts w:ascii="Times New Roman" w:hAnsi="Times New Roman"/>
      <w:szCs w:val="20"/>
    </w:rPr>
  </w:style>
  <w:style w:type="paragraph" w:customStyle="1" w:styleId="CenteredBorder">
    <w:name w:val="Centered Border"/>
    <w:qFormat/>
    <w:rsid w:val="00D7204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D7204C"/>
    <w:pPr>
      <w:jc w:val="center"/>
    </w:pPr>
    <w:rPr>
      <w:rFonts w:ascii="Times New Roman" w:hAnsi="Times New Roman"/>
      <w:b/>
      <w:bCs/>
      <w:szCs w:val="20"/>
      <w:lang w:val="en-GB"/>
    </w:rPr>
  </w:style>
  <w:style w:type="character" w:customStyle="1" w:styleId="OrderCentred">
    <w:name w:val="Order Centred"/>
    <w:semiHidden/>
    <w:rsid w:val="00D7204C"/>
    <w:rPr>
      <w:b/>
      <w:bCs/>
      <w:sz w:val="26"/>
    </w:rPr>
  </w:style>
  <w:style w:type="paragraph" w:customStyle="1" w:styleId="OrdersTopLine">
    <w:name w:val="Orders TopLine"/>
    <w:qFormat/>
    <w:rsid w:val="00D7204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D7204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D7204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D7204C"/>
    <w:rPr>
      <w:rFonts w:ascii="Times New Roman" w:hAnsi="Times New Roman"/>
      <w:i/>
      <w:lang w:eastAsia="en-US"/>
    </w:rPr>
  </w:style>
  <w:style w:type="paragraph" w:customStyle="1" w:styleId="OrdersIndentLevel2i">
    <w:name w:val="Orders Indent Level 2 (i)"/>
    <w:basedOn w:val="Normal"/>
    <w:link w:val="OrdersIndentLevel2iChar"/>
    <w:qFormat/>
    <w:rsid w:val="00D7204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D7204C"/>
    <w:rPr>
      <w:rFonts w:ascii="Times New Roman" w:hAnsi="Times New Roman"/>
      <w:i/>
      <w:lang w:eastAsia="en-US"/>
    </w:rPr>
  </w:style>
  <w:style w:type="paragraph" w:customStyle="1" w:styleId="OrdersMatter">
    <w:name w:val="Orders Matter"/>
    <w:basedOn w:val="OrderCentreBold"/>
    <w:link w:val="OrdersMatterChar"/>
    <w:qFormat/>
    <w:rsid w:val="00D7204C"/>
  </w:style>
  <w:style w:type="character" w:customStyle="1" w:styleId="OrdersMatterChar">
    <w:name w:val="Orders Matter Char"/>
    <w:link w:val="OrdersMatter"/>
    <w:rsid w:val="00D7204C"/>
    <w:rPr>
      <w:rFonts w:ascii="Times New Roman" w:hAnsi="Times New Roman"/>
      <w:b/>
      <w:bCs/>
      <w:szCs w:val="20"/>
      <w:lang w:val="en-GB"/>
    </w:rPr>
  </w:style>
  <w:style w:type="paragraph" w:customStyle="1" w:styleId="OrdersNotice">
    <w:name w:val="Orders Notice"/>
    <w:rsid w:val="00D7204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D7204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D7204C"/>
    <w:rPr>
      <w:rFonts w:ascii="Times New Roman" w:hAnsi="Times New Roman"/>
      <w:szCs w:val="20"/>
      <w:lang w:eastAsia="en-US"/>
    </w:rPr>
  </w:style>
  <w:style w:type="paragraph" w:customStyle="1" w:styleId="OrdersText">
    <w:name w:val="Orders Text"/>
    <w:basedOn w:val="Normal"/>
    <w:link w:val="OrdersTextChar"/>
    <w:qFormat/>
    <w:rsid w:val="00D7204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D7204C"/>
    <w:rPr>
      <w:rFonts w:ascii="Times New Roman" w:hAnsi="Times New Roman"/>
      <w:i/>
      <w:lang w:eastAsia="en-US"/>
    </w:rPr>
  </w:style>
  <w:style w:type="paragraph" w:customStyle="1" w:styleId="OrdersCenteredBorder">
    <w:name w:val="Orders Centered Border"/>
    <w:qFormat/>
    <w:rsid w:val="00D7204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D7204C"/>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D7204C"/>
    <w:rPr>
      <w:rFonts w:ascii="Times New Roman" w:hAnsi="Times New Roman"/>
      <w:szCs w:val="20"/>
    </w:rPr>
  </w:style>
  <w:style w:type="paragraph" w:customStyle="1" w:styleId="LRHangingafterHC">
    <w:name w:val="LR Hanging after HC"/>
    <w:basedOn w:val="Normal"/>
    <w:next w:val="LeftrightHanging"/>
    <w:uiPriority w:val="99"/>
    <w:qFormat/>
    <w:rsid w:val="00D7204C"/>
    <w:pPr>
      <w:spacing w:before="720" w:line="240" w:lineRule="exact"/>
      <w:ind w:left="1440" w:right="794" w:hanging="720"/>
    </w:pPr>
  </w:style>
  <w:style w:type="character" w:styleId="Hyperlink">
    <w:name w:val="Hyperlink"/>
    <w:basedOn w:val="DefaultParagraphFont"/>
    <w:uiPriority w:val="99"/>
    <w:unhideWhenUsed/>
    <w:locked/>
    <w:rsid w:val="007F652D"/>
    <w:rPr>
      <w:color w:val="0000FF" w:themeColor="hyperlink"/>
      <w:u w:val="single"/>
    </w:rPr>
  </w:style>
  <w:style w:type="character" w:styleId="UnresolvedMention">
    <w:name w:val="Unresolved Mention"/>
    <w:basedOn w:val="DefaultParagraphFont"/>
    <w:uiPriority w:val="99"/>
    <w:semiHidden/>
    <w:unhideWhenUsed/>
    <w:rsid w:val="007F652D"/>
    <w:rPr>
      <w:color w:val="605E5C"/>
      <w:shd w:val="clear" w:color="auto" w:fill="E1DFDD"/>
    </w:rPr>
  </w:style>
  <w:style w:type="character" w:styleId="CommentReference">
    <w:name w:val="annotation reference"/>
    <w:basedOn w:val="DefaultParagraphFont"/>
    <w:uiPriority w:val="99"/>
    <w:semiHidden/>
    <w:unhideWhenUsed/>
    <w:locked/>
    <w:rsid w:val="007F652D"/>
    <w:rPr>
      <w:sz w:val="16"/>
      <w:szCs w:val="16"/>
    </w:rPr>
  </w:style>
  <w:style w:type="paragraph" w:styleId="CommentText">
    <w:name w:val="annotation text"/>
    <w:basedOn w:val="Normal"/>
    <w:link w:val="CommentTextChar"/>
    <w:uiPriority w:val="99"/>
    <w:unhideWhenUsed/>
    <w:locked/>
    <w:rsid w:val="007F652D"/>
    <w:pPr>
      <w:spacing w:line="240" w:lineRule="auto"/>
    </w:pPr>
    <w:rPr>
      <w:sz w:val="20"/>
      <w:szCs w:val="20"/>
    </w:rPr>
  </w:style>
  <w:style w:type="character" w:customStyle="1" w:styleId="CommentTextChar">
    <w:name w:val="Comment Text Char"/>
    <w:basedOn w:val="DefaultParagraphFont"/>
    <w:link w:val="CommentText"/>
    <w:uiPriority w:val="99"/>
    <w:rsid w:val="007F652D"/>
    <w:rPr>
      <w:sz w:val="20"/>
      <w:szCs w:val="20"/>
    </w:rPr>
  </w:style>
  <w:style w:type="paragraph" w:styleId="CommentSubject">
    <w:name w:val="annotation subject"/>
    <w:basedOn w:val="CommentText"/>
    <w:next w:val="CommentText"/>
    <w:link w:val="CommentSubjectChar"/>
    <w:uiPriority w:val="99"/>
    <w:semiHidden/>
    <w:unhideWhenUsed/>
    <w:locked/>
    <w:rsid w:val="007F652D"/>
    <w:rPr>
      <w:b/>
      <w:bCs/>
    </w:rPr>
  </w:style>
  <w:style w:type="character" w:customStyle="1" w:styleId="CommentSubjectChar">
    <w:name w:val="Comment Subject Char"/>
    <w:basedOn w:val="CommentTextChar"/>
    <w:link w:val="CommentSubject"/>
    <w:uiPriority w:val="99"/>
    <w:semiHidden/>
    <w:rsid w:val="007F652D"/>
    <w:rPr>
      <w:b/>
      <w:bCs/>
      <w:sz w:val="20"/>
      <w:szCs w:val="20"/>
    </w:rPr>
  </w:style>
  <w:style w:type="paragraph" w:styleId="Revision">
    <w:name w:val="Revision"/>
    <w:hidden/>
    <w:uiPriority w:val="99"/>
    <w:semiHidden/>
    <w:rsid w:val="007F652D"/>
  </w:style>
  <w:style w:type="character" w:customStyle="1" w:styleId="frag-no">
    <w:name w:val="frag-no"/>
    <w:basedOn w:val="DefaultParagraphFont"/>
    <w:rsid w:val="007F652D"/>
  </w:style>
  <w:style w:type="character" w:customStyle="1" w:styleId="frag-heading">
    <w:name w:val="frag-heading"/>
    <w:basedOn w:val="DefaultParagraphFont"/>
    <w:rsid w:val="007F652D"/>
  </w:style>
  <w:style w:type="character" w:customStyle="1" w:styleId="FootnoteTextChar">
    <w:name w:val="Footnote Text Char"/>
    <w:basedOn w:val="DefaultParagraphFont"/>
    <w:link w:val="FootnoteText"/>
    <w:uiPriority w:val="53"/>
    <w:rsid w:val="00A568B4"/>
  </w:style>
  <w:style w:type="paragraph" w:customStyle="1" w:styleId="Body">
    <w:name w:val="Body"/>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7204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7204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7204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7204C"/>
    <w:pPr>
      <w:jc w:val="center"/>
    </w:pPr>
    <w:rPr>
      <w:rFonts w:ascii="Times New Roman" w:hAnsi="Times New Roman"/>
      <w:bCs/>
      <w:szCs w:val="20"/>
      <w:lang w:val="en-GB"/>
    </w:rPr>
  </w:style>
  <w:style w:type="paragraph" w:customStyle="1" w:styleId="Default">
    <w:name w:val="Default"/>
    <w:rsid w:val="00D7204C"/>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2F6DAFF9-BD23-435F-8534-27B94A1A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016f7b10-9fb3-42d1-988f-800c46afe09c"/>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Chambers(V10.1)</Template>
  <TotalTime>0</TotalTime>
  <Pages>45</Pages>
  <Words>13074</Words>
  <Characters>74522</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2023-11-13T22:53:00Z</dcterms:created>
  <dcterms:modified xsi:type="dcterms:W3CDTF">2023-11-13T22:53:00Z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