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30D4" w14:textId="77777777" w:rsidR="005E74ED" w:rsidRPr="00704FF8" w:rsidRDefault="005E74ED" w:rsidP="00704FF8">
      <w:pPr>
        <w:pStyle w:val="OrdersTopLine"/>
      </w:pPr>
      <w:r w:rsidRPr="00704FF8">
        <w:t>HIGH COURT OF AUSTRALIA</w:t>
      </w:r>
    </w:p>
    <w:p w14:paraId="3D9A15D3" w14:textId="77777777" w:rsidR="005E74ED" w:rsidRPr="00704FF8" w:rsidRDefault="005E74ED" w:rsidP="00704FF8">
      <w:pPr>
        <w:pStyle w:val="OrderCentre"/>
      </w:pPr>
    </w:p>
    <w:p w14:paraId="5B440D34" w14:textId="77777777" w:rsidR="005E74ED" w:rsidRPr="00711C4E" w:rsidRDefault="005E74ED" w:rsidP="00EC15B9">
      <w:pPr>
        <w:pStyle w:val="OrderCentre"/>
        <w:rPr>
          <w:sz w:val="24"/>
          <w:szCs w:val="24"/>
        </w:rPr>
      </w:pPr>
      <w:r w:rsidRPr="00711C4E">
        <w:rPr>
          <w:sz w:val="24"/>
          <w:szCs w:val="24"/>
        </w:rPr>
        <w:t>KIEFEL CJ,</w:t>
      </w:r>
    </w:p>
    <w:p w14:paraId="5CBB5DA7" w14:textId="77777777" w:rsidR="005E74ED" w:rsidRPr="00711C4E" w:rsidRDefault="005E74ED" w:rsidP="00EC15B9">
      <w:pPr>
        <w:pStyle w:val="OrderCentre"/>
        <w:rPr>
          <w:sz w:val="24"/>
          <w:szCs w:val="24"/>
        </w:rPr>
      </w:pPr>
      <w:r w:rsidRPr="00711C4E">
        <w:rPr>
          <w:sz w:val="24"/>
          <w:szCs w:val="24"/>
        </w:rPr>
        <w:t>GAGELER, GORDON, EDELMAN, STEWARD, GLEESON AND JAGOT JJ</w:t>
      </w:r>
    </w:p>
    <w:p w14:paraId="1B04C0BD" w14:textId="77777777" w:rsidR="005E74ED" w:rsidRPr="00427F3A" w:rsidRDefault="005E74ED" w:rsidP="00EE5374">
      <w:pPr>
        <w:pStyle w:val="Centre"/>
        <w:rPr>
          <w:lang w:val="en-AU"/>
        </w:rPr>
      </w:pPr>
    </w:p>
    <w:p w14:paraId="2062C9CF" w14:textId="77777777" w:rsidR="005E74ED" w:rsidRPr="00704FF8" w:rsidRDefault="005E74ED" w:rsidP="00704FF8">
      <w:pPr>
        <w:pStyle w:val="OrdersCenteredBorder"/>
      </w:pPr>
    </w:p>
    <w:p w14:paraId="08E4D80E" w14:textId="77777777" w:rsidR="005E74ED" w:rsidRPr="00704FF8" w:rsidRDefault="005E74ED" w:rsidP="0032341F">
      <w:pPr>
        <w:pStyle w:val="OrdersBodyHeading"/>
      </w:pPr>
    </w:p>
    <w:p w14:paraId="4E4139FF" w14:textId="77777777" w:rsidR="005E74ED" w:rsidRPr="0032341F" w:rsidRDefault="005E74ED" w:rsidP="009362E8">
      <w:pPr>
        <w:pStyle w:val="OrdersPartyName"/>
        <w:ind w:right="-1"/>
      </w:pPr>
      <w:r w:rsidRPr="00D91C36">
        <w:t>UNIONS NSW &amp; ORS</w:t>
      </w:r>
      <w:r w:rsidRPr="0032341F">
        <w:tab/>
      </w:r>
      <w:r w:rsidRPr="00D91C36">
        <w:t>PLAINTIFF</w:t>
      </w:r>
      <w:r>
        <w:t>S</w:t>
      </w:r>
    </w:p>
    <w:p w14:paraId="375ACC38" w14:textId="77777777" w:rsidR="005E74ED" w:rsidRPr="0032341F" w:rsidRDefault="005E74ED" w:rsidP="009362E8">
      <w:pPr>
        <w:pStyle w:val="OrdersPartyName"/>
        <w:ind w:right="-1"/>
      </w:pPr>
    </w:p>
    <w:p w14:paraId="31595F5B" w14:textId="77777777" w:rsidR="005E74ED" w:rsidRPr="0032341F" w:rsidRDefault="005E74ED" w:rsidP="009362E8">
      <w:pPr>
        <w:pStyle w:val="OrdersPartyName"/>
        <w:ind w:right="-1"/>
      </w:pPr>
      <w:r w:rsidRPr="0032341F">
        <w:t>AND</w:t>
      </w:r>
    </w:p>
    <w:p w14:paraId="4CABE5D2" w14:textId="77777777" w:rsidR="005E74ED" w:rsidRPr="0032341F" w:rsidRDefault="005E74ED" w:rsidP="009362E8">
      <w:pPr>
        <w:pStyle w:val="OrdersPartyName"/>
        <w:ind w:right="-1"/>
      </w:pPr>
    </w:p>
    <w:p w14:paraId="799C993B" w14:textId="77777777" w:rsidR="005E74ED" w:rsidRPr="0032341F" w:rsidRDefault="005E74ED" w:rsidP="009362E8">
      <w:pPr>
        <w:pStyle w:val="OrdersPartyName"/>
        <w:ind w:right="-1"/>
      </w:pPr>
      <w:r w:rsidRPr="00D91C36">
        <w:t>STATE OF NEW SOUTH WALES</w:t>
      </w:r>
      <w:r w:rsidRPr="0032341F">
        <w:tab/>
      </w:r>
      <w:r w:rsidRPr="00D91C36">
        <w:t>DEFENDANT</w:t>
      </w:r>
    </w:p>
    <w:p w14:paraId="07AF5483" w14:textId="77777777" w:rsidR="005E74ED" w:rsidRPr="00427F3A" w:rsidRDefault="005E74ED" w:rsidP="00AF0A5E">
      <w:pPr>
        <w:pStyle w:val="BodyHeading"/>
      </w:pPr>
    </w:p>
    <w:p w14:paraId="6C49E49A" w14:textId="77777777" w:rsidR="005E74ED" w:rsidRPr="00427F3A" w:rsidRDefault="005E74ED" w:rsidP="00BE0A6C">
      <w:pPr>
        <w:pStyle w:val="BodyHeading"/>
      </w:pPr>
    </w:p>
    <w:p w14:paraId="69D3DEEE" w14:textId="77777777" w:rsidR="005E74ED" w:rsidRPr="00427F3A" w:rsidRDefault="005E74ED" w:rsidP="00EE5374">
      <w:pPr>
        <w:pStyle w:val="CentreItalics"/>
      </w:pPr>
      <w:r w:rsidRPr="00D91C36">
        <w:t>Unions NSW v New South Wales</w:t>
      </w:r>
    </w:p>
    <w:p w14:paraId="001C3B63" w14:textId="77777777" w:rsidR="005E74ED" w:rsidRPr="00427F3A" w:rsidRDefault="005E74ED" w:rsidP="00E90E4F">
      <w:pPr>
        <w:pStyle w:val="OrdersCentre"/>
      </w:pPr>
      <w:r>
        <w:t>[2023</w:t>
      </w:r>
      <w:r w:rsidRPr="00427F3A">
        <w:t xml:space="preserve">] HCA </w:t>
      </w:r>
      <w:r>
        <w:t>4</w:t>
      </w:r>
    </w:p>
    <w:p w14:paraId="561F0028" w14:textId="77777777" w:rsidR="005E74ED" w:rsidRDefault="005E74ED" w:rsidP="00E90E4F">
      <w:pPr>
        <w:pStyle w:val="OrdersCentreItalics"/>
      </w:pPr>
      <w:r w:rsidRPr="00EE3A79">
        <w:t>Date of Hearing: 16 &amp; 17 November 2022</w:t>
      </w:r>
    </w:p>
    <w:p w14:paraId="7E55EB66" w14:textId="77777777" w:rsidR="005E74ED" w:rsidRPr="00427F3A" w:rsidRDefault="005E74ED" w:rsidP="00E90E4F">
      <w:pPr>
        <w:pStyle w:val="OrdersCentreItalics"/>
      </w:pPr>
      <w:r>
        <w:t>Date of Judgment: 15 February 2023</w:t>
      </w:r>
    </w:p>
    <w:p w14:paraId="4134B3B9" w14:textId="77777777" w:rsidR="005E74ED" w:rsidRDefault="005E74ED" w:rsidP="00E90E4F">
      <w:pPr>
        <w:pStyle w:val="OrdersCentre"/>
      </w:pPr>
      <w:r w:rsidRPr="00D91C36">
        <w:t>S98/2022</w:t>
      </w:r>
    </w:p>
    <w:p w14:paraId="1DDF89DD" w14:textId="77777777" w:rsidR="005E74ED" w:rsidRPr="00427F3A" w:rsidRDefault="005E74ED" w:rsidP="00E90E4F">
      <w:pPr>
        <w:pStyle w:val="OrdersCentre"/>
      </w:pPr>
    </w:p>
    <w:p w14:paraId="23B8ABF8" w14:textId="77777777" w:rsidR="005E74ED" w:rsidRPr="00BE0A6C" w:rsidRDefault="005E74ED" w:rsidP="00E90E4F">
      <w:pPr>
        <w:pStyle w:val="OrderCentreBold"/>
      </w:pPr>
      <w:r w:rsidRPr="00BE0A6C">
        <w:t>ORDER</w:t>
      </w:r>
    </w:p>
    <w:p w14:paraId="7EAA03E9" w14:textId="77777777" w:rsidR="005E74ED" w:rsidRPr="00427F3A" w:rsidRDefault="005E74ED" w:rsidP="00736C52">
      <w:pPr>
        <w:pStyle w:val="Centre"/>
        <w:rPr>
          <w:lang w:val="en-AU"/>
        </w:rPr>
      </w:pPr>
    </w:p>
    <w:p w14:paraId="5B64F209" w14:textId="77777777" w:rsidR="005E74ED" w:rsidRDefault="005E74ED" w:rsidP="00920EB1">
      <w:pPr>
        <w:pStyle w:val="OrdersText"/>
      </w:pPr>
      <w:r>
        <w:t xml:space="preserve">1. </w:t>
      </w:r>
      <w:r>
        <w:tab/>
        <w:t>T</w:t>
      </w:r>
      <w:r w:rsidRPr="004779B8">
        <w:t xml:space="preserve">he questions stated by the parties for the opinion of the Full Court </w:t>
      </w:r>
      <w:r>
        <w:t xml:space="preserve">in the further amended special case filed on 10 November 2022 </w:t>
      </w:r>
      <w:r w:rsidRPr="004779B8">
        <w:t>should be answered as follows:</w:t>
      </w:r>
    </w:p>
    <w:p w14:paraId="4AA62ECB" w14:textId="77777777" w:rsidR="005E74ED" w:rsidRDefault="005E74ED" w:rsidP="00920EB1">
      <w:pPr>
        <w:pStyle w:val="OrdersText"/>
      </w:pPr>
    </w:p>
    <w:p w14:paraId="645DEE52" w14:textId="77777777" w:rsidR="005E74ED" w:rsidRPr="007E411B" w:rsidRDefault="005E74ED" w:rsidP="003B679E">
      <w:pPr>
        <w:pStyle w:val="OrdersText"/>
        <w:ind w:left="2160" w:hanging="1451"/>
      </w:pPr>
      <w:r w:rsidRPr="004779B8">
        <w:t>Q</w:t>
      </w:r>
      <w:r>
        <w:t>uestion 1:</w:t>
      </w:r>
      <w:r w:rsidRPr="004779B8">
        <w:t xml:space="preserve"> </w:t>
      </w:r>
      <w:r>
        <w:tab/>
        <w:t xml:space="preserve">Is section 29(11) of the </w:t>
      </w:r>
      <w:r w:rsidRPr="00D9022F">
        <w:rPr>
          <w:i w:val="0"/>
        </w:rPr>
        <w:t>Electoral Funding Act 2018</w:t>
      </w:r>
      <w:r>
        <w:rPr>
          <w:iCs/>
        </w:rPr>
        <w:t xml:space="preserve"> </w:t>
      </w:r>
      <w:r>
        <w:t>(NSW) invalid because it impermissibly burdens the implied freedom of communication on governmental and political matters, contrary to the Commonwealth Constitution?</w:t>
      </w:r>
    </w:p>
    <w:p w14:paraId="028CB20F" w14:textId="77777777" w:rsidR="005E74ED" w:rsidRDefault="005E74ED" w:rsidP="00920EB1">
      <w:pPr>
        <w:pStyle w:val="OrdersText"/>
      </w:pPr>
    </w:p>
    <w:p w14:paraId="6A979CFF" w14:textId="77777777" w:rsidR="005E74ED" w:rsidRDefault="005E74ED" w:rsidP="00634061">
      <w:pPr>
        <w:pStyle w:val="OrdersText"/>
        <w:ind w:left="1418"/>
      </w:pPr>
      <w:r>
        <w:t>Answer:</w:t>
      </w:r>
      <w:r>
        <w:tab/>
      </w:r>
      <w:r w:rsidRPr="004779B8">
        <w:t>Yes.</w:t>
      </w:r>
    </w:p>
    <w:p w14:paraId="556EE1A4" w14:textId="77777777" w:rsidR="005E74ED" w:rsidRDefault="005E74ED" w:rsidP="00920EB1">
      <w:pPr>
        <w:pStyle w:val="OrdersText"/>
      </w:pPr>
    </w:p>
    <w:p w14:paraId="19D33CDA" w14:textId="77777777" w:rsidR="005E74ED" w:rsidRDefault="005E74ED" w:rsidP="00915DF8">
      <w:pPr>
        <w:pStyle w:val="OrdersText"/>
        <w:ind w:left="1418"/>
      </w:pPr>
      <w:r w:rsidRPr="006C5DEF">
        <w:t>Q</w:t>
      </w:r>
      <w:r>
        <w:t xml:space="preserve">uestion 1A: </w:t>
      </w:r>
      <w:r>
        <w:tab/>
        <w:t>As to proposed question 2 below:</w:t>
      </w:r>
    </w:p>
    <w:p w14:paraId="57D23CBA" w14:textId="77777777" w:rsidR="005E74ED" w:rsidRDefault="005E74ED" w:rsidP="003B6FEC">
      <w:pPr>
        <w:pStyle w:val="OrdersText"/>
        <w:ind w:left="2880" w:hanging="720"/>
      </w:pPr>
      <w:r>
        <w:t>a)</w:t>
      </w:r>
      <w:r>
        <w:tab/>
        <w:t xml:space="preserve">Does the Court have jurisdiction to hear and determine the question? </w:t>
      </w:r>
    </w:p>
    <w:p w14:paraId="37709AFD" w14:textId="77777777" w:rsidR="005E74ED" w:rsidRDefault="005E74ED" w:rsidP="002E3C4D">
      <w:pPr>
        <w:pStyle w:val="OrdersText"/>
        <w:ind w:left="2869"/>
      </w:pPr>
      <w:r>
        <w:t>b)</w:t>
      </w:r>
      <w:r>
        <w:tab/>
        <w:t>Should the Court in its discretion hear and determine the question?</w:t>
      </w:r>
    </w:p>
    <w:p w14:paraId="75F6B991" w14:textId="77777777" w:rsidR="005E74ED" w:rsidRDefault="005E74ED" w:rsidP="00920EB1">
      <w:pPr>
        <w:pStyle w:val="OrdersText"/>
      </w:pPr>
    </w:p>
    <w:p w14:paraId="1539F1D4" w14:textId="77777777" w:rsidR="005E74ED" w:rsidRDefault="005E74ED" w:rsidP="003B6FEC">
      <w:pPr>
        <w:pStyle w:val="OrdersText"/>
        <w:ind w:left="1418"/>
      </w:pPr>
      <w:r>
        <w:t>Answer:</w:t>
      </w:r>
      <w:r>
        <w:tab/>
        <w:t>a)</w:t>
      </w:r>
      <w:r>
        <w:tab/>
        <w:t>No.</w:t>
      </w:r>
    </w:p>
    <w:p w14:paraId="6AFF191F" w14:textId="77777777" w:rsidR="005E74ED" w:rsidRPr="00134F99" w:rsidRDefault="005E74ED" w:rsidP="008F030A">
      <w:pPr>
        <w:pStyle w:val="OrdersText"/>
        <w:ind w:left="2869"/>
      </w:pPr>
      <w:r>
        <w:t>b)</w:t>
      </w:r>
      <w:r>
        <w:tab/>
      </w:r>
      <w:r w:rsidRPr="006C5DEF">
        <w:t>Unnecessary to answer.</w:t>
      </w:r>
    </w:p>
    <w:p w14:paraId="5773A290" w14:textId="602FB764"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19B60E7" w14:textId="60E15522"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3F8BE3AD" w14:textId="77777777" w:rsidR="005E74ED" w:rsidRDefault="005E74ED" w:rsidP="00920EB1">
      <w:pPr>
        <w:pStyle w:val="OrdersText"/>
      </w:pPr>
    </w:p>
    <w:p w14:paraId="0A304229" w14:textId="77777777" w:rsidR="005E74ED" w:rsidRPr="007949BF" w:rsidRDefault="005E74ED" w:rsidP="00D920CD">
      <w:pPr>
        <w:pStyle w:val="OrdersText"/>
        <w:ind w:left="2160" w:hanging="1451"/>
      </w:pPr>
      <w:r w:rsidRPr="000D610C">
        <w:t>Q</w:t>
      </w:r>
      <w:r>
        <w:t>uestion 2:</w:t>
      </w:r>
      <w:r>
        <w:tab/>
        <w:t xml:space="preserve">If the answers to questions 1A(a) and (b) are “yes”: was section 35 of the </w:t>
      </w:r>
      <w:r w:rsidRPr="00D9022F">
        <w:rPr>
          <w:i w:val="0"/>
        </w:rPr>
        <w:t>Electoral Funding Act 2018</w:t>
      </w:r>
      <w:r>
        <w:rPr>
          <w:iCs/>
        </w:rPr>
        <w:t xml:space="preserve"> </w:t>
      </w:r>
      <w:r>
        <w:t>(NSW), as it stood from 1 July 2018 until 2 November 2022, invalid because it impermissibly burdened the implied freedom of communication on governmental and political matters, contrary to the Commonwealth Constitution?</w:t>
      </w:r>
    </w:p>
    <w:p w14:paraId="7866DC2F" w14:textId="77777777" w:rsidR="005E74ED" w:rsidRDefault="005E74ED" w:rsidP="00920EB1">
      <w:pPr>
        <w:pStyle w:val="OrdersText"/>
      </w:pPr>
    </w:p>
    <w:p w14:paraId="1D19E73F" w14:textId="77777777" w:rsidR="005E74ED" w:rsidRDefault="005E74ED" w:rsidP="00D920CD">
      <w:pPr>
        <w:pStyle w:val="OrdersText"/>
        <w:ind w:left="1418"/>
      </w:pPr>
      <w:r>
        <w:t>Answer:</w:t>
      </w:r>
      <w:r>
        <w:tab/>
      </w:r>
      <w:r w:rsidRPr="004779B8">
        <w:t>Does not arise.</w:t>
      </w:r>
    </w:p>
    <w:p w14:paraId="05C90C38" w14:textId="77777777" w:rsidR="005E74ED" w:rsidRDefault="005E74ED" w:rsidP="00920EB1">
      <w:pPr>
        <w:pStyle w:val="OrdersText"/>
      </w:pPr>
    </w:p>
    <w:p w14:paraId="0CE679E4" w14:textId="77777777" w:rsidR="005E74ED" w:rsidRDefault="005E74ED" w:rsidP="00D920CD">
      <w:pPr>
        <w:pStyle w:val="OrdersText"/>
        <w:ind w:left="1418"/>
      </w:pPr>
      <w:r>
        <w:t xml:space="preserve">Question 3: </w:t>
      </w:r>
      <w:r>
        <w:tab/>
        <w:t>Who should pay the costs of the special case?</w:t>
      </w:r>
    </w:p>
    <w:p w14:paraId="00DEE67D" w14:textId="77777777" w:rsidR="005E74ED" w:rsidRDefault="005E74ED" w:rsidP="00920EB1">
      <w:pPr>
        <w:pStyle w:val="OrdersText"/>
      </w:pPr>
    </w:p>
    <w:p w14:paraId="023D07E8" w14:textId="77777777" w:rsidR="005E74ED" w:rsidRPr="00E7248A" w:rsidRDefault="005E74ED" w:rsidP="000F5E91">
      <w:pPr>
        <w:pStyle w:val="OrdersText"/>
        <w:ind w:left="2160" w:hanging="1451"/>
      </w:pPr>
      <w:r>
        <w:t>Answer:</w:t>
      </w:r>
      <w:r>
        <w:tab/>
        <w:t>I</w:t>
      </w:r>
      <w:r w:rsidRPr="004779B8">
        <w:t>n relation to question 1, the</w:t>
      </w:r>
      <w:r>
        <w:t xml:space="preserve"> </w:t>
      </w:r>
      <w:r w:rsidRPr="004779B8">
        <w:t>defendant</w:t>
      </w:r>
      <w:r>
        <w:t xml:space="preserve">. Otherwise, there should be no order as to costs. </w:t>
      </w:r>
    </w:p>
    <w:p w14:paraId="7A64EF20" w14:textId="77777777" w:rsidR="005E74ED" w:rsidRDefault="005E74ED" w:rsidP="00EE5374">
      <w:pPr>
        <w:pStyle w:val="Body"/>
      </w:pPr>
    </w:p>
    <w:p w14:paraId="0D368B89" w14:textId="77777777" w:rsidR="005E74ED" w:rsidRPr="00427F3A" w:rsidRDefault="005E74ED" w:rsidP="00EE5374">
      <w:pPr>
        <w:pStyle w:val="Body"/>
      </w:pPr>
    </w:p>
    <w:p w14:paraId="0093B71A" w14:textId="77777777" w:rsidR="005E74ED" w:rsidRPr="009B2B56" w:rsidRDefault="005E74ED" w:rsidP="00E90E4F">
      <w:pPr>
        <w:pStyle w:val="OrdersBodyHeading"/>
      </w:pPr>
      <w:r w:rsidRPr="009B2B56">
        <w:t>Representation</w:t>
      </w:r>
    </w:p>
    <w:p w14:paraId="3DE419FE" w14:textId="77777777" w:rsidR="005E74ED" w:rsidRPr="009B2B56" w:rsidRDefault="005E74ED" w:rsidP="00EE5374">
      <w:pPr>
        <w:pStyle w:val="Body"/>
      </w:pPr>
    </w:p>
    <w:p w14:paraId="72C5EBEE" w14:textId="77777777" w:rsidR="005E74ED" w:rsidRPr="009B2B56" w:rsidRDefault="005E74ED" w:rsidP="00D91C36">
      <w:pPr>
        <w:pStyle w:val="OrdersBody"/>
      </w:pPr>
      <w:r w:rsidRPr="009B2B56">
        <w:t xml:space="preserve">J T Gleeson SC with N J Owens SC and C G </w:t>
      </w:r>
      <w:proofErr w:type="spellStart"/>
      <w:r w:rsidRPr="009B2B56">
        <w:t>Winnett</w:t>
      </w:r>
      <w:proofErr w:type="spellEnd"/>
      <w:r w:rsidRPr="009B2B56">
        <w:t xml:space="preserve"> for the plaintiffs (instructed by Gilbert + Tobin)</w:t>
      </w:r>
    </w:p>
    <w:p w14:paraId="2DF8F9C8" w14:textId="77777777" w:rsidR="005E74ED" w:rsidRPr="009B2B56" w:rsidRDefault="005E74ED" w:rsidP="00D91C36">
      <w:pPr>
        <w:pStyle w:val="OrdersBody"/>
      </w:pPr>
    </w:p>
    <w:p w14:paraId="43932BEC" w14:textId="77777777" w:rsidR="005E74ED" w:rsidRPr="009B2B56" w:rsidRDefault="005E74ED" w:rsidP="00E90E4F">
      <w:pPr>
        <w:pStyle w:val="OrdersBody"/>
      </w:pPr>
      <w:r w:rsidRPr="009B2B56">
        <w:t>B W Walker SC with B K Lim for the defendant (instructed by Crown Solicitor (NSW))</w:t>
      </w:r>
    </w:p>
    <w:p w14:paraId="0008D468" w14:textId="77777777" w:rsidR="005E74ED" w:rsidRPr="009B2B56" w:rsidRDefault="005E74ED" w:rsidP="00D91C36">
      <w:pPr>
        <w:pStyle w:val="OrdersBody"/>
      </w:pPr>
    </w:p>
    <w:p w14:paraId="6DC93AD2" w14:textId="77777777" w:rsidR="005E74ED" w:rsidRPr="00D91C36" w:rsidRDefault="005E74ED" w:rsidP="00D91C36">
      <w:pPr>
        <w:pStyle w:val="OrdersBody"/>
      </w:pPr>
      <w:r w:rsidRPr="009B2B56">
        <w:t>S P </w:t>
      </w:r>
      <w:proofErr w:type="spellStart"/>
      <w:r w:rsidRPr="009B2B56">
        <w:t>Donaghue</w:t>
      </w:r>
      <w:proofErr w:type="spellEnd"/>
      <w:r w:rsidRPr="009B2B56">
        <w:t> KC, Solicitor-General of the Commonwealth, with S </w:t>
      </w:r>
      <w:proofErr w:type="spellStart"/>
      <w:r w:rsidRPr="009B2B56">
        <w:t>Zeleznikow</w:t>
      </w:r>
      <w:proofErr w:type="spellEnd"/>
      <w:r w:rsidRPr="009B2B56">
        <w:t xml:space="preserve"> and S N </w:t>
      </w:r>
      <w:proofErr w:type="spellStart"/>
      <w:r w:rsidRPr="009B2B56">
        <w:t>Rajanayagam</w:t>
      </w:r>
      <w:proofErr w:type="spellEnd"/>
      <w:r w:rsidRPr="009B2B56">
        <w:t xml:space="preserve"> for the Attorney-General of the Commonwealth, intervening (instructed by Australian Government Solicitor)</w:t>
      </w:r>
    </w:p>
    <w:p w14:paraId="5BE28E76" w14:textId="77777777" w:rsidR="005E74ED" w:rsidRDefault="005E74ED" w:rsidP="00A01277">
      <w:pPr>
        <w:pStyle w:val="Body"/>
      </w:pPr>
    </w:p>
    <w:p w14:paraId="1D803C61" w14:textId="77777777" w:rsidR="005E74ED" w:rsidRDefault="005E74ED" w:rsidP="00EE5374">
      <w:pPr>
        <w:pStyle w:val="Body"/>
      </w:pPr>
    </w:p>
    <w:p w14:paraId="5B992436" w14:textId="77777777" w:rsidR="005E74ED" w:rsidRDefault="005E74ED" w:rsidP="00EE5374">
      <w:pPr>
        <w:pStyle w:val="Body"/>
      </w:pPr>
    </w:p>
    <w:p w14:paraId="1D0F16B1" w14:textId="77777777" w:rsidR="005E74ED" w:rsidRDefault="005E74ED" w:rsidP="00EE5374">
      <w:pPr>
        <w:pStyle w:val="Body"/>
      </w:pPr>
    </w:p>
    <w:p w14:paraId="66E64D6E" w14:textId="77777777" w:rsidR="005E74ED" w:rsidRDefault="005E74ED" w:rsidP="00EE5374">
      <w:pPr>
        <w:pStyle w:val="Body"/>
      </w:pPr>
    </w:p>
    <w:p w14:paraId="2C355997" w14:textId="77777777" w:rsidR="005E74ED" w:rsidRDefault="005E74ED" w:rsidP="00EE5374">
      <w:pPr>
        <w:pStyle w:val="Body"/>
      </w:pPr>
    </w:p>
    <w:p w14:paraId="15BACD86" w14:textId="77777777" w:rsidR="005E74ED" w:rsidRDefault="005E74ED" w:rsidP="00EE5374">
      <w:pPr>
        <w:pStyle w:val="Body"/>
      </w:pPr>
    </w:p>
    <w:p w14:paraId="3A6B5516" w14:textId="77777777" w:rsidR="005E74ED" w:rsidRDefault="005E74ED" w:rsidP="00EE5374">
      <w:pPr>
        <w:pStyle w:val="Body"/>
      </w:pPr>
    </w:p>
    <w:p w14:paraId="42AC0ACD" w14:textId="77777777" w:rsidR="005E74ED" w:rsidRDefault="005E74ED" w:rsidP="00EE5374">
      <w:pPr>
        <w:pStyle w:val="Body"/>
      </w:pPr>
    </w:p>
    <w:p w14:paraId="5D274432" w14:textId="77777777" w:rsidR="005E74ED" w:rsidRDefault="005E74ED" w:rsidP="00EE5374">
      <w:pPr>
        <w:pStyle w:val="Body"/>
      </w:pPr>
    </w:p>
    <w:p w14:paraId="46701751" w14:textId="77777777" w:rsidR="005E74ED" w:rsidRPr="00427F3A" w:rsidRDefault="005E74ED" w:rsidP="00EE5374">
      <w:pPr>
        <w:pStyle w:val="Body"/>
      </w:pPr>
    </w:p>
    <w:p w14:paraId="553B6082" w14:textId="77777777" w:rsidR="005E74ED" w:rsidRPr="00427F3A" w:rsidRDefault="005E74ED" w:rsidP="00F9713B">
      <w:pPr>
        <w:pStyle w:val="Notice"/>
        <w:rPr>
          <w:lang w:val="en-AU"/>
        </w:rPr>
      </w:pPr>
      <w:r w:rsidRPr="00427F3A">
        <w:rPr>
          <w:lang w:val="en-AU"/>
        </w:rPr>
        <w:t>Notice:  This copy of the Court's Reasons for Judgment is subject to formal revision prior to publication in the Commonwealth Law Reports.</w:t>
      </w:r>
    </w:p>
    <w:p w14:paraId="22A87001" w14:textId="035C5EAE"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BB7F3D9" w14:textId="77777777"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E74ED" w:rsidSect="005E74E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FA55023" w14:textId="77777777" w:rsidR="005E74ED" w:rsidRPr="00054C14" w:rsidRDefault="005E74ED" w:rsidP="005E74ED">
      <w:pPr>
        <w:pStyle w:val="CatchwordsBold"/>
      </w:pPr>
      <w:r w:rsidRPr="00054C14">
        <w:lastRenderedPageBreak/>
        <w:t>CATCHWORDS</w:t>
      </w:r>
    </w:p>
    <w:p w14:paraId="53FFF5E7" w14:textId="77777777" w:rsidR="005E74ED" w:rsidRPr="00054C14" w:rsidRDefault="005E74ED" w:rsidP="005E74ED">
      <w:pPr>
        <w:pStyle w:val="CatchwordsBold"/>
      </w:pPr>
    </w:p>
    <w:p w14:paraId="1D8978AF" w14:textId="77777777" w:rsidR="005E74ED" w:rsidRDefault="005E74ED" w:rsidP="005E74ED">
      <w:pPr>
        <w:pStyle w:val="CatchwordsBold"/>
      </w:pPr>
      <w:r>
        <w:t>Unions NSW v New South Wales</w:t>
      </w:r>
    </w:p>
    <w:p w14:paraId="3DE79C47" w14:textId="77777777" w:rsidR="005E74ED" w:rsidRDefault="005E74ED" w:rsidP="005E74ED">
      <w:pPr>
        <w:pStyle w:val="CatchwordsText"/>
      </w:pPr>
    </w:p>
    <w:p w14:paraId="79632D4D" w14:textId="77777777" w:rsidR="005E74ED" w:rsidRDefault="005E74ED" w:rsidP="005E74ED">
      <w:pPr>
        <w:pStyle w:val="CatchwordsText"/>
      </w:pPr>
      <w:r>
        <w:t>Constitutional law (</w:t>
      </w:r>
      <w:proofErr w:type="spellStart"/>
      <w:r>
        <w:t>Cth</w:t>
      </w:r>
      <w:proofErr w:type="spellEnd"/>
      <w:r>
        <w:t>)</w:t>
      </w:r>
      <w:r w:rsidRPr="007318A6">
        <w:t xml:space="preserve"> –</w:t>
      </w:r>
      <w:r>
        <w:t xml:space="preserve"> Implied freedom of communication on governmental and political matters </w:t>
      </w:r>
      <w:r w:rsidRPr="007318A6">
        <w:t>–</w:t>
      </w:r>
      <w:r>
        <w:t xml:space="preserve"> Where s 29(11) of the </w:t>
      </w:r>
      <w:r>
        <w:rPr>
          <w:i/>
          <w:iCs/>
        </w:rPr>
        <w:t xml:space="preserve">Electoral Funding Act 2018 </w:t>
      </w:r>
      <w:r>
        <w:t>(</w:t>
      </w:r>
      <w:r w:rsidRPr="004866A9">
        <w:t>NSW) ("EF Act")</w:t>
      </w:r>
      <w:r>
        <w:t xml:space="preserve"> capped electoral expenditure by third-party campaigners in "capped State expenditure period" before State by-election for Legislative Assembly – Where third-party campaigners subject to lower cap than candidates – Where s 29(11) restricted capacity of third-party campaigners to engage in political debate and imposed burden on political communication – Where State no longer sought to justify burden – Where State conceded Court should hold s 29(11) invalid – Whether Court should make declaration of invalidity.</w:t>
      </w:r>
    </w:p>
    <w:p w14:paraId="6CCDD72F" w14:textId="77777777" w:rsidR="005E74ED" w:rsidRPr="00774AD1" w:rsidRDefault="005E74ED" w:rsidP="005E74ED">
      <w:pPr>
        <w:pStyle w:val="CatchwordsText"/>
      </w:pPr>
    </w:p>
    <w:p w14:paraId="2FC51BCA" w14:textId="77777777" w:rsidR="005E74ED" w:rsidRPr="004866A9" w:rsidRDefault="005E74ED" w:rsidP="005E74ED">
      <w:pPr>
        <w:pStyle w:val="CatchwordsText"/>
      </w:pPr>
      <w:r>
        <w:t>Constitutional law (</w:t>
      </w:r>
      <w:proofErr w:type="spellStart"/>
      <w:r>
        <w:t>Cth</w:t>
      </w:r>
      <w:proofErr w:type="spellEnd"/>
      <w:r>
        <w:t>)</w:t>
      </w:r>
      <w:r w:rsidRPr="007318A6">
        <w:t xml:space="preserve"> –</w:t>
      </w:r>
      <w:r>
        <w:t xml:space="preserve"> Judicial power of the Commonwealth </w:t>
      </w:r>
      <w:r w:rsidRPr="007318A6">
        <w:t>–</w:t>
      </w:r>
      <w:r>
        <w:t xml:space="preserve"> High Court – Original jurisdiction – Meaning of "matter" – Standing – Offence under s 35 of the </w:t>
      </w:r>
      <w:r w:rsidRPr="004866A9">
        <w:t>EF Act</w:t>
      </w:r>
      <w:r>
        <w:t xml:space="preserve"> for third</w:t>
      </w:r>
      <w:r>
        <w:noBreakHyphen/>
        <w:t>party campaigner to act in concert with other persons to incur electoral expenditure that exceeded applicable cap for third-party campaigner – Where Court had jurisdiction to determine validity of s 35 when plaintiffs commenced proceeding – Where s 35 was repealed before hearing – Whether Court had jurisdiction to determine validity of s 35 – Whether plaintiffs had standing to seek declaration of invalidity</w:t>
      </w:r>
      <w:r w:rsidRPr="004866A9">
        <w:t>.</w:t>
      </w:r>
    </w:p>
    <w:p w14:paraId="37C7D5A5" w14:textId="77777777" w:rsidR="005E74ED" w:rsidRDefault="005E74ED" w:rsidP="005E74ED">
      <w:pPr>
        <w:pStyle w:val="CatchwordsText"/>
      </w:pPr>
    </w:p>
    <w:p w14:paraId="085BFCCD" w14:textId="77777777" w:rsidR="005E74ED" w:rsidRDefault="005E74ED" w:rsidP="005E74ED">
      <w:pPr>
        <w:pStyle w:val="CatchwordsText"/>
      </w:pPr>
      <w:r w:rsidRPr="00294DEA">
        <w:t>Words and phrases –</w:t>
      </w:r>
      <w:r>
        <w:t xml:space="preserve"> "declaration", "electoral expenditure", "federal jurisdiction", "foreseeable consequences", "implied freedom of communication on governmental and political matters", "judicial power of the Commonwealth", "justiciable controversy", "justified", "matter", "special interest", "standing", "sufficient interest", "third-party campaigner".</w:t>
      </w:r>
    </w:p>
    <w:p w14:paraId="4BFE007D" w14:textId="77777777" w:rsidR="005E74ED" w:rsidRDefault="005E74ED" w:rsidP="005E74ED">
      <w:pPr>
        <w:pStyle w:val="CatchwordsText"/>
        <w:rPr>
          <w:i/>
        </w:rPr>
      </w:pPr>
    </w:p>
    <w:p w14:paraId="6A65A834" w14:textId="77777777" w:rsidR="005E74ED" w:rsidRDefault="005E74ED" w:rsidP="005E74ED">
      <w:pPr>
        <w:pStyle w:val="CatchwordsText"/>
        <w:rPr>
          <w:i/>
        </w:rPr>
      </w:pPr>
      <w:r>
        <w:rPr>
          <w:i/>
        </w:rPr>
        <w:t>Constitution</w:t>
      </w:r>
      <w:r>
        <w:t>, ss 7, 24; Ch III.</w:t>
      </w:r>
    </w:p>
    <w:p w14:paraId="58F2C934" w14:textId="77777777" w:rsidR="005E74ED" w:rsidRPr="00350C23" w:rsidRDefault="005E74ED" w:rsidP="005E74ED">
      <w:pPr>
        <w:pStyle w:val="CatchwordsText"/>
      </w:pPr>
      <w:r>
        <w:rPr>
          <w:i/>
        </w:rPr>
        <w:t>Electoral Funding Act 2018</w:t>
      </w:r>
      <w:r w:rsidRPr="00212A5E">
        <w:rPr>
          <w:i/>
        </w:rPr>
        <w:t xml:space="preserve"> </w:t>
      </w:r>
      <w:r w:rsidRPr="00212A5E">
        <w:t>(</w:t>
      </w:r>
      <w:r>
        <w:t>NSW</w:t>
      </w:r>
      <w:r w:rsidRPr="00212A5E">
        <w:t>)</w:t>
      </w:r>
      <w:r>
        <w:t>, ss 29(11), 33(1), 35.</w:t>
      </w:r>
    </w:p>
    <w:p w14:paraId="09A8EA38" w14:textId="302E11E1" w:rsidR="005E74ED" w:rsidRDefault="005E74ED" w:rsidP="005E74ED">
      <w:pPr>
        <w:pStyle w:val="CatchwordsText"/>
      </w:pPr>
    </w:p>
    <w:p w14:paraId="7270ACAB" w14:textId="30DB1594"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FD78982" w14:textId="6AC329A6" w:rsidR="005E74ED" w:rsidRDefault="005E74E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C21B4F2" w14:textId="77777777" w:rsidR="005E74ED" w:rsidRDefault="005E74ED" w:rsidP="0026277C">
      <w:pPr>
        <w:pStyle w:val="FixListStyle"/>
        <w:tabs>
          <w:tab w:val="clear" w:pos="720"/>
          <w:tab w:val="left" w:pos="0"/>
        </w:tabs>
        <w:spacing w:after="260" w:line="280" w:lineRule="exact"/>
        <w:ind w:right="0"/>
        <w:jc w:val="both"/>
        <w:rPr>
          <w:rFonts w:ascii="Times New Roman" w:hAnsi="Times New Roman"/>
        </w:rPr>
        <w:sectPr w:rsidR="005E74ED" w:rsidSect="005E74ED">
          <w:pgSz w:w="11907" w:h="16839" w:code="9"/>
          <w:pgMar w:top="1440" w:right="1701" w:bottom="1984" w:left="1701" w:header="720" w:footer="720" w:gutter="0"/>
          <w:pgNumType w:start="1"/>
          <w:cols w:space="720"/>
          <w:titlePg/>
          <w:docGrid w:linePitch="354"/>
        </w:sectPr>
      </w:pPr>
    </w:p>
    <w:p w14:paraId="37E50606" w14:textId="7A10BCA7" w:rsidR="00DF7AE3" w:rsidRPr="0026277C" w:rsidRDefault="0026277C" w:rsidP="0026277C">
      <w:pPr>
        <w:pStyle w:val="FixListStyle"/>
        <w:tabs>
          <w:tab w:val="clear" w:pos="720"/>
          <w:tab w:val="left" w:pos="0"/>
        </w:tabs>
        <w:spacing w:after="260" w:line="280" w:lineRule="exact"/>
        <w:ind w:right="0"/>
        <w:jc w:val="both"/>
        <w:rPr>
          <w:rFonts w:ascii="Times New Roman" w:hAnsi="Times New Roman"/>
        </w:rPr>
      </w:pPr>
      <w:r w:rsidRPr="0026277C">
        <w:rPr>
          <w:rFonts w:ascii="Times New Roman" w:hAnsi="Times New Roman"/>
        </w:rPr>
        <w:lastRenderedPageBreak/>
        <w:t xml:space="preserve">KIEFEL CJ, GAGELER, GORDON, GLEESON AND JAGOT JJ.   </w:t>
      </w:r>
      <w:r w:rsidR="00140A74" w:rsidRPr="0026277C">
        <w:rPr>
          <w:rFonts w:ascii="Times New Roman" w:hAnsi="Times New Roman"/>
        </w:rPr>
        <w:t xml:space="preserve">There has been </w:t>
      </w:r>
      <w:r w:rsidR="00F12089" w:rsidRPr="0026277C">
        <w:rPr>
          <w:rFonts w:ascii="Times New Roman" w:hAnsi="Times New Roman"/>
        </w:rPr>
        <w:t>a series</w:t>
      </w:r>
      <w:r w:rsidR="00EB303B" w:rsidRPr="0026277C">
        <w:rPr>
          <w:rFonts w:ascii="Times New Roman" w:hAnsi="Times New Roman"/>
        </w:rPr>
        <w:t xml:space="preserve"> of</w:t>
      </w:r>
      <w:r w:rsidR="00A902FA" w:rsidRPr="0026277C">
        <w:rPr>
          <w:rFonts w:ascii="Times New Roman" w:hAnsi="Times New Roman"/>
        </w:rPr>
        <w:t xml:space="preserve"> case</w:t>
      </w:r>
      <w:r w:rsidR="00EB303B" w:rsidRPr="0026277C">
        <w:rPr>
          <w:rFonts w:ascii="Times New Roman" w:hAnsi="Times New Roman"/>
        </w:rPr>
        <w:t>s</w:t>
      </w:r>
      <w:r w:rsidR="004A7EB4" w:rsidRPr="0026277C">
        <w:rPr>
          <w:rFonts w:ascii="Times New Roman" w:hAnsi="Times New Roman"/>
        </w:rPr>
        <w:t xml:space="preserve"> </w:t>
      </w:r>
      <w:r w:rsidR="002B0D6D" w:rsidRPr="0026277C">
        <w:rPr>
          <w:rFonts w:ascii="Times New Roman" w:hAnsi="Times New Roman"/>
        </w:rPr>
        <w:t>in the original jurisdiction of this Court</w:t>
      </w:r>
      <w:r w:rsidR="004A7EB4" w:rsidRPr="0026277C">
        <w:rPr>
          <w:rFonts w:ascii="Times New Roman" w:hAnsi="Times New Roman"/>
        </w:rPr>
        <w:t xml:space="preserve"> concerned with</w:t>
      </w:r>
      <w:r w:rsidR="00A902FA" w:rsidRPr="0026277C">
        <w:rPr>
          <w:rFonts w:ascii="Times New Roman" w:hAnsi="Times New Roman"/>
        </w:rPr>
        <w:t xml:space="preserve"> the constitutional validity of </w:t>
      </w:r>
      <w:r w:rsidR="00015BEC" w:rsidRPr="0026277C">
        <w:rPr>
          <w:rFonts w:ascii="Times New Roman" w:hAnsi="Times New Roman"/>
        </w:rPr>
        <w:t xml:space="preserve">provisions of legislation </w:t>
      </w:r>
      <w:r w:rsidR="00476F2A" w:rsidRPr="0026277C">
        <w:rPr>
          <w:rFonts w:ascii="Times New Roman" w:hAnsi="Times New Roman"/>
        </w:rPr>
        <w:t xml:space="preserve">in New South Wales </w:t>
      </w:r>
      <w:r w:rsidR="00FF401D" w:rsidRPr="0026277C">
        <w:rPr>
          <w:rFonts w:ascii="Times New Roman" w:hAnsi="Times New Roman"/>
        </w:rPr>
        <w:t xml:space="preserve">regulating political donations and </w:t>
      </w:r>
      <w:r w:rsidR="003E2A60" w:rsidRPr="0026277C">
        <w:rPr>
          <w:rFonts w:ascii="Times New Roman" w:hAnsi="Times New Roman"/>
        </w:rPr>
        <w:t xml:space="preserve">expenditure on </w:t>
      </w:r>
      <w:r w:rsidR="00595FDA" w:rsidRPr="0026277C">
        <w:rPr>
          <w:rFonts w:ascii="Times New Roman" w:hAnsi="Times New Roman"/>
        </w:rPr>
        <w:t>campaigns</w:t>
      </w:r>
      <w:r w:rsidR="00B318BE" w:rsidRPr="0026277C">
        <w:rPr>
          <w:rFonts w:ascii="Times New Roman" w:hAnsi="Times New Roman"/>
        </w:rPr>
        <w:t xml:space="preserve"> for elections in that State</w:t>
      </w:r>
      <w:r w:rsidR="004A7EB4" w:rsidRPr="0026277C">
        <w:rPr>
          <w:rFonts w:ascii="Times New Roman" w:hAnsi="Times New Roman"/>
        </w:rPr>
        <w:t>. This</w:t>
      </w:r>
      <w:r w:rsidR="007277E2">
        <w:rPr>
          <w:rFonts w:ascii="Times New Roman" w:hAnsi="Times New Roman"/>
        </w:rPr>
        <w:t> </w:t>
      </w:r>
      <w:r w:rsidR="004A7EB4" w:rsidRPr="0026277C">
        <w:rPr>
          <w:rFonts w:ascii="Times New Roman" w:hAnsi="Times New Roman"/>
        </w:rPr>
        <w:t xml:space="preserve">is </w:t>
      </w:r>
      <w:r w:rsidR="00866563" w:rsidRPr="0026277C">
        <w:rPr>
          <w:rFonts w:ascii="Times New Roman" w:hAnsi="Times New Roman"/>
        </w:rPr>
        <w:t xml:space="preserve">the second </w:t>
      </w:r>
      <w:r w:rsidR="004F435A" w:rsidRPr="0026277C">
        <w:rPr>
          <w:rFonts w:ascii="Times New Roman" w:hAnsi="Times New Roman"/>
        </w:rPr>
        <w:t xml:space="preserve">case </w:t>
      </w:r>
      <w:r w:rsidR="00866563" w:rsidRPr="0026277C">
        <w:rPr>
          <w:rFonts w:ascii="Times New Roman" w:hAnsi="Times New Roman"/>
        </w:rPr>
        <w:t>dealing with the validity of</w:t>
      </w:r>
      <w:r w:rsidR="00595FDA" w:rsidRPr="0026277C">
        <w:rPr>
          <w:rFonts w:ascii="Times New Roman" w:hAnsi="Times New Roman"/>
        </w:rPr>
        <w:t xml:space="preserve"> </w:t>
      </w:r>
      <w:r w:rsidR="00A902FA" w:rsidRPr="0026277C">
        <w:rPr>
          <w:rFonts w:ascii="Times New Roman" w:hAnsi="Times New Roman"/>
        </w:rPr>
        <w:t xml:space="preserve">caps on the electoral expenditure of </w:t>
      </w:r>
      <w:r w:rsidR="009333F6" w:rsidRPr="0026277C">
        <w:rPr>
          <w:rFonts w:ascii="Times New Roman" w:hAnsi="Times New Roman"/>
        </w:rPr>
        <w:t>third</w:t>
      </w:r>
      <w:r w:rsidR="008026F2" w:rsidRPr="0026277C">
        <w:rPr>
          <w:rFonts w:ascii="Times New Roman" w:hAnsi="Times New Roman"/>
        </w:rPr>
        <w:t>-</w:t>
      </w:r>
      <w:r w:rsidR="009333F6" w:rsidRPr="0026277C">
        <w:rPr>
          <w:rFonts w:ascii="Times New Roman" w:hAnsi="Times New Roman"/>
        </w:rPr>
        <w:t>party campaigners</w:t>
      </w:r>
      <w:r w:rsidR="00B11DB3" w:rsidRPr="0026277C">
        <w:rPr>
          <w:rFonts w:ascii="Times New Roman" w:hAnsi="Times New Roman"/>
        </w:rPr>
        <w:t xml:space="preserve"> </w:t>
      </w:r>
      <w:r w:rsidR="00BA7FD9" w:rsidRPr="0026277C">
        <w:rPr>
          <w:rFonts w:ascii="Times New Roman" w:hAnsi="Times New Roman"/>
        </w:rPr>
        <w:t>("TPC</w:t>
      </w:r>
      <w:r w:rsidR="00ED36A5" w:rsidRPr="0026277C">
        <w:rPr>
          <w:rFonts w:ascii="Times New Roman" w:hAnsi="Times New Roman"/>
        </w:rPr>
        <w:t>s</w:t>
      </w:r>
      <w:r w:rsidR="00BA7FD9" w:rsidRPr="0026277C">
        <w:rPr>
          <w:rFonts w:ascii="Times New Roman" w:hAnsi="Times New Roman"/>
        </w:rPr>
        <w:t>")</w:t>
      </w:r>
      <w:r w:rsidR="009333F6" w:rsidRPr="0026277C">
        <w:rPr>
          <w:rStyle w:val="FootnoteReference"/>
          <w:rFonts w:ascii="Times New Roman" w:hAnsi="Times New Roman"/>
          <w:sz w:val="24"/>
        </w:rPr>
        <w:footnoteReference w:id="2"/>
      </w:r>
      <w:r w:rsidR="00A36AB0" w:rsidRPr="0026277C">
        <w:rPr>
          <w:rFonts w:ascii="Times New Roman" w:hAnsi="Times New Roman"/>
        </w:rPr>
        <w:t xml:space="preserve"> – </w:t>
      </w:r>
      <w:r w:rsidR="00B11DB3" w:rsidRPr="0026277C">
        <w:rPr>
          <w:rFonts w:ascii="Times New Roman" w:hAnsi="Times New Roman"/>
        </w:rPr>
        <w:t>broadly</w:t>
      </w:r>
      <w:r w:rsidR="00397E5E" w:rsidRPr="0026277C">
        <w:rPr>
          <w:rFonts w:ascii="Times New Roman" w:hAnsi="Times New Roman"/>
        </w:rPr>
        <w:t>,</w:t>
      </w:r>
      <w:r w:rsidR="00B11DB3" w:rsidRPr="0026277C">
        <w:rPr>
          <w:rFonts w:ascii="Times New Roman" w:hAnsi="Times New Roman"/>
        </w:rPr>
        <w:t xml:space="preserve"> </w:t>
      </w:r>
      <w:r w:rsidR="00093A46" w:rsidRPr="0026277C">
        <w:rPr>
          <w:rFonts w:ascii="Times New Roman" w:hAnsi="Times New Roman"/>
        </w:rPr>
        <w:t xml:space="preserve">a person or entity, other than a political party, </w:t>
      </w:r>
      <w:r w:rsidR="00214D46" w:rsidRPr="0026277C">
        <w:rPr>
          <w:rFonts w:ascii="Times New Roman" w:hAnsi="Times New Roman"/>
        </w:rPr>
        <w:t xml:space="preserve">associated entity, </w:t>
      </w:r>
      <w:r w:rsidR="00093A46" w:rsidRPr="0026277C">
        <w:rPr>
          <w:rFonts w:ascii="Times New Roman" w:hAnsi="Times New Roman"/>
        </w:rPr>
        <w:t>elected member or candidate</w:t>
      </w:r>
      <w:r w:rsidR="00ED36A5" w:rsidRPr="0026277C">
        <w:rPr>
          <w:rFonts w:ascii="Times New Roman" w:hAnsi="Times New Roman"/>
        </w:rPr>
        <w:t>,</w:t>
      </w:r>
      <w:r w:rsidR="00093A46" w:rsidRPr="0026277C">
        <w:rPr>
          <w:rFonts w:ascii="Times New Roman" w:hAnsi="Times New Roman"/>
        </w:rPr>
        <w:t xml:space="preserve"> who seeks to participate in a </w:t>
      </w:r>
      <w:r w:rsidR="00005923" w:rsidRPr="0026277C">
        <w:rPr>
          <w:rFonts w:ascii="Times New Roman" w:hAnsi="Times New Roman"/>
        </w:rPr>
        <w:t>New South Wales</w:t>
      </w:r>
      <w:r w:rsidR="00093A46" w:rsidRPr="0026277C">
        <w:rPr>
          <w:rFonts w:ascii="Times New Roman" w:hAnsi="Times New Roman"/>
        </w:rPr>
        <w:t xml:space="preserve"> election </w:t>
      </w:r>
      <w:r w:rsidR="00214D46" w:rsidRPr="0026277C">
        <w:rPr>
          <w:rFonts w:ascii="Times New Roman" w:hAnsi="Times New Roman"/>
        </w:rPr>
        <w:t xml:space="preserve">campaign </w:t>
      </w:r>
      <w:r w:rsidR="00093A46" w:rsidRPr="0026277C">
        <w:rPr>
          <w:rFonts w:ascii="Times New Roman" w:hAnsi="Times New Roman"/>
        </w:rPr>
        <w:t>and incurs over $2,000.</w:t>
      </w:r>
      <w:r w:rsidR="00A902FA" w:rsidRPr="0026277C">
        <w:rPr>
          <w:rFonts w:ascii="Times New Roman" w:hAnsi="Times New Roman"/>
        </w:rPr>
        <w:t xml:space="preserve"> </w:t>
      </w:r>
    </w:p>
    <w:p w14:paraId="694ABB0D" w14:textId="4C9668D4" w:rsidR="00A902FA" w:rsidRPr="0026277C" w:rsidRDefault="00DF7AE3"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A902FA" w:rsidRPr="0026277C">
        <w:rPr>
          <w:rFonts w:ascii="Times New Roman" w:hAnsi="Times New Roman"/>
        </w:rPr>
        <w:t>In </w:t>
      </w:r>
      <w:r w:rsidR="00A902FA" w:rsidRPr="0026277C">
        <w:rPr>
          <w:rFonts w:ascii="Times New Roman" w:hAnsi="Times New Roman"/>
          <w:i/>
          <w:iCs/>
        </w:rPr>
        <w:t>Unions NSW v New South Wales</w:t>
      </w:r>
      <w:r w:rsidR="00A902FA" w:rsidRPr="0026277C">
        <w:rPr>
          <w:rStyle w:val="FootnoteReference"/>
          <w:rFonts w:ascii="Times New Roman" w:hAnsi="Times New Roman"/>
          <w:sz w:val="24"/>
        </w:rPr>
        <w:footnoteReference w:id="3"/>
      </w:r>
      <w:r w:rsidR="00A902FA" w:rsidRPr="0026277C">
        <w:rPr>
          <w:rFonts w:ascii="Times New Roman" w:hAnsi="Times New Roman"/>
          <w:i/>
          <w:iCs/>
        </w:rPr>
        <w:t xml:space="preserve"> </w:t>
      </w:r>
      <w:r w:rsidR="0000460F" w:rsidRPr="0026277C">
        <w:rPr>
          <w:rFonts w:ascii="Times New Roman" w:hAnsi="Times New Roman"/>
        </w:rPr>
        <w:t>("</w:t>
      </w:r>
      <w:r w:rsidR="0000460F" w:rsidRPr="0026277C">
        <w:rPr>
          <w:rFonts w:ascii="Times New Roman" w:hAnsi="Times New Roman"/>
          <w:i/>
        </w:rPr>
        <w:t>Unions [No 1]</w:t>
      </w:r>
      <w:r w:rsidR="0000460F" w:rsidRPr="0026277C">
        <w:rPr>
          <w:rFonts w:ascii="Times New Roman" w:hAnsi="Times New Roman"/>
        </w:rPr>
        <w:t xml:space="preserve">") </w:t>
      </w:r>
      <w:r w:rsidR="00A902FA" w:rsidRPr="0026277C">
        <w:rPr>
          <w:rFonts w:ascii="Times New Roman" w:hAnsi="Times New Roman"/>
        </w:rPr>
        <w:t xml:space="preserve">and </w:t>
      </w:r>
      <w:r w:rsidR="00410414" w:rsidRPr="0026277C">
        <w:rPr>
          <w:rFonts w:ascii="Times New Roman" w:hAnsi="Times New Roman"/>
        </w:rPr>
        <w:t xml:space="preserve">in </w:t>
      </w:r>
      <w:r w:rsidR="00A902FA" w:rsidRPr="0026277C">
        <w:rPr>
          <w:rFonts w:ascii="Times New Roman" w:hAnsi="Times New Roman"/>
          <w:i/>
          <w:iCs/>
        </w:rPr>
        <w:t>McCloy v New South Wales</w:t>
      </w:r>
      <w:r w:rsidR="00A902FA" w:rsidRPr="0026277C">
        <w:rPr>
          <w:rStyle w:val="FootnoteReference"/>
          <w:rFonts w:ascii="Times New Roman" w:hAnsi="Times New Roman"/>
          <w:sz w:val="24"/>
        </w:rPr>
        <w:footnoteReference w:id="4"/>
      </w:r>
      <w:r w:rsidR="0032206F" w:rsidRPr="0026277C">
        <w:rPr>
          <w:rFonts w:ascii="Times New Roman" w:hAnsi="Times New Roman"/>
        </w:rPr>
        <w:t>,</w:t>
      </w:r>
      <w:r w:rsidR="00A902FA" w:rsidRPr="0026277C">
        <w:rPr>
          <w:rFonts w:ascii="Times New Roman" w:hAnsi="Times New Roman"/>
        </w:rPr>
        <w:t xml:space="preserve"> </w:t>
      </w:r>
      <w:r w:rsidR="003A5E7D" w:rsidRPr="0026277C">
        <w:rPr>
          <w:rFonts w:ascii="Times New Roman" w:hAnsi="Times New Roman"/>
        </w:rPr>
        <w:t xml:space="preserve">this Court </w:t>
      </w:r>
      <w:r w:rsidR="00A902FA" w:rsidRPr="0026277C">
        <w:rPr>
          <w:rFonts w:ascii="Times New Roman" w:hAnsi="Times New Roman"/>
        </w:rPr>
        <w:t>consider</w:t>
      </w:r>
      <w:r w:rsidR="003A5E7D" w:rsidRPr="0026277C">
        <w:rPr>
          <w:rFonts w:ascii="Times New Roman" w:hAnsi="Times New Roman"/>
        </w:rPr>
        <w:t>ed</w:t>
      </w:r>
      <w:r w:rsidR="00A902FA" w:rsidRPr="0026277C">
        <w:rPr>
          <w:rFonts w:ascii="Times New Roman" w:hAnsi="Times New Roman"/>
        </w:rPr>
        <w:t xml:space="preserve"> the </w:t>
      </w:r>
      <w:r w:rsidR="00A902FA" w:rsidRPr="0026277C">
        <w:rPr>
          <w:rFonts w:ascii="Times New Roman" w:hAnsi="Times New Roman"/>
          <w:i/>
          <w:iCs/>
        </w:rPr>
        <w:t>Elect</w:t>
      </w:r>
      <w:r w:rsidR="009B0FF2" w:rsidRPr="0026277C">
        <w:rPr>
          <w:rFonts w:ascii="Times New Roman" w:hAnsi="Times New Roman"/>
          <w:i/>
          <w:iCs/>
        </w:rPr>
        <w:t>ion</w:t>
      </w:r>
      <w:r w:rsidR="00A902FA" w:rsidRPr="0026277C">
        <w:rPr>
          <w:rFonts w:ascii="Times New Roman" w:hAnsi="Times New Roman"/>
          <w:i/>
          <w:iCs/>
        </w:rPr>
        <w:t xml:space="preserve"> Funding, Expenditure and Disclosures Act 1981</w:t>
      </w:r>
      <w:r w:rsidR="00A902FA" w:rsidRPr="0026277C">
        <w:rPr>
          <w:rFonts w:ascii="Times New Roman" w:hAnsi="Times New Roman"/>
        </w:rPr>
        <w:t xml:space="preserve"> (NSW) ("the EFED Act"). In</w:t>
      </w:r>
      <w:r w:rsidR="00410414" w:rsidRPr="0026277C">
        <w:rPr>
          <w:rFonts w:ascii="Times New Roman" w:hAnsi="Times New Roman"/>
        </w:rPr>
        <w:t> </w:t>
      </w:r>
      <w:r w:rsidR="00A902FA" w:rsidRPr="0026277C">
        <w:rPr>
          <w:rFonts w:ascii="Times New Roman" w:hAnsi="Times New Roman"/>
          <w:i/>
          <w:iCs/>
        </w:rPr>
        <w:t xml:space="preserve">Unions NSW v New </w:t>
      </w:r>
      <w:r w:rsidR="00B11AED" w:rsidRPr="0026277C">
        <w:rPr>
          <w:rFonts w:ascii="Times New Roman" w:hAnsi="Times New Roman"/>
          <w:i/>
          <w:iCs/>
        </w:rPr>
        <w:t xml:space="preserve">South </w:t>
      </w:r>
      <w:r w:rsidR="00A902FA" w:rsidRPr="0026277C">
        <w:rPr>
          <w:rFonts w:ascii="Times New Roman" w:hAnsi="Times New Roman"/>
          <w:i/>
          <w:iCs/>
        </w:rPr>
        <w:t>Wales</w:t>
      </w:r>
      <w:r w:rsidR="00A902FA" w:rsidRPr="0026277C">
        <w:rPr>
          <w:rStyle w:val="FootnoteReference"/>
          <w:rFonts w:ascii="Times New Roman" w:hAnsi="Times New Roman"/>
          <w:sz w:val="24"/>
        </w:rPr>
        <w:footnoteReference w:id="5"/>
      </w:r>
      <w:r w:rsidR="00814BBD" w:rsidRPr="0026277C">
        <w:rPr>
          <w:rFonts w:ascii="Times New Roman" w:hAnsi="Times New Roman"/>
          <w:i/>
          <w:iCs/>
        </w:rPr>
        <w:t xml:space="preserve"> </w:t>
      </w:r>
      <w:r w:rsidR="0000460F" w:rsidRPr="0026277C">
        <w:rPr>
          <w:rFonts w:ascii="Times New Roman" w:hAnsi="Times New Roman"/>
        </w:rPr>
        <w:t>("</w:t>
      </w:r>
      <w:r w:rsidR="0000460F" w:rsidRPr="0026277C">
        <w:rPr>
          <w:rFonts w:ascii="Times New Roman" w:hAnsi="Times New Roman"/>
          <w:i/>
        </w:rPr>
        <w:t>Unions [No 2]</w:t>
      </w:r>
      <w:r w:rsidR="0000460F" w:rsidRPr="0026277C">
        <w:rPr>
          <w:rFonts w:ascii="Times New Roman" w:hAnsi="Times New Roman"/>
        </w:rPr>
        <w:t>")</w:t>
      </w:r>
      <w:r w:rsidR="00A902FA" w:rsidRPr="0026277C">
        <w:rPr>
          <w:rFonts w:ascii="Times New Roman" w:hAnsi="Times New Roman"/>
        </w:rPr>
        <w:t xml:space="preserve">, the Court considered </w:t>
      </w:r>
      <w:r w:rsidR="00AA314F" w:rsidRPr="0026277C">
        <w:rPr>
          <w:rFonts w:ascii="Times New Roman" w:hAnsi="Times New Roman"/>
        </w:rPr>
        <w:t xml:space="preserve">the </w:t>
      </w:r>
      <w:r w:rsidR="00AA314F" w:rsidRPr="0026277C">
        <w:rPr>
          <w:rFonts w:ascii="Times New Roman" w:hAnsi="Times New Roman"/>
          <w:i/>
          <w:iCs/>
        </w:rPr>
        <w:t xml:space="preserve">Electoral Funding Act 2018 </w:t>
      </w:r>
      <w:r w:rsidR="00AA314F" w:rsidRPr="0026277C">
        <w:rPr>
          <w:rFonts w:ascii="Times New Roman" w:hAnsi="Times New Roman"/>
        </w:rPr>
        <w:t xml:space="preserve">(NSW) ("the EF Act") </w:t>
      </w:r>
      <w:r w:rsidR="00A902FA" w:rsidRPr="0026277C">
        <w:rPr>
          <w:rFonts w:ascii="Times New Roman" w:hAnsi="Times New Roman"/>
        </w:rPr>
        <w:t xml:space="preserve">which replaced the EFED Act but generally retained the scheme of the EFED Act with respect to caps on electoral expenditure. </w:t>
      </w:r>
      <w:r w:rsidR="00653227" w:rsidRPr="0026277C">
        <w:rPr>
          <w:rFonts w:ascii="Times New Roman" w:hAnsi="Times New Roman"/>
        </w:rPr>
        <w:t>The EF</w:t>
      </w:r>
      <w:r w:rsidR="00FD6F6E">
        <w:rPr>
          <w:rFonts w:ascii="Times New Roman" w:hAnsi="Times New Roman"/>
        </w:rPr>
        <w:t> </w:t>
      </w:r>
      <w:r w:rsidR="00653227" w:rsidRPr="0026277C">
        <w:rPr>
          <w:rFonts w:ascii="Times New Roman" w:hAnsi="Times New Roman"/>
        </w:rPr>
        <w:t xml:space="preserve">Act, </w:t>
      </w:r>
      <w:r w:rsidR="00C579A7" w:rsidRPr="0026277C">
        <w:rPr>
          <w:rFonts w:ascii="Times New Roman" w:hAnsi="Times New Roman"/>
        </w:rPr>
        <w:t xml:space="preserve">which was </w:t>
      </w:r>
      <w:r w:rsidR="000C173E" w:rsidRPr="0026277C">
        <w:rPr>
          <w:rFonts w:ascii="Times New Roman" w:hAnsi="Times New Roman"/>
        </w:rPr>
        <w:t>relevantly</w:t>
      </w:r>
      <w:r w:rsidR="00653227" w:rsidRPr="0026277C">
        <w:rPr>
          <w:rFonts w:ascii="Times New Roman" w:hAnsi="Times New Roman"/>
        </w:rPr>
        <w:t xml:space="preserve"> amended on 2</w:t>
      </w:r>
      <w:r w:rsidR="00575189" w:rsidRPr="0026277C">
        <w:rPr>
          <w:rFonts w:ascii="Times New Roman" w:hAnsi="Times New Roman"/>
        </w:rPr>
        <w:t> </w:t>
      </w:r>
      <w:r w:rsidR="00653227" w:rsidRPr="0026277C">
        <w:rPr>
          <w:rFonts w:ascii="Times New Roman" w:hAnsi="Times New Roman"/>
        </w:rPr>
        <w:t>November 2022</w:t>
      </w:r>
      <w:r w:rsidR="00575189" w:rsidRPr="0026277C">
        <w:rPr>
          <w:rStyle w:val="FootnoteReference"/>
          <w:rFonts w:ascii="Times New Roman" w:hAnsi="Times New Roman"/>
          <w:sz w:val="24"/>
        </w:rPr>
        <w:footnoteReference w:id="6"/>
      </w:r>
      <w:r w:rsidR="00653227" w:rsidRPr="0026277C">
        <w:rPr>
          <w:rFonts w:ascii="Times New Roman" w:hAnsi="Times New Roman"/>
        </w:rPr>
        <w:t xml:space="preserve">, </w:t>
      </w:r>
      <w:r w:rsidR="00B00F2D" w:rsidRPr="0026277C">
        <w:rPr>
          <w:rFonts w:ascii="Times New Roman" w:hAnsi="Times New Roman"/>
        </w:rPr>
        <w:t xml:space="preserve">is </w:t>
      </w:r>
      <w:r w:rsidR="00653227" w:rsidRPr="0026277C">
        <w:rPr>
          <w:rFonts w:ascii="Times New Roman" w:hAnsi="Times New Roman"/>
        </w:rPr>
        <w:t xml:space="preserve">the legislation at issue in this proceeding. </w:t>
      </w:r>
    </w:p>
    <w:p w14:paraId="71217459" w14:textId="77620C1F" w:rsidR="008C1AD8" w:rsidRPr="0026277C" w:rsidRDefault="00A902FA"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8C1AD8" w:rsidRPr="0026277C">
        <w:rPr>
          <w:rFonts w:ascii="Times New Roman" w:hAnsi="Times New Roman"/>
        </w:rPr>
        <w:t>The EF Act, among other things, makes "provision for the disclosure, capping and prohibition of certain political donations and electoral expenditure for parliamentary and local government election campaigns"</w:t>
      </w:r>
      <w:r w:rsidR="008C1AD8" w:rsidRPr="0026277C">
        <w:rPr>
          <w:rStyle w:val="FootnoteReference"/>
          <w:rFonts w:ascii="Times New Roman" w:hAnsi="Times New Roman"/>
          <w:sz w:val="24"/>
        </w:rPr>
        <w:footnoteReference w:id="7"/>
      </w:r>
      <w:r w:rsidR="008C1AD8" w:rsidRPr="0026277C">
        <w:rPr>
          <w:rFonts w:ascii="Times New Roman" w:hAnsi="Times New Roman"/>
        </w:rPr>
        <w:t>. It creates a comprehensive scheme regulating the extent and sources of funding for elections</w:t>
      </w:r>
      <w:r w:rsidR="00071610" w:rsidRPr="0026277C">
        <w:rPr>
          <w:rStyle w:val="FootnoteReference"/>
          <w:rFonts w:ascii="Times New Roman" w:hAnsi="Times New Roman"/>
          <w:sz w:val="24"/>
        </w:rPr>
        <w:footnoteReference w:id="8"/>
      </w:r>
      <w:r w:rsidR="008C1AD8" w:rsidRPr="0026277C">
        <w:rPr>
          <w:rFonts w:ascii="Times New Roman" w:hAnsi="Times New Roman"/>
        </w:rPr>
        <w:t xml:space="preserve">, and requiring </w:t>
      </w:r>
      <w:r w:rsidR="00675CB6" w:rsidRPr="0026277C">
        <w:rPr>
          <w:rFonts w:ascii="Times New Roman" w:hAnsi="Times New Roman"/>
        </w:rPr>
        <w:t xml:space="preserve">regular </w:t>
      </w:r>
      <w:r w:rsidR="008C1AD8" w:rsidRPr="0026277C">
        <w:rPr>
          <w:rFonts w:ascii="Times New Roman" w:hAnsi="Times New Roman"/>
        </w:rPr>
        <w:t xml:space="preserve">disclosure to the </w:t>
      </w:r>
      <w:r w:rsidR="00C84549" w:rsidRPr="0026277C">
        <w:rPr>
          <w:rFonts w:ascii="Times New Roman" w:hAnsi="Times New Roman"/>
        </w:rPr>
        <w:t xml:space="preserve">New South Wales </w:t>
      </w:r>
      <w:r w:rsidR="008C1AD8" w:rsidRPr="0026277C">
        <w:rPr>
          <w:rFonts w:ascii="Times New Roman" w:hAnsi="Times New Roman"/>
        </w:rPr>
        <w:t>Electoral Commission</w:t>
      </w:r>
      <w:r w:rsidR="008C1AD8" w:rsidRPr="0026277C">
        <w:rPr>
          <w:rStyle w:val="FootnoteReference"/>
          <w:rFonts w:ascii="Times New Roman" w:hAnsi="Times New Roman"/>
          <w:sz w:val="24"/>
        </w:rPr>
        <w:footnoteReference w:id="9"/>
      </w:r>
      <w:r w:rsidR="008C1AD8" w:rsidRPr="0026277C">
        <w:rPr>
          <w:rFonts w:ascii="Times New Roman" w:hAnsi="Times New Roman"/>
        </w:rPr>
        <w:t xml:space="preserve"> of political donations and of electoral expenditure by parties, elected members, </w:t>
      </w:r>
      <w:r w:rsidR="008C1AD8" w:rsidRPr="0026277C">
        <w:rPr>
          <w:rFonts w:ascii="Times New Roman" w:hAnsi="Times New Roman"/>
        </w:rPr>
        <w:lastRenderedPageBreak/>
        <w:t>candidates, groups</w:t>
      </w:r>
      <w:r w:rsidR="00DB442E" w:rsidRPr="0026277C">
        <w:rPr>
          <w:rFonts w:ascii="Times New Roman" w:hAnsi="Times New Roman"/>
        </w:rPr>
        <w:t xml:space="preserve"> of candidates</w:t>
      </w:r>
      <w:r w:rsidR="008C1AD8" w:rsidRPr="0026277C">
        <w:rPr>
          <w:rFonts w:ascii="Times New Roman" w:hAnsi="Times New Roman"/>
        </w:rPr>
        <w:t xml:space="preserve"> </w:t>
      </w:r>
      <w:r w:rsidR="000E7B7D" w:rsidRPr="0026277C">
        <w:rPr>
          <w:rFonts w:ascii="Times New Roman" w:hAnsi="Times New Roman"/>
        </w:rPr>
        <w:t xml:space="preserve">and </w:t>
      </w:r>
      <w:r w:rsidR="008C1AD8" w:rsidRPr="0026277C">
        <w:rPr>
          <w:rFonts w:ascii="Times New Roman" w:hAnsi="Times New Roman"/>
        </w:rPr>
        <w:t>associated entities</w:t>
      </w:r>
      <w:r w:rsidR="008C1AD8" w:rsidRPr="0026277C">
        <w:rPr>
          <w:rStyle w:val="FootnoteReference"/>
          <w:rFonts w:ascii="Times New Roman" w:hAnsi="Times New Roman"/>
          <w:sz w:val="24"/>
        </w:rPr>
        <w:footnoteReference w:id="10"/>
      </w:r>
      <w:r w:rsidR="008C1AD8" w:rsidRPr="0026277C">
        <w:rPr>
          <w:rFonts w:ascii="Times New Roman" w:hAnsi="Times New Roman"/>
        </w:rPr>
        <w:t>, as well as by</w:t>
      </w:r>
      <w:r w:rsidR="00561D72" w:rsidRPr="0026277C">
        <w:rPr>
          <w:rFonts w:ascii="Times New Roman" w:hAnsi="Times New Roman"/>
        </w:rPr>
        <w:t xml:space="preserve"> major political donors</w:t>
      </w:r>
      <w:r w:rsidR="00561D72" w:rsidRPr="0026277C">
        <w:rPr>
          <w:rStyle w:val="FootnoteReference"/>
          <w:rFonts w:ascii="Times New Roman" w:hAnsi="Times New Roman"/>
          <w:sz w:val="24"/>
        </w:rPr>
        <w:footnoteReference w:id="11"/>
      </w:r>
      <w:r w:rsidR="00561D72" w:rsidRPr="0026277C">
        <w:rPr>
          <w:rFonts w:ascii="Times New Roman" w:hAnsi="Times New Roman"/>
        </w:rPr>
        <w:t xml:space="preserve"> and</w:t>
      </w:r>
      <w:r w:rsidR="008C1AD8" w:rsidRPr="0026277C">
        <w:rPr>
          <w:rFonts w:ascii="Times New Roman" w:hAnsi="Times New Roman"/>
        </w:rPr>
        <w:t xml:space="preserve"> TPCs</w:t>
      </w:r>
      <w:r w:rsidR="00561D72" w:rsidRPr="0026277C">
        <w:rPr>
          <w:rStyle w:val="FootnoteReference"/>
          <w:rFonts w:ascii="Times New Roman" w:hAnsi="Times New Roman"/>
          <w:sz w:val="24"/>
        </w:rPr>
        <w:footnoteReference w:id="12"/>
      </w:r>
      <w:r w:rsidR="008C1AD8" w:rsidRPr="0026277C">
        <w:rPr>
          <w:rFonts w:ascii="Times New Roman" w:hAnsi="Times New Roman"/>
        </w:rPr>
        <w:t xml:space="preserve"> in certain circumstances.</w:t>
      </w:r>
    </w:p>
    <w:p w14:paraId="2B795DFD" w14:textId="27EE67EA" w:rsidR="008C1AD8" w:rsidRPr="0026277C" w:rsidRDefault="008C1AD8" w:rsidP="0026277C">
      <w:pPr>
        <w:pStyle w:val="FixListStyle"/>
        <w:spacing w:after="260" w:line="280" w:lineRule="exact"/>
        <w:ind w:right="0"/>
        <w:jc w:val="both"/>
        <w:rPr>
          <w:rFonts w:ascii="Times New Roman" w:hAnsi="Times New Roman"/>
        </w:rPr>
      </w:pPr>
      <w:r w:rsidRPr="0026277C">
        <w:rPr>
          <w:rFonts w:ascii="Times New Roman" w:hAnsi="Times New Roman"/>
        </w:rPr>
        <w:tab/>
        <w:t>The objects of the EF Act, stated in s 3, include to establish a fair and transparent electoral funding, expenditure and disclosure scheme</w:t>
      </w:r>
      <w:r w:rsidRPr="0026277C">
        <w:rPr>
          <w:rStyle w:val="FootnoteReference"/>
          <w:rFonts w:ascii="Times New Roman" w:hAnsi="Times New Roman"/>
          <w:sz w:val="24"/>
        </w:rPr>
        <w:footnoteReference w:id="13"/>
      </w:r>
      <w:r w:rsidRPr="0026277C">
        <w:rPr>
          <w:rFonts w:ascii="Times New Roman" w:hAnsi="Times New Roman"/>
        </w:rPr>
        <w:t>; to help prevent corruption and undue influence in the government of the State or in local government</w:t>
      </w:r>
      <w:r w:rsidRPr="0026277C">
        <w:rPr>
          <w:rStyle w:val="FootnoteReference"/>
          <w:rFonts w:ascii="Times New Roman" w:hAnsi="Times New Roman"/>
          <w:sz w:val="24"/>
        </w:rPr>
        <w:footnoteReference w:id="14"/>
      </w:r>
      <w:r w:rsidRPr="0026277C">
        <w:rPr>
          <w:rFonts w:ascii="Times New Roman" w:hAnsi="Times New Roman"/>
        </w:rPr>
        <w:t>; and to promote compliance by parties, elected members, candidates, groups, agents, associated entities, TPCs and donors with the requirements of the electoral funding, expenditure and disclosure scheme</w:t>
      </w:r>
      <w:r w:rsidR="007F7E6B" w:rsidRPr="0026277C">
        <w:rPr>
          <w:rStyle w:val="FootnoteReference"/>
          <w:rFonts w:ascii="Times New Roman" w:hAnsi="Times New Roman"/>
          <w:sz w:val="24"/>
        </w:rPr>
        <w:footnoteReference w:id="15"/>
      </w:r>
      <w:r w:rsidRPr="0026277C">
        <w:rPr>
          <w:rFonts w:ascii="Times New Roman" w:hAnsi="Times New Roman"/>
        </w:rPr>
        <w:t xml:space="preserve">. </w:t>
      </w:r>
    </w:p>
    <w:p w14:paraId="6A177CDD" w14:textId="7D402015" w:rsidR="008C1AD8" w:rsidRPr="0026277C" w:rsidRDefault="008C1AD8" w:rsidP="0026277C">
      <w:pPr>
        <w:pStyle w:val="FixListStyle"/>
        <w:spacing w:after="260" w:line="280" w:lineRule="exact"/>
        <w:ind w:right="0"/>
        <w:jc w:val="both"/>
        <w:rPr>
          <w:rFonts w:ascii="Times New Roman" w:hAnsi="Times New Roman"/>
        </w:rPr>
      </w:pPr>
      <w:r w:rsidRPr="0026277C">
        <w:rPr>
          <w:rFonts w:ascii="Times New Roman" w:hAnsi="Times New Roman"/>
        </w:rPr>
        <w:tab/>
        <w:t>Division 4 of Pt 3 of the EF Act</w:t>
      </w:r>
      <w:r w:rsidR="00EC4904" w:rsidRPr="0026277C">
        <w:rPr>
          <w:rFonts w:ascii="Times New Roman" w:hAnsi="Times New Roman"/>
        </w:rPr>
        <w:t xml:space="preserve"> is</w:t>
      </w:r>
      <w:r w:rsidRPr="0026277C">
        <w:rPr>
          <w:rFonts w:ascii="Times New Roman" w:hAnsi="Times New Roman"/>
        </w:rPr>
        <w:t xml:space="preserve"> headed "Caps on electoral expenditure for election campaigns". That Division set</w:t>
      </w:r>
      <w:r w:rsidR="00EC4904" w:rsidRPr="0026277C">
        <w:rPr>
          <w:rFonts w:ascii="Times New Roman" w:hAnsi="Times New Roman"/>
        </w:rPr>
        <w:t>s</w:t>
      </w:r>
      <w:r w:rsidR="00C46E7C" w:rsidRPr="0026277C">
        <w:rPr>
          <w:rFonts w:ascii="Times New Roman" w:hAnsi="Times New Roman"/>
        </w:rPr>
        <w:t xml:space="preserve"> t</w:t>
      </w:r>
      <w:r w:rsidRPr="0026277C">
        <w:rPr>
          <w:rFonts w:ascii="Times New Roman" w:hAnsi="Times New Roman"/>
        </w:rPr>
        <w:t xml:space="preserve">he </w:t>
      </w:r>
      <w:r w:rsidR="006815B2" w:rsidRPr="0026277C">
        <w:rPr>
          <w:rFonts w:ascii="Times New Roman" w:hAnsi="Times New Roman"/>
        </w:rPr>
        <w:t>"</w:t>
      </w:r>
      <w:r w:rsidRPr="0026277C">
        <w:rPr>
          <w:rFonts w:ascii="Times New Roman" w:hAnsi="Times New Roman"/>
        </w:rPr>
        <w:t xml:space="preserve">capped </w:t>
      </w:r>
      <w:r w:rsidR="006150BA" w:rsidRPr="0026277C">
        <w:rPr>
          <w:rFonts w:ascii="Times New Roman" w:hAnsi="Times New Roman"/>
        </w:rPr>
        <w:t>S</w:t>
      </w:r>
      <w:r w:rsidRPr="0026277C">
        <w:rPr>
          <w:rFonts w:ascii="Times New Roman" w:hAnsi="Times New Roman"/>
        </w:rPr>
        <w:t>tate expenditure period</w:t>
      </w:r>
      <w:r w:rsidR="006815B2" w:rsidRPr="0026277C">
        <w:rPr>
          <w:rFonts w:ascii="Times New Roman" w:hAnsi="Times New Roman"/>
        </w:rPr>
        <w:t>"</w:t>
      </w:r>
      <w:r w:rsidRPr="0026277C">
        <w:rPr>
          <w:rStyle w:val="FootnoteReference"/>
          <w:rFonts w:ascii="Times New Roman" w:hAnsi="Times New Roman"/>
          <w:sz w:val="24"/>
        </w:rPr>
        <w:footnoteReference w:id="16"/>
      </w:r>
      <w:r w:rsidRPr="0026277C">
        <w:rPr>
          <w:rFonts w:ascii="Times New Roman" w:hAnsi="Times New Roman"/>
        </w:rPr>
        <w:t xml:space="preserve"> and the applicable caps </w:t>
      </w:r>
      <w:r w:rsidR="000807EB" w:rsidRPr="0026277C">
        <w:rPr>
          <w:rFonts w:ascii="Times New Roman" w:hAnsi="Times New Roman"/>
        </w:rPr>
        <w:t xml:space="preserve">on </w:t>
      </w:r>
      <w:r w:rsidRPr="0026277C">
        <w:rPr>
          <w:rFonts w:ascii="Times New Roman" w:hAnsi="Times New Roman"/>
        </w:rPr>
        <w:t xml:space="preserve">"electoral expenditure" </w:t>
      </w:r>
      <w:r w:rsidR="0050485B" w:rsidRPr="0026277C">
        <w:rPr>
          <w:rFonts w:ascii="Times New Roman" w:hAnsi="Times New Roman"/>
        </w:rPr>
        <w:t xml:space="preserve">for State election campaigns </w:t>
      </w:r>
      <w:r w:rsidRPr="0026277C">
        <w:rPr>
          <w:rFonts w:ascii="Times New Roman" w:hAnsi="Times New Roman"/>
        </w:rPr>
        <w:t>in respect of parties, candidates and TPCs</w:t>
      </w:r>
      <w:r w:rsidRPr="0026277C">
        <w:rPr>
          <w:rStyle w:val="FootnoteReference"/>
          <w:rFonts w:ascii="Times New Roman" w:hAnsi="Times New Roman"/>
          <w:sz w:val="24"/>
        </w:rPr>
        <w:footnoteReference w:id="17"/>
      </w:r>
      <w:r w:rsidRPr="0026277C">
        <w:rPr>
          <w:rFonts w:ascii="Times New Roman" w:hAnsi="Times New Roman"/>
        </w:rPr>
        <w:t>. "</w:t>
      </w:r>
      <w:r w:rsidR="009528AA" w:rsidRPr="0026277C">
        <w:rPr>
          <w:rFonts w:ascii="Times New Roman" w:hAnsi="Times New Roman"/>
        </w:rPr>
        <w:t>[</w:t>
      </w:r>
      <w:r w:rsidRPr="0026277C">
        <w:rPr>
          <w:rFonts w:ascii="Times New Roman" w:hAnsi="Times New Roman"/>
        </w:rPr>
        <w:t>E</w:t>
      </w:r>
      <w:r w:rsidR="009528AA" w:rsidRPr="0026277C">
        <w:rPr>
          <w:rFonts w:ascii="Times New Roman" w:hAnsi="Times New Roman"/>
        </w:rPr>
        <w:t>]</w:t>
      </w:r>
      <w:proofErr w:type="spellStart"/>
      <w:r w:rsidRPr="0026277C">
        <w:rPr>
          <w:rFonts w:ascii="Times New Roman" w:hAnsi="Times New Roman"/>
        </w:rPr>
        <w:t>lectoral</w:t>
      </w:r>
      <w:proofErr w:type="spellEnd"/>
      <w:r w:rsidRPr="0026277C">
        <w:rPr>
          <w:rFonts w:ascii="Times New Roman" w:hAnsi="Times New Roman"/>
        </w:rPr>
        <w:t xml:space="preserve"> expenditure" is defined to mean expenditure </w:t>
      </w:r>
      <w:r w:rsidR="00224676" w:rsidRPr="0026277C">
        <w:rPr>
          <w:rFonts w:ascii="Times New Roman" w:hAnsi="Times New Roman"/>
        </w:rPr>
        <w:t xml:space="preserve">of </w:t>
      </w:r>
      <w:r w:rsidR="00826BD9" w:rsidRPr="0026277C">
        <w:rPr>
          <w:rFonts w:ascii="Times New Roman" w:hAnsi="Times New Roman"/>
        </w:rPr>
        <w:t>specified kinds</w:t>
      </w:r>
      <w:r w:rsidRPr="0026277C">
        <w:rPr>
          <w:rFonts w:ascii="Times New Roman" w:hAnsi="Times New Roman"/>
        </w:rPr>
        <w:t xml:space="preserve"> (such as </w:t>
      </w:r>
      <w:r w:rsidR="00826BD9" w:rsidRPr="0026277C">
        <w:rPr>
          <w:rFonts w:ascii="Times New Roman" w:hAnsi="Times New Roman"/>
        </w:rPr>
        <w:t xml:space="preserve">expenditure on </w:t>
      </w:r>
      <w:r w:rsidRPr="0026277C">
        <w:rPr>
          <w:rFonts w:ascii="Times New Roman" w:hAnsi="Times New Roman"/>
        </w:rPr>
        <w:t xml:space="preserve">advertisements, </w:t>
      </w:r>
      <w:r w:rsidR="00826BD9" w:rsidRPr="0026277C">
        <w:rPr>
          <w:rFonts w:ascii="Times New Roman" w:hAnsi="Times New Roman"/>
        </w:rPr>
        <w:t>the</w:t>
      </w:r>
      <w:r w:rsidR="00F66834">
        <w:rPr>
          <w:rFonts w:ascii="Times New Roman" w:hAnsi="Times New Roman"/>
        </w:rPr>
        <w:t> </w:t>
      </w:r>
      <w:r w:rsidRPr="0026277C">
        <w:rPr>
          <w:rFonts w:ascii="Times New Roman" w:hAnsi="Times New Roman"/>
        </w:rPr>
        <w:t>produc</w:t>
      </w:r>
      <w:r w:rsidR="00826BD9" w:rsidRPr="0026277C">
        <w:rPr>
          <w:rFonts w:ascii="Times New Roman" w:hAnsi="Times New Roman"/>
        </w:rPr>
        <w:t>tion</w:t>
      </w:r>
      <w:r w:rsidRPr="0026277C">
        <w:rPr>
          <w:rFonts w:ascii="Times New Roman" w:hAnsi="Times New Roman"/>
        </w:rPr>
        <w:t xml:space="preserve"> and distributi</w:t>
      </w:r>
      <w:r w:rsidR="00826BD9" w:rsidRPr="0026277C">
        <w:rPr>
          <w:rFonts w:ascii="Times New Roman" w:hAnsi="Times New Roman"/>
        </w:rPr>
        <w:t>on of</w:t>
      </w:r>
      <w:r w:rsidRPr="0026277C">
        <w:rPr>
          <w:rFonts w:ascii="Times New Roman" w:hAnsi="Times New Roman"/>
        </w:rPr>
        <w:t xml:space="preserve"> election material </w:t>
      </w:r>
      <w:r w:rsidR="00427CFE" w:rsidRPr="0026277C">
        <w:rPr>
          <w:rFonts w:ascii="Times New Roman" w:hAnsi="Times New Roman"/>
        </w:rPr>
        <w:t xml:space="preserve">and </w:t>
      </w:r>
      <w:r w:rsidRPr="0026277C">
        <w:rPr>
          <w:rFonts w:ascii="Times New Roman" w:hAnsi="Times New Roman"/>
        </w:rPr>
        <w:t xml:space="preserve">employing staff) "for or in connection with promoting or opposing, directly or indirectly, a party or the election of a candidate or candidates </w:t>
      </w:r>
      <w:r w:rsidR="00546998" w:rsidRPr="0026277C">
        <w:rPr>
          <w:rFonts w:ascii="Times New Roman" w:hAnsi="Times New Roman"/>
        </w:rPr>
        <w:t xml:space="preserve">or </w:t>
      </w:r>
      <w:r w:rsidRPr="0026277C">
        <w:rPr>
          <w:rFonts w:ascii="Times New Roman" w:hAnsi="Times New Roman"/>
        </w:rPr>
        <w:t>for the purpose of influencing, directly or indirectly, the voting at an election"</w:t>
      </w:r>
      <w:r w:rsidRPr="0026277C">
        <w:rPr>
          <w:rStyle w:val="FootnoteReference"/>
          <w:rFonts w:ascii="Times New Roman" w:hAnsi="Times New Roman"/>
          <w:sz w:val="24"/>
        </w:rPr>
        <w:footnoteReference w:id="18"/>
      </w:r>
      <w:r w:rsidRPr="0026277C">
        <w:rPr>
          <w:rFonts w:ascii="Times New Roman" w:hAnsi="Times New Roman"/>
        </w:rPr>
        <w:t xml:space="preserve">. For a TPC, expenditure will only be "electoral expenditure" if it is </w:t>
      </w:r>
      <w:r w:rsidR="00481049" w:rsidRPr="0026277C">
        <w:rPr>
          <w:rFonts w:ascii="Times New Roman" w:hAnsi="Times New Roman"/>
        </w:rPr>
        <w:t xml:space="preserve">incurred </w:t>
      </w:r>
      <w:r w:rsidRPr="0026277C">
        <w:rPr>
          <w:rFonts w:ascii="Times New Roman" w:hAnsi="Times New Roman"/>
        </w:rPr>
        <w:t xml:space="preserve">"for the dominant purpose of promoting or </w:t>
      </w:r>
      <w:r w:rsidRPr="0026277C">
        <w:rPr>
          <w:rFonts w:ascii="Times New Roman" w:hAnsi="Times New Roman"/>
        </w:rPr>
        <w:lastRenderedPageBreak/>
        <w:t xml:space="preserve">opposing a party or the election of a candidate or </w:t>
      </w:r>
      <w:r w:rsidR="00481049" w:rsidRPr="0026277C">
        <w:rPr>
          <w:rFonts w:ascii="Times New Roman" w:hAnsi="Times New Roman"/>
        </w:rPr>
        <w:t xml:space="preserve">candidates or </w:t>
      </w:r>
      <w:r w:rsidRPr="0026277C">
        <w:rPr>
          <w:rFonts w:ascii="Times New Roman" w:hAnsi="Times New Roman"/>
        </w:rPr>
        <w:t>influencing the voting at an election</w:t>
      </w:r>
      <w:r w:rsidR="00202231" w:rsidRPr="0026277C">
        <w:rPr>
          <w:rFonts w:ascii="Times New Roman" w:hAnsi="Times New Roman"/>
        </w:rPr>
        <w:t>"</w:t>
      </w:r>
      <w:r w:rsidRPr="0026277C">
        <w:rPr>
          <w:rStyle w:val="FootnoteReference"/>
          <w:rFonts w:ascii="Times New Roman" w:hAnsi="Times New Roman"/>
          <w:sz w:val="24"/>
        </w:rPr>
        <w:footnoteReference w:id="19"/>
      </w:r>
      <w:r w:rsidRPr="0026277C">
        <w:rPr>
          <w:rFonts w:ascii="Times New Roman" w:hAnsi="Times New Roman"/>
        </w:rPr>
        <w:t xml:space="preserve">. It is unlawful for a party, group, candidate, TPC or associated entity to incur electoral expenditure for an election campaign during the capped </w:t>
      </w:r>
      <w:r w:rsidR="00450510" w:rsidRPr="0026277C">
        <w:rPr>
          <w:rFonts w:ascii="Times New Roman" w:hAnsi="Times New Roman"/>
        </w:rPr>
        <w:t xml:space="preserve">State </w:t>
      </w:r>
      <w:r w:rsidRPr="0026277C">
        <w:rPr>
          <w:rFonts w:ascii="Times New Roman" w:hAnsi="Times New Roman"/>
        </w:rPr>
        <w:t>expenditure period if it exceeds the applicable cap</w:t>
      </w:r>
      <w:r w:rsidRPr="0026277C">
        <w:rPr>
          <w:rStyle w:val="FootnoteReference"/>
          <w:rFonts w:ascii="Times New Roman" w:hAnsi="Times New Roman"/>
          <w:sz w:val="24"/>
        </w:rPr>
        <w:footnoteReference w:id="20"/>
      </w:r>
      <w:r w:rsidRPr="0026277C">
        <w:rPr>
          <w:rFonts w:ascii="Times New Roman" w:hAnsi="Times New Roman"/>
        </w:rPr>
        <w:t>. The</w:t>
      </w:r>
      <w:r w:rsidR="00B5540F">
        <w:rPr>
          <w:rFonts w:ascii="Times New Roman" w:hAnsi="Times New Roman"/>
        </w:rPr>
        <w:t> </w:t>
      </w:r>
      <w:r w:rsidRPr="0026277C">
        <w:rPr>
          <w:rFonts w:ascii="Times New Roman" w:hAnsi="Times New Roman"/>
        </w:rPr>
        <w:t>"capped</w:t>
      </w:r>
      <w:r w:rsidR="00B5540F">
        <w:rPr>
          <w:rFonts w:ascii="Times New Roman" w:hAnsi="Times New Roman"/>
        </w:rPr>
        <w:t> </w:t>
      </w:r>
      <w:r w:rsidR="00764B0A" w:rsidRPr="0026277C">
        <w:rPr>
          <w:rFonts w:ascii="Times New Roman" w:hAnsi="Times New Roman"/>
        </w:rPr>
        <w:t xml:space="preserve">State </w:t>
      </w:r>
      <w:r w:rsidRPr="0026277C">
        <w:rPr>
          <w:rFonts w:ascii="Times New Roman" w:hAnsi="Times New Roman"/>
        </w:rPr>
        <w:t>expenditure period", in the case of a by</w:t>
      </w:r>
      <w:r w:rsidRPr="0026277C">
        <w:rPr>
          <w:rFonts w:ascii="Times New Roman" w:hAnsi="Times New Roman"/>
        </w:rPr>
        <w:noBreakHyphen/>
        <w:t xml:space="preserve">election, is the period from and including the day </w:t>
      </w:r>
      <w:r w:rsidR="00A7664F" w:rsidRPr="0026277C">
        <w:rPr>
          <w:rFonts w:ascii="Times New Roman" w:hAnsi="Times New Roman"/>
        </w:rPr>
        <w:t>of the issue of the writ or writs for the election</w:t>
      </w:r>
      <w:r w:rsidRPr="0026277C">
        <w:rPr>
          <w:rFonts w:ascii="Times New Roman" w:hAnsi="Times New Roman"/>
        </w:rPr>
        <w:t xml:space="preserve"> until the end of election day</w:t>
      </w:r>
      <w:r w:rsidRPr="0026277C">
        <w:rPr>
          <w:rStyle w:val="FootnoteReference"/>
          <w:rFonts w:ascii="Times New Roman" w:hAnsi="Times New Roman"/>
          <w:sz w:val="24"/>
        </w:rPr>
        <w:footnoteReference w:id="21"/>
      </w:r>
      <w:r w:rsidRPr="0026277C">
        <w:rPr>
          <w:rFonts w:ascii="Times New Roman" w:hAnsi="Times New Roman"/>
        </w:rPr>
        <w:t xml:space="preserve">. </w:t>
      </w:r>
    </w:p>
    <w:p w14:paraId="4E0DD979" w14:textId="06E9E7B0" w:rsidR="00F830B4" w:rsidRPr="0026277C" w:rsidRDefault="00657105" w:rsidP="0026277C">
      <w:pPr>
        <w:pStyle w:val="FixListStyle"/>
        <w:spacing w:after="260" w:line="280" w:lineRule="exact"/>
        <w:ind w:right="0"/>
        <w:jc w:val="both"/>
        <w:rPr>
          <w:rFonts w:ascii="Times New Roman" w:hAnsi="Times New Roman"/>
        </w:rPr>
      </w:pPr>
      <w:r w:rsidRPr="0026277C">
        <w:rPr>
          <w:rFonts w:ascii="Times New Roman" w:hAnsi="Times New Roman"/>
        </w:rPr>
        <w:tab/>
        <w:t>Each of the plaintiffs was registered under the EFED Act and EF Act as a TPC for past New South Wales State elections and by</w:t>
      </w:r>
      <w:r w:rsidRPr="0026277C">
        <w:rPr>
          <w:rFonts w:ascii="Times New Roman" w:hAnsi="Times New Roman"/>
        </w:rPr>
        <w:noBreakHyphen/>
        <w:t xml:space="preserve">elections. Each plaintiff asserted an intention to be registered as a TPC </w:t>
      </w:r>
      <w:r w:rsidR="000A5699" w:rsidRPr="0026277C">
        <w:rPr>
          <w:rFonts w:ascii="Times New Roman" w:hAnsi="Times New Roman"/>
        </w:rPr>
        <w:t>under the EF Act</w:t>
      </w:r>
      <w:r w:rsidRPr="0026277C">
        <w:rPr>
          <w:rFonts w:ascii="Times New Roman" w:hAnsi="Times New Roman"/>
        </w:rPr>
        <w:t xml:space="preserve"> for future NSW State elections and by</w:t>
      </w:r>
      <w:r w:rsidR="00312AC2" w:rsidRPr="0026277C">
        <w:rPr>
          <w:rFonts w:ascii="Times New Roman" w:hAnsi="Times New Roman"/>
        </w:rPr>
        <w:noBreakHyphen/>
      </w:r>
      <w:r w:rsidRPr="0026277C">
        <w:rPr>
          <w:rFonts w:ascii="Times New Roman" w:hAnsi="Times New Roman"/>
        </w:rPr>
        <w:t>elections</w:t>
      </w:r>
      <w:r w:rsidR="000A5699" w:rsidRPr="0026277C">
        <w:rPr>
          <w:rFonts w:ascii="Times New Roman" w:hAnsi="Times New Roman"/>
        </w:rPr>
        <w:t>,</w:t>
      </w:r>
      <w:r w:rsidRPr="0026277C">
        <w:rPr>
          <w:rFonts w:ascii="Times New Roman" w:hAnsi="Times New Roman"/>
          <w:bCs/>
        </w:rPr>
        <w:t xml:space="preserve"> and</w:t>
      </w:r>
      <w:r w:rsidR="00B6197D" w:rsidRPr="0026277C">
        <w:rPr>
          <w:rFonts w:ascii="Times New Roman" w:hAnsi="Times New Roman"/>
        </w:rPr>
        <w:t xml:space="preserve"> </w:t>
      </w:r>
      <w:r w:rsidRPr="0026277C">
        <w:rPr>
          <w:rFonts w:ascii="Times New Roman" w:hAnsi="Times New Roman"/>
        </w:rPr>
        <w:t>asserted an intention to incur "electoral</w:t>
      </w:r>
      <w:r w:rsidR="006A5B1A">
        <w:rPr>
          <w:rFonts w:ascii="Times New Roman" w:hAnsi="Times New Roman"/>
        </w:rPr>
        <w:t> </w:t>
      </w:r>
      <w:r w:rsidRPr="0026277C">
        <w:rPr>
          <w:rFonts w:ascii="Times New Roman" w:hAnsi="Times New Roman"/>
        </w:rPr>
        <w:t>expenditure" during the "capped State expenditure period" in those elections and by</w:t>
      </w:r>
      <w:r w:rsidRPr="0026277C">
        <w:rPr>
          <w:rFonts w:ascii="Times New Roman" w:hAnsi="Times New Roman"/>
        </w:rPr>
        <w:noBreakHyphen/>
        <w:t>elections</w:t>
      </w:r>
      <w:r w:rsidR="00B6197D" w:rsidRPr="0026277C">
        <w:rPr>
          <w:rFonts w:ascii="Times New Roman" w:hAnsi="Times New Roman"/>
        </w:rPr>
        <w:t>, to the extent permitted by law</w:t>
      </w:r>
      <w:r w:rsidRPr="0026277C">
        <w:rPr>
          <w:rFonts w:ascii="Times New Roman" w:hAnsi="Times New Roman"/>
        </w:rPr>
        <w:t>.</w:t>
      </w:r>
      <w:r w:rsidR="00A64208" w:rsidRPr="0026277C">
        <w:rPr>
          <w:rFonts w:ascii="Times New Roman" w:hAnsi="Times New Roman"/>
        </w:rPr>
        <w:t xml:space="preserve"> T</w:t>
      </w:r>
      <w:r w:rsidR="00F830B4" w:rsidRPr="0026277C">
        <w:rPr>
          <w:rFonts w:ascii="Times New Roman" w:hAnsi="Times New Roman"/>
        </w:rPr>
        <w:t xml:space="preserve">he plaintiffs contended </w:t>
      </w:r>
      <w:r w:rsidR="00222877" w:rsidRPr="0026277C">
        <w:rPr>
          <w:rFonts w:ascii="Times New Roman" w:hAnsi="Times New Roman"/>
        </w:rPr>
        <w:t xml:space="preserve">that </w:t>
      </w:r>
      <w:r w:rsidR="00A64208" w:rsidRPr="0026277C">
        <w:rPr>
          <w:rFonts w:ascii="Times New Roman" w:hAnsi="Times New Roman"/>
        </w:rPr>
        <w:t>two provisions of the EF Act governing TPC</w:t>
      </w:r>
      <w:r w:rsidR="001D50C5" w:rsidRPr="0026277C">
        <w:rPr>
          <w:rFonts w:ascii="Times New Roman" w:hAnsi="Times New Roman"/>
        </w:rPr>
        <w:t>s</w:t>
      </w:r>
      <w:r w:rsidR="00A64208" w:rsidRPr="0026277C">
        <w:rPr>
          <w:rFonts w:ascii="Times New Roman" w:hAnsi="Times New Roman"/>
        </w:rPr>
        <w:t xml:space="preserve"> </w:t>
      </w:r>
      <w:r w:rsidR="00F830B4" w:rsidRPr="0026277C">
        <w:rPr>
          <w:rFonts w:ascii="Times New Roman" w:hAnsi="Times New Roman"/>
        </w:rPr>
        <w:t xml:space="preserve">impermissibly burdened the implied freedom of communication on </w:t>
      </w:r>
      <w:r w:rsidR="00E3702C" w:rsidRPr="0026277C">
        <w:rPr>
          <w:rFonts w:ascii="Times New Roman" w:hAnsi="Times New Roman"/>
        </w:rPr>
        <w:t>government</w:t>
      </w:r>
      <w:r w:rsidR="00A80AD2">
        <w:rPr>
          <w:rFonts w:ascii="Times New Roman" w:hAnsi="Times New Roman"/>
        </w:rPr>
        <w:t>al</w:t>
      </w:r>
      <w:r w:rsidR="00E3702C" w:rsidRPr="0026277C">
        <w:rPr>
          <w:rFonts w:ascii="Times New Roman" w:hAnsi="Times New Roman"/>
        </w:rPr>
        <w:t xml:space="preserve"> </w:t>
      </w:r>
      <w:r w:rsidR="00A80AD2">
        <w:rPr>
          <w:rFonts w:ascii="Times New Roman" w:hAnsi="Times New Roman"/>
        </w:rPr>
        <w:t>and</w:t>
      </w:r>
      <w:r w:rsidR="00636682" w:rsidRPr="0026277C">
        <w:rPr>
          <w:rFonts w:ascii="Times New Roman" w:hAnsi="Times New Roman"/>
        </w:rPr>
        <w:t xml:space="preserve"> political matters </w:t>
      </w:r>
      <w:r w:rsidR="00F830B4" w:rsidRPr="0026277C">
        <w:rPr>
          <w:rFonts w:ascii="Times New Roman" w:hAnsi="Times New Roman"/>
        </w:rPr>
        <w:t xml:space="preserve">protected by the </w:t>
      </w:r>
      <w:r w:rsidR="00F830B4" w:rsidRPr="0026277C">
        <w:rPr>
          <w:rFonts w:ascii="Times New Roman" w:hAnsi="Times New Roman"/>
          <w:i/>
          <w:iCs/>
        </w:rPr>
        <w:t>Constitution</w:t>
      </w:r>
      <w:r w:rsidR="000A5699" w:rsidRPr="0026277C">
        <w:rPr>
          <w:rFonts w:ascii="Times New Roman" w:hAnsi="Times New Roman"/>
        </w:rPr>
        <w:t>,</w:t>
      </w:r>
      <w:r w:rsidR="00F830B4" w:rsidRPr="0026277C">
        <w:rPr>
          <w:rFonts w:ascii="Times New Roman" w:hAnsi="Times New Roman"/>
        </w:rPr>
        <w:t xml:space="preserve"> and sought declarations of invalidity. </w:t>
      </w:r>
    </w:p>
    <w:p w14:paraId="6C3C5D5B" w14:textId="2778DDCC" w:rsidR="00D73E69" w:rsidRPr="0026277C" w:rsidRDefault="00691FE4"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BA753F" w:rsidRPr="0026277C">
        <w:rPr>
          <w:rFonts w:ascii="Times New Roman" w:hAnsi="Times New Roman"/>
        </w:rPr>
        <w:t>The first provision, s 29(11) of the EF Act, cap</w:t>
      </w:r>
      <w:r w:rsidR="00345AF3" w:rsidRPr="0026277C">
        <w:rPr>
          <w:rFonts w:ascii="Times New Roman" w:hAnsi="Times New Roman"/>
        </w:rPr>
        <w:t>s</w:t>
      </w:r>
      <w:r w:rsidR="00BA753F" w:rsidRPr="0026277C">
        <w:rPr>
          <w:rFonts w:ascii="Times New Roman" w:hAnsi="Times New Roman"/>
        </w:rPr>
        <w:t xml:space="preserve"> TPCs</w:t>
      </w:r>
      <w:r w:rsidR="00826579" w:rsidRPr="0026277C">
        <w:rPr>
          <w:rFonts w:ascii="Times New Roman" w:hAnsi="Times New Roman"/>
        </w:rPr>
        <w:t>'</w:t>
      </w:r>
      <w:r w:rsidR="00BA753F" w:rsidRPr="0026277C">
        <w:rPr>
          <w:rFonts w:ascii="Times New Roman" w:hAnsi="Times New Roman"/>
        </w:rPr>
        <w:t xml:space="preserve"> "electoral</w:t>
      </w:r>
      <w:r w:rsidR="009A7C49">
        <w:rPr>
          <w:rFonts w:ascii="Times New Roman" w:hAnsi="Times New Roman"/>
        </w:rPr>
        <w:t> </w:t>
      </w:r>
      <w:r w:rsidR="00BA753F" w:rsidRPr="0026277C">
        <w:rPr>
          <w:rFonts w:ascii="Times New Roman" w:hAnsi="Times New Roman"/>
        </w:rPr>
        <w:t>expenditure" in the "capped State expenditure period" before a State by</w:t>
      </w:r>
      <w:r w:rsidR="00BA753F" w:rsidRPr="0026277C">
        <w:rPr>
          <w:rFonts w:ascii="Times New Roman" w:hAnsi="Times New Roman"/>
        </w:rPr>
        <w:noBreakHyphen/>
        <w:t>election</w:t>
      </w:r>
      <w:r w:rsidR="00622775" w:rsidRPr="0026277C">
        <w:rPr>
          <w:rFonts w:ascii="Times New Roman" w:hAnsi="Times New Roman"/>
        </w:rPr>
        <w:t xml:space="preserve"> for the </w:t>
      </w:r>
      <w:r w:rsidR="009A2736" w:rsidRPr="0026277C">
        <w:rPr>
          <w:rFonts w:ascii="Times New Roman" w:hAnsi="Times New Roman"/>
        </w:rPr>
        <w:t xml:space="preserve">Legislative </w:t>
      </w:r>
      <w:r w:rsidR="00622775" w:rsidRPr="0026277C">
        <w:rPr>
          <w:rFonts w:ascii="Times New Roman" w:hAnsi="Times New Roman"/>
        </w:rPr>
        <w:t>Assembly</w:t>
      </w:r>
      <w:r w:rsidR="00BA753F" w:rsidRPr="0026277C">
        <w:rPr>
          <w:rFonts w:ascii="Times New Roman" w:hAnsi="Times New Roman"/>
        </w:rPr>
        <w:t xml:space="preserve"> to $20,000 indexed</w:t>
      </w:r>
      <w:r w:rsidR="009D74A5" w:rsidRPr="0026277C">
        <w:rPr>
          <w:rFonts w:ascii="Times New Roman" w:hAnsi="Times New Roman"/>
        </w:rPr>
        <w:t xml:space="preserve"> for inflation</w:t>
      </w:r>
      <w:r w:rsidR="00BA753F" w:rsidRPr="0026277C">
        <w:rPr>
          <w:rStyle w:val="FootnoteReference"/>
          <w:rFonts w:ascii="Times New Roman" w:hAnsi="Times New Roman"/>
          <w:sz w:val="24"/>
        </w:rPr>
        <w:footnoteReference w:id="22"/>
      </w:r>
      <w:r w:rsidR="00BA753F" w:rsidRPr="0026277C">
        <w:rPr>
          <w:rFonts w:ascii="Times New Roman" w:hAnsi="Times New Roman"/>
        </w:rPr>
        <w:t xml:space="preserve">. </w:t>
      </w:r>
      <w:r w:rsidR="00F44AB3" w:rsidRPr="0026277C">
        <w:rPr>
          <w:rFonts w:ascii="Times New Roman" w:hAnsi="Times New Roman"/>
        </w:rPr>
        <w:t>Section 29(11), read with s 33(1), prohibit</w:t>
      </w:r>
      <w:r w:rsidR="00345AF3" w:rsidRPr="0026277C">
        <w:rPr>
          <w:rFonts w:ascii="Times New Roman" w:hAnsi="Times New Roman"/>
        </w:rPr>
        <w:t>s</w:t>
      </w:r>
      <w:r w:rsidR="00F44AB3" w:rsidRPr="0026277C">
        <w:rPr>
          <w:rFonts w:ascii="Times New Roman" w:hAnsi="Times New Roman"/>
        </w:rPr>
        <w:t xml:space="preserve"> TPCs from incurring electoral expenditure exceeding</w:t>
      </w:r>
      <w:r w:rsidR="009F1805" w:rsidRPr="0026277C">
        <w:rPr>
          <w:rFonts w:ascii="Times New Roman" w:hAnsi="Times New Roman"/>
        </w:rPr>
        <w:t xml:space="preserve"> </w:t>
      </w:r>
      <w:r w:rsidR="00F44AB3" w:rsidRPr="0026277C">
        <w:rPr>
          <w:rFonts w:ascii="Times New Roman" w:hAnsi="Times New Roman"/>
        </w:rPr>
        <w:t>th</w:t>
      </w:r>
      <w:r w:rsidR="00E062E5" w:rsidRPr="0026277C">
        <w:rPr>
          <w:rFonts w:ascii="Times New Roman" w:hAnsi="Times New Roman"/>
        </w:rPr>
        <w:t>at</w:t>
      </w:r>
      <w:r w:rsidR="00345AF3" w:rsidRPr="0026277C">
        <w:rPr>
          <w:rFonts w:ascii="Times New Roman" w:hAnsi="Times New Roman"/>
        </w:rPr>
        <w:t xml:space="preserve"> $20,000</w:t>
      </w:r>
      <w:r w:rsidR="00F44AB3" w:rsidRPr="0026277C">
        <w:rPr>
          <w:rFonts w:ascii="Times New Roman" w:hAnsi="Times New Roman"/>
        </w:rPr>
        <w:t xml:space="preserve"> indexed cap. </w:t>
      </w:r>
    </w:p>
    <w:p w14:paraId="4B0A6B9C" w14:textId="15040C55" w:rsidR="00F44AB3" w:rsidRPr="0026277C" w:rsidRDefault="006764E4"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BA1C6C" w:rsidRPr="0026277C">
        <w:rPr>
          <w:rFonts w:ascii="Times New Roman" w:hAnsi="Times New Roman"/>
        </w:rPr>
        <w:t>After the Court reserv</w:t>
      </w:r>
      <w:r w:rsidR="00551F19" w:rsidRPr="0026277C">
        <w:rPr>
          <w:rFonts w:ascii="Times New Roman" w:hAnsi="Times New Roman"/>
        </w:rPr>
        <w:t>ed</w:t>
      </w:r>
      <w:r w:rsidR="00BA1C6C" w:rsidRPr="0026277C">
        <w:rPr>
          <w:rFonts w:ascii="Times New Roman" w:hAnsi="Times New Roman"/>
        </w:rPr>
        <w:t xml:space="preserve"> its decision on the validity of s 29(11) of the EF</w:t>
      </w:r>
      <w:r w:rsidR="009A7C49">
        <w:rPr>
          <w:rFonts w:ascii="Times New Roman" w:hAnsi="Times New Roman"/>
        </w:rPr>
        <w:t> </w:t>
      </w:r>
      <w:r w:rsidR="00BA1C6C" w:rsidRPr="0026277C">
        <w:rPr>
          <w:rFonts w:ascii="Times New Roman" w:hAnsi="Times New Roman"/>
        </w:rPr>
        <w:t xml:space="preserve">Act, the State informed the Court that, on 23 November 2022, the New South Wales Joint </w:t>
      </w:r>
      <w:r w:rsidR="00CA435E" w:rsidRPr="0026277C">
        <w:rPr>
          <w:rFonts w:ascii="Times New Roman" w:hAnsi="Times New Roman"/>
        </w:rPr>
        <w:t xml:space="preserve">Standing </w:t>
      </w:r>
      <w:r w:rsidR="00BA1C6C" w:rsidRPr="0026277C">
        <w:rPr>
          <w:rFonts w:ascii="Times New Roman" w:hAnsi="Times New Roman"/>
        </w:rPr>
        <w:t xml:space="preserve">Committee on Electoral Matters </w:t>
      </w:r>
      <w:r w:rsidR="00A9704E" w:rsidRPr="0026277C">
        <w:rPr>
          <w:rFonts w:ascii="Times New Roman" w:hAnsi="Times New Roman"/>
        </w:rPr>
        <w:t xml:space="preserve">("JSCEM") </w:t>
      </w:r>
      <w:r w:rsidR="00CA435E" w:rsidRPr="0026277C">
        <w:rPr>
          <w:rFonts w:ascii="Times New Roman" w:hAnsi="Times New Roman"/>
        </w:rPr>
        <w:t xml:space="preserve">had </w:t>
      </w:r>
      <w:r w:rsidR="00BA1C6C" w:rsidRPr="0026277C">
        <w:rPr>
          <w:rFonts w:ascii="Times New Roman" w:hAnsi="Times New Roman"/>
        </w:rPr>
        <w:t>delivered Report 2/57 entitled "Caps on third</w:t>
      </w:r>
      <w:r w:rsidR="00854E7A" w:rsidRPr="0026277C">
        <w:rPr>
          <w:rFonts w:ascii="Times New Roman" w:hAnsi="Times New Roman"/>
        </w:rPr>
        <w:t>-</w:t>
      </w:r>
      <w:r w:rsidR="00BA1C6C" w:rsidRPr="0026277C">
        <w:rPr>
          <w:rFonts w:ascii="Times New Roman" w:hAnsi="Times New Roman"/>
        </w:rPr>
        <w:t xml:space="preserve">party campaigners' electoral expenditure in s 29(11) and s 35 of the </w:t>
      </w:r>
      <w:r w:rsidR="00BA1C6C" w:rsidRPr="0026277C">
        <w:rPr>
          <w:rFonts w:ascii="Times New Roman" w:hAnsi="Times New Roman"/>
          <w:i/>
          <w:iCs/>
        </w:rPr>
        <w:t>Electoral Funding Act 2018</w:t>
      </w:r>
      <w:r w:rsidR="00BA1C6C" w:rsidRPr="0026277C">
        <w:rPr>
          <w:rFonts w:ascii="Times New Roman" w:hAnsi="Times New Roman"/>
        </w:rPr>
        <w:t>" ("the 2022 JSCEM Report")</w:t>
      </w:r>
      <w:r w:rsidRPr="0026277C">
        <w:rPr>
          <w:rFonts w:ascii="Times New Roman" w:hAnsi="Times New Roman"/>
        </w:rPr>
        <w:t>. Am</w:t>
      </w:r>
      <w:r w:rsidR="0046191F" w:rsidRPr="0026277C">
        <w:rPr>
          <w:rFonts w:ascii="Times New Roman" w:hAnsi="Times New Roman"/>
        </w:rPr>
        <w:t xml:space="preserve">ong other things, </w:t>
      </w:r>
      <w:r w:rsidRPr="0026277C">
        <w:rPr>
          <w:rFonts w:ascii="Times New Roman" w:hAnsi="Times New Roman"/>
        </w:rPr>
        <w:t xml:space="preserve">the 2022 </w:t>
      </w:r>
      <w:r w:rsidR="0055562C" w:rsidRPr="0026277C">
        <w:rPr>
          <w:rFonts w:ascii="Times New Roman" w:hAnsi="Times New Roman"/>
        </w:rPr>
        <w:t xml:space="preserve">JSCEM </w:t>
      </w:r>
      <w:r w:rsidRPr="0026277C">
        <w:rPr>
          <w:rFonts w:ascii="Times New Roman" w:hAnsi="Times New Roman"/>
        </w:rPr>
        <w:t xml:space="preserve">Report </w:t>
      </w:r>
      <w:r w:rsidR="0046191F" w:rsidRPr="0026277C">
        <w:rPr>
          <w:rFonts w:ascii="Times New Roman" w:hAnsi="Times New Roman"/>
        </w:rPr>
        <w:t xml:space="preserve">recommended that the expenditure </w:t>
      </w:r>
      <w:r w:rsidR="0046191F" w:rsidRPr="0026277C">
        <w:rPr>
          <w:rFonts w:ascii="Times New Roman" w:hAnsi="Times New Roman"/>
        </w:rPr>
        <w:lastRenderedPageBreak/>
        <w:t>cap for TPCs in by</w:t>
      </w:r>
      <w:r w:rsidR="00F159AC" w:rsidRPr="0026277C">
        <w:rPr>
          <w:rFonts w:ascii="Times New Roman" w:hAnsi="Times New Roman"/>
        </w:rPr>
        <w:noBreakHyphen/>
      </w:r>
      <w:r w:rsidR="0046191F" w:rsidRPr="0026277C">
        <w:rPr>
          <w:rFonts w:ascii="Times New Roman" w:hAnsi="Times New Roman"/>
        </w:rPr>
        <w:t xml:space="preserve">elections be increased to $198,750. </w:t>
      </w:r>
      <w:r w:rsidR="00EE4C68" w:rsidRPr="0026277C">
        <w:rPr>
          <w:rFonts w:ascii="Times New Roman" w:hAnsi="Times New Roman"/>
        </w:rPr>
        <w:t>I</w:t>
      </w:r>
      <w:r w:rsidR="00BA1C6C" w:rsidRPr="0026277C">
        <w:rPr>
          <w:rFonts w:ascii="Times New Roman" w:hAnsi="Times New Roman"/>
        </w:rPr>
        <w:t xml:space="preserve">n light of that Report, </w:t>
      </w:r>
      <w:r w:rsidR="00EE4C68" w:rsidRPr="0026277C">
        <w:rPr>
          <w:rFonts w:ascii="Times New Roman" w:hAnsi="Times New Roman"/>
        </w:rPr>
        <w:t>the</w:t>
      </w:r>
      <w:r w:rsidR="0068412A">
        <w:rPr>
          <w:rFonts w:ascii="Times New Roman" w:hAnsi="Times New Roman"/>
        </w:rPr>
        <w:t> </w:t>
      </w:r>
      <w:r w:rsidR="00EE4C68" w:rsidRPr="0026277C">
        <w:rPr>
          <w:rFonts w:ascii="Times New Roman" w:hAnsi="Times New Roman"/>
        </w:rPr>
        <w:t xml:space="preserve">State said that </w:t>
      </w:r>
      <w:r w:rsidR="0046191F" w:rsidRPr="0026277C">
        <w:rPr>
          <w:rFonts w:ascii="Times New Roman" w:hAnsi="Times New Roman"/>
        </w:rPr>
        <w:t xml:space="preserve">it </w:t>
      </w:r>
      <w:r w:rsidR="00F310EB" w:rsidRPr="0026277C">
        <w:rPr>
          <w:rFonts w:ascii="Times New Roman" w:hAnsi="Times New Roman"/>
        </w:rPr>
        <w:t>now</w:t>
      </w:r>
      <w:r w:rsidR="0046191F" w:rsidRPr="0026277C">
        <w:rPr>
          <w:rFonts w:ascii="Times New Roman" w:hAnsi="Times New Roman"/>
        </w:rPr>
        <w:t xml:space="preserve"> </w:t>
      </w:r>
      <w:r w:rsidR="00BA1C6C" w:rsidRPr="0026277C">
        <w:rPr>
          <w:rFonts w:ascii="Times New Roman" w:hAnsi="Times New Roman"/>
        </w:rPr>
        <w:t>conceded</w:t>
      </w:r>
      <w:r w:rsidR="00B30EBC" w:rsidRPr="0026277C">
        <w:rPr>
          <w:rFonts w:ascii="Times New Roman" w:hAnsi="Times New Roman"/>
        </w:rPr>
        <w:t xml:space="preserve"> that s 29(11) was invalid</w:t>
      </w:r>
      <w:r w:rsidR="00CA435E" w:rsidRPr="0026277C">
        <w:rPr>
          <w:rFonts w:ascii="Times New Roman" w:hAnsi="Times New Roman"/>
        </w:rPr>
        <w:t xml:space="preserve">. </w:t>
      </w:r>
      <w:r w:rsidR="00895497" w:rsidRPr="0026277C">
        <w:rPr>
          <w:rFonts w:ascii="Times New Roman" w:hAnsi="Times New Roman"/>
        </w:rPr>
        <w:t>Orders</w:t>
      </w:r>
      <w:r w:rsidR="00643C6D" w:rsidRPr="0026277C">
        <w:rPr>
          <w:rFonts w:ascii="Times New Roman" w:hAnsi="Times New Roman"/>
        </w:rPr>
        <w:t xml:space="preserve"> w</w:t>
      </w:r>
      <w:r w:rsidR="00895497" w:rsidRPr="0026277C">
        <w:rPr>
          <w:rFonts w:ascii="Times New Roman" w:hAnsi="Times New Roman"/>
        </w:rPr>
        <w:t>ere</w:t>
      </w:r>
      <w:r w:rsidR="00643C6D" w:rsidRPr="0026277C">
        <w:rPr>
          <w:rFonts w:ascii="Times New Roman" w:hAnsi="Times New Roman"/>
        </w:rPr>
        <w:t xml:space="preserve"> </w:t>
      </w:r>
      <w:r w:rsidR="00895497" w:rsidRPr="0026277C">
        <w:rPr>
          <w:rFonts w:ascii="Times New Roman" w:hAnsi="Times New Roman"/>
        </w:rPr>
        <w:t>made</w:t>
      </w:r>
      <w:r w:rsidR="00643C6D" w:rsidRPr="0026277C">
        <w:rPr>
          <w:rFonts w:ascii="Times New Roman" w:hAnsi="Times New Roman"/>
        </w:rPr>
        <w:t xml:space="preserve"> by</w:t>
      </w:r>
      <w:r w:rsidR="00895497" w:rsidRPr="0026277C">
        <w:rPr>
          <w:rFonts w:ascii="Times New Roman" w:hAnsi="Times New Roman"/>
        </w:rPr>
        <w:t xml:space="preserve"> the Court </w:t>
      </w:r>
      <w:r w:rsidR="00B91AC9" w:rsidRPr="0026277C">
        <w:rPr>
          <w:rFonts w:ascii="Times New Roman" w:hAnsi="Times New Roman"/>
        </w:rPr>
        <w:t xml:space="preserve">to </w:t>
      </w:r>
      <w:r w:rsidR="002B0E73" w:rsidRPr="0026277C">
        <w:rPr>
          <w:rFonts w:ascii="Times New Roman" w:hAnsi="Times New Roman"/>
        </w:rPr>
        <w:t>supplement the Further Amended Special Case with the 2022 JSCEM Report</w:t>
      </w:r>
      <w:r w:rsidR="00B30EBC" w:rsidRPr="0026277C">
        <w:rPr>
          <w:rFonts w:ascii="Times New Roman" w:hAnsi="Times New Roman"/>
        </w:rPr>
        <w:t>.</w:t>
      </w:r>
      <w:r w:rsidR="00B91AC9" w:rsidRPr="0026277C">
        <w:rPr>
          <w:rFonts w:ascii="Times New Roman" w:hAnsi="Times New Roman"/>
        </w:rPr>
        <w:t xml:space="preserve"> </w:t>
      </w:r>
      <w:r w:rsidR="003727A4" w:rsidRPr="0026277C">
        <w:rPr>
          <w:rFonts w:ascii="Times New Roman" w:hAnsi="Times New Roman"/>
        </w:rPr>
        <w:t>T</w:t>
      </w:r>
      <w:r w:rsidR="0003075C" w:rsidRPr="0026277C">
        <w:rPr>
          <w:rFonts w:ascii="Times New Roman" w:hAnsi="Times New Roman"/>
        </w:rPr>
        <w:t>he invalidity of s 29(11)</w:t>
      </w:r>
      <w:r w:rsidR="003727A4" w:rsidRPr="0026277C">
        <w:rPr>
          <w:rFonts w:ascii="Times New Roman" w:hAnsi="Times New Roman"/>
        </w:rPr>
        <w:t xml:space="preserve"> is addressed</w:t>
      </w:r>
      <w:r w:rsidR="00AD2AEE" w:rsidRPr="0026277C">
        <w:rPr>
          <w:rFonts w:ascii="Times New Roman" w:hAnsi="Times New Roman"/>
        </w:rPr>
        <w:t xml:space="preserve"> </w:t>
      </w:r>
      <w:r w:rsidR="0003075C" w:rsidRPr="0026277C">
        <w:rPr>
          <w:rFonts w:ascii="Times New Roman" w:hAnsi="Times New Roman"/>
        </w:rPr>
        <w:t>later in these reasons.</w:t>
      </w:r>
    </w:p>
    <w:p w14:paraId="3A69504B" w14:textId="51C25D78" w:rsidR="0019107F" w:rsidRPr="0026277C" w:rsidRDefault="00F44AB3"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AD2AEE" w:rsidRPr="0026277C">
        <w:rPr>
          <w:rFonts w:ascii="Times New Roman" w:hAnsi="Times New Roman"/>
        </w:rPr>
        <w:t>The</w:t>
      </w:r>
      <w:r w:rsidR="00BA753F" w:rsidRPr="0026277C">
        <w:rPr>
          <w:rFonts w:ascii="Times New Roman" w:hAnsi="Times New Roman"/>
        </w:rPr>
        <w:t> second</w:t>
      </w:r>
      <w:r w:rsidR="00954967" w:rsidRPr="0026277C">
        <w:rPr>
          <w:rFonts w:ascii="Times New Roman" w:hAnsi="Times New Roman"/>
        </w:rPr>
        <w:t xml:space="preserve"> provision</w:t>
      </w:r>
      <w:r w:rsidR="00BA753F" w:rsidRPr="0026277C">
        <w:rPr>
          <w:rFonts w:ascii="Times New Roman" w:hAnsi="Times New Roman"/>
        </w:rPr>
        <w:t xml:space="preserve">, s 35 of </w:t>
      </w:r>
      <w:r w:rsidR="00AC546F" w:rsidRPr="0026277C">
        <w:rPr>
          <w:rFonts w:ascii="Times New Roman" w:hAnsi="Times New Roman"/>
        </w:rPr>
        <w:t xml:space="preserve">the </w:t>
      </w:r>
      <w:r w:rsidR="00BA753F" w:rsidRPr="0026277C">
        <w:rPr>
          <w:rFonts w:ascii="Times New Roman" w:hAnsi="Times New Roman"/>
        </w:rPr>
        <w:t>EF Act, created an offence, applicable</w:t>
      </w:r>
      <w:r w:rsidR="003455AF">
        <w:rPr>
          <w:rFonts w:ascii="Times New Roman" w:hAnsi="Times New Roman"/>
        </w:rPr>
        <w:t> </w:t>
      </w:r>
      <w:r w:rsidR="00BA753F" w:rsidRPr="0026277C">
        <w:rPr>
          <w:rFonts w:ascii="Times New Roman" w:hAnsi="Times New Roman"/>
        </w:rPr>
        <w:t xml:space="preserve">only to TPCs, for acting in concert with another person </w:t>
      </w:r>
      <w:r w:rsidR="00CE5EAB" w:rsidRPr="0026277C">
        <w:rPr>
          <w:rFonts w:ascii="Times New Roman" w:hAnsi="Times New Roman"/>
        </w:rPr>
        <w:t xml:space="preserve">or persons </w:t>
      </w:r>
      <w:r w:rsidR="00BA753F" w:rsidRPr="0026277C">
        <w:rPr>
          <w:rFonts w:ascii="Times New Roman" w:hAnsi="Times New Roman"/>
        </w:rPr>
        <w:t xml:space="preserve">to incur electoral expenditure </w:t>
      </w:r>
      <w:r w:rsidR="00786A7D" w:rsidRPr="0026277C">
        <w:rPr>
          <w:rFonts w:ascii="Times New Roman" w:hAnsi="Times New Roman"/>
        </w:rPr>
        <w:t>in relation to an election campaign</w:t>
      </w:r>
      <w:r w:rsidR="00BA753F" w:rsidRPr="0026277C">
        <w:rPr>
          <w:rFonts w:ascii="Times New Roman" w:hAnsi="Times New Roman"/>
        </w:rPr>
        <w:t xml:space="preserve"> during the capped expenditure period that exceeded the cap applicable to the TPC</w:t>
      </w:r>
      <w:r w:rsidR="00C56E6C" w:rsidRPr="0026277C">
        <w:rPr>
          <w:rFonts w:ascii="Times New Roman" w:hAnsi="Times New Roman"/>
        </w:rPr>
        <w:t xml:space="preserve"> for the election</w:t>
      </w:r>
      <w:r w:rsidR="00BA753F" w:rsidRPr="0026277C">
        <w:rPr>
          <w:rFonts w:ascii="Times New Roman" w:hAnsi="Times New Roman"/>
        </w:rPr>
        <w:t xml:space="preserve">. </w:t>
      </w:r>
      <w:r w:rsidR="008C1AD8" w:rsidRPr="0026277C">
        <w:rPr>
          <w:rFonts w:ascii="Times New Roman" w:hAnsi="Times New Roman"/>
        </w:rPr>
        <w:t>Section 35(2) provided that a person "acts in concert" with another person if the person act</w:t>
      </w:r>
      <w:r w:rsidR="007859D1" w:rsidRPr="0026277C">
        <w:rPr>
          <w:rFonts w:ascii="Times New Roman" w:hAnsi="Times New Roman"/>
        </w:rPr>
        <w:t>s</w:t>
      </w:r>
      <w:r w:rsidR="008C1AD8" w:rsidRPr="0026277C">
        <w:rPr>
          <w:rFonts w:ascii="Times New Roman" w:hAnsi="Times New Roman"/>
        </w:rPr>
        <w:t xml:space="preserve"> under an agreement, whether formal or informal, with the other person to campaign with the object, or principal object</w:t>
      </w:r>
      <w:r w:rsidR="009405CD" w:rsidRPr="0026277C">
        <w:rPr>
          <w:rFonts w:ascii="Times New Roman" w:hAnsi="Times New Roman"/>
        </w:rPr>
        <w:t>,</w:t>
      </w:r>
      <w:r w:rsidR="008C1AD8" w:rsidRPr="0026277C">
        <w:rPr>
          <w:rFonts w:ascii="Times New Roman" w:hAnsi="Times New Roman"/>
        </w:rPr>
        <w:t xml:space="preserve"> of having a particular party, elected member or candidate elected, or opposing the election of a particular party, elected member or candidate. </w:t>
      </w:r>
    </w:p>
    <w:p w14:paraId="663152AF" w14:textId="1FEB663E" w:rsidR="008C1AD8" w:rsidRPr="0026277C" w:rsidRDefault="00F310EB"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B26FA1" w:rsidRPr="0026277C">
        <w:rPr>
          <w:rFonts w:ascii="Times New Roman" w:hAnsi="Times New Roman"/>
        </w:rPr>
        <w:t>T</w:t>
      </w:r>
      <w:r w:rsidR="000A749B" w:rsidRPr="0026277C">
        <w:rPr>
          <w:rFonts w:ascii="Times New Roman" w:hAnsi="Times New Roman"/>
        </w:rPr>
        <w:t>wo weeks before the hearing of th</w:t>
      </w:r>
      <w:r w:rsidR="000E6153" w:rsidRPr="0026277C">
        <w:rPr>
          <w:rFonts w:ascii="Times New Roman" w:hAnsi="Times New Roman"/>
        </w:rPr>
        <w:t>is</w:t>
      </w:r>
      <w:r w:rsidR="000A749B" w:rsidRPr="0026277C">
        <w:rPr>
          <w:rFonts w:ascii="Times New Roman" w:hAnsi="Times New Roman"/>
        </w:rPr>
        <w:t xml:space="preserve"> proceeding, </w:t>
      </w:r>
      <w:r w:rsidR="00357A65" w:rsidRPr="0026277C">
        <w:rPr>
          <w:rFonts w:ascii="Times New Roman" w:hAnsi="Times New Roman"/>
        </w:rPr>
        <w:t xml:space="preserve">the New South Wales Parliament repealed </w:t>
      </w:r>
      <w:r w:rsidR="000A749B" w:rsidRPr="0026277C">
        <w:rPr>
          <w:rFonts w:ascii="Times New Roman" w:hAnsi="Times New Roman"/>
        </w:rPr>
        <w:t xml:space="preserve">s 35 </w:t>
      </w:r>
      <w:r w:rsidR="00954967" w:rsidRPr="0026277C">
        <w:rPr>
          <w:rFonts w:ascii="Times New Roman" w:hAnsi="Times New Roman"/>
        </w:rPr>
        <w:t>of the E</w:t>
      </w:r>
      <w:r w:rsidR="00A45D25" w:rsidRPr="0026277C">
        <w:rPr>
          <w:rFonts w:ascii="Times New Roman" w:hAnsi="Times New Roman"/>
        </w:rPr>
        <w:t>F Act</w:t>
      </w:r>
      <w:r w:rsidR="000A749B" w:rsidRPr="0026277C">
        <w:rPr>
          <w:rStyle w:val="FootnoteReference"/>
          <w:rFonts w:ascii="Times New Roman" w:hAnsi="Times New Roman"/>
          <w:sz w:val="24"/>
        </w:rPr>
        <w:footnoteReference w:id="23"/>
      </w:r>
      <w:r w:rsidR="000A749B" w:rsidRPr="0026277C">
        <w:rPr>
          <w:rFonts w:ascii="Times New Roman" w:hAnsi="Times New Roman"/>
        </w:rPr>
        <w:t>. Following the repeal, the plaintiffs amended their statement of claim to seek a declaration that s 35, as it stood from 1</w:t>
      </w:r>
      <w:r w:rsidR="00943890">
        <w:rPr>
          <w:rFonts w:ascii="Times New Roman" w:hAnsi="Times New Roman"/>
        </w:rPr>
        <w:t> </w:t>
      </w:r>
      <w:r w:rsidR="000A749B" w:rsidRPr="0026277C">
        <w:rPr>
          <w:rFonts w:ascii="Times New Roman" w:hAnsi="Times New Roman"/>
        </w:rPr>
        <w:t>July 2018 until 2 November 2022, was invalid. The plaintiffs submitted that the Court retain</w:t>
      </w:r>
      <w:r w:rsidR="009B2395" w:rsidRPr="0026277C">
        <w:rPr>
          <w:rFonts w:ascii="Times New Roman" w:hAnsi="Times New Roman"/>
        </w:rPr>
        <w:t>s</w:t>
      </w:r>
      <w:r w:rsidR="000A749B" w:rsidRPr="0026277C">
        <w:rPr>
          <w:rFonts w:ascii="Times New Roman" w:hAnsi="Times New Roman"/>
        </w:rPr>
        <w:t xml:space="preserve"> jurisdiction in the matter so far </w:t>
      </w:r>
      <w:r w:rsidR="00223370" w:rsidRPr="0026277C">
        <w:rPr>
          <w:rFonts w:ascii="Times New Roman" w:hAnsi="Times New Roman"/>
        </w:rPr>
        <w:t xml:space="preserve">as </w:t>
      </w:r>
      <w:r w:rsidR="000A749B" w:rsidRPr="0026277C">
        <w:rPr>
          <w:rFonts w:ascii="Times New Roman" w:hAnsi="Times New Roman"/>
        </w:rPr>
        <w:t>it concern</w:t>
      </w:r>
      <w:r w:rsidR="00357A65" w:rsidRPr="0026277C">
        <w:rPr>
          <w:rFonts w:ascii="Times New Roman" w:hAnsi="Times New Roman"/>
        </w:rPr>
        <w:t>s</w:t>
      </w:r>
      <w:r w:rsidR="000A749B" w:rsidRPr="0026277C">
        <w:rPr>
          <w:rFonts w:ascii="Times New Roman" w:hAnsi="Times New Roman"/>
        </w:rPr>
        <w:t xml:space="preserve"> the validity of s</w:t>
      </w:r>
      <w:r w:rsidR="005707AA" w:rsidRPr="0026277C">
        <w:rPr>
          <w:rFonts w:ascii="Times New Roman" w:hAnsi="Times New Roman"/>
        </w:rPr>
        <w:t> </w:t>
      </w:r>
      <w:r w:rsidR="000A749B" w:rsidRPr="0026277C">
        <w:rPr>
          <w:rFonts w:ascii="Times New Roman" w:hAnsi="Times New Roman"/>
        </w:rPr>
        <w:t xml:space="preserve">35. </w:t>
      </w:r>
      <w:r w:rsidR="002E1BD1" w:rsidRPr="0026277C">
        <w:rPr>
          <w:rFonts w:ascii="Times New Roman" w:hAnsi="Times New Roman"/>
        </w:rPr>
        <w:t>The</w:t>
      </w:r>
      <w:r w:rsidR="008720D8">
        <w:rPr>
          <w:rFonts w:ascii="Times New Roman" w:hAnsi="Times New Roman"/>
        </w:rPr>
        <w:t> </w:t>
      </w:r>
      <w:r w:rsidR="002E1BD1" w:rsidRPr="0026277C">
        <w:rPr>
          <w:rFonts w:ascii="Times New Roman" w:hAnsi="Times New Roman"/>
        </w:rPr>
        <w:t>State</w:t>
      </w:r>
      <w:r w:rsidR="000A749B" w:rsidRPr="0026277C">
        <w:rPr>
          <w:rFonts w:ascii="Times New Roman" w:hAnsi="Times New Roman"/>
        </w:rPr>
        <w:t xml:space="preserve">, and the Commonwealth intervening, contended that, in the circumstances, the Court </w:t>
      </w:r>
      <w:r w:rsidR="00027DB2" w:rsidRPr="0026277C">
        <w:rPr>
          <w:rFonts w:ascii="Times New Roman" w:hAnsi="Times New Roman"/>
        </w:rPr>
        <w:t>no longer ha</w:t>
      </w:r>
      <w:r w:rsidR="009B2395" w:rsidRPr="0026277C">
        <w:rPr>
          <w:rFonts w:ascii="Times New Roman" w:hAnsi="Times New Roman"/>
        </w:rPr>
        <w:t>s</w:t>
      </w:r>
      <w:r w:rsidR="000A749B" w:rsidRPr="0026277C">
        <w:rPr>
          <w:rFonts w:ascii="Times New Roman" w:hAnsi="Times New Roman"/>
        </w:rPr>
        <w:t xml:space="preserve"> jurisdiction to determine the validity of s 35.</w:t>
      </w:r>
      <w:r w:rsidR="008C1AD8" w:rsidRPr="0026277C">
        <w:rPr>
          <w:rFonts w:ascii="Times New Roman" w:hAnsi="Times New Roman"/>
        </w:rPr>
        <w:t xml:space="preserve"> </w:t>
      </w:r>
    </w:p>
    <w:p w14:paraId="3920E117" w14:textId="0A26DAF2" w:rsidR="006C5C76" w:rsidRPr="0026277C" w:rsidRDefault="008C1AD8"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A45D25" w:rsidRPr="0026277C">
        <w:rPr>
          <w:rFonts w:ascii="Times New Roman" w:hAnsi="Times New Roman"/>
        </w:rPr>
        <w:t xml:space="preserve">After </w:t>
      </w:r>
      <w:r w:rsidR="00781F41" w:rsidRPr="0026277C">
        <w:rPr>
          <w:rFonts w:ascii="Times New Roman" w:hAnsi="Times New Roman"/>
        </w:rPr>
        <w:t>the repeal of s 35 of the EF Act, t</w:t>
      </w:r>
      <w:r w:rsidR="006C5C76" w:rsidRPr="0026277C">
        <w:rPr>
          <w:rFonts w:ascii="Times New Roman" w:hAnsi="Times New Roman"/>
        </w:rPr>
        <w:t xml:space="preserve">he </w:t>
      </w:r>
      <w:r w:rsidR="00A45D25" w:rsidRPr="0026277C">
        <w:rPr>
          <w:rFonts w:ascii="Times New Roman" w:hAnsi="Times New Roman"/>
        </w:rPr>
        <w:t xml:space="preserve">following </w:t>
      </w:r>
      <w:r w:rsidR="006C5C76" w:rsidRPr="0026277C">
        <w:rPr>
          <w:rFonts w:ascii="Times New Roman" w:hAnsi="Times New Roman"/>
        </w:rPr>
        <w:t xml:space="preserve">questions </w:t>
      </w:r>
      <w:r w:rsidR="00A45D25" w:rsidRPr="0026277C">
        <w:rPr>
          <w:rFonts w:ascii="Times New Roman" w:hAnsi="Times New Roman"/>
        </w:rPr>
        <w:t xml:space="preserve">were </w:t>
      </w:r>
      <w:r w:rsidR="006C5C76" w:rsidRPr="0026277C">
        <w:rPr>
          <w:rFonts w:ascii="Times New Roman" w:hAnsi="Times New Roman"/>
        </w:rPr>
        <w:t>stated for the opinion of the Full Court:</w:t>
      </w:r>
    </w:p>
    <w:p w14:paraId="3D67FAA9" w14:textId="55831091" w:rsidR="006C5C76" w:rsidRPr="0026277C" w:rsidRDefault="00E8283C" w:rsidP="0026277C">
      <w:pPr>
        <w:pStyle w:val="leftright"/>
        <w:spacing w:before="0" w:after="260" w:line="280" w:lineRule="exact"/>
        <w:ind w:left="1440" w:right="0" w:hanging="720"/>
        <w:jc w:val="both"/>
        <w:rPr>
          <w:rFonts w:ascii="Times New Roman" w:hAnsi="Times New Roman"/>
        </w:rPr>
      </w:pPr>
      <w:r w:rsidRPr="0026277C">
        <w:rPr>
          <w:rFonts w:ascii="Times New Roman" w:hAnsi="Times New Roman"/>
        </w:rPr>
        <w:t>"</w:t>
      </w:r>
      <w:r w:rsidR="006C5C76" w:rsidRPr="0026277C">
        <w:rPr>
          <w:rFonts w:ascii="Times New Roman" w:hAnsi="Times New Roman"/>
        </w:rPr>
        <w:t>1.</w:t>
      </w:r>
      <w:r w:rsidR="006C5C76" w:rsidRPr="0026277C">
        <w:rPr>
          <w:rFonts w:ascii="Times New Roman" w:hAnsi="Times New Roman"/>
        </w:rPr>
        <w:tab/>
        <w:t>Is section</w:t>
      </w:r>
      <w:r w:rsidR="00B6398F" w:rsidRPr="0026277C">
        <w:rPr>
          <w:rFonts w:ascii="Times New Roman" w:hAnsi="Times New Roman"/>
        </w:rPr>
        <w:t> </w:t>
      </w:r>
      <w:r w:rsidR="006C5C76" w:rsidRPr="0026277C">
        <w:rPr>
          <w:rFonts w:ascii="Times New Roman" w:hAnsi="Times New Roman"/>
        </w:rPr>
        <w:t xml:space="preserve">29(11) of the </w:t>
      </w:r>
      <w:r w:rsidR="003D04AA" w:rsidRPr="0026277C">
        <w:rPr>
          <w:rFonts w:ascii="Times New Roman" w:hAnsi="Times New Roman"/>
        </w:rPr>
        <w:t>[EF Act]</w:t>
      </w:r>
      <w:r w:rsidR="006C5C76" w:rsidRPr="0026277C">
        <w:rPr>
          <w:rFonts w:ascii="Times New Roman" w:hAnsi="Times New Roman"/>
        </w:rPr>
        <w:t xml:space="preserve"> invalid because it impermissibly burdens the implied freedom of communication on governmental and political matters, contrary to the Commonwealth Constitution?</w:t>
      </w:r>
    </w:p>
    <w:p w14:paraId="5907EDED" w14:textId="201F7B72" w:rsidR="006C5C76" w:rsidRPr="0026277C" w:rsidRDefault="006C5C76" w:rsidP="0026277C">
      <w:pPr>
        <w:pStyle w:val="leftright"/>
        <w:keepNext/>
        <w:spacing w:before="0" w:after="260" w:line="280" w:lineRule="exact"/>
        <w:ind w:left="1440" w:right="0" w:hanging="720"/>
        <w:jc w:val="both"/>
        <w:rPr>
          <w:rFonts w:ascii="Times New Roman" w:hAnsi="Times New Roman"/>
        </w:rPr>
      </w:pPr>
      <w:r w:rsidRPr="0026277C">
        <w:rPr>
          <w:rFonts w:ascii="Times New Roman" w:hAnsi="Times New Roman"/>
        </w:rPr>
        <w:t>1A.</w:t>
      </w:r>
      <w:r w:rsidRPr="0026277C">
        <w:rPr>
          <w:rFonts w:ascii="Times New Roman" w:hAnsi="Times New Roman"/>
        </w:rPr>
        <w:tab/>
        <w:t>As to proposed question</w:t>
      </w:r>
      <w:r w:rsidR="00B6398F" w:rsidRPr="0026277C">
        <w:rPr>
          <w:rFonts w:ascii="Times New Roman" w:hAnsi="Times New Roman"/>
        </w:rPr>
        <w:t> </w:t>
      </w:r>
      <w:r w:rsidRPr="0026277C">
        <w:rPr>
          <w:rFonts w:ascii="Times New Roman" w:hAnsi="Times New Roman"/>
        </w:rPr>
        <w:t>2 below:</w:t>
      </w:r>
    </w:p>
    <w:p w14:paraId="203F7058" w14:textId="77777777" w:rsidR="006C5C76" w:rsidRPr="0026277C" w:rsidRDefault="006C5C76" w:rsidP="0026277C">
      <w:pPr>
        <w:pStyle w:val="leftright"/>
        <w:spacing w:before="0" w:after="260" w:line="280" w:lineRule="exact"/>
        <w:ind w:left="2160" w:right="0" w:hanging="720"/>
        <w:jc w:val="both"/>
        <w:rPr>
          <w:rFonts w:ascii="Times New Roman" w:hAnsi="Times New Roman"/>
        </w:rPr>
      </w:pPr>
      <w:r w:rsidRPr="0026277C">
        <w:rPr>
          <w:rFonts w:ascii="Times New Roman" w:hAnsi="Times New Roman"/>
        </w:rPr>
        <w:t>a.</w:t>
      </w:r>
      <w:r w:rsidRPr="0026277C">
        <w:rPr>
          <w:rFonts w:ascii="Times New Roman" w:hAnsi="Times New Roman"/>
        </w:rPr>
        <w:tab/>
        <w:t>Does the Court have jurisdiction to hear and determine the question?</w:t>
      </w:r>
    </w:p>
    <w:p w14:paraId="3CC5B23E" w14:textId="77777777" w:rsidR="006C5C76" w:rsidRPr="0026277C" w:rsidRDefault="006C5C76" w:rsidP="0026277C">
      <w:pPr>
        <w:pStyle w:val="leftright"/>
        <w:spacing w:before="0" w:after="260" w:line="280" w:lineRule="exact"/>
        <w:ind w:left="2160" w:right="0" w:hanging="720"/>
        <w:jc w:val="both"/>
        <w:rPr>
          <w:rFonts w:ascii="Times New Roman" w:hAnsi="Times New Roman"/>
        </w:rPr>
      </w:pPr>
      <w:r w:rsidRPr="0026277C">
        <w:rPr>
          <w:rFonts w:ascii="Times New Roman" w:hAnsi="Times New Roman"/>
        </w:rPr>
        <w:t>b.</w:t>
      </w:r>
      <w:r w:rsidRPr="0026277C">
        <w:rPr>
          <w:rFonts w:ascii="Times New Roman" w:hAnsi="Times New Roman"/>
        </w:rPr>
        <w:tab/>
        <w:t>Should the Court in its discretion hear and determine the question?</w:t>
      </w:r>
    </w:p>
    <w:p w14:paraId="0753B8F0" w14:textId="5B42D858" w:rsidR="006C5C76" w:rsidRPr="0026277C" w:rsidRDefault="006C5C76" w:rsidP="0026277C">
      <w:pPr>
        <w:pStyle w:val="leftright"/>
        <w:spacing w:before="0" w:after="260" w:line="280" w:lineRule="exact"/>
        <w:ind w:left="1440" w:right="0" w:hanging="720"/>
        <w:jc w:val="both"/>
        <w:rPr>
          <w:rFonts w:ascii="Times New Roman" w:hAnsi="Times New Roman"/>
        </w:rPr>
      </w:pPr>
      <w:r w:rsidRPr="0026277C">
        <w:rPr>
          <w:rFonts w:ascii="Times New Roman" w:hAnsi="Times New Roman"/>
        </w:rPr>
        <w:lastRenderedPageBreak/>
        <w:t>2.</w:t>
      </w:r>
      <w:r w:rsidRPr="0026277C">
        <w:rPr>
          <w:rFonts w:ascii="Times New Roman" w:hAnsi="Times New Roman"/>
        </w:rPr>
        <w:tab/>
        <w:t>If the answer</w:t>
      </w:r>
      <w:r w:rsidR="002162EA" w:rsidRPr="0026277C">
        <w:rPr>
          <w:rFonts w:ascii="Times New Roman" w:hAnsi="Times New Roman"/>
        </w:rPr>
        <w:t>[s]</w:t>
      </w:r>
      <w:r w:rsidRPr="0026277C">
        <w:rPr>
          <w:rFonts w:ascii="Times New Roman" w:hAnsi="Times New Roman"/>
        </w:rPr>
        <w:t xml:space="preserve"> to question</w:t>
      </w:r>
      <w:r w:rsidR="002C54CF" w:rsidRPr="0026277C">
        <w:rPr>
          <w:rFonts w:ascii="Times New Roman" w:hAnsi="Times New Roman"/>
        </w:rPr>
        <w:t>s</w:t>
      </w:r>
      <w:r w:rsidR="00B6398F" w:rsidRPr="0026277C">
        <w:rPr>
          <w:rFonts w:ascii="Times New Roman" w:hAnsi="Times New Roman"/>
        </w:rPr>
        <w:t> </w:t>
      </w:r>
      <w:r w:rsidRPr="0026277C">
        <w:rPr>
          <w:rFonts w:ascii="Times New Roman" w:hAnsi="Times New Roman"/>
        </w:rPr>
        <w:t xml:space="preserve">1A(a) and (b) are </w:t>
      </w:r>
      <w:r w:rsidR="00B6398F" w:rsidRPr="0026277C">
        <w:rPr>
          <w:rFonts w:ascii="Times New Roman" w:hAnsi="Times New Roman"/>
        </w:rPr>
        <w:t>'</w:t>
      </w:r>
      <w:r w:rsidRPr="0026277C">
        <w:rPr>
          <w:rFonts w:ascii="Times New Roman" w:hAnsi="Times New Roman"/>
        </w:rPr>
        <w:t>yes</w:t>
      </w:r>
      <w:r w:rsidR="00B6398F" w:rsidRPr="0026277C">
        <w:rPr>
          <w:rFonts w:ascii="Times New Roman" w:hAnsi="Times New Roman"/>
        </w:rPr>
        <w:t>'</w:t>
      </w:r>
      <w:r w:rsidRPr="0026277C">
        <w:rPr>
          <w:rFonts w:ascii="Times New Roman" w:hAnsi="Times New Roman"/>
        </w:rPr>
        <w:t>: was section</w:t>
      </w:r>
      <w:r w:rsidR="00B6398F" w:rsidRPr="0026277C">
        <w:rPr>
          <w:rFonts w:ascii="Times New Roman" w:hAnsi="Times New Roman"/>
        </w:rPr>
        <w:t> </w:t>
      </w:r>
      <w:r w:rsidRPr="0026277C">
        <w:rPr>
          <w:rFonts w:ascii="Times New Roman" w:hAnsi="Times New Roman"/>
        </w:rPr>
        <w:t xml:space="preserve">35 of the </w:t>
      </w:r>
      <w:r w:rsidR="003D04AA" w:rsidRPr="0026277C">
        <w:rPr>
          <w:rFonts w:ascii="Times New Roman" w:hAnsi="Times New Roman"/>
        </w:rPr>
        <w:t>[EF Act]</w:t>
      </w:r>
      <w:r w:rsidR="00A23CAA" w:rsidRPr="0026277C">
        <w:rPr>
          <w:rFonts w:ascii="Times New Roman" w:hAnsi="Times New Roman"/>
        </w:rPr>
        <w:t>, as it stood from 1</w:t>
      </w:r>
      <w:r w:rsidR="00B6398F" w:rsidRPr="0026277C">
        <w:rPr>
          <w:rFonts w:ascii="Times New Roman" w:hAnsi="Times New Roman"/>
        </w:rPr>
        <w:t> </w:t>
      </w:r>
      <w:r w:rsidR="00A23CAA" w:rsidRPr="0026277C">
        <w:rPr>
          <w:rFonts w:ascii="Times New Roman" w:hAnsi="Times New Roman"/>
        </w:rPr>
        <w:t>July 2018 until 2</w:t>
      </w:r>
      <w:r w:rsidR="00B6398F" w:rsidRPr="0026277C">
        <w:rPr>
          <w:rFonts w:ascii="Times New Roman" w:hAnsi="Times New Roman"/>
        </w:rPr>
        <w:t> </w:t>
      </w:r>
      <w:r w:rsidR="00A23CAA" w:rsidRPr="0026277C">
        <w:rPr>
          <w:rFonts w:ascii="Times New Roman" w:hAnsi="Times New Roman"/>
        </w:rPr>
        <w:t>November 2022,</w:t>
      </w:r>
      <w:r w:rsidRPr="0026277C">
        <w:rPr>
          <w:rFonts w:ascii="Times New Roman" w:hAnsi="Times New Roman"/>
        </w:rPr>
        <w:t xml:space="preserve"> invalid because it impermissibly burdened the implied freedom of communication on governmental and political matters, contrary to the Commonwealth Constitution?</w:t>
      </w:r>
    </w:p>
    <w:p w14:paraId="6FC7AEEC" w14:textId="77777777" w:rsidR="0026277C" w:rsidRDefault="006C5C76" w:rsidP="0026277C">
      <w:pPr>
        <w:pStyle w:val="leftright"/>
        <w:spacing w:before="0" w:after="260" w:line="280" w:lineRule="exact"/>
        <w:ind w:left="1440" w:right="0" w:hanging="720"/>
        <w:jc w:val="both"/>
        <w:rPr>
          <w:rFonts w:ascii="Times New Roman" w:hAnsi="Times New Roman"/>
        </w:rPr>
      </w:pPr>
      <w:r w:rsidRPr="0026277C">
        <w:rPr>
          <w:rFonts w:ascii="Times New Roman" w:hAnsi="Times New Roman"/>
        </w:rPr>
        <w:t>3.</w:t>
      </w:r>
      <w:r w:rsidRPr="0026277C">
        <w:rPr>
          <w:rFonts w:ascii="Times New Roman" w:hAnsi="Times New Roman"/>
        </w:rPr>
        <w:tab/>
        <w:t>Who should pay the costs of the special case?</w:t>
      </w:r>
      <w:r w:rsidR="00E8283C" w:rsidRPr="0026277C">
        <w:rPr>
          <w:rFonts w:ascii="Times New Roman" w:hAnsi="Times New Roman"/>
        </w:rPr>
        <w:t>"</w:t>
      </w:r>
    </w:p>
    <w:p w14:paraId="61D5A374" w14:textId="5790F9B0" w:rsidR="006658D7" w:rsidRPr="0026277C" w:rsidRDefault="006658D7" w:rsidP="0026277C">
      <w:pPr>
        <w:pStyle w:val="HeadingL1"/>
        <w:spacing w:after="260" w:line="280" w:lineRule="exact"/>
        <w:ind w:right="0"/>
        <w:jc w:val="both"/>
        <w:rPr>
          <w:rFonts w:ascii="Times New Roman" w:hAnsi="Times New Roman"/>
        </w:rPr>
      </w:pPr>
      <w:r w:rsidRPr="0026277C">
        <w:rPr>
          <w:rFonts w:ascii="Times New Roman" w:hAnsi="Times New Roman"/>
        </w:rPr>
        <w:t>Question 1A</w:t>
      </w:r>
      <w:r w:rsidR="00CA7C0B" w:rsidRPr="0026277C">
        <w:rPr>
          <w:rFonts w:ascii="Times New Roman" w:hAnsi="Times New Roman"/>
        </w:rPr>
        <w:t xml:space="preserve"> </w:t>
      </w:r>
      <w:r w:rsidR="008E7676" w:rsidRPr="0026277C">
        <w:rPr>
          <w:rFonts w:ascii="Times New Roman" w:hAnsi="Times New Roman"/>
        </w:rPr>
        <w:t>–</w:t>
      </w:r>
      <w:r w:rsidR="007902C6" w:rsidRPr="0026277C">
        <w:rPr>
          <w:rFonts w:ascii="Times New Roman" w:hAnsi="Times New Roman"/>
        </w:rPr>
        <w:t xml:space="preserve"> J</w:t>
      </w:r>
      <w:r w:rsidR="00CA7C0B" w:rsidRPr="0026277C">
        <w:rPr>
          <w:rFonts w:ascii="Times New Roman" w:hAnsi="Times New Roman"/>
        </w:rPr>
        <w:t>urisdiction to determine validity of s 35</w:t>
      </w:r>
    </w:p>
    <w:p w14:paraId="27E06D69" w14:textId="0A94DD29" w:rsidR="00206AF2" w:rsidRPr="0026277C" w:rsidRDefault="005F038D"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A1674B" w:rsidRPr="0026277C">
        <w:rPr>
          <w:rFonts w:ascii="Times New Roman" w:hAnsi="Times New Roman"/>
        </w:rPr>
        <w:t>T</w:t>
      </w:r>
      <w:r w:rsidR="00206AF2" w:rsidRPr="0026277C">
        <w:rPr>
          <w:rFonts w:ascii="Times New Roman" w:hAnsi="Times New Roman"/>
        </w:rPr>
        <w:t xml:space="preserve">he Court </w:t>
      </w:r>
      <w:r w:rsidR="00791686" w:rsidRPr="0026277C">
        <w:rPr>
          <w:rFonts w:ascii="Times New Roman" w:hAnsi="Times New Roman"/>
        </w:rPr>
        <w:t xml:space="preserve">first </w:t>
      </w:r>
      <w:r w:rsidR="00206AF2" w:rsidRPr="0026277C">
        <w:rPr>
          <w:rFonts w:ascii="Times New Roman" w:hAnsi="Times New Roman"/>
        </w:rPr>
        <w:t xml:space="preserve">heard argument on </w:t>
      </w:r>
      <w:r w:rsidR="00791686" w:rsidRPr="0026277C">
        <w:rPr>
          <w:rFonts w:ascii="Times New Roman" w:hAnsi="Times New Roman"/>
        </w:rPr>
        <w:t xml:space="preserve">question 1A: </w:t>
      </w:r>
      <w:r w:rsidR="00206AF2" w:rsidRPr="0026277C">
        <w:rPr>
          <w:rFonts w:ascii="Times New Roman" w:hAnsi="Times New Roman"/>
        </w:rPr>
        <w:t>whether, given the repeal of s 35, the Court had jurisdiction to hear and determine the constitutional validity of that section</w:t>
      </w:r>
      <w:r w:rsidR="003668C6" w:rsidRPr="0026277C">
        <w:rPr>
          <w:rFonts w:ascii="Times New Roman" w:hAnsi="Times New Roman"/>
        </w:rPr>
        <w:t xml:space="preserve">, </w:t>
      </w:r>
      <w:r w:rsidR="006C0603" w:rsidRPr="0026277C">
        <w:rPr>
          <w:rFonts w:ascii="Times New Roman" w:hAnsi="Times New Roman"/>
        </w:rPr>
        <w:t>and</w:t>
      </w:r>
      <w:r w:rsidR="003668C6" w:rsidRPr="0026277C">
        <w:rPr>
          <w:rFonts w:ascii="Times New Roman" w:hAnsi="Times New Roman"/>
        </w:rPr>
        <w:t xml:space="preserve"> if it had jurisdiction, whether it should determine the question</w:t>
      </w:r>
      <w:r w:rsidR="00206AF2" w:rsidRPr="0026277C">
        <w:rPr>
          <w:rFonts w:ascii="Times New Roman" w:hAnsi="Times New Roman"/>
        </w:rPr>
        <w:t>. At the end of argument, the Court informed the parties and the interven</w:t>
      </w:r>
      <w:r w:rsidR="00AC58F9" w:rsidRPr="0026277C">
        <w:rPr>
          <w:rFonts w:ascii="Times New Roman" w:hAnsi="Times New Roman"/>
        </w:rPr>
        <w:t>e</w:t>
      </w:r>
      <w:r w:rsidR="00206AF2" w:rsidRPr="0026277C">
        <w:rPr>
          <w:rFonts w:ascii="Times New Roman" w:hAnsi="Times New Roman"/>
        </w:rPr>
        <w:t xml:space="preserve">r that at least a majority of the Court would answer </w:t>
      </w:r>
      <w:r w:rsidR="00D73F92" w:rsidRPr="0026277C">
        <w:rPr>
          <w:rFonts w:ascii="Times New Roman" w:hAnsi="Times New Roman"/>
        </w:rPr>
        <w:t xml:space="preserve">either </w:t>
      </w:r>
      <w:r w:rsidR="00206AF2" w:rsidRPr="0026277C">
        <w:rPr>
          <w:rFonts w:ascii="Times New Roman" w:hAnsi="Times New Roman"/>
        </w:rPr>
        <w:t xml:space="preserve">question 1A(a) or 1A(b), "No". </w:t>
      </w:r>
      <w:r w:rsidR="00384388" w:rsidRPr="0026277C">
        <w:rPr>
          <w:rFonts w:ascii="Times New Roman" w:hAnsi="Times New Roman"/>
        </w:rPr>
        <w:t xml:space="preserve">The Court therefore did not hear argument on question 2, as that question does not arise. </w:t>
      </w:r>
      <w:r w:rsidR="00F14CB3" w:rsidRPr="0026277C">
        <w:rPr>
          <w:rFonts w:ascii="Times New Roman" w:hAnsi="Times New Roman"/>
        </w:rPr>
        <w:t>What follows</w:t>
      </w:r>
      <w:r w:rsidR="00206AF2" w:rsidRPr="0026277C">
        <w:rPr>
          <w:rFonts w:ascii="Times New Roman" w:hAnsi="Times New Roman"/>
        </w:rPr>
        <w:t xml:space="preserve"> are the reasons for answering question 1A(a) "No"</w:t>
      </w:r>
      <w:r w:rsidR="003668C6" w:rsidRPr="0026277C">
        <w:rPr>
          <w:rFonts w:ascii="Times New Roman" w:hAnsi="Times New Roman"/>
        </w:rPr>
        <w:t>,</w:t>
      </w:r>
      <w:r w:rsidR="00206AF2" w:rsidRPr="0026277C">
        <w:rPr>
          <w:rFonts w:ascii="Times New Roman" w:hAnsi="Times New Roman"/>
        </w:rPr>
        <w:t xml:space="preserve"> and</w:t>
      </w:r>
      <w:r w:rsidR="00EA6CB7">
        <w:rPr>
          <w:rFonts w:ascii="Times New Roman" w:hAnsi="Times New Roman"/>
        </w:rPr>
        <w:t> </w:t>
      </w:r>
      <w:r w:rsidR="00206AF2" w:rsidRPr="0026277C">
        <w:rPr>
          <w:rFonts w:ascii="Times New Roman" w:hAnsi="Times New Roman"/>
        </w:rPr>
        <w:t xml:space="preserve">question 1A(b) "Unnecessary to </w:t>
      </w:r>
      <w:r w:rsidR="003638F1" w:rsidRPr="0026277C">
        <w:rPr>
          <w:rFonts w:ascii="Times New Roman" w:hAnsi="Times New Roman"/>
        </w:rPr>
        <w:t>answer</w:t>
      </w:r>
      <w:r w:rsidR="00206AF2" w:rsidRPr="0026277C">
        <w:rPr>
          <w:rFonts w:ascii="Times New Roman" w:hAnsi="Times New Roman"/>
        </w:rPr>
        <w:t>".</w:t>
      </w:r>
    </w:p>
    <w:p w14:paraId="2AFFA512" w14:textId="7F630221" w:rsidR="00481F23" w:rsidRPr="0026277C" w:rsidRDefault="00481F23" w:rsidP="0026277C">
      <w:pPr>
        <w:pStyle w:val="HeadingL2"/>
        <w:spacing w:after="260" w:line="280" w:lineRule="exact"/>
        <w:ind w:right="0"/>
        <w:jc w:val="both"/>
        <w:rPr>
          <w:rFonts w:ascii="Times New Roman" w:hAnsi="Times New Roman"/>
        </w:rPr>
      </w:pPr>
      <w:r w:rsidRPr="0026277C">
        <w:rPr>
          <w:rFonts w:ascii="Times New Roman" w:hAnsi="Times New Roman"/>
        </w:rPr>
        <w:t>The requirement of a "matter"</w:t>
      </w:r>
    </w:p>
    <w:p w14:paraId="5B6E0B9E" w14:textId="5C3CE927" w:rsidR="00207F1A" w:rsidRPr="0026277C" w:rsidRDefault="003D735B"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B86C8C" w:rsidRPr="0026277C">
        <w:rPr>
          <w:rFonts w:ascii="Times New Roman" w:hAnsi="Times New Roman"/>
        </w:rPr>
        <w:t>T</w:t>
      </w:r>
      <w:r w:rsidR="00315FF6" w:rsidRPr="0026277C">
        <w:rPr>
          <w:rFonts w:ascii="Times New Roman" w:hAnsi="Times New Roman"/>
        </w:rPr>
        <w:t xml:space="preserve">he judicial power of the Commonwealth </w:t>
      </w:r>
      <w:r w:rsidR="00B86C8C" w:rsidRPr="0026277C">
        <w:rPr>
          <w:rFonts w:ascii="Times New Roman" w:hAnsi="Times New Roman"/>
        </w:rPr>
        <w:t xml:space="preserve">is vested </w:t>
      </w:r>
      <w:r w:rsidR="009F2CD4" w:rsidRPr="0026277C">
        <w:rPr>
          <w:rFonts w:ascii="Times New Roman" w:hAnsi="Times New Roman"/>
        </w:rPr>
        <w:t>by</w:t>
      </w:r>
      <w:r w:rsidR="00D758EE" w:rsidRPr="0026277C">
        <w:rPr>
          <w:rFonts w:ascii="Times New Roman" w:hAnsi="Times New Roman"/>
        </w:rPr>
        <w:t xml:space="preserve"> s 71 of</w:t>
      </w:r>
      <w:r w:rsidR="009F2CD4" w:rsidRPr="0026277C">
        <w:rPr>
          <w:rFonts w:ascii="Times New Roman" w:hAnsi="Times New Roman"/>
        </w:rPr>
        <w:t xml:space="preserve"> the </w:t>
      </w:r>
      <w:r w:rsidR="009F2CD4" w:rsidRPr="0026277C">
        <w:rPr>
          <w:rFonts w:ascii="Times New Roman" w:hAnsi="Times New Roman"/>
          <w:i/>
          <w:iCs/>
        </w:rPr>
        <w:t>Constitution</w:t>
      </w:r>
      <w:r w:rsidR="00B86C8C" w:rsidRPr="0026277C">
        <w:rPr>
          <w:rFonts w:ascii="Times New Roman" w:hAnsi="Times New Roman"/>
        </w:rPr>
        <w:t xml:space="preserve"> </w:t>
      </w:r>
      <w:r w:rsidR="00315FF6" w:rsidRPr="0026277C">
        <w:rPr>
          <w:rFonts w:ascii="Times New Roman" w:hAnsi="Times New Roman"/>
        </w:rPr>
        <w:t>in the High Court</w:t>
      </w:r>
      <w:r w:rsidR="00D14662" w:rsidRPr="0026277C">
        <w:rPr>
          <w:rFonts w:ascii="Times New Roman" w:hAnsi="Times New Roman"/>
        </w:rPr>
        <w:t xml:space="preserve">, and such other federal courts as the Parliament creates </w:t>
      </w:r>
      <w:r w:rsidR="00D44C3C" w:rsidRPr="0026277C">
        <w:rPr>
          <w:rFonts w:ascii="Times New Roman" w:hAnsi="Times New Roman"/>
        </w:rPr>
        <w:t xml:space="preserve">or </w:t>
      </w:r>
      <w:r w:rsidR="00D14662" w:rsidRPr="0026277C">
        <w:rPr>
          <w:rFonts w:ascii="Times New Roman" w:hAnsi="Times New Roman"/>
        </w:rPr>
        <w:t>vests with federal jurisdiction</w:t>
      </w:r>
      <w:r w:rsidR="00600BF6" w:rsidRPr="0026277C">
        <w:rPr>
          <w:rFonts w:ascii="Times New Roman" w:hAnsi="Times New Roman"/>
        </w:rPr>
        <w:t>.</w:t>
      </w:r>
      <w:r w:rsidR="00315FF6" w:rsidRPr="0026277C">
        <w:rPr>
          <w:rFonts w:ascii="Times New Roman" w:hAnsi="Times New Roman"/>
        </w:rPr>
        <w:t xml:space="preserve"> </w:t>
      </w:r>
      <w:r w:rsidR="00AE1843" w:rsidRPr="0026277C">
        <w:rPr>
          <w:rFonts w:ascii="Times New Roman" w:hAnsi="Times New Roman"/>
        </w:rPr>
        <w:t>"</w:t>
      </w:r>
      <w:r w:rsidR="00F15A24" w:rsidRPr="0026277C">
        <w:rPr>
          <w:rFonts w:ascii="Times New Roman" w:hAnsi="Times New Roman"/>
        </w:rPr>
        <w:t>Jurisdiction</w:t>
      </w:r>
      <w:r w:rsidR="00AE1843" w:rsidRPr="0026277C">
        <w:rPr>
          <w:rFonts w:ascii="Times New Roman" w:hAnsi="Times New Roman"/>
        </w:rPr>
        <w:t>"</w:t>
      </w:r>
      <w:r w:rsidR="00F15A24" w:rsidRPr="0026277C">
        <w:rPr>
          <w:rFonts w:ascii="Times New Roman" w:hAnsi="Times New Roman"/>
        </w:rPr>
        <w:t xml:space="preserve"> is </w:t>
      </w:r>
      <w:r w:rsidR="004D0744" w:rsidRPr="0026277C">
        <w:rPr>
          <w:rFonts w:ascii="Times New Roman" w:hAnsi="Times New Roman"/>
        </w:rPr>
        <w:t>the</w:t>
      </w:r>
      <w:r w:rsidR="0032635E" w:rsidRPr="0026277C">
        <w:rPr>
          <w:rFonts w:ascii="Times New Roman" w:hAnsi="Times New Roman"/>
        </w:rPr>
        <w:t xml:space="preserve"> "generic term"</w:t>
      </w:r>
      <w:r w:rsidR="00835A1A" w:rsidRPr="0026277C">
        <w:rPr>
          <w:rFonts w:ascii="Times New Roman" w:hAnsi="Times New Roman"/>
        </w:rPr>
        <w:t xml:space="preserve"> for</w:t>
      </w:r>
      <w:r w:rsidR="00614CAD">
        <w:rPr>
          <w:rFonts w:ascii="Times New Roman" w:hAnsi="Times New Roman"/>
        </w:rPr>
        <w:t> </w:t>
      </w:r>
      <w:r w:rsidR="00F15A24" w:rsidRPr="0026277C">
        <w:rPr>
          <w:rFonts w:ascii="Times New Roman" w:hAnsi="Times New Roman"/>
        </w:rPr>
        <w:t>the authority to adjudicate</w:t>
      </w:r>
      <w:r w:rsidR="00600BF6" w:rsidRPr="0026277C">
        <w:rPr>
          <w:rStyle w:val="FootnoteReference"/>
          <w:rFonts w:ascii="Times New Roman" w:hAnsi="Times New Roman"/>
          <w:sz w:val="24"/>
        </w:rPr>
        <w:footnoteReference w:id="24"/>
      </w:r>
      <w:r w:rsidR="00F15A24" w:rsidRPr="0026277C">
        <w:rPr>
          <w:rFonts w:ascii="Times New Roman" w:hAnsi="Times New Roman"/>
        </w:rPr>
        <w:t>.</w:t>
      </w:r>
      <w:r w:rsidR="00315FF6" w:rsidRPr="0026277C">
        <w:rPr>
          <w:rFonts w:ascii="Times New Roman" w:hAnsi="Times New Roman"/>
        </w:rPr>
        <w:t xml:space="preserve"> </w:t>
      </w:r>
      <w:r w:rsidR="00421BDA" w:rsidRPr="0026277C">
        <w:rPr>
          <w:rFonts w:ascii="Times New Roman" w:hAnsi="Times New Roman"/>
        </w:rPr>
        <w:t>Federal j</w:t>
      </w:r>
      <w:r w:rsidR="00315FF6" w:rsidRPr="0026277C">
        <w:rPr>
          <w:rFonts w:ascii="Times New Roman" w:hAnsi="Times New Roman"/>
        </w:rPr>
        <w:t>urisdiction is the authority to adjudicate – the</w:t>
      </w:r>
      <w:r w:rsidR="00614CAD">
        <w:rPr>
          <w:rFonts w:ascii="Times New Roman" w:hAnsi="Times New Roman"/>
        </w:rPr>
        <w:t> </w:t>
      </w:r>
      <w:r w:rsidR="00315FF6" w:rsidRPr="0026277C">
        <w:rPr>
          <w:rFonts w:ascii="Times New Roman" w:hAnsi="Times New Roman"/>
        </w:rPr>
        <w:t xml:space="preserve">authority to exercise </w:t>
      </w:r>
      <w:r w:rsidR="00B533F6" w:rsidRPr="0026277C">
        <w:rPr>
          <w:rFonts w:ascii="Times New Roman" w:hAnsi="Times New Roman"/>
        </w:rPr>
        <w:t xml:space="preserve">the </w:t>
      </w:r>
      <w:r w:rsidR="00315FF6" w:rsidRPr="0026277C">
        <w:rPr>
          <w:rFonts w:ascii="Times New Roman" w:hAnsi="Times New Roman"/>
        </w:rPr>
        <w:t xml:space="preserve">judicial power </w:t>
      </w:r>
      <w:r w:rsidR="00B533F6" w:rsidRPr="0026277C">
        <w:rPr>
          <w:rFonts w:ascii="Times New Roman" w:hAnsi="Times New Roman"/>
        </w:rPr>
        <w:t xml:space="preserve">of the Commonwealth </w:t>
      </w:r>
      <w:r w:rsidR="00315FF6" w:rsidRPr="0026277C">
        <w:rPr>
          <w:rFonts w:ascii="Times New Roman" w:hAnsi="Times New Roman"/>
        </w:rPr>
        <w:t xml:space="preserve">– derived from the </w:t>
      </w:r>
      <w:r w:rsidR="00315FF6" w:rsidRPr="0026277C">
        <w:rPr>
          <w:rFonts w:ascii="Times New Roman" w:hAnsi="Times New Roman"/>
          <w:i/>
          <w:iCs/>
        </w:rPr>
        <w:t>Constitution</w:t>
      </w:r>
      <w:r w:rsidR="00CC14A0" w:rsidRPr="0026277C">
        <w:rPr>
          <w:rFonts w:ascii="Times New Roman" w:hAnsi="Times New Roman"/>
        </w:rPr>
        <w:t xml:space="preserve"> and laws</w:t>
      </w:r>
      <w:r w:rsidR="002F2269" w:rsidRPr="0026277C">
        <w:rPr>
          <w:rFonts w:ascii="Times New Roman" w:hAnsi="Times New Roman"/>
        </w:rPr>
        <w:t xml:space="preserve"> passed by the Commonwealth Parliament</w:t>
      </w:r>
      <w:r w:rsidR="006F6BD4" w:rsidRPr="0026277C">
        <w:rPr>
          <w:rFonts w:ascii="Times New Roman" w:hAnsi="Times New Roman"/>
        </w:rPr>
        <w:t xml:space="preserve"> under the </w:t>
      </w:r>
      <w:r w:rsidR="006F6BD4" w:rsidRPr="0026277C">
        <w:rPr>
          <w:rFonts w:ascii="Times New Roman" w:hAnsi="Times New Roman"/>
          <w:i/>
          <w:iCs/>
        </w:rPr>
        <w:t>Constitution</w:t>
      </w:r>
      <w:r w:rsidR="00315FF6" w:rsidRPr="0026277C">
        <w:rPr>
          <w:rStyle w:val="FootnoteReference"/>
          <w:rFonts w:ascii="Times New Roman" w:hAnsi="Times New Roman"/>
          <w:sz w:val="24"/>
        </w:rPr>
        <w:footnoteReference w:id="25"/>
      </w:r>
      <w:r w:rsidR="00315FF6" w:rsidRPr="0026277C">
        <w:rPr>
          <w:rFonts w:ascii="Times New Roman" w:hAnsi="Times New Roman"/>
        </w:rPr>
        <w:t xml:space="preserve">. </w:t>
      </w:r>
      <w:r w:rsidR="007A00CE" w:rsidRPr="0026277C">
        <w:rPr>
          <w:rFonts w:ascii="Times New Roman" w:hAnsi="Times New Roman"/>
        </w:rPr>
        <w:t>T</w:t>
      </w:r>
      <w:r w:rsidR="00315FF6" w:rsidRPr="0026277C">
        <w:rPr>
          <w:rFonts w:ascii="Times New Roman" w:hAnsi="Times New Roman"/>
        </w:rPr>
        <w:t xml:space="preserve">he extent of this Court's authority to exercise </w:t>
      </w:r>
      <w:r w:rsidR="00E6131A" w:rsidRPr="0026277C">
        <w:rPr>
          <w:rFonts w:ascii="Times New Roman" w:hAnsi="Times New Roman"/>
        </w:rPr>
        <w:t xml:space="preserve">that </w:t>
      </w:r>
      <w:r w:rsidR="00315FF6" w:rsidRPr="0026277C">
        <w:rPr>
          <w:rFonts w:ascii="Times New Roman" w:hAnsi="Times New Roman"/>
        </w:rPr>
        <w:t xml:space="preserve">power </w:t>
      </w:r>
      <w:r w:rsidR="008A758E" w:rsidRPr="0026277C">
        <w:rPr>
          <w:rFonts w:ascii="Times New Roman" w:hAnsi="Times New Roman"/>
        </w:rPr>
        <w:t>(and the authority of other courts invested with federal jurisdiction)</w:t>
      </w:r>
      <w:r w:rsidR="00315FF6" w:rsidRPr="0026277C">
        <w:rPr>
          <w:rFonts w:ascii="Times New Roman" w:hAnsi="Times New Roman"/>
        </w:rPr>
        <w:t xml:space="preserve"> is limited by the </w:t>
      </w:r>
      <w:r w:rsidR="00315FF6" w:rsidRPr="0026277C">
        <w:rPr>
          <w:rFonts w:ascii="Times New Roman" w:hAnsi="Times New Roman"/>
          <w:i/>
          <w:iCs/>
        </w:rPr>
        <w:lastRenderedPageBreak/>
        <w:t>Constitution</w:t>
      </w:r>
      <w:r w:rsidR="00694C33" w:rsidRPr="0026277C">
        <w:rPr>
          <w:rStyle w:val="FootnoteReference"/>
          <w:rFonts w:ascii="Times New Roman" w:hAnsi="Times New Roman"/>
          <w:sz w:val="24"/>
        </w:rPr>
        <w:footnoteReference w:id="26"/>
      </w:r>
      <w:r w:rsidR="003929F6" w:rsidRPr="0026277C">
        <w:rPr>
          <w:rFonts w:ascii="Times New Roman" w:hAnsi="Times New Roman"/>
        </w:rPr>
        <w:t xml:space="preserve">, </w:t>
      </w:r>
      <w:r w:rsidR="005B6B4E" w:rsidRPr="0026277C">
        <w:rPr>
          <w:rFonts w:ascii="Times New Roman" w:hAnsi="Times New Roman"/>
        </w:rPr>
        <w:t xml:space="preserve">reflecting </w:t>
      </w:r>
      <w:r w:rsidR="00A62738" w:rsidRPr="0026277C">
        <w:rPr>
          <w:rFonts w:ascii="Times New Roman" w:hAnsi="Times New Roman"/>
        </w:rPr>
        <w:t xml:space="preserve">notions of </w:t>
      </w:r>
      <w:r w:rsidR="004E3220" w:rsidRPr="0026277C">
        <w:rPr>
          <w:rFonts w:ascii="Times New Roman" w:hAnsi="Times New Roman"/>
        </w:rPr>
        <w:t xml:space="preserve">the separation of powers, and </w:t>
      </w:r>
      <w:r w:rsidR="00DE69AB" w:rsidRPr="0026277C">
        <w:rPr>
          <w:rFonts w:ascii="Times New Roman" w:hAnsi="Times New Roman"/>
        </w:rPr>
        <w:t xml:space="preserve">of </w:t>
      </w:r>
      <w:r w:rsidR="00A62738" w:rsidRPr="0026277C">
        <w:rPr>
          <w:rFonts w:ascii="Times New Roman" w:hAnsi="Times New Roman"/>
        </w:rPr>
        <w:t>responsible and representative government</w:t>
      </w:r>
      <w:r w:rsidR="00272751" w:rsidRPr="0026277C">
        <w:rPr>
          <w:rFonts w:ascii="Times New Roman" w:hAnsi="Times New Roman"/>
        </w:rPr>
        <w:t>,</w:t>
      </w:r>
      <w:r w:rsidR="00D775E6" w:rsidRPr="0026277C">
        <w:rPr>
          <w:rFonts w:ascii="Times New Roman" w:hAnsi="Times New Roman"/>
        </w:rPr>
        <w:t xml:space="preserve"> found in the </w:t>
      </w:r>
      <w:r w:rsidR="00DE69AB" w:rsidRPr="0026277C">
        <w:rPr>
          <w:rFonts w:ascii="Times New Roman" w:hAnsi="Times New Roman"/>
        </w:rPr>
        <w:t xml:space="preserve">text and </w:t>
      </w:r>
      <w:r w:rsidR="00D775E6" w:rsidRPr="0026277C">
        <w:rPr>
          <w:rFonts w:ascii="Times New Roman" w:hAnsi="Times New Roman"/>
        </w:rPr>
        <w:t xml:space="preserve">structure of the </w:t>
      </w:r>
      <w:r w:rsidR="00207F1A" w:rsidRPr="0026277C">
        <w:rPr>
          <w:rFonts w:ascii="Times New Roman" w:hAnsi="Times New Roman"/>
          <w:i/>
          <w:iCs/>
        </w:rPr>
        <w:t>Constitution</w:t>
      </w:r>
      <w:r w:rsidR="00315FF6" w:rsidRPr="0026277C">
        <w:rPr>
          <w:rFonts w:ascii="Times New Roman" w:hAnsi="Times New Roman"/>
        </w:rPr>
        <w:t xml:space="preserve">. </w:t>
      </w:r>
    </w:p>
    <w:p w14:paraId="452660F3" w14:textId="7420C118" w:rsidR="00847E3A" w:rsidRPr="0026277C" w:rsidRDefault="00207F1A"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A47314" w:rsidRPr="0026277C">
        <w:rPr>
          <w:rFonts w:ascii="Times New Roman" w:hAnsi="Times New Roman"/>
        </w:rPr>
        <w:t xml:space="preserve">Consistent with those </w:t>
      </w:r>
      <w:r w:rsidR="00F02D3D" w:rsidRPr="0026277C">
        <w:rPr>
          <w:rFonts w:ascii="Times New Roman" w:hAnsi="Times New Roman"/>
        </w:rPr>
        <w:t>fundamental principles</w:t>
      </w:r>
      <w:r w:rsidR="00A47314" w:rsidRPr="0026277C">
        <w:rPr>
          <w:rFonts w:ascii="Times New Roman" w:hAnsi="Times New Roman"/>
        </w:rPr>
        <w:t>, t</w:t>
      </w:r>
      <w:r w:rsidR="00315FF6" w:rsidRPr="0026277C">
        <w:rPr>
          <w:rFonts w:ascii="Times New Roman" w:hAnsi="Times New Roman"/>
        </w:rPr>
        <w:t xml:space="preserve">he function of the Court is not the </w:t>
      </w:r>
      <w:r w:rsidR="005642F0" w:rsidRPr="0026277C">
        <w:rPr>
          <w:rFonts w:ascii="Times New Roman" w:hAnsi="Times New Roman"/>
        </w:rPr>
        <w:t xml:space="preserve">giving of legal answers or </w:t>
      </w:r>
      <w:r w:rsidR="00506762" w:rsidRPr="0026277C">
        <w:rPr>
          <w:rFonts w:ascii="Times New Roman" w:hAnsi="Times New Roman"/>
        </w:rPr>
        <w:t xml:space="preserve">the </w:t>
      </w:r>
      <w:r w:rsidR="00315FF6" w:rsidRPr="0026277C">
        <w:rPr>
          <w:rFonts w:ascii="Times New Roman" w:hAnsi="Times New Roman"/>
        </w:rPr>
        <w:t>declaration of legal principle – it is the resolution of a controversy about a legal right</w:t>
      </w:r>
      <w:r w:rsidR="00506762" w:rsidRPr="0026277C">
        <w:rPr>
          <w:rFonts w:ascii="Times New Roman" w:hAnsi="Times New Roman"/>
        </w:rPr>
        <w:t>, duty</w:t>
      </w:r>
      <w:r w:rsidR="00315FF6" w:rsidRPr="0026277C">
        <w:rPr>
          <w:rFonts w:ascii="Times New Roman" w:hAnsi="Times New Roman"/>
        </w:rPr>
        <w:t xml:space="preserve"> or</w:t>
      </w:r>
      <w:r w:rsidR="00315FF6" w:rsidRPr="0026277C" w:rsidDel="00506762">
        <w:rPr>
          <w:rFonts w:ascii="Times New Roman" w:hAnsi="Times New Roman"/>
        </w:rPr>
        <w:t xml:space="preserve"> </w:t>
      </w:r>
      <w:r w:rsidR="00315FF6" w:rsidRPr="0026277C">
        <w:rPr>
          <w:rFonts w:ascii="Times New Roman" w:hAnsi="Times New Roman"/>
        </w:rPr>
        <w:t>liability</w:t>
      </w:r>
      <w:r w:rsidR="00315FF6" w:rsidRPr="0026277C">
        <w:rPr>
          <w:rStyle w:val="FootnoteReference"/>
          <w:rFonts w:ascii="Times New Roman" w:hAnsi="Times New Roman"/>
          <w:sz w:val="24"/>
        </w:rPr>
        <w:footnoteReference w:id="27"/>
      </w:r>
      <w:r w:rsidR="00315FF6" w:rsidRPr="0026277C">
        <w:rPr>
          <w:rFonts w:ascii="Times New Roman" w:hAnsi="Times New Roman"/>
        </w:rPr>
        <w:t xml:space="preserve">. The giving of answers or </w:t>
      </w:r>
      <w:r w:rsidR="00DE10FB" w:rsidRPr="0026277C">
        <w:rPr>
          <w:rFonts w:ascii="Times New Roman" w:hAnsi="Times New Roman"/>
        </w:rPr>
        <w:t xml:space="preserve">the </w:t>
      </w:r>
      <w:r w:rsidR="00315FF6" w:rsidRPr="0026277C">
        <w:rPr>
          <w:rFonts w:ascii="Times New Roman" w:hAnsi="Times New Roman"/>
        </w:rPr>
        <w:t xml:space="preserve">making of declarations is an exercise of judicial power </w:t>
      </w:r>
      <w:r w:rsidR="009E58FB" w:rsidRPr="0026277C">
        <w:rPr>
          <w:rFonts w:ascii="Times New Roman" w:hAnsi="Times New Roman"/>
        </w:rPr>
        <w:t xml:space="preserve">only </w:t>
      </w:r>
      <w:r w:rsidR="00315FF6" w:rsidRPr="0026277C">
        <w:rPr>
          <w:rFonts w:ascii="Times New Roman" w:hAnsi="Times New Roman"/>
        </w:rPr>
        <w:t xml:space="preserve">where </w:t>
      </w:r>
      <w:r w:rsidR="00910274" w:rsidRPr="0026277C">
        <w:rPr>
          <w:rFonts w:ascii="Times New Roman" w:hAnsi="Times New Roman"/>
        </w:rPr>
        <w:t xml:space="preserve">the seeking and giving of </w:t>
      </w:r>
      <w:r w:rsidR="00315FF6" w:rsidRPr="0026277C">
        <w:rPr>
          <w:rFonts w:ascii="Times New Roman" w:hAnsi="Times New Roman"/>
        </w:rPr>
        <w:t xml:space="preserve">those answers </w:t>
      </w:r>
      <w:r w:rsidR="00CA57B1" w:rsidRPr="0026277C">
        <w:rPr>
          <w:rFonts w:ascii="Times New Roman" w:hAnsi="Times New Roman"/>
        </w:rPr>
        <w:t>or declarations</w:t>
      </w:r>
      <w:r w:rsidR="001058D7" w:rsidRPr="0026277C">
        <w:rPr>
          <w:rFonts w:ascii="Times New Roman" w:hAnsi="Times New Roman"/>
        </w:rPr>
        <w:t xml:space="preserve"> arise in or out of</w:t>
      </w:r>
      <w:r w:rsidR="00CA57B1" w:rsidRPr="0026277C">
        <w:rPr>
          <w:rFonts w:ascii="Times New Roman" w:hAnsi="Times New Roman"/>
        </w:rPr>
        <w:t xml:space="preserve"> </w:t>
      </w:r>
      <w:r w:rsidR="00BE33A9" w:rsidRPr="0026277C">
        <w:rPr>
          <w:rFonts w:ascii="Times New Roman" w:hAnsi="Times New Roman"/>
        </w:rPr>
        <w:t>the judicial</w:t>
      </w:r>
      <w:r w:rsidR="00315FF6" w:rsidRPr="0026277C">
        <w:rPr>
          <w:rFonts w:ascii="Times New Roman" w:hAnsi="Times New Roman"/>
        </w:rPr>
        <w:t xml:space="preserve"> determination of the rights </w:t>
      </w:r>
      <w:r w:rsidR="009A7FA9" w:rsidRPr="0026277C">
        <w:rPr>
          <w:rFonts w:ascii="Times New Roman" w:hAnsi="Times New Roman"/>
        </w:rPr>
        <w:t xml:space="preserve">and </w:t>
      </w:r>
      <w:r w:rsidR="00315FF6" w:rsidRPr="0026277C">
        <w:rPr>
          <w:rFonts w:ascii="Times New Roman" w:hAnsi="Times New Roman"/>
        </w:rPr>
        <w:t xml:space="preserve">liabilities </w:t>
      </w:r>
      <w:r w:rsidR="00BD512C" w:rsidRPr="0026277C">
        <w:rPr>
          <w:rFonts w:ascii="Times New Roman" w:hAnsi="Times New Roman"/>
        </w:rPr>
        <w:t xml:space="preserve">in </w:t>
      </w:r>
      <w:r w:rsidR="00315FF6" w:rsidRPr="0026277C">
        <w:rPr>
          <w:rFonts w:ascii="Times New Roman" w:hAnsi="Times New Roman"/>
        </w:rPr>
        <w:t>issue in the dispute</w:t>
      </w:r>
      <w:r w:rsidR="00315FF6" w:rsidRPr="0026277C">
        <w:rPr>
          <w:rStyle w:val="FootnoteReference"/>
          <w:rFonts w:ascii="Times New Roman" w:hAnsi="Times New Roman"/>
          <w:sz w:val="24"/>
        </w:rPr>
        <w:footnoteReference w:id="28"/>
      </w:r>
      <w:r w:rsidR="00315FF6" w:rsidRPr="0026277C">
        <w:rPr>
          <w:rFonts w:ascii="Times New Roman" w:hAnsi="Times New Roman"/>
        </w:rPr>
        <w:t>.</w:t>
      </w:r>
      <w:r w:rsidR="001812F2" w:rsidRPr="0026277C">
        <w:rPr>
          <w:rFonts w:ascii="Times New Roman" w:hAnsi="Times New Roman"/>
        </w:rPr>
        <w:t xml:space="preserve"> </w:t>
      </w:r>
      <w:r w:rsidR="00315FF6" w:rsidRPr="0026277C">
        <w:rPr>
          <w:rFonts w:ascii="Times New Roman" w:hAnsi="Times New Roman"/>
        </w:rPr>
        <w:t>That</w:t>
      </w:r>
      <w:r w:rsidR="00914512">
        <w:rPr>
          <w:rFonts w:ascii="Times New Roman" w:hAnsi="Times New Roman"/>
        </w:rPr>
        <w:t> </w:t>
      </w:r>
      <w:r w:rsidR="00980C79" w:rsidRPr="0026277C">
        <w:rPr>
          <w:rFonts w:ascii="Times New Roman" w:hAnsi="Times New Roman"/>
        </w:rPr>
        <w:t>understanding of the Court's function</w:t>
      </w:r>
      <w:r w:rsidR="00315FF6" w:rsidRPr="0026277C">
        <w:rPr>
          <w:rFonts w:ascii="Times New Roman" w:hAnsi="Times New Roman"/>
        </w:rPr>
        <w:t xml:space="preserve"> is </w:t>
      </w:r>
      <w:r w:rsidR="001D65E6" w:rsidRPr="0026277C">
        <w:rPr>
          <w:rFonts w:ascii="Times New Roman" w:hAnsi="Times New Roman"/>
        </w:rPr>
        <w:t>ref</w:t>
      </w:r>
      <w:r w:rsidR="00E21BD0" w:rsidRPr="0026277C">
        <w:rPr>
          <w:rFonts w:ascii="Times New Roman" w:hAnsi="Times New Roman"/>
        </w:rPr>
        <w:t xml:space="preserve">lected in </w:t>
      </w:r>
      <w:r w:rsidR="00315FF6" w:rsidRPr="0026277C">
        <w:rPr>
          <w:rFonts w:ascii="Times New Roman" w:hAnsi="Times New Roman"/>
        </w:rPr>
        <w:t xml:space="preserve">the constitutional requirement </w:t>
      </w:r>
      <w:r w:rsidR="00060A35" w:rsidRPr="0026277C">
        <w:rPr>
          <w:rFonts w:ascii="Times New Roman" w:hAnsi="Times New Roman"/>
        </w:rPr>
        <w:t>that</w:t>
      </w:r>
      <w:r w:rsidR="00315FF6" w:rsidRPr="0026277C">
        <w:rPr>
          <w:rFonts w:ascii="Times New Roman" w:hAnsi="Times New Roman"/>
        </w:rPr>
        <w:t xml:space="preserve"> a </w:t>
      </w:r>
      <w:r w:rsidR="00060A35" w:rsidRPr="0026277C">
        <w:rPr>
          <w:rFonts w:ascii="Times New Roman" w:hAnsi="Times New Roman"/>
        </w:rPr>
        <w:t xml:space="preserve">dispute involves </w:t>
      </w:r>
      <w:r w:rsidR="00315FF6" w:rsidRPr="0026277C">
        <w:rPr>
          <w:rFonts w:ascii="Times New Roman" w:hAnsi="Times New Roman"/>
        </w:rPr>
        <w:t>a "matter"</w:t>
      </w:r>
      <w:r w:rsidR="00060A35" w:rsidRPr="0026277C">
        <w:rPr>
          <w:rFonts w:ascii="Times New Roman" w:hAnsi="Times New Roman"/>
        </w:rPr>
        <w:t xml:space="preserve"> for the purposes of Ch III of the </w:t>
      </w:r>
      <w:r w:rsidR="00060A35" w:rsidRPr="0026277C">
        <w:rPr>
          <w:rFonts w:ascii="Times New Roman" w:hAnsi="Times New Roman"/>
          <w:i/>
          <w:iCs/>
        </w:rPr>
        <w:t>Constitution</w:t>
      </w:r>
      <w:r w:rsidR="00315FF6" w:rsidRPr="0026277C">
        <w:rPr>
          <w:rFonts w:ascii="Times New Roman" w:hAnsi="Times New Roman"/>
        </w:rPr>
        <w:t>.</w:t>
      </w:r>
    </w:p>
    <w:p w14:paraId="152B9196" w14:textId="104B23D3" w:rsidR="00567367" w:rsidRPr="0026277C" w:rsidRDefault="00223DA5"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16725C" w:rsidRPr="0026277C">
        <w:rPr>
          <w:rFonts w:ascii="Times New Roman" w:hAnsi="Times New Roman"/>
        </w:rPr>
        <w:t xml:space="preserve">Exceptional </w:t>
      </w:r>
      <w:r w:rsidR="00BC10F9" w:rsidRPr="0026277C">
        <w:rPr>
          <w:rFonts w:ascii="Times New Roman" w:hAnsi="Times New Roman"/>
        </w:rPr>
        <w:t>categories</w:t>
      </w:r>
      <w:r w:rsidR="00411633" w:rsidRPr="0026277C">
        <w:rPr>
          <w:rFonts w:ascii="Times New Roman" w:hAnsi="Times New Roman"/>
        </w:rPr>
        <w:t xml:space="preserve"> </w:t>
      </w:r>
      <w:r w:rsidR="0016725C" w:rsidRPr="0026277C">
        <w:rPr>
          <w:rFonts w:ascii="Times New Roman" w:hAnsi="Times New Roman"/>
        </w:rPr>
        <w:t>aside</w:t>
      </w:r>
      <w:r w:rsidR="0016725C" w:rsidRPr="0026277C">
        <w:rPr>
          <w:rStyle w:val="FootnoteReference"/>
          <w:rFonts w:ascii="Times New Roman" w:hAnsi="Times New Roman"/>
          <w:sz w:val="24"/>
        </w:rPr>
        <w:footnoteReference w:id="29"/>
      </w:r>
      <w:r w:rsidR="0016725C" w:rsidRPr="0026277C">
        <w:rPr>
          <w:rFonts w:ascii="Times New Roman" w:hAnsi="Times New Roman"/>
        </w:rPr>
        <w:t xml:space="preserve">, there can be no </w:t>
      </w:r>
      <w:r w:rsidR="0050257B" w:rsidRPr="0026277C">
        <w:rPr>
          <w:rFonts w:ascii="Times New Roman" w:hAnsi="Times New Roman"/>
        </w:rPr>
        <w:t>"</w:t>
      </w:r>
      <w:r w:rsidR="0016725C" w:rsidRPr="0026277C">
        <w:rPr>
          <w:rFonts w:ascii="Times New Roman" w:hAnsi="Times New Roman"/>
        </w:rPr>
        <w:t>matter</w:t>
      </w:r>
      <w:r w:rsidR="0050257B" w:rsidRPr="0026277C">
        <w:rPr>
          <w:rFonts w:ascii="Times New Roman" w:hAnsi="Times New Roman"/>
        </w:rPr>
        <w:t>"</w:t>
      </w:r>
      <w:r w:rsidR="0016725C" w:rsidRPr="0026277C">
        <w:rPr>
          <w:rFonts w:ascii="Times New Roman" w:hAnsi="Times New Roman"/>
        </w:rPr>
        <w:t xml:space="preserve"> within the meaning of Ch III of the </w:t>
      </w:r>
      <w:r w:rsidR="0016725C" w:rsidRPr="0026277C">
        <w:rPr>
          <w:rFonts w:ascii="Times New Roman" w:hAnsi="Times New Roman"/>
          <w:i/>
          <w:iCs/>
        </w:rPr>
        <w:t>Constitution</w:t>
      </w:r>
      <w:r w:rsidR="0016725C" w:rsidRPr="0026277C">
        <w:rPr>
          <w:rFonts w:ascii="Times New Roman" w:hAnsi="Times New Roman"/>
        </w:rPr>
        <w:t xml:space="preserve"> unless "there is some immediate right, duty or liability to be established by the determination of the Court" in the administration of a law</w:t>
      </w:r>
      <w:r w:rsidR="0016725C" w:rsidRPr="0026277C">
        <w:rPr>
          <w:rStyle w:val="FootnoteReference"/>
          <w:rFonts w:ascii="Times New Roman" w:hAnsi="Times New Roman"/>
          <w:sz w:val="24"/>
        </w:rPr>
        <w:footnoteReference w:id="30"/>
      </w:r>
      <w:r w:rsidR="0016725C" w:rsidRPr="0026277C">
        <w:rPr>
          <w:rFonts w:ascii="Times New Roman" w:hAnsi="Times New Roman"/>
        </w:rPr>
        <w:t xml:space="preserve"> and unless the determination can result in the Court granting relief which </w:t>
      </w:r>
      <w:r w:rsidR="0050257B" w:rsidRPr="0026277C">
        <w:rPr>
          <w:rFonts w:ascii="Times New Roman" w:hAnsi="Times New Roman"/>
        </w:rPr>
        <w:t>both</w:t>
      </w:r>
      <w:r w:rsidR="00AB585A" w:rsidRPr="0026277C">
        <w:rPr>
          <w:rFonts w:ascii="Times New Roman" w:hAnsi="Times New Roman"/>
        </w:rPr>
        <w:t xml:space="preserve"> </w:t>
      </w:r>
      <w:r w:rsidR="0016725C" w:rsidRPr="0026277C">
        <w:rPr>
          <w:rFonts w:ascii="Times New Roman" w:hAnsi="Times New Roman"/>
        </w:rPr>
        <w:t>quells a controversy between parties and is available at the suit of the party seeking that relief</w:t>
      </w:r>
      <w:r w:rsidR="0016725C" w:rsidRPr="0026277C">
        <w:rPr>
          <w:rStyle w:val="FootnoteReference"/>
          <w:rFonts w:ascii="Times New Roman" w:hAnsi="Times New Roman"/>
          <w:sz w:val="24"/>
        </w:rPr>
        <w:footnoteReference w:id="31"/>
      </w:r>
      <w:r w:rsidR="0016725C" w:rsidRPr="0026277C">
        <w:rPr>
          <w:rFonts w:ascii="Times New Roman" w:hAnsi="Times New Roman"/>
        </w:rPr>
        <w:t xml:space="preserve">. Standing to seek relief is in that way "subsumed within the </w:t>
      </w:r>
      <w:r w:rsidR="0016725C" w:rsidRPr="0026277C">
        <w:rPr>
          <w:rFonts w:ascii="Times New Roman" w:hAnsi="Times New Roman"/>
        </w:rPr>
        <w:lastRenderedPageBreak/>
        <w:t xml:space="preserve">constitutional requirement of a </w:t>
      </w:r>
      <w:r w:rsidR="00067AB5" w:rsidRPr="0026277C">
        <w:rPr>
          <w:rFonts w:ascii="Times New Roman" w:hAnsi="Times New Roman"/>
        </w:rPr>
        <w:t>'</w:t>
      </w:r>
      <w:r w:rsidR="0016725C" w:rsidRPr="0026277C">
        <w:rPr>
          <w:rFonts w:ascii="Times New Roman" w:hAnsi="Times New Roman"/>
        </w:rPr>
        <w:t>matter</w:t>
      </w:r>
      <w:r w:rsidR="00067AB5" w:rsidRPr="0026277C">
        <w:rPr>
          <w:rFonts w:ascii="Times New Roman" w:hAnsi="Times New Roman"/>
        </w:rPr>
        <w:t>'</w:t>
      </w:r>
      <w:r w:rsidR="0016725C" w:rsidRPr="0026277C">
        <w:rPr>
          <w:rFonts w:ascii="Times New Roman" w:hAnsi="Times New Roman"/>
        </w:rPr>
        <w:t>"</w:t>
      </w:r>
      <w:r w:rsidR="0016725C" w:rsidRPr="0026277C">
        <w:rPr>
          <w:rStyle w:val="FootnoteReference"/>
          <w:rFonts w:ascii="Times New Roman" w:hAnsi="Times New Roman"/>
          <w:sz w:val="24"/>
        </w:rPr>
        <w:footnoteReference w:id="32"/>
      </w:r>
      <w:r w:rsidR="0016725C" w:rsidRPr="0026277C">
        <w:rPr>
          <w:rFonts w:ascii="Times New Roman" w:hAnsi="Times New Roman"/>
        </w:rPr>
        <w:t>.</w:t>
      </w:r>
      <w:r w:rsidR="00847E3A" w:rsidRPr="0026277C">
        <w:rPr>
          <w:rFonts w:ascii="Times New Roman" w:hAnsi="Times New Roman"/>
        </w:rPr>
        <w:t xml:space="preserve"> </w:t>
      </w:r>
      <w:r w:rsidR="00293F01" w:rsidRPr="0026277C">
        <w:rPr>
          <w:rFonts w:ascii="Times New Roman" w:hAnsi="Times New Roman"/>
        </w:rPr>
        <w:t>While the concepts of standing and matter are not entirely co</w:t>
      </w:r>
      <w:r w:rsidR="00FB7DA1" w:rsidRPr="0026277C">
        <w:rPr>
          <w:rFonts w:ascii="Times New Roman" w:hAnsi="Times New Roman"/>
        </w:rPr>
        <w:noBreakHyphen/>
      </w:r>
      <w:r w:rsidR="00293F01" w:rsidRPr="0026277C">
        <w:rPr>
          <w:rFonts w:ascii="Times New Roman" w:hAnsi="Times New Roman"/>
        </w:rPr>
        <w:t>extensive, both are concerned to "mark out the boundaries of judicial power"</w:t>
      </w:r>
      <w:r w:rsidR="00F61468" w:rsidRPr="0026277C">
        <w:rPr>
          <w:rStyle w:val="FootnoteReference"/>
          <w:rFonts w:ascii="Times New Roman" w:hAnsi="Times New Roman"/>
          <w:sz w:val="24"/>
        </w:rPr>
        <w:footnoteReference w:id="33"/>
      </w:r>
      <w:r w:rsidR="00767D22" w:rsidRPr="0026277C">
        <w:rPr>
          <w:rFonts w:ascii="Times New Roman" w:hAnsi="Times New Roman"/>
        </w:rPr>
        <w:t>; their attempted severance is "conceptually awkward</w:t>
      </w:r>
      <w:r w:rsidR="00900A23" w:rsidRPr="0026277C">
        <w:rPr>
          <w:rFonts w:ascii="Times New Roman" w:hAnsi="Times New Roman"/>
        </w:rPr>
        <w:t>,</w:t>
      </w:r>
      <w:r w:rsidR="00767D22" w:rsidRPr="0026277C">
        <w:rPr>
          <w:rFonts w:ascii="Times New Roman" w:hAnsi="Times New Roman"/>
        </w:rPr>
        <w:t xml:space="preserve"> if not impossible"</w:t>
      </w:r>
      <w:r w:rsidR="00767D22" w:rsidRPr="0026277C">
        <w:rPr>
          <w:rStyle w:val="FootnoteReference"/>
          <w:rFonts w:ascii="Times New Roman" w:hAnsi="Times New Roman"/>
          <w:sz w:val="24"/>
        </w:rPr>
        <w:footnoteReference w:id="34"/>
      </w:r>
      <w:r w:rsidR="00293F01" w:rsidRPr="0026277C">
        <w:rPr>
          <w:rFonts w:ascii="Times New Roman" w:hAnsi="Times New Roman"/>
        </w:rPr>
        <w:t xml:space="preserve">. </w:t>
      </w:r>
    </w:p>
    <w:p w14:paraId="4B201B94" w14:textId="0D938BB4" w:rsidR="00D80794" w:rsidRPr="0026277C" w:rsidRDefault="00567367"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D80794" w:rsidRPr="0026277C">
        <w:rPr>
          <w:rFonts w:ascii="Times New Roman" w:hAnsi="Times New Roman"/>
        </w:rPr>
        <w:t>What is required to establish standing varies with the nature of the relief that is sought</w:t>
      </w:r>
      <w:r w:rsidR="00487739" w:rsidRPr="0026277C">
        <w:rPr>
          <w:rStyle w:val="FootnoteReference"/>
          <w:rFonts w:ascii="Times New Roman" w:hAnsi="Times New Roman"/>
          <w:sz w:val="24"/>
        </w:rPr>
        <w:footnoteReference w:id="35"/>
      </w:r>
      <w:r w:rsidR="004A349F" w:rsidRPr="0026277C">
        <w:rPr>
          <w:rFonts w:ascii="Times New Roman" w:hAnsi="Times New Roman"/>
        </w:rPr>
        <w:t xml:space="preserve"> and will a</w:t>
      </w:r>
      <w:r w:rsidR="002531EC" w:rsidRPr="0026277C">
        <w:rPr>
          <w:rFonts w:ascii="Times New Roman" w:hAnsi="Times New Roman"/>
        </w:rPr>
        <w:t>pply differently to different sorts of controversies</w:t>
      </w:r>
      <w:r w:rsidR="002531EC" w:rsidRPr="0026277C">
        <w:rPr>
          <w:rStyle w:val="FootnoteReference"/>
          <w:rFonts w:ascii="Times New Roman" w:hAnsi="Times New Roman"/>
          <w:sz w:val="24"/>
        </w:rPr>
        <w:footnoteReference w:id="36"/>
      </w:r>
      <w:r w:rsidR="00D80794" w:rsidRPr="0026277C">
        <w:rPr>
          <w:rFonts w:ascii="Times New Roman" w:hAnsi="Times New Roman"/>
        </w:rPr>
        <w:t>. Where, as here, the relief sought is declaratory</w:t>
      </w:r>
      <w:r w:rsidR="00F77EA7" w:rsidRPr="0026277C">
        <w:rPr>
          <w:rFonts w:ascii="Times New Roman" w:hAnsi="Times New Roman"/>
        </w:rPr>
        <w:t xml:space="preserve"> of the invalidity of legislation</w:t>
      </w:r>
      <w:r w:rsidR="00D80794" w:rsidRPr="0026277C">
        <w:rPr>
          <w:rFonts w:ascii="Times New Roman" w:hAnsi="Times New Roman"/>
        </w:rPr>
        <w:t>, standing has traditionally been explained in terms of a requirement for the party seeking the relief to have a "real" or "sufficient" interest in obtaining the relief</w:t>
      </w:r>
      <w:r w:rsidR="00D80794" w:rsidRPr="0026277C">
        <w:rPr>
          <w:rStyle w:val="FootnoteReference"/>
          <w:rFonts w:ascii="Times New Roman" w:hAnsi="Times New Roman"/>
          <w:sz w:val="24"/>
        </w:rPr>
        <w:footnoteReference w:id="37"/>
      </w:r>
      <w:r w:rsidR="00D80794" w:rsidRPr="0026277C">
        <w:rPr>
          <w:rFonts w:ascii="Times New Roman" w:hAnsi="Times New Roman"/>
        </w:rPr>
        <w:t>.</w:t>
      </w:r>
      <w:r w:rsidR="008F25DE" w:rsidRPr="0026277C">
        <w:rPr>
          <w:rFonts w:ascii="Times New Roman" w:hAnsi="Times New Roman"/>
        </w:rPr>
        <w:t xml:space="preserve"> </w:t>
      </w:r>
      <w:r w:rsidR="00D80794" w:rsidRPr="0026277C">
        <w:rPr>
          <w:rFonts w:ascii="Times New Roman" w:hAnsi="Times New Roman"/>
        </w:rPr>
        <w:t>Th</w:t>
      </w:r>
      <w:r w:rsidR="007E6D44" w:rsidRPr="0026277C">
        <w:rPr>
          <w:rFonts w:ascii="Times New Roman" w:hAnsi="Times New Roman"/>
        </w:rPr>
        <w:t>at</w:t>
      </w:r>
      <w:r w:rsidR="00655B0F" w:rsidRPr="0026277C">
        <w:rPr>
          <w:rFonts w:ascii="Times New Roman" w:hAnsi="Times New Roman"/>
        </w:rPr>
        <w:t> </w:t>
      </w:r>
      <w:r w:rsidR="00D80794" w:rsidRPr="0026277C">
        <w:rPr>
          <w:rFonts w:ascii="Times New Roman" w:hAnsi="Times New Roman"/>
        </w:rPr>
        <w:t>requirement is closely aligned with the</w:t>
      </w:r>
      <w:r w:rsidR="00347820" w:rsidRPr="0026277C">
        <w:rPr>
          <w:rFonts w:ascii="Times New Roman" w:hAnsi="Times New Roman"/>
        </w:rPr>
        <w:t xml:space="preserve"> requirement</w:t>
      </w:r>
      <w:r w:rsidR="00D80794" w:rsidRPr="0026277C">
        <w:rPr>
          <w:rFonts w:ascii="Times New Roman" w:hAnsi="Times New Roman"/>
        </w:rPr>
        <w:t xml:space="preserve"> that, for the making of a declaration to constitute an exercise of judicial power, the declaration must be seen at the time of its making to produce foreseeable consequences for the parties</w:t>
      </w:r>
      <w:r w:rsidR="00D80794" w:rsidRPr="0026277C">
        <w:rPr>
          <w:rStyle w:val="FootnoteReference"/>
          <w:rFonts w:ascii="Times New Roman" w:hAnsi="Times New Roman"/>
          <w:sz w:val="24"/>
        </w:rPr>
        <w:footnoteReference w:id="38"/>
      </w:r>
      <w:r w:rsidR="00D80794" w:rsidRPr="0026277C">
        <w:rPr>
          <w:rFonts w:ascii="Times New Roman" w:hAnsi="Times New Roman"/>
        </w:rPr>
        <w:t>.</w:t>
      </w:r>
    </w:p>
    <w:p w14:paraId="35A7F3CA" w14:textId="7F5C738C" w:rsidR="00D80794" w:rsidRPr="0026277C" w:rsidRDefault="00D87F83" w:rsidP="0026277C">
      <w:pPr>
        <w:pStyle w:val="FixListStyle"/>
        <w:spacing w:after="260" w:line="280" w:lineRule="exact"/>
        <w:ind w:right="0"/>
        <w:jc w:val="both"/>
        <w:rPr>
          <w:rFonts w:ascii="Times New Roman" w:hAnsi="Times New Roman"/>
        </w:rPr>
      </w:pPr>
      <w:r w:rsidRPr="0026277C">
        <w:rPr>
          <w:rFonts w:ascii="Times New Roman" w:hAnsi="Times New Roman"/>
        </w:rPr>
        <w:lastRenderedPageBreak/>
        <w:tab/>
      </w:r>
      <w:proofErr w:type="spellStart"/>
      <w:r w:rsidRPr="0026277C">
        <w:rPr>
          <w:rFonts w:ascii="Times New Roman" w:hAnsi="Times New Roman"/>
          <w:i/>
          <w:iCs/>
        </w:rPr>
        <w:t>Croome</w:t>
      </w:r>
      <w:proofErr w:type="spellEnd"/>
      <w:r w:rsidRPr="0026277C">
        <w:rPr>
          <w:rFonts w:ascii="Times New Roman" w:hAnsi="Times New Roman"/>
          <w:i/>
          <w:iCs/>
        </w:rPr>
        <w:t xml:space="preserve"> v Tasmania</w:t>
      </w:r>
      <w:r w:rsidRPr="0026277C">
        <w:rPr>
          <w:rStyle w:val="FootnoteReference"/>
          <w:rFonts w:ascii="Times New Roman" w:hAnsi="Times New Roman"/>
          <w:sz w:val="24"/>
        </w:rPr>
        <w:footnoteReference w:id="39"/>
      </w:r>
      <w:r w:rsidRPr="0026277C">
        <w:rPr>
          <w:rFonts w:ascii="Times New Roman" w:hAnsi="Times New Roman"/>
          <w:i/>
          <w:iCs/>
        </w:rPr>
        <w:t xml:space="preserve"> </w:t>
      </w:r>
      <w:r w:rsidRPr="0026277C">
        <w:rPr>
          <w:rFonts w:ascii="Times New Roman" w:hAnsi="Times New Roman"/>
        </w:rPr>
        <w:t>confirmed the "long-standing doctrine" that a "matter" can "consist of a controversy between a person who has a sufficient interest in the subject and who asserts that a purported law is invalid and the polity whose law it purports to be"</w:t>
      </w:r>
      <w:r w:rsidRPr="0026277C">
        <w:rPr>
          <w:rStyle w:val="FootnoteReference"/>
          <w:rFonts w:ascii="Times New Roman" w:hAnsi="Times New Roman"/>
          <w:sz w:val="24"/>
        </w:rPr>
        <w:footnoteReference w:id="40"/>
      </w:r>
      <w:r w:rsidRPr="0026277C">
        <w:rPr>
          <w:rFonts w:ascii="Times New Roman" w:hAnsi="Times New Roman"/>
        </w:rPr>
        <w:t xml:space="preserve">. </w:t>
      </w:r>
      <w:r w:rsidR="0018017F" w:rsidRPr="0026277C">
        <w:rPr>
          <w:rFonts w:ascii="Times New Roman" w:hAnsi="Times New Roman"/>
        </w:rPr>
        <w:t>The suff</w:t>
      </w:r>
      <w:r w:rsidR="006C59B0" w:rsidRPr="0026277C">
        <w:rPr>
          <w:rFonts w:ascii="Times New Roman" w:hAnsi="Times New Roman"/>
        </w:rPr>
        <w:t>iciency</w:t>
      </w:r>
      <w:r w:rsidR="0018017F" w:rsidRPr="0026277C">
        <w:rPr>
          <w:rFonts w:ascii="Times New Roman" w:hAnsi="Times New Roman"/>
        </w:rPr>
        <w:t xml:space="preserve"> of the </w:t>
      </w:r>
      <w:r w:rsidR="006C59B0" w:rsidRPr="0026277C">
        <w:rPr>
          <w:rFonts w:ascii="Times New Roman" w:hAnsi="Times New Roman"/>
        </w:rPr>
        <w:t>interest</w:t>
      </w:r>
      <w:r w:rsidR="003B061E" w:rsidRPr="0026277C">
        <w:rPr>
          <w:rFonts w:ascii="Times New Roman" w:hAnsi="Times New Roman"/>
        </w:rPr>
        <w:t xml:space="preserve"> in such a case provides</w:t>
      </w:r>
      <w:r w:rsidR="002B012D" w:rsidRPr="0026277C">
        <w:rPr>
          <w:rFonts w:ascii="Times New Roman" w:hAnsi="Times New Roman"/>
        </w:rPr>
        <w:t xml:space="preserve"> </w:t>
      </w:r>
      <w:r w:rsidR="006C59B0" w:rsidRPr="0026277C">
        <w:rPr>
          <w:rFonts w:ascii="Times New Roman" w:hAnsi="Times New Roman"/>
        </w:rPr>
        <w:t>standing</w:t>
      </w:r>
      <w:r w:rsidR="002B012D" w:rsidRPr="0026277C">
        <w:rPr>
          <w:rFonts w:ascii="Times New Roman" w:hAnsi="Times New Roman"/>
        </w:rPr>
        <w:t xml:space="preserve"> to seek a declaration that the law is invalid. </w:t>
      </w:r>
      <w:r w:rsidRPr="0026277C">
        <w:rPr>
          <w:rFonts w:ascii="Times New Roman" w:hAnsi="Times New Roman"/>
        </w:rPr>
        <w:t xml:space="preserve">The immediate right, duty or liability to be established by the determination of the Court </w:t>
      </w:r>
      <w:r w:rsidR="00677EB7" w:rsidRPr="0026277C">
        <w:rPr>
          <w:rFonts w:ascii="Times New Roman" w:hAnsi="Times New Roman"/>
        </w:rPr>
        <w:t xml:space="preserve">is </w:t>
      </w:r>
      <w:r w:rsidRPr="0026277C">
        <w:rPr>
          <w:rFonts w:ascii="Times New Roman" w:hAnsi="Times New Roman"/>
        </w:rPr>
        <w:t>the right to the declaration sought</w:t>
      </w:r>
      <w:r w:rsidRPr="0026277C">
        <w:rPr>
          <w:rStyle w:val="FootnoteReference"/>
          <w:rFonts w:ascii="Times New Roman" w:hAnsi="Times New Roman"/>
          <w:sz w:val="24"/>
        </w:rPr>
        <w:footnoteReference w:id="41"/>
      </w:r>
      <w:r w:rsidRPr="0026277C">
        <w:rPr>
          <w:rFonts w:ascii="Times New Roman" w:hAnsi="Times New Roman"/>
        </w:rPr>
        <w:t xml:space="preserve">. The law that is administered by the Court is the </w:t>
      </w:r>
      <w:r w:rsidRPr="0026277C">
        <w:rPr>
          <w:rFonts w:ascii="Times New Roman" w:hAnsi="Times New Roman"/>
          <w:i/>
          <w:iCs/>
        </w:rPr>
        <w:t>Constitution</w:t>
      </w:r>
      <w:r w:rsidRPr="0026277C">
        <w:rPr>
          <w:rStyle w:val="FootnoteReference"/>
          <w:rFonts w:ascii="Times New Roman" w:hAnsi="Times New Roman"/>
          <w:sz w:val="24"/>
        </w:rPr>
        <w:footnoteReference w:id="42"/>
      </w:r>
      <w:r w:rsidRPr="0026277C">
        <w:rPr>
          <w:rFonts w:ascii="Times New Roman" w:hAnsi="Times New Roman"/>
        </w:rPr>
        <w:t>.</w:t>
      </w:r>
    </w:p>
    <w:p w14:paraId="50CF58B7" w14:textId="452B019B" w:rsidR="00FF6782" w:rsidRPr="0026277C" w:rsidRDefault="00FF6782"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42433E" w:rsidRPr="0026277C">
        <w:rPr>
          <w:rFonts w:ascii="Times New Roman" w:hAnsi="Times New Roman"/>
        </w:rPr>
        <w:t>As t</w:t>
      </w:r>
      <w:r w:rsidRPr="0026277C">
        <w:rPr>
          <w:rFonts w:ascii="Times New Roman" w:hAnsi="Times New Roman"/>
        </w:rPr>
        <w:t xml:space="preserve">he standing of a party to seek </w:t>
      </w:r>
      <w:r w:rsidR="00862054" w:rsidRPr="0026277C">
        <w:rPr>
          <w:rFonts w:ascii="Times New Roman" w:hAnsi="Times New Roman"/>
        </w:rPr>
        <w:t xml:space="preserve">declaratory </w:t>
      </w:r>
      <w:r w:rsidRPr="0026277C">
        <w:rPr>
          <w:rFonts w:ascii="Times New Roman" w:hAnsi="Times New Roman"/>
        </w:rPr>
        <w:t xml:space="preserve">relief </w:t>
      </w:r>
      <w:r w:rsidR="0042433E" w:rsidRPr="0026277C">
        <w:rPr>
          <w:rFonts w:ascii="Times New Roman" w:hAnsi="Times New Roman"/>
        </w:rPr>
        <w:t xml:space="preserve">depends </w:t>
      </w:r>
      <w:r w:rsidRPr="0026277C">
        <w:rPr>
          <w:rFonts w:ascii="Times New Roman" w:hAnsi="Times New Roman"/>
        </w:rPr>
        <w:t xml:space="preserve">on the sufficiency of the interest of that party in obtaining that relief, </w:t>
      </w:r>
      <w:r w:rsidR="0042433E" w:rsidRPr="0026277C">
        <w:rPr>
          <w:rFonts w:ascii="Times New Roman" w:hAnsi="Times New Roman"/>
        </w:rPr>
        <w:t xml:space="preserve">a </w:t>
      </w:r>
      <w:r w:rsidRPr="0026277C">
        <w:rPr>
          <w:rFonts w:ascii="Times New Roman" w:hAnsi="Times New Roman"/>
        </w:rPr>
        <w:t>sufficien</w:t>
      </w:r>
      <w:r w:rsidR="008272EF" w:rsidRPr="0026277C">
        <w:rPr>
          <w:rFonts w:ascii="Times New Roman" w:hAnsi="Times New Roman"/>
        </w:rPr>
        <w:t>t</w:t>
      </w:r>
      <w:r w:rsidR="0042433E" w:rsidRPr="0026277C">
        <w:rPr>
          <w:rFonts w:ascii="Times New Roman" w:hAnsi="Times New Roman"/>
        </w:rPr>
        <w:t xml:space="preserve"> </w:t>
      </w:r>
      <w:r w:rsidRPr="0026277C">
        <w:rPr>
          <w:rFonts w:ascii="Times New Roman" w:hAnsi="Times New Roman"/>
        </w:rPr>
        <w:t xml:space="preserve">interest </w:t>
      </w:r>
      <w:r w:rsidR="008272EF" w:rsidRPr="0026277C">
        <w:rPr>
          <w:rFonts w:ascii="Times New Roman" w:hAnsi="Times New Roman"/>
        </w:rPr>
        <w:t xml:space="preserve">must continue to subsist </w:t>
      </w:r>
      <w:r w:rsidR="00ED5729" w:rsidRPr="0026277C">
        <w:rPr>
          <w:rFonts w:ascii="Times New Roman" w:hAnsi="Times New Roman"/>
        </w:rPr>
        <w:t>up until</w:t>
      </w:r>
      <w:r w:rsidR="008272EF" w:rsidRPr="0026277C">
        <w:rPr>
          <w:rFonts w:ascii="Times New Roman" w:hAnsi="Times New Roman"/>
        </w:rPr>
        <w:t xml:space="preserve"> the time at which </w:t>
      </w:r>
      <w:r w:rsidR="003943CC" w:rsidRPr="0026277C">
        <w:rPr>
          <w:rFonts w:ascii="Times New Roman" w:hAnsi="Times New Roman"/>
        </w:rPr>
        <w:t>relief is granted or refused. If</w:t>
      </w:r>
      <w:r w:rsidR="00ED5729" w:rsidRPr="0026277C">
        <w:rPr>
          <w:rFonts w:ascii="Times New Roman" w:hAnsi="Times New Roman"/>
        </w:rPr>
        <w:t>,</w:t>
      </w:r>
      <w:r w:rsidR="003943CC" w:rsidRPr="0026277C">
        <w:rPr>
          <w:rFonts w:ascii="Times New Roman" w:hAnsi="Times New Roman"/>
        </w:rPr>
        <w:t xml:space="preserve"> </w:t>
      </w:r>
      <w:r w:rsidR="00536031" w:rsidRPr="0026277C">
        <w:rPr>
          <w:rFonts w:ascii="Times New Roman" w:hAnsi="Times New Roman"/>
        </w:rPr>
        <w:t xml:space="preserve">after the commencement of a proceeding, </w:t>
      </w:r>
      <w:r w:rsidR="001465D8" w:rsidRPr="0026277C">
        <w:rPr>
          <w:rFonts w:ascii="Times New Roman" w:hAnsi="Times New Roman"/>
        </w:rPr>
        <w:t xml:space="preserve">a </w:t>
      </w:r>
      <w:r w:rsidR="003A3415" w:rsidRPr="0026277C">
        <w:rPr>
          <w:rFonts w:ascii="Times New Roman" w:hAnsi="Times New Roman"/>
        </w:rPr>
        <w:t xml:space="preserve">party </w:t>
      </w:r>
      <w:r w:rsidRPr="0026277C">
        <w:rPr>
          <w:rFonts w:ascii="Times New Roman" w:hAnsi="Times New Roman"/>
        </w:rPr>
        <w:t>cease</w:t>
      </w:r>
      <w:r w:rsidR="003943CC" w:rsidRPr="0026277C">
        <w:rPr>
          <w:rFonts w:ascii="Times New Roman" w:hAnsi="Times New Roman"/>
        </w:rPr>
        <w:t>s</w:t>
      </w:r>
      <w:r w:rsidRPr="0026277C">
        <w:rPr>
          <w:rFonts w:ascii="Times New Roman" w:hAnsi="Times New Roman"/>
        </w:rPr>
        <w:t xml:space="preserve"> to </w:t>
      </w:r>
      <w:r w:rsidR="003A3415" w:rsidRPr="0026277C">
        <w:rPr>
          <w:rFonts w:ascii="Times New Roman" w:hAnsi="Times New Roman"/>
        </w:rPr>
        <w:t>have</w:t>
      </w:r>
      <w:r w:rsidR="009564E5" w:rsidRPr="0026277C">
        <w:rPr>
          <w:rFonts w:ascii="Times New Roman" w:hAnsi="Times New Roman"/>
        </w:rPr>
        <w:t xml:space="preserve"> </w:t>
      </w:r>
      <w:r w:rsidR="001B0F63" w:rsidRPr="0026277C">
        <w:rPr>
          <w:rFonts w:ascii="Times New Roman" w:hAnsi="Times New Roman"/>
        </w:rPr>
        <w:t xml:space="preserve">a </w:t>
      </w:r>
      <w:r w:rsidRPr="0026277C">
        <w:rPr>
          <w:rFonts w:ascii="Times New Roman" w:hAnsi="Times New Roman"/>
        </w:rPr>
        <w:t xml:space="preserve">sufficient </w:t>
      </w:r>
      <w:r w:rsidR="00925332" w:rsidRPr="0026277C">
        <w:rPr>
          <w:rFonts w:ascii="Times New Roman" w:hAnsi="Times New Roman"/>
        </w:rPr>
        <w:t>interest in obtaining the relief sought</w:t>
      </w:r>
      <w:r w:rsidR="00736DDC" w:rsidRPr="0026277C">
        <w:rPr>
          <w:rFonts w:ascii="Times New Roman" w:hAnsi="Times New Roman"/>
        </w:rPr>
        <w:t xml:space="preserve">, that party no longer has standing to obtain that relief, </w:t>
      </w:r>
      <w:r w:rsidRPr="0026277C">
        <w:rPr>
          <w:rFonts w:ascii="Times New Roman" w:hAnsi="Times New Roman"/>
        </w:rPr>
        <w:t>the "matter" cease</w:t>
      </w:r>
      <w:r w:rsidR="00736DDC" w:rsidRPr="0026277C">
        <w:rPr>
          <w:rFonts w:ascii="Times New Roman" w:hAnsi="Times New Roman"/>
        </w:rPr>
        <w:t>s</w:t>
      </w:r>
      <w:r w:rsidRPr="0026277C">
        <w:rPr>
          <w:rFonts w:ascii="Times New Roman" w:hAnsi="Times New Roman"/>
        </w:rPr>
        <w:t xml:space="preserve"> to exist and, in consequence, the jurisdiction of the Court </w:t>
      </w:r>
      <w:r w:rsidR="00120B10" w:rsidRPr="0026277C">
        <w:rPr>
          <w:rFonts w:ascii="Times New Roman" w:hAnsi="Times New Roman"/>
        </w:rPr>
        <w:t>come</w:t>
      </w:r>
      <w:r w:rsidR="00B00722" w:rsidRPr="0026277C">
        <w:rPr>
          <w:rFonts w:ascii="Times New Roman" w:hAnsi="Times New Roman"/>
        </w:rPr>
        <w:t>s</w:t>
      </w:r>
      <w:r w:rsidR="00120B10" w:rsidRPr="0026277C">
        <w:rPr>
          <w:rFonts w:ascii="Times New Roman" w:hAnsi="Times New Roman"/>
        </w:rPr>
        <w:t xml:space="preserve"> to an end</w:t>
      </w:r>
      <w:r w:rsidRPr="0026277C">
        <w:rPr>
          <w:rFonts w:ascii="Times New Roman" w:hAnsi="Times New Roman"/>
        </w:rPr>
        <w:t>.</w:t>
      </w:r>
      <w:r w:rsidR="00BB547B" w:rsidRPr="0026277C">
        <w:rPr>
          <w:rFonts w:ascii="Times New Roman" w:hAnsi="Times New Roman"/>
        </w:rPr>
        <w:t xml:space="preserve"> But that is not to say that the interest must remain the same throughout the proceeding; the nature of a party's interest may change but still remain sufficient.</w:t>
      </w:r>
    </w:p>
    <w:p w14:paraId="30C42D74" w14:textId="19E989EB" w:rsidR="00FF6782" w:rsidRPr="0026277C" w:rsidRDefault="00FF6782"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592CA6" w:rsidRPr="0026277C">
        <w:rPr>
          <w:rFonts w:ascii="Times New Roman" w:hAnsi="Times New Roman"/>
        </w:rPr>
        <w:t xml:space="preserve">The need for standing, as a component of a "matter", to continue to exist throughout a proceeding for the Court to have jurisdiction to continue to entertain the proceeding is consistent with the settled understanding that a </w:t>
      </w:r>
      <w:r w:rsidR="0013668C" w:rsidRPr="0026277C">
        <w:rPr>
          <w:rFonts w:ascii="Times New Roman" w:hAnsi="Times New Roman"/>
        </w:rPr>
        <w:t>"</w:t>
      </w:r>
      <w:r w:rsidR="00592CA6" w:rsidRPr="0026277C">
        <w:rPr>
          <w:rFonts w:ascii="Times New Roman" w:hAnsi="Times New Roman"/>
        </w:rPr>
        <w:t>matter</w:t>
      </w:r>
      <w:r w:rsidR="0013668C" w:rsidRPr="0026277C">
        <w:rPr>
          <w:rFonts w:ascii="Times New Roman" w:hAnsi="Times New Roman"/>
        </w:rPr>
        <w:t>"</w:t>
      </w:r>
      <w:r w:rsidR="00592CA6" w:rsidRPr="0026277C">
        <w:rPr>
          <w:rFonts w:ascii="Times New Roman" w:hAnsi="Times New Roman"/>
        </w:rPr>
        <w:t xml:space="preserve"> </w:t>
      </w:r>
      <w:r w:rsidR="00AF799F" w:rsidRPr="0026277C">
        <w:rPr>
          <w:rFonts w:ascii="Times New Roman" w:hAnsi="Times New Roman"/>
        </w:rPr>
        <w:t>i</w:t>
      </w:r>
      <w:r w:rsidR="0013668C" w:rsidRPr="0026277C">
        <w:rPr>
          <w:rFonts w:ascii="Times New Roman" w:hAnsi="Times New Roman"/>
        </w:rPr>
        <w:t xml:space="preserve">s a </w:t>
      </w:r>
      <w:r w:rsidR="00D52BE8" w:rsidRPr="0026277C">
        <w:rPr>
          <w:rFonts w:ascii="Times New Roman" w:hAnsi="Times New Roman"/>
        </w:rPr>
        <w:t>justiciable controv</w:t>
      </w:r>
      <w:r w:rsidR="004F2627" w:rsidRPr="0026277C">
        <w:rPr>
          <w:rFonts w:ascii="Times New Roman" w:hAnsi="Times New Roman"/>
        </w:rPr>
        <w:t xml:space="preserve">ersy </w:t>
      </w:r>
      <w:r w:rsidR="006507B6" w:rsidRPr="0026277C">
        <w:rPr>
          <w:rFonts w:ascii="Times New Roman" w:hAnsi="Times New Roman"/>
        </w:rPr>
        <w:t>identifiable</w:t>
      </w:r>
      <w:r w:rsidR="00592CA6" w:rsidRPr="0026277C">
        <w:rPr>
          <w:rFonts w:ascii="Times New Roman" w:hAnsi="Times New Roman"/>
        </w:rPr>
        <w:t xml:space="preserve"> independently of a proceeding</w:t>
      </w:r>
      <w:r w:rsidR="00592CA6" w:rsidRPr="0026277C">
        <w:rPr>
          <w:rStyle w:val="FootnoteReference"/>
          <w:rFonts w:ascii="Times New Roman" w:hAnsi="Times New Roman"/>
          <w:sz w:val="24"/>
        </w:rPr>
        <w:footnoteReference w:id="43"/>
      </w:r>
      <w:r w:rsidR="00592CA6" w:rsidRPr="0026277C">
        <w:rPr>
          <w:rFonts w:ascii="Times New Roman" w:hAnsi="Times New Roman"/>
        </w:rPr>
        <w:t>. If a "matter" can exist whether or not a proceeding has been commenced, a "matter" can cease to exist after a proceeding has been commenced.</w:t>
      </w:r>
    </w:p>
    <w:p w14:paraId="61E57842" w14:textId="72352529" w:rsidR="007D397A" w:rsidRPr="0026277C" w:rsidRDefault="00FD646C"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BC0E4F" w:rsidRPr="0026277C">
        <w:rPr>
          <w:rFonts w:ascii="Times New Roman" w:hAnsi="Times New Roman"/>
        </w:rPr>
        <w:t xml:space="preserve">In this case, </w:t>
      </w:r>
      <w:r w:rsidR="00260A24" w:rsidRPr="0026277C">
        <w:rPr>
          <w:rFonts w:ascii="Times New Roman" w:hAnsi="Times New Roman"/>
        </w:rPr>
        <w:t xml:space="preserve">the question </w:t>
      </w:r>
      <w:r w:rsidR="00D20A1C" w:rsidRPr="0026277C">
        <w:rPr>
          <w:rFonts w:ascii="Times New Roman" w:hAnsi="Times New Roman"/>
        </w:rPr>
        <w:t>whether there is a justiciable controversy in relation to the constitutional validity of a law – s 35 of the EF Act – that was repealed after the proceeding had been filed is able to be addressed by asking if the applicable principles permit the plaintiffs to seek a declaration of invalidity.</w:t>
      </w:r>
    </w:p>
    <w:p w14:paraId="64ABCF4F" w14:textId="1302A08B" w:rsidR="00B156A7" w:rsidRPr="0026277C" w:rsidRDefault="00223FF4" w:rsidP="0026277C">
      <w:pPr>
        <w:pStyle w:val="HeadingL2"/>
        <w:spacing w:after="260" w:line="280" w:lineRule="exact"/>
        <w:ind w:right="0"/>
        <w:jc w:val="both"/>
        <w:rPr>
          <w:rFonts w:ascii="Times New Roman" w:hAnsi="Times New Roman"/>
        </w:rPr>
      </w:pPr>
      <w:r w:rsidRPr="0026277C">
        <w:rPr>
          <w:rFonts w:ascii="Times New Roman" w:hAnsi="Times New Roman"/>
        </w:rPr>
        <w:lastRenderedPageBreak/>
        <w:t>Standing</w:t>
      </w:r>
      <w:r w:rsidR="00B156A7" w:rsidRPr="0026277C">
        <w:rPr>
          <w:rFonts w:ascii="Times New Roman" w:hAnsi="Times New Roman"/>
        </w:rPr>
        <w:t xml:space="preserve"> </w:t>
      </w:r>
      <w:r w:rsidR="00530BDE" w:rsidRPr="0026277C">
        <w:rPr>
          <w:rFonts w:ascii="Times New Roman" w:hAnsi="Times New Roman"/>
        </w:rPr>
        <w:t xml:space="preserve">to seek a declaration </w:t>
      </w:r>
    </w:p>
    <w:p w14:paraId="731CE733" w14:textId="206D12DD" w:rsidR="00B74C2E" w:rsidRPr="0026277C" w:rsidRDefault="00D5005C"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7C61F1" w:rsidRPr="0026277C">
        <w:rPr>
          <w:rFonts w:ascii="Times New Roman" w:hAnsi="Times New Roman"/>
        </w:rPr>
        <w:t xml:space="preserve">A plaintiff will have </w:t>
      </w:r>
      <w:r w:rsidR="007072DA" w:rsidRPr="0026277C">
        <w:rPr>
          <w:rFonts w:ascii="Times New Roman" w:hAnsi="Times New Roman"/>
        </w:rPr>
        <w:t xml:space="preserve">and maintain </w:t>
      </w:r>
      <w:r w:rsidR="007C61F1" w:rsidRPr="0026277C">
        <w:rPr>
          <w:rFonts w:ascii="Times New Roman" w:hAnsi="Times New Roman"/>
        </w:rPr>
        <w:t xml:space="preserve">a </w:t>
      </w:r>
      <w:r w:rsidR="00221F4B" w:rsidRPr="0026277C">
        <w:rPr>
          <w:rFonts w:ascii="Times New Roman" w:hAnsi="Times New Roman"/>
        </w:rPr>
        <w:t xml:space="preserve">real or </w:t>
      </w:r>
      <w:r w:rsidR="007C61F1" w:rsidRPr="0026277C">
        <w:rPr>
          <w:rFonts w:ascii="Times New Roman" w:hAnsi="Times New Roman"/>
        </w:rPr>
        <w:t>sufficient</w:t>
      </w:r>
      <w:r w:rsidR="00F40FA3" w:rsidRPr="0026277C">
        <w:rPr>
          <w:rFonts w:ascii="Times New Roman" w:hAnsi="Times New Roman"/>
        </w:rPr>
        <w:t xml:space="preserve"> </w:t>
      </w:r>
      <w:r w:rsidR="007C61F1" w:rsidRPr="0026277C">
        <w:rPr>
          <w:rFonts w:ascii="Times New Roman" w:hAnsi="Times New Roman"/>
        </w:rPr>
        <w:t xml:space="preserve">interest </w:t>
      </w:r>
      <w:r w:rsidR="008D7052" w:rsidRPr="0026277C">
        <w:rPr>
          <w:rFonts w:ascii="Times New Roman" w:hAnsi="Times New Roman"/>
        </w:rPr>
        <w:t>in obtaining relief</w:t>
      </w:r>
      <w:r w:rsidR="0079378C" w:rsidRPr="0026277C">
        <w:rPr>
          <w:rFonts w:ascii="Times New Roman" w:hAnsi="Times New Roman"/>
        </w:rPr>
        <w:t xml:space="preserve"> if and for so long as</w:t>
      </w:r>
      <w:r w:rsidR="002B2C61" w:rsidRPr="0026277C">
        <w:rPr>
          <w:rFonts w:ascii="Times New Roman" w:hAnsi="Times New Roman"/>
        </w:rPr>
        <w:t xml:space="preserve"> </w:t>
      </w:r>
      <w:r w:rsidR="00E152BA" w:rsidRPr="0026277C">
        <w:rPr>
          <w:rFonts w:ascii="Times New Roman" w:hAnsi="Times New Roman"/>
        </w:rPr>
        <w:t>they</w:t>
      </w:r>
      <w:r w:rsidR="000C0F2A" w:rsidRPr="0026277C">
        <w:rPr>
          <w:rFonts w:ascii="Times New Roman" w:hAnsi="Times New Roman"/>
        </w:rPr>
        <w:t xml:space="preserve"> </w:t>
      </w:r>
      <w:r w:rsidR="007C61F1" w:rsidRPr="0026277C">
        <w:rPr>
          <w:rFonts w:ascii="Times New Roman" w:hAnsi="Times New Roman"/>
        </w:rPr>
        <w:t>seek</w:t>
      </w:r>
      <w:r w:rsidR="00E152BA" w:rsidRPr="0026277C">
        <w:rPr>
          <w:rFonts w:ascii="Times New Roman" w:hAnsi="Times New Roman"/>
        </w:rPr>
        <w:t xml:space="preserve"> </w:t>
      </w:r>
      <w:r w:rsidR="007C61F1" w:rsidRPr="0026277C">
        <w:rPr>
          <w:rFonts w:ascii="Times New Roman" w:hAnsi="Times New Roman"/>
        </w:rPr>
        <w:t>a declaration of their own</w:t>
      </w:r>
      <w:r w:rsidR="00172A5E" w:rsidRPr="0026277C">
        <w:rPr>
          <w:rFonts w:ascii="Times New Roman" w:hAnsi="Times New Roman"/>
        </w:rPr>
        <w:t xml:space="preserve"> </w:t>
      </w:r>
      <w:r w:rsidR="007C61F1" w:rsidRPr="0026277C">
        <w:rPr>
          <w:rFonts w:ascii="Times New Roman" w:hAnsi="Times New Roman"/>
        </w:rPr>
        <w:t xml:space="preserve">rights, </w:t>
      </w:r>
      <w:r w:rsidR="00C75744" w:rsidRPr="0026277C">
        <w:rPr>
          <w:rFonts w:ascii="Times New Roman" w:hAnsi="Times New Roman"/>
        </w:rPr>
        <w:t xml:space="preserve">legal </w:t>
      </w:r>
      <w:r w:rsidR="007C61F1" w:rsidRPr="0026277C">
        <w:rPr>
          <w:rFonts w:ascii="Times New Roman" w:hAnsi="Times New Roman"/>
        </w:rPr>
        <w:t xml:space="preserve">interests </w:t>
      </w:r>
      <w:r w:rsidR="00EB1274" w:rsidRPr="0026277C">
        <w:rPr>
          <w:rFonts w:ascii="Times New Roman" w:hAnsi="Times New Roman"/>
        </w:rPr>
        <w:t xml:space="preserve">or </w:t>
      </w:r>
      <w:r w:rsidR="007C61F1" w:rsidRPr="0026277C">
        <w:rPr>
          <w:rFonts w:ascii="Times New Roman" w:hAnsi="Times New Roman"/>
        </w:rPr>
        <w:t>liabilities</w:t>
      </w:r>
      <w:r w:rsidR="00EB1274" w:rsidRPr="0026277C">
        <w:rPr>
          <w:rFonts w:ascii="Times New Roman" w:hAnsi="Times New Roman"/>
        </w:rPr>
        <w:t xml:space="preserve">, or </w:t>
      </w:r>
      <w:r w:rsidR="004479C6" w:rsidRPr="0026277C">
        <w:rPr>
          <w:rFonts w:ascii="Times New Roman" w:hAnsi="Times New Roman"/>
        </w:rPr>
        <w:t>if and for so long as</w:t>
      </w:r>
      <w:r w:rsidR="00EB1274" w:rsidRPr="0026277C">
        <w:rPr>
          <w:rFonts w:ascii="Times New Roman" w:hAnsi="Times New Roman"/>
        </w:rPr>
        <w:t xml:space="preserve"> the declaration sought will directly affect their rights, </w:t>
      </w:r>
      <w:r w:rsidR="00C75744" w:rsidRPr="0026277C">
        <w:rPr>
          <w:rFonts w:ascii="Times New Roman" w:hAnsi="Times New Roman"/>
        </w:rPr>
        <w:t xml:space="preserve">legal </w:t>
      </w:r>
      <w:r w:rsidR="00EB1274" w:rsidRPr="0026277C">
        <w:rPr>
          <w:rFonts w:ascii="Times New Roman" w:hAnsi="Times New Roman"/>
        </w:rPr>
        <w:t>interests or liabilities</w:t>
      </w:r>
      <w:r w:rsidR="007C61F1" w:rsidRPr="0026277C">
        <w:rPr>
          <w:rStyle w:val="FootnoteReference"/>
          <w:rFonts w:ascii="Times New Roman" w:hAnsi="Times New Roman"/>
          <w:sz w:val="24"/>
        </w:rPr>
        <w:footnoteReference w:id="44"/>
      </w:r>
      <w:r w:rsidR="007C61F1" w:rsidRPr="0026277C">
        <w:rPr>
          <w:rFonts w:ascii="Times New Roman" w:hAnsi="Times New Roman"/>
        </w:rPr>
        <w:t xml:space="preserve">. </w:t>
      </w:r>
      <w:r w:rsidR="00B40102" w:rsidRPr="0026277C">
        <w:rPr>
          <w:rFonts w:ascii="Times New Roman" w:hAnsi="Times New Roman"/>
        </w:rPr>
        <w:t>G</w:t>
      </w:r>
      <w:r w:rsidR="007C61F1" w:rsidRPr="0026277C">
        <w:rPr>
          <w:rFonts w:ascii="Times New Roman" w:hAnsi="Times New Roman"/>
        </w:rPr>
        <w:t>enerally</w:t>
      </w:r>
      <w:r w:rsidR="0079506B" w:rsidRPr="0026277C">
        <w:rPr>
          <w:rFonts w:ascii="Times New Roman" w:hAnsi="Times New Roman"/>
        </w:rPr>
        <w:t>,</w:t>
      </w:r>
      <w:r w:rsidR="007C61F1" w:rsidRPr="0026277C">
        <w:rPr>
          <w:rFonts w:ascii="Times New Roman" w:hAnsi="Times New Roman"/>
        </w:rPr>
        <w:t xml:space="preserve"> such a declaration will have foreseeable consequences for the plaintiff because they will be able to legally enforce those rights, interests or liabilities. </w:t>
      </w:r>
      <w:r w:rsidR="003C5618" w:rsidRPr="0026277C">
        <w:rPr>
          <w:rFonts w:ascii="Times New Roman" w:hAnsi="Times New Roman"/>
        </w:rPr>
        <w:t>So, for example, a</w:t>
      </w:r>
      <w:r w:rsidR="007C61F1" w:rsidRPr="0026277C">
        <w:rPr>
          <w:rFonts w:ascii="Times New Roman" w:hAnsi="Times New Roman"/>
        </w:rPr>
        <w:t xml:space="preserve"> declaration of </w:t>
      </w:r>
      <w:r w:rsidR="00AD231F" w:rsidRPr="0026277C">
        <w:rPr>
          <w:rFonts w:ascii="Times New Roman" w:hAnsi="Times New Roman"/>
        </w:rPr>
        <w:t xml:space="preserve">invalidity of a </w:t>
      </w:r>
      <w:r w:rsidR="00B409F7" w:rsidRPr="0026277C">
        <w:rPr>
          <w:rFonts w:ascii="Times New Roman" w:hAnsi="Times New Roman"/>
        </w:rPr>
        <w:t xml:space="preserve">law </w:t>
      </w:r>
      <w:r w:rsidR="007C61F1" w:rsidRPr="0026277C">
        <w:rPr>
          <w:rFonts w:ascii="Times New Roman" w:hAnsi="Times New Roman"/>
        </w:rPr>
        <w:t xml:space="preserve">(even where the law has </w:t>
      </w:r>
      <w:r w:rsidR="00B92838" w:rsidRPr="0026277C">
        <w:rPr>
          <w:rFonts w:ascii="Times New Roman" w:hAnsi="Times New Roman"/>
        </w:rPr>
        <w:t>been repealed or amended</w:t>
      </w:r>
      <w:r w:rsidR="007C61F1" w:rsidRPr="0026277C">
        <w:rPr>
          <w:rFonts w:ascii="Times New Roman" w:hAnsi="Times New Roman"/>
        </w:rPr>
        <w:t xml:space="preserve">) may have foreseeable consequences </w:t>
      </w:r>
      <w:r w:rsidR="00B92838" w:rsidRPr="0026277C">
        <w:rPr>
          <w:rFonts w:ascii="Times New Roman" w:hAnsi="Times New Roman"/>
        </w:rPr>
        <w:t xml:space="preserve">for that </w:t>
      </w:r>
      <w:r w:rsidR="00B622FA" w:rsidRPr="0026277C">
        <w:rPr>
          <w:rFonts w:ascii="Times New Roman" w:hAnsi="Times New Roman"/>
        </w:rPr>
        <w:t xml:space="preserve">plaintiff </w:t>
      </w:r>
      <w:r w:rsidR="00B518D8" w:rsidRPr="0026277C">
        <w:rPr>
          <w:rFonts w:ascii="Times New Roman" w:hAnsi="Times New Roman"/>
        </w:rPr>
        <w:t xml:space="preserve">where such a declaration </w:t>
      </w:r>
      <w:r w:rsidR="007C61F1" w:rsidRPr="0026277C">
        <w:rPr>
          <w:rFonts w:ascii="Times New Roman" w:hAnsi="Times New Roman"/>
        </w:rPr>
        <w:t>assist</w:t>
      </w:r>
      <w:r w:rsidR="00B518D8" w:rsidRPr="0026277C">
        <w:rPr>
          <w:rFonts w:ascii="Times New Roman" w:hAnsi="Times New Roman"/>
        </w:rPr>
        <w:t xml:space="preserve">s </w:t>
      </w:r>
      <w:r w:rsidR="007C61F1" w:rsidRPr="0026277C">
        <w:rPr>
          <w:rFonts w:ascii="Times New Roman" w:hAnsi="Times New Roman"/>
        </w:rPr>
        <w:t xml:space="preserve">to </w:t>
      </w:r>
      <w:r w:rsidR="00D954AF" w:rsidRPr="0026277C">
        <w:rPr>
          <w:rFonts w:ascii="Times New Roman" w:hAnsi="Times New Roman"/>
        </w:rPr>
        <w:t xml:space="preserve">negative a </w:t>
      </w:r>
      <w:r w:rsidR="000511D9" w:rsidRPr="0026277C">
        <w:rPr>
          <w:rFonts w:ascii="Times New Roman" w:hAnsi="Times New Roman"/>
        </w:rPr>
        <w:t xml:space="preserve">statutory </w:t>
      </w:r>
      <w:r w:rsidR="00D954AF" w:rsidRPr="0026277C">
        <w:rPr>
          <w:rFonts w:ascii="Times New Roman" w:hAnsi="Times New Roman"/>
        </w:rPr>
        <w:t>defence to a common law</w:t>
      </w:r>
      <w:r w:rsidR="000511D9" w:rsidRPr="0026277C">
        <w:rPr>
          <w:rFonts w:ascii="Times New Roman" w:hAnsi="Times New Roman"/>
        </w:rPr>
        <w:t xml:space="preserve"> </w:t>
      </w:r>
      <w:r w:rsidR="007C61F1" w:rsidRPr="0026277C">
        <w:rPr>
          <w:rFonts w:ascii="Times New Roman" w:hAnsi="Times New Roman"/>
        </w:rPr>
        <w:t>cause of action such as a</w:t>
      </w:r>
      <w:r w:rsidR="00B518D8" w:rsidRPr="0026277C">
        <w:rPr>
          <w:rFonts w:ascii="Times New Roman" w:hAnsi="Times New Roman"/>
        </w:rPr>
        <w:t>n intentional</w:t>
      </w:r>
      <w:r w:rsidR="007C61F1" w:rsidRPr="0026277C">
        <w:rPr>
          <w:rFonts w:ascii="Times New Roman" w:hAnsi="Times New Roman"/>
        </w:rPr>
        <w:t xml:space="preserve"> tort, or where the</w:t>
      </w:r>
      <w:r w:rsidR="00416FE2" w:rsidRPr="0026277C">
        <w:rPr>
          <w:rFonts w:ascii="Times New Roman" w:hAnsi="Times New Roman"/>
        </w:rPr>
        <w:t xml:space="preserve"> plaintiff is being prosecuted for breach of that law</w:t>
      </w:r>
      <w:r w:rsidR="00EB3B75" w:rsidRPr="0026277C">
        <w:rPr>
          <w:rStyle w:val="FootnoteReference"/>
          <w:rFonts w:ascii="Times New Roman" w:hAnsi="Times New Roman"/>
          <w:sz w:val="24"/>
        </w:rPr>
        <w:footnoteReference w:id="45"/>
      </w:r>
      <w:r w:rsidR="007C61F1" w:rsidRPr="0026277C">
        <w:rPr>
          <w:rFonts w:ascii="Times New Roman" w:hAnsi="Times New Roman"/>
        </w:rPr>
        <w:t xml:space="preserve">. The past infringement of certain </w:t>
      </w:r>
      <w:r w:rsidR="00F63551" w:rsidRPr="0026277C">
        <w:rPr>
          <w:rFonts w:ascii="Times New Roman" w:hAnsi="Times New Roman"/>
        </w:rPr>
        <w:t xml:space="preserve">personal </w:t>
      </w:r>
      <w:r w:rsidR="007C61F1" w:rsidRPr="0026277C">
        <w:rPr>
          <w:rFonts w:ascii="Times New Roman" w:hAnsi="Times New Roman"/>
        </w:rPr>
        <w:t xml:space="preserve">rights or interests </w:t>
      </w:r>
      <w:r w:rsidR="00B518D8" w:rsidRPr="0026277C">
        <w:rPr>
          <w:rFonts w:ascii="Times New Roman" w:hAnsi="Times New Roman"/>
        </w:rPr>
        <w:t xml:space="preserve">of a plaintiff, </w:t>
      </w:r>
      <w:r w:rsidR="007C61F1" w:rsidRPr="0026277C">
        <w:rPr>
          <w:rFonts w:ascii="Times New Roman" w:hAnsi="Times New Roman"/>
        </w:rPr>
        <w:t>such as reputation and liberty</w:t>
      </w:r>
      <w:r w:rsidR="00397496" w:rsidRPr="0026277C">
        <w:rPr>
          <w:rFonts w:ascii="Times New Roman" w:hAnsi="Times New Roman"/>
        </w:rPr>
        <w:t>,</w:t>
      </w:r>
      <w:r w:rsidR="007C61F1" w:rsidRPr="0026277C">
        <w:rPr>
          <w:rFonts w:ascii="Times New Roman" w:hAnsi="Times New Roman"/>
        </w:rPr>
        <w:t xml:space="preserve"> may also be sufficient for </w:t>
      </w:r>
      <w:r w:rsidR="00397496" w:rsidRPr="0026277C">
        <w:rPr>
          <w:rFonts w:ascii="Times New Roman" w:hAnsi="Times New Roman"/>
        </w:rPr>
        <w:t>seeking</w:t>
      </w:r>
      <w:r w:rsidR="007C61F1" w:rsidRPr="0026277C">
        <w:rPr>
          <w:rFonts w:ascii="Times New Roman" w:hAnsi="Times New Roman"/>
        </w:rPr>
        <w:t xml:space="preserve"> declaratory relief even where there are no other asserted legal consequences</w:t>
      </w:r>
      <w:r w:rsidR="007C61F1" w:rsidRPr="0026277C">
        <w:rPr>
          <w:rStyle w:val="FootnoteReference"/>
          <w:rFonts w:ascii="Times New Roman" w:hAnsi="Times New Roman"/>
          <w:sz w:val="24"/>
        </w:rPr>
        <w:footnoteReference w:id="46"/>
      </w:r>
      <w:r w:rsidR="007C61F1" w:rsidRPr="0026277C">
        <w:rPr>
          <w:rFonts w:ascii="Times New Roman" w:hAnsi="Times New Roman"/>
        </w:rPr>
        <w:t xml:space="preserve">. </w:t>
      </w:r>
    </w:p>
    <w:p w14:paraId="119CAA06" w14:textId="5EF44543" w:rsidR="007C61F1" w:rsidRPr="0026277C" w:rsidRDefault="00B74C2E" w:rsidP="0026277C">
      <w:pPr>
        <w:pStyle w:val="FixListStyle"/>
        <w:spacing w:after="260" w:line="280" w:lineRule="exact"/>
        <w:ind w:right="0"/>
        <w:jc w:val="both"/>
        <w:rPr>
          <w:rFonts w:ascii="Times New Roman" w:hAnsi="Times New Roman"/>
        </w:rPr>
      </w:pPr>
      <w:r w:rsidRPr="0026277C">
        <w:rPr>
          <w:rFonts w:ascii="Times New Roman" w:hAnsi="Times New Roman"/>
        </w:rPr>
        <w:tab/>
        <w:t>But w</w:t>
      </w:r>
      <w:r w:rsidR="007C61F1" w:rsidRPr="0026277C">
        <w:rPr>
          <w:rFonts w:ascii="Times New Roman" w:hAnsi="Times New Roman"/>
        </w:rPr>
        <w:t xml:space="preserve">hen </w:t>
      </w:r>
      <w:r w:rsidR="0024777F" w:rsidRPr="0026277C">
        <w:rPr>
          <w:rFonts w:ascii="Times New Roman" w:hAnsi="Times New Roman"/>
        </w:rPr>
        <w:t xml:space="preserve">a plaintiff </w:t>
      </w:r>
      <w:r w:rsidR="007C61F1" w:rsidRPr="0026277C">
        <w:rPr>
          <w:rFonts w:ascii="Times New Roman" w:hAnsi="Times New Roman"/>
        </w:rPr>
        <w:t>seek</w:t>
      </w:r>
      <w:r w:rsidR="0024777F" w:rsidRPr="0026277C">
        <w:rPr>
          <w:rFonts w:ascii="Times New Roman" w:hAnsi="Times New Roman"/>
        </w:rPr>
        <w:t xml:space="preserve">s </w:t>
      </w:r>
      <w:r w:rsidR="007C61F1" w:rsidRPr="0026277C">
        <w:rPr>
          <w:rFonts w:ascii="Times New Roman" w:hAnsi="Times New Roman"/>
        </w:rPr>
        <w:t>a declaration not</w:t>
      </w:r>
      <w:r w:rsidR="007C61F1" w:rsidRPr="0026277C">
        <w:rPr>
          <w:rFonts w:ascii="Times New Roman" w:hAnsi="Times New Roman"/>
          <w:iCs/>
        </w:rPr>
        <w:t xml:space="preserve"> </w:t>
      </w:r>
      <w:r w:rsidR="007C61F1" w:rsidRPr="0026277C">
        <w:rPr>
          <w:rFonts w:ascii="Times New Roman" w:hAnsi="Times New Roman"/>
        </w:rPr>
        <w:t>of personal rights or liabilities</w:t>
      </w:r>
      <w:r w:rsidR="0040308E">
        <w:rPr>
          <w:rFonts w:ascii="Times New Roman" w:hAnsi="Times New Roman"/>
        </w:rPr>
        <w:t> </w:t>
      </w:r>
      <w:r w:rsidR="007C61F1" w:rsidRPr="0026277C">
        <w:rPr>
          <w:rFonts w:ascii="Times New Roman" w:hAnsi="Times New Roman"/>
        </w:rPr>
        <w:t xml:space="preserve">– for example, a declaration of </w:t>
      </w:r>
      <w:r w:rsidR="00507CD8" w:rsidRPr="0026277C">
        <w:rPr>
          <w:rFonts w:ascii="Times New Roman" w:hAnsi="Times New Roman"/>
        </w:rPr>
        <w:t xml:space="preserve">invalidity of a law for </w:t>
      </w:r>
      <w:r w:rsidR="007C61F1" w:rsidRPr="0026277C">
        <w:rPr>
          <w:rFonts w:ascii="Times New Roman" w:hAnsi="Times New Roman"/>
        </w:rPr>
        <w:t xml:space="preserve">breach of </w:t>
      </w:r>
      <w:r w:rsidR="00827112" w:rsidRPr="0026277C">
        <w:rPr>
          <w:rFonts w:ascii="Times New Roman" w:hAnsi="Times New Roman"/>
        </w:rPr>
        <w:t>the</w:t>
      </w:r>
      <w:r w:rsidR="007C61F1" w:rsidRPr="0026277C">
        <w:rPr>
          <w:rFonts w:ascii="Times New Roman" w:hAnsi="Times New Roman"/>
        </w:rPr>
        <w:t xml:space="preserve"> </w:t>
      </w:r>
      <w:r w:rsidR="00827112" w:rsidRPr="0026277C">
        <w:rPr>
          <w:rFonts w:ascii="Times New Roman" w:hAnsi="Times New Roman"/>
        </w:rPr>
        <w:t xml:space="preserve">implied </w:t>
      </w:r>
      <w:r w:rsidR="007C61F1" w:rsidRPr="0026277C">
        <w:rPr>
          <w:rFonts w:ascii="Times New Roman" w:hAnsi="Times New Roman"/>
        </w:rPr>
        <w:t xml:space="preserve">freedom </w:t>
      </w:r>
      <w:r w:rsidR="00827112" w:rsidRPr="0026277C">
        <w:rPr>
          <w:rFonts w:ascii="Times New Roman" w:hAnsi="Times New Roman"/>
        </w:rPr>
        <w:t xml:space="preserve">of political </w:t>
      </w:r>
      <w:r w:rsidR="00DB3656" w:rsidRPr="0026277C">
        <w:rPr>
          <w:rFonts w:ascii="Times New Roman" w:hAnsi="Times New Roman"/>
        </w:rPr>
        <w:t xml:space="preserve">communication, </w:t>
      </w:r>
      <w:r w:rsidR="00A81423" w:rsidRPr="0026277C">
        <w:rPr>
          <w:rFonts w:ascii="Times New Roman" w:hAnsi="Times New Roman"/>
        </w:rPr>
        <w:t>which is not a personal right</w:t>
      </w:r>
      <w:r w:rsidR="00A81423" w:rsidRPr="0026277C">
        <w:rPr>
          <w:rStyle w:val="FootnoteReference"/>
          <w:rFonts w:ascii="Times New Roman" w:hAnsi="Times New Roman"/>
          <w:sz w:val="24"/>
        </w:rPr>
        <w:footnoteReference w:id="47"/>
      </w:r>
      <w:r w:rsidR="00A81423" w:rsidRPr="0026277C">
        <w:rPr>
          <w:rFonts w:ascii="Times New Roman" w:hAnsi="Times New Roman"/>
        </w:rPr>
        <w:t xml:space="preserve"> </w:t>
      </w:r>
      <w:r w:rsidR="007C61F1" w:rsidRPr="0026277C">
        <w:rPr>
          <w:rFonts w:ascii="Times New Roman" w:hAnsi="Times New Roman"/>
        </w:rPr>
        <w:t xml:space="preserve">– a plaintiff must </w:t>
      </w:r>
      <w:r w:rsidR="00FE08C3" w:rsidRPr="0026277C">
        <w:rPr>
          <w:rFonts w:ascii="Times New Roman" w:hAnsi="Times New Roman"/>
        </w:rPr>
        <w:t xml:space="preserve">establish </w:t>
      </w:r>
      <w:r w:rsidR="007C61F1" w:rsidRPr="0026277C">
        <w:rPr>
          <w:rFonts w:ascii="Times New Roman" w:hAnsi="Times New Roman"/>
        </w:rPr>
        <w:t xml:space="preserve">an interest </w:t>
      </w:r>
      <w:r w:rsidR="00FE08C3" w:rsidRPr="0026277C">
        <w:rPr>
          <w:rFonts w:ascii="Times New Roman" w:hAnsi="Times New Roman"/>
        </w:rPr>
        <w:t xml:space="preserve">other than that which </w:t>
      </w:r>
      <w:r w:rsidR="007C61F1" w:rsidRPr="0026277C">
        <w:rPr>
          <w:rFonts w:ascii="Times New Roman" w:hAnsi="Times New Roman"/>
        </w:rPr>
        <w:t>any other ordinary member of the public</w:t>
      </w:r>
      <w:r w:rsidR="00583CB1" w:rsidRPr="0026277C">
        <w:rPr>
          <w:rFonts w:ascii="Times New Roman" w:hAnsi="Times New Roman"/>
        </w:rPr>
        <w:t xml:space="preserve"> </w:t>
      </w:r>
      <w:r w:rsidR="00583CB1" w:rsidRPr="0026277C">
        <w:rPr>
          <w:rFonts w:ascii="Times New Roman" w:hAnsi="Times New Roman"/>
        </w:rPr>
        <w:lastRenderedPageBreak/>
        <w:t>has in upholding the law</w:t>
      </w:r>
      <w:r w:rsidR="00741CCF" w:rsidRPr="0026277C">
        <w:rPr>
          <w:rFonts w:ascii="Times New Roman" w:hAnsi="Times New Roman"/>
        </w:rPr>
        <w:t xml:space="preserve"> generally</w:t>
      </w:r>
      <w:r w:rsidR="007C61F1" w:rsidRPr="0026277C">
        <w:rPr>
          <w:rStyle w:val="FootnoteReference"/>
          <w:rFonts w:ascii="Times New Roman" w:hAnsi="Times New Roman"/>
          <w:sz w:val="24"/>
        </w:rPr>
        <w:footnoteReference w:id="48"/>
      </w:r>
      <w:r w:rsidR="007C61F1" w:rsidRPr="0026277C">
        <w:rPr>
          <w:rFonts w:ascii="Times New Roman" w:hAnsi="Times New Roman"/>
        </w:rPr>
        <w:t>. A person is not sufficiently interested "unless</w:t>
      </w:r>
      <w:r w:rsidR="002F046E">
        <w:rPr>
          <w:rFonts w:ascii="Times New Roman" w:hAnsi="Times New Roman"/>
        </w:rPr>
        <w:t> </w:t>
      </w:r>
      <w:r w:rsidR="007C61F1" w:rsidRPr="0026277C">
        <w:rPr>
          <w:rFonts w:ascii="Times New Roman" w:hAnsi="Times New Roman"/>
        </w:rPr>
        <w:t>[they</w:t>
      </w:r>
      <w:r w:rsidR="0005415A" w:rsidRPr="0026277C">
        <w:rPr>
          <w:rFonts w:ascii="Times New Roman" w:hAnsi="Times New Roman"/>
        </w:rPr>
        <w:t xml:space="preserve"> are</w:t>
      </w:r>
      <w:r w:rsidR="007C61F1" w:rsidRPr="0026277C">
        <w:rPr>
          <w:rFonts w:ascii="Times New Roman" w:hAnsi="Times New Roman"/>
        </w:rPr>
        <w:t>] likely to gain some advantage, other than the satisfaction of righting a wrong, upholding a principle or winning a contest, if [their] action succeeds or to suffer some disadvantage, other than a sense of grievance or a debt for costs, if [their] action fails"</w:t>
      </w:r>
      <w:r w:rsidR="007C61F1" w:rsidRPr="0026277C">
        <w:rPr>
          <w:rStyle w:val="FootnoteReference"/>
          <w:rFonts w:ascii="Times New Roman" w:hAnsi="Times New Roman"/>
          <w:sz w:val="24"/>
        </w:rPr>
        <w:footnoteReference w:id="49"/>
      </w:r>
      <w:r w:rsidR="007C61F1" w:rsidRPr="0026277C">
        <w:rPr>
          <w:rFonts w:ascii="Times New Roman" w:hAnsi="Times New Roman"/>
        </w:rPr>
        <w:t>. The</w:t>
      </w:r>
      <w:r w:rsidR="003012AA" w:rsidRPr="0026277C">
        <w:rPr>
          <w:rFonts w:ascii="Times New Roman" w:hAnsi="Times New Roman"/>
        </w:rPr>
        <w:t> </w:t>
      </w:r>
      <w:r w:rsidR="007C61F1" w:rsidRPr="0026277C">
        <w:rPr>
          <w:rFonts w:ascii="Times New Roman" w:hAnsi="Times New Roman"/>
        </w:rPr>
        <w:t>test for a sufficient interest is broad and flexible</w:t>
      </w:r>
      <w:r w:rsidR="00AD53ED" w:rsidRPr="0026277C">
        <w:rPr>
          <w:rFonts w:ascii="Times New Roman" w:hAnsi="Times New Roman"/>
        </w:rPr>
        <w:t>, varying according to the nature and subject matter of the litigation</w:t>
      </w:r>
      <w:r w:rsidR="007C61F1" w:rsidRPr="0026277C">
        <w:rPr>
          <w:rStyle w:val="FootnoteReference"/>
          <w:rFonts w:ascii="Times New Roman" w:hAnsi="Times New Roman"/>
          <w:sz w:val="24"/>
        </w:rPr>
        <w:footnoteReference w:id="50"/>
      </w:r>
      <w:r w:rsidR="00AD53ED" w:rsidRPr="0026277C">
        <w:rPr>
          <w:rFonts w:ascii="Times New Roman" w:hAnsi="Times New Roman"/>
        </w:rPr>
        <w:t>.</w:t>
      </w:r>
      <w:r w:rsidR="007C61F1" w:rsidRPr="0026277C">
        <w:rPr>
          <w:rFonts w:ascii="Times New Roman" w:hAnsi="Times New Roman"/>
        </w:rPr>
        <w:t xml:space="preserve"> </w:t>
      </w:r>
      <w:r w:rsidR="007370EB" w:rsidRPr="0026277C">
        <w:rPr>
          <w:rFonts w:ascii="Times New Roman" w:hAnsi="Times New Roman"/>
        </w:rPr>
        <w:t>However, whether a plaintiff's interest is sufficient is a question of degree, not a question of discretion</w:t>
      </w:r>
      <w:r w:rsidR="007370EB" w:rsidRPr="0026277C">
        <w:rPr>
          <w:rStyle w:val="FootnoteReference"/>
          <w:rFonts w:ascii="Times New Roman" w:hAnsi="Times New Roman"/>
          <w:sz w:val="24"/>
        </w:rPr>
        <w:footnoteReference w:id="51"/>
      </w:r>
      <w:r w:rsidR="007370EB" w:rsidRPr="0026277C">
        <w:rPr>
          <w:rFonts w:ascii="Times New Roman" w:hAnsi="Times New Roman"/>
        </w:rPr>
        <w:t>. T</w:t>
      </w:r>
      <w:r w:rsidR="007C61F1" w:rsidRPr="0026277C">
        <w:rPr>
          <w:rFonts w:ascii="Times New Roman" w:hAnsi="Times New Roman"/>
        </w:rPr>
        <w:t xml:space="preserve">he plaintiff </w:t>
      </w:r>
      <w:r w:rsidR="00F86DFD" w:rsidRPr="0026277C">
        <w:rPr>
          <w:rFonts w:ascii="Times New Roman" w:hAnsi="Times New Roman"/>
        </w:rPr>
        <w:t xml:space="preserve">must </w:t>
      </w:r>
      <w:r w:rsidR="007C61F1" w:rsidRPr="0026277C">
        <w:rPr>
          <w:rFonts w:ascii="Times New Roman" w:hAnsi="Times New Roman"/>
        </w:rPr>
        <w:t>show that "success in the action would confer on [them] ... a benefit or advantage greater than [that] conferred upon the ordinary member of the community; or ... relieve [them] o</w:t>
      </w:r>
      <w:r w:rsidR="00507CD8" w:rsidRPr="0026277C">
        <w:rPr>
          <w:rFonts w:ascii="Times New Roman" w:hAnsi="Times New Roman"/>
        </w:rPr>
        <w:t>f</w:t>
      </w:r>
      <w:r w:rsidR="007C61F1" w:rsidRPr="0026277C">
        <w:rPr>
          <w:rFonts w:ascii="Times New Roman" w:hAnsi="Times New Roman"/>
        </w:rPr>
        <w:t xml:space="preserve"> a detriment or disadvantage to which [they] would otherwise have been subject ... to an extent greater than the ordinary member of the community"</w:t>
      </w:r>
      <w:r w:rsidR="007C61F1" w:rsidRPr="0026277C">
        <w:rPr>
          <w:rStyle w:val="FootnoteReference"/>
          <w:rFonts w:ascii="Times New Roman" w:hAnsi="Times New Roman"/>
          <w:sz w:val="24"/>
        </w:rPr>
        <w:footnoteReference w:id="52"/>
      </w:r>
      <w:r w:rsidR="007C61F1" w:rsidRPr="0026277C">
        <w:rPr>
          <w:rFonts w:ascii="Times New Roman" w:hAnsi="Times New Roman"/>
        </w:rPr>
        <w:t xml:space="preserve">. They must have more than a mere intellectual or emotional concern, </w:t>
      </w:r>
      <w:r w:rsidR="00052BE9" w:rsidRPr="0026277C">
        <w:rPr>
          <w:rFonts w:ascii="Times New Roman" w:hAnsi="Times New Roman"/>
        </w:rPr>
        <w:t>and</w:t>
      </w:r>
      <w:r w:rsidR="007C61F1" w:rsidRPr="0026277C">
        <w:rPr>
          <w:rFonts w:ascii="Times New Roman" w:hAnsi="Times New Roman"/>
        </w:rPr>
        <w:t xml:space="preserve"> more than a belief, however strongly held, that the law </w:t>
      </w:r>
      <w:r w:rsidR="00205751" w:rsidRPr="0026277C">
        <w:rPr>
          <w:rFonts w:ascii="Times New Roman" w:hAnsi="Times New Roman"/>
        </w:rPr>
        <w:t xml:space="preserve">or the </w:t>
      </w:r>
      <w:r w:rsidR="00205751" w:rsidRPr="0026277C">
        <w:rPr>
          <w:rFonts w:ascii="Times New Roman" w:hAnsi="Times New Roman"/>
          <w:i/>
          <w:iCs/>
        </w:rPr>
        <w:t xml:space="preserve">Constitution </w:t>
      </w:r>
      <w:r w:rsidR="007C61F1" w:rsidRPr="0026277C">
        <w:rPr>
          <w:rFonts w:ascii="Times New Roman" w:hAnsi="Times New Roman"/>
        </w:rPr>
        <w:t>should be upheld</w:t>
      </w:r>
      <w:r w:rsidR="007C61F1" w:rsidRPr="0026277C">
        <w:rPr>
          <w:rStyle w:val="FootnoteReference"/>
          <w:rFonts w:ascii="Times New Roman" w:hAnsi="Times New Roman"/>
          <w:sz w:val="24"/>
        </w:rPr>
        <w:footnoteReference w:id="53"/>
      </w:r>
      <w:r w:rsidR="007C61F1" w:rsidRPr="0026277C">
        <w:rPr>
          <w:rFonts w:ascii="Times New Roman" w:hAnsi="Times New Roman"/>
        </w:rPr>
        <w:t>.</w:t>
      </w:r>
      <w:r w:rsidR="00B30D3B" w:rsidRPr="0026277C">
        <w:rPr>
          <w:rFonts w:ascii="Times New Roman" w:hAnsi="Times New Roman"/>
        </w:rPr>
        <w:t xml:space="preserve"> </w:t>
      </w:r>
      <w:r w:rsidR="00290C08" w:rsidRPr="0026277C">
        <w:rPr>
          <w:rFonts w:ascii="Times New Roman" w:hAnsi="Times New Roman"/>
        </w:rPr>
        <w:t xml:space="preserve">As </w:t>
      </w:r>
      <w:proofErr w:type="spellStart"/>
      <w:r w:rsidR="00290C08" w:rsidRPr="0026277C">
        <w:rPr>
          <w:rFonts w:ascii="Times New Roman" w:hAnsi="Times New Roman"/>
          <w:i/>
          <w:iCs/>
        </w:rPr>
        <w:t>Croome</w:t>
      </w:r>
      <w:proofErr w:type="spellEnd"/>
      <w:r w:rsidR="00290C08" w:rsidRPr="0026277C">
        <w:rPr>
          <w:rFonts w:ascii="Times New Roman" w:hAnsi="Times New Roman"/>
          <w:i/>
          <w:iCs/>
        </w:rPr>
        <w:t xml:space="preserve"> </w:t>
      </w:r>
      <w:r w:rsidR="00290C08" w:rsidRPr="0026277C">
        <w:rPr>
          <w:rFonts w:ascii="Times New Roman" w:hAnsi="Times New Roman"/>
        </w:rPr>
        <w:t>demonstrates, a plaintiff may have a sufficient interest where the</w:t>
      </w:r>
      <w:r w:rsidR="00C50267" w:rsidRPr="0026277C">
        <w:rPr>
          <w:rFonts w:ascii="Times New Roman" w:hAnsi="Times New Roman"/>
        </w:rPr>
        <w:t xml:space="preserve">ir </w:t>
      </w:r>
      <w:r w:rsidR="00290C08" w:rsidRPr="0026277C">
        <w:rPr>
          <w:rFonts w:ascii="Times New Roman" w:hAnsi="Times New Roman"/>
        </w:rPr>
        <w:t xml:space="preserve">freedom of action is </w:t>
      </w:r>
      <w:r w:rsidR="002E0502" w:rsidRPr="0026277C">
        <w:rPr>
          <w:rFonts w:ascii="Times New Roman" w:hAnsi="Times New Roman"/>
        </w:rPr>
        <w:t xml:space="preserve">particularly </w:t>
      </w:r>
      <w:r w:rsidR="00290C08" w:rsidRPr="0026277C">
        <w:rPr>
          <w:rFonts w:ascii="Times New Roman" w:hAnsi="Times New Roman"/>
        </w:rPr>
        <w:t>affected by the impugned law</w:t>
      </w:r>
      <w:r w:rsidR="00290C08" w:rsidRPr="0026277C">
        <w:rPr>
          <w:rStyle w:val="FootnoteReference"/>
          <w:rFonts w:ascii="Times New Roman" w:hAnsi="Times New Roman"/>
          <w:sz w:val="24"/>
        </w:rPr>
        <w:footnoteReference w:id="54"/>
      </w:r>
      <w:r w:rsidR="00290C08" w:rsidRPr="0026277C">
        <w:rPr>
          <w:rFonts w:ascii="Times New Roman" w:hAnsi="Times New Roman"/>
        </w:rPr>
        <w:t xml:space="preserve">. Other cases, such as </w:t>
      </w:r>
      <w:r w:rsidR="00290C08" w:rsidRPr="0026277C">
        <w:rPr>
          <w:rFonts w:ascii="Times New Roman" w:hAnsi="Times New Roman"/>
          <w:i/>
          <w:iCs/>
        </w:rPr>
        <w:t>Onus v Alcoa</w:t>
      </w:r>
      <w:r w:rsidR="00D263BF" w:rsidRPr="0026277C">
        <w:rPr>
          <w:rFonts w:ascii="Times New Roman" w:hAnsi="Times New Roman"/>
          <w:i/>
          <w:iCs/>
        </w:rPr>
        <w:t xml:space="preserve"> of </w:t>
      </w:r>
      <w:r w:rsidR="00D263BF" w:rsidRPr="0026277C">
        <w:rPr>
          <w:rFonts w:ascii="Times New Roman" w:hAnsi="Times New Roman"/>
          <w:i/>
          <w:iCs/>
        </w:rPr>
        <w:lastRenderedPageBreak/>
        <w:t>Australia Ltd</w:t>
      </w:r>
      <w:r w:rsidR="00290C08" w:rsidRPr="0026277C">
        <w:rPr>
          <w:rStyle w:val="FootnoteReference"/>
          <w:rFonts w:ascii="Times New Roman" w:hAnsi="Times New Roman"/>
          <w:sz w:val="24"/>
        </w:rPr>
        <w:footnoteReference w:id="55"/>
      </w:r>
      <w:r w:rsidR="00290C08" w:rsidRPr="0026277C">
        <w:rPr>
          <w:rFonts w:ascii="Times New Roman" w:hAnsi="Times New Roman"/>
        </w:rPr>
        <w:t xml:space="preserve">, demonstrate </w:t>
      </w:r>
      <w:r w:rsidR="00830414" w:rsidRPr="0026277C">
        <w:rPr>
          <w:rFonts w:ascii="Times New Roman" w:hAnsi="Times New Roman"/>
        </w:rPr>
        <w:t xml:space="preserve">that </w:t>
      </w:r>
      <w:r w:rsidR="00290C08" w:rsidRPr="0026277C">
        <w:rPr>
          <w:rFonts w:ascii="Times New Roman" w:hAnsi="Times New Roman"/>
        </w:rPr>
        <w:t xml:space="preserve">the breadth of </w:t>
      </w:r>
      <w:r w:rsidR="001E7CDB" w:rsidRPr="0026277C">
        <w:rPr>
          <w:rFonts w:ascii="Times New Roman" w:hAnsi="Times New Roman"/>
        </w:rPr>
        <w:t xml:space="preserve">the categories of </w:t>
      </w:r>
      <w:r w:rsidR="00290C08" w:rsidRPr="0026277C">
        <w:rPr>
          <w:rFonts w:ascii="Times New Roman" w:hAnsi="Times New Roman"/>
        </w:rPr>
        <w:t>interest include economic, cultural and environmental interests</w:t>
      </w:r>
      <w:r w:rsidR="00290C08" w:rsidRPr="0026277C">
        <w:rPr>
          <w:rStyle w:val="FootnoteReference"/>
          <w:rFonts w:ascii="Times New Roman" w:hAnsi="Times New Roman"/>
          <w:sz w:val="24"/>
        </w:rPr>
        <w:footnoteReference w:id="56"/>
      </w:r>
      <w:r w:rsidR="00290C08" w:rsidRPr="0026277C">
        <w:rPr>
          <w:rFonts w:ascii="Times New Roman" w:hAnsi="Times New Roman"/>
        </w:rPr>
        <w:t xml:space="preserve">. </w:t>
      </w:r>
    </w:p>
    <w:p w14:paraId="4783C6CA" w14:textId="38577EB3" w:rsidR="00152511" w:rsidRPr="0026277C" w:rsidRDefault="00622A6C" w:rsidP="0026277C">
      <w:pPr>
        <w:pStyle w:val="HeadingL2"/>
        <w:spacing w:after="260" w:line="280" w:lineRule="exact"/>
        <w:ind w:right="0"/>
        <w:jc w:val="both"/>
        <w:rPr>
          <w:rFonts w:ascii="Times New Roman" w:hAnsi="Times New Roman"/>
        </w:rPr>
      </w:pPr>
      <w:r w:rsidRPr="0026277C">
        <w:rPr>
          <w:rFonts w:ascii="Times New Roman" w:hAnsi="Times New Roman"/>
        </w:rPr>
        <w:t xml:space="preserve">No </w:t>
      </w:r>
      <w:r w:rsidR="00E54AD9" w:rsidRPr="0026277C">
        <w:rPr>
          <w:rFonts w:ascii="Times New Roman" w:hAnsi="Times New Roman"/>
        </w:rPr>
        <w:t xml:space="preserve">continuing </w:t>
      </w:r>
      <w:r w:rsidRPr="0026277C">
        <w:rPr>
          <w:rFonts w:ascii="Times New Roman" w:hAnsi="Times New Roman"/>
        </w:rPr>
        <w:t>matter in relation to s 35 of the EF Act</w:t>
      </w:r>
    </w:p>
    <w:p w14:paraId="0BD1F902" w14:textId="4175FA4B" w:rsidR="003218B2" w:rsidRPr="0026277C" w:rsidRDefault="00622A6C"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C62C00" w:rsidRPr="0026277C">
        <w:rPr>
          <w:rFonts w:ascii="Times New Roman" w:hAnsi="Times New Roman"/>
        </w:rPr>
        <w:t>When</w:t>
      </w:r>
      <w:r w:rsidR="00D7278E" w:rsidRPr="0026277C">
        <w:rPr>
          <w:rFonts w:ascii="Times New Roman" w:hAnsi="Times New Roman"/>
        </w:rPr>
        <w:t xml:space="preserve"> </w:t>
      </w:r>
      <w:r w:rsidR="00776B0D" w:rsidRPr="0026277C">
        <w:rPr>
          <w:rFonts w:ascii="Times New Roman" w:hAnsi="Times New Roman"/>
        </w:rPr>
        <w:t xml:space="preserve">the plaintiffs commenced these </w:t>
      </w:r>
      <w:r w:rsidR="00D7278E" w:rsidRPr="0026277C">
        <w:rPr>
          <w:rFonts w:ascii="Times New Roman" w:hAnsi="Times New Roman"/>
        </w:rPr>
        <w:t>proceedings</w:t>
      </w:r>
      <w:r w:rsidR="00C62C00" w:rsidRPr="0026277C">
        <w:rPr>
          <w:rFonts w:ascii="Times New Roman" w:hAnsi="Times New Roman"/>
        </w:rPr>
        <w:t xml:space="preserve"> in </w:t>
      </w:r>
      <w:r w:rsidR="001255D0" w:rsidRPr="0026277C">
        <w:rPr>
          <w:rFonts w:ascii="Times New Roman" w:hAnsi="Times New Roman"/>
        </w:rPr>
        <w:t>June 2022</w:t>
      </w:r>
      <w:r w:rsidR="00D7278E" w:rsidRPr="0026277C">
        <w:rPr>
          <w:rFonts w:ascii="Times New Roman" w:hAnsi="Times New Roman"/>
        </w:rPr>
        <w:t xml:space="preserve">, the matter within the Court's jurisdiction </w:t>
      </w:r>
      <w:r w:rsidR="003218B2" w:rsidRPr="0026277C">
        <w:rPr>
          <w:rFonts w:ascii="Times New Roman" w:hAnsi="Times New Roman"/>
        </w:rPr>
        <w:t xml:space="preserve">included </w:t>
      </w:r>
      <w:r w:rsidR="00D7278E" w:rsidRPr="0026277C">
        <w:rPr>
          <w:rFonts w:ascii="Times New Roman" w:hAnsi="Times New Roman"/>
        </w:rPr>
        <w:t xml:space="preserve">the </w:t>
      </w:r>
      <w:r w:rsidR="00776B0D" w:rsidRPr="0026277C">
        <w:rPr>
          <w:rFonts w:ascii="Times New Roman" w:hAnsi="Times New Roman"/>
        </w:rPr>
        <w:t xml:space="preserve">plaintiffs' challenge to the </w:t>
      </w:r>
      <w:r w:rsidR="00D7278E" w:rsidRPr="0026277C">
        <w:rPr>
          <w:rFonts w:ascii="Times New Roman" w:hAnsi="Times New Roman"/>
        </w:rPr>
        <w:t xml:space="preserve">validity </w:t>
      </w:r>
      <w:r w:rsidR="003218B2" w:rsidRPr="0026277C">
        <w:rPr>
          <w:rFonts w:ascii="Times New Roman" w:hAnsi="Times New Roman"/>
        </w:rPr>
        <w:t>of</w:t>
      </w:r>
      <w:r w:rsidR="00776B0D" w:rsidRPr="0026277C" w:rsidDel="00776B0D">
        <w:rPr>
          <w:rFonts w:ascii="Times New Roman" w:hAnsi="Times New Roman"/>
        </w:rPr>
        <w:t xml:space="preserve"> </w:t>
      </w:r>
      <w:r w:rsidR="001255D0" w:rsidRPr="0026277C">
        <w:rPr>
          <w:rFonts w:ascii="Times New Roman" w:hAnsi="Times New Roman"/>
        </w:rPr>
        <w:t>s </w:t>
      </w:r>
      <w:r w:rsidR="005464A4" w:rsidRPr="0026277C">
        <w:rPr>
          <w:rFonts w:ascii="Times New Roman" w:hAnsi="Times New Roman"/>
        </w:rPr>
        <w:t xml:space="preserve">35 </w:t>
      </w:r>
      <w:r w:rsidR="003218B2" w:rsidRPr="0026277C">
        <w:rPr>
          <w:rFonts w:ascii="Times New Roman" w:hAnsi="Times New Roman"/>
        </w:rPr>
        <w:t>of the</w:t>
      </w:r>
      <w:r w:rsidR="00D32026" w:rsidRPr="0026277C">
        <w:rPr>
          <w:rFonts w:ascii="Times New Roman" w:hAnsi="Times New Roman"/>
        </w:rPr>
        <w:t xml:space="preserve"> EF Act</w:t>
      </w:r>
      <w:r w:rsidR="003218B2" w:rsidRPr="0026277C">
        <w:rPr>
          <w:rFonts w:ascii="Times New Roman" w:hAnsi="Times New Roman"/>
        </w:rPr>
        <w:t>.</w:t>
      </w:r>
      <w:r w:rsidR="003218B2" w:rsidRPr="0026277C">
        <w:rPr>
          <w:rFonts w:ascii="Times New Roman" w:hAnsi="Times New Roman"/>
          <w:i/>
          <w:iCs/>
        </w:rPr>
        <w:t xml:space="preserve"> </w:t>
      </w:r>
      <w:r w:rsidR="00D7278E" w:rsidRPr="0026277C">
        <w:rPr>
          <w:rFonts w:ascii="Times New Roman" w:hAnsi="Times New Roman"/>
        </w:rPr>
        <w:t xml:space="preserve">As </w:t>
      </w:r>
      <w:r w:rsidR="00A83F6A" w:rsidRPr="0026277C">
        <w:rPr>
          <w:rFonts w:ascii="Times New Roman" w:hAnsi="Times New Roman"/>
        </w:rPr>
        <w:t>TPCs</w:t>
      </w:r>
      <w:r w:rsidR="00D7278E" w:rsidRPr="0026277C">
        <w:rPr>
          <w:rFonts w:ascii="Times New Roman" w:hAnsi="Times New Roman"/>
        </w:rPr>
        <w:t xml:space="preserve"> registered under the </w:t>
      </w:r>
      <w:r w:rsidR="00D32026" w:rsidRPr="0026277C">
        <w:rPr>
          <w:rFonts w:ascii="Times New Roman" w:hAnsi="Times New Roman"/>
        </w:rPr>
        <w:t xml:space="preserve">EF </w:t>
      </w:r>
      <w:r w:rsidR="00D7278E" w:rsidRPr="0026277C">
        <w:rPr>
          <w:rFonts w:ascii="Times New Roman" w:hAnsi="Times New Roman"/>
        </w:rPr>
        <w:t xml:space="preserve">Act whose expenditure and campaigning had been affected by </w:t>
      </w:r>
      <w:r w:rsidR="00A83F6A" w:rsidRPr="0026277C">
        <w:rPr>
          <w:rFonts w:ascii="Times New Roman" w:hAnsi="Times New Roman"/>
        </w:rPr>
        <w:t xml:space="preserve">that </w:t>
      </w:r>
      <w:r w:rsidR="00D7278E" w:rsidRPr="0026277C">
        <w:rPr>
          <w:rFonts w:ascii="Times New Roman" w:hAnsi="Times New Roman"/>
        </w:rPr>
        <w:t xml:space="preserve">provision and could be expected to </w:t>
      </w:r>
      <w:r w:rsidR="001B5079" w:rsidRPr="0026277C">
        <w:rPr>
          <w:rFonts w:ascii="Times New Roman" w:hAnsi="Times New Roman"/>
        </w:rPr>
        <w:t xml:space="preserve">be </w:t>
      </w:r>
      <w:r w:rsidR="007436A7" w:rsidRPr="0026277C">
        <w:rPr>
          <w:rFonts w:ascii="Times New Roman" w:hAnsi="Times New Roman"/>
        </w:rPr>
        <w:t>affected</w:t>
      </w:r>
      <w:r w:rsidR="00D7278E" w:rsidRPr="0026277C">
        <w:rPr>
          <w:rFonts w:ascii="Times New Roman" w:hAnsi="Times New Roman"/>
        </w:rPr>
        <w:t xml:space="preserve"> in future elections, the plaintiffs had standing and a sufficient interest to seek </w:t>
      </w:r>
      <w:r w:rsidR="003218B2" w:rsidRPr="0026277C">
        <w:rPr>
          <w:rFonts w:ascii="Times New Roman" w:hAnsi="Times New Roman"/>
        </w:rPr>
        <w:t>a</w:t>
      </w:r>
      <w:r w:rsidR="00D7278E" w:rsidRPr="0026277C">
        <w:rPr>
          <w:rFonts w:ascii="Times New Roman" w:hAnsi="Times New Roman"/>
        </w:rPr>
        <w:t xml:space="preserve"> declaration</w:t>
      </w:r>
      <w:r w:rsidR="003218B2" w:rsidRPr="0026277C">
        <w:rPr>
          <w:rFonts w:ascii="Times New Roman" w:hAnsi="Times New Roman"/>
        </w:rPr>
        <w:t xml:space="preserve"> </w:t>
      </w:r>
      <w:r w:rsidR="00A83F6A" w:rsidRPr="0026277C">
        <w:rPr>
          <w:rFonts w:ascii="Times New Roman" w:hAnsi="Times New Roman"/>
        </w:rPr>
        <w:t xml:space="preserve">as to </w:t>
      </w:r>
      <w:r w:rsidR="003218B2" w:rsidRPr="0026277C">
        <w:rPr>
          <w:rFonts w:ascii="Times New Roman" w:hAnsi="Times New Roman"/>
        </w:rPr>
        <w:t xml:space="preserve">the </w:t>
      </w:r>
      <w:r w:rsidR="009B087B" w:rsidRPr="0026277C">
        <w:rPr>
          <w:rFonts w:ascii="Times New Roman" w:hAnsi="Times New Roman"/>
        </w:rPr>
        <w:t>in</w:t>
      </w:r>
      <w:r w:rsidR="003218B2" w:rsidRPr="0026277C">
        <w:rPr>
          <w:rFonts w:ascii="Times New Roman" w:hAnsi="Times New Roman"/>
        </w:rPr>
        <w:t>validity of s</w:t>
      </w:r>
      <w:r w:rsidR="00105E90" w:rsidRPr="0026277C">
        <w:rPr>
          <w:rFonts w:ascii="Times New Roman" w:hAnsi="Times New Roman"/>
        </w:rPr>
        <w:t> </w:t>
      </w:r>
      <w:r w:rsidR="003218B2" w:rsidRPr="0026277C">
        <w:rPr>
          <w:rFonts w:ascii="Times New Roman" w:hAnsi="Times New Roman"/>
        </w:rPr>
        <w:t>35</w:t>
      </w:r>
      <w:r w:rsidR="00D7278E" w:rsidRPr="0026277C">
        <w:rPr>
          <w:rStyle w:val="FootnoteReference"/>
          <w:rFonts w:ascii="Times New Roman" w:hAnsi="Times New Roman"/>
          <w:sz w:val="24"/>
        </w:rPr>
        <w:footnoteReference w:id="57"/>
      </w:r>
      <w:r w:rsidR="00D7278E" w:rsidRPr="0026277C">
        <w:rPr>
          <w:rFonts w:ascii="Times New Roman" w:hAnsi="Times New Roman"/>
        </w:rPr>
        <w:t>.</w:t>
      </w:r>
    </w:p>
    <w:p w14:paraId="05FC2D43" w14:textId="3AAA2ADA" w:rsidR="002154B3" w:rsidRPr="0026277C" w:rsidRDefault="003218B2"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D7278E" w:rsidRPr="0026277C">
        <w:rPr>
          <w:rFonts w:ascii="Times New Roman" w:hAnsi="Times New Roman"/>
        </w:rPr>
        <w:t>However, that state of affairs changed on 2 November 2022 when the Parliament of New South Wales repealed s</w:t>
      </w:r>
      <w:r w:rsidR="005464A4" w:rsidRPr="0026277C">
        <w:rPr>
          <w:rFonts w:ascii="Times New Roman" w:hAnsi="Times New Roman"/>
        </w:rPr>
        <w:t> </w:t>
      </w:r>
      <w:r w:rsidR="00D7278E" w:rsidRPr="0026277C">
        <w:rPr>
          <w:rFonts w:ascii="Times New Roman" w:hAnsi="Times New Roman"/>
        </w:rPr>
        <w:t>35</w:t>
      </w:r>
      <w:r w:rsidR="00B133A1" w:rsidRPr="0026277C">
        <w:rPr>
          <w:rStyle w:val="FootnoteReference"/>
          <w:rFonts w:ascii="Times New Roman" w:hAnsi="Times New Roman"/>
          <w:sz w:val="24"/>
        </w:rPr>
        <w:footnoteReference w:id="58"/>
      </w:r>
      <w:r w:rsidR="00D7278E" w:rsidRPr="0026277C">
        <w:rPr>
          <w:rFonts w:ascii="Times New Roman" w:hAnsi="Times New Roman"/>
          <w:i/>
          <w:iCs/>
        </w:rPr>
        <w:t xml:space="preserve">. </w:t>
      </w:r>
      <w:r w:rsidR="00B90612" w:rsidRPr="0026277C">
        <w:rPr>
          <w:rFonts w:ascii="Times New Roman" w:hAnsi="Times New Roman"/>
        </w:rPr>
        <w:t>As</w:t>
      </w:r>
      <w:r w:rsidR="00734C5E" w:rsidRPr="0026277C">
        <w:rPr>
          <w:rFonts w:ascii="Times New Roman" w:hAnsi="Times New Roman"/>
        </w:rPr>
        <w:t> </w:t>
      </w:r>
      <w:r w:rsidR="00B90612" w:rsidRPr="0026277C">
        <w:rPr>
          <w:rFonts w:ascii="Times New Roman" w:hAnsi="Times New Roman"/>
        </w:rPr>
        <w:t>ment</w:t>
      </w:r>
      <w:r w:rsidR="00937347" w:rsidRPr="0026277C">
        <w:rPr>
          <w:rFonts w:ascii="Times New Roman" w:hAnsi="Times New Roman"/>
        </w:rPr>
        <w:t>i</w:t>
      </w:r>
      <w:r w:rsidR="00B90612" w:rsidRPr="0026277C">
        <w:rPr>
          <w:rFonts w:ascii="Times New Roman" w:hAnsi="Times New Roman"/>
        </w:rPr>
        <w:t xml:space="preserve">oned, </w:t>
      </w:r>
      <w:r w:rsidR="00937347" w:rsidRPr="0026277C">
        <w:rPr>
          <w:rFonts w:ascii="Times New Roman" w:hAnsi="Times New Roman"/>
        </w:rPr>
        <w:t>f</w:t>
      </w:r>
      <w:r w:rsidR="00D7278E" w:rsidRPr="0026277C">
        <w:rPr>
          <w:rFonts w:ascii="Times New Roman" w:hAnsi="Times New Roman"/>
        </w:rPr>
        <w:t>ollowing th</w:t>
      </w:r>
      <w:r w:rsidR="00937347" w:rsidRPr="0026277C">
        <w:rPr>
          <w:rFonts w:ascii="Times New Roman" w:hAnsi="Times New Roman"/>
        </w:rPr>
        <w:t>at</w:t>
      </w:r>
      <w:r w:rsidR="00D7278E" w:rsidRPr="0026277C">
        <w:rPr>
          <w:rFonts w:ascii="Times New Roman" w:hAnsi="Times New Roman"/>
        </w:rPr>
        <w:t xml:space="preserve"> repeal, the plaintiffs amended the prayer for relief in their statement of claim to seek a declaration that s</w:t>
      </w:r>
      <w:r w:rsidR="00B46811" w:rsidRPr="0026277C">
        <w:rPr>
          <w:rFonts w:ascii="Times New Roman" w:hAnsi="Times New Roman"/>
        </w:rPr>
        <w:t> </w:t>
      </w:r>
      <w:r w:rsidR="00D7278E" w:rsidRPr="0026277C">
        <w:rPr>
          <w:rFonts w:ascii="Times New Roman" w:hAnsi="Times New Roman"/>
        </w:rPr>
        <w:t>35</w:t>
      </w:r>
      <w:r w:rsidR="000D1AFD" w:rsidRPr="0026277C">
        <w:rPr>
          <w:rFonts w:ascii="Times New Roman" w:hAnsi="Times New Roman"/>
        </w:rPr>
        <w:t xml:space="preserve"> of the EF Act</w:t>
      </w:r>
      <w:r w:rsidR="00D7278E" w:rsidRPr="0026277C">
        <w:rPr>
          <w:rFonts w:ascii="Times New Roman" w:hAnsi="Times New Roman"/>
        </w:rPr>
        <w:t>, as it stood from 1 July 2018 until 2</w:t>
      </w:r>
      <w:r w:rsidR="00847C27">
        <w:rPr>
          <w:rFonts w:ascii="Times New Roman" w:hAnsi="Times New Roman"/>
        </w:rPr>
        <w:t> </w:t>
      </w:r>
      <w:r w:rsidR="00D7278E" w:rsidRPr="0026277C">
        <w:rPr>
          <w:rFonts w:ascii="Times New Roman" w:hAnsi="Times New Roman"/>
        </w:rPr>
        <w:t>November 2022</w:t>
      </w:r>
      <w:r w:rsidR="00B46811" w:rsidRPr="0026277C">
        <w:rPr>
          <w:rFonts w:ascii="Times New Roman" w:hAnsi="Times New Roman"/>
        </w:rPr>
        <w:t>,</w:t>
      </w:r>
      <w:r w:rsidR="00D7278E" w:rsidRPr="0026277C">
        <w:rPr>
          <w:rFonts w:ascii="Times New Roman" w:hAnsi="Times New Roman"/>
        </w:rPr>
        <w:t xml:space="preserve"> was invalid. The plaintiffs submitted that the Court retain</w:t>
      </w:r>
      <w:r w:rsidR="00205751" w:rsidRPr="0026277C">
        <w:rPr>
          <w:rFonts w:ascii="Times New Roman" w:hAnsi="Times New Roman"/>
        </w:rPr>
        <w:t>s</w:t>
      </w:r>
      <w:r w:rsidR="00D7278E" w:rsidRPr="0026277C">
        <w:rPr>
          <w:rFonts w:ascii="Times New Roman" w:hAnsi="Times New Roman"/>
        </w:rPr>
        <w:t xml:space="preserve"> jurisdiction in the matter so far </w:t>
      </w:r>
      <w:r w:rsidR="006559E1" w:rsidRPr="0026277C">
        <w:rPr>
          <w:rFonts w:ascii="Times New Roman" w:hAnsi="Times New Roman"/>
        </w:rPr>
        <w:t xml:space="preserve">as </w:t>
      </w:r>
      <w:r w:rsidR="00D7278E" w:rsidRPr="0026277C">
        <w:rPr>
          <w:rFonts w:ascii="Times New Roman" w:hAnsi="Times New Roman"/>
        </w:rPr>
        <w:t>it concern</w:t>
      </w:r>
      <w:r w:rsidR="006559E1" w:rsidRPr="0026277C">
        <w:rPr>
          <w:rFonts w:ascii="Times New Roman" w:hAnsi="Times New Roman"/>
        </w:rPr>
        <w:t>s</w:t>
      </w:r>
      <w:r w:rsidR="00D7278E" w:rsidRPr="0026277C">
        <w:rPr>
          <w:rFonts w:ascii="Times New Roman" w:hAnsi="Times New Roman"/>
        </w:rPr>
        <w:t xml:space="preserve"> the validity of s</w:t>
      </w:r>
      <w:r w:rsidR="00B46811" w:rsidRPr="0026277C">
        <w:rPr>
          <w:rFonts w:ascii="Times New Roman" w:hAnsi="Times New Roman"/>
        </w:rPr>
        <w:t> </w:t>
      </w:r>
      <w:r w:rsidR="00D7278E" w:rsidRPr="0026277C">
        <w:rPr>
          <w:rFonts w:ascii="Times New Roman" w:hAnsi="Times New Roman"/>
        </w:rPr>
        <w:t>35, because the plaintiffs suffered for four years under the burden of the statutory norm in s</w:t>
      </w:r>
      <w:r w:rsidR="00B46811" w:rsidRPr="0026277C">
        <w:rPr>
          <w:rFonts w:ascii="Times New Roman" w:hAnsi="Times New Roman"/>
        </w:rPr>
        <w:t> </w:t>
      </w:r>
      <w:r w:rsidR="00D7278E" w:rsidRPr="0026277C">
        <w:rPr>
          <w:rFonts w:ascii="Times New Roman" w:hAnsi="Times New Roman"/>
        </w:rPr>
        <w:t xml:space="preserve">35 and modified their behaviour to avoid its criminal sanction. The plaintiffs also submitted </w:t>
      </w:r>
      <w:r w:rsidR="00491F91" w:rsidRPr="0026277C">
        <w:rPr>
          <w:rFonts w:ascii="Times New Roman" w:hAnsi="Times New Roman"/>
        </w:rPr>
        <w:t xml:space="preserve">that </w:t>
      </w:r>
      <w:r w:rsidR="00D7278E" w:rsidRPr="0026277C">
        <w:rPr>
          <w:rFonts w:ascii="Times New Roman" w:hAnsi="Times New Roman"/>
        </w:rPr>
        <w:t>they ha</w:t>
      </w:r>
      <w:r w:rsidR="00375D6E" w:rsidRPr="0026277C">
        <w:rPr>
          <w:rFonts w:ascii="Times New Roman" w:hAnsi="Times New Roman"/>
        </w:rPr>
        <w:t>ve</w:t>
      </w:r>
      <w:r w:rsidR="00D7278E" w:rsidRPr="0026277C">
        <w:rPr>
          <w:rFonts w:ascii="Times New Roman" w:hAnsi="Times New Roman"/>
        </w:rPr>
        <w:t xml:space="preserve"> a reasonable apprehension that the State </w:t>
      </w:r>
      <w:r w:rsidR="00375D6E" w:rsidRPr="0026277C">
        <w:rPr>
          <w:rFonts w:ascii="Times New Roman" w:hAnsi="Times New Roman"/>
        </w:rPr>
        <w:t xml:space="preserve">may </w:t>
      </w:r>
      <w:r w:rsidR="00D7278E" w:rsidRPr="0026277C">
        <w:rPr>
          <w:rFonts w:ascii="Times New Roman" w:hAnsi="Times New Roman"/>
        </w:rPr>
        <w:t xml:space="preserve">reintroduce a provision in </w:t>
      </w:r>
      <w:r w:rsidR="007D4B57" w:rsidRPr="0026277C">
        <w:rPr>
          <w:rFonts w:ascii="Times New Roman" w:hAnsi="Times New Roman"/>
        </w:rPr>
        <w:t>"</w:t>
      </w:r>
      <w:r w:rsidR="00D7278E" w:rsidRPr="0026277C">
        <w:rPr>
          <w:rFonts w:ascii="Times New Roman" w:hAnsi="Times New Roman"/>
        </w:rPr>
        <w:t>materially similar</w:t>
      </w:r>
      <w:r w:rsidR="007D4B57" w:rsidRPr="0026277C">
        <w:rPr>
          <w:rFonts w:ascii="Times New Roman" w:hAnsi="Times New Roman"/>
        </w:rPr>
        <w:t>"</w:t>
      </w:r>
      <w:r w:rsidR="00D7278E" w:rsidRPr="0026277C">
        <w:rPr>
          <w:rFonts w:ascii="Times New Roman" w:hAnsi="Times New Roman"/>
        </w:rPr>
        <w:t xml:space="preserve"> terms to s</w:t>
      </w:r>
      <w:r w:rsidR="00B46811" w:rsidRPr="0026277C">
        <w:rPr>
          <w:rFonts w:ascii="Times New Roman" w:hAnsi="Times New Roman"/>
        </w:rPr>
        <w:t> </w:t>
      </w:r>
      <w:r w:rsidR="00D7278E" w:rsidRPr="0026277C">
        <w:rPr>
          <w:rFonts w:ascii="Times New Roman" w:hAnsi="Times New Roman"/>
        </w:rPr>
        <w:t xml:space="preserve">35, and </w:t>
      </w:r>
      <w:r w:rsidR="00375D6E" w:rsidRPr="0026277C">
        <w:rPr>
          <w:rFonts w:ascii="Times New Roman" w:hAnsi="Times New Roman"/>
        </w:rPr>
        <w:t xml:space="preserve">may </w:t>
      </w:r>
      <w:r w:rsidR="00D7278E" w:rsidRPr="0026277C">
        <w:rPr>
          <w:rFonts w:ascii="Times New Roman" w:hAnsi="Times New Roman"/>
        </w:rPr>
        <w:t xml:space="preserve">do so before the State general election in May 2023. </w:t>
      </w:r>
      <w:r w:rsidR="00F603E2" w:rsidRPr="0026277C">
        <w:rPr>
          <w:rFonts w:ascii="Times New Roman" w:hAnsi="Times New Roman"/>
        </w:rPr>
        <w:t>N</w:t>
      </w:r>
      <w:r w:rsidR="00365814" w:rsidRPr="0026277C">
        <w:rPr>
          <w:rFonts w:ascii="Times New Roman" w:hAnsi="Times New Roman"/>
        </w:rPr>
        <w:t>either</w:t>
      </w:r>
      <w:r w:rsidR="00F603E2" w:rsidRPr="0026277C">
        <w:rPr>
          <w:rFonts w:ascii="Times New Roman" w:hAnsi="Times New Roman"/>
        </w:rPr>
        <w:t xml:space="preserve"> of those matters assist</w:t>
      </w:r>
      <w:r w:rsidR="0033408E" w:rsidRPr="0026277C">
        <w:rPr>
          <w:rFonts w:ascii="Times New Roman" w:hAnsi="Times New Roman"/>
        </w:rPr>
        <w:t xml:space="preserve">s </w:t>
      </w:r>
      <w:r w:rsidR="00F603E2" w:rsidRPr="0026277C">
        <w:rPr>
          <w:rFonts w:ascii="Times New Roman" w:hAnsi="Times New Roman"/>
        </w:rPr>
        <w:t>the plaintiffs.</w:t>
      </w:r>
    </w:p>
    <w:p w14:paraId="14E15FF6" w14:textId="7CDD1416" w:rsidR="00AA44AE" w:rsidRPr="0026277C" w:rsidRDefault="00F603E2" w:rsidP="0026277C">
      <w:pPr>
        <w:pStyle w:val="FixListStyle"/>
        <w:spacing w:after="260" w:line="280" w:lineRule="exact"/>
        <w:ind w:right="0"/>
        <w:jc w:val="both"/>
        <w:rPr>
          <w:rFonts w:ascii="Times New Roman" w:hAnsi="Times New Roman"/>
        </w:rPr>
      </w:pPr>
      <w:r w:rsidRPr="0026277C">
        <w:rPr>
          <w:rFonts w:ascii="Times New Roman" w:hAnsi="Times New Roman"/>
        </w:rPr>
        <w:tab/>
        <w:t xml:space="preserve">The plaintiffs have not demonstrated that they </w:t>
      </w:r>
      <w:r w:rsidR="000425FF" w:rsidRPr="0026277C">
        <w:rPr>
          <w:rFonts w:ascii="Times New Roman" w:hAnsi="Times New Roman"/>
        </w:rPr>
        <w:t xml:space="preserve">continue to </w:t>
      </w:r>
      <w:r w:rsidRPr="0026277C">
        <w:rPr>
          <w:rFonts w:ascii="Times New Roman" w:hAnsi="Times New Roman"/>
        </w:rPr>
        <w:t>have standing</w:t>
      </w:r>
      <w:r w:rsidR="00DA01AD" w:rsidRPr="0026277C">
        <w:rPr>
          <w:rFonts w:ascii="Times New Roman" w:hAnsi="Times New Roman"/>
        </w:rPr>
        <w:t>, or</w:t>
      </w:r>
      <w:r w:rsidR="00D75F6D">
        <w:rPr>
          <w:rFonts w:ascii="Times New Roman" w:hAnsi="Times New Roman"/>
        </w:rPr>
        <w:t> </w:t>
      </w:r>
      <w:r w:rsidR="00DA01AD" w:rsidRPr="0026277C">
        <w:rPr>
          <w:rFonts w:ascii="Times New Roman" w:hAnsi="Times New Roman"/>
        </w:rPr>
        <w:t xml:space="preserve">a real or sufficient interest, </w:t>
      </w:r>
      <w:r w:rsidR="00272C96" w:rsidRPr="0026277C">
        <w:rPr>
          <w:rFonts w:ascii="Times New Roman" w:hAnsi="Times New Roman"/>
        </w:rPr>
        <w:t xml:space="preserve">to seek a declaration as </w:t>
      </w:r>
      <w:r w:rsidR="00365814" w:rsidRPr="0026277C">
        <w:rPr>
          <w:rFonts w:ascii="Times New Roman" w:hAnsi="Times New Roman"/>
        </w:rPr>
        <w:t xml:space="preserve">to </w:t>
      </w:r>
      <w:r w:rsidR="00272C96" w:rsidRPr="0026277C">
        <w:rPr>
          <w:rFonts w:ascii="Times New Roman" w:hAnsi="Times New Roman"/>
        </w:rPr>
        <w:t xml:space="preserve">the invalidity of s 35. </w:t>
      </w:r>
      <w:r w:rsidR="007075CE" w:rsidRPr="0026277C">
        <w:rPr>
          <w:rFonts w:ascii="Times New Roman" w:hAnsi="Times New Roman"/>
        </w:rPr>
        <w:t>T</w:t>
      </w:r>
      <w:r w:rsidR="00F81310" w:rsidRPr="0026277C">
        <w:rPr>
          <w:rFonts w:ascii="Times New Roman" w:hAnsi="Times New Roman"/>
        </w:rPr>
        <w:t>he</w:t>
      </w:r>
      <w:r w:rsidR="00847C27">
        <w:rPr>
          <w:rFonts w:ascii="Times New Roman" w:hAnsi="Times New Roman"/>
        </w:rPr>
        <w:t> </w:t>
      </w:r>
      <w:r w:rsidR="00F81310" w:rsidRPr="0026277C">
        <w:rPr>
          <w:rFonts w:ascii="Times New Roman" w:hAnsi="Times New Roman"/>
        </w:rPr>
        <w:t xml:space="preserve">plaintiffs cannot and do not assert that any </w:t>
      </w:r>
      <w:r w:rsidR="00C428AA" w:rsidRPr="0026277C">
        <w:rPr>
          <w:rFonts w:ascii="Times New Roman" w:hAnsi="Times New Roman"/>
        </w:rPr>
        <w:t xml:space="preserve">of their </w:t>
      </w:r>
      <w:r w:rsidR="00F81310" w:rsidRPr="0026277C">
        <w:rPr>
          <w:rFonts w:ascii="Times New Roman" w:hAnsi="Times New Roman"/>
        </w:rPr>
        <w:t>right</w:t>
      </w:r>
      <w:r w:rsidR="00C428AA" w:rsidRPr="0026277C">
        <w:rPr>
          <w:rFonts w:ascii="Times New Roman" w:hAnsi="Times New Roman"/>
        </w:rPr>
        <w:t>s</w:t>
      </w:r>
      <w:r w:rsidR="00F81310" w:rsidRPr="0026277C">
        <w:rPr>
          <w:rFonts w:ascii="Times New Roman" w:hAnsi="Times New Roman"/>
        </w:rPr>
        <w:t>, dut</w:t>
      </w:r>
      <w:r w:rsidR="00C428AA" w:rsidRPr="0026277C">
        <w:rPr>
          <w:rFonts w:ascii="Times New Roman" w:hAnsi="Times New Roman"/>
        </w:rPr>
        <w:t>ies</w:t>
      </w:r>
      <w:r w:rsidR="00F81310" w:rsidRPr="0026277C">
        <w:rPr>
          <w:rFonts w:ascii="Times New Roman" w:hAnsi="Times New Roman"/>
        </w:rPr>
        <w:t xml:space="preserve"> or </w:t>
      </w:r>
      <w:r w:rsidR="00C428AA" w:rsidRPr="0026277C">
        <w:rPr>
          <w:rFonts w:ascii="Times New Roman" w:hAnsi="Times New Roman"/>
        </w:rPr>
        <w:t xml:space="preserve">legal </w:t>
      </w:r>
      <w:r w:rsidR="00D67EDA" w:rsidRPr="0026277C">
        <w:rPr>
          <w:rFonts w:ascii="Times New Roman" w:hAnsi="Times New Roman"/>
        </w:rPr>
        <w:t>interest</w:t>
      </w:r>
      <w:r w:rsidR="00C428AA" w:rsidRPr="0026277C">
        <w:rPr>
          <w:rFonts w:ascii="Times New Roman" w:hAnsi="Times New Roman"/>
        </w:rPr>
        <w:t>s</w:t>
      </w:r>
      <w:r w:rsidR="00D67EDA" w:rsidRPr="0026277C">
        <w:rPr>
          <w:rFonts w:ascii="Times New Roman" w:hAnsi="Times New Roman"/>
        </w:rPr>
        <w:t xml:space="preserve"> ha</w:t>
      </w:r>
      <w:r w:rsidR="00C428AA" w:rsidRPr="0026277C">
        <w:rPr>
          <w:rFonts w:ascii="Times New Roman" w:hAnsi="Times New Roman"/>
        </w:rPr>
        <w:t>ve</w:t>
      </w:r>
      <w:r w:rsidR="00D67EDA" w:rsidRPr="0026277C">
        <w:rPr>
          <w:rFonts w:ascii="Times New Roman" w:hAnsi="Times New Roman"/>
        </w:rPr>
        <w:t xml:space="preserve"> been infringed by the past application of s 35. </w:t>
      </w:r>
      <w:r w:rsidR="007B682E" w:rsidRPr="0026277C">
        <w:rPr>
          <w:rFonts w:ascii="Times New Roman" w:hAnsi="Times New Roman"/>
        </w:rPr>
        <w:t>The plaintiffs are not the subject of enforcement action for any past breach of s 35</w:t>
      </w:r>
      <w:r w:rsidR="002D51A4" w:rsidRPr="0026277C">
        <w:rPr>
          <w:rFonts w:ascii="Times New Roman" w:hAnsi="Times New Roman"/>
        </w:rPr>
        <w:t xml:space="preserve">, nor do they </w:t>
      </w:r>
      <w:r w:rsidR="009E2A29" w:rsidRPr="0026277C">
        <w:rPr>
          <w:rFonts w:ascii="Times New Roman" w:hAnsi="Times New Roman"/>
        </w:rPr>
        <w:t xml:space="preserve">claim to </w:t>
      </w:r>
      <w:r w:rsidR="009E2A29" w:rsidRPr="0026277C">
        <w:rPr>
          <w:rFonts w:ascii="Times New Roman" w:hAnsi="Times New Roman"/>
        </w:rPr>
        <w:lastRenderedPageBreak/>
        <w:t>have contravened s</w:t>
      </w:r>
      <w:r w:rsidR="00796E7B" w:rsidRPr="0026277C">
        <w:rPr>
          <w:rFonts w:ascii="Times New Roman" w:hAnsi="Times New Roman"/>
        </w:rPr>
        <w:t> </w:t>
      </w:r>
      <w:r w:rsidR="009E2A29" w:rsidRPr="0026277C">
        <w:rPr>
          <w:rFonts w:ascii="Times New Roman" w:hAnsi="Times New Roman"/>
        </w:rPr>
        <w:t>35 in the past</w:t>
      </w:r>
      <w:r w:rsidR="009E2A29" w:rsidRPr="0026277C">
        <w:rPr>
          <w:rStyle w:val="FootnoteReference"/>
          <w:rFonts w:ascii="Times New Roman" w:hAnsi="Times New Roman"/>
          <w:sz w:val="24"/>
        </w:rPr>
        <w:footnoteReference w:id="59"/>
      </w:r>
      <w:r w:rsidR="00682269" w:rsidRPr="0026277C">
        <w:rPr>
          <w:rFonts w:ascii="Times New Roman" w:hAnsi="Times New Roman"/>
        </w:rPr>
        <w:t>. N</w:t>
      </w:r>
      <w:r w:rsidR="007B682E" w:rsidRPr="0026277C">
        <w:rPr>
          <w:rFonts w:ascii="Times New Roman" w:hAnsi="Times New Roman"/>
        </w:rPr>
        <w:t>or do they assert</w:t>
      </w:r>
      <w:r w:rsidR="00682269" w:rsidRPr="0026277C">
        <w:rPr>
          <w:rFonts w:ascii="Times New Roman" w:hAnsi="Times New Roman"/>
        </w:rPr>
        <w:t xml:space="preserve"> </w:t>
      </w:r>
      <w:r w:rsidR="007B682E" w:rsidRPr="0026277C">
        <w:rPr>
          <w:rFonts w:ascii="Times New Roman" w:hAnsi="Times New Roman"/>
        </w:rPr>
        <w:t xml:space="preserve">that a declaration of invalidity would assist them in </w:t>
      </w:r>
      <w:r w:rsidR="00682269" w:rsidRPr="0026277C">
        <w:rPr>
          <w:rFonts w:ascii="Times New Roman" w:hAnsi="Times New Roman"/>
        </w:rPr>
        <w:t>vindicating</w:t>
      </w:r>
      <w:r w:rsidR="007B682E" w:rsidRPr="0026277C">
        <w:rPr>
          <w:rFonts w:ascii="Times New Roman" w:hAnsi="Times New Roman"/>
        </w:rPr>
        <w:t xml:space="preserve"> any right, duty or </w:t>
      </w:r>
      <w:r w:rsidR="00C428AA" w:rsidRPr="0026277C">
        <w:rPr>
          <w:rFonts w:ascii="Times New Roman" w:hAnsi="Times New Roman"/>
        </w:rPr>
        <w:t xml:space="preserve">legal </w:t>
      </w:r>
      <w:r w:rsidR="007B682E" w:rsidRPr="0026277C">
        <w:rPr>
          <w:rFonts w:ascii="Times New Roman" w:hAnsi="Times New Roman"/>
        </w:rPr>
        <w:t xml:space="preserve">interest. </w:t>
      </w:r>
      <w:r w:rsidR="007075CE" w:rsidRPr="0026277C">
        <w:rPr>
          <w:rFonts w:ascii="Times New Roman" w:hAnsi="Times New Roman"/>
        </w:rPr>
        <w:t>The</w:t>
      </w:r>
      <w:r w:rsidR="00D75F6D">
        <w:rPr>
          <w:rFonts w:ascii="Times New Roman" w:hAnsi="Times New Roman"/>
        </w:rPr>
        <w:t> </w:t>
      </w:r>
      <w:r w:rsidR="007075CE" w:rsidRPr="0026277C">
        <w:rPr>
          <w:rFonts w:ascii="Times New Roman" w:hAnsi="Times New Roman"/>
        </w:rPr>
        <w:t xml:space="preserve">plaintiffs assert invalidity </w:t>
      </w:r>
      <w:r w:rsidR="006A33AE" w:rsidRPr="0026277C">
        <w:rPr>
          <w:rFonts w:ascii="Times New Roman" w:hAnsi="Times New Roman"/>
        </w:rPr>
        <w:t>sole</w:t>
      </w:r>
      <w:r w:rsidR="00A260F5" w:rsidRPr="0026277C">
        <w:rPr>
          <w:rFonts w:ascii="Times New Roman" w:hAnsi="Times New Roman"/>
        </w:rPr>
        <w:t>l</w:t>
      </w:r>
      <w:r w:rsidR="006A33AE" w:rsidRPr="0026277C">
        <w:rPr>
          <w:rFonts w:ascii="Times New Roman" w:hAnsi="Times New Roman"/>
        </w:rPr>
        <w:t xml:space="preserve">y </w:t>
      </w:r>
      <w:r w:rsidR="007075CE" w:rsidRPr="0026277C">
        <w:rPr>
          <w:rFonts w:ascii="Times New Roman" w:hAnsi="Times New Roman"/>
        </w:rPr>
        <w:t>by reference to the implied freedom of political communication</w:t>
      </w:r>
      <w:r w:rsidR="001C274D" w:rsidRPr="0026277C">
        <w:rPr>
          <w:rFonts w:ascii="Times New Roman" w:hAnsi="Times New Roman"/>
        </w:rPr>
        <w:t xml:space="preserve">. That implied freedom </w:t>
      </w:r>
      <w:r w:rsidR="00E82D56" w:rsidRPr="0026277C">
        <w:rPr>
          <w:rFonts w:ascii="Times New Roman" w:hAnsi="Times New Roman"/>
        </w:rPr>
        <w:t>is not</w:t>
      </w:r>
      <w:r w:rsidR="006A33AE" w:rsidRPr="0026277C">
        <w:rPr>
          <w:rFonts w:ascii="Times New Roman" w:hAnsi="Times New Roman"/>
        </w:rPr>
        <w:t xml:space="preserve"> a </w:t>
      </w:r>
      <w:r w:rsidR="004A6179" w:rsidRPr="0026277C">
        <w:rPr>
          <w:rFonts w:ascii="Times New Roman" w:hAnsi="Times New Roman"/>
        </w:rPr>
        <w:t xml:space="preserve">personal </w:t>
      </w:r>
      <w:r w:rsidR="006A33AE" w:rsidRPr="0026277C">
        <w:rPr>
          <w:rFonts w:ascii="Times New Roman" w:hAnsi="Times New Roman"/>
        </w:rPr>
        <w:t>right</w:t>
      </w:r>
      <w:r w:rsidR="00AA44AE" w:rsidRPr="0026277C">
        <w:rPr>
          <w:rStyle w:val="FootnoteReference"/>
          <w:rFonts w:ascii="Times New Roman" w:hAnsi="Times New Roman"/>
          <w:sz w:val="24"/>
        </w:rPr>
        <w:footnoteReference w:id="60"/>
      </w:r>
      <w:r w:rsidR="00AF0337" w:rsidRPr="0026277C">
        <w:rPr>
          <w:rFonts w:ascii="Times New Roman" w:hAnsi="Times New Roman"/>
        </w:rPr>
        <w:t>;</w:t>
      </w:r>
      <w:r w:rsidR="001C274D" w:rsidRPr="0026277C">
        <w:rPr>
          <w:rFonts w:ascii="Times New Roman" w:hAnsi="Times New Roman"/>
        </w:rPr>
        <w:t xml:space="preserve"> i</w:t>
      </w:r>
      <w:r w:rsidR="006A33AE" w:rsidRPr="0026277C">
        <w:rPr>
          <w:rFonts w:ascii="Times New Roman" w:hAnsi="Times New Roman"/>
        </w:rPr>
        <w:t xml:space="preserve">t is </w:t>
      </w:r>
      <w:r w:rsidR="00AA44AE" w:rsidRPr="0026277C">
        <w:rPr>
          <w:rFonts w:ascii="Times New Roman" w:hAnsi="Times New Roman"/>
        </w:rPr>
        <w:t>a freedom from unjustified legislative interference.</w:t>
      </w:r>
    </w:p>
    <w:p w14:paraId="0BC632B6" w14:textId="035FED1E" w:rsidR="00D453E3" w:rsidRPr="0026277C" w:rsidRDefault="00AA44AE"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E73004" w:rsidRPr="0026277C">
        <w:rPr>
          <w:rFonts w:ascii="Times New Roman" w:hAnsi="Times New Roman"/>
        </w:rPr>
        <w:t xml:space="preserve">At best, the plaintiffs' </w:t>
      </w:r>
      <w:r w:rsidR="00F9275D" w:rsidRPr="0026277C">
        <w:rPr>
          <w:rFonts w:ascii="Times New Roman" w:hAnsi="Times New Roman"/>
        </w:rPr>
        <w:t xml:space="preserve">concern is whether their past compliance </w:t>
      </w:r>
      <w:r w:rsidR="000F5060" w:rsidRPr="0026277C">
        <w:rPr>
          <w:rFonts w:ascii="Times New Roman" w:hAnsi="Times New Roman"/>
        </w:rPr>
        <w:t>with s</w:t>
      </w:r>
      <w:r w:rsidR="00D453E3" w:rsidRPr="0026277C">
        <w:rPr>
          <w:rFonts w:ascii="Times New Roman" w:hAnsi="Times New Roman"/>
        </w:rPr>
        <w:t> </w:t>
      </w:r>
      <w:r w:rsidR="000F5060" w:rsidRPr="0026277C">
        <w:rPr>
          <w:rFonts w:ascii="Times New Roman" w:hAnsi="Times New Roman"/>
        </w:rPr>
        <w:t>35 was necessary. It can be accepted that the plaintiffs modified their behaviour to comply with the law</w:t>
      </w:r>
      <w:r w:rsidR="000503AD" w:rsidRPr="0026277C">
        <w:rPr>
          <w:rFonts w:ascii="Times New Roman" w:hAnsi="Times New Roman"/>
        </w:rPr>
        <w:t xml:space="preserve">, and that </w:t>
      </w:r>
      <w:r w:rsidR="004361EA" w:rsidRPr="0026277C">
        <w:rPr>
          <w:rFonts w:ascii="Times New Roman" w:hAnsi="Times New Roman"/>
        </w:rPr>
        <w:t xml:space="preserve">persons </w:t>
      </w:r>
      <w:r w:rsidR="00343113" w:rsidRPr="0026277C">
        <w:rPr>
          <w:rFonts w:ascii="Times New Roman" w:hAnsi="Times New Roman"/>
        </w:rPr>
        <w:t xml:space="preserve">should not be disadvantaged </w:t>
      </w:r>
      <w:r w:rsidR="004361EA" w:rsidRPr="0026277C">
        <w:rPr>
          <w:rFonts w:ascii="Times New Roman" w:hAnsi="Times New Roman"/>
        </w:rPr>
        <w:t xml:space="preserve">in seeking to challenge the validity of a law </w:t>
      </w:r>
      <w:r w:rsidR="00792F45" w:rsidRPr="0026277C">
        <w:rPr>
          <w:rFonts w:ascii="Times New Roman" w:hAnsi="Times New Roman"/>
        </w:rPr>
        <w:t xml:space="preserve">because of </w:t>
      </w:r>
      <w:r w:rsidR="00BA250F" w:rsidRPr="0026277C">
        <w:rPr>
          <w:rFonts w:ascii="Times New Roman" w:hAnsi="Times New Roman"/>
        </w:rPr>
        <w:t>their compliance with the law</w:t>
      </w:r>
      <w:r w:rsidR="005466A2" w:rsidRPr="0026277C">
        <w:rPr>
          <w:rStyle w:val="FootnoteReference"/>
          <w:rFonts w:ascii="Times New Roman" w:hAnsi="Times New Roman"/>
          <w:sz w:val="24"/>
        </w:rPr>
        <w:footnoteReference w:id="61"/>
      </w:r>
      <w:r w:rsidR="000F5060" w:rsidRPr="0026277C">
        <w:rPr>
          <w:rFonts w:ascii="Times New Roman" w:hAnsi="Times New Roman"/>
        </w:rPr>
        <w:t xml:space="preserve">. However, unlike the impugned law in </w:t>
      </w:r>
      <w:proofErr w:type="spellStart"/>
      <w:r w:rsidR="000F5060" w:rsidRPr="0026277C">
        <w:rPr>
          <w:rFonts w:ascii="Times New Roman" w:hAnsi="Times New Roman"/>
          <w:i/>
          <w:iCs/>
        </w:rPr>
        <w:t>Croome</w:t>
      </w:r>
      <w:proofErr w:type="spellEnd"/>
      <w:r w:rsidR="000F5060" w:rsidRPr="0026277C">
        <w:rPr>
          <w:rFonts w:ascii="Times New Roman" w:hAnsi="Times New Roman"/>
          <w:i/>
          <w:iCs/>
        </w:rPr>
        <w:t xml:space="preserve">, </w:t>
      </w:r>
      <w:r w:rsidR="000F5060" w:rsidRPr="0026277C">
        <w:rPr>
          <w:rFonts w:ascii="Times New Roman" w:hAnsi="Times New Roman"/>
        </w:rPr>
        <w:t>s</w:t>
      </w:r>
      <w:r w:rsidR="00D453E3" w:rsidRPr="0026277C">
        <w:rPr>
          <w:rFonts w:ascii="Times New Roman" w:hAnsi="Times New Roman"/>
        </w:rPr>
        <w:t> </w:t>
      </w:r>
      <w:r w:rsidR="000F5060" w:rsidRPr="0026277C">
        <w:rPr>
          <w:rFonts w:ascii="Times New Roman" w:hAnsi="Times New Roman"/>
        </w:rPr>
        <w:t xml:space="preserve">35 </w:t>
      </w:r>
      <w:r w:rsidR="002333C4" w:rsidRPr="0026277C">
        <w:rPr>
          <w:rFonts w:ascii="Times New Roman" w:hAnsi="Times New Roman"/>
        </w:rPr>
        <w:t xml:space="preserve">of the EF Act </w:t>
      </w:r>
      <w:r w:rsidR="000F5060" w:rsidRPr="0026277C">
        <w:rPr>
          <w:rFonts w:ascii="Times New Roman" w:hAnsi="Times New Roman"/>
        </w:rPr>
        <w:t xml:space="preserve">no longer restricts </w:t>
      </w:r>
      <w:r w:rsidR="008E2326" w:rsidRPr="0026277C">
        <w:rPr>
          <w:rFonts w:ascii="Times New Roman" w:hAnsi="Times New Roman"/>
        </w:rPr>
        <w:t xml:space="preserve">the plaintiffs' </w:t>
      </w:r>
      <w:r w:rsidR="000F5060" w:rsidRPr="0026277C">
        <w:rPr>
          <w:rFonts w:ascii="Times New Roman" w:hAnsi="Times New Roman"/>
        </w:rPr>
        <w:t>freedom of action or interferes with their activities</w:t>
      </w:r>
      <w:r w:rsidR="000F5060" w:rsidRPr="0026277C">
        <w:rPr>
          <w:rStyle w:val="FootnoteReference"/>
          <w:rFonts w:ascii="Times New Roman" w:hAnsi="Times New Roman"/>
          <w:sz w:val="24"/>
        </w:rPr>
        <w:footnoteReference w:id="62"/>
      </w:r>
      <w:r w:rsidR="000F5060" w:rsidRPr="0026277C">
        <w:rPr>
          <w:rFonts w:ascii="Times New Roman" w:hAnsi="Times New Roman"/>
        </w:rPr>
        <w:t xml:space="preserve">. </w:t>
      </w:r>
      <w:r w:rsidR="0082682C" w:rsidRPr="0026277C">
        <w:rPr>
          <w:rFonts w:ascii="Times New Roman" w:hAnsi="Times New Roman"/>
        </w:rPr>
        <w:t>The</w:t>
      </w:r>
      <w:r w:rsidR="003D481F">
        <w:rPr>
          <w:rFonts w:ascii="Times New Roman" w:hAnsi="Times New Roman"/>
        </w:rPr>
        <w:t> </w:t>
      </w:r>
      <w:r w:rsidR="000F5060" w:rsidRPr="0026277C">
        <w:rPr>
          <w:rFonts w:ascii="Times New Roman" w:hAnsi="Times New Roman"/>
        </w:rPr>
        <w:t xml:space="preserve">only advantage that the plaintiffs would achieve </w:t>
      </w:r>
      <w:r w:rsidR="0082682C" w:rsidRPr="0026277C">
        <w:rPr>
          <w:rFonts w:ascii="Times New Roman" w:hAnsi="Times New Roman"/>
        </w:rPr>
        <w:t xml:space="preserve">from a declaration of invalidity </w:t>
      </w:r>
      <w:r w:rsidR="000F5060" w:rsidRPr="0026277C">
        <w:rPr>
          <w:rFonts w:ascii="Times New Roman" w:hAnsi="Times New Roman"/>
        </w:rPr>
        <w:t xml:space="preserve">would be the satisfaction of </w:t>
      </w:r>
      <w:r w:rsidR="00E94096" w:rsidRPr="0026277C">
        <w:rPr>
          <w:rFonts w:ascii="Times New Roman" w:hAnsi="Times New Roman"/>
        </w:rPr>
        <w:t xml:space="preserve">a statement by the Court validating their contentions of an historical </w:t>
      </w:r>
      <w:r w:rsidR="000F5060" w:rsidRPr="0026277C">
        <w:rPr>
          <w:rFonts w:ascii="Times New Roman" w:hAnsi="Times New Roman"/>
        </w:rPr>
        <w:t>wrong</w:t>
      </w:r>
      <w:r w:rsidR="000F5060" w:rsidRPr="0026277C">
        <w:rPr>
          <w:rStyle w:val="FootnoteReference"/>
          <w:rFonts w:ascii="Times New Roman" w:hAnsi="Times New Roman"/>
          <w:sz w:val="24"/>
        </w:rPr>
        <w:footnoteReference w:id="63"/>
      </w:r>
      <w:r w:rsidR="000F5060" w:rsidRPr="0026277C">
        <w:rPr>
          <w:rFonts w:ascii="Times New Roman" w:hAnsi="Times New Roman"/>
        </w:rPr>
        <w:t xml:space="preserve">. </w:t>
      </w:r>
      <w:r w:rsidR="005B0AC7" w:rsidRPr="0026277C">
        <w:rPr>
          <w:rFonts w:ascii="Times New Roman" w:hAnsi="Times New Roman"/>
        </w:rPr>
        <w:t xml:space="preserve">The plaintiffs cannot point to any </w:t>
      </w:r>
      <w:r w:rsidR="00746DA5" w:rsidRPr="0026277C">
        <w:rPr>
          <w:rFonts w:ascii="Times New Roman" w:hAnsi="Times New Roman"/>
        </w:rPr>
        <w:t xml:space="preserve">other </w:t>
      </w:r>
      <w:r w:rsidR="005B0AC7" w:rsidRPr="0026277C">
        <w:rPr>
          <w:rFonts w:ascii="Times New Roman" w:hAnsi="Times New Roman"/>
        </w:rPr>
        <w:t>foreseeable consequences from the grant of a declaration</w:t>
      </w:r>
      <w:r w:rsidR="00746DA5" w:rsidRPr="0026277C">
        <w:rPr>
          <w:rFonts w:ascii="Times New Roman" w:hAnsi="Times New Roman"/>
        </w:rPr>
        <w:t xml:space="preserve">. </w:t>
      </w:r>
      <w:r w:rsidR="0082682C" w:rsidRPr="0026277C">
        <w:rPr>
          <w:rFonts w:ascii="Times New Roman" w:hAnsi="Times New Roman"/>
        </w:rPr>
        <w:t>There</w:t>
      </w:r>
      <w:r w:rsidR="006B7380" w:rsidRPr="0026277C">
        <w:rPr>
          <w:rFonts w:ascii="Times New Roman" w:hAnsi="Times New Roman"/>
        </w:rPr>
        <w:t xml:space="preserve"> is not a justiciable controversy and not a matter.</w:t>
      </w:r>
    </w:p>
    <w:p w14:paraId="5E483959" w14:textId="5BF2637A" w:rsidR="005866E6" w:rsidRPr="0026277C" w:rsidRDefault="00866C86"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1612DC" w:rsidRPr="0026277C">
        <w:rPr>
          <w:rFonts w:ascii="Times New Roman" w:hAnsi="Times New Roman"/>
        </w:rPr>
        <w:t>The plaintiffs' argument based on</w:t>
      </w:r>
      <w:r w:rsidR="00924F8A" w:rsidRPr="0026277C">
        <w:rPr>
          <w:rFonts w:ascii="Times New Roman" w:hAnsi="Times New Roman"/>
        </w:rPr>
        <w:t xml:space="preserve"> their</w:t>
      </w:r>
      <w:r w:rsidR="001612DC" w:rsidRPr="0026277C">
        <w:rPr>
          <w:rFonts w:ascii="Times New Roman" w:hAnsi="Times New Roman"/>
        </w:rPr>
        <w:t xml:space="preserve"> </w:t>
      </w:r>
      <w:r w:rsidR="00924F8A" w:rsidRPr="0026277C">
        <w:rPr>
          <w:rFonts w:ascii="Times New Roman" w:hAnsi="Times New Roman"/>
        </w:rPr>
        <w:t xml:space="preserve">apprehension of </w:t>
      </w:r>
      <w:r w:rsidR="00C40DCE" w:rsidRPr="0026277C">
        <w:rPr>
          <w:rFonts w:ascii="Times New Roman" w:hAnsi="Times New Roman"/>
        </w:rPr>
        <w:t xml:space="preserve">what the New South Wales Parliament might do in future can be dealt with briefly. </w:t>
      </w:r>
      <w:r w:rsidR="000F5060" w:rsidRPr="0026277C">
        <w:rPr>
          <w:rFonts w:ascii="Times New Roman" w:hAnsi="Times New Roman"/>
        </w:rPr>
        <w:t xml:space="preserve">It may be accepted that, in some cases, a plaintiff </w:t>
      </w:r>
      <w:r w:rsidR="00CB423B" w:rsidRPr="0026277C">
        <w:rPr>
          <w:rFonts w:ascii="Times New Roman" w:hAnsi="Times New Roman"/>
        </w:rPr>
        <w:t xml:space="preserve">may </w:t>
      </w:r>
      <w:r w:rsidR="000F5060" w:rsidRPr="0026277C">
        <w:rPr>
          <w:rFonts w:ascii="Times New Roman" w:hAnsi="Times New Roman"/>
        </w:rPr>
        <w:t xml:space="preserve">be able to show that there will be foreseeable consequences from the grant of a declaration where the plaintiff can satisfy the </w:t>
      </w:r>
      <w:r w:rsidR="00985708" w:rsidRPr="0026277C">
        <w:rPr>
          <w:rFonts w:ascii="Times New Roman" w:hAnsi="Times New Roman"/>
        </w:rPr>
        <w:t>C</w:t>
      </w:r>
      <w:r w:rsidR="000F5060" w:rsidRPr="0026277C">
        <w:rPr>
          <w:rFonts w:ascii="Times New Roman" w:hAnsi="Times New Roman"/>
        </w:rPr>
        <w:t>ourt that, even though the asserted wrong has ceased, there is a risk of repetition</w:t>
      </w:r>
      <w:r w:rsidR="000F5060" w:rsidRPr="0026277C">
        <w:rPr>
          <w:rStyle w:val="FootnoteReference"/>
          <w:rFonts w:ascii="Times New Roman" w:hAnsi="Times New Roman"/>
          <w:sz w:val="24"/>
        </w:rPr>
        <w:footnoteReference w:id="64"/>
      </w:r>
      <w:r w:rsidR="000F5060" w:rsidRPr="0026277C">
        <w:rPr>
          <w:rFonts w:ascii="Times New Roman" w:hAnsi="Times New Roman"/>
        </w:rPr>
        <w:t xml:space="preserve">. For example, in </w:t>
      </w:r>
      <w:r w:rsidR="000F5060" w:rsidRPr="0026277C">
        <w:rPr>
          <w:rFonts w:ascii="Times New Roman" w:hAnsi="Times New Roman"/>
          <w:i/>
          <w:iCs/>
        </w:rPr>
        <w:t>Plaintiff M68</w:t>
      </w:r>
      <w:r w:rsidR="0002363A" w:rsidRPr="0026277C">
        <w:rPr>
          <w:rFonts w:ascii="Times New Roman" w:hAnsi="Times New Roman"/>
          <w:i/>
          <w:iCs/>
        </w:rPr>
        <w:t>/2015 v Minister</w:t>
      </w:r>
      <w:r w:rsidR="005E2237" w:rsidRPr="0026277C">
        <w:rPr>
          <w:rFonts w:ascii="Times New Roman" w:hAnsi="Times New Roman"/>
          <w:i/>
          <w:iCs/>
        </w:rPr>
        <w:t xml:space="preserve"> for Immigration and Border Protection</w:t>
      </w:r>
      <w:r w:rsidR="000F5060" w:rsidRPr="0026277C">
        <w:rPr>
          <w:rFonts w:ascii="Times New Roman" w:hAnsi="Times New Roman"/>
          <w:i/>
          <w:iCs/>
        </w:rPr>
        <w:t xml:space="preserve"> </w:t>
      </w:r>
      <w:r w:rsidR="001B232D" w:rsidRPr="0026277C">
        <w:rPr>
          <w:rFonts w:ascii="Times New Roman" w:hAnsi="Times New Roman"/>
        </w:rPr>
        <w:t xml:space="preserve">the plaintiff </w:t>
      </w:r>
      <w:r w:rsidR="000F5060" w:rsidRPr="0026277C">
        <w:rPr>
          <w:rFonts w:ascii="Times New Roman" w:hAnsi="Times New Roman"/>
        </w:rPr>
        <w:t>did not lose standing</w:t>
      </w:r>
      <w:r w:rsidR="0074456E" w:rsidRPr="0026277C">
        <w:rPr>
          <w:rFonts w:ascii="Times New Roman" w:hAnsi="Times New Roman"/>
        </w:rPr>
        <w:t xml:space="preserve"> to seek a declaration as to the lawfulness of her detention on Nauru</w:t>
      </w:r>
      <w:r w:rsidR="000F5060" w:rsidRPr="0026277C">
        <w:rPr>
          <w:rFonts w:ascii="Times New Roman" w:hAnsi="Times New Roman"/>
        </w:rPr>
        <w:t xml:space="preserve"> by reason of the change of circumstances after the commencement of the litigation when the Nauruan Government announced its intention to allow for freedom of movement of asylum seekers and </w:t>
      </w:r>
      <w:r w:rsidR="000F5060" w:rsidRPr="0026277C">
        <w:rPr>
          <w:rFonts w:ascii="Times New Roman" w:hAnsi="Times New Roman"/>
        </w:rPr>
        <w:lastRenderedPageBreak/>
        <w:t>to introduce legislation to that effect at the next sitting of the Nauruan Parliament</w:t>
      </w:r>
      <w:r w:rsidR="000F5060" w:rsidRPr="0026277C">
        <w:rPr>
          <w:rStyle w:val="FootnoteReference"/>
          <w:rFonts w:ascii="Times New Roman" w:hAnsi="Times New Roman"/>
          <w:sz w:val="24"/>
        </w:rPr>
        <w:footnoteReference w:id="65"/>
      </w:r>
      <w:r w:rsidR="000F5060" w:rsidRPr="0026277C">
        <w:rPr>
          <w:rFonts w:ascii="Times New Roman" w:hAnsi="Times New Roman"/>
        </w:rPr>
        <w:t>. There remained the issue of whether what had been done could be repeated</w:t>
      </w:r>
      <w:r w:rsidR="000F5060" w:rsidRPr="0026277C">
        <w:rPr>
          <w:rStyle w:val="FootnoteReference"/>
          <w:rFonts w:ascii="Times New Roman" w:hAnsi="Times New Roman"/>
          <w:sz w:val="24"/>
        </w:rPr>
        <w:footnoteReference w:id="66"/>
      </w:r>
      <w:r w:rsidR="000F5060" w:rsidRPr="0026277C">
        <w:rPr>
          <w:rFonts w:ascii="Times New Roman" w:hAnsi="Times New Roman"/>
        </w:rPr>
        <w:t>.</w:t>
      </w:r>
      <w:r w:rsidR="006B7380" w:rsidRPr="0026277C">
        <w:rPr>
          <w:rFonts w:ascii="Times New Roman" w:hAnsi="Times New Roman"/>
        </w:rPr>
        <w:t xml:space="preserve"> </w:t>
      </w:r>
      <w:r w:rsidR="000F5060" w:rsidRPr="0026277C">
        <w:rPr>
          <w:rFonts w:ascii="Times New Roman" w:hAnsi="Times New Roman"/>
        </w:rPr>
        <w:t xml:space="preserve">While that line of reasoning may </w:t>
      </w:r>
      <w:r w:rsidR="00C40DCE" w:rsidRPr="0026277C">
        <w:rPr>
          <w:rFonts w:ascii="Times New Roman" w:hAnsi="Times New Roman"/>
        </w:rPr>
        <w:t xml:space="preserve">be available </w:t>
      </w:r>
      <w:r w:rsidR="000F5060" w:rsidRPr="0026277C">
        <w:rPr>
          <w:rFonts w:ascii="Times New Roman" w:hAnsi="Times New Roman"/>
        </w:rPr>
        <w:t>in respect of administrative decisions or delegated legislation</w:t>
      </w:r>
      <w:r w:rsidR="002C7217" w:rsidRPr="0026277C">
        <w:rPr>
          <w:rStyle w:val="FootnoteReference"/>
          <w:rFonts w:ascii="Times New Roman" w:hAnsi="Times New Roman"/>
          <w:sz w:val="24"/>
        </w:rPr>
        <w:footnoteReference w:id="67"/>
      </w:r>
      <w:r w:rsidR="000F5060" w:rsidRPr="0026277C">
        <w:rPr>
          <w:rFonts w:ascii="Times New Roman" w:hAnsi="Times New Roman"/>
        </w:rPr>
        <w:t xml:space="preserve">, it is a different matter when it comes to Acts of Parliament. The Courts and </w:t>
      </w:r>
      <w:r w:rsidR="00686A40" w:rsidRPr="0026277C">
        <w:rPr>
          <w:rFonts w:ascii="Times New Roman" w:hAnsi="Times New Roman"/>
        </w:rPr>
        <w:t xml:space="preserve">the </w:t>
      </w:r>
      <w:r w:rsidR="000F5060" w:rsidRPr="0026277C">
        <w:rPr>
          <w:rFonts w:ascii="Times New Roman" w:hAnsi="Times New Roman"/>
        </w:rPr>
        <w:t>Parliament must be astute to recognise their respective constitutional roles</w:t>
      </w:r>
      <w:r w:rsidR="000F5060" w:rsidRPr="0026277C">
        <w:rPr>
          <w:rStyle w:val="FootnoteReference"/>
          <w:rFonts w:ascii="Times New Roman" w:hAnsi="Times New Roman"/>
          <w:sz w:val="24"/>
        </w:rPr>
        <w:footnoteReference w:id="68"/>
      </w:r>
      <w:r w:rsidR="000F5060" w:rsidRPr="0026277C">
        <w:rPr>
          <w:rFonts w:ascii="Times New Roman" w:hAnsi="Times New Roman"/>
        </w:rPr>
        <w:t xml:space="preserve">. Plainly, the Court cannot be asked to </w:t>
      </w:r>
      <w:r w:rsidR="00DD25A2" w:rsidRPr="0026277C">
        <w:rPr>
          <w:rFonts w:ascii="Times New Roman" w:hAnsi="Times New Roman"/>
        </w:rPr>
        <w:t>rule on the past invalidity of s 35 in</w:t>
      </w:r>
      <w:r w:rsidR="000F5060" w:rsidRPr="0026277C">
        <w:rPr>
          <w:rFonts w:ascii="Times New Roman" w:hAnsi="Times New Roman"/>
        </w:rPr>
        <w:t xml:space="preserve"> anticipat</w:t>
      </w:r>
      <w:r w:rsidR="00DD25A2" w:rsidRPr="0026277C">
        <w:rPr>
          <w:rFonts w:ascii="Times New Roman" w:hAnsi="Times New Roman"/>
        </w:rPr>
        <w:t>ion</w:t>
      </w:r>
      <w:r w:rsidR="000F5060" w:rsidRPr="0026277C">
        <w:rPr>
          <w:rFonts w:ascii="Times New Roman" w:hAnsi="Times New Roman"/>
        </w:rPr>
        <w:t xml:space="preserve"> </w:t>
      </w:r>
      <w:r w:rsidR="00DD25A2" w:rsidRPr="0026277C">
        <w:rPr>
          <w:rFonts w:ascii="Times New Roman" w:hAnsi="Times New Roman"/>
        </w:rPr>
        <w:t xml:space="preserve">that </w:t>
      </w:r>
      <w:r w:rsidR="000F5060" w:rsidRPr="0026277C">
        <w:rPr>
          <w:rFonts w:ascii="Times New Roman" w:hAnsi="Times New Roman"/>
        </w:rPr>
        <w:t xml:space="preserve">the Parliament may re-enact </w:t>
      </w:r>
      <w:r w:rsidR="002B41DE" w:rsidRPr="0026277C">
        <w:rPr>
          <w:rFonts w:ascii="Times New Roman" w:hAnsi="Times New Roman"/>
        </w:rPr>
        <w:t>the provision</w:t>
      </w:r>
      <w:r w:rsidR="00DD25A2" w:rsidRPr="0026277C">
        <w:rPr>
          <w:rFonts w:ascii="Times New Roman" w:hAnsi="Times New Roman"/>
        </w:rPr>
        <w:t>,</w:t>
      </w:r>
      <w:r w:rsidR="000F5060" w:rsidRPr="0026277C">
        <w:rPr>
          <w:rFonts w:ascii="Times New Roman" w:hAnsi="Times New Roman"/>
        </w:rPr>
        <w:t xml:space="preserve"> or </w:t>
      </w:r>
      <w:r w:rsidR="00D83543" w:rsidRPr="0026277C">
        <w:rPr>
          <w:rFonts w:ascii="Times New Roman" w:hAnsi="Times New Roman"/>
        </w:rPr>
        <w:t>to</w:t>
      </w:r>
      <w:r w:rsidR="000F5060" w:rsidRPr="0026277C">
        <w:rPr>
          <w:rFonts w:ascii="Times New Roman" w:hAnsi="Times New Roman"/>
        </w:rPr>
        <w:t xml:space="preserve"> rule on the validity of </w:t>
      </w:r>
      <w:r w:rsidR="00B17637" w:rsidRPr="0026277C">
        <w:rPr>
          <w:rFonts w:ascii="Times New Roman" w:hAnsi="Times New Roman"/>
        </w:rPr>
        <w:t>possible</w:t>
      </w:r>
      <w:r w:rsidR="000F5060" w:rsidRPr="0026277C">
        <w:rPr>
          <w:rFonts w:ascii="Times New Roman" w:hAnsi="Times New Roman"/>
        </w:rPr>
        <w:t xml:space="preserve"> future legislation that might be "materially similar" to s</w:t>
      </w:r>
      <w:r w:rsidR="00271B00" w:rsidRPr="0026277C">
        <w:rPr>
          <w:rFonts w:ascii="Times New Roman" w:hAnsi="Times New Roman"/>
        </w:rPr>
        <w:t> </w:t>
      </w:r>
      <w:r w:rsidR="000F5060" w:rsidRPr="0026277C">
        <w:rPr>
          <w:rFonts w:ascii="Times New Roman" w:hAnsi="Times New Roman"/>
        </w:rPr>
        <w:t>35</w:t>
      </w:r>
      <w:r w:rsidR="00D80AD1" w:rsidRPr="0026277C">
        <w:rPr>
          <w:rStyle w:val="FootnoteReference"/>
          <w:rFonts w:ascii="Times New Roman" w:hAnsi="Times New Roman"/>
          <w:sz w:val="24"/>
        </w:rPr>
        <w:footnoteReference w:id="69"/>
      </w:r>
      <w:r w:rsidR="000F5060" w:rsidRPr="0026277C">
        <w:rPr>
          <w:rFonts w:ascii="Times New Roman" w:hAnsi="Times New Roman"/>
        </w:rPr>
        <w:t>.</w:t>
      </w:r>
      <w:r w:rsidR="005E587C" w:rsidRPr="0026277C">
        <w:rPr>
          <w:rFonts w:ascii="Times New Roman" w:hAnsi="Times New Roman"/>
        </w:rPr>
        <w:t xml:space="preserve"> </w:t>
      </w:r>
    </w:p>
    <w:p w14:paraId="4845EA4D" w14:textId="56926610" w:rsidR="00D4458B" w:rsidRPr="0026277C" w:rsidRDefault="005866E6" w:rsidP="0026277C">
      <w:pPr>
        <w:pStyle w:val="FixListStyle"/>
        <w:spacing w:after="260" w:line="280" w:lineRule="exact"/>
        <w:ind w:right="0"/>
        <w:jc w:val="both"/>
        <w:rPr>
          <w:rFonts w:ascii="Times New Roman" w:hAnsi="Times New Roman"/>
        </w:rPr>
      </w:pPr>
      <w:r w:rsidRPr="0026277C">
        <w:rPr>
          <w:rFonts w:ascii="Times New Roman" w:hAnsi="Times New Roman"/>
        </w:rPr>
        <w:tab/>
        <w:t>For those reasons, t</w:t>
      </w:r>
      <w:r w:rsidR="000F5060" w:rsidRPr="0026277C">
        <w:rPr>
          <w:rFonts w:ascii="Times New Roman" w:hAnsi="Times New Roman"/>
        </w:rPr>
        <w:t xml:space="preserve">he Court no longer </w:t>
      </w:r>
      <w:r w:rsidR="00271B00" w:rsidRPr="0026277C">
        <w:rPr>
          <w:rFonts w:ascii="Times New Roman" w:hAnsi="Times New Roman"/>
        </w:rPr>
        <w:t xml:space="preserve">has </w:t>
      </w:r>
      <w:r w:rsidR="000F5060" w:rsidRPr="0026277C">
        <w:rPr>
          <w:rFonts w:ascii="Times New Roman" w:hAnsi="Times New Roman"/>
        </w:rPr>
        <w:t xml:space="preserve">jurisdiction to hear </w:t>
      </w:r>
      <w:r w:rsidR="00595A1C" w:rsidRPr="0026277C">
        <w:rPr>
          <w:rFonts w:ascii="Times New Roman" w:hAnsi="Times New Roman"/>
        </w:rPr>
        <w:t xml:space="preserve">and determine </w:t>
      </w:r>
      <w:r w:rsidR="000F5060" w:rsidRPr="0026277C">
        <w:rPr>
          <w:rFonts w:ascii="Times New Roman" w:hAnsi="Times New Roman"/>
        </w:rPr>
        <w:t xml:space="preserve">the </w:t>
      </w:r>
      <w:r w:rsidR="00A3457B" w:rsidRPr="0026277C">
        <w:rPr>
          <w:rFonts w:ascii="Times New Roman" w:hAnsi="Times New Roman"/>
        </w:rPr>
        <w:t>plaintiffs' claim with respect to the purported invalidity of s 35</w:t>
      </w:r>
      <w:r w:rsidRPr="0026277C">
        <w:rPr>
          <w:rFonts w:ascii="Times New Roman" w:hAnsi="Times New Roman"/>
        </w:rPr>
        <w:t xml:space="preserve"> of the EF Act</w:t>
      </w:r>
      <w:r w:rsidR="00137319" w:rsidRPr="0026277C">
        <w:rPr>
          <w:rFonts w:ascii="Times New Roman" w:hAnsi="Times New Roman"/>
        </w:rPr>
        <w:t>, now repealed</w:t>
      </w:r>
      <w:r w:rsidR="000F5060" w:rsidRPr="0026277C">
        <w:rPr>
          <w:rFonts w:ascii="Times New Roman" w:hAnsi="Times New Roman"/>
        </w:rPr>
        <w:t xml:space="preserve">. The scope of the constitutional </w:t>
      </w:r>
      <w:r w:rsidR="00D54D28" w:rsidRPr="0026277C">
        <w:rPr>
          <w:rFonts w:ascii="Times New Roman" w:hAnsi="Times New Roman"/>
        </w:rPr>
        <w:t>"</w:t>
      </w:r>
      <w:r w:rsidR="000F5060" w:rsidRPr="0026277C">
        <w:rPr>
          <w:rFonts w:ascii="Times New Roman" w:hAnsi="Times New Roman"/>
        </w:rPr>
        <w:t>matter</w:t>
      </w:r>
      <w:r w:rsidR="00D54D28" w:rsidRPr="0026277C">
        <w:rPr>
          <w:rFonts w:ascii="Times New Roman" w:hAnsi="Times New Roman"/>
        </w:rPr>
        <w:t>"</w:t>
      </w:r>
      <w:r w:rsidR="000F5060" w:rsidRPr="0026277C">
        <w:rPr>
          <w:rFonts w:ascii="Times New Roman" w:hAnsi="Times New Roman"/>
        </w:rPr>
        <w:t xml:space="preserve"> </w:t>
      </w:r>
      <w:r w:rsidR="00CA1C1C" w:rsidRPr="0026277C">
        <w:rPr>
          <w:rFonts w:ascii="Times New Roman" w:hAnsi="Times New Roman"/>
        </w:rPr>
        <w:t xml:space="preserve">before the Court </w:t>
      </w:r>
      <w:r w:rsidR="000F5060" w:rsidRPr="0026277C">
        <w:rPr>
          <w:rFonts w:ascii="Times New Roman" w:hAnsi="Times New Roman"/>
        </w:rPr>
        <w:t>has contracted and the only remaining issue is the validity of s</w:t>
      </w:r>
      <w:r w:rsidR="00342CFD" w:rsidRPr="0026277C">
        <w:rPr>
          <w:rFonts w:ascii="Times New Roman" w:hAnsi="Times New Roman"/>
        </w:rPr>
        <w:t> </w:t>
      </w:r>
      <w:r w:rsidR="000F5060" w:rsidRPr="0026277C">
        <w:rPr>
          <w:rFonts w:ascii="Times New Roman" w:hAnsi="Times New Roman"/>
        </w:rPr>
        <w:t xml:space="preserve">29(11). </w:t>
      </w:r>
      <w:r w:rsidR="00564CBA" w:rsidRPr="0026277C">
        <w:rPr>
          <w:rFonts w:ascii="Times New Roman" w:hAnsi="Times New Roman"/>
        </w:rPr>
        <w:t>Question 1A(a) should be answered "No".</w:t>
      </w:r>
    </w:p>
    <w:p w14:paraId="39F5011E" w14:textId="1C262F94" w:rsidR="00A82711" w:rsidRPr="0026277C" w:rsidRDefault="00A82711" w:rsidP="0026277C">
      <w:pPr>
        <w:pStyle w:val="FixListStyle"/>
        <w:spacing w:after="260" w:line="280" w:lineRule="exact"/>
        <w:ind w:right="0"/>
        <w:jc w:val="both"/>
        <w:rPr>
          <w:rFonts w:ascii="Times New Roman" w:hAnsi="Times New Roman"/>
        </w:rPr>
      </w:pPr>
      <w:r w:rsidRPr="0026277C">
        <w:rPr>
          <w:rFonts w:ascii="Times New Roman" w:hAnsi="Times New Roman"/>
        </w:rPr>
        <w:tab/>
        <w:t xml:space="preserve">Given </w:t>
      </w:r>
      <w:r w:rsidR="006D1E5F" w:rsidRPr="0026277C">
        <w:rPr>
          <w:rFonts w:ascii="Times New Roman" w:hAnsi="Times New Roman"/>
        </w:rPr>
        <w:t>that conclusion</w:t>
      </w:r>
      <w:r w:rsidRPr="0026277C">
        <w:rPr>
          <w:rFonts w:ascii="Times New Roman" w:hAnsi="Times New Roman"/>
        </w:rPr>
        <w:t xml:space="preserve">, </w:t>
      </w:r>
      <w:r w:rsidR="00CE791C" w:rsidRPr="0026277C">
        <w:rPr>
          <w:rFonts w:ascii="Times New Roman" w:hAnsi="Times New Roman"/>
        </w:rPr>
        <w:t xml:space="preserve">it is unnecessary to answer </w:t>
      </w:r>
      <w:r w:rsidR="00854723" w:rsidRPr="0026277C">
        <w:rPr>
          <w:rFonts w:ascii="Times New Roman" w:hAnsi="Times New Roman"/>
        </w:rPr>
        <w:t>questio</w:t>
      </w:r>
      <w:r w:rsidR="00FF2EDE" w:rsidRPr="0026277C">
        <w:rPr>
          <w:rFonts w:ascii="Times New Roman" w:hAnsi="Times New Roman"/>
        </w:rPr>
        <w:t>n</w:t>
      </w:r>
      <w:r w:rsidR="000863EB" w:rsidRPr="0026277C">
        <w:rPr>
          <w:rFonts w:ascii="Times New Roman" w:hAnsi="Times New Roman"/>
        </w:rPr>
        <w:t xml:space="preserve"> </w:t>
      </w:r>
      <w:r w:rsidR="00564CBA" w:rsidRPr="0026277C">
        <w:rPr>
          <w:rFonts w:ascii="Times New Roman" w:hAnsi="Times New Roman"/>
        </w:rPr>
        <w:t>1A(b) –</w:t>
      </w:r>
      <w:r w:rsidR="000863EB" w:rsidRPr="0026277C">
        <w:rPr>
          <w:rFonts w:ascii="Times New Roman" w:hAnsi="Times New Roman"/>
        </w:rPr>
        <w:t xml:space="preserve"> </w:t>
      </w:r>
      <w:r w:rsidR="0079719D" w:rsidRPr="0026277C">
        <w:rPr>
          <w:rFonts w:ascii="Times New Roman" w:hAnsi="Times New Roman"/>
        </w:rPr>
        <w:t>whether</w:t>
      </w:r>
      <w:r w:rsidR="00A7633F">
        <w:rPr>
          <w:rFonts w:ascii="Times New Roman" w:hAnsi="Times New Roman"/>
        </w:rPr>
        <w:t> </w:t>
      </w:r>
      <w:r w:rsidR="000F4E73" w:rsidRPr="0026277C">
        <w:rPr>
          <w:rFonts w:ascii="Times New Roman" w:hAnsi="Times New Roman"/>
        </w:rPr>
        <w:t>the Court</w:t>
      </w:r>
      <w:r w:rsidR="002716A9" w:rsidRPr="0026277C">
        <w:rPr>
          <w:rFonts w:ascii="Times New Roman" w:hAnsi="Times New Roman"/>
        </w:rPr>
        <w:t>,</w:t>
      </w:r>
      <w:r w:rsidR="000F4E73" w:rsidRPr="0026277C">
        <w:rPr>
          <w:rFonts w:ascii="Times New Roman" w:hAnsi="Times New Roman"/>
        </w:rPr>
        <w:t xml:space="preserve"> in its discretion</w:t>
      </w:r>
      <w:r w:rsidR="002716A9" w:rsidRPr="0026277C">
        <w:rPr>
          <w:rFonts w:ascii="Times New Roman" w:hAnsi="Times New Roman"/>
        </w:rPr>
        <w:t>,</w:t>
      </w:r>
      <w:r w:rsidR="000F4E73" w:rsidRPr="0026277C">
        <w:rPr>
          <w:rFonts w:ascii="Times New Roman" w:hAnsi="Times New Roman"/>
        </w:rPr>
        <w:t xml:space="preserve"> </w:t>
      </w:r>
      <w:r w:rsidR="002D417F" w:rsidRPr="0026277C">
        <w:rPr>
          <w:rFonts w:ascii="Times New Roman" w:hAnsi="Times New Roman"/>
        </w:rPr>
        <w:t xml:space="preserve">should </w:t>
      </w:r>
      <w:r w:rsidR="000F4E73" w:rsidRPr="0026277C">
        <w:rPr>
          <w:rFonts w:ascii="Times New Roman" w:hAnsi="Times New Roman"/>
        </w:rPr>
        <w:t xml:space="preserve">hear and determine the question </w:t>
      </w:r>
      <w:r w:rsidR="00274A53" w:rsidRPr="0026277C">
        <w:rPr>
          <w:rFonts w:ascii="Times New Roman" w:hAnsi="Times New Roman"/>
        </w:rPr>
        <w:t xml:space="preserve">of the purported invalidity of </w:t>
      </w:r>
      <w:r w:rsidR="002716A9" w:rsidRPr="0026277C">
        <w:rPr>
          <w:rFonts w:ascii="Times New Roman" w:hAnsi="Times New Roman"/>
        </w:rPr>
        <w:t>s 35 of the EF</w:t>
      </w:r>
      <w:r w:rsidR="000C1CD1" w:rsidRPr="0026277C">
        <w:rPr>
          <w:rFonts w:ascii="Times New Roman" w:hAnsi="Times New Roman"/>
        </w:rPr>
        <w:t> </w:t>
      </w:r>
      <w:r w:rsidR="002716A9" w:rsidRPr="0026277C">
        <w:rPr>
          <w:rFonts w:ascii="Times New Roman" w:hAnsi="Times New Roman"/>
        </w:rPr>
        <w:t>Act, now repealed</w:t>
      </w:r>
      <w:r w:rsidR="00D8376C" w:rsidRPr="0026277C">
        <w:rPr>
          <w:rFonts w:ascii="Times New Roman" w:hAnsi="Times New Roman"/>
        </w:rPr>
        <w:t>.</w:t>
      </w:r>
      <w:r w:rsidR="002716A9" w:rsidRPr="0026277C">
        <w:rPr>
          <w:rFonts w:ascii="Times New Roman" w:hAnsi="Times New Roman"/>
        </w:rPr>
        <w:t xml:space="preserve"> </w:t>
      </w:r>
      <w:r w:rsidR="00D8376C" w:rsidRPr="0026277C">
        <w:rPr>
          <w:rFonts w:ascii="Times New Roman" w:hAnsi="Times New Roman"/>
        </w:rPr>
        <w:t>T</w:t>
      </w:r>
      <w:r w:rsidR="007D2D5A" w:rsidRPr="0026277C">
        <w:rPr>
          <w:rFonts w:ascii="Times New Roman" w:hAnsi="Times New Roman"/>
        </w:rPr>
        <w:t>hat</w:t>
      </w:r>
      <w:r w:rsidR="00D8376C" w:rsidRPr="0026277C">
        <w:rPr>
          <w:rFonts w:ascii="Times New Roman" w:hAnsi="Times New Roman"/>
        </w:rPr>
        <w:t xml:space="preserve"> question</w:t>
      </w:r>
      <w:r w:rsidR="007D2D5A" w:rsidRPr="0026277C">
        <w:rPr>
          <w:rFonts w:ascii="Times New Roman" w:hAnsi="Times New Roman"/>
        </w:rPr>
        <w:t xml:space="preserve"> </w:t>
      </w:r>
      <w:r w:rsidR="00CE791C" w:rsidRPr="0026277C">
        <w:rPr>
          <w:rFonts w:ascii="Times New Roman" w:hAnsi="Times New Roman"/>
        </w:rPr>
        <w:t xml:space="preserve">was premised on the </w:t>
      </w:r>
      <w:r w:rsidR="003D1E87" w:rsidRPr="0026277C">
        <w:rPr>
          <w:rFonts w:ascii="Times New Roman" w:hAnsi="Times New Roman"/>
        </w:rPr>
        <w:t>Court hav</w:t>
      </w:r>
      <w:r w:rsidR="00CE791C" w:rsidRPr="0026277C">
        <w:rPr>
          <w:rFonts w:ascii="Times New Roman" w:hAnsi="Times New Roman"/>
        </w:rPr>
        <w:t xml:space="preserve">ing </w:t>
      </w:r>
      <w:r w:rsidR="003D1E87" w:rsidRPr="0026277C">
        <w:rPr>
          <w:rFonts w:ascii="Times New Roman" w:hAnsi="Times New Roman"/>
        </w:rPr>
        <w:t xml:space="preserve">jurisdiction to hear and determine </w:t>
      </w:r>
      <w:r w:rsidR="00B87FED" w:rsidRPr="0026277C">
        <w:rPr>
          <w:rFonts w:ascii="Times New Roman" w:hAnsi="Times New Roman"/>
        </w:rPr>
        <w:t>that</w:t>
      </w:r>
      <w:r w:rsidR="00D54D28" w:rsidRPr="0026277C">
        <w:rPr>
          <w:rFonts w:ascii="Times New Roman" w:hAnsi="Times New Roman"/>
        </w:rPr>
        <w:t xml:space="preserve"> claim</w:t>
      </w:r>
      <w:r w:rsidR="00CE791C" w:rsidRPr="0026277C">
        <w:rPr>
          <w:rFonts w:ascii="Times New Roman" w:hAnsi="Times New Roman"/>
        </w:rPr>
        <w:t>.</w:t>
      </w:r>
    </w:p>
    <w:p w14:paraId="2064B19D" w14:textId="4787737E" w:rsidR="005F038D" w:rsidRPr="0026277C" w:rsidRDefault="005F038D" w:rsidP="0026277C">
      <w:pPr>
        <w:pStyle w:val="HeadingL1"/>
        <w:spacing w:after="260" w:line="280" w:lineRule="exact"/>
        <w:ind w:right="0"/>
        <w:jc w:val="both"/>
        <w:rPr>
          <w:rFonts w:ascii="Times New Roman" w:hAnsi="Times New Roman"/>
        </w:rPr>
      </w:pPr>
      <w:r w:rsidRPr="0026277C">
        <w:rPr>
          <w:rFonts w:ascii="Times New Roman" w:hAnsi="Times New Roman"/>
        </w:rPr>
        <w:lastRenderedPageBreak/>
        <w:t xml:space="preserve">Question 1 – </w:t>
      </w:r>
      <w:r w:rsidR="006B7380" w:rsidRPr="0026277C">
        <w:rPr>
          <w:rFonts w:ascii="Times New Roman" w:hAnsi="Times New Roman"/>
        </w:rPr>
        <w:t>V</w:t>
      </w:r>
      <w:r w:rsidRPr="0026277C">
        <w:rPr>
          <w:rFonts w:ascii="Times New Roman" w:hAnsi="Times New Roman"/>
        </w:rPr>
        <w:t>alidity of s 29(11) of the EF Act</w:t>
      </w:r>
    </w:p>
    <w:p w14:paraId="7C6A62FB" w14:textId="53A68973" w:rsidR="00726459" w:rsidRPr="0026277C" w:rsidRDefault="00D26C60"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726459" w:rsidRPr="0026277C">
        <w:rPr>
          <w:rFonts w:ascii="Times New Roman" w:hAnsi="Times New Roman"/>
        </w:rPr>
        <w:t xml:space="preserve">It was accepted </w:t>
      </w:r>
      <w:r w:rsidR="00F249C7" w:rsidRPr="0026277C">
        <w:rPr>
          <w:rFonts w:ascii="Times New Roman" w:hAnsi="Times New Roman"/>
        </w:rPr>
        <w:t xml:space="preserve">by the parties and the Commonwealth that </w:t>
      </w:r>
      <w:r w:rsidR="00157E02" w:rsidRPr="0026277C">
        <w:rPr>
          <w:rFonts w:ascii="Times New Roman" w:hAnsi="Times New Roman"/>
        </w:rPr>
        <w:t xml:space="preserve">caps on electoral expenditure </w:t>
      </w:r>
      <w:r w:rsidR="00521C11" w:rsidRPr="0026277C">
        <w:rPr>
          <w:rFonts w:ascii="Times New Roman" w:hAnsi="Times New Roman"/>
        </w:rPr>
        <w:t>(including s 29(11) of the EF Act)</w:t>
      </w:r>
      <w:r w:rsidR="00157E02" w:rsidRPr="0026277C">
        <w:rPr>
          <w:rFonts w:ascii="Times New Roman" w:hAnsi="Times New Roman"/>
        </w:rPr>
        <w:t xml:space="preserve"> impose an effective and direct burden on political communication by restricting the capacity of the persons to whom they apply to participate in political debate during </w:t>
      </w:r>
      <w:r w:rsidR="006346D0" w:rsidRPr="0026277C">
        <w:rPr>
          <w:rFonts w:ascii="Times New Roman" w:hAnsi="Times New Roman"/>
        </w:rPr>
        <w:t xml:space="preserve">an </w:t>
      </w:r>
      <w:r w:rsidR="002C2249" w:rsidRPr="0026277C">
        <w:rPr>
          <w:rFonts w:ascii="Times New Roman" w:hAnsi="Times New Roman"/>
        </w:rPr>
        <w:t>election</w:t>
      </w:r>
      <w:r w:rsidR="00157E02" w:rsidRPr="0026277C">
        <w:rPr>
          <w:rFonts w:ascii="Times New Roman" w:hAnsi="Times New Roman"/>
        </w:rPr>
        <w:t xml:space="preserve"> campaign</w:t>
      </w:r>
      <w:r w:rsidR="00157E02" w:rsidRPr="0026277C">
        <w:rPr>
          <w:rStyle w:val="FootnoteReference"/>
          <w:rFonts w:ascii="Times New Roman" w:hAnsi="Times New Roman"/>
          <w:sz w:val="24"/>
        </w:rPr>
        <w:footnoteReference w:id="70"/>
      </w:r>
      <w:r w:rsidR="002C2249" w:rsidRPr="0026277C">
        <w:rPr>
          <w:rFonts w:ascii="Times New Roman" w:hAnsi="Times New Roman"/>
        </w:rPr>
        <w:t>,</w:t>
      </w:r>
      <w:r w:rsidR="00157E02" w:rsidRPr="0026277C">
        <w:rPr>
          <w:rFonts w:ascii="Times New Roman" w:hAnsi="Times New Roman"/>
        </w:rPr>
        <w:t xml:space="preserve"> and </w:t>
      </w:r>
      <w:r w:rsidR="002C2249" w:rsidRPr="0026277C">
        <w:rPr>
          <w:rFonts w:ascii="Times New Roman" w:hAnsi="Times New Roman"/>
        </w:rPr>
        <w:t xml:space="preserve">that </w:t>
      </w:r>
      <w:r w:rsidR="00157E02" w:rsidRPr="0026277C">
        <w:rPr>
          <w:rFonts w:ascii="Times New Roman" w:hAnsi="Times New Roman"/>
        </w:rPr>
        <w:t>where a law imposes a burden on the freedom, it must be justified</w:t>
      </w:r>
      <w:r w:rsidR="00157E02" w:rsidRPr="0026277C">
        <w:rPr>
          <w:rStyle w:val="FootnoteReference"/>
          <w:rFonts w:ascii="Times New Roman" w:hAnsi="Times New Roman"/>
          <w:sz w:val="24"/>
        </w:rPr>
        <w:footnoteReference w:id="71"/>
      </w:r>
      <w:r w:rsidR="00157E02" w:rsidRPr="0026277C">
        <w:rPr>
          <w:rFonts w:ascii="Times New Roman" w:hAnsi="Times New Roman"/>
        </w:rPr>
        <w:t>.</w:t>
      </w:r>
    </w:p>
    <w:p w14:paraId="37CE9C84" w14:textId="3F2B1765" w:rsidR="006D2452" w:rsidRPr="0026277C" w:rsidRDefault="00726459"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521C11" w:rsidRPr="0026277C">
        <w:rPr>
          <w:rFonts w:ascii="Times New Roman" w:hAnsi="Times New Roman"/>
        </w:rPr>
        <w:t>It was also accepted that t</w:t>
      </w:r>
      <w:r w:rsidR="00B90A21" w:rsidRPr="0026277C">
        <w:rPr>
          <w:rFonts w:ascii="Times New Roman" w:hAnsi="Times New Roman"/>
        </w:rPr>
        <w:t xml:space="preserve">he polity imposing the burden </w:t>
      </w:r>
      <w:r w:rsidR="008320A5" w:rsidRPr="0026277C">
        <w:rPr>
          <w:rFonts w:ascii="Times New Roman" w:hAnsi="Times New Roman"/>
        </w:rPr>
        <w:t xml:space="preserve">on political communication </w:t>
      </w:r>
      <w:r w:rsidR="00B90A21" w:rsidRPr="0026277C">
        <w:rPr>
          <w:rFonts w:ascii="Times New Roman" w:hAnsi="Times New Roman"/>
        </w:rPr>
        <w:t>bears the persuasive onus of establishing that justification</w:t>
      </w:r>
      <w:r w:rsidR="00B90A21" w:rsidRPr="0026277C">
        <w:rPr>
          <w:rStyle w:val="FootnoteReference"/>
          <w:rFonts w:ascii="Times New Roman" w:hAnsi="Times New Roman"/>
          <w:sz w:val="24"/>
        </w:rPr>
        <w:footnoteReference w:id="72"/>
      </w:r>
      <w:r w:rsidR="00B90A21" w:rsidRPr="0026277C">
        <w:rPr>
          <w:rFonts w:ascii="Times New Roman" w:hAnsi="Times New Roman"/>
        </w:rPr>
        <w:t>. That</w:t>
      </w:r>
      <w:r w:rsidR="007B7942">
        <w:rPr>
          <w:rFonts w:ascii="Times New Roman" w:hAnsi="Times New Roman"/>
        </w:rPr>
        <w:t> </w:t>
      </w:r>
      <w:r w:rsidR="00B90A21" w:rsidRPr="0026277C">
        <w:rPr>
          <w:rFonts w:ascii="Times New Roman" w:hAnsi="Times New Roman"/>
        </w:rPr>
        <w:t xml:space="preserve">is, at least in a practical sense, it </w:t>
      </w:r>
      <w:r w:rsidR="000A7E2E" w:rsidRPr="0026277C">
        <w:rPr>
          <w:rFonts w:ascii="Times New Roman" w:hAnsi="Times New Roman"/>
        </w:rPr>
        <w:t xml:space="preserve">is </w:t>
      </w:r>
      <w:r w:rsidR="00B90A21" w:rsidRPr="0026277C">
        <w:rPr>
          <w:rFonts w:ascii="Times New Roman" w:hAnsi="Times New Roman"/>
        </w:rPr>
        <w:t>for the State defending the validity of the impugned provisions to justify the burden</w:t>
      </w:r>
      <w:r w:rsidR="00B90A21" w:rsidRPr="0026277C">
        <w:rPr>
          <w:rStyle w:val="FootnoteReference"/>
          <w:rFonts w:ascii="Times New Roman" w:hAnsi="Times New Roman"/>
          <w:sz w:val="24"/>
        </w:rPr>
        <w:footnoteReference w:id="73"/>
      </w:r>
      <w:r w:rsidR="00B90A21" w:rsidRPr="0026277C">
        <w:rPr>
          <w:rFonts w:ascii="Times New Roman" w:hAnsi="Times New Roman"/>
        </w:rPr>
        <w:t xml:space="preserve">. </w:t>
      </w:r>
      <w:r w:rsidR="00095621" w:rsidRPr="0026277C">
        <w:rPr>
          <w:rFonts w:ascii="Times New Roman" w:hAnsi="Times New Roman"/>
        </w:rPr>
        <w:t>T</w:t>
      </w:r>
      <w:r w:rsidR="00B90A21" w:rsidRPr="0026277C">
        <w:rPr>
          <w:rFonts w:ascii="Times New Roman" w:hAnsi="Times New Roman"/>
        </w:rPr>
        <w:t>he</w:t>
      </w:r>
      <w:r w:rsidR="00D953C9" w:rsidRPr="0026277C">
        <w:rPr>
          <w:rFonts w:ascii="Times New Roman" w:hAnsi="Times New Roman"/>
        </w:rPr>
        <w:t> </w:t>
      </w:r>
      <w:r w:rsidR="00B90A21" w:rsidRPr="0026277C">
        <w:rPr>
          <w:rFonts w:ascii="Times New Roman" w:hAnsi="Times New Roman"/>
        </w:rPr>
        <w:t>Court must be satisfied of the existence of facts on which the State's justification for the burden depends</w:t>
      </w:r>
      <w:r w:rsidR="00B90A21" w:rsidRPr="0026277C">
        <w:rPr>
          <w:rStyle w:val="FootnoteReference"/>
          <w:rFonts w:ascii="Times New Roman" w:hAnsi="Times New Roman"/>
          <w:sz w:val="24"/>
        </w:rPr>
        <w:footnoteReference w:id="74"/>
      </w:r>
      <w:r w:rsidR="00B90A21" w:rsidRPr="0026277C">
        <w:rPr>
          <w:rFonts w:ascii="Times New Roman" w:hAnsi="Times New Roman"/>
        </w:rPr>
        <w:t>. That</w:t>
      </w:r>
      <w:r w:rsidR="007B7942">
        <w:rPr>
          <w:rFonts w:ascii="Times New Roman" w:hAnsi="Times New Roman"/>
        </w:rPr>
        <w:t> </w:t>
      </w:r>
      <w:r w:rsidR="00ED2FA5" w:rsidRPr="0026277C">
        <w:rPr>
          <w:rFonts w:ascii="Times New Roman" w:hAnsi="Times New Roman"/>
        </w:rPr>
        <w:t>requirement</w:t>
      </w:r>
      <w:r w:rsidR="00B90A21" w:rsidRPr="0026277C">
        <w:rPr>
          <w:rFonts w:ascii="Times New Roman" w:hAnsi="Times New Roman"/>
        </w:rPr>
        <w:t xml:space="preserve"> was determinative in </w:t>
      </w:r>
      <w:r w:rsidR="00B90A21" w:rsidRPr="0026277C">
        <w:rPr>
          <w:rFonts w:ascii="Times New Roman" w:hAnsi="Times New Roman"/>
          <w:i/>
        </w:rPr>
        <w:t>Unions [No 2]</w:t>
      </w:r>
      <w:r w:rsidR="00B90A21" w:rsidRPr="0026277C">
        <w:rPr>
          <w:rFonts w:ascii="Times New Roman" w:hAnsi="Times New Roman"/>
        </w:rPr>
        <w:t>.</w:t>
      </w:r>
    </w:p>
    <w:p w14:paraId="4B9A8B4B" w14:textId="1EF4DF4B" w:rsidR="00F7610A" w:rsidRPr="0026277C" w:rsidRDefault="006D2452"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5963EE" w:rsidRPr="0026277C">
        <w:rPr>
          <w:rFonts w:ascii="Times New Roman" w:hAnsi="Times New Roman"/>
        </w:rPr>
        <w:t>As explained earlier in these reasons, s</w:t>
      </w:r>
      <w:r w:rsidR="00D26C60" w:rsidRPr="0026277C">
        <w:rPr>
          <w:rFonts w:ascii="Times New Roman" w:hAnsi="Times New Roman"/>
        </w:rPr>
        <w:t xml:space="preserve">hortly after oral argument had completed, </w:t>
      </w:r>
      <w:r w:rsidR="005B045C" w:rsidRPr="0026277C">
        <w:rPr>
          <w:rFonts w:ascii="Times New Roman" w:hAnsi="Times New Roman"/>
        </w:rPr>
        <w:t>the State</w:t>
      </w:r>
      <w:r w:rsidR="00D26C60" w:rsidRPr="0026277C">
        <w:rPr>
          <w:rFonts w:ascii="Times New Roman" w:hAnsi="Times New Roman"/>
        </w:rPr>
        <w:t xml:space="preserve"> </w:t>
      </w:r>
      <w:r w:rsidR="00EF6757" w:rsidRPr="0026277C">
        <w:rPr>
          <w:rFonts w:ascii="Times New Roman" w:hAnsi="Times New Roman"/>
        </w:rPr>
        <w:t xml:space="preserve">told the Court that </w:t>
      </w:r>
      <w:r w:rsidR="00325555" w:rsidRPr="0026277C">
        <w:rPr>
          <w:rFonts w:ascii="Times New Roman" w:hAnsi="Times New Roman"/>
        </w:rPr>
        <w:t>it</w:t>
      </w:r>
      <w:r w:rsidR="005B045C" w:rsidRPr="0026277C">
        <w:rPr>
          <w:rFonts w:ascii="Times New Roman" w:hAnsi="Times New Roman"/>
        </w:rPr>
        <w:t xml:space="preserve"> </w:t>
      </w:r>
      <w:r w:rsidR="00EF6757" w:rsidRPr="0026277C">
        <w:rPr>
          <w:rFonts w:ascii="Times New Roman" w:hAnsi="Times New Roman"/>
        </w:rPr>
        <w:t>now accepted that s 29(11) of the EF Act was invalid. The</w:t>
      </w:r>
      <w:r w:rsidR="00EE65F3" w:rsidRPr="0026277C">
        <w:rPr>
          <w:rFonts w:ascii="Times New Roman" w:hAnsi="Times New Roman"/>
        </w:rPr>
        <w:t xml:space="preserve"> State</w:t>
      </w:r>
      <w:r w:rsidR="00EF6757" w:rsidRPr="0026277C">
        <w:rPr>
          <w:rFonts w:ascii="Times New Roman" w:hAnsi="Times New Roman"/>
        </w:rPr>
        <w:t xml:space="preserve"> said that </w:t>
      </w:r>
      <w:r w:rsidR="00EE65F3" w:rsidRPr="0026277C">
        <w:rPr>
          <w:rFonts w:ascii="Times New Roman" w:hAnsi="Times New Roman"/>
        </w:rPr>
        <w:t xml:space="preserve">it </w:t>
      </w:r>
      <w:r w:rsidR="00EF6757" w:rsidRPr="0026277C">
        <w:rPr>
          <w:rFonts w:ascii="Times New Roman" w:hAnsi="Times New Roman"/>
        </w:rPr>
        <w:t xml:space="preserve">had changed its position because the </w:t>
      </w:r>
      <w:r w:rsidR="003718A0" w:rsidRPr="0026277C">
        <w:rPr>
          <w:rFonts w:ascii="Times New Roman" w:hAnsi="Times New Roman"/>
        </w:rPr>
        <w:t>JSCEM</w:t>
      </w:r>
      <w:r w:rsidR="00EF6757" w:rsidRPr="0026277C">
        <w:rPr>
          <w:rFonts w:ascii="Times New Roman" w:hAnsi="Times New Roman"/>
        </w:rPr>
        <w:t xml:space="preserve"> had just reported to the Parliament of New South Wales</w:t>
      </w:r>
      <w:r w:rsidR="00D605F8" w:rsidRPr="0026277C">
        <w:rPr>
          <w:rFonts w:ascii="Times New Roman" w:hAnsi="Times New Roman"/>
        </w:rPr>
        <w:t>, among other things, that the cap</w:t>
      </w:r>
      <w:r w:rsidR="00553613" w:rsidRPr="0026277C">
        <w:rPr>
          <w:rFonts w:ascii="Times New Roman" w:hAnsi="Times New Roman"/>
        </w:rPr>
        <w:t xml:space="preserve"> on</w:t>
      </w:r>
      <w:r w:rsidR="00D605F8" w:rsidRPr="0026277C">
        <w:rPr>
          <w:rFonts w:ascii="Times New Roman" w:hAnsi="Times New Roman"/>
        </w:rPr>
        <w:t xml:space="preserve"> TPCs for a by-election should be </w:t>
      </w:r>
      <w:r w:rsidR="00F16B8F" w:rsidRPr="0026277C">
        <w:rPr>
          <w:rFonts w:ascii="Times New Roman" w:hAnsi="Times New Roman"/>
        </w:rPr>
        <w:t>increased to $198,750 indexed.</w:t>
      </w:r>
      <w:r w:rsidR="00AD4718" w:rsidRPr="0026277C">
        <w:rPr>
          <w:rFonts w:ascii="Times New Roman" w:hAnsi="Times New Roman"/>
        </w:rPr>
        <w:t xml:space="preserve"> </w:t>
      </w:r>
      <w:r w:rsidR="00AD4718" w:rsidRPr="0026277C">
        <w:rPr>
          <w:rFonts w:ascii="Times New Roman" w:hAnsi="Times New Roman"/>
        </w:rPr>
        <w:lastRenderedPageBreak/>
        <w:t>The</w:t>
      </w:r>
      <w:r w:rsidR="00623DBB">
        <w:rPr>
          <w:rFonts w:ascii="Times New Roman" w:hAnsi="Times New Roman"/>
        </w:rPr>
        <w:t> </w:t>
      </w:r>
      <w:r w:rsidR="00AD4718" w:rsidRPr="0026277C">
        <w:rPr>
          <w:rFonts w:ascii="Times New Roman" w:hAnsi="Times New Roman"/>
        </w:rPr>
        <w:t xml:space="preserve">plaintiffs and </w:t>
      </w:r>
      <w:r w:rsidR="0077091F" w:rsidRPr="0026277C">
        <w:rPr>
          <w:rFonts w:ascii="Times New Roman" w:hAnsi="Times New Roman"/>
        </w:rPr>
        <w:t xml:space="preserve">the State </w:t>
      </w:r>
      <w:r w:rsidR="00506DE2" w:rsidRPr="0026277C">
        <w:rPr>
          <w:rFonts w:ascii="Times New Roman" w:hAnsi="Times New Roman"/>
        </w:rPr>
        <w:t>consented to</w:t>
      </w:r>
      <w:r w:rsidR="00AD4718" w:rsidRPr="0026277C">
        <w:rPr>
          <w:rFonts w:ascii="Times New Roman" w:hAnsi="Times New Roman"/>
        </w:rPr>
        <w:t xml:space="preserve"> </w:t>
      </w:r>
      <w:r w:rsidR="0094738C" w:rsidRPr="0026277C">
        <w:rPr>
          <w:rFonts w:ascii="Times New Roman" w:hAnsi="Times New Roman"/>
        </w:rPr>
        <w:t>the</w:t>
      </w:r>
      <w:r w:rsidR="0094738C" w:rsidRPr="0026277C" w:rsidDel="00506DE2">
        <w:rPr>
          <w:rFonts w:ascii="Times New Roman" w:hAnsi="Times New Roman"/>
        </w:rPr>
        <w:t xml:space="preserve"> </w:t>
      </w:r>
      <w:r w:rsidR="0094738C" w:rsidRPr="0026277C">
        <w:rPr>
          <w:rFonts w:ascii="Times New Roman" w:hAnsi="Times New Roman"/>
        </w:rPr>
        <w:t>2022 JSCEM Report</w:t>
      </w:r>
      <w:r w:rsidR="00506DE2" w:rsidRPr="0026277C">
        <w:rPr>
          <w:rFonts w:ascii="Times New Roman" w:hAnsi="Times New Roman"/>
        </w:rPr>
        <w:t xml:space="preserve"> being brought to the attention of the Court</w:t>
      </w:r>
      <w:r w:rsidR="00AD4718" w:rsidRPr="0026277C">
        <w:rPr>
          <w:rFonts w:ascii="Times New Roman" w:hAnsi="Times New Roman"/>
        </w:rPr>
        <w:t>. The</w:t>
      </w:r>
      <w:r w:rsidR="00766C27" w:rsidRPr="0026277C">
        <w:rPr>
          <w:rFonts w:ascii="Times New Roman" w:hAnsi="Times New Roman"/>
        </w:rPr>
        <w:t> </w:t>
      </w:r>
      <w:r w:rsidR="00AD4718" w:rsidRPr="0026277C">
        <w:rPr>
          <w:rFonts w:ascii="Times New Roman" w:hAnsi="Times New Roman"/>
        </w:rPr>
        <w:t>parties submitted</w:t>
      </w:r>
      <w:r w:rsidR="00A92205" w:rsidRPr="0026277C">
        <w:rPr>
          <w:rFonts w:ascii="Times New Roman" w:hAnsi="Times New Roman"/>
        </w:rPr>
        <w:t xml:space="preserve"> that the Court should answer question</w:t>
      </w:r>
      <w:r w:rsidR="00E0542F" w:rsidRPr="0026277C">
        <w:rPr>
          <w:rFonts w:ascii="Times New Roman" w:hAnsi="Times New Roman"/>
        </w:rPr>
        <w:t xml:space="preserve"> 1</w:t>
      </w:r>
      <w:r w:rsidR="00A92205" w:rsidRPr="0026277C">
        <w:rPr>
          <w:rFonts w:ascii="Times New Roman" w:hAnsi="Times New Roman"/>
        </w:rPr>
        <w:t xml:space="preserve"> stated for the opinion of the Full Court</w:t>
      </w:r>
      <w:r w:rsidR="00152285" w:rsidRPr="0026277C">
        <w:rPr>
          <w:rFonts w:ascii="Times New Roman" w:hAnsi="Times New Roman"/>
        </w:rPr>
        <w:t xml:space="preserve"> (which</w:t>
      </w:r>
      <w:r w:rsidR="00523FE1" w:rsidRPr="0026277C">
        <w:rPr>
          <w:rFonts w:ascii="Times New Roman" w:hAnsi="Times New Roman"/>
        </w:rPr>
        <w:t xml:space="preserve"> asked whether </w:t>
      </w:r>
      <w:r w:rsidR="00B277FE" w:rsidRPr="0026277C">
        <w:rPr>
          <w:rFonts w:ascii="Times New Roman" w:hAnsi="Times New Roman"/>
        </w:rPr>
        <w:t>s 29(11) is invalid) "Yes".</w:t>
      </w:r>
      <w:r w:rsidR="00A47339" w:rsidRPr="0026277C">
        <w:rPr>
          <w:rFonts w:ascii="Times New Roman" w:hAnsi="Times New Roman"/>
        </w:rPr>
        <w:t xml:space="preserve"> </w:t>
      </w:r>
    </w:p>
    <w:p w14:paraId="4B283C22" w14:textId="16B05CEF" w:rsidR="005946FC" w:rsidRPr="0026277C" w:rsidRDefault="00203A84"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13424D" w:rsidRPr="0026277C">
        <w:rPr>
          <w:rFonts w:ascii="Times New Roman" w:hAnsi="Times New Roman"/>
        </w:rPr>
        <w:t xml:space="preserve">Questions of the validity of a law </w:t>
      </w:r>
      <w:r w:rsidR="00A70FEE" w:rsidRPr="0026277C">
        <w:rPr>
          <w:rFonts w:ascii="Times New Roman" w:hAnsi="Times New Roman"/>
        </w:rPr>
        <w:t>can</w:t>
      </w:r>
      <w:r w:rsidR="0013424D" w:rsidRPr="0026277C">
        <w:rPr>
          <w:rFonts w:ascii="Times New Roman" w:hAnsi="Times New Roman"/>
        </w:rPr>
        <w:t xml:space="preserve">not be decided by agreement of the parties. It is for the Court to be satisfied that </w:t>
      </w:r>
      <w:r w:rsidR="00D14172" w:rsidRPr="0026277C">
        <w:rPr>
          <w:rFonts w:ascii="Times New Roman" w:hAnsi="Times New Roman"/>
        </w:rPr>
        <w:t>a</w:t>
      </w:r>
      <w:r w:rsidR="0013424D" w:rsidRPr="0026277C">
        <w:rPr>
          <w:rFonts w:ascii="Times New Roman" w:hAnsi="Times New Roman"/>
        </w:rPr>
        <w:t xml:space="preserve"> law is invalid before answering </w:t>
      </w:r>
      <w:r w:rsidR="006968AB" w:rsidRPr="0026277C">
        <w:rPr>
          <w:rFonts w:ascii="Times New Roman" w:hAnsi="Times New Roman"/>
        </w:rPr>
        <w:t xml:space="preserve">in that way a question reserved for the opinion of the Full Court and before granting any final </w:t>
      </w:r>
      <w:r w:rsidR="00815526" w:rsidRPr="0026277C">
        <w:rPr>
          <w:rFonts w:ascii="Times New Roman" w:hAnsi="Times New Roman"/>
        </w:rPr>
        <w:t>declaratory or other relief.</w:t>
      </w:r>
      <w:r w:rsidR="00095754" w:rsidRPr="0026277C">
        <w:rPr>
          <w:rFonts w:ascii="Times New Roman" w:hAnsi="Times New Roman"/>
        </w:rPr>
        <w:t xml:space="preserve"> </w:t>
      </w:r>
      <w:r w:rsidR="00815526" w:rsidRPr="0026277C">
        <w:rPr>
          <w:rFonts w:ascii="Times New Roman" w:hAnsi="Times New Roman"/>
        </w:rPr>
        <w:t>In the present case, the point of determinative significance is that the State no longer seeks to justify the burden which s 29(11) imposes on communication on government</w:t>
      </w:r>
      <w:r w:rsidR="00A80AD2">
        <w:rPr>
          <w:rFonts w:ascii="Times New Roman" w:hAnsi="Times New Roman"/>
        </w:rPr>
        <w:t>al</w:t>
      </w:r>
      <w:r w:rsidR="00815526" w:rsidRPr="0026277C">
        <w:rPr>
          <w:rFonts w:ascii="Times New Roman" w:hAnsi="Times New Roman"/>
        </w:rPr>
        <w:t xml:space="preserve"> </w:t>
      </w:r>
      <w:r w:rsidR="00A80AD2">
        <w:rPr>
          <w:rFonts w:ascii="Times New Roman" w:hAnsi="Times New Roman"/>
        </w:rPr>
        <w:t>and</w:t>
      </w:r>
      <w:r w:rsidR="00815526" w:rsidRPr="0026277C">
        <w:rPr>
          <w:rFonts w:ascii="Times New Roman" w:hAnsi="Times New Roman"/>
        </w:rPr>
        <w:t xml:space="preserve"> political matters. And, as explained above, the polity imposing the burden bears the persuasive onus of establishing that the burden is justified.</w:t>
      </w:r>
    </w:p>
    <w:p w14:paraId="6AFADFFB" w14:textId="142E37A4" w:rsidR="00815526" w:rsidRPr="0026277C" w:rsidRDefault="005A312F"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C74627" w:rsidRPr="0026277C">
        <w:rPr>
          <w:rFonts w:ascii="Times New Roman" w:hAnsi="Times New Roman"/>
        </w:rPr>
        <w:t>The</w:t>
      </w:r>
      <w:r w:rsidR="008373DD" w:rsidRPr="0026277C">
        <w:rPr>
          <w:rFonts w:ascii="Times New Roman" w:hAnsi="Times New Roman"/>
        </w:rPr>
        <w:t> </w:t>
      </w:r>
      <w:r w:rsidR="00C74627" w:rsidRPr="0026277C">
        <w:rPr>
          <w:rFonts w:ascii="Times New Roman" w:hAnsi="Times New Roman"/>
        </w:rPr>
        <w:t>plaintiffs maintain their complaint that s 29(11) is invalid. This</w:t>
      </w:r>
      <w:r w:rsidR="008373DD" w:rsidRPr="0026277C">
        <w:rPr>
          <w:rFonts w:ascii="Times New Roman" w:hAnsi="Times New Roman"/>
        </w:rPr>
        <w:t> </w:t>
      </w:r>
      <w:r w:rsidR="00C74627" w:rsidRPr="0026277C">
        <w:rPr>
          <w:rFonts w:ascii="Times New Roman" w:hAnsi="Times New Roman"/>
        </w:rPr>
        <w:t xml:space="preserve">provision (unlike s 35) has not been repealed. </w:t>
      </w:r>
      <w:r w:rsidR="00944739" w:rsidRPr="0026277C">
        <w:rPr>
          <w:rFonts w:ascii="Times New Roman" w:hAnsi="Times New Roman"/>
        </w:rPr>
        <w:t>It remains a purported law of New South Wales.</w:t>
      </w:r>
      <w:r w:rsidR="00C74627" w:rsidRPr="0026277C">
        <w:rPr>
          <w:rFonts w:ascii="Times New Roman" w:hAnsi="Times New Roman"/>
        </w:rPr>
        <w:t xml:space="preserve"> The State has said nothing about any proposal to repeal or amend s 29(11). The</w:t>
      </w:r>
      <w:r w:rsidR="00CE2FFF" w:rsidRPr="0026277C">
        <w:rPr>
          <w:rFonts w:ascii="Times New Roman" w:hAnsi="Times New Roman"/>
        </w:rPr>
        <w:t> </w:t>
      </w:r>
      <w:r w:rsidR="00C74627" w:rsidRPr="0026277C">
        <w:rPr>
          <w:rFonts w:ascii="Times New Roman" w:hAnsi="Times New Roman"/>
        </w:rPr>
        <w:t xml:space="preserve">plaintiffs have a sufficient interest to seek relief and the State accepts (by its agreement that </w:t>
      </w:r>
      <w:r w:rsidR="00F96080" w:rsidRPr="0026277C">
        <w:rPr>
          <w:rFonts w:ascii="Times New Roman" w:hAnsi="Times New Roman"/>
        </w:rPr>
        <w:t>q</w:t>
      </w:r>
      <w:r w:rsidR="00C74627" w:rsidRPr="0026277C">
        <w:rPr>
          <w:rFonts w:ascii="Times New Roman" w:hAnsi="Times New Roman"/>
        </w:rPr>
        <w:t>uestion 1 should be answered "Yes"</w:t>
      </w:r>
      <w:r w:rsidR="00CE2FFF" w:rsidRPr="0026277C">
        <w:rPr>
          <w:rFonts w:ascii="Times New Roman" w:hAnsi="Times New Roman"/>
        </w:rPr>
        <w:t>)</w:t>
      </w:r>
      <w:r w:rsidR="006B7921" w:rsidRPr="0026277C">
        <w:rPr>
          <w:rFonts w:ascii="Times New Roman" w:hAnsi="Times New Roman"/>
        </w:rPr>
        <w:t xml:space="preserve"> that there is continued utility in answering </w:t>
      </w:r>
      <w:r w:rsidR="00F96080" w:rsidRPr="0026277C">
        <w:rPr>
          <w:rFonts w:ascii="Times New Roman" w:hAnsi="Times New Roman"/>
        </w:rPr>
        <w:t>q</w:t>
      </w:r>
      <w:r w:rsidR="006B7921" w:rsidRPr="0026277C">
        <w:rPr>
          <w:rFonts w:ascii="Times New Roman" w:hAnsi="Times New Roman"/>
        </w:rPr>
        <w:t xml:space="preserve">uestion 1 in that way. Only if that is done (and the law is declared invalid) are the plaintiffs relieved of the </w:t>
      </w:r>
      <w:r w:rsidR="00EC5F7F" w:rsidRPr="0026277C">
        <w:rPr>
          <w:rFonts w:ascii="Times New Roman" w:hAnsi="Times New Roman"/>
        </w:rPr>
        <w:t xml:space="preserve">purported </w:t>
      </w:r>
      <w:r w:rsidR="00944739" w:rsidRPr="0026277C">
        <w:rPr>
          <w:rFonts w:ascii="Times New Roman" w:hAnsi="Times New Roman"/>
        </w:rPr>
        <w:t xml:space="preserve">effect of </w:t>
      </w:r>
      <w:r w:rsidR="005D3DD3" w:rsidRPr="0026277C">
        <w:rPr>
          <w:rFonts w:ascii="Times New Roman" w:hAnsi="Times New Roman"/>
        </w:rPr>
        <w:t>s</w:t>
      </w:r>
      <w:r w:rsidR="00E571A7" w:rsidRPr="0026277C">
        <w:rPr>
          <w:rFonts w:ascii="Times New Roman" w:hAnsi="Times New Roman"/>
        </w:rPr>
        <w:t> </w:t>
      </w:r>
      <w:r w:rsidR="005D3DD3" w:rsidRPr="0026277C">
        <w:rPr>
          <w:rFonts w:ascii="Times New Roman" w:hAnsi="Times New Roman"/>
        </w:rPr>
        <w:t xml:space="preserve">29(11) </w:t>
      </w:r>
      <w:r w:rsidR="00944739" w:rsidRPr="0026277C">
        <w:rPr>
          <w:rFonts w:ascii="Times New Roman" w:hAnsi="Times New Roman"/>
        </w:rPr>
        <w:t xml:space="preserve">on their </w:t>
      </w:r>
      <w:r w:rsidR="00E564D6" w:rsidRPr="0026277C">
        <w:rPr>
          <w:rFonts w:ascii="Times New Roman" w:hAnsi="Times New Roman"/>
        </w:rPr>
        <w:t>electoral expenditure</w:t>
      </w:r>
      <w:r w:rsidR="00EC5F7F" w:rsidRPr="0026277C">
        <w:rPr>
          <w:rFonts w:ascii="Times New Roman" w:hAnsi="Times New Roman"/>
        </w:rPr>
        <w:t xml:space="preserve"> </w:t>
      </w:r>
      <w:r w:rsidR="00944739" w:rsidRPr="0026277C">
        <w:rPr>
          <w:rFonts w:ascii="Times New Roman" w:hAnsi="Times New Roman"/>
        </w:rPr>
        <w:t>in future by-elections and the</w:t>
      </w:r>
      <w:r w:rsidR="006B7921" w:rsidRPr="0026277C">
        <w:rPr>
          <w:rFonts w:ascii="Times New Roman" w:hAnsi="Times New Roman"/>
        </w:rPr>
        <w:t xml:space="preserve"> risk of </w:t>
      </w:r>
      <w:r w:rsidR="00365731" w:rsidRPr="0026277C">
        <w:rPr>
          <w:rFonts w:ascii="Times New Roman" w:hAnsi="Times New Roman"/>
        </w:rPr>
        <w:t xml:space="preserve">the </w:t>
      </w:r>
      <w:r w:rsidR="006B7921" w:rsidRPr="0026277C">
        <w:rPr>
          <w:rFonts w:ascii="Times New Roman" w:hAnsi="Times New Roman"/>
        </w:rPr>
        <w:t>attempted enforcement of that provision.</w:t>
      </w:r>
      <w:r w:rsidR="00AB3917" w:rsidRPr="0026277C">
        <w:rPr>
          <w:rFonts w:ascii="Times New Roman" w:hAnsi="Times New Roman"/>
        </w:rPr>
        <w:t xml:space="preserve"> </w:t>
      </w:r>
      <w:r w:rsidR="00113409" w:rsidRPr="0026277C">
        <w:rPr>
          <w:rFonts w:ascii="Times New Roman" w:hAnsi="Times New Roman"/>
        </w:rPr>
        <w:t xml:space="preserve">Section 29(11) imposes a burden on the implied freedom and that burden has not been justified. </w:t>
      </w:r>
      <w:r w:rsidR="00815526" w:rsidRPr="0026277C">
        <w:rPr>
          <w:rFonts w:ascii="Times New Roman" w:hAnsi="Times New Roman"/>
        </w:rPr>
        <w:t xml:space="preserve">For those reasons, </w:t>
      </w:r>
      <w:r w:rsidR="00093021" w:rsidRPr="0026277C">
        <w:rPr>
          <w:rFonts w:ascii="Times New Roman" w:hAnsi="Times New Roman"/>
        </w:rPr>
        <w:t>q</w:t>
      </w:r>
      <w:r w:rsidR="00815526" w:rsidRPr="0026277C">
        <w:rPr>
          <w:rFonts w:ascii="Times New Roman" w:hAnsi="Times New Roman"/>
        </w:rPr>
        <w:t>uestion 1 should be answered "Yes".</w:t>
      </w:r>
    </w:p>
    <w:p w14:paraId="2F7FDB04" w14:textId="47396BCF" w:rsidR="002C09E1" w:rsidRPr="0026277C" w:rsidRDefault="00AC24C2" w:rsidP="0026277C">
      <w:pPr>
        <w:pStyle w:val="HeadingL1"/>
        <w:spacing w:after="260" w:line="280" w:lineRule="exact"/>
        <w:ind w:right="0"/>
        <w:jc w:val="both"/>
        <w:rPr>
          <w:rFonts w:ascii="Times New Roman" w:hAnsi="Times New Roman"/>
        </w:rPr>
      </w:pPr>
      <w:r w:rsidRPr="0026277C">
        <w:rPr>
          <w:rFonts w:ascii="Times New Roman" w:hAnsi="Times New Roman"/>
        </w:rPr>
        <w:t xml:space="preserve">Question 3 – </w:t>
      </w:r>
      <w:r w:rsidR="00B528DD" w:rsidRPr="0026277C">
        <w:rPr>
          <w:rFonts w:ascii="Times New Roman" w:hAnsi="Times New Roman"/>
        </w:rPr>
        <w:t>Costs</w:t>
      </w:r>
    </w:p>
    <w:p w14:paraId="6C9C74CB" w14:textId="521C790C" w:rsidR="00B528DD" w:rsidRPr="0026277C" w:rsidRDefault="00B528DD"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0728F5" w:rsidRPr="0026277C">
        <w:rPr>
          <w:rFonts w:ascii="Times New Roman" w:hAnsi="Times New Roman"/>
        </w:rPr>
        <w:t xml:space="preserve">There was no dispute that the State </w:t>
      </w:r>
      <w:r w:rsidR="00AC24C2" w:rsidRPr="0026277C">
        <w:rPr>
          <w:rFonts w:ascii="Times New Roman" w:hAnsi="Times New Roman"/>
        </w:rPr>
        <w:t xml:space="preserve">should pay the plaintiffs' costs in relation to </w:t>
      </w:r>
      <w:r w:rsidR="00093021" w:rsidRPr="0026277C">
        <w:rPr>
          <w:rFonts w:ascii="Times New Roman" w:hAnsi="Times New Roman"/>
        </w:rPr>
        <w:t>q</w:t>
      </w:r>
      <w:r w:rsidR="00AC24C2" w:rsidRPr="0026277C">
        <w:rPr>
          <w:rFonts w:ascii="Times New Roman" w:hAnsi="Times New Roman"/>
        </w:rPr>
        <w:t>uestion 1. The</w:t>
      </w:r>
      <w:r w:rsidR="008377E5" w:rsidRPr="0026277C">
        <w:rPr>
          <w:rFonts w:ascii="Times New Roman" w:hAnsi="Times New Roman"/>
        </w:rPr>
        <w:t xml:space="preserve"> plaintiffs</w:t>
      </w:r>
      <w:r w:rsidR="00D07D4A" w:rsidRPr="0026277C">
        <w:rPr>
          <w:rFonts w:ascii="Times New Roman" w:hAnsi="Times New Roman"/>
        </w:rPr>
        <w:t>, however,</w:t>
      </w:r>
      <w:r w:rsidR="008377E5" w:rsidRPr="0026277C">
        <w:rPr>
          <w:rFonts w:ascii="Times New Roman" w:hAnsi="Times New Roman"/>
        </w:rPr>
        <w:t xml:space="preserve"> </w:t>
      </w:r>
      <w:r w:rsidR="00106B69" w:rsidRPr="0026277C">
        <w:rPr>
          <w:rFonts w:ascii="Times New Roman" w:hAnsi="Times New Roman"/>
        </w:rPr>
        <w:t xml:space="preserve">submitted that the State </w:t>
      </w:r>
      <w:r w:rsidR="00C0679B" w:rsidRPr="0026277C">
        <w:rPr>
          <w:rFonts w:ascii="Times New Roman" w:hAnsi="Times New Roman"/>
        </w:rPr>
        <w:t xml:space="preserve">should </w:t>
      </w:r>
      <w:r w:rsidR="00106B69" w:rsidRPr="0026277C">
        <w:rPr>
          <w:rFonts w:ascii="Times New Roman" w:hAnsi="Times New Roman"/>
        </w:rPr>
        <w:t xml:space="preserve">pay </w:t>
      </w:r>
      <w:r w:rsidR="00406CD5" w:rsidRPr="0026277C">
        <w:rPr>
          <w:rFonts w:ascii="Times New Roman" w:hAnsi="Times New Roman"/>
        </w:rPr>
        <w:t xml:space="preserve">all of </w:t>
      </w:r>
      <w:r w:rsidR="00106B69" w:rsidRPr="0026277C">
        <w:rPr>
          <w:rFonts w:ascii="Times New Roman" w:hAnsi="Times New Roman"/>
        </w:rPr>
        <w:t>the plaintiffs' costs</w:t>
      </w:r>
      <w:r w:rsidR="00BD60F3" w:rsidRPr="0026277C">
        <w:rPr>
          <w:rFonts w:ascii="Times New Roman" w:hAnsi="Times New Roman"/>
        </w:rPr>
        <w:t xml:space="preserve">. That submission is rejected. In all the circumstances, </w:t>
      </w:r>
      <w:r w:rsidR="00F367E9" w:rsidRPr="0026277C">
        <w:rPr>
          <w:rFonts w:ascii="Times New Roman" w:hAnsi="Times New Roman"/>
        </w:rPr>
        <w:t>there</w:t>
      </w:r>
      <w:r w:rsidR="00BD5862">
        <w:rPr>
          <w:rFonts w:ascii="Times New Roman" w:hAnsi="Times New Roman"/>
        </w:rPr>
        <w:t> </w:t>
      </w:r>
      <w:r w:rsidR="00F367E9" w:rsidRPr="0026277C">
        <w:rPr>
          <w:rFonts w:ascii="Times New Roman" w:hAnsi="Times New Roman"/>
        </w:rPr>
        <w:t>should be no order as to costs</w:t>
      </w:r>
      <w:r w:rsidR="00E94BCF" w:rsidRPr="0026277C">
        <w:rPr>
          <w:rFonts w:ascii="Times New Roman" w:hAnsi="Times New Roman"/>
        </w:rPr>
        <w:t xml:space="preserve"> in relation to </w:t>
      </w:r>
      <w:r w:rsidR="00093021" w:rsidRPr="0026277C">
        <w:rPr>
          <w:rFonts w:ascii="Times New Roman" w:hAnsi="Times New Roman"/>
        </w:rPr>
        <w:t>q</w:t>
      </w:r>
      <w:r w:rsidR="00E94BCF" w:rsidRPr="0026277C">
        <w:rPr>
          <w:rFonts w:ascii="Times New Roman" w:hAnsi="Times New Roman"/>
        </w:rPr>
        <w:t xml:space="preserve">uestion 1A and </w:t>
      </w:r>
      <w:r w:rsidR="00093021" w:rsidRPr="0026277C">
        <w:rPr>
          <w:rFonts w:ascii="Times New Roman" w:hAnsi="Times New Roman"/>
        </w:rPr>
        <w:t>q</w:t>
      </w:r>
      <w:r w:rsidR="00E94BCF" w:rsidRPr="0026277C">
        <w:rPr>
          <w:rFonts w:ascii="Times New Roman" w:hAnsi="Times New Roman"/>
        </w:rPr>
        <w:t>uestion 2</w:t>
      </w:r>
      <w:r w:rsidR="00BD60F3" w:rsidRPr="0026277C">
        <w:rPr>
          <w:rFonts w:ascii="Times New Roman" w:hAnsi="Times New Roman"/>
        </w:rPr>
        <w:t>.</w:t>
      </w:r>
      <w:r w:rsidR="00E94BCF" w:rsidRPr="0026277C">
        <w:rPr>
          <w:rFonts w:ascii="Times New Roman" w:hAnsi="Times New Roman"/>
        </w:rPr>
        <w:t xml:space="preserve"> The</w:t>
      </w:r>
      <w:r w:rsidR="008707AE">
        <w:rPr>
          <w:rFonts w:ascii="Times New Roman" w:hAnsi="Times New Roman"/>
        </w:rPr>
        <w:t> </w:t>
      </w:r>
      <w:r w:rsidR="00E94BCF" w:rsidRPr="0026277C">
        <w:rPr>
          <w:rFonts w:ascii="Times New Roman" w:hAnsi="Times New Roman"/>
        </w:rPr>
        <w:t>costs in relation to those questions should lie where they fall</w:t>
      </w:r>
      <w:r w:rsidR="00995958" w:rsidRPr="0026277C">
        <w:rPr>
          <w:rStyle w:val="FootnoteReference"/>
          <w:rFonts w:ascii="Times New Roman" w:hAnsi="Times New Roman"/>
          <w:sz w:val="24"/>
        </w:rPr>
        <w:footnoteReference w:id="75"/>
      </w:r>
      <w:r w:rsidR="00E94BCF" w:rsidRPr="0026277C">
        <w:rPr>
          <w:rFonts w:ascii="Times New Roman" w:hAnsi="Times New Roman"/>
        </w:rPr>
        <w:t>.</w:t>
      </w:r>
    </w:p>
    <w:p w14:paraId="7EA25476" w14:textId="25FF9DF1" w:rsidR="00043E50" w:rsidRPr="0026277C" w:rsidRDefault="00043E50" w:rsidP="0026277C">
      <w:pPr>
        <w:pStyle w:val="HeadingL1"/>
        <w:spacing w:after="260" w:line="280" w:lineRule="exact"/>
        <w:ind w:right="0"/>
        <w:jc w:val="both"/>
        <w:rPr>
          <w:rFonts w:ascii="Times New Roman" w:hAnsi="Times New Roman"/>
        </w:rPr>
      </w:pPr>
      <w:r w:rsidRPr="0026277C">
        <w:rPr>
          <w:rFonts w:ascii="Times New Roman" w:hAnsi="Times New Roman"/>
        </w:rPr>
        <w:lastRenderedPageBreak/>
        <w:t>Answers</w:t>
      </w:r>
    </w:p>
    <w:p w14:paraId="2B2AA8BE" w14:textId="1D68E094" w:rsidR="009171D6" w:rsidRPr="0026277C" w:rsidRDefault="00455FFA" w:rsidP="0026277C">
      <w:pPr>
        <w:pStyle w:val="FixListStyle"/>
        <w:spacing w:after="260" w:line="280" w:lineRule="exact"/>
        <w:ind w:right="0"/>
        <w:jc w:val="both"/>
        <w:rPr>
          <w:rFonts w:ascii="Times New Roman" w:hAnsi="Times New Roman"/>
        </w:rPr>
      </w:pPr>
      <w:r w:rsidRPr="0026277C">
        <w:rPr>
          <w:rFonts w:ascii="Times New Roman" w:hAnsi="Times New Roman"/>
        </w:rPr>
        <w:tab/>
      </w:r>
      <w:r w:rsidR="00314124" w:rsidRPr="0026277C">
        <w:rPr>
          <w:rFonts w:ascii="Times New Roman" w:hAnsi="Times New Roman"/>
        </w:rPr>
        <w:t>For those reasons, t</w:t>
      </w:r>
      <w:r w:rsidRPr="0026277C">
        <w:rPr>
          <w:rFonts w:ascii="Times New Roman" w:hAnsi="Times New Roman"/>
        </w:rPr>
        <w:t xml:space="preserve">he questions </w:t>
      </w:r>
      <w:r w:rsidR="00043E50" w:rsidRPr="0026277C">
        <w:rPr>
          <w:rFonts w:ascii="Times New Roman" w:hAnsi="Times New Roman"/>
        </w:rPr>
        <w:t xml:space="preserve">stated by the parties for the opinion of the Full Court should be answered as </w:t>
      </w:r>
      <w:r w:rsidR="00740938" w:rsidRPr="0026277C">
        <w:rPr>
          <w:rFonts w:ascii="Times New Roman" w:hAnsi="Times New Roman"/>
        </w:rPr>
        <w:t>follows:</w:t>
      </w:r>
    </w:p>
    <w:p w14:paraId="133E6F86" w14:textId="590B888A" w:rsidR="00480F67" w:rsidRPr="0026277C" w:rsidRDefault="00480F67" w:rsidP="0026277C">
      <w:pPr>
        <w:pStyle w:val="leftright"/>
        <w:spacing w:before="0" w:after="260" w:line="280" w:lineRule="exact"/>
        <w:ind w:left="2880" w:right="0" w:hanging="2160"/>
        <w:jc w:val="both"/>
        <w:rPr>
          <w:rFonts w:ascii="Times New Roman" w:hAnsi="Times New Roman"/>
        </w:rPr>
      </w:pPr>
      <w:r w:rsidRPr="0026277C">
        <w:rPr>
          <w:rFonts w:ascii="Times New Roman" w:hAnsi="Times New Roman"/>
        </w:rPr>
        <w:t xml:space="preserve">Question 1: </w:t>
      </w:r>
      <w:r w:rsidRPr="0026277C">
        <w:rPr>
          <w:rFonts w:ascii="Times New Roman" w:hAnsi="Times New Roman"/>
        </w:rPr>
        <w:tab/>
      </w:r>
      <w:r w:rsidR="00940913">
        <w:rPr>
          <w:rFonts w:ascii="Times New Roman" w:hAnsi="Times New Roman"/>
        </w:rPr>
        <w:tab/>
      </w:r>
      <w:r w:rsidR="00203A84" w:rsidRPr="0026277C">
        <w:rPr>
          <w:rFonts w:ascii="Times New Roman" w:hAnsi="Times New Roman"/>
        </w:rPr>
        <w:t>Yes</w:t>
      </w:r>
      <w:r w:rsidRPr="0026277C">
        <w:rPr>
          <w:rFonts w:ascii="Times New Roman" w:hAnsi="Times New Roman"/>
        </w:rPr>
        <w:t>.</w:t>
      </w:r>
    </w:p>
    <w:p w14:paraId="5D491622" w14:textId="295CA5D7" w:rsidR="00480F67" w:rsidRPr="0026277C" w:rsidRDefault="00480F67" w:rsidP="0026277C">
      <w:pPr>
        <w:pStyle w:val="leftright"/>
        <w:spacing w:before="0" w:after="260" w:line="280" w:lineRule="exact"/>
        <w:ind w:right="0"/>
        <w:jc w:val="both"/>
        <w:rPr>
          <w:rFonts w:ascii="Times New Roman" w:hAnsi="Times New Roman"/>
        </w:rPr>
      </w:pPr>
      <w:r w:rsidRPr="0026277C">
        <w:rPr>
          <w:rFonts w:ascii="Times New Roman" w:hAnsi="Times New Roman"/>
        </w:rPr>
        <w:t>Question 1A:</w:t>
      </w:r>
      <w:r w:rsidRPr="0026277C">
        <w:rPr>
          <w:rFonts w:ascii="Times New Roman" w:hAnsi="Times New Roman"/>
        </w:rPr>
        <w:tab/>
      </w:r>
      <w:r w:rsidR="008707AE">
        <w:rPr>
          <w:rFonts w:ascii="Times New Roman" w:hAnsi="Times New Roman"/>
        </w:rPr>
        <w:tab/>
      </w:r>
      <w:r w:rsidRPr="0026277C">
        <w:rPr>
          <w:rFonts w:ascii="Times New Roman" w:hAnsi="Times New Roman"/>
        </w:rPr>
        <w:t>(a)</w:t>
      </w:r>
      <w:r w:rsidRPr="0026277C">
        <w:rPr>
          <w:rFonts w:ascii="Times New Roman" w:hAnsi="Times New Roman"/>
        </w:rPr>
        <w:tab/>
        <w:t>No</w:t>
      </w:r>
      <w:r w:rsidR="001C73AE" w:rsidRPr="0026277C">
        <w:rPr>
          <w:rFonts w:ascii="Times New Roman" w:hAnsi="Times New Roman"/>
        </w:rPr>
        <w:t>.</w:t>
      </w:r>
    </w:p>
    <w:p w14:paraId="57E307DE" w14:textId="77777777" w:rsidR="00480F67" w:rsidRPr="0026277C" w:rsidRDefault="00480F67" w:rsidP="0026277C">
      <w:pPr>
        <w:pStyle w:val="leftright"/>
        <w:spacing w:before="0" w:after="260" w:line="280" w:lineRule="exact"/>
        <w:ind w:left="2880" w:right="0"/>
        <w:jc w:val="both"/>
        <w:rPr>
          <w:rFonts w:ascii="Times New Roman" w:hAnsi="Times New Roman"/>
        </w:rPr>
      </w:pPr>
      <w:r w:rsidRPr="0026277C">
        <w:rPr>
          <w:rFonts w:ascii="Times New Roman" w:hAnsi="Times New Roman"/>
        </w:rPr>
        <w:t>(b)</w:t>
      </w:r>
      <w:r w:rsidRPr="0026277C">
        <w:rPr>
          <w:rFonts w:ascii="Times New Roman" w:hAnsi="Times New Roman"/>
        </w:rPr>
        <w:tab/>
        <w:t>Unnecessary to answer.</w:t>
      </w:r>
    </w:p>
    <w:p w14:paraId="3BB1B09B" w14:textId="77777777" w:rsidR="00480F67" w:rsidRPr="0026277C" w:rsidRDefault="00480F67" w:rsidP="0026277C">
      <w:pPr>
        <w:pStyle w:val="leftright"/>
        <w:spacing w:before="0" w:after="260" w:line="280" w:lineRule="exact"/>
        <w:ind w:right="0"/>
        <w:jc w:val="both"/>
        <w:rPr>
          <w:rFonts w:ascii="Times New Roman" w:hAnsi="Times New Roman"/>
        </w:rPr>
      </w:pPr>
      <w:r w:rsidRPr="0026277C">
        <w:rPr>
          <w:rFonts w:ascii="Times New Roman" w:hAnsi="Times New Roman"/>
        </w:rPr>
        <w:t>Question 2:</w:t>
      </w:r>
      <w:r w:rsidRPr="0026277C">
        <w:rPr>
          <w:rFonts w:ascii="Times New Roman" w:hAnsi="Times New Roman"/>
        </w:rPr>
        <w:tab/>
      </w:r>
      <w:r w:rsidRPr="0026277C">
        <w:rPr>
          <w:rFonts w:ascii="Times New Roman" w:hAnsi="Times New Roman"/>
        </w:rPr>
        <w:tab/>
        <w:t>Does not arise.</w:t>
      </w:r>
    </w:p>
    <w:p w14:paraId="74897151" w14:textId="77777777" w:rsidR="00092D0B" w:rsidRDefault="00480F67" w:rsidP="0026277C">
      <w:pPr>
        <w:pStyle w:val="leftright"/>
        <w:spacing w:before="0" w:after="260" w:line="280" w:lineRule="exact"/>
        <w:ind w:left="2880" w:right="0" w:hanging="2160"/>
        <w:jc w:val="both"/>
        <w:rPr>
          <w:rFonts w:ascii="Times New Roman" w:hAnsi="Times New Roman"/>
        </w:rPr>
      </w:pPr>
      <w:r w:rsidRPr="0026277C">
        <w:rPr>
          <w:rFonts w:ascii="Times New Roman" w:hAnsi="Times New Roman"/>
        </w:rPr>
        <w:t>Question 3:</w:t>
      </w:r>
      <w:r w:rsidRPr="0026277C">
        <w:rPr>
          <w:rFonts w:ascii="Times New Roman" w:hAnsi="Times New Roman"/>
        </w:rPr>
        <w:tab/>
      </w:r>
      <w:r w:rsidRPr="0026277C">
        <w:rPr>
          <w:rFonts w:ascii="Times New Roman" w:hAnsi="Times New Roman"/>
        </w:rPr>
        <w:tab/>
      </w:r>
      <w:r w:rsidR="00F367E9" w:rsidRPr="0026277C">
        <w:rPr>
          <w:rFonts w:ascii="Times New Roman" w:hAnsi="Times New Roman"/>
        </w:rPr>
        <w:t>I</w:t>
      </w:r>
      <w:r w:rsidR="00BD60F3" w:rsidRPr="0026277C">
        <w:rPr>
          <w:rFonts w:ascii="Times New Roman" w:hAnsi="Times New Roman"/>
        </w:rPr>
        <w:t xml:space="preserve">n </w:t>
      </w:r>
      <w:r w:rsidR="00F367E9" w:rsidRPr="0026277C">
        <w:rPr>
          <w:rFonts w:ascii="Times New Roman" w:hAnsi="Times New Roman"/>
        </w:rPr>
        <w:t xml:space="preserve">relation to </w:t>
      </w:r>
      <w:r w:rsidR="00806891" w:rsidRPr="0026277C">
        <w:rPr>
          <w:rFonts w:ascii="Times New Roman" w:hAnsi="Times New Roman"/>
        </w:rPr>
        <w:t>q</w:t>
      </w:r>
      <w:r w:rsidR="00F367E9" w:rsidRPr="0026277C">
        <w:rPr>
          <w:rFonts w:ascii="Times New Roman" w:hAnsi="Times New Roman"/>
        </w:rPr>
        <w:t>uestion 1, the defendant</w:t>
      </w:r>
      <w:r w:rsidRPr="0026277C">
        <w:rPr>
          <w:rFonts w:ascii="Times New Roman" w:hAnsi="Times New Roman"/>
        </w:rPr>
        <w:t>.</w:t>
      </w:r>
      <w:r w:rsidR="00F367E9" w:rsidRPr="0026277C">
        <w:rPr>
          <w:rFonts w:ascii="Times New Roman" w:hAnsi="Times New Roman"/>
        </w:rPr>
        <w:t xml:space="preserve"> Otherwise, </w:t>
      </w:r>
      <w:r w:rsidR="006141F4" w:rsidRPr="0026277C">
        <w:rPr>
          <w:rFonts w:ascii="Times New Roman" w:hAnsi="Times New Roman"/>
        </w:rPr>
        <w:t xml:space="preserve">there should be </w:t>
      </w:r>
      <w:r w:rsidR="00F367E9" w:rsidRPr="0026277C">
        <w:rPr>
          <w:rFonts w:ascii="Times New Roman" w:hAnsi="Times New Roman"/>
        </w:rPr>
        <w:t>no order as to costs.</w:t>
      </w:r>
    </w:p>
    <w:p w14:paraId="73C9F983" w14:textId="77777777" w:rsidR="00092D0B" w:rsidRDefault="00092D0B" w:rsidP="0026277C">
      <w:pPr>
        <w:pStyle w:val="leftright"/>
        <w:spacing w:before="0" w:after="260" w:line="280" w:lineRule="exact"/>
        <w:ind w:left="2880" w:right="0" w:hanging="2160"/>
        <w:jc w:val="both"/>
        <w:rPr>
          <w:rFonts w:ascii="Times New Roman" w:hAnsi="Times New Roman"/>
        </w:rPr>
        <w:sectPr w:rsidR="00092D0B" w:rsidSect="005E74E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E71ED14" w14:textId="77777777" w:rsidR="00092D0B" w:rsidRPr="00D27672" w:rsidRDefault="00092D0B" w:rsidP="00D27672">
      <w:pPr>
        <w:pStyle w:val="NormalBody"/>
        <w:tabs>
          <w:tab w:val="clear" w:pos="720"/>
          <w:tab w:val="left" w:pos="0"/>
        </w:tabs>
        <w:spacing w:after="260" w:line="280" w:lineRule="exact"/>
        <w:ind w:right="0"/>
        <w:jc w:val="both"/>
        <w:rPr>
          <w:rFonts w:ascii="Times New Roman" w:hAnsi="Times New Roman"/>
        </w:rPr>
      </w:pPr>
      <w:r w:rsidRPr="00D27672">
        <w:rPr>
          <w:rFonts w:ascii="Times New Roman" w:hAnsi="Times New Roman"/>
        </w:rPr>
        <w:lastRenderedPageBreak/>
        <w:t xml:space="preserve">EDELMAN J.   </w:t>
      </w:r>
    </w:p>
    <w:p w14:paraId="13A0CF0B" w14:textId="77777777" w:rsidR="00092D0B" w:rsidRPr="00D27672" w:rsidRDefault="00092D0B" w:rsidP="00D27672">
      <w:pPr>
        <w:pStyle w:val="HeadingL1"/>
        <w:spacing w:after="260" w:line="280" w:lineRule="exact"/>
        <w:ind w:right="0"/>
        <w:jc w:val="both"/>
        <w:rPr>
          <w:rFonts w:ascii="Times New Roman" w:hAnsi="Times New Roman"/>
        </w:rPr>
      </w:pPr>
      <w:r w:rsidRPr="00D27672">
        <w:rPr>
          <w:rFonts w:ascii="Times New Roman" w:hAnsi="Times New Roman"/>
        </w:rPr>
        <w:t>An urgent hearing of what became a non</w:t>
      </w:r>
      <w:r w:rsidRPr="00D27672">
        <w:rPr>
          <w:rFonts w:ascii="Times New Roman" w:hAnsi="Times New Roman"/>
        </w:rPr>
        <w:noBreakHyphen/>
        <w:t>urgent case</w:t>
      </w:r>
    </w:p>
    <w:p w14:paraId="1B338402"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This proceeding, by way of special case in the original jurisdiction of this Court, involves a challenge by the plaintiff trade union bodies to two provisions of the </w:t>
      </w:r>
      <w:r w:rsidRPr="00D27672">
        <w:rPr>
          <w:rFonts w:ascii="Times New Roman" w:hAnsi="Times New Roman"/>
          <w:i/>
          <w:iCs/>
        </w:rPr>
        <w:t>Electoral Funding Act 2018 </w:t>
      </w:r>
      <w:r w:rsidRPr="00D27672">
        <w:rPr>
          <w:rFonts w:ascii="Times New Roman" w:hAnsi="Times New Roman"/>
        </w:rPr>
        <w:t xml:space="preserve">(NSW) ("the EF Act"). Each provision was challenged on the basis that it was inconsistent with the implied freedom of political communication in the </w:t>
      </w:r>
      <w:r w:rsidRPr="00D27672">
        <w:rPr>
          <w:rFonts w:ascii="Times New Roman" w:hAnsi="Times New Roman"/>
          <w:i/>
          <w:iCs/>
        </w:rPr>
        <w:t>Constitution</w:t>
      </w:r>
      <w:r w:rsidRPr="00D27672">
        <w:rPr>
          <w:rFonts w:ascii="Times New Roman" w:hAnsi="Times New Roman"/>
        </w:rPr>
        <w:t>.</w:t>
      </w:r>
    </w:p>
    <w:p w14:paraId="225BFE3F"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Question 1 challenged s 29(11) of the EF Act which set the applicable cap on electoral expenditure at $20,000 for a third</w:t>
      </w:r>
      <w:r w:rsidRPr="00D27672">
        <w:rPr>
          <w:rFonts w:ascii="Times New Roman" w:hAnsi="Times New Roman"/>
        </w:rPr>
        <w:noBreakHyphen/>
        <w:t>party campaigner in a by</w:t>
      </w:r>
      <w:r w:rsidRPr="00D27672">
        <w:rPr>
          <w:rFonts w:ascii="Times New Roman" w:hAnsi="Times New Roman"/>
        </w:rPr>
        <w:noBreakHyphen/>
        <w:t>election. Question 2 challenged s 35 of the EF Act which created an offence for a third</w:t>
      </w:r>
      <w:r w:rsidRPr="00D27672">
        <w:rPr>
          <w:rFonts w:ascii="Times New Roman" w:hAnsi="Times New Roman"/>
        </w:rPr>
        <w:noBreakHyphen/>
        <w:t>party campaigner to act in concert with others to incur electoral expenditure that exceeded the applicable cap for the third</w:t>
      </w:r>
      <w:r w:rsidRPr="00D27672">
        <w:rPr>
          <w:rFonts w:ascii="Times New Roman" w:hAnsi="Times New Roman"/>
        </w:rPr>
        <w:noBreakHyphen/>
        <w:t>party campaigner.</w:t>
      </w:r>
    </w:p>
    <w:p w14:paraId="3E356F3C"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Question 1 was not urgent because there was no pending by</w:t>
      </w:r>
      <w:r w:rsidRPr="00D27672">
        <w:rPr>
          <w:rFonts w:ascii="Times New Roman" w:hAnsi="Times New Roman"/>
        </w:rPr>
        <w:noBreakHyphen/>
        <w:t xml:space="preserve">election. </w:t>
      </w:r>
      <w:r w:rsidRPr="00D27672" w:rsidDel="006062D2">
        <w:rPr>
          <w:rFonts w:ascii="Times New Roman" w:hAnsi="Times New Roman"/>
        </w:rPr>
        <w:t>Indeed, the absence of a pending by</w:t>
      </w:r>
      <w:r w:rsidRPr="00D27672" w:rsidDel="006062D2">
        <w:rPr>
          <w:rFonts w:ascii="Times New Roman" w:hAnsi="Times New Roman"/>
        </w:rPr>
        <w:noBreakHyphen/>
        <w:t>election</w:t>
      </w:r>
      <w:r w:rsidRPr="00D27672">
        <w:rPr>
          <w:rFonts w:ascii="Times New Roman" w:hAnsi="Times New Roman"/>
        </w:rPr>
        <w:t xml:space="preserve"> </w:t>
      </w:r>
      <w:r w:rsidRPr="00D27672" w:rsidDel="00C14DA8">
        <w:rPr>
          <w:rFonts w:ascii="Times New Roman" w:hAnsi="Times New Roman"/>
        </w:rPr>
        <w:t xml:space="preserve">meant that this Court </w:t>
      </w:r>
      <w:r w:rsidRPr="00D27672">
        <w:rPr>
          <w:rFonts w:ascii="Times New Roman" w:hAnsi="Times New Roman"/>
        </w:rPr>
        <w:t>did not have before it the extent of facts it might otherwise have had, such as additional facts concerning how the $20,000 electoral expenditure cap might have been expected to constrain the behaviour of third</w:t>
      </w:r>
      <w:r w:rsidRPr="00D27672">
        <w:rPr>
          <w:rFonts w:ascii="Times New Roman" w:hAnsi="Times New Roman"/>
        </w:rPr>
        <w:noBreakHyphen/>
        <w:t>party campaigners in a</w:t>
      </w:r>
      <w:r w:rsidRPr="00D27672" w:rsidDel="00685820">
        <w:rPr>
          <w:rFonts w:ascii="Times New Roman" w:hAnsi="Times New Roman"/>
        </w:rPr>
        <w:t xml:space="preserve"> </w:t>
      </w:r>
      <w:r w:rsidRPr="00D27672">
        <w:rPr>
          <w:rFonts w:ascii="Times New Roman" w:hAnsi="Times New Roman"/>
        </w:rPr>
        <w:t>by</w:t>
      </w:r>
      <w:r w:rsidRPr="00D27672">
        <w:rPr>
          <w:rFonts w:ascii="Times New Roman" w:hAnsi="Times New Roman"/>
        </w:rPr>
        <w:noBreakHyphen/>
        <w:t xml:space="preserve">election. Further, on 10 March 2022, an inquiry had been referred to the Joint Standing Committee on Electoral Matters ("the </w:t>
      </w:r>
      <w:bookmarkStart w:id="0" w:name="_Hlk126677109"/>
      <w:r w:rsidRPr="00D27672">
        <w:rPr>
          <w:rFonts w:ascii="Times New Roman" w:hAnsi="Times New Roman"/>
        </w:rPr>
        <w:t>JSCEM</w:t>
      </w:r>
      <w:bookmarkEnd w:id="0"/>
      <w:r w:rsidRPr="00D27672">
        <w:rPr>
          <w:rFonts w:ascii="Times New Roman" w:hAnsi="Times New Roman"/>
        </w:rPr>
        <w:t>") to examine the cap on third</w:t>
      </w:r>
      <w:r w:rsidRPr="00D27672">
        <w:rPr>
          <w:rFonts w:ascii="Times New Roman" w:hAnsi="Times New Roman"/>
        </w:rPr>
        <w:noBreakHyphen/>
        <w:t>party campaigners' electoral expenditure in s 29(11) and whether the prohibition on acting in concert in s 35 should be retained, amended, or repealed. On 23 November 2022, after this Court heard the special case, the JSCEM report was tabled in Parliament. The JSCEM report was subsequently added</w:t>
      </w:r>
      <w:r w:rsidRPr="00D27672" w:rsidDel="00265C69">
        <w:rPr>
          <w:rFonts w:ascii="Times New Roman" w:hAnsi="Times New Roman"/>
        </w:rPr>
        <w:t xml:space="preserve"> </w:t>
      </w:r>
      <w:r w:rsidRPr="00D27672">
        <w:rPr>
          <w:rFonts w:ascii="Times New Roman" w:hAnsi="Times New Roman"/>
        </w:rPr>
        <w:t xml:space="preserve">to the special case by an order that was not opposed by the defendant to this proceeding, the State of New South Wales. </w:t>
      </w:r>
      <w:proofErr w:type="gramStart"/>
      <w:r w:rsidRPr="00D27672">
        <w:rPr>
          <w:rFonts w:ascii="Times New Roman" w:hAnsi="Times New Roman"/>
        </w:rPr>
        <w:t>In light of</w:t>
      </w:r>
      <w:proofErr w:type="gramEnd"/>
      <w:r w:rsidRPr="00D27672">
        <w:rPr>
          <w:rFonts w:ascii="Times New Roman" w:hAnsi="Times New Roman"/>
        </w:rPr>
        <w:t xml:space="preserve"> the JSCEM report, the defendant conceded that question 1 should be answered "Yes" in favour of invalidity and that it should pay the costs related to that question.</w:t>
      </w:r>
    </w:p>
    <w:p w14:paraId="22F91B0E"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Unlike question 1, question 2 initially required an urgent answer due to the State general election pending in New South Wales in 2023. As late as the directions hearing on 28 September 2022, it was anticipated that a proceeding would be heard in this Court with some expedition on 16 and 17 November 2022. But on 19 October 2022, an amended version of the </w:t>
      </w:r>
      <w:r w:rsidRPr="00D27672">
        <w:rPr>
          <w:rFonts w:ascii="Times New Roman" w:hAnsi="Times New Roman"/>
          <w:i/>
          <w:iCs/>
        </w:rPr>
        <w:t>Electoral Legislation Amendment Bill</w:t>
      </w:r>
      <w:r w:rsidRPr="00D27672">
        <w:rPr>
          <w:rFonts w:ascii="Times New Roman" w:hAnsi="Times New Roman"/>
        </w:rPr>
        <w:t xml:space="preserve"> </w:t>
      </w:r>
      <w:r w:rsidRPr="00D27672">
        <w:rPr>
          <w:rFonts w:ascii="Times New Roman" w:hAnsi="Times New Roman"/>
          <w:i/>
          <w:iCs/>
        </w:rPr>
        <w:t>2022</w:t>
      </w:r>
      <w:r w:rsidRPr="00D27672">
        <w:rPr>
          <w:rFonts w:ascii="Times New Roman" w:hAnsi="Times New Roman"/>
        </w:rPr>
        <w:t> (NSW) was passed by both Houses of Parliament, repealing s 35 of the EF Act. There was no longer any urgency to whatever remained of the challenge.</w:t>
      </w:r>
    </w:p>
    <w:p w14:paraId="498F9BC9"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consequence of these developments was that the hearing on 16 and 17 November 2022 raised two significant constitutional issues where the only immediate purpose of adjudicating those issues was to determine who should pay the costs of the hearing. And, even then, the issue of costs in relation to question 1 </w:t>
      </w:r>
      <w:r w:rsidRPr="00D27672">
        <w:rPr>
          <w:rFonts w:ascii="Times New Roman" w:hAnsi="Times New Roman"/>
        </w:rPr>
        <w:lastRenderedPageBreak/>
        <w:t>was the subject of agreement. The central issues in dispute concerned whether there were sufficient issues in dispute.</w:t>
      </w:r>
    </w:p>
    <w:p w14:paraId="25585499" w14:textId="77777777" w:rsidR="00092D0B" w:rsidRPr="00D27672" w:rsidRDefault="00092D0B" w:rsidP="00D27672">
      <w:pPr>
        <w:pStyle w:val="HeadingL1"/>
        <w:spacing w:after="260" w:line="280" w:lineRule="exact"/>
        <w:ind w:right="0"/>
        <w:jc w:val="both"/>
        <w:rPr>
          <w:rFonts w:ascii="Times New Roman" w:hAnsi="Times New Roman"/>
        </w:rPr>
      </w:pPr>
      <w:r w:rsidRPr="00D27672">
        <w:rPr>
          <w:rFonts w:ascii="Times New Roman" w:hAnsi="Times New Roman"/>
        </w:rPr>
        <w:t>The new issues that emerged: what remained of the dispute?</w:t>
      </w:r>
    </w:p>
    <w:p w14:paraId="48B23E9C"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By the time of the hearing, the first issue was whether there was even jurisdiction for this Court to determine the previously urgent question 2 </w:t>
      </w:r>
      <w:proofErr w:type="gramStart"/>
      <w:r w:rsidRPr="00D27672">
        <w:rPr>
          <w:rFonts w:ascii="Times New Roman" w:hAnsi="Times New Roman"/>
        </w:rPr>
        <w:t>in light of</w:t>
      </w:r>
      <w:proofErr w:type="gramEnd"/>
      <w:r w:rsidRPr="00D27672">
        <w:rPr>
          <w:rFonts w:ascii="Times New Roman" w:hAnsi="Times New Roman"/>
        </w:rPr>
        <w:t xml:space="preserve"> the repeal of s 35. In the absence of standing of the plaintiffs, there could be no matter before this Court and therefore no jurisdiction for this Court to decide the question. A new question 1A(a) therefore asked: "Does the Court have jurisdiction to hear and determine the question?" And, if this Court had jurisdiction, a new question 1A(b) asked: "Should the Court in its discretion hear and determine the question?" </w:t>
      </w:r>
    </w:p>
    <w:p w14:paraId="7918B605"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As to question 1, concerning the validity of s 29(11), the answer to that question was conceded by the State of New South Wales shortly after the oral hearing. As outlined above, that concession was prompted by the JSCEM report which recommended that the electoral expenditure cap for third</w:t>
      </w:r>
      <w:r w:rsidRPr="00D27672">
        <w:rPr>
          <w:rFonts w:ascii="Times New Roman" w:hAnsi="Times New Roman"/>
        </w:rPr>
        <w:noBreakHyphen/>
        <w:t>party campaigners in by</w:t>
      </w:r>
      <w:r w:rsidRPr="00D27672">
        <w:rPr>
          <w:rFonts w:ascii="Times New Roman" w:hAnsi="Times New Roman"/>
        </w:rPr>
        <w:noBreakHyphen/>
        <w:t>elections be increased to $198,750. The Committee "accepted the evidence of various stakeholders that the current cap makes it very difficult for third</w:t>
      </w:r>
      <w:r w:rsidRPr="00D27672">
        <w:rPr>
          <w:rFonts w:ascii="Times New Roman" w:hAnsi="Times New Roman"/>
        </w:rPr>
        <w:noBreakHyphen/>
        <w:t>party campaigners to participate effectively in campaigning during by</w:t>
      </w:r>
      <w:r w:rsidRPr="00D27672">
        <w:rPr>
          <w:rFonts w:ascii="Times New Roman" w:hAnsi="Times New Roman"/>
        </w:rPr>
        <w:noBreakHyphen/>
        <w:t>elections".</w:t>
      </w:r>
    </w:p>
    <w:p w14:paraId="440BC55E" w14:textId="77777777" w:rsidR="00092D0B" w:rsidRPr="00D27672" w:rsidRDefault="00092D0B" w:rsidP="00D27672">
      <w:pPr>
        <w:pStyle w:val="HeadingL1"/>
        <w:spacing w:after="260" w:line="280" w:lineRule="exact"/>
        <w:ind w:right="0"/>
        <w:jc w:val="both"/>
        <w:rPr>
          <w:rFonts w:ascii="Times New Roman" w:hAnsi="Times New Roman"/>
        </w:rPr>
      </w:pPr>
      <w:r w:rsidRPr="00D27672">
        <w:rPr>
          <w:rFonts w:ascii="Times New Roman" w:hAnsi="Times New Roman"/>
        </w:rPr>
        <w:t>The first issue: do the plaintiffs still have standing?</w:t>
      </w:r>
    </w:p>
    <w:p w14:paraId="129F8230"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During the oral hearing, this Court indicated that at least </w:t>
      </w:r>
      <w:proofErr w:type="gramStart"/>
      <w:r w:rsidRPr="00D27672">
        <w:rPr>
          <w:rFonts w:ascii="Times New Roman" w:hAnsi="Times New Roman"/>
        </w:rPr>
        <w:t>a majority of</w:t>
      </w:r>
      <w:proofErr w:type="gramEnd"/>
      <w:r w:rsidRPr="00D27672">
        <w:rPr>
          <w:rFonts w:ascii="Times New Roman" w:hAnsi="Times New Roman"/>
        </w:rPr>
        <w:t xml:space="preserve"> the Court would answer "no" to either question 1A(a) or 1A(b). For the reasons below, in addition to those in the joint reasons of Kiefel CJ, </w:t>
      </w:r>
      <w:proofErr w:type="spellStart"/>
      <w:r w:rsidRPr="00D27672">
        <w:rPr>
          <w:rFonts w:ascii="Times New Roman" w:hAnsi="Times New Roman"/>
        </w:rPr>
        <w:t>Gageler</w:t>
      </w:r>
      <w:proofErr w:type="spellEnd"/>
      <w:r w:rsidRPr="00D27672">
        <w:rPr>
          <w:rFonts w:ascii="Times New Roman" w:hAnsi="Times New Roman"/>
        </w:rPr>
        <w:t xml:space="preserve">, Gordon, Gleeson and </w:t>
      </w:r>
      <w:proofErr w:type="spellStart"/>
      <w:r w:rsidRPr="00D27672">
        <w:rPr>
          <w:rFonts w:ascii="Times New Roman" w:hAnsi="Times New Roman"/>
        </w:rPr>
        <w:t>Jagot</w:t>
      </w:r>
      <w:proofErr w:type="spellEnd"/>
      <w:r w:rsidRPr="00D27672">
        <w:rPr>
          <w:rFonts w:ascii="Times New Roman" w:hAnsi="Times New Roman"/>
        </w:rPr>
        <w:t> JJ, I would answer "no" to question 1A(a). This Court has no jurisdiction to hear and determine question 2. The discussion on this issue below is in addition to the joint reasons.</w:t>
      </w:r>
    </w:p>
    <w:p w14:paraId="0C523984"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Standing in private and public legal relations</w:t>
      </w:r>
    </w:p>
    <w:p w14:paraId="49753AC5"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Standing is an essential element of, and is thus "subsumed within"</w:t>
      </w:r>
      <w:r w:rsidRPr="00D27672">
        <w:rPr>
          <w:rStyle w:val="FootnoteReference"/>
          <w:rFonts w:ascii="Times New Roman" w:hAnsi="Times New Roman"/>
          <w:sz w:val="24"/>
        </w:rPr>
        <w:footnoteReference w:id="76"/>
      </w:r>
      <w:r w:rsidRPr="00D27672">
        <w:rPr>
          <w:rFonts w:ascii="Times New Roman" w:hAnsi="Times New Roman"/>
        </w:rPr>
        <w:t xml:space="preserve">, the constitutional requirement of a matter. If the plaintiffs lack standing to agitate their </w:t>
      </w:r>
      <w:r w:rsidRPr="00D27672">
        <w:rPr>
          <w:rFonts w:ascii="Times New Roman" w:hAnsi="Times New Roman"/>
        </w:rPr>
        <w:lastRenderedPageBreak/>
        <w:t>asserted controversy, then there can be no matter before the Court</w:t>
      </w:r>
      <w:r w:rsidRPr="00D27672">
        <w:rPr>
          <w:rStyle w:val="FootnoteReference"/>
          <w:rFonts w:ascii="Times New Roman" w:hAnsi="Times New Roman"/>
          <w:sz w:val="24"/>
        </w:rPr>
        <w:footnoteReference w:id="77"/>
      </w:r>
      <w:r w:rsidRPr="00D27672">
        <w:rPr>
          <w:rFonts w:ascii="Times New Roman" w:hAnsi="Times New Roman"/>
        </w:rPr>
        <w:t>. The rules of standing have, however, long been different between, on the one hand, a person's own, or private, legal relations and, on the other hand, legal relations involving the public generally (rather than any specific person or persons). The distinction was described by Lord Wilberforce as "fundamental"</w:t>
      </w:r>
      <w:r w:rsidRPr="00D27672">
        <w:rPr>
          <w:rStyle w:val="FootnoteReference"/>
          <w:rFonts w:ascii="Times New Roman" w:hAnsi="Times New Roman"/>
          <w:sz w:val="24"/>
        </w:rPr>
        <w:footnoteReference w:id="78"/>
      </w:r>
      <w:r w:rsidRPr="00D27672">
        <w:rPr>
          <w:rFonts w:ascii="Times New Roman" w:hAnsi="Times New Roman"/>
        </w:rPr>
        <w:t>.</w:t>
      </w:r>
    </w:p>
    <w:p w14:paraId="315C6BC9"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Every person has standing to seek legal remedies concerning their own legal relations (rights, freedoms, powers, and immunities) or "rights" in a loose sense. But, apart from exceptional cases, a person who is not acting on behalf of another does not have standing to intervene to seek legal remedies concerning the rights of others</w:t>
      </w:r>
      <w:r w:rsidRPr="00D27672">
        <w:rPr>
          <w:rStyle w:val="FootnoteReference"/>
          <w:rFonts w:ascii="Times New Roman" w:hAnsi="Times New Roman"/>
          <w:sz w:val="24"/>
        </w:rPr>
        <w:footnoteReference w:id="79"/>
      </w:r>
      <w:r w:rsidRPr="00D27672">
        <w:rPr>
          <w:rFonts w:ascii="Times New Roman" w:hAnsi="Times New Roman"/>
        </w:rPr>
        <w:t>. That is why, for example, a person cannot generally sue on a contract to which they are not a party</w:t>
      </w:r>
      <w:r w:rsidRPr="00D27672">
        <w:rPr>
          <w:rStyle w:val="FootnoteReference"/>
          <w:rFonts w:ascii="Times New Roman" w:hAnsi="Times New Roman"/>
          <w:sz w:val="24"/>
        </w:rPr>
        <w:footnoteReference w:id="80"/>
      </w:r>
      <w:r w:rsidRPr="00D27672">
        <w:rPr>
          <w:rFonts w:ascii="Times New Roman" w:hAnsi="Times New Roman"/>
        </w:rPr>
        <w:t xml:space="preserve">. But where a person's private rights are infringed, that person will have </w:t>
      </w:r>
      <w:proofErr w:type="gramStart"/>
      <w:r w:rsidRPr="00D27672">
        <w:rPr>
          <w:rFonts w:ascii="Times New Roman" w:hAnsi="Times New Roman"/>
        </w:rPr>
        <w:t>standing</w:t>
      </w:r>
      <w:proofErr w:type="gramEnd"/>
      <w:r w:rsidRPr="00D27672">
        <w:rPr>
          <w:rFonts w:ascii="Times New Roman" w:hAnsi="Times New Roman"/>
        </w:rPr>
        <w:t xml:space="preserve"> to vindicate those rights, even if no future consequences would arise from the remedy sought.</w:t>
      </w:r>
    </w:p>
    <w:p w14:paraId="419FDE27"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position is different in public law. In </w:t>
      </w:r>
      <w:proofErr w:type="spellStart"/>
      <w:r w:rsidRPr="00D27672">
        <w:rPr>
          <w:rFonts w:ascii="Times New Roman" w:hAnsi="Times New Roman"/>
          <w:i/>
          <w:iCs/>
        </w:rPr>
        <w:t>Gouriet</w:t>
      </w:r>
      <w:proofErr w:type="spellEnd"/>
      <w:r w:rsidRPr="00D27672">
        <w:rPr>
          <w:rFonts w:ascii="Times New Roman" w:hAnsi="Times New Roman"/>
          <w:i/>
          <w:iCs/>
        </w:rPr>
        <w:t xml:space="preserve"> v Union of Post Office Workers</w:t>
      </w:r>
      <w:r w:rsidRPr="00D27672">
        <w:rPr>
          <w:rStyle w:val="FootnoteReference"/>
          <w:rFonts w:ascii="Times New Roman" w:hAnsi="Times New Roman"/>
          <w:sz w:val="24"/>
        </w:rPr>
        <w:footnoteReference w:id="81"/>
      </w:r>
      <w:r w:rsidRPr="00D27672">
        <w:rPr>
          <w:rFonts w:ascii="Times New Roman" w:hAnsi="Times New Roman"/>
        </w:rPr>
        <w:t>, Lord Diplock said:</w:t>
      </w:r>
    </w:p>
    <w:p w14:paraId="2D1A59BB" w14:textId="77777777" w:rsidR="00092D0B" w:rsidRDefault="00092D0B" w:rsidP="00D27672">
      <w:pPr>
        <w:pStyle w:val="LeftrightafterHC"/>
        <w:spacing w:before="0" w:after="260" w:line="280" w:lineRule="exact"/>
        <w:ind w:right="0"/>
        <w:jc w:val="both"/>
        <w:rPr>
          <w:rFonts w:ascii="Times New Roman" w:hAnsi="Times New Roman"/>
        </w:rPr>
      </w:pPr>
      <w:r w:rsidRPr="00D27672">
        <w:rPr>
          <w:rFonts w:ascii="Times New Roman" w:hAnsi="Times New Roman"/>
        </w:rPr>
        <w:t>"[T]he jurisdiction of a civil court to grant remedies in private law is confined to the grant of remedies to litigants whose rights in private law have been infringed or are threatened with infringement. To extend that jurisdiction to the grant of remedies for unlawful conduct which does not infringe any rights of the plaintiff in private law, is to move out of the field of private into that of public law with which analogies may be deceptive and where different principles apply."</w:t>
      </w:r>
    </w:p>
    <w:p w14:paraId="66F1336C"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In other words, different principles apply in circumstances where relief is not sought for any contravention of or encroachment upon a person's own legal relations but is instead sought in respect of legal relations affecting the </w:t>
      </w:r>
      <w:proofErr w:type="gramStart"/>
      <w:r w:rsidRPr="00D27672">
        <w:rPr>
          <w:rFonts w:ascii="Times New Roman" w:hAnsi="Times New Roman"/>
        </w:rPr>
        <w:t>public as a whole, such</w:t>
      </w:r>
      <w:proofErr w:type="gramEnd"/>
      <w:r w:rsidRPr="00D27672">
        <w:rPr>
          <w:rFonts w:ascii="Times New Roman" w:hAnsi="Times New Roman"/>
        </w:rPr>
        <w:t xml:space="preserve"> as a public right that a statutory duty be enforced or that a statutory power be properly considered or exercised. These different principles also apply in respect of a public freedom from legislative power which has the effect that a </w:t>
      </w:r>
      <w:r w:rsidRPr="00D27672">
        <w:rPr>
          <w:rFonts w:ascii="Times New Roman" w:hAnsi="Times New Roman"/>
        </w:rPr>
        <w:lastRenderedPageBreak/>
        <w:t xml:space="preserve">purported law is invalid. In </w:t>
      </w:r>
      <w:proofErr w:type="spellStart"/>
      <w:r w:rsidRPr="00D27672">
        <w:rPr>
          <w:rFonts w:ascii="Times New Roman" w:hAnsi="Times New Roman"/>
          <w:i/>
          <w:iCs/>
        </w:rPr>
        <w:t>Croome</w:t>
      </w:r>
      <w:proofErr w:type="spellEnd"/>
      <w:r w:rsidRPr="00D27672">
        <w:rPr>
          <w:rFonts w:ascii="Times New Roman" w:hAnsi="Times New Roman"/>
          <w:i/>
          <w:iCs/>
        </w:rPr>
        <w:t xml:space="preserve"> </w:t>
      </w:r>
      <w:r w:rsidRPr="00D27672">
        <w:rPr>
          <w:rFonts w:ascii="Times New Roman" w:hAnsi="Times New Roman"/>
          <w:i/>
        </w:rPr>
        <w:t>v</w:t>
      </w:r>
      <w:r w:rsidRPr="00D27672">
        <w:rPr>
          <w:rFonts w:ascii="Times New Roman" w:hAnsi="Times New Roman"/>
          <w:i/>
          <w:iCs/>
        </w:rPr>
        <w:t xml:space="preserve"> </w:t>
      </w:r>
      <w:r w:rsidRPr="00D27672">
        <w:rPr>
          <w:rFonts w:ascii="Times New Roman" w:hAnsi="Times New Roman"/>
          <w:i/>
        </w:rPr>
        <w:t>Tasmania</w:t>
      </w:r>
      <w:r w:rsidRPr="00D27672">
        <w:rPr>
          <w:rStyle w:val="FootnoteReference"/>
          <w:rFonts w:ascii="Times New Roman" w:hAnsi="Times New Roman"/>
          <w:sz w:val="24"/>
        </w:rPr>
        <w:footnoteReference w:id="82"/>
      </w:r>
      <w:r w:rsidRPr="00D27672">
        <w:rPr>
          <w:rFonts w:ascii="Times New Roman" w:hAnsi="Times New Roman"/>
        </w:rPr>
        <w:t xml:space="preserve">, </w:t>
      </w:r>
      <w:proofErr w:type="spellStart"/>
      <w:r w:rsidRPr="00D27672">
        <w:rPr>
          <w:rFonts w:ascii="Times New Roman" w:hAnsi="Times New Roman"/>
        </w:rPr>
        <w:t>Gaudron</w:t>
      </w:r>
      <w:proofErr w:type="spellEnd"/>
      <w:r w:rsidRPr="00D27672">
        <w:rPr>
          <w:rFonts w:ascii="Times New Roman" w:hAnsi="Times New Roman"/>
        </w:rPr>
        <w:t xml:space="preserve">, McHugh and </w:t>
      </w:r>
      <w:proofErr w:type="spellStart"/>
      <w:r w:rsidRPr="00D27672">
        <w:rPr>
          <w:rFonts w:ascii="Times New Roman" w:hAnsi="Times New Roman"/>
        </w:rPr>
        <w:t>Gummow</w:t>
      </w:r>
      <w:proofErr w:type="spellEnd"/>
      <w:r w:rsidRPr="00D27672">
        <w:rPr>
          <w:rFonts w:ascii="Times New Roman" w:hAnsi="Times New Roman"/>
        </w:rPr>
        <w:t> JJ recognised that issues of standing to bring an action challenging the validity of a statute were analogous to "the sufficiency of an interest to support an action to prevent the violation of a public right or to enforce the performance of a public duty".</w:t>
      </w:r>
    </w:p>
    <w:p w14:paraId="4E4EA3EE"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Traditionally, where it is alleged that there was an omission to perform a public duty, an improper exercise of a public power, or a contravention of a public freedom, and the alleged omission, exercise, or contravention was not one that affected an individual's own rights, the decision to commence proceedings was generally the prerogative of the relevant Attorney</w:t>
      </w:r>
      <w:r w:rsidRPr="00D27672">
        <w:rPr>
          <w:rFonts w:ascii="Times New Roman" w:hAnsi="Times New Roman"/>
        </w:rPr>
        <w:noBreakHyphen/>
        <w:t xml:space="preserve">General, either </w:t>
      </w:r>
      <w:r w:rsidRPr="00D27672">
        <w:rPr>
          <w:rFonts w:ascii="Times New Roman" w:hAnsi="Times New Roman"/>
          <w:i/>
          <w:iCs/>
        </w:rPr>
        <w:t>ex officio</w:t>
      </w:r>
      <w:r w:rsidRPr="00D27672">
        <w:rPr>
          <w:rFonts w:ascii="Times New Roman" w:hAnsi="Times New Roman"/>
        </w:rPr>
        <w:t xml:space="preserve"> or on the relation of an individual</w:t>
      </w:r>
      <w:r w:rsidRPr="00D27672">
        <w:rPr>
          <w:rStyle w:val="FootnoteReference"/>
          <w:rFonts w:ascii="Times New Roman" w:hAnsi="Times New Roman"/>
          <w:sz w:val="24"/>
        </w:rPr>
        <w:footnoteReference w:id="83"/>
      </w:r>
      <w:r w:rsidRPr="00D27672">
        <w:rPr>
          <w:rFonts w:ascii="Times New Roman" w:hAnsi="Times New Roman"/>
        </w:rPr>
        <w:t>. The "fine judgment as to what the public interest truly requires" was seen as one "that is arguably best made by the Attorney</w:t>
      </w:r>
      <w:r w:rsidRPr="00D27672">
        <w:rPr>
          <w:rFonts w:ascii="Times New Roman" w:hAnsi="Times New Roman"/>
        </w:rPr>
        <w:noBreakHyphen/>
        <w:t>General who must answer to the people, rather than by unelected judges"</w:t>
      </w:r>
      <w:r w:rsidRPr="00D27672">
        <w:rPr>
          <w:rStyle w:val="FootnoteReference"/>
          <w:rFonts w:ascii="Times New Roman" w:hAnsi="Times New Roman"/>
          <w:sz w:val="24"/>
        </w:rPr>
        <w:footnoteReference w:id="84"/>
      </w:r>
      <w:r w:rsidRPr="00D27672">
        <w:rPr>
          <w:rFonts w:ascii="Times New Roman" w:hAnsi="Times New Roman"/>
        </w:rPr>
        <w:t>.</w:t>
      </w:r>
    </w:p>
    <w:p w14:paraId="39F3B84E"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Over time, perhaps due to the increasingly political nature of the role of the Attorney</w:t>
      </w:r>
      <w:r w:rsidRPr="00D27672">
        <w:rPr>
          <w:rFonts w:ascii="Times New Roman" w:hAnsi="Times New Roman"/>
        </w:rPr>
        <w:noBreakHyphen/>
        <w:t>General</w:t>
      </w:r>
      <w:r w:rsidRPr="00D27672">
        <w:rPr>
          <w:rStyle w:val="FootnoteReference"/>
          <w:rFonts w:ascii="Times New Roman" w:hAnsi="Times New Roman"/>
          <w:sz w:val="24"/>
        </w:rPr>
        <w:footnoteReference w:id="85"/>
      </w:r>
      <w:r w:rsidRPr="00D27672">
        <w:rPr>
          <w:rFonts w:ascii="Times New Roman" w:hAnsi="Times New Roman"/>
        </w:rPr>
        <w:t>, the rules of standing for individuals were relaxed. Their content came to be determined by the doubly elastic concept of "special interest" which combines the elasticity of "interest" with that of "special"</w:t>
      </w:r>
      <w:r w:rsidRPr="00D27672">
        <w:rPr>
          <w:rStyle w:val="FootnoteReference"/>
          <w:rFonts w:ascii="Times New Roman" w:hAnsi="Times New Roman"/>
          <w:sz w:val="24"/>
        </w:rPr>
        <w:footnoteReference w:id="86"/>
      </w:r>
      <w:r w:rsidRPr="00D27672">
        <w:rPr>
          <w:rFonts w:ascii="Times New Roman" w:hAnsi="Times New Roman"/>
        </w:rPr>
        <w:t xml:space="preserve">. But even the loose, </w:t>
      </w:r>
      <w:proofErr w:type="gramStart"/>
      <w:r w:rsidRPr="00D27672">
        <w:rPr>
          <w:rFonts w:ascii="Times New Roman" w:hAnsi="Times New Roman"/>
        </w:rPr>
        <w:t>common law</w:t>
      </w:r>
      <w:proofErr w:type="gramEnd"/>
      <w:r w:rsidRPr="00D27672">
        <w:rPr>
          <w:rFonts w:ascii="Times New Roman" w:hAnsi="Times New Roman"/>
        </w:rPr>
        <w:t xml:space="preserve"> concept of a special interest has limits.</w:t>
      </w:r>
    </w:p>
    <w:p w14:paraId="55F24FD1"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lastRenderedPageBreak/>
        <w:tab/>
        <w:t>Reference to a "special interest" is to the connection between the plaintiff and the outcome of the litigation. If standing were to be recognised without an interest of the plaintiff that is sufficiently special to mark the plaintiff out from the rest of the public in relation to that outcome, the judiciary would, in effect, have abolished the rules of standing. The connection between a plaintiff and a subject matter will only be sufficiently special if the outcome has "foreseeable consequences"</w:t>
      </w:r>
      <w:r w:rsidRPr="00D27672">
        <w:rPr>
          <w:rStyle w:val="FootnoteReference"/>
          <w:rFonts w:ascii="Times New Roman" w:hAnsi="Times New Roman"/>
          <w:sz w:val="24"/>
        </w:rPr>
        <w:footnoteReference w:id="87"/>
      </w:r>
      <w:r w:rsidRPr="00D27672">
        <w:rPr>
          <w:rFonts w:ascii="Times New Roman" w:hAnsi="Times New Roman"/>
        </w:rPr>
        <w:t xml:space="preserve"> for the plaintiff that are significantly different from the rest of the general public: some prospective advantage or disadvantage beyond mere expectations, desires, or intellectual or emotional interests</w:t>
      </w:r>
      <w:r w:rsidRPr="00D27672">
        <w:rPr>
          <w:rStyle w:val="FootnoteReference"/>
          <w:rFonts w:ascii="Times New Roman" w:hAnsi="Times New Roman"/>
          <w:sz w:val="24"/>
        </w:rPr>
        <w:footnoteReference w:id="88"/>
      </w:r>
      <w:r w:rsidRPr="00D27672">
        <w:rPr>
          <w:rFonts w:ascii="Times New Roman" w:hAnsi="Times New Roman"/>
        </w:rPr>
        <w:t>.</w:t>
      </w:r>
    </w:p>
    <w:p w14:paraId="4BECE9B4"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If standing is established in respect of either private or public legal relations it is not necessarily established for all time. For instance, subject to legislation, standing to vindicate private rights will be extinguished with the death of a plaintiff. And standing to seek a declaration of invalidity of legislation on the grounds of a public freedom can be extinguished if the declaration ceases to have any foreseeable consequences. In this respect, the position in Australia is the same as that in the United States: "The requisite personal interest that must exist at the commencement of the litigation (standing) must continue throughout its existence"</w:t>
      </w:r>
      <w:r w:rsidRPr="00D27672">
        <w:rPr>
          <w:rStyle w:val="FootnoteReference"/>
          <w:rFonts w:ascii="Times New Roman" w:hAnsi="Times New Roman"/>
          <w:sz w:val="24"/>
        </w:rPr>
        <w:footnoteReference w:id="89"/>
      </w:r>
      <w:r w:rsidRPr="00D27672">
        <w:rPr>
          <w:rFonts w:ascii="Times New Roman" w:hAnsi="Times New Roman"/>
        </w:rPr>
        <w:t>.</w:t>
      </w:r>
    </w:p>
    <w:p w14:paraId="5ACE83FE"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No continued standing to enforce a public freedom in this case</w:t>
      </w:r>
    </w:p>
    <w:p w14:paraId="3FAA8CC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This Court has said that the implied freedom of political communication in the </w:t>
      </w:r>
      <w:r w:rsidRPr="00D27672">
        <w:rPr>
          <w:rFonts w:ascii="Times New Roman" w:hAnsi="Times New Roman"/>
          <w:i/>
          <w:iCs/>
        </w:rPr>
        <w:t xml:space="preserve">Constitution </w:t>
      </w:r>
      <w:r w:rsidRPr="00D27672">
        <w:rPr>
          <w:rFonts w:ascii="Times New Roman" w:hAnsi="Times New Roman"/>
        </w:rPr>
        <w:t>does "not confer personal rights on individuals"</w:t>
      </w:r>
      <w:r w:rsidRPr="00D27672">
        <w:rPr>
          <w:rStyle w:val="FootnoteReference"/>
          <w:rFonts w:ascii="Times New Roman" w:hAnsi="Times New Roman"/>
          <w:sz w:val="24"/>
        </w:rPr>
        <w:footnoteReference w:id="90"/>
      </w:r>
      <w:r w:rsidRPr="00D27672">
        <w:rPr>
          <w:rFonts w:ascii="Times New Roman" w:hAnsi="Times New Roman"/>
        </w:rPr>
        <w:t>. It is a public freedom from laws that impose an unjustified burden upon political communication. The plaintiffs' challenge to the validity of s 35 of the EF Act in question 2 of the special case relied upon that public freedom in its effect on the public at large. It was a claim that could only be brought by the Attorney</w:t>
      </w:r>
      <w:r w:rsidRPr="00D27672">
        <w:rPr>
          <w:rFonts w:ascii="Times New Roman" w:hAnsi="Times New Roman"/>
        </w:rPr>
        <w:noBreakHyphen/>
        <w:t>General for the State of New South Wales or by any person with a sufficiently special interest.</w:t>
      </w:r>
    </w:p>
    <w:p w14:paraId="0CE87309"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lastRenderedPageBreak/>
        <w:tab/>
        <w:t>Prior to the repeal of s 35 the plaintiffs had a sufficiently special interest in the answer to question 2 as to the validity of s 35 of the EF Act. Unlike members of the public at large, the answer to that question would affect the extent of their liberty to campaign with another person or other persons at future by</w:t>
      </w:r>
      <w:r w:rsidRPr="00D27672">
        <w:rPr>
          <w:rFonts w:ascii="Times New Roman" w:hAnsi="Times New Roman"/>
        </w:rPr>
        <w:noBreakHyphen/>
        <w:t>elections. But once s 35 was repealed a declaration of the past invalidity of s 35 would have no consequence that affected the plaintiffs differently from any other member of the public in relation to whether or not s 35 had previously been invalid.</w:t>
      </w:r>
    </w:p>
    <w:p w14:paraId="4C91DC96"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plaintiffs submitted that they had a special interest in the outcome of that question because they had been affected by s 35 in the past. They relied upon this Court's decision in </w:t>
      </w:r>
      <w:r w:rsidRPr="00D27672">
        <w:rPr>
          <w:rFonts w:ascii="Times New Roman" w:hAnsi="Times New Roman"/>
          <w:i/>
          <w:iCs/>
        </w:rPr>
        <w:t xml:space="preserve">Plaintiff M68/2015 v Minister for </w:t>
      </w:r>
      <w:r w:rsidRPr="00D27672">
        <w:rPr>
          <w:rFonts w:ascii="Times New Roman" w:hAnsi="Times New Roman"/>
          <w:i/>
        </w:rPr>
        <w:t xml:space="preserve">Immigration </w:t>
      </w:r>
      <w:r w:rsidRPr="00D27672">
        <w:rPr>
          <w:rFonts w:ascii="Times New Roman" w:hAnsi="Times New Roman"/>
          <w:i/>
          <w:iCs/>
        </w:rPr>
        <w:t>and</w:t>
      </w:r>
      <w:r w:rsidRPr="00D27672">
        <w:rPr>
          <w:rFonts w:ascii="Times New Roman" w:hAnsi="Times New Roman"/>
          <w:i/>
        </w:rPr>
        <w:t xml:space="preserve"> Border Protection</w:t>
      </w:r>
      <w:r w:rsidRPr="00D27672">
        <w:rPr>
          <w:rStyle w:val="FootnoteReference"/>
          <w:rFonts w:ascii="Times New Roman" w:hAnsi="Times New Roman"/>
          <w:sz w:val="24"/>
        </w:rPr>
        <w:footnoteReference w:id="91"/>
      </w:r>
      <w:r w:rsidRPr="00D27672">
        <w:rPr>
          <w:rFonts w:ascii="Times New Roman" w:hAnsi="Times New Roman"/>
        </w:rPr>
        <w:t>. In that case, the plaintiff had standing to seek a declaration that she had been unlawfully detained in Nauru despite the fact that the Government of Nauru had published a notice in its Gazette of its intention to introduce legislation at the next sitting of the Parliament of Nauru to provide for freedom of movement for asylum seekers.</w:t>
      </w:r>
    </w:p>
    <w:p w14:paraId="12C848C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In </w:t>
      </w:r>
      <w:r w:rsidRPr="00D27672">
        <w:rPr>
          <w:rFonts w:ascii="Times New Roman" w:hAnsi="Times New Roman"/>
          <w:i/>
          <w:iCs/>
        </w:rPr>
        <w:t>Plaintiff M68/2015</w:t>
      </w:r>
      <w:r w:rsidRPr="00D27672">
        <w:rPr>
          <w:rFonts w:ascii="Times New Roman" w:hAnsi="Times New Roman"/>
        </w:rPr>
        <w:t xml:space="preserve">, </w:t>
      </w:r>
      <w:r w:rsidRPr="00D27672" w:rsidDel="001D1FCD">
        <w:rPr>
          <w:rFonts w:ascii="Times New Roman" w:hAnsi="Times New Roman"/>
        </w:rPr>
        <w:t>t</w:t>
      </w:r>
      <w:r w:rsidRPr="00D27672">
        <w:rPr>
          <w:rFonts w:ascii="Times New Roman" w:hAnsi="Times New Roman"/>
        </w:rPr>
        <w:t xml:space="preserve">he published notice had the effect of removing any basis for an injunction or a writ of prohibition. But the plaintiff remained entitled to seek a declaration. That entitlement existed even if there were no future consequences for the plaintiff, such as if the plaintiff had brought a claim for damages or if there were a prospect that the Parliament of Nauru might reintroduce similar legislation that could permit detention of the plaintiff in the future. The reason for the entitlement, and the difference between this case and </w:t>
      </w:r>
      <w:r w:rsidRPr="00D27672">
        <w:rPr>
          <w:rFonts w:ascii="Times New Roman" w:hAnsi="Times New Roman"/>
          <w:i/>
        </w:rPr>
        <w:t>Plaintiff M68/2015</w:t>
      </w:r>
      <w:r w:rsidRPr="00D27672">
        <w:rPr>
          <w:rFonts w:ascii="Times New Roman" w:hAnsi="Times New Roman"/>
        </w:rPr>
        <w:t>,</w:t>
      </w:r>
      <w:r w:rsidRPr="00D27672">
        <w:rPr>
          <w:rFonts w:ascii="Times New Roman" w:hAnsi="Times New Roman"/>
          <w:i/>
        </w:rPr>
        <w:t xml:space="preserve"> </w:t>
      </w:r>
      <w:r w:rsidRPr="00D27672">
        <w:rPr>
          <w:rFonts w:ascii="Times New Roman" w:hAnsi="Times New Roman"/>
        </w:rPr>
        <w:t>is that the latter</w:t>
      </w:r>
      <w:r w:rsidRPr="00D27672">
        <w:rPr>
          <w:rFonts w:ascii="Times New Roman" w:hAnsi="Times New Roman"/>
          <w:i/>
        </w:rPr>
        <w:t xml:space="preserve"> </w:t>
      </w:r>
      <w:r w:rsidRPr="00D27672">
        <w:rPr>
          <w:rFonts w:ascii="Times New Roman" w:hAnsi="Times New Roman"/>
        </w:rPr>
        <w:t>concerned the plaintiff's private right to liberty. The past infringement of that right was sufficient to establish standing. No public right needed to be declared or enforced. No future consequences needed to be shown.</w:t>
      </w:r>
    </w:p>
    <w:p w14:paraId="289D9FF0"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plaintiffs also relied on the decision of this Court in </w:t>
      </w:r>
      <w:proofErr w:type="spellStart"/>
      <w:r w:rsidRPr="00D27672">
        <w:rPr>
          <w:rFonts w:ascii="Times New Roman" w:hAnsi="Times New Roman"/>
          <w:i/>
        </w:rPr>
        <w:t>Croome</w:t>
      </w:r>
      <w:proofErr w:type="spellEnd"/>
      <w:r w:rsidRPr="00D27672">
        <w:rPr>
          <w:rStyle w:val="FootnoteReference"/>
          <w:rFonts w:ascii="Times New Roman" w:hAnsi="Times New Roman"/>
          <w:sz w:val="24"/>
        </w:rPr>
        <w:footnoteReference w:id="92"/>
      </w:r>
      <w:r w:rsidRPr="00D27672">
        <w:rPr>
          <w:rFonts w:ascii="Times New Roman" w:hAnsi="Times New Roman"/>
        </w:rPr>
        <w:t xml:space="preserve">. In that case, the plaintiffs had standing to challenge the validity of a Tasmanian criminal law on the basis that it was inconsistent with a Commonwealth law and therefore inoperative by way of s 109 of the </w:t>
      </w:r>
      <w:r w:rsidRPr="00D27672">
        <w:rPr>
          <w:rFonts w:ascii="Times New Roman" w:hAnsi="Times New Roman"/>
          <w:i/>
          <w:iCs/>
        </w:rPr>
        <w:t>Constitution</w:t>
      </w:r>
      <w:r w:rsidRPr="00D27672">
        <w:rPr>
          <w:rFonts w:ascii="Times New Roman" w:hAnsi="Times New Roman"/>
        </w:rPr>
        <w:t>. The plaintiffs' interest was sufficient because their past conduct rendered them liable to future prosecution, conviction, and punishment. That liability was not removed because the State of Tasmania, by the Director of Public Prosecutions, did not presently propose to prosecute</w:t>
      </w:r>
      <w:r w:rsidRPr="00D27672">
        <w:rPr>
          <w:rStyle w:val="FootnoteReference"/>
          <w:rFonts w:ascii="Times New Roman" w:hAnsi="Times New Roman"/>
          <w:sz w:val="24"/>
        </w:rPr>
        <w:footnoteReference w:id="93"/>
      </w:r>
      <w:r w:rsidRPr="00D27672">
        <w:rPr>
          <w:rFonts w:ascii="Times New Roman" w:hAnsi="Times New Roman"/>
        </w:rPr>
        <w:t>. The plaintiffs' mere liability was a sufficiently special interest for them to have standing to challenge the Tasmanian law</w:t>
      </w:r>
      <w:r w:rsidRPr="00D27672" w:rsidDel="0081108D">
        <w:rPr>
          <w:rFonts w:ascii="Times New Roman" w:hAnsi="Times New Roman"/>
        </w:rPr>
        <w:t>.</w:t>
      </w:r>
    </w:p>
    <w:p w14:paraId="420D8E42"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lastRenderedPageBreak/>
        <w:tab/>
        <w:t xml:space="preserve">By contrast with </w:t>
      </w:r>
      <w:proofErr w:type="spellStart"/>
      <w:r w:rsidRPr="00D27672">
        <w:rPr>
          <w:rFonts w:ascii="Times New Roman" w:hAnsi="Times New Roman"/>
          <w:i/>
          <w:iCs/>
        </w:rPr>
        <w:t>Croome</w:t>
      </w:r>
      <w:proofErr w:type="spellEnd"/>
      <w:r w:rsidRPr="00D27672">
        <w:rPr>
          <w:rFonts w:ascii="Times New Roman" w:hAnsi="Times New Roman"/>
        </w:rPr>
        <w:t>, the repeal of s 35 of the EF Act had the effect of removing, on the present law, even the mere possibility of a future liability for the plaintiffs and therefore any special interest</w:t>
      </w:r>
      <w:r w:rsidRPr="00D27672">
        <w:rPr>
          <w:rStyle w:val="FootnoteReference"/>
          <w:rFonts w:ascii="Times New Roman" w:hAnsi="Times New Roman"/>
          <w:sz w:val="24"/>
        </w:rPr>
        <w:footnoteReference w:id="94"/>
      </w:r>
      <w:r w:rsidRPr="00D27672">
        <w:rPr>
          <w:rFonts w:ascii="Times New Roman" w:hAnsi="Times New Roman"/>
        </w:rPr>
        <w:t>. As the plaintiffs submitted, the effect of this reasoning is that a plaintiff who has contravened a criminal provision in the past has standing to bring a challenge to that provision, but a plaintiff who reluctantly complied with the provision cannot. But the rules of standing in public law are neither sanctions for past conduct nor rewards for compliance with the law. They are concerned with identifying the proper person to assert and vindicate public legal relations.</w:t>
      </w:r>
    </w:p>
    <w:p w14:paraId="1D174C2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plaintiffs then submitted that they had a special interest because they might be exposed to a provision like s 35 in the future. In effect, they relied on an analogy with a </w:t>
      </w:r>
      <w:proofErr w:type="spellStart"/>
      <w:r w:rsidRPr="00D27672">
        <w:rPr>
          <w:rFonts w:ascii="Times New Roman" w:hAnsi="Times New Roman"/>
          <w:i/>
          <w:iCs/>
        </w:rPr>
        <w:t>quia</w:t>
      </w:r>
      <w:proofErr w:type="spellEnd"/>
      <w:r w:rsidRPr="00D27672">
        <w:rPr>
          <w:rFonts w:ascii="Times New Roman" w:hAnsi="Times New Roman"/>
          <w:i/>
          <w:iCs/>
        </w:rPr>
        <w:t xml:space="preserve"> </w:t>
      </w:r>
      <w:proofErr w:type="spellStart"/>
      <w:r w:rsidRPr="00D27672">
        <w:rPr>
          <w:rFonts w:ascii="Times New Roman" w:hAnsi="Times New Roman"/>
          <w:i/>
          <w:iCs/>
        </w:rPr>
        <w:t>timet</w:t>
      </w:r>
      <w:proofErr w:type="spellEnd"/>
      <w:r w:rsidRPr="00D27672">
        <w:rPr>
          <w:rFonts w:ascii="Times New Roman" w:hAnsi="Times New Roman"/>
          <w:i/>
          <w:iCs/>
        </w:rPr>
        <w:t xml:space="preserve"> </w:t>
      </w:r>
      <w:r w:rsidRPr="00D27672">
        <w:rPr>
          <w:rFonts w:ascii="Times New Roman" w:hAnsi="Times New Roman"/>
        </w:rPr>
        <w:t>("because one fears") or "apprehension" injunction in private law. They submitted that such an apprehension arose due to the refusal by the State of New South Wales, acting by its Executive government, to give an undertaking that the New South Wales Parliament would not reintroduce a provision in similar form to s 35.</w:t>
      </w:r>
    </w:p>
    <w:p w14:paraId="21D217CB"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Again, this analogy with the violation of private rights is inapt. Even putting to one side any issues concerning whether the Executive can offer an undertaking affecting the legislative power of Parliament, the mere possibility that potentially invalid legislation might be introduced into the New South Wales Parliament in the future is neither a subject matter suitable for challenge nor a sufficiently foreseeable consequence to establish a special interest. This case is not one which seeks to test the extent to which otherwise valid primary legislation might be disapplied (such that it "could not validly apply"</w:t>
      </w:r>
      <w:r w:rsidRPr="00D27672">
        <w:rPr>
          <w:rStyle w:val="FootnoteReference"/>
          <w:rFonts w:ascii="Times New Roman" w:hAnsi="Times New Roman"/>
          <w:sz w:val="24"/>
        </w:rPr>
        <w:footnoteReference w:id="95"/>
      </w:r>
      <w:r w:rsidRPr="00D27672">
        <w:rPr>
          <w:rFonts w:ascii="Times New Roman" w:hAnsi="Times New Roman"/>
        </w:rPr>
        <w:t>) from empowering future, threatened regulations</w:t>
      </w:r>
      <w:r w:rsidRPr="00D27672">
        <w:rPr>
          <w:rStyle w:val="FootnoteReference"/>
          <w:rFonts w:ascii="Times New Roman" w:hAnsi="Times New Roman"/>
          <w:sz w:val="24"/>
        </w:rPr>
        <w:footnoteReference w:id="96"/>
      </w:r>
      <w:r w:rsidRPr="00D27672">
        <w:rPr>
          <w:rFonts w:ascii="Times New Roman" w:hAnsi="Times New Roman"/>
        </w:rPr>
        <w:t>. Nor does it raise any exceptional circumstances that might arguably permit a challenge to a possible future law, including issues of constitutional urgency</w:t>
      </w:r>
      <w:r w:rsidRPr="00D27672">
        <w:rPr>
          <w:rStyle w:val="FootnoteReference"/>
          <w:rFonts w:ascii="Times New Roman" w:hAnsi="Times New Roman"/>
          <w:sz w:val="24"/>
        </w:rPr>
        <w:footnoteReference w:id="97"/>
      </w:r>
      <w:r w:rsidRPr="00D27672">
        <w:rPr>
          <w:rFonts w:ascii="Times New Roman" w:hAnsi="Times New Roman"/>
        </w:rPr>
        <w:t xml:space="preserve"> or legislative action by a "manipulative litigant ... immunizing itself from suit indefinitely, altering its behaviour long enough to secure a dismissal and then reinstating it immediately after"</w:t>
      </w:r>
      <w:r w:rsidRPr="00D27672">
        <w:rPr>
          <w:rStyle w:val="FootnoteReference"/>
          <w:rFonts w:ascii="Times New Roman" w:hAnsi="Times New Roman"/>
          <w:sz w:val="24"/>
        </w:rPr>
        <w:footnoteReference w:id="98"/>
      </w:r>
      <w:r w:rsidRPr="00D27672">
        <w:rPr>
          <w:rFonts w:ascii="Times New Roman" w:hAnsi="Times New Roman"/>
        </w:rPr>
        <w:t>.</w:t>
      </w:r>
    </w:p>
    <w:p w14:paraId="13E77820" w14:textId="77777777" w:rsidR="00092D0B" w:rsidRPr="00D27672" w:rsidRDefault="00092D0B" w:rsidP="00D27672">
      <w:pPr>
        <w:pStyle w:val="HeadingL1"/>
        <w:spacing w:after="260" w:line="280" w:lineRule="exact"/>
        <w:ind w:right="0"/>
        <w:jc w:val="both"/>
        <w:rPr>
          <w:rFonts w:ascii="Times New Roman" w:hAnsi="Times New Roman"/>
        </w:rPr>
      </w:pPr>
      <w:r w:rsidRPr="00D27672">
        <w:rPr>
          <w:rFonts w:ascii="Times New Roman" w:hAnsi="Times New Roman"/>
        </w:rPr>
        <w:lastRenderedPageBreak/>
        <w:t>The second issue: large questions but no remaining dispute</w:t>
      </w:r>
    </w:p>
    <w:p w14:paraId="31F83200"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On 25 November 2022, an affidavit was filed on behalf of the plaintiffs exhibiting correspondence between the parties, including a concession by the State of New South Wales that "[</w:t>
      </w:r>
      <w:proofErr w:type="spellStart"/>
      <w:r w:rsidRPr="00D27672">
        <w:rPr>
          <w:rFonts w:ascii="Times New Roman" w:hAnsi="Times New Roman"/>
        </w:rPr>
        <w:t>i</w:t>
      </w:r>
      <w:proofErr w:type="spellEnd"/>
      <w:r w:rsidRPr="00D27672">
        <w:rPr>
          <w:rFonts w:ascii="Times New Roman" w:hAnsi="Times New Roman"/>
        </w:rPr>
        <w:t>]n light of the JSCEM Report, the State now concedes that Question 1 in the Further Amended Special Case [concerning the validity of s 29(11)] should be answered 'Yes'".</w:t>
      </w:r>
    </w:p>
    <w:p w14:paraId="19A303B1"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This Court has previously declined to answer a question posed in a special case where the parties were no longer in dispute about the answer to the question. In </w:t>
      </w:r>
      <w:r w:rsidRPr="00D27672">
        <w:rPr>
          <w:rFonts w:ascii="Times New Roman" w:hAnsi="Times New Roman"/>
          <w:i/>
          <w:iCs/>
        </w:rPr>
        <w:t>Brown v Tasmania</w:t>
      </w:r>
      <w:r w:rsidRPr="00D27672">
        <w:rPr>
          <w:rStyle w:val="FootnoteReference"/>
          <w:rFonts w:ascii="Times New Roman" w:hAnsi="Times New Roman"/>
          <w:sz w:val="24"/>
        </w:rPr>
        <w:footnoteReference w:id="99"/>
      </w:r>
      <w:r w:rsidRPr="00D27672">
        <w:rPr>
          <w:rFonts w:ascii="Times New Roman" w:hAnsi="Times New Roman"/>
        </w:rPr>
        <w:t xml:space="preserve"> the first question posed by the special case was whether the plaintiffs had standing to seek the relief they sought. The issue was disputed in written submissions, but the State of Tasmania ultimately conceded that the plaintiffs had standing. Despite standing being an essential condition for a matter, and therefore jurisdiction, this Court answered the question by saying only that it was unnecessary to answer.</w:t>
      </w:r>
    </w:p>
    <w:p w14:paraId="1DD1610A"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On the other hand, just as a court might make a declaration in the absence of a contradictor</w:t>
      </w:r>
      <w:r w:rsidRPr="00D27672">
        <w:rPr>
          <w:rStyle w:val="FootnoteReference"/>
          <w:rFonts w:ascii="Times New Roman" w:hAnsi="Times New Roman"/>
          <w:sz w:val="24"/>
        </w:rPr>
        <w:footnoteReference w:id="100"/>
      </w:r>
      <w:r w:rsidRPr="00D27672">
        <w:rPr>
          <w:rFonts w:ascii="Times New Roman" w:hAnsi="Times New Roman"/>
        </w:rPr>
        <w:t>, there may be circumstances where this Court will answer a question although the parties agree upon the answer. But in the particular circumstances of this case, it is unnecessary and inappropriate to answer question 1. The particular circumstances are threefold: (</w:t>
      </w:r>
      <w:proofErr w:type="spellStart"/>
      <w:r w:rsidRPr="00D27672">
        <w:rPr>
          <w:rFonts w:ascii="Times New Roman" w:hAnsi="Times New Roman"/>
        </w:rPr>
        <w:t>i</w:t>
      </w:r>
      <w:proofErr w:type="spellEnd"/>
      <w:r w:rsidRPr="00D27672">
        <w:rPr>
          <w:rFonts w:ascii="Times New Roman" w:hAnsi="Times New Roman"/>
        </w:rPr>
        <w:t>) the weakness of the plaintiffs' interest; (ii) the lack of any substantial controversy; and (iii) the prudential consideration of not addressing constitutional questions, particularly those that have not been argued, when it is unnecessary to do so.</w:t>
      </w:r>
    </w:p>
    <w:p w14:paraId="048477E8"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w:t>
      </w:r>
      <w:proofErr w:type="spellStart"/>
      <w:r w:rsidRPr="00D27672">
        <w:rPr>
          <w:rFonts w:ascii="Times New Roman" w:hAnsi="Times New Roman"/>
        </w:rPr>
        <w:t>i</w:t>
      </w:r>
      <w:proofErr w:type="spellEnd"/>
      <w:r w:rsidRPr="00D27672">
        <w:rPr>
          <w:rFonts w:ascii="Times New Roman" w:hAnsi="Times New Roman"/>
        </w:rPr>
        <w:t>) The weakness of the plaintiffs' interest</w:t>
      </w:r>
    </w:p>
    <w:p w14:paraId="68F8A664"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It can be assumed that, while s 29(11) of the EF Act remains in force, the plaintiffs' interest remains sufficient to obtain an answer to question 1. But that interest is not strong. In light of the concession by the State of New South Wales, the strength of the plaintiffs' interest reduces to the possibility of a concatenation of all of the following circumstances:</w:t>
      </w:r>
    </w:p>
    <w:p w14:paraId="2614437D" w14:textId="77777777" w:rsidR="00092D0B" w:rsidRPr="00D27672" w:rsidRDefault="00092D0B" w:rsidP="00D27672">
      <w:pPr>
        <w:pStyle w:val="NormalBody"/>
        <w:spacing w:after="260" w:line="280" w:lineRule="exact"/>
        <w:ind w:left="720" w:right="0" w:hanging="720"/>
        <w:jc w:val="both"/>
        <w:rPr>
          <w:rFonts w:ascii="Times New Roman" w:hAnsi="Times New Roman"/>
        </w:rPr>
      </w:pPr>
      <w:r w:rsidRPr="00D27672">
        <w:rPr>
          <w:rFonts w:ascii="Times New Roman" w:hAnsi="Times New Roman"/>
        </w:rPr>
        <w:t>1.</w:t>
      </w:r>
      <w:r w:rsidRPr="00D27672">
        <w:rPr>
          <w:rFonts w:ascii="Times New Roman" w:hAnsi="Times New Roman"/>
        </w:rPr>
        <w:tab/>
        <w:t>a by</w:t>
      </w:r>
      <w:r w:rsidRPr="00D27672">
        <w:rPr>
          <w:rFonts w:ascii="Times New Roman" w:hAnsi="Times New Roman"/>
        </w:rPr>
        <w:noBreakHyphen/>
        <w:t>election will be held at some unknown time in the future;</w:t>
      </w:r>
    </w:p>
    <w:p w14:paraId="726DE13B" w14:textId="77777777" w:rsidR="00092D0B" w:rsidRPr="00D27672" w:rsidRDefault="00092D0B" w:rsidP="00D27672">
      <w:pPr>
        <w:pStyle w:val="NormalBody"/>
        <w:spacing w:after="260" w:line="280" w:lineRule="exact"/>
        <w:ind w:left="720" w:right="0" w:hanging="720"/>
        <w:jc w:val="both"/>
        <w:rPr>
          <w:rFonts w:ascii="Times New Roman" w:hAnsi="Times New Roman"/>
        </w:rPr>
      </w:pPr>
      <w:r w:rsidRPr="00D27672">
        <w:rPr>
          <w:rFonts w:ascii="Times New Roman" w:hAnsi="Times New Roman"/>
        </w:rPr>
        <w:t xml:space="preserve">2. </w:t>
      </w:r>
      <w:r w:rsidRPr="00D27672">
        <w:rPr>
          <w:rFonts w:ascii="Times New Roman" w:hAnsi="Times New Roman"/>
        </w:rPr>
        <w:tab/>
        <w:t>the plaintiffs will wish to campaign at that by</w:t>
      </w:r>
      <w:r w:rsidRPr="00D27672">
        <w:rPr>
          <w:rFonts w:ascii="Times New Roman" w:hAnsi="Times New Roman"/>
        </w:rPr>
        <w:noBreakHyphen/>
        <w:t xml:space="preserve">election; </w:t>
      </w:r>
    </w:p>
    <w:p w14:paraId="7C6697EE" w14:textId="77777777" w:rsidR="00092D0B" w:rsidRPr="00D27672" w:rsidRDefault="00092D0B" w:rsidP="00D27672">
      <w:pPr>
        <w:pStyle w:val="NormalBody"/>
        <w:spacing w:after="260" w:line="280" w:lineRule="exact"/>
        <w:ind w:left="720" w:right="0" w:hanging="720"/>
        <w:jc w:val="both"/>
        <w:rPr>
          <w:rFonts w:ascii="Times New Roman" w:hAnsi="Times New Roman"/>
        </w:rPr>
      </w:pPr>
      <w:r w:rsidRPr="00D27672">
        <w:rPr>
          <w:rFonts w:ascii="Times New Roman" w:hAnsi="Times New Roman"/>
        </w:rPr>
        <w:lastRenderedPageBreak/>
        <w:t>3.</w:t>
      </w:r>
      <w:r w:rsidRPr="00D27672">
        <w:rPr>
          <w:rFonts w:ascii="Times New Roman" w:hAnsi="Times New Roman"/>
        </w:rPr>
        <w:tab/>
        <w:t>the plaintiffs will each wish to spend more than $20,000 in the course of that by</w:t>
      </w:r>
      <w:r w:rsidRPr="00D27672">
        <w:rPr>
          <w:rFonts w:ascii="Times New Roman" w:hAnsi="Times New Roman"/>
        </w:rPr>
        <w:noBreakHyphen/>
        <w:t xml:space="preserve">election campaign; and </w:t>
      </w:r>
    </w:p>
    <w:p w14:paraId="06DF7D46" w14:textId="77777777" w:rsidR="00092D0B" w:rsidRPr="00D27672" w:rsidRDefault="00092D0B" w:rsidP="00D27672">
      <w:pPr>
        <w:pStyle w:val="NormalBody"/>
        <w:spacing w:after="260" w:line="280" w:lineRule="exact"/>
        <w:ind w:left="720" w:right="0" w:hanging="720"/>
        <w:jc w:val="both"/>
        <w:rPr>
          <w:rFonts w:ascii="Times New Roman" w:hAnsi="Times New Roman"/>
        </w:rPr>
      </w:pPr>
      <w:r w:rsidRPr="00D27672">
        <w:rPr>
          <w:rFonts w:ascii="Times New Roman" w:hAnsi="Times New Roman"/>
        </w:rPr>
        <w:t>4.</w:t>
      </w:r>
      <w:r w:rsidRPr="00D27672">
        <w:rPr>
          <w:rFonts w:ascii="Times New Roman" w:hAnsi="Times New Roman"/>
        </w:rPr>
        <w:tab/>
        <w:t>by that unknown time in the future, the $20,000 electoral expenditure cap which the State now concedes to be invalid, and which the JSCEM</w:t>
      </w:r>
      <w:r w:rsidRPr="00D27672" w:rsidDel="00427D5E">
        <w:rPr>
          <w:rFonts w:ascii="Times New Roman" w:hAnsi="Times New Roman"/>
        </w:rPr>
        <w:t xml:space="preserve"> </w:t>
      </w:r>
      <w:r w:rsidRPr="00D27672">
        <w:rPr>
          <w:rFonts w:ascii="Times New Roman" w:hAnsi="Times New Roman"/>
        </w:rPr>
        <w:t>has recommended be replaced with a $198,750 cap, will still be extant and enforceable.</w:t>
      </w:r>
    </w:p>
    <w:p w14:paraId="46D5AAF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In </w:t>
      </w:r>
      <w:r w:rsidRPr="00D27672">
        <w:rPr>
          <w:rFonts w:ascii="Times New Roman" w:hAnsi="Times New Roman"/>
          <w:i/>
          <w:iCs/>
        </w:rPr>
        <w:t>Bruce v The Commonwealth Trade Marks Label Association</w:t>
      </w:r>
      <w:r w:rsidRPr="00D27672">
        <w:rPr>
          <w:rStyle w:val="FootnoteReference"/>
          <w:rFonts w:ascii="Times New Roman" w:hAnsi="Times New Roman"/>
          <w:sz w:val="24"/>
        </w:rPr>
        <w:footnoteReference w:id="101"/>
      </w:r>
      <w:r w:rsidRPr="00D27672">
        <w:rPr>
          <w:rFonts w:ascii="Times New Roman" w:hAnsi="Times New Roman"/>
        </w:rPr>
        <w:t xml:space="preserve">, the plaintiffs sought a declaration that the defendants were not entitled to register a mark or label on the basis that Pt VII of the </w:t>
      </w:r>
      <w:r w:rsidRPr="00D27672">
        <w:rPr>
          <w:rFonts w:ascii="Times New Roman" w:hAnsi="Times New Roman"/>
          <w:i/>
          <w:iCs/>
        </w:rPr>
        <w:t>Trade Marks Act 1905 </w:t>
      </w:r>
      <w:r w:rsidRPr="00D27672">
        <w:rPr>
          <w:rFonts w:ascii="Times New Roman" w:hAnsi="Times New Roman"/>
        </w:rPr>
        <w:t>(</w:t>
      </w:r>
      <w:proofErr w:type="spellStart"/>
      <w:r w:rsidRPr="00D27672">
        <w:rPr>
          <w:rFonts w:ascii="Times New Roman" w:hAnsi="Times New Roman"/>
        </w:rPr>
        <w:t>Cth</w:t>
      </w:r>
      <w:proofErr w:type="spellEnd"/>
      <w:r w:rsidRPr="00D27672">
        <w:rPr>
          <w:rFonts w:ascii="Times New Roman" w:hAnsi="Times New Roman"/>
        </w:rPr>
        <w:t>) was invalid, in circumstances in which they alleged that the particular application for registration of a mark would injure them in their business. Prior to the hearing in this Court the application for registration was withdrawn. In the course of the hearing, each member of the Court made observations to the effect that there was no longer any controversy. This Court unanimously ordered that the case be struck out of the list.</w:t>
      </w:r>
    </w:p>
    <w:p w14:paraId="0E0D8D78"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If the plaintiffs' interest in </w:t>
      </w:r>
      <w:r w:rsidRPr="00D27672">
        <w:rPr>
          <w:rFonts w:ascii="Times New Roman" w:hAnsi="Times New Roman"/>
          <w:i/>
          <w:iCs/>
        </w:rPr>
        <w:t xml:space="preserve">Bruce </w:t>
      </w:r>
      <w:r w:rsidRPr="00D27672">
        <w:rPr>
          <w:rFonts w:ascii="Times New Roman" w:hAnsi="Times New Roman"/>
        </w:rPr>
        <w:t>had been judged by today's more liberal rules of standing concerning public rights or freedoms, it may be that the plaintiffs would have had a sufficient interest to satisfy the jurisdiction of this Court for a special case. That special interest would be based on a real possibility that future registration of another mark might have been sought that would injure the plaintiffs in their business. But it is hard to see why this Court would not decline to answer the question as a matter of discretion. The slight nature of the plaintiffs' interest, with the serious unlikelihood that an answer would have any consequences for the plaintiffs, would dramatically reduce the utility of answering the question. The same is true of the present special case.</w:t>
      </w:r>
    </w:p>
    <w:p w14:paraId="38F8FB1A"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(ii) The lack of any substantial controversy</w:t>
      </w:r>
    </w:p>
    <w:p w14:paraId="42C5EB5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There are cases where a plaintiff seeks to establish a freedom "to act in a particular way, free from criminal liability or free from interference by government" but "in cases of this class, the plaintiff is seeking to establish a [freedom] which is denied by the defendant, and the declaration (if made) settles the [freedom] in controversy between the parties"</w:t>
      </w:r>
      <w:r w:rsidRPr="00D27672">
        <w:rPr>
          <w:rStyle w:val="FootnoteReference"/>
          <w:rFonts w:ascii="Times New Roman" w:hAnsi="Times New Roman"/>
          <w:sz w:val="24"/>
        </w:rPr>
        <w:footnoteReference w:id="102"/>
      </w:r>
      <w:r w:rsidRPr="00D27672">
        <w:rPr>
          <w:rFonts w:ascii="Times New Roman" w:hAnsi="Times New Roman"/>
        </w:rPr>
        <w:t>. But in this case there is no longer any substantial controversy between the parties.</w:t>
      </w:r>
    </w:p>
    <w:p w14:paraId="3DE31D3C"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lastRenderedPageBreak/>
        <w:tab/>
        <w:t xml:space="preserve">The concession by the State of New South Wales that s 29(11) is invalid removes the substance of the controversy between the plaintiffs and the State of New South Wales. It is possible in theory that the Parliament of New South Wales will not repeal s 29(11) despite the State conceding it to be invalid. But that does not mean that the plaintiffs are exposed to a liability for future prosecution based on that law. In this respect, the position is different from the plaintiffs' situation in </w:t>
      </w:r>
      <w:proofErr w:type="spellStart"/>
      <w:r w:rsidRPr="00D27672">
        <w:rPr>
          <w:rFonts w:ascii="Times New Roman" w:hAnsi="Times New Roman"/>
          <w:i/>
        </w:rPr>
        <w:t>Croome</w:t>
      </w:r>
      <w:proofErr w:type="spellEnd"/>
      <w:r w:rsidRPr="00D27672">
        <w:rPr>
          <w:rFonts w:ascii="Times New Roman" w:hAnsi="Times New Roman"/>
        </w:rPr>
        <w:t>,</w:t>
      </w:r>
      <w:r w:rsidRPr="00D27672">
        <w:rPr>
          <w:rFonts w:ascii="Times New Roman" w:hAnsi="Times New Roman"/>
          <w:i/>
        </w:rPr>
        <w:t xml:space="preserve"> </w:t>
      </w:r>
      <w:r w:rsidRPr="00D27672">
        <w:rPr>
          <w:rFonts w:ascii="Times New Roman" w:hAnsi="Times New Roman"/>
        </w:rPr>
        <w:t>where the State did not have a present intention to enforce a law that it asserted to be valid but the plaintiffs remained exposed to a liability to prosecution. In this case — whatever may be the position concerning estoppel in relation to the exercise of a statutory discretion</w:t>
      </w:r>
      <w:r w:rsidRPr="00D27672">
        <w:rPr>
          <w:rStyle w:val="FootnoteReference"/>
          <w:rFonts w:ascii="Times New Roman" w:hAnsi="Times New Roman"/>
          <w:sz w:val="24"/>
        </w:rPr>
        <w:footnoteReference w:id="103"/>
      </w:r>
      <w:r w:rsidRPr="00D27672">
        <w:rPr>
          <w:rFonts w:ascii="Times New Roman" w:hAnsi="Times New Roman"/>
        </w:rPr>
        <w:t xml:space="preserve"> — it is strongly arguable that, just as it would be an abuse of process for the </w:t>
      </w:r>
      <w:r w:rsidRPr="00D27672" w:rsidDel="00E92927">
        <w:rPr>
          <w:rFonts w:ascii="Times New Roman" w:hAnsi="Times New Roman"/>
        </w:rPr>
        <w:t xml:space="preserve">prosecution </w:t>
      </w:r>
      <w:r w:rsidRPr="00D27672">
        <w:rPr>
          <w:rFonts w:ascii="Times New Roman" w:hAnsi="Times New Roman"/>
        </w:rPr>
        <w:t>to resile from a promise not to prosecute</w:t>
      </w:r>
      <w:r w:rsidRPr="00D27672">
        <w:rPr>
          <w:rStyle w:val="FootnoteReference"/>
          <w:rFonts w:ascii="Times New Roman" w:hAnsi="Times New Roman"/>
          <w:sz w:val="24"/>
        </w:rPr>
        <w:footnoteReference w:id="104"/>
      </w:r>
      <w:r w:rsidRPr="00D27672">
        <w:rPr>
          <w:rFonts w:ascii="Times New Roman" w:hAnsi="Times New Roman"/>
        </w:rPr>
        <w:t>, it could be an abuse of process for the State to prosecute the plaintiffs if they were to rely on the concession in their expenditure decisions in a future by</w:t>
      </w:r>
      <w:r w:rsidRPr="00D27672">
        <w:rPr>
          <w:rFonts w:ascii="Times New Roman" w:hAnsi="Times New Roman"/>
        </w:rPr>
        <w:noBreakHyphen/>
        <w:t>election.</w:t>
      </w:r>
    </w:p>
    <w:p w14:paraId="4CE56774"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(iii) Prudence</w:t>
      </w:r>
    </w:p>
    <w:p w14:paraId="17BEB31F" w14:textId="77777777" w:rsidR="00092D0B" w:rsidRPr="00D27672" w:rsidRDefault="00092D0B" w:rsidP="00D27672">
      <w:pPr>
        <w:pStyle w:val="HeadingL3"/>
        <w:spacing w:after="260" w:line="280" w:lineRule="exact"/>
        <w:ind w:right="0"/>
        <w:jc w:val="both"/>
        <w:rPr>
          <w:rFonts w:ascii="Times New Roman" w:hAnsi="Times New Roman"/>
        </w:rPr>
      </w:pPr>
      <w:r w:rsidRPr="00D27672">
        <w:rPr>
          <w:rFonts w:ascii="Times New Roman" w:hAnsi="Times New Roman"/>
        </w:rPr>
        <w:t>Large constitutional questions prior to the concession by the State of New South Wales</w:t>
      </w:r>
    </w:p>
    <w:p w14:paraId="09EA67E9"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Prior to the concession by the State of New South Wales, this Court could not have concluded that s 29(11) of the EF Act had an illegitimate purpose, or was not justified, without examining significant, and difficult, constitutional questions that arise from the material that the parties put before the Court. The matters relied upon by the State of New South Wales for justification included agreed facts and alleged absences of facts, such as the alleged absence of any significant number of third</w:t>
      </w:r>
      <w:r w:rsidRPr="00D27672">
        <w:rPr>
          <w:rFonts w:ascii="Times New Roman" w:hAnsi="Times New Roman"/>
        </w:rPr>
        <w:noBreakHyphen/>
        <w:t>party campaigners who had spent close to $20,000 at a by</w:t>
      </w:r>
      <w:r w:rsidRPr="00D27672">
        <w:rPr>
          <w:rFonts w:ascii="Times New Roman" w:hAnsi="Times New Roman"/>
        </w:rPr>
        <w:noBreakHyphen/>
        <w:t>election.</w:t>
      </w:r>
    </w:p>
    <w:p w14:paraId="00A0F93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first significant question that arose in relation to the legal issues of justification was whether the purpose of s 29(11) of the EF Act is legitimate. That question could not be resolved by a simple application of this Court's decision in </w:t>
      </w:r>
      <w:r w:rsidRPr="00D27672">
        <w:rPr>
          <w:rFonts w:ascii="Times New Roman" w:hAnsi="Times New Roman"/>
          <w:i/>
          <w:iCs/>
        </w:rPr>
        <w:t xml:space="preserve">Unions </w:t>
      </w:r>
      <w:r w:rsidRPr="00D27672">
        <w:rPr>
          <w:rFonts w:ascii="Times New Roman" w:hAnsi="Times New Roman"/>
          <w:i/>
        </w:rPr>
        <w:t>NSW v New</w:t>
      </w:r>
      <w:r w:rsidRPr="00D27672">
        <w:rPr>
          <w:rFonts w:ascii="Times New Roman" w:hAnsi="Times New Roman"/>
          <w:i/>
          <w:iCs/>
        </w:rPr>
        <w:t xml:space="preserve"> South Wales </w:t>
      </w:r>
      <w:r w:rsidRPr="00D27672">
        <w:rPr>
          <w:rFonts w:ascii="Times New Roman" w:hAnsi="Times New Roman"/>
        </w:rPr>
        <w:t>("</w:t>
      </w:r>
      <w:r w:rsidRPr="00D27672">
        <w:rPr>
          <w:rFonts w:ascii="Times New Roman" w:hAnsi="Times New Roman"/>
          <w:i/>
          <w:iCs/>
        </w:rPr>
        <w:t xml:space="preserve">Unions </w:t>
      </w:r>
      <w:r w:rsidRPr="00D27672">
        <w:rPr>
          <w:rFonts w:ascii="Times New Roman" w:hAnsi="Times New Roman"/>
          <w:i/>
        </w:rPr>
        <w:t>[</w:t>
      </w:r>
      <w:r w:rsidRPr="00D27672">
        <w:rPr>
          <w:rFonts w:ascii="Times New Roman" w:hAnsi="Times New Roman"/>
          <w:i/>
          <w:iCs/>
        </w:rPr>
        <w:t>No 2</w:t>
      </w:r>
      <w:r w:rsidRPr="00D27672">
        <w:rPr>
          <w:rFonts w:ascii="Times New Roman" w:hAnsi="Times New Roman"/>
          <w:i/>
        </w:rPr>
        <w:t>]</w:t>
      </w:r>
      <w:r w:rsidRPr="00D27672">
        <w:rPr>
          <w:rFonts w:ascii="Times New Roman" w:hAnsi="Times New Roman"/>
          <w:iCs/>
        </w:rPr>
        <w:t>")</w:t>
      </w:r>
      <w:r w:rsidRPr="00D27672">
        <w:rPr>
          <w:rStyle w:val="FootnoteReference"/>
          <w:rFonts w:ascii="Times New Roman" w:hAnsi="Times New Roman"/>
          <w:sz w:val="24"/>
        </w:rPr>
        <w:footnoteReference w:id="105"/>
      </w:r>
      <w:r w:rsidRPr="00D27672">
        <w:rPr>
          <w:rFonts w:ascii="Times New Roman" w:hAnsi="Times New Roman"/>
        </w:rPr>
        <w:t xml:space="preserve">. In that case, </w:t>
      </w:r>
      <w:proofErr w:type="spellStart"/>
      <w:r w:rsidRPr="00D27672">
        <w:rPr>
          <w:rFonts w:ascii="Times New Roman" w:hAnsi="Times New Roman"/>
        </w:rPr>
        <w:t>Gageler</w:t>
      </w:r>
      <w:proofErr w:type="spellEnd"/>
      <w:r w:rsidRPr="00D27672">
        <w:rPr>
          <w:rFonts w:ascii="Times New Roman" w:hAnsi="Times New Roman"/>
        </w:rPr>
        <w:t xml:space="preserve"> J and Nettle J were the only members of the Court to conclude that the purpose of the </w:t>
      </w:r>
      <w:r w:rsidRPr="00D27672">
        <w:rPr>
          <w:rFonts w:ascii="Times New Roman" w:hAnsi="Times New Roman"/>
        </w:rPr>
        <w:lastRenderedPageBreak/>
        <w:t>impugned law, namely s 29(10) of the EF Act, was legitimate</w:t>
      </w:r>
      <w:r w:rsidRPr="00D27672">
        <w:rPr>
          <w:rStyle w:val="FootnoteReference"/>
          <w:rFonts w:ascii="Times New Roman" w:hAnsi="Times New Roman"/>
          <w:sz w:val="24"/>
        </w:rPr>
        <w:footnoteReference w:id="106"/>
      </w:r>
      <w:r w:rsidRPr="00D27672">
        <w:rPr>
          <w:rFonts w:ascii="Times New Roman" w:hAnsi="Times New Roman"/>
        </w:rPr>
        <w:t>. I was the only member of this Court to conclude that the purpose of s 29(10) of the EF Act was illegitimate. In my view, one purpose of that provision, not merely an effect of it, was the suppression of political communication by third</w:t>
      </w:r>
      <w:r w:rsidRPr="00D27672">
        <w:rPr>
          <w:rFonts w:ascii="Times New Roman" w:hAnsi="Times New Roman"/>
        </w:rPr>
        <w:noBreakHyphen/>
        <w:t>party campaigners, particularly in light of Parliament's decision to introduce s 29(10) with an electoral expenditure cap for third</w:t>
      </w:r>
      <w:r w:rsidRPr="00D27672">
        <w:rPr>
          <w:rFonts w:ascii="Times New Roman" w:hAnsi="Times New Roman"/>
        </w:rPr>
        <w:noBreakHyphen/>
        <w:t>party campaigners at less than half the previous level whilst increasing the cap for others</w:t>
      </w:r>
      <w:r w:rsidRPr="00D27672">
        <w:rPr>
          <w:rStyle w:val="FootnoteReference"/>
          <w:rFonts w:ascii="Times New Roman" w:hAnsi="Times New Roman"/>
          <w:sz w:val="24"/>
        </w:rPr>
        <w:footnoteReference w:id="107"/>
      </w:r>
      <w:r w:rsidRPr="00D27672">
        <w:rPr>
          <w:rFonts w:ascii="Times New Roman" w:hAnsi="Times New Roman"/>
        </w:rPr>
        <w:t>.</w:t>
      </w:r>
    </w:p>
    <w:p w14:paraId="3A86575A"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The approach taken by Kiefel CJ, Bell and Keane JJ</w:t>
      </w:r>
      <w:r w:rsidRPr="00D27672">
        <w:rPr>
          <w:rStyle w:val="FootnoteReference"/>
          <w:rFonts w:ascii="Times New Roman" w:hAnsi="Times New Roman"/>
          <w:sz w:val="24"/>
        </w:rPr>
        <w:footnoteReference w:id="108"/>
      </w:r>
      <w:r w:rsidRPr="00D27672" w:rsidDel="00317B6C">
        <w:rPr>
          <w:rFonts w:ascii="Times New Roman" w:hAnsi="Times New Roman"/>
        </w:rPr>
        <w:t>,</w:t>
      </w:r>
      <w:r w:rsidRPr="00D27672">
        <w:rPr>
          <w:rFonts w:ascii="Times New Roman" w:hAnsi="Times New Roman"/>
        </w:rPr>
        <w:t xml:space="preserve"> and Gordon J</w:t>
      </w:r>
      <w:r w:rsidRPr="00D27672">
        <w:rPr>
          <w:rStyle w:val="FootnoteReference"/>
          <w:rFonts w:ascii="Times New Roman" w:hAnsi="Times New Roman"/>
          <w:sz w:val="24"/>
        </w:rPr>
        <w:footnoteReference w:id="109"/>
      </w:r>
      <w:r w:rsidRPr="00D27672" w:rsidDel="00317B6C">
        <w:rPr>
          <w:rFonts w:ascii="Times New Roman" w:hAnsi="Times New Roman"/>
        </w:rPr>
        <w:t xml:space="preserve">, </w:t>
      </w:r>
      <w:r w:rsidRPr="00D27672">
        <w:rPr>
          <w:rFonts w:ascii="Times New Roman" w:hAnsi="Times New Roman"/>
        </w:rPr>
        <w:t>was to assume a legitimate purpose and then to assess whether the burden on the freedom of political communication could be justified by reference to that assumed purpose. There are, with respect, grave difficulties in applying that approach consistently with structured proportionality analysis. Such an approach of applying an imagined purpose undermines the legitimacy of structured proportionality analysis where justification of a provision depends at every stage upon application of the actual or "true"</w:t>
      </w:r>
      <w:r w:rsidRPr="00D27672">
        <w:rPr>
          <w:rStyle w:val="FootnoteReference"/>
          <w:rFonts w:ascii="Times New Roman" w:hAnsi="Times New Roman"/>
          <w:sz w:val="24"/>
        </w:rPr>
        <w:footnoteReference w:id="110"/>
      </w:r>
      <w:r w:rsidRPr="00D27672">
        <w:rPr>
          <w:rFonts w:ascii="Times New Roman" w:hAnsi="Times New Roman"/>
        </w:rPr>
        <w:t xml:space="preserve"> purpose of the provision at the appropriate level of generality. As Dr Chordia has observed, without determination of the "true 'purpose'" of a law "it is not possible to carry out the analysis required under each of the stages of structured proportionality analysis"</w:t>
      </w:r>
      <w:r w:rsidRPr="00D27672">
        <w:rPr>
          <w:rStyle w:val="FootnoteReference"/>
          <w:rFonts w:ascii="Times New Roman" w:hAnsi="Times New Roman"/>
          <w:sz w:val="24"/>
        </w:rPr>
        <w:footnoteReference w:id="111"/>
      </w:r>
      <w:r w:rsidRPr="00D27672">
        <w:rPr>
          <w:rFonts w:ascii="Times New Roman" w:hAnsi="Times New Roman"/>
        </w:rPr>
        <w:t>. For instance, one of the very reasons for the "suitability" inquiry is to ensure that the actual purpose has been correctly identified at the appropriate level of generality</w:t>
      </w:r>
      <w:r w:rsidRPr="00D27672">
        <w:rPr>
          <w:rStyle w:val="FootnoteReference"/>
          <w:rFonts w:ascii="Times New Roman" w:hAnsi="Times New Roman"/>
          <w:sz w:val="24"/>
        </w:rPr>
        <w:footnoteReference w:id="112"/>
      </w:r>
      <w:r w:rsidRPr="00D27672">
        <w:rPr>
          <w:rFonts w:ascii="Times New Roman" w:hAnsi="Times New Roman"/>
        </w:rPr>
        <w:t xml:space="preserve">. One might also wonder whether it would be necessary to assume other legitimate purposes if the initially assumed purpose were found to be insufficient to justify the provision. </w:t>
      </w:r>
      <w:r w:rsidRPr="00D27672">
        <w:rPr>
          <w:rFonts w:ascii="Times New Roman" w:hAnsi="Times New Roman"/>
          <w:iCs/>
        </w:rPr>
        <w:t>I</w:t>
      </w:r>
      <w:r w:rsidRPr="00D27672">
        <w:rPr>
          <w:rFonts w:ascii="Times New Roman" w:hAnsi="Times New Roman"/>
        </w:rPr>
        <w:t>t may be that there is a point at which</w:t>
      </w:r>
      <w:r w:rsidRPr="00D27672" w:rsidDel="00326F83">
        <w:rPr>
          <w:rFonts w:ascii="Times New Roman" w:hAnsi="Times New Roman"/>
        </w:rPr>
        <w:t xml:space="preserve"> </w:t>
      </w:r>
      <w:r w:rsidRPr="00D27672">
        <w:rPr>
          <w:rFonts w:ascii="Times New Roman" w:hAnsi="Times New Roman"/>
        </w:rPr>
        <w:t xml:space="preserve">the benefit of transparent reasoning is so substantially </w:t>
      </w:r>
      <w:r w:rsidRPr="00D27672">
        <w:rPr>
          <w:rFonts w:ascii="Times New Roman" w:hAnsi="Times New Roman"/>
        </w:rPr>
        <w:lastRenderedPageBreak/>
        <w:t xml:space="preserve">diminished by applying structured proportionality without coherent structure that it will be necessary to say </w:t>
      </w:r>
      <w:r w:rsidRPr="00D27672">
        <w:rPr>
          <w:rFonts w:ascii="Times New Roman" w:hAnsi="Times New Roman"/>
          <w:i/>
        </w:rPr>
        <w:t xml:space="preserve">le jeu </w:t>
      </w:r>
      <w:proofErr w:type="spellStart"/>
      <w:r w:rsidRPr="00D27672">
        <w:rPr>
          <w:rFonts w:ascii="Times New Roman" w:hAnsi="Times New Roman"/>
          <w:i/>
        </w:rPr>
        <w:t>n'en</w:t>
      </w:r>
      <w:proofErr w:type="spellEnd"/>
      <w:r w:rsidRPr="00D27672">
        <w:rPr>
          <w:rFonts w:ascii="Times New Roman" w:hAnsi="Times New Roman"/>
          <w:i/>
        </w:rPr>
        <w:t xml:space="preserve"> </w:t>
      </w:r>
      <w:proofErr w:type="spellStart"/>
      <w:r w:rsidRPr="00D27672">
        <w:rPr>
          <w:rFonts w:ascii="Times New Roman" w:hAnsi="Times New Roman"/>
          <w:i/>
        </w:rPr>
        <w:t>vaut</w:t>
      </w:r>
      <w:proofErr w:type="spellEnd"/>
      <w:r w:rsidRPr="00D27672">
        <w:rPr>
          <w:rFonts w:ascii="Times New Roman" w:hAnsi="Times New Roman"/>
          <w:i/>
        </w:rPr>
        <w:t xml:space="preserve"> pas la</w:t>
      </w:r>
      <w:r w:rsidRPr="00D27672">
        <w:rPr>
          <w:rFonts w:ascii="Times New Roman" w:hAnsi="Times New Roman"/>
          <w:i/>
          <w:iCs/>
        </w:rPr>
        <w:t xml:space="preserve"> chandelle</w:t>
      </w:r>
      <w:r w:rsidRPr="00D27672">
        <w:rPr>
          <w:rStyle w:val="FootnoteReference"/>
          <w:rFonts w:ascii="Times New Roman" w:hAnsi="Times New Roman"/>
          <w:sz w:val="24"/>
        </w:rPr>
        <w:footnoteReference w:id="113"/>
      </w:r>
      <w:r w:rsidRPr="00D27672">
        <w:rPr>
          <w:rFonts w:ascii="Times New Roman" w:hAnsi="Times New Roman"/>
          <w:i/>
          <w:iCs/>
        </w:rPr>
        <w:t>.</w:t>
      </w:r>
    </w:p>
    <w:p w14:paraId="4ED1E865"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i/>
          <w:iCs/>
        </w:rPr>
        <w:tab/>
      </w:r>
      <w:r w:rsidRPr="00D27672">
        <w:rPr>
          <w:rFonts w:ascii="Times New Roman" w:hAnsi="Times New Roman"/>
        </w:rPr>
        <w:t xml:space="preserve">If the legislative purpose or purposes of s 29(11) were all held to be legitimate, that conclusion might need to be reached without reference to the vague metaphors of "avoiding drowning out" or "levelling the playing field". It became apparent during the oral hearing of this case that those metaphors — used by members of this Court in </w:t>
      </w:r>
      <w:r w:rsidRPr="00D27672">
        <w:rPr>
          <w:rFonts w:ascii="Times New Roman" w:hAnsi="Times New Roman"/>
          <w:i/>
          <w:iCs/>
        </w:rPr>
        <w:t>Unions [No 2]</w:t>
      </w:r>
      <w:r w:rsidRPr="00D27672">
        <w:rPr>
          <w:rFonts w:ascii="Times New Roman" w:hAnsi="Times New Roman"/>
        </w:rPr>
        <w:t>, including me — are capable of being understood in different ways. The extent of the burden upon political communication would need to be tested by reference to a coherently identified legitimate purpose to determine whether it is justified. The present approach of this Court is to conduct that testing, and assess that justification, by an approach of structured proportionality based upon the facts before the Court. But, as will be explained below, there are large (and unargued) questions about the manner in which those facts should be used in that analysis.</w:t>
      </w:r>
    </w:p>
    <w:p w14:paraId="65CD41AE" w14:textId="77777777" w:rsidR="00092D0B" w:rsidRPr="00D27672" w:rsidRDefault="00092D0B" w:rsidP="00D27672">
      <w:pPr>
        <w:pStyle w:val="HeadingL3"/>
        <w:spacing w:after="260" w:line="280" w:lineRule="exact"/>
        <w:ind w:right="0"/>
        <w:jc w:val="both"/>
        <w:rPr>
          <w:rFonts w:ascii="Times New Roman" w:hAnsi="Times New Roman"/>
        </w:rPr>
      </w:pPr>
      <w:r w:rsidRPr="00D27672">
        <w:rPr>
          <w:rFonts w:ascii="Times New Roman" w:hAnsi="Times New Roman"/>
        </w:rPr>
        <w:t>The effect of the concession by the State of New South Wales</w:t>
      </w:r>
    </w:p>
    <w:p w14:paraId="0E5DABFF"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sz w:val="17"/>
          <w:szCs w:val="17"/>
        </w:rPr>
        <w:tab/>
      </w:r>
      <w:r w:rsidRPr="00D27672">
        <w:rPr>
          <w:rFonts w:ascii="Times New Roman" w:hAnsi="Times New Roman"/>
        </w:rPr>
        <w:t>This Court is not bound by a concession of law made by a party. The parties, by agreement between themselves, cannot dictate the answer to be given by the Court. In circumstances where this Court has facts before it that were said during a contested hearing to justify the legislation, it would be a large step for this Court to invalidate legislation on the say</w:t>
      </w:r>
      <w:r w:rsidRPr="00D27672">
        <w:rPr>
          <w:rFonts w:ascii="Times New Roman" w:hAnsi="Times New Roman"/>
        </w:rPr>
        <w:noBreakHyphen/>
        <w:t>so of the parties without being satisfied of the correctness of that conclusion.</w:t>
      </w:r>
    </w:p>
    <w:p w14:paraId="3A9C0BCF"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If this Court could not have answered question 1 prior to the concession by the State of New South Wales without transparent reasoning that engages with substantial constitutional questions, and if the concession cannot itself satisfy the Court of the answer, the issue becomes whether the JSCEM report (upon which the concession was based) is itself sufficient to satisfy the Court either that there is an illegitimate purpose for s 29(11) or that the legitimate purpose cannot justify the extent of the burden upon political communication.</w:t>
      </w:r>
    </w:p>
    <w:p w14:paraId="0F7DEA8E"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One difficulty with reaching any conclusion based on the JSCEM report is that no substantial submissions about that report were made by either party. This Court had no contradictor to address the report's effect on purpose or justification. The lack of any substantial submissions, or contradiction, concerning the JSCEM report also means that another large issue of constitutional law was not raised: the manner in which the JSCEM report can be used in the justification analysis.</w:t>
      </w:r>
    </w:p>
    <w:p w14:paraId="6C9C01B4"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As the State of New South Wales accepted in oral argument, the purposes of s 29(11) must be determined at the time the section was enacted in 2010, with </w:t>
      </w:r>
      <w:r w:rsidRPr="00D27672">
        <w:rPr>
          <w:rFonts w:ascii="Times New Roman" w:hAnsi="Times New Roman"/>
        </w:rPr>
        <w:lastRenderedPageBreak/>
        <w:t>any modifications to that purpose that arose as a result of subsequent amendments to the statutory scheme. Statutory purposes do not alter based on subsequent facts. How, then, does a report in 2022 shed light on the legislative purpose in 2010 as modified by subsequent amendments to related provisions? No submissions were made on this significant question.</w:t>
      </w:r>
    </w:p>
    <w:p w14:paraId="37FA5878"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If the relevance of the JSCEM report, and the basis of the concession, was not that the JSCEM report supported an illegitimate purpose of s 29(11) but was instead that it demonstrated an inability to justify the burden on political communication by reference to a legitimate purpose, then, again, this Court had no submissions on why that was so. If the JSCEM report is to be taken into account as providing evidence of the reasonable costs of conducting a by</w:t>
      </w:r>
      <w:r w:rsidRPr="00D27672">
        <w:rPr>
          <w:rFonts w:ascii="Times New Roman" w:hAnsi="Times New Roman"/>
        </w:rPr>
        <w:noBreakHyphen/>
        <w:t>election campaign, thus supplementing the agreed facts in the special case, then questions arise as to: (</w:t>
      </w:r>
      <w:proofErr w:type="spellStart"/>
      <w:r w:rsidRPr="00D27672">
        <w:rPr>
          <w:rFonts w:ascii="Times New Roman" w:hAnsi="Times New Roman"/>
        </w:rPr>
        <w:t>i</w:t>
      </w:r>
      <w:proofErr w:type="spellEnd"/>
      <w:r w:rsidRPr="00D27672">
        <w:rPr>
          <w:rFonts w:ascii="Times New Roman" w:hAnsi="Times New Roman"/>
        </w:rPr>
        <w:t>) how costs in 2022 could invalidate legislation passed many years earlier; (ii) whether those costs might have been reasonably anticipated when enacting the legislation; (iii) whether the costs would have the effect of invalidating s 29(11) entirely or requiring its disapplication in so far, and for so long, as it unreasonably prevented a by</w:t>
      </w:r>
      <w:r w:rsidRPr="00D27672">
        <w:rPr>
          <w:rFonts w:ascii="Times New Roman" w:hAnsi="Times New Roman"/>
        </w:rPr>
        <w:noBreakHyphen/>
        <w:t>election campaign being conducted by third</w:t>
      </w:r>
      <w:r w:rsidRPr="00D27672">
        <w:rPr>
          <w:rFonts w:ascii="Times New Roman" w:hAnsi="Times New Roman"/>
        </w:rPr>
        <w:noBreakHyphen/>
        <w:t>party campaigners</w:t>
      </w:r>
      <w:r w:rsidRPr="00D27672">
        <w:rPr>
          <w:rStyle w:val="FootnoteReference"/>
          <w:rFonts w:ascii="Times New Roman" w:hAnsi="Times New Roman"/>
          <w:sz w:val="24"/>
        </w:rPr>
        <w:footnoteReference w:id="114"/>
      </w:r>
      <w:r w:rsidRPr="00D27672">
        <w:rPr>
          <w:rFonts w:ascii="Times New Roman" w:hAnsi="Times New Roman"/>
        </w:rPr>
        <w:t>.</w:t>
      </w:r>
    </w:p>
    <w:p w14:paraId="1A20B3A9"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It is commonly accepted that facts subsequent to the enactment of legislation can be used to justify (or to preclude justification of) a burden on political communication by demonstrating the effects that could reasonably have been anticipated at the time of enactment or modification</w:t>
      </w:r>
      <w:r w:rsidRPr="00D27672">
        <w:rPr>
          <w:rStyle w:val="FootnoteReference"/>
          <w:rFonts w:ascii="Times New Roman" w:hAnsi="Times New Roman"/>
          <w:sz w:val="24"/>
        </w:rPr>
        <w:footnoteReference w:id="115"/>
      </w:r>
      <w:r w:rsidRPr="00D27672">
        <w:rPr>
          <w:rFonts w:ascii="Times New Roman" w:hAnsi="Times New Roman"/>
        </w:rPr>
        <w:t>. But it is far more controversial for subsequent facts that were not reasonably foreseeable to be used to justify (or to preclude justification of) that burden.</w:t>
      </w:r>
    </w:p>
    <w:p w14:paraId="7399197B"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In some cases, a blunt approach has been applied which appears even to exclude consideration of reasonably foreseeable subsequent facts, at least where those facts are used with the benefit of hindsight. On one view, that was the approach taken by some members of this Court in </w:t>
      </w:r>
      <w:r w:rsidRPr="00D27672">
        <w:rPr>
          <w:rFonts w:ascii="Times New Roman" w:hAnsi="Times New Roman"/>
          <w:i/>
        </w:rPr>
        <w:t>Murphy v Electoral Commissioner</w:t>
      </w:r>
      <w:r w:rsidRPr="00D27672">
        <w:rPr>
          <w:rStyle w:val="FootnoteReference"/>
          <w:rFonts w:ascii="Times New Roman" w:hAnsi="Times New Roman"/>
          <w:sz w:val="24"/>
        </w:rPr>
        <w:footnoteReference w:id="116"/>
      </w:r>
      <w:r w:rsidRPr="00D27672">
        <w:rPr>
          <w:rFonts w:ascii="Times New Roman" w:hAnsi="Times New Roman"/>
        </w:rPr>
        <w:t xml:space="preserve">, where this Court did not invalidate a law that had existed for many years which provided for the close of the Electoral Rolls on the seventh day after the date of the writ for an election. In applying an approach of structured proportionality, French CJ and Bell J said of advances in technology that might make it possible to keep electoral rolls open for longer that making the provisions invalid on this basis "would allow a court to pull the constitutional rug from under </w:t>
      </w:r>
      <w:r w:rsidRPr="00D27672">
        <w:rPr>
          <w:rFonts w:ascii="Times New Roman" w:hAnsi="Times New Roman"/>
        </w:rPr>
        <w:lastRenderedPageBreak/>
        <w:t>a valid legislative scheme upon the court's judgment of the feasibility of alternative arrangements"</w:t>
      </w:r>
      <w:r w:rsidRPr="00D27672">
        <w:rPr>
          <w:rStyle w:val="FootnoteReference"/>
          <w:rFonts w:ascii="Times New Roman" w:hAnsi="Times New Roman"/>
          <w:sz w:val="24"/>
        </w:rPr>
        <w:footnoteReference w:id="117"/>
      </w:r>
      <w:r w:rsidRPr="00D27672">
        <w:rPr>
          <w:rFonts w:ascii="Times New Roman" w:hAnsi="Times New Roman"/>
        </w:rPr>
        <w:t>. And Keane J described the possibility that "a law valid when made may become invalid by changes in the milieu in which it operates" as "unorthodox at a fundamental level"</w:t>
      </w:r>
      <w:r w:rsidRPr="00D27672">
        <w:rPr>
          <w:rStyle w:val="FootnoteReference"/>
          <w:rFonts w:ascii="Times New Roman" w:hAnsi="Times New Roman"/>
          <w:sz w:val="24"/>
        </w:rPr>
        <w:footnoteReference w:id="118"/>
      </w:r>
      <w:r w:rsidRPr="00D27672">
        <w:rPr>
          <w:rFonts w:ascii="Times New Roman" w:hAnsi="Times New Roman"/>
        </w:rPr>
        <w:t>.</w:t>
      </w:r>
    </w:p>
    <w:p w14:paraId="537381A3" w14:textId="77777777" w:rsidR="00092D0B" w:rsidRPr="00D27672" w:rsidRDefault="00092D0B" w:rsidP="00D27672">
      <w:pPr>
        <w:pStyle w:val="HeadingL3"/>
        <w:spacing w:after="260" w:line="280" w:lineRule="exact"/>
        <w:ind w:right="0"/>
        <w:jc w:val="both"/>
        <w:rPr>
          <w:rFonts w:ascii="Times New Roman" w:hAnsi="Times New Roman"/>
        </w:rPr>
      </w:pPr>
      <w:r w:rsidRPr="00D27672">
        <w:rPr>
          <w:rFonts w:ascii="Times New Roman" w:hAnsi="Times New Roman"/>
        </w:rPr>
        <w:t>Prudential considerations applied</w:t>
      </w:r>
    </w:p>
    <w:p w14:paraId="11413118"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It has occasionally been said in apparently absolute terms that a lack of necessity to resolve constitutional questions means that it is inappropriate to do so: if an issue need not be determined then it should not be determined. That is too absolute a proposition. With sufficient will, and a little creativity, it could very often be "unnecessary" for this Court to deal with large and difficult issues despite full argument by the parties. Such avoidance of an "unnecessary" issue might turn out to be a subterfuge, merely suppressing the issue by assuming, without deciding, what an answer to it might be and proceeding upon the basis of that assumption. And it might give rise to questions about the proper scope of this Court's constitutional responsibilities to elucidate and develop the law in addition to resolving disputes between parties.</w:t>
      </w:r>
    </w:p>
    <w:p w14:paraId="0D052842"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On other occasions it has been said that the avoidance of constitutional questions where it is possible to do so should be the approach that is "ordinarily" applied. But even descriptions of this as the "ordinary" approach stretch the meaning of "ordinary" in light of the practice of this Court. More accurately, there is a pragmatic principle based upon considerations of prudence that is sometimes employed to avoid resolving constitutional questions when a different means of resolution permits the question to be avoided</w:t>
      </w:r>
      <w:r w:rsidRPr="00D27672">
        <w:rPr>
          <w:rStyle w:val="FootnoteReference"/>
          <w:rFonts w:ascii="Times New Roman" w:hAnsi="Times New Roman"/>
          <w:sz w:val="24"/>
        </w:rPr>
        <w:footnoteReference w:id="119"/>
      </w:r>
      <w:r w:rsidRPr="00D27672">
        <w:rPr>
          <w:rFonts w:ascii="Times New Roman" w:hAnsi="Times New Roman"/>
        </w:rPr>
        <w:t>. It is important, however, that the use of this "pragmatic principle" does not degenerate into an idiosyncratic exercise based upon unstated preferences for when a question should be answered. To avoid such a consequence, this Court should articulate the reasons that weigh in favour of, or against, answering constitutional questions when a constitutional question need not be answered</w:t>
      </w:r>
      <w:r w:rsidRPr="00D27672">
        <w:rPr>
          <w:rStyle w:val="FootnoteReference"/>
          <w:rFonts w:ascii="Times New Roman" w:hAnsi="Times New Roman"/>
          <w:sz w:val="24"/>
        </w:rPr>
        <w:footnoteReference w:id="120"/>
      </w:r>
      <w:r w:rsidRPr="00D27672">
        <w:rPr>
          <w:rFonts w:ascii="Times New Roman" w:hAnsi="Times New Roman"/>
        </w:rPr>
        <w:t>.</w:t>
      </w:r>
    </w:p>
    <w:p w14:paraId="19E62AD8"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In this case, the most significant of the prudential considerations is the lack of submissions on relevant and large issues before this Court. The prudential </w:t>
      </w:r>
      <w:r w:rsidRPr="00D27672">
        <w:rPr>
          <w:rFonts w:ascii="Times New Roman" w:hAnsi="Times New Roman"/>
        </w:rPr>
        <w:lastRenderedPageBreak/>
        <w:t>considerations point strongly towards the appropriate course being to answer question 1 "unnecessary to answer".</w:t>
      </w:r>
    </w:p>
    <w:p w14:paraId="2E066328" w14:textId="77777777" w:rsidR="00092D0B" w:rsidRPr="00D27672" w:rsidRDefault="00092D0B" w:rsidP="00D27672">
      <w:pPr>
        <w:pStyle w:val="HeadingL2"/>
        <w:spacing w:after="260" w:line="280" w:lineRule="exact"/>
        <w:ind w:right="0"/>
        <w:jc w:val="both"/>
        <w:rPr>
          <w:rFonts w:ascii="Times New Roman" w:hAnsi="Times New Roman"/>
        </w:rPr>
      </w:pPr>
      <w:r w:rsidRPr="00D27672">
        <w:rPr>
          <w:rFonts w:ascii="Times New Roman" w:hAnsi="Times New Roman"/>
        </w:rPr>
        <w:t>(iv) Conclusion on question 1</w:t>
      </w:r>
    </w:p>
    <w:p w14:paraId="4616C255"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Three circumstances combine to make it unnecessary and, in my view, inappropriate to answer question 1: (</w:t>
      </w:r>
      <w:proofErr w:type="spellStart"/>
      <w:r w:rsidRPr="00D27672">
        <w:rPr>
          <w:rFonts w:ascii="Times New Roman" w:hAnsi="Times New Roman"/>
        </w:rPr>
        <w:t>i</w:t>
      </w:r>
      <w:proofErr w:type="spellEnd"/>
      <w:r w:rsidRPr="00D27672">
        <w:rPr>
          <w:rFonts w:ascii="Times New Roman" w:hAnsi="Times New Roman"/>
        </w:rPr>
        <w:t>) the weakness of the plaintiffs' interest; (ii) the lack of any substantial controversy; and (iii) the prudential consideration of not addressing constitutional questions, particularly issues that have not been argued, when it is unnecessary to do so.</w:t>
      </w:r>
    </w:p>
    <w:p w14:paraId="722A17AF" w14:textId="77777777" w:rsidR="00092D0B" w:rsidRPr="00D27672" w:rsidRDefault="00092D0B" w:rsidP="00D27672">
      <w:pPr>
        <w:pStyle w:val="HeadingL1"/>
        <w:spacing w:after="260" w:line="280" w:lineRule="exact"/>
        <w:ind w:right="0"/>
        <w:jc w:val="both"/>
        <w:rPr>
          <w:rFonts w:ascii="Times New Roman" w:hAnsi="Times New Roman"/>
        </w:rPr>
      </w:pPr>
      <w:r w:rsidRPr="00D27672">
        <w:rPr>
          <w:rFonts w:ascii="Times New Roman" w:hAnsi="Times New Roman"/>
        </w:rPr>
        <w:t>Conclusion</w:t>
      </w:r>
    </w:p>
    <w:p w14:paraId="53DB887D"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In circumstances where the lack of necessity to answer question 1 arises largely from the defendant's concession, it is appropriate that the defendant pay the costs of question 1, as the defendant properly accepted. There should be no order as to costs in relation to the remainder of the special case: the plaintiffs were unsuccessful in their legal arguments as to standing, but that issue only arose because of the late repeal of s 35 of the EF Act by the Parliament of New South Wales.</w:t>
      </w:r>
    </w:p>
    <w:p w14:paraId="280FFD40" w14:textId="77777777" w:rsidR="00092D0B" w:rsidRPr="00D27672" w:rsidRDefault="00092D0B" w:rsidP="00D27672">
      <w:pPr>
        <w:pStyle w:val="FixListStyle"/>
        <w:spacing w:after="260" w:line="280" w:lineRule="exact"/>
        <w:ind w:right="0"/>
        <w:jc w:val="both"/>
        <w:rPr>
          <w:rFonts w:ascii="Times New Roman" w:hAnsi="Times New Roman"/>
        </w:rPr>
      </w:pPr>
      <w:r w:rsidRPr="00D27672">
        <w:rPr>
          <w:rFonts w:ascii="Times New Roman" w:hAnsi="Times New Roman"/>
        </w:rPr>
        <w:tab/>
        <w:t xml:space="preserve">The questions stated by the parties in the special case for the opinion of the Full Court of this Court should be answered as follows: </w:t>
      </w:r>
    </w:p>
    <w:p w14:paraId="087351ED" w14:textId="77777777" w:rsidR="00092D0B" w:rsidRPr="00D27672" w:rsidRDefault="00092D0B" w:rsidP="00D27672">
      <w:pPr>
        <w:pStyle w:val="LeftrightafterHC"/>
        <w:spacing w:before="0" w:after="260" w:line="280" w:lineRule="exact"/>
        <w:ind w:right="0"/>
        <w:jc w:val="both"/>
        <w:rPr>
          <w:rFonts w:ascii="Times New Roman" w:hAnsi="Times New Roman"/>
        </w:rPr>
      </w:pPr>
      <w:r w:rsidRPr="00D27672">
        <w:rPr>
          <w:rFonts w:ascii="Times New Roman" w:hAnsi="Times New Roman"/>
        </w:rPr>
        <w:t>Question 1:</w:t>
      </w:r>
      <w:r w:rsidRPr="00D27672">
        <w:rPr>
          <w:rFonts w:ascii="Times New Roman" w:hAnsi="Times New Roman"/>
        </w:rPr>
        <w:tab/>
      </w:r>
      <w:r w:rsidRPr="00D27672">
        <w:rPr>
          <w:rFonts w:ascii="Times New Roman" w:hAnsi="Times New Roman"/>
        </w:rPr>
        <w:tab/>
        <w:t>Unnecessary to answer.</w:t>
      </w:r>
    </w:p>
    <w:p w14:paraId="4B1AA420" w14:textId="77777777" w:rsidR="00092D0B" w:rsidRPr="00D27672" w:rsidRDefault="00092D0B" w:rsidP="00D27672">
      <w:pPr>
        <w:pStyle w:val="leftright"/>
        <w:spacing w:before="0" w:after="260" w:line="280" w:lineRule="exact"/>
        <w:ind w:right="0"/>
        <w:jc w:val="both"/>
        <w:rPr>
          <w:rFonts w:ascii="Times New Roman" w:hAnsi="Times New Roman"/>
        </w:rPr>
      </w:pPr>
      <w:r w:rsidRPr="00D27672">
        <w:rPr>
          <w:rFonts w:ascii="Times New Roman" w:hAnsi="Times New Roman"/>
        </w:rPr>
        <w:t>Question 1A:</w:t>
      </w:r>
      <w:r w:rsidRPr="00D27672">
        <w:rPr>
          <w:rFonts w:ascii="Times New Roman" w:hAnsi="Times New Roman"/>
        </w:rPr>
        <w:tab/>
      </w:r>
      <w:r>
        <w:rPr>
          <w:rFonts w:ascii="Times New Roman" w:hAnsi="Times New Roman"/>
        </w:rPr>
        <w:tab/>
      </w:r>
      <w:r w:rsidRPr="00D27672">
        <w:rPr>
          <w:rFonts w:ascii="Times New Roman" w:hAnsi="Times New Roman"/>
        </w:rPr>
        <w:t>(a)</w:t>
      </w:r>
      <w:r w:rsidRPr="00D27672">
        <w:rPr>
          <w:rFonts w:ascii="Times New Roman" w:hAnsi="Times New Roman"/>
        </w:rPr>
        <w:tab/>
        <w:t>No.</w:t>
      </w:r>
    </w:p>
    <w:p w14:paraId="58172DD9" w14:textId="77777777" w:rsidR="00092D0B" w:rsidRPr="00D27672" w:rsidRDefault="00092D0B" w:rsidP="00D27672">
      <w:pPr>
        <w:pStyle w:val="leftright"/>
        <w:spacing w:before="0" w:after="260" w:line="280" w:lineRule="exact"/>
        <w:ind w:right="0"/>
        <w:jc w:val="both"/>
        <w:rPr>
          <w:rFonts w:ascii="Times New Roman" w:hAnsi="Times New Roman"/>
        </w:rPr>
      </w:pPr>
      <w:r w:rsidRPr="00D27672">
        <w:rPr>
          <w:rFonts w:ascii="Times New Roman" w:hAnsi="Times New Roman"/>
        </w:rPr>
        <w:tab/>
      </w:r>
      <w:r w:rsidRPr="00D27672">
        <w:rPr>
          <w:rFonts w:ascii="Times New Roman" w:hAnsi="Times New Roman"/>
        </w:rPr>
        <w:tab/>
      </w:r>
      <w:r w:rsidRPr="00D27672">
        <w:rPr>
          <w:rFonts w:ascii="Times New Roman" w:hAnsi="Times New Roman"/>
        </w:rPr>
        <w:tab/>
        <w:t>(b)</w:t>
      </w:r>
      <w:r w:rsidRPr="00D27672">
        <w:rPr>
          <w:rFonts w:ascii="Times New Roman" w:hAnsi="Times New Roman"/>
        </w:rPr>
        <w:tab/>
        <w:t>Unnecessary to answer.</w:t>
      </w:r>
    </w:p>
    <w:p w14:paraId="0C46CFF4" w14:textId="77777777" w:rsidR="00092D0B" w:rsidRPr="00D27672" w:rsidRDefault="00092D0B" w:rsidP="00D27672">
      <w:pPr>
        <w:pStyle w:val="LeftrightHanging"/>
        <w:spacing w:before="0" w:after="260" w:line="280" w:lineRule="exact"/>
        <w:ind w:right="0"/>
        <w:jc w:val="both"/>
        <w:rPr>
          <w:rFonts w:ascii="Times New Roman" w:hAnsi="Times New Roman"/>
        </w:rPr>
      </w:pPr>
      <w:r w:rsidRPr="00D27672">
        <w:rPr>
          <w:rFonts w:ascii="Times New Roman" w:hAnsi="Times New Roman"/>
        </w:rPr>
        <w:t>Question 2:</w:t>
      </w:r>
      <w:r w:rsidRPr="00D27672">
        <w:rPr>
          <w:rFonts w:ascii="Times New Roman" w:hAnsi="Times New Roman"/>
        </w:rPr>
        <w:tab/>
      </w:r>
      <w:r w:rsidRPr="00D27672">
        <w:rPr>
          <w:rFonts w:ascii="Times New Roman" w:hAnsi="Times New Roman"/>
        </w:rPr>
        <w:tab/>
        <w:t>Does not arise.</w:t>
      </w:r>
    </w:p>
    <w:p w14:paraId="2566C37F" w14:textId="25B118BB" w:rsidR="00092D0B" w:rsidRPr="00D27672" w:rsidRDefault="00092D0B" w:rsidP="005E3BC8">
      <w:pPr>
        <w:pStyle w:val="LeftrightHanging"/>
        <w:spacing w:before="0" w:after="260" w:line="280" w:lineRule="exact"/>
        <w:ind w:left="2880" w:right="0" w:hanging="2160"/>
        <w:jc w:val="both"/>
        <w:rPr>
          <w:rFonts w:ascii="Times New Roman" w:hAnsi="Times New Roman"/>
        </w:rPr>
      </w:pPr>
      <w:r w:rsidRPr="00D27672">
        <w:rPr>
          <w:rFonts w:ascii="Times New Roman" w:hAnsi="Times New Roman"/>
        </w:rPr>
        <w:t>Question 3:</w:t>
      </w:r>
      <w:r w:rsidRPr="00D27672">
        <w:rPr>
          <w:rFonts w:ascii="Times New Roman" w:hAnsi="Times New Roman"/>
        </w:rPr>
        <w:tab/>
      </w:r>
      <w:r w:rsidRPr="00D27672">
        <w:rPr>
          <w:rFonts w:ascii="Times New Roman" w:hAnsi="Times New Roman"/>
        </w:rPr>
        <w:tab/>
        <w:t>In relation to question 1, the defendant. Otherwise, there should be no order as to costs.</w:t>
      </w:r>
    </w:p>
    <w:p w14:paraId="63A731D1" w14:textId="77777777" w:rsidR="00092D0B" w:rsidRDefault="00092D0B" w:rsidP="0026277C">
      <w:pPr>
        <w:pStyle w:val="leftright"/>
        <w:spacing w:before="0" w:after="260" w:line="280" w:lineRule="exact"/>
        <w:ind w:left="2880" w:right="0" w:hanging="2160"/>
        <w:jc w:val="both"/>
        <w:rPr>
          <w:rFonts w:ascii="Times New Roman" w:hAnsi="Times New Roman"/>
        </w:rPr>
      </w:pPr>
    </w:p>
    <w:p w14:paraId="202F110B" w14:textId="77777777" w:rsidR="00092D0B" w:rsidRDefault="00092D0B" w:rsidP="0026277C">
      <w:pPr>
        <w:pStyle w:val="leftright"/>
        <w:spacing w:before="0" w:after="260" w:line="280" w:lineRule="exact"/>
        <w:ind w:left="2880" w:right="0" w:hanging="2160"/>
        <w:jc w:val="both"/>
        <w:rPr>
          <w:rFonts w:ascii="Times New Roman" w:hAnsi="Times New Roman"/>
        </w:rPr>
        <w:sectPr w:rsidR="00092D0B" w:rsidSect="00092D0B">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4C2A7A61" w14:textId="77777777" w:rsidR="00092D0B" w:rsidRPr="007F0580" w:rsidRDefault="00092D0B" w:rsidP="00092D0B">
      <w:pPr>
        <w:pStyle w:val="FixListStyle"/>
        <w:tabs>
          <w:tab w:val="clear" w:pos="720"/>
          <w:tab w:val="left" w:pos="0"/>
        </w:tabs>
        <w:spacing w:after="260" w:line="280" w:lineRule="exact"/>
        <w:ind w:right="0"/>
        <w:jc w:val="both"/>
        <w:rPr>
          <w:rFonts w:ascii="Times New Roman" w:hAnsi="Times New Roman"/>
        </w:rPr>
      </w:pPr>
      <w:r w:rsidRPr="007F0580">
        <w:rPr>
          <w:rFonts w:ascii="Times New Roman" w:hAnsi="Times New Roman"/>
        </w:rPr>
        <w:lastRenderedPageBreak/>
        <w:t xml:space="preserve">STEWARD J.   The hearing and determination of the Further Amended Special Case concerning s 29(11) of the </w:t>
      </w:r>
      <w:r w:rsidRPr="007F0580">
        <w:rPr>
          <w:rFonts w:ascii="Times New Roman" w:hAnsi="Times New Roman"/>
          <w:i/>
          <w:iCs/>
        </w:rPr>
        <w:t>Electoral Funding Act 2018</w:t>
      </w:r>
      <w:r w:rsidRPr="007F0580">
        <w:rPr>
          <w:rFonts w:ascii="Times New Roman" w:hAnsi="Times New Roman"/>
        </w:rPr>
        <w:t xml:space="preserve"> (NSW) ("the EF Act") proceeded in this Court in unsatisfactory and unrealistic ways. In practical terms, the question the Court was asked to determine was whether $20,000 (indexed for inflation) was a sufficiently reasonable amount to permit a third-party campaigner to run a campaign in a by-election for an electoral district in the Legislative Assembly of New South Wales. There were three problems. The material before the Court did not establish </w:t>
      </w:r>
      <w:proofErr w:type="gramStart"/>
      <w:r w:rsidRPr="007F0580">
        <w:rPr>
          <w:rFonts w:ascii="Times New Roman" w:hAnsi="Times New Roman"/>
        </w:rPr>
        <w:t>whether or not</w:t>
      </w:r>
      <w:proofErr w:type="gramEnd"/>
      <w:r w:rsidRPr="007F0580">
        <w:rPr>
          <w:rFonts w:ascii="Times New Roman" w:hAnsi="Times New Roman"/>
        </w:rPr>
        <w:t xml:space="preserve"> $20,000 was a reasonable amount. None of the plaintiffs could state whether they wished to campaign at an actual future by</w:t>
      </w:r>
      <w:r w:rsidRPr="007F0580">
        <w:rPr>
          <w:rFonts w:ascii="Times New Roman" w:hAnsi="Times New Roman"/>
        </w:rPr>
        <w:noBreakHyphen/>
        <w:t xml:space="preserve">election because none was forthcoming. And, in the lead up to the hearing of this case, the Joint Standing Committee on Electoral Matters of the New South Wales Parliament ("the JSCEM") had been investigating the very issue practically posed for consideration by this Court. None of the evidence or submissions that the JCSEM had received about that issue, however, were before the Court for the hearing of the Further Amended Special Case. </w:t>
      </w:r>
    </w:p>
    <w:p w14:paraId="14A5B947"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As explained by Kiefel CJ, </w:t>
      </w:r>
      <w:proofErr w:type="spellStart"/>
      <w:r w:rsidRPr="007F0580">
        <w:rPr>
          <w:rFonts w:ascii="Times New Roman" w:hAnsi="Times New Roman"/>
        </w:rPr>
        <w:t>Gageler</w:t>
      </w:r>
      <w:proofErr w:type="spellEnd"/>
      <w:r w:rsidRPr="007F0580">
        <w:rPr>
          <w:rFonts w:ascii="Times New Roman" w:hAnsi="Times New Roman"/>
        </w:rPr>
        <w:t xml:space="preserve">, Gordon, Gleeson and </w:t>
      </w:r>
      <w:proofErr w:type="spellStart"/>
      <w:r w:rsidRPr="007F0580">
        <w:rPr>
          <w:rFonts w:ascii="Times New Roman" w:hAnsi="Times New Roman"/>
        </w:rPr>
        <w:t>Jagot</w:t>
      </w:r>
      <w:proofErr w:type="spellEnd"/>
      <w:r w:rsidRPr="007F0580">
        <w:rPr>
          <w:rFonts w:ascii="Times New Roman" w:hAnsi="Times New Roman"/>
        </w:rPr>
        <w:t> JJ, a week after the hearing of this Further Amended Special Case, the JSCEM did indeed publish its findings into the adequacy of the $20,000 cap. By consent, the JSCEM Report was added to the Further Amended Special Case. The JSCEM found, based on the evidence that it had received and considered, that $20,000 was inadequate and that a cap of $198,750 should instead be introduced. In correspondence then sent to the Court by the solicitor for New South Wales, the Court was informed as follows:</w:t>
      </w:r>
    </w:p>
    <w:p w14:paraId="34C18AB2" w14:textId="77777777" w:rsidR="00092D0B" w:rsidRDefault="00092D0B" w:rsidP="007F0580">
      <w:pPr>
        <w:pStyle w:val="LRIndentafterHC"/>
        <w:spacing w:before="0" w:after="260" w:line="280" w:lineRule="exact"/>
        <w:ind w:right="0"/>
        <w:jc w:val="both"/>
        <w:rPr>
          <w:rFonts w:ascii="Times New Roman" w:hAnsi="Times New Roman"/>
        </w:rPr>
      </w:pPr>
      <w:r w:rsidRPr="007F0580">
        <w:rPr>
          <w:rFonts w:ascii="Times New Roman" w:hAnsi="Times New Roman"/>
        </w:rPr>
        <w:t>"In light of the JSCEM Report, the State now concedes that Question 1 in the Further Amended Special Case should be answered 'Yes</w:t>
      </w:r>
      <w:proofErr w:type="gramStart"/>
      <w:r w:rsidRPr="007F0580">
        <w:rPr>
          <w:rFonts w:ascii="Times New Roman" w:hAnsi="Times New Roman"/>
        </w:rPr>
        <w:t>'</w:t>
      </w:r>
      <w:proofErr w:type="gramEnd"/>
      <w:r w:rsidRPr="007F0580">
        <w:rPr>
          <w:rFonts w:ascii="Times New Roman" w:hAnsi="Times New Roman"/>
        </w:rPr>
        <w:t xml:space="preserve"> and that Question 3 should be answered 'The State in relation to Question 1'."</w:t>
      </w:r>
    </w:p>
    <w:p w14:paraId="7FF2A773"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Given the parties' stated position, the real issue is whether it is appropriate to answer question 1 of the Further Amended Special Case and grant the consequential declaration sought by the plaintiffs in circumstances where there has ceased to be any controversy between the parties. In that respect, I will assume that the Court retains its jurisdiction to make orders; the real question is whether it should make such orders and supply full reasons in support of them.</w:t>
      </w:r>
    </w:p>
    <w:p w14:paraId="1B0EF059"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In </w:t>
      </w:r>
      <w:r w:rsidRPr="007F0580">
        <w:rPr>
          <w:rFonts w:ascii="Times New Roman" w:hAnsi="Times New Roman"/>
          <w:i/>
          <w:iCs/>
        </w:rPr>
        <w:t>Russian Commercial and Industrial Bank v British Bank for Foreign Trade Ltd</w:t>
      </w:r>
      <w:r w:rsidRPr="007F0580">
        <w:rPr>
          <w:rFonts w:ascii="Times New Roman" w:hAnsi="Times New Roman"/>
        </w:rPr>
        <w:t>, Viscount Dunedin famously said about the conditions for the grant of a declaration</w:t>
      </w:r>
      <w:r w:rsidRPr="007F0580">
        <w:rPr>
          <w:rStyle w:val="FootnoteReference"/>
          <w:rFonts w:ascii="Times New Roman" w:hAnsi="Times New Roman"/>
          <w:sz w:val="24"/>
        </w:rPr>
        <w:footnoteReference w:id="121"/>
      </w:r>
      <w:r w:rsidRPr="007F0580">
        <w:rPr>
          <w:rFonts w:ascii="Times New Roman" w:hAnsi="Times New Roman"/>
        </w:rPr>
        <w:t>:</w:t>
      </w:r>
    </w:p>
    <w:p w14:paraId="27274CB1" w14:textId="77777777" w:rsidR="00092D0B" w:rsidRDefault="00092D0B" w:rsidP="007F0580">
      <w:pPr>
        <w:pStyle w:val="LeftrightafterHC"/>
        <w:spacing w:before="0" w:after="260" w:line="280" w:lineRule="exact"/>
        <w:ind w:right="0"/>
        <w:jc w:val="both"/>
        <w:rPr>
          <w:rFonts w:ascii="Times New Roman" w:hAnsi="Times New Roman"/>
        </w:rPr>
      </w:pPr>
      <w:r w:rsidRPr="007F0580">
        <w:rPr>
          <w:rFonts w:ascii="Times New Roman" w:hAnsi="Times New Roman"/>
        </w:rPr>
        <w:lastRenderedPageBreak/>
        <w:t xml:space="preserve">"The question must be a real and not a theoretical question; the person raising it must have a real interest to raise it; he must be able to secure a proper contradictor, that is to say, </w:t>
      </w:r>
      <w:proofErr w:type="spellStart"/>
      <w:r w:rsidRPr="007F0580">
        <w:rPr>
          <w:rFonts w:ascii="Times New Roman" w:hAnsi="Times New Roman"/>
        </w:rPr>
        <w:t>some one</w:t>
      </w:r>
      <w:proofErr w:type="spellEnd"/>
      <w:r w:rsidRPr="007F0580">
        <w:rPr>
          <w:rFonts w:ascii="Times New Roman" w:hAnsi="Times New Roman"/>
        </w:rPr>
        <w:t xml:space="preserve"> presently existing who has a true interest to oppose the declaration sought."</w:t>
      </w:r>
    </w:p>
    <w:p w14:paraId="29B5EB48"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Because of the concession made by New South Wales, there is no longer a proper contradictor who retains a true interest to oppose the declaration sought by the plaintiffs. In that respect, it is well established that a true contradictor need not be someone who </w:t>
      </w:r>
      <w:proofErr w:type="gramStart"/>
      <w:r w:rsidRPr="007F0580">
        <w:rPr>
          <w:rFonts w:ascii="Times New Roman" w:hAnsi="Times New Roman"/>
        </w:rPr>
        <w:t>actually contests</w:t>
      </w:r>
      <w:proofErr w:type="gramEnd"/>
      <w:r w:rsidRPr="007F0580">
        <w:rPr>
          <w:rFonts w:ascii="Times New Roman" w:hAnsi="Times New Roman"/>
        </w:rPr>
        <w:t xml:space="preserve"> the form of relief sought by a plaintiff. As French J observed in </w:t>
      </w:r>
      <w:r w:rsidRPr="007F0580">
        <w:rPr>
          <w:rFonts w:ascii="Times New Roman" w:hAnsi="Times New Roman"/>
          <w:i/>
          <w:iCs/>
        </w:rPr>
        <w:t>IMF (Australia) Ltd v Sons of Gwalia Ltd</w:t>
      </w:r>
      <w:r w:rsidRPr="007F0580">
        <w:rPr>
          <w:rStyle w:val="FootnoteReference"/>
          <w:rFonts w:ascii="Times New Roman" w:hAnsi="Times New Roman"/>
          <w:sz w:val="24"/>
        </w:rPr>
        <w:footnoteReference w:id="122"/>
      </w:r>
      <w:r w:rsidRPr="007F0580">
        <w:rPr>
          <w:rFonts w:ascii="Times New Roman" w:hAnsi="Times New Roman"/>
        </w:rPr>
        <w:t>:</w:t>
      </w:r>
    </w:p>
    <w:p w14:paraId="430FFFD9" w14:textId="77777777" w:rsidR="00092D0B" w:rsidRDefault="00092D0B" w:rsidP="007F0580">
      <w:pPr>
        <w:pStyle w:val="LRIndentafterHC"/>
        <w:spacing w:before="0" w:after="260" w:line="280" w:lineRule="exact"/>
        <w:ind w:right="0"/>
        <w:jc w:val="both"/>
        <w:rPr>
          <w:rFonts w:ascii="Times New Roman" w:hAnsi="Times New Roman"/>
        </w:rPr>
      </w:pPr>
      <w:r w:rsidRPr="007F0580">
        <w:rPr>
          <w:rFonts w:ascii="Times New Roman" w:hAnsi="Times New Roman"/>
        </w:rPr>
        <w:t xml:space="preserve">"The requirement of a proper contradictor in a declaratory context is not merely to ensure that the court will be provided with all materials but also that absent a contradictor there is no person to be bound by the relief sought: </w:t>
      </w:r>
      <w:proofErr w:type="spellStart"/>
      <w:r w:rsidRPr="007F0580">
        <w:rPr>
          <w:rFonts w:ascii="Times New Roman" w:hAnsi="Times New Roman"/>
          <w:i/>
          <w:iCs/>
        </w:rPr>
        <w:t>Acs</w:t>
      </w:r>
      <w:proofErr w:type="spellEnd"/>
      <w:r w:rsidRPr="007F0580">
        <w:rPr>
          <w:rFonts w:ascii="Times New Roman" w:hAnsi="Times New Roman"/>
          <w:i/>
          <w:iCs/>
        </w:rPr>
        <w:t xml:space="preserve"> v Anderson</w:t>
      </w:r>
      <w:r w:rsidRPr="007F0580">
        <w:rPr>
          <w:rFonts w:ascii="Times New Roman" w:hAnsi="Times New Roman"/>
        </w:rPr>
        <w:t xml:space="preserve"> [1975] 1 NSWLR 212 at 215 per </w:t>
      </w:r>
      <w:proofErr w:type="spellStart"/>
      <w:r w:rsidRPr="007F0580">
        <w:rPr>
          <w:rFonts w:ascii="Times New Roman" w:hAnsi="Times New Roman"/>
        </w:rPr>
        <w:t>Hutley</w:t>
      </w:r>
      <w:proofErr w:type="spellEnd"/>
      <w:r w:rsidRPr="007F0580">
        <w:rPr>
          <w:rFonts w:ascii="Times New Roman" w:hAnsi="Times New Roman"/>
        </w:rPr>
        <w:t xml:space="preserve"> JA citing P W Young, </w:t>
      </w:r>
      <w:r w:rsidRPr="007F0580">
        <w:rPr>
          <w:rFonts w:ascii="Times New Roman" w:hAnsi="Times New Roman"/>
          <w:i/>
          <w:iCs/>
        </w:rPr>
        <w:t>Declaratory Orders</w:t>
      </w:r>
      <w:r w:rsidRPr="007F0580">
        <w:rPr>
          <w:rFonts w:ascii="Times New Roman" w:hAnsi="Times New Roman"/>
        </w:rPr>
        <w:t xml:space="preserve">, 1st ed, Butterworths, Sydney, 1975, p 210. A proper contradictor, for jurisdictional purposes, in my opinion cannot be confined to the class of party who comes to court ready to oppose the relief sought. There may be a case in which a party, whether a private person or body or a statutory regulator, expresses opposition to, and an intention to oppose, a proposed course of action by another party on the basis that it is in breach of some contractual or statutory prohibition. The party opposing the conduct may however decide for any one or more of a variety of reasons not to contest declaratory proceedings about the lawfulness of the proposed conduct. </w:t>
      </w:r>
      <w:proofErr w:type="gramStart"/>
      <w:r w:rsidRPr="007F0580">
        <w:rPr>
          <w:rFonts w:ascii="Times New Roman" w:hAnsi="Times New Roman"/>
        </w:rPr>
        <w:t>So</w:t>
      </w:r>
      <w:proofErr w:type="gramEnd"/>
      <w:r w:rsidRPr="007F0580">
        <w:rPr>
          <w:rFonts w:ascii="Times New Roman" w:hAnsi="Times New Roman"/>
        </w:rPr>
        <w:t xml:space="preserve"> the declaration may be made by consent or may be uncontested. This does not mean that the court lacks jurisdiction or power to grant the declaration in such a case."</w:t>
      </w:r>
    </w:p>
    <w:p w14:paraId="57D707BD"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Following from the report of the JSCEM, New South Wales </w:t>
      </w:r>
      <w:proofErr w:type="gramStart"/>
      <w:r w:rsidRPr="007F0580">
        <w:rPr>
          <w:rFonts w:ascii="Times New Roman" w:hAnsi="Times New Roman"/>
        </w:rPr>
        <w:t>made a decision</w:t>
      </w:r>
      <w:proofErr w:type="gramEnd"/>
      <w:r w:rsidRPr="007F0580">
        <w:rPr>
          <w:rFonts w:ascii="Times New Roman" w:hAnsi="Times New Roman"/>
        </w:rPr>
        <w:t xml:space="preserve"> to agree with the plaintiffs that s 29(11) is invalid and that it should pay their costs. It therefore ceased to have any "real interest" in opposing the position of the plaintiffs. Given the concession now made by New South Wales, it could hardly be said that it retains some "interest", in the broadest possible sense of that word, in upholding the validity of a law which it now proclaims to be unconstitutional. I would therefore decline to answer question 1 and I would not, exercising my discretion, make the consequential declaration sought. Different considerations might arise were New South Wales to seek in the future to resile from what it has said.</w:t>
      </w:r>
    </w:p>
    <w:p w14:paraId="6F50CAAE"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lastRenderedPageBreak/>
        <w:tab/>
        <w:t xml:space="preserve">In the past, this Court has declined to answer important questions posed when relevant concessions have been made. Two examples will suffice. In </w:t>
      </w:r>
      <w:r w:rsidRPr="007F0580">
        <w:rPr>
          <w:rFonts w:ascii="Times New Roman" w:hAnsi="Times New Roman"/>
          <w:i/>
          <w:iCs/>
        </w:rPr>
        <w:t xml:space="preserve">Bruce v The Commonwealth </w:t>
      </w:r>
      <w:proofErr w:type="gramStart"/>
      <w:r w:rsidRPr="007F0580">
        <w:rPr>
          <w:rFonts w:ascii="Times New Roman" w:hAnsi="Times New Roman"/>
          <w:i/>
          <w:iCs/>
        </w:rPr>
        <w:t>Trade Marks</w:t>
      </w:r>
      <w:proofErr w:type="gramEnd"/>
      <w:r w:rsidRPr="007F0580">
        <w:rPr>
          <w:rFonts w:ascii="Times New Roman" w:hAnsi="Times New Roman"/>
          <w:i/>
          <w:iCs/>
        </w:rPr>
        <w:t xml:space="preserve"> Label Association</w:t>
      </w:r>
      <w:r w:rsidRPr="007F0580">
        <w:rPr>
          <w:rStyle w:val="FootnoteReference"/>
          <w:rFonts w:ascii="Times New Roman" w:hAnsi="Times New Roman"/>
          <w:sz w:val="24"/>
        </w:rPr>
        <w:footnoteReference w:id="123"/>
      </w:r>
      <w:r w:rsidRPr="007F0580">
        <w:rPr>
          <w:rFonts w:ascii="Times New Roman" w:hAnsi="Times New Roman"/>
        </w:rPr>
        <w:t xml:space="preserve">, the plaintiffs sought to restrain the registration of a trademark or label. They contended that the Commonwealth Parliament did not have the power to enact what was then Pt VII of the </w:t>
      </w:r>
      <w:proofErr w:type="gramStart"/>
      <w:r w:rsidRPr="007F0580">
        <w:rPr>
          <w:rFonts w:ascii="Times New Roman" w:hAnsi="Times New Roman"/>
          <w:i/>
          <w:iCs/>
        </w:rPr>
        <w:t>Trade Marks</w:t>
      </w:r>
      <w:proofErr w:type="gramEnd"/>
      <w:r w:rsidRPr="007F0580">
        <w:rPr>
          <w:rFonts w:ascii="Times New Roman" w:hAnsi="Times New Roman"/>
          <w:i/>
          <w:iCs/>
        </w:rPr>
        <w:t xml:space="preserve"> Act 1905</w:t>
      </w:r>
      <w:r w:rsidRPr="007F0580">
        <w:rPr>
          <w:rFonts w:ascii="Times New Roman" w:hAnsi="Times New Roman"/>
        </w:rPr>
        <w:t xml:space="preserve"> (</w:t>
      </w:r>
      <w:proofErr w:type="spellStart"/>
      <w:r w:rsidRPr="007F0580">
        <w:rPr>
          <w:rFonts w:ascii="Times New Roman" w:hAnsi="Times New Roman"/>
        </w:rPr>
        <w:t>Cth</w:t>
      </w:r>
      <w:proofErr w:type="spellEnd"/>
      <w:r w:rsidRPr="007F0580">
        <w:rPr>
          <w:rFonts w:ascii="Times New Roman" w:hAnsi="Times New Roman"/>
        </w:rPr>
        <w:t>). Barton J referred for consideration the validity of Pt VII to a Full Court. It was then discovered that the application for registration had been withdrawn. The Court refused to answer the question that had been posed by Barton J. O'Connor J aptly observed that "the Court is not empowered to decide moot questions"</w:t>
      </w:r>
      <w:r w:rsidRPr="007F0580">
        <w:rPr>
          <w:rStyle w:val="FootnoteReference"/>
          <w:rFonts w:ascii="Times New Roman" w:hAnsi="Times New Roman"/>
          <w:sz w:val="24"/>
        </w:rPr>
        <w:footnoteReference w:id="124"/>
      </w:r>
      <w:r w:rsidRPr="007F0580">
        <w:rPr>
          <w:rFonts w:ascii="Times New Roman" w:hAnsi="Times New Roman"/>
        </w:rPr>
        <w:t>.</w:t>
      </w:r>
    </w:p>
    <w:p w14:paraId="097C5A11" w14:textId="77777777" w:rsidR="00092D0B" w:rsidRPr="007F0580"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More recently, in </w:t>
      </w:r>
      <w:r w:rsidRPr="007F0580">
        <w:rPr>
          <w:rFonts w:ascii="Times New Roman" w:hAnsi="Times New Roman"/>
          <w:i/>
          <w:iCs/>
        </w:rPr>
        <w:t>Brown v Tasmania</w:t>
      </w:r>
      <w:r w:rsidRPr="007F0580">
        <w:rPr>
          <w:rStyle w:val="FootnoteReference"/>
          <w:rFonts w:ascii="Times New Roman" w:hAnsi="Times New Roman"/>
          <w:sz w:val="24"/>
        </w:rPr>
        <w:footnoteReference w:id="125"/>
      </w:r>
      <w:r w:rsidRPr="007F0580">
        <w:rPr>
          <w:rFonts w:ascii="Times New Roman" w:hAnsi="Times New Roman"/>
        </w:rPr>
        <w:t xml:space="preserve"> the first question posed by the Special Case was whether the plaintiffs had standing to seek the relief they sought. Tasmania conceded this issue. The Court held that that question did not need to be answered</w:t>
      </w:r>
      <w:r w:rsidRPr="007F0580">
        <w:rPr>
          <w:rStyle w:val="FootnoteReference"/>
          <w:rFonts w:ascii="Times New Roman" w:hAnsi="Times New Roman"/>
          <w:sz w:val="24"/>
        </w:rPr>
        <w:footnoteReference w:id="126"/>
      </w:r>
      <w:r w:rsidRPr="007F0580">
        <w:rPr>
          <w:rFonts w:ascii="Times New Roman" w:hAnsi="Times New Roman"/>
        </w:rPr>
        <w:t>.</w:t>
      </w:r>
    </w:p>
    <w:p w14:paraId="0298048A" w14:textId="77777777" w:rsidR="00092D0B" w:rsidRPr="009674DC" w:rsidRDefault="00092D0B" w:rsidP="00092D0B">
      <w:pPr>
        <w:pStyle w:val="FixListStyle"/>
        <w:spacing w:after="260" w:line="280" w:lineRule="exact"/>
        <w:ind w:right="0"/>
        <w:jc w:val="both"/>
        <w:rPr>
          <w:rFonts w:ascii="Times New Roman" w:hAnsi="Times New Roman"/>
        </w:rPr>
      </w:pPr>
      <w:r w:rsidRPr="007F0580">
        <w:rPr>
          <w:rFonts w:ascii="Times New Roman" w:hAnsi="Times New Roman"/>
        </w:rPr>
        <w:tab/>
        <w:t xml:space="preserve">I otherwise respectfully refer to and agree with the reasons of Edelman J, which are in addition to those of Kiefel CJ, </w:t>
      </w:r>
      <w:proofErr w:type="spellStart"/>
      <w:r w:rsidRPr="007F0580">
        <w:rPr>
          <w:rFonts w:ascii="Times New Roman" w:hAnsi="Times New Roman"/>
        </w:rPr>
        <w:t>Gageler</w:t>
      </w:r>
      <w:proofErr w:type="spellEnd"/>
      <w:r w:rsidRPr="007F0580">
        <w:rPr>
          <w:rFonts w:ascii="Times New Roman" w:hAnsi="Times New Roman"/>
        </w:rPr>
        <w:t xml:space="preserve">, Gordon, Gleeson and </w:t>
      </w:r>
      <w:proofErr w:type="spellStart"/>
      <w:r w:rsidRPr="007F0580">
        <w:rPr>
          <w:rFonts w:ascii="Times New Roman" w:hAnsi="Times New Roman"/>
        </w:rPr>
        <w:t>Jagot</w:t>
      </w:r>
      <w:proofErr w:type="spellEnd"/>
      <w:r w:rsidRPr="007F0580">
        <w:rPr>
          <w:rFonts w:ascii="Times New Roman" w:hAnsi="Times New Roman"/>
        </w:rPr>
        <w:t xml:space="preserve"> JJ, in relation to questions 1A and 2, which concern what was previously s 35 of the EF Act. I would also give the same answers to the questions posed for consideration by the Court as the plurality, save that, like Edelman J, I would answer question 1 by responding that it is unnecessary to answer it. New South Wales agrees that s 29(11) of the EF Act is invalid and has agreed to pay the costs of the plaintiffs in relation to question 1. I further respectfully agree with Kiefel CJ, </w:t>
      </w:r>
      <w:proofErr w:type="spellStart"/>
      <w:r w:rsidRPr="007F0580">
        <w:rPr>
          <w:rFonts w:ascii="Times New Roman" w:hAnsi="Times New Roman"/>
        </w:rPr>
        <w:t>Gageler</w:t>
      </w:r>
      <w:proofErr w:type="spellEnd"/>
      <w:r w:rsidRPr="007F0580">
        <w:rPr>
          <w:rFonts w:ascii="Times New Roman" w:hAnsi="Times New Roman"/>
        </w:rPr>
        <w:t xml:space="preserve">, Gordon, Gleeson and </w:t>
      </w:r>
      <w:proofErr w:type="spellStart"/>
      <w:r w:rsidRPr="007F0580">
        <w:rPr>
          <w:rFonts w:ascii="Times New Roman" w:hAnsi="Times New Roman"/>
        </w:rPr>
        <w:t>Jagot</w:t>
      </w:r>
      <w:proofErr w:type="spellEnd"/>
      <w:r w:rsidRPr="007F0580">
        <w:rPr>
          <w:rFonts w:ascii="Times New Roman" w:hAnsi="Times New Roman"/>
        </w:rPr>
        <w:t> JJ that costs in relation to questions 1A and 2 should lie where they fall.</w:t>
      </w:r>
    </w:p>
    <w:p w14:paraId="7DF4A6B6" w14:textId="77777777" w:rsidR="00092D0B" w:rsidRDefault="00092D0B" w:rsidP="0026277C">
      <w:pPr>
        <w:pStyle w:val="leftright"/>
        <w:spacing w:before="0" w:after="260" w:line="280" w:lineRule="exact"/>
        <w:ind w:left="2880" w:right="0" w:hanging="2160"/>
        <w:jc w:val="both"/>
        <w:rPr>
          <w:rFonts w:ascii="Times New Roman" w:hAnsi="Times New Roman"/>
        </w:rPr>
        <w:sectPr w:rsidR="00092D0B" w:rsidSect="00092D0B">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12A65687" w14:textId="71299788" w:rsidR="00740938" w:rsidRPr="0026277C" w:rsidRDefault="00740938" w:rsidP="00092D0B">
      <w:pPr>
        <w:pStyle w:val="NormalBody"/>
      </w:pPr>
    </w:p>
    <w:sectPr w:rsidR="00740938" w:rsidRPr="0026277C" w:rsidSect="00092D0B">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9B8F" w14:textId="77777777" w:rsidR="00F850BD" w:rsidRDefault="00F850BD">
      <w:pPr>
        <w:spacing w:line="240" w:lineRule="auto"/>
      </w:pPr>
      <w:r>
        <w:separator/>
      </w:r>
    </w:p>
  </w:endnote>
  <w:endnote w:type="continuationSeparator" w:id="0">
    <w:p w14:paraId="7180040E" w14:textId="77777777" w:rsidR="00F850BD" w:rsidRDefault="00F850BD">
      <w:pPr>
        <w:spacing w:line="240" w:lineRule="auto"/>
      </w:pPr>
      <w:r>
        <w:continuationSeparator/>
      </w:r>
    </w:p>
  </w:endnote>
  <w:endnote w:type="continuationNotice" w:id="1">
    <w:p w14:paraId="49B2C25A" w14:textId="77777777" w:rsidR="00F850BD" w:rsidRDefault="00F850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6B48" w14:textId="77777777" w:rsidR="005E74ED" w:rsidRDefault="005E7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5A45" w14:textId="77777777" w:rsidR="005E74ED" w:rsidRDefault="005E7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1E9" w14:textId="77777777" w:rsidR="005E74ED" w:rsidRDefault="005E74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4817" w14:textId="77777777" w:rsidR="005E74ED" w:rsidRDefault="005E74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B0E8" w14:textId="77777777" w:rsidR="005E74ED" w:rsidRDefault="005E74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9C46" w14:textId="77777777" w:rsidR="005E74ED" w:rsidRDefault="005E74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9146" w14:textId="77777777" w:rsidR="00D27672" w:rsidRDefault="005E74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EC76" w14:textId="77777777" w:rsidR="00D27672" w:rsidRDefault="005E74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7CA" w14:textId="77777777" w:rsidR="00D27672" w:rsidRDefault="005E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B562" w14:textId="77777777" w:rsidR="00F850BD" w:rsidRPr="0026277C" w:rsidRDefault="00F850BD" w:rsidP="0026277C">
      <w:pPr>
        <w:pStyle w:val="Footer"/>
        <w:spacing w:before="120" w:after="20"/>
        <w:ind w:right="0"/>
        <w:rPr>
          <w:rFonts w:ascii="Times New Roman" w:hAnsi="Times New Roman"/>
        </w:rPr>
      </w:pPr>
      <w:r>
        <w:continuationSeparator/>
      </w:r>
    </w:p>
  </w:footnote>
  <w:footnote w:type="continuationSeparator" w:id="0">
    <w:p w14:paraId="56EBDFE0" w14:textId="77777777" w:rsidR="00F850BD" w:rsidRPr="0026277C" w:rsidRDefault="00F850BD" w:rsidP="0026277C">
      <w:pPr>
        <w:pStyle w:val="Footer"/>
        <w:spacing w:before="120" w:after="20"/>
        <w:ind w:right="0"/>
        <w:rPr>
          <w:rFonts w:ascii="Times New Roman" w:hAnsi="Times New Roman"/>
        </w:rPr>
      </w:pPr>
      <w:r w:rsidRPr="0026277C">
        <w:rPr>
          <w:rFonts w:ascii="Times New Roman" w:hAnsi="Times New Roman"/>
        </w:rPr>
        <w:continuationSeparator/>
      </w:r>
    </w:p>
  </w:footnote>
  <w:footnote w:type="continuationNotice" w:id="1">
    <w:p w14:paraId="2640DC45" w14:textId="77777777" w:rsidR="00F850BD" w:rsidRPr="00092D0B" w:rsidRDefault="00F850BD">
      <w:pPr>
        <w:jc w:val="right"/>
        <w:rPr>
          <w:rFonts w:ascii="Times New Roman" w:hAnsi="Times New Roman"/>
          <w:sz w:val="24"/>
        </w:rPr>
      </w:pPr>
    </w:p>
  </w:footnote>
  <w:footnote w:id="2">
    <w:p w14:paraId="3AF28018" w14:textId="42A67626" w:rsidR="009333F6" w:rsidRPr="0026277C" w:rsidRDefault="009333F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DA14EB" w:rsidRPr="0026277C">
        <w:rPr>
          <w:rFonts w:ascii="Times New Roman" w:hAnsi="Times New Roman"/>
          <w:i/>
          <w:iCs/>
          <w:sz w:val="24"/>
        </w:rPr>
        <w:t xml:space="preserve">Electoral Funding Act 2018 </w:t>
      </w:r>
      <w:r w:rsidR="00DA14EB" w:rsidRPr="0026277C">
        <w:rPr>
          <w:rFonts w:ascii="Times New Roman" w:hAnsi="Times New Roman"/>
          <w:sz w:val="24"/>
        </w:rPr>
        <w:t>(NSW)</w:t>
      </w:r>
      <w:r w:rsidRPr="0026277C">
        <w:rPr>
          <w:rFonts w:ascii="Times New Roman" w:hAnsi="Times New Roman"/>
          <w:sz w:val="24"/>
        </w:rPr>
        <w:t>, s 4 definition of "third-party campaigner</w:t>
      </w:r>
      <w:r w:rsidR="00093A46" w:rsidRPr="0026277C">
        <w:rPr>
          <w:rFonts w:ascii="Times New Roman" w:hAnsi="Times New Roman"/>
          <w:sz w:val="24"/>
        </w:rPr>
        <w:t>".</w:t>
      </w:r>
      <w:r w:rsidRPr="0026277C">
        <w:rPr>
          <w:rFonts w:ascii="Times New Roman" w:hAnsi="Times New Roman"/>
          <w:sz w:val="24"/>
        </w:rPr>
        <w:t xml:space="preserve"> </w:t>
      </w:r>
    </w:p>
  </w:footnote>
  <w:footnote w:id="3">
    <w:p w14:paraId="7F2A2D9C" w14:textId="2AA252A9" w:rsidR="00A902FA" w:rsidRPr="0026277C" w:rsidRDefault="00A902FA"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690605" w:rsidRPr="0026277C">
        <w:rPr>
          <w:rFonts w:ascii="Times New Roman" w:hAnsi="Times New Roman"/>
          <w:sz w:val="24"/>
        </w:rPr>
        <w:t>(2013) 252 CLR 530.</w:t>
      </w:r>
    </w:p>
  </w:footnote>
  <w:footnote w:id="4">
    <w:p w14:paraId="1024B4C8" w14:textId="1701D358" w:rsidR="00A902FA" w:rsidRPr="0026277C" w:rsidRDefault="00A902FA"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527373" w:rsidRPr="0026277C">
        <w:rPr>
          <w:rFonts w:ascii="Times New Roman" w:hAnsi="Times New Roman"/>
          <w:sz w:val="24"/>
        </w:rPr>
        <w:t xml:space="preserve">(2015) </w:t>
      </w:r>
      <w:r w:rsidR="00785BC3" w:rsidRPr="0026277C">
        <w:rPr>
          <w:rFonts w:ascii="Times New Roman" w:hAnsi="Times New Roman"/>
          <w:sz w:val="24"/>
        </w:rPr>
        <w:t>257 CLR 178</w:t>
      </w:r>
      <w:r w:rsidR="00CD04B4" w:rsidRPr="0026277C">
        <w:rPr>
          <w:rFonts w:ascii="Times New Roman" w:hAnsi="Times New Roman"/>
          <w:sz w:val="24"/>
        </w:rPr>
        <w:t>.</w:t>
      </w:r>
    </w:p>
  </w:footnote>
  <w:footnote w:id="5">
    <w:p w14:paraId="6B3820EA" w14:textId="5423EBC8" w:rsidR="00A902FA" w:rsidRPr="0026277C" w:rsidRDefault="00A902FA"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(2019) 264 CLR 595.</w:t>
      </w:r>
    </w:p>
  </w:footnote>
  <w:footnote w:id="6">
    <w:p w14:paraId="07C137FB" w14:textId="0B1CB03B" w:rsidR="00575189" w:rsidRPr="0026277C" w:rsidRDefault="00575189"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475DF1" w:rsidRPr="0026277C">
        <w:rPr>
          <w:rFonts w:ascii="Times New Roman" w:hAnsi="Times New Roman"/>
          <w:sz w:val="24"/>
        </w:rPr>
        <w:t>B</w:t>
      </w:r>
      <w:r w:rsidRPr="0026277C">
        <w:rPr>
          <w:rFonts w:ascii="Times New Roman" w:hAnsi="Times New Roman"/>
          <w:sz w:val="24"/>
        </w:rPr>
        <w:t xml:space="preserve">y the </w:t>
      </w:r>
      <w:r w:rsidRPr="0026277C">
        <w:rPr>
          <w:rFonts w:ascii="Times New Roman" w:hAnsi="Times New Roman"/>
          <w:i/>
          <w:iCs/>
          <w:sz w:val="24"/>
        </w:rPr>
        <w:t xml:space="preserve">Electoral Legislation Amendment Act 2022 </w:t>
      </w:r>
      <w:r w:rsidRPr="0026277C">
        <w:rPr>
          <w:rFonts w:ascii="Times New Roman" w:hAnsi="Times New Roman"/>
          <w:sz w:val="24"/>
        </w:rPr>
        <w:t>(NSW)</w:t>
      </w:r>
      <w:r w:rsidR="00475DF1" w:rsidRPr="0026277C">
        <w:rPr>
          <w:rFonts w:ascii="Times New Roman" w:hAnsi="Times New Roman"/>
          <w:sz w:val="24"/>
        </w:rPr>
        <w:t>.</w:t>
      </w:r>
    </w:p>
  </w:footnote>
  <w:footnote w:id="7">
    <w:p w14:paraId="31FD1D39"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Long Title.</w:t>
      </w:r>
    </w:p>
  </w:footnote>
  <w:footnote w:id="8">
    <w:p w14:paraId="24FFC324" w14:textId="5D60F50A" w:rsidR="00071610" w:rsidRPr="0026277C" w:rsidRDefault="0007161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EF Act, </w:t>
      </w:r>
      <w:r w:rsidR="00E91679" w:rsidRPr="0026277C">
        <w:rPr>
          <w:rFonts w:ascii="Times New Roman" w:hAnsi="Times New Roman"/>
          <w:sz w:val="24"/>
        </w:rPr>
        <w:t xml:space="preserve">Div 2 of Pt 4. </w:t>
      </w:r>
    </w:p>
  </w:footnote>
  <w:footnote w:id="9">
    <w:p w14:paraId="5656DA97" w14:textId="2CAEE148"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w:t>
      </w:r>
      <w:r w:rsidR="00D33337" w:rsidRPr="0026277C">
        <w:rPr>
          <w:rFonts w:ascii="Times New Roman" w:hAnsi="Times New Roman"/>
          <w:sz w:val="24"/>
        </w:rPr>
        <w:t>s</w:t>
      </w:r>
      <w:r w:rsidR="008541DA" w:rsidRPr="0026277C">
        <w:rPr>
          <w:rFonts w:ascii="Times New Roman" w:hAnsi="Times New Roman"/>
          <w:sz w:val="24"/>
        </w:rPr>
        <w:t> </w:t>
      </w:r>
      <w:r w:rsidR="00D33337" w:rsidRPr="0026277C">
        <w:rPr>
          <w:rFonts w:ascii="Times New Roman" w:hAnsi="Times New Roman"/>
          <w:sz w:val="24"/>
        </w:rPr>
        <w:t>15</w:t>
      </w:r>
      <w:r w:rsidR="00044665" w:rsidRPr="0026277C">
        <w:rPr>
          <w:rFonts w:ascii="Times New Roman" w:hAnsi="Times New Roman"/>
          <w:sz w:val="24"/>
        </w:rPr>
        <w:t>-</w:t>
      </w:r>
      <w:r w:rsidRPr="0026277C">
        <w:rPr>
          <w:rFonts w:ascii="Times New Roman" w:hAnsi="Times New Roman"/>
          <w:sz w:val="24"/>
        </w:rPr>
        <w:t>17; see generally Div 2 of Pt 3.</w:t>
      </w:r>
    </w:p>
  </w:footnote>
  <w:footnote w:id="10">
    <w:p w14:paraId="5D0CA640" w14:textId="2CBAA52D"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12(1).</w:t>
      </w:r>
    </w:p>
  </w:footnote>
  <w:footnote w:id="11">
    <w:p w14:paraId="322482FE" w14:textId="0F5F75DC" w:rsidR="00561D72" w:rsidRPr="0026277C" w:rsidRDefault="00561D7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w:t>
      </w:r>
      <w:r w:rsidR="008541DA" w:rsidRPr="0026277C">
        <w:rPr>
          <w:rFonts w:ascii="Times New Roman" w:hAnsi="Times New Roman"/>
          <w:sz w:val="24"/>
        </w:rPr>
        <w:t> </w:t>
      </w:r>
      <w:r w:rsidRPr="0026277C">
        <w:rPr>
          <w:rFonts w:ascii="Times New Roman" w:hAnsi="Times New Roman"/>
          <w:sz w:val="24"/>
        </w:rPr>
        <w:t xml:space="preserve">12(3). </w:t>
      </w:r>
    </w:p>
  </w:footnote>
  <w:footnote w:id="12">
    <w:p w14:paraId="1D4E35ED" w14:textId="77777777" w:rsidR="00561D72" w:rsidRPr="0026277C" w:rsidRDefault="00561D7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12(2).</w:t>
      </w:r>
    </w:p>
  </w:footnote>
  <w:footnote w:id="13">
    <w:p w14:paraId="076DFC0A"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3(a).</w:t>
      </w:r>
    </w:p>
  </w:footnote>
  <w:footnote w:id="14">
    <w:p w14:paraId="216AB9A4" w14:textId="43B990A8"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3(</w:t>
      </w:r>
      <w:r w:rsidR="00531EFE" w:rsidRPr="0026277C">
        <w:rPr>
          <w:rFonts w:ascii="Times New Roman" w:hAnsi="Times New Roman"/>
          <w:sz w:val="24"/>
        </w:rPr>
        <w:t>c</w:t>
      </w:r>
      <w:r w:rsidRPr="0026277C">
        <w:rPr>
          <w:rFonts w:ascii="Times New Roman" w:hAnsi="Times New Roman"/>
          <w:sz w:val="24"/>
        </w:rPr>
        <w:t>).</w:t>
      </w:r>
    </w:p>
  </w:footnote>
  <w:footnote w:id="15">
    <w:p w14:paraId="00154D76" w14:textId="0E75AEA5" w:rsidR="007F7E6B" w:rsidRPr="0026277C" w:rsidRDefault="007F7E6B"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EF Act, </w:t>
      </w:r>
      <w:r w:rsidR="00543A59" w:rsidRPr="0026277C">
        <w:rPr>
          <w:rFonts w:ascii="Times New Roman" w:hAnsi="Times New Roman"/>
          <w:sz w:val="24"/>
        </w:rPr>
        <w:t>s </w:t>
      </w:r>
      <w:r w:rsidRPr="0026277C">
        <w:rPr>
          <w:rFonts w:ascii="Times New Roman" w:hAnsi="Times New Roman"/>
          <w:sz w:val="24"/>
        </w:rPr>
        <w:t xml:space="preserve">3(e). </w:t>
      </w:r>
    </w:p>
  </w:footnote>
  <w:footnote w:id="16">
    <w:p w14:paraId="1660904A"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27.</w:t>
      </w:r>
    </w:p>
  </w:footnote>
  <w:footnote w:id="17">
    <w:p w14:paraId="118C13D8"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29.</w:t>
      </w:r>
    </w:p>
  </w:footnote>
  <w:footnote w:id="18">
    <w:p w14:paraId="45E1F858" w14:textId="6B377A80"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EF Act, s 7. By </w:t>
      </w:r>
      <w:r w:rsidR="00053204" w:rsidRPr="0026277C">
        <w:rPr>
          <w:rFonts w:ascii="Times New Roman" w:hAnsi="Times New Roman"/>
          <w:sz w:val="24"/>
        </w:rPr>
        <w:t xml:space="preserve">item 3 of Sch 3 of </w:t>
      </w:r>
      <w:r w:rsidRPr="0026277C">
        <w:rPr>
          <w:rFonts w:ascii="Times New Roman" w:hAnsi="Times New Roman"/>
          <w:sz w:val="24"/>
        </w:rPr>
        <w:t xml:space="preserve">the </w:t>
      </w:r>
      <w:r w:rsidR="002713EE" w:rsidRPr="0026277C">
        <w:rPr>
          <w:rFonts w:ascii="Times New Roman" w:hAnsi="Times New Roman"/>
          <w:i/>
          <w:iCs/>
          <w:sz w:val="24"/>
        </w:rPr>
        <w:t xml:space="preserve">Electoral Legislation Amendment Act </w:t>
      </w:r>
      <w:r w:rsidRPr="0026277C">
        <w:rPr>
          <w:rFonts w:ascii="Times New Roman" w:hAnsi="Times New Roman"/>
          <w:sz w:val="24"/>
        </w:rPr>
        <w:t xml:space="preserve">and with effect from 2 November 2022, </w:t>
      </w:r>
      <w:r w:rsidR="007E293A" w:rsidRPr="0026277C">
        <w:rPr>
          <w:rFonts w:ascii="Times New Roman" w:hAnsi="Times New Roman"/>
          <w:sz w:val="24"/>
        </w:rPr>
        <w:t xml:space="preserve">for the purposes of </w:t>
      </w:r>
      <w:r w:rsidR="00B92A11" w:rsidRPr="0026277C">
        <w:rPr>
          <w:rFonts w:ascii="Times New Roman" w:hAnsi="Times New Roman"/>
          <w:sz w:val="24"/>
        </w:rPr>
        <w:t>Div</w:t>
      </w:r>
      <w:r w:rsidR="00130144" w:rsidRPr="0026277C">
        <w:rPr>
          <w:rFonts w:ascii="Times New Roman" w:hAnsi="Times New Roman"/>
          <w:sz w:val="24"/>
        </w:rPr>
        <w:t> </w:t>
      </w:r>
      <w:r w:rsidR="00B92A11" w:rsidRPr="0026277C">
        <w:rPr>
          <w:rFonts w:ascii="Times New Roman" w:hAnsi="Times New Roman"/>
          <w:sz w:val="24"/>
        </w:rPr>
        <w:t xml:space="preserve">4 of Pt 3, </w:t>
      </w:r>
      <w:r w:rsidR="00C07C09" w:rsidRPr="0026277C">
        <w:rPr>
          <w:rFonts w:ascii="Times New Roman" w:hAnsi="Times New Roman"/>
          <w:sz w:val="24"/>
        </w:rPr>
        <w:t xml:space="preserve">the definition of </w:t>
      </w:r>
      <w:r w:rsidRPr="0026277C">
        <w:rPr>
          <w:rFonts w:ascii="Times New Roman" w:hAnsi="Times New Roman"/>
          <w:sz w:val="24"/>
        </w:rPr>
        <w:t>"electoral expenditure</w:t>
      </w:r>
      <w:r w:rsidR="004004A1" w:rsidRPr="0026277C">
        <w:rPr>
          <w:rFonts w:ascii="Times New Roman" w:hAnsi="Times New Roman"/>
          <w:sz w:val="24"/>
        </w:rPr>
        <w:t>"</w:t>
      </w:r>
      <w:r w:rsidRPr="0026277C">
        <w:rPr>
          <w:rFonts w:ascii="Times New Roman" w:hAnsi="Times New Roman"/>
          <w:sz w:val="24"/>
        </w:rPr>
        <w:t xml:space="preserve"> </w:t>
      </w:r>
      <w:r w:rsidR="00C07C09" w:rsidRPr="0026277C">
        <w:rPr>
          <w:rFonts w:ascii="Times New Roman" w:hAnsi="Times New Roman"/>
          <w:sz w:val="24"/>
        </w:rPr>
        <w:t>was amended to exclude</w:t>
      </w:r>
      <w:r w:rsidRPr="0026277C">
        <w:rPr>
          <w:rFonts w:ascii="Times New Roman" w:hAnsi="Times New Roman"/>
          <w:sz w:val="24"/>
        </w:rPr>
        <w:t xml:space="preserve"> expenditure incurred on travel and travel accommodation for candidates and staff engaged in electoral campaigning: s 7(4A).</w:t>
      </w:r>
    </w:p>
  </w:footnote>
  <w:footnote w:id="19">
    <w:p w14:paraId="09012EA0"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EF Act, s 7(3). </w:t>
      </w:r>
    </w:p>
  </w:footnote>
  <w:footnote w:id="20">
    <w:p w14:paraId="0D665DC2" w14:textId="77777777"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33(1). It is an offence for a person to contravene the cap if the person was, at the time of the act, aware of the facts that result in the act being unlawful: s 143(1). It is also an offence for a person to enter into or carry out a scheme for the purpose of circumventing the cap: s 144(1).</w:t>
      </w:r>
    </w:p>
  </w:footnote>
  <w:footnote w:id="21">
    <w:p w14:paraId="2B27A6B5" w14:textId="4C0557A1" w:rsidR="008C1AD8" w:rsidRPr="0026277C" w:rsidRDefault="008C1AD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27(</w:t>
      </w:r>
      <w:r w:rsidR="00034163" w:rsidRPr="0026277C">
        <w:rPr>
          <w:rFonts w:ascii="Times New Roman" w:hAnsi="Times New Roman"/>
          <w:sz w:val="24"/>
        </w:rPr>
        <w:t>b</w:t>
      </w:r>
      <w:r w:rsidRPr="0026277C">
        <w:rPr>
          <w:rFonts w:ascii="Times New Roman" w:hAnsi="Times New Roman"/>
          <w:sz w:val="24"/>
        </w:rPr>
        <w:t>).</w:t>
      </w:r>
    </w:p>
  </w:footnote>
  <w:footnote w:id="22">
    <w:p w14:paraId="087CEEB5" w14:textId="1261F78A" w:rsidR="00BA753F" w:rsidRPr="0026277C" w:rsidRDefault="00BA753F"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EF Act, s 29(11)</w:t>
      </w:r>
      <w:r w:rsidR="009D74A5" w:rsidRPr="0026277C">
        <w:rPr>
          <w:rFonts w:ascii="Times New Roman" w:hAnsi="Times New Roman"/>
          <w:sz w:val="24"/>
        </w:rPr>
        <w:t>, (14)</w:t>
      </w:r>
      <w:r w:rsidRPr="0026277C">
        <w:rPr>
          <w:rFonts w:ascii="Times New Roman" w:hAnsi="Times New Roman"/>
          <w:sz w:val="24"/>
        </w:rPr>
        <w:t>.</w:t>
      </w:r>
    </w:p>
  </w:footnote>
  <w:footnote w:id="23">
    <w:p w14:paraId="6C1B9032" w14:textId="21FA84ED" w:rsidR="000A749B" w:rsidRPr="0026277C" w:rsidRDefault="000A749B"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Electoral Legislation Amendment Act, </w:t>
      </w:r>
      <w:r w:rsidRPr="0026277C">
        <w:rPr>
          <w:rFonts w:ascii="Times New Roman" w:hAnsi="Times New Roman"/>
          <w:sz w:val="24"/>
        </w:rPr>
        <w:t>Sch 3 item 12.</w:t>
      </w:r>
    </w:p>
  </w:footnote>
  <w:footnote w:id="24">
    <w:p w14:paraId="31CC66F1" w14:textId="04A44317" w:rsidR="00600BF6" w:rsidRPr="0026277C" w:rsidRDefault="00600BF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B616BB" w:rsidRPr="0026277C">
        <w:rPr>
          <w:rFonts w:ascii="Times New Roman" w:hAnsi="Times New Roman"/>
          <w:i/>
          <w:iCs/>
          <w:sz w:val="24"/>
        </w:rPr>
        <w:t xml:space="preserve">Australian Securities and Investments Commission v </w:t>
      </w:r>
      <w:r w:rsidR="00B616BB" w:rsidRPr="0026277C">
        <w:rPr>
          <w:rFonts w:ascii="Times New Roman" w:hAnsi="Times New Roman"/>
          <w:i/>
          <w:sz w:val="24"/>
        </w:rPr>
        <w:t xml:space="preserve">Edensor Nominees Pty Ltd </w:t>
      </w:r>
      <w:r w:rsidR="00B616BB" w:rsidRPr="0026277C">
        <w:rPr>
          <w:rFonts w:ascii="Times New Roman" w:hAnsi="Times New Roman"/>
          <w:sz w:val="24"/>
        </w:rPr>
        <w:t xml:space="preserve">(2001) 204 CLR 559 at 570 [2], </w:t>
      </w:r>
      <w:r w:rsidR="009F4905" w:rsidRPr="0026277C">
        <w:rPr>
          <w:rFonts w:ascii="Times New Roman" w:hAnsi="Times New Roman"/>
          <w:sz w:val="24"/>
        </w:rPr>
        <w:t>quo</w:t>
      </w:r>
      <w:r w:rsidR="00B616BB" w:rsidRPr="0026277C">
        <w:rPr>
          <w:rFonts w:ascii="Times New Roman" w:hAnsi="Times New Roman"/>
          <w:sz w:val="24"/>
        </w:rPr>
        <w:t xml:space="preserve">ting </w:t>
      </w:r>
      <w:r w:rsidR="00B616BB" w:rsidRPr="0026277C">
        <w:rPr>
          <w:rFonts w:ascii="Times New Roman" w:hAnsi="Times New Roman"/>
          <w:i/>
          <w:sz w:val="24"/>
        </w:rPr>
        <w:t xml:space="preserve">Baxter v Commissioners of Taxation (NSW) </w:t>
      </w:r>
      <w:r w:rsidR="00B616BB" w:rsidRPr="0026277C">
        <w:rPr>
          <w:rFonts w:ascii="Times New Roman" w:hAnsi="Times New Roman"/>
          <w:sz w:val="24"/>
        </w:rPr>
        <w:t>(1907) 4 CLR 1087 at 1142.</w:t>
      </w:r>
    </w:p>
  </w:footnote>
  <w:footnote w:id="25">
    <w:p w14:paraId="0B9C93EB" w14:textId="332CD1F1" w:rsidR="00315FF6" w:rsidRPr="0026277C" w:rsidRDefault="00315FF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sz w:val="24"/>
        </w:rPr>
        <w:t xml:space="preserve">Rizeq v Western Australia </w:t>
      </w:r>
      <w:r w:rsidRPr="0026277C">
        <w:rPr>
          <w:rFonts w:ascii="Times New Roman" w:hAnsi="Times New Roman"/>
          <w:sz w:val="24"/>
        </w:rPr>
        <w:t>(2017) 262 CLR 1 at 12 [8], 22 [49]-[50]</w:t>
      </w:r>
      <w:r w:rsidR="004E3EDF" w:rsidRPr="0026277C">
        <w:rPr>
          <w:rFonts w:ascii="Times New Roman" w:hAnsi="Times New Roman"/>
          <w:sz w:val="24"/>
        </w:rPr>
        <w:t xml:space="preserve">; </w:t>
      </w:r>
      <w:r w:rsidR="004E3EDF" w:rsidRPr="0026277C">
        <w:rPr>
          <w:rFonts w:ascii="Times New Roman" w:hAnsi="Times New Roman"/>
          <w:i/>
          <w:iCs/>
          <w:sz w:val="24"/>
        </w:rPr>
        <w:t xml:space="preserve">Burns v Corbett </w:t>
      </w:r>
      <w:r w:rsidR="004E3EDF" w:rsidRPr="0026277C">
        <w:rPr>
          <w:rFonts w:ascii="Times New Roman" w:hAnsi="Times New Roman"/>
          <w:sz w:val="24"/>
        </w:rPr>
        <w:t xml:space="preserve">(2018) 265 CLR 304 at </w:t>
      </w:r>
      <w:r w:rsidR="005F4020" w:rsidRPr="0026277C">
        <w:rPr>
          <w:rFonts w:ascii="Times New Roman" w:hAnsi="Times New Roman"/>
          <w:sz w:val="24"/>
        </w:rPr>
        <w:t xml:space="preserve">330 </w:t>
      </w:r>
      <w:r w:rsidR="00235805" w:rsidRPr="0026277C">
        <w:rPr>
          <w:rFonts w:ascii="Times New Roman" w:hAnsi="Times New Roman"/>
          <w:sz w:val="24"/>
        </w:rPr>
        <w:t>[20]-</w:t>
      </w:r>
      <w:r w:rsidR="005F4020" w:rsidRPr="0026277C">
        <w:rPr>
          <w:rFonts w:ascii="Times New Roman" w:hAnsi="Times New Roman"/>
          <w:sz w:val="24"/>
        </w:rPr>
        <w:t xml:space="preserve">[21], </w:t>
      </w:r>
      <w:r w:rsidR="00364D5F" w:rsidRPr="0026277C">
        <w:rPr>
          <w:rFonts w:ascii="Times New Roman" w:hAnsi="Times New Roman"/>
          <w:sz w:val="24"/>
        </w:rPr>
        <w:t>346-</w:t>
      </w:r>
      <w:r w:rsidR="009166FE" w:rsidRPr="0026277C">
        <w:rPr>
          <w:rFonts w:ascii="Times New Roman" w:hAnsi="Times New Roman"/>
          <w:sz w:val="24"/>
        </w:rPr>
        <w:t xml:space="preserve">347 </w:t>
      </w:r>
      <w:r w:rsidR="00364D5F" w:rsidRPr="0026277C">
        <w:rPr>
          <w:rFonts w:ascii="Times New Roman" w:hAnsi="Times New Roman"/>
          <w:sz w:val="24"/>
        </w:rPr>
        <w:t>[70]-</w:t>
      </w:r>
      <w:r w:rsidR="009166FE" w:rsidRPr="0026277C">
        <w:rPr>
          <w:rFonts w:ascii="Times New Roman" w:hAnsi="Times New Roman"/>
          <w:sz w:val="24"/>
        </w:rPr>
        <w:t>[71]</w:t>
      </w:r>
      <w:r w:rsidR="0056656F" w:rsidRPr="0026277C">
        <w:rPr>
          <w:rFonts w:ascii="Times New Roman" w:hAnsi="Times New Roman"/>
          <w:sz w:val="24"/>
        </w:rPr>
        <w:t>, 365 [124],</w:t>
      </w:r>
      <w:r w:rsidR="001B7CDA" w:rsidRPr="0026277C">
        <w:rPr>
          <w:rFonts w:ascii="Times New Roman" w:hAnsi="Times New Roman"/>
          <w:sz w:val="24"/>
        </w:rPr>
        <w:t xml:space="preserve"> 378</w:t>
      </w:r>
      <w:r w:rsidR="00914512">
        <w:rPr>
          <w:rFonts w:ascii="Times New Roman" w:hAnsi="Times New Roman"/>
          <w:sz w:val="24"/>
        </w:rPr>
        <w:t> </w:t>
      </w:r>
      <w:r w:rsidR="001B7CDA" w:rsidRPr="0026277C">
        <w:rPr>
          <w:rFonts w:ascii="Times New Roman" w:hAnsi="Times New Roman"/>
          <w:sz w:val="24"/>
        </w:rPr>
        <w:t>[159]</w:t>
      </w:r>
      <w:r w:rsidR="00914512">
        <w:rPr>
          <w:rFonts w:ascii="Times New Roman" w:hAnsi="Times New Roman"/>
          <w:sz w:val="24"/>
        </w:rPr>
        <w:noBreakHyphen/>
      </w:r>
      <w:r w:rsidR="001B7CDA" w:rsidRPr="0026277C">
        <w:rPr>
          <w:rFonts w:ascii="Times New Roman" w:hAnsi="Times New Roman"/>
          <w:sz w:val="24"/>
        </w:rPr>
        <w:t>[160]</w:t>
      </w:r>
      <w:r w:rsidRPr="0026277C">
        <w:rPr>
          <w:rFonts w:ascii="Times New Roman" w:hAnsi="Times New Roman"/>
          <w:sz w:val="24"/>
        </w:rPr>
        <w:t>.</w:t>
      </w:r>
    </w:p>
  </w:footnote>
  <w:footnote w:id="26">
    <w:p w14:paraId="391A6347" w14:textId="03FF987A" w:rsidR="00694C33" w:rsidRPr="0026277C" w:rsidRDefault="00694C3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8C7B32" w:rsidRPr="0026277C">
        <w:rPr>
          <w:rFonts w:ascii="Times New Roman" w:hAnsi="Times New Roman"/>
          <w:i/>
          <w:sz w:val="24"/>
        </w:rPr>
        <w:t>Ah Yick</w:t>
      </w:r>
      <w:r w:rsidR="00A6314F" w:rsidRPr="0026277C">
        <w:rPr>
          <w:rFonts w:ascii="Times New Roman" w:hAnsi="Times New Roman"/>
          <w:i/>
          <w:sz w:val="24"/>
        </w:rPr>
        <w:t xml:space="preserve"> v Lehmert</w:t>
      </w:r>
      <w:r w:rsidR="008C7B32" w:rsidRPr="0026277C">
        <w:rPr>
          <w:rFonts w:ascii="Times New Roman" w:hAnsi="Times New Roman"/>
          <w:i/>
          <w:sz w:val="24"/>
        </w:rPr>
        <w:t xml:space="preserve"> </w:t>
      </w:r>
      <w:r w:rsidR="008C7B32" w:rsidRPr="0026277C">
        <w:rPr>
          <w:rFonts w:ascii="Times New Roman" w:hAnsi="Times New Roman"/>
          <w:sz w:val="24"/>
        </w:rPr>
        <w:t xml:space="preserve">(1905) 2 CLR 593 at 603; </w:t>
      </w:r>
      <w:r w:rsidR="008C7B32" w:rsidRPr="0026277C">
        <w:rPr>
          <w:rFonts w:ascii="Times New Roman" w:hAnsi="Times New Roman"/>
          <w:i/>
          <w:sz w:val="24"/>
        </w:rPr>
        <w:t>In re Judiciary</w:t>
      </w:r>
      <w:r w:rsidR="00A6314F" w:rsidRPr="0026277C">
        <w:rPr>
          <w:rFonts w:ascii="Times New Roman" w:hAnsi="Times New Roman"/>
          <w:i/>
          <w:sz w:val="24"/>
        </w:rPr>
        <w:t xml:space="preserve"> and Navigation Acts</w:t>
      </w:r>
      <w:r w:rsidR="008C7B32" w:rsidRPr="0026277C">
        <w:rPr>
          <w:rFonts w:ascii="Times New Roman" w:hAnsi="Times New Roman"/>
          <w:i/>
          <w:sz w:val="24"/>
        </w:rPr>
        <w:t xml:space="preserve"> </w:t>
      </w:r>
      <w:r w:rsidR="008C7B32" w:rsidRPr="0026277C">
        <w:rPr>
          <w:rFonts w:ascii="Times New Roman" w:hAnsi="Times New Roman"/>
          <w:sz w:val="24"/>
        </w:rPr>
        <w:t>(1921) 29 CLR 2</w:t>
      </w:r>
      <w:r w:rsidR="00624DB7" w:rsidRPr="0026277C">
        <w:rPr>
          <w:rFonts w:ascii="Times New Roman" w:hAnsi="Times New Roman"/>
          <w:sz w:val="24"/>
        </w:rPr>
        <w:t>5</w:t>
      </w:r>
      <w:r w:rsidR="008C7B32" w:rsidRPr="0026277C">
        <w:rPr>
          <w:rFonts w:ascii="Times New Roman" w:hAnsi="Times New Roman"/>
          <w:sz w:val="24"/>
        </w:rPr>
        <w:t xml:space="preserve">7 at 264; </w:t>
      </w:r>
      <w:r w:rsidR="00A6314F" w:rsidRPr="0026277C">
        <w:rPr>
          <w:rFonts w:ascii="Times New Roman" w:hAnsi="Times New Roman"/>
          <w:i/>
          <w:iCs/>
          <w:sz w:val="24"/>
        </w:rPr>
        <w:t xml:space="preserve">R v Kirby; Ex parte </w:t>
      </w:r>
      <w:r w:rsidR="008C7B32" w:rsidRPr="0026277C">
        <w:rPr>
          <w:rFonts w:ascii="Times New Roman" w:hAnsi="Times New Roman"/>
          <w:i/>
          <w:sz w:val="24"/>
        </w:rPr>
        <w:t>Boilermakers</w:t>
      </w:r>
      <w:r w:rsidR="00A6314F" w:rsidRPr="0026277C">
        <w:rPr>
          <w:rFonts w:ascii="Times New Roman" w:hAnsi="Times New Roman"/>
          <w:i/>
          <w:sz w:val="24"/>
        </w:rPr>
        <w:t>' Society of Australia</w:t>
      </w:r>
      <w:r w:rsidR="008C7B32" w:rsidRPr="0026277C">
        <w:rPr>
          <w:rFonts w:ascii="Times New Roman" w:hAnsi="Times New Roman"/>
          <w:i/>
          <w:sz w:val="24"/>
        </w:rPr>
        <w:t xml:space="preserve"> </w:t>
      </w:r>
      <w:r w:rsidR="008C7B32" w:rsidRPr="0026277C">
        <w:rPr>
          <w:rFonts w:ascii="Times New Roman" w:hAnsi="Times New Roman"/>
          <w:sz w:val="24"/>
        </w:rPr>
        <w:t>(1956) 94 CLR 254 at 267-268.</w:t>
      </w:r>
    </w:p>
  </w:footnote>
  <w:footnote w:id="27">
    <w:p w14:paraId="7E0F493F" w14:textId="2FCC5C34" w:rsidR="00315FF6" w:rsidRPr="0026277C" w:rsidRDefault="00315FF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Cs/>
          <w:sz w:val="24"/>
        </w:rPr>
        <w:t>See</w:t>
      </w:r>
      <w:r w:rsidRPr="0026277C">
        <w:rPr>
          <w:rFonts w:ascii="Times New Roman" w:hAnsi="Times New Roman"/>
          <w:sz w:val="24"/>
        </w:rPr>
        <w:t xml:space="preserve"> </w:t>
      </w:r>
      <w:r w:rsidR="005D5238" w:rsidRPr="0026277C">
        <w:rPr>
          <w:rFonts w:ascii="Times New Roman" w:hAnsi="Times New Roman"/>
          <w:i/>
          <w:sz w:val="24"/>
          <w:szCs w:val="18"/>
        </w:rPr>
        <w:t xml:space="preserve">Mineralogy Pty Ltd v Western Australia </w:t>
      </w:r>
      <w:r w:rsidR="005D5238" w:rsidRPr="0026277C">
        <w:rPr>
          <w:rFonts w:ascii="Times New Roman" w:hAnsi="Times New Roman"/>
          <w:sz w:val="24"/>
          <w:szCs w:val="18"/>
        </w:rPr>
        <w:t>(2021) 95 ALJR 832 at 846 [57]; 393</w:t>
      </w:r>
      <w:r w:rsidR="00E47211">
        <w:rPr>
          <w:rFonts w:ascii="Times New Roman" w:hAnsi="Times New Roman"/>
          <w:sz w:val="24"/>
          <w:szCs w:val="18"/>
        </w:rPr>
        <w:t> </w:t>
      </w:r>
      <w:r w:rsidR="005D5238" w:rsidRPr="0026277C">
        <w:rPr>
          <w:rFonts w:ascii="Times New Roman" w:hAnsi="Times New Roman"/>
          <w:sz w:val="24"/>
          <w:szCs w:val="18"/>
        </w:rPr>
        <w:t>ALR 551 at 565-566.</w:t>
      </w:r>
      <w:r w:rsidRPr="0026277C">
        <w:rPr>
          <w:rFonts w:ascii="Times New Roman" w:hAnsi="Times New Roman"/>
          <w:sz w:val="24"/>
          <w:szCs w:val="18"/>
        </w:rPr>
        <w:t xml:space="preserve"> </w:t>
      </w:r>
    </w:p>
  </w:footnote>
  <w:footnote w:id="28">
    <w:p w14:paraId="2B79FD0F" w14:textId="2CAE6A1A" w:rsidR="00315FF6" w:rsidRPr="0026277C" w:rsidRDefault="00315FF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Mellifont </w:t>
      </w:r>
      <w:r w:rsidR="00B723C8" w:rsidRPr="0026277C">
        <w:rPr>
          <w:rFonts w:ascii="Times New Roman" w:hAnsi="Times New Roman"/>
          <w:i/>
          <w:iCs/>
          <w:sz w:val="24"/>
        </w:rPr>
        <w:t>v Attorney-General (Q)</w:t>
      </w:r>
      <w:r w:rsidR="00A6314F" w:rsidRPr="0026277C">
        <w:rPr>
          <w:rFonts w:ascii="Times New Roman" w:hAnsi="Times New Roman"/>
          <w:i/>
          <w:iCs/>
          <w:sz w:val="24"/>
        </w:rPr>
        <w:t xml:space="preserve"> </w:t>
      </w:r>
      <w:r w:rsidRPr="0026277C">
        <w:rPr>
          <w:rFonts w:ascii="Times New Roman" w:hAnsi="Times New Roman"/>
          <w:sz w:val="24"/>
        </w:rPr>
        <w:t>(1991) 173 CLR 289 at 303</w:t>
      </w:r>
      <w:r w:rsidR="00966690" w:rsidRPr="0026277C">
        <w:rPr>
          <w:rFonts w:ascii="Times New Roman" w:hAnsi="Times New Roman"/>
          <w:sz w:val="24"/>
        </w:rPr>
        <w:t>-305</w:t>
      </w:r>
      <w:r w:rsidR="00294D1D" w:rsidRPr="0026277C">
        <w:rPr>
          <w:rFonts w:ascii="Times New Roman" w:hAnsi="Times New Roman"/>
          <w:sz w:val="24"/>
        </w:rPr>
        <w:t xml:space="preserve">, explaining </w:t>
      </w:r>
      <w:r w:rsidR="00294D1D" w:rsidRPr="0026277C">
        <w:rPr>
          <w:rFonts w:ascii="Times New Roman" w:hAnsi="Times New Roman"/>
          <w:i/>
          <w:iCs/>
          <w:sz w:val="24"/>
        </w:rPr>
        <w:t>In re Judiciar</w:t>
      </w:r>
      <w:r w:rsidR="00E136B7" w:rsidRPr="0026277C">
        <w:rPr>
          <w:rFonts w:ascii="Times New Roman" w:hAnsi="Times New Roman"/>
          <w:i/>
          <w:iCs/>
          <w:sz w:val="24"/>
        </w:rPr>
        <w:t xml:space="preserve">y </w:t>
      </w:r>
      <w:r w:rsidR="00E136B7" w:rsidRPr="0026277C">
        <w:rPr>
          <w:rFonts w:ascii="Times New Roman" w:hAnsi="Times New Roman"/>
          <w:sz w:val="24"/>
        </w:rPr>
        <w:t>(1921) 29 CLR</w:t>
      </w:r>
      <w:r w:rsidR="00AB7021" w:rsidRPr="0026277C">
        <w:rPr>
          <w:rFonts w:ascii="Times New Roman" w:hAnsi="Times New Roman"/>
          <w:sz w:val="24"/>
        </w:rPr>
        <w:t xml:space="preserve"> 257 at 26</w:t>
      </w:r>
      <w:r w:rsidR="000053FB" w:rsidRPr="0026277C">
        <w:rPr>
          <w:rFonts w:ascii="Times New Roman" w:hAnsi="Times New Roman"/>
          <w:sz w:val="24"/>
        </w:rPr>
        <w:t>6-267</w:t>
      </w:r>
      <w:r w:rsidR="00AB7021" w:rsidRPr="0026277C">
        <w:rPr>
          <w:rFonts w:ascii="Times New Roman" w:hAnsi="Times New Roman"/>
          <w:sz w:val="24"/>
        </w:rPr>
        <w:t>.</w:t>
      </w:r>
      <w:r w:rsidR="00E61666" w:rsidRPr="0026277C">
        <w:rPr>
          <w:rFonts w:ascii="Times New Roman" w:hAnsi="Times New Roman"/>
          <w:sz w:val="24"/>
        </w:rPr>
        <w:t xml:space="preserve"> </w:t>
      </w:r>
    </w:p>
  </w:footnote>
  <w:footnote w:id="29">
    <w:p w14:paraId="0219FDB2" w14:textId="15A57887" w:rsidR="0016725C" w:rsidRPr="0026277C" w:rsidRDefault="0016725C"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0C3B84" w:rsidRPr="0026277C">
        <w:rPr>
          <w:rFonts w:ascii="Times New Roman" w:hAnsi="Times New Roman"/>
          <w:sz w:val="24"/>
        </w:rPr>
        <w:tab/>
      </w:r>
      <w:r w:rsidR="002061EC" w:rsidRPr="0026277C">
        <w:rPr>
          <w:rFonts w:ascii="Times New Roman" w:hAnsi="Times New Roman"/>
          <w:i/>
          <w:iCs/>
          <w:sz w:val="24"/>
        </w:rPr>
        <w:t>Minister for Immigration and Multicultural and I</w:t>
      </w:r>
      <w:r w:rsidR="00182C4A" w:rsidRPr="0026277C">
        <w:rPr>
          <w:rFonts w:ascii="Times New Roman" w:hAnsi="Times New Roman"/>
          <w:i/>
          <w:iCs/>
          <w:sz w:val="24"/>
        </w:rPr>
        <w:t xml:space="preserve">ndigenous Affairs v </w:t>
      </w:r>
      <w:r w:rsidR="00995496" w:rsidRPr="0026277C">
        <w:rPr>
          <w:rFonts w:ascii="Times New Roman" w:hAnsi="Times New Roman"/>
          <w:i/>
          <w:iCs/>
          <w:sz w:val="24"/>
        </w:rPr>
        <w:t xml:space="preserve">B </w:t>
      </w:r>
      <w:r w:rsidR="00995496" w:rsidRPr="0026277C">
        <w:rPr>
          <w:rFonts w:ascii="Times New Roman" w:hAnsi="Times New Roman"/>
          <w:sz w:val="24"/>
        </w:rPr>
        <w:t>(2004) 219</w:t>
      </w:r>
      <w:r w:rsidR="00E47211">
        <w:rPr>
          <w:rFonts w:ascii="Times New Roman" w:hAnsi="Times New Roman"/>
          <w:sz w:val="24"/>
        </w:rPr>
        <w:t> </w:t>
      </w:r>
      <w:r w:rsidR="00995496" w:rsidRPr="0026277C">
        <w:rPr>
          <w:rFonts w:ascii="Times New Roman" w:hAnsi="Times New Roman"/>
          <w:sz w:val="24"/>
        </w:rPr>
        <w:t xml:space="preserve">CLR 365 at 378 [8], referring to </w:t>
      </w:r>
      <w:r w:rsidR="00995496" w:rsidRPr="0026277C">
        <w:rPr>
          <w:rFonts w:ascii="Times New Roman" w:hAnsi="Times New Roman"/>
          <w:i/>
          <w:iCs/>
          <w:sz w:val="24"/>
        </w:rPr>
        <w:t xml:space="preserve">R v Davison </w:t>
      </w:r>
      <w:r w:rsidR="00995496" w:rsidRPr="0026277C">
        <w:rPr>
          <w:rFonts w:ascii="Times New Roman" w:hAnsi="Times New Roman"/>
          <w:sz w:val="24"/>
        </w:rPr>
        <w:t>(1954) 90 CLR 353 at 368. See</w:t>
      </w:r>
      <w:r w:rsidR="00E47211">
        <w:rPr>
          <w:rFonts w:ascii="Times New Roman" w:hAnsi="Times New Roman"/>
          <w:sz w:val="24"/>
        </w:rPr>
        <w:t> </w:t>
      </w:r>
      <w:r w:rsidR="00995496" w:rsidRPr="0026277C">
        <w:rPr>
          <w:rFonts w:ascii="Times New Roman" w:hAnsi="Times New Roman"/>
          <w:sz w:val="24"/>
        </w:rPr>
        <w:t xml:space="preserve">also </w:t>
      </w:r>
      <w:r w:rsidR="00995496" w:rsidRPr="0026277C">
        <w:rPr>
          <w:rFonts w:ascii="Times New Roman" w:hAnsi="Times New Roman"/>
          <w:i/>
          <w:iCs/>
          <w:sz w:val="24"/>
        </w:rPr>
        <w:t>CGU Insurance</w:t>
      </w:r>
      <w:r w:rsidR="00182C4A" w:rsidRPr="0026277C">
        <w:rPr>
          <w:rFonts w:ascii="Times New Roman" w:hAnsi="Times New Roman"/>
          <w:i/>
          <w:iCs/>
          <w:sz w:val="24"/>
        </w:rPr>
        <w:t xml:space="preserve"> Ltd v Blakeley</w:t>
      </w:r>
      <w:r w:rsidR="00995496" w:rsidRPr="0026277C">
        <w:rPr>
          <w:rFonts w:ascii="Times New Roman" w:hAnsi="Times New Roman"/>
          <w:i/>
          <w:iCs/>
          <w:sz w:val="24"/>
        </w:rPr>
        <w:t xml:space="preserve"> </w:t>
      </w:r>
      <w:r w:rsidR="00995496" w:rsidRPr="0026277C">
        <w:rPr>
          <w:rFonts w:ascii="Times New Roman" w:hAnsi="Times New Roman"/>
          <w:sz w:val="24"/>
        </w:rPr>
        <w:t xml:space="preserve">(2016) 259 CLR 339 at 352 [29]; </w:t>
      </w:r>
      <w:r w:rsidR="000C3B84" w:rsidRPr="0026277C">
        <w:rPr>
          <w:rFonts w:ascii="Times New Roman" w:hAnsi="Times New Roman"/>
          <w:i/>
          <w:sz w:val="24"/>
        </w:rPr>
        <w:t>Hobart</w:t>
      </w:r>
      <w:r w:rsidR="00E47211">
        <w:rPr>
          <w:rFonts w:ascii="Times New Roman" w:hAnsi="Times New Roman"/>
          <w:i/>
          <w:sz w:val="24"/>
        </w:rPr>
        <w:t> </w:t>
      </w:r>
      <w:r w:rsidR="000C3B84" w:rsidRPr="0026277C">
        <w:rPr>
          <w:rFonts w:ascii="Times New Roman" w:hAnsi="Times New Roman"/>
          <w:i/>
          <w:sz w:val="24"/>
        </w:rPr>
        <w:t>Inter</w:t>
      </w:r>
      <w:r w:rsidR="005B1EB8" w:rsidRPr="0026277C">
        <w:rPr>
          <w:rFonts w:ascii="Times New Roman" w:hAnsi="Times New Roman"/>
          <w:i/>
          <w:sz w:val="24"/>
        </w:rPr>
        <w:t>national Airport Pty Ltd v Clarence City Council</w:t>
      </w:r>
      <w:r w:rsidR="005B1EB8" w:rsidRPr="0026277C">
        <w:rPr>
          <w:rFonts w:ascii="Times New Roman" w:hAnsi="Times New Roman"/>
          <w:sz w:val="24"/>
        </w:rPr>
        <w:t xml:space="preserve"> (2022) </w:t>
      </w:r>
      <w:r w:rsidR="00415BF9" w:rsidRPr="0026277C">
        <w:rPr>
          <w:rFonts w:ascii="Times New Roman" w:hAnsi="Times New Roman"/>
          <w:sz w:val="24"/>
        </w:rPr>
        <w:t xml:space="preserve">96 ALJR 234 at </w:t>
      </w:r>
      <w:r w:rsidR="00294560" w:rsidRPr="0026277C">
        <w:rPr>
          <w:rFonts w:ascii="Times New Roman" w:hAnsi="Times New Roman"/>
          <w:sz w:val="24"/>
        </w:rPr>
        <w:t>247 [35],</w:t>
      </w:r>
      <w:r w:rsidR="004F4B2A" w:rsidRPr="0026277C">
        <w:rPr>
          <w:rFonts w:ascii="Times New Roman" w:hAnsi="Times New Roman"/>
          <w:sz w:val="24"/>
        </w:rPr>
        <w:t xml:space="preserve"> 248 [41],</w:t>
      </w:r>
      <w:r w:rsidR="00294560" w:rsidRPr="0026277C">
        <w:rPr>
          <w:rFonts w:ascii="Times New Roman" w:hAnsi="Times New Roman"/>
          <w:sz w:val="24"/>
        </w:rPr>
        <w:t xml:space="preserve"> </w:t>
      </w:r>
      <w:r w:rsidR="006E20ED" w:rsidRPr="0026277C">
        <w:rPr>
          <w:rFonts w:ascii="Times New Roman" w:hAnsi="Times New Roman"/>
          <w:sz w:val="24"/>
        </w:rPr>
        <w:t xml:space="preserve">249 </w:t>
      </w:r>
      <w:r w:rsidR="00415BF9" w:rsidRPr="0026277C">
        <w:rPr>
          <w:rFonts w:ascii="Times New Roman" w:hAnsi="Times New Roman"/>
          <w:sz w:val="24"/>
        </w:rPr>
        <w:t>[46]</w:t>
      </w:r>
      <w:r w:rsidR="006E20ED" w:rsidRPr="0026277C">
        <w:rPr>
          <w:rFonts w:ascii="Times New Roman" w:hAnsi="Times New Roman"/>
          <w:sz w:val="24"/>
        </w:rPr>
        <w:t>;</w:t>
      </w:r>
      <w:r w:rsidR="00F12204" w:rsidRPr="0026277C">
        <w:rPr>
          <w:rFonts w:ascii="Times New Roman" w:hAnsi="Times New Roman"/>
          <w:sz w:val="24"/>
        </w:rPr>
        <w:t xml:space="preserve"> 399 ALR 214 at</w:t>
      </w:r>
      <w:r w:rsidR="006E20ED" w:rsidRPr="0026277C">
        <w:rPr>
          <w:rFonts w:ascii="Times New Roman" w:hAnsi="Times New Roman"/>
          <w:sz w:val="24"/>
        </w:rPr>
        <w:t xml:space="preserve"> </w:t>
      </w:r>
      <w:r w:rsidR="001A1F30" w:rsidRPr="0026277C">
        <w:rPr>
          <w:rFonts w:ascii="Times New Roman" w:hAnsi="Times New Roman"/>
          <w:sz w:val="24"/>
        </w:rPr>
        <w:t xml:space="preserve">224-225, 226, </w:t>
      </w:r>
      <w:r w:rsidR="00F12204" w:rsidRPr="0026277C">
        <w:rPr>
          <w:rFonts w:ascii="Times New Roman" w:hAnsi="Times New Roman"/>
          <w:sz w:val="24"/>
        </w:rPr>
        <w:t>227</w:t>
      </w:r>
      <w:r w:rsidR="00995496" w:rsidRPr="0026277C">
        <w:rPr>
          <w:rFonts w:ascii="Times New Roman" w:hAnsi="Times New Roman"/>
          <w:sz w:val="24"/>
        </w:rPr>
        <w:t>.</w:t>
      </w:r>
    </w:p>
  </w:footnote>
  <w:footnote w:id="30">
    <w:p w14:paraId="3A2646E5" w14:textId="3A292962" w:rsidR="0016725C" w:rsidRPr="0026277C" w:rsidRDefault="0016725C"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645405" w:rsidRPr="0026277C">
        <w:rPr>
          <w:rFonts w:ascii="Times New Roman" w:hAnsi="Times New Roman"/>
          <w:sz w:val="24"/>
        </w:rPr>
        <w:tab/>
      </w:r>
      <w:r w:rsidR="00645405" w:rsidRPr="0026277C">
        <w:rPr>
          <w:rFonts w:ascii="Times New Roman" w:hAnsi="Times New Roman"/>
          <w:i/>
          <w:iCs/>
          <w:sz w:val="24"/>
        </w:rPr>
        <w:t xml:space="preserve">In </w:t>
      </w:r>
      <w:r w:rsidR="00065CD7" w:rsidRPr="0026277C">
        <w:rPr>
          <w:rFonts w:ascii="Times New Roman" w:hAnsi="Times New Roman"/>
          <w:i/>
          <w:iCs/>
          <w:sz w:val="24"/>
        </w:rPr>
        <w:t>r</w:t>
      </w:r>
      <w:r w:rsidR="00645405" w:rsidRPr="0026277C">
        <w:rPr>
          <w:rFonts w:ascii="Times New Roman" w:hAnsi="Times New Roman"/>
          <w:i/>
          <w:iCs/>
          <w:sz w:val="24"/>
        </w:rPr>
        <w:t xml:space="preserve">e Judiciary </w:t>
      </w:r>
      <w:r w:rsidR="00645405" w:rsidRPr="0026277C">
        <w:rPr>
          <w:rFonts w:ascii="Times New Roman" w:hAnsi="Times New Roman"/>
          <w:sz w:val="24"/>
        </w:rPr>
        <w:t>(1921) 29 CLR 257 at 265-266</w:t>
      </w:r>
      <w:r w:rsidR="00ED1E87" w:rsidRPr="0026277C">
        <w:rPr>
          <w:rFonts w:ascii="Times New Roman" w:hAnsi="Times New Roman"/>
          <w:sz w:val="24"/>
        </w:rPr>
        <w:t>.</w:t>
      </w:r>
    </w:p>
  </w:footnote>
  <w:footnote w:id="31">
    <w:p w14:paraId="697A96A0" w14:textId="58256872" w:rsidR="0016725C" w:rsidRPr="0026277C" w:rsidRDefault="0016725C"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ED1E87" w:rsidRPr="0026277C">
        <w:rPr>
          <w:rFonts w:ascii="Times New Roman" w:hAnsi="Times New Roman"/>
          <w:sz w:val="24"/>
        </w:rPr>
        <w:tab/>
      </w:r>
      <w:r w:rsidR="007F34A6" w:rsidRPr="0026277C">
        <w:rPr>
          <w:rFonts w:ascii="Times New Roman" w:hAnsi="Times New Roman"/>
          <w:i/>
          <w:iCs/>
          <w:sz w:val="24"/>
        </w:rPr>
        <w:t xml:space="preserve">Truth </w:t>
      </w:r>
      <w:r w:rsidR="00271DCB" w:rsidRPr="0026277C">
        <w:rPr>
          <w:rFonts w:ascii="Times New Roman" w:hAnsi="Times New Roman"/>
          <w:i/>
          <w:iCs/>
          <w:sz w:val="24"/>
        </w:rPr>
        <w:t>A</w:t>
      </w:r>
      <w:r w:rsidR="007F34A6" w:rsidRPr="0026277C">
        <w:rPr>
          <w:rFonts w:ascii="Times New Roman" w:hAnsi="Times New Roman"/>
          <w:i/>
          <w:iCs/>
          <w:sz w:val="24"/>
        </w:rPr>
        <w:t>bout Motorways</w:t>
      </w:r>
      <w:r w:rsidR="0067144B" w:rsidRPr="0026277C">
        <w:rPr>
          <w:rFonts w:ascii="Times New Roman" w:hAnsi="Times New Roman"/>
          <w:i/>
          <w:iCs/>
          <w:sz w:val="24"/>
        </w:rPr>
        <w:t xml:space="preserve"> Pty Ltd v Macquarie Infrastructure Investment Management Ltd</w:t>
      </w:r>
      <w:r w:rsidR="007F34A6" w:rsidRPr="0026277C">
        <w:rPr>
          <w:rFonts w:ascii="Times New Roman" w:hAnsi="Times New Roman"/>
          <w:i/>
          <w:iCs/>
          <w:sz w:val="24"/>
        </w:rPr>
        <w:t xml:space="preserve"> </w:t>
      </w:r>
      <w:r w:rsidR="007F34A6" w:rsidRPr="0026277C">
        <w:rPr>
          <w:rFonts w:ascii="Times New Roman" w:hAnsi="Times New Roman"/>
          <w:sz w:val="24"/>
        </w:rPr>
        <w:t>(2000) 200 CLR 591 at 612 [48]</w:t>
      </w:r>
      <w:r w:rsidR="008E666F" w:rsidRPr="0026277C">
        <w:rPr>
          <w:rFonts w:ascii="Times New Roman" w:hAnsi="Times New Roman"/>
          <w:sz w:val="24"/>
        </w:rPr>
        <w:t xml:space="preserve">; </w:t>
      </w:r>
      <w:r w:rsidR="00ED1E87" w:rsidRPr="0026277C">
        <w:rPr>
          <w:rFonts w:ascii="Times New Roman" w:hAnsi="Times New Roman"/>
          <w:i/>
          <w:iCs/>
          <w:sz w:val="24"/>
        </w:rPr>
        <w:t xml:space="preserve">Hobart International Airport </w:t>
      </w:r>
      <w:r w:rsidR="00ED1E87" w:rsidRPr="0026277C">
        <w:rPr>
          <w:rFonts w:ascii="Times New Roman" w:hAnsi="Times New Roman"/>
          <w:sz w:val="24"/>
        </w:rPr>
        <w:t>(2022) 96 ALJR 234</w:t>
      </w:r>
      <w:r w:rsidR="0086393D" w:rsidRPr="0026277C">
        <w:rPr>
          <w:rFonts w:ascii="Times New Roman" w:hAnsi="Times New Roman"/>
          <w:sz w:val="24"/>
        </w:rPr>
        <w:t xml:space="preserve"> at </w:t>
      </w:r>
      <w:r w:rsidR="009E26D7" w:rsidRPr="0026277C">
        <w:rPr>
          <w:rFonts w:ascii="Times New Roman" w:hAnsi="Times New Roman"/>
          <w:sz w:val="24"/>
        </w:rPr>
        <w:t xml:space="preserve">245-246 </w:t>
      </w:r>
      <w:r w:rsidR="0086393D" w:rsidRPr="0026277C">
        <w:rPr>
          <w:rFonts w:ascii="Times New Roman" w:hAnsi="Times New Roman"/>
          <w:sz w:val="24"/>
        </w:rPr>
        <w:t xml:space="preserve">[31], </w:t>
      </w:r>
      <w:r w:rsidR="00BC13BD" w:rsidRPr="0026277C">
        <w:rPr>
          <w:rFonts w:ascii="Times New Roman" w:hAnsi="Times New Roman"/>
          <w:sz w:val="24"/>
        </w:rPr>
        <w:t xml:space="preserve">249-250 </w:t>
      </w:r>
      <w:r w:rsidR="0086393D" w:rsidRPr="0026277C">
        <w:rPr>
          <w:rFonts w:ascii="Times New Roman" w:hAnsi="Times New Roman"/>
          <w:sz w:val="24"/>
        </w:rPr>
        <w:t>[49]</w:t>
      </w:r>
      <w:r w:rsidR="00BC13BD" w:rsidRPr="0026277C">
        <w:rPr>
          <w:rFonts w:ascii="Times New Roman" w:hAnsi="Times New Roman"/>
          <w:sz w:val="24"/>
        </w:rPr>
        <w:t>; 399 ALR 214 at</w:t>
      </w:r>
      <w:r w:rsidR="007F34A6" w:rsidRPr="0026277C">
        <w:rPr>
          <w:rFonts w:ascii="Times New Roman" w:hAnsi="Times New Roman"/>
          <w:sz w:val="24"/>
        </w:rPr>
        <w:t xml:space="preserve"> 223, 228</w:t>
      </w:r>
      <w:r w:rsidR="0086393D" w:rsidRPr="0026277C">
        <w:rPr>
          <w:rFonts w:ascii="Times New Roman" w:hAnsi="Times New Roman"/>
          <w:sz w:val="24"/>
        </w:rPr>
        <w:t>.</w:t>
      </w:r>
    </w:p>
  </w:footnote>
  <w:footnote w:id="32">
    <w:p w14:paraId="1EF16FB7" w14:textId="7D1DA5E3" w:rsidR="0016725C" w:rsidRPr="0026277C" w:rsidRDefault="0016725C"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2E2C9B" w:rsidRPr="0026277C">
        <w:rPr>
          <w:rFonts w:ascii="Times New Roman" w:hAnsi="Times New Roman"/>
          <w:sz w:val="24"/>
        </w:rPr>
        <w:tab/>
      </w:r>
      <w:r w:rsidR="002E2C9B" w:rsidRPr="0026277C">
        <w:rPr>
          <w:rFonts w:ascii="Times New Roman" w:hAnsi="Times New Roman"/>
          <w:i/>
          <w:iCs/>
          <w:sz w:val="24"/>
        </w:rPr>
        <w:t>Pape v Federal Commissioner of Taxation</w:t>
      </w:r>
      <w:r w:rsidR="0072062F" w:rsidRPr="0026277C">
        <w:rPr>
          <w:rFonts w:ascii="Times New Roman" w:hAnsi="Times New Roman"/>
          <w:sz w:val="24"/>
        </w:rPr>
        <w:t xml:space="preserve"> (2009) 238 CLR 1 at </w:t>
      </w:r>
      <w:r w:rsidR="004965AB" w:rsidRPr="0026277C">
        <w:rPr>
          <w:rFonts w:ascii="Times New Roman" w:hAnsi="Times New Roman"/>
          <w:sz w:val="24"/>
        </w:rPr>
        <w:t xml:space="preserve">68 </w:t>
      </w:r>
      <w:r w:rsidR="0072062F" w:rsidRPr="0026277C">
        <w:rPr>
          <w:rFonts w:ascii="Times New Roman" w:hAnsi="Times New Roman"/>
          <w:sz w:val="24"/>
        </w:rPr>
        <w:t>[152].</w:t>
      </w:r>
    </w:p>
  </w:footnote>
  <w:footnote w:id="33">
    <w:p w14:paraId="44ED7E21" w14:textId="1D6206EA" w:rsidR="00F61468" w:rsidRPr="0026277C" w:rsidRDefault="00F6146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767D22" w:rsidRPr="0026277C">
        <w:rPr>
          <w:rFonts w:ascii="Times New Roman" w:hAnsi="Times New Roman"/>
          <w:i/>
          <w:iCs/>
          <w:sz w:val="24"/>
        </w:rPr>
        <w:t>Bateman's Bay</w:t>
      </w:r>
      <w:r w:rsidR="00AC301D" w:rsidRPr="0026277C">
        <w:rPr>
          <w:rFonts w:ascii="Times New Roman" w:hAnsi="Times New Roman"/>
          <w:i/>
          <w:iCs/>
          <w:sz w:val="24"/>
        </w:rPr>
        <w:t xml:space="preserve"> Local Aboriginal Land Council v Aboriginal Community Benefit Fund Pty Ltd</w:t>
      </w:r>
      <w:r w:rsidR="00767D22" w:rsidRPr="0026277C">
        <w:rPr>
          <w:rFonts w:ascii="Times New Roman" w:hAnsi="Times New Roman"/>
          <w:i/>
          <w:iCs/>
          <w:sz w:val="24"/>
        </w:rPr>
        <w:t xml:space="preserve"> </w:t>
      </w:r>
      <w:r w:rsidR="00767D22" w:rsidRPr="0026277C">
        <w:rPr>
          <w:rFonts w:ascii="Times New Roman" w:hAnsi="Times New Roman"/>
          <w:sz w:val="24"/>
        </w:rPr>
        <w:t xml:space="preserve">(1998) 194 CLR 247 at 262 [37], quoting </w:t>
      </w:r>
      <w:r w:rsidR="00767D22" w:rsidRPr="0026277C">
        <w:rPr>
          <w:rFonts w:ascii="Times New Roman" w:hAnsi="Times New Roman"/>
          <w:i/>
          <w:iCs/>
          <w:sz w:val="24"/>
        </w:rPr>
        <w:t xml:space="preserve">Ainsworth v Criminal Justice Commission </w:t>
      </w:r>
      <w:r w:rsidR="00767D22" w:rsidRPr="0026277C">
        <w:rPr>
          <w:rFonts w:ascii="Times New Roman" w:hAnsi="Times New Roman"/>
          <w:sz w:val="24"/>
        </w:rPr>
        <w:t xml:space="preserve">(1992) 175 CLR 564 at 582. See also </w:t>
      </w:r>
      <w:r w:rsidR="00767D22" w:rsidRPr="0026277C">
        <w:rPr>
          <w:rFonts w:ascii="Times New Roman" w:hAnsi="Times New Roman"/>
          <w:i/>
          <w:iCs/>
          <w:sz w:val="24"/>
        </w:rPr>
        <w:t>Ku</w:t>
      </w:r>
      <w:r w:rsidR="00767D22" w:rsidRPr="0026277C">
        <w:rPr>
          <w:rFonts w:ascii="Times New Roman" w:hAnsi="Times New Roman"/>
          <w:i/>
          <w:sz w:val="24"/>
        </w:rPr>
        <w:t>czborski</w:t>
      </w:r>
      <w:r w:rsidR="00AC301D" w:rsidRPr="0026277C">
        <w:rPr>
          <w:rFonts w:ascii="Times New Roman" w:hAnsi="Times New Roman"/>
          <w:i/>
          <w:sz w:val="24"/>
        </w:rPr>
        <w:t xml:space="preserve"> v Queensland</w:t>
      </w:r>
      <w:r w:rsidR="00767D22" w:rsidRPr="0026277C">
        <w:rPr>
          <w:rFonts w:ascii="Times New Roman" w:hAnsi="Times New Roman"/>
          <w:i/>
          <w:sz w:val="24"/>
        </w:rPr>
        <w:t xml:space="preserve"> </w:t>
      </w:r>
      <w:r w:rsidR="00767D22" w:rsidRPr="0026277C">
        <w:rPr>
          <w:rFonts w:ascii="Times New Roman" w:hAnsi="Times New Roman"/>
          <w:sz w:val="24"/>
        </w:rPr>
        <w:t>(2014) 254 CLR 51</w:t>
      </w:r>
      <w:r w:rsidR="00767D22" w:rsidRPr="0026277C">
        <w:rPr>
          <w:rFonts w:ascii="Times New Roman" w:hAnsi="Times New Roman"/>
          <w:i/>
          <w:sz w:val="24"/>
        </w:rPr>
        <w:t xml:space="preserve"> </w:t>
      </w:r>
      <w:r w:rsidR="00767D22" w:rsidRPr="0026277C">
        <w:rPr>
          <w:rFonts w:ascii="Times New Roman" w:hAnsi="Times New Roman"/>
          <w:sz w:val="24"/>
        </w:rPr>
        <w:t>at 60 [5].</w:t>
      </w:r>
    </w:p>
  </w:footnote>
  <w:footnote w:id="34">
    <w:p w14:paraId="0CCDD9EA" w14:textId="5A60A076" w:rsidR="00767D22" w:rsidRPr="0026277C" w:rsidRDefault="00767D2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E07542" w:rsidRPr="0026277C">
        <w:rPr>
          <w:rFonts w:ascii="Times New Roman" w:hAnsi="Times New Roman"/>
          <w:i/>
          <w:iCs/>
          <w:sz w:val="24"/>
        </w:rPr>
        <w:t>Ku</w:t>
      </w:r>
      <w:r w:rsidR="00E07542" w:rsidRPr="0026277C">
        <w:rPr>
          <w:rFonts w:ascii="Times New Roman" w:hAnsi="Times New Roman"/>
          <w:i/>
          <w:sz w:val="24"/>
        </w:rPr>
        <w:t xml:space="preserve">czborski </w:t>
      </w:r>
      <w:r w:rsidR="00E07542" w:rsidRPr="0026277C">
        <w:rPr>
          <w:rFonts w:ascii="Times New Roman" w:hAnsi="Times New Roman"/>
          <w:iCs/>
          <w:sz w:val="24"/>
        </w:rPr>
        <w:t>(2014) 254 CLR 51</w:t>
      </w:r>
      <w:r w:rsidR="00E07542" w:rsidRPr="0026277C">
        <w:rPr>
          <w:rFonts w:ascii="Times New Roman" w:hAnsi="Times New Roman"/>
          <w:i/>
          <w:sz w:val="24"/>
        </w:rPr>
        <w:t xml:space="preserve"> </w:t>
      </w:r>
      <w:r w:rsidR="00E07542" w:rsidRPr="0026277C">
        <w:rPr>
          <w:rFonts w:ascii="Times New Roman" w:hAnsi="Times New Roman"/>
          <w:sz w:val="24"/>
        </w:rPr>
        <w:t>at 60 [5],</w:t>
      </w:r>
      <w:r w:rsidR="00E07542" w:rsidRPr="0026277C">
        <w:rPr>
          <w:rFonts w:ascii="Times New Roman" w:hAnsi="Times New Roman"/>
          <w:i/>
          <w:sz w:val="24"/>
        </w:rPr>
        <w:t xml:space="preserve"> </w:t>
      </w:r>
      <w:r w:rsidR="00E07542" w:rsidRPr="0026277C">
        <w:rPr>
          <w:rFonts w:ascii="Times New Roman" w:hAnsi="Times New Roman"/>
          <w:sz w:val="24"/>
        </w:rPr>
        <w:t xml:space="preserve">quoting </w:t>
      </w:r>
      <w:r w:rsidR="00E07542" w:rsidRPr="0026277C">
        <w:rPr>
          <w:rFonts w:ascii="Times New Roman" w:hAnsi="Times New Roman"/>
          <w:i/>
          <w:sz w:val="24"/>
        </w:rPr>
        <w:t>Croome</w:t>
      </w:r>
      <w:r w:rsidR="003F64FE" w:rsidRPr="0026277C">
        <w:rPr>
          <w:rFonts w:ascii="Times New Roman" w:hAnsi="Times New Roman"/>
          <w:i/>
          <w:sz w:val="24"/>
        </w:rPr>
        <w:t xml:space="preserve"> v Tasmania</w:t>
      </w:r>
      <w:r w:rsidR="00E07542" w:rsidRPr="0026277C">
        <w:rPr>
          <w:rFonts w:ascii="Times New Roman" w:hAnsi="Times New Roman"/>
          <w:i/>
          <w:sz w:val="24"/>
        </w:rPr>
        <w:t xml:space="preserve"> </w:t>
      </w:r>
      <w:r w:rsidR="00E07542" w:rsidRPr="0026277C">
        <w:rPr>
          <w:rFonts w:ascii="Times New Roman" w:hAnsi="Times New Roman"/>
          <w:sz w:val="24"/>
        </w:rPr>
        <w:t>(1997) 191</w:t>
      </w:r>
      <w:r w:rsidR="002A5128">
        <w:rPr>
          <w:rFonts w:ascii="Times New Roman" w:hAnsi="Times New Roman"/>
          <w:sz w:val="24"/>
        </w:rPr>
        <w:t> </w:t>
      </w:r>
      <w:r w:rsidR="00E07542" w:rsidRPr="0026277C">
        <w:rPr>
          <w:rFonts w:ascii="Times New Roman" w:hAnsi="Times New Roman"/>
          <w:sz w:val="24"/>
        </w:rPr>
        <w:t>CLR 119</w:t>
      </w:r>
      <w:r w:rsidR="00E07542" w:rsidRPr="0026277C">
        <w:rPr>
          <w:rFonts w:ascii="Times New Roman" w:hAnsi="Times New Roman"/>
          <w:i/>
          <w:sz w:val="24"/>
        </w:rPr>
        <w:t xml:space="preserve"> </w:t>
      </w:r>
      <w:r w:rsidR="00E07542" w:rsidRPr="0026277C">
        <w:rPr>
          <w:rFonts w:ascii="Times New Roman" w:hAnsi="Times New Roman"/>
          <w:sz w:val="24"/>
        </w:rPr>
        <w:t>at 132.</w:t>
      </w:r>
    </w:p>
  </w:footnote>
  <w:footnote w:id="35">
    <w:p w14:paraId="26D6841C" w14:textId="2D46ED12" w:rsidR="00487739" w:rsidRPr="0026277C" w:rsidRDefault="00487739"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4A5D40" w:rsidRPr="0026277C">
        <w:rPr>
          <w:rFonts w:ascii="Times New Roman" w:hAnsi="Times New Roman"/>
          <w:i/>
          <w:iCs/>
          <w:sz w:val="24"/>
        </w:rPr>
        <w:t>Australian Conservation Foundation</w:t>
      </w:r>
      <w:r w:rsidR="003F64FE" w:rsidRPr="0026277C">
        <w:rPr>
          <w:rFonts w:ascii="Times New Roman" w:hAnsi="Times New Roman"/>
          <w:i/>
          <w:iCs/>
          <w:sz w:val="24"/>
        </w:rPr>
        <w:t xml:space="preserve"> v The Commonwealth</w:t>
      </w:r>
      <w:r w:rsidR="004A5D40" w:rsidRPr="0026277C">
        <w:rPr>
          <w:rFonts w:ascii="Times New Roman" w:hAnsi="Times New Roman"/>
          <w:sz w:val="24"/>
        </w:rPr>
        <w:t xml:space="preserve"> (19</w:t>
      </w:r>
      <w:r w:rsidR="00BE1F84" w:rsidRPr="0026277C">
        <w:rPr>
          <w:rFonts w:ascii="Times New Roman" w:hAnsi="Times New Roman"/>
          <w:sz w:val="24"/>
        </w:rPr>
        <w:t>79</w:t>
      </w:r>
      <w:r w:rsidR="004A5D40" w:rsidRPr="0026277C">
        <w:rPr>
          <w:rFonts w:ascii="Times New Roman" w:hAnsi="Times New Roman"/>
          <w:sz w:val="24"/>
        </w:rPr>
        <w:t xml:space="preserve">) 146 CLR 493 at 511, quoted with approval in </w:t>
      </w:r>
      <w:r w:rsidR="004A5D40" w:rsidRPr="0026277C">
        <w:rPr>
          <w:rFonts w:ascii="Times New Roman" w:hAnsi="Times New Roman"/>
          <w:i/>
          <w:sz w:val="24"/>
        </w:rPr>
        <w:t xml:space="preserve">Bateman's Bay </w:t>
      </w:r>
      <w:r w:rsidR="004A5D40" w:rsidRPr="0026277C">
        <w:rPr>
          <w:rFonts w:ascii="Times New Roman" w:hAnsi="Times New Roman"/>
          <w:sz w:val="24"/>
        </w:rPr>
        <w:t>(1998) 194 CLR 247 at 266 [47], 282</w:t>
      </w:r>
      <w:r w:rsidR="002A5128">
        <w:rPr>
          <w:rFonts w:ascii="Times New Roman" w:hAnsi="Times New Roman"/>
          <w:sz w:val="24"/>
        </w:rPr>
        <w:t> </w:t>
      </w:r>
      <w:r w:rsidR="004A5D40" w:rsidRPr="0026277C">
        <w:rPr>
          <w:rFonts w:ascii="Times New Roman" w:hAnsi="Times New Roman"/>
          <w:sz w:val="24"/>
        </w:rPr>
        <w:t xml:space="preserve">[97]. See also </w:t>
      </w:r>
      <w:r w:rsidR="004A5D40" w:rsidRPr="0026277C">
        <w:rPr>
          <w:rFonts w:ascii="Times New Roman" w:hAnsi="Times New Roman"/>
          <w:i/>
          <w:sz w:val="24"/>
        </w:rPr>
        <w:t>Plaintiff S10/2011 v Minister for Immigration and Citizenship</w:t>
      </w:r>
      <w:r w:rsidR="004A5D40" w:rsidRPr="0026277C">
        <w:rPr>
          <w:rFonts w:ascii="Times New Roman" w:hAnsi="Times New Roman"/>
          <w:sz w:val="24"/>
        </w:rPr>
        <w:t xml:space="preserve"> (2012) 246 CLR 636 at 659 [68], quoting </w:t>
      </w:r>
      <w:r w:rsidR="004A5D40" w:rsidRPr="0026277C">
        <w:rPr>
          <w:rFonts w:ascii="Times New Roman" w:hAnsi="Times New Roman"/>
          <w:i/>
          <w:sz w:val="24"/>
        </w:rPr>
        <w:t>Allan v Transurban City Link Ltd</w:t>
      </w:r>
      <w:r w:rsidR="004A5D40" w:rsidRPr="0026277C">
        <w:rPr>
          <w:rFonts w:ascii="Times New Roman" w:hAnsi="Times New Roman"/>
          <w:sz w:val="24"/>
        </w:rPr>
        <w:t xml:space="preserve"> (2001) 208 CLR 167 at 174 [15]; </w:t>
      </w:r>
      <w:r w:rsidR="004A5D40" w:rsidRPr="0026277C">
        <w:rPr>
          <w:rFonts w:ascii="Times New Roman" w:hAnsi="Times New Roman"/>
          <w:i/>
          <w:sz w:val="24"/>
        </w:rPr>
        <w:t xml:space="preserve">Hobart International Airport </w:t>
      </w:r>
      <w:r w:rsidR="004A5D40" w:rsidRPr="0026277C">
        <w:rPr>
          <w:rFonts w:ascii="Times New Roman" w:hAnsi="Times New Roman"/>
          <w:iCs/>
          <w:sz w:val="24"/>
        </w:rPr>
        <w:t>(2022) 96 ALJR 234</w:t>
      </w:r>
      <w:r w:rsidR="004A5D40" w:rsidRPr="0026277C">
        <w:rPr>
          <w:rFonts w:ascii="Times New Roman" w:hAnsi="Times New Roman"/>
          <w:i/>
          <w:sz w:val="24"/>
        </w:rPr>
        <w:t xml:space="preserve"> </w:t>
      </w:r>
      <w:r w:rsidR="004A5D40" w:rsidRPr="0026277C">
        <w:rPr>
          <w:rFonts w:ascii="Times New Roman" w:hAnsi="Times New Roman"/>
          <w:sz w:val="24"/>
        </w:rPr>
        <w:t>at 246 [32], 251 [56]; 399 ALR 214 at 224, 230.</w:t>
      </w:r>
    </w:p>
  </w:footnote>
  <w:footnote w:id="36">
    <w:p w14:paraId="1112F700" w14:textId="18C9C2D0" w:rsidR="002531EC" w:rsidRPr="0026277C" w:rsidRDefault="002531EC"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Hobart International Airport </w:t>
      </w:r>
      <w:r w:rsidRPr="0026277C">
        <w:rPr>
          <w:rFonts w:ascii="Times New Roman" w:hAnsi="Times New Roman"/>
          <w:sz w:val="24"/>
        </w:rPr>
        <w:t>(2022) 96 ALJR 234</w:t>
      </w:r>
      <w:r w:rsidRPr="0026277C">
        <w:rPr>
          <w:rFonts w:ascii="Times New Roman" w:hAnsi="Times New Roman"/>
          <w:i/>
          <w:iCs/>
          <w:sz w:val="24"/>
        </w:rPr>
        <w:t xml:space="preserve"> </w:t>
      </w:r>
      <w:r w:rsidRPr="0026277C">
        <w:rPr>
          <w:rFonts w:ascii="Times New Roman" w:hAnsi="Times New Roman"/>
          <w:sz w:val="24"/>
        </w:rPr>
        <w:t xml:space="preserve">at 246 [33]; 399 ALR 214 at 224, quoting </w:t>
      </w:r>
      <w:r w:rsidRPr="0026277C">
        <w:rPr>
          <w:rFonts w:ascii="Times New Roman" w:hAnsi="Times New Roman"/>
          <w:i/>
          <w:sz w:val="24"/>
        </w:rPr>
        <w:t xml:space="preserve">Meagher, Gummow and Lehane's Equity: Doctrines and Remedies, </w:t>
      </w:r>
      <w:r w:rsidRPr="0026277C">
        <w:rPr>
          <w:rFonts w:ascii="Times New Roman" w:hAnsi="Times New Roman"/>
          <w:sz w:val="24"/>
        </w:rPr>
        <w:t xml:space="preserve">5th ed (2015) at 626 [19-175]. </w:t>
      </w:r>
    </w:p>
  </w:footnote>
  <w:footnote w:id="37">
    <w:p w14:paraId="00A117C0" w14:textId="4C971F93" w:rsidR="00D80794" w:rsidRPr="0026277C" w:rsidRDefault="00D80794"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72062F" w:rsidRPr="0026277C">
        <w:rPr>
          <w:rFonts w:ascii="Times New Roman" w:hAnsi="Times New Roman"/>
          <w:sz w:val="24"/>
        </w:rPr>
        <w:tab/>
      </w:r>
      <w:r w:rsidR="00187265" w:rsidRPr="0026277C">
        <w:rPr>
          <w:rFonts w:ascii="Times New Roman" w:hAnsi="Times New Roman"/>
          <w:i/>
          <w:iCs/>
          <w:sz w:val="24"/>
        </w:rPr>
        <w:t xml:space="preserve">Croome </w:t>
      </w:r>
      <w:r w:rsidR="00187265" w:rsidRPr="0026277C">
        <w:rPr>
          <w:rFonts w:ascii="Times New Roman" w:hAnsi="Times New Roman"/>
          <w:sz w:val="24"/>
        </w:rPr>
        <w:t xml:space="preserve">(1997) 191 CLR 119 at 125-126, referring to </w:t>
      </w:r>
      <w:r w:rsidR="00187265" w:rsidRPr="0026277C">
        <w:rPr>
          <w:rFonts w:ascii="Times New Roman" w:hAnsi="Times New Roman"/>
          <w:i/>
          <w:sz w:val="24"/>
        </w:rPr>
        <w:t xml:space="preserve">Toowoomba Foundry Pty Ltd v The Commonwealth </w:t>
      </w:r>
      <w:r w:rsidR="00187265" w:rsidRPr="0026277C">
        <w:rPr>
          <w:rFonts w:ascii="Times New Roman" w:hAnsi="Times New Roman"/>
          <w:sz w:val="24"/>
        </w:rPr>
        <w:t xml:space="preserve">(1945) 71 CLR 545 at 570, 584. </w:t>
      </w:r>
      <w:r w:rsidR="00AD01FC" w:rsidRPr="0026277C">
        <w:rPr>
          <w:rFonts w:ascii="Times New Roman" w:hAnsi="Times New Roman"/>
          <w:sz w:val="24"/>
        </w:rPr>
        <w:t xml:space="preserve">See also </w:t>
      </w:r>
      <w:r w:rsidR="0072062F" w:rsidRPr="0026277C">
        <w:rPr>
          <w:rFonts w:ascii="Times New Roman" w:hAnsi="Times New Roman"/>
          <w:i/>
          <w:iCs/>
          <w:sz w:val="24"/>
        </w:rPr>
        <w:t xml:space="preserve">Hobart International Airport </w:t>
      </w:r>
      <w:r w:rsidR="0072062F" w:rsidRPr="0026277C">
        <w:rPr>
          <w:rFonts w:ascii="Times New Roman" w:hAnsi="Times New Roman"/>
          <w:sz w:val="24"/>
        </w:rPr>
        <w:t xml:space="preserve">(2022) 96 ALJR 234 at </w:t>
      </w:r>
      <w:r w:rsidR="008C79D4" w:rsidRPr="0026277C">
        <w:rPr>
          <w:rFonts w:ascii="Times New Roman" w:hAnsi="Times New Roman"/>
          <w:sz w:val="24"/>
        </w:rPr>
        <w:t xml:space="preserve">246 </w:t>
      </w:r>
      <w:r w:rsidR="00D3385C" w:rsidRPr="0026277C">
        <w:rPr>
          <w:rFonts w:ascii="Times New Roman" w:hAnsi="Times New Roman"/>
          <w:sz w:val="24"/>
        </w:rPr>
        <w:t xml:space="preserve">[32], </w:t>
      </w:r>
      <w:r w:rsidR="001E21F2" w:rsidRPr="0026277C">
        <w:rPr>
          <w:rFonts w:ascii="Times New Roman" w:hAnsi="Times New Roman"/>
          <w:sz w:val="24"/>
        </w:rPr>
        <w:t xml:space="preserve">253 </w:t>
      </w:r>
      <w:r w:rsidR="00D3385C" w:rsidRPr="0026277C">
        <w:rPr>
          <w:rFonts w:ascii="Times New Roman" w:hAnsi="Times New Roman"/>
          <w:sz w:val="24"/>
        </w:rPr>
        <w:t>[65]</w:t>
      </w:r>
      <w:r w:rsidR="001E21F2" w:rsidRPr="0026277C">
        <w:rPr>
          <w:rFonts w:ascii="Times New Roman" w:hAnsi="Times New Roman"/>
          <w:sz w:val="24"/>
        </w:rPr>
        <w:t xml:space="preserve">; 399 ALR 214 at 224, </w:t>
      </w:r>
      <w:r w:rsidR="0020493D" w:rsidRPr="0026277C">
        <w:rPr>
          <w:rFonts w:ascii="Times New Roman" w:hAnsi="Times New Roman"/>
          <w:sz w:val="24"/>
        </w:rPr>
        <w:t>233</w:t>
      </w:r>
      <w:r w:rsidR="00D3385C" w:rsidRPr="0026277C">
        <w:rPr>
          <w:rFonts w:ascii="Times New Roman" w:hAnsi="Times New Roman"/>
          <w:sz w:val="24"/>
        </w:rPr>
        <w:t>.</w:t>
      </w:r>
    </w:p>
  </w:footnote>
  <w:footnote w:id="38">
    <w:p w14:paraId="3F18CE28" w14:textId="63036165" w:rsidR="00D80794" w:rsidRPr="0026277C" w:rsidRDefault="00D80794"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A22A1D" w:rsidRPr="0026277C">
        <w:rPr>
          <w:rFonts w:ascii="Times New Roman" w:hAnsi="Times New Roman"/>
          <w:sz w:val="24"/>
        </w:rPr>
        <w:tab/>
      </w:r>
      <w:r w:rsidR="00C27149" w:rsidRPr="0026277C">
        <w:rPr>
          <w:rFonts w:ascii="Times New Roman" w:hAnsi="Times New Roman"/>
          <w:i/>
          <w:iCs/>
          <w:sz w:val="24"/>
        </w:rPr>
        <w:t xml:space="preserve">Ainsworth </w:t>
      </w:r>
      <w:r w:rsidR="00C27149" w:rsidRPr="0026277C">
        <w:rPr>
          <w:rFonts w:ascii="Times New Roman" w:hAnsi="Times New Roman"/>
          <w:sz w:val="24"/>
        </w:rPr>
        <w:t xml:space="preserve">(1992) 175 CLR 564 at </w:t>
      </w:r>
      <w:r w:rsidR="00434534" w:rsidRPr="0026277C">
        <w:rPr>
          <w:rFonts w:ascii="Times New Roman" w:hAnsi="Times New Roman"/>
          <w:sz w:val="24"/>
        </w:rPr>
        <w:t xml:space="preserve">582, </w:t>
      </w:r>
      <w:r w:rsidR="005C4A7F" w:rsidRPr="0026277C">
        <w:rPr>
          <w:rFonts w:ascii="Times New Roman" w:hAnsi="Times New Roman"/>
          <w:sz w:val="24"/>
        </w:rPr>
        <w:t>quo</w:t>
      </w:r>
      <w:r w:rsidR="00434534" w:rsidRPr="0026277C">
        <w:rPr>
          <w:rFonts w:ascii="Times New Roman" w:hAnsi="Times New Roman"/>
          <w:sz w:val="24"/>
        </w:rPr>
        <w:t xml:space="preserve">ting </w:t>
      </w:r>
      <w:r w:rsidR="00434534" w:rsidRPr="0026277C">
        <w:rPr>
          <w:rFonts w:ascii="Times New Roman" w:hAnsi="Times New Roman"/>
          <w:i/>
          <w:iCs/>
          <w:sz w:val="24"/>
        </w:rPr>
        <w:t>Gard</w:t>
      </w:r>
      <w:r w:rsidR="00434534" w:rsidRPr="0026277C">
        <w:rPr>
          <w:rFonts w:ascii="Times New Roman" w:hAnsi="Times New Roman"/>
          <w:i/>
          <w:sz w:val="24"/>
        </w:rPr>
        <w:t xml:space="preserve">ner v </w:t>
      </w:r>
      <w:r w:rsidR="004A5173" w:rsidRPr="0026277C">
        <w:rPr>
          <w:rFonts w:ascii="Times New Roman" w:hAnsi="Times New Roman"/>
          <w:i/>
          <w:sz w:val="24"/>
        </w:rPr>
        <w:t xml:space="preserve">The </w:t>
      </w:r>
      <w:r w:rsidR="00434534" w:rsidRPr="0026277C">
        <w:rPr>
          <w:rFonts w:ascii="Times New Roman" w:hAnsi="Times New Roman"/>
          <w:i/>
          <w:sz w:val="24"/>
        </w:rPr>
        <w:t>Da</w:t>
      </w:r>
      <w:r w:rsidR="006873D3" w:rsidRPr="0026277C">
        <w:rPr>
          <w:rFonts w:ascii="Times New Roman" w:hAnsi="Times New Roman"/>
          <w:i/>
          <w:sz w:val="24"/>
        </w:rPr>
        <w:t>i</w:t>
      </w:r>
      <w:r w:rsidR="00434534" w:rsidRPr="0026277C">
        <w:rPr>
          <w:rFonts w:ascii="Times New Roman" w:hAnsi="Times New Roman"/>
          <w:i/>
          <w:sz w:val="24"/>
        </w:rPr>
        <w:t xml:space="preserve">ry Industry Authority of </w:t>
      </w:r>
      <w:r w:rsidR="000C134B" w:rsidRPr="0026277C">
        <w:rPr>
          <w:rFonts w:ascii="Times New Roman" w:hAnsi="Times New Roman"/>
          <w:i/>
          <w:sz w:val="24"/>
        </w:rPr>
        <w:t>N</w:t>
      </w:r>
      <w:r w:rsidR="00434534" w:rsidRPr="0026277C">
        <w:rPr>
          <w:rFonts w:ascii="Times New Roman" w:hAnsi="Times New Roman"/>
          <w:i/>
          <w:sz w:val="24"/>
        </w:rPr>
        <w:t xml:space="preserve">ew South Wales </w:t>
      </w:r>
      <w:r w:rsidR="00434534" w:rsidRPr="0026277C">
        <w:rPr>
          <w:rFonts w:ascii="Times New Roman" w:hAnsi="Times New Roman"/>
          <w:sz w:val="24"/>
        </w:rPr>
        <w:t>(197</w:t>
      </w:r>
      <w:r w:rsidR="000C134B" w:rsidRPr="0026277C">
        <w:rPr>
          <w:rFonts w:ascii="Times New Roman" w:hAnsi="Times New Roman"/>
          <w:sz w:val="24"/>
        </w:rPr>
        <w:t>7) 52 ALJR 180 at 188</w:t>
      </w:r>
      <w:r w:rsidR="00AE1A8F" w:rsidRPr="0026277C">
        <w:rPr>
          <w:rFonts w:ascii="Times New Roman" w:hAnsi="Times New Roman"/>
          <w:sz w:val="24"/>
        </w:rPr>
        <w:t>; 18 ALR 55 at 69</w:t>
      </w:r>
      <w:r w:rsidR="000C134B" w:rsidRPr="0026277C">
        <w:rPr>
          <w:rFonts w:ascii="Times New Roman" w:hAnsi="Times New Roman"/>
          <w:sz w:val="24"/>
        </w:rPr>
        <w:t>.</w:t>
      </w:r>
    </w:p>
  </w:footnote>
  <w:footnote w:id="39">
    <w:p w14:paraId="379BA4CA" w14:textId="03F839A6" w:rsidR="00D87F83" w:rsidRPr="0026277C" w:rsidRDefault="00D87F8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0C134B" w:rsidRPr="0026277C">
        <w:rPr>
          <w:rFonts w:ascii="Times New Roman" w:hAnsi="Times New Roman"/>
          <w:sz w:val="24"/>
        </w:rPr>
        <w:tab/>
      </w:r>
      <w:r w:rsidR="00776A6E" w:rsidRPr="0026277C">
        <w:rPr>
          <w:rFonts w:ascii="Times New Roman" w:hAnsi="Times New Roman"/>
          <w:sz w:val="24"/>
        </w:rPr>
        <w:t>(199</w:t>
      </w:r>
      <w:r w:rsidR="00705C8B" w:rsidRPr="0026277C">
        <w:rPr>
          <w:rFonts w:ascii="Times New Roman" w:hAnsi="Times New Roman"/>
          <w:sz w:val="24"/>
        </w:rPr>
        <w:t>7</w:t>
      </w:r>
      <w:r w:rsidR="00776A6E" w:rsidRPr="0026277C">
        <w:rPr>
          <w:rFonts w:ascii="Times New Roman" w:hAnsi="Times New Roman"/>
          <w:sz w:val="24"/>
        </w:rPr>
        <w:t>) 191 CLR 119.</w:t>
      </w:r>
    </w:p>
  </w:footnote>
  <w:footnote w:id="40">
    <w:p w14:paraId="690DB29F" w14:textId="64C847BB" w:rsidR="00D87F83" w:rsidRPr="0026277C" w:rsidRDefault="00D87F8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0C134B" w:rsidRPr="0026277C">
        <w:rPr>
          <w:rFonts w:ascii="Times New Roman" w:hAnsi="Times New Roman"/>
          <w:sz w:val="24"/>
        </w:rPr>
        <w:tab/>
      </w:r>
      <w:r w:rsidR="00776A6E" w:rsidRPr="0026277C">
        <w:rPr>
          <w:rFonts w:ascii="Times New Roman" w:hAnsi="Times New Roman"/>
          <w:sz w:val="24"/>
        </w:rPr>
        <w:t>(199</w:t>
      </w:r>
      <w:r w:rsidR="004E12F9" w:rsidRPr="0026277C">
        <w:rPr>
          <w:rFonts w:ascii="Times New Roman" w:hAnsi="Times New Roman"/>
          <w:sz w:val="24"/>
        </w:rPr>
        <w:t>7</w:t>
      </w:r>
      <w:r w:rsidR="00776A6E" w:rsidRPr="0026277C">
        <w:rPr>
          <w:rFonts w:ascii="Times New Roman" w:hAnsi="Times New Roman"/>
          <w:sz w:val="24"/>
        </w:rPr>
        <w:t>) 191 CLR 119 at 125.</w:t>
      </w:r>
    </w:p>
  </w:footnote>
  <w:footnote w:id="41">
    <w:p w14:paraId="4D8A646A" w14:textId="7274B423" w:rsidR="00D87F83" w:rsidRPr="0026277C" w:rsidRDefault="00D87F8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0C134B" w:rsidRPr="0026277C">
        <w:rPr>
          <w:rFonts w:ascii="Times New Roman" w:hAnsi="Times New Roman"/>
          <w:sz w:val="24"/>
        </w:rPr>
        <w:tab/>
      </w:r>
      <w:r w:rsidR="00025363" w:rsidRPr="0026277C">
        <w:rPr>
          <w:rFonts w:ascii="Times New Roman" w:hAnsi="Times New Roman"/>
          <w:i/>
          <w:iCs/>
          <w:sz w:val="24"/>
        </w:rPr>
        <w:t xml:space="preserve">Croome </w:t>
      </w:r>
      <w:r w:rsidR="00727161" w:rsidRPr="0026277C">
        <w:rPr>
          <w:rFonts w:ascii="Times New Roman" w:hAnsi="Times New Roman"/>
          <w:sz w:val="24"/>
        </w:rPr>
        <w:t>(199</w:t>
      </w:r>
      <w:r w:rsidR="004E12F9" w:rsidRPr="0026277C">
        <w:rPr>
          <w:rFonts w:ascii="Times New Roman" w:hAnsi="Times New Roman"/>
          <w:sz w:val="24"/>
        </w:rPr>
        <w:t>7</w:t>
      </w:r>
      <w:r w:rsidR="00727161" w:rsidRPr="0026277C">
        <w:rPr>
          <w:rFonts w:ascii="Times New Roman" w:hAnsi="Times New Roman"/>
          <w:sz w:val="24"/>
        </w:rPr>
        <w:t>) 191 CLR 119 at 127.</w:t>
      </w:r>
    </w:p>
  </w:footnote>
  <w:footnote w:id="42">
    <w:p w14:paraId="513B0A80" w14:textId="022F8F71" w:rsidR="00D87F83" w:rsidRPr="0026277C" w:rsidRDefault="00D87F8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0C134B" w:rsidRPr="0026277C">
        <w:rPr>
          <w:rFonts w:ascii="Times New Roman" w:hAnsi="Times New Roman"/>
          <w:sz w:val="24"/>
        </w:rPr>
        <w:tab/>
      </w:r>
      <w:r w:rsidR="00025363" w:rsidRPr="0026277C">
        <w:rPr>
          <w:rFonts w:ascii="Times New Roman" w:hAnsi="Times New Roman"/>
          <w:i/>
          <w:iCs/>
          <w:sz w:val="24"/>
        </w:rPr>
        <w:t xml:space="preserve">Croome </w:t>
      </w:r>
      <w:r w:rsidR="00727161" w:rsidRPr="0026277C">
        <w:rPr>
          <w:rFonts w:ascii="Times New Roman" w:hAnsi="Times New Roman"/>
          <w:sz w:val="24"/>
        </w:rPr>
        <w:t>(199</w:t>
      </w:r>
      <w:r w:rsidR="004E12F9" w:rsidRPr="0026277C">
        <w:rPr>
          <w:rFonts w:ascii="Times New Roman" w:hAnsi="Times New Roman"/>
          <w:sz w:val="24"/>
        </w:rPr>
        <w:t>7</w:t>
      </w:r>
      <w:r w:rsidR="00727161" w:rsidRPr="0026277C">
        <w:rPr>
          <w:rFonts w:ascii="Times New Roman" w:hAnsi="Times New Roman"/>
          <w:sz w:val="24"/>
        </w:rPr>
        <w:t>) 191 CLR 119 at 126.</w:t>
      </w:r>
    </w:p>
  </w:footnote>
  <w:footnote w:id="43">
    <w:p w14:paraId="6D9AC3FB" w14:textId="1FC7163D" w:rsidR="00592CA6" w:rsidRPr="0026277C" w:rsidRDefault="00592CA6"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008B4B52" w:rsidRPr="0026277C">
        <w:rPr>
          <w:rFonts w:ascii="Times New Roman" w:hAnsi="Times New Roman"/>
          <w:sz w:val="24"/>
        </w:rPr>
        <w:tab/>
      </w:r>
      <w:r w:rsidR="008B4B52" w:rsidRPr="0026277C">
        <w:rPr>
          <w:rFonts w:ascii="Times New Roman" w:hAnsi="Times New Roman"/>
          <w:i/>
          <w:sz w:val="24"/>
        </w:rPr>
        <w:t>Fencott v Muller</w:t>
      </w:r>
      <w:r w:rsidR="008B4B52" w:rsidRPr="0026277C">
        <w:rPr>
          <w:rFonts w:ascii="Times New Roman" w:hAnsi="Times New Roman"/>
          <w:sz w:val="24"/>
        </w:rPr>
        <w:t xml:space="preserve"> (1983) 152 CLR 570 at</w:t>
      </w:r>
      <w:r w:rsidR="00402CB2" w:rsidRPr="0026277C">
        <w:rPr>
          <w:rFonts w:ascii="Times New Roman" w:hAnsi="Times New Roman"/>
          <w:sz w:val="24"/>
        </w:rPr>
        <w:t xml:space="preserve"> 603.</w:t>
      </w:r>
    </w:p>
  </w:footnote>
  <w:footnote w:id="44">
    <w:p w14:paraId="54A078E3" w14:textId="6464020F"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C50840" w:rsidRPr="0026277C">
        <w:rPr>
          <w:rFonts w:ascii="Times New Roman" w:hAnsi="Times New Roman"/>
          <w:i/>
          <w:sz w:val="24"/>
        </w:rPr>
        <w:t>Aussie Airlines Pty Ltd v Australian Airlines Ltd</w:t>
      </w:r>
      <w:r w:rsidR="00C50840" w:rsidRPr="0026277C">
        <w:rPr>
          <w:rFonts w:ascii="Times New Roman" w:hAnsi="Times New Roman"/>
          <w:sz w:val="24"/>
        </w:rPr>
        <w:t xml:space="preserve"> (1996) 68 FCR 406 at 414; </w:t>
      </w:r>
      <w:r w:rsidR="00C50840" w:rsidRPr="0026277C">
        <w:rPr>
          <w:rFonts w:ascii="Times New Roman" w:hAnsi="Times New Roman"/>
          <w:i/>
          <w:sz w:val="24"/>
        </w:rPr>
        <w:t xml:space="preserve">Bateman’s Bay </w:t>
      </w:r>
      <w:r w:rsidR="00C50840" w:rsidRPr="0026277C">
        <w:rPr>
          <w:rFonts w:ascii="Times New Roman" w:hAnsi="Times New Roman"/>
          <w:sz w:val="24"/>
        </w:rPr>
        <w:t xml:space="preserve">(1998) 194 CLR 247 at 264 [43]; </w:t>
      </w:r>
      <w:r w:rsidR="00C50840" w:rsidRPr="0026277C">
        <w:rPr>
          <w:rFonts w:ascii="Times New Roman" w:hAnsi="Times New Roman"/>
          <w:i/>
          <w:sz w:val="24"/>
        </w:rPr>
        <w:t xml:space="preserve">Truth About Motorways </w:t>
      </w:r>
      <w:r w:rsidR="00C50840" w:rsidRPr="0026277C">
        <w:rPr>
          <w:rFonts w:ascii="Times New Roman" w:hAnsi="Times New Roman"/>
          <w:sz w:val="24"/>
        </w:rPr>
        <w:t xml:space="preserve">(2000) 200 CLR 591 at 611-612 [46]; </w:t>
      </w:r>
      <w:r w:rsidR="00C50840" w:rsidRPr="0026277C">
        <w:rPr>
          <w:rFonts w:ascii="Times New Roman" w:hAnsi="Times New Roman"/>
          <w:i/>
          <w:sz w:val="24"/>
        </w:rPr>
        <w:t>Edwards v Santos Ltd</w:t>
      </w:r>
      <w:r w:rsidR="00C50840" w:rsidRPr="0026277C">
        <w:rPr>
          <w:rFonts w:ascii="Times New Roman" w:hAnsi="Times New Roman"/>
          <w:sz w:val="24"/>
        </w:rPr>
        <w:t xml:space="preserve"> (2011) 242 CLR 421 at 434</w:t>
      </w:r>
      <w:r w:rsidR="00D02FD5">
        <w:rPr>
          <w:rFonts w:ascii="Times New Roman" w:hAnsi="Times New Roman"/>
          <w:sz w:val="24"/>
        </w:rPr>
        <w:noBreakHyphen/>
      </w:r>
      <w:r w:rsidR="00C50840" w:rsidRPr="0026277C">
        <w:rPr>
          <w:rFonts w:ascii="Times New Roman" w:hAnsi="Times New Roman"/>
          <w:sz w:val="24"/>
        </w:rPr>
        <w:t xml:space="preserve">435 [34], see also 425 [1]; </w:t>
      </w:r>
      <w:r w:rsidR="00C50840" w:rsidRPr="0026277C">
        <w:rPr>
          <w:rFonts w:ascii="Times New Roman" w:hAnsi="Times New Roman"/>
          <w:i/>
          <w:sz w:val="24"/>
        </w:rPr>
        <w:t xml:space="preserve">CGU Insurance </w:t>
      </w:r>
      <w:r w:rsidR="00C50840" w:rsidRPr="0026277C">
        <w:rPr>
          <w:rFonts w:ascii="Times New Roman" w:hAnsi="Times New Roman"/>
          <w:sz w:val="24"/>
        </w:rPr>
        <w:t xml:space="preserve">(2016) 259 CLR 339 at 356-357 [42], 371 [96], 376 [109]; </w:t>
      </w:r>
      <w:r w:rsidRPr="0026277C">
        <w:rPr>
          <w:rFonts w:ascii="Times New Roman" w:hAnsi="Times New Roman"/>
          <w:i/>
          <w:sz w:val="24"/>
        </w:rPr>
        <w:t xml:space="preserve">Hobart </w:t>
      </w:r>
      <w:r w:rsidR="00731C8C" w:rsidRPr="0026277C">
        <w:rPr>
          <w:rFonts w:ascii="Times New Roman" w:hAnsi="Times New Roman"/>
          <w:i/>
          <w:sz w:val="24"/>
        </w:rPr>
        <w:t>International Airport</w:t>
      </w:r>
      <w:r w:rsidRPr="0026277C">
        <w:rPr>
          <w:rFonts w:ascii="Times New Roman" w:hAnsi="Times New Roman"/>
          <w:i/>
          <w:sz w:val="24"/>
        </w:rPr>
        <w:t xml:space="preserve"> </w:t>
      </w:r>
      <w:r w:rsidRPr="0026277C">
        <w:rPr>
          <w:rFonts w:ascii="Times New Roman" w:hAnsi="Times New Roman"/>
          <w:sz w:val="24"/>
        </w:rPr>
        <w:t>(2022) 96 ALJR 234 at 246</w:t>
      </w:r>
      <w:r w:rsidR="00D02FD5">
        <w:rPr>
          <w:rFonts w:ascii="Times New Roman" w:hAnsi="Times New Roman"/>
          <w:sz w:val="24"/>
        </w:rPr>
        <w:noBreakHyphen/>
      </w:r>
      <w:r w:rsidR="00017C58" w:rsidRPr="0026277C">
        <w:rPr>
          <w:rFonts w:ascii="Times New Roman" w:hAnsi="Times New Roman"/>
          <w:sz w:val="24"/>
        </w:rPr>
        <w:t>247</w:t>
      </w:r>
      <w:r w:rsidRPr="0026277C">
        <w:rPr>
          <w:rFonts w:ascii="Times New Roman" w:hAnsi="Times New Roman"/>
          <w:sz w:val="24"/>
        </w:rPr>
        <w:t xml:space="preserve"> [34]</w:t>
      </w:r>
      <w:r w:rsidR="00A717F3" w:rsidRPr="0026277C">
        <w:rPr>
          <w:rFonts w:ascii="Times New Roman" w:hAnsi="Times New Roman"/>
          <w:sz w:val="24"/>
        </w:rPr>
        <w:t>, 258 [86</w:t>
      </w:r>
      <w:r w:rsidRPr="0026277C">
        <w:rPr>
          <w:rFonts w:ascii="Times New Roman" w:hAnsi="Times New Roman"/>
          <w:sz w:val="24"/>
        </w:rPr>
        <w:t>]</w:t>
      </w:r>
      <w:r w:rsidR="00DA1A5D" w:rsidRPr="0026277C">
        <w:rPr>
          <w:rFonts w:ascii="Times New Roman" w:hAnsi="Times New Roman"/>
          <w:sz w:val="24"/>
        </w:rPr>
        <w:t xml:space="preserve">; </w:t>
      </w:r>
      <w:r w:rsidR="00625AC3" w:rsidRPr="0026277C">
        <w:rPr>
          <w:rFonts w:ascii="Times New Roman" w:hAnsi="Times New Roman"/>
          <w:sz w:val="24"/>
        </w:rPr>
        <w:t xml:space="preserve">399 </w:t>
      </w:r>
      <w:r w:rsidR="00DA1A5D" w:rsidRPr="0026277C">
        <w:rPr>
          <w:rFonts w:ascii="Times New Roman" w:hAnsi="Times New Roman"/>
          <w:sz w:val="24"/>
        </w:rPr>
        <w:t>ALR</w:t>
      </w:r>
      <w:r w:rsidR="00625AC3" w:rsidRPr="0026277C">
        <w:rPr>
          <w:rFonts w:ascii="Times New Roman" w:hAnsi="Times New Roman"/>
          <w:sz w:val="24"/>
        </w:rPr>
        <w:t xml:space="preserve"> 214</w:t>
      </w:r>
      <w:r w:rsidR="003C288A" w:rsidRPr="0026277C">
        <w:rPr>
          <w:rFonts w:ascii="Times New Roman" w:hAnsi="Times New Roman"/>
          <w:sz w:val="24"/>
        </w:rPr>
        <w:t xml:space="preserve"> at 224</w:t>
      </w:r>
      <w:r w:rsidR="00A717F3" w:rsidRPr="0026277C">
        <w:rPr>
          <w:rFonts w:ascii="Times New Roman" w:hAnsi="Times New Roman"/>
          <w:sz w:val="24"/>
        </w:rPr>
        <w:t>, 239</w:t>
      </w:r>
      <w:r w:rsidR="003C288A" w:rsidRPr="0026277C">
        <w:rPr>
          <w:rFonts w:ascii="Times New Roman" w:hAnsi="Times New Roman"/>
          <w:sz w:val="24"/>
        </w:rPr>
        <w:t>.</w:t>
      </w:r>
    </w:p>
  </w:footnote>
  <w:footnote w:id="45">
    <w:p w14:paraId="6DFD5595" w14:textId="538F8D42" w:rsidR="00EB3B75" w:rsidRPr="0026277C" w:rsidRDefault="00EB3B75"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See </w:t>
      </w:r>
      <w:r w:rsidRPr="0026277C">
        <w:rPr>
          <w:rFonts w:ascii="Times New Roman" w:hAnsi="Times New Roman"/>
          <w:i/>
          <w:iCs/>
          <w:sz w:val="24"/>
        </w:rPr>
        <w:t xml:space="preserve">Smethurst v Commissioner of </w:t>
      </w:r>
      <w:r w:rsidR="005A33D7" w:rsidRPr="0026277C">
        <w:rPr>
          <w:rFonts w:ascii="Times New Roman" w:hAnsi="Times New Roman"/>
          <w:i/>
          <w:iCs/>
          <w:sz w:val="24"/>
        </w:rPr>
        <w:t xml:space="preserve">the Australian Federal </w:t>
      </w:r>
      <w:r w:rsidRPr="0026277C">
        <w:rPr>
          <w:rFonts w:ascii="Times New Roman" w:hAnsi="Times New Roman"/>
          <w:i/>
          <w:iCs/>
          <w:sz w:val="24"/>
        </w:rPr>
        <w:t>Police</w:t>
      </w:r>
      <w:r w:rsidR="00EF4E9B" w:rsidRPr="0026277C">
        <w:rPr>
          <w:rFonts w:ascii="Times New Roman" w:hAnsi="Times New Roman"/>
          <w:i/>
          <w:iCs/>
          <w:sz w:val="24"/>
        </w:rPr>
        <w:t xml:space="preserve"> </w:t>
      </w:r>
      <w:r w:rsidRPr="0026277C">
        <w:rPr>
          <w:rFonts w:ascii="Times New Roman" w:hAnsi="Times New Roman"/>
          <w:sz w:val="24"/>
        </w:rPr>
        <w:t xml:space="preserve">(2020) 272 CLR 177 at 223 </w:t>
      </w:r>
      <w:r w:rsidR="004F6F6F" w:rsidRPr="0026277C">
        <w:rPr>
          <w:rFonts w:ascii="Times New Roman" w:hAnsi="Times New Roman"/>
          <w:sz w:val="24"/>
        </w:rPr>
        <w:t>[105]-</w:t>
      </w:r>
      <w:r w:rsidRPr="0026277C">
        <w:rPr>
          <w:rFonts w:ascii="Times New Roman" w:hAnsi="Times New Roman"/>
          <w:sz w:val="24"/>
        </w:rPr>
        <w:t>[106]</w:t>
      </w:r>
      <w:r w:rsidR="006E38CB" w:rsidRPr="0026277C">
        <w:rPr>
          <w:rFonts w:ascii="Times New Roman" w:hAnsi="Times New Roman"/>
          <w:sz w:val="24"/>
        </w:rPr>
        <w:t>, 257 [198]</w:t>
      </w:r>
      <w:r w:rsidRPr="0026277C">
        <w:rPr>
          <w:rFonts w:ascii="Times New Roman" w:hAnsi="Times New Roman"/>
          <w:sz w:val="24"/>
        </w:rPr>
        <w:t xml:space="preserve">. </w:t>
      </w:r>
    </w:p>
  </w:footnote>
  <w:footnote w:id="46">
    <w:p w14:paraId="6147CFEA" w14:textId="518696A7"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sz w:val="24"/>
        </w:rPr>
        <w:t xml:space="preserve">Ainsworth </w:t>
      </w:r>
      <w:r w:rsidRPr="0026277C">
        <w:rPr>
          <w:rFonts w:ascii="Times New Roman" w:hAnsi="Times New Roman"/>
          <w:sz w:val="24"/>
        </w:rPr>
        <w:t>(1992) 175 CLR 564 at 581-582, 596-597</w:t>
      </w:r>
      <w:r w:rsidR="00AB03DF" w:rsidRPr="0026277C">
        <w:rPr>
          <w:rFonts w:ascii="Times New Roman" w:hAnsi="Times New Roman"/>
          <w:sz w:val="24"/>
        </w:rPr>
        <w:t xml:space="preserve">; </w:t>
      </w:r>
      <w:r w:rsidRPr="0026277C">
        <w:rPr>
          <w:rFonts w:ascii="Times New Roman" w:hAnsi="Times New Roman"/>
          <w:i/>
          <w:sz w:val="24"/>
        </w:rPr>
        <w:t>Plaintiff M68</w:t>
      </w:r>
      <w:r w:rsidR="005F5D72" w:rsidRPr="0026277C">
        <w:rPr>
          <w:rFonts w:ascii="Times New Roman" w:hAnsi="Times New Roman"/>
          <w:i/>
          <w:sz w:val="24"/>
        </w:rPr>
        <w:t>/2015 v Minister for Immigration and Border Protection</w:t>
      </w:r>
      <w:r w:rsidRPr="0026277C">
        <w:rPr>
          <w:rFonts w:ascii="Times New Roman" w:hAnsi="Times New Roman"/>
          <w:i/>
          <w:sz w:val="24"/>
        </w:rPr>
        <w:t xml:space="preserve"> </w:t>
      </w:r>
      <w:r w:rsidRPr="0026277C">
        <w:rPr>
          <w:rFonts w:ascii="Times New Roman" w:hAnsi="Times New Roman"/>
          <w:sz w:val="24"/>
        </w:rPr>
        <w:t>(2016) 257 CLR 42 at 65 [20], 65-66 [22]</w:t>
      </w:r>
      <w:r w:rsidR="0099569C">
        <w:rPr>
          <w:rFonts w:ascii="Times New Roman" w:hAnsi="Times New Roman"/>
          <w:sz w:val="24"/>
        </w:rPr>
        <w:noBreakHyphen/>
      </w:r>
      <w:r w:rsidRPr="0026277C">
        <w:rPr>
          <w:rFonts w:ascii="Times New Roman" w:hAnsi="Times New Roman"/>
          <w:sz w:val="24"/>
        </w:rPr>
        <w:t xml:space="preserve">[23], </w:t>
      </w:r>
      <w:r w:rsidR="00E35752" w:rsidRPr="0026277C">
        <w:rPr>
          <w:rFonts w:ascii="Times New Roman" w:hAnsi="Times New Roman"/>
          <w:sz w:val="24"/>
        </w:rPr>
        <w:t xml:space="preserve">76 [64], </w:t>
      </w:r>
      <w:r w:rsidRPr="0026277C">
        <w:rPr>
          <w:rFonts w:ascii="Times New Roman" w:hAnsi="Times New Roman"/>
          <w:sz w:val="24"/>
        </w:rPr>
        <w:t>89 [109],</w:t>
      </w:r>
      <w:r w:rsidR="009F39D1" w:rsidRPr="0026277C">
        <w:rPr>
          <w:rFonts w:ascii="Times New Roman" w:hAnsi="Times New Roman"/>
          <w:sz w:val="24"/>
        </w:rPr>
        <w:t xml:space="preserve"> 90 [112</w:t>
      </w:r>
      <w:r w:rsidRPr="0026277C">
        <w:rPr>
          <w:rFonts w:ascii="Times New Roman" w:hAnsi="Times New Roman"/>
          <w:sz w:val="24"/>
        </w:rPr>
        <w:t>], 123 [235]</w:t>
      </w:r>
      <w:r w:rsidR="00AF741A" w:rsidRPr="0026277C">
        <w:rPr>
          <w:rFonts w:ascii="Times New Roman" w:hAnsi="Times New Roman"/>
          <w:sz w:val="24"/>
        </w:rPr>
        <w:t>-[236]</w:t>
      </w:r>
      <w:r w:rsidR="00A57D08" w:rsidRPr="0026277C">
        <w:rPr>
          <w:rFonts w:ascii="Times New Roman" w:hAnsi="Times New Roman"/>
          <w:sz w:val="24"/>
        </w:rPr>
        <w:t>, 151</w:t>
      </w:r>
      <w:r w:rsidR="00EB587E" w:rsidRPr="0026277C">
        <w:rPr>
          <w:rFonts w:ascii="Times New Roman" w:hAnsi="Times New Roman"/>
          <w:sz w:val="24"/>
        </w:rPr>
        <w:t>-152</w:t>
      </w:r>
      <w:r w:rsidR="00A57D08" w:rsidRPr="0026277C">
        <w:rPr>
          <w:rFonts w:ascii="Times New Roman" w:hAnsi="Times New Roman"/>
          <w:sz w:val="24"/>
        </w:rPr>
        <w:t xml:space="preserve"> [349]-[</w:t>
      </w:r>
      <w:r w:rsidR="00AD399D" w:rsidRPr="0026277C">
        <w:rPr>
          <w:rFonts w:ascii="Times New Roman" w:hAnsi="Times New Roman"/>
          <w:sz w:val="24"/>
        </w:rPr>
        <w:t>350]</w:t>
      </w:r>
      <w:r w:rsidRPr="0026277C">
        <w:rPr>
          <w:rFonts w:ascii="Times New Roman" w:hAnsi="Times New Roman"/>
          <w:sz w:val="24"/>
        </w:rPr>
        <w:t>. See</w:t>
      </w:r>
      <w:r w:rsidR="0099569C">
        <w:rPr>
          <w:rFonts w:ascii="Times New Roman" w:hAnsi="Times New Roman"/>
          <w:sz w:val="24"/>
        </w:rPr>
        <w:t> </w:t>
      </w:r>
      <w:r w:rsidRPr="0026277C">
        <w:rPr>
          <w:rFonts w:ascii="Times New Roman" w:hAnsi="Times New Roman"/>
          <w:sz w:val="24"/>
        </w:rPr>
        <w:t xml:space="preserve">also </w:t>
      </w:r>
      <w:r w:rsidRPr="0026277C">
        <w:rPr>
          <w:rFonts w:ascii="Times New Roman" w:hAnsi="Times New Roman"/>
          <w:i/>
          <w:sz w:val="24"/>
        </w:rPr>
        <w:t>Plaintiff M61</w:t>
      </w:r>
      <w:r w:rsidR="00FC6C97" w:rsidRPr="0026277C">
        <w:rPr>
          <w:rFonts w:ascii="Times New Roman" w:hAnsi="Times New Roman"/>
          <w:i/>
          <w:sz w:val="24"/>
        </w:rPr>
        <w:t>/2010</w:t>
      </w:r>
      <w:r w:rsidR="00D40ACB" w:rsidRPr="0026277C">
        <w:rPr>
          <w:rFonts w:ascii="Times New Roman" w:hAnsi="Times New Roman"/>
          <w:i/>
          <w:sz w:val="24"/>
        </w:rPr>
        <w:t>E</w:t>
      </w:r>
      <w:r w:rsidR="00FC6C97" w:rsidRPr="0026277C">
        <w:rPr>
          <w:rFonts w:ascii="Times New Roman" w:hAnsi="Times New Roman"/>
          <w:i/>
          <w:sz w:val="24"/>
        </w:rPr>
        <w:t xml:space="preserve"> v The Commonwealth</w:t>
      </w:r>
      <w:r w:rsidRPr="0026277C">
        <w:rPr>
          <w:rFonts w:ascii="Times New Roman" w:hAnsi="Times New Roman"/>
          <w:i/>
          <w:sz w:val="24"/>
        </w:rPr>
        <w:t xml:space="preserve"> </w:t>
      </w:r>
      <w:r w:rsidRPr="0026277C">
        <w:rPr>
          <w:rFonts w:ascii="Times New Roman" w:hAnsi="Times New Roman"/>
          <w:sz w:val="24"/>
        </w:rPr>
        <w:t xml:space="preserve">(2010) 243 CLR 319 at </w:t>
      </w:r>
      <w:r w:rsidR="00923B56" w:rsidRPr="0026277C">
        <w:rPr>
          <w:rFonts w:ascii="Times New Roman" w:hAnsi="Times New Roman"/>
          <w:sz w:val="24"/>
        </w:rPr>
        <w:t>358</w:t>
      </w:r>
      <w:r w:rsidR="002F046E">
        <w:rPr>
          <w:rFonts w:ascii="Times New Roman" w:hAnsi="Times New Roman"/>
          <w:sz w:val="24"/>
        </w:rPr>
        <w:noBreakHyphen/>
      </w:r>
      <w:r w:rsidRPr="0026277C">
        <w:rPr>
          <w:rFonts w:ascii="Times New Roman" w:hAnsi="Times New Roman"/>
          <w:sz w:val="24"/>
        </w:rPr>
        <w:t>359 [100]-[103].</w:t>
      </w:r>
    </w:p>
  </w:footnote>
  <w:footnote w:id="47">
    <w:p w14:paraId="31BDB82C" w14:textId="39B1586C" w:rsidR="00A81423" w:rsidRPr="0026277C" w:rsidRDefault="00A81423"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4D015E" w:rsidRPr="0026277C">
        <w:rPr>
          <w:rFonts w:ascii="Times New Roman" w:hAnsi="Times New Roman"/>
          <w:sz w:val="24"/>
        </w:rPr>
        <w:t xml:space="preserve">See, eg, </w:t>
      </w:r>
      <w:r w:rsidR="00E75D6F" w:rsidRPr="0026277C">
        <w:rPr>
          <w:rFonts w:ascii="Times New Roman" w:hAnsi="Times New Roman"/>
          <w:i/>
          <w:iCs/>
          <w:sz w:val="24"/>
        </w:rPr>
        <w:t xml:space="preserve">Lange v Australian Broadcasting Corporation </w:t>
      </w:r>
      <w:r w:rsidR="00E75D6F" w:rsidRPr="0026277C">
        <w:rPr>
          <w:rFonts w:ascii="Times New Roman" w:hAnsi="Times New Roman"/>
          <w:sz w:val="24"/>
        </w:rPr>
        <w:t>(1997) 189 CLR 520 at 560</w:t>
      </w:r>
      <w:r w:rsidR="0099569C">
        <w:rPr>
          <w:rFonts w:ascii="Times New Roman" w:hAnsi="Times New Roman"/>
          <w:sz w:val="24"/>
        </w:rPr>
        <w:noBreakHyphen/>
      </w:r>
      <w:r w:rsidR="00E75D6F" w:rsidRPr="0026277C">
        <w:rPr>
          <w:rFonts w:ascii="Times New Roman" w:hAnsi="Times New Roman"/>
          <w:sz w:val="24"/>
        </w:rPr>
        <w:t>561, 567</w:t>
      </w:r>
      <w:r w:rsidR="00462B17" w:rsidRPr="0026277C">
        <w:rPr>
          <w:rFonts w:ascii="Times New Roman" w:hAnsi="Times New Roman"/>
          <w:sz w:val="24"/>
        </w:rPr>
        <w:t>.</w:t>
      </w:r>
      <w:r w:rsidR="00745636" w:rsidRPr="0026277C">
        <w:rPr>
          <w:rFonts w:ascii="Times New Roman" w:hAnsi="Times New Roman"/>
          <w:i/>
          <w:iCs/>
          <w:sz w:val="24"/>
        </w:rPr>
        <w:t> </w:t>
      </w:r>
    </w:p>
  </w:footnote>
  <w:footnote w:id="48">
    <w:p w14:paraId="1B002591" w14:textId="1D315352"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Anderson v The Commonwealth </w:t>
      </w:r>
      <w:r w:rsidRPr="0026277C">
        <w:rPr>
          <w:rFonts w:ascii="Times New Roman" w:hAnsi="Times New Roman"/>
          <w:sz w:val="24"/>
        </w:rPr>
        <w:t xml:space="preserve">(1932) 47 CLR 50 at 51-52; </w:t>
      </w:r>
      <w:r w:rsidR="00D50B24" w:rsidRPr="0026277C">
        <w:rPr>
          <w:rFonts w:ascii="Times New Roman" w:hAnsi="Times New Roman"/>
          <w:i/>
          <w:sz w:val="24"/>
        </w:rPr>
        <w:t>Australian</w:t>
      </w:r>
      <w:r w:rsidR="005743EC">
        <w:rPr>
          <w:rFonts w:ascii="Times New Roman" w:hAnsi="Times New Roman"/>
          <w:i/>
          <w:sz w:val="24"/>
        </w:rPr>
        <w:t> </w:t>
      </w:r>
      <w:r w:rsidR="00D50B24" w:rsidRPr="0026277C">
        <w:rPr>
          <w:rFonts w:ascii="Times New Roman" w:hAnsi="Times New Roman"/>
          <w:i/>
          <w:sz w:val="24"/>
        </w:rPr>
        <w:t xml:space="preserve">Conservation Foundation </w:t>
      </w:r>
      <w:r w:rsidRPr="0026277C">
        <w:rPr>
          <w:rFonts w:ascii="Times New Roman" w:hAnsi="Times New Roman"/>
          <w:sz w:val="24"/>
        </w:rPr>
        <w:t>(1980) 146 CLR 493 at 526</w:t>
      </w:r>
      <w:r w:rsidR="00AD5825" w:rsidRPr="0026277C">
        <w:rPr>
          <w:rFonts w:ascii="Times New Roman" w:hAnsi="Times New Roman"/>
          <w:sz w:val="24"/>
        </w:rPr>
        <w:t>, 539</w:t>
      </w:r>
      <w:r w:rsidR="00F514B5" w:rsidRPr="0026277C">
        <w:rPr>
          <w:rFonts w:ascii="Times New Roman" w:hAnsi="Times New Roman"/>
          <w:sz w:val="24"/>
        </w:rPr>
        <w:t>, 547</w:t>
      </w:r>
      <w:r w:rsidRPr="0026277C">
        <w:rPr>
          <w:rFonts w:ascii="Times New Roman" w:hAnsi="Times New Roman"/>
          <w:sz w:val="24"/>
        </w:rPr>
        <w:t>.</w:t>
      </w:r>
      <w:r w:rsidR="006513CC" w:rsidRPr="0026277C">
        <w:rPr>
          <w:rFonts w:ascii="Times New Roman" w:hAnsi="Times New Roman"/>
          <w:sz w:val="24"/>
        </w:rPr>
        <w:t xml:space="preserve"> See also </w:t>
      </w:r>
      <w:r w:rsidR="006513CC" w:rsidRPr="0026277C">
        <w:rPr>
          <w:rFonts w:ascii="Times New Roman" w:hAnsi="Times New Roman"/>
          <w:i/>
          <w:sz w:val="24"/>
        </w:rPr>
        <w:t xml:space="preserve">Hobart International Airport </w:t>
      </w:r>
      <w:r w:rsidR="006513CC" w:rsidRPr="0026277C">
        <w:rPr>
          <w:rFonts w:ascii="Times New Roman" w:hAnsi="Times New Roman"/>
          <w:sz w:val="24"/>
        </w:rPr>
        <w:t>(2022) 96 ALJR 234 at 252-253 [62]-</w:t>
      </w:r>
      <w:r w:rsidR="00914728" w:rsidRPr="0026277C">
        <w:rPr>
          <w:rFonts w:ascii="Times New Roman" w:hAnsi="Times New Roman"/>
          <w:sz w:val="24"/>
        </w:rPr>
        <w:t>[65]</w:t>
      </w:r>
      <w:r w:rsidR="0071023D" w:rsidRPr="0026277C">
        <w:rPr>
          <w:rFonts w:ascii="Times New Roman" w:hAnsi="Times New Roman"/>
          <w:sz w:val="24"/>
        </w:rPr>
        <w:t>, 259</w:t>
      </w:r>
      <w:r w:rsidR="005B5099" w:rsidRPr="0026277C">
        <w:rPr>
          <w:rFonts w:ascii="Times New Roman" w:hAnsi="Times New Roman"/>
          <w:sz w:val="24"/>
        </w:rPr>
        <w:t>-260</w:t>
      </w:r>
      <w:r w:rsidR="0071023D" w:rsidRPr="0026277C">
        <w:rPr>
          <w:rFonts w:ascii="Times New Roman" w:hAnsi="Times New Roman"/>
          <w:sz w:val="24"/>
        </w:rPr>
        <w:t xml:space="preserve"> </w:t>
      </w:r>
      <w:r w:rsidR="005B5099" w:rsidRPr="0026277C">
        <w:rPr>
          <w:rFonts w:ascii="Times New Roman" w:hAnsi="Times New Roman"/>
          <w:sz w:val="24"/>
        </w:rPr>
        <w:t>[90]-[95]</w:t>
      </w:r>
      <w:r w:rsidR="006513CC" w:rsidRPr="0026277C">
        <w:rPr>
          <w:rFonts w:ascii="Times New Roman" w:hAnsi="Times New Roman"/>
          <w:sz w:val="24"/>
        </w:rPr>
        <w:t>; 399 ALR 214 at</w:t>
      </w:r>
      <w:r w:rsidR="00914728" w:rsidRPr="0026277C">
        <w:rPr>
          <w:rFonts w:ascii="Times New Roman" w:hAnsi="Times New Roman"/>
          <w:sz w:val="24"/>
        </w:rPr>
        <w:t xml:space="preserve"> 232-233</w:t>
      </w:r>
      <w:r w:rsidR="005B5099" w:rsidRPr="0026277C">
        <w:rPr>
          <w:rFonts w:ascii="Times New Roman" w:hAnsi="Times New Roman"/>
          <w:sz w:val="24"/>
        </w:rPr>
        <w:t xml:space="preserve">, </w:t>
      </w:r>
      <w:r w:rsidR="00565B53" w:rsidRPr="0026277C">
        <w:rPr>
          <w:rFonts w:ascii="Times New Roman" w:hAnsi="Times New Roman"/>
          <w:sz w:val="24"/>
        </w:rPr>
        <w:t>240-242</w:t>
      </w:r>
      <w:r w:rsidR="006513CC" w:rsidRPr="0026277C">
        <w:rPr>
          <w:rFonts w:ascii="Times New Roman" w:hAnsi="Times New Roman"/>
          <w:sz w:val="24"/>
        </w:rPr>
        <w:t>.</w:t>
      </w:r>
    </w:p>
  </w:footnote>
  <w:footnote w:id="49">
    <w:p w14:paraId="6FADF22E" w14:textId="3E3D362E"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D50B24" w:rsidRPr="0026277C">
        <w:rPr>
          <w:rFonts w:ascii="Times New Roman" w:hAnsi="Times New Roman"/>
          <w:i/>
          <w:sz w:val="24"/>
        </w:rPr>
        <w:t xml:space="preserve">Australian Conservation Foundation </w:t>
      </w:r>
      <w:r w:rsidRPr="0026277C">
        <w:rPr>
          <w:rFonts w:ascii="Times New Roman" w:hAnsi="Times New Roman"/>
          <w:sz w:val="24"/>
        </w:rPr>
        <w:t xml:space="preserve">(1980) 146 CLR 493 at 530. </w:t>
      </w:r>
    </w:p>
  </w:footnote>
  <w:footnote w:id="50">
    <w:p w14:paraId="7F30CBFD" w14:textId="0F437045"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C05037" w:rsidRPr="0026277C">
        <w:rPr>
          <w:rFonts w:ascii="Times New Roman" w:hAnsi="Times New Roman"/>
          <w:i/>
          <w:iCs/>
          <w:sz w:val="24"/>
        </w:rPr>
        <w:t>Onus v Alcoa</w:t>
      </w:r>
      <w:r w:rsidR="00D263BF" w:rsidRPr="0026277C">
        <w:rPr>
          <w:rFonts w:ascii="Times New Roman" w:hAnsi="Times New Roman"/>
          <w:i/>
          <w:iCs/>
          <w:sz w:val="24"/>
        </w:rPr>
        <w:t xml:space="preserve"> of Australia Ltd</w:t>
      </w:r>
      <w:r w:rsidR="00C05037" w:rsidRPr="0026277C">
        <w:rPr>
          <w:rFonts w:ascii="Times New Roman" w:hAnsi="Times New Roman"/>
          <w:i/>
          <w:iCs/>
          <w:sz w:val="24"/>
        </w:rPr>
        <w:t xml:space="preserve"> </w:t>
      </w:r>
      <w:r w:rsidR="00C05037" w:rsidRPr="0026277C">
        <w:rPr>
          <w:rFonts w:ascii="Times New Roman" w:hAnsi="Times New Roman"/>
          <w:sz w:val="24"/>
        </w:rPr>
        <w:t xml:space="preserve">(1981) 149 CLR 27 at 36; </w:t>
      </w:r>
      <w:r w:rsidR="00262B6C" w:rsidRPr="0026277C">
        <w:rPr>
          <w:rFonts w:ascii="Times New Roman" w:hAnsi="Times New Roman"/>
          <w:i/>
          <w:iCs/>
          <w:sz w:val="24"/>
        </w:rPr>
        <w:t>Shop Distributive and Allied Employees Association v Minister for Industrial Affairs (SA</w:t>
      </w:r>
      <w:r w:rsidR="00262B6C" w:rsidRPr="0026277C">
        <w:rPr>
          <w:rFonts w:ascii="Times New Roman" w:hAnsi="Times New Roman"/>
          <w:sz w:val="24"/>
        </w:rPr>
        <w:t>)</w:t>
      </w:r>
      <w:r w:rsidR="00262B6C" w:rsidRPr="0026277C">
        <w:rPr>
          <w:rFonts w:ascii="Times New Roman" w:hAnsi="Times New Roman"/>
          <w:i/>
          <w:sz w:val="24"/>
        </w:rPr>
        <w:t xml:space="preserve"> </w:t>
      </w:r>
      <w:r w:rsidR="00DF785C" w:rsidRPr="0026277C">
        <w:rPr>
          <w:rFonts w:ascii="Times New Roman" w:hAnsi="Times New Roman"/>
          <w:sz w:val="24"/>
        </w:rPr>
        <w:t>(1995) 183 CLR 552 at 558</w:t>
      </w:r>
      <w:r w:rsidR="00AD53ED" w:rsidRPr="0026277C">
        <w:rPr>
          <w:rFonts w:ascii="Times New Roman" w:hAnsi="Times New Roman"/>
          <w:sz w:val="24"/>
        </w:rPr>
        <w:t xml:space="preserve">; </w:t>
      </w:r>
      <w:r w:rsidR="00077BBF" w:rsidRPr="0026277C">
        <w:rPr>
          <w:rFonts w:ascii="Times New Roman" w:hAnsi="Times New Roman"/>
          <w:i/>
          <w:sz w:val="24"/>
        </w:rPr>
        <w:t xml:space="preserve">Bateman's Bay </w:t>
      </w:r>
      <w:r w:rsidR="00077BBF" w:rsidRPr="0026277C">
        <w:rPr>
          <w:rFonts w:ascii="Times New Roman" w:hAnsi="Times New Roman"/>
          <w:sz w:val="24"/>
        </w:rPr>
        <w:t>(1998) 194 CLR 247 at 265 [46]</w:t>
      </w:r>
      <w:r w:rsidR="00DF785C" w:rsidRPr="0026277C">
        <w:rPr>
          <w:rFonts w:ascii="Times New Roman" w:hAnsi="Times New Roman"/>
          <w:sz w:val="24"/>
        </w:rPr>
        <w:t xml:space="preserve">. </w:t>
      </w:r>
    </w:p>
  </w:footnote>
  <w:footnote w:id="51">
    <w:p w14:paraId="36148777" w14:textId="42EE3402" w:rsidR="007370EB" w:rsidRPr="0026277C" w:rsidRDefault="007370EB" w:rsidP="0026277C">
      <w:pPr>
        <w:pStyle w:val="FootnoteText"/>
        <w:spacing w:line="280" w:lineRule="exact"/>
        <w:ind w:right="0"/>
        <w:jc w:val="both"/>
        <w:rPr>
          <w:rFonts w:ascii="Times New Roman" w:hAnsi="Times New Roman"/>
          <w:i/>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Onus </w:t>
      </w:r>
      <w:r w:rsidRPr="0026277C">
        <w:rPr>
          <w:rFonts w:ascii="Times New Roman" w:hAnsi="Times New Roman"/>
          <w:sz w:val="24"/>
        </w:rPr>
        <w:t>(1981) 149 CLR 27 at 75</w:t>
      </w:r>
      <w:r w:rsidR="002C3598" w:rsidRPr="0026277C">
        <w:rPr>
          <w:rFonts w:ascii="Times New Roman" w:hAnsi="Times New Roman"/>
          <w:sz w:val="24"/>
        </w:rPr>
        <w:t>, quoted in</w:t>
      </w:r>
      <w:r w:rsidRPr="0026277C">
        <w:rPr>
          <w:rFonts w:ascii="Times New Roman" w:hAnsi="Times New Roman"/>
          <w:sz w:val="24"/>
        </w:rPr>
        <w:t xml:space="preserve"> </w:t>
      </w:r>
      <w:r w:rsidRPr="0026277C">
        <w:rPr>
          <w:rFonts w:ascii="Times New Roman" w:hAnsi="Times New Roman"/>
          <w:i/>
          <w:iCs/>
          <w:sz w:val="24"/>
        </w:rPr>
        <w:t>Hobart</w:t>
      </w:r>
      <w:r w:rsidRPr="0026277C">
        <w:rPr>
          <w:rFonts w:ascii="Times New Roman" w:hAnsi="Times New Roman"/>
          <w:i/>
          <w:sz w:val="24"/>
        </w:rPr>
        <w:t xml:space="preserve"> International Airport </w:t>
      </w:r>
      <w:r w:rsidRPr="0026277C">
        <w:rPr>
          <w:rFonts w:ascii="Times New Roman" w:hAnsi="Times New Roman"/>
          <w:sz w:val="24"/>
        </w:rPr>
        <w:t>(2022) 96</w:t>
      </w:r>
      <w:r w:rsidR="002D5D09">
        <w:rPr>
          <w:rFonts w:ascii="Times New Roman" w:hAnsi="Times New Roman"/>
          <w:sz w:val="24"/>
        </w:rPr>
        <w:t> </w:t>
      </w:r>
      <w:r w:rsidRPr="0026277C">
        <w:rPr>
          <w:rFonts w:ascii="Times New Roman" w:hAnsi="Times New Roman"/>
          <w:sz w:val="24"/>
        </w:rPr>
        <w:t>ALJR 234 at 253 [66]; 399 ALR 214 at 233.</w:t>
      </w:r>
      <w:r w:rsidRPr="0026277C">
        <w:rPr>
          <w:rFonts w:ascii="Times New Roman" w:hAnsi="Times New Roman"/>
          <w:i/>
          <w:sz w:val="24"/>
        </w:rPr>
        <w:t xml:space="preserve"> </w:t>
      </w:r>
    </w:p>
  </w:footnote>
  <w:footnote w:id="52">
    <w:p w14:paraId="0E0E9DBA" w14:textId="666915E8"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sz w:val="24"/>
        </w:rPr>
        <w:t xml:space="preserve">Onus </w:t>
      </w:r>
      <w:r w:rsidRPr="0026277C">
        <w:rPr>
          <w:rFonts w:ascii="Times New Roman" w:hAnsi="Times New Roman"/>
          <w:sz w:val="24"/>
        </w:rPr>
        <w:t xml:space="preserve">(1981) 149 CLR 27 at 75-76. </w:t>
      </w:r>
    </w:p>
  </w:footnote>
  <w:footnote w:id="53">
    <w:p w14:paraId="61C5A2F0" w14:textId="36EB01E1" w:rsidR="007C61F1" w:rsidRPr="0026277C" w:rsidRDefault="007C61F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625C7F" w:rsidRPr="0026277C">
        <w:rPr>
          <w:rFonts w:ascii="Times New Roman" w:hAnsi="Times New Roman"/>
          <w:i/>
          <w:sz w:val="24"/>
        </w:rPr>
        <w:t xml:space="preserve">Australian Conservation Foundation </w:t>
      </w:r>
      <w:r w:rsidRPr="0026277C">
        <w:rPr>
          <w:rFonts w:ascii="Times New Roman" w:hAnsi="Times New Roman"/>
          <w:sz w:val="24"/>
        </w:rPr>
        <w:t xml:space="preserve">(1980) 146 CLR 493 at 530, 539, 548. </w:t>
      </w:r>
    </w:p>
  </w:footnote>
  <w:footnote w:id="54">
    <w:p w14:paraId="5B1D4F1E" w14:textId="26E606F8" w:rsidR="00290C08" w:rsidRPr="0026277C" w:rsidRDefault="00290C0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(1997) 191 CLR 119 at 127, 138</w:t>
      </w:r>
      <w:r w:rsidR="00D534BD" w:rsidRPr="0026277C">
        <w:rPr>
          <w:rFonts w:ascii="Times New Roman" w:hAnsi="Times New Roman"/>
          <w:sz w:val="24"/>
        </w:rPr>
        <w:t>.</w:t>
      </w:r>
      <w:r w:rsidRPr="0026277C">
        <w:rPr>
          <w:rFonts w:ascii="Times New Roman" w:hAnsi="Times New Roman"/>
          <w:sz w:val="24"/>
        </w:rPr>
        <w:t xml:space="preserve"> See also </w:t>
      </w:r>
      <w:r w:rsidRPr="0026277C">
        <w:rPr>
          <w:rFonts w:ascii="Times New Roman" w:hAnsi="Times New Roman"/>
          <w:i/>
          <w:sz w:val="24"/>
        </w:rPr>
        <w:t>British Medical Association v The</w:t>
      </w:r>
      <w:r w:rsidR="00CC6A95">
        <w:rPr>
          <w:rFonts w:ascii="Times New Roman" w:hAnsi="Times New Roman"/>
          <w:i/>
          <w:sz w:val="24"/>
        </w:rPr>
        <w:t> </w:t>
      </w:r>
      <w:r w:rsidRPr="0026277C">
        <w:rPr>
          <w:rFonts w:ascii="Times New Roman" w:hAnsi="Times New Roman"/>
          <w:i/>
          <w:sz w:val="24"/>
        </w:rPr>
        <w:t xml:space="preserve">Commonwealth </w:t>
      </w:r>
      <w:r w:rsidRPr="0026277C">
        <w:rPr>
          <w:rFonts w:ascii="Times New Roman" w:hAnsi="Times New Roman"/>
          <w:sz w:val="24"/>
        </w:rPr>
        <w:t>(1949) 7</w:t>
      </w:r>
      <w:r w:rsidR="00C14705" w:rsidRPr="0026277C">
        <w:rPr>
          <w:rFonts w:ascii="Times New Roman" w:hAnsi="Times New Roman"/>
          <w:sz w:val="24"/>
        </w:rPr>
        <w:t>9</w:t>
      </w:r>
      <w:r w:rsidRPr="0026277C">
        <w:rPr>
          <w:rFonts w:ascii="Times New Roman" w:hAnsi="Times New Roman"/>
          <w:sz w:val="24"/>
        </w:rPr>
        <w:t xml:space="preserve"> CLR 201 at 257; </w:t>
      </w:r>
      <w:r w:rsidRPr="0026277C">
        <w:rPr>
          <w:rFonts w:ascii="Times New Roman" w:hAnsi="Times New Roman"/>
          <w:i/>
          <w:sz w:val="24"/>
        </w:rPr>
        <w:t xml:space="preserve">Pharmaceutical Society of Great Britain v Dickson </w:t>
      </w:r>
      <w:r w:rsidRPr="0026277C">
        <w:rPr>
          <w:rFonts w:ascii="Times New Roman" w:hAnsi="Times New Roman"/>
          <w:sz w:val="24"/>
        </w:rPr>
        <w:t>[1970] AC 403 at 433</w:t>
      </w:r>
      <w:r w:rsidR="00C41BE7" w:rsidRPr="0026277C">
        <w:rPr>
          <w:rFonts w:ascii="Times New Roman" w:hAnsi="Times New Roman"/>
          <w:sz w:val="24"/>
        </w:rPr>
        <w:t>, quoted in</w:t>
      </w:r>
      <w:r w:rsidRPr="0026277C">
        <w:rPr>
          <w:rFonts w:ascii="Times New Roman" w:hAnsi="Times New Roman"/>
          <w:sz w:val="24"/>
        </w:rPr>
        <w:t xml:space="preserve"> </w:t>
      </w:r>
      <w:r w:rsidRPr="0026277C">
        <w:rPr>
          <w:rFonts w:ascii="Times New Roman" w:hAnsi="Times New Roman"/>
          <w:i/>
          <w:sz w:val="24"/>
        </w:rPr>
        <w:t xml:space="preserve">Buckley v Tutty </w:t>
      </w:r>
      <w:r w:rsidRPr="0026277C">
        <w:rPr>
          <w:rFonts w:ascii="Times New Roman" w:hAnsi="Times New Roman"/>
          <w:sz w:val="24"/>
        </w:rPr>
        <w:t>(1971) 125 CLR 353 at 381</w:t>
      </w:r>
      <w:r w:rsidR="00D534BD" w:rsidRPr="0026277C">
        <w:rPr>
          <w:rFonts w:ascii="Times New Roman" w:hAnsi="Times New Roman"/>
          <w:sz w:val="24"/>
        </w:rPr>
        <w:t xml:space="preserve">; </w:t>
      </w:r>
      <w:r w:rsidR="00D534BD" w:rsidRPr="0026277C">
        <w:rPr>
          <w:rFonts w:ascii="Times New Roman" w:hAnsi="Times New Roman"/>
          <w:i/>
          <w:sz w:val="24"/>
        </w:rPr>
        <w:t xml:space="preserve">Kuczborski </w:t>
      </w:r>
      <w:r w:rsidR="00D534BD" w:rsidRPr="0026277C">
        <w:rPr>
          <w:rFonts w:ascii="Times New Roman" w:hAnsi="Times New Roman"/>
          <w:sz w:val="24"/>
        </w:rPr>
        <w:t>(2014) 254 CLR 51 at 107 [178]</w:t>
      </w:r>
      <w:r w:rsidRPr="0026277C">
        <w:rPr>
          <w:rFonts w:ascii="Times New Roman" w:hAnsi="Times New Roman"/>
          <w:sz w:val="24"/>
        </w:rPr>
        <w:t xml:space="preserve">. </w:t>
      </w:r>
    </w:p>
  </w:footnote>
  <w:footnote w:id="55">
    <w:p w14:paraId="0E7127FD" w14:textId="47C3CACA" w:rsidR="00290C08" w:rsidRPr="0026277C" w:rsidRDefault="00290C0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(1981) 149 CLR 27</w:t>
      </w:r>
      <w:r w:rsidR="00F36DF0" w:rsidRPr="0026277C">
        <w:rPr>
          <w:rFonts w:ascii="Times New Roman" w:hAnsi="Times New Roman"/>
          <w:sz w:val="24"/>
        </w:rPr>
        <w:t xml:space="preserve"> at 36</w:t>
      </w:r>
      <w:r w:rsidR="001711AD" w:rsidRPr="0026277C">
        <w:rPr>
          <w:rFonts w:ascii="Times New Roman" w:hAnsi="Times New Roman"/>
          <w:sz w:val="24"/>
        </w:rPr>
        <w:t>-37</w:t>
      </w:r>
      <w:r w:rsidR="00D51951" w:rsidRPr="0026277C">
        <w:rPr>
          <w:rFonts w:ascii="Times New Roman" w:hAnsi="Times New Roman"/>
          <w:sz w:val="24"/>
        </w:rPr>
        <w:t>, 42</w:t>
      </w:r>
      <w:r w:rsidR="00DC15FA" w:rsidRPr="0026277C">
        <w:rPr>
          <w:rFonts w:ascii="Times New Roman" w:hAnsi="Times New Roman"/>
          <w:sz w:val="24"/>
        </w:rPr>
        <w:t>, 43</w:t>
      </w:r>
      <w:r w:rsidR="00E546F4" w:rsidRPr="0026277C">
        <w:rPr>
          <w:rFonts w:ascii="Times New Roman" w:hAnsi="Times New Roman"/>
          <w:sz w:val="24"/>
        </w:rPr>
        <w:t>, 45</w:t>
      </w:r>
      <w:r w:rsidR="001346F5" w:rsidRPr="0026277C">
        <w:rPr>
          <w:rFonts w:ascii="Times New Roman" w:hAnsi="Times New Roman"/>
          <w:sz w:val="24"/>
        </w:rPr>
        <w:t>, 62</w:t>
      </w:r>
      <w:r w:rsidR="00F3270E" w:rsidRPr="0026277C">
        <w:rPr>
          <w:rFonts w:ascii="Times New Roman" w:hAnsi="Times New Roman"/>
          <w:sz w:val="24"/>
        </w:rPr>
        <w:t>, 77</w:t>
      </w:r>
      <w:r w:rsidR="00521837" w:rsidRPr="0026277C">
        <w:rPr>
          <w:rFonts w:ascii="Times New Roman" w:hAnsi="Times New Roman"/>
          <w:sz w:val="24"/>
        </w:rPr>
        <w:t>-78</w:t>
      </w:r>
      <w:r w:rsidRPr="0026277C">
        <w:rPr>
          <w:rFonts w:ascii="Times New Roman" w:hAnsi="Times New Roman"/>
          <w:sz w:val="24"/>
        </w:rPr>
        <w:t xml:space="preserve">. </w:t>
      </w:r>
    </w:p>
  </w:footnote>
  <w:footnote w:id="56">
    <w:p w14:paraId="2617D294" w14:textId="3B7B775E" w:rsidR="00290C08" w:rsidRPr="0026277C" w:rsidRDefault="00290C0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See also </w:t>
      </w:r>
      <w:r w:rsidR="00F6409B" w:rsidRPr="0026277C">
        <w:rPr>
          <w:rFonts w:ascii="Times New Roman" w:hAnsi="Times New Roman"/>
          <w:i/>
          <w:iCs/>
          <w:sz w:val="24"/>
        </w:rPr>
        <w:t xml:space="preserve">Robinson v Western Australian Museum </w:t>
      </w:r>
      <w:r w:rsidR="00057555" w:rsidRPr="0026277C">
        <w:rPr>
          <w:rFonts w:ascii="Times New Roman" w:hAnsi="Times New Roman"/>
          <w:sz w:val="24"/>
        </w:rPr>
        <w:t>(1977) 138 CLR 283 at 301</w:t>
      </w:r>
      <w:r w:rsidR="00AA4E65" w:rsidRPr="0026277C">
        <w:rPr>
          <w:rFonts w:ascii="Times New Roman" w:hAnsi="Times New Roman"/>
          <w:sz w:val="24"/>
        </w:rPr>
        <w:t xml:space="preserve">-302; </w:t>
      </w:r>
      <w:r w:rsidRPr="0026277C">
        <w:rPr>
          <w:rFonts w:ascii="Times New Roman" w:hAnsi="Times New Roman"/>
          <w:i/>
          <w:sz w:val="24"/>
        </w:rPr>
        <w:t xml:space="preserve">Australian Conservation Foundation </w:t>
      </w:r>
      <w:r w:rsidRPr="0026277C">
        <w:rPr>
          <w:rFonts w:ascii="Times New Roman" w:hAnsi="Times New Roman"/>
          <w:sz w:val="24"/>
        </w:rPr>
        <w:t xml:space="preserve">(1980) 146 CLR 493 at </w:t>
      </w:r>
      <w:r w:rsidR="00B37D4B" w:rsidRPr="0026277C">
        <w:rPr>
          <w:rFonts w:ascii="Times New Roman" w:hAnsi="Times New Roman"/>
          <w:sz w:val="24"/>
        </w:rPr>
        <w:t xml:space="preserve">530, </w:t>
      </w:r>
      <w:r w:rsidR="00740C05" w:rsidRPr="0026277C">
        <w:rPr>
          <w:rFonts w:ascii="Times New Roman" w:hAnsi="Times New Roman"/>
          <w:sz w:val="24"/>
        </w:rPr>
        <w:t>547</w:t>
      </w:r>
      <w:r w:rsidRPr="0026277C">
        <w:rPr>
          <w:rFonts w:ascii="Times New Roman" w:hAnsi="Times New Roman"/>
          <w:sz w:val="24"/>
        </w:rPr>
        <w:t>.</w:t>
      </w:r>
    </w:p>
  </w:footnote>
  <w:footnote w:id="57">
    <w:p w14:paraId="2A3E431D" w14:textId="14DF9901" w:rsidR="00D7278E" w:rsidRPr="0026277C" w:rsidRDefault="00D7278E"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sz w:val="24"/>
        </w:rPr>
        <w:t>Toowoomba Foundry</w:t>
      </w:r>
      <w:r w:rsidR="009C0E00" w:rsidRPr="0026277C">
        <w:rPr>
          <w:rFonts w:ascii="Times New Roman" w:hAnsi="Times New Roman"/>
          <w:i/>
          <w:sz w:val="24"/>
        </w:rPr>
        <w:t xml:space="preserve"> </w:t>
      </w:r>
      <w:r w:rsidRPr="0026277C">
        <w:rPr>
          <w:rFonts w:ascii="Times New Roman" w:hAnsi="Times New Roman"/>
          <w:sz w:val="24"/>
        </w:rPr>
        <w:t xml:space="preserve">(1945) 71 CLR 545 at 570; </w:t>
      </w:r>
      <w:r w:rsidRPr="0026277C">
        <w:rPr>
          <w:rFonts w:ascii="Times New Roman" w:hAnsi="Times New Roman"/>
          <w:i/>
          <w:sz w:val="24"/>
        </w:rPr>
        <w:t xml:space="preserve">Croome </w:t>
      </w:r>
      <w:r w:rsidRPr="0026277C">
        <w:rPr>
          <w:rFonts w:ascii="Times New Roman" w:hAnsi="Times New Roman"/>
          <w:sz w:val="24"/>
        </w:rPr>
        <w:t xml:space="preserve">(1997) 191 CLR 119 at 126, 137. </w:t>
      </w:r>
    </w:p>
  </w:footnote>
  <w:footnote w:id="58">
    <w:p w14:paraId="30F3EA69" w14:textId="6D892E92" w:rsidR="00B133A1" w:rsidRPr="0026277C" w:rsidRDefault="00B133A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1E5440" w:rsidRPr="0026277C">
        <w:rPr>
          <w:rFonts w:ascii="Times New Roman" w:hAnsi="Times New Roman"/>
          <w:i/>
          <w:iCs/>
          <w:sz w:val="24"/>
        </w:rPr>
        <w:t>Electoral Legislation Amendment Act</w:t>
      </w:r>
      <w:r w:rsidR="001E5440" w:rsidRPr="0026277C">
        <w:rPr>
          <w:rFonts w:ascii="Times New Roman" w:hAnsi="Times New Roman"/>
          <w:sz w:val="24"/>
        </w:rPr>
        <w:t xml:space="preserve">. </w:t>
      </w:r>
      <w:r w:rsidR="00371636" w:rsidRPr="0026277C">
        <w:rPr>
          <w:rFonts w:ascii="Times New Roman" w:hAnsi="Times New Roman"/>
          <w:sz w:val="24"/>
        </w:rPr>
        <w:t xml:space="preserve">Item 12 </w:t>
      </w:r>
      <w:r w:rsidR="004C6075" w:rsidRPr="0026277C">
        <w:rPr>
          <w:rFonts w:ascii="Times New Roman" w:hAnsi="Times New Roman"/>
          <w:sz w:val="24"/>
        </w:rPr>
        <w:t>of</w:t>
      </w:r>
      <w:r w:rsidR="00371636" w:rsidRPr="0026277C">
        <w:rPr>
          <w:rFonts w:ascii="Times New Roman" w:hAnsi="Times New Roman"/>
          <w:sz w:val="24"/>
        </w:rPr>
        <w:t xml:space="preserve"> Sch 3 commenced by proclamation</w:t>
      </w:r>
      <w:r w:rsidR="003B09B8" w:rsidRPr="0026277C">
        <w:rPr>
          <w:rFonts w:ascii="Times New Roman" w:hAnsi="Times New Roman"/>
          <w:sz w:val="24"/>
        </w:rPr>
        <w:t xml:space="preserve"> of the Governor</w:t>
      </w:r>
      <w:r w:rsidR="00371636" w:rsidRPr="0026277C">
        <w:rPr>
          <w:rFonts w:ascii="Times New Roman" w:hAnsi="Times New Roman"/>
          <w:sz w:val="24"/>
        </w:rPr>
        <w:t xml:space="preserve"> on </w:t>
      </w:r>
      <w:r w:rsidR="00963469" w:rsidRPr="0026277C">
        <w:rPr>
          <w:rFonts w:ascii="Times New Roman" w:hAnsi="Times New Roman"/>
          <w:sz w:val="24"/>
        </w:rPr>
        <w:t xml:space="preserve">2 November 2022. </w:t>
      </w:r>
    </w:p>
  </w:footnote>
  <w:footnote w:id="59">
    <w:p w14:paraId="65CE6D69" w14:textId="565A4538" w:rsidR="009E2A29" w:rsidRPr="0026277C" w:rsidRDefault="009E2A29"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See </w:t>
      </w:r>
      <w:r w:rsidRPr="0026277C">
        <w:rPr>
          <w:rFonts w:ascii="Times New Roman" w:hAnsi="Times New Roman"/>
          <w:i/>
          <w:iCs/>
          <w:sz w:val="24"/>
        </w:rPr>
        <w:t xml:space="preserve">Smethurst </w:t>
      </w:r>
      <w:r w:rsidR="008F6C10" w:rsidRPr="0026277C">
        <w:rPr>
          <w:rFonts w:ascii="Times New Roman" w:hAnsi="Times New Roman"/>
          <w:sz w:val="24"/>
        </w:rPr>
        <w:t xml:space="preserve">(2020) 272 CLR 177 at </w:t>
      </w:r>
      <w:r w:rsidR="00584B8E" w:rsidRPr="0026277C">
        <w:rPr>
          <w:rFonts w:ascii="Times New Roman" w:hAnsi="Times New Roman"/>
          <w:sz w:val="24"/>
        </w:rPr>
        <w:t>223-224 [107]</w:t>
      </w:r>
      <w:r w:rsidR="00C26780" w:rsidRPr="0026277C">
        <w:rPr>
          <w:rFonts w:ascii="Times New Roman" w:hAnsi="Times New Roman"/>
          <w:sz w:val="24"/>
        </w:rPr>
        <w:t>.</w:t>
      </w:r>
    </w:p>
  </w:footnote>
  <w:footnote w:id="60">
    <w:p w14:paraId="660186F0" w14:textId="60FD65B2" w:rsidR="00AA44AE" w:rsidRPr="0026277C" w:rsidRDefault="00AA44AE"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A44C33" w:rsidRPr="0026277C">
        <w:rPr>
          <w:rFonts w:ascii="Times New Roman" w:hAnsi="Times New Roman"/>
          <w:sz w:val="24"/>
        </w:rPr>
        <w:t xml:space="preserve">See fn </w:t>
      </w:r>
      <w:r w:rsidR="0089007A" w:rsidRPr="0026277C">
        <w:rPr>
          <w:rFonts w:ascii="Times New Roman" w:hAnsi="Times New Roman"/>
          <w:sz w:val="24"/>
        </w:rPr>
        <w:t>4</w:t>
      </w:r>
      <w:r w:rsidR="00641203" w:rsidRPr="0026277C">
        <w:rPr>
          <w:rFonts w:ascii="Times New Roman" w:hAnsi="Times New Roman"/>
          <w:sz w:val="24"/>
        </w:rPr>
        <w:t>6</w:t>
      </w:r>
      <w:r w:rsidR="008877DA" w:rsidRPr="0026277C">
        <w:rPr>
          <w:rFonts w:ascii="Times New Roman" w:hAnsi="Times New Roman"/>
          <w:sz w:val="24"/>
        </w:rPr>
        <w:t xml:space="preserve"> </w:t>
      </w:r>
      <w:r w:rsidR="00A44C33" w:rsidRPr="0026277C">
        <w:rPr>
          <w:rFonts w:ascii="Times New Roman" w:hAnsi="Times New Roman"/>
          <w:sz w:val="24"/>
        </w:rPr>
        <w:t>above.</w:t>
      </w:r>
    </w:p>
  </w:footnote>
  <w:footnote w:id="61">
    <w:p w14:paraId="51D337EB" w14:textId="504BF0C1" w:rsidR="005466A2" w:rsidRPr="0026277C" w:rsidRDefault="005466A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15452D" w:rsidRPr="0026277C">
        <w:rPr>
          <w:rFonts w:ascii="Times New Roman" w:hAnsi="Times New Roman"/>
          <w:sz w:val="24"/>
        </w:rPr>
        <w:t xml:space="preserve">cf </w:t>
      </w:r>
      <w:r w:rsidRPr="0026277C">
        <w:rPr>
          <w:rFonts w:ascii="Times New Roman" w:hAnsi="Times New Roman"/>
          <w:i/>
          <w:iCs/>
          <w:sz w:val="24"/>
        </w:rPr>
        <w:t xml:space="preserve">Croome </w:t>
      </w:r>
      <w:r w:rsidRPr="0026277C">
        <w:rPr>
          <w:rFonts w:ascii="Times New Roman" w:hAnsi="Times New Roman"/>
          <w:sz w:val="24"/>
        </w:rPr>
        <w:t>(1997) 191 CLR 119 at 138.</w:t>
      </w:r>
    </w:p>
  </w:footnote>
  <w:footnote w:id="62">
    <w:p w14:paraId="76BCA949" w14:textId="4D33E7AC"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F84F45" w:rsidRPr="0026277C">
        <w:rPr>
          <w:rFonts w:ascii="Times New Roman" w:hAnsi="Times New Roman"/>
          <w:sz w:val="24"/>
        </w:rPr>
        <w:t xml:space="preserve">(1997) 191 CLR 119 at </w:t>
      </w:r>
      <w:r w:rsidR="0092016A" w:rsidRPr="0026277C">
        <w:rPr>
          <w:rFonts w:ascii="Times New Roman" w:hAnsi="Times New Roman"/>
          <w:sz w:val="24"/>
        </w:rPr>
        <w:t>127</w:t>
      </w:r>
      <w:r w:rsidR="008A6D30" w:rsidRPr="0026277C">
        <w:rPr>
          <w:rFonts w:ascii="Times New Roman" w:hAnsi="Times New Roman"/>
          <w:sz w:val="24"/>
        </w:rPr>
        <w:t>, 136-138</w:t>
      </w:r>
      <w:r w:rsidR="00861CEA" w:rsidRPr="0026277C">
        <w:rPr>
          <w:rFonts w:ascii="Times New Roman" w:hAnsi="Times New Roman"/>
          <w:sz w:val="24"/>
        </w:rPr>
        <w:t xml:space="preserve">. </w:t>
      </w:r>
      <w:r w:rsidR="00DE43CB" w:rsidRPr="0026277C">
        <w:rPr>
          <w:rFonts w:ascii="Times New Roman" w:hAnsi="Times New Roman"/>
          <w:sz w:val="24"/>
        </w:rPr>
        <w:t xml:space="preserve">See also </w:t>
      </w:r>
      <w:r w:rsidR="00DE43CB" w:rsidRPr="0026277C">
        <w:rPr>
          <w:rFonts w:ascii="Times New Roman" w:hAnsi="Times New Roman"/>
          <w:i/>
          <w:iCs/>
          <w:sz w:val="24"/>
        </w:rPr>
        <w:t>Brown</w:t>
      </w:r>
      <w:r w:rsidR="009C0E00" w:rsidRPr="0026277C">
        <w:rPr>
          <w:rFonts w:ascii="Times New Roman" w:hAnsi="Times New Roman"/>
          <w:i/>
          <w:iCs/>
          <w:sz w:val="24"/>
        </w:rPr>
        <w:t xml:space="preserve"> v Tasmania</w:t>
      </w:r>
      <w:r w:rsidR="00DE43CB" w:rsidRPr="0026277C">
        <w:rPr>
          <w:rFonts w:ascii="Times New Roman" w:hAnsi="Times New Roman"/>
          <w:i/>
          <w:iCs/>
          <w:sz w:val="24"/>
        </w:rPr>
        <w:t xml:space="preserve"> </w:t>
      </w:r>
      <w:r w:rsidR="00DE43CB" w:rsidRPr="0026277C">
        <w:rPr>
          <w:rFonts w:ascii="Times New Roman" w:hAnsi="Times New Roman"/>
          <w:sz w:val="24"/>
        </w:rPr>
        <w:t xml:space="preserve">(2017) 261 CLR 328 at 343 [17]. </w:t>
      </w:r>
      <w:r w:rsidR="00861CEA" w:rsidRPr="0026277C">
        <w:rPr>
          <w:rFonts w:ascii="Times New Roman" w:hAnsi="Times New Roman"/>
          <w:sz w:val="24"/>
        </w:rPr>
        <w:t>cf</w:t>
      </w:r>
      <w:r w:rsidR="00F84F45" w:rsidRPr="0026277C">
        <w:rPr>
          <w:rFonts w:ascii="Times New Roman" w:hAnsi="Times New Roman"/>
          <w:sz w:val="24"/>
        </w:rPr>
        <w:t xml:space="preserve"> </w:t>
      </w:r>
      <w:r w:rsidRPr="0026277C">
        <w:rPr>
          <w:rFonts w:ascii="Times New Roman" w:hAnsi="Times New Roman"/>
          <w:i/>
          <w:sz w:val="24"/>
        </w:rPr>
        <w:t xml:space="preserve">Kuczborski </w:t>
      </w:r>
      <w:r w:rsidRPr="0026277C">
        <w:rPr>
          <w:rFonts w:ascii="Times New Roman" w:hAnsi="Times New Roman"/>
          <w:sz w:val="24"/>
        </w:rPr>
        <w:t>(2014) 254 CLR 51 at 107 [1</w:t>
      </w:r>
      <w:r w:rsidR="00740FD6" w:rsidRPr="0026277C">
        <w:rPr>
          <w:rFonts w:ascii="Times New Roman" w:hAnsi="Times New Roman"/>
          <w:sz w:val="24"/>
        </w:rPr>
        <w:t>7</w:t>
      </w:r>
      <w:r w:rsidRPr="0026277C">
        <w:rPr>
          <w:rFonts w:ascii="Times New Roman" w:hAnsi="Times New Roman"/>
          <w:sz w:val="24"/>
        </w:rPr>
        <w:t xml:space="preserve">8]. </w:t>
      </w:r>
    </w:p>
  </w:footnote>
  <w:footnote w:id="63">
    <w:p w14:paraId="3EB75306" w14:textId="57047F28"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Australian Conservation Foundation </w:t>
      </w:r>
      <w:r w:rsidRPr="0026277C">
        <w:rPr>
          <w:rFonts w:ascii="Times New Roman" w:hAnsi="Times New Roman"/>
          <w:sz w:val="24"/>
        </w:rPr>
        <w:t>(1980) 146 CLR 493 at 530.</w:t>
      </w:r>
    </w:p>
  </w:footnote>
  <w:footnote w:id="64">
    <w:p w14:paraId="19F8F09D" w14:textId="73110D68"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9E0A61" w:rsidRPr="0026277C">
        <w:rPr>
          <w:rFonts w:ascii="Times New Roman" w:hAnsi="Times New Roman"/>
          <w:sz w:val="24"/>
        </w:rPr>
        <w:t xml:space="preserve">See </w:t>
      </w:r>
      <w:r w:rsidRPr="0026277C">
        <w:rPr>
          <w:rFonts w:ascii="Times New Roman" w:hAnsi="Times New Roman"/>
          <w:i/>
          <w:iCs/>
          <w:sz w:val="24"/>
        </w:rPr>
        <w:t xml:space="preserve">Wragg v New South Wales </w:t>
      </w:r>
      <w:r w:rsidRPr="0026277C">
        <w:rPr>
          <w:rFonts w:ascii="Times New Roman" w:hAnsi="Times New Roman"/>
          <w:sz w:val="24"/>
        </w:rPr>
        <w:t xml:space="preserve">(1953) 88 CLR 353 at </w:t>
      </w:r>
      <w:r w:rsidR="00495E61" w:rsidRPr="0026277C">
        <w:rPr>
          <w:rFonts w:ascii="Times New Roman" w:hAnsi="Times New Roman"/>
          <w:sz w:val="24"/>
        </w:rPr>
        <w:t>370-</w:t>
      </w:r>
      <w:r w:rsidRPr="0026277C">
        <w:rPr>
          <w:rFonts w:ascii="Times New Roman" w:hAnsi="Times New Roman"/>
          <w:sz w:val="24"/>
        </w:rPr>
        <w:t>371</w:t>
      </w:r>
      <w:r w:rsidR="00FB39CD" w:rsidRPr="0026277C">
        <w:rPr>
          <w:rFonts w:ascii="Times New Roman" w:hAnsi="Times New Roman"/>
          <w:sz w:val="24"/>
        </w:rPr>
        <w:t>;</w:t>
      </w:r>
      <w:r w:rsidRPr="0026277C">
        <w:rPr>
          <w:rFonts w:ascii="Times New Roman" w:hAnsi="Times New Roman"/>
          <w:sz w:val="24"/>
        </w:rPr>
        <w:t xml:space="preserve"> </w:t>
      </w:r>
      <w:r w:rsidR="00EB1274" w:rsidRPr="0026277C">
        <w:rPr>
          <w:rFonts w:ascii="Times New Roman" w:hAnsi="Times New Roman"/>
          <w:i/>
          <w:sz w:val="24"/>
        </w:rPr>
        <w:t xml:space="preserve">Plaintiff M68 </w:t>
      </w:r>
      <w:r w:rsidR="00EB1274" w:rsidRPr="0026277C">
        <w:rPr>
          <w:rFonts w:ascii="Times New Roman" w:hAnsi="Times New Roman"/>
          <w:sz w:val="24"/>
        </w:rPr>
        <w:t>(2016) 257 CLR 42 at 66 [23], 76 [64], 123 [235].</w:t>
      </w:r>
    </w:p>
  </w:footnote>
  <w:footnote w:id="65">
    <w:p w14:paraId="7E336BEE" w14:textId="678F4BB5"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Plaintiff M68 </w:t>
      </w:r>
      <w:r w:rsidRPr="0026277C">
        <w:rPr>
          <w:rFonts w:ascii="Times New Roman" w:hAnsi="Times New Roman"/>
          <w:sz w:val="24"/>
        </w:rPr>
        <w:t xml:space="preserve">(2016) 257 CLR 42 at </w:t>
      </w:r>
      <w:r w:rsidR="00E87D4C" w:rsidRPr="0026277C">
        <w:rPr>
          <w:rFonts w:ascii="Times New Roman" w:hAnsi="Times New Roman"/>
          <w:sz w:val="24"/>
        </w:rPr>
        <w:t xml:space="preserve">64-65 [19], </w:t>
      </w:r>
      <w:r w:rsidR="00044C81" w:rsidRPr="0026277C">
        <w:rPr>
          <w:rFonts w:ascii="Times New Roman" w:hAnsi="Times New Roman"/>
          <w:sz w:val="24"/>
        </w:rPr>
        <w:t>65-</w:t>
      </w:r>
      <w:r w:rsidRPr="0026277C">
        <w:rPr>
          <w:rFonts w:ascii="Times New Roman" w:hAnsi="Times New Roman"/>
          <w:sz w:val="24"/>
        </w:rPr>
        <w:t>66 [23], 90 [</w:t>
      </w:r>
      <w:r w:rsidR="00810C8E" w:rsidRPr="0026277C">
        <w:rPr>
          <w:rFonts w:ascii="Times New Roman" w:hAnsi="Times New Roman"/>
          <w:sz w:val="24"/>
        </w:rPr>
        <w:t>111]-</w:t>
      </w:r>
      <w:r w:rsidRPr="0026277C">
        <w:rPr>
          <w:rFonts w:ascii="Times New Roman" w:hAnsi="Times New Roman"/>
          <w:sz w:val="24"/>
        </w:rPr>
        <w:t>[112]</w:t>
      </w:r>
      <w:r w:rsidR="000E417E" w:rsidRPr="0026277C">
        <w:rPr>
          <w:rFonts w:ascii="Times New Roman" w:hAnsi="Times New Roman"/>
          <w:sz w:val="24"/>
        </w:rPr>
        <w:t>, 123</w:t>
      </w:r>
      <w:r w:rsidR="00F06FE8">
        <w:rPr>
          <w:rFonts w:ascii="Times New Roman" w:hAnsi="Times New Roman"/>
          <w:sz w:val="24"/>
        </w:rPr>
        <w:t> </w:t>
      </w:r>
      <w:r w:rsidR="00A52949" w:rsidRPr="0026277C">
        <w:rPr>
          <w:rFonts w:ascii="Times New Roman" w:hAnsi="Times New Roman"/>
          <w:sz w:val="24"/>
        </w:rPr>
        <w:t>[235</w:t>
      </w:r>
      <w:r w:rsidRPr="0026277C">
        <w:rPr>
          <w:rFonts w:ascii="Times New Roman" w:hAnsi="Times New Roman"/>
          <w:sz w:val="24"/>
        </w:rPr>
        <w:t>].</w:t>
      </w:r>
    </w:p>
  </w:footnote>
  <w:footnote w:id="66">
    <w:p w14:paraId="15C092CF" w14:textId="3C99A571"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Plaintiff M68 </w:t>
      </w:r>
      <w:r w:rsidRPr="0026277C">
        <w:rPr>
          <w:rFonts w:ascii="Times New Roman" w:hAnsi="Times New Roman"/>
          <w:sz w:val="24"/>
        </w:rPr>
        <w:t xml:space="preserve">(2016) 257 CLR 42 at </w:t>
      </w:r>
      <w:r w:rsidR="00A646F0" w:rsidRPr="0026277C">
        <w:rPr>
          <w:rFonts w:ascii="Times New Roman" w:hAnsi="Times New Roman"/>
          <w:sz w:val="24"/>
        </w:rPr>
        <w:t xml:space="preserve">123 </w:t>
      </w:r>
      <w:r w:rsidR="000E417E" w:rsidRPr="0026277C">
        <w:rPr>
          <w:rFonts w:ascii="Times New Roman" w:hAnsi="Times New Roman"/>
          <w:sz w:val="24"/>
        </w:rPr>
        <w:t xml:space="preserve">[235], </w:t>
      </w:r>
      <w:r w:rsidR="00EF4F78" w:rsidRPr="0026277C">
        <w:rPr>
          <w:rFonts w:ascii="Times New Roman" w:hAnsi="Times New Roman"/>
          <w:sz w:val="24"/>
        </w:rPr>
        <w:t xml:space="preserve">quoting </w:t>
      </w:r>
      <w:r w:rsidRPr="0026277C">
        <w:rPr>
          <w:rFonts w:ascii="Times New Roman" w:hAnsi="Times New Roman"/>
          <w:i/>
          <w:iCs/>
          <w:sz w:val="24"/>
        </w:rPr>
        <w:t xml:space="preserve">Wragg </w:t>
      </w:r>
      <w:r w:rsidRPr="0026277C">
        <w:rPr>
          <w:rFonts w:ascii="Times New Roman" w:hAnsi="Times New Roman"/>
          <w:sz w:val="24"/>
        </w:rPr>
        <w:t>(1953) 88 CLR 353 at 371</w:t>
      </w:r>
      <w:r w:rsidR="000E417E" w:rsidRPr="0026277C">
        <w:rPr>
          <w:rFonts w:ascii="Times New Roman" w:hAnsi="Times New Roman"/>
          <w:sz w:val="24"/>
        </w:rPr>
        <w:t>; see also 66 [23], 76 [64], 90 [112]</w:t>
      </w:r>
      <w:r w:rsidRPr="0026277C">
        <w:rPr>
          <w:rFonts w:ascii="Times New Roman" w:hAnsi="Times New Roman"/>
          <w:sz w:val="24"/>
        </w:rPr>
        <w:t>.</w:t>
      </w:r>
      <w:r w:rsidR="00B73353" w:rsidRPr="0026277C">
        <w:rPr>
          <w:rFonts w:ascii="Times New Roman" w:hAnsi="Times New Roman"/>
          <w:sz w:val="24"/>
        </w:rPr>
        <w:t xml:space="preserve"> See also </w:t>
      </w:r>
      <w:r w:rsidR="00B73353" w:rsidRPr="0026277C">
        <w:rPr>
          <w:rFonts w:ascii="Times New Roman" w:hAnsi="Times New Roman"/>
          <w:i/>
          <w:sz w:val="24"/>
        </w:rPr>
        <w:t xml:space="preserve">Brown </w:t>
      </w:r>
      <w:r w:rsidR="00B73353" w:rsidRPr="0026277C">
        <w:rPr>
          <w:rFonts w:ascii="Times New Roman" w:hAnsi="Times New Roman"/>
          <w:sz w:val="24"/>
        </w:rPr>
        <w:t xml:space="preserve">(2017) 261 CLR 328 at </w:t>
      </w:r>
      <w:r w:rsidR="00574A6A" w:rsidRPr="0026277C">
        <w:rPr>
          <w:rFonts w:ascii="Times New Roman" w:hAnsi="Times New Roman"/>
          <w:sz w:val="24"/>
        </w:rPr>
        <w:t>343 [17].</w:t>
      </w:r>
    </w:p>
  </w:footnote>
  <w:footnote w:id="67">
    <w:p w14:paraId="253F38A8" w14:textId="79DE4A17" w:rsidR="002C7217" w:rsidRPr="0026277C" w:rsidRDefault="002C7217"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cf </w:t>
      </w:r>
      <w:r w:rsidRPr="0026277C">
        <w:rPr>
          <w:rFonts w:ascii="Times New Roman" w:hAnsi="Times New Roman"/>
          <w:i/>
          <w:iCs/>
          <w:sz w:val="24"/>
        </w:rPr>
        <w:t>City of Mesquite v Aladdin's Castle, Inc</w:t>
      </w:r>
      <w:r w:rsidR="00CE0723" w:rsidRPr="0026277C">
        <w:rPr>
          <w:rFonts w:ascii="Times New Roman" w:hAnsi="Times New Roman"/>
          <w:i/>
          <w:iCs/>
          <w:sz w:val="24"/>
        </w:rPr>
        <w:t xml:space="preserve"> </w:t>
      </w:r>
      <w:r w:rsidR="00CE0723" w:rsidRPr="0026277C">
        <w:rPr>
          <w:rFonts w:ascii="Times New Roman" w:hAnsi="Times New Roman"/>
          <w:sz w:val="24"/>
        </w:rPr>
        <w:t>(1982)</w:t>
      </w:r>
      <w:r w:rsidRPr="0026277C">
        <w:rPr>
          <w:rFonts w:ascii="Times New Roman" w:hAnsi="Times New Roman"/>
          <w:i/>
          <w:iCs/>
          <w:sz w:val="24"/>
        </w:rPr>
        <w:t xml:space="preserve"> </w:t>
      </w:r>
      <w:r w:rsidRPr="0026277C">
        <w:rPr>
          <w:rFonts w:ascii="Times New Roman" w:hAnsi="Times New Roman"/>
          <w:sz w:val="24"/>
        </w:rPr>
        <w:t>455 US 283 at 289</w:t>
      </w:r>
      <w:r w:rsidR="00384F82" w:rsidRPr="0026277C">
        <w:rPr>
          <w:rFonts w:ascii="Times New Roman" w:hAnsi="Times New Roman"/>
          <w:sz w:val="24"/>
        </w:rPr>
        <w:t xml:space="preserve">; </w:t>
      </w:r>
      <w:r w:rsidR="00384F82" w:rsidRPr="0026277C">
        <w:rPr>
          <w:rFonts w:ascii="Times New Roman" w:hAnsi="Times New Roman"/>
          <w:i/>
          <w:sz w:val="24"/>
        </w:rPr>
        <w:t>Northeastern</w:t>
      </w:r>
      <w:r w:rsidR="00F06FE8">
        <w:rPr>
          <w:rFonts w:ascii="Times New Roman" w:hAnsi="Times New Roman"/>
          <w:i/>
          <w:sz w:val="24"/>
        </w:rPr>
        <w:t> </w:t>
      </w:r>
      <w:r w:rsidR="00384F82" w:rsidRPr="0026277C">
        <w:rPr>
          <w:rFonts w:ascii="Times New Roman" w:hAnsi="Times New Roman"/>
          <w:i/>
          <w:sz w:val="24"/>
        </w:rPr>
        <w:t>Florida Chapter</w:t>
      </w:r>
      <w:r w:rsidR="00F14AD0" w:rsidRPr="0026277C">
        <w:rPr>
          <w:rFonts w:ascii="Times New Roman" w:hAnsi="Times New Roman"/>
          <w:i/>
          <w:sz w:val="24"/>
        </w:rPr>
        <w:t xml:space="preserve"> of the Associated General Contractors of America</w:t>
      </w:r>
      <w:r w:rsidR="00384F82" w:rsidRPr="0026277C">
        <w:rPr>
          <w:rFonts w:ascii="Times New Roman" w:hAnsi="Times New Roman"/>
          <w:i/>
          <w:sz w:val="24"/>
        </w:rPr>
        <w:t xml:space="preserve"> v City of Jacksonville</w:t>
      </w:r>
      <w:r w:rsidR="00DF77C8" w:rsidRPr="0026277C">
        <w:rPr>
          <w:rFonts w:ascii="Times New Roman" w:hAnsi="Times New Roman"/>
          <w:i/>
          <w:sz w:val="24"/>
        </w:rPr>
        <w:t>, Florida</w:t>
      </w:r>
      <w:r w:rsidR="00CE0723" w:rsidRPr="0026277C">
        <w:rPr>
          <w:rFonts w:ascii="Times New Roman" w:hAnsi="Times New Roman"/>
          <w:i/>
          <w:sz w:val="24"/>
        </w:rPr>
        <w:t xml:space="preserve"> </w:t>
      </w:r>
      <w:r w:rsidR="00CE0723" w:rsidRPr="0026277C">
        <w:rPr>
          <w:rFonts w:ascii="Times New Roman" w:hAnsi="Times New Roman"/>
          <w:sz w:val="24"/>
        </w:rPr>
        <w:t>(1993)</w:t>
      </w:r>
      <w:r w:rsidR="00384F82" w:rsidRPr="0026277C">
        <w:rPr>
          <w:rFonts w:ascii="Times New Roman" w:hAnsi="Times New Roman"/>
          <w:i/>
          <w:sz w:val="24"/>
        </w:rPr>
        <w:t xml:space="preserve"> </w:t>
      </w:r>
      <w:r w:rsidR="00384F82" w:rsidRPr="0026277C">
        <w:rPr>
          <w:rFonts w:ascii="Times New Roman" w:hAnsi="Times New Roman"/>
          <w:sz w:val="24"/>
        </w:rPr>
        <w:t>508 US 656 at 661-662</w:t>
      </w:r>
      <w:r w:rsidRPr="0026277C">
        <w:rPr>
          <w:rFonts w:ascii="Times New Roman" w:hAnsi="Times New Roman"/>
          <w:sz w:val="24"/>
        </w:rPr>
        <w:t>.</w:t>
      </w:r>
      <w:r w:rsidR="00236D2F" w:rsidRPr="0026277C">
        <w:rPr>
          <w:rFonts w:ascii="Times New Roman" w:hAnsi="Times New Roman"/>
          <w:sz w:val="24"/>
        </w:rPr>
        <w:t xml:space="preserve"> cf </w:t>
      </w:r>
      <w:r w:rsidR="00C82B56" w:rsidRPr="0026277C">
        <w:rPr>
          <w:rFonts w:ascii="Times New Roman" w:hAnsi="Times New Roman"/>
          <w:i/>
          <w:iCs/>
          <w:sz w:val="24"/>
        </w:rPr>
        <w:t xml:space="preserve">Massachusetts v Oakes </w:t>
      </w:r>
      <w:r w:rsidR="00C82B56" w:rsidRPr="0026277C">
        <w:rPr>
          <w:rFonts w:ascii="Times New Roman" w:hAnsi="Times New Roman"/>
          <w:sz w:val="24"/>
        </w:rPr>
        <w:t>(1989) 491 US 576 at 582-584</w:t>
      </w:r>
      <w:r w:rsidR="002C58C7" w:rsidRPr="0026277C">
        <w:rPr>
          <w:rFonts w:ascii="Times New Roman" w:hAnsi="Times New Roman"/>
          <w:sz w:val="24"/>
        </w:rPr>
        <w:t>, 586</w:t>
      </w:r>
      <w:r w:rsidR="00C82B56" w:rsidRPr="0026277C">
        <w:rPr>
          <w:rFonts w:ascii="Times New Roman" w:hAnsi="Times New Roman"/>
          <w:sz w:val="24"/>
        </w:rPr>
        <w:t xml:space="preserve">. </w:t>
      </w:r>
    </w:p>
  </w:footnote>
  <w:footnote w:id="68">
    <w:p w14:paraId="17CCC0BB" w14:textId="7C66FAEA" w:rsidR="000F5060" w:rsidRPr="0026277C" w:rsidRDefault="000F5060"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B0214B" w:rsidRPr="0026277C">
        <w:rPr>
          <w:rFonts w:ascii="Times New Roman" w:hAnsi="Times New Roman"/>
          <w:i/>
          <w:iCs/>
          <w:sz w:val="24"/>
        </w:rPr>
        <w:t xml:space="preserve">Prebble v Television New Zealand Ltd </w:t>
      </w:r>
      <w:r w:rsidR="00B0214B" w:rsidRPr="0026277C">
        <w:rPr>
          <w:rFonts w:ascii="Times New Roman" w:hAnsi="Times New Roman"/>
          <w:sz w:val="24"/>
        </w:rPr>
        <w:t>[199</w:t>
      </w:r>
      <w:r w:rsidR="00B716AD" w:rsidRPr="0026277C">
        <w:rPr>
          <w:rFonts w:ascii="Times New Roman" w:hAnsi="Times New Roman"/>
          <w:sz w:val="24"/>
        </w:rPr>
        <w:t>5] 1 AC 321 at 332</w:t>
      </w:r>
      <w:r w:rsidRPr="0026277C">
        <w:rPr>
          <w:rFonts w:ascii="Times New Roman" w:hAnsi="Times New Roman"/>
          <w:sz w:val="24"/>
        </w:rPr>
        <w:t>.</w:t>
      </w:r>
      <w:r w:rsidR="00B716AD" w:rsidRPr="0026277C">
        <w:rPr>
          <w:rFonts w:ascii="Times New Roman" w:hAnsi="Times New Roman"/>
          <w:sz w:val="24"/>
        </w:rPr>
        <w:t xml:space="preserve"> </w:t>
      </w:r>
    </w:p>
  </w:footnote>
  <w:footnote w:id="69">
    <w:p w14:paraId="2576C472" w14:textId="2ECDD70E" w:rsidR="00D80AD1" w:rsidRPr="0026277C" w:rsidRDefault="00D80AD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t xml:space="preserve">See generally </w:t>
      </w:r>
      <w:r w:rsidR="00B014DC" w:rsidRPr="0026277C">
        <w:rPr>
          <w:rFonts w:ascii="Times New Roman" w:hAnsi="Times New Roman"/>
          <w:i/>
          <w:iCs/>
          <w:sz w:val="24"/>
        </w:rPr>
        <w:t xml:space="preserve">Osborne v The Commonwealth </w:t>
      </w:r>
      <w:r w:rsidR="00B014DC" w:rsidRPr="0026277C">
        <w:rPr>
          <w:rFonts w:ascii="Times New Roman" w:hAnsi="Times New Roman"/>
          <w:sz w:val="24"/>
        </w:rPr>
        <w:t xml:space="preserve">(1911) 12 CLR 321 </w:t>
      </w:r>
      <w:r w:rsidR="00794F93" w:rsidRPr="0026277C">
        <w:rPr>
          <w:rFonts w:ascii="Times New Roman" w:hAnsi="Times New Roman"/>
          <w:sz w:val="24"/>
        </w:rPr>
        <w:t xml:space="preserve">at 351-352, 356; </w:t>
      </w:r>
      <w:r w:rsidR="00DB6237" w:rsidRPr="0026277C">
        <w:rPr>
          <w:rFonts w:ascii="Times New Roman" w:hAnsi="Times New Roman"/>
          <w:i/>
          <w:sz w:val="24"/>
        </w:rPr>
        <w:t xml:space="preserve">Hughes and Vale Pty Ltd v Gair </w:t>
      </w:r>
      <w:r w:rsidR="00DB6237" w:rsidRPr="0026277C">
        <w:rPr>
          <w:rFonts w:ascii="Times New Roman" w:hAnsi="Times New Roman"/>
          <w:sz w:val="24"/>
        </w:rPr>
        <w:t xml:space="preserve">(1954) </w:t>
      </w:r>
      <w:r w:rsidR="009717E0" w:rsidRPr="0026277C">
        <w:rPr>
          <w:rFonts w:ascii="Times New Roman" w:hAnsi="Times New Roman"/>
          <w:sz w:val="24"/>
        </w:rPr>
        <w:t xml:space="preserve">90 CLR 203 at 205; </w:t>
      </w:r>
      <w:r w:rsidR="00421F0A" w:rsidRPr="0026277C">
        <w:rPr>
          <w:rFonts w:ascii="Times New Roman" w:hAnsi="Times New Roman"/>
          <w:i/>
          <w:sz w:val="24"/>
        </w:rPr>
        <w:t xml:space="preserve">Cormack v Cope </w:t>
      </w:r>
      <w:r w:rsidR="00421F0A" w:rsidRPr="0026277C">
        <w:rPr>
          <w:rFonts w:ascii="Times New Roman" w:hAnsi="Times New Roman"/>
          <w:sz w:val="24"/>
        </w:rPr>
        <w:t>(1974) 131 CLR 432</w:t>
      </w:r>
      <w:r w:rsidR="00CE30AD" w:rsidRPr="0026277C">
        <w:rPr>
          <w:rFonts w:ascii="Times New Roman" w:hAnsi="Times New Roman"/>
          <w:sz w:val="24"/>
        </w:rPr>
        <w:t xml:space="preserve"> at 453</w:t>
      </w:r>
      <w:r w:rsidR="001822B5" w:rsidRPr="0026277C">
        <w:rPr>
          <w:rFonts w:ascii="Times New Roman" w:hAnsi="Times New Roman"/>
          <w:sz w:val="24"/>
        </w:rPr>
        <w:t>-454</w:t>
      </w:r>
      <w:r w:rsidR="00CE1DE1" w:rsidRPr="0026277C">
        <w:rPr>
          <w:rFonts w:ascii="Times New Roman" w:hAnsi="Times New Roman"/>
          <w:sz w:val="24"/>
        </w:rPr>
        <w:t>, 464</w:t>
      </w:r>
      <w:r w:rsidR="007C3FFD" w:rsidRPr="0026277C">
        <w:rPr>
          <w:rFonts w:ascii="Times New Roman" w:hAnsi="Times New Roman"/>
          <w:sz w:val="24"/>
        </w:rPr>
        <w:t>-465</w:t>
      </w:r>
      <w:r w:rsidR="00D9454F" w:rsidRPr="0026277C">
        <w:rPr>
          <w:rFonts w:ascii="Times New Roman" w:hAnsi="Times New Roman"/>
          <w:sz w:val="24"/>
        </w:rPr>
        <w:t>.</w:t>
      </w:r>
    </w:p>
  </w:footnote>
  <w:footnote w:id="70">
    <w:p w14:paraId="0666CE43" w14:textId="5EAE55C5" w:rsidR="00157E02" w:rsidRPr="0026277C" w:rsidRDefault="00157E0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Unions [No 1] </w:t>
      </w:r>
      <w:r w:rsidRPr="0026277C">
        <w:rPr>
          <w:rFonts w:ascii="Times New Roman" w:hAnsi="Times New Roman"/>
          <w:sz w:val="24"/>
        </w:rPr>
        <w:t>(2013) 252 CLR 530</w:t>
      </w:r>
      <w:r w:rsidRPr="0026277C">
        <w:rPr>
          <w:rFonts w:ascii="Times New Roman" w:hAnsi="Times New Roman"/>
          <w:i/>
          <w:iCs/>
          <w:sz w:val="24"/>
        </w:rPr>
        <w:t xml:space="preserve"> </w:t>
      </w:r>
      <w:r w:rsidRPr="0026277C">
        <w:rPr>
          <w:rFonts w:ascii="Times New Roman" w:hAnsi="Times New Roman"/>
          <w:sz w:val="24"/>
        </w:rPr>
        <w:t xml:space="preserve">at 560 [61], 584-585 [161]-[163]; </w:t>
      </w:r>
      <w:r w:rsidRPr="0026277C">
        <w:rPr>
          <w:rFonts w:ascii="Times New Roman" w:hAnsi="Times New Roman"/>
          <w:i/>
          <w:sz w:val="24"/>
        </w:rPr>
        <w:t>Unions</w:t>
      </w:r>
      <w:r w:rsidR="00623DBB">
        <w:rPr>
          <w:rFonts w:ascii="Times New Roman" w:hAnsi="Times New Roman"/>
          <w:i/>
          <w:sz w:val="24"/>
        </w:rPr>
        <w:t> </w:t>
      </w:r>
      <w:r w:rsidRPr="0026277C">
        <w:rPr>
          <w:rFonts w:ascii="Times New Roman" w:hAnsi="Times New Roman"/>
          <w:i/>
          <w:sz w:val="24"/>
        </w:rPr>
        <w:t>[No</w:t>
      </w:r>
      <w:r w:rsidR="00623DBB">
        <w:rPr>
          <w:rFonts w:ascii="Times New Roman" w:hAnsi="Times New Roman"/>
          <w:i/>
          <w:sz w:val="24"/>
        </w:rPr>
        <w:t> </w:t>
      </w:r>
      <w:r w:rsidRPr="0026277C">
        <w:rPr>
          <w:rFonts w:ascii="Times New Roman" w:hAnsi="Times New Roman"/>
          <w:i/>
          <w:sz w:val="24"/>
        </w:rPr>
        <w:t xml:space="preserve">2] </w:t>
      </w:r>
      <w:r w:rsidRPr="0026277C">
        <w:rPr>
          <w:rFonts w:ascii="Times New Roman" w:hAnsi="Times New Roman"/>
          <w:sz w:val="24"/>
        </w:rPr>
        <w:t>(2019) 264 CLR 595 at 607-608 [15]</w:t>
      </w:r>
      <w:r w:rsidR="000606F4" w:rsidRPr="0026277C">
        <w:rPr>
          <w:rFonts w:ascii="Times New Roman" w:hAnsi="Times New Roman"/>
          <w:sz w:val="24"/>
        </w:rPr>
        <w:t>,</w:t>
      </w:r>
      <w:r w:rsidR="00A5452A" w:rsidRPr="0026277C">
        <w:rPr>
          <w:rFonts w:ascii="Times New Roman" w:hAnsi="Times New Roman"/>
          <w:sz w:val="24"/>
        </w:rPr>
        <w:t xml:space="preserve"> </w:t>
      </w:r>
      <w:r w:rsidR="00C56C86" w:rsidRPr="0026277C">
        <w:rPr>
          <w:rFonts w:ascii="Times New Roman" w:hAnsi="Times New Roman"/>
          <w:sz w:val="24"/>
        </w:rPr>
        <w:t xml:space="preserve">632 [96], </w:t>
      </w:r>
      <w:r w:rsidR="00316BC8" w:rsidRPr="0026277C">
        <w:rPr>
          <w:rFonts w:ascii="Times New Roman" w:hAnsi="Times New Roman"/>
          <w:sz w:val="24"/>
        </w:rPr>
        <w:t>646</w:t>
      </w:r>
      <w:r w:rsidR="00F454AE" w:rsidRPr="0026277C">
        <w:rPr>
          <w:rFonts w:ascii="Times New Roman" w:hAnsi="Times New Roman"/>
          <w:sz w:val="24"/>
        </w:rPr>
        <w:t>-647</w:t>
      </w:r>
      <w:r w:rsidR="00316BC8" w:rsidRPr="0026277C">
        <w:rPr>
          <w:rFonts w:ascii="Times New Roman" w:hAnsi="Times New Roman"/>
          <w:sz w:val="24"/>
        </w:rPr>
        <w:t xml:space="preserve"> [138]</w:t>
      </w:r>
      <w:r w:rsidR="00F454AE" w:rsidRPr="0026277C">
        <w:rPr>
          <w:rFonts w:ascii="Times New Roman" w:hAnsi="Times New Roman"/>
          <w:sz w:val="24"/>
        </w:rPr>
        <w:t>-[140]</w:t>
      </w:r>
      <w:r w:rsidR="00B62AE4" w:rsidRPr="0026277C">
        <w:rPr>
          <w:rFonts w:ascii="Times New Roman" w:hAnsi="Times New Roman"/>
          <w:sz w:val="24"/>
        </w:rPr>
        <w:t>, 655 [16</w:t>
      </w:r>
      <w:r w:rsidR="000F477A" w:rsidRPr="0026277C">
        <w:rPr>
          <w:rFonts w:ascii="Times New Roman" w:hAnsi="Times New Roman"/>
          <w:sz w:val="24"/>
        </w:rPr>
        <w:t>4</w:t>
      </w:r>
      <w:r w:rsidR="00B62AE4" w:rsidRPr="0026277C">
        <w:rPr>
          <w:rFonts w:ascii="Times New Roman" w:hAnsi="Times New Roman"/>
          <w:sz w:val="24"/>
        </w:rPr>
        <w:t>].</w:t>
      </w:r>
      <w:r w:rsidRPr="0026277C">
        <w:rPr>
          <w:rFonts w:ascii="Times New Roman" w:hAnsi="Times New Roman"/>
          <w:sz w:val="24"/>
        </w:rPr>
        <w:t xml:space="preserve"> </w:t>
      </w:r>
    </w:p>
  </w:footnote>
  <w:footnote w:id="71">
    <w:p w14:paraId="3103A307" w14:textId="513CA241" w:rsidR="00157E02" w:rsidRPr="0026277C" w:rsidRDefault="00157E02"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i/>
          <w:iCs/>
          <w:sz w:val="24"/>
        </w:rPr>
        <w:tab/>
        <w:t xml:space="preserve">Lange </w:t>
      </w:r>
      <w:r w:rsidRPr="0026277C">
        <w:rPr>
          <w:rFonts w:ascii="Times New Roman" w:hAnsi="Times New Roman"/>
          <w:sz w:val="24"/>
        </w:rPr>
        <w:t xml:space="preserve">(1997) 189 CLR 520 at 567-568; </w:t>
      </w:r>
      <w:r w:rsidR="002414B3" w:rsidRPr="0026277C">
        <w:rPr>
          <w:rFonts w:ascii="Times New Roman" w:hAnsi="Times New Roman"/>
          <w:i/>
          <w:iCs/>
          <w:sz w:val="24"/>
        </w:rPr>
        <w:t xml:space="preserve">Unions [No 1] </w:t>
      </w:r>
      <w:r w:rsidR="00597E25" w:rsidRPr="0026277C">
        <w:rPr>
          <w:rFonts w:ascii="Times New Roman" w:hAnsi="Times New Roman"/>
          <w:sz w:val="24"/>
        </w:rPr>
        <w:t>(2013) 252 CLR 530</w:t>
      </w:r>
      <w:r w:rsidR="002414B3" w:rsidRPr="0026277C">
        <w:rPr>
          <w:rFonts w:ascii="Times New Roman" w:hAnsi="Times New Roman"/>
          <w:i/>
          <w:sz w:val="24"/>
        </w:rPr>
        <w:t xml:space="preserve"> </w:t>
      </w:r>
      <w:r w:rsidR="002414B3" w:rsidRPr="0026277C">
        <w:rPr>
          <w:rFonts w:ascii="Times New Roman" w:hAnsi="Times New Roman"/>
          <w:sz w:val="24"/>
        </w:rPr>
        <w:t xml:space="preserve">at </w:t>
      </w:r>
      <w:r w:rsidR="00FC0B5A" w:rsidRPr="0026277C">
        <w:rPr>
          <w:rFonts w:ascii="Times New Roman" w:hAnsi="Times New Roman"/>
          <w:sz w:val="24"/>
        </w:rPr>
        <w:t xml:space="preserve">556 </w:t>
      </w:r>
      <w:r w:rsidR="00785BDA" w:rsidRPr="0026277C">
        <w:rPr>
          <w:rFonts w:ascii="Times New Roman" w:hAnsi="Times New Roman"/>
          <w:sz w:val="24"/>
        </w:rPr>
        <w:t>[4</w:t>
      </w:r>
      <w:r w:rsidR="00FC0B5A" w:rsidRPr="0026277C">
        <w:rPr>
          <w:rFonts w:ascii="Times New Roman" w:hAnsi="Times New Roman"/>
          <w:sz w:val="24"/>
        </w:rPr>
        <w:t>4</w:t>
      </w:r>
      <w:r w:rsidR="00785BDA" w:rsidRPr="0026277C">
        <w:rPr>
          <w:rFonts w:ascii="Times New Roman" w:hAnsi="Times New Roman"/>
          <w:sz w:val="24"/>
        </w:rPr>
        <w:t xml:space="preserve">]; </w:t>
      </w:r>
      <w:r w:rsidRPr="0026277C">
        <w:rPr>
          <w:rFonts w:ascii="Times New Roman" w:hAnsi="Times New Roman"/>
          <w:i/>
          <w:sz w:val="24"/>
        </w:rPr>
        <w:t xml:space="preserve">McCloy </w:t>
      </w:r>
      <w:r w:rsidRPr="0026277C">
        <w:rPr>
          <w:rFonts w:ascii="Times New Roman" w:hAnsi="Times New Roman"/>
          <w:sz w:val="24"/>
        </w:rPr>
        <w:t>(2015) 257 CLR 178 at 193-195 [2], 258 [220]</w:t>
      </w:r>
      <w:r w:rsidR="003A5CDE" w:rsidRPr="0026277C">
        <w:rPr>
          <w:rFonts w:ascii="Times New Roman" w:hAnsi="Times New Roman"/>
          <w:sz w:val="24"/>
        </w:rPr>
        <w:t xml:space="preserve">; </w:t>
      </w:r>
      <w:r w:rsidR="002414B3" w:rsidRPr="0026277C">
        <w:rPr>
          <w:rFonts w:ascii="Times New Roman" w:hAnsi="Times New Roman"/>
          <w:i/>
          <w:iCs/>
          <w:sz w:val="24"/>
        </w:rPr>
        <w:t xml:space="preserve">Brown </w:t>
      </w:r>
      <w:r w:rsidR="00BC6781" w:rsidRPr="0026277C">
        <w:rPr>
          <w:rFonts w:ascii="Times New Roman" w:hAnsi="Times New Roman"/>
          <w:sz w:val="24"/>
        </w:rPr>
        <w:t>(2017) 261</w:t>
      </w:r>
      <w:r w:rsidR="00623DBB">
        <w:rPr>
          <w:rFonts w:ascii="Times New Roman" w:hAnsi="Times New Roman"/>
          <w:sz w:val="24"/>
        </w:rPr>
        <w:t> </w:t>
      </w:r>
      <w:r w:rsidR="00BC6781" w:rsidRPr="0026277C">
        <w:rPr>
          <w:rFonts w:ascii="Times New Roman" w:hAnsi="Times New Roman"/>
          <w:sz w:val="24"/>
        </w:rPr>
        <w:t>CLR 328</w:t>
      </w:r>
      <w:r w:rsidR="002414B3" w:rsidRPr="0026277C">
        <w:rPr>
          <w:rFonts w:ascii="Times New Roman" w:hAnsi="Times New Roman"/>
          <w:i/>
          <w:iCs/>
          <w:sz w:val="24"/>
        </w:rPr>
        <w:t xml:space="preserve"> </w:t>
      </w:r>
      <w:r w:rsidR="002414B3" w:rsidRPr="0026277C">
        <w:rPr>
          <w:rFonts w:ascii="Times New Roman" w:hAnsi="Times New Roman"/>
          <w:sz w:val="24"/>
        </w:rPr>
        <w:t xml:space="preserve">at </w:t>
      </w:r>
      <w:r w:rsidR="00B62AC3" w:rsidRPr="0026277C">
        <w:rPr>
          <w:rFonts w:ascii="Times New Roman" w:hAnsi="Times New Roman"/>
          <w:sz w:val="24"/>
        </w:rPr>
        <w:t xml:space="preserve">359 </w:t>
      </w:r>
      <w:r w:rsidR="002414B3" w:rsidRPr="0026277C">
        <w:rPr>
          <w:rFonts w:ascii="Times New Roman" w:hAnsi="Times New Roman"/>
          <w:sz w:val="24"/>
        </w:rPr>
        <w:t>[88]</w:t>
      </w:r>
      <w:r w:rsidR="004F52C4" w:rsidRPr="0026277C">
        <w:rPr>
          <w:rFonts w:ascii="Times New Roman" w:hAnsi="Times New Roman"/>
          <w:sz w:val="24"/>
        </w:rPr>
        <w:t>, 3</w:t>
      </w:r>
      <w:r w:rsidR="002B7175" w:rsidRPr="0026277C">
        <w:rPr>
          <w:rFonts w:ascii="Times New Roman" w:hAnsi="Times New Roman"/>
          <w:sz w:val="24"/>
        </w:rPr>
        <w:t>68 [123]</w:t>
      </w:r>
      <w:r w:rsidR="006B3E2F" w:rsidRPr="0026277C">
        <w:rPr>
          <w:rFonts w:ascii="Times New Roman" w:hAnsi="Times New Roman"/>
          <w:sz w:val="24"/>
        </w:rPr>
        <w:t>,</w:t>
      </w:r>
      <w:r w:rsidR="00C41911" w:rsidRPr="0026277C">
        <w:rPr>
          <w:rFonts w:ascii="Times New Roman" w:hAnsi="Times New Roman"/>
          <w:sz w:val="24"/>
        </w:rPr>
        <w:t xml:space="preserve"> 369 [127],</w:t>
      </w:r>
      <w:r w:rsidR="006B3E2F" w:rsidRPr="0026277C">
        <w:rPr>
          <w:rFonts w:ascii="Times New Roman" w:hAnsi="Times New Roman"/>
          <w:sz w:val="24"/>
        </w:rPr>
        <w:t xml:space="preserve"> </w:t>
      </w:r>
      <w:r w:rsidR="008410DD" w:rsidRPr="0026277C">
        <w:rPr>
          <w:rFonts w:ascii="Times New Roman" w:hAnsi="Times New Roman"/>
          <w:sz w:val="24"/>
        </w:rPr>
        <w:t>394 [218]</w:t>
      </w:r>
      <w:r w:rsidR="00D17A4D" w:rsidRPr="0026277C">
        <w:rPr>
          <w:rFonts w:ascii="Times New Roman" w:hAnsi="Times New Roman"/>
          <w:sz w:val="24"/>
        </w:rPr>
        <w:t>, 431 [31</w:t>
      </w:r>
      <w:r w:rsidR="00D717B5" w:rsidRPr="0026277C">
        <w:rPr>
          <w:rFonts w:ascii="Times New Roman" w:hAnsi="Times New Roman"/>
          <w:sz w:val="24"/>
        </w:rPr>
        <w:t>7</w:t>
      </w:r>
      <w:r w:rsidR="00D17A4D" w:rsidRPr="0026277C">
        <w:rPr>
          <w:rFonts w:ascii="Times New Roman" w:hAnsi="Times New Roman"/>
          <w:sz w:val="24"/>
        </w:rPr>
        <w:t>]-[31</w:t>
      </w:r>
      <w:r w:rsidR="00BF35F0" w:rsidRPr="0026277C">
        <w:rPr>
          <w:rFonts w:ascii="Times New Roman" w:hAnsi="Times New Roman"/>
          <w:sz w:val="24"/>
        </w:rPr>
        <w:t>8]</w:t>
      </w:r>
      <w:r w:rsidR="00E83B43" w:rsidRPr="0026277C">
        <w:rPr>
          <w:rFonts w:ascii="Times New Roman" w:hAnsi="Times New Roman"/>
          <w:sz w:val="24"/>
        </w:rPr>
        <w:t>, 433</w:t>
      </w:r>
      <w:r w:rsidR="00623DBB">
        <w:rPr>
          <w:rFonts w:ascii="Times New Roman" w:hAnsi="Times New Roman"/>
          <w:sz w:val="24"/>
        </w:rPr>
        <w:t> </w:t>
      </w:r>
      <w:r w:rsidR="00E83B43" w:rsidRPr="0026277C">
        <w:rPr>
          <w:rFonts w:ascii="Times New Roman" w:hAnsi="Times New Roman"/>
          <w:sz w:val="24"/>
        </w:rPr>
        <w:t>[</w:t>
      </w:r>
      <w:r w:rsidR="007133E7" w:rsidRPr="0026277C">
        <w:rPr>
          <w:rFonts w:ascii="Times New Roman" w:hAnsi="Times New Roman"/>
          <w:sz w:val="24"/>
        </w:rPr>
        <w:t>324</w:t>
      </w:r>
      <w:r w:rsidR="002414B3" w:rsidRPr="0026277C">
        <w:rPr>
          <w:rFonts w:ascii="Times New Roman" w:hAnsi="Times New Roman"/>
          <w:sz w:val="24"/>
        </w:rPr>
        <w:t xml:space="preserve">]; </w:t>
      </w:r>
      <w:r w:rsidR="003A5CDE" w:rsidRPr="0026277C">
        <w:rPr>
          <w:rFonts w:ascii="Times New Roman" w:hAnsi="Times New Roman"/>
          <w:i/>
          <w:sz w:val="24"/>
        </w:rPr>
        <w:t xml:space="preserve">Unions [No 2] </w:t>
      </w:r>
      <w:r w:rsidR="003A5CDE" w:rsidRPr="0026277C">
        <w:rPr>
          <w:rFonts w:ascii="Times New Roman" w:hAnsi="Times New Roman"/>
          <w:sz w:val="24"/>
        </w:rPr>
        <w:t xml:space="preserve">(2019) 264 CLR 595 at </w:t>
      </w:r>
      <w:r w:rsidR="00C615ED" w:rsidRPr="0026277C">
        <w:rPr>
          <w:rFonts w:ascii="Times New Roman" w:hAnsi="Times New Roman"/>
          <w:sz w:val="24"/>
        </w:rPr>
        <w:t>616 [45</w:t>
      </w:r>
      <w:r w:rsidR="00DE2962" w:rsidRPr="0026277C">
        <w:rPr>
          <w:rFonts w:ascii="Times New Roman" w:hAnsi="Times New Roman"/>
          <w:sz w:val="24"/>
        </w:rPr>
        <w:t xml:space="preserve">], </w:t>
      </w:r>
      <w:r w:rsidR="00A5452A" w:rsidRPr="0026277C">
        <w:rPr>
          <w:rFonts w:ascii="Times New Roman" w:hAnsi="Times New Roman"/>
          <w:sz w:val="24"/>
        </w:rPr>
        <w:t>631-632 [93]-[95],</w:t>
      </w:r>
      <w:r w:rsidR="00E959FD" w:rsidRPr="0026277C">
        <w:rPr>
          <w:rFonts w:ascii="Times New Roman" w:hAnsi="Times New Roman"/>
          <w:sz w:val="24"/>
        </w:rPr>
        <w:t xml:space="preserve"> 640</w:t>
      </w:r>
      <w:r w:rsidR="00623DBB">
        <w:rPr>
          <w:rFonts w:ascii="Times New Roman" w:hAnsi="Times New Roman"/>
          <w:sz w:val="24"/>
        </w:rPr>
        <w:t> </w:t>
      </w:r>
      <w:r w:rsidR="00E959FD" w:rsidRPr="0026277C">
        <w:rPr>
          <w:rFonts w:ascii="Times New Roman" w:hAnsi="Times New Roman"/>
          <w:sz w:val="24"/>
        </w:rPr>
        <w:t xml:space="preserve">[117], </w:t>
      </w:r>
      <w:r w:rsidR="004C1C55" w:rsidRPr="0026277C">
        <w:rPr>
          <w:rFonts w:ascii="Times New Roman" w:hAnsi="Times New Roman"/>
          <w:sz w:val="24"/>
        </w:rPr>
        <w:t>650</w:t>
      </w:r>
      <w:r w:rsidR="00AD17F8" w:rsidRPr="0026277C">
        <w:rPr>
          <w:rFonts w:ascii="Times New Roman" w:hAnsi="Times New Roman"/>
          <w:sz w:val="24"/>
        </w:rPr>
        <w:t>-651</w:t>
      </w:r>
      <w:r w:rsidR="004C1C55" w:rsidRPr="0026277C">
        <w:rPr>
          <w:rFonts w:ascii="Times New Roman" w:hAnsi="Times New Roman"/>
          <w:sz w:val="24"/>
        </w:rPr>
        <w:t xml:space="preserve"> [151]-[152]</w:t>
      </w:r>
      <w:r w:rsidR="00785BDA" w:rsidRPr="0026277C">
        <w:rPr>
          <w:rFonts w:ascii="Times New Roman" w:hAnsi="Times New Roman"/>
          <w:sz w:val="24"/>
        </w:rPr>
        <w:t xml:space="preserve">; </w:t>
      </w:r>
      <w:r w:rsidR="00785BDA" w:rsidRPr="0026277C">
        <w:rPr>
          <w:rFonts w:ascii="Times New Roman" w:hAnsi="Times New Roman"/>
          <w:i/>
          <w:sz w:val="24"/>
        </w:rPr>
        <w:t>Liberty</w:t>
      </w:r>
      <w:r w:rsidR="009F07A9" w:rsidRPr="0026277C">
        <w:rPr>
          <w:rFonts w:ascii="Times New Roman" w:hAnsi="Times New Roman"/>
          <w:i/>
          <w:sz w:val="24"/>
        </w:rPr>
        <w:t>W</w:t>
      </w:r>
      <w:r w:rsidR="00785BDA" w:rsidRPr="0026277C">
        <w:rPr>
          <w:rFonts w:ascii="Times New Roman" w:hAnsi="Times New Roman"/>
          <w:i/>
          <w:sz w:val="24"/>
        </w:rPr>
        <w:t>orks</w:t>
      </w:r>
      <w:r w:rsidR="009F07A9" w:rsidRPr="0026277C">
        <w:rPr>
          <w:rFonts w:ascii="Times New Roman" w:hAnsi="Times New Roman"/>
          <w:i/>
          <w:sz w:val="24"/>
        </w:rPr>
        <w:t xml:space="preserve"> </w:t>
      </w:r>
      <w:r w:rsidR="009B1893" w:rsidRPr="0026277C">
        <w:rPr>
          <w:rFonts w:ascii="Times New Roman" w:hAnsi="Times New Roman"/>
          <w:i/>
          <w:sz w:val="24"/>
        </w:rPr>
        <w:t xml:space="preserve">Inc v The Commonwealth </w:t>
      </w:r>
      <w:r w:rsidR="00272DE2" w:rsidRPr="0026277C">
        <w:rPr>
          <w:rFonts w:ascii="Times New Roman" w:hAnsi="Times New Roman"/>
          <w:sz w:val="24"/>
        </w:rPr>
        <w:t>(2021) 95</w:t>
      </w:r>
      <w:r w:rsidR="00623DBB">
        <w:rPr>
          <w:rFonts w:ascii="Times New Roman" w:hAnsi="Times New Roman"/>
          <w:sz w:val="24"/>
        </w:rPr>
        <w:t> </w:t>
      </w:r>
      <w:r w:rsidR="00272DE2" w:rsidRPr="0026277C">
        <w:rPr>
          <w:rFonts w:ascii="Times New Roman" w:hAnsi="Times New Roman"/>
          <w:sz w:val="24"/>
        </w:rPr>
        <w:t>ALJR 490</w:t>
      </w:r>
      <w:r w:rsidR="00785BDA" w:rsidRPr="0026277C">
        <w:rPr>
          <w:rFonts w:ascii="Times New Roman" w:hAnsi="Times New Roman"/>
          <w:i/>
          <w:sz w:val="24"/>
        </w:rPr>
        <w:t xml:space="preserve"> </w:t>
      </w:r>
      <w:r w:rsidR="00943770" w:rsidRPr="0026277C">
        <w:rPr>
          <w:rFonts w:ascii="Times New Roman" w:hAnsi="Times New Roman"/>
          <w:sz w:val="24"/>
        </w:rPr>
        <w:t xml:space="preserve">at </w:t>
      </w:r>
      <w:r w:rsidR="005D7BBF" w:rsidRPr="0026277C">
        <w:rPr>
          <w:rFonts w:ascii="Times New Roman" w:hAnsi="Times New Roman"/>
          <w:sz w:val="24"/>
        </w:rPr>
        <w:t xml:space="preserve">504 </w:t>
      </w:r>
      <w:r w:rsidR="00943770" w:rsidRPr="0026277C">
        <w:rPr>
          <w:rFonts w:ascii="Times New Roman" w:hAnsi="Times New Roman"/>
          <w:sz w:val="24"/>
        </w:rPr>
        <w:t>[45]</w:t>
      </w:r>
      <w:r w:rsidR="00DA776E" w:rsidRPr="0026277C">
        <w:rPr>
          <w:rFonts w:ascii="Times New Roman" w:hAnsi="Times New Roman"/>
          <w:sz w:val="24"/>
        </w:rPr>
        <w:t>; 391 ALR 188 at</w:t>
      </w:r>
      <w:r w:rsidR="00450B52" w:rsidRPr="0026277C">
        <w:rPr>
          <w:rFonts w:ascii="Times New Roman" w:hAnsi="Times New Roman"/>
          <w:sz w:val="24"/>
        </w:rPr>
        <w:t xml:space="preserve"> 199-200</w:t>
      </w:r>
      <w:r w:rsidRPr="0026277C">
        <w:rPr>
          <w:rFonts w:ascii="Times New Roman" w:hAnsi="Times New Roman"/>
          <w:sz w:val="24"/>
        </w:rPr>
        <w:t xml:space="preserve">. </w:t>
      </w:r>
    </w:p>
  </w:footnote>
  <w:footnote w:id="72">
    <w:p w14:paraId="4F00F0D9" w14:textId="3A02FD82" w:rsidR="00B90A21" w:rsidRPr="0026277C" w:rsidRDefault="00B90A2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Unions [No 2] </w:t>
      </w:r>
      <w:r w:rsidRPr="0026277C">
        <w:rPr>
          <w:rFonts w:ascii="Times New Roman" w:hAnsi="Times New Roman"/>
          <w:sz w:val="24"/>
        </w:rPr>
        <w:t xml:space="preserve">(2019) 264 CLR 595 at 616 [45], 631 [93], </w:t>
      </w:r>
      <w:r w:rsidR="008465AD" w:rsidRPr="0026277C">
        <w:rPr>
          <w:rFonts w:ascii="Times New Roman" w:hAnsi="Times New Roman"/>
          <w:sz w:val="24"/>
        </w:rPr>
        <w:t>640-</w:t>
      </w:r>
      <w:r w:rsidRPr="0026277C">
        <w:rPr>
          <w:rFonts w:ascii="Times New Roman" w:hAnsi="Times New Roman"/>
          <w:sz w:val="24"/>
        </w:rPr>
        <w:t>641 [</w:t>
      </w:r>
      <w:r w:rsidR="008465AD" w:rsidRPr="0026277C">
        <w:rPr>
          <w:rFonts w:ascii="Times New Roman" w:hAnsi="Times New Roman"/>
          <w:sz w:val="24"/>
        </w:rPr>
        <w:t>117]-</w:t>
      </w:r>
      <w:r w:rsidRPr="0026277C">
        <w:rPr>
          <w:rFonts w:ascii="Times New Roman" w:hAnsi="Times New Roman"/>
          <w:sz w:val="24"/>
        </w:rPr>
        <w:t>[118], 650</w:t>
      </w:r>
      <w:r w:rsidR="00623DBB">
        <w:rPr>
          <w:rFonts w:ascii="Times New Roman" w:hAnsi="Times New Roman"/>
          <w:sz w:val="24"/>
        </w:rPr>
        <w:t> </w:t>
      </w:r>
      <w:r w:rsidRPr="0026277C">
        <w:rPr>
          <w:rFonts w:ascii="Times New Roman" w:hAnsi="Times New Roman"/>
          <w:sz w:val="24"/>
        </w:rPr>
        <w:t>[151]-[152].</w:t>
      </w:r>
    </w:p>
  </w:footnote>
  <w:footnote w:id="73">
    <w:p w14:paraId="72248561" w14:textId="718E4F10" w:rsidR="00B90A21" w:rsidRPr="0026277C" w:rsidRDefault="00B90A2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sz w:val="24"/>
        </w:rPr>
        <w:t xml:space="preserve">Brown </w:t>
      </w:r>
      <w:r w:rsidRPr="0026277C">
        <w:rPr>
          <w:rFonts w:ascii="Times New Roman" w:hAnsi="Times New Roman"/>
          <w:sz w:val="24"/>
          <w:szCs w:val="18"/>
        </w:rPr>
        <w:t>(2017) 261 CLR 328</w:t>
      </w:r>
      <w:r w:rsidRPr="0026277C">
        <w:rPr>
          <w:rFonts w:ascii="Times New Roman" w:hAnsi="Times New Roman"/>
          <w:i/>
          <w:iCs/>
          <w:sz w:val="24"/>
          <w:szCs w:val="18"/>
        </w:rPr>
        <w:t xml:space="preserve"> </w:t>
      </w:r>
      <w:r w:rsidRPr="0026277C">
        <w:rPr>
          <w:rFonts w:ascii="Times New Roman" w:hAnsi="Times New Roman"/>
          <w:sz w:val="24"/>
        </w:rPr>
        <w:t xml:space="preserve">at 370 [131]; </w:t>
      </w:r>
      <w:r w:rsidRPr="0026277C">
        <w:rPr>
          <w:rFonts w:ascii="Times New Roman" w:hAnsi="Times New Roman"/>
          <w:i/>
          <w:sz w:val="24"/>
        </w:rPr>
        <w:t xml:space="preserve">Unions [No 2] </w:t>
      </w:r>
      <w:r w:rsidRPr="0026277C">
        <w:rPr>
          <w:rFonts w:ascii="Times New Roman" w:hAnsi="Times New Roman"/>
          <w:sz w:val="24"/>
        </w:rPr>
        <w:t>(2019) 264 CLR 595</w:t>
      </w:r>
      <w:r w:rsidRPr="0026277C">
        <w:rPr>
          <w:rFonts w:ascii="Times New Roman" w:hAnsi="Times New Roman"/>
          <w:i/>
          <w:sz w:val="24"/>
        </w:rPr>
        <w:t xml:space="preserve"> </w:t>
      </w:r>
      <w:r w:rsidRPr="0026277C">
        <w:rPr>
          <w:rFonts w:ascii="Times New Roman" w:hAnsi="Times New Roman"/>
          <w:sz w:val="24"/>
        </w:rPr>
        <w:t>at 618 [53], 632 [95]</w:t>
      </w:r>
      <w:r w:rsidR="008F0AB3" w:rsidRPr="0026277C">
        <w:rPr>
          <w:rFonts w:ascii="Times New Roman" w:hAnsi="Times New Roman"/>
          <w:sz w:val="24"/>
        </w:rPr>
        <w:t>-[96</w:t>
      </w:r>
      <w:r w:rsidRPr="0026277C">
        <w:rPr>
          <w:rFonts w:ascii="Times New Roman" w:hAnsi="Times New Roman"/>
          <w:sz w:val="24"/>
        </w:rPr>
        <w:t>], 640-641 [11</w:t>
      </w:r>
      <w:r w:rsidR="00237252" w:rsidRPr="0026277C">
        <w:rPr>
          <w:rFonts w:ascii="Times New Roman" w:hAnsi="Times New Roman"/>
          <w:sz w:val="24"/>
        </w:rPr>
        <w:t>7</w:t>
      </w:r>
      <w:r w:rsidRPr="0026277C">
        <w:rPr>
          <w:rFonts w:ascii="Times New Roman" w:hAnsi="Times New Roman"/>
          <w:sz w:val="24"/>
        </w:rPr>
        <w:t>]-[11</w:t>
      </w:r>
      <w:r w:rsidR="00237252" w:rsidRPr="0026277C">
        <w:rPr>
          <w:rFonts w:ascii="Times New Roman" w:hAnsi="Times New Roman"/>
          <w:sz w:val="24"/>
        </w:rPr>
        <w:t>8</w:t>
      </w:r>
      <w:r w:rsidRPr="0026277C">
        <w:rPr>
          <w:rFonts w:ascii="Times New Roman" w:hAnsi="Times New Roman"/>
          <w:sz w:val="24"/>
        </w:rPr>
        <w:t xml:space="preserve">], 651 [153]. </w:t>
      </w:r>
    </w:p>
  </w:footnote>
  <w:footnote w:id="74">
    <w:p w14:paraId="7E1DBE30" w14:textId="1D562573" w:rsidR="00B90A21" w:rsidRPr="0026277C" w:rsidRDefault="00B90A21"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Pr="0026277C">
        <w:rPr>
          <w:rFonts w:ascii="Times New Roman" w:hAnsi="Times New Roman"/>
          <w:i/>
          <w:iCs/>
          <w:sz w:val="24"/>
        </w:rPr>
        <w:t xml:space="preserve">Unions [No 2] </w:t>
      </w:r>
      <w:r w:rsidRPr="0026277C">
        <w:rPr>
          <w:rFonts w:ascii="Times New Roman" w:hAnsi="Times New Roman"/>
          <w:sz w:val="24"/>
        </w:rPr>
        <w:t>(2019) 264 CLR 595</w:t>
      </w:r>
      <w:r w:rsidRPr="0026277C">
        <w:rPr>
          <w:rFonts w:ascii="Times New Roman" w:hAnsi="Times New Roman"/>
          <w:i/>
          <w:iCs/>
          <w:sz w:val="24"/>
        </w:rPr>
        <w:t xml:space="preserve"> </w:t>
      </w:r>
      <w:r w:rsidRPr="0026277C">
        <w:rPr>
          <w:rFonts w:ascii="Times New Roman" w:hAnsi="Times New Roman"/>
          <w:sz w:val="24"/>
        </w:rPr>
        <w:t xml:space="preserve">at </w:t>
      </w:r>
      <w:r w:rsidR="007B14B4" w:rsidRPr="0026277C">
        <w:rPr>
          <w:rFonts w:ascii="Times New Roman" w:hAnsi="Times New Roman"/>
          <w:sz w:val="24"/>
        </w:rPr>
        <w:t xml:space="preserve">616 [45], </w:t>
      </w:r>
      <w:r w:rsidRPr="0026277C">
        <w:rPr>
          <w:rFonts w:ascii="Times New Roman" w:hAnsi="Times New Roman"/>
          <w:sz w:val="24"/>
        </w:rPr>
        <w:t xml:space="preserve">622 [67], </w:t>
      </w:r>
      <w:r w:rsidR="00AD68DC" w:rsidRPr="0026277C">
        <w:rPr>
          <w:rFonts w:ascii="Times New Roman" w:hAnsi="Times New Roman"/>
          <w:sz w:val="24"/>
        </w:rPr>
        <w:t>632 [95]-</w:t>
      </w:r>
      <w:r w:rsidRPr="0026277C">
        <w:rPr>
          <w:rFonts w:ascii="Times New Roman" w:hAnsi="Times New Roman"/>
          <w:sz w:val="24"/>
        </w:rPr>
        <w:t xml:space="preserve">[96]. See also </w:t>
      </w:r>
      <w:r w:rsidR="00154501" w:rsidRPr="0026277C">
        <w:rPr>
          <w:rFonts w:ascii="Times New Roman" w:hAnsi="Times New Roman"/>
          <w:i/>
          <w:sz w:val="24"/>
        </w:rPr>
        <w:t xml:space="preserve">Australian </w:t>
      </w:r>
      <w:r w:rsidRPr="0026277C">
        <w:rPr>
          <w:rFonts w:ascii="Times New Roman" w:hAnsi="Times New Roman"/>
          <w:i/>
          <w:sz w:val="24"/>
        </w:rPr>
        <w:t xml:space="preserve">Communist Party </w:t>
      </w:r>
      <w:r w:rsidR="00154501" w:rsidRPr="0026277C">
        <w:rPr>
          <w:rFonts w:ascii="Times New Roman" w:hAnsi="Times New Roman"/>
          <w:i/>
          <w:sz w:val="24"/>
        </w:rPr>
        <w:t>v The Commonwealth</w:t>
      </w:r>
      <w:r w:rsidR="00D12421" w:rsidRPr="0026277C">
        <w:rPr>
          <w:rFonts w:ascii="Times New Roman" w:hAnsi="Times New Roman"/>
          <w:i/>
          <w:sz w:val="24"/>
        </w:rPr>
        <w:t xml:space="preserve"> </w:t>
      </w:r>
      <w:r w:rsidRPr="0026277C">
        <w:rPr>
          <w:rFonts w:ascii="Times New Roman" w:hAnsi="Times New Roman"/>
          <w:sz w:val="24"/>
        </w:rPr>
        <w:t xml:space="preserve">(1951) 83 CLR 1 at 222; </w:t>
      </w:r>
      <w:r w:rsidRPr="0026277C">
        <w:rPr>
          <w:rFonts w:ascii="Times New Roman" w:hAnsi="Times New Roman"/>
          <w:i/>
          <w:sz w:val="24"/>
        </w:rPr>
        <w:t>Hughes</w:t>
      </w:r>
      <w:r w:rsidR="00E17FC8">
        <w:rPr>
          <w:rFonts w:ascii="Times New Roman" w:hAnsi="Times New Roman"/>
          <w:i/>
          <w:sz w:val="24"/>
        </w:rPr>
        <w:t> </w:t>
      </w:r>
      <w:r w:rsidRPr="0026277C">
        <w:rPr>
          <w:rFonts w:ascii="Times New Roman" w:hAnsi="Times New Roman"/>
          <w:i/>
          <w:sz w:val="24"/>
        </w:rPr>
        <w:t xml:space="preserve">and Vale Pty Ltd v New South Wales [No 2] </w:t>
      </w:r>
      <w:r w:rsidRPr="0026277C">
        <w:rPr>
          <w:rFonts w:ascii="Times New Roman" w:hAnsi="Times New Roman"/>
          <w:sz w:val="24"/>
        </w:rPr>
        <w:t xml:space="preserve">(1955) 93 CLR 127 at 165; </w:t>
      </w:r>
      <w:r w:rsidRPr="0026277C">
        <w:rPr>
          <w:rFonts w:ascii="Times New Roman" w:hAnsi="Times New Roman"/>
          <w:i/>
          <w:iCs/>
          <w:sz w:val="24"/>
        </w:rPr>
        <w:t xml:space="preserve">Commonwealth Freighters Pty Ltd v Sneddon </w:t>
      </w:r>
      <w:r w:rsidRPr="0026277C">
        <w:rPr>
          <w:rFonts w:ascii="Times New Roman" w:hAnsi="Times New Roman"/>
          <w:sz w:val="24"/>
        </w:rPr>
        <w:t xml:space="preserve">(1959) 102 CLR 280 at 307. </w:t>
      </w:r>
    </w:p>
  </w:footnote>
  <w:footnote w:id="75">
    <w:p w14:paraId="2D403C0D" w14:textId="04B225A2" w:rsidR="00995958" w:rsidRPr="0026277C" w:rsidRDefault="00995958" w:rsidP="0026277C">
      <w:pPr>
        <w:pStyle w:val="FootnoteText"/>
        <w:spacing w:line="280" w:lineRule="exact"/>
        <w:ind w:right="0"/>
        <w:jc w:val="both"/>
        <w:rPr>
          <w:rFonts w:ascii="Times New Roman" w:hAnsi="Times New Roman"/>
          <w:sz w:val="24"/>
        </w:rPr>
      </w:pPr>
      <w:r w:rsidRPr="0026277C">
        <w:rPr>
          <w:rStyle w:val="FootnoteReference"/>
          <w:rFonts w:ascii="Times New Roman" w:hAnsi="Times New Roman"/>
          <w:sz w:val="22"/>
          <w:vertAlign w:val="baseline"/>
        </w:rPr>
        <w:footnoteRef/>
      </w:r>
      <w:r w:rsidRPr="0026277C">
        <w:rPr>
          <w:rFonts w:ascii="Times New Roman" w:hAnsi="Times New Roman"/>
          <w:sz w:val="24"/>
        </w:rPr>
        <w:t xml:space="preserve"> </w:t>
      </w:r>
      <w:r w:rsidRPr="0026277C">
        <w:rPr>
          <w:rFonts w:ascii="Times New Roman" w:hAnsi="Times New Roman"/>
          <w:sz w:val="24"/>
        </w:rPr>
        <w:tab/>
      </w:r>
      <w:r w:rsidR="00811A01" w:rsidRPr="0026277C">
        <w:rPr>
          <w:rFonts w:ascii="Times New Roman" w:hAnsi="Times New Roman"/>
          <w:i/>
          <w:iCs/>
          <w:sz w:val="24"/>
        </w:rPr>
        <w:t xml:space="preserve">Re Minister for Immigration and Ethnic Affairs; </w:t>
      </w:r>
      <w:r w:rsidRPr="0026277C">
        <w:rPr>
          <w:rFonts w:ascii="Times New Roman" w:hAnsi="Times New Roman"/>
          <w:i/>
          <w:iCs/>
          <w:sz w:val="24"/>
        </w:rPr>
        <w:t xml:space="preserve">Ex parte Lai Qin </w:t>
      </w:r>
      <w:r w:rsidRPr="0026277C">
        <w:rPr>
          <w:rFonts w:ascii="Times New Roman" w:hAnsi="Times New Roman"/>
          <w:sz w:val="24"/>
        </w:rPr>
        <w:t xml:space="preserve">(1997) 186 CLR 622 at 624-625. </w:t>
      </w:r>
    </w:p>
  </w:footnote>
  <w:footnote w:id="76">
    <w:p w14:paraId="7266B3A7"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Pape v Federal Commissioner of Taxation</w:t>
      </w:r>
      <w:r w:rsidRPr="00D27672">
        <w:rPr>
          <w:rFonts w:ascii="Times New Roman" w:hAnsi="Times New Roman"/>
          <w:sz w:val="24"/>
        </w:rPr>
        <w:t xml:space="preserve"> (2009) 238 CLR 1 at 68 [152], citing </w:t>
      </w:r>
      <w:r w:rsidRPr="00D27672">
        <w:rPr>
          <w:rFonts w:ascii="Times New Roman" w:hAnsi="Times New Roman"/>
          <w:i/>
          <w:iCs/>
          <w:sz w:val="24"/>
          <w:shd w:val="clear" w:color="auto" w:fill="FFFFFF"/>
        </w:rPr>
        <w:t>Australian Conservation Foundation v The Commonwealth</w:t>
      </w:r>
      <w:r w:rsidRPr="00D27672">
        <w:rPr>
          <w:rFonts w:ascii="Times New Roman" w:hAnsi="Times New Roman"/>
          <w:sz w:val="24"/>
          <w:shd w:val="clear" w:color="auto" w:fill="FFFFFF"/>
        </w:rPr>
        <w:t xml:space="preserve"> (1980) 146 CLR 493 at 550</w:t>
      </w:r>
      <w:r w:rsidRPr="00D27672">
        <w:rPr>
          <w:rFonts w:ascii="Times New Roman" w:hAnsi="Times New Roman"/>
          <w:sz w:val="24"/>
          <w:shd w:val="clear" w:color="auto" w:fill="FFFFFF"/>
        </w:rPr>
        <w:noBreakHyphen/>
        <w:t xml:space="preserve">551, </w:t>
      </w:r>
      <w:r w:rsidRPr="00D27672">
        <w:rPr>
          <w:rFonts w:ascii="Times New Roman" w:hAnsi="Times New Roman"/>
          <w:i/>
          <w:iCs/>
          <w:sz w:val="24"/>
          <w:shd w:val="clear" w:color="auto" w:fill="FFFFFF"/>
        </w:rPr>
        <w:t>Croome v Tasmania</w:t>
      </w:r>
      <w:r w:rsidRPr="00D27672">
        <w:rPr>
          <w:rFonts w:ascii="Times New Roman" w:hAnsi="Times New Roman"/>
          <w:sz w:val="24"/>
          <w:shd w:val="clear" w:color="auto" w:fill="FFFFFF"/>
        </w:rPr>
        <w:t xml:space="preserve"> (1997) 191 CLR 119 at 124</w:t>
      </w:r>
      <w:r w:rsidRPr="00D27672">
        <w:rPr>
          <w:rFonts w:ascii="Times New Roman" w:hAnsi="Times New Roman"/>
          <w:sz w:val="24"/>
          <w:shd w:val="clear" w:color="auto" w:fill="FFFFFF"/>
        </w:rPr>
        <w:noBreakHyphen/>
        <w:t>126, 132</w:t>
      </w:r>
      <w:r w:rsidRPr="00D27672">
        <w:rPr>
          <w:rFonts w:ascii="Times New Roman" w:hAnsi="Times New Roman"/>
          <w:sz w:val="24"/>
          <w:shd w:val="clear" w:color="auto" w:fill="FFFFFF"/>
        </w:rPr>
        <w:noBreakHyphen/>
        <w:t xml:space="preserve">136, </w:t>
      </w:r>
      <w:r w:rsidRPr="00D27672">
        <w:rPr>
          <w:rFonts w:ascii="Times New Roman" w:hAnsi="Times New Roman"/>
          <w:i/>
          <w:sz w:val="24"/>
          <w:shd w:val="clear" w:color="auto" w:fill="FFFFFF"/>
        </w:rPr>
        <w:t>Bateman's Bay Local Aboriginal Land Council v Aboriginal Community Benefit Fund Pty Ltd</w:t>
      </w:r>
      <w:r w:rsidRPr="00D27672">
        <w:rPr>
          <w:rFonts w:ascii="Times New Roman" w:hAnsi="Times New Roman"/>
          <w:sz w:val="24"/>
          <w:shd w:val="clear" w:color="auto" w:fill="FFFFFF"/>
        </w:rPr>
        <w:t xml:space="preserve"> (1998) 194 CLR 247 at 262 [37], and </w:t>
      </w:r>
      <w:r w:rsidRPr="00D27672">
        <w:rPr>
          <w:rFonts w:ascii="Times New Roman" w:hAnsi="Times New Roman"/>
          <w:i/>
          <w:sz w:val="24"/>
          <w:shd w:val="clear" w:color="auto" w:fill="FFFFFF"/>
        </w:rPr>
        <w:t xml:space="preserve">Truth About Motorways Pty Ltd v Macquarie Infrastructure Investment Management Ltd </w:t>
      </w:r>
      <w:r w:rsidRPr="00D27672">
        <w:rPr>
          <w:rFonts w:ascii="Times New Roman" w:hAnsi="Times New Roman"/>
          <w:sz w:val="24"/>
          <w:shd w:val="clear" w:color="auto" w:fill="FFFFFF"/>
        </w:rPr>
        <w:t>(2000) 200 CLR 591 at 610</w:t>
      </w:r>
      <w:r w:rsidRPr="00D27672">
        <w:rPr>
          <w:rFonts w:ascii="Times New Roman" w:hAnsi="Times New Roman"/>
          <w:sz w:val="24"/>
          <w:shd w:val="clear" w:color="auto" w:fill="FFFFFF"/>
        </w:rPr>
        <w:noBreakHyphen/>
        <w:t>613 [42]</w:t>
      </w:r>
      <w:r w:rsidRPr="00D27672">
        <w:rPr>
          <w:rFonts w:ascii="Times New Roman" w:hAnsi="Times New Roman"/>
          <w:sz w:val="24"/>
          <w:shd w:val="clear" w:color="auto" w:fill="FFFFFF"/>
        </w:rPr>
        <w:noBreakHyphen/>
        <w:t>[50], 629</w:t>
      </w:r>
      <w:r w:rsidRPr="00D27672">
        <w:rPr>
          <w:rFonts w:ascii="Times New Roman" w:hAnsi="Times New Roman"/>
          <w:sz w:val="24"/>
          <w:shd w:val="clear" w:color="auto" w:fill="FFFFFF"/>
        </w:rPr>
        <w:noBreakHyphen/>
        <w:t>633 [101]</w:t>
      </w:r>
      <w:r w:rsidRPr="00D27672">
        <w:rPr>
          <w:rFonts w:ascii="Times New Roman" w:hAnsi="Times New Roman"/>
          <w:sz w:val="24"/>
          <w:shd w:val="clear" w:color="auto" w:fill="FFFFFF"/>
        </w:rPr>
        <w:noBreakHyphen/>
        <w:t>[109], 659</w:t>
      </w:r>
      <w:r w:rsidRPr="00D27672">
        <w:rPr>
          <w:rFonts w:ascii="Times New Roman" w:hAnsi="Times New Roman"/>
          <w:sz w:val="24"/>
          <w:shd w:val="clear" w:color="auto" w:fill="FFFFFF"/>
        </w:rPr>
        <w:noBreakHyphen/>
        <w:t>660 [177]</w:t>
      </w:r>
      <w:r w:rsidRPr="00D27672">
        <w:rPr>
          <w:rFonts w:ascii="Times New Roman" w:hAnsi="Times New Roman"/>
          <w:sz w:val="24"/>
          <w:shd w:val="clear" w:color="auto" w:fill="FFFFFF"/>
        </w:rPr>
        <w:noBreakHyphen/>
        <w:t xml:space="preserve">[179]. See also </w:t>
      </w:r>
      <w:r w:rsidRPr="00D27672">
        <w:rPr>
          <w:rFonts w:ascii="Times New Roman" w:hAnsi="Times New Roman"/>
          <w:i/>
          <w:iCs/>
          <w:sz w:val="24"/>
          <w:shd w:val="clear" w:color="auto" w:fill="FFFFFF"/>
        </w:rPr>
        <w:t xml:space="preserve">Kuczborski v Queensland </w:t>
      </w:r>
      <w:r w:rsidRPr="00D27672">
        <w:rPr>
          <w:rFonts w:ascii="Times New Roman" w:hAnsi="Times New Roman"/>
          <w:sz w:val="24"/>
          <w:shd w:val="clear" w:color="auto" w:fill="FFFFFF"/>
        </w:rPr>
        <w:t>(2014) 254 CLR 51 at 60</w:t>
      </w:r>
      <w:r w:rsidRPr="00D27672">
        <w:rPr>
          <w:rFonts w:ascii="Times New Roman" w:hAnsi="Times New Roman"/>
          <w:sz w:val="24"/>
          <w:shd w:val="clear" w:color="auto" w:fill="FFFFFF"/>
        </w:rPr>
        <w:noBreakHyphen/>
        <w:t>61 [5].</w:t>
      </w:r>
    </w:p>
  </w:footnote>
  <w:footnote w:id="77">
    <w:p w14:paraId="690709AC"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Hobart International Airport Pty Ltd v Clarence City Council </w:t>
      </w:r>
      <w:r w:rsidRPr="00D27672">
        <w:rPr>
          <w:rFonts w:ascii="Times New Roman" w:hAnsi="Times New Roman"/>
          <w:sz w:val="24"/>
        </w:rPr>
        <w:t>(2022) 96 ALJR 234 at 245</w:t>
      </w:r>
      <w:r w:rsidRPr="00D27672">
        <w:rPr>
          <w:rFonts w:ascii="Times New Roman" w:hAnsi="Times New Roman"/>
          <w:sz w:val="24"/>
        </w:rPr>
        <w:noBreakHyphen/>
        <w:t>246 [31], 249</w:t>
      </w:r>
      <w:r w:rsidRPr="00D27672">
        <w:rPr>
          <w:rFonts w:ascii="Times New Roman" w:hAnsi="Times New Roman"/>
          <w:sz w:val="24"/>
        </w:rPr>
        <w:noBreakHyphen/>
        <w:t>250 [49], 256</w:t>
      </w:r>
      <w:r w:rsidRPr="00D27672">
        <w:rPr>
          <w:rFonts w:ascii="Times New Roman" w:hAnsi="Times New Roman"/>
          <w:sz w:val="24"/>
        </w:rPr>
        <w:noBreakHyphen/>
        <w:t>257 [79]; 399 ALR 214 at 223, 228, 237.</w:t>
      </w:r>
    </w:p>
  </w:footnote>
  <w:footnote w:id="78">
    <w:p w14:paraId="4E0AFD00"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Gouriet v Union of Post Office Workers </w:t>
      </w:r>
      <w:r w:rsidRPr="00D27672">
        <w:rPr>
          <w:rFonts w:ascii="Times New Roman" w:hAnsi="Times New Roman"/>
          <w:sz w:val="24"/>
        </w:rPr>
        <w:t>[1978] AC 435 at 482.</w:t>
      </w:r>
    </w:p>
  </w:footnote>
  <w:footnote w:id="79">
    <w:p w14:paraId="1698C9F6"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See </w:t>
      </w:r>
      <w:r w:rsidRPr="00D27672">
        <w:rPr>
          <w:rFonts w:ascii="Times New Roman" w:hAnsi="Times New Roman"/>
          <w:i/>
          <w:iCs/>
          <w:sz w:val="24"/>
        </w:rPr>
        <w:t xml:space="preserve">Hobart International Airport Pty Ltd v Clarence City Council </w:t>
      </w:r>
      <w:r w:rsidRPr="00D27672">
        <w:rPr>
          <w:rFonts w:ascii="Times New Roman" w:hAnsi="Times New Roman"/>
          <w:sz w:val="24"/>
        </w:rPr>
        <w:t>(2022) 96 ALJR 234 at 257</w:t>
      </w:r>
      <w:r w:rsidRPr="00D27672">
        <w:rPr>
          <w:rFonts w:ascii="Times New Roman" w:hAnsi="Times New Roman"/>
          <w:sz w:val="24"/>
        </w:rPr>
        <w:noBreakHyphen/>
        <w:t>258 [</w:t>
      </w:r>
      <w:proofErr w:type="gramStart"/>
      <w:r w:rsidRPr="00D27672">
        <w:rPr>
          <w:rFonts w:ascii="Times New Roman" w:hAnsi="Times New Roman"/>
          <w:sz w:val="24"/>
        </w:rPr>
        <w:t>84]</w:t>
      </w:r>
      <w:r w:rsidRPr="00D27672">
        <w:rPr>
          <w:rFonts w:ascii="Times New Roman" w:hAnsi="Times New Roman"/>
          <w:sz w:val="24"/>
        </w:rPr>
        <w:noBreakHyphen/>
      </w:r>
      <w:proofErr w:type="gramEnd"/>
      <w:r w:rsidRPr="00D27672">
        <w:rPr>
          <w:rFonts w:ascii="Times New Roman" w:hAnsi="Times New Roman"/>
          <w:sz w:val="24"/>
        </w:rPr>
        <w:t>[86]; 399 ALR 214 at 239.</w:t>
      </w:r>
    </w:p>
  </w:footnote>
  <w:footnote w:id="80">
    <w:p w14:paraId="7E88977D"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Wilson v Darling Island Stevedoring and Lighterage Co Ltd </w:t>
      </w:r>
      <w:r w:rsidRPr="00D27672">
        <w:rPr>
          <w:rFonts w:ascii="Times New Roman" w:hAnsi="Times New Roman"/>
          <w:sz w:val="24"/>
        </w:rPr>
        <w:t>(1956) 95 CLR 43 at 67.</w:t>
      </w:r>
    </w:p>
  </w:footnote>
  <w:footnote w:id="81">
    <w:p w14:paraId="59288E4B"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[1978] AC 435 at 500.</w:t>
      </w:r>
    </w:p>
  </w:footnote>
  <w:footnote w:id="82">
    <w:p w14:paraId="03E7C511"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(1997) 191 CLR 119 at 132, referring to </w:t>
      </w:r>
      <w:r w:rsidRPr="00D27672">
        <w:rPr>
          <w:rFonts w:ascii="Times New Roman" w:hAnsi="Times New Roman"/>
          <w:i/>
          <w:iCs/>
          <w:sz w:val="24"/>
        </w:rPr>
        <w:t xml:space="preserve">Davis v The Commonwealth </w:t>
      </w:r>
      <w:r w:rsidRPr="00D27672">
        <w:rPr>
          <w:rFonts w:ascii="Times New Roman" w:hAnsi="Times New Roman"/>
          <w:sz w:val="24"/>
        </w:rPr>
        <w:t xml:space="preserve">(1986) 61 ALJR 32 at 35; 68 ALR 18 at 23, and </w:t>
      </w:r>
      <w:r w:rsidRPr="00D27672">
        <w:rPr>
          <w:rFonts w:ascii="Times New Roman" w:hAnsi="Times New Roman"/>
          <w:i/>
          <w:sz w:val="24"/>
        </w:rPr>
        <w:t xml:space="preserve">Ainsworth v Criminal Justice Commission </w:t>
      </w:r>
      <w:r w:rsidRPr="00D27672">
        <w:rPr>
          <w:rFonts w:ascii="Times New Roman" w:hAnsi="Times New Roman"/>
          <w:sz w:val="24"/>
        </w:rPr>
        <w:t>(1992) 175 CLR 564 at 581</w:t>
      </w:r>
      <w:r w:rsidRPr="00D27672">
        <w:rPr>
          <w:rFonts w:ascii="Times New Roman" w:hAnsi="Times New Roman"/>
          <w:sz w:val="24"/>
        </w:rPr>
        <w:noBreakHyphen/>
        <w:t>582.</w:t>
      </w:r>
    </w:p>
  </w:footnote>
  <w:footnote w:id="83">
    <w:p w14:paraId="6D7FCD47"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Australian Conservation Foundation v The Commonwealth</w:t>
      </w:r>
      <w:r w:rsidRPr="00D27672">
        <w:rPr>
          <w:rFonts w:ascii="Times New Roman" w:hAnsi="Times New Roman"/>
          <w:sz w:val="24"/>
        </w:rPr>
        <w:t xml:space="preserve"> (1980) 146 CLR 493 at 526; </w:t>
      </w:r>
      <w:r w:rsidRPr="00D27672">
        <w:rPr>
          <w:rFonts w:ascii="Times New Roman" w:hAnsi="Times New Roman"/>
          <w:i/>
          <w:iCs/>
          <w:sz w:val="24"/>
        </w:rPr>
        <w:t xml:space="preserve">Bateman's Bay Local Aboriginal Land Council v Aboriginal Community Benefit Fund Pty Ltd </w:t>
      </w:r>
      <w:r w:rsidRPr="00D27672">
        <w:rPr>
          <w:rFonts w:ascii="Times New Roman" w:hAnsi="Times New Roman"/>
          <w:sz w:val="24"/>
        </w:rPr>
        <w:t xml:space="preserve">(1998) 194 CLR 247 at 276 [82]; </w:t>
      </w:r>
      <w:r w:rsidRPr="00D27672">
        <w:rPr>
          <w:rFonts w:ascii="Times New Roman" w:hAnsi="Times New Roman"/>
          <w:i/>
          <w:iCs/>
          <w:sz w:val="24"/>
        </w:rPr>
        <w:t>Taylor v Attorney</w:t>
      </w:r>
      <w:r w:rsidRPr="00D27672">
        <w:rPr>
          <w:rFonts w:ascii="Times New Roman" w:hAnsi="Times New Roman"/>
          <w:i/>
          <w:iCs/>
          <w:sz w:val="24"/>
        </w:rPr>
        <w:noBreakHyphen/>
        <w:t>General </w:t>
      </w:r>
      <w:r w:rsidRPr="00D27672">
        <w:rPr>
          <w:rFonts w:ascii="Times New Roman" w:hAnsi="Times New Roman"/>
          <w:i/>
          <w:sz w:val="24"/>
        </w:rPr>
        <w:t xml:space="preserve">(Cth) </w:t>
      </w:r>
      <w:r w:rsidRPr="00D27672">
        <w:rPr>
          <w:rFonts w:ascii="Times New Roman" w:hAnsi="Times New Roman"/>
          <w:sz w:val="24"/>
        </w:rPr>
        <w:t xml:space="preserve">(2019) 268 CLR 224 at 262 [105]. See also </w:t>
      </w:r>
      <w:r w:rsidRPr="00D27672">
        <w:rPr>
          <w:rFonts w:ascii="Times New Roman" w:hAnsi="Times New Roman"/>
          <w:i/>
          <w:iCs/>
          <w:sz w:val="24"/>
        </w:rPr>
        <w:t xml:space="preserve">Re McBain; Ex parte Australian Catholic Bishops Conference </w:t>
      </w:r>
      <w:r w:rsidRPr="00D27672">
        <w:rPr>
          <w:rFonts w:ascii="Times New Roman" w:hAnsi="Times New Roman"/>
          <w:sz w:val="24"/>
        </w:rPr>
        <w:t>(2002) 209 CLR 372 at 473</w:t>
      </w:r>
      <w:r w:rsidRPr="00D27672">
        <w:rPr>
          <w:rFonts w:ascii="Times New Roman" w:hAnsi="Times New Roman"/>
          <w:sz w:val="24"/>
        </w:rPr>
        <w:noBreakHyphen/>
        <w:t>474 [287].</w:t>
      </w:r>
    </w:p>
  </w:footnote>
  <w:footnote w:id="84">
    <w:p w14:paraId="5AF30E28"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Bateman's Bay Local Aboriginal Land Council v Aboriginal Community Benefit Fund Pty Ltd </w:t>
      </w:r>
      <w:r w:rsidRPr="00D27672">
        <w:rPr>
          <w:rFonts w:ascii="Times New Roman" w:hAnsi="Times New Roman"/>
          <w:sz w:val="24"/>
        </w:rPr>
        <w:t>(1998) 194 CLR 247 at 278 [86].</w:t>
      </w:r>
    </w:p>
  </w:footnote>
  <w:footnote w:id="85">
    <w:p w14:paraId="39730DFE"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Mason, "Access to Constitutional Justice: Opening Address" (2010) 22(3) </w:t>
      </w:r>
      <w:r w:rsidRPr="00D27672">
        <w:rPr>
          <w:rFonts w:ascii="Times New Roman" w:hAnsi="Times New Roman"/>
          <w:i/>
          <w:iCs/>
          <w:sz w:val="24"/>
        </w:rPr>
        <w:t xml:space="preserve">Bond Law Review </w:t>
      </w:r>
      <w:r w:rsidRPr="00D27672">
        <w:rPr>
          <w:rFonts w:ascii="Times New Roman" w:hAnsi="Times New Roman"/>
          <w:sz w:val="24"/>
        </w:rPr>
        <w:t>1 at 2</w:t>
      </w:r>
      <w:r w:rsidRPr="00D27672">
        <w:rPr>
          <w:rFonts w:ascii="Times New Roman" w:hAnsi="Times New Roman"/>
          <w:sz w:val="24"/>
        </w:rPr>
        <w:noBreakHyphen/>
        <w:t xml:space="preserve">4; Aronson, Groves and Weeks, </w:t>
      </w:r>
      <w:r w:rsidRPr="00D27672">
        <w:rPr>
          <w:rFonts w:ascii="Times New Roman" w:hAnsi="Times New Roman"/>
          <w:i/>
          <w:iCs/>
          <w:sz w:val="24"/>
        </w:rPr>
        <w:t>Judicial Review of Administrative Action and Government Liability</w:t>
      </w:r>
      <w:r w:rsidRPr="00D27672">
        <w:rPr>
          <w:rFonts w:ascii="Times New Roman" w:hAnsi="Times New Roman"/>
          <w:sz w:val="24"/>
        </w:rPr>
        <w:t>, 7th ed (2022) at 850</w:t>
      </w:r>
      <w:r w:rsidRPr="00D27672">
        <w:rPr>
          <w:rFonts w:ascii="Times New Roman" w:hAnsi="Times New Roman"/>
          <w:sz w:val="24"/>
        </w:rPr>
        <w:noBreakHyphen/>
        <w:t>851 [14.70].</w:t>
      </w:r>
    </w:p>
  </w:footnote>
  <w:footnote w:id="86">
    <w:p w14:paraId="0DEC8D9D"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Australian Conservation Foundation v The Commonwealth</w:t>
      </w:r>
      <w:r w:rsidRPr="00D27672">
        <w:rPr>
          <w:rFonts w:ascii="Times New Roman" w:hAnsi="Times New Roman"/>
          <w:sz w:val="24"/>
        </w:rPr>
        <w:t xml:space="preserve"> (1980) 146 CLR 493; </w:t>
      </w:r>
      <w:r w:rsidRPr="00D27672">
        <w:rPr>
          <w:rFonts w:ascii="Times New Roman" w:hAnsi="Times New Roman"/>
          <w:i/>
          <w:iCs/>
          <w:sz w:val="24"/>
        </w:rPr>
        <w:t>Onus v Alcoa of Australia Ltd</w:t>
      </w:r>
      <w:r w:rsidRPr="00D27672">
        <w:rPr>
          <w:rFonts w:ascii="Times New Roman" w:hAnsi="Times New Roman"/>
          <w:sz w:val="24"/>
        </w:rPr>
        <w:t xml:space="preserve"> (1981) 149 CLR 27; </w:t>
      </w:r>
      <w:r w:rsidRPr="00D27672">
        <w:rPr>
          <w:rFonts w:ascii="Times New Roman" w:hAnsi="Times New Roman"/>
          <w:i/>
          <w:iCs/>
          <w:sz w:val="24"/>
        </w:rPr>
        <w:t xml:space="preserve">Shop Distributive and Allied Employees Association v Minister for Industrial Affairs (SA) </w:t>
      </w:r>
      <w:r w:rsidRPr="00D27672">
        <w:rPr>
          <w:rFonts w:ascii="Times New Roman" w:hAnsi="Times New Roman"/>
          <w:sz w:val="24"/>
        </w:rPr>
        <w:t xml:space="preserve">(1995) 183 CLR 552; </w:t>
      </w:r>
      <w:r w:rsidRPr="00D27672">
        <w:rPr>
          <w:rFonts w:ascii="Times New Roman" w:hAnsi="Times New Roman"/>
          <w:i/>
          <w:iCs/>
          <w:sz w:val="24"/>
        </w:rPr>
        <w:t>Bateman's Bay Local Aboriginal Land Council v Aboriginal Community Benefit Fund Pty Ltd</w:t>
      </w:r>
      <w:r w:rsidRPr="00D27672">
        <w:rPr>
          <w:rFonts w:ascii="Times New Roman" w:hAnsi="Times New Roman"/>
          <w:sz w:val="24"/>
        </w:rPr>
        <w:t xml:space="preserve"> (1998) 194 CLR 247; </w:t>
      </w:r>
      <w:r w:rsidRPr="00D27672">
        <w:rPr>
          <w:rFonts w:ascii="Times New Roman" w:hAnsi="Times New Roman"/>
          <w:i/>
          <w:iCs/>
          <w:sz w:val="24"/>
        </w:rPr>
        <w:t>Hobart International Airport Pty Ltd v Clarence City Council</w:t>
      </w:r>
      <w:r w:rsidRPr="00D27672">
        <w:rPr>
          <w:rFonts w:ascii="Times New Roman" w:hAnsi="Times New Roman"/>
          <w:sz w:val="24"/>
        </w:rPr>
        <w:t xml:space="preserve"> (2022) 96 ALJR 234; 399 ALR 214.</w:t>
      </w:r>
    </w:p>
  </w:footnote>
  <w:footnote w:id="87">
    <w:p w14:paraId="47016653"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Plaintiff M61/2010E v The Commonwealth </w:t>
      </w:r>
      <w:r w:rsidRPr="00D27672">
        <w:rPr>
          <w:rFonts w:ascii="Times New Roman" w:hAnsi="Times New Roman"/>
          <w:sz w:val="24"/>
        </w:rPr>
        <w:t>(2010) 243 CLR 319</w:t>
      </w:r>
      <w:r w:rsidRPr="00D27672">
        <w:rPr>
          <w:rFonts w:ascii="Times New Roman" w:hAnsi="Times New Roman"/>
          <w:i/>
          <w:iCs/>
          <w:sz w:val="24"/>
        </w:rPr>
        <w:t xml:space="preserve"> </w:t>
      </w:r>
      <w:r w:rsidRPr="00D27672">
        <w:rPr>
          <w:rFonts w:ascii="Times New Roman" w:hAnsi="Times New Roman"/>
          <w:sz w:val="24"/>
        </w:rPr>
        <w:t>at 359 [103].</w:t>
      </w:r>
    </w:p>
  </w:footnote>
  <w:footnote w:id="88">
    <w:p w14:paraId="1BBF5107"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See </w:t>
      </w:r>
      <w:r w:rsidRPr="00D27672">
        <w:rPr>
          <w:rFonts w:ascii="Times New Roman" w:hAnsi="Times New Roman"/>
          <w:i/>
          <w:iCs/>
          <w:sz w:val="24"/>
        </w:rPr>
        <w:t xml:space="preserve">Australian Conservation Foundation </w:t>
      </w:r>
      <w:proofErr w:type="gramStart"/>
      <w:r w:rsidRPr="00D27672">
        <w:rPr>
          <w:rFonts w:ascii="Times New Roman" w:hAnsi="Times New Roman"/>
          <w:i/>
          <w:iCs/>
          <w:sz w:val="24"/>
        </w:rPr>
        <w:t>v</w:t>
      </w:r>
      <w:proofErr w:type="gramEnd"/>
      <w:r w:rsidRPr="00D27672">
        <w:rPr>
          <w:rFonts w:ascii="Times New Roman" w:hAnsi="Times New Roman"/>
          <w:i/>
          <w:iCs/>
          <w:sz w:val="24"/>
        </w:rPr>
        <w:t xml:space="preserve"> The Commonwealth</w:t>
      </w:r>
      <w:r w:rsidRPr="00D27672">
        <w:rPr>
          <w:rFonts w:ascii="Times New Roman" w:hAnsi="Times New Roman"/>
          <w:sz w:val="24"/>
        </w:rPr>
        <w:t xml:space="preserve"> (1980) 146 CLR 493 at 530</w:t>
      </w:r>
      <w:r w:rsidRPr="00D27672">
        <w:rPr>
          <w:rFonts w:ascii="Times New Roman" w:hAnsi="Times New Roman"/>
          <w:sz w:val="24"/>
        </w:rPr>
        <w:noBreakHyphen/>
        <w:t xml:space="preserve">531; </w:t>
      </w:r>
      <w:r w:rsidRPr="00D27672">
        <w:rPr>
          <w:rFonts w:ascii="Times New Roman" w:hAnsi="Times New Roman"/>
          <w:i/>
          <w:iCs/>
          <w:sz w:val="24"/>
        </w:rPr>
        <w:t>Re McBain; Ex parte Australian Catholic Bisho</w:t>
      </w:r>
      <w:r w:rsidRPr="00D27672">
        <w:rPr>
          <w:rFonts w:ascii="Times New Roman" w:hAnsi="Times New Roman"/>
          <w:i/>
          <w:sz w:val="24"/>
        </w:rPr>
        <w:t>ps Conference</w:t>
      </w:r>
      <w:r w:rsidRPr="00D27672">
        <w:rPr>
          <w:rFonts w:ascii="Times New Roman" w:hAnsi="Times New Roman"/>
          <w:i/>
          <w:iCs/>
          <w:sz w:val="24"/>
        </w:rPr>
        <w:t xml:space="preserve"> </w:t>
      </w:r>
      <w:r w:rsidRPr="00D27672">
        <w:rPr>
          <w:rFonts w:ascii="Times New Roman" w:hAnsi="Times New Roman"/>
          <w:sz w:val="24"/>
        </w:rPr>
        <w:t>(2002) 209 CLR 372 at 423</w:t>
      </w:r>
      <w:r w:rsidRPr="00D27672">
        <w:rPr>
          <w:rFonts w:ascii="Times New Roman" w:hAnsi="Times New Roman"/>
          <w:sz w:val="24"/>
        </w:rPr>
        <w:noBreakHyphen/>
        <w:t>424 [115].</w:t>
      </w:r>
    </w:p>
  </w:footnote>
  <w:footnote w:id="89">
    <w:p w14:paraId="159428FA"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sz w:val="24"/>
        </w:rPr>
        <w:t xml:space="preserve">United States Parole Commission v Geraghty </w:t>
      </w:r>
      <w:r w:rsidRPr="00D27672">
        <w:rPr>
          <w:rFonts w:ascii="Times New Roman" w:hAnsi="Times New Roman"/>
          <w:sz w:val="24"/>
        </w:rPr>
        <w:t xml:space="preserve">(1980) 445 US 388 at 397, quoting Monaghan, "Constitutional Adjudication: The Who and When" (1973) 82 </w:t>
      </w:r>
      <w:r w:rsidRPr="00D27672">
        <w:rPr>
          <w:rFonts w:ascii="Times New Roman" w:hAnsi="Times New Roman"/>
          <w:i/>
          <w:iCs/>
          <w:sz w:val="24"/>
        </w:rPr>
        <w:t xml:space="preserve">Yale Law Journal </w:t>
      </w:r>
      <w:r w:rsidRPr="00D27672">
        <w:rPr>
          <w:rFonts w:ascii="Times New Roman" w:hAnsi="Times New Roman"/>
          <w:sz w:val="24"/>
        </w:rPr>
        <w:t xml:space="preserve">1363 at 1384. See Chemerinsky, </w:t>
      </w:r>
      <w:r w:rsidRPr="00D27672">
        <w:rPr>
          <w:rFonts w:ascii="Times New Roman" w:hAnsi="Times New Roman"/>
          <w:i/>
          <w:iCs/>
          <w:sz w:val="24"/>
        </w:rPr>
        <w:t xml:space="preserve">Federal </w:t>
      </w:r>
      <w:r w:rsidRPr="00D27672">
        <w:rPr>
          <w:rFonts w:ascii="Times New Roman" w:hAnsi="Times New Roman"/>
          <w:i/>
          <w:sz w:val="24"/>
        </w:rPr>
        <w:t>Jurisdiction</w:t>
      </w:r>
      <w:r w:rsidRPr="00D27672">
        <w:rPr>
          <w:rFonts w:ascii="Times New Roman" w:hAnsi="Times New Roman"/>
          <w:sz w:val="24"/>
        </w:rPr>
        <w:t>, 6th ed</w:t>
      </w:r>
      <w:r w:rsidRPr="00D27672">
        <w:rPr>
          <w:rFonts w:ascii="Times New Roman" w:hAnsi="Times New Roman"/>
          <w:i/>
          <w:iCs/>
          <w:sz w:val="24"/>
        </w:rPr>
        <w:t xml:space="preserve"> </w:t>
      </w:r>
      <w:r w:rsidRPr="00D27672">
        <w:rPr>
          <w:rFonts w:ascii="Times New Roman" w:hAnsi="Times New Roman"/>
          <w:sz w:val="24"/>
        </w:rPr>
        <w:t>(2012) at 131</w:t>
      </w:r>
      <w:r w:rsidRPr="00D27672">
        <w:rPr>
          <w:rFonts w:ascii="Times New Roman" w:hAnsi="Times New Roman"/>
          <w:sz w:val="24"/>
        </w:rPr>
        <w:noBreakHyphen/>
        <w:t>132.</w:t>
      </w:r>
    </w:p>
  </w:footnote>
  <w:footnote w:id="90">
    <w:p w14:paraId="6FF4B178"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Lange v Australian Broadcasting Corporation</w:t>
      </w:r>
      <w:r w:rsidRPr="00D27672">
        <w:rPr>
          <w:rFonts w:ascii="Times New Roman" w:hAnsi="Times New Roman"/>
          <w:sz w:val="24"/>
        </w:rPr>
        <w:t xml:space="preserve"> (1997) 189 CLR 520 at 560.</w:t>
      </w:r>
    </w:p>
  </w:footnote>
  <w:footnote w:id="91">
    <w:p w14:paraId="194940B5"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(2016) 257 CLR 42.</w:t>
      </w:r>
    </w:p>
  </w:footnote>
  <w:footnote w:id="92">
    <w:p w14:paraId="2A4419D3"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(1997) 191 CLR 119.</w:t>
      </w:r>
    </w:p>
  </w:footnote>
  <w:footnote w:id="93">
    <w:p w14:paraId="119F84BA"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(1997) 191 CLR 119 at 127</w:t>
      </w:r>
      <w:r w:rsidRPr="00D27672">
        <w:rPr>
          <w:rFonts w:ascii="Times New Roman" w:hAnsi="Times New Roman"/>
          <w:sz w:val="24"/>
        </w:rPr>
        <w:noBreakHyphen/>
        <w:t>128, 138.</w:t>
      </w:r>
    </w:p>
  </w:footnote>
  <w:footnote w:id="94">
    <w:p w14:paraId="2FB39B94"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See </w:t>
      </w:r>
      <w:r w:rsidRPr="00D27672">
        <w:rPr>
          <w:rFonts w:ascii="Times New Roman" w:hAnsi="Times New Roman"/>
          <w:i/>
          <w:iCs/>
          <w:sz w:val="24"/>
        </w:rPr>
        <w:t xml:space="preserve">Smethurst v Commissioner of the Australian Federal Police </w:t>
      </w:r>
      <w:r w:rsidRPr="00D27672">
        <w:rPr>
          <w:rFonts w:ascii="Times New Roman" w:hAnsi="Times New Roman"/>
          <w:sz w:val="24"/>
        </w:rPr>
        <w:t>(2020) 272 CLR 177 at 223-224 [106]-[107].</w:t>
      </w:r>
    </w:p>
  </w:footnote>
  <w:footnote w:id="95">
    <w:p w14:paraId="1864459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Australian Boot Trade Employees' Federation v The Commonwealth</w:t>
      </w:r>
      <w:r w:rsidRPr="00D27672">
        <w:rPr>
          <w:rFonts w:ascii="Times New Roman" w:hAnsi="Times New Roman"/>
          <w:sz w:val="24"/>
        </w:rPr>
        <w:t xml:space="preserve"> (1954) 90 CLR 24 at 46.</w:t>
      </w:r>
    </w:p>
  </w:footnote>
  <w:footnote w:id="96">
    <w:p w14:paraId="59CEC756"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Compare </w:t>
      </w:r>
      <w:r w:rsidRPr="00D27672">
        <w:rPr>
          <w:rFonts w:ascii="Times New Roman" w:hAnsi="Times New Roman"/>
          <w:i/>
          <w:iCs/>
          <w:sz w:val="24"/>
        </w:rPr>
        <w:t xml:space="preserve">Wragg v </w:t>
      </w:r>
      <w:r w:rsidRPr="00D27672">
        <w:rPr>
          <w:rFonts w:ascii="Times New Roman" w:hAnsi="Times New Roman"/>
          <w:i/>
          <w:sz w:val="24"/>
        </w:rPr>
        <w:t xml:space="preserve">New South Wales </w:t>
      </w:r>
      <w:r w:rsidRPr="00D27672">
        <w:rPr>
          <w:rFonts w:ascii="Times New Roman" w:hAnsi="Times New Roman"/>
          <w:sz w:val="24"/>
        </w:rPr>
        <w:t>(1953) 88 CLR 353</w:t>
      </w:r>
      <w:r w:rsidRPr="00D27672">
        <w:rPr>
          <w:rFonts w:ascii="Times New Roman" w:hAnsi="Times New Roman"/>
          <w:i/>
          <w:sz w:val="24"/>
        </w:rPr>
        <w:t xml:space="preserve"> </w:t>
      </w:r>
      <w:r w:rsidRPr="00D27672">
        <w:rPr>
          <w:rFonts w:ascii="Times New Roman" w:hAnsi="Times New Roman"/>
          <w:sz w:val="24"/>
        </w:rPr>
        <w:t>at 367, 371, 399</w:t>
      </w:r>
      <w:r w:rsidRPr="00D27672">
        <w:rPr>
          <w:rFonts w:ascii="Times New Roman" w:hAnsi="Times New Roman"/>
          <w:sz w:val="24"/>
        </w:rPr>
        <w:noBreakHyphen/>
        <w:t>400.</w:t>
      </w:r>
    </w:p>
  </w:footnote>
  <w:footnote w:id="97">
    <w:p w14:paraId="6CC21664"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Massachusetts v Oakes </w:t>
      </w:r>
      <w:r w:rsidRPr="00D27672">
        <w:rPr>
          <w:rFonts w:ascii="Times New Roman" w:hAnsi="Times New Roman"/>
          <w:sz w:val="24"/>
        </w:rPr>
        <w:t>(1989) 491 US 576 at 586.</w:t>
      </w:r>
    </w:p>
  </w:footnote>
  <w:footnote w:id="98">
    <w:p w14:paraId="6CE1E69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Town of Portsmouth, Rhode Island v Lewis </w:t>
      </w:r>
      <w:r w:rsidRPr="00D27672">
        <w:rPr>
          <w:rFonts w:ascii="Times New Roman" w:hAnsi="Times New Roman"/>
          <w:sz w:val="24"/>
        </w:rPr>
        <w:t>(2016) 813 F 3d 54</w:t>
      </w:r>
      <w:r w:rsidRPr="00D27672">
        <w:rPr>
          <w:rFonts w:ascii="Times New Roman" w:hAnsi="Times New Roman"/>
          <w:i/>
          <w:sz w:val="24"/>
        </w:rPr>
        <w:t xml:space="preserve"> </w:t>
      </w:r>
      <w:r w:rsidRPr="00D27672">
        <w:rPr>
          <w:rFonts w:ascii="Times New Roman" w:hAnsi="Times New Roman"/>
          <w:sz w:val="24"/>
        </w:rPr>
        <w:t xml:space="preserve">at 59, quoting </w:t>
      </w:r>
      <w:r w:rsidRPr="00D27672">
        <w:rPr>
          <w:rFonts w:ascii="Times New Roman" w:hAnsi="Times New Roman"/>
          <w:i/>
          <w:sz w:val="24"/>
        </w:rPr>
        <w:t xml:space="preserve">American Civil Liberties Union of Massachusetts v United States Conference of Catholic Bishops </w:t>
      </w:r>
      <w:r w:rsidRPr="00D27672">
        <w:rPr>
          <w:rFonts w:ascii="Times New Roman" w:hAnsi="Times New Roman"/>
          <w:sz w:val="24"/>
        </w:rPr>
        <w:t>(2013) 705 F 3d 44 at 54</w:t>
      </w:r>
      <w:r w:rsidRPr="00D27672">
        <w:rPr>
          <w:rFonts w:ascii="Times New Roman" w:hAnsi="Times New Roman"/>
          <w:sz w:val="24"/>
        </w:rPr>
        <w:noBreakHyphen/>
        <w:t>55.</w:t>
      </w:r>
    </w:p>
  </w:footnote>
  <w:footnote w:id="99">
    <w:p w14:paraId="3158678E"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(2017) 261 CLR 328.</w:t>
      </w:r>
    </w:p>
  </w:footnote>
  <w:footnote w:id="100">
    <w:p w14:paraId="278982B0"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IMF (Australia) Ltd v Sons </w:t>
      </w:r>
      <w:r w:rsidRPr="00D27672">
        <w:rPr>
          <w:rFonts w:ascii="Times New Roman" w:hAnsi="Times New Roman"/>
          <w:i/>
          <w:sz w:val="24"/>
        </w:rPr>
        <w:t>of Gwalia Ltd</w:t>
      </w:r>
      <w:r w:rsidRPr="00D27672">
        <w:rPr>
          <w:rFonts w:ascii="Times New Roman" w:hAnsi="Times New Roman"/>
          <w:sz w:val="24"/>
        </w:rPr>
        <w:t xml:space="preserve"> (2004) 211 ALR 231 at 244 [47]. See also </w:t>
      </w:r>
      <w:r w:rsidRPr="00D27672">
        <w:rPr>
          <w:rFonts w:ascii="Times New Roman" w:hAnsi="Times New Roman"/>
          <w:i/>
          <w:sz w:val="24"/>
        </w:rPr>
        <w:t xml:space="preserve">Oil Basins Ltd v The Commonwealth </w:t>
      </w:r>
      <w:r w:rsidRPr="00D27672">
        <w:rPr>
          <w:rFonts w:ascii="Times New Roman" w:hAnsi="Times New Roman"/>
          <w:sz w:val="24"/>
        </w:rPr>
        <w:t>(1993) 178 CLR 643 at 649</w:t>
      </w:r>
      <w:r w:rsidRPr="00D27672">
        <w:rPr>
          <w:rFonts w:ascii="Times New Roman" w:hAnsi="Times New Roman"/>
          <w:sz w:val="24"/>
        </w:rPr>
        <w:noBreakHyphen/>
        <w:t xml:space="preserve">650; </w:t>
      </w:r>
      <w:r w:rsidRPr="00D27672">
        <w:rPr>
          <w:rFonts w:ascii="Times New Roman" w:hAnsi="Times New Roman"/>
          <w:i/>
          <w:sz w:val="24"/>
        </w:rPr>
        <w:t xml:space="preserve">Australian Competition and Consumer Commission v MSY Technology Pty Ltd </w:t>
      </w:r>
      <w:r w:rsidRPr="00D27672">
        <w:rPr>
          <w:rFonts w:ascii="Times New Roman" w:hAnsi="Times New Roman"/>
          <w:sz w:val="24"/>
        </w:rPr>
        <w:t>(2012) 201 FCR 378 at 387 [30].</w:t>
      </w:r>
    </w:p>
  </w:footnote>
  <w:footnote w:id="101">
    <w:p w14:paraId="61675415"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(1907) 4 CLR 1569 at 1571.</w:t>
      </w:r>
    </w:p>
  </w:footnote>
  <w:footnote w:id="102">
    <w:p w14:paraId="541181AB"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Re Tooth &amp; Co Ltd </w:t>
      </w:r>
      <w:r w:rsidRPr="00D27672">
        <w:rPr>
          <w:rFonts w:ascii="Times New Roman" w:hAnsi="Times New Roman"/>
          <w:sz w:val="24"/>
        </w:rPr>
        <w:t>(1978) 19 ALR 191 at 206</w:t>
      </w:r>
      <w:r w:rsidRPr="00D27672">
        <w:rPr>
          <w:rFonts w:ascii="Times New Roman" w:hAnsi="Times New Roman"/>
          <w:sz w:val="24"/>
        </w:rPr>
        <w:noBreakHyphen/>
        <w:t xml:space="preserve">207. See also </w:t>
      </w:r>
      <w:r w:rsidRPr="00D27672">
        <w:rPr>
          <w:rFonts w:ascii="Times New Roman" w:hAnsi="Times New Roman"/>
          <w:i/>
          <w:iCs/>
          <w:sz w:val="24"/>
        </w:rPr>
        <w:t xml:space="preserve">Ainsworth v Criminal Justice Commission </w:t>
      </w:r>
      <w:r w:rsidRPr="00D27672">
        <w:rPr>
          <w:rFonts w:ascii="Times New Roman" w:hAnsi="Times New Roman"/>
          <w:sz w:val="24"/>
        </w:rPr>
        <w:t xml:space="preserve">(1992) 175 CLR 564 at 596, referring to </w:t>
      </w:r>
      <w:r w:rsidRPr="00D27672">
        <w:rPr>
          <w:rFonts w:ascii="Times New Roman" w:hAnsi="Times New Roman"/>
          <w:i/>
          <w:iCs/>
          <w:sz w:val="24"/>
        </w:rPr>
        <w:t xml:space="preserve">Russian Commercial and Industrial Bank v British Bank for Foreign Trade Ltd </w:t>
      </w:r>
      <w:r w:rsidRPr="00D27672">
        <w:rPr>
          <w:rFonts w:ascii="Times New Roman" w:hAnsi="Times New Roman"/>
          <w:sz w:val="24"/>
        </w:rPr>
        <w:t>[1921] 2 AC 438 at 448.</w:t>
      </w:r>
    </w:p>
  </w:footnote>
  <w:footnote w:id="103">
    <w:p w14:paraId="3EA8675F"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See </w:t>
      </w:r>
      <w:r w:rsidRPr="00D27672">
        <w:rPr>
          <w:rFonts w:ascii="Times New Roman" w:hAnsi="Times New Roman"/>
          <w:i/>
          <w:iCs/>
          <w:sz w:val="24"/>
        </w:rPr>
        <w:t xml:space="preserve">Laker Airways Ltd v Department of Trade </w:t>
      </w:r>
      <w:r w:rsidRPr="00D27672">
        <w:rPr>
          <w:rFonts w:ascii="Times New Roman" w:hAnsi="Times New Roman"/>
          <w:sz w:val="24"/>
        </w:rPr>
        <w:t xml:space="preserve">[1977] QB 643 at 707; </w:t>
      </w:r>
      <w:r w:rsidRPr="00D27672">
        <w:rPr>
          <w:rFonts w:ascii="Times New Roman" w:hAnsi="Times New Roman"/>
          <w:i/>
          <w:sz w:val="24"/>
        </w:rPr>
        <w:t>Attorney</w:t>
      </w:r>
      <w:r w:rsidRPr="00D27672">
        <w:rPr>
          <w:rFonts w:ascii="Times New Roman" w:hAnsi="Times New Roman"/>
          <w:i/>
          <w:sz w:val="24"/>
        </w:rPr>
        <w:noBreakHyphen/>
      </w:r>
      <w:r w:rsidRPr="00D27672">
        <w:rPr>
          <w:rFonts w:ascii="Times New Roman" w:hAnsi="Times New Roman"/>
          <w:i/>
          <w:iCs/>
          <w:sz w:val="24"/>
        </w:rPr>
        <w:t xml:space="preserve">General (NSW) v Quin </w:t>
      </w:r>
      <w:r w:rsidRPr="00D27672">
        <w:rPr>
          <w:rFonts w:ascii="Times New Roman" w:hAnsi="Times New Roman"/>
          <w:sz w:val="24"/>
        </w:rPr>
        <w:t xml:space="preserve">(1990) 170 CLR 1 at 18. Compare </w:t>
      </w:r>
      <w:r w:rsidRPr="00D27672">
        <w:rPr>
          <w:rFonts w:ascii="Times New Roman" w:hAnsi="Times New Roman"/>
          <w:i/>
          <w:iCs/>
          <w:sz w:val="24"/>
        </w:rPr>
        <w:t xml:space="preserve">Minister for Immigration and Ethnic Affairs v Kurtovic </w:t>
      </w:r>
      <w:r w:rsidRPr="00D27672">
        <w:rPr>
          <w:rFonts w:ascii="Times New Roman" w:hAnsi="Times New Roman"/>
          <w:sz w:val="24"/>
        </w:rPr>
        <w:t>(1990) 21 FCR 193 at 220</w:t>
      </w:r>
      <w:r w:rsidRPr="00D27672">
        <w:rPr>
          <w:rFonts w:ascii="Times New Roman" w:hAnsi="Times New Roman"/>
          <w:sz w:val="24"/>
        </w:rPr>
        <w:noBreakHyphen/>
        <w:t>221.</w:t>
      </w:r>
    </w:p>
  </w:footnote>
  <w:footnote w:id="104">
    <w:p w14:paraId="5D9270B7"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Delellis v The Queen</w:t>
      </w:r>
      <w:r w:rsidRPr="00D27672">
        <w:rPr>
          <w:rFonts w:ascii="Times New Roman" w:hAnsi="Times New Roman"/>
          <w:sz w:val="24"/>
        </w:rPr>
        <w:t xml:space="preserve"> (1989) 4 CRNZ 601 at 604;</w:t>
      </w:r>
      <w:r w:rsidRPr="00D27672">
        <w:rPr>
          <w:rFonts w:ascii="Times New Roman" w:hAnsi="Times New Roman"/>
          <w:i/>
          <w:iCs/>
          <w:sz w:val="24"/>
        </w:rPr>
        <w:t xml:space="preserve"> Williamson v Trainor </w:t>
      </w:r>
      <w:r w:rsidRPr="00D27672">
        <w:rPr>
          <w:rFonts w:ascii="Times New Roman" w:hAnsi="Times New Roman"/>
          <w:sz w:val="24"/>
        </w:rPr>
        <w:t xml:space="preserve">[1992] 2 Qd R 572 at 583; </w:t>
      </w:r>
      <w:r w:rsidRPr="00D27672">
        <w:rPr>
          <w:rFonts w:ascii="Times New Roman" w:hAnsi="Times New Roman"/>
          <w:i/>
          <w:iCs/>
          <w:sz w:val="24"/>
        </w:rPr>
        <w:t xml:space="preserve">R v Croydon Justices; Ex parte Dean </w:t>
      </w:r>
      <w:r w:rsidRPr="00D27672">
        <w:rPr>
          <w:rFonts w:ascii="Times New Roman" w:hAnsi="Times New Roman"/>
          <w:sz w:val="24"/>
        </w:rPr>
        <w:t xml:space="preserve">[1993] QB 769 at 778. See also </w:t>
      </w:r>
      <w:r w:rsidRPr="00D27672">
        <w:rPr>
          <w:rFonts w:ascii="Times New Roman" w:hAnsi="Times New Roman"/>
          <w:i/>
          <w:iCs/>
          <w:sz w:val="24"/>
        </w:rPr>
        <w:t xml:space="preserve">R v Horseferry Road Magistrates' Court; Ex parte Bennett </w:t>
      </w:r>
      <w:r w:rsidRPr="00D27672">
        <w:rPr>
          <w:rFonts w:ascii="Times New Roman" w:hAnsi="Times New Roman"/>
          <w:sz w:val="24"/>
        </w:rPr>
        <w:t xml:space="preserve">[1994] 1 AC 42 at 61; </w:t>
      </w:r>
      <w:r w:rsidRPr="00D27672">
        <w:rPr>
          <w:rFonts w:ascii="Times New Roman" w:hAnsi="Times New Roman"/>
          <w:i/>
          <w:iCs/>
          <w:sz w:val="24"/>
        </w:rPr>
        <w:t xml:space="preserve">Strickland (a pseudonym) v </w:t>
      </w:r>
      <w:r w:rsidRPr="00D27672">
        <w:rPr>
          <w:rFonts w:ascii="Times New Roman" w:hAnsi="Times New Roman"/>
          <w:i/>
          <w:sz w:val="24"/>
        </w:rPr>
        <w:t xml:space="preserve">Director of Public Prosecutions (Cth) </w:t>
      </w:r>
      <w:r w:rsidRPr="00D27672">
        <w:rPr>
          <w:rFonts w:ascii="Times New Roman" w:hAnsi="Times New Roman"/>
          <w:sz w:val="24"/>
        </w:rPr>
        <w:t>(2018) 266 CLR 325 at 408 [</w:t>
      </w:r>
      <w:proofErr w:type="gramStart"/>
      <w:r w:rsidRPr="00D27672">
        <w:rPr>
          <w:rFonts w:ascii="Times New Roman" w:hAnsi="Times New Roman"/>
          <w:sz w:val="24"/>
        </w:rPr>
        <w:t>246]</w:t>
      </w:r>
      <w:r w:rsidRPr="00D27672">
        <w:rPr>
          <w:rFonts w:ascii="Times New Roman" w:hAnsi="Times New Roman"/>
          <w:sz w:val="24"/>
        </w:rPr>
        <w:noBreakHyphen/>
      </w:r>
      <w:proofErr w:type="gramEnd"/>
      <w:r w:rsidRPr="00D27672">
        <w:rPr>
          <w:rFonts w:ascii="Times New Roman" w:hAnsi="Times New Roman"/>
          <w:sz w:val="24"/>
        </w:rPr>
        <w:t>[247].</w:t>
      </w:r>
    </w:p>
  </w:footnote>
  <w:footnote w:id="105">
    <w:p w14:paraId="55FB0814"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(2019) 264 CLR 595.</w:t>
      </w:r>
    </w:p>
  </w:footnote>
  <w:footnote w:id="106">
    <w:p w14:paraId="1A71BAD0"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(2019) 264 CLR 595 at 628 [83], 637-638 [</w:t>
      </w:r>
      <w:proofErr w:type="gramStart"/>
      <w:r w:rsidRPr="00D27672">
        <w:rPr>
          <w:rFonts w:ascii="Times New Roman" w:hAnsi="Times New Roman"/>
          <w:sz w:val="24"/>
        </w:rPr>
        <w:t>109]</w:t>
      </w:r>
      <w:r w:rsidRPr="00D27672">
        <w:rPr>
          <w:rFonts w:ascii="Times New Roman" w:hAnsi="Times New Roman"/>
          <w:sz w:val="24"/>
        </w:rPr>
        <w:noBreakHyphen/>
      </w:r>
      <w:proofErr w:type="gramEnd"/>
      <w:r w:rsidRPr="00D27672">
        <w:rPr>
          <w:rFonts w:ascii="Times New Roman" w:hAnsi="Times New Roman"/>
          <w:sz w:val="24"/>
        </w:rPr>
        <w:t>[110].</w:t>
      </w:r>
    </w:p>
  </w:footnote>
  <w:footnote w:id="107">
    <w:p w14:paraId="1818855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(2019) 264 CLR 595 at 674 [222].</w:t>
      </w:r>
    </w:p>
  </w:footnote>
  <w:footnote w:id="108">
    <w:p w14:paraId="7FC05B41"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(2019) 264 CLR 595 at 608 [19], 613 [</w:t>
      </w:r>
      <w:proofErr w:type="gramStart"/>
      <w:r w:rsidRPr="00D27672">
        <w:rPr>
          <w:rFonts w:ascii="Times New Roman" w:hAnsi="Times New Roman"/>
          <w:sz w:val="24"/>
        </w:rPr>
        <w:t>35]</w:t>
      </w:r>
      <w:r w:rsidRPr="00D27672">
        <w:rPr>
          <w:rFonts w:ascii="Times New Roman" w:hAnsi="Times New Roman"/>
          <w:sz w:val="24"/>
        </w:rPr>
        <w:noBreakHyphen/>
      </w:r>
      <w:proofErr w:type="gramEnd"/>
      <w:r w:rsidRPr="00D27672">
        <w:rPr>
          <w:rFonts w:ascii="Times New Roman" w:hAnsi="Times New Roman"/>
          <w:sz w:val="24"/>
        </w:rPr>
        <w:t>[38].</w:t>
      </w:r>
    </w:p>
  </w:footnote>
  <w:footnote w:id="109">
    <w:p w14:paraId="1179C81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(2019) 264 CLR 595 at 648-649 [146], 651 [154].</w:t>
      </w:r>
    </w:p>
  </w:footnote>
  <w:footnote w:id="110">
    <w:p w14:paraId="07FE27C0"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Brown v Tasmania </w:t>
      </w:r>
      <w:r w:rsidRPr="00D27672">
        <w:rPr>
          <w:rFonts w:ascii="Times New Roman" w:hAnsi="Times New Roman"/>
          <w:sz w:val="24"/>
        </w:rPr>
        <w:t>(2017) 261 CLR 328 at 362 [96].</w:t>
      </w:r>
    </w:p>
  </w:footnote>
  <w:footnote w:id="111">
    <w:p w14:paraId="3C479ADC"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Chordia, </w:t>
      </w:r>
      <w:r w:rsidRPr="00D27672">
        <w:rPr>
          <w:rFonts w:ascii="Times New Roman" w:hAnsi="Times New Roman"/>
          <w:i/>
          <w:iCs/>
          <w:sz w:val="24"/>
        </w:rPr>
        <w:t>Proportionality in Australian Constitutional Law</w:t>
      </w:r>
      <w:r w:rsidRPr="00D27672">
        <w:rPr>
          <w:rFonts w:ascii="Times New Roman" w:hAnsi="Times New Roman"/>
          <w:sz w:val="24"/>
        </w:rPr>
        <w:t xml:space="preserve"> (2020) at 175</w:t>
      </w:r>
      <w:r w:rsidRPr="00D27672">
        <w:rPr>
          <w:rFonts w:ascii="Times New Roman" w:hAnsi="Times New Roman"/>
          <w:sz w:val="24"/>
        </w:rPr>
        <w:noBreakHyphen/>
        <w:t xml:space="preserve">176. See also Carter, </w:t>
      </w:r>
      <w:r w:rsidRPr="00D27672">
        <w:rPr>
          <w:rFonts w:ascii="Times New Roman" w:hAnsi="Times New Roman"/>
          <w:i/>
          <w:iCs/>
          <w:sz w:val="24"/>
        </w:rPr>
        <w:t>Proportionality and Facts in Constitutional Adjudication</w:t>
      </w:r>
      <w:r w:rsidRPr="00D27672">
        <w:rPr>
          <w:rFonts w:ascii="Times New Roman" w:hAnsi="Times New Roman"/>
          <w:sz w:val="24"/>
        </w:rPr>
        <w:t xml:space="preserve"> (2021) at 23, 32; Barak, </w:t>
      </w:r>
      <w:r w:rsidRPr="00D27672">
        <w:rPr>
          <w:rFonts w:ascii="Times New Roman" w:hAnsi="Times New Roman"/>
          <w:i/>
          <w:iCs/>
          <w:sz w:val="24"/>
        </w:rPr>
        <w:t xml:space="preserve">Proportionality: Constitutional Rights and their Limitations </w:t>
      </w:r>
      <w:r w:rsidRPr="00D27672">
        <w:rPr>
          <w:rFonts w:ascii="Times New Roman" w:hAnsi="Times New Roman"/>
          <w:sz w:val="24"/>
        </w:rPr>
        <w:t>(2012) at 529</w:t>
      </w:r>
      <w:r w:rsidRPr="00D27672">
        <w:rPr>
          <w:rFonts w:ascii="Times New Roman" w:hAnsi="Times New Roman"/>
          <w:sz w:val="24"/>
        </w:rPr>
        <w:noBreakHyphen/>
        <w:t>530.</w:t>
      </w:r>
    </w:p>
  </w:footnote>
  <w:footnote w:id="112">
    <w:p w14:paraId="220CC6E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Clubb v </w:t>
      </w:r>
      <w:r w:rsidRPr="00D27672">
        <w:rPr>
          <w:rFonts w:ascii="Times New Roman" w:hAnsi="Times New Roman"/>
          <w:i/>
          <w:sz w:val="24"/>
        </w:rPr>
        <w:t>Edwards</w:t>
      </w:r>
      <w:r w:rsidRPr="00D27672">
        <w:rPr>
          <w:rFonts w:ascii="Times New Roman" w:hAnsi="Times New Roman"/>
          <w:sz w:val="24"/>
        </w:rPr>
        <w:t xml:space="preserve"> (2019) 267 CLR 171 at 335 [</w:t>
      </w:r>
      <w:proofErr w:type="gramStart"/>
      <w:r w:rsidRPr="00D27672">
        <w:rPr>
          <w:rFonts w:ascii="Times New Roman" w:hAnsi="Times New Roman"/>
          <w:sz w:val="24"/>
        </w:rPr>
        <w:t>472]</w:t>
      </w:r>
      <w:r w:rsidRPr="00D27672">
        <w:rPr>
          <w:rFonts w:ascii="Times New Roman" w:hAnsi="Times New Roman"/>
          <w:sz w:val="24"/>
        </w:rPr>
        <w:noBreakHyphen/>
      </w:r>
      <w:proofErr w:type="gramEnd"/>
      <w:r w:rsidRPr="00D27672">
        <w:rPr>
          <w:rFonts w:ascii="Times New Roman" w:hAnsi="Times New Roman"/>
          <w:sz w:val="24"/>
        </w:rPr>
        <w:t xml:space="preserve">[473]; </w:t>
      </w:r>
      <w:r w:rsidRPr="00D27672">
        <w:rPr>
          <w:rFonts w:ascii="Times New Roman" w:hAnsi="Times New Roman"/>
          <w:i/>
          <w:sz w:val="24"/>
        </w:rPr>
        <w:t xml:space="preserve">LibertyWorks Inc v The Commonwealth </w:t>
      </w:r>
      <w:r w:rsidRPr="00D27672">
        <w:rPr>
          <w:rFonts w:ascii="Times New Roman" w:hAnsi="Times New Roman"/>
          <w:sz w:val="24"/>
        </w:rPr>
        <w:t>(2021) 95 ALJR 490 at 536 [201]; 391 ALR 188 at 242. See also at (2021) 95 ALJR 490 at 504 [45]; 391 ALR 188 at 199</w:t>
      </w:r>
      <w:r w:rsidRPr="00D27672">
        <w:rPr>
          <w:rFonts w:ascii="Times New Roman" w:hAnsi="Times New Roman"/>
          <w:sz w:val="24"/>
        </w:rPr>
        <w:noBreakHyphen/>
        <w:t xml:space="preserve">200. See also </w:t>
      </w:r>
      <w:r w:rsidRPr="00D27672">
        <w:rPr>
          <w:rFonts w:ascii="Times New Roman" w:hAnsi="Times New Roman"/>
          <w:i/>
          <w:sz w:val="24"/>
        </w:rPr>
        <w:t>McCloy v New South Wales</w:t>
      </w:r>
      <w:r w:rsidRPr="00D27672">
        <w:rPr>
          <w:rFonts w:ascii="Times New Roman" w:hAnsi="Times New Roman"/>
          <w:sz w:val="24"/>
        </w:rPr>
        <w:t xml:space="preserve"> (2015) 257 CLR 178 at 212</w:t>
      </w:r>
      <w:r w:rsidRPr="00D27672">
        <w:rPr>
          <w:rFonts w:ascii="Times New Roman" w:hAnsi="Times New Roman"/>
          <w:sz w:val="24"/>
        </w:rPr>
        <w:noBreakHyphen/>
        <w:t>213 [</w:t>
      </w:r>
      <w:proofErr w:type="gramStart"/>
      <w:r w:rsidRPr="00D27672">
        <w:rPr>
          <w:rFonts w:ascii="Times New Roman" w:hAnsi="Times New Roman"/>
          <w:sz w:val="24"/>
        </w:rPr>
        <w:t>67]</w:t>
      </w:r>
      <w:r w:rsidRPr="00D27672">
        <w:rPr>
          <w:rFonts w:ascii="Times New Roman" w:hAnsi="Times New Roman"/>
          <w:sz w:val="24"/>
        </w:rPr>
        <w:noBreakHyphen/>
      </w:r>
      <w:proofErr w:type="gramEnd"/>
      <w:r w:rsidRPr="00D27672">
        <w:rPr>
          <w:rFonts w:ascii="Times New Roman" w:hAnsi="Times New Roman"/>
          <w:sz w:val="24"/>
        </w:rPr>
        <w:t>[68].</w:t>
      </w:r>
    </w:p>
  </w:footnote>
  <w:footnote w:id="113">
    <w:p w14:paraId="5F379C14"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"The game's not worth the candle": </w:t>
      </w:r>
      <w:r w:rsidRPr="00D27672">
        <w:rPr>
          <w:rFonts w:ascii="Times New Roman" w:hAnsi="Times New Roman"/>
          <w:i/>
          <w:iCs/>
          <w:sz w:val="24"/>
        </w:rPr>
        <w:t>The Oxford</w:t>
      </w:r>
      <w:r w:rsidRPr="00D27672">
        <w:rPr>
          <w:rFonts w:ascii="Times New Roman" w:hAnsi="Times New Roman"/>
          <w:i/>
          <w:iCs/>
          <w:sz w:val="24"/>
        </w:rPr>
        <w:noBreakHyphen/>
        <w:t>Hachette French Dictionary</w:t>
      </w:r>
      <w:r w:rsidRPr="00D27672">
        <w:rPr>
          <w:rFonts w:ascii="Times New Roman" w:hAnsi="Times New Roman"/>
          <w:sz w:val="24"/>
        </w:rPr>
        <w:t>, 3rd ed (2001)</w:t>
      </w:r>
      <w:r w:rsidRPr="00D27672">
        <w:rPr>
          <w:rFonts w:ascii="Times New Roman" w:hAnsi="Times New Roman"/>
          <w:i/>
          <w:iCs/>
          <w:sz w:val="24"/>
        </w:rPr>
        <w:t xml:space="preserve"> </w:t>
      </w:r>
      <w:r w:rsidRPr="00D27672">
        <w:rPr>
          <w:rFonts w:ascii="Times New Roman" w:hAnsi="Times New Roman"/>
          <w:sz w:val="24"/>
        </w:rPr>
        <w:t>at 1028.</w:t>
      </w:r>
    </w:p>
  </w:footnote>
  <w:footnote w:id="114">
    <w:p w14:paraId="736B9762"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Compare, for instance, </w:t>
      </w:r>
      <w:r w:rsidRPr="00D27672">
        <w:rPr>
          <w:rFonts w:ascii="Times New Roman" w:hAnsi="Times New Roman"/>
          <w:i/>
          <w:iCs/>
          <w:sz w:val="24"/>
        </w:rPr>
        <w:t xml:space="preserve">Australian Textiles Pty Ltd v The Commonwealth </w:t>
      </w:r>
      <w:r w:rsidRPr="00D27672">
        <w:rPr>
          <w:rFonts w:ascii="Times New Roman" w:hAnsi="Times New Roman"/>
          <w:sz w:val="24"/>
        </w:rPr>
        <w:t>(1945) 71 CLR 161 at 180</w:t>
      </w:r>
      <w:r w:rsidRPr="00D27672">
        <w:rPr>
          <w:rFonts w:ascii="Times New Roman" w:hAnsi="Times New Roman"/>
          <w:sz w:val="24"/>
        </w:rPr>
        <w:noBreakHyphen/>
        <w:t xml:space="preserve">181; </w:t>
      </w:r>
      <w:r w:rsidRPr="00D27672">
        <w:rPr>
          <w:rFonts w:ascii="Times New Roman" w:hAnsi="Times New Roman"/>
          <w:i/>
          <w:iCs/>
          <w:sz w:val="24"/>
        </w:rPr>
        <w:t>Australian Boot Trade Employees' Federation v The Commonwealth</w:t>
      </w:r>
      <w:r w:rsidRPr="00D27672">
        <w:rPr>
          <w:rFonts w:ascii="Times New Roman" w:hAnsi="Times New Roman"/>
          <w:sz w:val="24"/>
        </w:rPr>
        <w:t xml:space="preserve"> (1954) 90 CLR 24 at 46.</w:t>
      </w:r>
    </w:p>
  </w:footnote>
  <w:footnote w:id="115">
    <w:p w14:paraId="019B8EEE"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Clubb v Edwards</w:t>
      </w:r>
      <w:r w:rsidRPr="00D27672">
        <w:rPr>
          <w:rFonts w:ascii="Times New Roman" w:hAnsi="Times New Roman"/>
          <w:sz w:val="24"/>
        </w:rPr>
        <w:t xml:space="preserve"> (2019) 267 CLR 171 at 334</w:t>
      </w:r>
      <w:r w:rsidRPr="00D27672">
        <w:rPr>
          <w:rFonts w:ascii="Times New Roman" w:hAnsi="Times New Roman"/>
          <w:sz w:val="24"/>
        </w:rPr>
        <w:noBreakHyphen/>
        <w:t>335 [</w:t>
      </w:r>
      <w:proofErr w:type="gramStart"/>
      <w:r w:rsidRPr="00D27672">
        <w:rPr>
          <w:rFonts w:ascii="Times New Roman" w:hAnsi="Times New Roman"/>
          <w:sz w:val="24"/>
        </w:rPr>
        <w:t>470]</w:t>
      </w:r>
      <w:r w:rsidRPr="00D27672">
        <w:rPr>
          <w:rFonts w:ascii="Times New Roman" w:hAnsi="Times New Roman"/>
          <w:sz w:val="24"/>
        </w:rPr>
        <w:noBreakHyphen/>
      </w:r>
      <w:proofErr w:type="gramEnd"/>
      <w:r w:rsidRPr="00D27672">
        <w:rPr>
          <w:rFonts w:ascii="Times New Roman" w:hAnsi="Times New Roman"/>
          <w:sz w:val="24"/>
        </w:rPr>
        <w:t>[471].</w:t>
      </w:r>
    </w:p>
  </w:footnote>
  <w:footnote w:id="116">
    <w:p w14:paraId="47C6EB8B"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(2016) 261 CLR 28.</w:t>
      </w:r>
    </w:p>
  </w:footnote>
  <w:footnote w:id="117">
    <w:p w14:paraId="35471E59"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(2016) 261 CLR 28 at 55 [42].</w:t>
      </w:r>
    </w:p>
  </w:footnote>
  <w:footnote w:id="118">
    <w:p w14:paraId="0463FC06"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(2016) 261 CLR 28 at 92 [196].</w:t>
      </w:r>
    </w:p>
  </w:footnote>
  <w:footnote w:id="119">
    <w:p w14:paraId="0AC834CB"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r>
      <w:r w:rsidRPr="00D27672">
        <w:rPr>
          <w:rFonts w:ascii="Times New Roman" w:hAnsi="Times New Roman"/>
          <w:i/>
          <w:iCs/>
          <w:sz w:val="24"/>
        </w:rPr>
        <w:t xml:space="preserve">Zhang v Commissioner </w:t>
      </w:r>
      <w:r w:rsidRPr="00D27672">
        <w:rPr>
          <w:rFonts w:ascii="Times New Roman" w:hAnsi="Times New Roman"/>
          <w:i/>
          <w:sz w:val="24"/>
        </w:rPr>
        <w:t>of the Australian Federal Police</w:t>
      </w:r>
      <w:r w:rsidRPr="00D27672">
        <w:rPr>
          <w:rFonts w:ascii="Times New Roman" w:hAnsi="Times New Roman"/>
          <w:i/>
          <w:iCs/>
          <w:sz w:val="24"/>
        </w:rPr>
        <w:t xml:space="preserve"> </w:t>
      </w:r>
      <w:r w:rsidRPr="00D27672">
        <w:rPr>
          <w:rFonts w:ascii="Times New Roman" w:hAnsi="Times New Roman"/>
          <w:sz w:val="24"/>
        </w:rPr>
        <w:t>(2021) 95 ALJR 432 at 438 [</w:t>
      </w:r>
      <w:proofErr w:type="gramStart"/>
      <w:r w:rsidRPr="00D27672">
        <w:rPr>
          <w:rFonts w:ascii="Times New Roman" w:hAnsi="Times New Roman"/>
          <w:sz w:val="24"/>
        </w:rPr>
        <w:t>22]</w:t>
      </w:r>
      <w:r w:rsidRPr="00D27672">
        <w:rPr>
          <w:rFonts w:ascii="Times New Roman" w:hAnsi="Times New Roman"/>
          <w:sz w:val="24"/>
        </w:rPr>
        <w:noBreakHyphen/>
      </w:r>
      <w:proofErr w:type="gramEnd"/>
      <w:r w:rsidRPr="00D27672">
        <w:rPr>
          <w:rFonts w:ascii="Times New Roman" w:hAnsi="Times New Roman"/>
          <w:sz w:val="24"/>
        </w:rPr>
        <w:t>[23]; 389 ALR 363 at 368</w:t>
      </w:r>
      <w:r w:rsidRPr="00D27672">
        <w:rPr>
          <w:rFonts w:ascii="Times New Roman" w:hAnsi="Times New Roman"/>
          <w:sz w:val="24"/>
        </w:rPr>
        <w:noBreakHyphen/>
        <w:t>369.</w:t>
      </w:r>
    </w:p>
  </w:footnote>
  <w:footnote w:id="120">
    <w:p w14:paraId="3D9E1594" w14:textId="77777777" w:rsidR="00092D0B" w:rsidRPr="00D27672" w:rsidRDefault="00092D0B" w:rsidP="00D27672">
      <w:pPr>
        <w:pStyle w:val="FootnoteText"/>
        <w:spacing w:line="280" w:lineRule="exact"/>
        <w:ind w:right="0"/>
        <w:jc w:val="both"/>
        <w:rPr>
          <w:rFonts w:ascii="Times New Roman" w:hAnsi="Times New Roman"/>
          <w:sz w:val="24"/>
        </w:rPr>
      </w:pPr>
      <w:r w:rsidRPr="00D27672">
        <w:rPr>
          <w:rStyle w:val="FootnoteReference"/>
          <w:rFonts w:ascii="Times New Roman" w:hAnsi="Times New Roman"/>
          <w:sz w:val="22"/>
          <w:vertAlign w:val="baseline"/>
        </w:rPr>
        <w:footnoteRef/>
      </w:r>
      <w:r w:rsidRPr="00D27672">
        <w:rPr>
          <w:rFonts w:ascii="Times New Roman" w:hAnsi="Times New Roman"/>
          <w:sz w:val="24"/>
        </w:rPr>
        <w:t xml:space="preserve"> </w:t>
      </w:r>
      <w:r w:rsidRPr="00D27672">
        <w:rPr>
          <w:rFonts w:ascii="Times New Roman" w:hAnsi="Times New Roman"/>
          <w:sz w:val="24"/>
        </w:rPr>
        <w:tab/>
        <w:t xml:space="preserve">See </w:t>
      </w:r>
      <w:r w:rsidRPr="00D27672">
        <w:rPr>
          <w:rFonts w:ascii="Times New Roman" w:hAnsi="Times New Roman"/>
          <w:i/>
          <w:sz w:val="24"/>
        </w:rPr>
        <w:t>Mineralogy Pty Ltd v</w:t>
      </w:r>
      <w:r w:rsidRPr="00D27672">
        <w:rPr>
          <w:rFonts w:ascii="Times New Roman" w:hAnsi="Times New Roman"/>
          <w:i/>
          <w:iCs/>
          <w:sz w:val="24"/>
        </w:rPr>
        <w:t xml:space="preserve"> Western Australia </w:t>
      </w:r>
      <w:r w:rsidRPr="00D27672">
        <w:rPr>
          <w:rFonts w:ascii="Times New Roman" w:hAnsi="Times New Roman"/>
          <w:sz w:val="24"/>
        </w:rPr>
        <w:t>(2021) 95 ALJR 832 at 852</w:t>
      </w:r>
      <w:r w:rsidRPr="00D27672">
        <w:rPr>
          <w:rFonts w:ascii="Times New Roman" w:hAnsi="Times New Roman"/>
          <w:sz w:val="24"/>
        </w:rPr>
        <w:noBreakHyphen/>
        <w:t>854 [</w:t>
      </w:r>
      <w:proofErr w:type="gramStart"/>
      <w:r w:rsidRPr="00D27672">
        <w:rPr>
          <w:rFonts w:ascii="Times New Roman" w:hAnsi="Times New Roman"/>
          <w:sz w:val="24"/>
        </w:rPr>
        <w:t>100]</w:t>
      </w:r>
      <w:r w:rsidRPr="00D27672">
        <w:rPr>
          <w:rFonts w:ascii="Times New Roman" w:hAnsi="Times New Roman"/>
          <w:sz w:val="24"/>
        </w:rPr>
        <w:noBreakHyphen/>
      </w:r>
      <w:proofErr w:type="gramEnd"/>
      <w:r w:rsidRPr="00D27672">
        <w:rPr>
          <w:rFonts w:ascii="Times New Roman" w:hAnsi="Times New Roman"/>
          <w:sz w:val="24"/>
        </w:rPr>
        <w:t>[107]; 393 ALR 551 at 574</w:t>
      </w:r>
      <w:r w:rsidRPr="00D27672">
        <w:rPr>
          <w:rFonts w:ascii="Times New Roman" w:hAnsi="Times New Roman"/>
          <w:sz w:val="24"/>
        </w:rPr>
        <w:noBreakHyphen/>
        <w:t>576.</w:t>
      </w:r>
    </w:p>
  </w:footnote>
  <w:footnote w:id="121">
    <w:p w14:paraId="1CF2C4C1"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 xml:space="preserve">[1921] 2 AC 438 at 448, quoted with approval in </w:t>
      </w:r>
      <w:r w:rsidRPr="007F0580">
        <w:rPr>
          <w:rFonts w:ascii="Times New Roman" w:hAnsi="Times New Roman"/>
          <w:i/>
          <w:iCs/>
          <w:sz w:val="24"/>
        </w:rPr>
        <w:t>Forster v Jododex Aust Pty Ltd</w:t>
      </w:r>
      <w:r w:rsidRPr="007F0580">
        <w:rPr>
          <w:rFonts w:ascii="Times New Roman" w:hAnsi="Times New Roman"/>
          <w:sz w:val="24"/>
        </w:rPr>
        <w:t xml:space="preserve"> (1972) 127 CLR 421 at 437-438 per Gibbs J</w:t>
      </w:r>
      <w:r w:rsidRPr="007F0580">
        <w:rPr>
          <w:rFonts w:ascii="Times New Roman" w:hAnsi="Times New Roman"/>
          <w:i/>
          <w:iCs/>
          <w:sz w:val="24"/>
        </w:rPr>
        <w:t xml:space="preserve"> </w:t>
      </w:r>
      <w:r w:rsidRPr="007F0580">
        <w:rPr>
          <w:rFonts w:ascii="Times New Roman" w:hAnsi="Times New Roman"/>
          <w:sz w:val="24"/>
        </w:rPr>
        <w:t xml:space="preserve">and </w:t>
      </w:r>
      <w:r w:rsidRPr="007F0580">
        <w:rPr>
          <w:rFonts w:ascii="Times New Roman" w:hAnsi="Times New Roman"/>
          <w:i/>
          <w:iCs/>
          <w:sz w:val="24"/>
        </w:rPr>
        <w:t>Ainsworth v Criminal Justice Commission</w:t>
      </w:r>
      <w:r w:rsidRPr="007F0580">
        <w:rPr>
          <w:rFonts w:ascii="Times New Roman" w:hAnsi="Times New Roman"/>
          <w:sz w:val="24"/>
        </w:rPr>
        <w:t xml:space="preserve"> (1992) 175 CLR 564 at 596 per Brennan J.</w:t>
      </w:r>
    </w:p>
  </w:footnote>
  <w:footnote w:id="122">
    <w:p w14:paraId="2872D072"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 xml:space="preserve">(2004) 211 ALR 231 at 244 [47]. See also </w:t>
      </w:r>
      <w:r w:rsidRPr="007F0580">
        <w:rPr>
          <w:rFonts w:ascii="Times New Roman" w:hAnsi="Times New Roman"/>
          <w:i/>
          <w:iCs/>
          <w:sz w:val="24"/>
        </w:rPr>
        <w:t xml:space="preserve">Oil Basins Ltd v The Commonwealth </w:t>
      </w:r>
      <w:r w:rsidRPr="007F0580">
        <w:rPr>
          <w:rFonts w:ascii="Times New Roman" w:hAnsi="Times New Roman"/>
          <w:sz w:val="24"/>
        </w:rPr>
        <w:t xml:space="preserve">(1993) 178 CLR 643 at 648-650 per Dawson J; </w:t>
      </w:r>
      <w:r w:rsidRPr="007F0580">
        <w:rPr>
          <w:rFonts w:ascii="Times New Roman" w:hAnsi="Times New Roman"/>
          <w:i/>
          <w:iCs/>
          <w:sz w:val="24"/>
        </w:rPr>
        <w:t xml:space="preserve">Australian Competition and Consumer Commission v MSY Technology Pty Ltd </w:t>
      </w:r>
      <w:r w:rsidRPr="007F0580">
        <w:rPr>
          <w:rFonts w:ascii="Times New Roman" w:hAnsi="Times New Roman"/>
          <w:sz w:val="24"/>
        </w:rPr>
        <w:t xml:space="preserve">(2012) 201 FCR 378 at 387 [30] per Greenwood, </w:t>
      </w:r>
      <w:proofErr w:type="gramStart"/>
      <w:r w:rsidRPr="007F0580">
        <w:rPr>
          <w:rFonts w:ascii="Times New Roman" w:hAnsi="Times New Roman"/>
          <w:sz w:val="24"/>
        </w:rPr>
        <w:t>Logan</w:t>
      </w:r>
      <w:proofErr w:type="gramEnd"/>
      <w:r w:rsidRPr="007F0580">
        <w:rPr>
          <w:rFonts w:ascii="Times New Roman" w:hAnsi="Times New Roman"/>
          <w:sz w:val="24"/>
        </w:rPr>
        <w:t xml:space="preserve"> and Yates JJ.</w:t>
      </w:r>
    </w:p>
  </w:footnote>
  <w:footnote w:id="123">
    <w:p w14:paraId="57B375F6"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(1907) 4 CLR 1569.</w:t>
      </w:r>
    </w:p>
  </w:footnote>
  <w:footnote w:id="124">
    <w:p w14:paraId="1AC14253"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(1907) 4 CLR 1569 at 1571.</w:t>
      </w:r>
    </w:p>
  </w:footnote>
  <w:footnote w:id="125">
    <w:p w14:paraId="031A2979"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(2017) 261 CLR 328.</w:t>
      </w:r>
    </w:p>
  </w:footnote>
  <w:footnote w:id="126">
    <w:p w14:paraId="1DB5A6BB" w14:textId="77777777" w:rsidR="00092D0B" w:rsidRPr="007F0580" w:rsidRDefault="00092D0B" w:rsidP="007F0580">
      <w:pPr>
        <w:pStyle w:val="FootnoteText"/>
        <w:spacing w:line="280" w:lineRule="exact"/>
        <w:ind w:right="0"/>
        <w:jc w:val="both"/>
        <w:rPr>
          <w:rFonts w:ascii="Times New Roman" w:hAnsi="Times New Roman"/>
          <w:sz w:val="24"/>
        </w:rPr>
      </w:pPr>
      <w:r w:rsidRPr="007F0580">
        <w:rPr>
          <w:rStyle w:val="FootnoteReference"/>
          <w:rFonts w:ascii="Times New Roman" w:hAnsi="Times New Roman"/>
          <w:sz w:val="22"/>
          <w:vertAlign w:val="baseline"/>
        </w:rPr>
        <w:footnoteRef/>
      </w:r>
      <w:r w:rsidRPr="007F0580">
        <w:rPr>
          <w:rFonts w:ascii="Times New Roman" w:hAnsi="Times New Roman"/>
          <w:sz w:val="24"/>
        </w:rPr>
        <w:t xml:space="preserve"> </w:t>
      </w:r>
      <w:r w:rsidRPr="007F0580">
        <w:rPr>
          <w:rFonts w:ascii="Times New Roman" w:hAnsi="Times New Roman"/>
          <w:sz w:val="24"/>
        </w:rPr>
        <w:tab/>
        <w:t>(2017) 261 CLR 328 at 507-508; see also at 340 [5], 343 [17], 375 [154] per Kiefel CJ, Bell and Keane JJ, 397-398 [235] per Gageler J, 426 [298] per Nettle J, 479 [483] per Gordon J, 484 [499] per Edelman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AC6D" w14:textId="77777777" w:rsidR="0026277C" w:rsidRPr="005E74ED" w:rsidRDefault="0026277C" w:rsidP="005E74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0802" w14:textId="77777777" w:rsidR="007F0580" w:rsidRDefault="005E74ED" w:rsidP="007F058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DA22EC9" w14:textId="77777777" w:rsidR="007F0580" w:rsidRDefault="005E74ED" w:rsidP="007F0580">
    <w:pPr>
      <w:pStyle w:val="Header"/>
      <w:tabs>
        <w:tab w:val="clear" w:pos="4153"/>
        <w:tab w:val="clear" w:pos="8306"/>
        <w:tab w:val="right" w:pos="1304"/>
      </w:tabs>
      <w:spacing w:line="280" w:lineRule="exact"/>
      <w:ind w:firstLine="0"/>
      <w:rPr>
        <w:rFonts w:ascii="Times New Roman" w:hAnsi="Times New Roman"/>
        <w:i/>
        <w:sz w:val="22"/>
      </w:rPr>
    </w:pPr>
  </w:p>
  <w:p w14:paraId="61E9AABC" w14:textId="77777777" w:rsidR="007F0580" w:rsidRDefault="005E74ED" w:rsidP="007F058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C47E6B5" w14:textId="77777777" w:rsidR="007F0580" w:rsidRPr="007F0580" w:rsidRDefault="005E74ED" w:rsidP="007F058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4AC0" w14:textId="77777777" w:rsidR="007F0580" w:rsidRDefault="005E74ED" w:rsidP="007F058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2684F04" w14:textId="77777777" w:rsidR="007F0580" w:rsidRDefault="005E74ED" w:rsidP="007F0580">
    <w:pPr>
      <w:pStyle w:val="Header"/>
      <w:tabs>
        <w:tab w:val="clear" w:pos="4153"/>
        <w:tab w:val="clear" w:pos="8306"/>
        <w:tab w:val="left" w:pos="7200"/>
        <w:tab w:val="right" w:pos="8504"/>
      </w:tabs>
      <w:spacing w:line="280" w:lineRule="exact"/>
      <w:jc w:val="right"/>
      <w:rPr>
        <w:rFonts w:ascii="Times New Roman" w:hAnsi="Times New Roman"/>
        <w:i/>
        <w:sz w:val="22"/>
      </w:rPr>
    </w:pPr>
  </w:p>
  <w:p w14:paraId="46AC06D2" w14:textId="77777777" w:rsidR="007F0580" w:rsidRDefault="005E74ED" w:rsidP="007F058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08E933C" w14:textId="77777777" w:rsidR="007F0580" w:rsidRPr="007F0580" w:rsidRDefault="005E74ED" w:rsidP="007F05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FDE7" w14:textId="77777777" w:rsidR="007F0580" w:rsidRDefault="005E74ED" w:rsidP="007F0580">
    <w:pPr>
      <w:pStyle w:val="Header"/>
      <w:tabs>
        <w:tab w:val="clear" w:pos="4153"/>
        <w:tab w:val="clear" w:pos="8306"/>
        <w:tab w:val="center" w:pos="1134"/>
      </w:tabs>
      <w:spacing w:line="280" w:lineRule="exact"/>
      <w:ind w:firstLine="0"/>
      <w:rPr>
        <w:rFonts w:ascii="Times New Roman" w:hAnsi="Times New Roman"/>
        <w:i/>
        <w:sz w:val="22"/>
      </w:rPr>
    </w:pPr>
  </w:p>
  <w:p w14:paraId="2D4667F4" w14:textId="77777777" w:rsidR="007F0580" w:rsidRDefault="005E74ED" w:rsidP="007F0580">
    <w:pPr>
      <w:pStyle w:val="Header"/>
      <w:tabs>
        <w:tab w:val="clear" w:pos="4153"/>
        <w:tab w:val="clear" w:pos="8306"/>
        <w:tab w:val="center" w:pos="1134"/>
      </w:tabs>
      <w:spacing w:line="280" w:lineRule="exact"/>
      <w:ind w:firstLine="0"/>
      <w:rPr>
        <w:rFonts w:ascii="Times New Roman" w:hAnsi="Times New Roman"/>
        <w:i/>
        <w:sz w:val="22"/>
      </w:rPr>
    </w:pPr>
  </w:p>
  <w:p w14:paraId="010EB7BD" w14:textId="77777777" w:rsidR="007F0580" w:rsidRDefault="005E74ED" w:rsidP="007F0580">
    <w:pPr>
      <w:pStyle w:val="Header"/>
      <w:tabs>
        <w:tab w:val="clear" w:pos="4153"/>
        <w:tab w:val="clear" w:pos="8306"/>
        <w:tab w:val="center" w:pos="1134"/>
      </w:tabs>
      <w:spacing w:line="280" w:lineRule="exact"/>
      <w:ind w:firstLine="0"/>
      <w:rPr>
        <w:rFonts w:ascii="Times New Roman" w:hAnsi="Times New Roman"/>
        <w:i/>
        <w:sz w:val="22"/>
      </w:rPr>
    </w:pPr>
  </w:p>
  <w:p w14:paraId="2CAB74B3" w14:textId="77777777" w:rsidR="00327407" w:rsidRPr="007F0580" w:rsidRDefault="005E74ED" w:rsidP="007F0580">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6B80" w14:textId="77777777" w:rsidR="00092D0B" w:rsidRPr="007F0580" w:rsidRDefault="00092D0B" w:rsidP="007F05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398E" w14:textId="3376344C" w:rsidR="0026277C" w:rsidRPr="005E74ED" w:rsidRDefault="005E74ED" w:rsidP="005E74E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57BF" w14:textId="3B195583" w:rsidR="00CE4C65" w:rsidRPr="005E74ED" w:rsidRDefault="00CE4C65" w:rsidP="005E74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E86F" w14:textId="77777777" w:rsidR="005E74ED" w:rsidRPr="0026277C" w:rsidRDefault="005E74ED" w:rsidP="0026277C">
    <w:pPr>
      <w:pStyle w:val="Header"/>
      <w:tabs>
        <w:tab w:val="clear" w:pos="4153"/>
        <w:tab w:val="clear" w:pos="8306"/>
        <w:tab w:val="right" w:pos="1304"/>
      </w:tabs>
      <w:spacing w:line="280" w:lineRule="exact"/>
      <w:ind w:firstLine="0"/>
      <w:rPr>
        <w:rFonts w:ascii="Times New Roman" w:hAnsi="Times New Roman"/>
        <w:i/>
        <w:sz w:val="22"/>
      </w:rPr>
    </w:pPr>
    <w:r w:rsidRPr="0026277C">
      <w:rPr>
        <w:rFonts w:ascii="Times New Roman" w:hAnsi="Times New Roman"/>
        <w:i/>
        <w:sz w:val="22"/>
      </w:rPr>
      <w:t>Kiefel</w:t>
    </w:r>
    <w:r w:rsidRPr="0026277C">
      <w:rPr>
        <w:rFonts w:ascii="Times New Roman" w:hAnsi="Times New Roman"/>
        <w:i/>
        <w:sz w:val="22"/>
      </w:rPr>
      <w:tab/>
      <w:t>CJ</w:t>
    </w:r>
  </w:p>
  <w:p w14:paraId="34A1CC2E" w14:textId="77777777" w:rsidR="005E74ED" w:rsidRPr="0026277C" w:rsidRDefault="005E74ED" w:rsidP="0026277C">
    <w:pPr>
      <w:pStyle w:val="Header"/>
      <w:tabs>
        <w:tab w:val="clear" w:pos="4153"/>
        <w:tab w:val="clear" w:pos="8306"/>
        <w:tab w:val="right" w:pos="1304"/>
      </w:tabs>
      <w:spacing w:line="280" w:lineRule="exact"/>
      <w:ind w:firstLine="0"/>
      <w:rPr>
        <w:rFonts w:ascii="Times New Roman" w:hAnsi="Times New Roman"/>
        <w:i/>
        <w:sz w:val="22"/>
      </w:rPr>
    </w:pPr>
    <w:proofErr w:type="spellStart"/>
    <w:r w:rsidRPr="0026277C">
      <w:rPr>
        <w:rFonts w:ascii="Times New Roman" w:hAnsi="Times New Roman"/>
        <w:i/>
        <w:sz w:val="22"/>
      </w:rPr>
      <w:t>Gageler</w:t>
    </w:r>
    <w:proofErr w:type="spellEnd"/>
    <w:r w:rsidRPr="0026277C">
      <w:rPr>
        <w:rFonts w:ascii="Times New Roman" w:hAnsi="Times New Roman"/>
        <w:i/>
        <w:sz w:val="22"/>
      </w:rPr>
      <w:tab/>
      <w:t>J</w:t>
    </w:r>
  </w:p>
  <w:p w14:paraId="3E22E318" w14:textId="77777777" w:rsidR="005E74ED" w:rsidRPr="0026277C" w:rsidRDefault="005E74ED" w:rsidP="0026277C">
    <w:pPr>
      <w:pStyle w:val="Header"/>
      <w:tabs>
        <w:tab w:val="clear" w:pos="4153"/>
        <w:tab w:val="clear" w:pos="8306"/>
        <w:tab w:val="right" w:pos="1304"/>
      </w:tabs>
      <w:spacing w:line="280" w:lineRule="exact"/>
      <w:ind w:firstLine="0"/>
      <w:rPr>
        <w:rFonts w:ascii="Times New Roman" w:hAnsi="Times New Roman"/>
        <w:i/>
        <w:sz w:val="22"/>
      </w:rPr>
    </w:pPr>
    <w:r w:rsidRPr="0026277C">
      <w:rPr>
        <w:rFonts w:ascii="Times New Roman" w:hAnsi="Times New Roman"/>
        <w:i/>
        <w:sz w:val="22"/>
      </w:rPr>
      <w:t>Gordon</w:t>
    </w:r>
    <w:r w:rsidRPr="0026277C">
      <w:rPr>
        <w:rFonts w:ascii="Times New Roman" w:hAnsi="Times New Roman"/>
        <w:i/>
        <w:sz w:val="22"/>
      </w:rPr>
      <w:tab/>
      <w:t>J</w:t>
    </w:r>
  </w:p>
  <w:p w14:paraId="5B6ED626" w14:textId="77777777" w:rsidR="005E74ED" w:rsidRPr="0026277C" w:rsidRDefault="005E74ED" w:rsidP="0026277C">
    <w:pPr>
      <w:pStyle w:val="Header"/>
      <w:tabs>
        <w:tab w:val="clear" w:pos="4153"/>
        <w:tab w:val="clear" w:pos="8306"/>
        <w:tab w:val="right" w:pos="1304"/>
      </w:tabs>
      <w:spacing w:line="280" w:lineRule="exact"/>
      <w:ind w:firstLine="0"/>
      <w:rPr>
        <w:rFonts w:ascii="Times New Roman" w:hAnsi="Times New Roman"/>
        <w:i/>
        <w:sz w:val="22"/>
      </w:rPr>
    </w:pPr>
    <w:r w:rsidRPr="0026277C">
      <w:rPr>
        <w:rFonts w:ascii="Times New Roman" w:hAnsi="Times New Roman"/>
        <w:i/>
        <w:sz w:val="22"/>
      </w:rPr>
      <w:t>Gleeson</w:t>
    </w:r>
    <w:r w:rsidRPr="0026277C">
      <w:rPr>
        <w:rFonts w:ascii="Times New Roman" w:hAnsi="Times New Roman"/>
        <w:i/>
        <w:sz w:val="22"/>
      </w:rPr>
      <w:tab/>
      <w:t>J</w:t>
    </w:r>
  </w:p>
  <w:p w14:paraId="461A661E" w14:textId="77777777" w:rsidR="005E74ED" w:rsidRDefault="005E74ED" w:rsidP="0026277C">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Jagot</w:t>
    </w:r>
    <w:proofErr w:type="spellEnd"/>
    <w:r>
      <w:rPr>
        <w:rFonts w:ascii="Times New Roman" w:hAnsi="Times New Roman"/>
        <w:i/>
        <w:sz w:val="22"/>
      </w:rPr>
      <w:tab/>
      <w:t>J</w:t>
    </w:r>
  </w:p>
  <w:p w14:paraId="7DCC5F77" w14:textId="77777777" w:rsidR="005E74ED" w:rsidRDefault="005E74ED" w:rsidP="0026277C">
    <w:pPr>
      <w:pStyle w:val="Header"/>
      <w:tabs>
        <w:tab w:val="clear" w:pos="4153"/>
        <w:tab w:val="clear" w:pos="8306"/>
        <w:tab w:val="right" w:pos="1304"/>
      </w:tabs>
      <w:spacing w:line="280" w:lineRule="exact"/>
      <w:ind w:firstLine="0"/>
      <w:rPr>
        <w:rFonts w:ascii="Times New Roman" w:hAnsi="Times New Roman"/>
        <w:i/>
        <w:sz w:val="22"/>
      </w:rPr>
    </w:pPr>
  </w:p>
  <w:p w14:paraId="24775EE1" w14:textId="77777777" w:rsidR="005E74ED" w:rsidRDefault="005E74ED" w:rsidP="0026277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27FA0F4" w14:textId="77777777" w:rsidR="005E74ED" w:rsidRPr="0026277C" w:rsidRDefault="005E74ED" w:rsidP="0026277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92FF" w14:textId="77777777" w:rsidR="005E74ED" w:rsidRPr="0026277C"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r w:rsidRPr="0026277C">
      <w:rPr>
        <w:rFonts w:ascii="Times New Roman" w:hAnsi="Times New Roman"/>
        <w:i/>
        <w:sz w:val="22"/>
      </w:rPr>
      <w:tab/>
      <w:t>Kiefel</w:t>
    </w:r>
    <w:r w:rsidRPr="0026277C">
      <w:rPr>
        <w:rFonts w:ascii="Times New Roman" w:hAnsi="Times New Roman"/>
        <w:i/>
        <w:sz w:val="22"/>
      </w:rPr>
      <w:tab/>
      <w:t>CJ</w:t>
    </w:r>
  </w:p>
  <w:p w14:paraId="50BD03C6" w14:textId="77777777" w:rsidR="005E74ED" w:rsidRPr="0026277C"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r w:rsidRPr="0026277C">
      <w:rPr>
        <w:rFonts w:ascii="Times New Roman" w:hAnsi="Times New Roman"/>
        <w:i/>
        <w:sz w:val="22"/>
      </w:rPr>
      <w:tab/>
    </w:r>
    <w:proofErr w:type="spellStart"/>
    <w:r w:rsidRPr="0026277C">
      <w:rPr>
        <w:rFonts w:ascii="Times New Roman" w:hAnsi="Times New Roman"/>
        <w:i/>
        <w:sz w:val="22"/>
      </w:rPr>
      <w:t>Gageler</w:t>
    </w:r>
    <w:proofErr w:type="spellEnd"/>
    <w:r w:rsidRPr="0026277C">
      <w:rPr>
        <w:rFonts w:ascii="Times New Roman" w:hAnsi="Times New Roman"/>
        <w:i/>
        <w:sz w:val="22"/>
      </w:rPr>
      <w:tab/>
      <w:t>J</w:t>
    </w:r>
  </w:p>
  <w:p w14:paraId="7E46932D" w14:textId="77777777" w:rsidR="005E74ED" w:rsidRPr="0026277C"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r w:rsidRPr="0026277C">
      <w:rPr>
        <w:rFonts w:ascii="Times New Roman" w:hAnsi="Times New Roman"/>
        <w:i/>
        <w:sz w:val="22"/>
      </w:rPr>
      <w:tab/>
      <w:t>Gordon</w:t>
    </w:r>
    <w:r w:rsidRPr="0026277C">
      <w:rPr>
        <w:rFonts w:ascii="Times New Roman" w:hAnsi="Times New Roman"/>
        <w:i/>
        <w:sz w:val="22"/>
      </w:rPr>
      <w:tab/>
      <w:t>J</w:t>
    </w:r>
  </w:p>
  <w:p w14:paraId="748913CA" w14:textId="77777777" w:rsidR="005E74ED" w:rsidRPr="0026277C"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r w:rsidRPr="0026277C">
      <w:rPr>
        <w:rFonts w:ascii="Times New Roman" w:hAnsi="Times New Roman"/>
        <w:i/>
        <w:sz w:val="22"/>
      </w:rPr>
      <w:tab/>
      <w:t>Gleeson</w:t>
    </w:r>
    <w:r w:rsidRPr="0026277C">
      <w:rPr>
        <w:rFonts w:ascii="Times New Roman" w:hAnsi="Times New Roman"/>
        <w:i/>
        <w:sz w:val="22"/>
      </w:rPr>
      <w:tab/>
      <w:t>J</w:t>
    </w:r>
  </w:p>
  <w:p w14:paraId="49C922B2" w14:textId="77777777" w:rsidR="005E74ED"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Jagot</w:t>
    </w:r>
    <w:proofErr w:type="spellEnd"/>
    <w:r>
      <w:rPr>
        <w:rFonts w:ascii="Times New Roman" w:hAnsi="Times New Roman"/>
        <w:i/>
        <w:sz w:val="22"/>
      </w:rPr>
      <w:tab/>
      <w:t>J</w:t>
    </w:r>
  </w:p>
  <w:p w14:paraId="4444D94F" w14:textId="77777777" w:rsidR="005E74ED" w:rsidRDefault="005E74ED" w:rsidP="0026277C">
    <w:pPr>
      <w:pStyle w:val="Header"/>
      <w:tabs>
        <w:tab w:val="clear" w:pos="4153"/>
        <w:tab w:val="clear" w:pos="8306"/>
        <w:tab w:val="left" w:pos="7200"/>
        <w:tab w:val="right" w:pos="8504"/>
      </w:tabs>
      <w:spacing w:line="280" w:lineRule="exact"/>
      <w:jc w:val="right"/>
      <w:rPr>
        <w:rFonts w:ascii="Times New Roman" w:hAnsi="Times New Roman"/>
        <w:i/>
        <w:sz w:val="22"/>
      </w:rPr>
    </w:pPr>
  </w:p>
  <w:p w14:paraId="205192F4" w14:textId="77777777" w:rsidR="005E74ED" w:rsidRDefault="005E74ED" w:rsidP="0026277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7F59A7" w14:textId="77777777" w:rsidR="005E74ED" w:rsidRPr="0026277C" w:rsidRDefault="005E74ED" w:rsidP="0026277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2A99"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12B113C4"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2E4FF410"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4C52C395"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1E2606B2"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33DB8CCB"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08B50F15" w14:textId="77777777" w:rsidR="005E74ED"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p w14:paraId="2510491C" w14:textId="77777777" w:rsidR="005E74ED" w:rsidRPr="0026277C" w:rsidRDefault="005E74ED" w:rsidP="0026277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B3B1" w14:textId="77777777" w:rsidR="00D27672" w:rsidRDefault="005E74ED" w:rsidP="00D2767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D3080D6" w14:textId="77777777" w:rsidR="00D27672" w:rsidRDefault="005E74ED" w:rsidP="00D27672">
    <w:pPr>
      <w:pStyle w:val="Header"/>
      <w:tabs>
        <w:tab w:val="clear" w:pos="4153"/>
        <w:tab w:val="clear" w:pos="8306"/>
        <w:tab w:val="right" w:pos="1304"/>
      </w:tabs>
      <w:spacing w:line="280" w:lineRule="exact"/>
      <w:ind w:firstLine="0"/>
      <w:rPr>
        <w:rFonts w:ascii="Times New Roman" w:hAnsi="Times New Roman"/>
        <w:i/>
        <w:sz w:val="22"/>
      </w:rPr>
    </w:pPr>
  </w:p>
  <w:p w14:paraId="78CB958A" w14:textId="77777777" w:rsidR="00D27672" w:rsidRDefault="005E74ED" w:rsidP="00D2767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34BC74" w14:textId="77777777" w:rsidR="00D27672" w:rsidRPr="00D27672" w:rsidRDefault="005E74ED" w:rsidP="00D2767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78D2" w14:textId="77777777" w:rsidR="00D27672" w:rsidRDefault="005E74ED" w:rsidP="00D2767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D39EF13" w14:textId="77777777" w:rsidR="00D27672" w:rsidRDefault="005E74ED" w:rsidP="00D27672">
    <w:pPr>
      <w:pStyle w:val="Header"/>
      <w:tabs>
        <w:tab w:val="clear" w:pos="4153"/>
        <w:tab w:val="clear" w:pos="8306"/>
        <w:tab w:val="left" w:pos="7200"/>
        <w:tab w:val="right" w:pos="8504"/>
      </w:tabs>
      <w:spacing w:line="280" w:lineRule="exact"/>
      <w:jc w:val="right"/>
      <w:rPr>
        <w:rFonts w:ascii="Times New Roman" w:hAnsi="Times New Roman"/>
        <w:i/>
        <w:sz w:val="22"/>
      </w:rPr>
    </w:pPr>
  </w:p>
  <w:p w14:paraId="72957D32" w14:textId="77777777" w:rsidR="00D27672" w:rsidRDefault="005E74ED" w:rsidP="00D2767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BF0EA70" w14:textId="77777777" w:rsidR="00D27672" w:rsidRPr="00D27672" w:rsidRDefault="005E74ED" w:rsidP="00D2767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E20" w14:textId="77777777" w:rsidR="00D27672" w:rsidRDefault="005E74ED" w:rsidP="00D27672">
    <w:pPr>
      <w:pStyle w:val="Header"/>
      <w:tabs>
        <w:tab w:val="clear" w:pos="4153"/>
        <w:tab w:val="clear" w:pos="8306"/>
        <w:tab w:val="center" w:pos="1134"/>
      </w:tabs>
      <w:spacing w:line="280" w:lineRule="exact"/>
      <w:ind w:firstLine="0"/>
      <w:rPr>
        <w:rFonts w:ascii="Times New Roman" w:hAnsi="Times New Roman"/>
        <w:i/>
        <w:sz w:val="22"/>
      </w:rPr>
    </w:pPr>
  </w:p>
  <w:p w14:paraId="17021EF3" w14:textId="77777777" w:rsidR="00D27672" w:rsidRDefault="005E74ED" w:rsidP="00D27672">
    <w:pPr>
      <w:pStyle w:val="Header"/>
      <w:tabs>
        <w:tab w:val="clear" w:pos="4153"/>
        <w:tab w:val="clear" w:pos="8306"/>
        <w:tab w:val="center" w:pos="1134"/>
      </w:tabs>
      <w:spacing w:line="280" w:lineRule="exact"/>
      <w:ind w:firstLine="0"/>
      <w:rPr>
        <w:rFonts w:ascii="Times New Roman" w:hAnsi="Times New Roman"/>
        <w:i/>
        <w:sz w:val="22"/>
      </w:rPr>
    </w:pPr>
  </w:p>
  <w:p w14:paraId="476A0447" w14:textId="77777777" w:rsidR="00D27672" w:rsidRDefault="005E74ED" w:rsidP="00D27672">
    <w:pPr>
      <w:pStyle w:val="Header"/>
      <w:tabs>
        <w:tab w:val="clear" w:pos="4153"/>
        <w:tab w:val="clear" w:pos="8306"/>
        <w:tab w:val="center" w:pos="1134"/>
      </w:tabs>
      <w:spacing w:line="280" w:lineRule="exact"/>
      <w:ind w:firstLine="0"/>
      <w:rPr>
        <w:rFonts w:ascii="Times New Roman" w:hAnsi="Times New Roman"/>
        <w:i/>
        <w:sz w:val="22"/>
      </w:rPr>
    </w:pPr>
  </w:p>
  <w:p w14:paraId="4932F3E1" w14:textId="77777777" w:rsidR="00C817C8" w:rsidRPr="00D27672" w:rsidRDefault="005E74ED" w:rsidP="00D27672">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BFFE2AD8"/>
    <w:lvl w:ilvl="0" w:tplc="E394446A">
      <w:start w:val="1"/>
      <w:numFmt w:val="decimal"/>
      <w:pStyle w:val="Numberedpara"/>
      <w:lvlText w:val="%1"/>
      <w:lvlJc w:val="left"/>
      <w:pPr>
        <w:ind w:left="360" w:hanging="360"/>
      </w:pPr>
      <w:rPr>
        <w:rFonts w:hint="default"/>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3A6295"/>
    <w:multiLevelType w:val="hybridMultilevel"/>
    <w:tmpl w:val="80CC8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702"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9047644">
    <w:abstractNumId w:val="10"/>
  </w:num>
  <w:num w:numId="2" w16cid:durableId="1629050724">
    <w:abstractNumId w:val="15"/>
  </w:num>
  <w:num w:numId="3" w16cid:durableId="1911455533">
    <w:abstractNumId w:val="20"/>
  </w:num>
  <w:num w:numId="4" w16cid:durableId="68621583">
    <w:abstractNumId w:val="14"/>
  </w:num>
  <w:num w:numId="5" w16cid:durableId="1676761572">
    <w:abstractNumId w:val="18"/>
  </w:num>
  <w:num w:numId="6" w16cid:durableId="634724730">
    <w:abstractNumId w:val="6"/>
  </w:num>
  <w:num w:numId="7" w16cid:durableId="480077934">
    <w:abstractNumId w:val="9"/>
  </w:num>
  <w:num w:numId="8" w16cid:durableId="1469400952">
    <w:abstractNumId w:val="7"/>
  </w:num>
  <w:num w:numId="9" w16cid:durableId="2146464926">
    <w:abstractNumId w:val="5"/>
  </w:num>
  <w:num w:numId="10" w16cid:durableId="667364342">
    <w:abstractNumId w:val="4"/>
  </w:num>
  <w:num w:numId="11" w16cid:durableId="1500272277">
    <w:abstractNumId w:val="8"/>
  </w:num>
  <w:num w:numId="12" w16cid:durableId="330371349">
    <w:abstractNumId w:val="3"/>
  </w:num>
  <w:num w:numId="13" w16cid:durableId="1008797717">
    <w:abstractNumId w:val="2"/>
  </w:num>
  <w:num w:numId="14" w16cid:durableId="711072142">
    <w:abstractNumId w:val="1"/>
  </w:num>
  <w:num w:numId="15" w16cid:durableId="1862620339">
    <w:abstractNumId w:val="0"/>
  </w:num>
  <w:num w:numId="16" w16cid:durableId="1195802261">
    <w:abstractNumId w:val="13"/>
  </w:num>
  <w:num w:numId="17" w16cid:durableId="1990402145">
    <w:abstractNumId w:val="16"/>
  </w:num>
  <w:num w:numId="18" w16cid:durableId="295840815">
    <w:abstractNumId w:val="11"/>
  </w:num>
  <w:num w:numId="19" w16cid:durableId="1469978039">
    <w:abstractNumId w:val="11"/>
  </w:num>
  <w:num w:numId="20" w16cid:durableId="1671834324">
    <w:abstractNumId w:val="19"/>
  </w:num>
  <w:num w:numId="21" w16cid:durableId="1561405046">
    <w:abstractNumId w:val="17"/>
  </w:num>
  <w:num w:numId="22" w16cid:durableId="1397583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84"/>
    <w:rsid w:val="0000022E"/>
    <w:rsid w:val="0000092C"/>
    <w:rsid w:val="00000D5B"/>
    <w:rsid w:val="00000D9B"/>
    <w:rsid w:val="00001578"/>
    <w:rsid w:val="0000198E"/>
    <w:rsid w:val="00002069"/>
    <w:rsid w:val="0000233D"/>
    <w:rsid w:val="00002826"/>
    <w:rsid w:val="0000287B"/>
    <w:rsid w:val="00002CE6"/>
    <w:rsid w:val="00002F2B"/>
    <w:rsid w:val="0000316A"/>
    <w:rsid w:val="00003B41"/>
    <w:rsid w:val="00003CBE"/>
    <w:rsid w:val="00003D1D"/>
    <w:rsid w:val="0000460F"/>
    <w:rsid w:val="00004937"/>
    <w:rsid w:val="000049B7"/>
    <w:rsid w:val="00004DEA"/>
    <w:rsid w:val="000053FB"/>
    <w:rsid w:val="000054C5"/>
    <w:rsid w:val="00005923"/>
    <w:rsid w:val="0000669B"/>
    <w:rsid w:val="00006738"/>
    <w:rsid w:val="00006C77"/>
    <w:rsid w:val="00006D46"/>
    <w:rsid w:val="00006E26"/>
    <w:rsid w:val="00006E92"/>
    <w:rsid w:val="00007DB3"/>
    <w:rsid w:val="00010A87"/>
    <w:rsid w:val="00010CF9"/>
    <w:rsid w:val="0001173F"/>
    <w:rsid w:val="00011D9E"/>
    <w:rsid w:val="000124AB"/>
    <w:rsid w:val="000137C2"/>
    <w:rsid w:val="00014B34"/>
    <w:rsid w:val="00015BEC"/>
    <w:rsid w:val="000160B4"/>
    <w:rsid w:val="000160D0"/>
    <w:rsid w:val="00016342"/>
    <w:rsid w:val="000166C2"/>
    <w:rsid w:val="000168C9"/>
    <w:rsid w:val="00016C20"/>
    <w:rsid w:val="00016DBB"/>
    <w:rsid w:val="00017088"/>
    <w:rsid w:val="00017144"/>
    <w:rsid w:val="00017C58"/>
    <w:rsid w:val="000208B8"/>
    <w:rsid w:val="00021A61"/>
    <w:rsid w:val="00023555"/>
    <w:rsid w:val="0002363A"/>
    <w:rsid w:val="000237B7"/>
    <w:rsid w:val="00023A83"/>
    <w:rsid w:val="000242F2"/>
    <w:rsid w:val="00024AA3"/>
    <w:rsid w:val="000250AF"/>
    <w:rsid w:val="00025363"/>
    <w:rsid w:val="00025490"/>
    <w:rsid w:val="0002561E"/>
    <w:rsid w:val="0002598B"/>
    <w:rsid w:val="000259F4"/>
    <w:rsid w:val="00026060"/>
    <w:rsid w:val="000268E1"/>
    <w:rsid w:val="000269A1"/>
    <w:rsid w:val="00027596"/>
    <w:rsid w:val="00027842"/>
    <w:rsid w:val="00027DB2"/>
    <w:rsid w:val="00027E0F"/>
    <w:rsid w:val="0003041F"/>
    <w:rsid w:val="0003075C"/>
    <w:rsid w:val="00030BFC"/>
    <w:rsid w:val="000316B1"/>
    <w:rsid w:val="000319EC"/>
    <w:rsid w:val="00031F78"/>
    <w:rsid w:val="0003207D"/>
    <w:rsid w:val="0003260B"/>
    <w:rsid w:val="00033CC3"/>
    <w:rsid w:val="00034163"/>
    <w:rsid w:val="000343D5"/>
    <w:rsid w:val="0003457E"/>
    <w:rsid w:val="00034E7D"/>
    <w:rsid w:val="00034EF2"/>
    <w:rsid w:val="000354D7"/>
    <w:rsid w:val="0003575A"/>
    <w:rsid w:val="000360EB"/>
    <w:rsid w:val="00036579"/>
    <w:rsid w:val="000365D8"/>
    <w:rsid w:val="00036C8D"/>
    <w:rsid w:val="00036F9F"/>
    <w:rsid w:val="000370A9"/>
    <w:rsid w:val="00037403"/>
    <w:rsid w:val="00037A5F"/>
    <w:rsid w:val="00037C0D"/>
    <w:rsid w:val="00037D87"/>
    <w:rsid w:val="00041332"/>
    <w:rsid w:val="00042505"/>
    <w:rsid w:val="000425FF"/>
    <w:rsid w:val="00043252"/>
    <w:rsid w:val="00043D2C"/>
    <w:rsid w:val="00043E50"/>
    <w:rsid w:val="00044665"/>
    <w:rsid w:val="00044825"/>
    <w:rsid w:val="00044C81"/>
    <w:rsid w:val="000450E5"/>
    <w:rsid w:val="0004557B"/>
    <w:rsid w:val="000465B0"/>
    <w:rsid w:val="00046812"/>
    <w:rsid w:val="000503AD"/>
    <w:rsid w:val="00050838"/>
    <w:rsid w:val="000511D9"/>
    <w:rsid w:val="00051223"/>
    <w:rsid w:val="000512E0"/>
    <w:rsid w:val="000514AE"/>
    <w:rsid w:val="00051637"/>
    <w:rsid w:val="00051D26"/>
    <w:rsid w:val="00052569"/>
    <w:rsid w:val="00052638"/>
    <w:rsid w:val="0005274F"/>
    <w:rsid w:val="0005295B"/>
    <w:rsid w:val="00052BE9"/>
    <w:rsid w:val="00053204"/>
    <w:rsid w:val="0005333A"/>
    <w:rsid w:val="00053693"/>
    <w:rsid w:val="0005410F"/>
    <w:rsid w:val="0005415A"/>
    <w:rsid w:val="000547A9"/>
    <w:rsid w:val="00055ACD"/>
    <w:rsid w:val="00055DE9"/>
    <w:rsid w:val="000565B9"/>
    <w:rsid w:val="00056E8D"/>
    <w:rsid w:val="00056F27"/>
    <w:rsid w:val="000573AF"/>
    <w:rsid w:val="00057555"/>
    <w:rsid w:val="000578D9"/>
    <w:rsid w:val="00060061"/>
    <w:rsid w:val="000606F4"/>
    <w:rsid w:val="00060A35"/>
    <w:rsid w:val="0006169E"/>
    <w:rsid w:val="00061A47"/>
    <w:rsid w:val="00061F49"/>
    <w:rsid w:val="000626FD"/>
    <w:rsid w:val="00062C05"/>
    <w:rsid w:val="00062DFE"/>
    <w:rsid w:val="0006303B"/>
    <w:rsid w:val="000631A1"/>
    <w:rsid w:val="00063B89"/>
    <w:rsid w:val="00064061"/>
    <w:rsid w:val="0006432B"/>
    <w:rsid w:val="00064D98"/>
    <w:rsid w:val="00064D9B"/>
    <w:rsid w:val="000653D4"/>
    <w:rsid w:val="00065CD7"/>
    <w:rsid w:val="0006714E"/>
    <w:rsid w:val="00067AB5"/>
    <w:rsid w:val="00070650"/>
    <w:rsid w:val="00070FCD"/>
    <w:rsid w:val="000713DD"/>
    <w:rsid w:val="00071610"/>
    <w:rsid w:val="000719C3"/>
    <w:rsid w:val="00071C35"/>
    <w:rsid w:val="000728F5"/>
    <w:rsid w:val="000729CE"/>
    <w:rsid w:val="000733F7"/>
    <w:rsid w:val="00073D3B"/>
    <w:rsid w:val="00074766"/>
    <w:rsid w:val="00074B89"/>
    <w:rsid w:val="00075933"/>
    <w:rsid w:val="00075F50"/>
    <w:rsid w:val="00076378"/>
    <w:rsid w:val="00076506"/>
    <w:rsid w:val="00076A80"/>
    <w:rsid w:val="00076E72"/>
    <w:rsid w:val="00077481"/>
    <w:rsid w:val="00077BBF"/>
    <w:rsid w:val="00077E13"/>
    <w:rsid w:val="00080208"/>
    <w:rsid w:val="000807EB"/>
    <w:rsid w:val="00080D09"/>
    <w:rsid w:val="00080D77"/>
    <w:rsid w:val="000815DA"/>
    <w:rsid w:val="0008201E"/>
    <w:rsid w:val="000821FB"/>
    <w:rsid w:val="000829CD"/>
    <w:rsid w:val="00082D9D"/>
    <w:rsid w:val="000842D1"/>
    <w:rsid w:val="0008435D"/>
    <w:rsid w:val="000847F3"/>
    <w:rsid w:val="0008522B"/>
    <w:rsid w:val="0008558C"/>
    <w:rsid w:val="00085D39"/>
    <w:rsid w:val="00085DA4"/>
    <w:rsid w:val="00085F13"/>
    <w:rsid w:val="00085F43"/>
    <w:rsid w:val="000862FB"/>
    <w:rsid w:val="0008633F"/>
    <w:rsid w:val="000863EB"/>
    <w:rsid w:val="000866F6"/>
    <w:rsid w:val="000875A5"/>
    <w:rsid w:val="00087A6D"/>
    <w:rsid w:val="00087DA4"/>
    <w:rsid w:val="00087F26"/>
    <w:rsid w:val="00087F36"/>
    <w:rsid w:val="00090148"/>
    <w:rsid w:val="0009120F"/>
    <w:rsid w:val="000912E7"/>
    <w:rsid w:val="00091AE2"/>
    <w:rsid w:val="00091C7A"/>
    <w:rsid w:val="00091E7B"/>
    <w:rsid w:val="000928B3"/>
    <w:rsid w:val="00092B23"/>
    <w:rsid w:val="00092D0B"/>
    <w:rsid w:val="00093021"/>
    <w:rsid w:val="00093A46"/>
    <w:rsid w:val="00093ED6"/>
    <w:rsid w:val="000941AB"/>
    <w:rsid w:val="0009459B"/>
    <w:rsid w:val="00095621"/>
    <w:rsid w:val="00095754"/>
    <w:rsid w:val="000969CB"/>
    <w:rsid w:val="00096D41"/>
    <w:rsid w:val="000971B7"/>
    <w:rsid w:val="00097A70"/>
    <w:rsid w:val="00097CE1"/>
    <w:rsid w:val="000A1294"/>
    <w:rsid w:val="000A14EF"/>
    <w:rsid w:val="000A1D10"/>
    <w:rsid w:val="000A1EBE"/>
    <w:rsid w:val="000A28D4"/>
    <w:rsid w:val="000A2EB4"/>
    <w:rsid w:val="000A3DA3"/>
    <w:rsid w:val="000A3F9A"/>
    <w:rsid w:val="000A474F"/>
    <w:rsid w:val="000A4B42"/>
    <w:rsid w:val="000A503D"/>
    <w:rsid w:val="000A55E9"/>
    <w:rsid w:val="000A5699"/>
    <w:rsid w:val="000A610C"/>
    <w:rsid w:val="000A63C6"/>
    <w:rsid w:val="000A6755"/>
    <w:rsid w:val="000A749B"/>
    <w:rsid w:val="000A7E2E"/>
    <w:rsid w:val="000B1D1E"/>
    <w:rsid w:val="000B237B"/>
    <w:rsid w:val="000B2F75"/>
    <w:rsid w:val="000B332F"/>
    <w:rsid w:val="000B3377"/>
    <w:rsid w:val="000B4630"/>
    <w:rsid w:val="000B497F"/>
    <w:rsid w:val="000B59F7"/>
    <w:rsid w:val="000B6D61"/>
    <w:rsid w:val="000B6FDE"/>
    <w:rsid w:val="000B710D"/>
    <w:rsid w:val="000B7299"/>
    <w:rsid w:val="000B72FB"/>
    <w:rsid w:val="000B7558"/>
    <w:rsid w:val="000B77FB"/>
    <w:rsid w:val="000C0217"/>
    <w:rsid w:val="000C02AB"/>
    <w:rsid w:val="000C04DC"/>
    <w:rsid w:val="000C0D6A"/>
    <w:rsid w:val="000C0D98"/>
    <w:rsid w:val="000C0F2A"/>
    <w:rsid w:val="000C1175"/>
    <w:rsid w:val="000C134B"/>
    <w:rsid w:val="000C173E"/>
    <w:rsid w:val="000C1C3F"/>
    <w:rsid w:val="000C1CD1"/>
    <w:rsid w:val="000C25A5"/>
    <w:rsid w:val="000C2A52"/>
    <w:rsid w:val="000C2B54"/>
    <w:rsid w:val="000C3B84"/>
    <w:rsid w:val="000C4158"/>
    <w:rsid w:val="000C41F5"/>
    <w:rsid w:val="000C50F6"/>
    <w:rsid w:val="000C534E"/>
    <w:rsid w:val="000C6277"/>
    <w:rsid w:val="000C7942"/>
    <w:rsid w:val="000C7A6D"/>
    <w:rsid w:val="000D09EC"/>
    <w:rsid w:val="000D0FD9"/>
    <w:rsid w:val="000D0FF9"/>
    <w:rsid w:val="000D1AFD"/>
    <w:rsid w:val="000D2342"/>
    <w:rsid w:val="000D2364"/>
    <w:rsid w:val="000D25E6"/>
    <w:rsid w:val="000D2FC9"/>
    <w:rsid w:val="000D30F9"/>
    <w:rsid w:val="000D4355"/>
    <w:rsid w:val="000D5221"/>
    <w:rsid w:val="000D5889"/>
    <w:rsid w:val="000D5A84"/>
    <w:rsid w:val="000D770E"/>
    <w:rsid w:val="000D7DF0"/>
    <w:rsid w:val="000E00D6"/>
    <w:rsid w:val="000E0418"/>
    <w:rsid w:val="000E0DA0"/>
    <w:rsid w:val="000E1214"/>
    <w:rsid w:val="000E21D2"/>
    <w:rsid w:val="000E3184"/>
    <w:rsid w:val="000E417E"/>
    <w:rsid w:val="000E419F"/>
    <w:rsid w:val="000E4D35"/>
    <w:rsid w:val="000E6153"/>
    <w:rsid w:val="000E65F7"/>
    <w:rsid w:val="000E69BD"/>
    <w:rsid w:val="000E72DE"/>
    <w:rsid w:val="000E7601"/>
    <w:rsid w:val="000E7B7D"/>
    <w:rsid w:val="000F0D50"/>
    <w:rsid w:val="000F1021"/>
    <w:rsid w:val="000F1345"/>
    <w:rsid w:val="000F26BB"/>
    <w:rsid w:val="000F3035"/>
    <w:rsid w:val="000F4570"/>
    <w:rsid w:val="000F46F4"/>
    <w:rsid w:val="000F477A"/>
    <w:rsid w:val="000F4B3C"/>
    <w:rsid w:val="000F4E73"/>
    <w:rsid w:val="000F5060"/>
    <w:rsid w:val="000F52CA"/>
    <w:rsid w:val="000F55B7"/>
    <w:rsid w:val="000F5CB6"/>
    <w:rsid w:val="000F63C0"/>
    <w:rsid w:val="000F69C8"/>
    <w:rsid w:val="000F7C24"/>
    <w:rsid w:val="00100070"/>
    <w:rsid w:val="001001B9"/>
    <w:rsid w:val="0010064F"/>
    <w:rsid w:val="00100EC6"/>
    <w:rsid w:val="0010112F"/>
    <w:rsid w:val="00101DF1"/>
    <w:rsid w:val="00102254"/>
    <w:rsid w:val="001026BA"/>
    <w:rsid w:val="00103EC7"/>
    <w:rsid w:val="0010497C"/>
    <w:rsid w:val="00104C43"/>
    <w:rsid w:val="00104CF7"/>
    <w:rsid w:val="001053CD"/>
    <w:rsid w:val="001058BD"/>
    <w:rsid w:val="001058D7"/>
    <w:rsid w:val="00105B01"/>
    <w:rsid w:val="00105E90"/>
    <w:rsid w:val="00106B69"/>
    <w:rsid w:val="00107012"/>
    <w:rsid w:val="0010702C"/>
    <w:rsid w:val="001070B3"/>
    <w:rsid w:val="00107711"/>
    <w:rsid w:val="001107A0"/>
    <w:rsid w:val="00110970"/>
    <w:rsid w:val="00111568"/>
    <w:rsid w:val="001116A8"/>
    <w:rsid w:val="00111AB9"/>
    <w:rsid w:val="00111D16"/>
    <w:rsid w:val="001120C0"/>
    <w:rsid w:val="001122F6"/>
    <w:rsid w:val="001125E6"/>
    <w:rsid w:val="00113409"/>
    <w:rsid w:val="00114110"/>
    <w:rsid w:val="001147C6"/>
    <w:rsid w:val="001150BF"/>
    <w:rsid w:val="00115EB0"/>
    <w:rsid w:val="001168F2"/>
    <w:rsid w:val="001169BF"/>
    <w:rsid w:val="001170E3"/>
    <w:rsid w:val="00120207"/>
    <w:rsid w:val="00120B10"/>
    <w:rsid w:val="00121633"/>
    <w:rsid w:val="00121A25"/>
    <w:rsid w:val="00122FEB"/>
    <w:rsid w:val="0012328F"/>
    <w:rsid w:val="00123C1B"/>
    <w:rsid w:val="00123CAB"/>
    <w:rsid w:val="00124053"/>
    <w:rsid w:val="001241C9"/>
    <w:rsid w:val="00124BBB"/>
    <w:rsid w:val="001253FD"/>
    <w:rsid w:val="001255D0"/>
    <w:rsid w:val="0012585B"/>
    <w:rsid w:val="00125E3C"/>
    <w:rsid w:val="00126B58"/>
    <w:rsid w:val="0012727C"/>
    <w:rsid w:val="00127667"/>
    <w:rsid w:val="00130122"/>
    <w:rsid w:val="00130144"/>
    <w:rsid w:val="0013148B"/>
    <w:rsid w:val="00131F15"/>
    <w:rsid w:val="00131F96"/>
    <w:rsid w:val="001320BB"/>
    <w:rsid w:val="0013288E"/>
    <w:rsid w:val="00132C87"/>
    <w:rsid w:val="00133A97"/>
    <w:rsid w:val="00133AE5"/>
    <w:rsid w:val="00133BC8"/>
    <w:rsid w:val="00133C0E"/>
    <w:rsid w:val="00133C93"/>
    <w:rsid w:val="00133E7E"/>
    <w:rsid w:val="0013424D"/>
    <w:rsid w:val="0013456F"/>
    <w:rsid w:val="001346F5"/>
    <w:rsid w:val="00134928"/>
    <w:rsid w:val="00134AB2"/>
    <w:rsid w:val="00134C63"/>
    <w:rsid w:val="00135307"/>
    <w:rsid w:val="0013558F"/>
    <w:rsid w:val="0013668C"/>
    <w:rsid w:val="00137319"/>
    <w:rsid w:val="001374A4"/>
    <w:rsid w:val="00137B92"/>
    <w:rsid w:val="00140A74"/>
    <w:rsid w:val="00141278"/>
    <w:rsid w:val="00142072"/>
    <w:rsid w:val="00142123"/>
    <w:rsid w:val="00142570"/>
    <w:rsid w:val="001426A4"/>
    <w:rsid w:val="00142A86"/>
    <w:rsid w:val="00143CF6"/>
    <w:rsid w:val="00143FCB"/>
    <w:rsid w:val="00145627"/>
    <w:rsid w:val="00145A4A"/>
    <w:rsid w:val="001464D9"/>
    <w:rsid w:val="001465D8"/>
    <w:rsid w:val="00146A41"/>
    <w:rsid w:val="00146F47"/>
    <w:rsid w:val="001476EF"/>
    <w:rsid w:val="00147A88"/>
    <w:rsid w:val="001503BE"/>
    <w:rsid w:val="00151679"/>
    <w:rsid w:val="001516A1"/>
    <w:rsid w:val="00151BF9"/>
    <w:rsid w:val="00152053"/>
    <w:rsid w:val="00152285"/>
    <w:rsid w:val="0015228D"/>
    <w:rsid w:val="00152511"/>
    <w:rsid w:val="00152F5C"/>
    <w:rsid w:val="0015318E"/>
    <w:rsid w:val="001535E8"/>
    <w:rsid w:val="00153CE9"/>
    <w:rsid w:val="001542A2"/>
    <w:rsid w:val="001542AD"/>
    <w:rsid w:val="00154501"/>
    <w:rsid w:val="0015452D"/>
    <w:rsid w:val="00154B31"/>
    <w:rsid w:val="00155C7E"/>
    <w:rsid w:val="00157E02"/>
    <w:rsid w:val="001608DC"/>
    <w:rsid w:val="00160AC0"/>
    <w:rsid w:val="001610A5"/>
    <w:rsid w:val="001612B3"/>
    <w:rsid w:val="001612DC"/>
    <w:rsid w:val="00161AFE"/>
    <w:rsid w:val="00163B41"/>
    <w:rsid w:val="00163D92"/>
    <w:rsid w:val="00164144"/>
    <w:rsid w:val="00165183"/>
    <w:rsid w:val="00165C5E"/>
    <w:rsid w:val="00166B8A"/>
    <w:rsid w:val="00166D21"/>
    <w:rsid w:val="0016725C"/>
    <w:rsid w:val="001676DA"/>
    <w:rsid w:val="00167A44"/>
    <w:rsid w:val="00170361"/>
    <w:rsid w:val="0017063A"/>
    <w:rsid w:val="001711AD"/>
    <w:rsid w:val="001718A5"/>
    <w:rsid w:val="001728D5"/>
    <w:rsid w:val="00172A5E"/>
    <w:rsid w:val="00172ADE"/>
    <w:rsid w:val="00172E33"/>
    <w:rsid w:val="00173116"/>
    <w:rsid w:val="00174238"/>
    <w:rsid w:val="00175703"/>
    <w:rsid w:val="001758DE"/>
    <w:rsid w:val="00175AC8"/>
    <w:rsid w:val="00175EFF"/>
    <w:rsid w:val="001767C7"/>
    <w:rsid w:val="001767E4"/>
    <w:rsid w:val="00176D25"/>
    <w:rsid w:val="00176DB4"/>
    <w:rsid w:val="00176F79"/>
    <w:rsid w:val="001774E4"/>
    <w:rsid w:val="0018017F"/>
    <w:rsid w:val="0018082D"/>
    <w:rsid w:val="00180B3A"/>
    <w:rsid w:val="00180FAB"/>
    <w:rsid w:val="0018126A"/>
    <w:rsid w:val="001812F2"/>
    <w:rsid w:val="0018195C"/>
    <w:rsid w:val="001822B5"/>
    <w:rsid w:val="0018265B"/>
    <w:rsid w:val="00182770"/>
    <w:rsid w:val="00182A66"/>
    <w:rsid w:val="00182C05"/>
    <w:rsid w:val="00182C4A"/>
    <w:rsid w:val="0018342E"/>
    <w:rsid w:val="001834C8"/>
    <w:rsid w:val="00183676"/>
    <w:rsid w:val="001840C2"/>
    <w:rsid w:val="001840CC"/>
    <w:rsid w:val="00184B46"/>
    <w:rsid w:val="00185939"/>
    <w:rsid w:val="00185E0E"/>
    <w:rsid w:val="00185E8E"/>
    <w:rsid w:val="00186F27"/>
    <w:rsid w:val="00187265"/>
    <w:rsid w:val="001873D8"/>
    <w:rsid w:val="001876F6"/>
    <w:rsid w:val="00190763"/>
    <w:rsid w:val="00190F71"/>
    <w:rsid w:val="0019107F"/>
    <w:rsid w:val="00191CE9"/>
    <w:rsid w:val="00191E23"/>
    <w:rsid w:val="0019282B"/>
    <w:rsid w:val="00192894"/>
    <w:rsid w:val="00193081"/>
    <w:rsid w:val="00193859"/>
    <w:rsid w:val="00193FC9"/>
    <w:rsid w:val="00194231"/>
    <w:rsid w:val="001946B7"/>
    <w:rsid w:val="001953B1"/>
    <w:rsid w:val="00195AC9"/>
    <w:rsid w:val="00195AE9"/>
    <w:rsid w:val="00195D39"/>
    <w:rsid w:val="001963C0"/>
    <w:rsid w:val="001976DB"/>
    <w:rsid w:val="00197956"/>
    <w:rsid w:val="00197C4B"/>
    <w:rsid w:val="00197FF9"/>
    <w:rsid w:val="001A1C38"/>
    <w:rsid w:val="001A1F30"/>
    <w:rsid w:val="001A2884"/>
    <w:rsid w:val="001A3348"/>
    <w:rsid w:val="001A363A"/>
    <w:rsid w:val="001A446E"/>
    <w:rsid w:val="001A600C"/>
    <w:rsid w:val="001A7079"/>
    <w:rsid w:val="001A7161"/>
    <w:rsid w:val="001B0B10"/>
    <w:rsid w:val="001B0E16"/>
    <w:rsid w:val="001B0F63"/>
    <w:rsid w:val="001B1777"/>
    <w:rsid w:val="001B17A8"/>
    <w:rsid w:val="001B1FC2"/>
    <w:rsid w:val="001B232D"/>
    <w:rsid w:val="001B30B8"/>
    <w:rsid w:val="001B30F8"/>
    <w:rsid w:val="001B3B5E"/>
    <w:rsid w:val="001B5079"/>
    <w:rsid w:val="001B63C6"/>
    <w:rsid w:val="001B63D7"/>
    <w:rsid w:val="001B79B3"/>
    <w:rsid w:val="001B7CCD"/>
    <w:rsid w:val="001B7CDA"/>
    <w:rsid w:val="001C0C78"/>
    <w:rsid w:val="001C274D"/>
    <w:rsid w:val="001C410B"/>
    <w:rsid w:val="001C48D4"/>
    <w:rsid w:val="001C57B3"/>
    <w:rsid w:val="001C614E"/>
    <w:rsid w:val="001C6575"/>
    <w:rsid w:val="001C6934"/>
    <w:rsid w:val="001C73AE"/>
    <w:rsid w:val="001C7B27"/>
    <w:rsid w:val="001C7C93"/>
    <w:rsid w:val="001D0235"/>
    <w:rsid w:val="001D0B8C"/>
    <w:rsid w:val="001D0EFA"/>
    <w:rsid w:val="001D167C"/>
    <w:rsid w:val="001D1896"/>
    <w:rsid w:val="001D19F5"/>
    <w:rsid w:val="001D1CAD"/>
    <w:rsid w:val="001D1F49"/>
    <w:rsid w:val="001D36CD"/>
    <w:rsid w:val="001D37F1"/>
    <w:rsid w:val="001D4856"/>
    <w:rsid w:val="001D4AD1"/>
    <w:rsid w:val="001D4F49"/>
    <w:rsid w:val="001D50C5"/>
    <w:rsid w:val="001D57DF"/>
    <w:rsid w:val="001D65E6"/>
    <w:rsid w:val="001D7982"/>
    <w:rsid w:val="001E1370"/>
    <w:rsid w:val="001E1A7F"/>
    <w:rsid w:val="001E1D3D"/>
    <w:rsid w:val="001E1D45"/>
    <w:rsid w:val="001E1FA4"/>
    <w:rsid w:val="001E21F2"/>
    <w:rsid w:val="001E2A4D"/>
    <w:rsid w:val="001E3053"/>
    <w:rsid w:val="001E3346"/>
    <w:rsid w:val="001E3592"/>
    <w:rsid w:val="001E4117"/>
    <w:rsid w:val="001E43AE"/>
    <w:rsid w:val="001E47D1"/>
    <w:rsid w:val="001E4F45"/>
    <w:rsid w:val="001E50A3"/>
    <w:rsid w:val="001E5205"/>
    <w:rsid w:val="001E5440"/>
    <w:rsid w:val="001E6185"/>
    <w:rsid w:val="001E6A64"/>
    <w:rsid w:val="001E704F"/>
    <w:rsid w:val="001E74E6"/>
    <w:rsid w:val="001E75C5"/>
    <w:rsid w:val="001E7CDB"/>
    <w:rsid w:val="001E7E24"/>
    <w:rsid w:val="001F00B1"/>
    <w:rsid w:val="001F0A84"/>
    <w:rsid w:val="001F0E46"/>
    <w:rsid w:val="001F0F9F"/>
    <w:rsid w:val="001F1FB6"/>
    <w:rsid w:val="001F241D"/>
    <w:rsid w:val="001F2554"/>
    <w:rsid w:val="001F2CD5"/>
    <w:rsid w:val="001F377B"/>
    <w:rsid w:val="001F3F2A"/>
    <w:rsid w:val="001F422D"/>
    <w:rsid w:val="001F4D10"/>
    <w:rsid w:val="001F4F8B"/>
    <w:rsid w:val="001F54A3"/>
    <w:rsid w:val="001F69C2"/>
    <w:rsid w:val="001F74B7"/>
    <w:rsid w:val="001F75E0"/>
    <w:rsid w:val="001F76A8"/>
    <w:rsid w:val="00200725"/>
    <w:rsid w:val="0020073D"/>
    <w:rsid w:val="00200C47"/>
    <w:rsid w:val="00201A75"/>
    <w:rsid w:val="00202231"/>
    <w:rsid w:val="00202565"/>
    <w:rsid w:val="00202E8B"/>
    <w:rsid w:val="00203A84"/>
    <w:rsid w:val="00203FEF"/>
    <w:rsid w:val="002046DC"/>
    <w:rsid w:val="002048D1"/>
    <w:rsid w:val="0020493D"/>
    <w:rsid w:val="00204CA2"/>
    <w:rsid w:val="0020511C"/>
    <w:rsid w:val="00205751"/>
    <w:rsid w:val="002059B6"/>
    <w:rsid w:val="00205A7F"/>
    <w:rsid w:val="002061EC"/>
    <w:rsid w:val="00206AF2"/>
    <w:rsid w:val="00206F32"/>
    <w:rsid w:val="00207245"/>
    <w:rsid w:val="00207624"/>
    <w:rsid w:val="00207777"/>
    <w:rsid w:val="002079CB"/>
    <w:rsid w:val="00207F1A"/>
    <w:rsid w:val="0021096E"/>
    <w:rsid w:val="00210DE8"/>
    <w:rsid w:val="00210F2E"/>
    <w:rsid w:val="00211515"/>
    <w:rsid w:val="00211C6D"/>
    <w:rsid w:val="00211D73"/>
    <w:rsid w:val="00212A3E"/>
    <w:rsid w:val="00212D8A"/>
    <w:rsid w:val="002135E2"/>
    <w:rsid w:val="00214BF2"/>
    <w:rsid w:val="00214D46"/>
    <w:rsid w:val="00214E84"/>
    <w:rsid w:val="002154B3"/>
    <w:rsid w:val="002159D8"/>
    <w:rsid w:val="00215A7F"/>
    <w:rsid w:val="00215D75"/>
    <w:rsid w:val="00215EEC"/>
    <w:rsid w:val="002162EA"/>
    <w:rsid w:val="00216522"/>
    <w:rsid w:val="002168A0"/>
    <w:rsid w:val="00216EAA"/>
    <w:rsid w:val="00216F90"/>
    <w:rsid w:val="00217078"/>
    <w:rsid w:val="00217205"/>
    <w:rsid w:val="002200DE"/>
    <w:rsid w:val="002201A5"/>
    <w:rsid w:val="002204EE"/>
    <w:rsid w:val="0022166E"/>
    <w:rsid w:val="00221CFF"/>
    <w:rsid w:val="00221D19"/>
    <w:rsid w:val="00221F4B"/>
    <w:rsid w:val="0022251B"/>
    <w:rsid w:val="00222877"/>
    <w:rsid w:val="00222A14"/>
    <w:rsid w:val="00223370"/>
    <w:rsid w:val="00223CD5"/>
    <w:rsid w:val="00223DA5"/>
    <w:rsid w:val="00223FF4"/>
    <w:rsid w:val="00224676"/>
    <w:rsid w:val="00224795"/>
    <w:rsid w:val="00224EC6"/>
    <w:rsid w:val="00225855"/>
    <w:rsid w:val="00225A39"/>
    <w:rsid w:val="00225C49"/>
    <w:rsid w:val="002264D2"/>
    <w:rsid w:val="0022666B"/>
    <w:rsid w:val="0022734D"/>
    <w:rsid w:val="00230DBF"/>
    <w:rsid w:val="002313F4"/>
    <w:rsid w:val="002318FE"/>
    <w:rsid w:val="00231954"/>
    <w:rsid w:val="002321CD"/>
    <w:rsid w:val="00232317"/>
    <w:rsid w:val="00232C21"/>
    <w:rsid w:val="002333C4"/>
    <w:rsid w:val="002333DE"/>
    <w:rsid w:val="0023412B"/>
    <w:rsid w:val="0023447F"/>
    <w:rsid w:val="00234AA4"/>
    <w:rsid w:val="00234FBC"/>
    <w:rsid w:val="002350B3"/>
    <w:rsid w:val="00235805"/>
    <w:rsid w:val="00235B65"/>
    <w:rsid w:val="00236B59"/>
    <w:rsid w:val="00236D2F"/>
    <w:rsid w:val="00237252"/>
    <w:rsid w:val="0023798E"/>
    <w:rsid w:val="002414B3"/>
    <w:rsid w:val="0024172B"/>
    <w:rsid w:val="00241C09"/>
    <w:rsid w:val="00241C9F"/>
    <w:rsid w:val="0024279E"/>
    <w:rsid w:val="00242EE4"/>
    <w:rsid w:val="00243C3D"/>
    <w:rsid w:val="0024462E"/>
    <w:rsid w:val="00245532"/>
    <w:rsid w:val="00245939"/>
    <w:rsid w:val="0024658B"/>
    <w:rsid w:val="002469F3"/>
    <w:rsid w:val="002474FA"/>
    <w:rsid w:val="00247667"/>
    <w:rsid w:val="0024777F"/>
    <w:rsid w:val="002509FD"/>
    <w:rsid w:val="00251976"/>
    <w:rsid w:val="00251E91"/>
    <w:rsid w:val="0025263E"/>
    <w:rsid w:val="002531EC"/>
    <w:rsid w:val="00253493"/>
    <w:rsid w:val="002534BE"/>
    <w:rsid w:val="002537F1"/>
    <w:rsid w:val="0025388B"/>
    <w:rsid w:val="00253A01"/>
    <w:rsid w:val="00253CFD"/>
    <w:rsid w:val="00253D66"/>
    <w:rsid w:val="00253EDD"/>
    <w:rsid w:val="00254058"/>
    <w:rsid w:val="002548F2"/>
    <w:rsid w:val="00254DAD"/>
    <w:rsid w:val="00256265"/>
    <w:rsid w:val="00256D1D"/>
    <w:rsid w:val="00256F5D"/>
    <w:rsid w:val="002578EC"/>
    <w:rsid w:val="00257935"/>
    <w:rsid w:val="00257AFB"/>
    <w:rsid w:val="00260A24"/>
    <w:rsid w:val="002617BF"/>
    <w:rsid w:val="00262524"/>
    <w:rsid w:val="0026277C"/>
    <w:rsid w:val="0026293D"/>
    <w:rsid w:val="00262989"/>
    <w:rsid w:val="00262B6C"/>
    <w:rsid w:val="00262D79"/>
    <w:rsid w:val="00264003"/>
    <w:rsid w:val="0026414C"/>
    <w:rsid w:val="002647BF"/>
    <w:rsid w:val="00265048"/>
    <w:rsid w:val="002650E9"/>
    <w:rsid w:val="002655E7"/>
    <w:rsid w:val="00265982"/>
    <w:rsid w:val="00265C33"/>
    <w:rsid w:val="002661FD"/>
    <w:rsid w:val="002662A6"/>
    <w:rsid w:val="002666B9"/>
    <w:rsid w:val="00267894"/>
    <w:rsid w:val="002678D1"/>
    <w:rsid w:val="00270018"/>
    <w:rsid w:val="00270154"/>
    <w:rsid w:val="002701F3"/>
    <w:rsid w:val="0027069E"/>
    <w:rsid w:val="002708D4"/>
    <w:rsid w:val="00270EED"/>
    <w:rsid w:val="00271301"/>
    <w:rsid w:val="002713EE"/>
    <w:rsid w:val="002716A9"/>
    <w:rsid w:val="00271B00"/>
    <w:rsid w:val="00271DCB"/>
    <w:rsid w:val="00271F70"/>
    <w:rsid w:val="00272751"/>
    <w:rsid w:val="00272C96"/>
    <w:rsid w:val="00272DE2"/>
    <w:rsid w:val="00274011"/>
    <w:rsid w:val="0027408B"/>
    <w:rsid w:val="002746AF"/>
    <w:rsid w:val="002747F3"/>
    <w:rsid w:val="00274A53"/>
    <w:rsid w:val="0027530A"/>
    <w:rsid w:val="00275700"/>
    <w:rsid w:val="002757C4"/>
    <w:rsid w:val="00275BE2"/>
    <w:rsid w:val="00276525"/>
    <w:rsid w:val="00276971"/>
    <w:rsid w:val="00276AE0"/>
    <w:rsid w:val="00276B56"/>
    <w:rsid w:val="002772CF"/>
    <w:rsid w:val="00277A59"/>
    <w:rsid w:val="00277A91"/>
    <w:rsid w:val="00277ACD"/>
    <w:rsid w:val="00277F46"/>
    <w:rsid w:val="002805AB"/>
    <w:rsid w:val="00280A80"/>
    <w:rsid w:val="00280F46"/>
    <w:rsid w:val="002819FD"/>
    <w:rsid w:val="0028251D"/>
    <w:rsid w:val="00282CC7"/>
    <w:rsid w:val="002838FF"/>
    <w:rsid w:val="00283F86"/>
    <w:rsid w:val="00284056"/>
    <w:rsid w:val="00284AA5"/>
    <w:rsid w:val="0028581D"/>
    <w:rsid w:val="0028583A"/>
    <w:rsid w:val="00285CA9"/>
    <w:rsid w:val="002867E8"/>
    <w:rsid w:val="00287368"/>
    <w:rsid w:val="0028746C"/>
    <w:rsid w:val="0028755E"/>
    <w:rsid w:val="00287873"/>
    <w:rsid w:val="00287C25"/>
    <w:rsid w:val="002900A6"/>
    <w:rsid w:val="002904F0"/>
    <w:rsid w:val="0029070E"/>
    <w:rsid w:val="002907FF"/>
    <w:rsid w:val="00290C08"/>
    <w:rsid w:val="002910CC"/>
    <w:rsid w:val="002913C7"/>
    <w:rsid w:val="002914DD"/>
    <w:rsid w:val="002916CC"/>
    <w:rsid w:val="0029278C"/>
    <w:rsid w:val="00292848"/>
    <w:rsid w:val="00292E65"/>
    <w:rsid w:val="00293075"/>
    <w:rsid w:val="0029392B"/>
    <w:rsid w:val="00293F01"/>
    <w:rsid w:val="0029421C"/>
    <w:rsid w:val="00294560"/>
    <w:rsid w:val="00294D1D"/>
    <w:rsid w:val="002958E3"/>
    <w:rsid w:val="00295A5B"/>
    <w:rsid w:val="00296244"/>
    <w:rsid w:val="0029697C"/>
    <w:rsid w:val="00296BAE"/>
    <w:rsid w:val="002978A7"/>
    <w:rsid w:val="002979F1"/>
    <w:rsid w:val="002A07C3"/>
    <w:rsid w:val="002A0DD4"/>
    <w:rsid w:val="002A1129"/>
    <w:rsid w:val="002A13E1"/>
    <w:rsid w:val="002A2248"/>
    <w:rsid w:val="002A2459"/>
    <w:rsid w:val="002A2C61"/>
    <w:rsid w:val="002A302D"/>
    <w:rsid w:val="002A3248"/>
    <w:rsid w:val="002A36BB"/>
    <w:rsid w:val="002A3AE0"/>
    <w:rsid w:val="002A4534"/>
    <w:rsid w:val="002A5128"/>
    <w:rsid w:val="002A5BAA"/>
    <w:rsid w:val="002A7189"/>
    <w:rsid w:val="002A785E"/>
    <w:rsid w:val="002A7BAD"/>
    <w:rsid w:val="002A7F7A"/>
    <w:rsid w:val="002B012D"/>
    <w:rsid w:val="002B035D"/>
    <w:rsid w:val="002B0846"/>
    <w:rsid w:val="002B09A0"/>
    <w:rsid w:val="002B0D6D"/>
    <w:rsid w:val="002B0E73"/>
    <w:rsid w:val="002B1011"/>
    <w:rsid w:val="002B1085"/>
    <w:rsid w:val="002B1156"/>
    <w:rsid w:val="002B1304"/>
    <w:rsid w:val="002B1F8F"/>
    <w:rsid w:val="002B288A"/>
    <w:rsid w:val="002B2C61"/>
    <w:rsid w:val="002B3212"/>
    <w:rsid w:val="002B355B"/>
    <w:rsid w:val="002B3C40"/>
    <w:rsid w:val="002B41DE"/>
    <w:rsid w:val="002B4266"/>
    <w:rsid w:val="002B4436"/>
    <w:rsid w:val="002B5529"/>
    <w:rsid w:val="002B6173"/>
    <w:rsid w:val="002B7175"/>
    <w:rsid w:val="002B7734"/>
    <w:rsid w:val="002C0230"/>
    <w:rsid w:val="002C02FA"/>
    <w:rsid w:val="002C06F7"/>
    <w:rsid w:val="002C09E1"/>
    <w:rsid w:val="002C116E"/>
    <w:rsid w:val="002C2249"/>
    <w:rsid w:val="002C23B6"/>
    <w:rsid w:val="002C3598"/>
    <w:rsid w:val="002C489B"/>
    <w:rsid w:val="002C4BFF"/>
    <w:rsid w:val="002C4F24"/>
    <w:rsid w:val="002C54CF"/>
    <w:rsid w:val="002C57B3"/>
    <w:rsid w:val="002C58C7"/>
    <w:rsid w:val="002C5981"/>
    <w:rsid w:val="002C5F3D"/>
    <w:rsid w:val="002C7217"/>
    <w:rsid w:val="002D0410"/>
    <w:rsid w:val="002D0899"/>
    <w:rsid w:val="002D0DF1"/>
    <w:rsid w:val="002D1707"/>
    <w:rsid w:val="002D17E2"/>
    <w:rsid w:val="002D18A6"/>
    <w:rsid w:val="002D202D"/>
    <w:rsid w:val="002D2B9A"/>
    <w:rsid w:val="002D36D5"/>
    <w:rsid w:val="002D3BDA"/>
    <w:rsid w:val="002D3F5B"/>
    <w:rsid w:val="002D417F"/>
    <w:rsid w:val="002D51A4"/>
    <w:rsid w:val="002D5489"/>
    <w:rsid w:val="002D5D09"/>
    <w:rsid w:val="002D64F6"/>
    <w:rsid w:val="002D652A"/>
    <w:rsid w:val="002D6F09"/>
    <w:rsid w:val="002D700B"/>
    <w:rsid w:val="002D7D69"/>
    <w:rsid w:val="002D7E2E"/>
    <w:rsid w:val="002D7F3B"/>
    <w:rsid w:val="002E007E"/>
    <w:rsid w:val="002E04DA"/>
    <w:rsid w:val="002E0502"/>
    <w:rsid w:val="002E078D"/>
    <w:rsid w:val="002E0E3F"/>
    <w:rsid w:val="002E0EC8"/>
    <w:rsid w:val="002E103F"/>
    <w:rsid w:val="002E1046"/>
    <w:rsid w:val="002E12C8"/>
    <w:rsid w:val="002E1A4E"/>
    <w:rsid w:val="002E1ACA"/>
    <w:rsid w:val="002E1BD1"/>
    <w:rsid w:val="002E278F"/>
    <w:rsid w:val="002E2C9B"/>
    <w:rsid w:val="002E2EEC"/>
    <w:rsid w:val="002E3444"/>
    <w:rsid w:val="002E3583"/>
    <w:rsid w:val="002E3AB5"/>
    <w:rsid w:val="002E3B4D"/>
    <w:rsid w:val="002E3C38"/>
    <w:rsid w:val="002E3C7E"/>
    <w:rsid w:val="002E4441"/>
    <w:rsid w:val="002E4ACB"/>
    <w:rsid w:val="002E529F"/>
    <w:rsid w:val="002E537D"/>
    <w:rsid w:val="002E5680"/>
    <w:rsid w:val="002E5DE1"/>
    <w:rsid w:val="002E6182"/>
    <w:rsid w:val="002E62AB"/>
    <w:rsid w:val="002E71AB"/>
    <w:rsid w:val="002E7689"/>
    <w:rsid w:val="002E7FD3"/>
    <w:rsid w:val="002F046E"/>
    <w:rsid w:val="002F0522"/>
    <w:rsid w:val="002F0734"/>
    <w:rsid w:val="002F2269"/>
    <w:rsid w:val="002F23B0"/>
    <w:rsid w:val="002F29BD"/>
    <w:rsid w:val="002F3610"/>
    <w:rsid w:val="002F42F2"/>
    <w:rsid w:val="002F5697"/>
    <w:rsid w:val="002F5A38"/>
    <w:rsid w:val="002F62F1"/>
    <w:rsid w:val="002F65EA"/>
    <w:rsid w:val="002F6C6E"/>
    <w:rsid w:val="00300038"/>
    <w:rsid w:val="00300179"/>
    <w:rsid w:val="00300A3E"/>
    <w:rsid w:val="003012AA"/>
    <w:rsid w:val="003012B2"/>
    <w:rsid w:val="00301975"/>
    <w:rsid w:val="00302FCF"/>
    <w:rsid w:val="00303A76"/>
    <w:rsid w:val="00303B56"/>
    <w:rsid w:val="003041A0"/>
    <w:rsid w:val="00304B50"/>
    <w:rsid w:val="003053AA"/>
    <w:rsid w:val="0030542C"/>
    <w:rsid w:val="0030648B"/>
    <w:rsid w:val="003067E4"/>
    <w:rsid w:val="00306983"/>
    <w:rsid w:val="00307197"/>
    <w:rsid w:val="003071BF"/>
    <w:rsid w:val="003076AE"/>
    <w:rsid w:val="00307820"/>
    <w:rsid w:val="00307D6B"/>
    <w:rsid w:val="00310039"/>
    <w:rsid w:val="00310418"/>
    <w:rsid w:val="00310B11"/>
    <w:rsid w:val="003119FE"/>
    <w:rsid w:val="00311BC0"/>
    <w:rsid w:val="00312399"/>
    <w:rsid w:val="00312AC2"/>
    <w:rsid w:val="00312FFC"/>
    <w:rsid w:val="00313A69"/>
    <w:rsid w:val="00314124"/>
    <w:rsid w:val="003150BF"/>
    <w:rsid w:val="003150CE"/>
    <w:rsid w:val="00315525"/>
    <w:rsid w:val="00315E92"/>
    <w:rsid w:val="00315FF6"/>
    <w:rsid w:val="00316892"/>
    <w:rsid w:val="00316BC8"/>
    <w:rsid w:val="00316F1A"/>
    <w:rsid w:val="00317C93"/>
    <w:rsid w:val="00320265"/>
    <w:rsid w:val="00320637"/>
    <w:rsid w:val="003210CE"/>
    <w:rsid w:val="003213F5"/>
    <w:rsid w:val="00321520"/>
    <w:rsid w:val="003218B2"/>
    <w:rsid w:val="00321A33"/>
    <w:rsid w:val="0032206F"/>
    <w:rsid w:val="003224FF"/>
    <w:rsid w:val="003237DB"/>
    <w:rsid w:val="00323B9E"/>
    <w:rsid w:val="00324711"/>
    <w:rsid w:val="00324BC0"/>
    <w:rsid w:val="00325555"/>
    <w:rsid w:val="003255BF"/>
    <w:rsid w:val="0032635E"/>
    <w:rsid w:val="0032639A"/>
    <w:rsid w:val="0032668C"/>
    <w:rsid w:val="003266A6"/>
    <w:rsid w:val="00327542"/>
    <w:rsid w:val="00327900"/>
    <w:rsid w:val="00327C46"/>
    <w:rsid w:val="0033070F"/>
    <w:rsid w:val="00330804"/>
    <w:rsid w:val="00330FD6"/>
    <w:rsid w:val="00331E26"/>
    <w:rsid w:val="003332BE"/>
    <w:rsid w:val="0033335C"/>
    <w:rsid w:val="0033408E"/>
    <w:rsid w:val="003344DD"/>
    <w:rsid w:val="00334965"/>
    <w:rsid w:val="00334A6B"/>
    <w:rsid w:val="003350BD"/>
    <w:rsid w:val="0033533C"/>
    <w:rsid w:val="00335BD2"/>
    <w:rsid w:val="00335C15"/>
    <w:rsid w:val="003366B2"/>
    <w:rsid w:val="003372BC"/>
    <w:rsid w:val="003378B0"/>
    <w:rsid w:val="00340066"/>
    <w:rsid w:val="00341749"/>
    <w:rsid w:val="00341DDD"/>
    <w:rsid w:val="003423FF"/>
    <w:rsid w:val="003427DE"/>
    <w:rsid w:val="0034288B"/>
    <w:rsid w:val="00342B86"/>
    <w:rsid w:val="00342CFD"/>
    <w:rsid w:val="00343113"/>
    <w:rsid w:val="0034332B"/>
    <w:rsid w:val="00343530"/>
    <w:rsid w:val="00343E13"/>
    <w:rsid w:val="00343ED3"/>
    <w:rsid w:val="00344315"/>
    <w:rsid w:val="00344351"/>
    <w:rsid w:val="003443F0"/>
    <w:rsid w:val="0034517F"/>
    <w:rsid w:val="003455AF"/>
    <w:rsid w:val="00345AF3"/>
    <w:rsid w:val="0034681C"/>
    <w:rsid w:val="003470FA"/>
    <w:rsid w:val="00347820"/>
    <w:rsid w:val="003503BD"/>
    <w:rsid w:val="00350505"/>
    <w:rsid w:val="003507D5"/>
    <w:rsid w:val="00351176"/>
    <w:rsid w:val="00351E2E"/>
    <w:rsid w:val="0035255E"/>
    <w:rsid w:val="003533C8"/>
    <w:rsid w:val="003533E2"/>
    <w:rsid w:val="0035451C"/>
    <w:rsid w:val="0035517E"/>
    <w:rsid w:val="00355F22"/>
    <w:rsid w:val="00356EB1"/>
    <w:rsid w:val="00357A65"/>
    <w:rsid w:val="003600A8"/>
    <w:rsid w:val="0036050C"/>
    <w:rsid w:val="0036152E"/>
    <w:rsid w:val="00361A89"/>
    <w:rsid w:val="00361CD7"/>
    <w:rsid w:val="0036234A"/>
    <w:rsid w:val="00362925"/>
    <w:rsid w:val="00362959"/>
    <w:rsid w:val="00363693"/>
    <w:rsid w:val="0036375C"/>
    <w:rsid w:val="003638F1"/>
    <w:rsid w:val="00363F3F"/>
    <w:rsid w:val="0036477D"/>
    <w:rsid w:val="00364D5F"/>
    <w:rsid w:val="00365731"/>
    <w:rsid w:val="00365814"/>
    <w:rsid w:val="00366524"/>
    <w:rsid w:val="00366830"/>
    <w:rsid w:val="003668C6"/>
    <w:rsid w:val="00366A54"/>
    <w:rsid w:val="00366B36"/>
    <w:rsid w:val="00370798"/>
    <w:rsid w:val="00370872"/>
    <w:rsid w:val="003708EA"/>
    <w:rsid w:val="00370DF4"/>
    <w:rsid w:val="0037110E"/>
    <w:rsid w:val="00371636"/>
    <w:rsid w:val="003718A0"/>
    <w:rsid w:val="00371CDB"/>
    <w:rsid w:val="00371EC9"/>
    <w:rsid w:val="003727A4"/>
    <w:rsid w:val="003731DF"/>
    <w:rsid w:val="00373834"/>
    <w:rsid w:val="00373BD0"/>
    <w:rsid w:val="00373E58"/>
    <w:rsid w:val="00374354"/>
    <w:rsid w:val="00375D6E"/>
    <w:rsid w:val="00376073"/>
    <w:rsid w:val="00376305"/>
    <w:rsid w:val="00377452"/>
    <w:rsid w:val="00377817"/>
    <w:rsid w:val="003778AD"/>
    <w:rsid w:val="00377EA1"/>
    <w:rsid w:val="00380CD4"/>
    <w:rsid w:val="0038117A"/>
    <w:rsid w:val="003811CE"/>
    <w:rsid w:val="00381223"/>
    <w:rsid w:val="0038148C"/>
    <w:rsid w:val="00381849"/>
    <w:rsid w:val="00381F8F"/>
    <w:rsid w:val="003823A0"/>
    <w:rsid w:val="003827D7"/>
    <w:rsid w:val="00382C50"/>
    <w:rsid w:val="00382CB3"/>
    <w:rsid w:val="003831DF"/>
    <w:rsid w:val="00383B16"/>
    <w:rsid w:val="003841C8"/>
    <w:rsid w:val="003842E4"/>
    <w:rsid w:val="00384388"/>
    <w:rsid w:val="003845FF"/>
    <w:rsid w:val="00384B3F"/>
    <w:rsid w:val="00384F36"/>
    <w:rsid w:val="00384F82"/>
    <w:rsid w:val="00385271"/>
    <w:rsid w:val="003865D5"/>
    <w:rsid w:val="0038691E"/>
    <w:rsid w:val="00387E73"/>
    <w:rsid w:val="00387EA7"/>
    <w:rsid w:val="0039004F"/>
    <w:rsid w:val="00390532"/>
    <w:rsid w:val="00390676"/>
    <w:rsid w:val="0039072E"/>
    <w:rsid w:val="00390C2F"/>
    <w:rsid w:val="00390EC6"/>
    <w:rsid w:val="00390F7C"/>
    <w:rsid w:val="0039137D"/>
    <w:rsid w:val="0039226E"/>
    <w:rsid w:val="0039285A"/>
    <w:rsid w:val="00392977"/>
    <w:rsid w:val="003929F6"/>
    <w:rsid w:val="00392CC8"/>
    <w:rsid w:val="00393C6C"/>
    <w:rsid w:val="003943CC"/>
    <w:rsid w:val="003945B8"/>
    <w:rsid w:val="0039474A"/>
    <w:rsid w:val="00394F04"/>
    <w:rsid w:val="0039541C"/>
    <w:rsid w:val="00396D66"/>
    <w:rsid w:val="00397496"/>
    <w:rsid w:val="003977A6"/>
    <w:rsid w:val="00397BB7"/>
    <w:rsid w:val="00397C8B"/>
    <w:rsid w:val="00397E5E"/>
    <w:rsid w:val="003A057F"/>
    <w:rsid w:val="003A08E6"/>
    <w:rsid w:val="003A1068"/>
    <w:rsid w:val="003A199E"/>
    <w:rsid w:val="003A1DC1"/>
    <w:rsid w:val="003A1E49"/>
    <w:rsid w:val="003A2017"/>
    <w:rsid w:val="003A2056"/>
    <w:rsid w:val="003A2DDC"/>
    <w:rsid w:val="003A33FA"/>
    <w:rsid w:val="003A3415"/>
    <w:rsid w:val="003A3908"/>
    <w:rsid w:val="003A47E8"/>
    <w:rsid w:val="003A4896"/>
    <w:rsid w:val="003A48CC"/>
    <w:rsid w:val="003A5CDE"/>
    <w:rsid w:val="003A5E7D"/>
    <w:rsid w:val="003A6A84"/>
    <w:rsid w:val="003A72EF"/>
    <w:rsid w:val="003A7CD4"/>
    <w:rsid w:val="003B03A7"/>
    <w:rsid w:val="003B061E"/>
    <w:rsid w:val="003B09B8"/>
    <w:rsid w:val="003B0C40"/>
    <w:rsid w:val="003B1F96"/>
    <w:rsid w:val="003B2C64"/>
    <w:rsid w:val="003B4EED"/>
    <w:rsid w:val="003B4FC8"/>
    <w:rsid w:val="003B6040"/>
    <w:rsid w:val="003B6577"/>
    <w:rsid w:val="003B6B2C"/>
    <w:rsid w:val="003B7774"/>
    <w:rsid w:val="003B7A0C"/>
    <w:rsid w:val="003C0CEB"/>
    <w:rsid w:val="003C12D9"/>
    <w:rsid w:val="003C16B7"/>
    <w:rsid w:val="003C22C1"/>
    <w:rsid w:val="003C266A"/>
    <w:rsid w:val="003C288A"/>
    <w:rsid w:val="003C2F31"/>
    <w:rsid w:val="003C3276"/>
    <w:rsid w:val="003C389E"/>
    <w:rsid w:val="003C4904"/>
    <w:rsid w:val="003C532A"/>
    <w:rsid w:val="003C53FE"/>
    <w:rsid w:val="003C55CD"/>
    <w:rsid w:val="003C5618"/>
    <w:rsid w:val="003C57E4"/>
    <w:rsid w:val="003C5AAE"/>
    <w:rsid w:val="003C5F47"/>
    <w:rsid w:val="003C602A"/>
    <w:rsid w:val="003C6661"/>
    <w:rsid w:val="003D0187"/>
    <w:rsid w:val="003D04AA"/>
    <w:rsid w:val="003D1759"/>
    <w:rsid w:val="003D1896"/>
    <w:rsid w:val="003D1DC5"/>
    <w:rsid w:val="003D1E87"/>
    <w:rsid w:val="003D204F"/>
    <w:rsid w:val="003D2806"/>
    <w:rsid w:val="003D36A6"/>
    <w:rsid w:val="003D3B14"/>
    <w:rsid w:val="003D3F43"/>
    <w:rsid w:val="003D4135"/>
    <w:rsid w:val="003D43EC"/>
    <w:rsid w:val="003D4451"/>
    <w:rsid w:val="003D481F"/>
    <w:rsid w:val="003D4824"/>
    <w:rsid w:val="003D4EB5"/>
    <w:rsid w:val="003D53CE"/>
    <w:rsid w:val="003D62F7"/>
    <w:rsid w:val="003D735B"/>
    <w:rsid w:val="003E0F3E"/>
    <w:rsid w:val="003E1035"/>
    <w:rsid w:val="003E103C"/>
    <w:rsid w:val="003E1777"/>
    <w:rsid w:val="003E17F2"/>
    <w:rsid w:val="003E19F7"/>
    <w:rsid w:val="003E1EB2"/>
    <w:rsid w:val="003E2A60"/>
    <w:rsid w:val="003E3F84"/>
    <w:rsid w:val="003E4456"/>
    <w:rsid w:val="003E492C"/>
    <w:rsid w:val="003E4A90"/>
    <w:rsid w:val="003E535F"/>
    <w:rsid w:val="003E6D63"/>
    <w:rsid w:val="003E6D97"/>
    <w:rsid w:val="003E709B"/>
    <w:rsid w:val="003E710D"/>
    <w:rsid w:val="003E7A9C"/>
    <w:rsid w:val="003E7B98"/>
    <w:rsid w:val="003E7BC4"/>
    <w:rsid w:val="003F01A3"/>
    <w:rsid w:val="003F13FE"/>
    <w:rsid w:val="003F1859"/>
    <w:rsid w:val="003F328F"/>
    <w:rsid w:val="003F355B"/>
    <w:rsid w:val="003F3B90"/>
    <w:rsid w:val="003F402C"/>
    <w:rsid w:val="003F4684"/>
    <w:rsid w:val="003F47E1"/>
    <w:rsid w:val="003F4D22"/>
    <w:rsid w:val="003F4D93"/>
    <w:rsid w:val="003F531A"/>
    <w:rsid w:val="003F59D0"/>
    <w:rsid w:val="003F62BC"/>
    <w:rsid w:val="003F64FE"/>
    <w:rsid w:val="003F674A"/>
    <w:rsid w:val="003F6D1A"/>
    <w:rsid w:val="003F6D59"/>
    <w:rsid w:val="003F72F0"/>
    <w:rsid w:val="003F7C9E"/>
    <w:rsid w:val="004004A1"/>
    <w:rsid w:val="004008D7"/>
    <w:rsid w:val="00400F5A"/>
    <w:rsid w:val="004016CA"/>
    <w:rsid w:val="00401D98"/>
    <w:rsid w:val="00402145"/>
    <w:rsid w:val="004025E8"/>
    <w:rsid w:val="00402768"/>
    <w:rsid w:val="00402CB2"/>
    <w:rsid w:val="00403010"/>
    <w:rsid w:val="0040308E"/>
    <w:rsid w:val="00403DBB"/>
    <w:rsid w:val="00403F74"/>
    <w:rsid w:val="00404C36"/>
    <w:rsid w:val="00404F2D"/>
    <w:rsid w:val="0040550C"/>
    <w:rsid w:val="00405EC0"/>
    <w:rsid w:val="00406CD5"/>
    <w:rsid w:val="00406E22"/>
    <w:rsid w:val="00406EA5"/>
    <w:rsid w:val="00406F19"/>
    <w:rsid w:val="00406F38"/>
    <w:rsid w:val="004076C7"/>
    <w:rsid w:val="00407EC8"/>
    <w:rsid w:val="00410414"/>
    <w:rsid w:val="004107CA"/>
    <w:rsid w:val="00411066"/>
    <w:rsid w:val="004111BC"/>
    <w:rsid w:val="004114CB"/>
    <w:rsid w:val="00411633"/>
    <w:rsid w:val="004125F4"/>
    <w:rsid w:val="004126D4"/>
    <w:rsid w:val="00412AE4"/>
    <w:rsid w:val="00414703"/>
    <w:rsid w:val="00414C8B"/>
    <w:rsid w:val="004159A1"/>
    <w:rsid w:val="00415BF9"/>
    <w:rsid w:val="00415D2B"/>
    <w:rsid w:val="0041670B"/>
    <w:rsid w:val="00416AC7"/>
    <w:rsid w:val="00416C0A"/>
    <w:rsid w:val="00416FE2"/>
    <w:rsid w:val="00417490"/>
    <w:rsid w:val="00421411"/>
    <w:rsid w:val="00421941"/>
    <w:rsid w:val="00421B82"/>
    <w:rsid w:val="00421BDA"/>
    <w:rsid w:val="00421F0A"/>
    <w:rsid w:val="004233E8"/>
    <w:rsid w:val="00424247"/>
    <w:rsid w:val="0042433E"/>
    <w:rsid w:val="00424346"/>
    <w:rsid w:val="004246DB"/>
    <w:rsid w:val="004249CE"/>
    <w:rsid w:val="00424BB3"/>
    <w:rsid w:val="00424DE2"/>
    <w:rsid w:val="004254F2"/>
    <w:rsid w:val="00425F58"/>
    <w:rsid w:val="00425F7D"/>
    <w:rsid w:val="0042648E"/>
    <w:rsid w:val="00426FEA"/>
    <w:rsid w:val="00427697"/>
    <w:rsid w:val="00427A81"/>
    <w:rsid w:val="00427CFE"/>
    <w:rsid w:val="00427D25"/>
    <w:rsid w:val="00427E7D"/>
    <w:rsid w:val="00430241"/>
    <w:rsid w:val="0043069E"/>
    <w:rsid w:val="00430B07"/>
    <w:rsid w:val="00431D2D"/>
    <w:rsid w:val="00432528"/>
    <w:rsid w:val="00432836"/>
    <w:rsid w:val="004334EF"/>
    <w:rsid w:val="00433532"/>
    <w:rsid w:val="00433666"/>
    <w:rsid w:val="00433C1B"/>
    <w:rsid w:val="00434358"/>
    <w:rsid w:val="00434534"/>
    <w:rsid w:val="00434878"/>
    <w:rsid w:val="00435351"/>
    <w:rsid w:val="00435C09"/>
    <w:rsid w:val="004361EA"/>
    <w:rsid w:val="00436253"/>
    <w:rsid w:val="00436FE4"/>
    <w:rsid w:val="004373D1"/>
    <w:rsid w:val="0043778D"/>
    <w:rsid w:val="00437AE4"/>
    <w:rsid w:val="004400FC"/>
    <w:rsid w:val="004401A7"/>
    <w:rsid w:val="00441D23"/>
    <w:rsid w:val="004426F9"/>
    <w:rsid w:val="00442CD9"/>
    <w:rsid w:val="004436A3"/>
    <w:rsid w:val="004444AD"/>
    <w:rsid w:val="004454C2"/>
    <w:rsid w:val="00446427"/>
    <w:rsid w:val="00446496"/>
    <w:rsid w:val="004467D4"/>
    <w:rsid w:val="00446F7B"/>
    <w:rsid w:val="00447347"/>
    <w:rsid w:val="004479C6"/>
    <w:rsid w:val="00447BFB"/>
    <w:rsid w:val="00447F33"/>
    <w:rsid w:val="00450510"/>
    <w:rsid w:val="00450A27"/>
    <w:rsid w:val="00450B52"/>
    <w:rsid w:val="00451AD5"/>
    <w:rsid w:val="00451E8E"/>
    <w:rsid w:val="00451EC2"/>
    <w:rsid w:val="00452EED"/>
    <w:rsid w:val="00455348"/>
    <w:rsid w:val="00455FFA"/>
    <w:rsid w:val="004617EB"/>
    <w:rsid w:val="004618E1"/>
    <w:rsid w:val="0046191F"/>
    <w:rsid w:val="00461963"/>
    <w:rsid w:val="004624FF"/>
    <w:rsid w:val="00462B17"/>
    <w:rsid w:val="00463357"/>
    <w:rsid w:val="00463A04"/>
    <w:rsid w:val="00465255"/>
    <w:rsid w:val="00465912"/>
    <w:rsid w:val="00465A6E"/>
    <w:rsid w:val="0046699A"/>
    <w:rsid w:val="00467C87"/>
    <w:rsid w:val="00467F7A"/>
    <w:rsid w:val="00470213"/>
    <w:rsid w:val="0047064E"/>
    <w:rsid w:val="00471308"/>
    <w:rsid w:val="00471E16"/>
    <w:rsid w:val="00471E1B"/>
    <w:rsid w:val="00472E53"/>
    <w:rsid w:val="00473718"/>
    <w:rsid w:val="00473869"/>
    <w:rsid w:val="0047410E"/>
    <w:rsid w:val="004743B3"/>
    <w:rsid w:val="00474B27"/>
    <w:rsid w:val="004753B2"/>
    <w:rsid w:val="00475B12"/>
    <w:rsid w:val="00475D24"/>
    <w:rsid w:val="00475DF1"/>
    <w:rsid w:val="00476C19"/>
    <w:rsid w:val="00476F2A"/>
    <w:rsid w:val="004802EE"/>
    <w:rsid w:val="0048054A"/>
    <w:rsid w:val="00480F67"/>
    <w:rsid w:val="00481049"/>
    <w:rsid w:val="00481854"/>
    <w:rsid w:val="004818C3"/>
    <w:rsid w:val="004818E8"/>
    <w:rsid w:val="00481F23"/>
    <w:rsid w:val="00482298"/>
    <w:rsid w:val="0048249F"/>
    <w:rsid w:val="0048272F"/>
    <w:rsid w:val="00482F67"/>
    <w:rsid w:val="00482FB5"/>
    <w:rsid w:val="00483006"/>
    <w:rsid w:val="004847AF"/>
    <w:rsid w:val="00484915"/>
    <w:rsid w:val="00484FD7"/>
    <w:rsid w:val="00485961"/>
    <w:rsid w:val="00485EAA"/>
    <w:rsid w:val="00486476"/>
    <w:rsid w:val="00486DBD"/>
    <w:rsid w:val="00487387"/>
    <w:rsid w:val="00487739"/>
    <w:rsid w:val="00487A4D"/>
    <w:rsid w:val="00487EE5"/>
    <w:rsid w:val="00490240"/>
    <w:rsid w:val="00490A1E"/>
    <w:rsid w:val="00490EEA"/>
    <w:rsid w:val="004919FD"/>
    <w:rsid w:val="00491F3A"/>
    <w:rsid w:val="00491F91"/>
    <w:rsid w:val="004922B9"/>
    <w:rsid w:val="00492A9B"/>
    <w:rsid w:val="00493631"/>
    <w:rsid w:val="00494E9E"/>
    <w:rsid w:val="00495E61"/>
    <w:rsid w:val="004965AB"/>
    <w:rsid w:val="00496FED"/>
    <w:rsid w:val="004A08B5"/>
    <w:rsid w:val="004A098C"/>
    <w:rsid w:val="004A132C"/>
    <w:rsid w:val="004A1416"/>
    <w:rsid w:val="004A1AE5"/>
    <w:rsid w:val="004A2EF4"/>
    <w:rsid w:val="004A349F"/>
    <w:rsid w:val="004A3CF1"/>
    <w:rsid w:val="004A5173"/>
    <w:rsid w:val="004A5D40"/>
    <w:rsid w:val="004A6179"/>
    <w:rsid w:val="004A7030"/>
    <w:rsid w:val="004A7212"/>
    <w:rsid w:val="004A75AD"/>
    <w:rsid w:val="004A7EB4"/>
    <w:rsid w:val="004B00A3"/>
    <w:rsid w:val="004B051F"/>
    <w:rsid w:val="004B0C35"/>
    <w:rsid w:val="004B15DD"/>
    <w:rsid w:val="004B195B"/>
    <w:rsid w:val="004B260F"/>
    <w:rsid w:val="004B26D9"/>
    <w:rsid w:val="004B2C5E"/>
    <w:rsid w:val="004B308B"/>
    <w:rsid w:val="004B3DBA"/>
    <w:rsid w:val="004B4952"/>
    <w:rsid w:val="004B4E67"/>
    <w:rsid w:val="004B501E"/>
    <w:rsid w:val="004B5855"/>
    <w:rsid w:val="004B5883"/>
    <w:rsid w:val="004B6D1F"/>
    <w:rsid w:val="004B774B"/>
    <w:rsid w:val="004C0F8D"/>
    <w:rsid w:val="004C107B"/>
    <w:rsid w:val="004C10E7"/>
    <w:rsid w:val="004C1C55"/>
    <w:rsid w:val="004C2A35"/>
    <w:rsid w:val="004C32C7"/>
    <w:rsid w:val="004C3582"/>
    <w:rsid w:val="004C4310"/>
    <w:rsid w:val="004C4629"/>
    <w:rsid w:val="004C4B35"/>
    <w:rsid w:val="004C4B71"/>
    <w:rsid w:val="004C4D3D"/>
    <w:rsid w:val="004C4DA4"/>
    <w:rsid w:val="004C589D"/>
    <w:rsid w:val="004C6075"/>
    <w:rsid w:val="004C701C"/>
    <w:rsid w:val="004C70BC"/>
    <w:rsid w:val="004C7CD5"/>
    <w:rsid w:val="004D015E"/>
    <w:rsid w:val="004D0744"/>
    <w:rsid w:val="004D0862"/>
    <w:rsid w:val="004D087E"/>
    <w:rsid w:val="004D19DB"/>
    <w:rsid w:val="004D1E88"/>
    <w:rsid w:val="004D200F"/>
    <w:rsid w:val="004D2FCE"/>
    <w:rsid w:val="004D3006"/>
    <w:rsid w:val="004D315C"/>
    <w:rsid w:val="004D3558"/>
    <w:rsid w:val="004D3CD7"/>
    <w:rsid w:val="004D55BB"/>
    <w:rsid w:val="004D58DE"/>
    <w:rsid w:val="004D5902"/>
    <w:rsid w:val="004D616E"/>
    <w:rsid w:val="004D625E"/>
    <w:rsid w:val="004D63E2"/>
    <w:rsid w:val="004D6B42"/>
    <w:rsid w:val="004D6F69"/>
    <w:rsid w:val="004D731D"/>
    <w:rsid w:val="004D789B"/>
    <w:rsid w:val="004E09E9"/>
    <w:rsid w:val="004E0A32"/>
    <w:rsid w:val="004E12F9"/>
    <w:rsid w:val="004E17DF"/>
    <w:rsid w:val="004E2AA5"/>
    <w:rsid w:val="004E2C7C"/>
    <w:rsid w:val="004E30FD"/>
    <w:rsid w:val="004E3220"/>
    <w:rsid w:val="004E3EDF"/>
    <w:rsid w:val="004E3F30"/>
    <w:rsid w:val="004E46F8"/>
    <w:rsid w:val="004E4A71"/>
    <w:rsid w:val="004E50C8"/>
    <w:rsid w:val="004E5365"/>
    <w:rsid w:val="004E557A"/>
    <w:rsid w:val="004E653E"/>
    <w:rsid w:val="004E65F5"/>
    <w:rsid w:val="004E7474"/>
    <w:rsid w:val="004F06CC"/>
    <w:rsid w:val="004F0788"/>
    <w:rsid w:val="004F0F3B"/>
    <w:rsid w:val="004F1381"/>
    <w:rsid w:val="004F15C3"/>
    <w:rsid w:val="004F20C5"/>
    <w:rsid w:val="004F2627"/>
    <w:rsid w:val="004F2BAD"/>
    <w:rsid w:val="004F2D77"/>
    <w:rsid w:val="004F3E28"/>
    <w:rsid w:val="004F41B8"/>
    <w:rsid w:val="004F435A"/>
    <w:rsid w:val="004F4B2A"/>
    <w:rsid w:val="004F4E35"/>
    <w:rsid w:val="004F4FF1"/>
    <w:rsid w:val="004F5156"/>
    <w:rsid w:val="004F52C4"/>
    <w:rsid w:val="004F5315"/>
    <w:rsid w:val="004F5E10"/>
    <w:rsid w:val="004F60CF"/>
    <w:rsid w:val="004F621F"/>
    <w:rsid w:val="004F6950"/>
    <w:rsid w:val="004F6F6F"/>
    <w:rsid w:val="004F775D"/>
    <w:rsid w:val="004F7BD4"/>
    <w:rsid w:val="005002EC"/>
    <w:rsid w:val="00500378"/>
    <w:rsid w:val="00500451"/>
    <w:rsid w:val="005004B7"/>
    <w:rsid w:val="00500942"/>
    <w:rsid w:val="00500B91"/>
    <w:rsid w:val="0050167B"/>
    <w:rsid w:val="005016C6"/>
    <w:rsid w:val="0050183C"/>
    <w:rsid w:val="00501B78"/>
    <w:rsid w:val="00501CE8"/>
    <w:rsid w:val="00501E10"/>
    <w:rsid w:val="0050257B"/>
    <w:rsid w:val="005029FF"/>
    <w:rsid w:val="00502EAE"/>
    <w:rsid w:val="00503A1B"/>
    <w:rsid w:val="0050485B"/>
    <w:rsid w:val="0050500F"/>
    <w:rsid w:val="00505279"/>
    <w:rsid w:val="005063E1"/>
    <w:rsid w:val="00506545"/>
    <w:rsid w:val="00506762"/>
    <w:rsid w:val="00506DE2"/>
    <w:rsid w:val="0050765D"/>
    <w:rsid w:val="00507CC5"/>
    <w:rsid w:val="00507CD8"/>
    <w:rsid w:val="0051071D"/>
    <w:rsid w:val="00510E86"/>
    <w:rsid w:val="00511257"/>
    <w:rsid w:val="00511339"/>
    <w:rsid w:val="00511BC8"/>
    <w:rsid w:val="00512328"/>
    <w:rsid w:val="00514178"/>
    <w:rsid w:val="00514CA6"/>
    <w:rsid w:val="00516BBB"/>
    <w:rsid w:val="00516DB7"/>
    <w:rsid w:val="00521837"/>
    <w:rsid w:val="00521C11"/>
    <w:rsid w:val="00522715"/>
    <w:rsid w:val="005231BD"/>
    <w:rsid w:val="005231F6"/>
    <w:rsid w:val="00523278"/>
    <w:rsid w:val="005234DD"/>
    <w:rsid w:val="00523627"/>
    <w:rsid w:val="00523CF8"/>
    <w:rsid w:val="00523E83"/>
    <w:rsid w:val="00523FE1"/>
    <w:rsid w:val="0052447D"/>
    <w:rsid w:val="005248BB"/>
    <w:rsid w:val="00525587"/>
    <w:rsid w:val="00527373"/>
    <w:rsid w:val="00530011"/>
    <w:rsid w:val="0053014F"/>
    <w:rsid w:val="005305C2"/>
    <w:rsid w:val="005308A5"/>
    <w:rsid w:val="005309D9"/>
    <w:rsid w:val="00530BDE"/>
    <w:rsid w:val="00531395"/>
    <w:rsid w:val="005314E9"/>
    <w:rsid w:val="00531723"/>
    <w:rsid w:val="00531EFE"/>
    <w:rsid w:val="0053275E"/>
    <w:rsid w:val="00532B2C"/>
    <w:rsid w:val="00532DF6"/>
    <w:rsid w:val="0053324F"/>
    <w:rsid w:val="005332FC"/>
    <w:rsid w:val="00533612"/>
    <w:rsid w:val="00533831"/>
    <w:rsid w:val="00534060"/>
    <w:rsid w:val="0053431E"/>
    <w:rsid w:val="00535D76"/>
    <w:rsid w:val="00536031"/>
    <w:rsid w:val="0053641D"/>
    <w:rsid w:val="0053641F"/>
    <w:rsid w:val="005369E7"/>
    <w:rsid w:val="00537090"/>
    <w:rsid w:val="0053768C"/>
    <w:rsid w:val="005376CF"/>
    <w:rsid w:val="005377FC"/>
    <w:rsid w:val="00540198"/>
    <w:rsid w:val="005406B6"/>
    <w:rsid w:val="00541174"/>
    <w:rsid w:val="00541584"/>
    <w:rsid w:val="00541EF9"/>
    <w:rsid w:val="00542E43"/>
    <w:rsid w:val="005431CF"/>
    <w:rsid w:val="0054339A"/>
    <w:rsid w:val="005436B2"/>
    <w:rsid w:val="005436B5"/>
    <w:rsid w:val="00543799"/>
    <w:rsid w:val="00543A59"/>
    <w:rsid w:val="00543D0A"/>
    <w:rsid w:val="00544708"/>
    <w:rsid w:val="00544B8C"/>
    <w:rsid w:val="005454F3"/>
    <w:rsid w:val="005455E5"/>
    <w:rsid w:val="005463ED"/>
    <w:rsid w:val="005464A4"/>
    <w:rsid w:val="00546577"/>
    <w:rsid w:val="0054663B"/>
    <w:rsid w:val="005466A2"/>
    <w:rsid w:val="0054681B"/>
    <w:rsid w:val="00546998"/>
    <w:rsid w:val="005471DD"/>
    <w:rsid w:val="0054779A"/>
    <w:rsid w:val="00547BA1"/>
    <w:rsid w:val="00551D7F"/>
    <w:rsid w:val="00551F19"/>
    <w:rsid w:val="00553479"/>
    <w:rsid w:val="00553613"/>
    <w:rsid w:val="00553D6E"/>
    <w:rsid w:val="0055456D"/>
    <w:rsid w:val="0055500A"/>
    <w:rsid w:val="0055562C"/>
    <w:rsid w:val="00556101"/>
    <w:rsid w:val="005564AC"/>
    <w:rsid w:val="005564EE"/>
    <w:rsid w:val="005569EF"/>
    <w:rsid w:val="00556BE0"/>
    <w:rsid w:val="00557CB1"/>
    <w:rsid w:val="005605AB"/>
    <w:rsid w:val="0056091E"/>
    <w:rsid w:val="00560A2F"/>
    <w:rsid w:val="00560A98"/>
    <w:rsid w:val="00561371"/>
    <w:rsid w:val="0056172D"/>
    <w:rsid w:val="0056197E"/>
    <w:rsid w:val="00561D72"/>
    <w:rsid w:val="005635F3"/>
    <w:rsid w:val="0056411C"/>
    <w:rsid w:val="00564196"/>
    <w:rsid w:val="005642F0"/>
    <w:rsid w:val="00564802"/>
    <w:rsid w:val="00564CBA"/>
    <w:rsid w:val="00565508"/>
    <w:rsid w:val="005655EE"/>
    <w:rsid w:val="00565B4C"/>
    <w:rsid w:val="00565B53"/>
    <w:rsid w:val="00566250"/>
    <w:rsid w:val="005662BF"/>
    <w:rsid w:val="005663FF"/>
    <w:rsid w:val="0056656F"/>
    <w:rsid w:val="0056666C"/>
    <w:rsid w:val="005666BB"/>
    <w:rsid w:val="00566EE8"/>
    <w:rsid w:val="00567367"/>
    <w:rsid w:val="005677E5"/>
    <w:rsid w:val="005704A2"/>
    <w:rsid w:val="005707AA"/>
    <w:rsid w:val="00570D24"/>
    <w:rsid w:val="00571461"/>
    <w:rsid w:val="005720A5"/>
    <w:rsid w:val="005723EA"/>
    <w:rsid w:val="00573B4E"/>
    <w:rsid w:val="005743EC"/>
    <w:rsid w:val="00574A6A"/>
    <w:rsid w:val="00574C1A"/>
    <w:rsid w:val="00574F85"/>
    <w:rsid w:val="00574FF6"/>
    <w:rsid w:val="00575189"/>
    <w:rsid w:val="00575E73"/>
    <w:rsid w:val="00575FB6"/>
    <w:rsid w:val="00576153"/>
    <w:rsid w:val="005768FE"/>
    <w:rsid w:val="00577AC8"/>
    <w:rsid w:val="0058036C"/>
    <w:rsid w:val="005806D3"/>
    <w:rsid w:val="00580EEB"/>
    <w:rsid w:val="00580FCF"/>
    <w:rsid w:val="00582780"/>
    <w:rsid w:val="0058321F"/>
    <w:rsid w:val="00583618"/>
    <w:rsid w:val="00583673"/>
    <w:rsid w:val="005836B1"/>
    <w:rsid w:val="00583CB1"/>
    <w:rsid w:val="00583D08"/>
    <w:rsid w:val="00583D79"/>
    <w:rsid w:val="00584B8E"/>
    <w:rsid w:val="005852D7"/>
    <w:rsid w:val="00585466"/>
    <w:rsid w:val="005866D3"/>
    <w:rsid w:val="005866E6"/>
    <w:rsid w:val="00587BE7"/>
    <w:rsid w:val="00587CBC"/>
    <w:rsid w:val="00587FA9"/>
    <w:rsid w:val="00590551"/>
    <w:rsid w:val="005914A2"/>
    <w:rsid w:val="005917A1"/>
    <w:rsid w:val="00592324"/>
    <w:rsid w:val="00592CA6"/>
    <w:rsid w:val="00593051"/>
    <w:rsid w:val="00593191"/>
    <w:rsid w:val="0059336A"/>
    <w:rsid w:val="005938B6"/>
    <w:rsid w:val="00594207"/>
    <w:rsid w:val="0059447A"/>
    <w:rsid w:val="0059458E"/>
    <w:rsid w:val="005946FC"/>
    <w:rsid w:val="00595A1C"/>
    <w:rsid w:val="00595B3C"/>
    <w:rsid w:val="00595DF1"/>
    <w:rsid w:val="00595FDA"/>
    <w:rsid w:val="005963EE"/>
    <w:rsid w:val="00596524"/>
    <w:rsid w:val="00596E9F"/>
    <w:rsid w:val="005977E4"/>
    <w:rsid w:val="00597D35"/>
    <w:rsid w:val="00597E25"/>
    <w:rsid w:val="00597FD1"/>
    <w:rsid w:val="005A079D"/>
    <w:rsid w:val="005A1969"/>
    <w:rsid w:val="005A1B31"/>
    <w:rsid w:val="005A1C33"/>
    <w:rsid w:val="005A26F0"/>
    <w:rsid w:val="005A312F"/>
    <w:rsid w:val="005A33D7"/>
    <w:rsid w:val="005A38F0"/>
    <w:rsid w:val="005A3AF3"/>
    <w:rsid w:val="005A444F"/>
    <w:rsid w:val="005A4A36"/>
    <w:rsid w:val="005A4D2B"/>
    <w:rsid w:val="005A6162"/>
    <w:rsid w:val="005A638F"/>
    <w:rsid w:val="005A660E"/>
    <w:rsid w:val="005A66C4"/>
    <w:rsid w:val="005A6D6D"/>
    <w:rsid w:val="005A7264"/>
    <w:rsid w:val="005A7407"/>
    <w:rsid w:val="005A75C0"/>
    <w:rsid w:val="005B0067"/>
    <w:rsid w:val="005B045C"/>
    <w:rsid w:val="005B0AC7"/>
    <w:rsid w:val="005B0C20"/>
    <w:rsid w:val="005B128E"/>
    <w:rsid w:val="005B1601"/>
    <w:rsid w:val="005B1876"/>
    <w:rsid w:val="005B1B2F"/>
    <w:rsid w:val="005B1DF7"/>
    <w:rsid w:val="005B1EB8"/>
    <w:rsid w:val="005B38DE"/>
    <w:rsid w:val="005B393F"/>
    <w:rsid w:val="005B3A0A"/>
    <w:rsid w:val="005B4CFC"/>
    <w:rsid w:val="005B5099"/>
    <w:rsid w:val="005B58B0"/>
    <w:rsid w:val="005B5AED"/>
    <w:rsid w:val="005B6235"/>
    <w:rsid w:val="005B6B4E"/>
    <w:rsid w:val="005B6F23"/>
    <w:rsid w:val="005B7316"/>
    <w:rsid w:val="005B777A"/>
    <w:rsid w:val="005B77D2"/>
    <w:rsid w:val="005C0298"/>
    <w:rsid w:val="005C0769"/>
    <w:rsid w:val="005C0A4C"/>
    <w:rsid w:val="005C1598"/>
    <w:rsid w:val="005C1A03"/>
    <w:rsid w:val="005C2054"/>
    <w:rsid w:val="005C20A4"/>
    <w:rsid w:val="005C21B4"/>
    <w:rsid w:val="005C2526"/>
    <w:rsid w:val="005C360A"/>
    <w:rsid w:val="005C37FB"/>
    <w:rsid w:val="005C4A7F"/>
    <w:rsid w:val="005C4C55"/>
    <w:rsid w:val="005C5276"/>
    <w:rsid w:val="005C5E00"/>
    <w:rsid w:val="005C7133"/>
    <w:rsid w:val="005C7262"/>
    <w:rsid w:val="005D1ECA"/>
    <w:rsid w:val="005D1FEF"/>
    <w:rsid w:val="005D221C"/>
    <w:rsid w:val="005D2716"/>
    <w:rsid w:val="005D2A43"/>
    <w:rsid w:val="005D2AC7"/>
    <w:rsid w:val="005D33F8"/>
    <w:rsid w:val="005D3DD3"/>
    <w:rsid w:val="005D3EC2"/>
    <w:rsid w:val="005D46F3"/>
    <w:rsid w:val="005D4A6D"/>
    <w:rsid w:val="005D4F39"/>
    <w:rsid w:val="005D5238"/>
    <w:rsid w:val="005D5EC8"/>
    <w:rsid w:val="005D60CD"/>
    <w:rsid w:val="005D6958"/>
    <w:rsid w:val="005D6EA0"/>
    <w:rsid w:val="005D7BBF"/>
    <w:rsid w:val="005E0483"/>
    <w:rsid w:val="005E1585"/>
    <w:rsid w:val="005E2237"/>
    <w:rsid w:val="005E2E35"/>
    <w:rsid w:val="005E2F69"/>
    <w:rsid w:val="005E3105"/>
    <w:rsid w:val="005E3B34"/>
    <w:rsid w:val="005E3BC8"/>
    <w:rsid w:val="005E4E68"/>
    <w:rsid w:val="005E511F"/>
    <w:rsid w:val="005E52AE"/>
    <w:rsid w:val="005E587C"/>
    <w:rsid w:val="005E5968"/>
    <w:rsid w:val="005E6141"/>
    <w:rsid w:val="005E6BB0"/>
    <w:rsid w:val="005E6CA6"/>
    <w:rsid w:val="005E73AD"/>
    <w:rsid w:val="005E74ED"/>
    <w:rsid w:val="005E7B36"/>
    <w:rsid w:val="005F02E6"/>
    <w:rsid w:val="005F038D"/>
    <w:rsid w:val="005F07E4"/>
    <w:rsid w:val="005F0804"/>
    <w:rsid w:val="005F0DDC"/>
    <w:rsid w:val="005F0E3B"/>
    <w:rsid w:val="005F10F1"/>
    <w:rsid w:val="005F119F"/>
    <w:rsid w:val="005F1891"/>
    <w:rsid w:val="005F1911"/>
    <w:rsid w:val="005F194D"/>
    <w:rsid w:val="005F1DEF"/>
    <w:rsid w:val="005F257C"/>
    <w:rsid w:val="005F268E"/>
    <w:rsid w:val="005F2C2D"/>
    <w:rsid w:val="005F2C75"/>
    <w:rsid w:val="005F2CBA"/>
    <w:rsid w:val="005F3027"/>
    <w:rsid w:val="005F3047"/>
    <w:rsid w:val="005F30DD"/>
    <w:rsid w:val="005F3216"/>
    <w:rsid w:val="005F3B6E"/>
    <w:rsid w:val="005F4020"/>
    <w:rsid w:val="005F4DFE"/>
    <w:rsid w:val="005F4EF9"/>
    <w:rsid w:val="005F537F"/>
    <w:rsid w:val="005F5CF6"/>
    <w:rsid w:val="005F5D72"/>
    <w:rsid w:val="005F5E04"/>
    <w:rsid w:val="005F5FD7"/>
    <w:rsid w:val="006009D7"/>
    <w:rsid w:val="00600BF6"/>
    <w:rsid w:val="006011BC"/>
    <w:rsid w:val="006015AE"/>
    <w:rsid w:val="006017B1"/>
    <w:rsid w:val="00602247"/>
    <w:rsid w:val="006022A4"/>
    <w:rsid w:val="006039E7"/>
    <w:rsid w:val="00603B03"/>
    <w:rsid w:val="00603F0E"/>
    <w:rsid w:val="006043BC"/>
    <w:rsid w:val="0060447A"/>
    <w:rsid w:val="00604D30"/>
    <w:rsid w:val="00604FA6"/>
    <w:rsid w:val="006060F4"/>
    <w:rsid w:val="0060685F"/>
    <w:rsid w:val="00606D73"/>
    <w:rsid w:val="00607066"/>
    <w:rsid w:val="00607197"/>
    <w:rsid w:val="00607A16"/>
    <w:rsid w:val="006109F8"/>
    <w:rsid w:val="00610E44"/>
    <w:rsid w:val="00611447"/>
    <w:rsid w:val="006118DB"/>
    <w:rsid w:val="00611CB5"/>
    <w:rsid w:val="00612C3F"/>
    <w:rsid w:val="00613427"/>
    <w:rsid w:val="006141F4"/>
    <w:rsid w:val="006147EA"/>
    <w:rsid w:val="00614811"/>
    <w:rsid w:val="00614A7F"/>
    <w:rsid w:val="00614CAD"/>
    <w:rsid w:val="006150BA"/>
    <w:rsid w:val="00615FA1"/>
    <w:rsid w:val="00616FF7"/>
    <w:rsid w:val="00617A0A"/>
    <w:rsid w:val="0062001A"/>
    <w:rsid w:val="00622350"/>
    <w:rsid w:val="006223B5"/>
    <w:rsid w:val="00622775"/>
    <w:rsid w:val="00622932"/>
    <w:rsid w:val="00622A6C"/>
    <w:rsid w:val="00622B08"/>
    <w:rsid w:val="00622F9C"/>
    <w:rsid w:val="00623075"/>
    <w:rsid w:val="00623602"/>
    <w:rsid w:val="00623619"/>
    <w:rsid w:val="00623910"/>
    <w:rsid w:val="00623DBB"/>
    <w:rsid w:val="00624A27"/>
    <w:rsid w:val="00624D74"/>
    <w:rsid w:val="00624DB7"/>
    <w:rsid w:val="00624EBE"/>
    <w:rsid w:val="00625AC3"/>
    <w:rsid w:val="00625C7F"/>
    <w:rsid w:val="0062716D"/>
    <w:rsid w:val="00627640"/>
    <w:rsid w:val="00627AF2"/>
    <w:rsid w:val="00630C2F"/>
    <w:rsid w:val="006312DD"/>
    <w:rsid w:val="006316FD"/>
    <w:rsid w:val="00632404"/>
    <w:rsid w:val="0063266F"/>
    <w:rsid w:val="006326BF"/>
    <w:rsid w:val="00632BDE"/>
    <w:rsid w:val="00632F94"/>
    <w:rsid w:val="0063364F"/>
    <w:rsid w:val="00634019"/>
    <w:rsid w:val="006346D0"/>
    <w:rsid w:val="00634D87"/>
    <w:rsid w:val="00634DFE"/>
    <w:rsid w:val="00634F45"/>
    <w:rsid w:val="00635152"/>
    <w:rsid w:val="00635A2A"/>
    <w:rsid w:val="00635AF6"/>
    <w:rsid w:val="0063632F"/>
    <w:rsid w:val="0063661F"/>
    <w:rsid w:val="00636682"/>
    <w:rsid w:val="00636940"/>
    <w:rsid w:val="006371C1"/>
    <w:rsid w:val="006371D6"/>
    <w:rsid w:val="00641203"/>
    <w:rsid w:val="00641F34"/>
    <w:rsid w:val="00642030"/>
    <w:rsid w:val="00642468"/>
    <w:rsid w:val="00642D70"/>
    <w:rsid w:val="00643C6D"/>
    <w:rsid w:val="006452A3"/>
    <w:rsid w:val="00645405"/>
    <w:rsid w:val="006463C0"/>
    <w:rsid w:val="0064674C"/>
    <w:rsid w:val="006469F6"/>
    <w:rsid w:val="00646A8C"/>
    <w:rsid w:val="0064714C"/>
    <w:rsid w:val="0064722E"/>
    <w:rsid w:val="0064768D"/>
    <w:rsid w:val="0064792B"/>
    <w:rsid w:val="00647D82"/>
    <w:rsid w:val="006507B6"/>
    <w:rsid w:val="00650C56"/>
    <w:rsid w:val="006511F1"/>
    <w:rsid w:val="00651388"/>
    <w:rsid w:val="006513CC"/>
    <w:rsid w:val="006513D0"/>
    <w:rsid w:val="006515DE"/>
    <w:rsid w:val="00652858"/>
    <w:rsid w:val="00653227"/>
    <w:rsid w:val="006535E0"/>
    <w:rsid w:val="00653C14"/>
    <w:rsid w:val="00654CCA"/>
    <w:rsid w:val="00654FC3"/>
    <w:rsid w:val="006558DC"/>
    <w:rsid w:val="006559E1"/>
    <w:rsid w:val="00655B0F"/>
    <w:rsid w:val="006565AA"/>
    <w:rsid w:val="00656956"/>
    <w:rsid w:val="00656B27"/>
    <w:rsid w:val="00657105"/>
    <w:rsid w:val="00657A4D"/>
    <w:rsid w:val="00657F8B"/>
    <w:rsid w:val="00660401"/>
    <w:rsid w:val="00660AF4"/>
    <w:rsid w:val="00660F94"/>
    <w:rsid w:val="006610BD"/>
    <w:rsid w:val="006618FC"/>
    <w:rsid w:val="0066196E"/>
    <w:rsid w:val="00662385"/>
    <w:rsid w:val="0066306C"/>
    <w:rsid w:val="00663D00"/>
    <w:rsid w:val="00663E86"/>
    <w:rsid w:val="00664311"/>
    <w:rsid w:val="00664704"/>
    <w:rsid w:val="00664D05"/>
    <w:rsid w:val="00664ECE"/>
    <w:rsid w:val="006658D7"/>
    <w:rsid w:val="006659B9"/>
    <w:rsid w:val="00666299"/>
    <w:rsid w:val="00666410"/>
    <w:rsid w:val="006665D9"/>
    <w:rsid w:val="006676BB"/>
    <w:rsid w:val="00670D9C"/>
    <w:rsid w:val="0067144B"/>
    <w:rsid w:val="00671B7E"/>
    <w:rsid w:val="006722A8"/>
    <w:rsid w:val="00672968"/>
    <w:rsid w:val="00673973"/>
    <w:rsid w:val="006742C2"/>
    <w:rsid w:val="00674CD7"/>
    <w:rsid w:val="00675501"/>
    <w:rsid w:val="00675CB6"/>
    <w:rsid w:val="00676374"/>
    <w:rsid w:val="006764E4"/>
    <w:rsid w:val="006767BC"/>
    <w:rsid w:val="006771D5"/>
    <w:rsid w:val="00677256"/>
    <w:rsid w:val="00677299"/>
    <w:rsid w:val="00677802"/>
    <w:rsid w:val="00677EB7"/>
    <w:rsid w:val="0068012B"/>
    <w:rsid w:val="00680EA6"/>
    <w:rsid w:val="00681502"/>
    <w:rsid w:val="006815B2"/>
    <w:rsid w:val="00681D75"/>
    <w:rsid w:val="00681E33"/>
    <w:rsid w:val="006820FA"/>
    <w:rsid w:val="00682269"/>
    <w:rsid w:val="0068242E"/>
    <w:rsid w:val="00682873"/>
    <w:rsid w:val="00682911"/>
    <w:rsid w:val="0068296D"/>
    <w:rsid w:val="00682F94"/>
    <w:rsid w:val="00682FD8"/>
    <w:rsid w:val="00683F83"/>
    <w:rsid w:val="0068412A"/>
    <w:rsid w:val="00684368"/>
    <w:rsid w:val="00684BAF"/>
    <w:rsid w:val="00685892"/>
    <w:rsid w:val="00685DCD"/>
    <w:rsid w:val="00686A32"/>
    <w:rsid w:val="00686A40"/>
    <w:rsid w:val="006873D3"/>
    <w:rsid w:val="00687C6C"/>
    <w:rsid w:val="00690605"/>
    <w:rsid w:val="0069068A"/>
    <w:rsid w:val="0069073C"/>
    <w:rsid w:val="00691019"/>
    <w:rsid w:val="00691397"/>
    <w:rsid w:val="00691E00"/>
    <w:rsid w:val="00691FE4"/>
    <w:rsid w:val="00692078"/>
    <w:rsid w:val="0069254F"/>
    <w:rsid w:val="006925FF"/>
    <w:rsid w:val="00692794"/>
    <w:rsid w:val="00693D8C"/>
    <w:rsid w:val="00694C33"/>
    <w:rsid w:val="00695F23"/>
    <w:rsid w:val="006968AB"/>
    <w:rsid w:val="006969EE"/>
    <w:rsid w:val="00696EBB"/>
    <w:rsid w:val="006971CA"/>
    <w:rsid w:val="00697949"/>
    <w:rsid w:val="00697EC0"/>
    <w:rsid w:val="006A041F"/>
    <w:rsid w:val="006A0446"/>
    <w:rsid w:val="006A10A1"/>
    <w:rsid w:val="006A1243"/>
    <w:rsid w:val="006A1269"/>
    <w:rsid w:val="006A1AD2"/>
    <w:rsid w:val="006A1B0B"/>
    <w:rsid w:val="006A1F10"/>
    <w:rsid w:val="006A257B"/>
    <w:rsid w:val="006A2A1F"/>
    <w:rsid w:val="006A2F0D"/>
    <w:rsid w:val="006A33AE"/>
    <w:rsid w:val="006A4D4E"/>
    <w:rsid w:val="006A50F9"/>
    <w:rsid w:val="006A59B3"/>
    <w:rsid w:val="006A5B1A"/>
    <w:rsid w:val="006A5FC3"/>
    <w:rsid w:val="006A67C1"/>
    <w:rsid w:val="006A6939"/>
    <w:rsid w:val="006A6C42"/>
    <w:rsid w:val="006A742C"/>
    <w:rsid w:val="006B02A9"/>
    <w:rsid w:val="006B051A"/>
    <w:rsid w:val="006B0911"/>
    <w:rsid w:val="006B1CAD"/>
    <w:rsid w:val="006B1F6E"/>
    <w:rsid w:val="006B234F"/>
    <w:rsid w:val="006B24DB"/>
    <w:rsid w:val="006B3716"/>
    <w:rsid w:val="006B3B28"/>
    <w:rsid w:val="006B3E2F"/>
    <w:rsid w:val="006B4268"/>
    <w:rsid w:val="006B499E"/>
    <w:rsid w:val="006B630A"/>
    <w:rsid w:val="006B65CF"/>
    <w:rsid w:val="006B6AD1"/>
    <w:rsid w:val="006B7380"/>
    <w:rsid w:val="006B7921"/>
    <w:rsid w:val="006C056D"/>
    <w:rsid w:val="006C0578"/>
    <w:rsid w:val="006C0603"/>
    <w:rsid w:val="006C0FA0"/>
    <w:rsid w:val="006C1577"/>
    <w:rsid w:val="006C187F"/>
    <w:rsid w:val="006C1C81"/>
    <w:rsid w:val="006C2600"/>
    <w:rsid w:val="006C2E2B"/>
    <w:rsid w:val="006C33E9"/>
    <w:rsid w:val="006C4009"/>
    <w:rsid w:val="006C400B"/>
    <w:rsid w:val="006C44EE"/>
    <w:rsid w:val="006C4B85"/>
    <w:rsid w:val="006C4D67"/>
    <w:rsid w:val="006C59B0"/>
    <w:rsid w:val="006C5ACD"/>
    <w:rsid w:val="006C5C76"/>
    <w:rsid w:val="006C5CF3"/>
    <w:rsid w:val="006C6300"/>
    <w:rsid w:val="006C65E7"/>
    <w:rsid w:val="006C713D"/>
    <w:rsid w:val="006C7323"/>
    <w:rsid w:val="006C768C"/>
    <w:rsid w:val="006C7862"/>
    <w:rsid w:val="006D07B6"/>
    <w:rsid w:val="006D0814"/>
    <w:rsid w:val="006D1544"/>
    <w:rsid w:val="006D1876"/>
    <w:rsid w:val="006D1E5F"/>
    <w:rsid w:val="006D2452"/>
    <w:rsid w:val="006D2CDC"/>
    <w:rsid w:val="006D2D7B"/>
    <w:rsid w:val="006D36B7"/>
    <w:rsid w:val="006D3A49"/>
    <w:rsid w:val="006D3B26"/>
    <w:rsid w:val="006D3C3F"/>
    <w:rsid w:val="006D53DD"/>
    <w:rsid w:val="006D5630"/>
    <w:rsid w:val="006D5CBE"/>
    <w:rsid w:val="006D6070"/>
    <w:rsid w:val="006D6364"/>
    <w:rsid w:val="006D686D"/>
    <w:rsid w:val="006D6FD9"/>
    <w:rsid w:val="006D7514"/>
    <w:rsid w:val="006D75E3"/>
    <w:rsid w:val="006D7C19"/>
    <w:rsid w:val="006E039E"/>
    <w:rsid w:val="006E0CD0"/>
    <w:rsid w:val="006E16F1"/>
    <w:rsid w:val="006E1BBB"/>
    <w:rsid w:val="006E1D2C"/>
    <w:rsid w:val="006E20ED"/>
    <w:rsid w:val="006E282B"/>
    <w:rsid w:val="006E2C8F"/>
    <w:rsid w:val="006E3571"/>
    <w:rsid w:val="006E359B"/>
    <w:rsid w:val="006E38CB"/>
    <w:rsid w:val="006E495D"/>
    <w:rsid w:val="006E4CE6"/>
    <w:rsid w:val="006E6B0C"/>
    <w:rsid w:val="006E73D6"/>
    <w:rsid w:val="006E75BF"/>
    <w:rsid w:val="006E7BE2"/>
    <w:rsid w:val="006F080A"/>
    <w:rsid w:val="006F0909"/>
    <w:rsid w:val="006F09B5"/>
    <w:rsid w:val="006F1349"/>
    <w:rsid w:val="006F186D"/>
    <w:rsid w:val="006F199B"/>
    <w:rsid w:val="006F201F"/>
    <w:rsid w:val="006F2290"/>
    <w:rsid w:val="006F2C03"/>
    <w:rsid w:val="006F2C8C"/>
    <w:rsid w:val="006F35F1"/>
    <w:rsid w:val="006F36F2"/>
    <w:rsid w:val="006F3EEA"/>
    <w:rsid w:val="006F40BD"/>
    <w:rsid w:val="006F48B3"/>
    <w:rsid w:val="006F48B8"/>
    <w:rsid w:val="006F4FA0"/>
    <w:rsid w:val="006F552F"/>
    <w:rsid w:val="006F553C"/>
    <w:rsid w:val="006F5924"/>
    <w:rsid w:val="006F6258"/>
    <w:rsid w:val="006F65E1"/>
    <w:rsid w:val="006F6BD4"/>
    <w:rsid w:val="006F6DC9"/>
    <w:rsid w:val="006F7373"/>
    <w:rsid w:val="006F7A6E"/>
    <w:rsid w:val="006F7C19"/>
    <w:rsid w:val="006F7F8E"/>
    <w:rsid w:val="00700488"/>
    <w:rsid w:val="007006B9"/>
    <w:rsid w:val="00700DCC"/>
    <w:rsid w:val="00700E3F"/>
    <w:rsid w:val="00700F0C"/>
    <w:rsid w:val="00701552"/>
    <w:rsid w:val="007015D1"/>
    <w:rsid w:val="0070198C"/>
    <w:rsid w:val="00702829"/>
    <w:rsid w:val="00703AFA"/>
    <w:rsid w:val="00703F3B"/>
    <w:rsid w:val="007048C5"/>
    <w:rsid w:val="00704C56"/>
    <w:rsid w:val="00704FDE"/>
    <w:rsid w:val="0070524C"/>
    <w:rsid w:val="00705448"/>
    <w:rsid w:val="00705923"/>
    <w:rsid w:val="00705C8B"/>
    <w:rsid w:val="00706E1A"/>
    <w:rsid w:val="00706E2F"/>
    <w:rsid w:val="007072DA"/>
    <w:rsid w:val="007075CE"/>
    <w:rsid w:val="007079BA"/>
    <w:rsid w:val="00707DB1"/>
    <w:rsid w:val="0071023D"/>
    <w:rsid w:val="007108FC"/>
    <w:rsid w:val="00710FDC"/>
    <w:rsid w:val="007122EC"/>
    <w:rsid w:val="00712DF6"/>
    <w:rsid w:val="00713178"/>
    <w:rsid w:val="007133E7"/>
    <w:rsid w:val="00713714"/>
    <w:rsid w:val="00714504"/>
    <w:rsid w:val="007146BA"/>
    <w:rsid w:val="00714B05"/>
    <w:rsid w:val="00714C07"/>
    <w:rsid w:val="00714EF1"/>
    <w:rsid w:val="00715706"/>
    <w:rsid w:val="0071620A"/>
    <w:rsid w:val="00716A7A"/>
    <w:rsid w:val="0071742A"/>
    <w:rsid w:val="00717602"/>
    <w:rsid w:val="0072062F"/>
    <w:rsid w:val="00720C7B"/>
    <w:rsid w:val="00720FC7"/>
    <w:rsid w:val="00721422"/>
    <w:rsid w:val="0072209C"/>
    <w:rsid w:val="00722AE2"/>
    <w:rsid w:val="00722D9C"/>
    <w:rsid w:val="007235DF"/>
    <w:rsid w:val="00724C87"/>
    <w:rsid w:val="00724C9E"/>
    <w:rsid w:val="007253CD"/>
    <w:rsid w:val="00725650"/>
    <w:rsid w:val="00725E54"/>
    <w:rsid w:val="00726459"/>
    <w:rsid w:val="00726967"/>
    <w:rsid w:val="00727161"/>
    <w:rsid w:val="007273CF"/>
    <w:rsid w:val="007277E2"/>
    <w:rsid w:val="00730723"/>
    <w:rsid w:val="007309AD"/>
    <w:rsid w:val="00730E8F"/>
    <w:rsid w:val="00731C8C"/>
    <w:rsid w:val="00731D48"/>
    <w:rsid w:val="00732672"/>
    <w:rsid w:val="0073299F"/>
    <w:rsid w:val="007332B7"/>
    <w:rsid w:val="00733319"/>
    <w:rsid w:val="00733573"/>
    <w:rsid w:val="00733C43"/>
    <w:rsid w:val="00733E45"/>
    <w:rsid w:val="00734484"/>
    <w:rsid w:val="00734C5E"/>
    <w:rsid w:val="00736484"/>
    <w:rsid w:val="007367B2"/>
    <w:rsid w:val="00736DDC"/>
    <w:rsid w:val="007370EB"/>
    <w:rsid w:val="0073796B"/>
    <w:rsid w:val="007405E0"/>
    <w:rsid w:val="00740938"/>
    <w:rsid w:val="00740C05"/>
    <w:rsid w:val="00740FD6"/>
    <w:rsid w:val="00740FE1"/>
    <w:rsid w:val="0074138F"/>
    <w:rsid w:val="0074162F"/>
    <w:rsid w:val="00741CCF"/>
    <w:rsid w:val="00741EC6"/>
    <w:rsid w:val="00742076"/>
    <w:rsid w:val="007435CE"/>
    <w:rsid w:val="007436A7"/>
    <w:rsid w:val="00743843"/>
    <w:rsid w:val="0074456E"/>
    <w:rsid w:val="00744D03"/>
    <w:rsid w:val="00745136"/>
    <w:rsid w:val="00745465"/>
    <w:rsid w:val="00745636"/>
    <w:rsid w:val="00745A15"/>
    <w:rsid w:val="00745DD2"/>
    <w:rsid w:val="007461B1"/>
    <w:rsid w:val="007466C7"/>
    <w:rsid w:val="00746971"/>
    <w:rsid w:val="00746DA5"/>
    <w:rsid w:val="00747AB7"/>
    <w:rsid w:val="00747B08"/>
    <w:rsid w:val="00747C81"/>
    <w:rsid w:val="00747ED2"/>
    <w:rsid w:val="00751001"/>
    <w:rsid w:val="007512A1"/>
    <w:rsid w:val="00751354"/>
    <w:rsid w:val="007525B4"/>
    <w:rsid w:val="0075288A"/>
    <w:rsid w:val="0075296D"/>
    <w:rsid w:val="00752B60"/>
    <w:rsid w:val="00754CC5"/>
    <w:rsid w:val="00755011"/>
    <w:rsid w:val="00755740"/>
    <w:rsid w:val="00755E69"/>
    <w:rsid w:val="00756909"/>
    <w:rsid w:val="00756C9E"/>
    <w:rsid w:val="00757142"/>
    <w:rsid w:val="0075742F"/>
    <w:rsid w:val="007574D7"/>
    <w:rsid w:val="00757CA1"/>
    <w:rsid w:val="007604AF"/>
    <w:rsid w:val="00760533"/>
    <w:rsid w:val="00760C79"/>
    <w:rsid w:val="00760D10"/>
    <w:rsid w:val="007611A5"/>
    <w:rsid w:val="00761DE9"/>
    <w:rsid w:val="00762108"/>
    <w:rsid w:val="00762658"/>
    <w:rsid w:val="00762BC1"/>
    <w:rsid w:val="00763A31"/>
    <w:rsid w:val="0076409E"/>
    <w:rsid w:val="00764811"/>
    <w:rsid w:val="00764B0A"/>
    <w:rsid w:val="00764C66"/>
    <w:rsid w:val="0076513C"/>
    <w:rsid w:val="007653E4"/>
    <w:rsid w:val="00765862"/>
    <w:rsid w:val="00765B5D"/>
    <w:rsid w:val="00766C27"/>
    <w:rsid w:val="00766D80"/>
    <w:rsid w:val="00767204"/>
    <w:rsid w:val="00767219"/>
    <w:rsid w:val="007675A8"/>
    <w:rsid w:val="00767897"/>
    <w:rsid w:val="00767D22"/>
    <w:rsid w:val="00770695"/>
    <w:rsid w:val="0077091F"/>
    <w:rsid w:val="00770E38"/>
    <w:rsid w:val="007729D6"/>
    <w:rsid w:val="00772D7F"/>
    <w:rsid w:val="00773CDC"/>
    <w:rsid w:val="00774122"/>
    <w:rsid w:val="00774C87"/>
    <w:rsid w:val="00774CED"/>
    <w:rsid w:val="00774FD2"/>
    <w:rsid w:val="007751DE"/>
    <w:rsid w:val="0077559F"/>
    <w:rsid w:val="00776240"/>
    <w:rsid w:val="00776610"/>
    <w:rsid w:val="00776A6E"/>
    <w:rsid w:val="00776B0D"/>
    <w:rsid w:val="00776D8B"/>
    <w:rsid w:val="00777486"/>
    <w:rsid w:val="00777573"/>
    <w:rsid w:val="00780061"/>
    <w:rsid w:val="0078133D"/>
    <w:rsid w:val="00781767"/>
    <w:rsid w:val="00781E34"/>
    <w:rsid w:val="00781E46"/>
    <w:rsid w:val="00781F41"/>
    <w:rsid w:val="007820EE"/>
    <w:rsid w:val="00782ACB"/>
    <w:rsid w:val="0078327D"/>
    <w:rsid w:val="007838E2"/>
    <w:rsid w:val="00783AE7"/>
    <w:rsid w:val="00783B04"/>
    <w:rsid w:val="007846B7"/>
    <w:rsid w:val="00784860"/>
    <w:rsid w:val="0078509F"/>
    <w:rsid w:val="00785785"/>
    <w:rsid w:val="007859D1"/>
    <w:rsid w:val="00785BC3"/>
    <w:rsid w:val="00785BDA"/>
    <w:rsid w:val="00786133"/>
    <w:rsid w:val="00786A7D"/>
    <w:rsid w:val="007876A4"/>
    <w:rsid w:val="007878BA"/>
    <w:rsid w:val="007902C6"/>
    <w:rsid w:val="00790F7A"/>
    <w:rsid w:val="00791135"/>
    <w:rsid w:val="00791686"/>
    <w:rsid w:val="00791DED"/>
    <w:rsid w:val="007920A0"/>
    <w:rsid w:val="00792AA8"/>
    <w:rsid w:val="00792C1F"/>
    <w:rsid w:val="00792F45"/>
    <w:rsid w:val="00793520"/>
    <w:rsid w:val="007935A6"/>
    <w:rsid w:val="0079378C"/>
    <w:rsid w:val="00793AAE"/>
    <w:rsid w:val="00794972"/>
    <w:rsid w:val="00794F93"/>
    <w:rsid w:val="00794FD7"/>
    <w:rsid w:val="0079506B"/>
    <w:rsid w:val="0079552A"/>
    <w:rsid w:val="007961B1"/>
    <w:rsid w:val="0079685B"/>
    <w:rsid w:val="00796E7B"/>
    <w:rsid w:val="00796EE7"/>
    <w:rsid w:val="00797022"/>
    <w:rsid w:val="0079719D"/>
    <w:rsid w:val="007A00CE"/>
    <w:rsid w:val="007A0A02"/>
    <w:rsid w:val="007A0B1F"/>
    <w:rsid w:val="007A0D3E"/>
    <w:rsid w:val="007A0F13"/>
    <w:rsid w:val="007A0F69"/>
    <w:rsid w:val="007A1CD6"/>
    <w:rsid w:val="007A2982"/>
    <w:rsid w:val="007A2D42"/>
    <w:rsid w:val="007A3A9C"/>
    <w:rsid w:val="007A3ABE"/>
    <w:rsid w:val="007A4621"/>
    <w:rsid w:val="007A4CB0"/>
    <w:rsid w:val="007A553E"/>
    <w:rsid w:val="007A5B52"/>
    <w:rsid w:val="007A611D"/>
    <w:rsid w:val="007A62C3"/>
    <w:rsid w:val="007A6503"/>
    <w:rsid w:val="007A71A1"/>
    <w:rsid w:val="007A742A"/>
    <w:rsid w:val="007A7843"/>
    <w:rsid w:val="007A7847"/>
    <w:rsid w:val="007A78BD"/>
    <w:rsid w:val="007A7904"/>
    <w:rsid w:val="007A7A2F"/>
    <w:rsid w:val="007B14B4"/>
    <w:rsid w:val="007B16AA"/>
    <w:rsid w:val="007B1C18"/>
    <w:rsid w:val="007B1E4B"/>
    <w:rsid w:val="007B2B66"/>
    <w:rsid w:val="007B2D52"/>
    <w:rsid w:val="007B3171"/>
    <w:rsid w:val="007B32EA"/>
    <w:rsid w:val="007B330F"/>
    <w:rsid w:val="007B355F"/>
    <w:rsid w:val="007B3C11"/>
    <w:rsid w:val="007B4102"/>
    <w:rsid w:val="007B514A"/>
    <w:rsid w:val="007B651A"/>
    <w:rsid w:val="007B6648"/>
    <w:rsid w:val="007B6669"/>
    <w:rsid w:val="007B682E"/>
    <w:rsid w:val="007B6F78"/>
    <w:rsid w:val="007B7017"/>
    <w:rsid w:val="007B787B"/>
    <w:rsid w:val="007B7942"/>
    <w:rsid w:val="007C1AF1"/>
    <w:rsid w:val="007C2447"/>
    <w:rsid w:val="007C311B"/>
    <w:rsid w:val="007C36F9"/>
    <w:rsid w:val="007C3FFD"/>
    <w:rsid w:val="007C4080"/>
    <w:rsid w:val="007C421F"/>
    <w:rsid w:val="007C506B"/>
    <w:rsid w:val="007C5A2D"/>
    <w:rsid w:val="007C610E"/>
    <w:rsid w:val="007C61F1"/>
    <w:rsid w:val="007C6998"/>
    <w:rsid w:val="007C6C63"/>
    <w:rsid w:val="007C6EE3"/>
    <w:rsid w:val="007D0393"/>
    <w:rsid w:val="007D0986"/>
    <w:rsid w:val="007D0D8F"/>
    <w:rsid w:val="007D0F80"/>
    <w:rsid w:val="007D2D5A"/>
    <w:rsid w:val="007D396E"/>
    <w:rsid w:val="007D397A"/>
    <w:rsid w:val="007D3CC1"/>
    <w:rsid w:val="007D4A80"/>
    <w:rsid w:val="007D4B57"/>
    <w:rsid w:val="007D5684"/>
    <w:rsid w:val="007D5997"/>
    <w:rsid w:val="007D59A7"/>
    <w:rsid w:val="007D698B"/>
    <w:rsid w:val="007D6A17"/>
    <w:rsid w:val="007D6AE8"/>
    <w:rsid w:val="007D6D8A"/>
    <w:rsid w:val="007D7444"/>
    <w:rsid w:val="007D7BB6"/>
    <w:rsid w:val="007D7D5E"/>
    <w:rsid w:val="007E0372"/>
    <w:rsid w:val="007E0A21"/>
    <w:rsid w:val="007E0F0A"/>
    <w:rsid w:val="007E22E6"/>
    <w:rsid w:val="007E293A"/>
    <w:rsid w:val="007E2AB6"/>
    <w:rsid w:val="007E2D26"/>
    <w:rsid w:val="007E34E3"/>
    <w:rsid w:val="007E3D00"/>
    <w:rsid w:val="007E4C3D"/>
    <w:rsid w:val="007E5D17"/>
    <w:rsid w:val="007E5D35"/>
    <w:rsid w:val="007E5F2A"/>
    <w:rsid w:val="007E64D9"/>
    <w:rsid w:val="007E6734"/>
    <w:rsid w:val="007E6D44"/>
    <w:rsid w:val="007E7296"/>
    <w:rsid w:val="007F0483"/>
    <w:rsid w:val="007F0A4C"/>
    <w:rsid w:val="007F2084"/>
    <w:rsid w:val="007F2D48"/>
    <w:rsid w:val="007F34A6"/>
    <w:rsid w:val="007F4DAC"/>
    <w:rsid w:val="007F4DE4"/>
    <w:rsid w:val="007F51A8"/>
    <w:rsid w:val="007F527D"/>
    <w:rsid w:val="007F52A6"/>
    <w:rsid w:val="007F5789"/>
    <w:rsid w:val="007F5F81"/>
    <w:rsid w:val="007F60E2"/>
    <w:rsid w:val="007F68CD"/>
    <w:rsid w:val="007F68DA"/>
    <w:rsid w:val="007F7399"/>
    <w:rsid w:val="007F74FC"/>
    <w:rsid w:val="007F75EB"/>
    <w:rsid w:val="007F7E6B"/>
    <w:rsid w:val="00800247"/>
    <w:rsid w:val="008004E7"/>
    <w:rsid w:val="00801372"/>
    <w:rsid w:val="0080164A"/>
    <w:rsid w:val="00801AE2"/>
    <w:rsid w:val="0080248F"/>
    <w:rsid w:val="008025A2"/>
    <w:rsid w:val="008026F2"/>
    <w:rsid w:val="0080273A"/>
    <w:rsid w:val="0080276C"/>
    <w:rsid w:val="00803307"/>
    <w:rsid w:val="00805CD5"/>
    <w:rsid w:val="00805F49"/>
    <w:rsid w:val="008060C8"/>
    <w:rsid w:val="00806891"/>
    <w:rsid w:val="00806BE7"/>
    <w:rsid w:val="00806D55"/>
    <w:rsid w:val="00806F1C"/>
    <w:rsid w:val="008074C2"/>
    <w:rsid w:val="00807B8D"/>
    <w:rsid w:val="00810022"/>
    <w:rsid w:val="00810420"/>
    <w:rsid w:val="008104E4"/>
    <w:rsid w:val="00810687"/>
    <w:rsid w:val="008106B0"/>
    <w:rsid w:val="00810C8E"/>
    <w:rsid w:val="00810F5C"/>
    <w:rsid w:val="00811A01"/>
    <w:rsid w:val="00811F42"/>
    <w:rsid w:val="00812723"/>
    <w:rsid w:val="00812AE4"/>
    <w:rsid w:val="00812E87"/>
    <w:rsid w:val="008130F7"/>
    <w:rsid w:val="00813CCB"/>
    <w:rsid w:val="008141F5"/>
    <w:rsid w:val="00814A6A"/>
    <w:rsid w:val="00814BBD"/>
    <w:rsid w:val="00814C96"/>
    <w:rsid w:val="00814ED4"/>
    <w:rsid w:val="008152E3"/>
    <w:rsid w:val="00815526"/>
    <w:rsid w:val="0081557C"/>
    <w:rsid w:val="00815649"/>
    <w:rsid w:val="0081569E"/>
    <w:rsid w:val="008157AE"/>
    <w:rsid w:val="008159B1"/>
    <w:rsid w:val="00816979"/>
    <w:rsid w:val="0081770F"/>
    <w:rsid w:val="00817CD0"/>
    <w:rsid w:val="00820282"/>
    <w:rsid w:val="00820ADE"/>
    <w:rsid w:val="00820B79"/>
    <w:rsid w:val="0082117F"/>
    <w:rsid w:val="008220E8"/>
    <w:rsid w:val="0082287E"/>
    <w:rsid w:val="008228BE"/>
    <w:rsid w:val="008231E0"/>
    <w:rsid w:val="00824597"/>
    <w:rsid w:val="00824AB8"/>
    <w:rsid w:val="00824C4E"/>
    <w:rsid w:val="00824E1A"/>
    <w:rsid w:val="00824F0D"/>
    <w:rsid w:val="00825241"/>
    <w:rsid w:val="0082619C"/>
    <w:rsid w:val="00826246"/>
    <w:rsid w:val="00826579"/>
    <w:rsid w:val="0082682C"/>
    <w:rsid w:val="00826BD9"/>
    <w:rsid w:val="00827112"/>
    <w:rsid w:val="008271F4"/>
    <w:rsid w:val="008272EF"/>
    <w:rsid w:val="008278A9"/>
    <w:rsid w:val="008279AB"/>
    <w:rsid w:val="00827A11"/>
    <w:rsid w:val="00830414"/>
    <w:rsid w:val="00830D82"/>
    <w:rsid w:val="00831054"/>
    <w:rsid w:val="00831070"/>
    <w:rsid w:val="0083121A"/>
    <w:rsid w:val="00831513"/>
    <w:rsid w:val="00831A0D"/>
    <w:rsid w:val="008320A5"/>
    <w:rsid w:val="00832859"/>
    <w:rsid w:val="008332F6"/>
    <w:rsid w:val="00833757"/>
    <w:rsid w:val="00833939"/>
    <w:rsid w:val="008342E6"/>
    <w:rsid w:val="00835A1A"/>
    <w:rsid w:val="00836666"/>
    <w:rsid w:val="00836A85"/>
    <w:rsid w:val="00836AD2"/>
    <w:rsid w:val="00836D70"/>
    <w:rsid w:val="00836FFF"/>
    <w:rsid w:val="008373DD"/>
    <w:rsid w:val="008375CC"/>
    <w:rsid w:val="008377E5"/>
    <w:rsid w:val="00837CB4"/>
    <w:rsid w:val="008402BB"/>
    <w:rsid w:val="008404D1"/>
    <w:rsid w:val="00840AA1"/>
    <w:rsid w:val="008410DD"/>
    <w:rsid w:val="008415CC"/>
    <w:rsid w:val="00841A76"/>
    <w:rsid w:val="00841DBD"/>
    <w:rsid w:val="00842862"/>
    <w:rsid w:val="00843A2C"/>
    <w:rsid w:val="0084406C"/>
    <w:rsid w:val="0084427D"/>
    <w:rsid w:val="008446B5"/>
    <w:rsid w:val="00844DDB"/>
    <w:rsid w:val="00844FB9"/>
    <w:rsid w:val="00845199"/>
    <w:rsid w:val="008457FE"/>
    <w:rsid w:val="00845883"/>
    <w:rsid w:val="00846205"/>
    <w:rsid w:val="0084648E"/>
    <w:rsid w:val="008465AD"/>
    <w:rsid w:val="0084767D"/>
    <w:rsid w:val="00847B49"/>
    <w:rsid w:val="00847C27"/>
    <w:rsid w:val="00847DFE"/>
    <w:rsid w:val="00847E3A"/>
    <w:rsid w:val="00850C40"/>
    <w:rsid w:val="00850EC3"/>
    <w:rsid w:val="00851111"/>
    <w:rsid w:val="00851806"/>
    <w:rsid w:val="008525CF"/>
    <w:rsid w:val="00852D7C"/>
    <w:rsid w:val="008533C7"/>
    <w:rsid w:val="00853538"/>
    <w:rsid w:val="00853A74"/>
    <w:rsid w:val="008541DA"/>
    <w:rsid w:val="00854240"/>
    <w:rsid w:val="008542CC"/>
    <w:rsid w:val="00854723"/>
    <w:rsid w:val="0085492B"/>
    <w:rsid w:val="00854E2D"/>
    <w:rsid w:val="00854E7A"/>
    <w:rsid w:val="00856497"/>
    <w:rsid w:val="008567BE"/>
    <w:rsid w:val="00856A7A"/>
    <w:rsid w:val="00856BFA"/>
    <w:rsid w:val="00856FB4"/>
    <w:rsid w:val="0085719D"/>
    <w:rsid w:val="008574A3"/>
    <w:rsid w:val="00860735"/>
    <w:rsid w:val="00860973"/>
    <w:rsid w:val="00860B77"/>
    <w:rsid w:val="0086137D"/>
    <w:rsid w:val="00861733"/>
    <w:rsid w:val="0086183E"/>
    <w:rsid w:val="00861BD6"/>
    <w:rsid w:val="00861CEA"/>
    <w:rsid w:val="00862054"/>
    <w:rsid w:val="0086249A"/>
    <w:rsid w:val="00862747"/>
    <w:rsid w:val="008633E2"/>
    <w:rsid w:val="0086381E"/>
    <w:rsid w:val="0086393D"/>
    <w:rsid w:val="0086475F"/>
    <w:rsid w:val="008648B5"/>
    <w:rsid w:val="00864EC8"/>
    <w:rsid w:val="00865709"/>
    <w:rsid w:val="0086641A"/>
    <w:rsid w:val="00866521"/>
    <w:rsid w:val="00866563"/>
    <w:rsid w:val="00866A10"/>
    <w:rsid w:val="00866C86"/>
    <w:rsid w:val="00866FD9"/>
    <w:rsid w:val="00867F68"/>
    <w:rsid w:val="00867F77"/>
    <w:rsid w:val="008700D4"/>
    <w:rsid w:val="008702FC"/>
    <w:rsid w:val="008707AE"/>
    <w:rsid w:val="00870DF1"/>
    <w:rsid w:val="008720D8"/>
    <w:rsid w:val="00872996"/>
    <w:rsid w:val="00872A16"/>
    <w:rsid w:val="008737D3"/>
    <w:rsid w:val="008755D4"/>
    <w:rsid w:val="00875A4C"/>
    <w:rsid w:val="00877364"/>
    <w:rsid w:val="00877CBF"/>
    <w:rsid w:val="00877DB8"/>
    <w:rsid w:val="0088144B"/>
    <w:rsid w:val="0088176B"/>
    <w:rsid w:val="00881CA3"/>
    <w:rsid w:val="00882D53"/>
    <w:rsid w:val="00882DFE"/>
    <w:rsid w:val="00883437"/>
    <w:rsid w:val="008834C5"/>
    <w:rsid w:val="00883C24"/>
    <w:rsid w:val="008853F8"/>
    <w:rsid w:val="008856F1"/>
    <w:rsid w:val="00885E51"/>
    <w:rsid w:val="008861A5"/>
    <w:rsid w:val="00887716"/>
    <w:rsid w:val="008877DA"/>
    <w:rsid w:val="00887D16"/>
    <w:rsid w:val="0089007A"/>
    <w:rsid w:val="00890161"/>
    <w:rsid w:val="00890FAB"/>
    <w:rsid w:val="00891CD3"/>
    <w:rsid w:val="008920D9"/>
    <w:rsid w:val="00892524"/>
    <w:rsid w:val="00892C23"/>
    <w:rsid w:val="00892E24"/>
    <w:rsid w:val="00893C67"/>
    <w:rsid w:val="008953BD"/>
    <w:rsid w:val="00895440"/>
    <w:rsid w:val="00895497"/>
    <w:rsid w:val="00895C08"/>
    <w:rsid w:val="00895D0A"/>
    <w:rsid w:val="008968FA"/>
    <w:rsid w:val="00897A39"/>
    <w:rsid w:val="00897BB8"/>
    <w:rsid w:val="008A0109"/>
    <w:rsid w:val="008A1585"/>
    <w:rsid w:val="008A1E10"/>
    <w:rsid w:val="008A22BD"/>
    <w:rsid w:val="008A39FB"/>
    <w:rsid w:val="008A3DA3"/>
    <w:rsid w:val="008A4628"/>
    <w:rsid w:val="008A4A99"/>
    <w:rsid w:val="008A5758"/>
    <w:rsid w:val="008A5891"/>
    <w:rsid w:val="008A5E46"/>
    <w:rsid w:val="008A5F9E"/>
    <w:rsid w:val="008A6D30"/>
    <w:rsid w:val="008A6E91"/>
    <w:rsid w:val="008A7572"/>
    <w:rsid w:val="008A758E"/>
    <w:rsid w:val="008B0156"/>
    <w:rsid w:val="008B0EC7"/>
    <w:rsid w:val="008B1FC1"/>
    <w:rsid w:val="008B23C5"/>
    <w:rsid w:val="008B35D2"/>
    <w:rsid w:val="008B406F"/>
    <w:rsid w:val="008B47CB"/>
    <w:rsid w:val="008B4B52"/>
    <w:rsid w:val="008B4B7E"/>
    <w:rsid w:val="008B5003"/>
    <w:rsid w:val="008B51B0"/>
    <w:rsid w:val="008B584B"/>
    <w:rsid w:val="008B6454"/>
    <w:rsid w:val="008B6A6C"/>
    <w:rsid w:val="008C1430"/>
    <w:rsid w:val="008C15BB"/>
    <w:rsid w:val="008C1AD8"/>
    <w:rsid w:val="008C2386"/>
    <w:rsid w:val="008C28E5"/>
    <w:rsid w:val="008C357B"/>
    <w:rsid w:val="008C4D56"/>
    <w:rsid w:val="008C4E5F"/>
    <w:rsid w:val="008C54A4"/>
    <w:rsid w:val="008C573B"/>
    <w:rsid w:val="008C58C6"/>
    <w:rsid w:val="008C5B10"/>
    <w:rsid w:val="008C5FB5"/>
    <w:rsid w:val="008C5FE7"/>
    <w:rsid w:val="008C6031"/>
    <w:rsid w:val="008C691D"/>
    <w:rsid w:val="008C6BE3"/>
    <w:rsid w:val="008C6C82"/>
    <w:rsid w:val="008C70E5"/>
    <w:rsid w:val="008C79D4"/>
    <w:rsid w:val="008C7B32"/>
    <w:rsid w:val="008D048A"/>
    <w:rsid w:val="008D04A4"/>
    <w:rsid w:val="008D0CCC"/>
    <w:rsid w:val="008D0D98"/>
    <w:rsid w:val="008D0DDF"/>
    <w:rsid w:val="008D1417"/>
    <w:rsid w:val="008D15F7"/>
    <w:rsid w:val="008D1CE5"/>
    <w:rsid w:val="008D1FDE"/>
    <w:rsid w:val="008D2010"/>
    <w:rsid w:val="008D22B1"/>
    <w:rsid w:val="008D351D"/>
    <w:rsid w:val="008D40EB"/>
    <w:rsid w:val="008D514D"/>
    <w:rsid w:val="008D5254"/>
    <w:rsid w:val="008D5669"/>
    <w:rsid w:val="008D6E1B"/>
    <w:rsid w:val="008D7052"/>
    <w:rsid w:val="008D7109"/>
    <w:rsid w:val="008D76F4"/>
    <w:rsid w:val="008E0110"/>
    <w:rsid w:val="008E0FE8"/>
    <w:rsid w:val="008E16AA"/>
    <w:rsid w:val="008E1C45"/>
    <w:rsid w:val="008E2326"/>
    <w:rsid w:val="008E234C"/>
    <w:rsid w:val="008E242E"/>
    <w:rsid w:val="008E2542"/>
    <w:rsid w:val="008E270E"/>
    <w:rsid w:val="008E280A"/>
    <w:rsid w:val="008E32A7"/>
    <w:rsid w:val="008E3AC6"/>
    <w:rsid w:val="008E3BF4"/>
    <w:rsid w:val="008E3E76"/>
    <w:rsid w:val="008E4166"/>
    <w:rsid w:val="008E4DED"/>
    <w:rsid w:val="008E60DE"/>
    <w:rsid w:val="008E647B"/>
    <w:rsid w:val="008E666F"/>
    <w:rsid w:val="008E7676"/>
    <w:rsid w:val="008E7B61"/>
    <w:rsid w:val="008F0102"/>
    <w:rsid w:val="008F0205"/>
    <w:rsid w:val="008F0235"/>
    <w:rsid w:val="008F0AB3"/>
    <w:rsid w:val="008F20BE"/>
    <w:rsid w:val="008F25DE"/>
    <w:rsid w:val="008F26F7"/>
    <w:rsid w:val="008F2DC4"/>
    <w:rsid w:val="008F3AE2"/>
    <w:rsid w:val="008F414E"/>
    <w:rsid w:val="008F44C5"/>
    <w:rsid w:val="008F4937"/>
    <w:rsid w:val="008F546E"/>
    <w:rsid w:val="008F56AC"/>
    <w:rsid w:val="008F5AB3"/>
    <w:rsid w:val="008F5BC5"/>
    <w:rsid w:val="008F61E0"/>
    <w:rsid w:val="008F6221"/>
    <w:rsid w:val="008F63A0"/>
    <w:rsid w:val="008F6825"/>
    <w:rsid w:val="008F6C10"/>
    <w:rsid w:val="008F722B"/>
    <w:rsid w:val="008F76FF"/>
    <w:rsid w:val="008F777B"/>
    <w:rsid w:val="008F7CCE"/>
    <w:rsid w:val="00900801"/>
    <w:rsid w:val="00900A23"/>
    <w:rsid w:val="00900C5F"/>
    <w:rsid w:val="00900D68"/>
    <w:rsid w:val="009022DF"/>
    <w:rsid w:val="00903557"/>
    <w:rsid w:val="00905F04"/>
    <w:rsid w:val="009064E2"/>
    <w:rsid w:val="00906796"/>
    <w:rsid w:val="009077C7"/>
    <w:rsid w:val="009079E8"/>
    <w:rsid w:val="00907EE2"/>
    <w:rsid w:val="00907FB0"/>
    <w:rsid w:val="00910274"/>
    <w:rsid w:val="00910B4C"/>
    <w:rsid w:val="00910C56"/>
    <w:rsid w:val="00910D00"/>
    <w:rsid w:val="009118AF"/>
    <w:rsid w:val="0091217B"/>
    <w:rsid w:val="0091220E"/>
    <w:rsid w:val="009126BC"/>
    <w:rsid w:val="0091298B"/>
    <w:rsid w:val="009130DD"/>
    <w:rsid w:val="00913952"/>
    <w:rsid w:val="009142C2"/>
    <w:rsid w:val="00914512"/>
    <w:rsid w:val="009145A9"/>
    <w:rsid w:val="0091465A"/>
    <w:rsid w:val="00914722"/>
    <w:rsid w:val="00914728"/>
    <w:rsid w:val="00914F8C"/>
    <w:rsid w:val="00916283"/>
    <w:rsid w:val="009162CA"/>
    <w:rsid w:val="009166FE"/>
    <w:rsid w:val="00916F20"/>
    <w:rsid w:val="00916FB9"/>
    <w:rsid w:val="00917050"/>
    <w:rsid w:val="009171D6"/>
    <w:rsid w:val="0091757F"/>
    <w:rsid w:val="00917587"/>
    <w:rsid w:val="009175E3"/>
    <w:rsid w:val="0092016A"/>
    <w:rsid w:val="00920216"/>
    <w:rsid w:val="00920307"/>
    <w:rsid w:val="00920463"/>
    <w:rsid w:val="009210BB"/>
    <w:rsid w:val="00921140"/>
    <w:rsid w:val="00921191"/>
    <w:rsid w:val="00921A75"/>
    <w:rsid w:val="00921E66"/>
    <w:rsid w:val="00922F70"/>
    <w:rsid w:val="00922FDF"/>
    <w:rsid w:val="009231E5"/>
    <w:rsid w:val="00923477"/>
    <w:rsid w:val="009238C7"/>
    <w:rsid w:val="00923B56"/>
    <w:rsid w:val="00923D68"/>
    <w:rsid w:val="009245CA"/>
    <w:rsid w:val="0092496B"/>
    <w:rsid w:val="00924B8B"/>
    <w:rsid w:val="00924F8A"/>
    <w:rsid w:val="00925332"/>
    <w:rsid w:val="009254DE"/>
    <w:rsid w:val="009262EB"/>
    <w:rsid w:val="009268EF"/>
    <w:rsid w:val="00926E4D"/>
    <w:rsid w:val="009275C9"/>
    <w:rsid w:val="00931310"/>
    <w:rsid w:val="00931315"/>
    <w:rsid w:val="009321CB"/>
    <w:rsid w:val="009333F6"/>
    <w:rsid w:val="0093352D"/>
    <w:rsid w:val="0093357D"/>
    <w:rsid w:val="00933740"/>
    <w:rsid w:val="009348EC"/>
    <w:rsid w:val="00935217"/>
    <w:rsid w:val="00935E92"/>
    <w:rsid w:val="00936B83"/>
    <w:rsid w:val="00936CFF"/>
    <w:rsid w:val="00937347"/>
    <w:rsid w:val="009376FF"/>
    <w:rsid w:val="00937998"/>
    <w:rsid w:val="00940185"/>
    <w:rsid w:val="009405CD"/>
    <w:rsid w:val="00940913"/>
    <w:rsid w:val="00940BCD"/>
    <w:rsid w:val="00940FDA"/>
    <w:rsid w:val="009410EA"/>
    <w:rsid w:val="00941279"/>
    <w:rsid w:val="00941556"/>
    <w:rsid w:val="0094189D"/>
    <w:rsid w:val="00941C1E"/>
    <w:rsid w:val="00941DCC"/>
    <w:rsid w:val="00941E9E"/>
    <w:rsid w:val="009429ED"/>
    <w:rsid w:val="009432A5"/>
    <w:rsid w:val="00943770"/>
    <w:rsid w:val="00943890"/>
    <w:rsid w:val="00944739"/>
    <w:rsid w:val="00944965"/>
    <w:rsid w:val="00944D8F"/>
    <w:rsid w:val="009454FA"/>
    <w:rsid w:val="009462D5"/>
    <w:rsid w:val="0094721C"/>
    <w:rsid w:val="0094738C"/>
    <w:rsid w:val="00947D8D"/>
    <w:rsid w:val="00950F32"/>
    <w:rsid w:val="0095112A"/>
    <w:rsid w:val="0095147B"/>
    <w:rsid w:val="00951F91"/>
    <w:rsid w:val="00952024"/>
    <w:rsid w:val="009528AA"/>
    <w:rsid w:val="00952DD1"/>
    <w:rsid w:val="0095335E"/>
    <w:rsid w:val="009534ED"/>
    <w:rsid w:val="00953DA0"/>
    <w:rsid w:val="0095456C"/>
    <w:rsid w:val="009545C6"/>
    <w:rsid w:val="009547B3"/>
    <w:rsid w:val="00954967"/>
    <w:rsid w:val="00954C12"/>
    <w:rsid w:val="00954D27"/>
    <w:rsid w:val="009564E5"/>
    <w:rsid w:val="0095689D"/>
    <w:rsid w:val="00956905"/>
    <w:rsid w:val="00957A0B"/>
    <w:rsid w:val="00960220"/>
    <w:rsid w:val="00960F70"/>
    <w:rsid w:val="00961343"/>
    <w:rsid w:val="009614C6"/>
    <w:rsid w:val="00961BDD"/>
    <w:rsid w:val="0096243F"/>
    <w:rsid w:val="0096268A"/>
    <w:rsid w:val="00962BFB"/>
    <w:rsid w:val="00962E1C"/>
    <w:rsid w:val="00963469"/>
    <w:rsid w:val="0096349D"/>
    <w:rsid w:val="00963513"/>
    <w:rsid w:val="00963E16"/>
    <w:rsid w:val="00964954"/>
    <w:rsid w:val="00964D56"/>
    <w:rsid w:val="00964D58"/>
    <w:rsid w:val="00966690"/>
    <w:rsid w:val="00966DEC"/>
    <w:rsid w:val="00967123"/>
    <w:rsid w:val="0096741C"/>
    <w:rsid w:val="0096754A"/>
    <w:rsid w:val="009676CF"/>
    <w:rsid w:val="00967C4A"/>
    <w:rsid w:val="00967CFD"/>
    <w:rsid w:val="00967EFC"/>
    <w:rsid w:val="009713AB"/>
    <w:rsid w:val="009717E0"/>
    <w:rsid w:val="00972763"/>
    <w:rsid w:val="00972AC2"/>
    <w:rsid w:val="0097318F"/>
    <w:rsid w:val="00973349"/>
    <w:rsid w:val="00974268"/>
    <w:rsid w:val="009748DD"/>
    <w:rsid w:val="0097552F"/>
    <w:rsid w:val="009762EB"/>
    <w:rsid w:val="0097673B"/>
    <w:rsid w:val="0097697F"/>
    <w:rsid w:val="00976C1F"/>
    <w:rsid w:val="00977C98"/>
    <w:rsid w:val="009801BF"/>
    <w:rsid w:val="00980A25"/>
    <w:rsid w:val="00980C79"/>
    <w:rsid w:val="00980E3C"/>
    <w:rsid w:val="0098154B"/>
    <w:rsid w:val="00981BB5"/>
    <w:rsid w:val="009822FB"/>
    <w:rsid w:val="00982B14"/>
    <w:rsid w:val="00983BA6"/>
    <w:rsid w:val="00983FC8"/>
    <w:rsid w:val="0098412B"/>
    <w:rsid w:val="009849C4"/>
    <w:rsid w:val="009849CA"/>
    <w:rsid w:val="00984C86"/>
    <w:rsid w:val="00985708"/>
    <w:rsid w:val="00985B7E"/>
    <w:rsid w:val="00985D53"/>
    <w:rsid w:val="0098642E"/>
    <w:rsid w:val="00986D29"/>
    <w:rsid w:val="009872AD"/>
    <w:rsid w:val="00987C7D"/>
    <w:rsid w:val="00990380"/>
    <w:rsid w:val="00990414"/>
    <w:rsid w:val="00990DC5"/>
    <w:rsid w:val="009921DB"/>
    <w:rsid w:val="009925BA"/>
    <w:rsid w:val="009927E3"/>
    <w:rsid w:val="00992D87"/>
    <w:rsid w:val="00992E94"/>
    <w:rsid w:val="00993934"/>
    <w:rsid w:val="00993D13"/>
    <w:rsid w:val="009940EF"/>
    <w:rsid w:val="00994579"/>
    <w:rsid w:val="00994A8D"/>
    <w:rsid w:val="00994D06"/>
    <w:rsid w:val="00995496"/>
    <w:rsid w:val="0099569C"/>
    <w:rsid w:val="00995958"/>
    <w:rsid w:val="0099599A"/>
    <w:rsid w:val="00997CF0"/>
    <w:rsid w:val="009A0882"/>
    <w:rsid w:val="009A0BBC"/>
    <w:rsid w:val="009A1A32"/>
    <w:rsid w:val="009A1B5F"/>
    <w:rsid w:val="009A23E6"/>
    <w:rsid w:val="009A25E6"/>
    <w:rsid w:val="009A26A1"/>
    <w:rsid w:val="009A2736"/>
    <w:rsid w:val="009A2F10"/>
    <w:rsid w:val="009A41F3"/>
    <w:rsid w:val="009A43B9"/>
    <w:rsid w:val="009A4492"/>
    <w:rsid w:val="009A455F"/>
    <w:rsid w:val="009A4A20"/>
    <w:rsid w:val="009A4BE8"/>
    <w:rsid w:val="009A545A"/>
    <w:rsid w:val="009A5AFD"/>
    <w:rsid w:val="009A6574"/>
    <w:rsid w:val="009A6D53"/>
    <w:rsid w:val="009A6EFD"/>
    <w:rsid w:val="009A6FB9"/>
    <w:rsid w:val="009A7C49"/>
    <w:rsid w:val="009A7DBC"/>
    <w:rsid w:val="009A7FA9"/>
    <w:rsid w:val="009A7FCA"/>
    <w:rsid w:val="009B000E"/>
    <w:rsid w:val="009B00B3"/>
    <w:rsid w:val="009B087B"/>
    <w:rsid w:val="009B0FF2"/>
    <w:rsid w:val="009B165D"/>
    <w:rsid w:val="009B173A"/>
    <w:rsid w:val="009B1893"/>
    <w:rsid w:val="009B1EBA"/>
    <w:rsid w:val="009B202C"/>
    <w:rsid w:val="009B2327"/>
    <w:rsid w:val="009B2395"/>
    <w:rsid w:val="009B39DC"/>
    <w:rsid w:val="009B3B11"/>
    <w:rsid w:val="009B3B22"/>
    <w:rsid w:val="009B4771"/>
    <w:rsid w:val="009B4B4E"/>
    <w:rsid w:val="009B4E88"/>
    <w:rsid w:val="009B54A8"/>
    <w:rsid w:val="009B57F7"/>
    <w:rsid w:val="009B61E7"/>
    <w:rsid w:val="009B6747"/>
    <w:rsid w:val="009B694A"/>
    <w:rsid w:val="009B6F5F"/>
    <w:rsid w:val="009B7508"/>
    <w:rsid w:val="009C055A"/>
    <w:rsid w:val="009C05D6"/>
    <w:rsid w:val="009C0E00"/>
    <w:rsid w:val="009C1381"/>
    <w:rsid w:val="009C13A4"/>
    <w:rsid w:val="009C164B"/>
    <w:rsid w:val="009C19B6"/>
    <w:rsid w:val="009C3232"/>
    <w:rsid w:val="009C33B5"/>
    <w:rsid w:val="009C3A99"/>
    <w:rsid w:val="009C4B65"/>
    <w:rsid w:val="009C4FA9"/>
    <w:rsid w:val="009C5F7A"/>
    <w:rsid w:val="009C611C"/>
    <w:rsid w:val="009C6835"/>
    <w:rsid w:val="009C6E72"/>
    <w:rsid w:val="009C7817"/>
    <w:rsid w:val="009C7B44"/>
    <w:rsid w:val="009D078B"/>
    <w:rsid w:val="009D0AA4"/>
    <w:rsid w:val="009D10BC"/>
    <w:rsid w:val="009D3962"/>
    <w:rsid w:val="009D3C3F"/>
    <w:rsid w:val="009D4592"/>
    <w:rsid w:val="009D48AE"/>
    <w:rsid w:val="009D4D67"/>
    <w:rsid w:val="009D55F8"/>
    <w:rsid w:val="009D635B"/>
    <w:rsid w:val="009D66DC"/>
    <w:rsid w:val="009D682F"/>
    <w:rsid w:val="009D74A5"/>
    <w:rsid w:val="009D7AF4"/>
    <w:rsid w:val="009D7F6F"/>
    <w:rsid w:val="009E0393"/>
    <w:rsid w:val="009E07D3"/>
    <w:rsid w:val="009E086F"/>
    <w:rsid w:val="009E09F9"/>
    <w:rsid w:val="009E0A61"/>
    <w:rsid w:val="009E194B"/>
    <w:rsid w:val="009E1F24"/>
    <w:rsid w:val="009E26D7"/>
    <w:rsid w:val="009E2A29"/>
    <w:rsid w:val="009E3063"/>
    <w:rsid w:val="009E43E9"/>
    <w:rsid w:val="009E4B7B"/>
    <w:rsid w:val="009E4CB9"/>
    <w:rsid w:val="009E58FB"/>
    <w:rsid w:val="009E7426"/>
    <w:rsid w:val="009E7B8A"/>
    <w:rsid w:val="009F02EE"/>
    <w:rsid w:val="009F06F2"/>
    <w:rsid w:val="009F07A9"/>
    <w:rsid w:val="009F1805"/>
    <w:rsid w:val="009F21D1"/>
    <w:rsid w:val="009F22AE"/>
    <w:rsid w:val="009F2B54"/>
    <w:rsid w:val="009F2CD4"/>
    <w:rsid w:val="009F3088"/>
    <w:rsid w:val="009F376F"/>
    <w:rsid w:val="009F39D1"/>
    <w:rsid w:val="009F3A84"/>
    <w:rsid w:val="009F3F9F"/>
    <w:rsid w:val="009F4905"/>
    <w:rsid w:val="009F5498"/>
    <w:rsid w:val="009F5702"/>
    <w:rsid w:val="009F5B48"/>
    <w:rsid w:val="009F62D5"/>
    <w:rsid w:val="009F635E"/>
    <w:rsid w:val="009F6525"/>
    <w:rsid w:val="009F68F4"/>
    <w:rsid w:val="009F6D8B"/>
    <w:rsid w:val="009F70C9"/>
    <w:rsid w:val="009F7DB3"/>
    <w:rsid w:val="00A00D1B"/>
    <w:rsid w:val="00A0121F"/>
    <w:rsid w:val="00A0262F"/>
    <w:rsid w:val="00A029C9"/>
    <w:rsid w:val="00A02C5D"/>
    <w:rsid w:val="00A0385B"/>
    <w:rsid w:val="00A03A08"/>
    <w:rsid w:val="00A04680"/>
    <w:rsid w:val="00A04EE4"/>
    <w:rsid w:val="00A05B4B"/>
    <w:rsid w:val="00A06464"/>
    <w:rsid w:val="00A065D8"/>
    <w:rsid w:val="00A0723F"/>
    <w:rsid w:val="00A072BC"/>
    <w:rsid w:val="00A0761B"/>
    <w:rsid w:val="00A07D0A"/>
    <w:rsid w:val="00A10E24"/>
    <w:rsid w:val="00A12ED5"/>
    <w:rsid w:val="00A13A87"/>
    <w:rsid w:val="00A140D3"/>
    <w:rsid w:val="00A1446B"/>
    <w:rsid w:val="00A15698"/>
    <w:rsid w:val="00A15748"/>
    <w:rsid w:val="00A158F5"/>
    <w:rsid w:val="00A1674B"/>
    <w:rsid w:val="00A1676E"/>
    <w:rsid w:val="00A167F2"/>
    <w:rsid w:val="00A1759F"/>
    <w:rsid w:val="00A177A4"/>
    <w:rsid w:val="00A17E7C"/>
    <w:rsid w:val="00A17EFE"/>
    <w:rsid w:val="00A200BD"/>
    <w:rsid w:val="00A20A93"/>
    <w:rsid w:val="00A20C78"/>
    <w:rsid w:val="00A20FB5"/>
    <w:rsid w:val="00A2105A"/>
    <w:rsid w:val="00A220DF"/>
    <w:rsid w:val="00A22247"/>
    <w:rsid w:val="00A22893"/>
    <w:rsid w:val="00A22898"/>
    <w:rsid w:val="00A22A1D"/>
    <w:rsid w:val="00A22CBC"/>
    <w:rsid w:val="00A2312E"/>
    <w:rsid w:val="00A235B5"/>
    <w:rsid w:val="00A23BD9"/>
    <w:rsid w:val="00A23CAA"/>
    <w:rsid w:val="00A240B7"/>
    <w:rsid w:val="00A242D1"/>
    <w:rsid w:val="00A24323"/>
    <w:rsid w:val="00A24655"/>
    <w:rsid w:val="00A250EF"/>
    <w:rsid w:val="00A2512C"/>
    <w:rsid w:val="00A2515B"/>
    <w:rsid w:val="00A25706"/>
    <w:rsid w:val="00A25836"/>
    <w:rsid w:val="00A2588E"/>
    <w:rsid w:val="00A260F5"/>
    <w:rsid w:val="00A26898"/>
    <w:rsid w:val="00A26A5F"/>
    <w:rsid w:val="00A26B78"/>
    <w:rsid w:val="00A26D5C"/>
    <w:rsid w:val="00A26EDF"/>
    <w:rsid w:val="00A270C3"/>
    <w:rsid w:val="00A27738"/>
    <w:rsid w:val="00A27A49"/>
    <w:rsid w:val="00A3433C"/>
    <w:rsid w:val="00A3457B"/>
    <w:rsid w:val="00A34789"/>
    <w:rsid w:val="00A34808"/>
    <w:rsid w:val="00A35C99"/>
    <w:rsid w:val="00A3630E"/>
    <w:rsid w:val="00A36AB0"/>
    <w:rsid w:val="00A37154"/>
    <w:rsid w:val="00A3765C"/>
    <w:rsid w:val="00A37BB8"/>
    <w:rsid w:val="00A407D0"/>
    <w:rsid w:val="00A40A9B"/>
    <w:rsid w:val="00A40E4D"/>
    <w:rsid w:val="00A4173F"/>
    <w:rsid w:val="00A41FF8"/>
    <w:rsid w:val="00A42D87"/>
    <w:rsid w:val="00A43D80"/>
    <w:rsid w:val="00A44030"/>
    <w:rsid w:val="00A448D4"/>
    <w:rsid w:val="00A44BD3"/>
    <w:rsid w:val="00A44C33"/>
    <w:rsid w:val="00A450E7"/>
    <w:rsid w:val="00A4521D"/>
    <w:rsid w:val="00A452B3"/>
    <w:rsid w:val="00A45CAF"/>
    <w:rsid w:val="00A45D25"/>
    <w:rsid w:val="00A45DD6"/>
    <w:rsid w:val="00A4667E"/>
    <w:rsid w:val="00A46D6F"/>
    <w:rsid w:val="00A47314"/>
    <w:rsid w:val="00A47339"/>
    <w:rsid w:val="00A47663"/>
    <w:rsid w:val="00A47969"/>
    <w:rsid w:val="00A47A04"/>
    <w:rsid w:val="00A500AD"/>
    <w:rsid w:val="00A50795"/>
    <w:rsid w:val="00A5096C"/>
    <w:rsid w:val="00A50D66"/>
    <w:rsid w:val="00A51128"/>
    <w:rsid w:val="00A51796"/>
    <w:rsid w:val="00A5188D"/>
    <w:rsid w:val="00A51F0A"/>
    <w:rsid w:val="00A5224E"/>
    <w:rsid w:val="00A5225F"/>
    <w:rsid w:val="00A52949"/>
    <w:rsid w:val="00A5452A"/>
    <w:rsid w:val="00A54DED"/>
    <w:rsid w:val="00A54EF2"/>
    <w:rsid w:val="00A55D48"/>
    <w:rsid w:val="00A55DD4"/>
    <w:rsid w:val="00A55F1E"/>
    <w:rsid w:val="00A561F5"/>
    <w:rsid w:val="00A56525"/>
    <w:rsid w:val="00A56905"/>
    <w:rsid w:val="00A56BA0"/>
    <w:rsid w:val="00A57BEB"/>
    <w:rsid w:val="00A57D08"/>
    <w:rsid w:val="00A6076A"/>
    <w:rsid w:val="00A607C2"/>
    <w:rsid w:val="00A60836"/>
    <w:rsid w:val="00A60E44"/>
    <w:rsid w:val="00A61673"/>
    <w:rsid w:val="00A61F82"/>
    <w:rsid w:val="00A61FDE"/>
    <w:rsid w:val="00A62738"/>
    <w:rsid w:val="00A62ADC"/>
    <w:rsid w:val="00A62B08"/>
    <w:rsid w:val="00A62F44"/>
    <w:rsid w:val="00A6314F"/>
    <w:rsid w:val="00A63455"/>
    <w:rsid w:val="00A64208"/>
    <w:rsid w:val="00A646F0"/>
    <w:rsid w:val="00A6475F"/>
    <w:rsid w:val="00A64926"/>
    <w:rsid w:val="00A64E7F"/>
    <w:rsid w:val="00A65A61"/>
    <w:rsid w:val="00A665CF"/>
    <w:rsid w:val="00A66A2F"/>
    <w:rsid w:val="00A66B9D"/>
    <w:rsid w:val="00A66C8A"/>
    <w:rsid w:val="00A66DEA"/>
    <w:rsid w:val="00A670EE"/>
    <w:rsid w:val="00A671AA"/>
    <w:rsid w:val="00A67CA7"/>
    <w:rsid w:val="00A7088E"/>
    <w:rsid w:val="00A70C12"/>
    <w:rsid w:val="00A70FEE"/>
    <w:rsid w:val="00A71337"/>
    <w:rsid w:val="00A717F3"/>
    <w:rsid w:val="00A71F39"/>
    <w:rsid w:val="00A73989"/>
    <w:rsid w:val="00A74C25"/>
    <w:rsid w:val="00A75858"/>
    <w:rsid w:val="00A75DF3"/>
    <w:rsid w:val="00A7633F"/>
    <w:rsid w:val="00A7664F"/>
    <w:rsid w:val="00A76A64"/>
    <w:rsid w:val="00A7752F"/>
    <w:rsid w:val="00A77DAC"/>
    <w:rsid w:val="00A80284"/>
    <w:rsid w:val="00A8082A"/>
    <w:rsid w:val="00A80AD2"/>
    <w:rsid w:val="00A80BD3"/>
    <w:rsid w:val="00A81423"/>
    <w:rsid w:val="00A82711"/>
    <w:rsid w:val="00A829E1"/>
    <w:rsid w:val="00A83654"/>
    <w:rsid w:val="00A83F6A"/>
    <w:rsid w:val="00A84067"/>
    <w:rsid w:val="00A854F7"/>
    <w:rsid w:val="00A857D4"/>
    <w:rsid w:val="00A85C35"/>
    <w:rsid w:val="00A86980"/>
    <w:rsid w:val="00A902FA"/>
    <w:rsid w:val="00A91395"/>
    <w:rsid w:val="00A915EB"/>
    <w:rsid w:val="00A9166D"/>
    <w:rsid w:val="00A91AC9"/>
    <w:rsid w:val="00A92061"/>
    <w:rsid w:val="00A92205"/>
    <w:rsid w:val="00A927B9"/>
    <w:rsid w:val="00A92A97"/>
    <w:rsid w:val="00A92D56"/>
    <w:rsid w:val="00A933FD"/>
    <w:rsid w:val="00A9350B"/>
    <w:rsid w:val="00A939E3"/>
    <w:rsid w:val="00A93F3C"/>
    <w:rsid w:val="00A94249"/>
    <w:rsid w:val="00A94BC9"/>
    <w:rsid w:val="00A95625"/>
    <w:rsid w:val="00A957F1"/>
    <w:rsid w:val="00A959BC"/>
    <w:rsid w:val="00A9664E"/>
    <w:rsid w:val="00A96730"/>
    <w:rsid w:val="00A9704E"/>
    <w:rsid w:val="00A979A0"/>
    <w:rsid w:val="00AA19AA"/>
    <w:rsid w:val="00AA1AFE"/>
    <w:rsid w:val="00AA258C"/>
    <w:rsid w:val="00AA312B"/>
    <w:rsid w:val="00AA314F"/>
    <w:rsid w:val="00AA3C60"/>
    <w:rsid w:val="00AA3F87"/>
    <w:rsid w:val="00AA44AE"/>
    <w:rsid w:val="00AA4E65"/>
    <w:rsid w:val="00AA5F1A"/>
    <w:rsid w:val="00AA5FB0"/>
    <w:rsid w:val="00AA6465"/>
    <w:rsid w:val="00AA69D8"/>
    <w:rsid w:val="00AA6DB4"/>
    <w:rsid w:val="00AA6EDD"/>
    <w:rsid w:val="00AA723C"/>
    <w:rsid w:val="00AA7612"/>
    <w:rsid w:val="00AB03DF"/>
    <w:rsid w:val="00AB10C7"/>
    <w:rsid w:val="00AB14CD"/>
    <w:rsid w:val="00AB1C3A"/>
    <w:rsid w:val="00AB2885"/>
    <w:rsid w:val="00AB2FF4"/>
    <w:rsid w:val="00AB3917"/>
    <w:rsid w:val="00AB40E1"/>
    <w:rsid w:val="00AB4436"/>
    <w:rsid w:val="00AB486C"/>
    <w:rsid w:val="00AB585A"/>
    <w:rsid w:val="00AB5A32"/>
    <w:rsid w:val="00AB5B15"/>
    <w:rsid w:val="00AB5C6C"/>
    <w:rsid w:val="00AB5F9C"/>
    <w:rsid w:val="00AB5FB7"/>
    <w:rsid w:val="00AB7021"/>
    <w:rsid w:val="00AB739E"/>
    <w:rsid w:val="00AC0512"/>
    <w:rsid w:val="00AC0C6B"/>
    <w:rsid w:val="00AC0D80"/>
    <w:rsid w:val="00AC17F5"/>
    <w:rsid w:val="00AC1AD6"/>
    <w:rsid w:val="00AC1CED"/>
    <w:rsid w:val="00AC1EFA"/>
    <w:rsid w:val="00AC22B6"/>
    <w:rsid w:val="00AC2453"/>
    <w:rsid w:val="00AC24C2"/>
    <w:rsid w:val="00AC301D"/>
    <w:rsid w:val="00AC33CB"/>
    <w:rsid w:val="00AC37DC"/>
    <w:rsid w:val="00AC3A7F"/>
    <w:rsid w:val="00AC444F"/>
    <w:rsid w:val="00AC51FE"/>
    <w:rsid w:val="00AC5391"/>
    <w:rsid w:val="00AC546F"/>
    <w:rsid w:val="00AC54E2"/>
    <w:rsid w:val="00AC556C"/>
    <w:rsid w:val="00AC5829"/>
    <w:rsid w:val="00AC58F9"/>
    <w:rsid w:val="00AC5AB3"/>
    <w:rsid w:val="00AC6220"/>
    <w:rsid w:val="00AC6591"/>
    <w:rsid w:val="00AC7797"/>
    <w:rsid w:val="00AC7E4F"/>
    <w:rsid w:val="00AD01FC"/>
    <w:rsid w:val="00AD02FE"/>
    <w:rsid w:val="00AD0FE4"/>
    <w:rsid w:val="00AD17F8"/>
    <w:rsid w:val="00AD1E39"/>
    <w:rsid w:val="00AD231F"/>
    <w:rsid w:val="00AD29D9"/>
    <w:rsid w:val="00AD2AEE"/>
    <w:rsid w:val="00AD399D"/>
    <w:rsid w:val="00AD3A0B"/>
    <w:rsid w:val="00AD4718"/>
    <w:rsid w:val="00AD53ED"/>
    <w:rsid w:val="00AD5825"/>
    <w:rsid w:val="00AD5C2F"/>
    <w:rsid w:val="00AD64DF"/>
    <w:rsid w:val="00AD68DC"/>
    <w:rsid w:val="00AD71A4"/>
    <w:rsid w:val="00AD7AEE"/>
    <w:rsid w:val="00AE052E"/>
    <w:rsid w:val="00AE0698"/>
    <w:rsid w:val="00AE1025"/>
    <w:rsid w:val="00AE16BE"/>
    <w:rsid w:val="00AE1843"/>
    <w:rsid w:val="00AE195B"/>
    <w:rsid w:val="00AE1A8F"/>
    <w:rsid w:val="00AE32CB"/>
    <w:rsid w:val="00AE37AD"/>
    <w:rsid w:val="00AE3BB6"/>
    <w:rsid w:val="00AE3F03"/>
    <w:rsid w:val="00AE3FFB"/>
    <w:rsid w:val="00AE480C"/>
    <w:rsid w:val="00AE49C4"/>
    <w:rsid w:val="00AE5126"/>
    <w:rsid w:val="00AE6048"/>
    <w:rsid w:val="00AE64F0"/>
    <w:rsid w:val="00AE699E"/>
    <w:rsid w:val="00AE6B73"/>
    <w:rsid w:val="00AE7B12"/>
    <w:rsid w:val="00AF0337"/>
    <w:rsid w:val="00AF0D9F"/>
    <w:rsid w:val="00AF1439"/>
    <w:rsid w:val="00AF16B0"/>
    <w:rsid w:val="00AF1C38"/>
    <w:rsid w:val="00AF217A"/>
    <w:rsid w:val="00AF2242"/>
    <w:rsid w:val="00AF23C8"/>
    <w:rsid w:val="00AF23D1"/>
    <w:rsid w:val="00AF2AE2"/>
    <w:rsid w:val="00AF383C"/>
    <w:rsid w:val="00AF4AE0"/>
    <w:rsid w:val="00AF5CCB"/>
    <w:rsid w:val="00AF5E0F"/>
    <w:rsid w:val="00AF6B6F"/>
    <w:rsid w:val="00AF6EE7"/>
    <w:rsid w:val="00AF741A"/>
    <w:rsid w:val="00AF799F"/>
    <w:rsid w:val="00B00183"/>
    <w:rsid w:val="00B004A9"/>
    <w:rsid w:val="00B006A0"/>
    <w:rsid w:val="00B00722"/>
    <w:rsid w:val="00B00DF4"/>
    <w:rsid w:val="00B00F2D"/>
    <w:rsid w:val="00B014DC"/>
    <w:rsid w:val="00B0165C"/>
    <w:rsid w:val="00B016CB"/>
    <w:rsid w:val="00B01834"/>
    <w:rsid w:val="00B0214B"/>
    <w:rsid w:val="00B0377E"/>
    <w:rsid w:val="00B03E88"/>
    <w:rsid w:val="00B04ACD"/>
    <w:rsid w:val="00B051F0"/>
    <w:rsid w:val="00B0662B"/>
    <w:rsid w:val="00B06A57"/>
    <w:rsid w:val="00B06B76"/>
    <w:rsid w:val="00B07BA9"/>
    <w:rsid w:val="00B07DD1"/>
    <w:rsid w:val="00B10055"/>
    <w:rsid w:val="00B10309"/>
    <w:rsid w:val="00B1141E"/>
    <w:rsid w:val="00B11AED"/>
    <w:rsid w:val="00B11C68"/>
    <w:rsid w:val="00B11DB3"/>
    <w:rsid w:val="00B1278B"/>
    <w:rsid w:val="00B133A1"/>
    <w:rsid w:val="00B133C2"/>
    <w:rsid w:val="00B13842"/>
    <w:rsid w:val="00B13B31"/>
    <w:rsid w:val="00B13D98"/>
    <w:rsid w:val="00B13DC6"/>
    <w:rsid w:val="00B13E3E"/>
    <w:rsid w:val="00B14029"/>
    <w:rsid w:val="00B14587"/>
    <w:rsid w:val="00B156A7"/>
    <w:rsid w:val="00B16089"/>
    <w:rsid w:val="00B16343"/>
    <w:rsid w:val="00B164C2"/>
    <w:rsid w:val="00B16CC5"/>
    <w:rsid w:val="00B16F46"/>
    <w:rsid w:val="00B17295"/>
    <w:rsid w:val="00B17637"/>
    <w:rsid w:val="00B215F5"/>
    <w:rsid w:val="00B2186D"/>
    <w:rsid w:val="00B21D0B"/>
    <w:rsid w:val="00B21F78"/>
    <w:rsid w:val="00B221D0"/>
    <w:rsid w:val="00B22C3F"/>
    <w:rsid w:val="00B235E8"/>
    <w:rsid w:val="00B242E9"/>
    <w:rsid w:val="00B2526B"/>
    <w:rsid w:val="00B26713"/>
    <w:rsid w:val="00B26FA1"/>
    <w:rsid w:val="00B277EA"/>
    <w:rsid w:val="00B277FE"/>
    <w:rsid w:val="00B27A54"/>
    <w:rsid w:val="00B30381"/>
    <w:rsid w:val="00B30783"/>
    <w:rsid w:val="00B30BF1"/>
    <w:rsid w:val="00B30C19"/>
    <w:rsid w:val="00B30D3B"/>
    <w:rsid w:val="00B30EBC"/>
    <w:rsid w:val="00B318BE"/>
    <w:rsid w:val="00B31E07"/>
    <w:rsid w:val="00B31F46"/>
    <w:rsid w:val="00B32ABA"/>
    <w:rsid w:val="00B3465B"/>
    <w:rsid w:val="00B346C3"/>
    <w:rsid w:val="00B34C47"/>
    <w:rsid w:val="00B37D4B"/>
    <w:rsid w:val="00B37D80"/>
    <w:rsid w:val="00B37DBE"/>
    <w:rsid w:val="00B40102"/>
    <w:rsid w:val="00B409F7"/>
    <w:rsid w:val="00B40E78"/>
    <w:rsid w:val="00B41972"/>
    <w:rsid w:val="00B41F0F"/>
    <w:rsid w:val="00B41F78"/>
    <w:rsid w:val="00B42560"/>
    <w:rsid w:val="00B42759"/>
    <w:rsid w:val="00B42E8E"/>
    <w:rsid w:val="00B452A4"/>
    <w:rsid w:val="00B4541E"/>
    <w:rsid w:val="00B455AA"/>
    <w:rsid w:val="00B45778"/>
    <w:rsid w:val="00B457A1"/>
    <w:rsid w:val="00B45FEA"/>
    <w:rsid w:val="00B4630F"/>
    <w:rsid w:val="00B464B1"/>
    <w:rsid w:val="00B467DD"/>
    <w:rsid w:val="00B46811"/>
    <w:rsid w:val="00B4689D"/>
    <w:rsid w:val="00B47093"/>
    <w:rsid w:val="00B47A4A"/>
    <w:rsid w:val="00B47B99"/>
    <w:rsid w:val="00B47C4F"/>
    <w:rsid w:val="00B47C9A"/>
    <w:rsid w:val="00B50438"/>
    <w:rsid w:val="00B506F2"/>
    <w:rsid w:val="00B510E3"/>
    <w:rsid w:val="00B511E1"/>
    <w:rsid w:val="00B517DA"/>
    <w:rsid w:val="00B518D8"/>
    <w:rsid w:val="00B521A0"/>
    <w:rsid w:val="00B521AC"/>
    <w:rsid w:val="00B52495"/>
    <w:rsid w:val="00B52702"/>
    <w:rsid w:val="00B528DD"/>
    <w:rsid w:val="00B53106"/>
    <w:rsid w:val="00B53114"/>
    <w:rsid w:val="00B53183"/>
    <w:rsid w:val="00B532B9"/>
    <w:rsid w:val="00B533F6"/>
    <w:rsid w:val="00B5498D"/>
    <w:rsid w:val="00B5501D"/>
    <w:rsid w:val="00B550D9"/>
    <w:rsid w:val="00B5540F"/>
    <w:rsid w:val="00B556EE"/>
    <w:rsid w:val="00B55ECA"/>
    <w:rsid w:val="00B56419"/>
    <w:rsid w:val="00B576AF"/>
    <w:rsid w:val="00B614CA"/>
    <w:rsid w:val="00B6151E"/>
    <w:rsid w:val="00B616BB"/>
    <w:rsid w:val="00B6197D"/>
    <w:rsid w:val="00B622FA"/>
    <w:rsid w:val="00B62AB1"/>
    <w:rsid w:val="00B62AC3"/>
    <w:rsid w:val="00B62AE4"/>
    <w:rsid w:val="00B63892"/>
    <w:rsid w:val="00B6398F"/>
    <w:rsid w:val="00B643E0"/>
    <w:rsid w:val="00B64962"/>
    <w:rsid w:val="00B64CDA"/>
    <w:rsid w:val="00B64DC1"/>
    <w:rsid w:val="00B653ED"/>
    <w:rsid w:val="00B656C6"/>
    <w:rsid w:val="00B65C2A"/>
    <w:rsid w:val="00B676EC"/>
    <w:rsid w:val="00B6774A"/>
    <w:rsid w:val="00B6789C"/>
    <w:rsid w:val="00B67A5D"/>
    <w:rsid w:val="00B7016C"/>
    <w:rsid w:val="00B7039B"/>
    <w:rsid w:val="00B707C0"/>
    <w:rsid w:val="00B70EEC"/>
    <w:rsid w:val="00B71452"/>
    <w:rsid w:val="00B7162F"/>
    <w:rsid w:val="00B716AD"/>
    <w:rsid w:val="00B71DD0"/>
    <w:rsid w:val="00B723C8"/>
    <w:rsid w:val="00B724C2"/>
    <w:rsid w:val="00B730BA"/>
    <w:rsid w:val="00B7332C"/>
    <w:rsid w:val="00B73353"/>
    <w:rsid w:val="00B73AD6"/>
    <w:rsid w:val="00B74C2E"/>
    <w:rsid w:val="00B74D1E"/>
    <w:rsid w:val="00B75303"/>
    <w:rsid w:val="00B75383"/>
    <w:rsid w:val="00B75B15"/>
    <w:rsid w:val="00B76A18"/>
    <w:rsid w:val="00B76C1F"/>
    <w:rsid w:val="00B77190"/>
    <w:rsid w:val="00B773E4"/>
    <w:rsid w:val="00B811B8"/>
    <w:rsid w:val="00B8127E"/>
    <w:rsid w:val="00B818AC"/>
    <w:rsid w:val="00B81CA6"/>
    <w:rsid w:val="00B82009"/>
    <w:rsid w:val="00B83F7B"/>
    <w:rsid w:val="00B84C6C"/>
    <w:rsid w:val="00B85275"/>
    <w:rsid w:val="00B85A93"/>
    <w:rsid w:val="00B8614D"/>
    <w:rsid w:val="00B86C8C"/>
    <w:rsid w:val="00B8720C"/>
    <w:rsid w:val="00B87FED"/>
    <w:rsid w:val="00B90612"/>
    <w:rsid w:val="00B90A21"/>
    <w:rsid w:val="00B90C13"/>
    <w:rsid w:val="00B91343"/>
    <w:rsid w:val="00B91AC9"/>
    <w:rsid w:val="00B920D7"/>
    <w:rsid w:val="00B923BF"/>
    <w:rsid w:val="00B92687"/>
    <w:rsid w:val="00B92838"/>
    <w:rsid w:val="00B92A11"/>
    <w:rsid w:val="00B92F74"/>
    <w:rsid w:val="00B93E22"/>
    <w:rsid w:val="00B93F4B"/>
    <w:rsid w:val="00B94008"/>
    <w:rsid w:val="00B94248"/>
    <w:rsid w:val="00B942A1"/>
    <w:rsid w:val="00B942C1"/>
    <w:rsid w:val="00B9446E"/>
    <w:rsid w:val="00B94B4F"/>
    <w:rsid w:val="00B94E92"/>
    <w:rsid w:val="00B9505E"/>
    <w:rsid w:val="00B950FD"/>
    <w:rsid w:val="00B96108"/>
    <w:rsid w:val="00B96316"/>
    <w:rsid w:val="00B9637A"/>
    <w:rsid w:val="00B9637F"/>
    <w:rsid w:val="00B96419"/>
    <w:rsid w:val="00B96ECB"/>
    <w:rsid w:val="00B9732B"/>
    <w:rsid w:val="00B976F6"/>
    <w:rsid w:val="00B97B86"/>
    <w:rsid w:val="00B97CDB"/>
    <w:rsid w:val="00B97E90"/>
    <w:rsid w:val="00BA0855"/>
    <w:rsid w:val="00BA0D4C"/>
    <w:rsid w:val="00BA1440"/>
    <w:rsid w:val="00BA196C"/>
    <w:rsid w:val="00BA1C6C"/>
    <w:rsid w:val="00BA1E27"/>
    <w:rsid w:val="00BA250F"/>
    <w:rsid w:val="00BA2E84"/>
    <w:rsid w:val="00BA364F"/>
    <w:rsid w:val="00BA5214"/>
    <w:rsid w:val="00BA5731"/>
    <w:rsid w:val="00BA5F41"/>
    <w:rsid w:val="00BA67A3"/>
    <w:rsid w:val="00BA6963"/>
    <w:rsid w:val="00BA7385"/>
    <w:rsid w:val="00BA753F"/>
    <w:rsid w:val="00BA7FD9"/>
    <w:rsid w:val="00BB0404"/>
    <w:rsid w:val="00BB0C5C"/>
    <w:rsid w:val="00BB113E"/>
    <w:rsid w:val="00BB187C"/>
    <w:rsid w:val="00BB1E48"/>
    <w:rsid w:val="00BB27E0"/>
    <w:rsid w:val="00BB296B"/>
    <w:rsid w:val="00BB3622"/>
    <w:rsid w:val="00BB3628"/>
    <w:rsid w:val="00BB4AD2"/>
    <w:rsid w:val="00BB547B"/>
    <w:rsid w:val="00BB5919"/>
    <w:rsid w:val="00BB5BDC"/>
    <w:rsid w:val="00BB682C"/>
    <w:rsid w:val="00BB6E85"/>
    <w:rsid w:val="00BB739C"/>
    <w:rsid w:val="00BB7CA9"/>
    <w:rsid w:val="00BC0240"/>
    <w:rsid w:val="00BC0860"/>
    <w:rsid w:val="00BC0A45"/>
    <w:rsid w:val="00BC0E4F"/>
    <w:rsid w:val="00BC10F9"/>
    <w:rsid w:val="00BC13BD"/>
    <w:rsid w:val="00BC236B"/>
    <w:rsid w:val="00BC2AEC"/>
    <w:rsid w:val="00BC2BB4"/>
    <w:rsid w:val="00BC3715"/>
    <w:rsid w:val="00BC4380"/>
    <w:rsid w:val="00BC61E2"/>
    <w:rsid w:val="00BC65D9"/>
    <w:rsid w:val="00BC6781"/>
    <w:rsid w:val="00BC67D8"/>
    <w:rsid w:val="00BC6B91"/>
    <w:rsid w:val="00BC6C8E"/>
    <w:rsid w:val="00BC7C52"/>
    <w:rsid w:val="00BC7DC8"/>
    <w:rsid w:val="00BD048E"/>
    <w:rsid w:val="00BD086D"/>
    <w:rsid w:val="00BD08D4"/>
    <w:rsid w:val="00BD0CF6"/>
    <w:rsid w:val="00BD13E9"/>
    <w:rsid w:val="00BD1471"/>
    <w:rsid w:val="00BD1484"/>
    <w:rsid w:val="00BD14C5"/>
    <w:rsid w:val="00BD196A"/>
    <w:rsid w:val="00BD1CFD"/>
    <w:rsid w:val="00BD1FF7"/>
    <w:rsid w:val="00BD2081"/>
    <w:rsid w:val="00BD2181"/>
    <w:rsid w:val="00BD22B7"/>
    <w:rsid w:val="00BD2311"/>
    <w:rsid w:val="00BD2767"/>
    <w:rsid w:val="00BD2EA3"/>
    <w:rsid w:val="00BD2F5B"/>
    <w:rsid w:val="00BD3B5F"/>
    <w:rsid w:val="00BD457C"/>
    <w:rsid w:val="00BD4B9A"/>
    <w:rsid w:val="00BD4E57"/>
    <w:rsid w:val="00BD4E9D"/>
    <w:rsid w:val="00BD512C"/>
    <w:rsid w:val="00BD5862"/>
    <w:rsid w:val="00BD5A35"/>
    <w:rsid w:val="00BD5DF1"/>
    <w:rsid w:val="00BD60F3"/>
    <w:rsid w:val="00BD6262"/>
    <w:rsid w:val="00BD63E3"/>
    <w:rsid w:val="00BD6508"/>
    <w:rsid w:val="00BD70E0"/>
    <w:rsid w:val="00BD7174"/>
    <w:rsid w:val="00BD7222"/>
    <w:rsid w:val="00BE0779"/>
    <w:rsid w:val="00BE0830"/>
    <w:rsid w:val="00BE1188"/>
    <w:rsid w:val="00BE1356"/>
    <w:rsid w:val="00BE1D3C"/>
    <w:rsid w:val="00BE1D70"/>
    <w:rsid w:val="00BE1F84"/>
    <w:rsid w:val="00BE2061"/>
    <w:rsid w:val="00BE26B2"/>
    <w:rsid w:val="00BE3229"/>
    <w:rsid w:val="00BE33A9"/>
    <w:rsid w:val="00BE3E92"/>
    <w:rsid w:val="00BE4477"/>
    <w:rsid w:val="00BE4C48"/>
    <w:rsid w:val="00BE4D52"/>
    <w:rsid w:val="00BE550B"/>
    <w:rsid w:val="00BE61C1"/>
    <w:rsid w:val="00BE64AF"/>
    <w:rsid w:val="00BE6717"/>
    <w:rsid w:val="00BE6E28"/>
    <w:rsid w:val="00BE7615"/>
    <w:rsid w:val="00BE7FF3"/>
    <w:rsid w:val="00BF028E"/>
    <w:rsid w:val="00BF0381"/>
    <w:rsid w:val="00BF0502"/>
    <w:rsid w:val="00BF05D3"/>
    <w:rsid w:val="00BF1DA4"/>
    <w:rsid w:val="00BF3422"/>
    <w:rsid w:val="00BF35F0"/>
    <w:rsid w:val="00BF3CB3"/>
    <w:rsid w:val="00BF4844"/>
    <w:rsid w:val="00BF4E6E"/>
    <w:rsid w:val="00BF4F79"/>
    <w:rsid w:val="00BF5AF9"/>
    <w:rsid w:val="00BF6170"/>
    <w:rsid w:val="00BF6446"/>
    <w:rsid w:val="00BF665F"/>
    <w:rsid w:val="00BF6E7B"/>
    <w:rsid w:val="00BF7874"/>
    <w:rsid w:val="00BF789C"/>
    <w:rsid w:val="00C00748"/>
    <w:rsid w:val="00C01021"/>
    <w:rsid w:val="00C0114A"/>
    <w:rsid w:val="00C0141F"/>
    <w:rsid w:val="00C02064"/>
    <w:rsid w:val="00C028B4"/>
    <w:rsid w:val="00C030D8"/>
    <w:rsid w:val="00C030EC"/>
    <w:rsid w:val="00C032A0"/>
    <w:rsid w:val="00C0417A"/>
    <w:rsid w:val="00C041F7"/>
    <w:rsid w:val="00C048AF"/>
    <w:rsid w:val="00C04BEC"/>
    <w:rsid w:val="00C04D2E"/>
    <w:rsid w:val="00C05037"/>
    <w:rsid w:val="00C05BB6"/>
    <w:rsid w:val="00C05D94"/>
    <w:rsid w:val="00C05F21"/>
    <w:rsid w:val="00C0679B"/>
    <w:rsid w:val="00C07123"/>
    <w:rsid w:val="00C077E0"/>
    <w:rsid w:val="00C07C09"/>
    <w:rsid w:val="00C07DE6"/>
    <w:rsid w:val="00C11485"/>
    <w:rsid w:val="00C11602"/>
    <w:rsid w:val="00C123FC"/>
    <w:rsid w:val="00C137D5"/>
    <w:rsid w:val="00C14705"/>
    <w:rsid w:val="00C154B5"/>
    <w:rsid w:val="00C15B60"/>
    <w:rsid w:val="00C164B9"/>
    <w:rsid w:val="00C1667B"/>
    <w:rsid w:val="00C166A2"/>
    <w:rsid w:val="00C16D62"/>
    <w:rsid w:val="00C1711B"/>
    <w:rsid w:val="00C17872"/>
    <w:rsid w:val="00C205E9"/>
    <w:rsid w:val="00C20F2A"/>
    <w:rsid w:val="00C212FC"/>
    <w:rsid w:val="00C22BE9"/>
    <w:rsid w:val="00C23017"/>
    <w:rsid w:val="00C23924"/>
    <w:rsid w:val="00C23D03"/>
    <w:rsid w:val="00C23F48"/>
    <w:rsid w:val="00C23F6C"/>
    <w:rsid w:val="00C2537F"/>
    <w:rsid w:val="00C257F2"/>
    <w:rsid w:val="00C26298"/>
    <w:rsid w:val="00C262BD"/>
    <w:rsid w:val="00C26780"/>
    <w:rsid w:val="00C27149"/>
    <w:rsid w:val="00C2740F"/>
    <w:rsid w:val="00C27ECF"/>
    <w:rsid w:val="00C27F18"/>
    <w:rsid w:val="00C3005C"/>
    <w:rsid w:val="00C30585"/>
    <w:rsid w:val="00C30761"/>
    <w:rsid w:val="00C310C2"/>
    <w:rsid w:val="00C315EE"/>
    <w:rsid w:val="00C31E35"/>
    <w:rsid w:val="00C32191"/>
    <w:rsid w:val="00C322D9"/>
    <w:rsid w:val="00C32491"/>
    <w:rsid w:val="00C328B7"/>
    <w:rsid w:val="00C34157"/>
    <w:rsid w:val="00C343E3"/>
    <w:rsid w:val="00C34591"/>
    <w:rsid w:val="00C3484D"/>
    <w:rsid w:val="00C34E63"/>
    <w:rsid w:val="00C35E0A"/>
    <w:rsid w:val="00C36525"/>
    <w:rsid w:val="00C37BAB"/>
    <w:rsid w:val="00C37CB6"/>
    <w:rsid w:val="00C40077"/>
    <w:rsid w:val="00C402FA"/>
    <w:rsid w:val="00C40DCE"/>
    <w:rsid w:val="00C40EB3"/>
    <w:rsid w:val="00C41911"/>
    <w:rsid w:val="00C41BD9"/>
    <w:rsid w:val="00C41BE7"/>
    <w:rsid w:val="00C420AA"/>
    <w:rsid w:val="00C422BC"/>
    <w:rsid w:val="00C428AA"/>
    <w:rsid w:val="00C42EF7"/>
    <w:rsid w:val="00C434FD"/>
    <w:rsid w:val="00C45305"/>
    <w:rsid w:val="00C45405"/>
    <w:rsid w:val="00C4597A"/>
    <w:rsid w:val="00C45A13"/>
    <w:rsid w:val="00C45D24"/>
    <w:rsid w:val="00C460A5"/>
    <w:rsid w:val="00C460EC"/>
    <w:rsid w:val="00C46E7C"/>
    <w:rsid w:val="00C47AC7"/>
    <w:rsid w:val="00C50267"/>
    <w:rsid w:val="00C50840"/>
    <w:rsid w:val="00C5192E"/>
    <w:rsid w:val="00C52DE6"/>
    <w:rsid w:val="00C52FE9"/>
    <w:rsid w:val="00C54DB2"/>
    <w:rsid w:val="00C55FFD"/>
    <w:rsid w:val="00C5616B"/>
    <w:rsid w:val="00C563DD"/>
    <w:rsid w:val="00C56B06"/>
    <w:rsid w:val="00C56C86"/>
    <w:rsid w:val="00C56E6C"/>
    <w:rsid w:val="00C579A7"/>
    <w:rsid w:val="00C57E09"/>
    <w:rsid w:val="00C6016B"/>
    <w:rsid w:val="00C60AEC"/>
    <w:rsid w:val="00C615ED"/>
    <w:rsid w:val="00C61B50"/>
    <w:rsid w:val="00C62AF7"/>
    <w:rsid w:val="00C62C00"/>
    <w:rsid w:val="00C634A7"/>
    <w:rsid w:val="00C63688"/>
    <w:rsid w:val="00C638D7"/>
    <w:rsid w:val="00C638DF"/>
    <w:rsid w:val="00C63E01"/>
    <w:rsid w:val="00C64720"/>
    <w:rsid w:val="00C6517F"/>
    <w:rsid w:val="00C6632B"/>
    <w:rsid w:val="00C66490"/>
    <w:rsid w:val="00C6760A"/>
    <w:rsid w:val="00C67983"/>
    <w:rsid w:val="00C67BA6"/>
    <w:rsid w:val="00C67CA8"/>
    <w:rsid w:val="00C706FB"/>
    <w:rsid w:val="00C70DA3"/>
    <w:rsid w:val="00C70FC6"/>
    <w:rsid w:val="00C716A9"/>
    <w:rsid w:val="00C71920"/>
    <w:rsid w:val="00C72046"/>
    <w:rsid w:val="00C727F0"/>
    <w:rsid w:val="00C72981"/>
    <w:rsid w:val="00C72A63"/>
    <w:rsid w:val="00C73233"/>
    <w:rsid w:val="00C7366C"/>
    <w:rsid w:val="00C74627"/>
    <w:rsid w:val="00C748BB"/>
    <w:rsid w:val="00C75569"/>
    <w:rsid w:val="00C75744"/>
    <w:rsid w:val="00C75B09"/>
    <w:rsid w:val="00C75C26"/>
    <w:rsid w:val="00C75DBF"/>
    <w:rsid w:val="00C77387"/>
    <w:rsid w:val="00C775CD"/>
    <w:rsid w:val="00C77668"/>
    <w:rsid w:val="00C77CE0"/>
    <w:rsid w:val="00C8086D"/>
    <w:rsid w:val="00C80AE4"/>
    <w:rsid w:val="00C81093"/>
    <w:rsid w:val="00C8169B"/>
    <w:rsid w:val="00C82A21"/>
    <w:rsid w:val="00C82B56"/>
    <w:rsid w:val="00C82EB9"/>
    <w:rsid w:val="00C8388C"/>
    <w:rsid w:val="00C84549"/>
    <w:rsid w:val="00C84EEB"/>
    <w:rsid w:val="00C853D4"/>
    <w:rsid w:val="00C857F1"/>
    <w:rsid w:val="00C85E9A"/>
    <w:rsid w:val="00C86201"/>
    <w:rsid w:val="00C8647A"/>
    <w:rsid w:val="00C8692A"/>
    <w:rsid w:val="00C86987"/>
    <w:rsid w:val="00C86B14"/>
    <w:rsid w:val="00C86CFA"/>
    <w:rsid w:val="00C86D2F"/>
    <w:rsid w:val="00C86D9E"/>
    <w:rsid w:val="00C871C4"/>
    <w:rsid w:val="00C8756E"/>
    <w:rsid w:val="00C87882"/>
    <w:rsid w:val="00C87976"/>
    <w:rsid w:val="00C9024D"/>
    <w:rsid w:val="00C912A6"/>
    <w:rsid w:val="00C918F3"/>
    <w:rsid w:val="00C92BC4"/>
    <w:rsid w:val="00C932D7"/>
    <w:rsid w:val="00C940BB"/>
    <w:rsid w:val="00C940E1"/>
    <w:rsid w:val="00C940F4"/>
    <w:rsid w:val="00C9423D"/>
    <w:rsid w:val="00C94367"/>
    <w:rsid w:val="00C9476F"/>
    <w:rsid w:val="00C95043"/>
    <w:rsid w:val="00C95A9C"/>
    <w:rsid w:val="00C95D6F"/>
    <w:rsid w:val="00C976E4"/>
    <w:rsid w:val="00C97830"/>
    <w:rsid w:val="00C97C64"/>
    <w:rsid w:val="00C97D70"/>
    <w:rsid w:val="00C97FD5"/>
    <w:rsid w:val="00CA06B2"/>
    <w:rsid w:val="00CA1130"/>
    <w:rsid w:val="00CA11D0"/>
    <w:rsid w:val="00CA156F"/>
    <w:rsid w:val="00CA1C1C"/>
    <w:rsid w:val="00CA2884"/>
    <w:rsid w:val="00CA3677"/>
    <w:rsid w:val="00CA3AC2"/>
    <w:rsid w:val="00CA415F"/>
    <w:rsid w:val="00CA428D"/>
    <w:rsid w:val="00CA435E"/>
    <w:rsid w:val="00CA4B38"/>
    <w:rsid w:val="00CA57B1"/>
    <w:rsid w:val="00CA5EA7"/>
    <w:rsid w:val="00CA7C0B"/>
    <w:rsid w:val="00CA7D50"/>
    <w:rsid w:val="00CA7FB3"/>
    <w:rsid w:val="00CB0094"/>
    <w:rsid w:val="00CB026C"/>
    <w:rsid w:val="00CB0D1C"/>
    <w:rsid w:val="00CB140D"/>
    <w:rsid w:val="00CB1DBA"/>
    <w:rsid w:val="00CB2005"/>
    <w:rsid w:val="00CB2385"/>
    <w:rsid w:val="00CB2C14"/>
    <w:rsid w:val="00CB2F29"/>
    <w:rsid w:val="00CB35BB"/>
    <w:rsid w:val="00CB39D5"/>
    <w:rsid w:val="00CB3F73"/>
    <w:rsid w:val="00CB423B"/>
    <w:rsid w:val="00CB44CB"/>
    <w:rsid w:val="00CB5A49"/>
    <w:rsid w:val="00CB5B3E"/>
    <w:rsid w:val="00CB5C15"/>
    <w:rsid w:val="00CB6621"/>
    <w:rsid w:val="00CB678B"/>
    <w:rsid w:val="00CC0368"/>
    <w:rsid w:val="00CC0F4C"/>
    <w:rsid w:val="00CC1228"/>
    <w:rsid w:val="00CC14A0"/>
    <w:rsid w:val="00CC15D8"/>
    <w:rsid w:val="00CC1A21"/>
    <w:rsid w:val="00CC1E8E"/>
    <w:rsid w:val="00CC1EB7"/>
    <w:rsid w:val="00CC2056"/>
    <w:rsid w:val="00CC216F"/>
    <w:rsid w:val="00CC222F"/>
    <w:rsid w:val="00CC28BF"/>
    <w:rsid w:val="00CC33FD"/>
    <w:rsid w:val="00CC3AAE"/>
    <w:rsid w:val="00CC3ADA"/>
    <w:rsid w:val="00CC4F26"/>
    <w:rsid w:val="00CC584E"/>
    <w:rsid w:val="00CC5C1C"/>
    <w:rsid w:val="00CC65EC"/>
    <w:rsid w:val="00CC66DE"/>
    <w:rsid w:val="00CC6912"/>
    <w:rsid w:val="00CC6A95"/>
    <w:rsid w:val="00CC6B24"/>
    <w:rsid w:val="00CC7109"/>
    <w:rsid w:val="00CC744C"/>
    <w:rsid w:val="00CC74D7"/>
    <w:rsid w:val="00CC7C0C"/>
    <w:rsid w:val="00CD01F8"/>
    <w:rsid w:val="00CD0344"/>
    <w:rsid w:val="00CD04B4"/>
    <w:rsid w:val="00CD082D"/>
    <w:rsid w:val="00CD128E"/>
    <w:rsid w:val="00CD1975"/>
    <w:rsid w:val="00CD21AF"/>
    <w:rsid w:val="00CD24CA"/>
    <w:rsid w:val="00CD2590"/>
    <w:rsid w:val="00CD2630"/>
    <w:rsid w:val="00CD31EA"/>
    <w:rsid w:val="00CD3787"/>
    <w:rsid w:val="00CD4AD4"/>
    <w:rsid w:val="00CD4FD0"/>
    <w:rsid w:val="00CD5542"/>
    <w:rsid w:val="00CD5E68"/>
    <w:rsid w:val="00CD6C66"/>
    <w:rsid w:val="00CD6DC6"/>
    <w:rsid w:val="00CD72F2"/>
    <w:rsid w:val="00CD75E3"/>
    <w:rsid w:val="00CE0467"/>
    <w:rsid w:val="00CE0723"/>
    <w:rsid w:val="00CE1DE1"/>
    <w:rsid w:val="00CE21C0"/>
    <w:rsid w:val="00CE2627"/>
    <w:rsid w:val="00CE2728"/>
    <w:rsid w:val="00CE276B"/>
    <w:rsid w:val="00CE2A0C"/>
    <w:rsid w:val="00CE2EB2"/>
    <w:rsid w:val="00CE2FFF"/>
    <w:rsid w:val="00CE30AD"/>
    <w:rsid w:val="00CE3634"/>
    <w:rsid w:val="00CE37EC"/>
    <w:rsid w:val="00CE3BFD"/>
    <w:rsid w:val="00CE3CEA"/>
    <w:rsid w:val="00CE3F1D"/>
    <w:rsid w:val="00CE45B6"/>
    <w:rsid w:val="00CE4C65"/>
    <w:rsid w:val="00CE525D"/>
    <w:rsid w:val="00CE5682"/>
    <w:rsid w:val="00CE5C99"/>
    <w:rsid w:val="00CE5EAB"/>
    <w:rsid w:val="00CE6675"/>
    <w:rsid w:val="00CE791C"/>
    <w:rsid w:val="00CF019A"/>
    <w:rsid w:val="00CF155C"/>
    <w:rsid w:val="00CF18AF"/>
    <w:rsid w:val="00CF1D8B"/>
    <w:rsid w:val="00CF2309"/>
    <w:rsid w:val="00CF23EE"/>
    <w:rsid w:val="00CF281A"/>
    <w:rsid w:val="00CF2C6F"/>
    <w:rsid w:val="00CF2ED6"/>
    <w:rsid w:val="00CF31C5"/>
    <w:rsid w:val="00CF3819"/>
    <w:rsid w:val="00CF3E5F"/>
    <w:rsid w:val="00CF4473"/>
    <w:rsid w:val="00CF4F3C"/>
    <w:rsid w:val="00CF4F67"/>
    <w:rsid w:val="00CF4FD5"/>
    <w:rsid w:val="00CF5FC2"/>
    <w:rsid w:val="00CF7EE5"/>
    <w:rsid w:val="00D00113"/>
    <w:rsid w:val="00D0211A"/>
    <w:rsid w:val="00D0215E"/>
    <w:rsid w:val="00D02341"/>
    <w:rsid w:val="00D024E1"/>
    <w:rsid w:val="00D02FD5"/>
    <w:rsid w:val="00D03E50"/>
    <w:rsid w:val="00D03E5B"/>
    <w:rsid w:val="00D042F1"/>
    <w:rsid w:val="00D04338"/>
    <w:rsid w:val="00D0487B"/>
    <w:rsid w:val="00D049B4"/>
    <w:rsid w:val="00D04AF3"/>
    <w:rsid w:val="00D057B8"/>
    <w:rsid w:val="00D06DC7"/>
    <w:rsid w:val="00D0745A"/>
    <w:rsid w:val="00D07D4A"/>
    <w:rsid w:val="00D1028E"/>
    <w:rsid w:val="00D10744"/>
    <w:rsid w:val="00D11357"/>
    <w:rsid w:val="00D11960"/>
    <w:rsid w:val="00D121B0"/>
    <w:rsid w:val="00D12421"/>
    <w:rsid w:val="00D126F7"/>
    <w:rsid w:val="00D129F5"/>
    <w:rsid w:val="00D12E21"/>
    <w:rsid w:val="00D12ED9"/>
    <w:rsid w:val="00D1313A"/>
    <w:rsid w:val="00D137CF"/>
    <w:rsid w:val="00D13964"/>
    <w:rsid w:val="00D1401F"/>
    <w:rsid w:val="00D14172"/>
    <w:rsid w:val="00D141DD"/>
    <w:rsid w:val="00D1433A"/>
    <w:rsid w:val="00D14349"/>
    <w:rsid w:val="00D14365"/>
    <w:rsid w:val="00D143FF"/>
    <w:rsid w:val="00D14662"/>
    <w:rsid w:val="00D148D9"/>
    <w:rsid w:val="00D1494A"/>
    <w:rsid w:val="00D14F4D"/>
    <w:rsid w:val="00D15281"/>
    <w:rsid w:val="00D152AF"/>
    <w:rsid w:val="00D16372"/>
    <w:rsid w:val="00D164D1"/>
    <w:rsid w:val="00D16651"/>
    <w:rsid w:val="00D171E7"/>
    <w:rsid w:val="00D177B8"/>
    <w:rsid w:val="00D17A4D"/>
    <w:rsid w:val="00D17BFD"/>
    <w:rsid w:val="00D17F0B"/>
    <w:rsid w:val="00D20231"/>
    <w:rsid w:val="00D20A1C"/>
    <w:rsid w:val="00D20C3B"/>
    <w:rsid w:val="00D21887"/>
    <w:rsid w:val="00D21B91"/>
    <w:rsid w:val="00D21EA5"/>
    <w:rsid w:val="00D22632"/>
    <w:rsid w:val="00D23448"/>
    <w:rsid w:val="00D2353A"/>
    <w:rsid w:val="00D239C1"/>
    <w:rsid w:val="00D24C3E"/>
    <w:rsid w:val="00D25582"/>
    <w:rsid w:val="00D263BF"/>
    <w:rsid w:val="00D266DE"/>
    <w:rsid w:val="00D26C60"/>
    <w:rsid w:val="00D2793C"/>
    <w:rsid w:val="00D27BE3"/>
    <w:rsid w:val="00D31016"/>
    <w:rsid w:val="00D31689"/>
    <w:rsid w:val="00D31707"/>
    <w:rsid w:val="00D31F28"/>
    <w:rsid w:val="00D32026"/>
    <w:rsid w:val="00D3257F"/>
    <w:rsid w:val="00D32635"/>
    <w:rsid w:val="00D330CF"/>
    <w:rsid w:val="00D33337"/>
    <w:rsid w:val="00D3385C"/>
    <w:rsid w:val="00D33A97"/>
    <w:rsid w:val="00D34173"/>
    <w:rsid w:val="00D34573"/>
    <w:rsid w:val="00D34AA1"/>
    <w:rsid w:val="00D355E8"/>
    <w:rsid w:val="00D3730C"/>
    <w:rsid w:val="00D37651"/>
    <w:rsid w:val="00D40810"/>
    <w:rsid w:val="00D409B0"/>
    <w:rsid w:val="00D40ACB"/>
    <w:rsid w:val="00D41481"/>
    <w:rsid w:val="00D41620"/>
    <w:rsid w:val="00D419BB"/>
    <w:rsid w:val="00D42688"/>
    <w:rsid w:val="00D42D72"/>
    <w:rsid w:val="00D43DD6"/>
    <w:rsid w:val="00D4458B"/>
    <w:rsid w:val="00D44C3C"/>
    <w:rsid w:val="00D44DF9"/>
    <w:rsid w:val="00D4518D"/>
    <w:rsid w:val="00D453E3"/>
    <w:rsid w:val="00D45F0F"/>
    <w:rsid w:val="00D461AE"/>
    <w:rsid w:val="00D46884"/>
    <w:rsid w:val="00D46E8A"/>
    <w:rsid w:val="00D47096"/>
    <w:rsid w:val="00D5005C"/>
    <w:rsid w:val="00D50B24"/>
    <w:rsid w:val="00D5189A"/>
    <w:rsid w:val="00D518F8"/>
    <w:rsid w:val="00D51951"/>
    <w:rsid w:val="00D51C2C"/>
    <w:rsid w:val="00D51DF0"/>
    <w:rsid w:val="00D5296A"/>
    <w:rsid w:val="00D52BE8"/>
    <w:rsid w:val="00D534BD"/>
    <w:rsid w:val="00D53513"/>
    <w:rsid w:val="00D53C82"/>
    <w:rsid w:val="00D53C8E"/>
    <w:rsid w:val="00D53E03"/>
    <w:rsid w:val="00D54780"/>
    <w:rsid w:val="00D54AF9"/>
    <w:rsid w:val="00D54C13"/>
    <w:rsid w:val="00D54D28"/>
    <w:rsid w:val="00D55186"/>
    <w:rsid w:val="00D5561F"/>
    <w:rsid w:val="00D55A36"/>
    <w:rsid w:val="00D566B9"/>
    <w:rsid w:val="00D5689A"/>
    <w:rsid w:val="00D568F0"/>
    <w:rsid w:val="00D56AB9"/>
    <w:rsid w:val="00D57072"/>
    <w:rsid w:val="00D605F8"/>
    <w:rsid w:val="00D61249"/>
    <w:rsid w:val="00D61458"/>
    <w:rsid w:val="00D61AE5"/>
    <w:rsid w:val="00D632B4"/>
    <w:rsid w:val="00D635CD"/>
    <w:rsid w:val="00D63862"/>
    <w:rsid w:val="00D63A3A"/>
    <w:rsid w:val="00D64636"/>
    <w:rsid w:val="00D64B1F"/>
    <w:rsid w:val="00D64D92"/>
    <w:rsid w:val="00D65097"/>
    <w:rsid w:val="00D659CE"/>
    <w:rsid w:val="00D668E4"/>
    <w:rsid w:val="00D66B15"/>
    <w:rsid w:val="00D66DCC"/>
    <w:rsid w:val="00D6709A"/>
    <w:rsid w:val="00D67466"/>
    <w:rsid w:val="00D67EDA"/>
    <w:rsid w:val="00D7043B"/>
    <w:rsid w:val="00D7047B"/>
    <w:rsid w:val="00D705EA"/>
    <w:rsid w:val="00D708BC"/>
    <w:rsid w:val="00D70974"/>
    <w:rsid w:val="00D71183"/>
    <w:rsid w:val="00D717B5"/>
    <w:rsid w:val="00D71A24"/>
    <w:rsid w:val="00D72471"/>
    <w:rsid w:val="00D7278E"/>
    <w:rsid w:val="00D72844"/>
    <w:rsid w:val="00D729A9"/>
    <w:rsid w:val="00D7305E"/>
    <w:rsid w:val="00D737C1"/>
    <w:rsid w:val="00D73E69"/>
    <w:rsid w:val="00D73F79"/>
    <w:rsid w:val="00D73F92"/>
    <w:rsid w:val="00D741F4"/>
    <w:rsid w:val="00D748F5"/>
    <w:rsid w:val="00D74FEC"/>
    <w:rsid w:val="00D7500F"/>
    <w:rsid w:val="00D75444"/>
    <w:rsid w:val="00D75505"/>
    <w:rsid w:val="00D75557"/>
    <w:rsid w:val="00D75735"/>
    <w:rsid w:val="00D758EE"/>
    <w:rsid w:val="00D75F6D"/>
    <w:rsid w:val="00D76695"/>
    <w:rsid w:val="00D77206"/>
    <w:rsid w:val="00D77487"/>
    <w:rsid w:val="00D774A9"/>
    <w:rsid w:val="00D775E6"/>
    <w:rsid w:val="00D77971"/>
    <w:rsid w:val="00D77DAB"/>
    <w:rsid w:val="00D80528"/>
    <w:rsid w:val="00D80794"/>
    <w:rsid w:val="00D80AD1"/>
    <w:rsid w:val="00D811AD"/>
    <w:rsid w:val="00D817B4"/>
    <w:rsid w:val="00D8198F"/>
    <w:rsid w:val="00D81B4F"/>
    <w:rsid w:val="00D8228F"/>
    <w:rsid w:val="00D82440"/>
    <w:rsid w:val="00D8273D"/>
    <w:rsid w:val="00D82791"/>
    <w:rsid w:val="00D828E6"/>
    <w:rsid w:val="00D8291C"/>
    <w:rsid w:val="00D830B8"/>
    <w:rsid w:val="00D831C6"/>
    <w:rsid w:val="00D83543"/>
    <w:rsid w:val="00D8376C"/>
    <w:rsid w:val="00D838B4"/>
    <w:rsid w:val="00D83C18"/>
    <w:rsid w:val="00D83CB1"/>
    <w:rsid w:val="00D846E0"/>
    <w:rsid w:val="00D85704"/>
    <w:rsid w:val="00D85A2B"/>
    <w:rsid w:val="00D85E66"/>
    <w:rsid w:val="00D862DA"/>
    <w:rsid w:val="00D8640C"/>
    <w:rsid w:val="00D86456"/>
    <w:rsid w:val="00D8695A"/>
    <w:rsid w:val="00D86C4C"/>
    <w:rsid w:val="00D870BD"/>
    <w:rsid w:val="00D87F83"/>
    <w:rsid w:val="00D90680"/>
    <w:rsid w:val="00D90ED8"/>
    <w:rsid w:val="00D919B7"/>
    <w:rsid w:val="00D921EA"/>
    <w:rsid w:val="00D92ED7"/>
    <w:rsid w:val="00D9304E"/>
    <w:rsid w:val="00D9454F"/>
    <w:rsid w:val="00D95256"/>
    <w:rsid w:val="00D953C9"/>
    <w:rsid w:val="00D954AF"/>
    <w:rsid w:val="00D96258"/>
    <w:rsid w:val="00D965A2"/>
    <w:rsid w:val="00D96B9B"/>
    <w:rsid w:val="00D97FEA"/>
    <w:rsid w:val="00DA01AD"/>
    <w:rsid w:val="00DA14EB"/>
    <w:rsid w:val="00DA1A5D"/>
    <w:rsid w:val="00DA1D3D"/>
    <w:rsid w:val="00DA3D7B"/>
    <w:rsid w:val="00DA40E4"/>
    <w:rsid w:val="00DA6721"/>
    <w:rsid w:val="00DA6846"/>
    <w:rsid w:val="00DA6ED0"/>
    <w:rsid w:val="00DA7189"/>
    <w:rsid w:val="00DA7370"/>
    <w:rsid w:val="00DA7563"/>
    <w:rsid w:val="00DA776E"/>
    <w:rsid w:val="00DB031D"/>
    <w:rsid w:val="00DB0AB1"/>
    <w:rsid w:val="00DB1190"/>
    <w:rsid w:val="00DB16C2"/>
    <w:rsid w:val="00DB3656"/>
    <w:rsid w:val="00DB442E"/>
    <w:rsid w:val="00DB4594"/>
    <w:rsid w:val="00DB476F"/>
    <w:rsid w:val="00DB4AA3"/>
    <w:rsid w:val="00DB4BB3"/>
    <w:rsid w:val="00DB537A"/>
    <w:rsid w:val="00DB6237"/>
    <w:rsid w:val="00DB6786"/>
    <w:rsid w:val="00DB68FF"/>
    <w:rsid w:val="00DB7230"/>
    <w:rsid w:val="00DB7BFF"/>
    <w:rsid w:val="00DB7E9F"/>
    <w:rsid w:val="00DC0066"/>
    <w:rsid w:val="00DC0D5D"/>
    <w:rsid w:val="00DC1057"/>
    <w:rsid w:val="00DC137C"/>
    <w:rsid w:val="00DC15FA"/>
    <w:rsid w:val="00DC2637"/>
    <w:rsid w:val="00DC2997"/>
    <w:rsid w:val="00DC2C11"/>
    <w:rsid w:val="00DC32BA"/>
    <w:rsid w:val="00DC37E2"/>
    <w:rsid w:val="00DC3910"/>
    <w:rsid w:val="00DC3949"/>
    <w:rsid w:val="00DC45CE"/>
    <w:rsid w:val="00DC47B1"/>
    <w:rsid w:val="00DC5FD8"/>
    <w:rsid w:val="00DC6302"/>
    <w:rsid w:val="00DC663B"/>
    <w:rsid w:val="00DC7DA1"/>
    <w:rsid w:val="00DD067E"/>
    <w:rsid w:val="00DD0688"/>
    <w:rsid w:val="00DD0D38"/>
    <w:rsid w:val="00DD0DAA"/>
    <w:rsid w:val="00DD25A2"/>
    <w:rsid w:val="00DD4029"/>
    <w:rsid w:val="00DD4A0E"/>
    <w:rsid w:val="00DD4AFA"/>
    <w:rsid w:val="00DD4F43"/>
    <w:rsid w:val="00DD50B3"/>
    <w:rsid w:val="00DD5AD2"/>
    <w:rsid w:val="00DD6537"/>
    <w:rsid w:val="00DD6667"/>
    <w:rsid w:val="00DD6FBB"/>
    <w:rsid w:val="00DD74A2"/>
    <w:rsid w:val="00DD75D4"/>
    <w:rsid w:val="00DD7732"/>
    <w:rsid w:val="00DE10FB"/>
    <w:rsid w:val="00DE180B"/>
    <w:rsid w:val="00DE1B45"/>
    <w:rsid w:val="00DE208D"/>
    <w:rsid w:val="00DE27AD"/>
    <w:rsid w:val="00DE2962"/>
    <w:rsid w:val="00DE2DEE"/>
    <w:rsid w:val="00DE2F1C"/>
    <w:rsid w:val="00DE32DF"/>
    <w:rsid w:val="00DE3803"/>
    <w:rsid w:val="00DE383B"/>
    <w:rsid w:val="00DE3AB9"/>
    <w:rsid w:val="00DE3FBE"/>
    <w:rsid w:val="00DE43CB"/>
    <w:rsid w:val="00DE43FD"/>
    <w:rsid w:val="00DE49BE"/>
    <w:rsid w:val="00DE4C75"/>
    <w:rsid w:val="00DE582D"/>
    <w:rsid w:val="00DE5D62"/>
    <w:rsid w:val="00DE634C"/>
    <w:rsid w:val="00DE6576"/>
    <w:rsid w:val="00DE69AB"/>
    <w:rsid w:val="00DE6CEE"/>
    <w:rsid w:val="00DE701B"/>
    <w:rsid w:val="00DE726F"/>
    <w:rsid w:val="00DF1268"/>
    <w:rsid w:val="00DF1305"/>
    <w:rsid w:val="00DF18F8"/>
    <w:rsid w:val="00DF21CC"/>
    <w:rsid w:val="00DF2B32"/>
    <w:rsid w:val="00DF4614"/>
    <w:rsid w:val="00DF475B"/>
    <w:rsid w:val="00DF488C"/>
    <w:rsid w:val="00DF4DD6"/>
    <w:rsid w:val="00DF50E0"/>
    <w:rsid w:val="00DF52AF"/>
    <w:rsid w:val="00DF53BE"/>
    <w:rsid w:val="00DF5B50"/>
    <w:rsid w:val="00DF5F8C"/>
    <w:rsid w:val="00DF6676"/>
    <w:rsid w:val="00DF66B2"/>
    <w:rsid w:val="00DF6D10"/>
    <w:rsid w:val="00DF6D5C"/>
    <w:rsid w:val="00DF75E9"/>
    <w:rsid w:val="00DF76EB"/>
    <w:rsid w:val="00DF77C8"/>
    <w:rsid w:val="00DF785C"/>
    <w:rsid w:val="00DF7AE3"/>
    <w:rsid w:val="00DF7B25"/>
    <w:rsid w:val="00E00B67"/>
    <w:rsid w:val="00E00D28"/>
    <w:rsid w:val="00E00DED"/>
    <w:rsid w:val="00E01A92"/>
    <w:rsid w:val="00E01DB3"/>
    <w:rsid w:val="00E02500"/>
    <w:rsid w:val="00E0542F"/>
    <w:rsid w:val="00E062E5"/>
    <w:rsid w:val="00E06F5F"/>
    <w:rsid w:val="00E0742B"/>
    <w:rsid w:val="00E07542"/>
    <w:rsid w:val="00E12159"/>
    <w:rsid w:val="00E123FA"/>
    <w:rsid w:val="00E135A1"/>
    <w:rsid w:val="00E136B7"/>
    <w:rsid w:val="00E138EA"/>
    <w:rsid w:val="00E1398F"/>
    <w:rsid w:val="00E144A0"/>
    <w:rsid w:val="00E14567"/>
    <w:rsid w:val="00E1496E"/>
    <w:rsid w:val="00E152BA"/>
    <w:rsid w:val="00E1560C"/>
    <w:rsid w:val="00E16529"/>
    <w:rsid w:val="00E16638"/>
    <w:rsid w:val="00E16B22"/>
    <w:rsid w:val="00E16EF1"/>
    <w:rsid w:val="00E17596"/>
    <w:rsid w:val="00E177A0"/>
    <w:rsid w:val="00E17B2B"/>
    <w:rsid w:val="00E17F63"/>
    <w:rsid w:val="00E17FC8"/>
    <w:rsid w:val="00E2046E"/>
    <w:rsid w:val="00E20F5C"/>
    <w:rsid w:val="00E217B2"/>
    <w:rsid w:val="00E21BD0"/>
    <w:rsid w:val="00E2276C"/>
    <w:rsid w:val="00E229E7"/>
    <w:rsid w:val="00E22F0F"/>
    <w:rsid w:val="00E23291"/>
    <w:rsid w:val="00E25CB5"/>
    <w:rsid w:val="00E268B0"/>
    <w:rsid w:val="00E276A3"/>
    <w:rsid w:val="00E30381"/>
    <w:rsid w:val="00E30651"/>
    <w:rsid w:val="00E31077"/>
    <w:rsid w:val="00E312F2"/>
    <w:rsid w:val="00E31887"/>
    <w:rsid w:val="00E31A93"/>
    <w:rsid w:val="00E323D9"/>
    <w:rsid w:val="00E326F2"/>
    <w:rsid w:val="00E33C38"/>
    <w:rsid w:val="00E34011"/>
    <w:rsid w:val="00E347D2"/>
    <w:rsid w:val="00E34CBA"/>
    <w:rsid w:val="00E3506C"/>
    <w:rsid w:val="00E3531C"/>
    <w:rsid w:val="00E3569C"/>
    <w:rsid w:val="00E35752"/>
    <w:rsid w:val="00E36448"/>
    <w:rsid w:val="00E367B2"/>
    <w:rsid w:val="00E3702C"/>
    <w:rsid w:val="00E3735E"/>
    <w:rsid w:val="00E40C3A"/>
    <w:rsid w:val="00E4188B"/>
    <w:rsid w:val="00E41B53"/>
    <w:rsid w:val="00E4286A"/>
    <w:rsid w:val="00E43C06"/>
    <w:rsid w:val="00E44098"/>
    <w:rsid w:val="00E44192"/>
    <w:rsid w:val="00E448BC"/>
    <w:rsid w:val="00E448C7"/>
    <w:rsid w:val="00E449B1"/>
    <w:rsid w:val="00E457ED"/>
    <w:rsid w:val="00E45DD9"/>
    <w:rsid w:val="00E46699"/>
    <w:rsid w:val="00E46B0F"/>
    <w:rsid w:val="00E47211"/>
    <w:rsid w:val="00E4748B"/>
    <w:rsid w:val="00E47792"/>
    <w:rsid w:val="00E47B31"/>
    <w:rsid w:val="00E501F7"/>
    <w:rsid w:val="00E5082D"/>
    <w:rsid w:val="00E513BA"/>
    <w:rsid w:val="00E51489"/>
    <w:rsid w:val="00E52708"/>
    <w:rsid w:val="00E52A55"/>
    <w:rsid w:val="00E52F10"/>
    <w:rsid w:val="00E53035"/>
    <w:rsid w:val="00E53344"/>
    <w:rsid w:val="00E53719"/>
    <w:rsid w:val="00E53CE1"/>
    <w:rsid w:val="00E541C1"/>
    <w:rsid w:val="00E546F4"/>
    <w:rsid w:val="00E54AD9"/>
    <w:rsid w:val="00E54F01"/>
    <w:rsid w:val="00E552A7"/>
    <w:rsid w:val="00E553E3"/>
    <w:rsid w:val="00E564D6"/>
    <w:rsid w:val="00E571A7"/>
    <w:rsid w:val="00E57306"/>
    <w:rsid w:val="00E574A9"/>
    <w:rsid w:val="00E57F91"/>
    <w:rsid w:val="00E60050"/>
    <w:rsid w:val="00E60733"/>
    <w:rsid w:val="00E6131A"/>
    <w:rsid w:val="00E61355"/>
    <w:rsid w:val="00E613BC"/>
    <w:rsid w:val="00E61666"/>
    <w:rsid w:val="00E61746"/>
    <w:rsid w:val="00E61F1E"/>
    <w:rsid w:val="00E62486"/>
    <w:rsid w:val="00E64223"/>
    <w:rsid w:val="00E64877"/>
    <w:rsid w:val="00E653CE"/>
    <w:rsid w:val="00E65B70"/>
    <w:rsid w:val="00E65DCD"/>
    <w:rsid w:val="00E667CA"/>
    <w:rsid w:val="00E66861"/>
    <w:rsid w:val="00E66A49"/>
    <w:rsid w:val="00E66E21"/>
    <w:rsid w:val="00E67063"/>
    <w:rsid w:val="00E67CC8"/>
    <w:rsid w:val="00E70073"/>
    <w:rsid w:val="00E705FD"/>
    <w:rsid w:val="00E70F38"/>
    <w:rsid w:val="00E70FF4"/>
    <w:rsid w:val="00E710FC"/>
    <w:rsid w:val="00E71915"/>
    <w:rsid w:val="00E71F4A"/>
    <w:rsid w:val="00E72FC2"/>
    <w:rsid w:val="00E73004"/>
    <w:rsid w:val="00E7327C"/>
    <w:rsid w:val="00E74172"/>
    <w:rsid w:val="00E7437B"/>
    <w:rsid w:val="00E75223"/>
    <w:rsid w:val="00E75533"/>
    <w:rsid w:val="00E759DE"/>
    <w:rsid w:val="00E75AD4"/>
    <w:rsid w:val="00E75D6F"/>
    <w:rsid w:val="00E75FAC"/>
    <w:rsid w:val="00E768E0"/>
    <w:rsid w:val="00E77A24"/>
    <w:rsid w:val="00E80827"/>
    <w:rsid w:val="00E80916"/>
    <w:rsid w:val="00E82387"/>
    <w:rsid w:val="00E8283C"/>
    <w:rsid w:val="00E82D56"/>
    <w:rsid w:val="00E8308F"/>
    <w:rsid w:val="00E83747"/>
    <w:rsid w:val="00E83B43"/>
    <w:rsid w:val="00E840DF"/>
    <w:rsid w:val="00E8560F"/>
    <w:rsid w:val="00E85F6F"/>
    <w:rsid w:val="00E8780A"/>
    <w:rsid w:val="00E87D4C"/>
    <w:rsid w:val="00E902C0"/>
    <w:rsid w:val="00E903CE"/>
    <w:rsid w:val="00E91383"/>
    <w:rsid w:val="00E91679"/>
    <w:rsid w:val="00E92515"/>
    <w:rsid w:val="00E92EBD"/>
    <w:rsid w:val="00E930AD"/>
    <w:rsid w:val="00E94096"/>
    <w:rsid w:val="00E94613"/>
    <w:rsid w:val="00E94811"/>
    <w:rsid w:val="00E94969"/>
    <w:rsid w:val="00E94BCF"/>
    <w:rsid w:val="00E957FC"/>
    <w:rsid w:val="00E959A7"/>
    <w:rsid w:val="00E959FD"/>
    <w:rsid w:val="00E95F0A"/>
    <w:rsid w:val="00E963E4"/>
    <w:rsid w:val="00E965C0"/>
    <w:rsid w:val="00E97F8E"/>
    <w:rsid w:val="00EA0289"/>
    <w:rsid w:val="00EA0320"/>
    <w:rsid w:val="00EA0547"/>
    <w:rsid w:val="00EA1D98"/>
    <w:rsid w:val="00EA209F"/>
    <w:rsid w:val="00EA284E"/>
    <w:rsid w:val="00EA3668"/>
    <w:rsid w:val="00EA49FD"/>
    <w:rsid w:val="00EA4A14"/>
    <w:rsid w:val="00EA4BCE"/>
    <w:rsid w:val="00EA50DE"/>
    <w:rsid w:val="00EA53B2"/>
    <w:rsid w:val="00EA6B42"/>
    <w:rsid w:val="00EA6CB7"/>
    <w:rsid w:val="00EA7A8E"/>
    <w:rsid w:val="00EB0368"/>
    <w:rsid w:val="00EB0559"/>
    <w:rsid w:val="00EB05EE"/>
    <w:rsid w:val="00EB06C8"/>
    <w:rsid w:val="00EB06FA"/>
    <w:rsid w:val="00EB078C"/>
    <w:rsid w:val="00EB09EB"/>
    <w:rsid w:val="00EB11D1"/>
    <w:rsid w:val="00EB1274"/>
    <w:rsid w:val="00EB16D0"/>
    <w:rsid w:val="00EB181B"/>
    <w:rsid w:val="00EB1CA4"/>
    <w:rsid w:val="00EB1D3E"/>
    <w:rsid w:val="00EB2DEA"/>
    <w:rsid w:val="00EB303B"/>
    <w:rsid w:val="00EB3763"/>
    <w:rsid w:val="00EB3B75"/>
    <w:rsid w:val="00EB3C93"/>
    <w:rsid w:val="00EB3CC9"/>
    <w:rsid w:val="00EB3EF2"/>
    <w:rsid w:val="00EB4083"/>
    <w:rsid w:val="00EB4284"/>
    <w:rsid w:val="00EB4B3C"/>
    <w:rsid w:val="00EB506E"/>
    <w:rsid w:val="00EB5727"/>
    <w:rsid w:val="00EB587E"/>
    <w:rsid w:val="00EB611D"/>
    <w:rsid w:val="00EB6C23"/>
    <w:rsid w:val="00EB7B75"/>
    <w:rsid w:val="00EC036D"/>
    <w:rsid w:val="00EC04BC"/>
    <w:rsid w:val="00EC15C9"/>
    <w:rsid w:val="00EC1F63"/>
    <w:rsid w:val="00EC21E0"/>
    <w:rsid w:val="00EC2AE2"/>
    <w:rsid w:val="00EC3216"/>
    <w:rsid w:val="00EC3225"/>
    <w:rsid w:val="00EC323E"/>
    <w:rsid w:val="00EC341C"/>
    <w:rsid w:val="00EC4904"/>
    <w:rsid w:val="00EC4DBF"/>
    <w:rsid w:val="00EC5010"/>
    <w:rsid w:val="00EC529E"/>
    <w:rsid w:val="00EC5F7F"/>
    <w:rsid w:val="00EC61FC"/>
    <w:rsid w:val="00EC6789"/>
    <w:rsid w:val="00EC6C96"/>
    <w:rsid w:val="00EC6DB2"/>
    <w:rsid w:val="00EC71DC"/>
    <w:rsid w:val="00EC7203"/>
    <w:rsid w:val="00EC7A51"/>
    <w:rsid w:val="00ED0172"/>
    <w:rsid w:val="00ED0341"/>
    <w:rsid w:val="00ED0F10"/>
    <w:rsid w:val="00ED1657"/>
    <w:rsid w:val="00ED190B"/>
    <w:rsid w:val="00ED1D5A"/>
    <w:rsid w:val="00ED1E87"/>
    <w:rsid w:val="00ED2081"/>
    <w:rsid w:val="00ED20E0"/>
    <w:rsid w:val="00ED211D"/>
    <w:rsid w:val="00ED27CE"/>
    <w:rsid w:val="00ED2B79"/>
    <w:rsid w:val="00ED2FA5"/>
    <w:rsid w:val="00ED36A5"/>
    <w:rsid w:val="00ED4AB7"/>
    <w:rsid w:val="00ED5637"/>
    <w:rsid w:val="00ED5729"/>
    <w:rsid w:val="00ED5845"/>
    <w:rsid w:val="00ED5FE0"/>
    <w:rsid w:val="00ED6618"/>
    <w:rsid w:val="00ED6EE1"/>
    <w:rsid w:val="00ED71FF"/>
    <w:rsid w:val="00ED771C"/>
    <w:rsid w:val="00ED77CB"/>
    <w:rsid w:val="00ED7AF0"/>
    <w:rsid w:val="00EE00F5"/>
    <w:rsid w:val="00EE0197"/>
    <w:rsid w:val="00EE079F"/>
    <w:rsid w:val="00EE09C6"/>
    <w:rsid w:val="00EE10A6"/>
    <w:rsid w:val="00EE1457"/>
    <w:rsid w:val="00EE1BFA"/>
    <w:rsid w:val="00EE1E41"/>
    <w:rsid w:val="00EE21D8"/>
    <w:rsid w:val="00EE296A"/>
    <w:rsid w:val="00EE40D5"/>
    <w:rsid w:val="00EE4C68"/>
    <w:rsid w:val="00EE54E2"/>
    <w:rsid w:val="00EE565E"/>
    <w:rsid w:val="00EE65F3"/>
    <w:rsid w:val="00EE6A2D"/>
    <w:rsid w:val="00EE71C9"/>
    <w:rsid w:val="00EE735D"/>
    <w:rsid w:val="00EF014A"/>
    <w:rsid w:val="00EF0CAD"/>
    <w:rsid w:val="00EF0D71"/>
    <w:rsid w:val="00EF2248"/>
    <w:rsid w:val="00EF2F26"/>
    <w:rsid w:val="00EF34AD"/>
    <w:rsid w:val="00EF352D"/>
    <w:rsid w:val="00EF3DEB"/>
    <w:rsid w:val="00EF403F"/>
    <w:rsid w:val="00EF4AEE"/>
    <w:rsid w:val="00EF4C7A"/>
    <w:rsid w:val="00EF4CD9"/>
    <w:rsid w:val="00EF4D17"/>
    <w:rsid w:val="00EF4E9B"/>
    <w:rsid w:val="00EF4F78"/>
    <w:rsid w:val="00EF58DA"/>
    <w:rsid w:val="00EF61E3"/>
    <w:rsid w:val="00EF6475"/>
    <w:rsid w:val="00EF6757"/>
    <w:rsid w:val="00EF6978"/>
    <w:rsid w:val="00EF6B9A"/>
    <w:rsid w:val="00EF6DE3"/>
    <w:rsid w:val="00EF6E41"/>
    <w:rsid w:val="00EF7F7D"/>
    <w:rsid w:val="00F0077D"/>
    <w:rsid w:val="00F00957"/>
    <w:rsid w:val="00F015C3"/>
    <w:rsid w:val="00F01F79"/>
    <w:rsid w:val="00F02895"/>
    <w:rsid w:val="00F0299B"/>
    <w:rsid w:val="00F02D3D"/>
    <w:rsid w:val="00F03250"/>
    <w:rsid w:val="00F03462"/>
    <w:rsid w:val="00F03F3B"/>
    <w:rsid w:val="00F040BA"/>
    <w:rsid w:val="00F06BBE"/>
    <w:rsid w:val="00F06E3A"/>
    <w:rsid w:val="00F06FE8"/>
    <w:rsid w:val="00F07138"/>
    <w:rsid w:val="00F0732D"/>
    <w:rsid w:val="00F07468"/>
    <w:rsid w:val="00F07EB7"/>
    <w:rsid w:val="00F10D3F"/>
    <w:rsid w:val="00F10FE2"/>
    <w:rsid w:val="00F11C91"/>
    <w:rsid w:val="00F11DDC"/>
    <w:rsid w:val="00F11E5C"/>
    <w:rsid w:val="00F12089"/>
    <w:rsid w:val="00F12204"/>
    <w:rsid w:val="00F1302B"/>
    <w:rsid w:val="00F13240"/>
    <w:rsid w:val="00F139BE"/>
    <w:rsid w:val="00F13F76"/>
    <w:rsid w:val="00F14568"/>
    <w:rsid w:val="00F14AD0"/>
    <w:rsid w:val="00F14CB3"/>
    <w:rsid w:val="00F159AC"/>
    <w:rsid w:val="00F15A24"/>
    <w:rsid w:val="00F16B8F"/>
    <w:rsid w:val="00F175DD"/>
    <w:rsid w:val="00F20C07"/>
    <w:rsid w:val="00F2176B"/>
    <w:rsid w:val="00F22D82"/>
    <w:rsid w:val="00F2310B"/>
    <w:rsid w:val="00F2399D"/>
    <w:rsid w:val="00F23A8E"/>
    <w:rsid w:val="00F248A3"/>
    <w:rsid w:val="00F249C7"/>
    <w:rsid w:val="00F24B2C"/>
    <w:rsid w:val="00F25203"/>
    <w:rsid w:val="00F25951"/>
    <w:rsid w:val="00F26C8F"/>
    <w:rsid w:val="00F26D40"/>
    <w:rsid w:val="00F271C2"/>
    <w:rsid w:val="00F27A7F"/>
    <w:rsid w:val="00F30586"/>
    <w:rsid w:val="00F306E5"/>
    <w:rsid w:val="00F30D32"/>
    <w:rsid w:val="00F310C3"/>
    <w:rsid w:val="00F310EB"/>
    <w:rsid w:val="00F31744"/>
    <w:rsid w:val="00F31DC1"/>
    <w:rsid w:val="00F31F3D"/>
    <w:rsid w:val="00F3266C"/>
    <w:rsid w:val="00F3270E"/>
    <w:rsid w:val="00F3345E"/>
    <w:rsid w:val="00F33DE2"/>
    <w:rsid w:val="00F340B6"/>
    <w:rsid w:val="00F34269"/>
    <w:rsid w:val="00F34C55"/>
    <w:rsid w:val="00F34EF2"/>
    <w:rsid w:val="00F35972"/>
    <w:rsid w:val="00F361B7"/>
    <w:rsid w:val="00F3650B"/>
    <w:rsid w:val="00F367E9"/>
    <w:rsid w:val="00F36DF0"/>
    <w:rsid w:val="00F37D4E"/>
    <w:rsid w:val="00F401AC"/>
    <w:rsid w:val="00F40B09"/>
    <w:rsid w:val="00F40BAE"/>
    <w:rsid w:val="00F40FA3"/>
    <w:rsid w:val="00F43F98"/>
    <w:rsid w:val="00F44AB3"/>
    <w:rsid w:val="00F45219"/>
    <w:rsid w:val="00F454AE"/>
    <w:rsid w:val="00F4659F"/>
    <w:rsid w:val="00F47D5C"/>
    <w:rsid w:val="00F47D70"/>
    <w:rsid w:val="00F50080"/>
    <w:rsid w:val="00F514B5"/>
    <w:rsid w:val="00F5186D"/>
    <w:rsid w:val="00F52883"/>
    <w:rsid w:val="00F52F93"/>
    <w:rsid w:val="00F531ED"/>
    <w:rsid w:val="00F54608"/>
    <w:rsid w:val="00F54E7A"/>
    <w:rsid w:val="00F55013"/>
    <w:rsid w:val="00F551BF"/>
    <w:rsid w:val="00F552F2"/>
    <w:rsid w:val="00F55368"/>
    <w:rsid w:val="00F55944"/>
    <w:rsid w:val="00F55B79"/>
    <w:rsid w:val="00F55C52"/>
    <w:rsid w:val="00F55E52"/>
    <w:rsid w:val="00F56511"/>
    <w:rsid w:val="00F570BC"/>
    <w:rsid w:val="00F574AF"/>
    <w:rsid w:val="00F57EF0"/>
    <w:rsid w:val="00F602E8"/>
    <w:rsid w:val="00F603E2"/>
    <w:rsid w:val="00F6048A"/>
    <w:rsid w:val="00F61468"/>
    <w:rsid w:val="00F61B90"/>
    <w:rsid w:val="00F622DE"/>
    <w:rsid w:val="00F627E2"/>
    <w:rsid w:val="00F62882"/>
    <w:rsid w:val="00F62AC7"/>
    <w:rsid w:val="00F63377"/>
    <w:rsid w:val="00F63551"/>
    <w:rsid w:val="00F639A7"/>
    <w:rsid w:val="00F6409B"/>
    <w:rsid w:val="00F6458F"/>
    <w:rsid w:val="00F64D27"/>
    <w:rsid w:val="00F65B2C"/>
    <w:rsid w:val="00F66129"/>
    <w:rsid w:val="00F66834"/>
    <w:rsid w:val="00F66DFC"/>
    <w:rsid w:val="00F67A47"/>
    <w:rsid w:val="00F67C4C"/>
    <w:rsid w:val="00F67E43"/>
    <w:rsid w:val="00F71520"/>
    <w:rsid w:val="00F7164B"/>
    <w:rsid w:val="00F727D9"/>
    <w:rsid w:val="00F74D22"/>
    <w:rsid w:val="00F7590F"/>
    <w:rsid w:val="00F75FE2"/>
    <w:rsid w:val="00F7610A"/>
    <w:rsid w:val="00F76892"/>
    <w:rsid w:val="00F76937"/>
    <w:rsid w:val="00F76B01"/>
    <w:rsid w:val="00F772CC"/>
    <w:rsid w:val="00F7733B"/>
    <w:rsid w:val="00F779C5"/>
    <w:rsid w:val="00F77EA7"/>
    <w:rsid w:val="00F80EF5"/>
    <w:rsid w:val="00F81310"/>
    <w:rsid w:val="00F81546"/>
    <w:rsid w:val="00F82090"/>
    <w:rsid w:val="00F8289B"/>
    <w:rsid w:val="00F830B4"/>
    <w:rsid w:val="00F84520"/>
    <w:rsid w:val="00F84F45"/>
    <w:rsid w:val="00F850BD"/>
    <w:rsid w:val="00F8569E"/>
    <w:rsid w:val="00F85A14"/>
    <w:rsid w:val="00F862BC"/>
    <w:rsid w:val="00F86DFD"/>
    <w:rsid w:val="00F90547"/>
    <w:rsid w:val="00F90EB0"/>
    <w:rsid w:val="00F913C6"/>
    <w:rsid w:val="00F91FE1"/>
    <w:rsid w:val="00F9275D"/>
    <w:rsid w:val="00F927F2"/>
    <w:rsid w:val="00F93A64"/>
    <w:rsid w:val="00F93D88"/>
    <w:rsid w:val="00F94864"/>
    <w:rsid w:val="00F95729"/>
    <w:rsid w:val="00F95BDD"/>
    <w:rsid w:val="00F95C83"/>
    <w:rsid w:val="00F96080"/>
    <w:rsid w:val="00F977D2"/>
    <w:rsid w:val="00FA02EE"/>
    <w:rsid w:val="00FA1306"/>
    <w:rsid w:val="00FA1E10"/>
    <w:rsid w:val="00FA1E6E"/>
    <w:rsid w:val="00FA33A6"/>
    <w:rsid w:val="00FA3A8F"/>
    <w:rsid w:val="00FA3EE2"/>
    <w:rsid w:val="00FA4CC4"/>
    <w:rsid w:val="00FA522E"/>
    <w:rsid w:val="00FA56B7"/>
    <w:rsid w:val="00FA5B41"/>
    <w:rsid w:val="00FA5F05"/>
    <w:rsid w:val="00FA6405"/>
    <w:rsid w:val="00FA6499"/>
    <w:rsid w:val="00FA65B3"/>
    <w:rsid w:val="00FA77D0"/>
    <w:rsid w:val="00FA7B80"/>
    <w:rsid w:val="00FB04B0"/>
    <w:rsid w:val="00FB07E3"/>
    <w:rsid w:val="00FB0B18"/>
    <w:rsid w:val="00FB113D"/>
    <w:rsid w:val="00FB13CD"/>
    <w:rsid w:val="00FB14DA"/>
    <w:rsid w:val="00FB150B"/>
    <w:rsid w:val="00FB15A4"/>
    <w:rsid w:val="00FB2ACA"/>
    <w:rsid w:val="00FB32D2"/>
    <w:rsid w:val="00FB34AF"/>
    <w:rsid w:val="00FB39CD"/>
    <w:rsid w:val="00FB3C16"/>
    <w:rsid w:val="00FB3F79"/>
    <w:rsid w:val="00FB4096"/>
    <w:rsid w:val="00FB4507"/>
    <w:rsid w:val="00FB512B"/>
    <w:rsid w:val="00FB5D3D"/>
    <w:rsid w:val="00FB673E"/>
    <w:rsid w:val="00FB67D8"/>
    <w:rsid w:val="00FB74B0"/>
    <w:rsid w:val="00FB74D8"/>
    <w:rsid w:val="00FB753B"/>
    <w:rsid w:val="00FB754E"/>
    <w:rsid w:val="00FB774E"/>
    <w:rsid w:val="00FB7DA1"/>
    <w:rsid w:val="00FC03DC"/>
    <w:rsid w:val="00FC0B5A"/>
    <w:rsid w:val="00FC105B"/>
    <w:rsid w:val="00FC1492"/>
    <w:rsid w:val="00FC1645"/>
    <w:rsid w:val="00FC219F"/>
    <w:rsid w:val="00FC2D70"/>
    <w:rsid w:val="00FC2EBB"/>
    <w:rsid w:val="00FC3D57"/>
    <w:rsid w:val="00FC3D6C"/>
    <w:rsid w:val="00FC3EB4"/>
    <w:rsid w:val="00FC51B8"/>
    <w:rsid w:val="00FC5B11"/>
    <w:rsid w:val="00FC5FD1"/>
    <w:rsid w:val="00FC663A"/>
    <w:rsid w:val="00FC6C2D"/>
    <w:rsid w:val="00FC6C97"/>
    <w:rsid w:val="00FD09C0"/>
    <w:rsid w:val="00FD0CAB"/>
    <w:rsid w:val="00FD1439"/>
    <w:rsid w:val="00FD16AB"/>
    <w:rsid w:val="00FD1ED4"/>
    <w:rsid w:val="00FD1F36"/>
    <w:rsid w:val="00FD2356"/>
    <w:rsid w:val="00FD2E3A"/>
    <w:rsid w:val="00FD2F61"/>
    <w:rsid w:val="00FD31AF"/>
    <w:rsid w:val="00FD3247"/>
    <w:rsid w:val="00FD34E6"/>
    <w:rsid w:val="00FD38DC"/>
    <w:rsid w:val="00FD4631"/>
    <w:rsid w:val="00FD5088"/>
    <w:rsid w:val="00FD52CA"/>
    <w:rsid w:val="00FD5517"/>
    <w:rsid w:val="00FD5835"/>
    <w:rsid w:val="00FD6457"/>
    <w:rsid w:val="00FD646C"/>
    <w:rsid w:val="00FD6D8E"/>
    <w:rsid w:val="00FD6F6E"/>
    <w:rsid w:val="00FD755E"/>
    <w:rsid w:val="00FD78BE"/>
    <w:rsid w:val="00FD7936"/>
    <w:rsid w:val="00FD7CD3"/>
    <w:rsid w:val="00FE040A"/>
    <w:rsid w:val="00FE08C3"/>
    <w:rsid w:val="00FE08D6"/>
    <w:rsid w:val="00FE0FF2"/>
    <w:rsid w:val="00FE1004"/>
    <w:rsid w:val="00FE324D"/>
    <w:rsid w:val="00FE3C84"/>
    <w:rsid w:val="00FE44C5"/>
    <w:rsid w:val="00FE5670"/>
    <w:rsid w:val="00FE615F"/>
    <w:rsid w:val="00FE6CF3"/>
    <w:rsid w:val="00FF0FA7"/>
    <w:rsid w:val="00FF1021"/>
    <w:rsid w:val="00FF141F"/>
    <w:rsid w:val="00FF16C6"/>
    <w:rsid w:val="00FF1725"/>
    <w:rsid w:val="00FF1D97"/>
    <w:rsid w:val="00FF260F"/>
    <w:rsid w:val="00FF2EDE"/>
    <w:rsid w:val="00FF3313"/>
    <w:rsid w:val="00FF3438"/>
    <w:rsid w:val="00FF394D"/>
    <w:rsid w:val="00FF3E78"/>
    <w:rsid w:val="00FF401D"/>
    <w:rsid w:val="00FF406D"/>
    <w:rsid w:val="00FF5335"/>
    <w:rsid w:val="00FF580B"/>
    <w:rsid w:val="00FF5CE3"/>
    <w:rsid w:val="00FF5CE5"/>
    <w:rsid w:val="00FF5FD3"/>
    <w:rsid w:val="00FF6782"/>
    <w:rsid w:val="00FF75C8"/>
    <w:rsid w:val="00FF75F5"/>
    <w:rsid w:val="00FF76E2"/>
    <w:rsid w:val="00FF796B"/>
    <w:rsid w:val="00FF7C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8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5E74ED"/>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5E74ED"/>
    <w:pPr>
      <w:keepNext/>
      <w:numPr>
        <w:numId w:val="5"/>
      </w:numPr>
      <w:ind w:right="1296"/>
      <w:outlineLvl w:val="0"/>
    </w:pPr>
    <w:rPr>
      <w:u w:val="single"/>
    </w:rPr>
  </w:style>
  <w:style w:type="paragraph" w:styleId="Heading2">
    <w:name w:val="heading 2"/>
    <w:basedOn w:val="Normal"/>
    <w:next w:val="Normal"/>
    <w:uiPriority w:val="99"/>
    <w:qFormat/>
    <w:locked/>
    <w:rsid w:val="005E74ED"/>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5E74ED"/>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5E74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4ED"/>
  </w:style>
  <w:style w:type="paragraph" w:styleId="Footer">
    <w:name w:val="footer"/>
    <w:basedOn w:val="Normal"/>
    <w:link w:val="FooterChar"/>
    <w:uiPriority w:val="43"/>
    <w:locked/>
    <w:rsid w:val="005E74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5E74ED"/>
    <w:pPr>
      <w:spacing w:before="240" w:line="240" w:lineRule="exact"/>
      <w:ind w:left="720" w:right="794" w:firstLine="0"/>
    </w:pPr>
  </w:style>
  <w:style w:type="paragraph" w:styleId="FootnoteText">
    <w:name w:val="footnote text"/>
    <w:basedOn w:val="Normal"/>
    <w:link w:val="FootnoteTextChar"/>
    <w:uiPriority w:val="53"/>
    <w:locked/>
    <w:rsid w:val="005E74ED"/>
    <w:pPr>
      <w:spacing w:after="240" w:line="240" w:lineRule="exact"/>
      <w:ind w:left="510" w:hanging="510"/>
    </w:pPr>
  </w:style>
  <w:style w:type="character" w:styleId="FootnoteReference">
    <w:name w:val="footnote reference"/>
    <w:uiPriority w:val="51"/>
    <w:locked/>
    <w:rsid w:val="005E74ED"/>
    <w:rPr>
      <w:b/>
      <w:sz w:val="28"/>
      <w:vertAlign w:val="superscript"/>
    </w:rPr>
  </w:style>
  <w:style w:type="paragraph" w:customStyle="1" w:styleId="FootIndAgain">
    <w:name w:val="FootIndAgain"/>
    <w:basedOn w:val="FootnoteText"/>
    <w:uiPriority w:val="47"/>
    <w:qFormat/>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E74ED"/>
    <w:pPr>
      <w:ind w:firstLine="0"/>
    </w:pPr>
  </w:style>
  <w:style w:type="character" w:customStyle="1" w:styleId="Heading1Char">
    <w:name w:val="Heading 1 Char"/>
    <w:uiPriority w:val="99"/>
    <w:semiHidden/>
    <w:locked/>
    <w:rsid w:val="005E74ED"/>
    <w:rPr>
      <w:rFonts w:ascii="Univers" w:hAnsi="Univers"/>
      <w:sz w:val="26"/>
      <w:u w:val="single"/>
      <w:lang w:val="en-AU"/>
    </w:rPr>
  </w:style>
  <w:style w:type="character" w:customStyle="1" w:styleId="Heading2Char">
    <w:name w:val="Heading 2 Char"/>
    <w:uiPriority w:val="99"/>
    <w:semiHidden/>
    <w:locked/>
    <w:rsid w:val="005E74ED"/>
    <w:rPr>
      <w:rFonts w:ascii="Arial" w:hAnsi="Arial"/>
      <w:b/>
      <w:i/>
      <w:sz w:val="24"/>
      <w:lang w:val="en-AU"/>
    </w:rPr>
  </w:style>
  <w:style w:type="character" w:customStyle="1" w:styleId="Heading3Char">
    <w:name w:val="Heading 3 Char"/>
    <w:uiPriority w:val="99"/>
    <w:semiHidden/>
    <w:locked/>
    <w:rsid w:val="005E74ED"/>
    <w:rPr>
      <w:rFonts w:ascii="Arial" w:hAnsi="Arial"/>
      <w:sz w:val="24"/>
      <w:lang w:val="en-AU"/>
    </w:rPr>
  </w:style>
  <w:style w:type="paragraph" w:customStyle="1" w:styleId="NormalHC">
    <w:name w:val="Normal HC"/>
    <w:basedOn w:val="Normal"/>
    <w:uiPriority w:val="27"/>
    <w:qFormat/>
    <w:locked/>
    <w:rsid w:val="005E74ED"/>
    <w:pPr>
      <w:numPr>
        <w:numId w:val="16"/>
      </w:numPr>
      <w:spacing w:after="480"/>
      <w:ind w:left="0" w:hanging="720"/>
    </w:pPr>
  </w:style>
  <w:style w:type="paragraph" w:customStyle="1" w:styleId="HeadingFirst">
    <w:name w:val="Heading First"/>
    <w:basedOn w:val="NormalHC"/>
    <w:next w:val="HeadingV"/>
    <w:uiPriority w:val="15"/>
    <w:qFormat/>
    <w:locked/>
    <w:rsid w:val="005E74ED"/>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E74ED"/>
    <w:pPr>
      <w:keepNext/>
      <w:numPr>
        <w:numId w:val="0"/>
      </w:numPr>
      <w:outlineLvl w:val="2"/>
    </w:pPr>
    <w:rPr>
      <w:b/>
      <w:szCs w:val="20"/>
    </w:rPr>
  </w:style>
  <w:style w:type="paragraph" w:customStyle="1" w:styleId="HeadingL2">
    <w:name w:val="Heading L2"/>
    <w:basedOn w:val="HeadingL1"/>
    <w:next w:val="NormalHC"/>
    <w:uiPriority w:val="23"/>
    <w:qFormat/>
    <w:locked/>
    <w:rsid w:val="005E74ED"/>
    <w:pPr>
      <w:outlineLvl w:val="3"/>
    </w:pPr>
    <w:rPr>
      <w:b w:val="0"/>
      <w:i/>
    </w:rPr>
  </w:style>
  <w:style w:type="paragraph" w:customStyle="1" w:styleId="HeadingMatter">
    <w:name w:val="Heading Matter"/>
    <w:basedOn w:val="NormalHC"/>
    <w:next w:val="HeadingFirst"/>
    <w:uiPriority w:val="13"/>
    <w:qFormat/>
    <w:locked/>
    <w:rsid w:val="005E74ED"/>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5E74ED"/>
    <w:pPr>
      <w:keepNext w:val="0"/>
    </w:pPr>
  </w:style>
  <w:style w:type="paragraph" w:customStyle="1" w:styleId="HeadingV">
    <w:name w:val="Heading V"/>
    <w:basedOn w:val="HeadingFirst"/>
    <w:next w:val="HeadingSecond"/>
    <w:uiPriority w:val="17"/>
    <w:qFormat/>
    <w:locked/>
    <w:rsid w:val="005E74ED"/>
    <w:rPr>
      <w:caps w:val="0"/>
      <w:u w:val="none"/>
    </w:rPr>
  </w:style>
  <w:style w:type="paragraph" w:customStyle="1" w:styleId="LeftrightafterHC">
    <w:name w:val="Leftright after HC"/>
    <w:basedOn w:val="Normal"/>
    <w:next w:val="leftright"/>
    <w:uiPriority w:val="31"/>
    <w:qFormat/>
    <w:locked/>
    <w:rsid w:val="005E74ED"/>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5E74ED"/>
    <w:pPr>
      <w:ind w:firstLine="720"/>
    </w:pPr>
  </w:style>
  <w:style w:type="paragraph" w:customStyle="1" w:styleId="LeftrightHanging">
    <w:name w:val="LeftrightHanging"/>
    <w:basedOn w:val="NormalHC"/>
    <w:uiPriority w:val="35"/>
    <w:qFormat/>
    <w:locked/>
    <w:rsid w:val="005E74ED"/>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5E74ED"/>
    <w:pPr>
      <w:spacing w:before="200"/>
      <w:ind w:left="2160"/>
    </w:pPr>
  </w:style>
  <w:style w:type="paragraph" w:customStyle="1" w:styleId="NormalafterHd2nd">
    <w:name w:val="Normal after Hd2nd"/>
    <w:basedOn w:val="NormalHC"/>
    <w:next w:val="NormalHC"/>
    <w:uiPriority w:val="29"/>
    <w:locked/>
    <w:rsid w:val="005E74ED"/>
    <w:pPr>
      <w:numPr>
        <w:numId w:val="0"/>
      </w:numPr>
      <w:spacing w:before="1000"/>
    </w:pPr>
  </w:style>
  <w:style w:type="character" w:customStyle="1" w:styleId="NormalHCChar">
    <w:name w:val="Normal HC Char"/>
    <w:uiPriority w:val="99"/>
    <w:semiHidden/>
    <w:locked/>
    <w:rsid w:val="005E74ED"/>
    <w:rPr>
      <w:rFonts w:ascii="Univers" w:hAnsi="Univers"/>
      <w:sz w:val="26"/>
      <w:szCs w:val="26"/>
    </w:rPr>
  </w:style>
  <w:style w:type="character" w:customStyle="1" w:styleId="StyleFootnoteReferenceChar">
    <w:name w:val="Style Footnote Reference Char"/>
    <w:uiPriority w:val="99"/>
    <w:semiHidden/>
    <w:locked/>
    <w:rsid w:val="005E74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5E74ED"/>
  </w:style>
  <w:style w:type="paragraph" w:customStyle="1" w:styleId="HeadingJudgment">
    <w:name w:val="Heading Judgment"/>
    <w:basedOn w:val="Normal"/>
    <w:uiPriority w:val="59"/>
    <w:qFormat/>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5E74ED"/>
    <w:pPr>
      <w:outlineLvl w:val="4"/>
    </w:pPr>
    <w:rPr>
      <w:b w:val="0"/>
    </w:rPr>
  </w:style>
  <w:style w:type="character" w:styleId="PageNumber">
    <w:name w:val="page number"/>
    <w:basedOn w:val="DefaultParagraphFont"/>
    <w:uiPriority w:val="57"/>
    <w:locked/>
    <w:rsid w:val="005E74ED"/>
  </w:style>
  <w:style w:type="paragraph" w:styleId="BalloonText">
    <w:name w:val="Balloon Text"/>
    <w:basedOn w:val="Normal"/>
    <w:link w:val="BalloonTextChar"/>
    <w:semiHidden/>
    <w:locked/>
    <w:rsid w:val="005E74ED"/>
    <w:rPr>
      <w:rFonts w:ascii="Tahoma" w:hAnsi="Tahoma" w:cs="Tahoma"/>
      <w:sz w:val="16"/>
      <w:szCs w:val="16"/>
      <w:lang w:eastAsia="en-US"/>
    </w:rPr>
  </w:style>
  <w:style w:type="character" w:customStyle="1" w:styleId="BalloonTextChar">
    <w:name w:val="Balloon Text Char"/>
    <w:basedOn w:val="DefaultParagraphFont"/>
    <w:link w:val="BalloonText"/>
    <w:semiHidden/>
    <w:rsid w:val="005E74ED"/>
    <w:rPr>
      <w:rFonts w:ascii="Tahoma" w:hAnsi="Tahoma" w:cs="Tahoma"/>
      <w:sz w:val="16"/>
      <w:szCs w:val="16"/>
      <w:lang w:eastAsia="en-US"/>
    </w:rPr>
  </w:style>
  <w:style w:type="paragraph" w:customStyle="1" w:styleId="ClosingText">
    <w:name w:val="Closing Text"/>
    <w:basedOn w:val="Normal"/>
    <w:uiPriority w:val="98"/>
    <w:semiHidden/>
    <w:qFormat/>
    <w:locked/>
    <w:rsid w:val="005E74ED"/>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E74ED"/>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E74ED"/>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E74ED"/>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5E74ED"/>
    <w:rPr>
      <w:szCs w:val="20"/>
      <w:lang w:eastAsia="en-US"/>
    </w:rPr>
  </w:style>
  <w:style w:type="paragraph" w:customStyle="1" w:styleId="NormalBody">
    <w:name w:val="Normal Body"/>
    <w:basedOn w:val="NormalHC"/>
    <w:uiPriority w:val="28"/>
    <w:qFormat/>
    <w:locked/>
    <w:rsid w:val="005E74ED"/>
    <w:pPr>
      <w:numPr>
        <w:numId w:val="0"/>
      </w:numPr>
    </w:pPr>
    <w:rPr>
      <w:lang w:eastAsia="en-US"/>
    </w:rPr>
  </w:style>
  <w:style w:type="paragraph" w:customStyle="1" w:styleId="StyleFootnoteReference">
    <w:name w:val="Style Footnote Reference"/>
    <w:basedOn w:val="Normal"/>
    <w:next w:val="Normal"/>
    <w:semiHidden/>
    <w:rsid w:val="005E74ED"/>
    <w:rPr>
      <w:vertAlign w:val="superscript"/>
      <w:lang w:eastAsia="en-US"/>
    </w:rPr>
  </w:style>
  <w:style w:type="paragraph" w:styleId="ListNumber">
    <w:name w:val="List Number"/>
    <w:basedOn w:val="Normal"/>
    <w:uiPriority w:val="56"/>
    <w:locked/>
    <w:rsid w:val="005E74ED"/>
    <w:pPr>
      <w:numPr>
        <w:numId w:val="11"/>
      </w:numPr>
      <w:contextualSpacing/>
    </w:pPr>
  </w:style>
  <w:style w:type="paragraph" w:customStyle="1" w:styleId="FixListStyle">
    <w:name w:val="FixListStyle"/>
    <w:basedOn w:val="Normal"/>
    <w:uiPriority w:val="99"/>
    <w:qFormat/>
    <w:rsid w:val="005E74ED"/>
    <w:pPr>
      <w:numPr>
        <w:numId w:val="18"/>
      </w:numPr>
      <w:spacing w:after="480"/>
      <w:ind w:left="0" w:hanging="720"/>
    </w:pPr>
  </w:style>
  <w:style w:type="paragraph" w:customStyle="1" w:styleId="CatchwordsBold">
    <w:name w:val="Catchwords Bold"/>
    <w:basedOn w:val="Normal"/>
    <w:link w:val="CatchwordsBoldChar"/>
    <w:qFormat/>
    <w:rsid w:val="005E74ED"/>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5E74ED"/>
    <w:rPr>
      <w:rFonts w:ascii="Times New Roman" w:hAnsi="Times New Roman"/>
      <w:b/>
      <w:szCs w:val="20"/>
    </w:rPr>
  </w:style>
  <w:style w:type="paragraph" w:customStyle="1" w:styleId="CatchwordsRight">
    <w:name w:val="Catchwords Right"/>
    <w:basedOn w:val="Normal"/>
    <w:link w:val="CatchwordsRightChar"/>
    <w:qFormat/>
    <w:rsid w:val="005E74ED"/>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5E74ED"/>
    <w:rPr>
      <w:rFonts w:ascii="Times New Roman" w:hAnsi="Times New Roman"/>
      <w:szCs w:val="20"/>
    </w:rPr>
  </w:style>
  <w:style w:type="paragraph" w:customStyle="1" w:styleId="CatchwordsText">
    <w:name w:val="Catchwords Text"/>
    <w:basedOn w:val="Normal"/>
    <w:link w:val="CatchwordsTextChar"/>
    <w:qFormat/>
    <w:rsid w:val="005E74ED"/>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5E74ED"/>
    <w:rPr>
      <w:rFonts w:ascii="Times New Roman" w:hAnsi="Times New Roman"/>
      <w:szCs w:val="20"/>
    </w:rPr>
  </w:style>
  <w:style w:type="paragraph" w:customStyle="1" w:styleId="CenteredBorder">
    <w:name w:val="Centered Border"/>
    <w:qFormat/>
    <w:rsid w:val="005E74E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5E74ED"/>
    <w:pPr>
      <w:jc w:val="center"/>
    </w:pPr>
    <w:rPr>
      <w:rFonts w:ascii="Times New Roman" w:hAnsi="Times New Roman"/>
      <w:b/>
      <w:bCs/>
      <w:szCs w:val="20"/>
      <w:lang w:val="en-GB"/>
    </w:rPr>
  </w:style>
  <w:style w:type="character" w:customStyle="1" w:styleId="OrderCentred">
    <w:name w:val="Order Centred"/>
    <w:semiHidden/>
    <w:rsid w:val="005E74ED"/>
    <w:rPr>
      <w:b/>
      <w:bCs/>
      <w:sz w:val="26"/>
    </w:rPr>
  </w:style>
  <w:style w:type="paragraph" w:customStyle="1" w:styleId="OrdersTopLine">
    <w:name w:val="Orders TopLine"/>
    <w:qFormat/>
    <w:rsid w:val="005E74ED"/>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5E74ED"/>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5E74ED"/>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5E74ED"/>
    <w:rPr>
      <w:rFonts w:ascii="Times New Roman" w:hAnsi="Times New Roman"/>
      <w:i/>
      <w:lang w:eastAsia="en-US"/>
    </w:rPr>
  </w:style>
  <w:style w:type="paragraph" w:customStyle="1" w:styleId="OrdersIndentLevel2i">
    <w:name w:val="Orders Indent Level 2 (i)"/>
    <w:basedOn w:val="Normal"/>
    <w:link w:val="OrdersIndentLevel2iChar"/>
    <w:qFormat/>
    <w:rsid w:val="005E74ED"/>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5E74ED"/>
    <w:rPr>
      <w:rFonts w:ascii="Times New Roman" w:hAnsi="Times New Roman"/>
      <w:i/>
      <w:lang w:eastAsia="en-US"/>
    </w:rPr>
  </w:style>
  <w:style w:type="paragraph" w:customStyle="1" w:styleId="OrdersMatter">
    <w:name w:val="Orders Matter"/>
    <w:basedOn w:val="OrderCentreBold"/>
    <w:link w:val="OrdersMatterChar"/>
    <w:qFormat/>
    <w:rsid w:val="005E74ED"/>
  </w:style>
  <w:style w:type="character" w:customStyle="1" w:styleId="OrdersMatterChar">
    <w:name w:val="Orders Matter Char"/>
    <w:link w:val="OrdersMatter"/>
    <w:rsid w:val="005E74ED"/>
    <w:rPr>
      <w:rFonts w:ascii="Times New Roman" w:hAnsi="Times New Roman"/>
      <w:b/>
      <w:bCs/>
      <w:szCs w:val="20"/>
      <w:lang w:val="en-GB"/>
    </w:rPr>
  </w:style>
  <w:style w:type="paragraph" w:customStyle="1" w:styleId="OrdersNotice">
    <w:name w:val="Orders Notice"/>
    <w:rsid w:val="005E74ED"/>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5E74ED"/>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5E74ED"/>
    <w:rPr>
      <w:rFonts w:ascii="Times New Roman" w:hAnsi="Times New Roman"/>
      <w:szCs w:val="20"/>
      <w:lang w:eastAsia="en-US"/>
    </w:rPr>
  </w:style>
  <w:style w:type="paragraph" w:customStyle="1" w:styleId="OrdersText">
    <w:name w:val="Orders Text"/>
    <w:basedOn w:val="Normal"/>
    <w:link w:val="OrdersTextChar"/>
    <w:qFormat/>
    <w:rsid w:val="005E74ED"/>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5E74ED"/>
    <w:rPr>
      <w:rFonts w:ascii="Times New Roman" w:hAnsi="Times New Roman"/>
      <w:i/>
      <w:lang w:eastAsia="en-US"/>
    </w:rPr>
  </w:style>
  <w:style w:type="paragraph" w:customStyle="1" w:styleId="OrdersCenteredBorder">
    <w:name w:val="Orders Centered Border"/>
    <w:qFormat/>
    <w:rsid w:val="005E74ED"/>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5E74ED"/>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5E74ED"/>
    <w:rPr>
      <w:rFonts w:ascii="Times New Roman" w:hAnsi="Times New Roman"/>
      <w:szCs w:val="20"/>
    </w:rPr>
  </w:style>
  <w:style w:type="paragraph" w:customStyle="1" w:styleId="LRHangingafterHC">
    <w:name w:val="LR Hanging after HC"/>
    <w:basedOn w:val="Normal"/>
    <w:next w:val="LeftrightHanging"/>
    <w:uiPriority w:val="99"/>
    <w:qFormat/>
    <w:rsid w:val="005E74ED"/>
    <w:pPr>
      <w:spacing w:before="720" w:line="240" w:lineRule="exact"/>
      <w:ind w:left="1440" w:right="794" w:hanging="720"/>
    </w:pPr>
  </w:style>
  <w:style w:type="paragraph" w:customStyle="1" w:styleId="NoNorm">
    <w:name w:val="No Norm"/>
    <w:basedOn w:val="Normal"/>
    <w:qFormat/>
    <w:rsid w:val="00315FF6"/>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basedOn w:val="DefaultParagraphFont"/>
    <w:link w:val="FootnoteText"/>
    <w:uiPriority w:val="53"/>
    <w:rsid w:val="00315FF6"/>
  </w:style>
  <w:style w:type="paragraph" w:customStyle="1" w:styleId="Noindentnormal">
    <w:name w:val="No indent normal"/>
    <w:basedOn w:val="NoNorm"/>
    <w:qFormat/>
    <w:rsid w:val="00315FF6"/>
    <w:pPr>
      <w:tabs>
        <w:tab w:val="clear" w:pos="2160"/>
        <w:tab w:val="left" w:pos="1418"/>
      </w:tabs>
      <w:ind w:left="1702" w:hanging="709"/>
    </w:pPr>
  </w:style>
  <w:style w:type="paragraph" w:customStyle="1" w:styleId="Indentlista">
    <w:name w:val="Indent list a)"/>
    <w:basedOn w:val="Noindentnormal"/>
    <w:qFormat/>
    <w:rsid w:val="00315FF6"/>
    <w:pPr>
      <w:tabs>
        <w:tab w:val="left" w:pos="2268"/>
      </w:tabs>
      <w:spacing w:before="60"/>
      <w:ind w:left="2268" w:hanging="567"/>
    </w:pPr>
  </w:style>
  <w:style w:type="character" w:styleId="CommentReference">
    <w:name w:val="annotation reference"/>
    <w:basedOn w:val="DefaultParagraphFont"/>
    <w:uiPriority w:val="99"/>
    <w:semiHidden/>
    <w:unhideWhenUsed/>
    <w:locked/>
    <w:rsid w:val="00D44C3C"/>
    <w:rPr>
      <w:sz w:val="16"/>
      <w:szCs w:val="16"/>
    </w:rPr>
  </w:style>
  <w:style w:type="paragraph" w:styleId="CommentText">
    <w:name w:val="annotation text"/>
    <w:basedOn w:val="Normal"/>
    <w:link w:val="CommentTextChar"/>
    <w:uiPriority w:val="99"/>
    <w:unhideWhenUsed/>
    <w:locked/>
    <w:rsid w:val="00D44C3C"/>
    <w:pPr>
      <w:spacing w:line="240" w:lineRule="auto"/>
    </w:pPr>
    <w:rPr>
      <w:sz w:val="20"/>
      <w:szCs w:val="20"/>
    </w:rPr>
  </w:style>
  <w:style w:type="character" w:customStyle="1" w:styleId="CommentTextChar">
    <w:name w:val="Comment Text Char"/>
    <w:basedOn w:val="DefaultParagraphFont"/>
    <w:link w:val="CommentText"/>
    <w:uiPriority w:val="99"/>
    <w:rsid w:val="00D44C3C"/>
    <w:rPr>
      <w:sz w:val="20"/>
      <w:szCs w:val="20"/>
    </w:rPr>
  </w:style>
  <w:style w:type="paragraph" w:styleId="CommentSubject">
    <w:name w:val="annotation subject"/>
    <w:basedOn w:val="CommentText"/>
    <w:next w:val="CommentText"/>
    <w:link w:val="CommentSubjectChar"/>
    <w:uiPriority w:val="99"/>
    <w:semiHidden/>
    <w:unhideWhenUsed/>
    <w:locked/>
    <w:rsid w:val="00D44C3C"/>
    <w:rPr>
      <w:b/>
      <w:bCs/>
    </w:rPr>
  </w:style>
  <w:style w:type="character" w:customStyle="1" w:styleId="CommentSubjectChar">
    <w:name w:val="Comment Subject Char"/>
    <w:basedOn w:val="CommentTextChar"/>
    <w:link w:val="CommentSubject"/>
    <w:uiPriority w:val="99"/>
    <w:semiHidden/>
    <w:rsid w:val="00D44C3C"/>
    <w:rPr>
      <w:b/>
      <w:bCs/>
      <w:sz w:val="20"/>
      <w:szCs w:val="20"/>
    </w:rPr>
  </w:style>
  <w:style w:type="paragraph" w:styleId="Revision">
    <w:name w:val="Revision"/>
    <w:hidden/>
    <w:uiPriority w:val="99"/>
    <w:semiHidden/>
    <w:rsid w:val="00D44C3C"/>
  </w:style>
  <w:style w:type="character" w:customStyle="1" w:styleId="sup">
    <w:name w:val="sup"/>
    <w:basedOn w:val="DefaultParagraphFont"/>
    <w:rsid w:val="00092D0B"/>
  </w:style>
  <w:style w:type="character" w:styleId="Hyperlink">
    <w:name w:val="Hyperlink"/>
    <w:basedOn w:val="DefaultParagraphFont"/>
    <w:uiPriority w:val="99"/>
    <w:semiHidden/>
    <w:unhideWhenUsed/>
    <w:locked/>
    <w:rsid w:val="00092D0B"/>
    <w:rPr>
      <w:color w:val="0000FF"/>
      <w:u w:val="single"/>
    </w:rPr>
  </w:style>
  <w:style w:type="character" w:styleId="Emphasis">
    <w:name w:val="Emphasis"/>
    <w:basedOn w:val="DefaultParagraphFont"/>
    <w:uiPriority w:val="20"/>
    <w:qFormat/>
    <w:locked/>
    <w:rsid w:val="00092D0B"/>
    <w:rPr>
      <w:i/>
      <w:iCs/>
    </w:rPr>
  </w:style>
  <w:style w:type="paragraph" w:customStyle="1" w:styleId="Default">
    <w:name w:val="Default"/>
    <w:rsid w:val="00092D0B"/>
    <w:pPr>
      <w:autoSpaceDE w:val="0"/>
      <w:autoSpaceDN w:val="0"/>
      <w:adjustRightInd w:val="0"/>
    </w:pPr>
    <w:rPr>
      <w:rFonts w:cs="Univers"/>
      <w:color w:val="000000"/>
      <w:sz w:val="24"/>
      <w:szCs w:val="24"/>
    </w:rPr>
  </w:style>
  <w:style w:type="paragraph" w:customStyle="1" w:styleId="Numberedpara">
    <w:name w:val="Numbered para"/>
    <w:basedOn w:val="ListParagraph"/>
    <w:qFormat/>
    <w:rsid w:val="00092D0B"/>
    <w:pPr>
      <w:numPr>
        <w:numId w:val="22"/>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216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55"/>
    <w:qFormat/>
    <w:locked/>
    <w:rsid w:val="00092D0B"/>
    <w:pPr>
      <w:ind w:left="720"/>
      <w:contextualSpacing/>
    </w:pPr>
  </w:style>
  <w:style w:type="paragraph" w:customStyle="1" w:styleId="Body">
    <w:name w:val="Body"/>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E74E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E74E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E74E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E74ED"/>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495">
      <w:bodyDiv w:val="1"/>
      <w:marLeft w:val="0"/>
      <w:marRight w:val="0"/>
      <w:marTop w:val="0"/>
      <w:marBottom w:val="0"/>
      <w:divBdr>
        <w:top w:val="none" w:sz="0" w:space="0" w:color="auto"/>
        <w:left w:val="none" w:sz="0" w:space="0" w:color="auto"/>
        <w:bottom w:val="none" w:sz="0" w:space="0" w:color="auto"/>
        <w:right w:val="none" w:sz="0" w:space="0" w:color="auto"/>
      </w:divBdr>
    </w:div>
    <w:div w:id="9412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3E07C9BA-B1C2-4D55-8922-F101B2FD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41</Pages>
  <Words>10113</Words>
  <Characters>57648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2023-02-13T00:42:00Z</dcterms:created>
  <dcterms:modified xsi:type="dcterms:W3CDTF">2023-02-13T00:42:00Z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