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2.xml" ContentType="application/vnd.openxmlformats-officedocument.wordprocessingml.header+xml"/>
  <Override PartName="/word/footer9.xml" ContentType="application/vnd.openxmlformats-officedocument.wordprocessingml.foot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DA3D2" w14:textId="77777777" w:rsidR="00CD1C0A" w:rsidRPr="00704FF8" w:rsidRDefault="00CD1C0A" w:rsidP="00704FF8">
      <w:pPr>
        <w:pStyle w:val="OrdersTopLine"/>
      </w:pPr>
      <w:r w:rsidRPr="00704FF8">
        <w:t>HIGH COURT OF AUSTRALIA</w:t>
      </w:r>
    </w:p>
    <w:p w14:paraId="1572AF92" w14:textId="77777777" w:rsidR="00CD1C0A" w:rsidRPr="00704FF8" w:rsidRDefault="00CD1C0A" w:rsidP="00704FF8">
      <w:pPr>
        <w:pStyle w:val="OrderCentre"/>
      </w:pPr>
    </w:p>
    <w:p w14:paraId="6BC62650" w14:textId="77777777" w:rsidR="00CD1C0A" w:rsidRPr="00D81A0C" w:rsidRDefault="00CD1C0A" w:rsidP="00704FF8">
      <w:pPr>
        <w:pStyle w:val="OrderCentre"/>
        <w:rPr>
          <w:sz w:val="24"/>
          <w:szCs w:val="24"/>
        </w:rPr>
      </w:pPr>
      <w:r w:rsidRPr="00D81A0C">
        <w:rPr>
          <w:sz w:val="24"/>
          <w:szCs w:val="24"/>
        </w:rPr>
        <w:t>KIEFEL CJ,</w:t>
      </w:r>
    </w:p>
    <w:p w14:paraId="2BB8C6B2" w14:textId="77777777" w:rsidR="00CD1C0A" w:rsidRPr="00D81A0C" w:rsidRDefault="00CD1C0A" w:rsidP="00704FF8">
      <w:pPr>
        <w:pStyle w:val="OrderCentre"/>
        <w:rPr>
          <w:sz w:val="24"/>
          <w:szCs w:val="24"/>
        </w:rPr>
      </w:pPr>
      <w:r w:rsidRPr="00D81A0C">
        <w:rPr>
          <w:sz w:val="24"/>
          <w:szCs w:val="24"/>
        </w:rPr>
        <w:t>GAGELER, GORDON, EDELMAN, STEWARD, GLEESON AND JAGOT JJ</w:t>
      </w:r>
    </w:p>
    <w:p w14:paraId="6AAB6969" w14:textId="77777777" w:rsidR="00CD1C0A" w:rsidRPr="00427F3A" w:rsidRDefault="00CD1C0A" w:rsidP="00EE5374">
      <w:pPr>
        <w:pStyle w:val="Centre"/>
        <w:rPr>
          <w:lang w:val="en-AU"/>
        </w:rPr>
      </w:pPr>
    </w:p>
    <w:p w14:paraId="4CF7DDAD" w14:textId="77777777" w:rsidR="00CD1C0A" w:rsidRPr="00704FF8" w:rsidRDefault="00CD1C0A" w:rsidP="00704FF8">
      <w:pPr>
        <w:pStyle w:val="OrdersCenteredBorder"/>
      </w:pPr>
    </w:p>
    <w:p w14:paraId="5C000B57" w14:textId="77777777" w:rsidR="00CD1C0A" w:rsidRPr="0081157F" w:rsidRDefault="00CD1C0A" w:rsidP="00B3763E">
      <w:pPr>
        <w:pStyle w:val="OrdersPartyName"/>
        <w:ind w:right="-1"/>
        <w:rPr>
          <w:b/>
        </w:rPr>
      </w:pPr>
      <w:r>
        <w:rPr>
          <w:b/>
        </w:rPr>
        <w:t xml:space="preserve">Matter No </w:t>
      </w:r>
      <w:r w:rsidRPr="0081157F">
        <w:rPr>
          <w:b/>
        </w:rPr>
        <w:t>A14/2022</w:t>
      </w:r>
    </w:p>
    <w:p w14:paraId="08BFEC1D" w14:textId="77777777" w:rsidR="00CD1C0A" w:rsidRPr="0081157F" w:rsidRDefault="00CD1C0A" w:rsidP="00B3763E">
      <w:pPr>
        <w:pStyle w:val="OrdersPartyName"/>
        <w:ind w:right="-1"/>
        <w:rPr>
          <w:sz w:val="16"/>
          <w:szCs w:val="16"/>
        </w:rPr>
      </w:pPr>
    </w:p>
    <w:p w14:paraId="45D1D067" w14:textId="77777777" w:rsidR="00CD1C0A" w:rsidRPr="0081157F" w:rsidRDefault="00CD1C0A" w:rsidP="00B3763E">
      <w:pPr>
        <w:pStyle w:val="OrdersPartyName"/>
        <w:ind w:right="-1"/>
      </w:pPr>
      <w:r w:rsidRPr="0081157F">
        <w:t>BENJAMIN JOHN MITCHELL</w:t>
      </w:r>
      <w:r w:rsidRPr="0081157F">
        <w:tab/>
        <w:t>APPELLANT</w:t>
      </w:r>
    </w:p>
    <w:p w14:paraId="1D34DE48" w14:textId="77777777" w:rsidR="00CD1C0A" w:rsidRPr="0081157F" w:rsidRDefault="00CD1C0A" w:rsidP="00B3763E">
      <w:pPr>
        <w:pStyle w:val="OrdersPartyName"/>
        <w:ind w:right="-1"/>
        <w:rPr>
          <w:sz w:val="16"/>
          <w:szCs w:val="16"/>
        </w:rPr>
      </w:pPr>
    </w:p>
    <w:p w14:paraId="104021FD" w14:textId="77777777" w:rsidR="00CD1C0A" w:rsidRPr="0081157F" w:rsidRDefault="00CD1C0A" w:rsidP="00B3763E">
      <w:pPr>
        <w:pStyle w:val="OrdersPartyName"/>
        <w:ind w:right="-1"/>
      </w:pPr>
      <w:r w:rsidRPr="0081157F">
        <w:t>AND</w:t>
      </w:r>
    </w:p>
    <w:p w14:paraId="0764925F" w14:textId="77777777" w:rsidR="00CD1C0A" w:rsidRPr="0081157F" w:rsidRDefault="00CD1C0A" w:rsidP="00B3763E">
      <w:pPr>
        <w:pStyle w:val="OrdersPartyName"/>
        <w:ind w:right="-1"/>
        <w:rPr>
          <w:sz w:val="16"/>
          <w:szCs w:val="16"/>
        </w:rPr>
      </w:pPr>
    </w:p>
    <w:p w14:paraId="3850077A" w14:textId="77777777" w:rsidR="00CD1C0A" w:rsidRPr="0081157F" w:rsidRDefault="00CD1C0A" w:rsidP="00B3763E">
      <w:pPr>
        <w:pStyle w:val="OrdersPartyName"/>
        <w:ind w:right="-1"/>
      </w:pPr>
      <w:r w:rsidRPr="0081157F">
        <w:t>THE KING</w:t>
      </w:r>
      <w:r w:rsidRPr="0081157F">
        <w:tab/>
        <w:t>RESPONDENT</w:t>
      </w:r>
    </w:p>
    <w:p w14:paraId="713B994D" w14:textId="77777777" w:rsidR="00CD1C0A" w:rsidRDefault="00CD1C0A" w:rsidP="00B3763E">
      <w:pPr>
        <w:pStyle w:val="OrdersBodyHeading"/>
      </w:pPr>
    </w:p>
    <w:p w14:paraId="167511D7" w14:textId="77777777" w:rsidR="00CD1C0A" w:rsidRPr="0081157F" w:rsidRDefault="00CD1C0A" w:rsidP="00B3763E">
      <w:pPr>
        <w:pStyle w:val="OrdersPartyName"/>
        <w:ind w:right="-1"/>
        <w:rPr>
          <w:b/>
        </w:rPr>
      </w:pPr>
      <w:r>
        <w:rPr>
          <w:b/>
        </w:rPr>
        <w:t xml:space="preserve">Matter No </w:t>
      </w:r>
      <w:r w:rsidRPr="0081157F">
        <w:rPr>
          <w:b/>
        </w:rPr>
        <w:t>A15/2022</w:t>
      </w:r>
    </w:p>
    <w:p w14:paraId="243A2A1E" w14:textId="77777777" w:rsidR="00CD1C0A" w:rsidRPr="0081157F" w:rsidRDefault="00CD1C0A" w:rsidP="00B3763E">
      <w:pPr>
        <w:pStyle w:val="OrdersPartyName"/>
        <w:ind w:right="-1"/>
        <w:rPr>
          <w:sz w:val="16"/>
          <w:szCs w:val="16"/>
        </w:rPr>
      </w:pPr>
    </w:p>
    <w:p w14:paraId="666E7F89" w14:textId="77777777" w:rsidR="00CD1C0A" w:rsidRPr="0081157F" w:rsidRDefault="00CD1C0A" w:rsidP="00B3763E">
      <w:pPr>
        <w:pStyle w:val="OrdersPartyName"/>
        <w:ind w:right="-1"/>
      </w:pPr>
      <w:r w:rsidRPr="0081157F">
        <w:t>ALFRED CLAUDE RIGNEY</w:t>
      </w:r>
      <w:r w:rsidRPr="0081157F">
        <w:tab/>
        <w:t>APPELLANT</w:t>
      </w:r>
    </w:p>
    <w:p w14:paraId="381FA547" w14:textId="77777777" w:rsidR="00CD1C0A" w:rsidRPr="0081157F" w:rsidRDefault="00CD1C0A" w:rsidP="00B3763E">
      <w:pPr>
        <w:pStyle w:val="OrdersPartyName"/>
        <w:ind w:right="-1"/>
        <w:rPr>
          <w:sz w:val="16"/>
          <w:szCs w:val="16"/>
        </w:rPr>
      </w:pPr>
    </w:p>
    <w:p w14:paraId="31146DF5" w14:textId="77777777" w:rsidR="00CD1C0A" w:rsidRPr="0081157F" w:rsidRDefault="00CD1C0A" w:rsidP="00B3763E">
      <w:pPr>
        <w:pStyle w:val="OrdersPartyName"/>
        <w:ind w:right="-1"/>
      </w:pPr>
      <w:r w:rsidRPr="0081157F">
        <w:t>AND</w:t>
      </w:r>
    </w:p>
    <w:p w14:paraId="77CB2FAF" w14:textId="77777777" w:rsidR="00CD1C0A" w:rsidRPr="0081157F" w:rsidRDefault="00CD1C0A" w:rsidP="00B3763E">
      <w:pPr>
        <w:pStyle w:val="OrdersPartyName"/>
        <w:ind w:right="-1"/>
        <w:rPr>
          <w:sz w:val="16"/>
          <w:szCs w:val="16"/>
        </w:rPr>
      </w:pPr>
    </w:p>
    <w:p w14:paraId="48F14B0E" w14:textId="77777777" w:rsidR="00CD1C0A" w:rsidRPr="0081157F" w:rsidRDefault="00CD1C0A" w:rsidP="00B3763E">
      <w:pPr>
        <w:pStyle w:val="OrdersPartyName"/>
        <w:ind w:right="-1"/>
        <w:jc w:val="left"/>
      </w:pPr>
      <w:r w:rsidRPr="0081157F">
        <w:t>THE KING</w:t>
      </w:r>
      <w:r w:rsidRPr="0081157F">
        <w:tab/>
        <w:t>RESPONDENT</w:t>
      </w:r>
    </w:p>
    <w:p w14:paraId="6BD922F0" w14:textId="77777777" w:rsidR="00CD1C0A" w:rsidRPr="0081157F" w:rsidRDefault="00CD1C0A" w:rsidP="0081157F">
      <w:pPr>
        <w:pStyle w:val="OrdersPartyName"/>
        <w:ind w:right="-1"/>
        <w:rPr>
          <w:b/>
        </w:rPr>
      </w:pPr>
    </w:p>
    <w:p w14:paraId="041E3CA3" w14:textId="77777777" w:rsidR="00CD1C0A" w:rsidRPr="0081157F" w:rsidRDefault="00CD1C0A" w:rsidP="0081157F">
      <w:pPr>
        <w:pStyle w:val="OrdersPartyName"/>
        <w:ind w:right="-1"/>
        <w:rPr>
          <w:b/>
        </w:rPr>
      </w:pPr>
      <w:r>
        <w:rPr>
          <w:b/>
        </w:rPr>
        <w:t xml:space="preserve">Matter No </w:t>
      </w:r>
      <w:r w:rsidRPr="0081157F">
        <w:rPr>
          <w:b/>
        </w:rPr>
        <w:t>A16/2022</w:t>
      </w:r>
    </w:p>
    <w:p w14:paraId="1708FEFA" w14:textId="77777777" w:rsidR="00CD1C0A" w:rsidRPr="0081157F" w:rsidRDefault="00CD1C0A" w:rsidP="0081157F">
      <w:pPr>
        <w:pStyle w:val="OrdersPartyName"/>
        <w:ind w:right="-1"/>
        <w:rPr>
          <w:sz w:val="16"/>
          <w:szCs w:val="16"/>
        </w:rPr>
      </w:pPr>
    </w:p>
    <w:p w14:paraId="4F2A746B" w14:textId="77777777" w:rsidR="00CD1C0A" w:rsidRPr="0081157F" w:rsidRDefault="00CD1C0A" w:rsidP="0081157F">
      <w:pPr>
        <w:pStyle w:val="OrdersPartyName"/>
        <w:ind w:right="-1"/>
      </w:pPr>
      <w:r w:rsidRPr="0081157F">
        <w:t>AARON DONALD CARVER</w:t>
      </w:r>
      <w:r w:rsidRPr="0081157F">
        <w:tab/>
        <w:t>APPELLANT</w:t>
      </w:r>
    </w:p>
    <w:p w14:paraId="2AC0FE2B" w14:textId="77777777" w:rsidR="00CD1C0A" w:rsidRPr="0081157F" w:rsidRDefault="00CD1C0A" w:rsidP="0081157F">
      <w:pPr>
        <w:pStyle w:val="OrdersPartyName"/>
        <w:ind w:right="-1"/>
        <w:rPr>
          <w:sz w:val="16"/>
          <w:szCs w:val="16"/>
        </w:rPr>
      </w:pPr>
    </w:p>
    <w:p w14:paraId="48E39488" w14:textId="77777777" w:rsidR="00CD1C0A" w:rsidRPr="0081157F" w:rsidRDefault="00CD1C0A" w:rsidP="0081157F">
      <w:pPr>
        <w:pStyle w:val="OrdersPartyName"/>
        <w:ind w:right="-1"/>
      </w:pPr>
      <w:r w:rsidRPr="0081157F">
        <w:t>AND</w:t>
      </w:r>
    </w:p>
    <w:p w14:paraId="5DC6083C" w14:textId="77777777" w:rsidR="00CD1C0A" w:rsidRPr="0081157F" w:rsidRDefault="00CD1C0A" w:rsidP="0081157F">
      <w:pPr>
        <w:pStyle w:val="OrdersPartyName"/>
        <w:ind w:right="-1"/>
        <w:rPr>
          <w:sz w:val="16"/>
          <w:szCs w:val="16"/>
        </w:rPr>
      </w:pPr>
    </w:p>
    <w:p w14:paraId="1136D60B" w14:textId="77777777" w:rsidR="00CD1C0A" w:rsidRPr="0081157F" w:rsidRDefault="00CD1C0A" w:rsidP="0081157F">
      <w:pPr>
        <w:pStyle w:val="OrdersPartyName"/>
        <w:ind w:right="-1"/>
      </w:pPr>
      <w:r w:rsidRPr="0081157F">
        <w:t>THE KING</w:t>
      </w:r>
      <w:r w:rsidRPr="0081157F">
        <w:tab/>
        <w:t>RESPONDENT</w:t>
      </w:r>
    </w:p>
    <w:p w14:paraId="7FBE1B37" w14:textId="77777777" w:rsidR="00CD1C0A" w:rsidRPr="0081157F" w:rsidRDefault="00CD1C0A" w:rsidP="0081157F">
      <w:pPr>
        <w:pStyle w:val="OrdersPartyName"/>
        <w:ind w:right="-1"/>
        <w:rPr>
          <w:b/>
        </w:rPr>
      </w:pPr>
    </w:p>
    <w:p w14:paraId="3B27082A" w14:textId="77777777" w:rsidR="00CD1C0A" w:rsidRPr="0081157F" w:rsidRDefault="00CD1C0A" w:rsidP="0081157F">
      <w:pPr>
        <w:pStyle w:val="OrdersPartyName"/>
        <w:ind w:right="-1"/>
        <w:rPr>
          <w:b/>
        </w:rPr>
      </w:pPr>
      <w:r>
        <w:rPr>
          <w:b/>
        </w:rPr>
        <w:t xml:space="preserve">Matter No </w:t>
      </w:r>
      <w:r w:rsidRPr="0081157F">
        <w:rPr>
          <w:b/>
        </w:rPr>
        <w:t>A17/2022</w:t>
      </w:r>
    </w:p>
    <w:p w14:paraId="6370FE69" w14:textId="77777777" w:rsidR="00CD1C0A" w:rsidRPr="0081157F" w:rsidRDefault="00CD1C0A" w:rsidP="0081157F">
      <w:pPr>
        <w:pStyle w:val="OrdersPartyName"/>
        <w:ind w:right="-1"/>
        <w:rPr>
          <w:sz w:val="16"/>
          <w:szCs w:val="16"/>
        </w:rPr>
      </w:pPr>
    </w:p>
    <w:p w14:paraId="00DCE31B" w14:textId="77777777" w:rsidR="00CD1C0A" w:rsidRPr="0081157F" w:rsidRDefault="00CD1C0A" w:rsidP="0081157F">
      <w:pPr>
        <w:pStyle w:val="OrdersPartyName"/>
        <w:ind w:right="-1"/>
      </w:pPr>
      <w:r w:rsidRPr="0081157F">
        <w:t>MATTHEW BERNARD TENHOOPEN</w:t>
      </w:r>
      <w:r w:rsidRPr="0081157F">
        <w:tab/>
        <w:t>APPLICANT</w:t>
      </w:r>
    </w:p>
    <w:p w14:paraId="350137EF" w14:textId="77777777" w:rsidR="00CD1C0A" w:rsidRPr="0081157F" w:rsidRDefault="00CD1C0A" w:rsidP="0081157F">
      <w:pPr>
        <w:pStyle w:val="OrdersPartyName"/>
        <w:ind w:right="-1"/>
        <w:rPr>
          <w:sz w:val="16"/>
          <w:szCs w:val="16"/>
        </w:rPr>
      </w:pPr>
    </w:p>
    <w:p w14:paraId="0ACB9D5A" w14:textId="77777777" w:rsidR="00CD1C0A" w:rsidRPr="0081157F" w:rsidRDefault="00CD1C0A" w:rsidP="0081157F">
      <w:pPr>
        <w:pStyle w:val="OrdersPartyName"/>
        <w:ind w:right="-1"/>
      </w:pPr>
      <w:r w:rsidRPr="0081157F">
        <w:t>AND</w:t>
      </w:r>
    </w:p>
    <w:p w14:paraId="40603649" w14:textId="77777777" w:rsidR="00CD1C0A" w:rsidRPr="0081157F" w:rsidRDefault="00CD1C0A" w:rsidP="0081157F">
      <w:pPr>
        <w:pStyle w:val="OrdersPartyName"/>
        <w:ind w:right="-1"/>
        <w:rPr>
          <w:sz w:val="16"/>
          <w:szCs w:val="16"/>
        </w:rPr>
      </w:pPr>
    </w:p>
    <w:p w14:paraId="460F73A3" w14:textId="77777777" w:rsidR="00CD1C0A" w:rsidRDefault="00CD1C0A" w:rsidP="0081157F">
      <w:pPr>
        <w:pStyle w:val="OrdersPartyName"/>
        <w:ind w:right="-1"/>
      </w:pPr>
      <w:r w:rsidRPr="0081157F">
        <w:t>THE KING</w:t>
      </w:r>
      <w:r w:rsidRPr="0081157F">
        <w:tab/>
        <w:t>RESPONDENT</w:t>
      </w:r>
    </w:p>
    <w:p w14:paraId="59D3FF97" w14:textId="77777777" w:rsidR="00CD1C0A" w:rsidRDefault="00CD1C0A" w:rsidP="0081157F">
      <w:pPr>
        <w:pStyle w:val="OrdersBodyHeading"/>
      </w:pPr>
    </w:p>
    <w:p w14:paraId="350139B8" w14:textId="77777777" w:rsidR="00CD1C0A" w:rsidRPr="00427F3A" w:rsidRDefault="00CD1C0A" w:rsidP="00BE0A6C">
      <w:pPr>
        <w:pStyle w:val="BodyHeading"/>
      </w:pPr>
    </w:p>
    <w:p w14:paraId="0B1016F9" w14:textId="77777777" w:rsidR="00CD1C0A" w:rsidRDefault="00CD1C0A" w:rsidP="00EE5374">
      <w:pPr>
        <w:pStyle w:val="CentreItalics"/>
      </w:pPr>
      <w:r w:rsidRPr="0081157F">
        <w:t>Mitchell v The King</w:t>
      </w:r>
    </w:p>
    <w:p w14:paraId="034DFABE" w14:textId="77777777" w:rsidR="00CD1C0A" w:rsidRDefault="00CD1C0A" w:rsidP="00EE5374">
      <w:pPr>
        <w:pStyle w:val="CentreItalics"/>
      </w:pPr>
      <w:r w:rsidRPr="0081157F">
        <w:t>Rigney v The King</w:t>
      </w:r>
    </w:p>
    <w:p w14:paraId="61990BE9" w14:textId="77777777" w:rsidR="00CD1C0A" w:rsidRDefault="00CD1C0A" w:rsidP="00EE5374">
      <w:pPr>
        <w:pStyle w:val="CentreItalics"/>
      </w:pPr>
      <w:r w:rsidRPr="0081157F">
        <w:t>Carver v The King</w:t>
      </w:r>
    </w:p>
    <w:p w14:paraId="476ACF06" w14:textId="77777777" w:rsidR="00CD1C0A" w:rsidRPr="00427F3A" w:rsidRDefault="00CD1C0A" w:rsidP="00EE5374">
      <w:pPr>
        <w:pStyle w:val="CentreItalics"/>
      </w:pPr>
      <w:proofErr w:type="spellStart"/>
      <w:r w:rsidRPr="0081157F">
        <w:t>Tenhoopen</w:t>
      </w:r>
      <w:proofErr w:type="spellEnd"/>
      <w:r w:rsidRPr="0081157F">
        <w:t xml:space="preserve"> v The King</w:t>
      </w:r>
    </w:p>
    <w:p w14:paraId="679500CE" w14:textId="77777777" w:rsidR="00CD1C0A" w:rsidRPr="00427F3A" w:rsidRDefault="00CD1C0A" w:rsidP="00E90E4F">
      <w:pPr>
        <w:pStyle w:val="OrdersCentre"/>
      </w:pPr>
      <w:r>
        <w:t>[2023</w:t>
      </w:r>
      <w:r w:rsidRPr="00427F3A">
        <w:t xml:space="preserve">] HCA </w:t>
      </w:r>
      <w:r>
        <w:t>5</w:t>
      </w:r>
    </w:p>
    <w:p w14:paraId="5A4CC0B1" w14:textId="77777777" w:rsidR="00CD1C0A" w:rsidRDefault="00CD1C0A" w:rsidP="00E90E4F">
      <w:pPr>
        <w:pStyle w:val="OrdersCentreItalics"/>
      </w:pPr>
      <w:r>
        <w:t xml:space="preserve">Date of Hearing: </w:t>
      </w:r>
      <w:r w:rsidRPr="00387A33">
        <w:t>6 December 2022</w:t>
      </w:r>
    </w:p>
    <w:p w14:paraId="4D8928AE" w14:textId="77777777" w:rsidR="00CD1C0A" w:rsidRPr="00427F3A" w:rsidRDefault="00CD1C0A" w:rsidP="00E90E4F">
      <w:pPr>
        <w:pStyle w:val="OrdersCentreItalics"/>
      </w:pPr>
      <w:r>
        <w:t>Date of Judgment: 8 March 2023</w:t>
      </w:r>
    </w:p>
    <w:p w14:paraId="21EA8802" w14:textId="77777777" w:rsidR="00CD1C0A" w:rsidRDefault="00CD1C0A" w:rsidP="00E90E4F">
      <w:pPr>
        <w:pStyle w:val="OrdersCentre"/>
      </w:pPr>
      <w:r w:rsidRPr="0081157F">
        <w:t>A14/2022</w:t>
      </w:r>
      <w:r>
        <w:t>, A15/2022, A16/2022 &amp; A17/2022</w:t>
      </w:r>
    </w:p>
    <w:p w14:paraId="3D7084AD" w14:textId="37F93B9B" w:rsidR="00CD1C0A" w:rsidRDefault="00CD1C0A">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szCs w:val="20"/>
          <w:lang w:val="en-GB"/>
        </w:rPr>
      </w:pPr>
      <w:r>
        <w:br w:type="page"/>
      </w:r>
    </w:p>
    <w:p w14:paraId="6F708A30" w14:textId="4B724E52" w:rsidR="00CD1C0A" w:rsidRDefault="00CD1C0A">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szCs w:val="20"/>
          <w:lang w:val="en-GB"/>
        </w:rPr>
      </w:pPr>
      <w:r>
        <w:lastRenderedPageBreak/>
        <w:br w:type="page"/>
      </w:r>
    </w:p>
    <w:p w14:paraId="209EB36C" w14:textId="77777777" w:rsidR="00CD1C0A" w:rsidRPr="00BE0A6C" w:rsidRDefault="00CD1C0A" w:rsidP="00E90E4F">
      <w:pPr>
        <w:pStyle w:val="OrderCentreBold"/>
      </w:pPr>
      <w:r w:rsidRPr="00BE0A6C">
        <w:lastRenderedPageBreak/>
        <w:t>ORDER</w:t>
      </w:r>
    </w:p>
    <w:p w14:paraId="0355F028" w14:textId="77777777" w:rsidR="00CD1C0A" w:rsidRPr="00427F3A" w:rsidRDefault="00CD1C0A" w:rsidP="00736C52">
      <w:pPr>
        <w:pStyle w:val="Centre"/>
        <w:rPr>
          <w:lang w:val="en-AU"/>
        </w:rPr>
      </w:pPr>
    </w:p>
    <w:p w14:paraId="12EAF1AC" w14:textId="77777777" w:rsidR="00CD1C0A" w:rsidRPr="00D442B0" w:rsidRDefault="00CD1C0A" w:rsidP="00110E41">
      <w:pPr>
        <w:pStyle w:val="OrdersText"/>
        <w:rPr>
          <w:b/>
          <w:bCs/>
          <w:i w:val="0"/>
          <w:iCs/>
        </w:rPr>
      </w:pPr>
      <w:r w:rsidRPr="00D442B0">
        <w:rPr>
          <w:b/>
          <w:bCs/>
          <w:i w:val="0"/>
          <w:iCs/>
        </w:rPr>
        <w:t>In Matter Nos A14, A15, and A16 of 2022:</w:t>
      </w:r>
    </w:p>
    <w:p w14:paraId="5A45FD5E" w14:textId="77777777" w:rsidR="00CD1C0A" w:rsidRDefault="00CD1C0A" w:rsidP="00110E41">
      <w:pPr>
        <w:pStyle w:val="OrdersText"/>
        <w:rPr>
          <w:caps/>
          <w:u w:val="single"/>
        </w:rPr>
      </w:pPr>
    </w:p>
    <w:p w14:paraId="4A15ED98" w14:textId="77777777" w:rsidR="00CD1C0A" w:rsidRDefault="00CD1C0A" w:rsidP="00110E41">
      <w:pPr>
        <w:pStyle w:val="OrdersText"/>
      </w:pPr>
      <w:r>
        <w:t xml:space="preserve">1. </w:t>
      </w:r>
      <w:r>
        <w:tab/>
        <w:t xml:space="preserve">Appeal allowed. </w:t>
      </w:r>
    </w:p>
    <w:p w14:paraId="4648B004" w14:textId="77777777" w:rsidR="00CD1C0A" w:rsidRDefault="00CD1C0A" w:rsidP="00110E41">
      <w:pPr>
        <w:pStyle w:val="OrdersText"/>
      </w:pPr>
    </w:p>
    <w:p w14:paraId="6D957473" w14:textId="77777777" w:rsidR="00CD1C0A" w:rsidRDefault="00CD1C0A" w:rsidP="00110E41">
      <w:pPr>
        <w:pStyle w:val="OrdersText"/>
      </w:pPr>
      <w:r w:rsidRPr="00AE2824">
        <w:t>2.</w:t>
      </w:r>
      <w:r>
        <w:tab/>
        <w:t xml:space="preserve">Order 2 of the orders of the Court of Appeal of the Supreme Court of South Australia, made on 10 August 2021, be set aside and in its </w:t>
      </w:r>
      <w:proofErr w:type="gramStart"/>
      <w:r>
        <w:t>place</w:t>
      </w:r>
      <w:proofErr w:type="gramEnd"/>
      <w:r>
        <w:t xml:space="preserve"> there be orders that:</w:t>
      </w:r>
    </w:p>
    <w:p w14:paraId="19A1484E" w14:textId="77777777" w:rsidR="00CD1C0A" w:rsidRDefault="00CD1C0A" w:rsidP="00110E41">
      <w:pPr>
        <w:pStyle w:val="OrdersText"/>
      </w:pPr>
    </w:p>
    <w:p w14:paraId="5B5F9ACC" w14:textId="77777777" w:rsidR="00CD1C0A" w:rsidRDefault="00CD1C0A" w:rsidP="008B003C">
      <w:pPr>
        <w:pStyle w:val="OrdersText"/>
        <w:ind w:left="1418"/>
      </w:pPr>
      <w:r>
        <w:t>(</w:t>
      </w:r>
      <w:proofErr w:type="spellStart"/>
      <w:r>
        <w:t>i</w:t>
      </w:r>
      <w:proofErr w:type="spellEnd"/>
      <w:r>
        <w:t xml:space="preserve">) </w:t>
      </w:r>
      <w:r>
        <w:tab/>
        <w:t xml:space="preserve">the appeal be </w:t>
      </w:r>
      <w:proofErr w:type="gramStart"/>
      <w:r>
        <w:t>allowed;</w:t>
      </w:r>
      <w:proofErr w:type="gramEnd"/>
      <w:r>
        <w:t xml:space="preserve"> </w:t>
      </w:r>
    </w:p>
    <w:p w14:paraId="7DC2625E" w14:textId="77777777" w:rsidR="00CD1C0A" w:rsidRDefault="00CD1C0A" w:rsidP="008B003C">
      <w:pPr>
        <w:pStyle w:val="OrdersText"/>
        <w:ind w:left="1418"/>
      </w:pPr>
    </w:p>
    <w:p w14:paraId="25449D52" w14:textId="77777777" w:rsidR="00CD1C0A" w:rsidRDefault="00CD1C0A" w:rsidP="008B003C">
      <w:pPr>
        <w:pStyle w:val="OrdersText"/>
        <w:ind w:left="1418"/>
      </w:pPr>
      <w:r>
        <w:t xml:space="preserve">(ii) </w:t>
      </w:r>
      <w:r>
        <w:tab/>
        <w:t xml:space="preserve">the conviction be quashed; and </w:t>
      </w:r>
    </w:p>
    <w:p w14:paraId="54541F4A" w14:textId="77777777" w:rsidR="00CD1C0A" w:rsidRDefault="00CD1C0A" w:rsidP="008B003C">
      <w:pPr>
        <w:pStyle w:val="OrdersText"/>
        <w:ind w:left="1418"/>
      </w:pPr>
    </w:p>
    <w:p w14:paraId="3A41452E" w14:textId="77777777" w:rsidR="00CD1C0A" w:rsidRDefault="00CD1C0A" w:rsidP="008B003C">
      <w:pPr>
        <w:pStyle w:val="OrdersText"/>
        <w:ind w:left="1418"/>
      </w:pPr>
      <w:r>
        <w:t xml:space="preserve">(iii) </w:t>
      </w:r>
      <w:r>
        <w:tab/>
        <w:t xml:space="preserve">there be a new trial.  </w:t>
      </w:r>
    </w:p>
    <w:p w14:paraId="7507D3BE" w14:textId="77777777" w:rsidR="00CD1C0A" w:rsidRDefault="00CD1C0A" w:rsidP="00110E41">
      <w:pPr>
        <w:pStyle w:val="OrdersText"/>
      </w:pPr>
    </w:p>
    <w:p w14:paraId="48531EA7" w14:textId="77777777" w:rsidR="00CD1C0A" w:rsidRDefault="00CD1C0A" w:rsidP="00110E41">
      <w:pPr>
        <w:pStyle w:val="OrdersText"/>
      </w:pPr>
    </w:p>
    <w:p w14:paraId="37CBC59C" w14:textId="77777777" w:rsidR="00CD1C0A" w:rsidRPr="00D442B0" w:rsidRDefault="00CD1C0A" w:rsidP="00110E41">
      <w:pPr>
        <w:pStyle w:val="OrdersText"/>
        <w:rPr>
          <w:b/>
          <w:bCs/>
          <w:i w:val="0"/>
          <w:iCs/>
        </w:rPr>
      </w:pPr>
      <w:r w:rsidRPr="00D442B0">
        <w:rPr>
          <w:b/>
          <w:bCs/>
          <w:i w:val="0"/>
          <w:iCs/>
        </w:rPr>
        <w:t>In Matter No A17 of 2022:</w:t>
      </w:r>
    </w:p>
    <w:p w14:paraId="1F68BC74" w14:textId="77777777" w:rsidR="00CD1C0A" w:rsidRDefault="00CD1C0A" w:rsidP="00110E41">
      <w:pPr>
        <w:pStyle w:val="OrdersText"/>
      </w:pPr>
    </w:p>
    <w:p w14:paraId="10126C42" w14:textId="77777777" w:rsidR="00CD1C0A" w:rsidRDefault="00CD1C0A" w:rsidP="00110E41">
      <w:pPr>
        <w:pStyle w:val="OrdersText"/>
      </w:pPr>
      <w:r>
        <w:t xml:space="preserve">1. </w:t>
      </w:r>
      <w:r>
        <w:tab/>
        <w:t>Application for special leave to appeal granted.</w:t>
      </w:r>
    </w:p>
    <w:p w14:paraId="2DCFE9B5" w14:textId="77777777" w:rsidR="00CD1C0A" w:rsidRDefault="00CD1C0A" w:rsidP="00110E41">
      <w:pPr>
        <w:pStyle w:val="OrdersText"/>
      </w:pPr>
    </w:p>
    <w:p w14:paraId="1C459468" w14:textId="77777777" w:rsidR="00CD1C0A" w:rsidRDefault="00CD1C0A" w:rsidP="00110E41">
      <w:pPr>
        <w:pStyle w:val="OrdersText"/>
      </w:pPr>
      <w:r>
        <w:t>2.</w:t>
      </w:r>
      <w:r>
        <w:tab/>
        <w:t>Appeal allowed.</w:t>
      </w:r>
    </w:p>
    <w:p w14:paraId="345B107B" w14:textId="77777777" w:rsidR="00CD1C0A" w:rsidRDefault="00CD1C0A" w:rsidP="00110E41">
      <w:pPr>
        <w:pStyle w:val="OrdersText"/>
      </w:pPr>
    </w:p>
    <w:p w14:paraId="24940917" w14:textId="77777777" w:rsidR="00CD1C0A" w:rsidRDefault="00CD1C0A" w:rsidP="00110E41">
      <w:pPr>
        <w:pStyle w:val="OrdersText"/>
      </w:pPr>
      <w:r>
        <w:t xml:space="preserve">3. </w:t>
      </w:r>
      <w:r>
        <w:tab/>
        <w:t xml:space="preserve">Order 2 of the orders of the Court of Appeal of the Supreme Court of South Australia, made on 10 August 2021, be set aside and in its </w:t>
      </w:r>
      <w:proofErr w:type="gramStart"/>
      <w:r>
        <w:t>place</w:t>
      </w:r>
      <w:proofErr w:type="gramEnd"/>
      <w:r>
        <w:t xml:space="preserve"> there be orders that:</w:t>
      </w:r>
    </w:p>
    <w:p w14:paraId="5E2D78FE" w14:textId="77777777" w:rsidR="00CD1C0A" w:rsidRDefault="00CD1C0A" w:rsidP="00110E41">
      <w:pPr>
        <w:pStyle w:val="OrdersText"/>
      </w:pPr>
    </w:p>
    <w:p w14:paraId="1187869C" w14:textId="77777777" w:rsidR="00CD1C0A" w:rsidRDefault="00CD1C0A" w:rsidP="008B003C">
      <w:pPr>
        <w:pStyle w:val="OrdersText"/>
        <w:ind w:left="1418"/>
      </w:pPr>
      <w:r>
        <w:t>(</w:t>
      </w:r>
      <w:proofErr w:type="spellStart"/>
      <w:r>
        <w:t>i</w:t>
      </w:r>
      <w:proofErr w:type="spellEnd"/>
      <w:r>
        <w:t xml:space="preserve">) </w:t>
      </w:r>
      <w:r>
        <w:tab/>
        <w:t xml:space="preserve">the appeal be </w:t>
      </w:r>
      <w:proofErr w:type="gramStart"/>
      <w:r>
        <w:t>allowed;</w:t>
      </w:r>
      <w:proofErr w:type="gramEnd"/>
      <w:r>
        <w:t xml:space="preserve"> </w:t>
      </w:r>
    </w:p>
    <w:p w14:paraId="1743DC73" w14:textId="77777777" w:rsidR="00CD1C0A" w:rsidRDefault="00CD1C0A" w:rsidP="008B003C">
      <w:pPr>
        <w:pStyle w:val="OrdersText"/>
        <w:ind w:left="1418"/>
      </w:pPr>
    </w:p>
    <w:p w14:paraId="216CF016" w14:textId="77777777" w:rsidR="00CD1C0A" w:rsidRDefault="00CD1C0A" w:rsidP="008B003C">
      <w:pPr>
        <w:pStyle w:val="OrdersText"/>
        <w:ind w:left="1418"/>
      </w:pPr>
      <w:r>
        <w:t xml:space="preserve">(ii) </w:t>
      </w:r>
      <w:r>
        <w:tab/>
        <w:t xml:space="preserve">the conviction be quashed; and </w:t>
      </w:r>
    </w:p>
    <w:p w14:paraId="6B433A55" w14:textId="77777777" w:rsidR="00CD1C0A" w:rsidRDefault="00CD1C0A" w:rsidP="008B003C">
      <w:pPr>
        <w:pStyle w:val="OrdersText"/>
        <w:ind w:left="1418"/>
      </w:pPr>
    </w:p>
    <w:p w14:paraId="0D21AD84" w14:textId="77777777" w:rsidR="00CD1C0A" w:rsidRDefault="00CD1C0A" w:rsidP="008B003C">
      <w:pPr>
        <w:pStyle w:val="OrdersText"/>
        <w:ind w:left="1418"/>
      </w:pPr>
      <w:r>
        <w:t xml:space="preserve">(iii) </w:t>
      </w:r>
      <w:r>
        <w:tab/>
        <w:t xml:space="preserve">there be a new trial.  </w:t>
      </w:r>
    </w:p>
    <w:p w14:paraId="600A6450" w14:textId="77777777" w:rsidR="00CD1C0A" w:rsidRDefault="00CD1C0A" w:rsidP="00EE5374">
      <w:pPr>
        <w:pStyle w:val="Body"/>
      </w:pPr>
    </w:p>
    <w:p w14:paraId="09B73638" w14:textId="77777777" w:rsidR="00CD1C0A" w:rsidRPr="00427F3A" w:rsidRDefault="00CD1C0A" w:rsidP="00EE5374">
      <w:pPr>
        <w:pStyle w:val="Body"/>
      </w:pPr>
    </w:p>
    <w:p w14:paraId="54A7BE10" w14:textId="77777777" w:rsidR="00CD1C0A" w:rsidRPr="00427F3A" w:rsidRDefault="00CD1C0A" w:rsidP="0032341F">
      <w:pPr>
        <w:pStyle w:val="OrdersBody"/>
      </w:pPr>
      <w:r w:rsidRPr="00427F3A">
        <w:t xml:space="preserve">On appeal from the </w:t>
      </w:r>
      <w:r w:rsidRPr="0081157F">
        <w:t>Supreme Court of South Australia</w:t>
      </w:r>
    </w:p>
    <w:p w14:paraId="42333CBC" w14:textId="77777777" w:rsidR="00CD1C0A" w:rsidRDefault="00CD1C0A" w:rsidP="00EE5374">
      <w:pPr>
        <w:pStyle w:val="Body"/>
      </w:pPr>
    </w:p>
    <w:p w14:paraId="42ADD8BB" w14:textId="77777777" w:rsidR="00CD1C0A" w:rsidRPr="00427F3A" w:rsidRDefault="00CD1C0A" w:rsidP="00EE5374">
      <w:pPr>
        <w:pStyle w:val="Body"/>
      </w:pPr>
    </w:p>
    <w:p w14:paraId="22604F02" w14:textId="77777777" w:rsidR="00CD1C0A" w:rsidRPr="00427F3A" w:rsidRDefault="00CD1C0A" w:rsidP="00E90E4F">
      <w:pPr>
        <w:pStyle w:val="OrdersBodyHeading"/>
      </w:pPr>
      <w:r w:rsidRPr="00427F3A">
        <w:t>Representation</w:t>
      </w:r>
    </w:p>
    <w:p w14:paraId="63C3C7BB" w14:textId="77777777" w:rsidR="00CD1C0A" w:rsidRDefault="00CD1C0A" w:rsidP="00EE5374">
      <w:pPr>
        <w:pStyle w:val="Body"/>
      </w:pPr>
    </w:p>
    <w:p w14:paraId="68D24020" w14:textId="77777777" w:rsidR="00CD1C0A" w:rsidRPr="00231C09" w:rsidRDefault="00CD1C0A" w:rsidP="00E90E4F">
      <w:pPr>
        <w:pStyle w:val="OrdersBody"/>
      </w:pPr>
      <w:r w:rsidRPr="00231C09">
        <w:t>T</w:t>
      </w:r>
      <w:r>
        <w:t xml:space="preserve"> </w:t>
      </w:r>
      <w:r w:rsidRPr="00231C09">
        <w:t>A</w:t>
      </w:r>
      <w:r>
        <w:t xml:space="preserve"> </w:t>
      </w:r>
      <w:r w:rsidRPr="00231C09">
        <w:t>Game SC with K</w:t>
      </w:r>
      <w:r>
        <w:t xml:space="preserve"> </w:t>
      </w:r>
      <w:r w:rsidRPr="00231C09">
        <w:t>G</w:t>
      </w:r>
      <w:r>
        <w:t xml:space="preserve"> </w:t>
      </w:r>
      <w:proofErr w:type="spellStart"/>
      <w:r w:rsidRPr="00231C09">
        <w:t>Handshin</w:t>
      </w:r>
      <w:proofErr w:type="spellEnd"/>
      <w:r w:rsidRPr="00231C09">
        <w:t xml:space="preserve"> KC</w:t>
      </w:r>
      <w:r>
        <w:t xml:space="preserve"> and</w:t>
      </w:r>
      <w:r w:rsidRPr="00231C09">
        <w:t xml:space="preserve"> </w:t>
      </w:r>
      <w:r w:rsidRPr="007434A7">
        <w:t>K J Edwards</w:t>
      </w:r>
      <w:r>
        <w:t xml:space="preserve"> (did not appear)</w:t>
      </w:r>
      <w:r w:rsidRPr="007434A7">
        <w:t xml:space="preserve"> </w:t>
      </w:r>
      <w:r w:rsidRPr="00231C09">
        <w:t>for the appellant</w:t>
      </w:r>
      <w:r>
        <w:t xml:space="preserve"> in A16/2022 </w:t>
      </w:r>
      <w:r w:rsidRPr="00231C09">
        <w:t>(instructed by Access to Justice Law Firm)</w:t>
      </w:r>
    </w:p>
    <w:p w14:paraId="64F2FABE" w14:textId="7825AFDE" w:rsidR="00CD1C0A" w:rsidRDefault="00CD1C0A">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szCs w:val="20"/>
        </w:rPr>
      </w:pPr>
      <w:r>
        <w:br w:type="page"/>
      </w:r>
    </w:p>
    <w:p w14:paraId="58D8CA10" w14:textId="0FCCAFBE" w:rsidR="00CD1C0A" w:rsidRDefault="00CD1C0A">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szCs w:val="20"/>
        </w:rPr>
      </w:pPr>
      <w:r>
        <w:lastRenderedPageBreak/>
        <w:br w:type="page"/>
      </w:r>
    </w:p>
    <w:p w14:paraId="588A332C" w14:textId="77777777" w:rsidR="00CD1C0A" w:rsidRPr="00231C09" w:rsidRDefault="00CD1C0A" w:rsidP="009C09E5">
      <w:pPr>
        <w:pStyle w:val="OrdersBody"/>
      </w:pPr>
      <w:r w:rsidRPr="00231C09">
        <w:lastRenderedPageBreak/>
        <w:t xml:space="preserve">A L </w:t>
      </w:r>
      <w:proofErr w:type="spellStart"/>
      <w:r w:rsidRPr="00231C09">
        <w:t>Tokley</w:t>
      </w:r>
      <w:proofErr w:type="spellEnd"/>
      <w:r w:rsidRPr="00231C09">
        <w:t xml:space="preserve"> KC with G N E Aitken for the appellant</w:t>
      </w:r>
      <w:r>
        <w:t xml:space="preserve"> in A14/2022 </w:t>
      </w:r>
      <w:r w:rsidRPr="00231C09">
        <w:t xml:space="preserve">(instructed by </w:t>
      </w:r>
      <w:proofErr w:type="spellStart"/>
      <w:r w:rsidRPr="00231C09">
        <w:t>Noblet</w:t>
      </w:r>
      <w:proofErr w:type="spellEnd"/>
      <w:r w:rsidRPr="00231C09">
        <w:t xml:space="preserve"> &amp; Co)</w:t>
      </w:r>
    </w:p>
    <w:p w14:paraId="48DA0B41" w14:textId="77777777" w:rsidR="00CD1C0A" w:rsidRPr="00231C09" w:rsidRDefault="00CD1C0A" w:rsidP="009C09E5">
      <w:pPr>
        <w:pStyle w:val="Body"/>
      </w:pPr>
    </w:p>
    <w:p w14:paraId="6FEEA882" w14:textId="77777777" w:rsidR="00CD1C0A" w:rsidRPr="00231C09" w:rsidRDefault="00CD1C0A" w:rsidP="009C09E5">
      <w:pPr>
        <w:pStyle w:val="OrdersBody"/>
      </w:pPr>
      <w:r w:rsidRPr="00231C09">
        <w:t xml:space="preserve">S G </w:t>
      </w:r>
      <w:proofErr w:type="spellStart"/>
      <w:r w:rsidRPr="00231C09">
        <w:t>Henchliffe</w:t>
      </w:r>
      <w:proofErr w:type="spellEnd"/>
      <w:r w:rsidRPr="00231C09">
        <w:t xml:space="preserve"> KC with A J Culshaw for the appellant</w:t>
      </w:r>
      <w:r>
        <w:t xml:space="preserve"> in A15/2022 </w:t>
      </w:r>
      <w:r w:rsidRPr="00231C09">
        <w:t xml:space="preserve">(instructed by </w:t>
      </w:r>
      <w:proofErr w:type="spellStart"/>
      <w:r w:rsidRPr="00231C09">
        <w:t>Barbaro</w:t>
      </w:r>
      <w:proofErr w:type="spellEnd"/>
      <w:r w:rsidRPr="00231C09">
        <w:t xml:space="preserve"> </w:t>
      </w:r>
      <w:proofErr w:type="spellStart"/>
      <w:r w:rsidRPr="00231C09">
        <w:t>Thilthorpe</w:t>
      </w:r>
      <w:proofErr w:type="spellEnd"/>
      <w:r w:rsidRPr="00231C09">
        <w:t xml:space="preserve"> Lawyers)</w:t>
      </w:r>
    </w:p>
    <w:p w14:paraId="31C372A5" w14:textId="77777777" w:rsidR="00CD1C0A" w:rsidRPr="00231C09" w:rsidRDefault="00CD1C0A" w:rsidP="009C09E5">
      <w:pPr>
        <w:pStyle w:val="Body"/>
      </w:pPr>
    </w:p>
    <w:p w14:paraId="321201AE" w14:textId="77777777" w:rsidR="00CD1C0A" w:rsidRPr="00231C09" w:rsidRDefault="00CD1C0A" w:rsidP="009C09E5">
      <w:pPr>
        <w:pStyle w:val="OrdersBody"/>
      </w:pPr>
      <w:r w:rsidRPr="00231C09">
        <w:t>S A Mc</w:t>
      </w:r>
      <w:r>
        <w:t>D</w:t>
      </w:r>
      <w:r w:rsidRPr="00231C09">
        <w:t xml:space="preserve">onald SC with G </w:t>
      </w:r>
      <w:proofErr w:type="spellStart"/>
      <w:r w:rsidRPr="00231C09">
        <w:t>Katsaras</w:t>
      </w:r>
      <w:proofErr w:type="spellEnd"/>
      <w:r w:rsidRPr="00231C09">
        <w:t xml:space="preserve"> for the applicant</w:t>
      </w:r>
      <w:r>
        <w:t xml:space="preserve"> in A17/2022 </w:t>
      </w:r>
      <w:r w:rsidRPr="00231C09">
        <w:t>(instructed by Legal Services Commission of South Australia)</w:t>
      </w:r>
    </w:p>
    <w:p w14:paraId="77D72C9A" w14:textId="77777777" w:rsidR="00CD1C0A" w:rsidRPr="00102061" w:rsidRDefault="00CD1C0A" w:rsidP="00E90E4F">
      <w:pPr>
        <w:pStyle w:val="OrdersBody"/>
      </w:pPr>
    </w:p>
    <w:p w14:paraId="14D6F939" w14:textId="77777777" w:rsidR="00CD1C0A" w:rsidRPr="00102061" w:rsidRDefault="00CD1C0A" w:rsidP="00231C09">
      <w:pPr>
        <w:pStyle w:val="OrdersBody"/>
      </w:pPr>
      <w:r w:rsidRPr="00102061">
        <w:t xml:space="preserve">J P Pearce KC with R I Walker for the respondent in each </w:t>
      </w:r>
      <w:r>
        <w:t>matter</w:t>
      </w:r>
      <w:r w:rsidRPr="00102061">
        <w:t xml:space="preserve"> </w:t>
      </w:r>
      <w:r w:rsidRPr="00231C09">
        <w:t xml:space="preserve">(instructed by </w:t>
      </w:r>
      <w:r w:rsidRPr="005F7E53">
        <w:t>Office of the Director of Public Prosecutions (SA)</w:t>
      </w:r>
      <w:r w:rsidRPr="00231C09">
        <w:t>)</w:t>
      </w:r>
    </w:p>
    <w:p w14:paraId="1623BB21" w14:textId="77777777" w:rsidR="00CD1C0A" w:rsidRPr="00102061" w:rsidRDefault="00CD1C0A" w:rsidP="00A01277">
      <w:pPr>
        <w:pStyle w:val="Body"/>
      </w:pPr>
    </w:p>
    <w:p w14:paraId="73CE9609" w14:textId="77777777" w:rsidR="00CD1C0A" w:rsidRDefault="00CD1C0A" w:rsidP="00EE5374">
      <w:pPr>
        <w:pStyle w:val="Body"/>
      </w:pPr>
    </w:p>
    <w:p w14:paraId="575EC82F" w14:textId="77777777" w:rsidR="00CD1C0A" w:rsidRDefault="00CD1C0A" w:rsidP="00EE5374">
      <w:pPr>
        <w:pStyle w:val="Body"/>
      </w:pPr>
    </w:p>
    <w:p w14:paraId="6A32A916" w14:textId="77777777" w:rsidR="00CD1C0A" w:rsidRDefault="00CD1C0A" w:rsidP="00EE5374">
      <w:pPr>
        <w:pStyle w:val="Body"/>
      </w:pPr>
    </w:p>
    <w:p w14:paraId="348D8E0E" w14:textId="77777777" w:rsidR="00CD1C0A" w:rsidRDefault="00CD1C0A" w:rsidP="00EE5374">
      <w:pPr>
        <w:pStyle w:val="Body"/>
      </w:pPr>
    </w:p>
    <w:p w14:paraId="358F797E" w14:textId="77777777" w:rsidR="00CD1C0A" w:rsidRDefault="00CD1C0A" w:rsidP="00EE5374">
      <w:pPr>
        <w:pStyle w:val="Body"/>
      </w:pPr>
    </w:p>
    <w:p w14:paraId="5C349869" w14:textId="77777777" w:rsidR="00CD1C0A" w:rsidRDefault="00CD1C0A" w:rsidP="00EE5374">
      <w:pPr>
        <w:pStyle w:val="Body"/>
      </w:pPr>
    </w:p>
    <w:p w14:paraId="68C7D27A" w14:textId="77777777" w:rsidR="00CD1C0A" w:rsidRDefault="00CD1C0A" w:rsidP="00EE5374">
      <w:pPr>
        <w:pStyle w:val="Body"/>
      </w:pPr>
    </w:p>
    <w:p w14:paraId="54E28675" w14:textId="77777777" w:rsidR="00CD1C0A" w:rsidRDefault="00CD1C0A" w:rsidP="00EE5374">
      <w:pPr>
        <w:pStyle w:val="Body"/>
      </w:pPr>
    </w:p>
    <w:p w14:paraId="114D252D" w14:textId="77777777" w:rsidR="00CD1C0A" w:rsidRDefault="00CD1C0A" w:rsidP="00EE5374">
      <w:pPr>
        <w:pStyle w:val="Body"/>
      </w:pPr>
    </w:p>
    <w:p w14:paraId="5797EDB0" w14:textId="77777777" w:rsidR="00CD1C0A" w:rsidRDefault="00CD1C0A" w:rsidP="00EE5374">
      <w:pPr>
        <w:pStyle w:val="Body"/>
      </w:pPr>
    </w:p>
    <w:p w14:paraId="7A865792" w14:textId="77777777" w:rsidR="00CD1C0A" w:rsidRDefault="00CD1C0A" w:rsidP="00EE5374">
      <w:pPr>
        <w:pStyle w:val="Body"/>
      </w:pPr>
    </w:p>
    <w:p w14:paraId="0EDA65B1" w14:textId="77777777" w:rsidR="00CD1C0A" w:rsidRDefault="00CD1C0A" w:rsidP="00EE5374">
      <w:pPr>
        <w:pStyle w:val="Body"/>
      </w:pPr>
    </w:p>
    <w:p w14:paraId="6B7BEF45" w14:textId="77777777" w:rsidR="00CD1C0A" w:rsidRDefault="00CD1C0A" w:rsidP="00EE5374">
      <w:pPr>
        <w:pStyle w:val="Body"/>
      </w:pPr>
    </w:p>
    <w:p w14:paraId="0C971E35" w14:textId="77777777" w:rsidR="00CD1C0A" w:rsidRDefault="00CD1C0A" w:rsidP="00EE5374">
      <w:pPr>
        <w:pStyle w:val="Body"/>
      </w:pPr>
    </w:p>
    <w:p w14:paraId="1C6E9FB6" w14:textId="77777777" w:rsidR="00CD1C0A" w:rsidRDefault="00CD1C0A" w:rsidP="00EE5374">
      <w:pPr>
        <w:pStyle w:val="Body"/>
      </w:pPr>
    </w:p>
    <w:p w14:paraId="5AF1D565" w14:textId="77777777" w:rsidR="00CD1C0A" w:rsidRDefault="00CD1C0A" w:rsidP="00EE5374">
      <w:pPr>
        <w:pStyle w:val="Body"/>
      </w:pPr>
    </w:p>
    <w:p w14:paraId="0A945A16" w14:textId="77777777" w:rsidR="00CD1C0A" w:rsidRDefault="00CD1C0A" w:rsidP="00EE5374">
      <w:pPr>
        <w:pStyle w:val="Body"/>
      </w:pPr>
    </w:p>
    <w:p w14:paraId="7850C206" w14:textId="77777777" w:rsidR="00CD1C0A" w:rsidRDefault="00CD1C0A" w:rsidP="00EE5374">
      <w:pPr>
        <w:pStyle w:val="Body"/>
      </w:pPr>
    </w:p>
    <w:p w14:paraId="4D305DAF" w14:textId="0F72F76E" w:rsidR="00CD1C0A" w:rsidRDefault="00CD1C0A" w:rsidP="00EE5374">
      <w:pPr>
        <w:pStyle w:val="Body"/>
      </w:pPr>
    </w:p>
    <w:p w14:paraId="488AE976" w14:textId="250FD8E9" w:rsidR="00CD1C0A" w:rsidRDefault="00CD1C0A" w:rsidP="00EE5374">
      <w:pPr>
        <w:pStyle w:val="Body"/>
      </w:pPr>
    </w:p>
    <w:p w14:paraId="6C012B3F" w14:textId="4F53E752" w:rsidR="00CD1C0A" w:rsidRDefault="00CD1C0A" w:rsidP="00EE5374">
      <w:pPr>
        <w:pStyle w:val="Body"/>
      </w:pPr>
    </w:p>
    <w:p w14:paraId="60DE0CD4" w14:textId="77777777" w:rsidR="00CD1C0A" w:rsidRDefault="00CD1C0A" w:rsidP="00EE5374">
      <w:pPr>
        <w:pStyle w:val="Body"/>
      </w:pPr>
    </w:p>
    <w:p w14:paraId="5386E601" w14:textId="77777777" w:rsidR="00CD1C0A" w:rsidRDefault="00CD1C0A" w:rsidP="00EE5374">
      <w:pPr>
        <w:pStyle w:val="Body"/>
      </w:pPr>
    </w:p>
    <w:p w14:paraId="79328F9F" w14:textId="77777777" w:rsidR="00CD1C0A" w:rsidRDefault="00CD1C0A" w:rsidP="00EE5374">
      <w:pPr>
        <w:pStyle w:val="Body"/>
      </w:pPr>
    </w:p>
    <w:p w14:paraId="23BCD01B" w14:textId="77777777" w:rsidR="00CD1C0A" w:rsidRDefault="00CD1C0A" w:rsidP="00EE5374">
      <w:pPr>
        <w:pStyle w:val="Body"/>
      </w:pPr>
    </w:p>
    <w:p w14:paraId="1D8873B4" w14:textId="77777777" w:rsidR="00CD1C0A" w:rsidRDefault="00CD1C0A" w:rsidP="00EE5374">
      <w:pPr>
        <w:pStyle w:val="Body"/>
      </w:pPr>
    </w:p>
    <w:p w14:paraId="16CB7658" w14:textId="77777777" w:rsidR="00CD1C0A" w:rsidRPr="00427F3A" w:rsidRDefault="00CD1C0A" w:rsidP="00EE5374">
      <w:pPr>
        <w:pStyle w:val="Body"/>
      </w:pPr>
    </w:p>
    <w:p w14:paraId="1687B90E" w14:textId="77777777" w:rsidR="00CD1C0A" w:rsidRPr="00427F3A" w:rsidRDefault="00CD1C0A" w:rsidP="00F9713B">
      <w:pPr>
        <w:pStyle w:val="Notice"/>
        <w:rPr>
          <w:lang w:val="en-AU"/>
        </w:rPr>
      </w:pPr>
      <w:r w:rsidRPr="00427F3A">
        <w:rPr>
          <w:lang w:val="en-AU"/>
        </w:rPr>
        <w:t>Notice:  This copy of the Court's Reasons for Judgment is subject to formal revision prior to publication in the Commonwealth Law Reports.</w:t>
      </w:r>
    </w:p>
    <w:p w14:paraId="720A17B3" w14:textId="7D7A1B36" w:rsidR="00CD1C0A" w:rsidRDefault="00CD1C0A">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1137F596" w14:textId="77777777" w:rsidR="00CD1C0A" w:rsidRDefault="00CD1C0A">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sectPr w:rsidR="00CD1C0A" w:rsidSect="00CD1C0A">
          <w:headerReference w:type="even" r:id="rId11"/>
          <w:headerReference w:type="default" r:id="rId12"/>
          <w:footerReference w:type="even" r:id="rId13"/>
          <w:footerReference w:type="default" r:id="rId14"/>
          <w:headerReference w:type="first" r:id="rId15"/>
          <w:footerReference w:type="first" r:id="rId16"/>
          <w:pgSz w:w="11907" w:h="16839" w:code="9"/>
          <w:pgMar w:top="1440" w:right="1984" w:bottom="1984" w:left="1984" w:header="720" w:footer="720" w:gutter="0"/>
          <w:cols w:space="720"/>
          <w:titlePg/>
          <w:docGrid w:linePitch="354"/>
        </w:sectPr>
      </w:pPr>
      <w:r>
        <w:rPr>
          <w:rFonts w:ascii="Times New Roman" w:hAnsi="Times New Roman"/>
        </w:rPr>
        <w:lastRenderedPageBreak/>
        <w:br w:type="page"/>
      </w:r>
    </w:p>
    <w:p w14:paraId="29FB4455" w14:textId="77777777" w:rsidR="00CD1C0A" w:rsidRDefault="00CD1C0A" w:rsidP="007A74C0">
      <w:pPr>
        <w:pStyle w:val="CatchwordsBold"/>
        <w:tabs>
          <w:tab w:val="clear" w:pos="3600"/>
          <w:tab w:val="clear" w:pos="6480"/>
          <w:tab w:val="left" w:pos="7560"/>
        </w:tabs>
      </w:pPr>
      <w:r w:rsidRPr="00B9489E">
        <w:lastRenderedPageBreak/>
        <w:t>CATCHWORDS</w:t>
      </w:r>
    </w:p>
    <w:p w14:paraId="2779476C" w14:textId="77777777" w:rsidR="00CD1C0A" w:rsidRPr="00B9489E" w:rsidRDefault="00CD1C0A" w:rsidP="001649CA">
      <w:pPr>
        <w:pStyle w:val="CatchwordsBold"/>
      </w:pPr>
    </w:p>
    <w:p w14:paraId="72B5CC34" w14:textId="77777777" w:rsidR="00CD1C0A" w:rsidRDefault="00CD1C0A" w:rsidP="00562CAB">
      <w:pPr>
        <w:pStyle w:val="Default"/>
        <w:rPr>
          <w:rFonts w:eastAsia="Times New Roman"/>
          <w:b/>
          <w:color w:val="auto"/>
          <w:sz w:val="26"/>
          <w:szCs w:val="20"/>
          <w:lang w:eastAsia="en-AU"/>
        </w:rPr>
      </w:pPr>
      <w:r w:rsidRPr="00606B5E">
        <w:rPr>
          <w:rFonts w:eastAsia="Times New Roman"/>
          <w:b/>
          <w:color w:val="auto"/>
          <w:sz w:val="26"/>
          <w:szCs w:val="20"/>
          <w:lang w:eastAsia="en-AU"/>
        </w:rPr>
        <w:t xml:space="preserve">Mitchell </w:t>
      </w:r>
      <w:r>
        <w:rPr>
          <w:rFonts w:eastAsia="Times New Roman"/>
          <w:b/>
          <w:color w:val="auto"/>
          <w:sz w:val="26"/>
          <w:szCs w:val="20"/>
          <w:lang w:eastAsia="en-AU"/>
        </w:rPr>
        <w:t>v</w:t>
      </w:r>
      <w:r w:rsidRPr="00606B5E">
        <w:rPr>
          <w:rFonts w:eastAsia="Times New Roman"/>
          <w:b/>
          <w:color w:val="auto"/>
          <w:sz w:val="26"/>
          <w:szCs w:val="20"/>
          <w:lang w:eastAsia="en-AU"/>
        </w:rPr>
        <w:t xml:space="preserve"> The King </w:t>
      </w:r>
    </w:p>
    <w:p w14:paraId="4367DC27" w14:textId="77777777" w:rsidR="00CD1C0A" w:rsidRDefault="00CD1C0A" w:rsidP="00562CAB">
      <w:pPr>
        <w:pStyle w:val="Default"/>
        <w:rPr>
          <w:rFonts w:eastAsia="Times New Roman"/>
          <w:b/>
          <w:color w:val="auto"/>
          <w:sz w:val="26"/>
          <w:szCs w:val="20"/>
          <w:lang w:eastAsia="en-AU"/>
        </w:rPr>
      </w:pPr>
      <w:r w:rsidRPr="00606B5E">
        <w:rPr>
          <w:rFonts w:eastAsia="Times New Roman"/>
          <w:b/>
          <w:color w:val="auto"/>
          <w:sz w:val="26"/>
          <w:szCs w:val="20"/>
          <w:lang w:eastAsia="en-AU"/>
        </w:rPr>
        <w:t xml:space="preserve">Rigney </w:t>
      </w:r>
      <w:r>
        <w:rPr>
          <w:rFonts w:eastAsia="Times New Roman"/>
          <w:b/>
          <w:color w:val="auto"/>
          <w:sz w:val="26"/>
          <w:szCs w:val="20"/>
          <w:lang w:eastAsia="en-AU"/>
        </w:rPr>
        <w:t>v</w:t>
      </w:r>
      <w:r w:rsidRPr="00606B5E">
        <w:rPr>
          <w:rFonts w:eastAsia="Times New Roman"/>
          <w:b/>
          <w:color w:val="auto"/>
          <w:sz w:val="26"/>
          <w:szCs w:val="20"/>
          <w:lang w:eastAsia="en-AU"/>
        </w:rPr>
        <w:t xml:space="preserve"> The King </w:t>
      </w:r>
    </w:p>
    <w:p w14:paraId="0275A85A" w14:textId="77777777" w:rsidR="00CD1C0A" w:rsidRDefault="00CD1C0A" w:rsidP="00562CAB">
      <w:pPr>
        <w:pStyle w:val="Default"/>
        <w:rPr>
          <w:rFonts w:eastAsia="Times New Roman"/>
          <w:b/>
          <w:color w:val="auto"/>
          <w:sz w:val="26"/>
          <w:szCs w:val="20"/>
          <w:lang w:eastAsia="en-AU"/>
        </w:rPr>
      </w:pPr>
      <w:r w:rsidRPr="00606B5E">
        <w:rPr>
          <w:rFonts w:eastAsia="Times New Roman"/>
          <w:b/>
          <w:color w:val="auto"/>
          <w:sz w:val="26"/>
          <w:szCs w:val="20"/>
          <w:lang w:eastAsia="en-AU"/>
        </w:rPr>
        <w:t xml:space="preserve">Carver </w:t>
      </w:r>
      <w:r>
        <w:rPr>
          <w:rFonts w:eastAsia="Times New Roman"/>
          <w:b/>
          <w:color w:val="auto"/>
          <w:sz w:val="26"/>
          <w:szCs w:val="20"/>
          <w:lang w:eastAsia="en-AU"/>
        </w:rPr>
        <w:t>v</w:t>
      </w:r>
      <w:r w:rsidRPr="00606B5E">
        <w:rPr>
          <w:rFonts w:eastAsia="Times New Roman"/>
          <w:b/>
          <w:color w:val="auto"/>
          <w:sz w:val="26"/>
          <w:szCs w:val="20"/>
          <w:lang w:eastAsia="en-AU"/>
        </w:rPr>
        <w:t xml:space="preserve"> The King </w:t>
      </w:r>
    </w:p>
    <w:p w14:paraId="76C8328C" w14:textId="77777777" w:rsidR="00CD1C0A" w:rsidRPr="00B9489E" w:rsidRDefault="00CD1C0A" w:rsidP="00562CAB">
      <w:pPr>
        <w:pStyle w:val="Default"/>
      </w:pPr>
      <w:proofErr w:type="spellStart"/>
      <w:r w:rsidRPr="00606B5E">
        <w:rPr>
          <w:rFonts w:eastAsia="Times New Roman"/>
          <w:b/>
          <w:color w:val="auto"/>
          <w:sz w:val="26"/>
          <w:szCs w:val="20"/>
          <w:lang w:eastAsia="en-AU"/>
        </w:rPr>
        <w:t>Tenhoopen</w:t>
      </w:r>
      <w:proofErr w:type="spellEnd"/>
      <w:r w:rsidRPr="00606B5E">
        <w:rPr>
          <w:rFonts w:eastAsia="Times New Roman"/>
          <w:b/>
          <w:color w:val="auto"/>
          <w:sz w:val="26"/>
          <w:szCs w:val="20"/>
          <w:lang w:eastAsia="en-AU"/>
        </w:rPr>
        <w:t xml:space="preserve"> </w:t>
      </w:r>
      <w:r>
        <w:rPr>
          <w:rFonts w:eastAsia="Times New Roman"/>
          <w:b/>
          <w:color w:val="auto"/>
          <w:sz w:val="26"/>
          <w:szCs w:val="20"/>
          <w:lang w:eastAsia="en-AU"/>
        </w:rPr>
        <w:t>v</w:t>
      </w:r>
      <w:r w:rsidRPr="00606B5E">
        <w:rPr>
          <w:rFonts w:eastAsia="Times New Roman"/>
          <w:b/>
          <w:color w:val="auto"/>
          <w:sz w:val="26"/>
          <w:szCs w:val="20"/>
          <w:lang w:eastAsia="en-AU"/>
        </w:rPr>
        <w:t xml:space="preserve"> The King</w:t>
      </w:r>
    </w:p>
    <w:p w14:paraId="79482B5B" w14:textId="77777777" w:rsidR="00CD1C0A" w:rsidRDefault="00CD1C0A" w:rsidP="001649CA">
      <w:pPr>
        <w:pStyle w:val="CatchwordsText"/>
      </w:pPr>
    </w:p>
    <w:p w14:paraId="60B4349F" w14:textId="77777777" w:rsidR="00CD1C0A" w:rsidRDefault="00CD1C0A" w:rsidP="001649CA">
      <w:pPr>
        <w:pStyle w:val="CatchwordsText"/>
      </w:pPr>
      <w:r>
        <w:t xml:space="preserve">Criminal law </w:t>
      </w:r>
      <w:r w:rsidRPr="00B9489E">
        <w:t>–</w:t>
      </w:r>
      <w:r>
        <w:t xml:space="preserve"> Murder </w:t>
      </w:r>
      <w:r w:rsidRPr="00B9489E">
        <w:t>–</w:t>
      </w:r>
      <w:r>
        <w:t xml:space="preserve"> Appeal against conviction </w:t>
      </w:r>
      <w:r w:rsidRPr="00B9489E">
        <w:t>–</w:t>
      </w:r>
      <w:r>
        <w:t xml:space="preserve"> Extended joint criminal enterprise </w:t>
      </w:r>
      <w:r w:rsidRPr="00B9489E">
        <w:t>–</w:t>
      </w:r>
      <w:r>
        <w:t xml:space="preserve"> Murder and constructive murder provided for by ss 11 and 12A of </w:t>
      </w:r>
      <w:r w:rsidRPr="00E36EAE">
        <w:rPr>
          <w:i/>
          <w:iCs/>
        </w:rPr>
        <w:t>Criminal Law Consolidation Act 1935</w:t>
      </w:r>
      <w:r w:rsidRPr="00E36EAE">
        <w:t xml:space="preserve"> (SA)</w:t>
      </w:r>
      <w:r>
        <w:t>, respectively</w:t>
      </w:r>
      <w:r w:rsidRPr="00E36EAE">
        <w:t xml:space="preserve"> </w:t>
      </w:r>
      <w:r w:rsidRPr="00B9489E">
        <w:t>–</w:t>
      </w:r>
      <w:r>
        <w:t xml:space="preserve"> Where appellants agreed to commit indictable offence of criminal trespass </w:t>
      </w:r>
      <w:r w:rsidRPr="00B9489E">
        <w:t>–</w:t>
      </w:r>
      <w:r>
        <w:t xml:space="preserve"> Where during commission of offence one or more parties to agreement committed intentional act of violence causing death </w:t>
      </w:r>
      <w:r w:rsidRPr="00B9489E">
        <w:t>–</w:t>
      </w:r>
      <w:r>
        <w:t xml:space="preserve"> Where appellants' agreement did not extend to intentional act of violence causing death </w:t>
      </w:r>
      <w:r w:rsidRPr="00B9489E">
        <w:t>–</w:t>
      </w:r>
      <w:r>
        <w:t xml:space="preserve"> Where s 12A deemed perpetrator of intentional act of violence causing death in course of commission of major indictable offence punishable by ten years' imprisonment or more guilty of murder under s 11 </w:t>
      </w:r>
      <w:r w:rsidRPr="00B9489E">
        <w:t>–</w:t>
      </w:r>
      <w:r>
        <w:t xml:space="preserve"> Whether common law doctrine of extended joint criminal enterprise could operate in combination with s 12A to render appellants guilty of murder based on foresight of possibility of commission by a co-venturer of any intentional act of violence. </w:t>
      </w:r>
    </w:p>
    <w:p w14:paraId="7C53AD9F" w14:textId="77777777" w:rsidR="00CD1C0A" w:rsidRDefault="00CD1C0A" w:rsidP="001649CA">
      <w:pPr>
        <w:pStyle w:val="CatchwordsText"/>
      </w:pPr>
    </w:p>
    <w:p w14:paraId="3138A240" w14:textId="77777777" w:rsidR="00CD1C0A" w:rsidRDefault="00CD1C0A" w:rsidP="001649CA">
      <w:pPr>
        <w:pStyle w:val="CatchwordsText"/>
      </w:pPr>
      <w:r w:rsidRPr="00B9489E">
        <w:t>Words and phrases –</w:t>
      </w:r>
      <w:r>
        <w:t xml:space="preserve"> "agreement", "common purpose", "constructive murder", "derivative liability", "extended joint criminal enterprise", "felony murder", "foresight", "intentional act of violence", "joint criminal enterprise", "murder", "pathway to murder", "primary liability", "primary offender", "primary party", "secondary offender", "secondary party". </w:t>
      </w:r>
    </w:p>
    <w:p w14:paraId="64B543E5" w14:textId="77777777" w:rsidR="00CD1C0A" w:rsidRPr="00B9489E" w:rsidRDefault="00CD1C0A" w:rsidP="001649CA">
      <w:pPr>
        <w:pStyle w:val="CatchwordsText"/>
      </w:pPr>
    </w:p>
    <w:p w14:paraId="18FA8F72" w14:textId="77777777" w:rsidR="00CD1C0A" w:rsidRPr="00A8092F" w:rsidRDefault="00CD1C0A" w:rsidP="0001297C">
      <w:pPr>
        <w:pStyle w:val="CatchwordsText"/>
      </w:pPr>
      <w:r w:rsidRPr="00E36EAE">
        <w:rPr>
          <w:i/>
          <w:iCs/>
        </w:rPr>
        <w:t>Criminal Law Consolidation Act 1935</w:t>
      </w:r>
      <w:r w:rsidRPr="00E36EAE">
        <w:t xml:space="preserve"> (SA)</w:t>
      </w:r>
      <w:r>
        <w:t>, ss 11, 12A.</w:t>
      </w:r>
    </w:p>
    <w:p w14:paraId="5072E9D1" w14:textId="6380D2DC" w:rsidR="00CD1C0A" w:rsidRDefault="00CD1C0A" w:rsidP="00CD1C0A">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p>
    <w:p w14:paraId="60263D41" w14:textId="1D902D02" w:rsidR="00CD1C0A" w:rsidRDefault="00CD1C0A">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3F1B583B" w14:textId="1714933F" w:rsidR="00CD1C0A" w:rsidRDefault="00CD1C0A">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lastRenderedPageBreak/>
        <w:br w:type="page"/>
      </w:r>
    </w:p>
    <w:p w14:paraId="0B619A20" w14:textId="77777777" w:rsidR="00CD1C0A" w:rsidRDefault="00CD1C0A" w:rsidP="007C5B81">
      <w:pPr>
        <w:pStyle w:val="FixListStyle"/>
        <w:tabs>
          <w:tab w:val="clear" w:pos="720"/>
          <w:tab w:val="left" w:pos="0"/>
        </w:tabs>
        <w:spacing w:after="260" w:line="280" w:lineRule="exact"/>
        <w:ind w:right="0"/>
        <w:jc w:val="both"/>
        <w:rPr>
          <w:rFonts w:ascii="Times New Roman" w:hAnsi="Times New Roman"/>
        </w:rPr>
        <w:sectPr w:rsidR="00CD1C0A" w:rsidSect="00CD1C0A">
          <w:pgSz w:w="11907" w:h="16839" w:code="9"/>
          <w:pgMar w:top="1440" w:right="1701" w:bottom="1984" w:left="1701" w:header="720" w:footer="720" w:gutter="0"/>
          <w:pgNumType w:start="1"/>
          <w:cols w:space="720"/>
          <w:titlePg/>
          <w:docGrid w:linePitch="354"/>
        </w:sectPr>
      </w:pPr>
    </w:p>
    <w:p w14:paraId="51DC4600" w14:textId="376DC801" w:rsidR="00A73989" w:rsidRPr="007C5B81" w:rsidRDefault="007C5B81" w:rsidP="007C5B81">
      <w:pPr>
        <w:pStyle w:val="FixListStyle"/>
        <w:tabs>
          <w:tab w:val="clear" w:pos="720"/>
          <w:tab w:val="left" w:pos="0"/>
        </w:tabs>
        <w:spacing w:after="260" w:line="280" w:lineRule="exact"/>
        <w:ind w:right="0"/>
        <w:jc w:val="both"/>
        <w:rPr>
          <w:rFonts w:ascii="Times New Roman" w:hAnsi="Times New Roman"/>
        </w:rPr>
      </w:pPr>
      <w:r w:rsidRPr="007C5B81">
        <w:rPr>
          <w:rFonts w:ascii="Times New Roman" w:hAnsi="Times New Roman"/>
        </w:rPr>
        <w:lastRenderedPageBreak/>
        <w:t xml:space="preserve">KIEFEL CJ.   </w:t>
      </w:r>
      <w:r w:rsidR="005431DD" w:rsidRPr="007C5B81">
        <w:rPr>
          <w:rFonts w:ascii="Times New Roman" w:hAnsi="Times New Roman"/>
        </w:rPr>
        <w:t>The appellants</w:t>
      </w:r>
      <w:r w:rsidR="00A5444D" w:rsidRPr="007C5B81">
        <w:rPr>
          <w:rStyle w:val="FootnoteReference"/>
          <w:rFonts w:ascii="Times New Roman" w:hAnsi="Times New Roman"/>
          <w:sz w:val="24"/>
        </w:rPr>
        <w:footnoteReference w:id="2"/>
      </w:r>
      <w:r w:rsidR="005431DD" w:rsidRPr="007C5B81">
        <w:rPr>
          <w:rFonts w:ascii="Times New Roman" w:hAnsi="Times New Roman"/>
        </w:rPr>
        <w:t xml:space="preserve"> were convicted of the murder of Mr </w:t>
      </w:r>
      <w:proofErr w:type="spellStart"/>
      <w:r w:rsidR="005431DD" w:rsidRPr="007C5B81">
        <w:rPr>
          <w:rFonts w:ascii="Times New Roman" w:hAnsi="Times New Roman"/>
        </w:rPr>
        <w:t>Urim</w:t>
      </w:r>
      <w:proofErr w:type="spellEnd"/>
      <w:r w:rsidR="005431DD" w:rsidRPr="007C5B81">
        <w:rPr>
          <w:rFonts w:ascii="Times New Roman" w:hAnsi="Times New Roman"/>
        </w:rPr>
        <w:t xml:space="preserve"> </w:t>
      </w:r>
      <w:proofErr w:type="spellStart"/>
      <w:r w:rsidR="005431DD" w:rsidRPr="007C5B81">
        <w:rPr>
          <w:rFonts w:ascii="Times New Roman" w:hAnsi="Times New Roman"/>
        </w:rPr>
        <w:t>Gjabri</w:t>
      </w:r>
      <w:proofErr w:type="spellEnd"/>
      <w:r w:rsidR="005431DD" w:rsidRPr="007C5B81">
        <w:rPr>
          <w:rFonts w:ascii="Times New Roman" w:hAnsi="Times New Roman"/>
        </w:rPr>
        <w:t xml:space="preserve"> after a trial in the Supreme Court of South Australia before a judge and a jury</w:t>
      </w:r>
      <w:r w:rsidR="00F04D2A" w:rsidRPr="007C5B81">
        <w:rPr>
          <w:rFonts w:ascii="Times New Roman" w:hAnsi="Times New Roman"/>
        </w:rPr>
        <w:t>.</w:t>
      </w:r>
    </w:p>
    <w:p w14:paraId="36CE0593" w14:textId="53E96606" w:rsidR="005431DD" w:rsidRPr="007C5B81" w:rsidRDefault="005431DD" w:rsidP="007C5B81">
      <w:pPr>
        <w:pStyle w:val="FixListStyle"/>
        <w:spacing w:after="260" w:line="280" w:lineRule="exact"/>
        <w:ind w:right="0"/>
        <w:jc w:val="both"/>
        <w:rPr>
          <w:rFonts w:ascii="Times New Roman" w:hAnsi="Times New Roman"/>
        </w:rPr>
      </w:pPr>
      <w:r w:rsidRPr="007C5B81">
        <w:rPr>
          <w:rFonts w:ascii="Times New Roman" w:hAnsi="Times New Roman"/>
        </w:rPr>
        <w:tab/>
        <w:t xml:space="preserve">The prosecution case was that each </w:t>
      </w:r>
      <w:r w:rsidR="00AF5605" w:rsidRPr="007C5B81">
        <w:rPr>
          <w:rFonts w:ascii="Times New Roman" w:hAnsi="Times New Roman"/>
        </w:rPr>
        <w:t>of the appellants together with Jason Paul Howell, who was tried separately, agreed with each other to steal a substantial amount of cannabis from a house in a suburb of northern Adelaide which was being used to grow cannabis (the "</w:t>
      </w:r>
      <w:r w:rsidR="00171721" w:rsidRPr="007C5B81">
        <w:rPr>
          <w:rFonts w:ascii="Times New Roman" w:hAnsi="Times New Roman"/>
        </w:rPr>
        <w:t>g</w:t>
      </w:r>
      <w:r w:rsidR="00AF5605" w:rsidRPr="007C5B81">
        <w:rPr>
          <w:rFonts w:ascii="Times New Roman" w:hAnsi="Times New Roman"/>
        </w:rPr>
        <w:t>row-house</w:t>
      </w:r>
      <w:r w:rsidR="00171721" w:rsidRPr="007C5B81">
        <w:rPr>
          <w:rFonts w:ascii="Times New Roman" w:hAnsi="Times New Roman"/>
        </w:rPr>
        <w:t>")</w:t>
      </w:r>
      <w:r w:rsidR="00DD087E" w:rsidRPr="007C5B81">
        <w:rPr>
          <w:rFonts w:ascii="Times New Roman" w:hAnsi="Times New Roman"/>
        </w:rPr>
        <w:t xml:space="preserve"> for commercial purposes. That is to say</w:t>
      </w:r>
      <w:r w:rsidR="004B2FC1" w:rsidRPr="007C5B81">
        <w:rPr>
          <w:rFonts w:ascii="Times New Roman" w:hAnsi="Times New Roman"/>
        </w:rPr>
        <w:t>,</w:t>
      </w:r>
      <w:r w:rsidR="00DD087E" w:rsidRPr="007C5B81">
        <w:rPr>
          <w:rFonts w:ascii="Times New Roman" w:hAnsi="Times New Roman"/>
        </w:rPr>
        <w:t xml:space="preserve"> the prosecution case was that they were parties to a joint criminal enterprise. The deceased was living in th</w:t>
      </w:r>
      <w:r w:rsidR="00E73A5D" w:rsidRPr="007C5B81">
        <w:rPr>
          <w:rFonts w:ascii="Times New Roman" w:hAnsi="Times New Roman"/>
        </w:rPr>
        <w:t>e</w:t>
      </w:r>
      <w:r w:rsidR="00DD087E" w:rsidRPr="007C5B81">
        <w:rPr>
          <w:rFonts w:ascii="Times New Roman" w:hAnsi="Times New Roman"/>
        </w:rPr>
        <w:t xml:space="preserve"> </w:t>
      </w:r>
      <w:r w:rsidR="00AC71DA" w:rsidRPr="007C5B81">
        <w:rPr>
          <w:rFonts w:ascii="Times New Roman" w:hAnsi="Times New Roman"/>
        </w:rPr>
        <w:t>grow-</w:t>
      </w:r>
      <w:r w:rsidR="00DD087E" w:rsidRPr="007C5B81">
        <w:rPr>
          <w:rFonts w:ascii="Times New Roman" w:hAnsi="Times New Roman"/>
        </w:rPr>
        <w:t xml:space="preserve">house. </w:t>
      </w:r>
      <w:r w:rsidR="00E73A5D" w:rsidRPr="007C5B81">
        <w:rPr>
          <w:rFonts w:ascii="Times New Roman" w:hAnsi="Times New Roman"/>
        </w:rPr>
        <w:t xml:space="preserve">The appellants and Howell travelled </w:t>
      </w:r>
      <w:r w:rsidR="00E000FD" w:rsidRPr="007C5B81">
        <w:rPr>
          <w:rFonts w:ascii="Times New Roman" w:hAnsi="Times New Roman"/>
        </w:rPr>
        <w:t>to and broke into the grow</w:t>
      </w:r>
      <w:r w:rsidR="00E000FD" w:rsidRPr="007C5B81">
        <w:rPr>
          <w:rFonts w:ascii="Times New Roman" w:hAnsi="Times New Roman"/>
        </w:rPr>
        <w:noBreakHyphen/>
        <w:t>house. The deceased was violently assaulted including by blows to his head, one of which was the cause of his death. The appellants and Howell then took the cannabis.</w:t>
      </w:r>
    </w:p>
    <w:p w14:paraId="1B7916BC" w14:textId="1D9CAF83" w:rsidR="00E000FD" w:rsidRPr="007C5B81" w:rsidRDefault="00E000FD" w:rsidP="007C5B81">
      <w:pPr>
        <w:pStyle w:val="FixListStyle"/>
        <w:spacing w:after="260" w:line="280" w:lineRule="exact"/>
        <w:ind w:right="0"/>
        <w:jc w:val="both"/>
        <w:rPr>
          <w:rFonts w:ascii="Times New Roman" w:hAnsi="Times New Roman"/>
        </w:rPr>
      </w:pPr>
      <w:r w:rsidRPr="007C5B81">
        <w:rPr>
          <w:rFonts w:ascii="Times New Roman" w:hAnsi="Times New Roman"/>
        </w:rPr>
        <w:tab/>
        <w:t xml:space="preserve">The case was largely circumstantial. There was </w:t>
      </w:r>
      <w:r w:rsidR="006930F5" w:rsidRPr="007C5B81">
        <w:rPr>
          <w:rFonts w:ascii="Times New Roman" w:hAnsi="Times New Roman"/>
        </w:rPr>
        <w:t>telephone tower</w:t>
      </w:r>
      <w:r w:rsidR="00FA57E4" w:rsidRPr="007C5B81">
        <w:rPr>
          <w:rFonts w:ascii="Times New Roman" w:hAnsi="Times New Roman"/>
        </w:rPr>
        <w:t xml:space="preserve"> </w:t>
      </w:r>
      <w:r w:rsidRPr="007C5B81">
        <w:rPr>
          <w:rFonts w:ascii="Times New Roman" w:hAnsi="Times New Roman"/>
        </w:rPr>
        <w:t xml:space="preserve">evidence </w:t>
      </w:r>
      <w:r w:rsidR="004E4242" w:rsidRPr="007C5B81">
        <w:rPr>
          <w:rFonts w:ascii="Times New Roman" w:hAnsi="Times New Roman"/>
        </w:rPr>
        <w:t>which</w:t>
      </w:r>
      <w:r w:rsidRPr="007C5B81">
        <w:rPr>
          <w:rFonts w:ascii="Times New Roman" w:hAnsi="Times New Roman"/>
        </w:rPr>
        <w:t xml:space="preserve"> placed each of Howell and the appellants, except for Mr </w:t>
      </w:r>
      <w:proofErr w:type="spellStart"/>
      <w:r w:rsidRPr="007C5B81">
        <w:rPr>
          <w:rFonts w:ascii="Times New Roman" w:hAnsi="Times New Roman"/>
        </w:rPr>
        <w:t>Tenhoopen</w:t>
      </w:r>
      <w:proofErr w:type="spellEnd"/>
      <w:r w:rsidRPr="007C5B81">
        <w:rPr>
          <w:rFonts w:ascii="Times New Roman" w:hAnsi="Times New Roman"/>
        </w:rPr>
        <w:t xml:space="preserve">, </w:t>
      </w:r>
      <w:r w:rsidR="00625452" w:rsidRPr="007C5B81">
        <w:rPr>
          <w:rFonts w:ascii="Times New Roman" w:hAnsi="Times New Roman"/>
        </w:rPr>
        <w:t>in an area near the grow</w:t>
      </w:r>
      <w:r w:rsidR="00625452" w:rsidRPr="007C5B81">
        <w:rPr>
          <w:rFonts w:ascii="Times New Roman" w:hAnsi="Times New Roman"/>
        </w:rPr>
        <w:noBreakHyphen/>
        <w:t>house</w:t>
      </w:r>
      <w:r w:rsidR="00B91F3F" w:rsidRPr="007C5B81">
        <w:rPr>
          <w:rFonts w:ascii="Times New Roman" w:hAnsi="Times New Roman"/>
        </w:rPr>
        <w:t xml:space="preserve"> on the night in question</w:t>
      </w:r>
      <w:r w:rsidR="00625452" w:rsidRPr="007C5B81">
        <w:rPr>
          <w:rFonts w:ascii="Times New Roman" w:hAnsi="Times New Roman"/>
        </w:rPr>
        <w:t>. Mr </w:t>
      </w:r>
      <w:proofErr w:type="spellStart"/>
      <w:r w:rsidR="00625452" w:rsidRPr="007C5B81">
        <w:rPr>
          <w:rFonts w:ascii="Times New Roman" w:hAnsi="Times New Roman"/>
        </w:rPr>
        <w:t>Tenhoopen</w:t>
      </w:r>
      <w:proofErr w:type="spellEnd"/>
      <w:r w:rsidR="00625452" w:rsidRPr="007C5B81">
        <w:rPr>
          <w:rFonts w:ascii="Times New Roman" w:hAnsi="Times New Roman"/>
        </w:rPr>
        <w:t xml:space="preserve"> later made admissions to witnesses of being at the grow</w:t>
      </w:r>
      <w:r w:rsidR="00625452" w:rsidRPr="007C5B81">
        <w:rPr>
          <w:rFonts w:ascii="Times New Roman" w:hAnsi="Times New Roman"/>
        </w:rPr>
        <w:noBreakHyphen/>
        <w:t>house wit</w:t>
      </w:r>
      <w:r w:rsidR="008C025C" w:rsidRPr="007C5B81">
        <w:rPr>
          <w:rFonts w:ascii="Times New Roman" w:hAnsi="Times New Roman"/>
        </w:rPr>
        <w:t>h</w:t>
      </w:r>
      <w:r w:rsidR="00625452" w:rsidRPr="007C5B81">
        <w:rPr>
          <w:rFonts w:ascii="Times New Roman" w:hAnsi="Times New Roman"/>
        </w:rPr>
        <w:t xml:space="preserve"> the other appellants and taking part in the theft of the cannabis.</w:t>
      </w:r>
      <w:r w:rsidR="008C025C" w:rsidRPr="007C5B81">
        <w:rPr>
          <w:rFonts w:ascii="Times New Roman" w:hAnsi="Times New Roman"/>
        </w:rPr>
        <w:t xml:space="preserve"> Shortly before the events which led to the death</w:t>
      </w:r>
      <w:r w:rsidR="00296651" w:rsidRPr="007C5B81">
        <w:rPr>
          <w:rFonts w:ascii="Times New Roman" w:hAnsi="Times New Roman"/>
        </w:rPr>
        <w:t>,</w:t>
      </w:r>
      <w:r w:rsidR="008C025C" w:rsidRPr="007C5B81">
        <w:rPr>
          <w:rFonts w:ascii="Times New Roman" w:hAnsi="Times New Roman"/>
        </w:rPr>
        <w:t xml:space="preserve"> five persons appeared on CCTV footage walking in the direct</w:t>
      </w:r>
      <w:r w:rsidR="00B91F3F" w:rsidRPr="007C5B81">
        <w:rPr>
          <w:rFonts w:ascii="Times New Roman" w:hAnsi="Times New Roman"/>
        </w:rPr>
        <w:t>ion</w:t>
      </w:r>
      <w:r w:rsidR="008C025C" w:rsidRPr="007C5B81">
        <w:rPr>
          <w:rFonts w:ascii="Times New Roman" w:hAnsi="Times New Roman"/>
        </w:rPr>
        <w:t xml:space="preserve"> of the grow</w:t>
      </w:r>
      <w:r w:rsidR="008C025C" w:rsidRPr="007C5B81">
        <w:rPr>
          <w:rFonts w:ascii="Times New Roman" w:hAnsi="Times New Roman"/>
        </w:rPr>
        <w:noBreakHyphen/>
        <w:t xml:space="preserve">house. At least one of them was seen on </w:t>
      </w:r>
      <w:r w:rsidR="00B91F3F" w:rsidRPr="007C5B81">
        <w:rPr>
          <w:rFonts w:ascii="Times New Roman" w:hAnsi="Times New Roman"/>
        </w:rPr>
        <w:t xml:space="preserve">that </w:t>
      </w:r>
      <w:r w:rsidR="008C025C" w:rsidRPr="007C5B81">
        <w:rPr>
          <w:rFonts w:ascii="Times New Roman" w:hAnsi="Times New Roman"/>
        </w:rPr>
        <w:t>footage to be carrying a long object, apparently a</w:t>
      </w:r>
      <w:r w:rsidR="00A4328F" w:rsidRPr="007C5B81">
        <w:rPr>
          <w:rFonts w:ascii="Times New Roman" w:hAnsi="Times New Roman"/>
        </w:rPr>
        <w:t xml:space="preserve"> branch or</w:t>
      </w:r>
      <w:r w:rsidR="008C025C" w:rsidRPr="007C5B81">
        <w:rPr>
          <w:rFonts w:ascii="Times New Roman" w:hAnsi="Times New Roman"/>
        </w:rPr>
        <w:t xml:space="preserve"> bat</w:t>
      </w:r>
      <w:r w:rsidR="00F154E6" w:rsidRPr="007C5B81">
        <w:rPr>
          <w:rFonts w:ascii="Times New Roman" w:hAnsi="Times New Roman"/>
        </w:rPr>
        <w:t xml:space="preserve">. </w:t>
      </w:r>
      <w:r w:rsidR="008C025C" w:rsidRPr="007C5B81">
        <w:rPr>
          <w:rFonts w:ascii="Times New Roman" w:hAnsi="Times New Roman"/>
        </w:rPr>
        <w:t xml:space="preserve">It was not </w:t>
      </w:r>
      <w:r w:rsidR="00B91F3F" w:rsidRPr="007C5B81">
        <w:rPr>
          <w:rFonts w:ascii="Times New Roman" w:hAnsi="Times New Roman"/>
        </w:rPr>
        <w:t xml:space="preserve">possible to identify the person </w:t>
      </w:r>
      <w:r w:rsidR="008C025C" w:rsidRPr="007C5B81">
        <w:rPr>
          <w:rFonts w:ascii="Times New Roman" w:hAnsi="Times New Roman"/>
        </w:rPr>
        <w:t>who inflicted the blow which killed the deceased.</w:t>
      </w:r>
    </w:p>
    <w:p w14:paraId="1BA2A6BF" w14:textId="5FAA3807" w:rsidR="003D0379" w:rsidRPr="007C5B81" w:rsidRDefault="008C025C" w:rsidP="007C5B81">
      <w:pPr>
        <w:pStyle w:val="FixListStyle"/>
        <w:spacing w:after="260" w:line="280" w:lineRule="exact"/>
        <w:ind w:right="0"/>
        <w:jc w:val="both"/>
        <w:rPr>
          <w:rFonts w:ascii="Times New Roman" w:hAnsi="Times New Roman"/>
        </w:rPr>
      </w:pPr>
      <w:r w:rsidRPr="007C5B81">
        <w:rPr>
          <w:rFonts w:ascii="Times New Roman" w:hAnsi="Times New Roman"/>
        </w:rPr>
        <w:tab/>
      </w:r>
      <w:r w:rsidR="00CC690E" w:rsidRPr="007C5B81">
        <w:rPr>
          <w:rFonts w:ascii="Times New Roman" w:hAnsi="Times New Roman"/>
        </w:rPr>
        <w:t>The offence of murder is stated</w:t>
      </w:r>
      <w:r w:rsidR="004C4023" w:rsidRPr="007C5B81">
        <w:rPr>
          <w:rFonts w:ascii="Times New Roman" w:hAnsi="Times New Roman"/>
        </w:rPr>
        <w:t xml:space="preserve"> </w:t>
      </w:r>
      <w:r w:rsidR="00CC690E" w:rsidRPr="007C5B81">
        <w:rPr>
          <w:rFonts w:ascii="Times New Roman" w:hAnsi="Times New Roman"/>
        </w:rPr>
        <w:t xml:space="preserve">in s 11 of the </w:t>
      </w:r>
      <w:r w:rsidR="00CC690E" w:rsidRPr="007C5B81">
        <w:rPr>
          <w:rFonts w:ascii="Times New Roman" w:hAnsi="Times New Roman"/>
          <w:i/>
        </w:rPr>
        <w:t>Criminal Law Consolidation Act 1935</w:t>
      </w:r>
      <w:r w:rsidR="00CB175C" w:rsidRPr="007C5B81">
        <w:rPr>
          <w:rFonts w:ascii="Times New Roman" w:hAnsi="Times New Roman"/>
        </w:rPr>
        <w:t xml:space="preserve"> (SA) ("the CLC Act")</w:t>
      </w:r>
      <w:r w:rsidR="00470654" w:rsidRPr="007C5B81">
        <w:rPr>
          <w:rFonts w:ascii="Times New Roman" w:hAnsi="Times New Roman"/>
        </w:rPr>
        <w:t>. It</w:t>
      </w:r>
      <w:r w:rsidR="00C158C5" w:rsidRPr="007C5B81">
        <w:rPr>
          <w:rFonts w:ascii="Times New Roman" w:hAnsi="Times New Roman"/>
        </w:rPr>
        <w:t xml:space="preserve"> provides that a person who commits murder shall be guilty of an offence and shall be imprisoned for life, but does not </w:t>
      </w:r>
      <w:r w:rsidR="003D0379" w:rsidRPr="007C5B81">
        <w:rPr>
          <w:rFonts w:ascii="Times New Roman" w:hAnsi="Times New Roman"/>
        </w:rPr>
        <w:t xml:space="preserve">state </w:t>
      </w:r>
      <w:r w:rsidR="00C158C5" w:rsidRPr="007C5B81">
        <w:rPr>
          <w:rFonts w:ascii="Times New Roman" w:hAnsi="Times New Roman"/>
        </w:rPr>
        <w:t xml:space="preserve">what </w:t>
      </w:r>
      <w:r w:rsidR="003D0379" w:rsidRPr="007C5B81">
        <w:rPr>
          <w:rFonts w:ascii="Times New Roman" w:hAnsi="Times New Roman"/>
        </w:rPr>
        <w:t xml:space="preserve">constitutes </w:t>
      </w:r>
      <w:r w:rsidR="00C158C5" w:rsidRPr="007C5B81">
        <w:rPr>
          <w:rFonts w:ascii="Times New Roman" w:hAnsi="Times New Roman"/>
        </w:rPr>
        <w:t>murder</w:t>
      </w:r>
      <w:r w:rsidR="003D0379" w:rsidRPr="007C5B81">
        <w:rPr>
          <w:rFonts w:ascii="Times New Roman" w:hAnsi="Times New Roman"/>
        </w:rPr>
        <w:t xml:space="preserve">. That definition is supplied by the common law. Murder </w:t>
      </w:r>
      <w:r w:rsidR="00746CC1" w:rsidRPr="007C5B81">
        <w:rPr>
          <w:rFonts w:ascii="Times New Roman" w:hAnsi="Times New Roman"/>
        </w:rPr>
        <w:t>is generally understood as the unlawful killing of a person with intent to kill or cause serious bodily harm. T</w:t>
      </w:r>
      <w:r w:rsidR="006E15ED" w:rsidRPr="007C5B81">
        <w:rPr>
          <w:rFonts w:ascii="Times New Roman" w:hAnsi="Times New Roman"/>
        </w:rPr>
        <w:t>h</w:t>
      </w:r>
      <w:r w:rsidR="00746CC1" w:rsidRPr="007C5B81">
        <w:rPr>
          <w:rFonts w:ascii="Times New Roman" w:hAnsi="Times New Roman"/>
        </w:rPr>
        <w:t>e common law treat</w:t>
      </w:r>
      <w:r w:rsidR="008B7F65" w:rsidRPr="007C5B81">
        <w:rPr>
          <w:rFonts w:ascii="Times New Roman" w:hAnsi="Times New Roman"/>
        </w:rPr>
        <w:t>ed</w:t>
      </w:r>
      <w:r w:rsidR="00746CC1" w:rsidRPr="007C5B81">
        <w:rPr>
          <w:rFonts w:ascii="Times New Roman" w:hAnsi="Times New Roman"/>
        </w:rPr>
        <w:t xml:space="preserve"> an unintended killing that takes place in the course of</w:t>
      </w:r>
      <w:r w:rsidR="002C7C10" w:rsidRPr="007C5B81">
        <w:rPr>
          <w:rFonts w:ascii="Times New Roman" w:hAnsi="Times New Roman"/>
        </w:rPr>
        <w:t>,</w:t>
      </w:r>
      <w:r w:rsidR="00746CC1" w:rsidRPr="007C5B81">
        <w:rPr>
          <w:rFonts w:ascii="Times New Roman" w:hAnsi="Times New Roman"/>
        </w:rPr>
        <w:t xml:space="preserve"> or in connect</w:t>
      </w:r>
      <w:r w:rsidR="006E15ED" w:rsidRPr="007C5B81">
        <w:rPr>
          <w:rFonts w:ascii="Times New Roman" w:hAnsi="Times New Roman"/>
        </w:rPr>
        <w:t>i</w:t>
      </w:r>
      <w:r w:rsidR="00746CC1" w:rsidRPr="007C5B81">
        <w:rPr>
          <w:rFonts w:ascii="Times New Roman" w:hAnsi="Times New Roman"/>
        </w:rPr>
        <w:t>on with</w:t>
      </w:r>
      <w:r w:rsidR="002C7C10" w:rsidRPr="007C5B81">
        <w:rPr>
          <w:rFonts w:ascii="Times New Roman" w:hAnsi="Times New Roman"/>
        </w:rPr>
        <w:t>,</w:t>
      </w:r>
      <w:r w:rsidR="00746CC1" w:rsidRPr="007C5B81">
        <w:rPr>
          <w:rFonts w:ascii="Times New Roman" w:hAnsi="Times New Roman"/>
        </w:rPr>
        <w:t xml:space="preserve"> a felony as if it were murder if the felonious conduct involves violence or danger to some person</w:t>
      </w:r>
      <w:r w:rsidR="00746CC1" w:rsidRPr="007C5B81">
        <w:rPr>
          <w:rStyle w:val="FootnoteReference"/>
          <w:rFonts w:ascii="Times New Roman" w:hAnsi="Times New Roman"/>
          <w:sz w:val="24"/>
        </w:rPr>
        <w:footnoteReference w:id="3"/>
      </w:r>
      <w:r w:rsidR="006E15ED" w:rsidRPr="007C5B81">
        <w:rPr>
          <w:rFonts w:ascii="Times New Roman" w:hAnsi="Times New Roman"/>
        </w:rPr>
        <w:t>. For South Australia</w:t>
      </w:r>
      <w:r w:rsidR="00222FAD" w:rsidRPr="007C5B81">
        <w:rPr>
          <w:rFonts w:ascii="Times New Roman" w:hAnsi="Times New Roman"/>
        </w:rPr>
        <w:t>,</w:t>
      </w:r>
      <w:r w:rsidR="006E15ED" w:rsidRPr="007C5B81">
        <w:rPr>
          <w:rFonts w:ascii="Times New Roman" w:hAnsi="Times New Roman"/>
        </w:rPr>
        <w:t xml:space="preserve"> the law which is based on that</w:t>
      </w:r>
      <w:r w:rsidR="00457D28" w:rsidRPr="007C5B81">
        <w:rPr>
          <w:rFonts w:ascii="Times New Roman" w:hAnsi="Times New Roman"/>
        </w:rPr>
        <w:t xml:space="preserve"> common law</w:t>
      </w:r>
      <w:r w:rsidR="006E15ED" w:rsidRPr="007C5B81">
        <w:rPr>
          <w:rFonts w:ascii="Times New Roman" w:hAnsi="Times New Roman"/>
        </w:rPr>
        <w:t xml:space="preserve"> rule is contained in s 12A of the CLC Act</w:t>
      </w:r>
      <w:r w:rsidR="006563F8" w:rsidRPr="007C5B81">
        <w:rPr>
          <w:rFonts w:ascii="Times New Roman" w:hAnsi="Times New Roman"/>
        </w:rPr>
        <w:t>,</w:t>
      </w:r>
      <w:r w:rsidR="006E15ED" w:rsidRPr="007C5B81">
        <w:rPr>
          <w:rFonts w:ascii="Times New Roman" w:hAnsi="Times New Roman"/>
        </w:rPr>
        <w:t xml:space="preserve"> which came into effect on 1 January 1995. It provides:</w:t>
      </w:r>
    </w:p>
    <w:p w14:paraId="48AE9993" w14:textId="46BA790A" w:rsidR="00293C83" w:rsidRPr="007C5B81" w:rsidRDefault="00293C83" w:rsidP="007C5B81">
      <w:pPr>
        <w:pStyle w:val="leftright"/>
        <w:spacing w:before="0" w:after="260" w:line="280" w:lineRule="exact"/>
        <w:ind w:right="0"/>
        <w:jc w:val="both"/>
        <w:rPr>
          <w:rFonts w:ascii="Times New Roman" w:hAnsi="Times New Roman"/>
        </w:rPr>
      </w:pPr>
      <w:r w:rsidRPr="007C5B81">
        <w:rPr>
          <w:rFonts w:ascii="Times New Roman" w:hAnsi="Times New Roman"/>
        </w:rPr>
        <w:t>"</w:t>
      </w:r>
      <w:r w:rsidRPr="007C5B81">
        <w:rPr>
          <w:rFonts w:ascii="Times New Roman" w:hAnsi="Times New Roman"/>
          <w:b/>
          <w:bCs/>
        </w:rPr>
        <w:t>12A</w:t>
      </w:r>
      <w:r w:rsidR="00E94588" w:rsidRPr="00BF0A22">
        <w:rPr>
          <w:rFonts w:ascii="Times New Roman" w:hAnsi="Times New Roman"/>
          <w:b/>
          <w:bCs/>
          <w:color w:val="202124"/>
          <w:shd w:val="clear" w:color="auto" w:fill="FFFFFF"/>
        </w:rPr>
        <w:t>—</w:t>
      </w:r>
      <w:r w:rsidRPr="007C5B81">
        <w:rPr>
          <w:rFonts w:ascii="Times New Roman" w:hAnsi="Times New Roman"/>
          <w:b/>
          <w:bCs/>
        </w:rPr>
        <w:t>Causing death by an intentional act of violence</w:t>
      </w:r>
    </w:p>
    <w:p w14:paraId="6FB233FF" w14:textId="77777777" w:rsidR="007C5B81" w:rsidRDefault="00293C83" w:rsidP="007C5B81">
      <w:pPr>
        <w:pStyle w:val="leftright"/>
        <w:spacing w:before="0" w:after="260" w:line="280" w:lineRule="exact"/>
        <w:ind w:right="0"/>
        <w:jc w:val="both"/>
        <w:rPr>
          <w:rFonts w:ascii="Times New Roman" w:hAnsi="Times New Roman"/>
        </w:rPr>
      </w:pPr>
      <w:r w:rsidRPr="007C5B81">
        <w:rPr>
          <w:rFonts w:ascii="Times New Roman" w:hAnsi="Times New Roman"/>
        </w:rPr>
        <w:t xml:space="preserve">A person who commits an intentional act of violence while acting in the course or furtherance of a major indictable offence punishable by </w:t>
      </w:r>
      <w:r w:rsidRPr="007C5B81">
        <w:rPr>
          <w:rFonts w:ascii="Times New Roman" w:hAnsi="Times New Roman"/>
        </w:rPr>
        <w:lastRenderedPageBreak/>
        <w:t xml:space="preserve">imprisonment for ten years or more </w:t>
      </w:r>
      <w:r w:rsidR="00063AAC" w:rsidRPr="007C5B81">
        <w:rPr>
          <w:rFonts w:ascii="Times New Roman" w:hAnsi="Times New Roman"/>
        </w:rPr>
        <w:t>(other than abortion)</w:t>
      </w:r>
      <w:r w:rsidR="00E94CDE" w:rsidRPr="007C5B81">
        <w:rPr>
          <w:rFonts w:ascii="Times New Roman" w:hAnsi="Times New Roman"/>
        </w:rPr>
        <w:t>,</w:t>
      </w:r>
      <w:r w:rsidRPr="007C5B81">
        <w:rPr>
          <w:rFonts w:ascii="Times New Roman" w:hAnsi="Times New Roman"/>
        </w:rPr>
        <w:t xml:space="preserve"> and thus causes the death of another, is guilty of </w:t>
      </w:r>
      <w:r w:rsidR="00825ADF" w:rsidRPr="007C5B81">
        <w:rPr>
          <w:rFonts w:ascii="Times New Roman" w:hAnsi="Times New Roman"/>
        </w:rPr>
        <w:t>murder</w:t>
      </w:r>
      <w:r w:rsidRPr="007C5B81">
        <w:rPr>
          <w:rFonts w:ascii="Times New Roman" w:hAnsi="Times New Roman"/>
        </w:rPr>
        <w:t>."</w:t>
      </w:r>
    </w:p>
    <w:p w14:paraId="2013182A" w14:textId="37DB35F8" w:rsidR="00825ADF" w:rsidRPr="007C5B81" w:rsidRDefault="001256E9" w:rsidP="007C5B81">
      <w:pPr>
        <w:pStyle w:val="FixListStyle"/>
        <w:spacing w:after="260" w:line="280" w:lineRule="exact"/>
        <w:ind w:right="0"/>
        <w:jc w:val="both"/>
        <w:rPr>
          <w:rFonts w:ascii="Times New Roman" w:hAnsi="Times New Roman"/>
        </w:rPr>
      </w:pPr>
      <w:r w:rsidRPr="007C5B81">
        <w:rPr>
          <w:rFonts w:ascii="Times New Roman" w:hAnsi="Times New Roman"/>
        </w:rPr>
        <w:tab/>
      </w:r>
      <w:r w:rsidR="00825ADF" w:rsidRPr="007C5B81">
        <w:rPr>
          <w:rFonts w:ascii="Times New Roman" w:hAnsi="Times New Roman"/>
        </w:rPr>
        <w:t xml:space="preserve">Section 12A has the same effect as the common law rule upon which it is based. It is a deeming provision and provides for what is called "constructive murder", which distinguishes it from what is generally understood </w:t>
      </w:r>
      <w:r w:rsidR="0098125B" w:rsidRPr="007C5B81">
        <w:rPr>
          <w:rFonts w:ascii="Times New Roman" w:hAnsi="Times New Roman"/>
        </w:rPr>
        <w:t xml:space="preserve">at common law </w:t>
      </w:r>
      <w:r w:rsidR="00825ADF" w:rsidRPr="007C5B81">
        <w:rPr>
          <w:rFonts w:ascii="Times New Roman" w:hAnsi="Times New Roman"/>
        </w:rPr>
        <w:t xml:space="preserve">to be murder </w:t>
      </w:r>
      <w:r w:rsidR="002136FE" w:rsidRPr="007C5B81">
        <w:rPr>
          <w:rFonts w:ascii="Times New Roman" w:hAnsi="Times New Roman"/>
        </w:rPr>
        <w:t>in fact</w:t>
      </w:r>
      <w:r w:rsidR="00E92930" w:rsidRPr="007C5B81">
        <w:rPr>
          <w:rFonts w:ascii="Times New Roman" w:hAnsi="Times New Roman"/>
        </w:rPr>
        <w:t>. For conduct to be deemed to be murder under s 12A, it is necessary only that the death of another be caused by a person committing an intentional act of violence, whilst acting in the course of a major indictable offence</w:t>
      </w:r>
      <w:r w:rsidR="00E92930" w:rsidRPr="007C5B81">
        <w:rPr>
          <w:rStyle w:val="FootnoteReference"/>
          <w:rFonts w:ascii="Times New Roman" w:hAnsi="Times New Roman"/>
          <w:sz w:val="24"/>
        </w:rPr>
        <w:footnoteReference w:id="4"/>
      </w:r>
      <w:r w:rsidR="00713249" w:rsidRPr="007C5B81">
        <w:rPr>
          <w:rFonts w:ascii="Times New Roman" w:hAnsi="Times New Roman"/>
        </w:rPr>
        <w:t>. It does not require that the person doing the act intends to kill or cause serious bodily harm.</w:t>
      </w:r>
    </w:p>
    <w:p w14:paraId="32E749F0" w14:textId="4C94A6C7" w:rsidR="001E0403" w:rsidRPr="007C5B81" w:rsidRDefault="001E0403" w:rsidP="007C5B81">
      <w:pPr>
        <w:pStyle w:val="FixListStyle"/>
        <w:spacing w:after="260" w:line="280" w:lineRule="exact"/>
        <w:ind w:right="0"/>
        <w:jc w:val="both"/>
        <w:rPr>
          <w:rFonts w:ascii="Times New Roman" w:hAnsi="Times New Roman"/>
        </w:rPr>
      </w:pPr>
      <w:r w:rsidRPr="007C5B81">
        <w:rPr>
          <w:rFonts w:ascii="Times New Roman" w:hAnsi="Times New Roman"/>
        </w:rPr>
        <w:tab/>
        <w:t>The prosecution case as put to the jury at the conclusion of the trial took both pathways to conviction for the offence of murder</w:t>
      </w:r>
      <w:r w:rsidR="009233C7" w:rsidRPr="007C5B81">
        <w:rPr>
          <w:rFonts w:ascii="Times New Roman" w:hAnsi="Times New Roman"/>
        </w:rPr>
        <w:t xml:space="preserve"> </w:t>
      </w:r>
      <w:r w:rsidR="006850C4" w:rsidRPr="007C5B81">
        <w:rPr>
          <w:rFonts w:ascii="Times New Roman" w:hAnsi="Times New Roman"/>
        </w:rPr>
        <w:t xml:space="preserve">under </w:t>
      </w:r>
      <w:r w:rsidRPr="007C5B81">
        <w:rPr>
          <w:rFonts w:ascii="Times New Roman" w:hAnsi="Times New Roman"/>
        </w:rPr>
        <w:t xml:space="preserve">s 11 of the </w:t>
      </w:r>
      <w:r w:rsidR="00FD534E" w:rsidRPr="007C5B81">
        <w:rPr>
          <w:rFonts w:ascii="Times New Roman" w:hAnsi="Times New Roman"/>
        </w:rPr>
        <w:t>C</w:t>
      </w:r>
      <w:r w:rsidRPr="007C5B81">
        <w:rPr>
          <w:rFonts w:ascii="Times New Roman" w:hAnsi="Times New Roman"/>
        </w:rPr>
        <w:t>LC Act: common law murder</w:t>
      </w:r>
      <w:r w:rsidR="008E4C2B" w:rsidRPr="007C5B81">
        <w:rPr>
          <w:rFonts w:ascii="Times New Roman" w:hAnsi="Times New Roman"/>
        </w:rPr>
        <w:t>;</w:t>
      </w:r>
      <w:r w:rsidRPr="007C5B81">
        <w:rPr>
          <w:rFonts w:ascii="Times New Roman" w:hAnsi="Times New Roman"/>
        </w:rPr>
        <w:t xml:space="preserve"> or </w:t>
      </w:r>
      <w:r w:rsidR="008E4C2B" w:rsidRPr="007C5B81">
        <w:rPr>
          <w:rFonts w:ascii="Times New Roman" w:hAnsi="Times New Roman"/>
        </w:rPr>
        <w:t xml:space="preserve">constructive </w:t>
      </w:r>
      <w:r w:rsidRPr="007C5B81">
        <w:rPr>
          <w:rFonts w:ascii="Times New Roman" w:hAnsi="Times New Roman"/>
        </w:rPr>
        <w:t>murder as provide</w:t>
      </w:r>
      <w:r w:rsidR="00845187" w:rsidRPr="007C5B81">
        <w:rPr>
          <w:rFonts w:ascii="Times New Roman" w:hAnsi="Times New Roman"/>
        </w:rPr>
        <w:t>d</w:t>
      </w:r>
      <w:r w:rsidRPr="007C5B81">
        <w:rPr>
          <w:rFonts w:ascii="Times New Roman" w:hAnsi="Times New Roman"/>
        </w:rPr>
        <w:t xml:space="preserve"> by s 12A. For both pathways</w:t>
      </w:r>
      <w:r w:rsidR="005657E8" w:rsidRPr="007C5B81">
        <w:rPr>
          <w:rFonts w:ascii="Times New Roman" w:hAnsi="Times New Roman"/>
        </w:rPr>
        <w:t>,</w:t>
      </w:r>
      <w:r w:rsidRPr="007C5B81">
        <w:rPr>
          <w:rFonts w:ascii="Times New Roman" w:hAnsi="Times New Roman"/>
        </w:rPr>
        <w:t xml:space="preserve"> the offence in respect of which there was alleged to be </w:t>
      </w:r>
      <w:r w:rsidR="00B6123B" w:rsidRPr="007C5B81">
        <w:rPr>
          <w:rFonts w:ascii="Times New Roman" w:hAnsi="Times New Roman"/>
        </w:rPr>
        <w:t xml:space="preserve">a joint </w:t>
      </w:r>
      <w:r w:rsidR="00237F57" w:rsidRPr="007C5B81">
        <w:rPr>
          <w:rFonts w:ascii="Times New Roman" w:hAnsi="Times New Roman"/>
        </w:rPr>
        <w:t>criminal</w:t>
      </w:r>
      <w:r w:rsidR="00B6123B" w:rsidRPr="007C5B81">
        <w:rPr>
          <w:rFonts w:ascii="Times New Roman" w:hAnsi="Times New Roman"/>
        </w:rPr>
        <w:t xml:space="preserve"> enterprise was identified as "Aggravated Serious Criminal Trespass in a </w:t>
      </w:r>
      <w:r w:rsidR="00C0585A" w:rsidRPr="007C5B81">
        <w:rPr>
          <w:rFonts w:ascii="Times New Roman" w:hAnsi="Times New Roman"/>
        </w:rPr>
        <w:t xml:space="preserve">Place </w:t>
      </w:r>
      <w:r w:rsidR="00B6123B" w:rsidRPr="007C5B81">
        <w:rPr>
          <w:rFonts w:ascii="Times New Roman" w:hAnsi="Times New Roman"/>
        </w:rPr>
        <w:t xml:space="preserve">of </w:t>
      </w:r>
      <w:r w:rsidR="00C0585A" w:rsidRPr="007C5B81">
        <w:rPr>
          <w:rFonts w:ascii="Times New Roman" w:hAnsi="Times New Roman"/>
        </w:rPr>
        <w:t>R</w:t>
      </w:r>
      <w:r w:rsidR="00B6123B" w:rsidRPr="007C5B81">
        <w:rPr>
          <w:rFonts w:ascii="Times New Roman" w:hAnsi="Times New Roman"/>
        </w:rPr>
        <w:t xml:space="preserve">esidence with </w:t>
      </w:r>
      <w:r w:rsidR="005B086C" w:rsidRPr="007C5B81">
        <w:rPr>
          <w:rFonts w:ascii="Times New Roman" w:hAnsi="Times New Roman"/>
        </w:rPr>
        <w:t xml:space="preserve">the </w:t>
      </w:r>
      <w:r w:rsidR="00C0585A" w:rsidRPr="007C5B81">
        <w:rPr>
          <w:rFonts w:ascii="Times New Roman" w:hAnsi="Times New Roman"/>
        </w:rPr>
        <w:t>I</w:t>
      </w:r>
      <w:r w:rsidR="00B6123B" w:rsidRPr="007C5B81">
        <w:rPr>
          <w:rFonts w:ascii="Times New Roman" w:hAnsi="Times New Roman"/>
        </w:rPr>
        <w:t xml:space="preserve">ntent to </w:t>
      </w:r>
      <w:r w:rsidR="00C0585A" w:rsidRPr="007C5B81">
        <w:rPr>
          <w:rFonts w:ascii="Times New Roman" w:hAnsi="Times New Roman"/>
        </w:rPr>
        <w:t>C</w:t>
      </w:r>
      <w:r w:rsidR="00B6123B" w:rsidRPr="007C5B81">
        <w:rPr>
          <w:rFonts w:ascii="Times New Roman" w:hAnsi="Times New Roman"/>
        </w:rPr>
        <w:t xml:space="preserve">ommit </w:t>
      </w:r>
      <w:r w:rsidR="00C0585A" w:rsidRPr="007C5B81">
        <w:rPr>
          <w:rFonts w:ascii="Times New Roman" w:hAnsi="Times New Roman"/>
        </w:rPr>
        <w:t>T</w:t>
      </w:r>
      <w:r w:rsidR="00B6123B" w:rsidRPr="007C5B81">
        <w:rPr>
          <w:rFonts w:ascii="Times New Roman" w:hAnsi="Times New Roman"/>
        </w:rPr>
        <w:t>heft", contrary to s </w:t>
      </w:r>
      <w:r w:rsidR="00F37762" w:rsidRPr="007C5B81">
        <w:rPr>
          <w:rFonts w:ascii="Times New Roman" w:hAnsi="Times New Roman"/>
        </w:rPr>
        <w:t xml:space="preserve">170 of the CLC Act. </w:t>
      </w:r>
      <w:r w:rsidR="00845187" w:rsidRPr="007C5B81">
        <w:rPr>
          <w:rFonts w:ascii="Times New Roman" w:hAnsi="Times New Roman"/>
        </w:rPr>
        <w:t>That offence is punishable by</w:t>
      </w:r>
      <w:r w:rsidR="00F132C4" w:rsidRPr="007C5B81">
        <w:rPr>
          <w:rFonts w:ascii="Times New Roman" w:hAnsi="Times New Roman"/>
        </w:rPr>
        <w:t xml:space="preserve"> life</w:t>
      </w:r>
      <w:r w:rsidR="00845187" w:rsidRPr="007C5B81">
        <w:rPr>
          <w:rFonts w:ascii="Times New Roman" w:hAnsi="Times New Roman"/>
        </w:rPr>
        <w:t xml:space="preserve"> imprisonment. </w:t>
      </w:r>
      <w:r w:rsidR="00F37762" w:rsidRPr="007C5B81">
        <w:rPr>
          <w:rFonts w:ascii="Times New Roman" w:hAnsi="Times New Roman"/>
        </w:rPr>
        <w:t>Both pathways to the offence of murder depended on the application of the principle of extended joint criminal enterprise.</w:t>
      </w:r>
    </w:p>
    <w:p w14:paraId="14EDCEAC" w14:textId="78A6DC34" w:rsidR="00D67609" w:rsidRPr="007C5B81" w:rsidRDefault="00F37762" w:rsidP="007C5B81">
      <w:pPr>
        <w:pStyle w:val="FixListStyle"/>
        <w:spacing w:after="260" w:line="280" w:lineRule="exact"/>
        <w:ind w:right="0"/>
        <w:jc w:val="both"/>
        <w:rPr>
          <w:rFonts w:ascii="Times New Roman" w:hAnsi="Times New Roman"/>
        </w:rPr>
      </w:pPr>
      <w:r w:rsidRPr="007C5B81">
        <w:rPr>
          <w:rFonts w:ascii="Times New Roman" w:hAnsi="Times New Roman"/>
        </w:rPr>
        <w:tab/>
      </w:r>
      <w:r w:rsidR="00D67609" w:rsidRPr="007C5B81">
        <w:rPr>
          <w:rFonts w:ascii="Times New Roman" w:hAnsi="Times New Roman"/>
        </w:rPr>
        <w:t xml:space="preserve">That principle depends on the knowledge and foresight of a party to the joint </w:t>
      </w:r>
      <w:r w:rsidR="00237F57" w:rsidRPr="007C5B81">
        <w:rPr>
          <w:rFonts w:ascii="Times New Roman" w:hAnsi="Times New Roman"/>
        </w:rPr>
        <w:t>criminal</w:t>
      </w:r>
      <w:r w:rsidR="00D67609" w:rsidRPr="007C5B81">
        <w:rPr>
          <w:rFonts w:ascii="Times New Roman" w:hAnsi="Times New Roman"/>
        </w:rPr>
        <w:t xml:space="preserve"> enterprise ("the secondary offen</w:t>
      </w:r>
      <w:r w:rsidR="00B63B34" w:rsidRPr="007C5B81">
        <w:rPr>
          <w:rFonts w:ascii="Times New Roman" w:hAnsi="Times New Roman"/>
        </w:rPr>
        <w:t xml:space="preserve">der") as to what the person who commits the murder ("the primary offender") might do in the course of the joint </w:t>
      </w:r>
      <w:r w:rsidR="00237F57" w:rsidRPr="007C5B81">
        <w:rPr>
          <w:rFonts w:ascii="Times New Roman" w:hAnsi="Times New Roman"/>
        </w:rPr>
        <w:t>criminal</w:t>
      </w:r>
      <w:r w:rsidR="00B63B34" w:rsidRPr="007C5B81">
        <w:rPr>
          <w:rFonts w:ascii="Times New Roman" w:hAnsi="Times New Roman"/>
        </w:rPr>
        <w:t xml:space="preserve"> enterprise.</w:t>
      </w:r>
    </w:p>
    <w:p w14:paraId="06ED1FF7" w14:textId="5E5300B3" w:rsidR="00F37762" w:rsidRPr="007C5B81" w:rsidRDefault="00B35EEC" w:rsidP="007C5B81">
      <w:pPr>
        <w:pStyle w:val="FixListStyle"/>
        <w:spacing w:after="260" w:line="280" w:lineRule="exact"/>
        <w:ind w:right="0"/>
        <w:jc w:val="both"/>
        <w:rPr>
          <w:rFonts w:ascii="Times New Roman" w:hAnsi="Times New Roman"/>
        </w:rPr>
      </w:pPr>
      <w:r w:rsidRPr="007C5B81">
        <w:rPr>
          <w:rFonts w:ascii="Times New Roman" w:hAnsi="Times New Roman"/>
        </w:rPr>
        <w:tab/>
      </w:r>
      <w:r w:rsidR="00822163" w:rsidRPr="007C5B81">
        <w:rPr>
          <w:rFonts w:ascii="Times New Roman" w:hAnsi="Times New Roman"/>
        </w:rPr>
        <w:t>The prosecution alleged that the appellants were guilty of common law murder</w:t>
      </w:r>
      <w:r w:rsidR="008D5E12" w:rsidRPr="007C5B81">
        <w:rPr>
          <w:rFonts w:ascii="Times New Roman" w:hAnsi="Times New Roman"/>
        </w:rPr>
        <w:t xml:space="preserve"> by the application of the principle of extended joint criminal enterprise </w:t>
      </w:r>
      <w:r w:rsidR="00822163" w:rsidRPr="007C5B81">
        <w:rPr>
          <w:rFonts w:ascii="Times New Roman" w:hAnsi="Times New Roman"/>
        </w:rPr>
        <w:t>on the basis that they each foresaw the possibility that, in carrying out the agreement to break and enter and steal the cannabis, one of their co</w:t>
      </w:r>
      <w:r w:rsidR="00822163" w:rsidRPr="007C5B81">
        <w:rPr>
          <w:rFonts w:ascii="Times New Roman" w:hAnsi="Times New Roman"/>
        </w:rPr>
        <w:noBreakHyphen/>
        <w:t xml:space="preserve">venturers might attack the deceased with an intention to kill or cause grievous bodily harm. The prosecution case respecting the application of the principle </w:t>
      </w:r>
      <w:r w:rsidR="008D5E12" w:rsidRPr="007C5B81">
        <w:rPr>
          <w:rFonts w:ascii="Times New Roman" w:hAnsi="Times New Roman"/>
        </w:rPr>
        <w:t>to s 12A</w:t>
      </w:r>
      <w:r w:rsidR="00822163" w:rsidRPr="007C5B81">
        <w:rPr>
          <w:rFonts w:ascii="Times New Roman" w:hAnsi="Times New Roman"/>
        </w:rPr>
        <w:t xml:space="preserve"> was that the appellants were each guilty of murder if the</w:t>
      </w:r>
      <w:r w:rsidR="00F40DD2" w:rsidRPr="007C5B81">
        <w:rPr>
          <w:rFonts w:ascii="Times New Roman" w:hAnsi="Times New Roman"/>
        </w:rPr>
        <w:t>y</w:t>
      </w:r>
      <w:r w:rsidR="00822163" w:rsidRPr="007C5B81">
        <w:rPr>
          <w:rFonts w:ascii="Times New Roman" w:hAnsi="Times New Roman"/>
        </w:rPr>
        <w:t xml:space="preserve"> contemplated the possibility that in carrying out the enterprise a co</w:t>
      </w:r>
      <w:r w:rsidR="00822163" w:rsidRPr="007C5B81">
        <w:rPr>
          <w:rFonts w:ascii="Times New Roman" w:hAnsi="Times New Roman"/>
        </w:rPr>
        <w:noBreakHyphen/>
        <w:t xml:space="preserve">venturer might perpetrate an intentional act of violence which then </w:t>
      </w:r>
      <w:r w:rsidR="00556D75" w:rsidRPr="007C5B81">
        <w:rPr>
          <w:rFonts w:ascii="Times New Roman" w:hAnsi="Times New Roman"/>
        </w:rPr>
        <w:t xml:space="preserve">(in fact) </w:t>
      </w:r>
      <w:r w:rsidR="00822163" w:rsidRPr="007C5B81">
        <w:rPr>
          <w:rFonts w:ascii="Times New Roman" w:hAnsi="Times New Roman"/>
        </w:rPr>
        <w:t>caused the death of the deceased.</w:t>
      </w:r>
      <w:r w:rsidR="00F40DD2" w:rsidRPr="007C5B81">
        <w:rPr>
          <w:rFonts w:ascii="Times New Roman" w:hAnsi="Times New Roman"/>
        </w:rPr>
        <w:t xml:space="preserve"> It is the application of the principle to s 12A which is </w:t>
      </w:r>
      <w:r w:rsidR="008E0EC6" w:rsidRPr="007C5B81">
        <w:rPr>
          <w:rFonts w:ascii="Times New Roman" w:hAnsi="Times New Roman"/>
        </w:rPr>
        <w:t xml:space="preserve">said to be </w:t>
      </w:r>
      <w:r w:rsidR="00F40DD2" w:rsidRPr="007C5B81">
        <w:rPr>
          <w:rFonts w:ascii="Times New Roman" w:hAnsi="Times New Roman"/>
        </w:rPr>
        <w:t>problematic.</w:t>
      </w:r>
    </w:p>
    <w:p w14:paraId="31FC8652" w14:textId="1F49E44B" w:rsidR="007D67F5" w:rsidRPr="007C5B81" w:rsidRDefault="00370716" w:rsidP="007C5B81">
      <w:pPr>
        <w:pStyle w:val="HeadingL1"/>
        <w:spacing w:after="260" w:line="280" w:lineRule="exact"/>
        <w:ind w:right="0"/>
        <w:jc w:val="both"/>
        <w:rPr>
          <w:rFonts w:ascii="Times New Roman" w:hAnsi="Times New Roman"/>
        </w:rPr>
      </w:pPr>
      <w:r w:rsidRPr="007C5B81">
        <w:rPr>
          <w:rFonts w:ascii="Times New Roman" w:hAnsi="Times New Roman"/>
        </w:rPr>
        <w:t xml:space="preserve">The </w:t>
      </w:r>
      <w:r w:rsidR="00E4320F" w:rsidRPr="007C5B81">
        <w:rPr>
          <w:rFonts w:ascii="Times New Roman" w:hAnsi="Times New Roman"/>
        </w:rPr>
        <w:t>threshold question and the directions</w:t>
      </w:r>
    </w:p>
    <w:p w14:paraId="33FAC52C" w14:textId="0D1F6B49" w:rsidR="00370716" w:rsidRPr="007C5B81" w:rsidRDefault="00370716" w:rsidP="007C5B81">
      <w:pPr>
        <w:pStyle w:val="FixListStyle"/>
        <w:spacing w:after="260" w:line="280" w:lineRule="exact"/>
        <w:ind w:right="0"/>
        <w:jc w:val="both"/>
        <w:rPr>
          <w:rFonts w:ascii="Times New Roman" w:hAnsi="Times New Roman"/>
        </w:rPr>
      </w:pPr>
      <w:r w:rsidRPr="007C5B81">
        <w:rPr>
          <w:rFonts w:ascii="Times New Roman" w:hAnsi="Times New Roman"/>
        </w:rPr>
        <w:tab/>
      </w:r>
      <w:r w:rsidR="005161BA" w:rsidRPr="007C5B81">
        <w:rPr>
          <w:rFonts w:ascii="Times New Roman" w:hAnsi="Times New Roman"/>
        </w:rPr>
        <w:t>The application</w:t>
      </w:r>
      <w:r w:rsidR="00895CF5" w:rsidRPr="007C5B81">
        <w:rPr>
          <w:rFonts w:ascii="Times New Roman" w:hAnsi="Times New Roman"/>
        </w:rPr>
        <w:t>s</w:t>
      </w:r>
      <w:r w:rsidR="005161BA" w:rsidRPr="007C5B81">
        <w:rPr>
          <w:rFonts w:ascii="Times New Roman" w:hAnsi="Times New Roman"/>
        </w:rPr>
        <w:t xml:space="preserve"> for leave to appeal against conviction brought to the Court of Appeal concerned </w:t>
      </w:r>
      <w:r w:rsidR="00895CF5" w:rsidRPr="007C5B81">
        <w:rPr>
          <w:rFonts w:ascii="Times New Roman" w:hAnsi="Times New Roman"/>
        </w:rPr>
        <w:t xml:space="preserve">the </w:t>
      </w:r>
      <w:r w:rsidR="005161BA" w:rsidRPr="007C5B81">
        <w:rPr>
          <w:rFonts w:ascii="Times New Roman" w:hAnsi="Times New Roman"/>
        </w:rPr>
        <w:t xml:space="preserve">directions given respecting </w:t>
      </w:r>
      <w:r w:rsidR="00895CF5" w:rsidRPr="007C5B81">
        <w:rPr>
          <w:rFonts w:ascii="Times New Roman" w:hAnsi="Times New Roman"/>
        </w:rPr>
        <w:t xml:space="preserve">extended joint criminal enterprise </w:t>
      </w:r>
      <w:r w:rsidR="005161BA" w:rsidRPr="007C5B81">
        <w:rPr>
          <w:rFonts w:ascii="Times New Roman" w:hAnsi="Times New Roman"/>
        </w:rPr>
        <w:t xml:space="preserve">as applied to constructive murder under s 12A. It was not argued, as </w:t>
      </w:r>
      <w:r w:rsidR="008B36F7" w:rsidRPr="007C5B81">
        <w:rPr>
          <w:rFonts w:ascii="Times New Roman" w:hAnsi="Times New Roman"/>
        </w:rPr>
        <w:t xml:space="preserve">it </w:t>
      </w:r>
      <w:r w:rsidR="008B36F7" w:rsidRPr="007C5B81">
        <w:rPr>
          <w:rFonts w:ascii="Times New Roman" w:hAnsi="Times New Roman"/>
        </w:rPr>
        <w:lastRenderedPageBreak/>
        <w:t xml:space="preserve">is now, </w:t>
      </w:r>
      <w:r w:rsidR="005161BA" w:rsidRPr="007C5B81">
        <w:rPr>
          <w:rFonts w:ascii="Times New Roman" w:hAnsi="Times New Roman"/>
        </w:rPr>
        <w:t xml:space="preserve">that </w:t>
      </w:r>
      <w:r w:rsidR="00194678" w:rsidRPr="007C5B81">
        <w:rPr>
          <w:rFonts w:ascii="Times New Roman" w:hAnsi="Times New Roman"/>
        </w:rPr>
        <w:t xml:space="preserve">the </w:t>
      </w:r>
      <w:r w:rsidR="00176A1D" w:rsidRPr="007C5B81">
        <w:rPr>
          <w:rFonts w:ascii="Times New Roman" w:hAnsi="Times New Roman"/>
        </w:rPr>
        <w:t xml:space="preserve">principle of </w:t>
      </w:r>
      <w:r w:rsidR="009578AF" w:rsidRPr="007C5B81">
        <w:rPr>
          <w:rFonts w:ascii="Times New Roman" w:hAnsi="Times New Roman"/>
        </w:rPr>
        <w:t xml:space="preserve">extended joint criminal enterprise </w:t>
      </w:r>
      <w:r w:rsidR="0029516D" w:rsidRPr="007C5B81">
        <w:rPr>
          <w:rFonts w:ascii="Times New Roman" w:hAnsi="Times New Roman"/>
        </w:rPr>
        <w:t xml:space="preserve">should not be held to apply </w:t>
      </w:r>
      <w:r w:rsidR="005161BA" w:rsidRPr="007C5B81">
        <w:rPr>
          <w:rFonts w:ascii="Times New Roman" w:hAnsi="Times New Roman"/>
        </w:rPr>
        <w:t xml:space="preserve">to s 12A, nor was it argued that the directions concerning common law murder were </w:t>
      </w:r>
      <w:r w:rsidR="00E4320F" w:rsidRPr="007C5B81">
        <w:rPr>
          <w:rFonts w:ascii="Times New Roman" w:hAnsi="Times New Roman"/>
        </w:rPr>
        <w:t>incorrect</w:t>
      </w:r>
      <w:r w:rsidR="005161BA" w:rsidRPr="007C5B81">
        <w:rPr>
          <w:rFonts w:ascii="Times New Roman" w:hAnsi="Times New Roman"/>
        </w:rPr>
        <w:t>.</w:t>
      </w:r>
    </w:p>
    <w:p w14:paraId="41E0593A" w14:textId="6362AF3F" w:rsidR="00176A1D" w:rsidRPr="007C5B81" w:rsidRDefault="005161BA" w:rsidP="007C5B81">
      <w:pPr>
        <w:pStyle w:val="FixListStyle"/>
        <w:spacing w:after="260" w:line="280" w:lineRule="exact"/>
        <w:ind w:right="0"/>
        <w:jc w:val="both"/>
        <w:rPr>
          <w:rFonts w:ascii="Times New Roman" w:hAnsi="Times New Roman"/>
        </w:rPr>
      </w:pPr>
      <w:r w:rsidRPr="007C5B81">
        <w:rPr>
          <w:rFonts w:ascii="Times New Roman" w:hAnsi="Times New Roman"/>
        </w:rPr>
        <w:tab/>
        <w:t xml:space="preserve">In </w:t>
      </w:r>
      <w:r w:rsidR="001F34F5" w:rsidRPr="007C5B81">
        <w:rPr>
          <w:rFonts w:ascii="Times New Roman" w:hAnsi="Times New Roman"/>
        </w:rPr>
        <w:t xml:space="preserve">the latter respect some appellants now seek to contend that the trial judge's directions </w:t>
      </w:r>
      <w:r w:rsidR="00834727" w:rsidRPr="007C5B81">
        <w:rPr>
          <w:rFonts w:ascii="Times New Roman" w:hAnsi="Times New Roman"/>
        </w:rPr>
        <w:t>(</w:t>
      </w:r>
      <w:r w:rsidR="001F34F5" w:rsidRPr="007C5B81">
        <w:rPr>
          <w:rFonts w:ascii="Times New Roman" w:hAnsi="Times New Roman"/>
        </w:rPr>
        <w:t>that the relevant foresight of the appellants was that a co</w:t>
      </w:r>
      <w:r w:rsidR="001F34F5" w:rsidRPr="007C5B81">
        <w:rPr>
          <w:rFonts w:ascii="Times New Roman" w:hAnsi="Times New Roman"/>
        </w:rPr>
        <w:noBreakHyphen/>
        <w:t>venturer</w:t>
      </w:r>
      <w:r w:rsidR="00927A7D" w:rsidRPr="007C5B81">
        <w:rPr>
          <w:rFonts w:ascii="Times New Roman" w:hAnsi="Times New Roman"/>
        </w:rPr>
        <w:t xml:space="preserve"> might inflict "violence" on a person they came across </w:t>
      </w:r>
      <w:r w:rsidR="008171F7" w:rsidRPr="007C5B81">
        <w:rPr>
          <w:rFonts w:ascii="Times New Roman" w:hAnsi="Times New Roman"/>
        </w:rPr>
        <w:t>at</w:t>
      </w:r>
      <w:r w:rsidR="00927A7D" w:rsidRPr="007C5B81">
        <w:rPr>
          <w:rFonts w:ascii="Times New Roman" w:hAnsi="Times New Roman"/>
        </w:rPr>
        <w:t xml:space="preserve"> the grow</w:t>
      </w:r>
      <w:r w:rsidR="00927A7D" w:rsidRPr="007C5B81">
        <w:rPr>
          <w:rFonts w:ascii="Times New Roman" w:hAnsi="Times New Roman"/>
        </w:rPr>
        <w:noBreakHyphen/>
        <w:t>house</w:t>
      </w:r>
      <w:r w:rsidR="00834727" w:rsidRPr="007C5B81">
        <w:rPr>
          <w:rFonts w:ascii="Times New Roman" w:hAnsi="Times New Roman"/>
        </w:rPr>
        <w:t>)</w:t>
      </w:r>
      <w:r w:rsidR="00927A7D" w:rsidRPr="007C5B81">
        <w:rPr>
          <w:rFonts w:ascii="Times New Roman" w:hAnsi="Times New Roman"/>
        </w:rPr>
        <w:t xml:space="preserve"> tended to elide the distinction </w:t>
      </w:r>
      <w:r w:rsidR="00270E67" w:rsidRPr="007C5B81">
        <w:rPr>
          <w:rFonts w:ascii="Times New Roman" w:hAnsi="Times New Roman"/>
        </w:rPr>
        <w:t>in</w:t>
      </w:r>
      <w:r w:rsidR="00AA5C58" w:rsidRPr="007C5B81">
        <w:rPr>
          <w:rFonts w:ascii="Times New Roman" w:hAnsi="Times New Roman"/>
        </w:rPr>
        <w:t xml:space="preserve"> the</w:t>
      </w:r>
      <w:r w:rsidR="00270E67" w:rsidRPr="007C5B81">
        <w:rPr>
          <w:rFonts w:ascii="Times New Roman" w:hAnsi="Times New Roman"/>
        </w:rPr>
        <w:t xml:space="preserve"> </w:t>
      </w:r>
      <w:r w:rsidR="00294D83" w:rsidRPr="007C5B81">
        <w:rPr>
          <w:rFonts w:ascii="Times New Roman" w:hAnsi="Times New Roman"/>
        </w:rPr>
        <w:t>level of violence required to be foreseen by a co</w:t>
      </w:r>
      <w:r w:rsidR="00294D83" w:rsidRPr="007C5B81">
        <w:rPr>
          <w:rFonts w:ascii="Times New Roman" w:hAnsi="Times New Roman"/>
        </w:rPr>
        <w:noBreakHyphen/>
        <w:t>venturer for common law murder on extended joint criminal enterprise</w:t>
      </w:r>
      <w:r w:rsidR="002E574A" w:rsidRPr="007C5B81">
        <w:rPr>
          <w:rFonts w:ascii="Times New Roman" w:hAnsi="Times New Roman"/>
        </w:rPr>
        <w:t xml:space="preserve"> principles and constructive murder on extended joint criminal enterprise principles.</w:t>
      </w:r>
    </w:p>
    <w:p w14:paraId="75C6FD80" w14:textId="36C762D0" w:rsidR="002E574A" w:rsidRPr="007C5B81" w:rsidRDefault="002E574A" w:rsidP="007C5B81">
      <w:pPr>
        <w:pStyle w:val="FixListStyle"/>
        <w:spacing w:after="260" w:line="280" w:lineRule="exact"/>
        <w:ind w:right="0"/>
        <w:jc w:val="both"/>
        <w:rPr>
          <w:rFonts w:ascii="Times New Roman" w:hAnsi="Times New Roman"/>
        </w:rPr>
      </w:pPr>
      <w:r w:rsidRPr="007C5B81">
        <w:rPr>
          <w:rFonts w:ascii="Times New Roman" w:hAnsi="Times New Roman"/>
        </w:rPr>
        <w:tab/>
        <w:t xml:space="preserve">The contention is without merit. The trial judge separately emphasised the distinction between </w:t>
      </w:r>
      <w:r w:rsidR="00F65F30" w:rsidRPr="007C5B81">
        <w:rPr>
          <w:rFonts w:ascii="Times New Roman" w:hAnsi="Times New Roman"/>
        </w:rPr>
        <w:t>the two</w:t>
      </w:r>
      <w:r w:rsidR="00DD4420" w:rsidRPr="007C5B81">
        <w:rPr>
          <w:rFonts w:ascii="Times New Roman" w:hAnsi="Times New Roman"/>
        </w:rPr>
        <w:t>.</w:t>
      </w:r>
      <w:r w:rsidR="00F65F30" w:rsidRPr="007C5B81">
        <w:rPr>
          <w:rFonts w:ascii="Times New Roman" w:hAnsi="Times New Roman"/>
        </w:rPr>
        <w:t xml:space="preserve"> His Honour framed the issue of violence, </w:t>
      </w:r>
      <w:r w:rsidR="0069575E" w:rsidRPr="007C5B81">
        <w:rPr>
          <w:rFonts w:ascii="Times New Roman" w:hAnsi="Times New Roman"/>
        </w:rPr>
        <w:t xml:space="preserve">on </w:t>
      </w:r>
      <w:r w:rsidR="00F65F30" w:rsidRPr="007C5B81">
        <w:rPr>
          <w:rFonts w:ascii="Times New Roman" w:hAnsi="Times New Roman"/>
        </w:rPr>
        <w:t>almost every occasion where that term was used, so as to invite the jury to consider two pathways of analysis. His Honour explained the foresight necessary for extended joint criminal enterprise in relation to common law murder as being whether a co</w:t>
      </w:r>
      <w:r w:rsidR="00F65F30" w:rsidRPr="007C5B81">
        <w:rPr>
          <w:rFonts w:ascii="Times New Roman" w:hAnsi="Times New Roman"/>
        </w:rPr>
        <w:noBreakHyphen/>
        <w:t xml:space="preserve">venturer might inflict violence on a person they came across at the </w:t>
      </w:r>
      <w:r w:rsidR="00110F65" w:rsidRPr="007C5B81">
        <w:rPr>
          <w:rFonts w:ascii="Times New Roman" w:hAnsi="Times New Roman"/>
        </w:rPr>
        <w:t>grow-</w:t>
      </w:r>
      <w:r w:rsidR="00F65F30" w:rsidRPr="007C5B81">
        <w:rPr>
          <w:rFonts w:ascii="Times New Roman" w:hAnsi="Times New Roman"/>
        </w:rPr>
        <w:t xml:space="preserve">house </w:t>
      </w:r>
      <w:r w:rsidR="006D6503" w:rsidRPr="007C5B81">
        <w:rPr>
          <w:rFonts w:ascii="Times New Roman" w:hAnsi="Times New Roman"/>
        </w:rPr>
        <w:t>with the intention of causing that person serious bodily harm</w:t>
      </w:r>
      <w:r w:rsidR="005B018C" w:rsidRPr="007C5B81">
        <w:rPr>
          <w:rFonts w:ascii="Times New Roman" w:hAnsi="Times New Roman"/>
        </w:rPr>
        <w:t>; and f</w:t>
      </w:r>
      <w:r w:rsidR="00915639" w:rsidRPr="007C5B81">
        <w:rPr>
          <w:rFonts w:ascii="Times New Roman" w:hAnsi="Times New Roman"/>
        </w:rPr>
        <w:t>or constructive murder simply an intentional act of violence</w:t>
      </w:r>
      <w:r w:rsidR="00AC0622" w:rsidRPr="007C5B81">
        <w:rPr>
          <w:rFonts w:ascii="Times New Roman" w:hAnsi="Times New Roman"/>
        </w:rPr>
        <w:t>. His Honour repeated that direction and follow</w:t>
      </w:r>
      <w:r w:rsidR="00E73C7D" w:rsidRPr="007C5B81">
        <w:rPr>
          <w:rFonts w:ascii="Times New Roman" w:hAnsi="Times New Roman"/>
        </w:rPr>
        <w:t>e</w:t>
      </w:r>
      <w:r w:rsidR="00AC0622" w:rsidRPr="007C5B81">
        <w:rPr>
          <w:rFonts w:ascii="Times New Roman" w:hAnsi="Times New Roman"/>
        </w:rPr>
        <w:t xml:space="preserve">d that format throughout </w:t>
      </w:r>
      <w:r w:rsidR="00E73C7D" w:rsidRPr="007C5B81">
        <w:rPr>
          <w:rFonts w:ascii="Times New Roman" w:hAnsi="Times New Roman"/>
        </w:rPr>
        <w:t>the directions.</w:t>
      </w:r>
    </w:p>
    <w:p w14:paraId="02E90EB3" w14:textId="4980A289" w:rsidR="00E73C7D" w:rsidRPr="007C5B81" w:rsidRDefault="00E73C7D" w:rsidP="007C5B81">
      <w:pPr>
        <w:pStyle w:val="FixListStyle"/>
        <w:spacing w:after="260" w:line="280" w:lineRule="exact"/>
        <w:ind w:right="0"/>
        <w:jc w:val="both"/>
        <w:rPr>
          <w:rFonts w:ascii="Times New Roman" w:hAnsi="Times New Roman"/>
        </w:rPr>
      </w:pPr>
      <w:r w:rsidRPr="007C5B81">
        <w:rPr>
          <w:rFonts w:ascii="Times New Roman" w:hAnsi="Times New Roman"/>
        </w:rPr>
        <w:tab/>
      </w:r>
      <w:r w:rsidR="008C5F7A" w:rsidRPr="007C5B81">
        <w:rPr>
          <w:rFonts w:ascii="Times New Roman" w:hAnsi="Times New Roman"/>
        </w:rPr>
        <w:t>The focus of these appeals is therefore whether the principle of extended joint criminal enterprise can or should be applied to constructive murder under s 12A</w:t>
      </w:r>
      <w:r w:rsidR="001F1887" w:rsidRPr="007C5B81">
        <w:rPr>
          <w:rFonts w:ascii="Times New Roman" w:hAnsi="Times New Roman"/>
        </w:rPr>
        <w:t>,</w:t>
      </w:r>
      <w:r w:rsidR="008C5F7A" w:rsidRPr="007C5B81">
        <w:rPr>
          <w:rFonts w:ascii="Times New Roman" w:hAnsi="Times New Roman"/>
        </w:rPr>
        <w:t xml:space="preserve"> and whether it was correct for the trial judge to direct that any in</w:t>
      </w:r>
      <w:r w:rsidR="00583371" w:rsidRPr="007C5B81">
        <w:rPr>
          <w:rFonts w:ascii="Times New Roman" w:hAnsi="Times New Roman"/>
        </w:rPr>
        <w:t xml:space="preserve">tentional act of violence would be sufficient. </w:t>
      </w:r>
      <w:r w:rsidR="00DB4F52" w:rsidRPr="007C5B81">
        <w:rPr>
          <w:rFonts w:ascii="Times New Roman" w:hAnsi="Times New Roman"/>
        </w:rPr>
        <w:t>In this regard the trial judge gave as an example that an act of violence might include striking the back of a person's leg and that a threat o</w:t>
      </w:r>
      <w:r w:rsidR="00781A27" w:rsidRPr="007C5B81">
        <w:rPr>
          <w:rFonts w:ascii="Times New Roman" w:hAnsi="Times New Roman"/>
        </w:rPr>
        <w:t>r menace of violence could amount to an act of violence within the meaning of s 12A.</w:t>
      </w:r>
      <w:r w:rsidR="00FC7C46" w:rsidRPr="007C5B81">
        <w:rPr>
          <w:rFonts w:ascii="Times New Roman" w:hAnsi="Times New Roman"/>
        </w:rPr>
        <w:t xml:space="preserve"> </w:t>
      </w:r>
      <w:r w:rsidR="001B1542" w:rsidRPr="007C5B81">
        <w:rPr>
          <w:rFonts w:ascii="Times New Roman" w:hAnsi="Times New Roman"/>
        </w:rPr>
        <w:t xml:space="preserve">Because it is not known how the jury reasoned </w:t>
      </w:r>
      <w:r w:rsidR="0029516D" w:rsidRPr="007C5B81">
        <w:rPr>
          <w:rFonts w:ascii="Times New Roman" w:hAnsi="Times New Roman"/>
        </w:rPr>
        <w:t xml:space="preserve">to </w:t>
      </w:r>
      <w:r w:rsidR="001B1542" w:rsidRPr="007C5B81">
        <w:rPr>
          <w:rFonts w:ascii="Times New Roman" w:hAnsi="Times New Roman"/>
        </w:rPr>
        <w:t>conviction and which pathway it took, if the appellants are correct in their submissions concerning s 12A the appeals must be allowed and new trials ordered.</w:t>
      </w:r>
    </w:p>
    <w:p w14:paraId="2CBDF200" w14:textId="1F4C3F90" w:rsidR="00477B55" w:rsidRPr="007C5B81" w:rsidRDefault="00F504C3" w:rsidP="007C5B81">
      <w:pPr>
        <w:pStyle w:val="HeadingL1"/>
        <w:spacing w:after="260" w:line="280" w:lineRule="exact"/>
        <w:ind w:right="0"/>
        <w:jc w:val="both"/>
        <w:rPr>
          <w:rFonts w:ascii="Times New Roman" w:hAnsi="Times New Roman"/>
        </w:rPr>
      </w:pPr>
      <w:r w:rsidRPr="007C5B81">
        <w:rPr>
          <w:rFonts w:ascii="Times New Roman" w:hAnsi="Times New Roman"/>
        </w:rPr>
        <w:t xml:space="preserve">Joint </w:t>
      </w:r>
      <w:r w:rsidR="00237F57" w:rsidRPr="007C5B81">
        <w:rPr>
          <w:rFonts w:ascii="Times New Roman" w:hAnsi="Times New Roman"/>
        </w:rPr>
        <w:t>criminal</w:t>
      </w:r>
      <w:r w:rsidRPr="007C5B81">
        <w:rPr>
          <w:rFonts w:ascii="Times New Roman" w:hAnsi="Times New Roman"/>
        </w:rPr>
        <w:t xml:space="preserve"> enterprise and extended joint </w:t>
      </w:r>
      <w:r w:rsidR="00237F57" w:rsidRPr="007C5B81">
        <w:rPr>
          <w:rFonts w:ascii="Times New Roman" w:hAnsi="Times New Roman"/>
        </w:rPr>
        <w:t>criminal</w:t>
      </w:r>
      <w:r w:rsidRPr="007C5B81">
        <w:rPr>
          <w:rFonts w:ascii="Times New Roman" w:hAnsi="Times New Roman"/>
        </w:rPr>
        <w:t xml:space="preserve"> enterprise</w:t>
      </w:r>
    </w:p>
    <w:p w14:paraId="41A13C94" w14:textId="5E40E82D" w:rsidR="00F504C3" w:rsidRPr="007C5B81" w:rsidRDefault="00F504C3" w:rsidP="007C5B81">
      <w:pPr>
        <w:pStyle w:val="FixListStyle"/>
        <w:spacing w:after="260" w:line="280" w:lineRule="exact"/>
        <w:ind w:right="0"/>
        <w:jc w:val="both"/>
        <w:rPr>
          <w:rFonts w:ascii="Times New Roman" w:hAnsi="Times New Roman"/>
        </w:rPr>
      </w:pPr>
      <w:r w:rsidRPr="007C5B81">
        <w:rPr>
          <w:rFonts w:ascii="Times New Roman" w:hAnsi="Times New Roman"/>
        </w:rPr>
        <w:tab/>
      </w:r>
      <w:r w:rsidR="00A974E1" w:rsidRPr="007C5B81">
        <w:rPr>
          <w:rFonts w:ascii="Times New Roman" w:hAnsi="Times New Roman"/>
        </w:rPr>
        <w:t xml:space="preserve">The principle or doctrine of joint </w:t>
      </w:r>
      <w:r w:rsidR="00237F57" w:rsidRPr="007C5B81">
        <w:rPr>
          <w:rFonts w:ascii="Times New Roman" w:hAnsi="Times New Roman"/>
        </w:rPr>
        <w:t>criminal</w:t>
      </w:r>
      <w:r w:rsidR="00A974E1" w:rsidRPr="007C5B81">
        <w:rPr>
          <w:rFonts w:ascii="Times New Roman" w:hAnsi="Times New Roman"/>
        </w:rPr>
        <w:t xml:space="preserve"> enterprise, or common purpose, establishes the compl</w:t>
      </w:r>
      <w:r w:rsidR="008A003F" w:rsidRPr="007C5B81">
        <w:rPr>
          <w:rFonts w:ascii="Times New Roman" w:hAnsi="Times New Roman"/>
        </w:rPr>
        <w:t>ici</w:t>
      </w:r>
      <w:r w:rsidR="00A974E1" w:rsidRPr="007C5B81">
        <w:rPr>
          <w:rFonts w:ascii="Times New Roman" w:hAnsi="Times New Roman"/>
        </w:rPr>
        <w:t xml:space="preserve">ty of a secondary party </w:t>
      </w:r>
      <w:r w:rsidR="00C1220F" w:rsidRPr="007C5B81">
        <w:rPr>
          <w:rFonts w:ascii="Times New Roman" w:hAnsi="Times New Roman"/>
        </w:rPr>
        <w:t>in</w:t>
      </w:r>
      <w:r w:rsidR="00A974E1" w:rsidRPr="007C5B81">
        <w:rPr>
          <w:rFonts w:ascii="Times New Roman" w:hAnsi="Times New Roman"/>
        </w:rPr>
        <w:t xml:space="preserve"> the commission of a crime. As explained in </w:t>
      </w:r>
      <w:r w:rsidR="00A974E1" w:rsidRPr="007C5B81">
        <w:rPr>
          <w:rFonts w:ascii="Times New Roman" w:hAnsi="Times New Roman"/>
          <w:i/>
          <w:iCs/>
        </w:rPr>
        <w:t>McAuliffe v The Queen</w:t>
      </w:r>
      <w:r w:rsidR="00AC3301" w:rsidRPr="007C5B81">
        <w:rPr>
          <w:rStyle w:val="FootnoteReference"/>
          <w:rFonts w:ascii="Times New Roman" w:hAnsi="Times New Roman"/>
          <w:sz w:val="24"/>
        </w:rPr>
        <w:footnoteReference w:id="5"/>
      </w:r>
      <w:r w:rsidR="00A974E1" w:rsidRPr="007C5B81">
        <w:rPr>
          <w:rFonts w:ascii="Times New Roman" w:hAnsi="Times New Roman"/>
        </w:rPr>
        <w:t xml:space="preserve">, </w:t>
      </w:r>
      <w:r w:rsidR="002C17AE" w:rsidRPr="007C5B81">
        <w:rPr>
          <w:rFonts w:ascii="Times New Roman" w:hAnsi="Times New Roman"/>
        </w:rPr>
        <w:t>it applies where a venture is undertaken by more than one person acting in concert in pursuit of a common criminal enterprise</w:t>
      </w:r>
      <w:r w:rsidR="002C17AE" w:rsidRPr="007C5B81">
        <w:rPr>
          <w:rStyle w:val="FootnoteReference"/>
          <w:rFonts w:ascii="Times New Roman" w:hAnsi="Times New Roman"/>
          <w:sz w:val="24"/>
        </w:rPr>
        <w:footnoteReference w:id="6"/>
      </w:r>
      <w:r w:rsidR="00505E2E" w:rsidRPr="007C5B81">
        <w:rPr>
          <w:rFonts w:ascii="Times New Roman" w:hAnsi="Times New Roman"/>
        </w:rPr>
        <w:t xml:space="preserve">. Unlike the liability of accessories such as </w:t>
      </w:r>
      <w:r w:rsidR="003C246A" w:rsidRPr="007C5B81">
        <w:rPr>
          <w:rFonts w:ascii="Times New Roman" w:hAnsi="Times New Roman"/>
        </w:rPr>
        <w:t xml:space="preserve">aiders or abettors, which is based </w:t>
      </w:r>
      <w:r w:rsidR="002E565F" w:rsidRPr="007C5B81">
        <w:rPr>
          <w:rFonts w:ascii="Times New Roman" w:hAnsi="Times New Roman"/>
        </w:rPr>
        <w:t>o</w:t>
      </w:r>
      <w:r w:rsidR="003C246A" w:rsidRPr="007C5B81">
        <w:rPr>
          <w:rFonts w:ascii="Times New Roman" w:hAnsi="Times New Roman"/>
        </w:rPr>
        <w:t xml:space="preserve">n their contribution to the crime, the wrong </w:t>
      </w:r>
      <w:r w:rsidR="00C331CE" w:rsidRPr="007C5B81">
        <w:rPr>
          <w:rFonts w:ascii="Times New Roman" w:hAnsi="Times New Roman"/>
        </w:rPr>
        <w:t xml:space="preserve">in a joint criminal enterprise lies in the mutual </w:t>
      </w:r>
      <w:r w:rsidR="00C331CE" w:rsidRPr="007C5B81">
        <w:rPr>
          <w:rFonts w:ascii="Times New Roman" w:hAnsi="Times New Roman"/>
        </w:rPr>
        <w:lastRenderedPageBreak/>
        <w:t>embarkation on a crime with the awareness that an incidental crime may be comm</w:t>
      </w:r>
      <w:r w:rsidR="00E4610E" w:rsidRPr="007C5B81">
        <w:rPr>
          <w:rFonts w:ascii="Times New Roman" w:hAnsi="Times New Roman"/>
        </w:rPr>
        <w:t>itted in carrying out the agreement</w:t>
      </w:r>
      <w:r w:rsidR="00E4610E" w:rsidRPr="007C5B81">
        <w:rPr>
          <w:rStyle w:val="FootnoteReference"/>
          <w:rFonts w:ascii="Times New Roman" w:hAnsi="Times New Roman"/>
          <w:sz w:val="24"/>
        </w:rPr>
        <w:footnoteReference w:id="7"/>
      </w:r>
      <w:r w:rsidR="00F026D1" w:rsidRPr="007C5B81">
        <w:rPr>
          <w:rFonts w:ascii="Times New Roman" w:hAnsi="Times New Roman"/>
        </w:rPr>
        <w:t>.</w:t>
      </w:r>
    </w:p>
    <w:p w14:paraId="54EC97E7" w14:textId="67B598A2" w:rsidR="00F026D1" w:rsidRPr="007C5B81" w:rsidRDefault="00F026D1" w:rsidP="007C5B81">
      <w:pPr>
        <w:pStyle w:val="FixListStyle"/>
        <w:spacing w:after="260" w:line="280" w:lineRule="exact"/>
        <w:ind w:right="0"/>
        <w:jc w:val="both"/>
        <w:rPr>
          <w:rFonts w:ascii="Times New Roman" w:hAnsi="Times New Roman"/>
        </w:rPr>
      </w:pPr>
      <w:r w:rsidRPr="007C5B81">
        <w:rPr>
          <w:rFonts w:ascii="Times New Roman" w:hAnsi="Times New Roman"/>
        </w:rPr>
        <w:tab/>
      </w:r>
      <w:r w:rsidR="00FF0763" w:rsidRPr="007C5B81">
        <w:rPr>
          <w:rFonts w:ascii="Times New Roman" w:hAnsi="Times New Roman"/>
        </w:rPr>
        <w:t xml:space="preserve">Each </w:t>
      </w:r>
      <w:r w:rsidR="00F05F5F" w:rsidRPr="007C5B81">
        <w:rPr>
          <w:rFonts w:ascii="Times New Roman" w:hAnsi="Times New Roman"/>
        </w:rPr>
        <w:t xml:space="preserve">of </w:t>
      </w:r>
      <w:r w:rsidR="00B901F0" w:rsidRPr="007C5B81">
        <w:rPr>
          <w:rFonts w:ascii="Times New Roman" w:hAnsi="Times New Roman"/>
        </w:rPr>
        <w:t xml:space="preserve">the parties to </w:t>
      </w:r>
      <w:r w:rsidR="008A003F" w:rsidRPr="007C5B81">
        <w:rPr>
          <w:rFonts w:ascii="Times New Roman" w:hAnsi="Times New Roman"/>
        </w:rPr>
        <w:t xml:space="preserve">a joint criminal enterprise </w:t>
      </w:r>
      <w:r w:rsidR="00FF0763" w:rsidRPr="007C5B81">
        <w:rPr>
          <w:rFonts w:ascii="Times New Roman" w:hAnsi="Times New Roman"/>
        </w:rPr>
        <w:t xml:space="preserve">is </w:t>
      </w:r>
      <w:r w:rsidR="00B901F0" w:rsidRPr="007C5B81">
        <w:rPr>
          <w:rFonts w:ascii="Times New Roman" w:hAnsi="Times New Roman"/>
        </w:rPr>
        <w:t xml:space="preserve">equally guilty of the crime that is the object of the enterprise </w:t>
      </w:r>
      <w:r w:rsidR="00196AE2" w:rsidRPr="007C5B81">
        <w:rPr>
          <w:rFonts w:ascii="Times New Roman" w:hAnsi="Times New Roman"/>
        </w:rPr>
        <w:t xml:space="preserve">and which is committed, so long as the agreement to commit </w:t>
      </w:r>
      <w:r w:rsidR="00AB42C3" w:rsidRPr="007C5B81">
        <w:rPr>
          <w:rFonts w:ascii="Times New Roman" w:hAnsi="Times New Roman"/>
        </w:rPr>
        <w:t xml:space="preserve">it </w:t>
      </w:r>
      <w:r w:rsidR="00AE0E97" w:rsidRPr="007C5B81">
        <w:rPr>
          <w:rFonts w:ascii="Times New Roman" w:hAnsi="Times New Roman"/>
        </w:rPr>
        <w:t xml:space="preserve">(which may be express or inferred) </w:t>
      </w:r>
      <w:r w:rsidR="00AB42C3" w:rsidRPr="007C5B81">
        <w:rPr>
          <w:rFonts w:ascii="Times New Roman" w:hAnsi="Times New Roman"/>
        </w:rPr>
        <w:t xml:space="preserve">remains on foot. That is so regardless </w:t>
      </w:r>
      <w:r w:rsidR="00340697" w:rsidRPr="007C5B81">
        <w:rPr>
          <w:rFonts w:ascii="Times New Roman" w:hAnsi="Times New Roman"/>
        </w:rPr>
        <w:t xml:space="preserve">of the part each has played in </w:t>
      </w:r>
      <w:r w:rsidR="00AE0E97" w:rsidRPr="007C5B81">
        <w:rPr>
          <w:rFonts w:ascii="Times New Roman" w:hAnsi="Times New Roman"/>
        </w:rPr>
        <w:t>its commission. E</w:t>
      </w:r>
      <w:r w:rsidR="00CC1C3F" w:rsidRPr="007C5B81">
        <w:rPr>
          <w:rFonts w:ascii="Times New Roman" w:hAnsi="Times New Roman"/>
        </w:rPr>
        <w:t xml:space="preserve">ach party is also guilty of any other </w:t>
      </w:r>
      <w:r w:rsidR="00AE0E97" w:rsidRPr="007C5B81">
        <w:rPr>
          <w:rFonts w:ascii="Times New Roman" w:hAnsi="Times New Roman"/>
        </w:rPr>
        <w:t xml:space="preserve">offence </w:t>
      </w:r>
      <w:r w:rsidR="00CC1C3F" w:rsidRPr="007C5B81">
        <w:rPr>
          <w:rFonts w:ascii="Times New Roman" w:hAnsi="Times New Roman"/>
        </w:rPr>
        <w:t xml:space="preserve">("the incidental </w:t>
      </w:r>
      <w:r w:rsidR="006B2CCA" w:rsidRPr="007C5B81">
        <w:rPr>
          <w:rFonts w:ascii="Times New Roman" w:hAnsi="Times New Roman"/>
        </w:rPr>
        <w:t>offence</w:t>
      </w:r>
      <w:r w:rsidR="00CC1C3F" w:rsidRPr="007C5B81">
        <w:rPr>
          <w:rFonts w:ascii="Times New Roman" w:hAnsi="Times New Roman"/>
        </w:rPr>
        <w:t xml:space="preserve">") which is </w:t>
      </w:r>
      <w:r w:rsidR="00A05F21" w:rsidRPr="007C5B81">
        <w:rPr>
          <w:rFonts w:ascii="Times New Roman" w:hAnsi="Times New Roman"/>
        </w:rPr>
        <w:t>committed by a co</w:t>
      </w:r>
      <w:r w:rsidR="00A05F21" w:rsidRPr="007C5B81">
        <w:rPr>
          <w:rFonts w:ascii="Times New Roman" w:hAnsi="Times New Roman"/>
        </w:rPr>
        <w:noBreakHyphen/>
        <w:t xml:space="preserve">venturer that is within the scope of the agreement. </w:t>
      </w:r>
      <w:r w:rsidR="006800F9" w:rsidRPr="007C5B81">
        <w:rPr>
          <w:rFonts w:ascii="Times New Roman" w:hAnsi="Times New Roman"/>
        </w:rPr>
        <w:t>The incidental offence</w:t>
      </w:r>
      <w:r w:rsidR="00A05F21" w:rsidRPr="007C5B81">
        <w:rPr>
          <w:rFonts w:ascii="Times New Roman" w:hAnsi="Times New Roman"/>
        </w:rPr>
        <w:t xml:space="preserve"> will be within the scope of the agreement to commit the first</w:t>
      </w:r>
      <w:r w:rsidR="00A05F21" w:rsidRPr="007C5B81">
        <w:rPr>
          <w:rFonts w:ascii="Times New Roman" w:hAnsi="Times New Roman"/>
        </w:rPr>
        <w:noBreakHyphen/>
        <w:t xml:space="preserve">mentioned crime if the parties contemplate </w:t>
      </w:r>
      <w:r w:rsidR="00754797" w:rsidRPr="007C5B81">
        <w:rPr>
          <w:rFonts w:ascii="Times New Roman" w:hAnsi="Times New Roman"/>
        </w:rPr>
        <w:t>its commission as a possible incident of the execution of their agreement</w:t>
      </w:r>
      <w:r w:rsidR="00754797" w:rsidRPr="007C5B81">
        <w:rPr>
          <w:rStyle w:val="FootnoteReference"/>
          <w:rFonts w:ascii="Times New Roman" w:hAnsi="Times New Roman"/>
          <w:sz w:val="24"/>
        </w:rPr>
        <w:footnoteReference w:id="8"/>
      </w:r>
      <w:r w:rsidR="00DB14A2" w:rsidRPr="007C5B81">
        <w:rPr>
          <w:rFonts w:ascii="Times New Roman" w:hAnsi="Times New Roman"/>
        </w:rPr>
        <w:t>.</w:t>
      </w:r>
    </w:p>
    <w:p w14:paraId="49AADD99" w14:textId="3D689211" w:rsidR="00B5059E" w:rsidRPr="007C5B81" w:rsidRDefault="007818B1" w:rsidP="007C5B81">
      <w:pPr>
        <w:pStyle w:val="FixListStyle"/>
        <w:spacing w:after="260" w:line="280" w:lineRule="exact"/>
        <w:ind w:right="0"/>
        <w:jc w:val="both"/>
        <w:rPr>
          <w:rFonts w:ascii="Times New Roman" w:hAnsi="Times New Roman"/>
        </w:rPr>
      </w:pPr>
      <w:r w:rsidRPr="007C5B81">
        <w:rPr>
          <w:rFonts w:ascii="Times New Roman" w:hAnsi="Times New Roman"/>
        </w:rPr>
        <w:tab/>
      </w:r>
      <w:r w:rsidR="00B5059E" w:rsidRPr="007C5B81">
        <w:rPr>
          <w:rFonts w:ascii="Times New Roman" w:hAnsi="Times New Roman"/>
        </w:rPr>
        <w:t xml:space="preserve">The principle of extended joint criminal enterprise liability arises where a party to a joint criminal </w:t>
      </w:r>
      <w:r w:rsidR="00E662AA" w:rsidRPr="007C5B81">
        <w:rPr>
          <w:rFonts w:ascii="Times New Roman" w:hAnsi="Times New Roman"/>
        </w:rPr>
        <w:t>enterprise foresees, but does not agree to, the commission of an incidental crime in the course of carrying out the agreement</w:t>
      </w:r>
      <w:r w:rsidR="00E662AA" w:rsidRPr="007C5B81">
        <w:rPr>
          <w:rStyle w:val="FootnoteReference"/>
          <w:rFonts w:ascii="Times New Roman" w:hAnsi="Times New Roman"/>
          <w:sz w:val="24"/>
        </w:rPr>
        <w:footnoteReference w:id="9"/>
      </w:r>
      <w:r w:rsidR="00E662AA" w:rsidRPr="007C5B81">
        <w:rPr>
          <w:rFonts w:ascii="Times New Roman" w:hAnsi="Times New Roman"/>
        </w:rPr>
        <w:t>.</w:t>
      </w:r>
      <w:r w:rsidR="00244D94" w:rsidRPr="007C5B81">
        <w:rPr>
          <w:rFonts w:ascii="Times New Roman" w:hAnsi="Times New Roman"/>
        </w:rPr>
        <w:t xml:space="preserve"> That is to say</w:t>
      </w:r>
      <w:r w:rsidR="006931D1" w:rsidRPr="007C5B81">
        <w:rPr>
          <w:rFonts w:ascii="Times New Roman" w:hAnsi="Times New Roman"/>
        </w:rPr>
        <w:t>, the principle applies where the commission of an incidental offence lies outside the scope of the common purpose</w:t>
      </w:r>
      <w:r w:rsidR="006931D1" w:rsidRPr="007C5B81">
        <w:rPr>
          <w:rStyle w:val="FootnoteReference"/>
          <w:rFonts w:ascii="Times New Roman" w:hAnsi="Times New Roman"/>
          <w:sz w:val="24"/>
        </w:rPr>
        <w:footnoteReference w:id="10"/>
      </w:r>
      <w:r w:rsidR="00B74503" w:rsidRPr="007C5B81">
        <w:rPr>
          <w:rFonts w:ascii="Times New Roman" w:hAnsi="Times New Roman"/>
        </w:rPr>
        <w:t xml:space="preserve"> but is nevertheless contemplated as a possibility</w:t>
      </w:r>
      <w:r w:rsidR="00C63A8D" w:rsidRPr="007C5B81">
        <w:rPr>
          <w:rStyle w:val="FootnoteReference"/>
          <w:rFonts w:ascii="Times New Roman" w:hAnsi="Times New Roman"/>
          <w:sz w:val="24"/>
        </w:rPr>
        <w:footnoteReference w:id="11"/>
      </w:r>
      <w:r w:rsidR="000E5BC7" w:rsidRPr="007C5B81">
        <w:rPr>
          <w:rFonts w:ascii="Times New Roman" w:hAnsi="Times New Roman"/>
        </w:rPr>
        <w:t xml:space="preserve">. The parties are each criminally liable for the incidental offence if </w:t>
      </w:r>
      <w:r w:rsidR="006F0A60" w:rsidRPr="007C5B81">
        <w:rPr>
          <w:rFonts w:ascii="Times New Roman" w:hAnsi="Times New Roman"/>
        </w:rPr>
        <w:t xml:space="preserve">with foresight of the possibility that it might be </w:t>
      </w:r>
      <w:proofErr w:type="gramStart"/>
      <w:r w:rsidR="006F0A60" w:rsidRPr="007C5B81">
        <w:rPr>
          <w:rFonts w:ascii="Times New Roman" w:hAnsi="Times New Roman"/>
        </w:rPr>
        <w:t>committed</w:t>
      </w:r>
      <w:proofErr w:type="gramEnd"/>
      <w:r w:rsidR="006F0A60" w:rsidRPr="007C5B81">
        <w:rPr>
          <w:rFonts w:ascii="Times New Roman" w:hAnsi="Times New Roman"/>
        </w:rPr>
        <w:t xml:space="preserve"> they nevertheless continue to participate in the enterprise</w:t>
      </w:r>
      <w:r w:rsidR="006F0A60" w:rsidRPr="007C5B81">
        <w:rPr>
          <w:rStyle w:val="FootnoteReference"/>
          <w:rFonts w:ascii="Times New Roman" w:hAnsi="Times New Roman"/>
          <w:sz w:val="24"/>
        </w:rPr>
        <w:footnoteReference w:id="12"/>
      </w:r>
      <w:r w:rsidR="002F5B3E" w:rsidRPr="007C5B81">
        <w:rPr>
          <w:rFonts w:ascii="Times New Roman" w:hAnsi="Times New Roman"/>
        </w:rPr>
        <w:t xml:space="preserve"> and that is so whether the foresight is that of an individual party or is shared by all parties</w:t>
      </w:r>
      <w:r w:rsidR="002F5B3E" w:rsidRPr="007C5B81">
        <w:rPr>
          <w:rStyle w:val="FootnoteReference"/>
          <w:rFonts w:ascii="Times New Roman" w:hAnsi="Times New Roman"/>
          <w:sz w:val="24"/>
        </w:rPr>
        <w:footnoteReference w:id="13"/>
      </w:r>
      <w:r w:rsidR="00F33C1C" w:rsidRPr="007C5B81">
        <w:rPr>
          <w:rFonts w:ascii="Times New Roman" w:hAnsi="Times New Roman"/>
        </w:rPr>
        <w:t xml:space="preserve">. Criminal culpability </w:t>
      </w:r>
      <w:r w:rsidR="00520FD6" w:rsidRPr="007C5B81">
        <w:rPr>
          <w:rFonts w:ascii="Times New Roman" w:hAnsi="Times New Roman"/>
        </w:rPr>
        <w:t xml:space="preserve">of this kind </w:t>
      </w:r>
      <w:r w:rsidR="00C43421" w:rsidRPr="007C5B81">
        <w:rPr>
          <w:rFonts w:ascii="Times New Roman" w:hAnsi="Times New Roman"/>
        </w:rPr>
        <w:t xml:space="preserve">is consistent </w:t>
      </w:r>
      <w:r w:rsidR="00F33C1C" w:rsidRPr="007C5B81">
        <w:rPr>
          <w:rFonts w:ascii="Times New Roman" w:hAnsi="Times New Roman"/>
        </w:rPr>
        <w:t>with the general principle that a person who assists or encourages the commission of an offence may be convicted as a party to it</w:t>
      </w:r>
      <w:r w:rsidR="00F33C1C" w:rsidRPr="007C5B81">
        <w:rPr>
          <w:rStyle w:val="FootnoteReference"/>
          <w:rFonts w:ascii="Times New Roman" w:hAnsi="Times New Roman"/>
          <w:sz w:val="24"/>
        </w:rPr>
        <w:footnoteReference w:id="14"/>
      </w:r>
      <w:r w:rsidR="00F33C1C" w:rsidRPr="007C5B81">
        <w:rPr>
          <w:rFonts w:ascii="Times New Roman" w:hAnsi="Times New Roman"/>
        </w:rPr>
        <w:t>.</w:t>
      </w:r>
    </w:p>
    <w:p w14:paraId="1C2FECB1" w14:textId="3CAD7191" w:rsidR="00DB295B" w:rsidRPr="007C5B81" w:rsidRDefault="00DB295B" w:rsidP="007C5B81">
      <w:pPr>
        <w:pStyle w:val="FixListStyle"/>
        <w:spacing w:after="260" w:line="280" w:lineRule="exact"/>
        <w:ind w:right="0"/>
        <w:jc w:val="both"/>
        <w:rPr>
          <w:rFonts w:ascii="Times New Roman" w:hAnsi="Times New Roman"/>
        </w:rPr>
      </w:pPr>
      <w:r w:rsidRPr="007C5B81">
        <w:rPr>
          <w:rFonts w:ascii="Times New Roman" w:hAnsi="Times New Roman"/>
        </w:rPr>
        <w:lastRenderedPageBreak/>
        <w:tab/>
        <w:t xml:space="preserve">The example </w:t>
      </w:r>
      <w:r w:rsidR="000B3841" w:rsidRPr="007C5B81">
        <w:rPr>
          <w:rFonts w:ascii="Times New Roman" w:hAnsi="Times New Roman"/>
        </w:rPr>
        <w:t xml:space="preserve">given in </w:t>
      </w:r>
      <w:r w:rsidR="000B3841" w:rsidRPr="007C5B81">
        <w:rPr>
          <w:rFonts w:ascii="Times New Roman" w:hAnsi="Times New Roman"/>
          <w:i/>
          <w:iCs/>
        </w:rPr>
        <w:t>McAuliffe</w:t>
      </w:r>
      <w:r w:rsidR="000B3841" w:rsidRPr="007C5B81">
        <w:rPr>
          <w:rStyle w:val="FootnoteReference"/>
          <w:rFonts w:ascii="Times New Roman" w:hAnsi="Times New Roman"/>
          <w:sz w:val="24"/>
        </w:rPr>
        <w:footnoteReference w:id="15"/>
      </w:r>
      <w:r w:rsidR="000B3841" w:rsidRPr="007C5B81">
        <w:rPr>
          <w:rFonts w:ascii="Times New Roman" w:hAnsi="Times New Roman"/>
        </w:rPr>
        <w:t xml:space="preserve"> </w:t>
      </w:r>
      <w:r w:rsidRPr="007C5B81">
        <w:rPr>
          <w:rFonts w:ascii="Times New Roman" w:hAnsi="Times New Roman"/>
        </w:rPr>
        <w:t xml:space="preserve">of the application of this principle </w:t>
      </w:r>
      <w:r w:rsidR="0051002D" w:rsidRPr="007C5B81">
        <w:rPr>
          <w:rFonts w:ascii="Times New Roman" w:hAnsi="Times New Roman"/>
        </w:rPr>
        <w:t xml:space="preserve">is where a party knows that another party to the joint criminal enterprise is carrying a weapon which may be used to kill or inflict grievous bodily harm in carrying out </w:t>
      </w:r>
      <w:r w:rsidR="00776134" w:rsidRPr="007C5B81">
        <w:rPr>
          <w:rFonts w:ascii="Times New Roman" w:hAnsi="Times New Roman"/>
        </w:rPr>
        <w:t>the enterprise. The first</w:t>
      </w:r>
      <w:r w:rsidR="00554C3D" w:rsidRPr="007C5B81">
        <w:rPr>
          <w:rFonts w:ascii="Times New Roman" w:hAnsi="Times New Roman"/>
        </w:rPr>
        <w:noBreakHyphen/>
      </w:r>
      <w:r w:rsidR="00776134" w:rsidRPr="007C5B81">
        <w:rPr>
          <w:rFonts w:ascii="Times New Roman" w:hAnsi="Times New Roman"/>
        </w:rPr>
        <w:t xml:space="preserve">mentioned party may not agree to the use of the </w:t>
      </w:r>
      <w:proofErr w:type="gramStart"/>
      <w:r w:rsidR="00776134" w:rsidRPr="007C5B81">
        <w:rPr>
          <w:rFonts w:ascii="Times New Roman" w:hAnsi="Times New Roman"/>
        </w:rPr>
        <w:t>weapon</w:t>
      </w:r>
      <w:r w:rsidR="00374CDB" w:rsidRPr="007C5B81">
        <w:rPr>
          <w:rFonts w:ascii="Times New Roman" w:hAnsi="Times New Roman"/>
        </w:rPr>
        <w:t>,</w:t>
      </w:r>
      <w:proofErr w:type="gramEnd"/>
      <w:r w:rsidR="00374CDB" w:rsidRPr="007C5B81">
        <w:rPr>
          <w:rFonts w:ascii="Times New Roman" w:hAnsi="Times New Roman"/>
        </w:rPr>
        <w:t xml:space="preserve"> </w:t>
      </w:r>
      <w:r w:rsidR="00776134" w:rsidRPr="007C5B81">
        <w:rPr>
          <w:rFonts w:ascii="Times New Roman" w:hAnsi="Times New Roman"/>
        </w:rPr>
        <w:t xml:space="preserve">indeed </w:t>
      </w:r>
      <w:r w:rsidR="00520FD6" w:rsidRPr="007C5B81">
        <w:rPr>
          <w:rFonts w:ascii="Times New Roman" w:hAnsi="Times New Roman"/>
        </w:rPr>
        <w:t xml:space="preserve">they </w:t>
      </w:r>
      <w:r w:rsidR="00776134" w:rsidRPr="007C5B81">
        <w:rPr>
          <w:rFonts w:ascii="Times New Roman" w:hAnsi="Times New Roman"/>
        </w:rPr>
        <w:t xml:space="preserve">may reject any agreement for its use, but </w:t>
      </w:r>
      <w:r w:rsidR="00520FD6" w:rsidRPr="007C5B81">
        <w:rPr>
          <w:rFonts w:ascii="Times New Roman" w:hAnsi="Times New Roman"/>
        </w:rPr>
        <w:t xml:space="preserve">if they </w:t>
      </w:r>
      <w:r w:rsidR="00776134" w:rsidRPr="007C5B81">
        <w:rPr>
          <w:rFonts w:ascii="Times New Roman" w:hAnsi="Times New Roman"/>
        </w:rPr>
        <w:t>nevertheless continue with the venture</w:t>
      </w:r>
      <w:r w:rsidR="00520FD6" w:rsidRPr="007C5B81">
        <w:rPr>
          <w:rFonts w:ascii="Times New Roman" w:hAnsi="Times New Roman"/>
        </w:rPr>
        <w:t xml:space="preserve"> they will be liable for the consequences</w:t>
      </w:r>
      <w:r w:rsidR="00776134" w:rsidRPr="007C5B81">
        <w:rPr>
          <w:rFonts w:ascii="Times New Roman" w:hAnsi="Times New Roman"/>
        </w:rPr>
        <w:t>.</w:t>
      </w:r>
    </w:p>
    <w:p w14:paraId="1455B8C4" w14:textId="238BE27F" w:rsidR="000621B0" w:rsidRPr="007C5B81" w:rsidRDefault="00D04DEC" w:rsidP="007C5B81">
      <w:pPr>
        <w:pStyle w:val="FixListStyle"/>
        <w:spacing w:after="260" w:line="280" w:lineRule="exact"/>
        <w:ind w:right="0"/>
        <w:jc w:val="both"/>
        <w:rPr>
          <w:rFonts w:ascii="Times New Roman" w:hAnsi="Times New Roman"/>
        </w:rPr>
      </w:pPr>
      <w:r w:rsidRPr="007C5B81">
        <w:rPr>
          <w:rFonts w:ascii="Times New Roman" w:hAnsi="Times New Roman"/>
        </w:rPr>
        <w:tab/>
      </w:r>
      <w:r w:rsidR="000621B0" w:rsidRPr="007C5B81">
        <w:rPr>
          <w:rFonts w:ascii="Times New Roman" w:hAnsi="Times New Roman"/>
        </w:rPr>
        <w:t>Proof of an accused's foresight of the possibility of the commission of the incidental offence will usually be by inference from what is proved about the circumstances surrounding the crime and what the accused may be taken to have known or understood</w:t>
      </w:r>
      <w:r w:rsidR="00EE2530" w:rsidRPr="007C5B81">
        <w:rPr>
          <w:rFonts w:ascii="Times New Roman" w:hAnsi="Times New Roman"/>
        </w:rPr>
        <w:t>.</w:t>
      </w:r>
      <w:r w:rsidR="00BD26E8" w:rsidRPr="007C5B81">
        <w:rPr>
          <w:rFonts w:ascii="Times New Roman" w:hAnsi="Times New Roman"/>
        </w:rPr>
        <w:t xml:space="preserve"> </w:t>
      </w:r>
      <w:r w:rsidR="00EE2530" w:rsidRPr="007C5B81">
        <w:rPr>
          <w:rFonts w:ascii="Times New Roman" w:hAnsi="Times New Roman"/>
        </w:rPr>
        <w:t>T</w:t>
      </w:r>
      <w:r w:rsidR="00BD26E8" w:rsidRPr="007C5B81">
        <w:rPr>
          <w:rFonts w:ascii="Times New Roman" w:hAnsi="Times New Roman"/>
        </w:rPr>
        <w:t>he prosecution must prove that the individual concerned fore</w:t>
      </w:r>
      <w:r w:rsidR="00E7798E" w:rsidRPr="007C5B81">
        <w:rPr>
          <w:rFonts w:ascii="Times New Roman" w:hAnsi="Times New Roman"/>
        </w:rPr>
        <w:t>s</w:t>
      </w:r>
      <w:r w:rsidR="00BD26E8" w:rsidRPr="007C5B81">
        <w:rPr>
          <w:rFonts w:ascii="Times New Roman" w:hAnsi="Times New Roman"/>
        </w:rPr>
        <w:t>aw that the crim</w:t>
      </w:r>
      <w:r w:rsidR="00EE2530" w:rsidRPr="007C5B81">
        <w:rPr>
          <w:rFonts w:ascii="Times New Roman" w:hAnsi="Times New Roman"/>
        </w:rPr>
        <w:t>e</w:t>
      </w:r>
      <w:r w:rsidR="00BD26E8" w:rsidRPr="007C5B81">
        <w:rPr>
          <w:rFonts w:ascii="Times New Roman" w:hAnsi="Times New Roman"/>
        </w:rPr>
        <w:t xml:space="preserve"> might be comm</w:t>
      </w:r>
      <w:r w:rsidR="00E7798E" w:rsidRPr="007C5B81">
        <w:rPr>
          <w:rFonts w:ascii="Times New Roman" w:hAnsi="Times New Roman"/>
        </w:rPr>
        <w:t>itted and cannot rely upon the existence of the common purpose as establishing that state of mind</w:t>
      </w:r>
      <w:r w:rsidR="00EE2530" w:rsidRPr="007C5B81">
        <w:rPr>
          <w:rStyle w:val="FootnoteReference"/>
          <w:rFonts w:ascii="Times New Roman" w:hAnsi="Times New Roman"/>
          <w:sz w:val="24"/>
        </w:rPr>
        <w:footnoteReference w:id="16"/>
      </w:r>
      <w:r w:rsidR="00E7798E" w:rsidRPr="007C5B81">
        <w:rPr>
          <w:rFonts w:ascii="Times New Roman" w:hAnsi="Times New Roman"/>
        </w:rPr>
        <w:t>.</w:t>
      </w:r>
    </w:p>
    <w:p w14:paraId="4DEE4877" w14:textId="15153A68" w:rsidR="00E057D7" w:rsidRPr="007C5B81" w:rsidRDefault="00E057D7" w:rsidP="007C5B81">
      <w:pPr>
        <w:pStyle w:val="FixListStyle"/>
        <w:spacing w:after="260" w:line="280" w:lineRule="exact"/>
        <w:ind w:right="0"/>
        <w:jc w:val="both"/>
        <w:rPr>
          <w:rFonts w:ascii="Times New Roman" w:hAnsi="Times New Roman"/>
        </w:rPr>
      </w:pPr>
      <w:r w:rsidRPr="007C5B81">
        <w:rPr>
          <w:rFonts w:ascii="Times New Roman" w:hAnsi="Times New Roman"/>
        </w:rPr>
        <w:tab/>
      </w:r>
      <w:r w:rsidR="007110B4" w:rsidRPr="007C5B81">
        <w:rPr>
          <w:rFonts w:ascii="Times New Roman" w:hAnsi="Times New Roman"/>
        </w:rPr>
        <w:t xml:space="preserve">The principle of extended joint </w:t>
      </w:r>
      <w:r w:rsidR="00167AB8" w:rsidRPr="007C5B81">
        <w:rPr>
          <w:rFonts w:ascii="Times New Roman" w:hAnsi="Times New Roman"/>
        </w:rPr>
        <w:t xml:space="preserve">criminal enterprise has been criticised. </w:t>
      </w:r>
      <w:r w:rsidR="008E0EC6" w:rsidRPr="007C5B81">
        <w:rPr>
          <w:rFonts w:ascii="Times New Roman" w:hAnsi="Times New Roman"/>
        </w:rPr>
        <w:t>It has been overruled in the United Kingdom</w:t>
      </w:r>
      <w:r w:rsidR="00DC307F" w:rsidRPr="007C5B81">
        <w:rPr>
          <w:rStyle w:val="FootnoteReference"/>
          <w:rFonts w:ascii="Times New Roman" w:hAnsi="Times New Roman"/>
          <w:sz w:val="24"/>
        </w:rPr>
        <w:footnoteReference w:id="17"/>
      </w:r>
      <w:r w:rsidR="008E0EC6" w:rsidRPr="007C5B81">
        <w:rPr>
          <w:rFonts w:ascii="Times New Roman" w:hAnsi="Times New Roman"/>
        </w:rPr>
        <w:t xml:space="preserve">. </w:t>
      </w:r>
      <w:r w:rsidR="00167AB8" w:rsidRPr="007C5B81">
        <w:rPr>
          <w:rFonts w:ascii="Times New Roman" w:hAnsi="Times New Roman"/>
        </w:rPr>
        <w:t xml:space="preserve">But it remains </w:t>
      </w:r>
      <w:r w:rsidR="00855BA6" w:rsidRPr="007C5B81">
        <w:rPr>
          <w:rFonts w:ascii="Times New Roman" w:hAnsi="Times New Roman"/>
        </w:rPr>
        <w:t xml:space="preserve">the policy of the common law as applying in Australia, as </w:t>
      </w:r>
      <w:r w:rsidR="00855BA6" w:rsidRPr="007C5B81">
        <w:rPr>
          <w:rFonts w:ascii="Times New Roman" w:hAnsi="Times New Roman"/>
          <w:i/>
          <w:iCs/>
        </w:rPr>
        <w:t>Miller</w:t>
      </w:r>
      <w:r w:rsidR="00791CA2" w:rsidRPr="007C5B81">
        <w:rPr>
          <w:rFonts w:ascii="Times New Roman" w:hAnsi="Times New Roman"/>
          <w:i/>
          <w:iCs/>
        </w:rPr>
        <w:t xml:space="preserve"> v The Queen</w:t>
      </w:r>
      <w:r w:rsidR="00791CA2" w:rsidRPr="007C5B81">
        <w:rPr>
          <w:rStyle w:val="FootnoteReference"/>
          <w:rFonts w:ascii="Times New Roman" w:hAnsi="Times New Roman"/>
          <w:sz w:val="24"/>
        </w:rPr>
        <w:footnoteReference w:id="18"/>
      </w:r>
      <w:r w:rsidR="00855BA6" w:rsidRPr="007C5B81">
        <w:rPr>
          <w:rFonts w:ascii="Times New Roman" w:hAnsi="Times New Roman"/>
        </w:rPr>
        <w:t xml:space="preserve"> confirms. It is another question whether it is </w:t>
      </w:r>
      <w:r w:rsidR="00E034D0" w:rsidRPr="007C5B81">
        <w:rPr>
          <w:rFonts w:ascii="Times New Roman" w:hAnsi="Times New Roman"/>
        </w:rPr>
        <w:t xml:space="preserve">rationally </w:t>
      </w:r>
      <w:r w:rsidR="00855BA6" w:rsidRPr="007C5B81">
        <w:rPr>
          <w:rFonts w:ascii="Times New Roman" w:hAnsi="Times New Roman"/>
        </w:rPr>
        <w:t>capable of applying to a provision such as s 12A.</w:t>
      </w:r>
    </w:p>
    <w:p w14:paraId="10772DC0" w14:textId="4E8875D2" w:rsidR="00855BA6" w:rsidRPr="007C5B81" w:rsidRDefault="004A1EBC" w:rsidP="007C5B81">
      <w:pPr>
        <w:pStyle w:val="HeadingL1"/>
        <w:spacing w:after="260" w:line="280" w:lineRule="exact"/>
        <w:ind w:right="0"/>
        <w:jc w:val="both"/>
        <w:rPr>
          <w:rFonts w:ascii="Times New Roman" w:hAnsi="Times New Roman"/>
        </w:rPr>
      </w:pPr>
      <w:r w:rsidRPr="007C5B81">
        <w:rPr>
          <w:rFonts w:ascii="Times New Roman" w:hAnsi="Times New Roman"/>
        </w:rPr>
        <w:t xml:space="preserve">Extended joint </w:t>
      </w:r>
      <w:r w:rsidR="00855BA6" w:rsidRPr="007C5B81">
        <w:rPr>
          <w:rFonts w:ascii="Times New Roman" w:hAnsi="Times New Roman"/>
        </w:rPr>
        <w:t>criminal enterprise</w:t>
      </w:r>
      <w:r w:rsidRPr="007C5B81">
        <w:rPr>
          <w:rFonts w:ascii="Times New Roman" w:hAnsi="Times New Roman"/>
        </w:rPr>
        <w:t xml:space="preserve"> and s 12A</w:t>
      </w:r>
    </w:p>
    <w:p w14:paraId="40976DC4" w14:textId="1FB54261" w:rsidR="004A1EBC" w:rsidRPr="007C5B81" w:rsidRDefault="00855BA6" w:rsidP="007C5B81">
      <w:pPr>
        <w:pStyle w:val="FixListStyle"/>
        <w:spacing w:after="260" w:line="280" w:lineRule="exact"/>
        <w:ind w:right="0"/>
        <w:jc w:val="both"/>
        <w:rPr>
          <w:rFonts w:ascii="Times New Roman" w:hAnsi="Times New Roman"/>
        </w:rPr>
      </w:pPr>
      <w:r w:rsidRPr="007C5B81">
        <w:rPr>
          <w:rFonts w:ascii="Times New Roman" w:hAnsi="Times New Roman"/>
        </w:rPr>
        <w:tab/>
      </w:r>
      <w:r w:rsidR="004A1EBC" w:rsidRPr="007C5B81">
        <w:rPr>
          <w:rFonts w:ascii="Times New Roman" w:hAnsi="Times New Roman"/>
        </w:rPr>
        <w:t>The principle of joint criminal enterprise has been he</w:t>
      </w:r>
      <w:r w:rsidR="007F638A" w:rsidRPr="007C5B81">
        <w:rPr>
          <w:rFonts w:ascii="Times New Roman" w:hAnsi="Times New Roman"/>
        </w:rPr>
        <w:t>l</w:t>
      </w:r>
      <w:r w:rsidR="004A1EBC" w:rsidRPr="007C5B81">
        <w:rPr>
          <w:rFonts w:ascii="Times New Roman" w:hAnsi="Times New Roman"/>
        </w:rPr>
        <w:t>d to apply to common law felony murder</w:t>
      </w:r>
      <w:r w:rsidR="004A1EBC" w:rsidRPr="007C5B81">
        <w:rPr>
          <w:rStyle w:val="FootnoteReference"/>
          <w:rFonts w:ascii="Times New Roman" w:hAnsi="Times New Roman"/>
          <w:sz w:val="24"/>
        </w:rPr>
        <w:footnoteReference w:id="19"/>
      </w:r>
      <w:r w:rsidR="00183A96" w:rsidRPr="007C5B81">
        <w:rPr>
          <w:rFonts w:ascii="Times New Roman" w:hAnsi="Times New Roman"/>
        </w:rPr>
        <w:t xml:space="preserve"> and to constructive murder under s 12A</w:t>
      </w:r>
      <w:r w:rsidR="00183A96" w:rsidRPr="007C5B81">
        <w:rPr>
          <w:rStyle w:val="FootnoteReference"/>
          <w:rFonts w:ascii="Times New Roman" w:hAnsi="Times New Roman"/>
          <w:sz w:val="24"/>
        </w:rPr>
        <w:footnoteReference w:id="20"/>
      </w:r>
      <w:r w:rsidR="00E038C5" w:rsidRPr="007C5B81">
        <w:rPr>
          <w:rFonts w:ascii="Times New Roman" w:hAnsi="Times New Roman"/>
        </w:rPr>
        <w:t xml:space="preserve">. As to the latter, in </w:t>
      </w:r>
      <w:proofErr w:type="spellStart"/>
      <w:r w:rsidR="00E038C5" w:rsidRPr="007C5B81">
        <w:rPr>
          <w:rFonts w:ascii="Times New Roman" w:hAnsi="Times New Roman"/>
          <w:i/>
          <w:iCs/>
        </w:rPr>
        <w:t>Arulthilakan</w:t>
      </w:r>
      <w:proofErr w:type="spellEnd"/>
      <w:r w:rsidR="00D612AB" w:rsidRPr="007C5B81">
        <w:rPr>
          <w:rFonts w:ascii="Times New Roman" w:hAnsi="Times New Roman"/>
          <w:i/>
          <w:iCs/>
        </w:rPr>
        <w:t xml:space="preserve"> v </w:t>
      </w:r>
      <w:r w:rsidR="00527A62" w:rsidRPr="007C5B81">
        <w:rPr>
          <w:rFonts w:ascii="Times New Roman" w:hAnsi="Times New Roman"/>
          <w:i/>
          <w:iCs/>
        </w:rPr>
        <w:t>The Queen</w:t>
      </w:r>
      <w:r w:rsidR="00527A62" w:rsidRPr="007C5B81">
        <w:rPr>
          <w:rStyle w:val="FootnoteReference"/>
          <w:rFonts w:ascii="Times New Roman" w:hAnsi="Times New Roman"/>
          <w:sz w:val="24"/>
        </w:rPr>
        <w:footnoteReference w:id="21"/>
      </w:r>
      <w:r w:rsidR="00E038C5" w:rsidRPr="007C5B81">
        <w:rPr>
          <w:rFonts w:ascii="Times New Roman" w:hAnsi="Times New Roman"/>
        </w:rPr>
        <w:t xml:space="preserve"> the application of the principle does not appear to have been doubted. The co</w:t>
      </w:r>
      <w:r w:rsidR="00E038C5" w:rsidRPr="007C5B81">
        <w:rPr>
          <w:rFonts w:ascii="Times New Roman" w:hAnsi="Times New Roman"/>
        </w:rPr>
        <w:noBreakHyphen/>
        <w:t>accused</w:t>
      </w:r>
      <w:r w:rsidR="003E7CB6" w:rsidRPr="007C5B81">
        <w:rPr>
          <w:rFonts w:ascii="Times New Roman" w:hAnsi="Times New Roman"/>
        </w:rPr>
        <w:t xml:space="preserve"> of the two appellants stabbed and killed a person in the course of the robbery. Both appellants were aware that he was in possession of the knife which was used. </w:t>
      </w:r>
      <w:r w:rsidR="00E834F6" w:rsidRPr="007C5B81">
        <w:rPr>
          <w:rFonts w:ascii="Times New Roman" w:hAnsi="Times New Roman"/>
        </w:rPr>
        <w:t>It was</w:t>
      </w:r>
      <w:r w:rsidR="003E7CB6" w:rsidRPr="007C5B81">
        <w:rPr>
          <w:rFonts w:ascii="Times New Roman" w:hAnsi="Times New Roman"/>
        </w:rPr>
        <w:t xml:space="preserve"> observed</w:t>
      </w:r>
      <w:r w:rsidR="00B962D6" w:rsidRPr="007C5B81">
        <w:rPr>
          <w:rStyle w:val="FootnoteReference"/>
          <w:rFonts w:ascii="Times New Roman" w:hAnsi="Times New Roman"/>
          <w:sz w:val="24"/>
        </w:rPr>
        <w:footnoteReference w:id="22"/>
      </w:r>
      <w:r w:rsidR="00B962D6" w:rsidRPr="007C5B81">
        <w:rPr>
          <w:rFonts w:ascii="Times New Roman" w:hAnsi="Times New Roman"/>
        </w:rPr>
        <w:t xml:space="preserve"> that the plan was to "roll" the deceased. </w:t>
      </w:r>
      <w:r w:rsidR="00B962D6" w:rsidRPr="007C5B81">
        <w:rPr>
          <w:rFonts w:ascii="Times New Roman" w:hAnsi="Times New Roman"/>
        </w:rPr>
        <w:lastRenderedPageBreak/>
        <w:t xml:space="preserve">That involved robbery accompanied </w:t>
      </w:r>
      <w:r w:rsidR="00AA292E" w:rsidRPr="007C5B81">
        <w:rPr>
          <w:rFonts w:ascii="Times New Roman" w:hAnsi="Times New Roman"/>
        </w:rPr>
        <w:t xml:space="preserve">if </w:t>
      </w:r>
      <w:proofErr w:type="gramStart"/>
      <w:r w:rsidR="00AA292E" w:rsidRPr="007C5B81">
        <w:rPr>
          <w:rFonts w:ascii="Times New Roman" w:hAnsi="Times New Roman"/>
        </w:rPr>
        <w:t>necessary</w:t>
      </w:r>
      <w:proofErr w:type="gramEnd"/>
      <w:r w:rsidR="00AA292E" w:rsidRPr="007C5B81">
        <w:rPr>
          <w:rFonts w:ascii="Times New Roman" w:hAnsi="Times New Roman"/>
        </w:rPr>
        <w:t xml:space="preserve"> by force and</w:t>
      </w:r>
      <w:r w:rsidR="00C338FC" w:rsidRPr="007C5B81">
        <w:rPr>
          <w:rFonts w:ascii="Times New Roman" w:hAnsi="Times New Roman"/>
        </w:rPr>
        <w:t xml:space="preserve"> the use of force</w:t>
      </w:r>
      <w:r w:rsidR="00AA292E" w:rsidRPr="007C5B81">
        <w:rPr>
          <w:rFonts w:ascii="Times New Roman" w:hAnsi="Times New Roman"/>
        </w:rPr>
        <w:t xml:space="preserve"> was therefore within the scope of the agreement.</w:t>
      </w:r>
    </w:p>
    <w:p w14:paraId="62F81FDD" w14:textId="42D7950D" w:rsidR="00AA292E" w:rsidRPr="007C5B81" w:rsidRDefault="00AA292E" w:rsidP="007C5B81">
      <w:pPr>
        <w:pStyle w:val="FixListStyle"/>
        <w:spacing w:after="260" w:line="280" w:lineRule="exact"/>
        <w:ind w:right="0"/>
        <w:jc w:val="both"/>
        <w:rPr>
          <w:rFonts w:ascii="Times New Roman" w:hAnsi="Times New Roman"/>
        </w:rPr>
      </w:pPr>
      <w:r w:rsidRPr="007C5B81">
        <w:rPr>
          <w:rFonts w:ascii="Times New Roman" w:hAnsi="Times New Roman"/>
        </w:rPr>
        <w:tab/>
        <w:t xml:space="preserve">No question arises on these appeals concerning the application of that principle to s 12A. It was not the prosecution case that the murder </w:t>
      </w:r>
      <w:r w:rsidR="003966A3" w:rsidRPr="007C5B81">
        <w:rPr>
          <w:rFonts w:ascii="Times New Roman" w:hAnsi="Times New Roman"/>
        </w:rPr>
        <w:t>of Mr </w:t>
      </w:r>
      <w:proofErr w:type="spellStart"/>
      <w:r w:rsidR="00911FCC" w:rsidRPr="007C5B81">
        <w:rPr>
          <w:rFonts w:ascii="Times New Roman" w:hAnsi="Times New Roman"/>
        </w:rPr>
        <w:t>Gjabri</w:t>
      </w:r>
      <w:proofErr w:type="spellEnd"/>
      <w:r w:rsidR="00911FCC" w:rsidRPr="007C5B81">
        <w:rPr>
          <w:rFonts w:ascii="Times New Roman" w:hAnsi="Times New Roman"/>
        </w:rPr>
        <w:t xml:space="preserve"> </w:t>
      </w:r>
      <w:r w:rsidR="003966A3" w:rsidRPr="007C5B81">
        <w:rPr>
          <w:rFonts w:ascii="Times New Roman" w:hAnsi="Times New Roman"/>
        </w:rPr>
        <w:t>was within the scope of the joint criminal enterprise</w:t>
      </w:r>
      <w:r w:rsidR="008C0B87" w:rsidRPr="007C5B81">
        <w:rPr>
          <w:rFonts w:ascii="Times New Roman" w:hAnsi="Times New Roman"/>
        </w:rPr>
        <w:t>. It was accepted that the appellants could not be taken to have agreed to what occurred. Rather</w:t>
      </w:r>
      <w:r w:rsidR="00503E39" w:rsidRPr="007C5B81">
        <w:rPr>
          <w:rFonts w:ascii="Times New Roman" w:hAnsi="Times New Roman"/>
        </w:rPr>
        <w:t>,</w:t>
      </w:r>
      <w:r w:rsidR="008C0B87" w:rsidRPr="007C5B81">
        <w:rPr>
          <w:rFonts w:ascii="Times New Roman" w:hAnsi="Times New Roman"/>
        </w:rPr>
        <w:t xml:space="preserve"> reliance was placed upon what they must have foreseen as a possibility in the carrying out of the enterprise.</w:t>
      </w:r>
    </w:p>
    <w:p w14:paraId="017CECB1" w14:textId="5C08A3BC" w:rsidR="008B1207" w:rsidRPr="007C5B81" w:rsidRDefault="008B1207" w:rsidP="007C5B81">
      <w:pPr>
        <w:pStyle w:val="FixListStyle"/>
        <w:spacing w:after="260" w:line="280" w:lineRule="exact"/>
        <w:ind w:right="0"/>
        <w:jc w:val="both"/>
        <w:rPr>
          <w:rFonts w:ascii="Times New Roman" w:hAnsi="Times New Roman"/>
        </w:rPr>
      </w:pPr>
      <w:r w:rsidRPr="007C5B81">
        <w:rPr>
          <w:rFonts w:ascii="Times New Roman" w:hAnsi="Times New Roman"/>
        </w:rPr>
        <w:tab/>
        <w:t xml:space="preserve">In considering the application of the principle of extended joint criminal enterprise it is important to bear in mind the basis for it and the liability it creates. In </w:t>
      </w:r>
      <w:r w:rsidRPr="007C5B81">
        <w:rPr>
          <w:rFonts w:ascii="Times New Roman" w:hAnsi="Times New Roman"/>
          <w:i/>
          <w:iCs/>
        </w:rPr>
        <w:t>McAuliffe</w:t>
      </w:r>
      <w:r w:rsidRPr="007C5B81">
        <w:rPr>
          <w:rStyle w:val="FootnoteReference"/>
          <w:rFonts w:ascii="Times New Roman" w:hAnsi="Times New Roman"/>
          <w:sz w:val="24"/>
        </w:rPr>
        <w:footnoteReference w:id="23"/>
      </w:r>
      <w:r w:rsidR="00E11A69" w:rsidRPr="007C5B81">
        <w:rPr>
          <w:rFonts w:ascii="Times New Roman" w:hAnsi="Times New Roman"/>
        </w:rPr>
        <w:t xml:space="preserve"> the Court referred with approval to what Sir Robin Co</w:t>
      </w:r>
      <w:r w:rsidR="0084125A" w:rsidRPr="007C5B81">
        <w:rPr>
          <w:rFonts w:ascii="Times New Roman" w:hAnsi="Times New Roman"/>
        </w:rPr>
        <w:t>o</w:t>
      </w:r>
      <w:r w:rsidR="00A01551" w:rsidRPr="007C5B81">
        <w:rPr>
          <w:rFonts w:ascii="Times New Roman" w:hAnsi="Times New Roman"/>
        </w:rPr>
        <w:t>k</w:t>
      </w:r>
      <w:r w:rsidR="00AC2461" w:rsidRPr="007C5B81">
        <w:rPr>
          <w:rFonts w:ascii="Times New Roman" w:hAnsi="Times New Roman"/>
        </w:rPr>
        <w:t>e</w:t>
      </w:r>
      <w:r w:rsidR="00A01551" w:rsidRPr="007C5B81">
        <w:rPr>
          <w:rFonts w:ascii="Times New Roman" w:hAnsi="Times New Roman"/>
        </w:rPr>
        <w:t xml:space="preserve"> had said in </w:t>
      </w:r>
      <w:r w:rsidR="00A01551" w:rsidRPr="007C5B81">
        <w:rPr>
          <w:rFonts w:ascii="Times New Roman" w:hAnsi="Times New Roman"/>
          <w:i/>
          <w:iCs/>
        </w:rPr>
        <w:t>Chan Wing</w:t>
      </w:r>
      <w:r w:rsidR="00A01551" w:rsidRPr="007C5B81">
        <w:rPr>
          <w:rFonts w:ascii="Times New Roman" w:hAnsi="Times New Roman"/>
          <w:i/>
          <w:iCs/>
        </w:rPr>
        <w:noBreakHyphen/>
      </w:r>
      <w:r w:rsidR="00FE0814" w:rsidRPr="007C5B81">
        <w:rPr>
          <w:rFonts w:ascii="Times New Roman" w:hAnsi="Times New Roman"/>
          <w:i/>
          <w:iCs/>
        </w:rPr>
        <w:t>Siu</w:t>
      </w:r>
      <w:r w:rsidR="00A01551" w:rsidRPr="007C5B81">
        <w:rPr>
          <w:rFonts w:ascii="Times New Roman" w:hAnsi="Times New Roman"/>
          <w:i/>
          <w:iCs/>
        </w:rPr>
        <w:t xml:space="preserve"> v </w:t>
      </w:r>
      <w:r w:rsidR="00637CB1" w:rsidRPr="007C5B81">
        <w:rPr>
          <w:rFonts w:ascii="Times New Roman" w:hAnsi="Times New Roman"/>
          <w:i/>
          <w:iCs/>
        </w:rPr>
        <w:t xml:space="preserve">The </w:t>
      </w:r>
      <w:r w:rsidR="00A01551" w:rsidRPr="007C5B81">
        <w:rPr>
          <w:rFonts w:ascii="Times New Roman" w:hAnsi="Times New Roman"/>
          <w:i/>
          <w:iCs/>
        </w:rPr>
        <w:t>Queen</w:t>
      </w:r>
      <w:r w:rsidR="00A01551" w:rsidRPr="007C5B81">
        <w:rPr>
          <w:rStyle w:val="FootnoteReference"/>
          <w:rFonts w:ascii="Times New Roman" w:hAnsi="Times New Roman"/>
          <w:sz w:val="24"/>
        </w:rPr>
        <w:footnoteReference w:id="24"/>
      </w:r>
      <w:r w:rsidR="00DE5CC0" w:rsidRPr="007C5B81">
        <w:rPr>
          <w:rFonts w:ascii="Times New Roman" w:hAnsi="Times New Roman"/>
        </w:rPr>
        <w:t xml:space="preserve">. He referred to the principle whereby a secondary party acting in concert with a primary offender is criminally liable for acts done by the primary offender of a type which the secondary party foresees but does not necessarily </w:t>
      </w:r>
      <w:r w:rsidR="007B3FA4" w:rsidRPr="007C5B81">
        <w:rPr>
          <w:rFonts w:ascii="Times New Roman" w:hAnsi="Times New Roman"/>
        </w:rPr>
        <w:t>intend. He explained that the principle turns on contemplation. It meets the case of a cr</w:t>
      </w:r>
      <w:r w:rsidR="00E33BEC" w:rsidRPr="007C5B81">
        <w:rPr>
          <w:rFonts w:ascii="Times New Roman" w:hAnsi="Times New Roman"/>
        </w:rPr>
        <w:t>i</w:t>
      </w:r>
      <w:r w:rsidR="007B3FA4" w:rsidRPr="007C5B81">
        <w:rPr>
          <w:rFonts w:ascii="Times New Roman" w:hAnsi="Times New Roman"/>
        </w:rPr>
        <w:t xml:space="preserve">me foreseen as a possible incident of the common unlawful enterprise. Importantly, he pointed out that the criminal </w:t>
      </w:r>
      <w:r w:rsidR="006A3FCD" w:rsidRPr="007C5B81">
        <w:rPr>
          <w:rFonts w:ascii="Times New Roman" w:hAnsi="Times New Roman"/>
        </w:rPr>
        <w:t>culpability lies in participating in</w:t>
      </w:r>
      <w:r w:rsidR="00E33BEC" w:rsidRPr="007C5B81">
        <w:rPr>
          <w:rFonts w:ascii="Times New Roman" w:hAnsi="Times New Roman"/>
        </w:rPr>
        <w:t xml:space="preserve"> </w:t>
      </w:r>
      <w:r w:rsidR="006A3FCD" w:rsidRPr="007C5B81">
        <w:rPr>
          <w:rFonts w:ascii="Times New Roman" w:hAnsi="Times New Roman"/>
        </w:rPr>
        <w:t>th</w:t>
      </w:r>
      <w:r w:rsidR="00E33BEC" w:rsidRPr="007C5B81">
        <w:rPr>
          <w:rFonts w:ascii="Times New Roman" w:hAnsi="Times New Roman"/>
        </w:rPr>
        <w:t>e</w:t>
      </w:r>
      <w:r w:rsidR="006A3FCD" w:rsidRPr="007C5B81">
        <w:rPr>
          <w:rFonts w:ascii="Times New Roman" w:hAnsi="Times New Roman"/>
        </w:rPr>
        <w:t xml:space="preserve"> venture with that foresight.</w:t>
      </w:r>
    </w:p>
    <w:p w14:paraId="5407960E" w14:textId="07C03CB6" w:rsidR="006A3FCD" w:rsidRPr="007C5B81" w:rsidRDefault="006A3FCD" w:rsidP="007C5B81">
      <w:pPr>
        <w:pStyle w:val="FixListStyle"/>
        <w:spacing w:after="260" w:line="280" w:lineRule="exact"/>
        <w:ind w:right="0"/>
        <w:jc w:val="both"/>
        <w:rPr>
          <w:rFonts w:ascii="Times New Roman" w:hAnsi="Times New Roman"/>
        </w:rPr>
      </w:pPr>
      <w:r w:rsidRPr="007C5B81">
        <w:rPr>
          <w:rFonts w:ascii="Times New Roman" w:hAnsi="Times New Roman"/>
        </w:rPr>
        <w:tab/>
        <w:t xml:space="preserve">The principle of extended joint criminal enterprise is concerned in the first place with </w:t>
      </w:r>
      <w:r w:rsidR="0084125A" w:rsidRPr="007C5B81">
        <w:rPr>
          <w:rFonts w:ascii="Times New Roman" w:hAnsi="Times New Roman"/>
        </w:rPr>
        <w:t>the thinking of the second</w:t>
      </w:r>
      <w:r w:rsidR="004D4114" w:rsidRPr="007C5B81">
        <w:rPr>
          <w:rFonts w:ascii="Times New Roman" w:hAnsi="Times New Roman"/>
        </w:rPr>
        <w:t>ary</w:t>
      </w:r>
      <w:r w:rsidR="0084125A" w:rsidRPr="007C5B81">
        <w:rPr>
          <w:rFonts w:ascii="Times New Roman" w:hAnsi="Times New Roman"/>
        </w:rPr>
        <w:t xml:space="preserve"> offender to </w:t>
      </w:r>
      <w:r w:rsidR="00BF3377" w:rsidRPr="007C5B81">
        <w:rPr>
          <w:rFonts w:ascii="Times New Roman" w:hAnsi="Times New Roman"/>
        </w:rPr>
        <w:t xml:space="preserve">whom </w:t>
      </w:r>
      <w:r w:rsidR="0084125A" w:rsidRPr="007C5B81">
        <w:rPr>
          <w:rFonts w:ascii="Times New Roman" w:hAnsi="Times New Roman"/>
        </w:rPr>
        <w:t>it is applied</w:t>
      </w:r>
      <w:r w:rsidR="007D1DBC" w:rsidRPr="007C5B81">
        <w:rPr>
          <w:rFonts w:ascii="Times New Roman" w:hAnsi="Times New Roman"/>
        </w:rPr>
        <w:t xml:space="preserve"> and then </w:t>
      </w:r>
      <w:r w:rsidR="007F19DB" w:rsidRPr="007C5B81">
        <w:rPr>
          <w:rFonts w:ascii="Times New Roman" w:hAnsi="Times New Roman"/>
        </w:rPr>
        <w:t>with</w:t>
      </w:r>
      <w:r w:rsidR="007D1DBC" w:rsidRPr="007C5B81">
        <w:rPr>
          <w:rFonts w:ascii="Times New Roman" w:hAnsi="Times New Roman"/>
        </w:rPr>
        <w:t xml:space="preserve"> that person's continued participation with the requisite knowledge or foresight that a crime such as murder might be committed. In </w:t>
      </w:r>
      <w:r w:rsidR="007D1DBC" w:rsidRPr="007C5B81">
        <w:rPr>
          <w:rFonts w:ascii="Times New Roman" w:hAnsi="Times New Roman"/>
          <w:i/>
          <w:iCs/>
        </w:rPr>
        <w:t>McAuliffe</w:t>
      </w:r>
      <w:r w:rsidR="007D1DBC" w:rsidRPr="007C5B81">
        <w:rPr>
          <w:rStyle w:val="FootnoteReference"/>
          <w:rFonts w:ascii="Times New Roman" w:hAnsi="Times New Roman"/>
          <w:sz w:val="24"/>
        </w:rPr>
        <w:footnoteReference w:id="25"/>
      </w:r>
      <w:r w:rsidR="007D1DBC" w:rsidRPr="007C5B81">
        <w:rPr>
          <w:rFonts w:ascii="Times New Roman" w:hAnsi="Times New Roman"/>
        </w:rPr>
        <w:t xml:space="preserve">, in the example referred to above, the Court spoke of the party who knows that another party to the joint </w:t>
      </w:r>
      <w:r w:rsidR="00237F57" w:rsidRPr="007C5B81">
        <w:rPr>
          <w:rFonts w:ascii="Times New Roman" w:hAnsi="Times New Roman"/>
        </w:rPr>
        <w:t>criminal</w:t>
      </w:r>
      <w:r w:rsidR="007D1DBC" w:rsidRPr="007C5B81">
        <w:rPr>
          <w:rFonts w:ascii="Times New Roman" w:hAnsi="Times New Roman"/>
        </w:rPr>
        <w:t xml:space="preserve"> </w:t>
      </w:r>
      <w:r w:rsidR="00FD5986" w:rsidRPr="007C5B81">
        <w:rPr>
          <w:rFonts w:ascii="Times New Roman" w:hAnsi="Times New Roman"/>
        </w:rPr>
        <w:t xml:space="preserve">enterprise is carrying a weapon which that other party might use to kill or inflict grievous bodily harm in carrying out the enterprise. </w:t>
      </w:r>
      <w:r w:rsidR="00DC0492" w:rsidRPr="007C5B81">
        <w:rPr>
          <w:rFonts w:ascii="Times New Roman" w:hAnsi="Times New Roman"/>
        </w:rPr>
        <w:t>The principle applies and that person is also guilty of murder where they continue to participate in the venture with that knowledge.</w:t>
      </w:r>
    </w:p>
    <w:p w14:paraId="421696F0" w14:textId="74E5D1CE" w:rsidR="00DC0492" w:rsidRPr="007C5B81" w:rsidRDefault="00DC0492" w:rsidP="007C5B81">
      <w:pPr>
        <w:pStyle w:val="FixListStyle"/>
        <w:spacing w:after="260" w:line="280" w:lineRule="exact"/>
        <w:ind w:right="0"/>
        <w:jc w:val="both"/>
        <w:rPr>
          <w:rFonts w:ascii="Times New Roman" w:hAnsi="Times New Roman"/>
        </w:rPr>
      </w:pPr>
      <w:r w:rsidRPr="007C5B81">
        <w:rPr>
          <w:rFonts w:ascii="Times New Roman" w:hAnsi="Times New Roman"/>
        </w:rPr>
        <w:tab/>
        <w:t xml:space="preserve">In </w:t>
      </w:r>
      <w:r w:rsidR="00F912F3" w:rsidRPr="007C5B81">
        <w:rPr>
          <w:rFonts w:ascii="Times New Roman" w:hAnsi="Times New Roman"/>
          <w:i/>
          <w:iCs/>
        </w:rPr>
        <w:t>Chan</w:t>
      </w:r>
      <w:r w:rsidR="00F912F3" w:rsidRPr="007C5B81">
        <w:rPr>
          <w:rStyle w:val="FootnoteReference"/>
          <w:rFonts w:ascii="Times New Roman" w:hAnsi="Times New Roman"/>
          <w:sz w:val="24"/>
        </w:rPr>
        <w:footnoteReference w:id="26"/>
      </w:r>
      <w:r w:rsidR="00F912F3" w:rsidRPr="007C5B81">
        <w:rPr>
          <w:rFonts w:ascii="Times New Roman" w:hAnsi="Times New Roman"/>
        </w:rPr>
        <w:t>, S</w:t>
      </w:r>
      <w:r w:rsidR="00343DE2" w:rsidRPr="007C5B81">
        <w:rPr>
          <w:rFonts w:ascii="Times New Roman" w:hAnsi="Times New Roman"/>
        </w:rPr>
        <w:t>i</w:t>
      </w:r>
      <w:r w:rsidR="00F912F3" w:rsidRPr="007C5B81">
        <w:rPr>
          <w:rFonts w:ascii="Times New Roman" w:hAnsi="Times New Roman"/>
        </w:rPr>
        <w:t>r Robin Cook</w:t>
      </w:r>
      <w:r w:rsidR="00F31AC5" w:rsidRPr="007C5B81">
        <w:rPr>
          <w:rFonts w:ascii="Times New Roman" w:hAnsi="Times New Roman"/>
        </w:rPr>
        <w:t>e</w:t>
      </w:r>
      <w:r w:rsidR="00F912F3" w:rsidRPr="007C5B81">
        <w:rPr>
          <w:rFonts w:ascii="Times New Roman" w:hAnsi="Times New Roman"/>
        </w:rPr>
        <w:t xml:space="preserve"> suggested as a dire</w:t>
      </w:r>
      <w:r w:rsidR="00996857" w:rsidRPr="007C5B81">
        <w:rPr>
          <w:rFonts w:ascii="Times New Roman" w:hAnsi="Times New Roman"/>
        </w:rPr>
        <w:t>c</w:t>
      </w:r>
      <w:r w:rsidR="00F912F3" w:rsidRPr="007C5B81">
        <w:rPr>
          <w:rFonts w:ascii="Times New Roman" w:hAnsi="Times New Roman"/>
        </w:rPr>
        <w:t>tion to the jury the question whether the accused contemplated that in carrying out a common unlawful purpose one of his partners might use a knif</w:t>
      </w:r>
      <w:r w:rsidR="00996857" w:rsidRPr="007C5B81">
        <w:rPr>
          <w:rFonts w:ascii="Times New Roman" w:hAnsi="Times New Roman"/>
        </w:rPr>
        <w:t>e</w:t>
      </w:r>
      <w:r w:rsidR="00F912F3" w:rsidRPr="007C5B81">
        <w:rPr>
          <w:rFonts w:ascii="Times New Roman" w:hAnsi="Times New Roman"/>
        </w:rPr>
        <w:t xml:space="preserve"> or a loaded gun with the intention of causing </w:t>
      </w:r>
      <w:r w:rsidR="00996857" w:rsidRPr="007C5B81">
        <w:rPr>
          <w:rFonts w:ascii="Times New Roman" w:hAnsi="Times New Roman"/>
        </w:rPr>
        <w:t>grievous</w:t>
      </w:r>
      <w:r w:rsidR="00F912F3" w:rsidRPr="007C5B81">
        <w:rPr>
          <w:rFonts w:ascii="Times New Roman" w:hAnsi="Times New Roman"/>
        </w:rPr>
        <w:t xml:space="preserve"> bodily harm</w:t>
      </w:r>
      <w:r w:rsidR="00343DE2" w:rsidRPr="007C5B81">
        <w:rPr>
          <w:rFonts w:ascii="Times New Roman" w:hAnsi="Times New Roman"/>
        </w:rPr>
        <w:t>.</w:t>
      </w:r>
      <w:r w:rsidR="00F912F3" w:rsidRPr="007C5B81">
        <w:rPr>
          <w:rFonts w:ascii="Times New Roman" w:hAnsi="Times New Roman"/>
        </w:rPr>
        <w:t xml:space="preserve"> A</w:t>
      </w:r>
      <w:r w:rsidR="00996857" w:rsidRPr="007C5B81">
        <w:rPr>
          <w:rFonts w:ascii="Times New Roman" w:hAnsi="Times New Roman"/>
        </w:rPr>
        <w:t>n</w:t>
      </w:r>
      <w:r w:rsidR="00F912F3" w:rsidRPr="007C5B81">
        <w:rPr>
          <w:rFonts w:ascii="Times New Roman" w:hAnsi="Times New Roman"/>
        </w:rPr>
        <w:t xml:space="preserve">d in </w:t>
      </w:r>
      <w:r w:rsidR="00F912F3" w:rsidRPr="007C5B81">
        <w:rPr>
          <w:rFonts w:ascii="Times New Roman" w:hAnsi="Times New Roman"/>
          <w:i/>
          <w:iCs/>
        </w:rPr>
        <w:t>R v Hyde</w:t>
      </w:r>
      <w:r w:rsidR="00F912F3" w:rsidRPr="007C5B81">
        <w:rPr>
          <w:rStyle w:val="FootnoteReference"/>
          <w:rFonts w:ascii="Times New Roman" w:hAnsi="Times New Roman"/>
          <w:sz w:val="24"/>
        </w:rPr>
        <w:footnoteReference w:id="27"/>
      </w:r>
      <w:r w:rsidR="00522D16" w:rsidRPr="007C5B81">
        <w:rPr>
          <w:rFonts w:ascii="Times New Roman" w:hAnsi="Times New Roman"/>
        </w:rPr>
        <w:t xml:space="preserve">, to which reference </w:t>
      </w:r>
      <w:r w:rsidR="007C3261" w:rsidRPr="007C5B81">
        <w:rPr>
          <w:rFonts w:ascii="Times New Roman" w:hAnsi="Times New Roman"/>
        </w:rPr>
        <w:t xml:space="preserve">was also made in </w:t>
      </w:r>
      <w:r w:rsidR="007C3261" w:rsidRPr="007C5B81">
        <w:rPr>
          <w:rFonts w:ascii="Times New Roman" w:hAnsi="Times New Roman"/>
          <w:i/>
          <w:iCs/>
        </w:rPr>
        <w:lastRenderedPageBreak/>
        <w:t>McAuliffe</w:t>
      </w:r>
      <w:r w:rsidR="007C3261" w:rsidRPr="007C5B81">
        <w:rPr>
          <w:rStyle w:val="FootnoteReference"/>
          <w:rFonts w:ascii="Times New Roman" w:hAnsi="Times New Roman"/>
          <w:sz w:val="24"/>
        </w:rPr>
        <w:footnoteReference w:id="28"/>
      </w:r>
      <w:r w:rsidR="007C3261" w:rsidRPr="007C5B81">
        <w:rPr>
          <w:rFonts w:ascii="Times New Roman" w:hAnsi="Times New Roman"/>
        </w:rPr>
        <w:t>, Lord Lane CJ p</w:t>
      </w:r>
      <w:r w:rsidR="009A346F" w:rsidRPr="007C5B81">
        <w:rPr>
          <w:rFonts w:ascii="Times New Roman" w:hAnsi="Times New Roman"/>
        </w:rPr>
        <w:t>o</w:t>
      </w:r>
      <w:r w:rsidR="007C3261" w:rsidRPr="007C5B81">
        <w:rPr>
          <w:rFonts w:ascii="Times New Roman" w:hAnsi="Times New Roman"/>
        </w:rPr>
        <w:t xml:space="preserve">inted to the mental element </w:t>
      </w:r>
      <w:r w:rsidR="009A346F" w:rsidRPr="007C5B81">
        <w:rPr>
          <w:rFonts w:ascii="Times New Roman" w:hAnsi="Times New Roman"/>
        </w:rPr>
        <w:t>necessary to the principl</w:t>
      </w:r>
      <w:r w:rsidR="00A40C8D" w:rsidRPr="007C5B81">
        <w:rPr>
          <w:rFonts w:ascii="Times New Roman" w:hAnsi="Times New Roman"/>
        </w:rPr>
        <w:t xml:space="preserve">e. He explained what had been enunciated in </w:t>
      </w:r>
      <w:r w:rsidR="00A40C8D" w:rsidRPr="007C5B81">
        <w:rPr>
          <w:rFonts w:ascii="Times New Roman" w:hAnsi="Times New Roman"/>
          <w:i/>
          <w:iCs/>
        </w:rPr>
        <w:t xml:space="preserve">Chan </w:t>
      </w:r>
      <w:r w:rsidR="00A40C8D" w:rsidRPr="007C5B81">
        <w:rPr>
          <w:rFonts w:ascii="Times New Roman" w:hAnsi="Times New Roman"/>
        </w:rPr>
        <w:t>as being if B r</w:t>
      </w:r>
      <w:r w:rsidR="003D25DD" w:rsidRPr="007C5B81">
        <w:rPr>
          <w:rFonts w:ascii="Times New Roman" w:hAnsi="Times New Roman"/>
        </w:rPr>
        <w:t>e</w:t>
      </w:r>
      <w:r w:rsidR="00A40C8D" w:rsidRPr="007C5B81">
        <w:rPr>
          <w:rFonts w:ascii="Times New Roman" w:hAnsi="Times New Roman"/>
        </w:rPr>
        <w:t>ali</w:t>
      </w:r>
      <w:r w:rsidR="003D25DD" w:rsidRPr="007C5B81">
        <w:rPr>
          <w:rFonts w:ascii="Times New Roman" w:hAnsi="Times New Roman"/>
        </w:rPr>
        <w:t>s</w:t>
      </w:r>
      <w:r w:rsidR="00A40C8D" w:rsidRPr="007C5B81">
        <w:rPr>
          <w:rFonts w:ascii="Times New Roman" w:hAnsi="Times New Roman"/>
        </w:rPr>
        <w:t>es</w:t>
      </w:r>
      <w:r w:rsidR="00EC4639" w:rsidRPr="007C5B81">
        <w:rPr>
          <w:rFonts w:ascii="Times New Roman" w:hAnsi="Times New Roman"/>
        </w:rPr>
        <w:t xml:space="preserve"> (</w:t>
      </w:r>
      <w:r w:rsidR="00A40C8D" w:rsidRPr="007C5B81">
        <w:rPr>
          <w:rFonts w:ascii="Times New Roman" w:hAnsi="Times New Roman"/>
        </w:rPr>
        <w:t>without agreeing</w:t>
      </w:r>
      <w:r w:rsidR="00EC4639" w:rsidRPr="007C5B81">
        <w:rPr>
          <w:rFonts w:ascii="Times New Roman" w:hAnsi="Times New Roman"/>
        </w:rPr>
        <w:t>)</w:t>
      </w:r>
      <w:r w:rsidR="00A40C8D" w:rsidRPr="007C5B81">
        <w:rPr>
          <w:rFonts w:ascii="Times New Roman" w:hAnsi="Times New Roman"/>
        </w:rPr>
        <w:t xml:space="preserve"> that A may kill or intentionally inflict</w:t>
      </w:r>
      <w:r w:rsidR="003D25DD" w:rsidRPr="007C5B81">
        <w:rPr>
          <w:rFonts w:ascii="Times New Roman" w:hAnsi="Times New Roman"/>
        </w:rPr>
        <w:t xml:space="preserve"> serious injury</w:t>
      </w:r>
      <w:r w:rsidR="004F1E06" w:rsidRPr="007C5B81">
        <w:rPr>
          <w:rFonts w:ascii="Times New Roman" w:hAnsi="Times New Roman"/>
        </w:rPr>
        <w:t>,</w:t>
      </w:r>
      <w:r w:rsidR="003D25DD" w:rsidRPr="007C5B81">
        <w:rPr>
          <w:rFonts w:ascii="Times New Roman" w:hAnsi="Times New Roman"/>
        </w:rPr>
        <w:t xml:space="preserve"> but nevertheless continues to participate </w:t>
      </w:r>
      <w:r w:rsidR="00E45D19" w:rsidRPr="007C5B81">
        <w:rPr>
          <w:rFonts w:ascii="Times New Roman" w:hAnsi="Times New Roman"/>
        </w:rPr>
        <w:t xml:space="preserve">with </w:t>
      </w:r>
      <w:r w:rsidR="003D25DD" w:rsidRPr="007C5B81">
        <w:rPr>
          <w:rFonts w:ascii="Times New Roman" w:hAnsi="Times New Roman"/>
        </w:rPr>
        <w:t>A, that will amount to a sufficient mental element for B to be guilty of murder if A</w:t>
      </w:r>
      <w:r w:rsidR="00434797" w:rsidRPr="007C5B81">
        <w:rPr>
          <w:rFonts w:ascii="Times New Roman" w:hAnsi="Times New Roman"/>
        </w:rPr>
        <w:t>,</w:t>
      </w:r>
      <w:r w:rsidR="003D25DD" w:rsidRPr="007C5B81">
        <w:rPr>
          <w:rFonts w:ascii="Times New Roman" w:hAnsi="Times New Roman"/>
        </w:rPr>
        <w:t xml:space="preserve"> </w:t>
      </w:r>
      <w:r w:rsidR="001A743B" w:rsidRPr="007C5B81">
        <w:rPr>
          <w:rFonts w:ascii="Times New Roman" w:hAnsi="Times New Roman"/>
        </w:rPr>
        <w:t>with the requisite intent, kills in the course of the venture</w:t>
      </w:r>
      <w:r w:rsidR="00554D19" w:rsidRPr="007C5B81">
        <w:rPr>
          <w:rFonts w:ascii="Times New Roman" w:hAnsi="Times New Roman"/>
        </w:rPr>
        <w:t>.</w:t>
      </w:r>
      <w:r w:rsidR="001A743B" w:rsidRPr="007C5B81">
        <w:rPr>
          <w:rFonts w:ascii="Times New Roman" w:hAnsi="Times New Roman"/>
        </w:rPr>
        <w:t xml:space="preserve"> </w:t>
      </w:r>
      <w:r w:rsidR="002B22A2" w:rsidRPr="007C5B81">
        <w:rPr>
          <w:rFonts w:ascii="Times New Roman" w:hAnsi="Times New Roman"/>
        </w:rPr>
        <w:t xml:space="preserve">B will be liable </w:t>
      </w:r>
      <w:r w:rsidR="00E45D19" w:rsidRPr="007C5B81">
        <w:rPr>
          <w:rFonts w:ascii="Times New Roman" w:hAnsi="Times New Roman"/>
        </w:rPr>
        <w:t>because he has given encouragement and assistance to A</w:t>
      </w:r>
      <w:r w:rsidR="00356D50" w:rsidRPr="007C5B81">
        <w:rPr>
          <w:rFonts w:ascii="Times New Roman" w:hAnsi="Times New Roman"/>
        </w:rPr>
        <w:t xml:space="preserve"> in carrying out an enterprise</w:t>
      </w:r>
      <w:r w:rsidR="00E45D19" w:rsidRPr="007C5B81">
        <w:rPr>
          <w:rFonts w:ascii="Times New Roman" w:hAnsi="Times New Roman"/>
        </w:rPr>
        <w:t xml:space="preserve"> which B realises may involve murder.</w:t>
      </w:r>
    </w:p>
    <w:p w14:paraId="338F5E55" w14:textId="2FAEB4D0" w:rsidR="004B7C9C" w:rsidRPr="007C5B81" w:rsidRDefault="00E45D19" w:rsidP="007C5B81">
      <w:pPr>
        <w:pStyle w:val="FixListStyle"/>
        <w:spacing w:after="260" w:line="280" w:lineRule="exact"/>
        <w:ind w:right="0"/>
        <w:jc w:val="both"/>
        <w:rPr>
          <w:rFonts w:ascii="Times New Roman" w:hAnsi="Times New Roman"/>
        </w:rPr>
      </w:pPr>
      <w:r w:rsidRPr="007C5B81">
        <w:rPr>
          <w:rFonts w:ascii="Times New Roman" w:hAnsi="Times New Roman"/>
        </w:rPr>
        <w:tab/>
      </w:r>
      <w:r w:rsidR="002011E6" w:rsidRPr="007C5B81">
        <w:rPr>
          <w:rFonts w:ascii="Times New Roman" w:hAnsi="Times New Roman"/>
        </w:rPr>
        <w:t xml:space="preserve">The principle of extended joint criminal enterprise </w:t>
      </w:r>
      <w:r w:rsidR="002B22A2" w:rsidRPr="007C5B81">
        <w:rPr>
          <w:rFonts w:ascii="Times New Roman" w:hAnsi="Times New Roman"/>
        </w:rPr>
        <w:t xml:space="preserve">is </w:t>
      </w:r>
      <w:r w:rsidR="002428AA" w:rsidRPr="007C5B81">
        <w:rPr>
          <w:rFonts w:ascii="Times New Roman" w:hAnsi="Times New Roman"/>
        </w:rPr>
        <w:t xml:space="preserve">generally </w:t>
      </w:r>
      <w:r w:rsidR="002B22A2" w:rsidRPr="007C5B81">
        <w:rPr>
          <w:rFonts w:ascii="Times New Roman" w:hAnsi="Times New Roman"/>
        </w:rPr>
        <w:t xml:space="preserve">considered to have first been discussed in </w:t>
      </w:r>
      <w:r w:rsidR="002B22A2" w:rsidRPr="007C5B81">
        <w:rPr>
          <w:rFonts w:ascii="Times New Roman" w:hAnsi="Times New Roman"/>
          <w:i/>
          <w:iCs/>
        </w:rPr>
        <w:t>Chan</w:t>
      </w:r>
      <w:r w:rsidR="0025198C" w:rsidRPr="007C5B81">
        <w:rPr>
          <w:rFonts w:ascii="Times New Roman" w:hAnsi="Times New Roman"/>
        </w:rPr>
        <w:t xml:space="preserve">, a case which involved murder at common law. It was not applied in the United Kingdom </w:t>
      </w:r>
      <w:r w:rsidR="0026372F" w:rsidRPr="007C5B81">
        <w:rPr>
          <w:rFonts w:ascii="Times New Roman" w:hAnsi="Times New Roman"/>
        </w:rPr>
        <w:t xml:space="preserve">to cases </w:t>
      </w:r>
      <w:r w:rsidR="00FF093F" w:rsidRPr="007C5B81">
        <w:rPr>
          <w:rFonts w:ascii="Times New Roman" w:hAnsi="Times New Roman"/>
        </w:rPr>
        <w:t>involving constructive murder</w:t>
      </w:r>
      <w:r w:rsidR="00312790" w:rsidRPr="007C5B81">
        <w:rPr>
          <w:rFonts w:ascii="Times New Roman" w:hAnsi="Times New Roman"/>
        </w:rPr>
        <w:t>.</w:t>
      </w:r>
      <w:r w:rsidR="00FF093F" w:rsidRPr="007C5B81">
        <w:rPr>
          <w:rFonts w:ascii="Times New Roman" w:hAnsi="Times New Roman"/>
        </w:rPr>
        <w:t xml:space="preserve"> </w:t>
      </w:r>
      <w:r w:rsidR="00312790" w:rsidRPr="007C5B81">
        <w:rPr>
          <w:rFonts w:ascii="Times New Roman" w:hAnsi="Times New Roman"/>
        </w:rPr>
        <w:t>No opportunity arose to consider whether that was possible.</w:t>
      </w:r>
      <w:r w:rsidR="00FF093F" w:rsidRPr="007C5B81">
        <w:rPr>
          <w:rFonts w:ascii="Times New Roman" w:hAnsi="Times New Roman"/>
        </w:rPr>
        <w:t xml:space="preserve"> </w:t>
      </w:r>
      <w:r w:rsidR="00312790" w:rsidRPr="007C5B81">
        <w:rPr>
          <w:rFonts w:ascii="Times New Roman" w:hAnsi="Times New Roman"/>
        </w:rPr>
        <w:t>T</w:t>
      </w:r>
      <w:r w:rsidR="00FF093F" w:rsidRPr="007C5B81">
        <w:rPr>
          <w:rFonts w:ascii="Times New Roman" w:hAnsi="Times New Roman"/>
        </w:rPr>
        <w:t>hat offence was abolished before 198</w:t>
      </w:r>
      <w:r w:rsidR="00457B6B" w:rsidRPr="007C5B81">
        <w:rPr>
          <w:rFonts w:ascii="Times New Roman" w:hAnsi="Times New Roman"/>
        </w:rPr>
        <w:t>4</w:t>
      </w:r>
      <w:r w:rsidR="00FF093F" w:rsidRPr="007C5B81">
        <w:rPr>
          <w:rFonts w:ascii="Times New Roman" w:hAnsi="Times New Roman"/>
        </w:rPr>
        <w:t xml:space="preserve">, when </w:t>
      </w:r>
      <w:r w:rsidR="00FF093F" w:rsidRPr="007C5B81">
        <w:rPr>
          <w:rFonts w:ascii="Times New Roman" w:hAnsi="Times New Roman"/>
          <w:i/>
          <w:iCs/>
        </w:rPr>
        <w:t>Chan</w:t>
      </w:r>
      <w:r w:rsidR="00FF093F" w:rsidRPr="007C5B81">
        <w:rPr>
          <w:rFonts w:ascii="Times New Roman" w:hAnsi="Times New Roman"/>
        </w:rPr>
        <w:t xml:space="preserve"> was decided</w:t>
      </w:r>
      <w:r w:rsidR="00FF093F" w:rsidRPr="007C5B81">
        <w:rPr>
          <w:rStyle w:val="FootnoteReference"/>
          <w:rFonts w:ascii="Times New Roman" w:hAnsi="Times New Roman"/>
          <w:sz w:val="24"/>
        </w:rPr>
        <w:footnoteReference w:id="29"/>
      </w:r>
      <w:r w:rsidR="00F12FBF" w:rsidRPr="007C5B81">
        <w:rPr>
          <w:rFonts w:ascii="Times New Roman" w:hAnsi="Times New Roman"/>
        </w:rPr>
        <w:t>.</w:t>
      </w:r>
      <w:r w:rsidR="005F6036" w:rsidRPr="007C5B81">
        <w:rPr>
          <w:rFonts w:ascii="Times New Roman" w:hAnsi="Times New Roman"/>
        </w:rPr>
        <w:t xml:space="preserve"> </w:t>
      </w:r>
      <w:r w:rsidR="00F12FBF" w:rsidRPr="007C5B81">
        <w:rPr>
          <w:rFonts w:ascii="Times New Roman" w:hAnsi="Times New Roman"/>
        </w:rPr>
        <w:t xml:space="preserve">This Court was not referred </w:t>
      </w:r>
      <w:r w:rsidR="005A5A7D" w:rsidRPr="007C5B81">
        <w:rPr>
          <w:rFonts w:ascii="Times New Roman" w:hAnsi="Times New Roman"/>
        </w:rPr>
        <w:t xml:space="preserve">to any decision in the United Kingdom or Australia in which the principle has been applied to a case </w:t>
      </w:r>
      <w:r w:rsidR="007F7344" w:rsidRPr="007C5B81">
        <w:rPr>
          <w:rFonts w:ascii="Times New Roman" w:hAnsi="Times New Roman"/>
        </w:rPr>
        <w:t xml:space="preserve">other than one which concerned </w:t>
      </w:r>
      <w:r w:rsidR="005A5A7D" w:rsidRPr="007C5B81">
        <w:rPr>
          <w:rFonts w:ascii="Times New Roman" w:hAnsi="Times New Roman"/>
        </w:rPr>
        <w:t xml:space="preserve">murder at common law. </w:t>
      </w:r>
      <w:r w:rsidR="00C40171" w:rsidRPr="007C5B81">
        <w:rPr>
          <w:rFonts w:ascii="Times New Roman" w:hAnsi="Times New Roman"/>
        </w:rPr>
        <w:t>I</w:t>
      </w:r>
      <w:r w:rsidR="00756F7E" w:rsidRPr="007C5B81">
        <w:rPr>
          <w:rFonts w:ascii="Times New Roman" w:hAnsi="Times New Roman"/>
        </w:rPr>
        <w:t>n</w:t>
      </w:r>
      <w:r w:rsidR="00C40171" w:rsidRPr="007C5B81">
        <w:rPr>
          <w:rFonts w:ascii="Times New Roman" w:hAnsi="Times New Roman"/>
        </w:rPr>
        <w:t xml:space="preserve"> such cases there has been an unlawful killing by the intentional acts of the primary offender. The cases</w:t>
      </w:r>
      <w:r w:rsidR="00D77B94" w:rsidRPr="007C5B81">
        <w:rPr>
          <w:rFonts w:ascii="Times New Roman" w:hAnsi="Times New Roman"/>
        </w:rPr>
        <w:t xml:space="preserve"> referred to above</w:t>
      </w:r>
      <w:r w:rsidR="00C40171" w:rsidRPr="007C5B81">
        <w:rPr>
          <w:rFonts w:ascii="Times New Roman" w:hAnsi="Times New Roman"/>
        </w:rPr>
        <w:t xml:space="preserve"> show that the knowledge or foresight on the part of the secondary offender, necessary for criminal culpability, is of the possibility of acts </w:t>
      </w:r>
      <w:r w:rsidR="00E664E5" w:rsidRPr="007C5B81">
        <w:rPr>
          <w:rFonts w:ascii="Times New Roman" w:hAnsi="Times New Roman"/>
        </w:rPr>
        <w:t>which may kill</w:t>
      </w:r>
      <w:r w:rsidR="000C412A" w:rsidRPr="007C5B81">
        <w:rPr>
          <w:rFonts w:ascii="Times New Roman" w:hAnsi="Times New Roman"/>
        </w:rPr>
        <w:t xml:space="preserve"> </w:t>
      </w:r>
      <w:r w:rsidR="00C40171" w:rsidRPr="007C5B81">
        <w:rPr>
          <w:rFonts w:ascii="Times New Roman" w:hAnsi="Times New Roman"/>
        </w:rPr>
        <w:t xml:space="preserve">or </w:t>
      </w:r>
      <w:r w:rsidR="00E664E5" w:rsidRPr="007C5B81">
        <w:rPr>
          <w:rFonts w:ascii="Times New Roman" w:hAnsi="Times New Roman"/>
        </w:rPr>
        <w:t xml:space="preserve">cause </w:t>
      </w:r>
      <w:r w:rsidR="00C40171" w:rsidRPr="007C5B81">
        <w:rPr>
          <w:rFonts w:ascii="Times New Roman" w:hAnsi="Times New Roman"/>
        </w:rPr>
        <w:t>serious bodily harm</w:t>
      </w:r>
      <w:r w:rsidR="00EB23AB" w:rsidRPr="007C5B81">
        <w:rPr>
          <w:rFonts w:ascii="Times New Roman" w:hAnsi="Times New Roman"/>
        </w:rPr>
        <w:t xml:space="preserve"> being committed</w:t>
      </w:r>
      <w:r w:rsidR="00C40171" w:rsidRPr="007C5B81">
        <w:rPr>
          <w:rFonts w:ascii="Times New Roman" w:hAnsi="Times New Roman"/>
        </w:rPr>
        <w:t xml:space="preserve">. </w:t>
      </w:r>
    </w:p>
    <w:p w14:paraId="65C964F7" w14:textId="5C5B5578" w:rsidR="006A2919" w:rsidRPr="007C5B81" w:rsidRDefault="004B7C9C" w:rsidP="007C5B81">
      <w:pPr>
        <w:pStyle w:val="FixListStyle"/>
        <w:spacing w:after="260" w:line="280" w:lineRule="exact"/>
        <w:ind w:right="0"/>
        <w:jc w:val="both"/>
        <w:rPr>
          <w:rFonts w:ascii="Times New Roman" w:hAnsi="Times New Roman"/>
        </w:rPr>
      </w:pPr>
      <w:r w:rsidRPr="007C5B81">
        <w:rPr>
          <w:rFonts w:ascii="Times New Roman" w:hAnsi="Times New Roman"/>
        </w:rPr>
        <w:tab/>
      </w:r>
      <w:r w:rsidR="00EB23AB" w:rsidRPr="007C5B81">
        <w:rPr>
          <w:rFonts w:ascii="Times New Roman" w:hAnsi="Times New Roman"/>
        </w:rPr>
        <w:t>The question which then arises is what kind of</w:t>
      </w:r>
      <w:r w:rsidR="002011E6" w:rsidRPr="007C5B81">
        <w:rPr>
          <w:rFonts w:ascii="Times New Roman" w:hAnsi="Times New Roman"/>
        </w:rPr>
        <w:t xml:space="preserve"> acts </w:t>
      </w:r>
      <w:r w:rsidR="007335EE" w:rsidRPr="007C5B81">
        <w:rPr>
          <w:rFonts w:ascii="Times New Roman" w:hAnsi="Times New Roman"/>
        </w:rPr>
        <w:t>a secondary offender may realise</w:t>
      </w:r>
      <w:r w:rsidR="002011E6" w:rsidRPr="007C5B81">
        <w:rPr>
          <w:rFonts w:ascii="Times New Roman" w:hAnsi="Times New Roman"/>
        </w:rPr>
        <w:t xml:space="preserve"> might </w:t>
      </w:r>
      <w:r w:rsidR="00212DE0" w:rsidRPr="007C5B81">
        <w:rPr>
          <w:rFonts w:ascii="Times New Roman" w:hAnsi="Times New Roman"/>
        </w:rPr>
        <w:t>occur</w:t>
      </w:r>
      <w:r w:rsidR="00371E29" w:rsidRPr="007C5B81">
        <w:rPr>
          <w:rFonts w:ascii="Times New Roman" w:hAnsi="Times New Roman"/>
        </w:rPr>
        <w:t xml:space="preserve"> in the course of </w:t>
      </w:r>
      <w:r w:rsidR="006A2919" w:rsidRPr="007C5B81">
        <w:rPr>
          <w:rFonts w:ascii="Times New Roman" w:hAnsi="Times New Roman"/>
        </w:rPr>
        <w:t xml:space="preserve">carrying out the enterprise if the principle of extended joint </w:t>
      </w:r>
      <w:r w:rsidR="008D3B38" w:rsidRPr="007C5B81">
        <w:rPr>
          <w:rFonts w:ascii="Times New Roman" w:hAnsi="Times New Roman"/>
        </w:rPr>
        <w:t xml:space="preserve">criminal </w:t>
      </w:r>
      <w:r w:rsidR="006A2919" w:rsidRPr="007C5B81">
        <w:rPr>
          <w:rFonts w:ascii="Times New Roman" w:hAnsi="Times New Roman"/>
        </w:rPr>
        <w:t xml:space="preserve">enterprise is applied to s 12A. The answer would seem to depend largely on the meaning to be given to the words </w:t>
      </w:r>
      <w:r w:rsidR="00477233" w:rsidRPr="007C5B81">
        <w:rPr>
          <w:rFonts w:ascii="Times New Roman" w:hAnsi="Times New Roman"/>
        </w:rPr>
        <w:t>"</w:t>
      </w:r>
      <w:r w:rsidR="006A2919" w:rsidRPr="007C5B81">
        <w:rPr>
          <w:rFonts w:ascii="Times New Roman" w:hAnsi="Times New Roman"/>
        </w:rPr>
        <w:t>act of violence"</w:t>
      </w:r>
      <w:r w:rsidR="00D71CD2" w:rsidRPr="007C5B81">
        <w:rPr>
          <w:rFonts w:ascii="Times New Roman" w:hAnsi="Times New Roman"/>
        </w:rPr>
        <w:t>,</w:t>
      </w:r>
      <w:r w:rsidR="007F7344" w:rsidRPr="007C5B81">
        <w:rPr>
          <w:rFonts w:ascii="Times New Roman" w:hAnsi="Times New Roman"/>
        </w:rPr>
        <w:t xml:space="preserve"> having regard to the text and context of the section</w:t>
      </w:r>
      <w:r w:rsidR="006A2919" w:rsidRPr="007C5B81">
        <w:rPr>
          <w:rFonts w:ascii="Times New Roman" w:hAnsi="Times New Roman"/>
        </w:rPr>
        <w:t>.</w:t>
      </w:r>
    </w:p>
    <w:p w14:paraId="6DAA6699" w14:textId="681A52D4" w:rsidR="00DB4B6A" w:rsidRPr="007C5B81" w:rsidRDefault="00C538AA" w:rsidP="007C5B81">
      <w:pPr>
        <w:pStyle w:val="FixListStyle"/>
        <w:spacing w:after="260" w:line="280" w:lineRule="exact"/>
        <w:ind w:right="0"/>
        <w:jc w:val="both"/>
        <w:rPr>
          <w:rFonts w:ascii="Times New Roman" w:hAnsi="Times New Roman"/>
        </w:rPr>
      </w:pPr>
      <w:r w:rsidRPr="007C5B81">
        <w:rPr>
          <w:rFonts w:ascii="Times New Roman" w:hAnsi="Times New Roman"/>
        </w:rPr>
        <w:tab/>
      </w:r>
      <w:r w:rsidR="00DB4B6A" w:rsidRPr="007C5B81">
        <w:rPr>
          <w:rFonts w:ascii="Times New Roman" w:hAnsi="Times New Roman"/>
        </w:rPr>
        <w:t xml:space="preserve">If those words are to be understood </w:t>
      </w:r>
      <w:r w:rsidR="00A254A7" w:rsidRPr="007C5B81">
        <w:rPr>
          <w:rFonts w:ascii="Times New Roman" w:hAnsi="Times New Roman"/>
        </w:rPr>
        <w:t>as</w:t>
      </w:r>
      <w:r w:rsidR="00DB4B6A" w:rsidRPr="007C5B81">
        <w:rPr>
          <w:rFonts w:ascii="Times New Roman" w:hAnsi="Times New Roman"/>
        </w:rPr>
        <w:t xml:space="preserve"> limited to an act that is capable of causing death or </w:t>
      </w:r>
      <w:r w:rsidR="00371E29" w:rsidRPr="007C5B81">
        <w:rPr>
          <w:rFonts w:ascii="Times New Roman" w:hAnsi="Times New Roman"/>
        </w:rPr>
        <w:t xml:space="preserve">serious </w:t>
      </w:r>
      <w:r w:rsidR="00DB4B6A" w:rsidRPr="007C5B81">
        <w:rPr>
          <w:rFonts w:ascii="Times New Roman" w:hAnsi="Times New Roman"/>
        </w:rPr>
        <w:t xml:space="preserve">bodily injury, foresight of such an act may be considered sufficient to found criminal culpability for murder consistently with the cases which explain the basis of the principle of extended joint criminal </w:t>
      </w:r>
      <w:r w:rsidR="004B5EE2" w:rsidRPr="007C5B81">
        <w:rPr>
          <w:rFonts w:ascii="Times New Roman" w:hAnsi="Times New Roman"/>
        </w:rPr>
        <w:t>enterprise</w:t>
      </w:r>
      <w:r w:rsidR="00DB4B6A" w:rsidRPr="007C5B81">
        <w:rPr>
          <w:rFonts w:ascii="Times New Roman" w:hAnsi="Times New Roman"/>
        </w:rPr>
        <w:t>. It would also follow that the directions given by the trial judge, which gave as examples striking the back of a person's leg or a threat or menace of violence, were incorrect.</w:t>
      </w:r>
    </w:p>
    <w:p w14:paraId="7E9363CE" w14:textId="54E86CAD" w:rsidR="00371E29" w:rsidRPr="007C5B81" w:rsidRDefault="00C13CA5" w:rsidP="007C5B81">
      <w:pPr>
        <w:pStyle w:val="FixListStyle"/>
        <w:spacing w:after="260" w:line="280" w:lineRule="exact"/>
        <w:ind w:right="0"/>
        <w:jc w:val="both"/>
        <w:rPr>
          <w:rFonts w:ascii="Times New Roman" w:hAnsi="Times New Roman"/>
        </w:rPr>
      </w:pPr>
      <w:r w:rsidRPr="007C5B81">
        <w:rPr>
          <w:rFonts w:ascii="Times New Roman" w:hAnsi="Times New Roman"/>
        </w:rPr>
        <w:tab/>
      </w:r>
      <w:r w:rsidR="009823AE" w:rsidRPr="007C5B81">
        <w:rPr>
          <w:rFonts w:ascii="Times New Roman" w:hAnsi="Times New Roman"/>
        </w:rPr>
        <w:t>The construction which the trial judge and the Court of Appeal</w:t>
      </w:r>
      <w:r w:rsidR="009823AE" w:rsidRPr="007C5B81">
        <w:rPr>
          <w:rStyle w:val="FootnoteReference"/>
          <w:rFonts w:ascii="Times New Roman" w:hAnsi="Times New Roman"/>
          <w:sz w:val="24"/>
        </w:rPr>
        <w:footnoteReference w:id="30"/>
      </w:r>
      <w:r w:rsidR="009823AE" w:rsidRPr="007C5B81">
        <w:rPr>
          <w:rFonts w:ascii="Times New Roman" w:hAnsi="Times New Roman"/>
        </w:rPr>
        <w:t xml:space="preserve"> gave does not import </w:t>
      </w:r>
      <w:r w:rsidR="00371E29" w:rsidRPr="007C5B81">
        <w:rPr>
          <w:rFonts w:ascii="Times New Roman" w:hAnsi="Times New Roman"/>
        </w:rPr>
        <w:t xml:space="preserve">notions of causation </w:t>
      </w:r>
      <w:r w:rsidR="004B573C" w:rsidRPr="007C5B81">
        <w:rPr>
          <w:rFonts w:ascii="Times New Roman" w:hAnsi="Times New Roman"/>
        </w:rPr>
        <w:t xml:space="preserve">of death into the words "act of violence". The section itself treats causation </w:t>
      </w:r>
      <w:r w:rsidR="00371E29" w:rsidRPr="007C5B81">
        <w:rPr>
          <w:rFonts w:ascii="Times New Roman" w:hAnsi="Times New Roman"/>
        </w:rPr>
        <w:t>as a separate element</w:t>
      </w:r>
      <w:r w:rsidR="004B573C" w:rsidRPr="007C5B81">
        <w:rPr>
          <w:rFonts w:ascii="Times New Roman" w:hAnsi="Times New Roman"/>
        </w:rPr>
        <w:t>.</w:t>
      </w:r>
      <w:r w:rsidR="00CE66B6" w:rsidRPr="007C5B81">
        <w:rPr>
          <w:rFonts w:ascii="Times New Roman" w:hAnsi="Times New Roman"/>
        </w:rPr>
        <w:t xml:space="preserve"> </w:t>
      </w:r>
      <w:r w:rsidR="00371E29" w:rsidRPr="007C5B81">
        <w:rPr>
          <w:rFonts w:ascii="Times New Roman" w:hAnsi="Times New Roman"/>
        </w:rPr>
        <w:t xml:space="preserve">Consistently with this </w:t>
      </w:r>
      <w:r w:rsidR="00CE66B6" w:rsidRPr="007C5B81">
        <w:rPr>
          <w:rFonts w:ascii="Times New Roman" w:hAnsi="Times New Roman"/>
        </w:rPr>
        <w:lastRenderedPageBreak/>
        <w:t>understanding</w:t>
      </w:r>
      <w:r w:rsidR="00482C8C" w:rsidRPr="007C5B81">
        <w:rPr>
          <w:rFonts w:ascii="Times New Roman" w:hAnsi="Times New Roman"/>
        </w:rPr>
        <w:t>,</w:t>
      </w:r>
      <w:r w:rsidR="00371E29" w:rsidRPr="007C5B81">
        <w:rPr>
          <w:rFonts w:ascii="Times New Roman" w:hAnsi="Times New Roman"/>
        </w:rPr>
        <w:t xml:space="preserve"> the prosecution case for the application of the principle relied on the appellants having contemplated the possibility that in carrying out the enterprise a co</w:t>
      </w:r>
      <w:r w:rsidR="00371E29" w:rsidRPr="007C5B81">
        <w:rPr>
          <w:rFonts w:ascii="Times New Roman" w:hAnsi="Times New Roman"/>
        </w:rPr>
        <w:noBreakHyphen/>
        <w:t>venturer might perpet</w:t>
      </w:r>
      <w:r w:rsidR="00E95A82" w:rsidRPr="007C5B81">
        <w:rPr>
          <w:rFonts w:ascii="Times New Roman" w:hAnsi="Times New Roman"/>
        </w:rPr>
        <w:t>rate an intentional act of violence which then (in fact) caused the death of the deceased.</w:t>
      </w:r>
    </w:p>
    <w:p w14:paraId="74CDBE0E" w14:textId="739E04A2" w:rsidR="00E95A82" w:rsidRPr="007C5B81" w:rsidRDefault="00E95A82" w:rsidP="007C5B81">
      <w:pPr>
        <w:pStyle w:val="FixListStyle"/>
        <w:spacing w:after="260" w:line="280" w:lineRule="exact"/>
        <w:ind w:right="0"/>
        <w:jc w:val="both"/>
        <w:rPr>
          <w:rFonts w:ascii="Times New Roman" w:hAnsi="Times New Roman"/>
        </w:rPr>
      </w:pPr>
      <w:r w:rsidRPr="007C5B81">
        <w:rPr>
          <w:rFonts w:ascii="Times New Roman" w:hAnsi="Times New Roman"/>
        </w:rPr>
        <w:tab/>
      </w:r>
      <w:r w:rsidR="00E14C76" w:rsidRPr="007C5B81">
        <w:rPr>
          <w:rFonts w:ascii="Times New Roman" w:hAnsi="Times New Roman"/>
        </w:rPr>
        <w:t xml:space="preserve">The broader view of the words "act of violence" </w:t>
      </w:r>
      <w:r w:rsidR="00AB5AB3" w:rsidRPr="007C5B81">
        <w:rPr>
          <w:rFonts w:ascii="Times New Roman" w:hAnsi="Times New Roman"/>
        </w:rPr>
        <w:t xml:space="preserve">and the operation of causation in s 12A </w:t>
      </w:r>
      <w:r w:rsidR="007E4D74" w:rsidRPr="007C5B81">
        <w:rPr>
          <w:rFonts w:ascii="Times New Roman" w:hAnsi="Times New Roman"/>
        </w:rPr>
        <w:t xml:space="preserve">gain </w:t>
      </w:r>
      <w:r w:rsidR="00E14C76" w:rsidRPr="007C5B81">
        <w:rPr>
          <w:rFonts w:ascii="Times New Roman" w:hAnsi="Times New Roman"/>
        </w:rPr>
        <w:t xml:space="preserve">support from </w:t>
      </w:r>
      <w:proofErr w:type="spellStart"/>
      <w:r w:rsidR="00E14C76" w:rsidRPr="007C5B81">
        <w:rPr>
          <w:rFonts w:ascii="Times New Roman" w:hAnsi="Times New Roman"/>
          <w:i/>
          <w:iCs/>
        </w:rPr>
        <w:t>Arulthilakan</w:t>
      </w:r>
      <w:proofErr w:type="spellEnd"/>
      <w:r w:rsidR="00E14C76" w:rsidRPr="007C5B81">
        <w:rPr>
          <w:rStyle w:val="FootnoteReference"/>
          <w:rFonts w:ascii="Times New Roman" w:hAnsi="Times New Roman"/>
          <w:sz w:val="24"/>
        </w:rPr>
        <w:footnoteReference w:id="31"/>
      </w:r>
      <w:r w:rsidR="00E14C76" w:rsidRPr="007C5B81">
        <w:rPr>
          <w:rFonts w:ascii="Times New Roman" w:hAnsi="Times New Roman"/>
        </w:rPr>
        <w:t>. There</w:t>
      </w:r>
      <w:r w:rsidR="00975877" w:rsidRPr="007C5B81">
        <w:rPr>
          <w:rFonts w:ascii="Times New Roman" w:hAnsi="Times New Roman"/>
        </w:rPr>
        <w:t xml:space="preserve"> it was accepted that the presentation of a knife for the purpose of threatening, intimidating or stabbing the owner of property the subject of the robbery may, as a matter of law, be capable of being regarded as an act of violence.</w:t>
      </w:r>
      <w:r w:rsidR="00235367" w:rsidRPr="007C5B81">
        <w:rPr>
          <w:rFonts w:ascii="Times New Roman" w:hAnsi="Times New Roman"/>
        </w:rPr>
        <w:t xml:space="preserve"> The presentation of the knife may be capable (at law) of being regarded as an act of violence, </w:t>
      </w:r>
      <w:r w:rsidR="000F0107" w:rsidRPr="007C5B81">
        <w:rPr>
          <w:rFonts w:ascii="Times New Roman" w:hAnsi="Times New Roman"/>
        </w:rPr>
        <w:t>but it becomes a question of fact as to whether the presentation of the knife caused death</w:t>
      </w:r>
      <w:r w:rsidR="000F0107" w:rsidRPr="007C5B81">
        <w:rPr>
          <w:rStyle w:val="FootnoteReference"/>
          <w:rFonts w:ascii="Times New Roman" w:hAnsi="Times New Roman"/>
          <w:sz w:val="24"/>
        </w:rPr>
        <w:footnoteReference w:id="32"/>
      </w:r>
      <w:r w:rsidR="0096218C" w:rsidRPr="007C5B81">
        <w:rPr>
          <w:rFonts w:ascii="Times New Roman" w:hAnsi="Times New Roman"/>
        </w:rPr>
        <w:t>.</w:t>
      </w:r>
      <w:r w:rsidR="00CC25B4" w:rsidRPr="007C5B81">
        <w:rPr>
          <w:rFonts w:ascii="Times New Roman" w:hAnsi="Times New Roman"/>
        </w:rPr>
        <w:t xml:space="preserve"> No doubt was cast upon the correctness of th</w:t>
      </w:r>
      <w:r w:rsidR="007E4D74" w:rsidRPr="007C5B81">
        <w:rPr>
          <w:rFonts w:ascii="Times New Roman" w:hAnsi="Times New Roman"/>
        </w:rPr>
        <w:t>ese</w:t>
      </w:r>
      <w:r w:rsidR="00CC25B4" w:rsidRPr="007C5B81">
        <w:rPr>
          <w:rFonts w:ascii="Times New Roman" w:hAnsi="Times New Roman"/>
        </w:rPr>
        <w:t xml:space="preserve"> view</w:t>
      </w:r>
      <w:r w:rsidR="007E4D74" w:rsidRPr="007C5B81">
        <w:rPr>
          <w:rFonts w:ascii="Times New Roman" w:hAnsi="Times New Roman"/>
        </w:rPr>
        <w:t>s</w:t>
      </w:r>
      <w:r w:rsidR="00CC25B4" w:rsidRPr="007C5B81">
        <w:rPr>
          <w:rFonts w:ascii="Times New Roman" w:hAnsi="Times New Roman"/>
        </w:rPr>
        <w:t xml:space="preserve"> in argument on these appeals.</w:t>
      </w:r>
    </w:p>
    <w:p w14:paraId="7AFC9AD3" w14:textId="4EA07D82" w:rsidR="009907EE" w:rsidRPr="007C5B81" w:rsidRDefault="00975877" w:rsidP="007C5B81">
      <w:pPr>
        <w:pStyle w:val="FixListStyle"/>
        <w:spacing w:after="260" w:line="280" w:lineRule="exact"/>
        <w:ind w:right="0"/>
        <w:jc w:val="both"/>
        <w:rPr>
          <w:rFonts w:ascii="Times New Roman" w:hAnsi="Times New Roman"/>
        </w:rPr>
      </w:pPr>
      <w:r w:rsidRPr="007C5B81">
        <w:rPr>
          <w:rFonts w:ascii="Times New Roman" w:hAnsi="Times New Roman"/>
        </w:rPr>
        <w:tab/>
      </w:r>
      <w:r w:rsidR="00CC25B4" w:rsidRPr="007C5B81">
        <w:rPr>
          <w:rFonts w:ascii="Times New Roman" w:hAnsi="Times New Roman"/>
        </w:rPr>
        <w:t xml:space="preserve">Given </w:t>
      </w:r>
      <w:r w:rsidR="00297FE2" w:rsidRPr="007C5B81">
        <w:rPr>
          <w:rFonts w:ascii="Times New Roman" w:hAnsi="Times New Roman"/>
        </w:rPr>
        <w:t xml:space="preserve">that the </w:t>
      </w:r>
      <w:r w:rsidR="005D0BA2" w:rsidRPr="007C5B81">
        <w:rPr>
          <w:rFonts w:ascii="Times New Roman" w:hAnsi="Times New Roman"/>
        </w:rPr>
        <w:t>words "</w:t>
      </w:r>
      <w:r w:rsidR="009907EE" w:rsidRPr="007C5B81">
        <w:rPr>
          <w:rFonts w:ascii="Times New Roman" w:hAnsi="Times New Roman"/>
        </w:rPr>
        <w:t>act of violence</w:t>
      </w:r>
      <w:r w:rsidR="005D0BA2" w:rsidRPr="007C5B81">
        <w:rPr>
          <w:rFonts w:ascii="Times New Roman" w:hAnsi="Times New Roman"/>
        </w:rPr>
        <w:t>"</w:t>
      </w:r>
      <w:r w:rsidR="009907EE" w:rsidRPr="007C5B81">
        <w:rPr>
          <w:rFonts w:ascii="Times New Roman" w:hAnsi="Times New Roman"/>
        </w:rPr>
        <w:t xml:space="preserve"> </w:t>
      </w:r>
      <w:r w:rsidR="005D0BA2" w:rsidRPr="007C5B81">
        <w:rPr>
          <w:rFonts w:ascii="Times New Roman" w:hAnsi="Times New Roman"/>
        </w:rPr>
        <w:t>are to be</w:t>
      </w:r>
      <w:r w:rsidR="009907EE" w:rsidRPr="007C5B81">
        <w:rPr>
          <w:rFonts w:ascii="Times New Roman" w:hAnsi="Times New Roman"/>
        </w:rPr>
        <w:t xml:space="preserve"> understood</w:t>
      </w:r>
      <w:r w:rsidR="00007E49" w:rsidRPr="007C5B81">
        <w:rPr>
          <w:rFonts w:ascii="Times New Roman" w:hAnsi="Times New Roman"/>
        </w:rPr>
        <w:t xml:space="preserve"> </w:t>
      </w:r>
      <w:r w:rsidR="007E2518" w:rsidRPr="007C5B81">
        <w:rPr>
          <w:rFonts w:ascii="Times New Roman" w:hAnsi="Times New Roman"/>
        </w:rPr>
        <w:t>more broadly and not b</w:t>
      </w:r>
      <w:r w:rsidR="00235367" w:rsidRPr="007C5B81">
        <w:rPr>
          <w:rFonts w:ascii="Times New Roman" w:hAnsi="Times New Roman"/>
        </w:rPr>
        <w:t>y</w:t>
      </w:r>
      <w:r w:rsidR="007E2518" w:rsidRPr="007C5B81">
        <w:rPr>
          <w:rFonts w:ascii="Times New Roman" w:hAnsi="Times New Roman"/>
        </w:rPr>
        <w:t xml:space="preserve"> reference to causation of death</w:t>
      </w:r>
      <w:r w:rsidR="00235367" w:rsidRPr="007C5B81">
        <w:rPr>
          <w:rFonts w:ascii="Times New Roman" w:hAnsi="Times New Roman"/>
        </w:rPr>
        <w:t xml:space="preserve"> or serious injury</w:t>
      </w:r>
      <w:r w:rsidR="00007E49" w:rsidRPr="007C5B81">
        <w:rPr>
          <w:rFonts w:ascii="Times New Roman" w:hAnsi="Times New Roman"/>
        </w:rPr>
        <w:t>, it</w:t>
      </w:r>
      <w:r w:rsidR="009907EE" w:rsidRPr="007C5B81">
        <w:rPr>
          <w:rFonts w:ascii="Times New Roman" w:hAnsi="Times New Roman"/>
        </w:rPr>
        <w:t xml:space="preserve"> follows that the only foresight which a secondary offender might </w:t>
      </w:r>
      <w:r w:rsidR="0060752A" w:rsidRPr="007C5B81">
        <w:rPr>
          <w:rFonts w:ascii="Times New Roman" w:hAnsi="Times New Roman"/>
        </w:rPr>
        <w:t xml:space="preserve">be </w:t>
      </w:r>
      <w:r w:rsidR="00007E49" w:rsidRPr="007C5B81">
        <w:rPr>
          <w:rFonts w:ascii="Times New Roman" w:hAnsi="Times New Roman"/>
        </w:rPr>
        <w:t>said</w:t>
      </w:r>
      <w:r w:rsidR="007B0406" w:rsidRPr="007C5B81">
        <w:rPr>
          <w:rFonts w:ascii="Times New Roman" w:hAnsi="Times New Roman"/>
        </w:rPr>
        <w:t xml:space="preserve"> to</w:t>
      </w:r>
      <w:r w:rsidR="00007E49" w:rsidRPr="007C5B81">
        <w:rPr>
          <w:rFonts w:ascii="Times New Roman" w:hAnsi="Times New Roman"/>
        </w:rPr>
        <w:t xml:space="preserve"> have</w:t>
      </w:r>
      <w:r w:rsidR="00324D94" w:rsidRPr="007C5B81">
        <w:rPr>
          <w:rFonts w:ascii="Times New Roman" w:hAnsi="Times New Roman"/>
        </w:rPr>
        <w:t>, if the principle is applied to s 12A, is</w:t>
      </w:r>
      <w:r w:rsidR="00A63FE9" w:rsidRPr="007C5B81">
        <w:rPr>
          <w:rFonts w:ascii="Times New Roman" w:hAnsi="Times New Roman"/>
        </w:rPr>
        <w:t xml:space="preserve"> </w:t>
      </w:r>
      <w:r w:rsidR="0060752A" w:rsidRPr="007C5B81">
        <w:rPr>
          <w:rFonts w:ascii="Times New Roman" w:hAnsi="Times New Roman"/>
        </w:rPr>
        <w:t xml:space="preserve">that </w:t>
      </w:r>
      <w:r w:rsidR="00324D94" w:rsidRPr="007C5B81">
        <w:rPr>
          <w:rFonts w:ascii="Times New Roman" w:hAnsi="Times New Roman"/>
        </w:rPr>
        <w:t xml:space="preserve">almost any </w:t>
      </w:r>
      <w:r w:rsidR="0060752A" w:rsidRPr="007C5B81">
        <w:rPr>
          <w:rFonts w:ascii="Times New Roman" w:hAnsi="Times New Roman"/>
        </w:rPr>
        <w:t xml:space="preserve">act </w:t>
      </w:r>
      <w:r w:rsidR="00324D94" w:rsidRPr="007C5B81">
        <w:rPr>
          <w:rFonts w:ascii="Times New Roman" w:hAnsi="Times New Roman"/>
        </w:rPr>
        <w:t xml:space="preserve">or threat </w:t>
      </w:r>
      <w:r w:rsidR="0060752A" w:rsidRPr="007C5B81">
        <w:rPr>
          <w:rFonts w:ascii="Times New Roman" w:hAnsi="Times New Roman"/>
        </w:rPr>
        <w:t xml:space="preserve">of violence </w:t>
      </w:r>
      <w:r w:rsidR="00164AEA" w:rsidRPr="007C5B81">
        <w:rPr>
          <w:rFonts w:ascii="Times New Roman" w:hAnsi="Times New Roman"/>
        </w:rPr>
        <w:t>may take place. This</w:t>
      </w:r>
      <w:r w:rsidR="0060752A" w:rsidRPr="007C5B81">
        <w:rPr>
          <w:rFonts w:ascii="Times New Roman" w:hAnsi="Times New Roman"/>
        </w:rPr>
        <w:t xml:space="preserve"> cannot be a sufficient mental element for criminal </w:t>
      </w:r>
      <w:r w:rsidR="00164AEA" w:rsidRPr="007C5B81">
        <w:rPr>
          <w:rFonts w:ascii="Times New Roman" w:hAnsi="Times New Roman"/>
        </w:rPr>
        <w:t>liability for murder according to</w:t>
      </w:r>
      <w:r w:rsidR="00745A34" w:rsidRPr="007C5B81">
        <w:rPr>
          <w:rFonts w:ascii="Times New Roman" w:hAnsi="Times New Roman"/>
        </w:rPr>
        <w:t xml:space="preserve"> the principle of extended joint criminal enterprise.</w:t>
      </w:r>
    </w:p>
    <w:p w14:paraId="24C7BCA6" w14:textId="7DFBCF72" w:rsidR="00334426" w:rsidRPr="007C5B81" w:rsidRDefault="00334426" w:rsidP="007C5B81">
      <w:pPr>
        <w:pStyle w:val="FixListStyle"/>
        <w:spacing w:after="260" w:line="280" w:lineRule="exact"/>
        <w:ind w:right="0"/>
        <w:jc w:val="both"/>
        <w:rPr>
          <w:rFonts w:ascii="Times New Roman" w:hAnsi="Times New Roman"/>
        </w:rPr>
      </w:pPr>
      <w:r w:rsidRPr="007C5B81">
        <w:rPr>
          <w:rFonts w:ascii="Times New Roman" w:hAnsi="Times New Roman"/>
        </w:rPr>
        <w:tab/>
        <w:t xml:space="preserve">The principle </w:t>
      </w:r>
      <w:r w:rsidR="00FA27F3" w:rsidRPr="007C5B81">
        <w:rPr>
          <w:rFonts w:ascii="Times New Roman" w:hAnsi="Times New Roman"/>
        </w:rPr>
        <w:t xml:space="preserve">of extended joint criminal </w:t>
      </w:r>
      <w:r w:rsidR="000E467C" w:rsidRPr="007C5B81">
        <w:rPr>
          <w:rFonts w:ascii="Times New Roman" w:hAnsi="Times New Roman"/>
        </w:rPr>
        <w:t xml:space="preserve">enterprise </w:t>
      </w:r>
      <w:r w:rsidR="00FA27F3" w:rsidRPr="007C5B81">
        <w:rPr>
          <w:rFonts w:ascii="Times New Roman" w:hAnsi="Times New Roman"/>
        </w:rPr>
        <w:t xml:space="preserve">cannot apply to s 12A of the CLC Act. This follows largely as a matter of the construction </w:t>
      </w:r>
      <w:r w:rsidR="00BF5A98" w:rsidRPr="007C5B81">
        <w:rPr>
          <w:rFonts w:ascii="Times New Roman" w:hAnsi="Times New Roman"/>
        </w:rPr>
        <w:t>of that provision. It should not be held to apply because constructive crimes should be confined so far as possible in their operation</w:t>
      </w:r>
      <w:r w:rsidR="0047432D" w:rsidRPr="007C5B81">
        <w:rPr>
          <w:rFonts w:ascii="Times New Roman" w:hAnsi="Times New Roman"/>
        </w:rPr>
        <w:t>. They should be so limited</w:t>
      </w:r>
      <w:r w:rsidR="00BF5A98" w:rsidRPr="007C5B81">
        <w:rPr>
          <w:rFonts w:ascii="Times New Roman" w:hAnsi="Times New Roman"/>
        </w:rPr>
        <w:t xml:space="preserve"> in view of the development of the law "towards a closer correlation between moral culpability and legal responsibility"</w:t>
      </w:r>
      <w:r w:rsidR="00BF5A98" w:rsidRPr="007C5B81">
        <w:rPr>
          <w:rStyle w:val="FootnoteReference"/>
          <w:rFonts w:ascii="Times New Roman" w:hAnsi="Times New Roman"/>
          <w:sz w:val="24"/>
        </w:rPr>
        <w:footnoteReference w:id="33"/>
      </w:r>
      <w:r w:rsidR="00A76487" w:rsidRPr="007C5B81">
        <w:rPr>
          <w:rFonts w:ascii="Times New Roman" w:hAnsi="Times New Roman"/>
        </w:rPr>
        <w:t>.</w:t>
      </w:r>
    </w:p>
    <w:p w14:paraId="03C4BECF" w14:textId="60A0BB72" w:rsidR="00141F82" w:rsidRPr="007C5B81" w:rsidRDefault="00141F82" w:rsidP="007C5B81">
      <w:pPr>
        <w:pStyle w:val="HeadingL1"/>
        <w:spacing w:after="260" w:line="280" w:lineRule="exact"/>
        <w:ind w:right="0"/>
        <w:jc w:val="both"/>
        <w:rPr>
          <w:rFonts w:ascii="Times New Roman" w:hAnsi="Times New Roman"/>
        </w:rPr>
      </w:pPr>
      <w:r w:rsidRPr="007C5B81">
        <w:rPr>
          <w:rFonts w:ascii="Times New Roman" w:hAnsi="Times New Roman"/>
        </w:rPr>
        <w:t>Orders</w:t>
      </w:r>
    </w:p>
    <w:p w14:paraId="5F6FBEAF" w14:textId="77777777" w:rsidR="00484F88" w:rsidRDefault="00A76487" w:rsidP="007C5B81">
      <w:pPr>
        <w:pStyle w:val="FixListStyle"/>
        <w:spacing w:after="260" w:line="280" w:lineRule="exact"/>
        <w:ind w:right="0"/>
        <w:jc w:val="both"/>
        <w:rPr>
          <w:rFonts w:ascii="Times New Roman" w:hAnsi="Times New Roman"/>
        </w:rPr>
      </w:pPr>
      <w:r w:rsidRPr="007C5B81">
        <w:rPr>
          <w:rFonts w:ascii="Times New Roman" w:hAnsi="Times New Roman"/>
        </w:rPr>
        <w:tab/>
        <w:t>I agree with the orders proposed in the reasons</w:t>
      </w:r>
      <w:r w:rsidR="000E0E84" w:rsidRPr="007C5B81">
        <w:rPr>
          <w:rFonts w:ascii="Times New Roman" w:hAnsi="Times New Roman"/>
        </w:rPr>
        <w:t xml:space="preserve"> of Gordon, Edelman and Steward JJ</w:t>
      </w:r>
      <w:r w:rsidRPr="007C5B81">
        <w:rPr>
          <w:rFonts w:ascii="Times New Roman" w:hAnsi="Times New Roman"/>
        </w:rPr>
        <w:t>.</w:t>
      </w:r>
    </w:p>
    <w:p w14:paraId="78F6FD14" w14:textId="77777777" w:rsidR="00484F88" w:rsidRDefault="00484F88" w:rsidP="007C5B81">
      <w:pPr>
        <w:pStyle w:val="FixListStyle"/>
        <w:spacing w:after="260" w:line="280" w:lineRule="exact"/>
        <w:ind w:right="0"/>
        <w:jc w:val="both"/>
        <w:rPr>
          <w:rFonts w:ascii="Times New Roman" w:hAnsi="Times New Roman"/>
        </w:rPr>
        <w:sectPr w:rsidR="00484F88" w:rsidSect="00CD1C0A">
          <w:headerReference w:type="even" r:id="rId17"/>
          <w:headerReference w:type="default" r:id="rId18"/>
          <w:footerReference w:type="even" r:id="rId19"/>
          <w:footerReference w:type="default" r:id="rId20"/>
          <w:headerReference w:type="first" r:id="rId21"/>
          <w:footerReference w:type="first" r:id="rId22"/>
          <w:pgSz w:w="11907" w:h="16839" w:code="9"/>
          <w:pgMar w:top="1440" w:right="1701" w:bottom="1984" w:left="1701" w:header="720" w:footer="720" w:gutter="0"/>
          <w:pgNumType w:start="1"/>
          <w:cols w:space="720"/>
          <w:titlePg/>
          <w:docGrid w:linePitch="354"/>
        </w:sectPr>
      </w:pPr>
    </w:p>
    <w:p w14:paraId="6930ED14" w14:textId="77777777" w:rsidR="00484F88" w:rsidRPr="005105AD" w:rsidRDefault="00484F88" w:rsidP="00484F88">
      <w:pPr>
        <w:pStyle w:val="FixListStyle"/>
        <w:numPr>
          <w:ilvl w:val="0"/>
          <w:numId w:val="18"/>
        </w:numPr>
        <w:tabs>
          <w:tab w:val="clear" w:pos="720"/>
          <w:tab w:val="left" w:pos="0"/>
        </w:tabs>
        <w:spacing w:after="260" w:line="280" w:lineRule="exact"/>
        <w:ind w:left="0" w:right="0" w:hanging="720"/>
        <w:jc w:val="both"/>
        <w:rPr>
          <w:rFonts w:ascii="Times New Roman" w:hAnsi="Times New Roman"/>
        </w:rPr>
      </w:pPr>
      <w:r w:rsidRPr="005105AD">
        <w:rPr>
          <w:rFonts w:ascii="Times New Roman" w:hAnsi="Times New Roman"/>
        </w:rPr>
        <w:lastRenderedPageBreak/>
        <w:t xml:space="preserve">GAGELER, GLEESON AND JAGOT JJ.   Extended joint criminal enterprise ("EJCE"), as recognised in </w:t>
      </w:r>
      <w:r w:rsidRPr="005105AD">
        <w:rPr>
          <w:rFonts w:ascii="Times New Roman" w:hAnsi="Times New Roman"/>
          <w:i/>
        </w:rPr>
        <w:t>McAuliffe</w:t>
      </w:r>
      <w:r w:rsidRPr="005105AD">
        <w:rPr>
          <w:rFonts w:ascii="Times New Roman" w:hAnsi="Times New Roman"/>
          <w:i/>
          <w:spacing w:val="-2"/>
        </w:rPr>
        <w:t xml:space="preserve"> </w:t>
      </w:r>
      <w:r w:rsidRPr="005105AD">
        <w:rPr>
          <w:rFonts w:ascii="Times New Roman" w:hAnsi="Times New Roman"/>
          <w:i/>
        </w:rPr>
        <w:t>v</w:t>
      </w:r>
      <w:r w:rsidRPr="005105AD">
        <w:rPr>
          <w:rFonts w:ascii="Times New Roman" w:hAnsi="Times New Roman"/>
          <w:i/>
          <w:spacing w:val="-2"/>
        </w:rPr>
        <w:t xml:space="preserve"> </w:t>
      </w:r>
      <w:r w:rsidRPr="005105AD">
        <w:rPr>
          <w:rFonts w:ascii="Times New Roman" w:hAnsi="Times New Roman"/>
          <w:i/>
        </w:rPr>
        <w:t>The</w:t>
      </w:r>
      <w:r w:rsidRPr="005105AD">
        <w:rPr>
          <w:rFonts w:ascii="Times New Roman" w:hAnsi="Times New Roman"/>
          <w:i/>
          <w:spacing w:val="-2"/>
        </w:rPr>
        <w:t xml:space="preserve"> </w:t>
      </w:r>
      <w:r w:rsidRPr="005105AD">
        <w:rPr>
          <w:rFonts w:ascii="Times New Roman" w:hAnsi="Times New Roman"/>
          <w:i/>
        </w:rPr>
        <w:t>Queen</w:t>
      </w:r>
      <w:r w:rsidRPr="005105AD">
        <w:rPr>
          <w:rStyle w:val="FootnoteReference"/>
          <w:rFonts w:ascii="Times New Roman" w:hAnsi="Times New Roman"/>
          <w:sz w:val="24"/>
        </w:rPr>
        <w:footnoteReference w:id="34"/>
      </w:r>
      <w:r w:rsidRPr="005105AD">
        <w:rPr>
          <w:rFonts w:ascii="Times New Roman" w:hAnsi="Times New Roman"/>
        </w:rPr>
        <w:t>,</w:t>
      </w:r>
      <w:r w:rsidRPr="005105AD">
        <w:rPr>
          <w:rFonts w:ascii="Times New Roman" w:hAnsi="Times New Roman"/>
          <w:spacing w:val="-2"/>
        </w:rPr>
        <w:t xml:space="preserve"> </w:t>
      </w:r>
      <w:r w:rsidRPr="005105AD">
        <w:rPr>
          <w:rFonts w:ascii="Times New Roman" w:hAnsi="Times New Roman"/>
        </w:rPr>
        <w:t>was</w:t>
      </w:r>
      <w:r w:rsidRPr="005105AD">
        <w:rPr>
          <w:rFonts w:ascii="Times New Roman" w:hAnsi="Times New Roman"/>
          <w:spacing w:val="-2"/>
        </w:rPr>
        <w:t xml:space="preserve"> </w:t>
      </w:r>
      <w:r w:rsidRPr="005105AD">
        <w:rPr>
          <w:rFonts w:ascii="Times New Roman" w:hAnsi="Times New Roman"/>
        </w:rPr>
        <w:t>confirmed</w:t>
      </w:r>
      <w:r w:rsidRPr="005105AD">
        <w:rPr>
          <w:rFonts w:ascii="Times New Roman" w:hAnsi="Times New Roman"/>
          <w:spacing w:val="-4"/>
        </w:rPr>
        <w:t xml:space="preserve"> </w:t>
      </w:r>
      <w:r w:rsidRPr="005105AD">
        <w:rPr>
          <w:rFonts w:ascii="Times New Roman" w:hAnsi="Times New Roman"/>
        </w:rPr>
        <w:t>by</w:t>
      </w:r>
      <w:r w:rsidRPr="005105AD">
        <w:rPr>
          <w:rFonts w:ascii="Times New Roman" w:hAnsi="Times New Roman"/>
          <w:spacing w:val="-2"/>
        </w:rPr>
        <w:t xml:space="preserve"> </w:t>
      </w:r>
      <w:r w:rsidRPr="005105AD">
        <w:rPr>
          <w:rFonts w:ascii="Times New Roman" w:hAnsi="Times New Roman"/>
        </w:rPr>
        <w:t>the</w:t>
      </w:r>
      <w:r w:rsidRPr="005105AD">
        <w:rPr>
          <w:rFonts w:ascii="Times New Roman" w:hAnsi="Times New Roman"/>
          <w:spacing w:val="-2"/>
        </w:rPr>
        <w:t xml:space="preserve"> </w:t>
      </w:r>
      <w:r w:rsidRPr="005105AD">
        <w:rPr>
          <w:rFonts w:ascii="Times New Roman" w:hAnsi="Times New Roman"/>
        </w:rPr>
        <w:t>majority</w:t>
      </w:r>
      <w:r w:rsidRPr="005105AD">
        <w:rPr>
          <w:rFonts w:ascii="Times New Roman" w:hAnsi="Times New Roman"/>
          <w:spacing w:val="-2"/>
        </w:rPr>
        <w:t xml:space="preserve"> </w:t>
      </w:r>
      <w:r w:rsidRPr="005105AD">
        <w:rPr>
          <w:rFonts w:ascii="Times New Roman" w:hAnsi="Times New Roman"/>
        </w:rPr>
        <w:t>in</w:t>
      </w:r>
      <w:r w:rsidRPr="005105AD">
        <w:rPr>
          <w:rFonts w:ascii="Times New Roman" w:hAnsi="Times New Roman"/>
          <w:spacing w:val="-4"/>
        </w:rPr>
        <w:t xml:space="preserve"> </w:t>
      </w:r>
      <w:r w:rsidRPr="005105AD">
        <w:rPr>
          <w:rFonts w:ascii="Times New Roman" w:hAnsi="Times New Roman"/>
          <w:i/>
        </w:rPr>
        <w:t>Miller</w:t>
      </w:r>
      <w:r w:rsidRPr="005105AD">
        <w:rPr>
          <w:rFonts w:ascii="Times New Roman" w:hAnsi="Times New Roman"/>
          <w:i/>
          <w:spacing w:val="-2"/>
        </w:rPr>
        <w:t xml:space="preserve"> </w:t>
      </w:r>
      <w:r w:rsidRPr="005105AD">
        <w:rPr>
          <w:rFonts w:ascii="Times New Roman" w:hAnsi="Times New Roman"/>
          <w:i/>
        </w:rPr>
        <w:t>v The Queen</w:t>
      </w:r>
      <w:r w:rsidRPr="005105AD">
        <w:rPr>
          <w:rStyle w:val="FootnoteReference"/>
          <w:rFonts w:ascii="Times New Roman" w:hAnsi="Times New Roman"/>
          <w:sz w:val="24"/>
        </w:rPr>
        <w:footnoteReference w:id="35"/>
      </w:r>
      <w:r w:rsidRPr="005105AD">
        <w:rPr>
          <w:rFonts w:ascii="Times New Roman" w:hAnsi="Times New Roman"/>
          <w:b/>
        </w:rPr>
        <w:t xml:space="preserve"> </w:t>
      </w:r>
      <w:r w:rsidRPr="005105AD">
        <w:rPr>
          <w:rFonts w:ascii="Times New Roman" w:hAnsi="Times New Roman"/>
        </w:rPr>
        <w:t>to be a doctrine of the common law of Australia pursuant to which criminal liability of a "sui generis nature"</w:t>
      </w:r>
      <w:r w:rsidRPr="005105AD">
        <w:rPr>
          <w:rStyle w:val="FootnoteReference"/>
          <w:rFonts w:ascii="Times New Roman" w:hAnsi="Times New Roman"/>
          <w:sz w:val="24"/>
        </w:rPr>
        <w:footnoteReference w:id="36"/>
      </w:r>
      <w:r w:rsidRPr="005105AD">
        <w:rPr>
          <w:rFonts w:ascii="Times New Roman" w:hAnsi="Times New Roman"/>
          <w:b/>
        </w:rPr>
        <w:t xml:space="preserve"> </w:t>
      </w:r>
      <w:r w:rsidRPr="005105AD">
        <w:rPr>
          <w:rFonts w:ascii="Times New Roman" w:hAnsi="Times New Roman"/>
        </w:rPr>
        <w:t>is imposed on a secondary party for an offence committed by a primary party.</w:t>
      </w:r>
    </w:p>
    <w:p w14:paraId="150407FD" w14:textId="77777777" w:rsidR="00484F88" w:rsidRPr="005105AD" w:rsidRDefault="00484F88" w:rsidP="00484F88">
      <w:pPr>
        <w:pStyle w:val="FixListStyle"/>
        <w:numPr>
          <w:ilvl w:val="0"/>
          <w:numId w:val="18"/>
        </w:numPr>
        <w:spacing w:after="260" w:line="280" w:lineRule="exact"/>
        <w:ind w:left="0" w:right="0" w:hanging="720"/>
        <w:jc w:val="both"/>
        <w:rPr>
          <w:rFonts w:ascii="Times New Roman" w:hAnsi="Times New Roman"/>
        </w:rPr>
      </w:pPr>
      <w:r w:rsidRPr="005105AD">
        <w:rPr>
          <w:rFonts w:ascii="Times New Roman" w:hAnsi="Times New Roman"/>
        </w:rPr>
        <w:tab/>
        <w:t>Pursuant</w:t>
      </w:r>
      <w:r w:rsidRPr="005105AD">
        <w:rPr>
          <w:rFonts w:ascii="Times New Roman" w:hAnsi="Times New Roman"/>
          <w:spacing w:val="-4"/>
        </w:rPr>
        <w:t xml:space="preserve"> </w:t>
      </w:r>
      <w:r w:rsidRPr="005105AD">
        <w:rPr>
          <w:rFonts w:ascii="Times New Roman" w:hAnsi="Times New Roman"/>
        </w:rPr>
        <w:t>to</w:t>
      </w:r>
      <w:r w:rsidRPr="005105AD">
        <w:rPr>
          <w:rFonts w:ascii="Times New Roman" w:hAnsi="Times New Roman"/>
          <w:spacing w:val="-4"/>
        </w:rPr>
        <w:t xml:space="preserve"> </w:t>
      </w:r>
      <w:r w:rsidRPr="005105AD">
        <w:rPr>
          <w:rFonts w:ascii="Times New Roman" w:hAnsi="Times New Roman"/>
        </w:rPr>
        <w:t>the</w:t>
      </w:r>
      <w:r w:rsidRPr="005105AD">
        <w:rPr>
          <w:rFonts w:ascii="Times New Roman" w:hAnsi="Times New Roman"/>
          <w:spacing w:val="-4"/>
        </w:rPr>
        <w:t xml:space="preserve"> </w:t>
      </w:r>
      <w:r w:rsidRPr="005105AD">
        <w:rPr>
          <w:rFonts w:ascii="Times New Roman" w:hAnsi="Times New Roman"/>
        </w:rPr>
        <w:t>common</w:t>
      </w:r>
      <w:r w:rsidRPr="005105AD">
        <w:rPr>
          <w:rFonts w:ascii="Times New Roman" w:hAnsi="Times New Roman"/>
          <w:spacing w:val="-4"/>
        </w:rPr>
        <w:t xml:space="preserve"> </w:t>
      </w:r>
      <w:r w:rsidRPr="005105AD">
        <w:rPr>
          <w:rFonts w:ascii="Times New Roman" w:hAnsi="Times New Roman"/>
        </w:rPr>
        <w:t>law</w:t>
      </w:r>
      <w:r w:rsidRPr="005105AD">
        <w:rPr>
          <w:rFonts w:ascii="Times New Roman" w:hAnsi="Times New Roman"/>
          <w:spacing w:val="-4"/>
        </w:rPr>
        <w:t xml:space="preserve"> </w:t>
      </w:r>
      <w:r w:rsidRPr="005105AD">
        <w:rPr>
          <w:rFonts w:ascii="Times New Roman" w:hAnsi="Times New Roman"/>
        </w:rPr>
        <w:t>doctrine</w:t>
      </w:r>
      <w:r w:rsidRPr="005105AD">
        <w:rPr>
          <w:rFonts w:ascii="Times New Roman" w:hAnsi="Times New Roman"/>
          <w:spacing w:val="-4"/>
        </w:rPr>
        <w:t xml:space="preserve"> </w:t>
      </w:r>
      <w:r w:rsidRPr="005105AD">
        <w:rPr>
          <w:rFonts w:ascii="Times New Roman" w:hAnsi="Times New Roman"/>
        </w:rPr>
        <w:t>of</w:t>
      </w:r>
      <w:r w:rsidRPr="005105AD">
        <w:rPr>
          <w:rFonts w:ascii="Times New Roman" w:hAnsi="Times New Roman"/>
          <w:spacing w:val="-6"/>
        </w:rPr>
        <w:t xml:space="preserve"> </w:t>
      </w:r>
      <w:r w:rsidRPr="005105AD">
        <w:rPr>
          <w:rFonts w:ascii="Times New Roman" w:hAnsi="Times New Roman"/>
        </w:rPr>
        <w:t>EJCE,</w:t>
      </w:r>
      <w:r w:rsidRPr="005105AD">
        <w:rPr>
          <w:rFonts w:ascii="Times New Roman" w:hAnsi="Times New Roman"/>
          <w:spacing w:val="-4"/>
        </w:rPr>
        <w:t xml:space="preserve"> </w:t>
      </w:r>
      <w:r w:rsidRPr="005105AD">
        <w:rPr>
          <w:rFonts w:ascii="Times New Roman" w:hAnsi="Times New Roman"/>
        </w:rPr>
        <w:t>criminal</w:t>
      </w:r>
      <w:r w:rsidRPr="005105AD">
        <w:rPr>
          <w:rFonts w:ascii="Times New Roman" w:hAnsi="Times New Roman"/>
          <w:spacing w:val="-3"/>
        </w:rPr>
        <w:t xml:space="preserve"> </w:t>
      </w:r>
      <w:r w:rsidRPr="005105AD">
        <w:rPr>
          <w:rFonts w:ascii="Times New Roman" w:hAnsi="Times New Roman"/>
        </w:rPr>
        <w:t>liability is imposed on a secondary party for an additional offence</w:t>
      </w:r>
      <w:r w:rsidRPr="005105AD">
        <w:rPr>
          <w:rStyle w:val="FootnoteReference"/>
          <w:rFonts w:ascii="Times New Roman" w:hAnsi="Times New Roman"/>
          <w:sz w:val="24"/>
        </w:rPr>
        <w:footnoteReference w:id="37"/>
      </w:r>
      <w:r w:rsidRPr="005105AD">
        <w:rPr>
          <w:rFonts w:ascii="Times New Roman" w:hAnsi="Times New Roman"/>
        </w:rPr>
        <w:t xml:space="preserve"> committed by a primary party where the secondary party has participated with the primary party in the execution of an agreement to commit another offence</w:t>
      </w:r>
      <w:r w:rsidRPr="005105AD">
        <w:rPr>
          <w:rStyle w:val="FootnoteReference"/>
          <w:rFonts w:ascii="Times New Roman" w:hAnsi="Times New Roman"/>
          <w:sz w:val="24"/>
        </w:rPr>
        <w:footnoteReference w:id="38"/>
      </w:r>
      <w:r w:rsidRPr="005105AD">
        <w:rPr>
          <w:rFonts w:ascii="Times New Roman" w:hAnsi="Times New Roman"/>
        </w:rPr>
        <w:t xml:space="preserve"> with foresight of the possibility that the primary party might commit the additional</w:t>
      </w:r>
      <w:r w:rsidRPr="005105AD">
        <w:rPr>
          <w:rFonts w:ascii="Times New Roman" w:hAnsi="Times New Roman"/>
          <w:spacing w:val="40"/>
        </w:rPr>
        <w:t xml:space="preserve"> </w:t>
      </w:r>
      <w:r w:rsidRPr="005105AD">
        <w:rPr>
          <w:rFonts w:ascii="Times New Roman" w:hAnsi="Times New Roman"/>
        </w:rPr>
        <w:t>offence</w:t>
      </w:r>
      <w:r w:rsidRPr="005105AD">
        <w:rPr>
          <w:rFonts w:ascii="Times New Roman" w:hAnsi="Times New Roman"/>
          <w:spacing w:val="-2"/>
        </w:rPr>
        <w:t xml:space="preserve"> </w:t>
      </w:r>
      <w:r w:rsidRPr="005105AD">
        <w:rPr>
          <w:rFonts w:ascii="Times New Roman" w:hAnsi="Times New Roman"/>
        </w:rPr>
        <w:t>as</w:t>
      </w:r>
      <w:r w:rsidRPr="005105AD">
        <w:rPr>
          <w:rFonts w:ascii="Times New Roman" w:hAnsi="Times New Roman"/>
          <w:spacing w:val="-2"/>
        </w:rPr>
        <w:t xml:space="preserve"> </w:t>
      </w:r>
      <w:r w:rsidRPr="005105AD">
        <w:rPr>
          <w:rFonts w:ascii="Times New Roman" w:hAnsi="Times New Roman"/>
        </w:rPr>
        <w:t>an</w:t>
      </w:r>
      <w:r w:rsidRPr="005105AD">
        <w:rPr>
          <w:rFonts w:ascii="Times New Roman" w:hAnsi="Times New Roman"/>
          <w:spacing w:val="-2"/>
        </w:rPr>
        <w:t xml:space="preserve"> </w:t>
      </w:r>
      <w:r w:rsidRPr="005105AD">
        <w:rPr>
          <w:rFonts w:ascii="Times New Roman" w:hAnsi="Times New Roman"/>
        </w:rPr>
        <w:t>incident</w:t>
      </w:r>
      <w:r w:rsidRPr="005105AD">
        <w:rPr>
          <w:rFonts w:ascii="Times New Roman" w:hAnsi="Times New Roman"/>
          <w:spacing w:val="-2"/>
        </w:rPr>
        <w:t xml:space="preserve"> </w:t>
      </w:r>
      <w:r w:rsidRPr="005105AD">
        <w:rPr>
          <w:rFonts w:ascii="Times New Roman" w:hAnsi="Times New Roman"/>
        </w:rPr>
        <w:t>of</w:t>
      </w:r>
      <w:r w:rsidRPr="005105AD">
        <w:rPr>
          <w:rFonts w:ascii="Times New Roman" w:hAnsi="Times New Roman"/>
          <w:spacing w:val="-2"/>
        </w:rPr>
        <w:t xml:space="preserve"> </w:t>
      </w:r>
      <w:r w:rsidRPr="005105AD">
        <w:rPr>
          <w:rFonts w:ascii="Times New Roman" w:hAnsi="Times New Roman"/>
        </w:rPr>
        <w:t>executing</w:t>
      </w:r>
      <w:r w:rsidRPr="005105AD">
        <w:rPr>
          <w:rFonts w:ascii="Times New Roman" w:hAnsi="Times New Roman"/>
          <w:spacing w:val="-2"/>
        </w:rPr>
        <w:t xml:space="preserve"> </w:t>
      </w:r>
      <w:r w:rsidRPr="005105AD">
        <w:rPr>
          <w:rFonts w:ascii="Times New Roman" w:hAnsi="Times New Roman"/>
        </w:rPr>
        <w:t>their</w:t>
      </w:r>
      <w:r w:rsidRPr="005105AD">
        <w:rPr>
          <w:rFonts w:ascii="Times New Roman" w:hAnsi="Times New Roman"/>
          <w:spacing w:val="-5"/>
        </w:rPr>
        <w:t xml:space="preserve"> </w:t>
      </w:r>
      <w:r w:rsidRPr="005105AD">
        <w:rPr>
          <w:rFonts w:ascii="Times New Roman" w:hAnsi="Times New Roman"/>
        </w:rPr>
        <w:t>agreement.</w:t>
      </w:r>
      <w:r w:rsidRPr="005105AD">
        <w:rPr>
          <w:rFonts w:ascii="Times New Roman" w:hAnsi="Times New Roman"/>
          <w:spacing w:val="-2"/>
        </w:rPr>
        <w:t xml:space="preserve"> </w:t>
      </w:r>
      <w:r w:rsidRPr="005105AD">
        <w:rPr>
          <w:rFonts w:ascii="Times New Roman" w:hAnsi="Times New Roman"/>
        </w:rPr>
        <w:t>The</w:t>
      </w:r>
      <w:r w:rsidRPr="005105AD">
        <w:rPr>
          <w:rFonts w:ascii="Times New Roman" w:hAnsi="Times New Roman"/>
          <w:spacing w:val="-2"/>
        </w:rPr>
        <w:t xml:space="preserve"> </w:t>
      </w:r>
      <w:r w:rsidRPr="005105AD">
        <w:rPr>
          <w:rFonts w:ascii="Times New Roman" w:hAnsi="Times New Roman"/>
        </w:rPr>
        <w:t xml:space="preserve">justification for the secondary party being criminally liable for the additional offence committed by the primary party in those circumstances is said to lie in "the mutual embarkation on a </w:t>
      </w:r>
      <w:proofErr w:type="gramStart"/>
      <w:r w:rsidRPr="005105AD">
        <w:rPr>
          <w:rFonts w:ascii="Times New Roman" w:hAnsi="Times New Roman"/>
        </w:rPr>
        <w:t>crime</w:t>
      </w:r>
      <w:r w:rsidRPr="005105AD">
        <w:rPr>
          <w:rFonts w:ascii="Times New Roman" w:hAnsi="Times New Roman"/>
          <w:sz w:val="24"/>
          <w:vertAlign w:val="superscript"/>
        </w:rPr>
        <w:t>[</w:t>
      </w:r>
      <w:proofErr w:type="gramEnd"/>
      <w:r w:rsidRPr="005105AD">
        <w:rPr>
          <w:rStyle w:val="FootnoteReference"/>
          <w:rFonts w:ascii="Times New Roman" w:hAnsi="Times New Roman"/>
          <w:sz w:val="24"/>
        </w:rPr>
        <w:footnoteReference w:id="39"/>
      </w:r>
      <w:r w:rsidRPr="005105AD">
        <w:rPr>
          <w:rFonts w:ascii="Times New Roman" w:hAnsi="Times New Roman"/>
          <w:sz w:val="24"/>
          <w:vertAlign w:val="superscript"/>
        </w:rPr>
        <w:t>]</w:t>
      </w:r>
      <w:r w:rsidRPr="005105AD">
        <w:rPr>
          <w:rFonts w:ascii="Times New Roman" w:hAnsi="Times New Roman"/>
        </w:rPr>
        <w:t xml:space="preserve"> with the awareness that the incidental crime may be committed in executing</w:t>
      </w:r>
      <w:r w:rsidRPr="005105AD">
        <w:rPr>
          <w:rFonts w:ascii="Times New Roman" w:hAnsi="Times New Roman"/>
          <w:spacing w:val="-2"/>
        </w:rPr>
        <w:t xml:space="preserve"> </w:t>
      </w:r>
      <w:r w:rsidRPr="005105AD">
        <w:rPr>
          <w:rFonts w:ascii="Times New Roman" w:hAnsi="Times New Roman"/>
        </w:rPr>
        <w:t>their</w:t>
      </w:r>
      <w:r w:rsidRPr="005105AD">
        <w:rPr>
          <w:rFonts w:ascii="Times New Roman" w:hAnsi="Times New Roman"/>
          <w:spacing w:val="-2"/>
        </w:rPr>
        <w:t xml:space="preserve"> </w:t>
      </w:r>
      <w:r w:rsidRPr="005105AD">
        <w:rPr>
          <w:rFonts w:ascii="Times New Roman" w:hAnsi="Times New Roman"/>
        </w:rPr>
        <w:t>agreement"</w:t>
      </w:r>
      <w:r w:rsidRPr="005105AD">
        <w:rPr>
          <w:rStyle w:val="FootnoteReference"/>
          <w:rFonts w:ascii="Times New Roman" w:hAnsi="Times New Roman"/>
          <w:sz w:val="24"/>
        </w:rPr>
        <w:footnoteReference w:id="40"/>
      </w:r>
      <w:r w:rsidRPr="005105AD">
        <w:rPr>
          <w:rFonts w:ascii="Times New Roman" w:hAnsi="Times New Roman"/>
        </w:rPr>
        <w:t>.</w:t>
      </w:r>
      <w:r w:rsidRPr="005105AD">
        <w:rPr>
          <w:rFonts w:ascii="Times New Roman" w:hAnsi="Times New Roman"/>
          <w:spacing w:val="-2"/>
        </w:rPr>
        <w:t xml:space="preserve"> </w:t>
      </w:r>
      <w:r w:rsidRPr="005105AD">
        <w:rPr>
          <w:rFonts w:ascii="Times New Roman" w:hAnsi="Times New Roman"/>
        </w:rPr>
        <w:t>The</w:t>
      </w:r>
      <w:r w:rsidRPr="005105AD">
        <w:rPr>
          <w:rFonts w:ascii="Times New Roman" w:hAnsi="Times New Roman"/>
          <w:spacing w:val="-2"/>
        </w:rPr>
        <w:t xml:space="preserve"> </w:t>
      </w:r>
      <w:r w:rsidRPr="005105AD">
        <w:rPr>
          <w:rFonts w:ascii="Times New Roman" w:hAnsi="Times New Roman"/>
        </w:rPr>
        <w:t>execution</w:t>
      </w:r>
      <w:r w:rsidRPr="005105AD">
        <w:rPr>
          <w:rFonts w:ascii="Times New Roman" w:hAnsi="Times New Roman"/>
          <w:spacing w:val="-2"/>
        </w:rPr>
        <w:t xml:space="preserve"> </w:t>
      </w:r>
      <w:r w:rsidRPr="005105AD">
        <w:rPr>
          <w:rFonts w:ascii="Times New Roman" w:hAnsi="Times New Roman"/>
        </w:rPr>
        <w:t>of</w:t>
      </w:r>
      <w:r w:rsidRPr="005105AD">
        <w:rPr>
          <w:rFonts w:ascii="Times New Roman" w:hAnsi="Times New Roman"/>
          <w:spacing w:val="-2"/>
        </w:rPr>
        <w:t xml:space="preserve"> </w:t>
      </w:r>
      <w:r w:rsidRPr="005105AD">
        <w:rPr>
          <w:rFonts w:ascii="Times New Roman" w:hAnsi="Times New Roman"/>
        </w:rPr>
        <w:t>the</w:t>
      </w:r>
      <w:r w:rsidRPr="005105AD">
        <w:rPr>
          <w:rFonts w:ascii="Times New Roman" w:hAnsi="Times New Roman"/>
          <w:spacing w:val="-2"/>
        </w:rPr>
        <w:t xml:space="preserve"> </w:t>
      </w:r>
      <w:r w:rsidRPr="005105AD">
        <w:rPr>
          <w:rFonts w:ascii="Times New Roman" w:hAnsi="Times New Roman"/>
        </w:rPr>
        <w:t>common</w:t>
      </w:r>
      <w:r w:rsidRPr="005105AD">
        <w:rPr>
          <w:rFonts w:ascii="Times New Roman" w:hAnsi="Times New Roman"/>
          <w:spacing w:val="-4"/>
        </w:rPr>
        <w:t xml:space="preserve"> </w:t>
      </w:r>
      <w:r w:rsidRPr="005105AD">
        <w:rPr>
          <w:rFonts w:ascii="Times New Roman" w:hAnsi="Times New Roman"/>
        </w:rPr>
        <w:t xml:space="preserve">purpose and the foreseen attendant risk of an additional crime being committed are said to be a "package deal" in that the secondary party's voluntary assumption of the risk of the additional crime being committed is seen to be implicit in the secondary party's subscription to the agreement which carries that </w:t>
      </w:r>
      <w:r w:rsidRPr="005105AD">
        <w:rPr>
          <w:rFonts w:ascii="Times New Roman" w:hAnsi="Times New Roman"/>
          <w:spacing w:val="-2"/>
        </w:rPr>
        <w:t>risk</w:t>
      </w:r>
      <w:r w:rsidRPr="005105AD">
        <w:rPr>
          <w:rStyle w:val="FootnoteReference"/>
          <w:rFonts w:ascii="Times New Roman" w:hAnsi="Times New Roman"/>
          <w:spacing w:val="-2"/>
          <w:sz w:val="24"/>
        </w:rPr>
        <w:footnoteReference w:id="41"/>
      </w:r>
      <w:r w:rsidRPr="005105AD">
        <w:rPr>
          <w:rFonts w:ascii="Times New Roman" w:hAnsi="Times New Roman"/>
        </w:rPr>
        <w:t>.</w:t>
      </w:r>
    </w:p>
    <w:p w14:paraId="56B321B7" w14:textId="77777777" w:rsidR="00484F88" w:rsidRPr="005105AD" w:rsidRDefault="00484F88" w:rsidP="00484F88">
      <w:pPr>
        <w:pStyle w:val="FixListStyle"/>
        <w:numPr>
          <w:ilvl w:val="0"/>
          <w:numId w:val="18"/>
        </w:numPr>
        <w:spacing w:after="260" w:line="280" w:lineRule="exact"/>
        <w:ind w:left="0" w:right="0" w:hanging="720"/>
        <w:jc w:val="both"/>
        <w:rPr>
          <w:rFonts w:ascii="Times New Roman" w:hAnsi="Times New Roman"/>
        </w:rPr>
      </w:pPr>
      <w:r w:rsidRPr="005105AD">
        <w:rPr>
          <w:rFonts w:ascii="Times New Roman" w:hAnsi="Times New Roman"/>
        </w:rPr>
        <w:tab/>
        <w:t xml:space="preserve">The dispositive question in each of these appeals is whether the common law doctrine of EJCE operates in the context of s 12A of the </w:t>
      </w:r>
      <w:r w:rsidRPr="005105AD">
        <w:rPr>
          <w:rFonts w:ascii="Times New Roman" w:hAnsi="Times New Roman"/>
          <w:i/>
        </w:rPr>
        <w:t xml:space="preserve">Criminal Law Consolidation Act 1935 </w:t>
      </w:r>
      <w:r w:rsidRPr="005105AD">
        <w:rPr>
          <w:rFonts w:ascii="Times New Roman" w:hAnsi="Times New Roman"/>
        </w:rPr>
        <w:t xml:space="preserve">(SA) ("the CLCA") to produce the result that a secondary </w:t>
      </w:r>
      <w:r w:rsidRPr="005105AD">
        <w:rPr>
          <w:rFonts w:ascii="Times New Roman" w:hAnsi="Times New Roman"/>
        </w:rPr>
        <w:lastRenderedPageBreak/>
        <w:t>party can be guilty of a murder committed by a primary party where the secondary party has participated in the execution of an agreement to commit a major indictable</w:t>
      </w:r>
      <w:r w:rsidRPr="005105AD">
        <w:rPr>
          <w:rFonts w:ascii="Times New Roman" w:hAnsi="Times New Roman"/>
          <w:spacing w:val="-4"/>
        </w:rPr>
        <w:t xml:space="preserve"> </w:t>
      </w:r>
      <w:r w:rsidRPr="005105AD">
        <w:rPr>
          <w:rFonts w:ascii="Times New Roman" w:hAnsi="Times New Roman"/>
        </w:rPr>
        <w:t>offence</w:t>
      </w:r>
      <w:r w:rsidRPr="005105AD">
        <w:rPr>
          <w:rFonts w:ascii="Times New Roman" w:hAnsi="Times New Roman"/>
          <w:spacing w:val="-4"/>
        </w:rPr>
        <w:t xml:space="preserve"> </w:t>
      </w:r>
      <w:r w:rsidRPr="005105AD">
        <w:rPr>
          <w:rFonts w:ascii="Times New Roman" w:hAnsi="Times New Roman"/>
        </w:rPr>
        <w:t>punishable</w:t>
      </w:r>
      <w:r w:rsidRPr="005105AD">
        <w:rPr>
          <w:rFonts w:ascii="Times New Roman" w:hAnsi="Times New Roman"/>
          <w:spacing w:val="-4"/>
        </w:rPr>
        <w:t xml:space="preserve"> </w:t>
      </w:r>
      <w:r w:rsidRPr="005105AD">
        <w:rPr>
          <w:rFonts w:ascii="Times New Roman" w:hAnsi="Times New Roman"/>
        </w:rPr>
        <w:t>by</w:t>
      </w:r>
      <w:r w:rsidRPr="005105AD">
        <w:rPr>
          <w:rFonts w:ascii="Times New Roman" w:hAnsi="Times New Roman"/>
          <w:spacing w:val="-4"/>
        </w:rPr>
        <w:t xml:space="preserve"> </w:t>
      </w:r>
      <w:r w:rsidRPr="005105AD">
        <w:rPr>
          <w:rFonts w:ascii="Times New Roman" w:hAnsi="Times New Roman"/>
        </w:rPr>
        <w:t>imprisonment</w:t>
      </w:r>
      <w:r w:rsidRPr="005105AD">
        <w:rPr>
          <w:rFonts w:ascii="Times New Roman" w:hAnsi="Times New Roman"/>
          <w:spacing w:val="-4"/>
        </w:rPr>
        <w:t xml:space="preserve"> </w:t>
      </w:r>
      <w:r w:rsidRPr="005105AD">
        <w:rPr>
          <w:rFonts w:ascii="Times New Roman" w:hAnsi="Times New Roman"/>
        </w:rPr>
        <w:t>for</w:t>
      </w:r>
      <w:r w:rsidRPr="005105AD">
        <w:rPr>
          <w:rFonts w:ascii="Times New Roman" w:hAnsi="Times New Roman"/>
          <w:spacing w:val="-4"/>
        </w:rPr>
        <w:t xml:space="preserve"> </w:t>
      </w:r>
      <w:r w:rsidRPr="005105AD">
        <w:rPr>
          <w:rFonts w:ascii="Times New Roman" w:hAnsi="Times New Roman"/>
        </w:rPr>
        <w:t>ten</w:t>
      </w:r>
      <w:r w:rsidRPr="005105AD">
        <w:rPr>
          <w:rFonts w:ascii="Times New Roman" w:hAnsi="Times New Roman"/>
          <w:spacing w:val="-4"/>
        </w:rPr>
        <w:t xml:space="preserve"> </w:t>
      </w:r>
      <w:r w:rsidRPr="005105AD">
        <w:rPr>
          <w:rFonts w:ascii="Times New Roman" w:hAnsi="Times New Roman"/>
        </w:rPr>
        <w:t>years</w:t>
      </w:r>
      <w:r w:rsidRPr="005105AD">
        <w:rPr>
          <w:rFonts w:ascii="Times New Roman" w:hAnsi="Times New Roman"/>
          <w:spacing w:val="-4"/>
        </w:rPr>
        <w:t xml:space="preserve"> </w:t>
      </w:r>
      <w:r w:rsidRPr="005105AD">
        <w:rPr>
          <w:rFonts w:ascii="Times New Roman" w:hAnsi="Times New Roman"/>
        </w:rPr>
        <w:t>or</w:t>
      </w:r>
      <w:r w:rsidRPr="005105AD">
        <w:rPr>
          <w:rFonts w:ascii="Times New Roman" w:hAnsi="Times New Roman"/>
          <w:spacing w:val="-4"/>
        </w:rPr>
        <w:t xml:space="preserve"> </w:t>
      </w:r>
      <w:r w:rsidRPr="005105AD">
        <w:rPr>
          <w:rFonts w:ascii="Times New Roman" w:hAnsi="Times New Roman"/>
        </w:rPr>
        <w:t>more with nothing other than foresight of the possibility that the primary party might commit an intentional act of violence as an incident of carrying</w:t>
      </w:r>
      <w:r w:rsidRPr="005105AD">
        <w:rPr>
          <w:rFonts w:ascii="Times New Roman" w:hAnsi="Times New Roman"/>
          <w:spacing w:val="-3"/>
        </w:rPr>
        <w:t xml:space="preserve"> </w:t>
      </w:r>
      <w:r w:rsidRPr="005105AD">
        <w:rPr>
          <w:rFonts w:ascii="Times New Roman" w:hAnsi="Times New Roman"/>
        </w:rPr>
        <w:t>out</w:t>
      </w:r>
      <w:r w:rsidRPr="005105AD">
        <w:rPr>
          <w:rFonts w:ascii="Times New Roman" w:hAnsi="Times New Roman"/>
          <w:spacing w:val="-3"/>
        </w:rPr>
        <w:t xml:space="preserve"> </w:t>
      </w:r>
      <w:r w:rsidRPr="005105AD">
        <w:rPr>
          <w:rFonts w:ascii="Times New Roman" w:hAnsi="Times New Roman"/>
        </w:rPr>
        <w:t>that</w:t>
      </w:r>
      <w:r w:rsidRPr="005105AD">
        <w:rPr>
          <w:rFonts w:ascii="Times New Roman" w:hAnsi="Times New Roman"/>
          <w:spacing w:val="-3"/>
        </w:rPr>
        <w:t xml:space="preserve"> </w:t>
      </w:r>
      <w:r w:rsidRPr="005105AD">
        <w:rPr>
          <w:rFonts w:ascii="Times New Roman" w:hAnsi="Times New Roman"/>
        </w:rPr>
        <w:t>agreement</w:t>
      </w:r>
      <w:r w:rsidRPr="005105AD">
        <w:rPr>
          <w:rFonts w:ascii="Times New Roman" w:hAnsi="Times New Roman"/>
          <w:spacing w:val="-2"/>
        </w:rPr>
        <w:t>.</w:t>
      </w:r>
    </w:p>
    <w:p w14:paraId="31215B26" w14:textId="77777777" w:rsidR="00484F88" w:rsidRPr="005105AD" w:rsidRDefault="00484F88" w:rsidP="00484F88">
      <w:pPr>
        <w:pStyle w:val="FixListStyle"/>
        <w:numPr>
          <w:ilvl w:val="0"/>
          <w:numId w:val="18"/>
        </w:numPr>
        <w:spacing w:after="260" w:line="280" w:lineRule="exact"/>
        <w:ind w:left="0" w:right="0" w:hanging="720"/>
        <w:jc w:val="both"/>
        <w:rPr>
          <w:rFonts w:ascii="Times New Roman" w:hAnsi="Times New Roman"/>
        </w:rPr>
      </w:pPr>
      <w:r w:rsidRPr="005105AD">
        <w:rPr>
          <w:rFonts w:ascii="Times New Roman" w:hAnsi="Times New Roman"/>
          <w:spacing w:val="-2"/>
        </w:rPr>
        <w:tab/>
      </w:r>
      <w:r w:rsidRPr="005105AD">
        <w:rPr>
          <w:rFonts w:ascii="Times New Roman" w:hAnsi="Times New Roman"/>
        </w:rPr>
        <w:t>The</w:t>
      </w:r>
      <w:r w:rsidRPr="005105AD">
        <w:rPr>
          <w:rFonts w:ascii="Times New Roman" w:hAnsi="Times New Roman"/>
          <w:spacing w:val="-4"/>
        </w:rPr>
        <w:t xml:space="preserve"> </w:t>
      </w:r>
      <w:r w:rsidRPr="005105AD">
        <w:rPr>
          <w:rFonts w:ascii="Times New Roman" w:hAnsi="Times New Roman"/>
        </w:rPr>
        <w:t>answer</w:t>
      </w:r>
      <w:r w:rsidRPr="005105AD">
        <w:rPr>
          <w:rFonts w:ascii="Times New Roman" w:hAnsi="Times New Roman"/>
          <w:spacing w:val="-4"/>
        </w:rPr>
        <w:t xml:space="preserve"> </w:t>
      </w:r>
      <w:r w:rsidRPr="005105AD">
        <w:rPr>
          <w:rFonts w:ascii="Times New Roman" w:hAnsi="Times New Roman"/>
        </w:rPr>
        <w:t>turns</w:t>
      </w:r>
      <w:r w:rsidRPr="005105AD">
        <w:rPr>
          <w:rFonts w:ascii="Times New Roman" w:hAnsi="Times New Roman"/>
          <w:spacing w:val="-4"/>
        </w:rPr>
        <w:t xml:space="preserve"> </w:t>
      </w:r>
      <w:r w:rsidRPr="005105AD">
        <w:rPr>
          <w:rFonts w:ascii="Times New Roman" w:hAnsi="Times New Roman"/>
        </w:rPr>
        <w:t>on</w:t>
      </w:r>
      <w:r w:rsidRPr="005105AD">
        <w:rPr>
          <w:rFonts w:ascii="Times New Roman" w:hAnsi="Times New Roman"/>
          <w:spacing w:val="-4"/>
        </w:rPr>
        <w:t xml:space="preserve"> </w:t>
      </w:r>
      <w:r w:rsidRPr="005105AD">
        <w:rPr>
          <w:rFonts w:ascii="Times New Roman" w:hAnsi="Times New Roman"/>
        </w:rPr>
        <w:t>the</w:t>
      </w:r>
      <w:r w:rsidRPr="005105AD">
        <w:rPr>
          <w:rFonts w:ascii="Times New Roman" w:hAnsi="Times New Roman"/>
          <w:spacing w:val="-4"/>
        </w:rPr>
        <w:t xml:space="preserve"> </w:t>
      </w:r>
      <w:r w:rsidRPr="005105AD">
        <w:rPr>
          <w:rFonts w:ascii="Times New Roman" w:hAnsi="Times New Roman"/>
        </w:rPr>
        <w:t>capacity</w:t>
      </w:r>
      <w:r w:rsidRPr="005105AD">
        <w:rPr>
          <w:rFonts w:ascii="Times New Roman" w:hAnsi="Times New Roman"/>
          <w:spacing w:val="-4"/>
        </w:rPr>
        <w:t xml:space="preserve"> </w:t>
      </w:r>
      <w:r w:rsidRPr="005105AD">
        <w:rPr>
          <w:rFonts w:ascii="Times New Roman" w:hAnsi="Times New Roman"/>
        </w:rPr>
        <w:t>of</w:t>
      </w:r>
      <w:r w:rsidRPr="005105AD">
        <w:rPr>
          <w:rFonts w:ascii="Times New Roman" w:hAnsi="Times New Roman"/>
          <w:spacing w:val="-4"/>
        </w:rPr>
        <w:t xml:space="preserve"> </w:t>
      </w:r>
      <w:r w:rsidRPr="005105AD">
        <w:rPr>
          <w:rFonts w:ascii="Times New Roman" w:hAnsi="Times New Roman"/>
        </w:rPr>
        <w:t>the</w:t>
      </w:r>
      <w:r w:rsidRPr="005105AD">
        <w:rPr>
          <w:rFonts w:ascii="Times New Roman" w:hAnsi="Times New Roman"/>
          <w:spacing w:val="-4"/>
        </w:rPr>
        <w:t xml:space="preserve"> </w:t>
      </w:r>
      <w:r w:rsidRPr="005105AD">
        <w:rPr>
          <w:rFonts w:ascii="Times New Roman" w:hAnsi="Times New Roman"/>
        </w:rPr>
        <w:t>common</w:t>
      </w:r>
      <w:r w:rsidRPr="005105AD">
        <w:rPr>
          <w:rFonts w:ascii="Times New Roman" w:hAnsi="Times New Roman"/>
          <w:spacing w:val="-4"/>
        </w:rPr>
        <w:t xml:space="preserve"> </w:t>
      </w:r>
      <w:r w:rsidRPr="005105AD">
        <w:rPr>
          <w:rFonts w:ascii="Times New Roman" w:hAnsi="Times New Roman"/>
        </w:rPr>
        <w:t>law</w:t>
      </w:r>
      <w:r w:rsidRPr="005105AD">
        <w:rPr>
          <w:rFonts w:ascii="Times New Roman" w:hAnsi="Times New Roman"/>
          <w:spacing w:val="-4"/>
        </w:rPr>
        <w:t xml:space="preserve"> </w:t>
      </w:r>
      <w:r w:rsidRPr="005105AD">
        <w:rPr>
          <w:rFonts w:ascii="Times New Roman" w:hAnsi="Times New Roman"/>
        </w:rPr>
        <w:t>doctrine to operate harmoniously with the relevant statutory structure and statutory purpose.</w:t>
      </w:r>
    </w:p>
    <w:p w14:paraId="67B28955" w14:textId="77777777" w:rsidR="00484F88" w:rsidRPr="005105AD" w:rsidRDefault="00484F88" w:rsidP="00484F88">
      <w:pPr>
        <w:pStyle w:val="FixListStyle"/>
        <w:numPr>
          <w:ilvl w:val="0"/>
          <w:numId w:val="18"/>
        </w:numPr>
        <w:spacing w:after="260" w:line="280" w:lineRule="exact"/>
        <w:ind w:left="0" w:right="0" w:hanging="720"/>
        <w:jc w:val="both"/>
        <w:rPr>
          <w:rFonts w:ascii="Times New Roman" w:hAnsi="Times New Roman"/>
        </w:rPr>
      </w:pPr>
      <w:r w:rsidRPr="005105AD">
        <w:rPr>
          <w:rFonts w:ascii="Times New Roman" w:hAnsi="Times New Roman"/>
        </w:rPr>
        <w:tab/>
        <w:t>Section 11 of the CLCA provides that any person who commits murder shall be guilty of an offence. Unlike s 12 of the CLCA (which deals with conspiring or soliciting to commit murder), s 12A of the CLCA (which deals with causing death by an intentional act of violence while acting in the course or furtherance of a major indictable offence of the relevant kind) does not create a standalone offence. Section 12A merely specifies one circumstance in</w:t>
      </w:r>
      <w:r w:rsidRPr="005105AD">
        <w:rPr>
          <w:rFonts w:ascii="Times New Roman" w:hAnsi="Times New Roman"/>
          <w:spacing w:val="-3"/>
        </w:rPr>
        <w:t xml:space="preserve"> </w:t>
      </w:r>
      <w:r w:rsidRPr="005105AD">
        <w:rPr>
          <w:rFonts w:ascii="Times New Roman" w:hAnsi="Times New Roman"/>
        </w:rPr>
        <w:t>which</w:t>
      </w:r>
      <w:r w:rsidRPr="005105AD">
        <w:rPr>
          <w:rFonts w:ascii="Times New Roman" w:hAnsi="Times New Roman"/>
          <w:spacing w:val="-3"/>
        </w:rPr>
        <w:t xml:space="preserve"> </w:t>
      </w:r>
      <w:r w:rsidRPr="005105AD">
        <w:rPr>
          <w:rFonts w:ascii="Times New Roman" w:hAnsi="Times New Roman"/>
        </w:rPr>
        <w:t>a</w:t>
      </w:r>
      <w:r w:rsidRPr="005105AD">
        <w:rPr>
          <w:rFonts w:ascii="Times New Roman" w:hAnsi="Times New Roman"/>
          <w:spacing w:val="-3"/>
        </w:rPr>
        <w:t xml:space="preserve"> </w:t>
      </w:r>
      <w:r w:rsidRPr="005105AD">
        <w:rPr>
          <w:rFonts w:ascii="Times New Roman" w:hAnsi="Times New Roman"/>
        </w:rPr>
        <w:t>person</w:t>
      </w:r>
      <w:r w:rsidRPr="005105AD">
        <w:rPr>
          <w:rFonts w:ascii="Times New Roman" w:hAnsi="Times New Roman"/>
          <w:spacing w:val="-3"/>
        </w:rPr>
        <w:t xml:space="preserve"> </w:t>
      </w:r>
      <w:r w:rsidRPr="005105AD">
        <w:rPr>
          <w:rFonts w:ascii="Times New Roman" w:hAnsi="Times New Roman"/>
        </w:rPr>
        <w:t>is</w:t>
      </w:r>
      <w:r w:rsidRPr="005105AD">
        <w:rPr>
          <w:rFonts w:ascii="Times New Roman" w:hAnsi="Times New Roman"/>
          <w:spacing w:val="-5"/>
        </w:rPr>
        <w:t xml:space="preserve"> </w:t>
      </w:r>
      <w:r w:rsidRPr="005105AD">
        <w:rPr>
          <w:rFonts w:ascii="Times New Roman" w:hAnsi="Times New Roman"/>
        </w:rPr>
        <w:t>guilty</w:t>
      </w:r>
      <w:r w:rsidRPr="005105AD">
        <w:rPr>
          <w:rFonts w:ascii="Times New Roman" w:hAnsi="Times New Roman"/>
          <w:spacing w:val="-3"/>
        </w:rPr>
        <w:t xml:space="preserve"> </w:t>
      </w:r>
      <w:r w:rsidRPr="005105AD">
        <w:rPr>
          <w:rFonts w:ascii="Times New Roman" w:hAnsi="Times New Roman"/>
        </w:rPr>
        <w:t>of</w:t>
      </w:r>
      <w:r w:rsidRPr="005105AD">
        <w:rPr>
          <w:rFonts w:ascii="Times New Roman" w:hAnsi="Times New Roman"/>
          <w:spacing w:val="-3"/>
        </w:rPr>
        <w:t xml:space="preserve"> </w:t>
      </w:r>
      <w:r w:rsidRPr="005105AD">
        <w:rPr>
          <w:rFonts w:ascii="Times New Roman" w:hAnsi="Times New Roman"/>
        </w:rPr>
        <w:t>the</w:t>
      </w:r>
      <w:r w:rsidRPr="005105AD">
        <w:rPr>
          <w:rFonts w:ascii="Times New Roman" w:hAnsi="Times New Roman"/>
          <w:spacing w:val="-3"/>
        </w:rPr>
        <w:t xml:space="preserve"> </w:t>
      </w:r>
      <w:r w:rsidRPr="005105AD">
        <w:rPr>
          <w:rFonts w:ascii="Times New Roman" w:hAnsi="Times New Roman"/>
        </w:rPr>
        <w:t>offence</w:t>
      </w:r>
      <w:r w:rsidRPr="005105AD">
        <w:rPr>
          <w:rFonts w:ascii="Times New Roman" w:hAnsi="Times New Roman"/>
          <w:spacing w:val="-3"/>
        </w:rPr>
        <w:t xml:space="preserve"> </w:t>
      </w:r>
      <w:r w:rsidRPr="005105AD">
        <w:rPr>
          <w:rFonts w:ascii="Times New Roman" w:hAnsi="Times New Roman"/>
        </w:rPr>
        <w:t>of</w:t>
      </w:r>
      <w:r w:rsidRPr="005105AD">
        <w:rPr>
          <w:rFonts w:ascii="Times New Roman" w:hAnsi="Times New Roman"/>
          <w:spacing w:val="-3"/>
        </w:rPr>
        <w:t xml:space="preserve"> </w:t>
      </w:r>
      <w:r w:rsidRPr="005105AD">
        <w:rPr>
          <w:rFonts w:ascii="Times New Roman" w:hAnsi="Times New Roman"/>
        </w:rPr>
        <w:t>murder</w:t>
      </w:r>
      <w:r w:rsidRPr="005105AD">
        <w:rPr>
          <w:rFonts w:ascii="Times New Roman" w:hAnsi="Times New Roman"/>
          <w:spacing w:val="-2"/>
        </w:rPr>
        <w:t xml:space="preserve"> </w:t>
      </w:r>
      <w:r w:rsidRPr="005105AD">
        <w:rPr>
          <w:rFonts w:ascii="Times New Roman" w:hAnsi="Times New Roman"/>
        </w:rPr>
        <w:t>created</w:t>
      </w:r>
      <w:r w:rsidRPr="005105AD">
        <w:rPr>
          <w:rFonts w:ascii="Times New Roman" w:hAnsi="Times New Roman"/>
          <w:spacing w:val="-5"/>
        </w:rPr>
        <w:t xml:space="preserve"> </w:t>
      </w:r>
      <w:r w:rsidRPr="005105AD">
        <w:rPr>
          <w:rFonts w:ascii="Times New Roman" w:hAnsi="Times New Roman"/>
        </w:rPr>
        <w:t>by</w:t>
      </w:r>
      <w:r w:rsidRPr="005105AD">
        <w:rPr>
          <w:rFonts w:ascii="Times New Roman" w:hAnsi="Times New Roman"/>
          <w:spacing w:val="-3"/>
        </w:rPr>
        <w:t xml:space="preserve"> </w:t>
      </w:r>
      <w:r w:rsidRPr="005105AD">
        <w:rPr>
          <w:rFonts w:ascii="Times New Roman" w:hAnsi="Times New Roman"/>
        </w:rPr>
        <w:t>s</w:t>
      </w:r>
      <w:r w:rsidRPr="005105AD">
        <w:rPr>
          <w:rFonts w:ascii="Times New Roman" w:hAnsi="Times New Roman"/>
          <w:spacing w:val="-3"/>
        </w:rPr>
        <w:t> </w:t>
      </w:r>
      <w:r w:rsidRPr="005105AD">
        <w:rPr>
          <w:rFonts w:ascii="Times New Roman" w:hAnsi="Times New Roman"/>
        </w:rPr>
        <w:t>11.</w:t>
      </w:r>
    </w:p>
    <w:p w14:paraId="474B7B7D" w14:textId="79D8945E" w:rsidR="00484F88" w:rsidRPr="005105AD" w:rsidRDefault="00484F88" w:rsidP="00484F88">
      <w:pPr>
        <w:pStyle w:val="FixListStyle"/>
        <w:numPr>
          <w:ilvl w:val="0"/>
          <w:numId w:val="18"/>
        </w:numPr>
        <w:spacing w:after="260" w:line="280" w:lineRule="exact"/>
        <w:ind w:left="0" w:right="0" w:hanging="720"/>
        <w:jc w:val="both"/>
        <w:rPr>
          <w:rFonts w:ascii="Times New Roman" w:hAnsi="Times New Roman"/>
        </w:rPr>
      </w:pPr>
      <w:r w:rsidRPr="005105AD">
        <w:rPr>
          <w:rFonts w:ascii="Times New Roman" w:hAnsi="Times New Roman"/>
        </w:rPr>
        <w:tab/>
        <w:t xml:space="preserve">Before </w:t>
      </w:r>
      <w:r w:rsidRPr="00DC2A8D">
        <w:rPr>
          <w:rFonts w:ascii="Times New Roman" w:hAnsi="Times New Roman"/>
        </w:rPr>
        <w:t>the</w:t>
      </w:r>
      <w:r w:rsidRPr="005105AD">
        <w:rPr>
          <w:rFonts w:ascii="Times New Roman" w:hAnsi="Times New Roman"/>
          <w:i/>
          <w:iCs/>
        </w:rPr>
        <w:t xml:space="preserve"> Criminal Law Consolidation (Felonies and Misdemeanours) Amendment Act 1994</w:t>
      </w:r>
      <w:r w:rsidRPr="005105AD">
        <w:rPr>
          <w:rFonts w:ascii="Times New Roman" w:hAnsi="Times New Roman"/>
        </w:rPr>
        <w:t xml:space="preserve"> (SA) ("the Amendment Act"), the circumstances in which a person could be guilty of the offence of murder created by s 11 were left to the common law. As the common law was then understood, an act causing death constituted murder on the part of an accused in two broad categories of case. The first involved circumstances where an act causing death was done with intention on the part of the accused to cause death or </w:t>
      </w:r>
      <w:proofErr w:type="gramStart"/>
      <w:r w:rsidRPr="005105AD">
        <w:rPr>
          <w:rFonts w:ascii="Times New Roman" w:hAnsi="Times New Roman"/>
        </w:rPr>
        <w:t>really serious</w:t>
      </w:r>
      <w:proofErr w:type="gramEnd"/>
      <w:r w:rsidRPr="005105AD">
        <w:rPr>
          <w:rFonts w:ascii="Times New Roman" w:hAnsi="Times New Roman"/>
        </w:rPr>
        <w:t xml:space="preserve"> bodily harm. The second</w:t>
      </w:r>
      <w:r w:rsidR="002A4983">
        <w:rPr>
          <w:rFonts w:ascii="Times New Roman" w:hAnsi="Times New Roman"/>
        </w:rPr>
        <w:t> </w:t>
      </w:r>
      <w:r w:rsidRPr="005105AD">
        <w:rPr>
          <w:rFonts w:ascii="Times New Roman" w:hAnsi="Times New Roman"/>
        </w:rPr>
        <w:t xml:space="preserve">– known as "felony murder" and sometimes referred to as "constructive murder" – involved circumstances where an act causing death was done </w:t>
      </w:r>
      <w:proofErr w:type="gramStart"/>
      <w:r w:rsidRPr="005105AD">
        <w:rPr>
          <w:rFonts w:ascii="Times New Roman" w:hAnsi="Times New Roman"/>
        </w:rPr>
        <w:t>in the course of</w:t>
      </w:r>
      <w:proofErr w:type="gramEnd"/>
      <w:r w:rsidRPr="005105AD">
        <w:rPr>
          <w:rFonts w:ascii="Times New Roman" w:hAnsi="Times New Roman"/>
        </w:rPr>
        <w:t xml:space="preserve"> or in furtherance of the commission by the accused of a felony involving violence or danger. In neither category of case did the</w:t>
      </w:r>
      <w:r w:rsidRPr="005105AD">
        <w:rPr>
          <w:rFonts w:ascii="Times New Roman" w:hAnsi="Times New Roman"/>
          <w:spacing w:val="-3"/>
        </w:rPr>
        <w:t xml:space="preserve"> </w:t>
      </w:r>
      <w:r w:rsidRPr="005105AD">
        <w:rPr>
          <w:rFonts w:ascii="Times New Roman" w:hAnsi="Times New Roman"/>
        </w:rPr>
        <w:t>act</w:t>
      </w:r>
      <w:r w:rsidRPr="005105AD">
        <w:rPr>
          <w:rFonts w:ascii="Times New Roman" w:hAnsi="Times New Roman"/>
          <w:spacing w:val="-3"/>
        </w:rPr>
        <w:t xml:space="preserve"> </w:t>
      </w:r>
      <w:r w:rsidRPr="005105AD">
        <w:rPr>
          <w:rFonts w:ascii="Times New Roman" w:hAnsi="Times New Roman"/>
        </w:rPr>
        <w:t>causing</w:t>
      </w:r>
      <w:r w:rsidRPr="005105AD">
        <w:rPr>
          <w:rFonts w:ascii="Times New Roman" w:hAnsi="Times New Roman"/>
          <w:spacing w:val="-3"/>
        </w:rPr>
        <w:t xml:space="preserve"> </w:t>
      </w:r>
      <w:r w:rsidRPr="005105AD">
        <w:rPr>
          <w:rFonts w:ascii="Times New Roman" w:hAnsi="Times New Roman"/>
        </w:rPr>
        <w:t>death</w:t>
      </w:r>
      <w:r w:rsidRPr="005105AD">
        <w:rPr>
          <w:rFonts w:ascii="Times New Roman" w:hAnsi="Times New Roman"/>
          <w:spacing w:val="-3"/>
        </w:rPr>
        <w:t xml:space="preserve"> </w:t>
      </w:r>
      <w:r w:rsidRPr="005105AD">
        <w:rPr>
          <w:rFonts w:ascii="Times New Roman" w:hAnsi="Times New Roman"/>
        </w:rPr>
        <w:t>in</w:t>
      </w:r>
      <w:r w:rsidRPr="005105AD">
        <w:rPr>
          <w:rFonts w:ascii="Times New Roman" w:hAnsi="Times New Roman"/>
          <w:spacing w:val="-3"/>
        </w:rPr>
        <w:t xml:space="preserve"> </w:t>
      </w:r>
      <w:r w:rsidRPr="005105AD">
        <w:rPr>
          <w:rFonts w:ascii="Times New Roman" w:hAnsi="Times New Roman"/>
        </w:rPr>
        <w:t>fact</w:t>
      </w:r>
      <w:r w:rsidRPr="005105AD">
        <w:rPr>
          <w:rFonts w:ascii="Times New Roman" w:hAnsi="Times New Roman"/>
          <w:spacing w:val="-3"/>
        </w:rPr>
        <w:t xml:space="preserve"> </w:t>
      </w:r>
      <w:r w:rsidRPr="005105AD">
        <w:rPr>
          <w:rFonts w:ascii="Times New Roman" w:hAnsi="Times New Roman"/>
        </w:rPr>
        <w:t>need</w:t>
      </w:r>
      <w:r w:rsidRPr="005105AD">
        <w:rPr>
          <w:rFonts w:ascii="Times New Roman" w:hAnsi="Times New Roman"/>
          <w:spacing w:val="-3"/>
        </w:rPr>
        <w:t xml:space="preserve"> </w:t>
      </w:r>
      <w:r w:rsidRPr="005105AD">
        <w:rPr>
          <w:rFonts w:ascii="Times New Roman" w:hAnsi="Times New Roman"/>
        </w:rPr>
        <w:t>to</w:t>
      </w:r>
      <w:r w:rsidRPr="005105AD">
        <w:rPr>
          <w:rFonts w:ascii="Times New Roman" w:hAnsi="Times New Roman"/>
          <w:spacing w:val="-3"/>
        </w:rPr>
        <w:t xml:space="preserve"> </w:t>
      </w:r>
      <w:r w:rsidRPr="005105AD">
        <w:rPr>
          <w:rFonts w:ascii="Times New Roman" w:hAnsi="Times New Roman"/>
        </w:rPr>
        <w:t>be</w:t>
      </w:r>
      <w:r w:rsidRPr="005105AD">
        <w:rPr>
          <w:rFonts w:ascii="Times New Roman" w:hAnsi="Times New Roman"/>
          <w:spacing w:val="-3"/>
        </w:rPr>
        <w:t xml:space="preserve"> </w:t>
      </w:r>
      <w:r w:rsidRPr="005105AD">
        <w:rPr>
          <w:rFonts w:ascii="Times New Roman" w:hAnsi="Times New Roman"/>
        </w:rPr>
        <w:t>done</w:t>
      </w:r>
      <w:r w:rsidRPr="005105AD">
        <w:rPr>
          <w:rFonts w:ascii="Times New Roman" w:hAnsi="Times New Roman"/>
          <w:spacing w:val="-3"/>
        </w:rPr>
        <w:t xml:space="preserve"> </w:t>
      </w:r>
      <w:r w:rsidRPr="005105AD">
        <w:rPr>
          <w:rFonts w:ascii="Times New Roman" w:hAnsi="Times New Roman"/>
        </w:rPr>
        <w:t>by</w:t>
      </w:r>
      <w:r w:rsidRPr="005105AD">
        <w:rPr>
          <w:rFonts w:ascii="Times New Roman" w:hAnsi="Times New Roman"/>
          <w:spacing w:val="-3"/>
        </w:rPr>
        <w:t xml:space="preserve"> </w:t>
      </w:r>
      <w:r w:rsidRPr="005105AD">
        <w:rPr>
          <w:rFonts w:ascii="Times New Roman" w:hAnsi="Times New Roman"/>
        </w:rPr>
        <w:t>the</w:t>
      </w:r>
      <w:r w:rsidRPr="005105AD">
        <w:rPr>
          <w:rFonts w:ascii="Times New Roman" w:hAnsi="Times New Roman"/>
          <w:spacing w:val="-3"/>
        </w:rPr>
        <w:t xml:space="preserve"> </w:t>
      </w:r>
      <w:r w:rsidRPr="005105AD">
        <w:rPr>
          <w:rFonts w:ascii="Times New Roman" w:hAnsi="Times New Roman"/>
        </w:rPr>
        <w:t>accused.</w:t>
      </w:r>
      <w:r w:rsidRPr="005105AD">
        <w:rPr>
          <w:rFonts w:ascii="Times New Roman" w:hAnsi="Times New Roman"/>
          <w:spacing w:val="-3"/>
        </w:rPr>
        <w:t xml:space="preserve"> </w:t>
      </w:r>
      <w:r w:rsidRPr="005105AD">
        <w:rPr>
          <w:rFonts w:ascii="Times New Roman" w:hAnsi="Times New Roman"/>
        </w:rPr>
        <w:t>It</w:t>
      </w:r>
      <w:r w:rsidRPr="005105AD">
        <w:rPr>
          <w:rFonts w:ascii="Times New Roman" w:hAnsi="Times New Roman"/>
          <w:spacing w:val="-3"/>
        </w:rPr>
        <w:t xml:space="preserve"> </w:t>
      </w:r>
      <w:r w:rsidRPr="005105AD">
        <w:rPr>
          <w:rFonts w:ascii="Times New Roman" w:hAnsi="Times New Roman"/>
        </w:rPr>
        <w:t>was sufficient</w:t>
      </w:r>
      <w:r w:rsidRPr="005105AD">
        <w:rPr>
          <w:rFonts w:ascii="Times New Roman" w:hAnsi="Times New Roman"/>
          <w:spacing w:val="-3"/>
        </w:rPr>
        <w:t xml:space="preserve"> </w:t>
      </w:r>
      <w:r w:rsidRPr="005105AD">
        <w:rPr>
          <w:rFonts w:ascii="Times New Roman" w:hAnsi="Times New Roman"/>
        </w:rPr>
        <w:t>for</w:t>
      </w:r>
      <w:r w:rsidRPr="005105AD">
        <w:rPr>
          <w:rFonts w:ascii="Times New Roman" w:hAnsi="Times New Roman"/>
          <w:spacing w:val="-3"/>
        </w:rPr>
        <w:t xml:space="preserve"> </w:t>
      </w:r>
      <w:r w:rsidRPr="005105AD">
        <w:rPr>
          <w:rFonts w:ascii="Times New Roman" w:hAnsi="Times New Roman"/>
        </w:rPr>
        <w:t>the</w:t>
      </w:r>
      <w:r w:rsidRPr="005105AD">
        <w:rPr>
          <w:rFonts w:ascii="Times New Roman" w:hAnsi="Times New Roman"/>
          <w:spacing w:val="-3"/>
        </w:rPr>
        <w:t xml:space="preserve"> </w:t>
      </w:r>
      <w:r w:rsidRPr="005105AD">
        <w:rPr>
          <w:rFonts w:ascii="Times New Roman" w:hAnsi="Times New Roman"/>
        </w:rPr>
        <w:t>first</w:t>
      </w:r>
      <w:r w:rsidRPr="005105AD">
        <w:rPr>
          <w:rFonts w:ascii="Times New Roman" w:hAnsi="Times New Roman"/>
          <w:spacing w:val="-3"/>
        </w:rPr>
        <w:t xml:space="preserve"> </w:t>
      </w:r>
      <w:r w:rsidRPr="005105AD">
        <w:rPr>
          <w:rFonts w:ascii="Times New Roman" w:hAnsi="Times New Roman"/>
        </w:rPr>
        <w:t>category</w:t>
      </w:r>
      <w:r w:rsidRPr="005105AD">
        <w:rPr>
          <w:rFonts w:ascii="Times New Roman" w:hAnsi="Times New Roman"/>
          <w:spacing w:val="-3"/>
        </w:rPr>
        <w:t xml:space="preserve"> </w:t>
      </w:r>
      <w:r w:rsidRPr="005105AD">
        <w:rPr>
          <w:rFonts w:ascii="Times New Roman" w:hAnsi="Times New Roman"/>
        </w:rPr>
        <w:t>that</w:t>
      </w:r>
      <w:r w:rsidRPr="005105AD">
        <w:rPr>
          <w:rFonts w:ascii="Times New Roman" w:hAnsi="Times New Roman"/>
          <w:spacing w:val="-3"/>
        </w:rPr>
        <w:t xml:space="preserve"> </w:t>
      </w:r>
      <w:r w:rsidRPr="005105AD">
        <w:rPr>
          <w:rFonts w:ascii="Times New Roman" w:hAnsi="Times New Roman"/>
        </w:rPr>
        <w:t>the</w:t>
      </w:r>
      <w:r w:rsidRPr="005105AD">
        <w:rPr>
          <w:rFonts w:ascii="Times New Roman" w:hAnsi="Times New Roman"/>
          <w:spacing w:val="-3"/>
        </w:rPr>
        <w:t xml:space="preserve"> </w:t>
      </w:r>
      <w:r w:rsidRPr="005105AD">
        <w:rPr>
          <w:rFonts w:ascii="Times New Roman" w:hAnsi="Times New Roman"/>
        </w:rPr>
        <w:t>act</w:t>
      </w:r>
      <w:r w:rsidRPr="005105AD">
        <w:rPr>
          <w:rFonts w:ascii="Times New Roman" w:hAnsi="Times New Roman"/>
          <w:spacing w:val="-3"/>
        </w:rPr>
        <w:t xml:space="preserve"> </w:t>
      </w:r>
      <w:r w:rsidRPr="005105AD">
        <w:rPr>
          <w:rFonts w:ascii="Times New Roman" w:hAnsi="Times New Roman"/>
        </w:rPr>
        <w:t>causing</w:t>
      </w:r>
      <w:r w:rsidRPr="005105AD">
        <w:rPr>
          <w:rFonts w:ascii="Times New Roman" w:hAnsi="Times New Roman"/>
          <w:spacing w:val="-3"/>
        </w:rPr>
        <w:t xml:space="preserve"> </w:t>
      </w:r>
      <w:r w:rsidRPr="005105AD">
        <w:rPr>
          <w:rFonts w:ascii="Times New Roman" w:hAnsi="Times New Roman"/>
        </w:rPr>
        <w:t>death</w:t>
      </w:r>
      <w:r w:rsidRPr="005105AD">
        <w:rPr>
          <w:rFonts w:ascii="Times New Roman" w:hAnsi="Times New Roman"/>
          <w:spacing w:val="-3"/>
        </w:rPr>
        <w:t xml:space="preserve"> </w:t>
      </w:r>
      <w:r w:rsidRPr="005105AD">
        <w:rPr>
          <w:rFonts w:ascii="Times New Roman" w:hAnsi="Times New Roman"/>
        </w:rPr>
        <w:t>was</w:t>
      </w:r>
      <w:r w:rsidRPr="005105AD">
        <w:rPr>
          <w:rFonts w:ascii="Times New Roman" w:hAnsi="Times New Roman"/>
          <w:spacing w:val="-3"/>
        </w:rPr>
        <w:t xml:space="preserve"> </w:t>
      </w:r>
      <w:r w:rsidRPr="005105AD">
        <w:rPr>
          <w:rFonts w:ascii="Times New Roman" w:hAnsi="Times New Roman"/>
        </w:rPr>
        <w:t>done</w:t>
      </w:r>
      <w:r w:rsidRPr="005105AD">
        <w:rPr>
          <w:rFonts w:ascii="Times New Roman" w:hAnsi="Times New Roman"/>
          <w:spacing w:val="-3"/>
        </w:rPr>
        <w:t xml:space="preserve"> </w:t>
      </w:r>
      <w:r w:rsidRPr="005105AD">
        <w:rPr>
          <w:rFonts w:ascii="Times New Roman" w:hAnsi="Times New Roman"/>
        </w:rPr>
        <w:t>by another with the agreement of the accused – as an intended (even if contingently and reluctantly intended) part of a joint criminal enterprise ("JCE") constituted by an agreement between the participants to commit the foundational felony. It was sufficient for the second category</w:t>
      </w:r>
      <w:r w:rsidRPr="005105AD">
        <w:rPr>
          <w:rFonts w:ascii="Times New Roman" w:hAnsi="Times New Roman"/>
          <w:spacing w:val="-2"/>
        </w:rPr>
        <w:t xml:space="preserve"> </w:t>
      </w:r>
      <w:r w:rsidRPr="005105AD">
        <w:rPr>
          <w:rFonts w:ascii="Times New Roman" w:hAnsi="Times New Roman"/>
        </w:rPr>
        <w:t>that</w:t>
      </w:r>
      <w:r w:rsidRPr="005105AD">
        <w:rPr>
          <w:rFonts w:ascii="Times New Roman" w:hAnsi="Times New Roman"/>
          <w:spacing w:val="-2"/>
        </w:rPr>
        <w:t xml:space="preserve"> </w:t>
      </w:r>
      <w:r w:rsidRPr="005105AD">
        <w:rPr>
          <w:rFonts w:ascii="Times New Roman" w:hAnsi="Times New Roman"/>
        </w:rPr>
        <w:t>the</w:t>
      </w:r>
      <w:r w:rsidRPr="005105AD">
        <w:rPr>
          <w:rFonts w:ascii="Times New Roman" w:hAnsi="Times New Roman"/>
          <w:spacing w:val="-2"/>
        </w:rPr>
        <w:t xml:space="preserve"> </w:t>
      </w:r>
      <w:r w:rsidRPr="005105AD">
        <w:rPr>
          <w:rFonts w:ascii="Times New Roman" w:hAnsi="Times New Roman"/>
        </w:rPr>
        <w:t>act</w:t>
      </w:r>
      <w:r w:rsidRPr="005105AD">
        <w:rPr>
          <w:rFonts w:ascii="Times New Roman" w:hAnsi="Times New Roman"/>
          <w:spacing w:val="-2"/>
        </w:rPr>
        <w:t xml:space="preserve"> causing death </w:t>
      </w:r>
      <w:r w:rsidRPr="005105AD">
        <w:rPr>
          <w:rFonts w:ascii="Times New Roman" w:hAnsi="Times New Roman"/>
        </w:rPr>
        <w:t>was</w:t>
      </w:r>
      <w:r w:rsidRPr="005105AD">
        <w:rPr>
          <w:rFonts w:ascii="Times New Roman" w:hAnsi="Times New Roman"/>
          <w:spacing w:val="-2"/>
        </w:rPr>
        <w:t xml:space="preserve"> </w:t>
      </w:r>
      <w:r w:rsidRPr="005105AD">
        <w:rPr>
          <w:rFonts w:ascii="Times New Roman" w:hAnsi="Times New Roman"/>
        </w:rPr>
        <w:t>done</w:t>
      </w:r>
      <w:r w:rsidRPr="005105AD">
        <w:rPr>
          <w:rFonts w:ascii="Times New Roman" w:hAnsi="Times New Roman"/>
          <w:spacing w:val="-2"/>
        </w:rPr>
        <w:t xml:space="preserve"> </w:t>
      </w:r>
      <w:r w:rsidRPr="005105AD">
        <w:rPr>
          <w:rFonts w:ascii="Times New Roman" w:hAnsi="Times New Roman"/>
        </w:rPr>
        <w:t>by</w:t>
      </w:r>
      <w:r w:rsidRPr="005105AD">
        <w:rPr>
          <w:rFonts w:ascii="Times New Roman" w:hAnsi="Times New Roman"/>
          <w:spacing w:val="-2"/>
        </w:rPr>
        <w:t xml:space="preserve"> </w:t>
      </w:r>
      <w:r w:rsidRPr="005105AD">
        <w:rPr>
          <w:rFonts w:ascii="Times New Roman" w:hAnsi="Times New Roman"/>
        </w:rPr>
        <w:t>any</w:t>
      </w:r>
      <w:r w:rsidRPr="005105AD">
        <w:rPr>
          <w:rFonts w:ascii="Times New Roman" w:hAnsi="Times New Roman"/>
          <w:spacing w:val="-4"/>
        </w:rPr>
        <w:t xml:space="preserve"> </w:t>
      </w:r>
      <w:r w:rsidRPr="005105AD">
        <w:rPr>
          <w:rFonts w:ascii="Times New Roman" w:hAnsi="Times New Roman"/>
        </w:rPr>
        <w:t>participant</w:t>
      </w:r>
      <w:r w:rsidRPr="005105AD">
        <w:rPr>
          <w:rFonts w:ascii="Times New Roman" w:hAnsi="Times New Roman"/>
          <w:spacing w:val="-2"/>
        </w:rPr>
        <w:t xml:space="preserve"> </w:t>
      </w:r>
      <w:r w:rsidRPr="005105AD">
        <w:rPr>
          <w:rFonts w:ascii="Times New Roman" w:hAnsi="Times New Roman"/>
        </w:rPr>
        <w:t>in</w:t>
      </w:r>
      <w:r w:rsidRPr="005105AD">
        <w:rPr>
          <w:rFonts w:ascii="Times New Roman" w:hAnsi="Times New Roman"/>
          <w:spacing w:val="-2"/>
        </w:rPr>
        <w:t xml:space="preserve"> </w:t>
      </w:r>
      <w:r w:rsidRPr="005105AD">
        <w:rPr>
          <w:rFonts w:ascii="Times New Roman" w:hAnsi="Times New Roman"/>
        </w:rPr>
        <w:t>the</w:t>
      </w:r>
      <w:r w:rsidRPr="005105AD">
        <w:rPr>
          <w:rFonts w:ascii="Times New Roman" w:hAnsi="Times New Roman"/>
          <w:spacing w:val="-2"/>
        </w:rPr>
        <w:t xml:space="preserve"> </w:t>
      </w:r>
      <w:r w:rsidRPr="005105AD">
        <w:rPr>
          <w:rFonts w:ascii="Times New Roman" w:hAnsi="Times New Roman"/>
        </w:rPr>
        <w:t>commission of an agreed foundational felony involving violence or danger, irrespective of the intention or foresight of any of them that the act causing death would or might be done</w:t>
      </w:r>
      <w:r w:rsidRPr="005105AD">
        <w:rPr>
          <w:rStyle w:val="FootnoteReference"/>
          <w:rFonts w:ascii="Times New Roman" w:hAnsi="Times New Roman"/>
          <w:sz w:val="24"/>
        </w:rPr>
        <w:footnoteReference w:id="42"/>
      </w:r>
      <w:r w:rsidRPr="005105AD">
        <w:rPr>
          <w:rFonts w:ascii="Times New Roman" w:hAnsi="Times New Roman"/>
        </w:rPr>
        <w:t xml:space="preserve">. There was accordingly no logical necessity to prove any JCE to commit the act of violence which caused death, let alone EJCE in respect of that act of violence, in </w:t>
      </w:r>
      <w:r w:rsidRPr="005105AD">
        <w:rPr>
          <w:rFonts w:ascii="Times New Roman" w:hAnsi="Times New Roman"/>
        </w:rPr>
        <w:lastRenderedPageBreak/>
        <w:t>order to prove felony or constructive murder as the common law was then understood in South Australia.</w:t>
      </w:r>
      <w:r w:rsidRPr="005105AD">
        <w:rPr>
          <w:rFonts w:ascii="Times New Roman" w:eastAsia="Univers" w:hAnsi="Times New Roman"/>
          <w:noProof/>
          <w:sz w:val="22"/>
          <w:szCs w:val="22"/>
          <w:lang w:val="en-US" w:eastAsia="en-US"/>
        </w:rPr>
        <w:t xml:space="preserve"> </w:t>
      </w:r>
    </w:p>
    <w:p w14:paraId="35CD3CAF" w14:textId="77777777" w:rsidR="00484F88" w:rsidRPr="005105AD" w:rsidRDefault="00484F88" w:rsidP="00484F88">
      <w:pPr>
        <w:pStyle w:val="FixListStyle"/>
        <w:numPr>
          <w:ilvl w:val="0"/>
          <w:numId w:val="18"/>
        </w:numPr>
        <w:spacing w:after="260" w:line="280" w:lineRule="exact"/>
        <w:ind w:left="0" w:right="0" w:hanging="720"/>
        <w:jc w:val="both"/>
        <w:rPr>
          <w:rFonts w:ascii="Times New Roman" w:hAnsi="Times New Roman"/>
        </w:rPr>
      </w:pPr>
      <w:r w:rsidRPr="005105AD">
        <w:rPr>
          <w:rFonts w:ascii="Times New Roman" w:hAnsi="Times New Roman"/>
        </w:rPr>
        <w:tab/>
        <w:t>The</w:t>
      </w:r>
      <w:r w:rsidRPr="005105AD">
        <w:rPr>
          <w:rFonts w:ascii="Times New Roman" w:hAnsi="Times New Roman"/>
          <w:spacing w:val="-4"/>
        </w:rPr>
        <w:t xml:space="preserve"> </w:t>
      </w:r>
      <w:r w:rsidRPr="005105AD">
        <w:rPr>
          <w:rFonts w:ascii="Times New Roman" w:hAnsi="Times New Roman"/>
        </w:rPr>
        <w:t>Amendment</w:t>
      </w:r>
      <w:r w:rsidRPr="005105AD">
        <w:rPr>
          <w:rFonts w:ascii="Times New Roman" w:hAnsi="Times New Roman"/>
          <w:spacing w:val="-4"/>
        </w:rPr>
        <w:t xml:space="preserve"> </w:t>
      </w:r>
      <w:r w:rsidRPr="005105AD">
        <w:rPr>
          <w:rFonts w:ascii="Times New Roman" w:hAnsi="Times New Roman"/>
        </w:rPr>
        <w:t>Act</w:t>
      </w:r>
      <w:r w:rsidRPr="005105AD">
        <w:rPr>
          <w:rFonts w:ascii="Times New Roman" w:hAnsi="Times New Roman"/>
          <w:spacing w:val="-4"/>
        </w:rPr>
        <w:t xml:space="preserve"> </w:t>
      </w:r>
      <w:r w:rsidRPr="005105AD">
        <w:rPr>
          <w:rFonts w:ascii="Times New Roman" w:hAnsi="Times New Roman"/>
        </w:rPr>
        <w:t>made</w:t>
      </w:r>
      <w:r w:rsidRPr="005105AD">
        <w:rPr>
          <w:rFonts w:ascii="Times New Roman" w:hAnsi="Times New Roman"/>
          <w:spacing w:val="-4"/>
        </w:rPr>
        <w:t xml:space="preserve"> </w:t>
      </w:r>
      <w:r w:rsidRPr="005105AD">
        <w:rPr>
          <w:rFonts w:ascii="Times New Roman" w:hAnsi="Times New Roman"/>
        </w:rPr>
        <w:t>two</w:t>
      </w:r>
      <w:r w:rsidRPr="005105AD">
        <w:rPr>
          <w:rFonts w:ascii="Times New Roman" w:hAnsi="Times New Roman"/>
          <w:spacing w:val="-4"/>
        </w:rPr>
        <w:t xml:space="preserve"> </w:t>
      </w:r>
      <w:r w:rsidRPr="005105AD">
        <w:rPr>
          <w:rFonts w:ascii="Times New Roman" w:hAnsi="Times New Roman"/>
        </w:rPr>
        <w:t>relevant</w:t>
      </w:r>
      <w:r w:rsidRPr="005105AD">
        <w:rPr>
          <w:rFonts w:ascii="Times New Roman" w:hAnsi="Times New Roman"/>
          <w:spacing w:val="-6"/>
        </w:rPr>
        <w:t xml:space="preserve"> </w:t>
      </w:r>
      <w:r w:rsidRPr="005105AD">
        <w:rPr>
          <w:rFonts w:ascii="Times New Roman" w:hAnsi="Times New Roman"/>
        </w:rPr>
        <w:t>amendments</w:t>
      </w:r>
      <w:r w:rsidRPr="005105AD">
        <w:rPr>
          <w:rFonts w:ascii="Times New Roman" w:hAnsi="Times New Roman"/>
          <w:spacing w:val="-4"/>
        </w:rPr>
        <w:t xml:space="preserve"> </w:t>
      </w:r>
      <w:r w:rsidRPr="005105AD">
        <w:rPr>
          <w:rFonts w:ascii="Times New Roman" w:hAnsi="Times New Roman"/>
        </w:rPr>
        <w:t>to</w:t>
      </w:r>
      <w:r w:rsidRPr="005105AD">
        <w:rPr>
          <w:rFonts w:ascii="Times New Roman" w:hAnsi="Times New Roman"/>
          <w:spacing w:val="-4"/>
        </w:rPr>
        <w:t xml:space="preserve"> </w:t>
      </w:r>
      <w:r w:rsidRPr="005105AD">
        <w:rPr>
          <w:rFonts w:ascii="Times New Roman" w:hAnsi="Times New Roman"/>
        </w:rPr>
        <w:t>the CLCA. First, it inserted s 5</w:t>
      </w:r>
      <w:proofErr w:type="gramStart"/>
      <w:r w:rsidRPr="005105AD">
        <w:rPr>
          <w:rFonts w:ascii="Times New Roman" w:hAnsi="Times New Roman"/>
        </w:rPr>
        <w:t>D(</w:t>
      </w:r>
      <w:proofErr w:type="gramEnd"/>
      <w:r w:rsidRPr="005105AD">
        <w:rPr>
          <w:rFonts w:ascii="Times New Roman" w:hAnsi="Times New Roman"/>
        </w:rPr>
        <w:t xml:space="preserve">1). That provision abolished the classification of offences as felonies. </w:t>
      </w:r>
      <w:proofErr w:type="gramStart"/>
      <w:r w:rsidRPr="005105AD">
        <w:rPr>
          <w:rFonts w:ascii="Times New Roman" w:hAnsi="Times New Roman"/>
        </w:rPr>
        <w:t>As a consequence</w:t>
      </w:r>
      <w:proofErr w:type="gramEnd"/>
      <w:r w:rsidRPr="005105AD">
        <w:rPr>
          <w:rFonts w:ascii="Times New Roman" w:hAnsi="Times New Roman"/>
        </w:rPr>
        <w:t>, the category of felony murder necessarily ceased to exist at common law in South Australia.</w:t>
      </w:r>
    </w:p>
    <w:p w14:paraId="1D9DC9FC" w14:textId="77777777" w:rsidR="00484F88" w:rsidRPr="005105AD" w:rsidRDefault="00484F88" w:rsidP="00484F88">
      <w:pPr>
        <w:pStyle w:val="FixListStyle"/>
        <w:numPr>
          <w:ilvl w:val="0"/>
          <w:numId w:val="18"/>
        </w:numPr>
        <w:spacing w:after="260" w:line="280" w:lineRule="exact"/>
        <w:ind w:left="0" w:right="0" w:hanging="720"/>
        <w:jc w:val="both"/>
        <w:rPr>
          <w:rFonts w:ascii="Times New Roman" w:hAnsi="Times New Roman"/>
        </w:rPr>
      </w:pPr>
      <w:r w:rsidRPr="005105AD">
        <w:rPr>
          <w:rFonts w:ascii="Times New Roman" w:hAnsi="Times New Roman"/>
        </w:rPr>
        <w:tab/>
        <w:t>Second, the Amendment Act simultaneously inserted s 12A into</w:t>
      </w:r>
      <w:r w:rsidRPr="005105AD">
        <w:rPr>
          <w:rFonts w:ascii="Times New Roman" w:hAnsi="Times New Roman"/>
          <w:spacing w:val="-2"/>
        </w:rPr>
        <w:t xml:space="preserve"> </w:t>
      </w:r>
      <w:r w:rsidRPr="005105AD">
        <w:rPr>
          <w:rFonts w:ascii="Times New Roman" w:hAnsi="Times New Roman"/>
        </w:rPr>
        <w:t>the</w:t>
      </w:r>
      <w:r w:rsidRPr="005105AD">
        <w:rPr>
          <w:rFonts w:ascii="Times New Roman" w:hAnsi="Times New Roman"/>
          <w:spacing w:val="-2"/>
        </w:rPr>
        <w:t xml:space="preserve"> </w:t>
      </w:r>
      <w:r w:rsidRPr="005105AD">
        <w:rPr>
          <w:rFonts w:ascii="Times New Roman" w:hAnsi="Times New Roman"/>
        </w:rPr>
        <w:t>CLCA</w:t>
      </w:r>
      <w:r w:rsidRPr="005105AD">
        <w:rPr>
          <w:rFonts w:ascii="Times New Roman" w:hAnsi="Times New Roman"/>
          <w:spacing w:val="-2"/>
        </w:rPr>
        <w:t xml:space="preserve"> </w:t>
      </w:r>
      <w:r w:rsidRPr="005105AD">
        <w:rPr>
          <w:rFonts w:ascii="Times New Roman" w:hAnsi="Times New Roman"/>
        </w:rPr>
        <w:t>as</w:t>
      </w:r>
      <w:r w:rsidRPr="005105AD">
        <w:rPr>
          <w:rFonts w:ascii="Times New Roman" w:hAnsi="Times New Roman"/>
          <w:spacing w:val="-2"/>
        </w:rPr>
        <w:t xml:space="preserve"> </w:t>
      </w:r>
      <w:r w:rsidRPr="005105AD">
        <w:rPr>
          <w:rFonts w:ascii="Times New Roman" w:hAnsi="Times New Roman"/>
        </w:rPr>
        <w:t>the</w:t>
      </w:r>
      <w:r w:rsidRPr="005105AD">
        <w:rPr>
          <w:rFonts w:ascii="Times New Roman" w:hAnsi="Times New Roman"/>
          <w:spacing w:val="-2"/>
        </w:rPr>
        <w:t xml:space="preserve"> </w:t>
      </w:r>
      <w:r w:rsidRPr="005105AD">
        <w:rPr>
          <w:rFonts w:ascii="Times New Roman" w:hAnsi="Times New Roman"/>
        </w:rPr>
        <w:t>"statutory</w:t>
      </w:r>
      <w:r w:rsidRPr="005105AD">
        <w:rPr>
          <w:rFonts w:ascii="Times New Roman" w:hAnsi="Times New Roman"/>
          <w:spacing w:val="-2"/>
        </w:rPr>
        <w:t xml:space="preserve"> </w:t>
      </w:r>
      <w:r w:rsidRPr="005105AD">
        <w:rPr>
          <w:rFonts w:ascii="Times New Roman" w:hAnsi="Times New Roman"/>
        </w:rPr>
        <w:t>replacement"</w:t>
      </w:r>
      <w:r w:rsidRPr="005105AD">
        <w:rPr>
          <w:rFonts w:ascii="Times New Roman" w:hAnsi="Times New Roman"/>
          <w:spacing w:val="-1"/>
        </w:rPr>
        <w:t xml:space="preserve"> </w:t>
      </w:r>
      <w:r w:rsidRPr="005105AD">
        <w:rPr>
          <w:rFonts w:ascii="Times New Roman" w:hAnsi="Times New Roman"/>
        </w:rPr>
        <w:t>of</w:t>
      </w:r>
      <w:r w:rsidRPr="005105AD">
        <w:rPr>
          <w:rFonts w:ascii="Times New Roman" w:hAnsi="Times New Roman"/>
          <w:spacing w:val="-2"/>
        </w:rPr>
        <w:t xml:space="preserve"> </w:t>
      </w:r>
      <w:r w:rsidRPr="005105AD">
        <w:rPr>
          <w:rFonts w:ascii="Times New Roman" w:hAnsi="Times New Roman"/>
        </w:rPr>
        <w:t>felony</w:t>
      </w:r>
      <w:r w:rsidRPr="005105AD">
        <w:rPr>
          <w:rFonts w:ascii="Times New Roman" w:hAnsi="Times New Roman"/>
          <w:spacing w:val="-2"/>
        </w:rPr>
        <w:t xml:space="preserve"> </w:t>
      </w:r>
      <w:r w:rsidRPr="005105AD">
        <w:rPr>
          <w:rFonts w:ascii="Times New Roman" w:hAnsi="Times New Roman"/>
        </w:rPr>
        <w:t>murder</w:t>
      </w:r>
      <w:r w:rsidRPr="005105AD">
        <w:rPr>
          <w:rStyle w:val="FootnoteReference"/>
          <w:rFonts w:ascii="Times New Roman" w:hAnsi="Times New Roman"/>
          <w:sz w:val="24"/>
        </w:rPr>
        <w:footnoteReference w:id="43"/>
      </w:r>
      <w:r w:rsidRPr="005105AD">
        <w:rPr>
          <w:rFonts w:ascii="Times New Roman" w:hAnsi="Times New Roman"/>
        </w:rPr>
        <w:t>.</w:t>
      </w:r>
      <w:r w:rsidRPr="005105AD">
        <w:rPr>
          <w:rFonts w:ascii="Times New Roman" w:hAnsi="Times New Roman"/>
          <w:spacing w:val="-2"/>
        </w:rPr>
        <w:t xml:space="preserve"> </w:t>
      </w:r>
      <w:r w:rsidRPr="005105AD">
        <w:rPr>
          <w:rFonts w:ascii="Times New Roman" w:hAnsi="Times New Roman"/>
        </w:rPr>
        <w:t xml:space="preserve">The statutory replacement differed from its common law predecessor in two important respects. One was that the foundational crime, </w:t>
      </w:r>
      <w:proofErr w:type="gramStart"/>
      <w:r w:rsidRPr="005105AD">
        <w:rPr>
          <w:rFonts w:ascii="Times New Roman" w:hAnsi="Times New Roman"/>
        </w:rPr>
        <w:t>in the course of</w:t>
      </w:r>
      <w:proofErr w:type="gramEnd"/>
      <w:r w:rsidRPr="005105AD">
        <w:rPr>
          <w:rFonts w:ascii="Times New Roman" w:hAnsi="Times New Roman"/>
        </w:rPr>
        <w:t xml:space="preserve"> or furtherance of which the act causing death needed to occur, was limited to a major indictable offence punishable by imprisonment</w:t>
      </w:r>
      <w:r w:rsidRPr="005105AD">
        <w:rPr>
          <w:rFonts w:ascii="Times New Roman" w:hAnsi="Times New Roman"/>
          <w:spacing w:val="-3"/>
        </w:rPr>
        <w:t xml:space="preserve"> </w:t>
      </w:r>
      <w:r w:rsidRPr="005105AD">
        <w:rPr>
          <w:rFonts w:ascii="Times New Roman" w:hAnsi="Times New Roman"/>
        </w:rPr>
        <w:t>for</w:t>
      </w:r>
      <w:r w:rsidRPr="005105AD">
        <w:rPr>
          <w:rFonts w:ascii="Times New Roman" w:hAnsi="Times New Roman"/>
          <w:spacing w:val="-3"/>
        </w:rPr>
        <w:t xml:space="preserve"> </w:t>
      </w:r>
      <w:r w:rsidRPr="005105AD">
        <w:rPr>
          <w:rFonts w:ascii="Times New Roman" w:hAnsi="Times New Roman"/>
        </w:rPr>
        <w:t>ten</w:t>
      </w:r>
      <w:r w:rsidRPr="005105AD">
        <w:rPr>
          <w:rFonts w:ascii="Times New Roman" w:hAnsi="Times New Roman"/>
          <w:spacing w:val="-3"/>
        </w:rPr>
        <w:t xml:space="preserve"> </w:t>
      </w:r>
      <w:r w:rsidRPr="005105AD">
        <w:rPr>
          <w:rFonts w:ascii="Times New Roman" w:hAnsi="Times New Roman"/>
        </w:rPr>
        <w:t>years or more.</w:t>
      </w:r>
      <w:r w:rsidRPr="005105AD">
        <w:rPr>
          <w:rFonts w:ascii="Times New Roman" w:hAnsi="Times New Roman"/>
          <w:spacing w:val="-3"/>
        </w:rPr>
        <w:t xml:space="preserve"> </w:t>
      </w:r>
      <w:r w:rsidRPr="005105AD">
        <w:rPr>
          <w:rFonts w:ascii="Times New Roman" w:hAnsi="Times New Roman"/>
        </w:rPr>
        <w:t>The</w:t>
      </w:r>
      <w:r w:rsidRPr="005105AD">
        <w:rPr>
          <w:rFonts w:ascii="Times New Roman" w:hAnsi="Times New Roman"/>
          <w:spacing w:val="-3"/>
        </w:rPr>
        <w:t xml:space="preserve"> </w:t>
      </w:r>
      <w:r w:rsidRPr="005105AD">
        <w:rPr>
          <w:rFonts w:ascii="Times New Roman" w:hAnsi="Times New Roman"/>
        </w:rPr>
        <w:t>other</w:t>
      </w:r>
      <w:r w:rsidRPr="005105AD">
        <w:rPr>
          <w:rFonts w:ascii="Times New Roman" w:hAnsi="Times New Roman"/>
          <w:spacing w:val="-6"/>
        </w:rPr>
        <w:t xml:space="preserve"> </w:t>
      </w:r>
      <w:r w:rsidRPr="005105AD">
        <w:rPr>
          <w:rFonts w:ascii="Times New Roman" w:hAnsi="Times New Roman"/>
        </w:rPr>
        <w:t>was</w:t>
      </w:r>
      <w:r w:rsidRPr="005105AD">
        <w:rPr>
          <w:rFonts w:ascii="Times New Roman" w:hAnsi="Times New Roman"/>
          <w:spacing w:val="-3"/>
        </w:rPr>
        <w:t xml:space="preserve"> </w:t>
      </w:r>
      <w:r w:rsidRPr="005105AD">
        <w:rPr>
          <w:rFonts w:ascii="Times New Roman" w:hAnsi="Times New Roman"/>
        </w:rPr>
        <w:t>that</w:t>
      </w:r>
      <w:r w:rsidRPr="005105AD">
        <w:rPr>
          <w:rFonts w:ascii="Times New Roman" w:hAnsi="Times New Roman"/>
          <w:spacing w:val="-3"/>
        </w:rPr>
        <w:t xml:space="preserve"> </w:t>
      </w:r>
      <w:r w:rsidRPr="005105AD">
        <w:rPr>
          <w:rFonts w:ascii="Times New Roman" w:hAnsi="Times New Roman"/>
        </w:rPr>
        <w:t>the</w:t>
      </w:r>
      <w:r w:rsidRPr="005105AD">
        <w:rPr>
          <w:rFonts w:ascii="Times New Roman" w:hAnsi="Times New Roman"/>
          <w:spacing w:val="-3"/>
        </w:rPr>
        <w:t xml:space="preserve"> </w:t>
      </w:r>
      <w:r w:rsidRPr="005105AD">
        <w:rPr>
          <w:rFonts w:ascii="Times New Roman" w:hAnsi="Times New Roman"/>
        </w:rPr>
        <w:t>act</w:t>
      </w:r>
      <w:r w:rsidRPr="005105AD">
        <w:rPr>
          <w:rFonts w:ascii="Times New Roman" w:hAnsi="Times New Roman"/>
          <w:spacing w:val="-3"/>
        </w:rPr>
        <w:t xml:space="preserve"> </w:t>
      </w:r>
      <w:r w:rsidRPr="005105AD">
        <w:rPr>
          <w:rFonts w:ascii="Times New Roman" w:hAnsi="Times New Roman"/>
        </w:rPr>
        <w:t>causing</w:t>
      </w:r>
      <w:r w:rsidRPr="005105AD">
        <w:rPr>
          <w:rFonts w:ascii="Times New Roman" w:hAnsi="Times New Roman"/>
          <w:spacing w:val="-3"/>
        </w:rPr>
        <w:t xml:space="preserve"> </w:t>
      </w:r>
      <w:r w:rsidRPr="005105AD">
        <w:rPr>
          <w:rFonts w:ascii="Times New Roman" w:hAnsi="Times New Roman"/>
        </w:rPr>
        <w:t>death was limited to "an intentional act of violence".</w:t>
      </w:r>
    </w:p>
    <w:p w14:paraId="495A9C2B" w14:textId="77777777" w:rsidR="00484F88" w:rsidRPr="005105AD" w:rsidRDefault="00484F88" w:rsidP="00484F88">
      <w:pPr>
        <w:pStyle w:val="FixListStyle"/>
        <w:numPr>
          <w:ilvl w:val="0"/>
          <w:numId w:val="18"/>
        </w:numPr>
        <w:spacing w:after="260" w:line="280" w:lineRule="exact"/>
        <w:ind w:left="0" w:right="0" w:hanging="720"/>
        <w:jc w:val="both"/>
        <w:rPr>
          <w:rFonts w:ascii="Times New Roman" w:hAnsi="Times New Roman"/>
        </w:rPr>
      </w:pPr>
      <w:r w:rsidRPr="005105AD">
        <w:rPr>
          <w:rFonts w:ascii="Times New Roman" w:hAnsi="Times New Roman"/>
        </w:rPr>
        <w:tab/>
        <w:t xml:space="preserve">Implicitly accepted in </w:t>
      </w:r>
      <w:proofErr w:type="spellStart"/>
      <w:r w:rsidRPr="005105AD">
        <w:rPr>
          <w:rFonts w:ascii="Times New Roman" w:hAnsi="Times New Roman"/>
          <w:i/>
          <w:iCs/>
        </w:rPr>
        <w:t>Arulthilakan</w:t>
      </w:r>
      <w:proofErr w:type="spellEnd"/>
      <w:r w:rsidRPr="005105AD">
        <w:rPr>
          <w:rFonts w:ascii="Times New Roman" w:hAnsi="Times New Roman"/>
          <w:i/>
          <w:iCs/>
        </w:rPr>
        <w:t xml:space="preserve"> v The Queen</w:t>
      </w:r>
      <w:r w:rsidRPr="005105AD">
        <w:rPr>
          <w:rStyle w:val="FootnoteReference"/>
          <w:rFonts w:ascii="Times New Roman" w:hAnsi="Times New Roman"/>
          <w:iCs/>
          <w:sz w:val="24"/>
        </w:rPr>
        <w:footnoteReference w:id="44"/>
      </w:r>
      <w:r w:rsidRPr="005105AD">
        <w:rPr>
          <w:rFonts w:ascii="Times New Roman" w:hAnsi="Times New Roman"/>
        </w:rPr>
        <w:t>, and common ground in these appeals, is that the "act of violence" to which s 12A refers need not be an act done in fact by the accused. It</w:t>
      </w:r>
      <w:r w:rsidRPr="005105AD">
        <w:rPr>
          <w:rFonts w:ascii="Times New Roman" w:hAnsi="Times New Roman"/>
          <w:spacing w:val="-3"/>
        </w:rPr>
        <w:t xml:space="preserve"> </w:t>
      </w:r>
      <w:r w:rsidRPr="005105AD">
        <w:rPr>
          <w:rFonts w:ascii="Times New Roman" w:hAnsi="Times New Roman"/>
        </w:rPr>
        <w:t>is</w:t>
      </w:r>
      <w:r w:rsidRPr="005105AD">
        <w:rPr>
          <w:rFonts w:ascii="Times New Roman" w:hAnsi="Times New Roman"/>
          <w:spacing w:val="-5"/>
        </w:rPr>
        <w:t xml:space="preserve"> </w:t>
      </w:r>
      <w:r w:rsidRPr="005105AD">
        <w:rPr>
          <w:rFonts w:ascii="Times New Roman" w:hAnsi="Times New Roman"/>
        </w:rPr>
        <w:t>sufficient that the act of violence be done by another with the agreement of the accused as an intended part of a JCE to commit the foundational crime.</w:t>
      </w:r>
    </w:p>
    <w:p w14:paraId="3425EC5F" w14:textId="77777777" w:rsidR="00484F88" w:rsidRPr="005105AD" w:rsidRDefault="00484F88" w:rsidP="00484F88">
      <w:pPr>
        <w:pStyle w:val="FixListStyle"/>
        <w:numPr>
          <w:ilvl w:val="0"/>
          <w:numId w:val="18"/>
        </w:numPr>
        <w:spacing w:after="260" w:line="280" w:lineRule="exact"/>
        <w:ind w:left="0" w:right="0" w:hanging="720"/>
        <w:jc w:val="both"/>
        <w:rPr>
          <w:rFonts w:ascii="Times New Roman" w:hAnsi="Times New Roman"/>
        </w:rPr>
      </w:pPr>
      <w:r w:rsidRPr="005105AD">
        <w:rPr>
          <w:rFonts w:ascii="Times New Roman" w:hAnsi="Times New Roman"/>
        </w:rPr>
        <w:tab/>
        <w:t>Plain on the face of the provision and implicit in that same reasoning</w:t>
      </w:r>
      <w:r w:rsidRPr="005105AD">
        <w:rPr>
          <w:rFonts w:ascii="Times New Roman" w:hAnsi="Times New Roman"/>
          <w:spacing w:val="-4"/>
        </w:rPr>
        <w:t xml:space="preserve"> </w:t>
      </w:r>
      <w:r w:rsidRPr="005105AD">
        <w:rPr>
          <w:rFonts w:ascii="Times New Roman" w:hAnsi="Times New Roman"/>
        </w:rPr>
        <w:t>in</w:t>
      </w:r>
      <w:r w:rsidRPr="005105AD">
        <w:rPr>
          <w:rFonts w:ascii="Times New Roman" w:hAnsi="Times New Roman"/>
          <w:spacing w:val="-4"/>
        </w:rPr>
        <w:t xml:space="preserve"> </w:t>
      </w:r>
      <w:proofErr w:type="spellStart"/>
      <w:r w:rsidRPr="005105AD">
        <w:rPr>
          <w:rFonts w:ascii="Times New Roman" w:hAnsi="Times New Roman"/>
          <w:i/>
        </w:rPr>
        <w:t>Arulthilakan</w:t>
      </w:r>
      <w:proofErr w:type="spellEnd"/>
      <w:r w:rsidRPr="005105AD">
        <w:rPr>
          <w:rFonts w:ascii="Times New Roman" w:hAnsi="Times New Roman"/>
        </w:rPr>
        <w:t>,</w:t>
      </w:r>
      <w:r w:rsidRPr="005105AD">
        <w:rPr>
          <w:rFonts w:ascii="Times New Roman" w:hAnsi="Times New Roman"/>
          <w:spacing w:val="-4"/>
        </w:rPr>
        <w:t xml:space="preserve"> </w:t>
      </w:r>
      <w:r w:rsidRPr="005105AD">
        <w:rPr>
          <w:rFonts w:ascii="Times New Roman" w:hAnsi="Times New Roman"/>
        </w:rPr>
        <w:t>however,</w:t>
      </w:r>
      <w:r w:rsidRPr="005105AD">
        <w:rPr>
          <w:rFonts w:ascii="Times New Roman" w:hAnsi="Times New Roman"/>
          <w:spacing w:val="-4"/>
        </w:rPr>
        <w:t xml:space="preserve"> </w:t>
      </w:r>
      <w:r w:rsidRPr="005105AD">
        <w:rPr>
          <w:rFonts w:ascii="Times New Roman" w:hAnsi="Times New Roman"/>
        </w:rPr>
        <w:t>is</w:t>
      </w:r>
      <w:r w:rsidRPr="005105AD">
        <w:rPr>
          <w:rFonts w:ascii="Times New Roman" w:hAnsi="Times New Roman"/>
          <w:spacing w:val="-4"/>
        </w:rPr>
        <w:t xml:space="preserve"> </w:t>
      </w:r>
      <w:r w:rsidRPr="005105AD">
        <w:rPr>
          <w:rFonts w:ascii="Times New Roman" w:hAnsi="Times New Roman"/>
        </w:rPr>
        <w:t>that</w:t>
      </w:r>
      <w:r w:rsidRPr="005105AD">
        <w:rPr>
          <w:rFonts w:ascii="Times New Roman" w:hAnsi="Times New Roman"/>
          <w:spacing w:val="-4"/>
        </w:rPr>
        <w:t xml:space="preserve"> </w:t>
      </w:r>
      <w:r w:rsidRPr="005105AD">
        <w:rPr>
          <w:rFonts w:ascii="Times New Roman" w:hAnsi="Times New Roman"/>
        </w:rPr>
        <w:t>the</w:t>
      </w:r>
      <w:r w:rsidRPr="005105AD">
        <w:rPr>
          <w:rFonts w:ascii="Times New Roman" w:hAnsi="Times New Roman"/>
          <w:spacing w:val="-4"/>
        </w:rPr>
        <w:t xml:space="preserve"> </w:t>
      </w:r>
      <w:r w:rsidRPr="005105AD">
        <w:rPr>
          <w:rFonts w:ascii="Times New Roman" w:hAnsi="Times New Roman"/>
        </w:rPr>
        <w:t>intention</w:t>
      </w:r>
      <w:r w:rsidRPr="005105AD">
        <w:rPr>
          <w:rFonts w:ascii="Times New Roman" w:hAnsi="Times New Roman"/>
          <w:spacing w:val="-4"/>
        </w:rPr>
        <w:t xml:space="preserve"> </w:t>
      </w:r>
      <w:r w:rsidRPr="005105AD">
        <w:rPr>
          <w:rFonts w:ascii="Times New Roman" w:hAnsi="Times New Roman"/>
        </w:rPr>
        <w:t>to</w:t>
      </w:r>
      <w:r w:rsidRPr="005105AD">
        <w:rPr>
          <w:rFonts w:ascii="Times New Roman" w:hAnsi="Times New Roman"/>
          <w:spacing w:val="-6"/>
        </w:rPr>
        <w:t xml:space="preserve"> </w:t>
      </w:r>
      <w:r w:rsidRPr="005105AD">
        <w:rPr>
          <w:rFonts w:ascii="Times New Roman" w:hAnsi="Times New Roman"/>
        </w:rPr>
        <w:t>which s 12A refers by the words "an intentional act of violence" is the intention of the accused. Unless the act of violence is an act intended</w:t>
      </w:r>
      <w:r w:rsidRPr="005105AD">
        <w:rPr>
          <w:rFonts w:ascii="Times New Roman" w:hAnsi="Times New Roman"/>
          <w:spacing w:val="-3"/>
        </w:rPr>
        <w:t xml:space="preserve"> </w:t>
      </w:r>
      <w:r w:rsidRPr="005105AD">
        <w:rPr>
          <w:rFonts w:ascii="Times New Roman" w:hAnsi="Times New Roman"/>
        </w:rPr>
        <w:t>by</w:t>
      </w:r>
      <w:r w:rsidRPr="005105AD">
        <w:rPr>
          <w:rFonts w:ascii="Times New Roman" w:hAnsi="Times New Roman"/>
          <w:spacing w:val="-3"/>
        </w:rPr>
        <w:t xml:space="preserve"> </w:t>
      </w:r>
      <w:r w:rsidRPr="005105AD">
        <w:rPr>
          <w:rFonts w:ascii="Times New Roman" w:hAnsi="Times New Roman"/>
        </w:rPr>
        <w:t>the</w:t>
      </w:r>
      <w:r w:rsidRPr="005105AD">
        <w:rPr>
          <w:rFonts w:ascii="Times New Roman" w:hAnsi="Times New Roman"/>
          <w:spacing w:val="-3"/>
        </w:rPr>
        <w:t xml:space="preserve"> </w:t>
      </w:r>
      <w:r w:rsidRPr="005105AD">
        <w:rPr>
          <w:rFonts w:ascii="Times New Roman" w:hAnsi="Times New Roman"/>
        </w:rPr>
        <w:t>accused,</w:t>
      </w:r>
      <w:r w:rsidRPr="005105AD">
        <w:rPr>
          <w:rFonts w:ascii="Times New Roman" w:hAnsi="Times New Roman"/>
          <w:spacing w:val="-3"/>
        </w:rPr>
        <w:t xml:space="preserve"> </w:t>
      </w:r>
      <w:r w:rsidRPr="005105AD">
        <w:rPr>
          <w:rFonts w:ascii="Times New Roman" w:hAnsi="Times New Roman"/>
        </w:rPr>
        <w:t>the</w:t>
      </w:r>
      <w:r w:rsidRPr="005105AD">
        <w:rPr>
          <w:rFonts w:ascii="Times New Roman" w:hAnsi="Times New Roman"/>
          <w:spacing w:val="-3"/>
        </w:rPr>
        <w:t xml:space="preserve"> </w:t>
      </w:r>
      <w:r w:rsidRPr="005105AD">
        <w:rPr>
          <w:rFonts w:ascii="Times New Roman" w:hAnsi="Times New Roman"/>
        </w:rPr>
        <w:t>pathway</w:t>
      </w:r>
      <w:r w:rsidRPr="005105AD">
        <w:rPr>
          <w:rFonts w:ascii="Times New Roman" w:hAnsi="Times New Roman"/>
          <w:spacing w:val="-5"/>
        </w:rPr>
        <w:t xml:space="preserve"> </w:t>
      </w:r>
      <w:r w:rsidRPr="005105AD">
        <w:rPr>
          <w:rFonts w:ascii="Times New Roman" w:hAnsi="Times New Roman"/>
        </w:rPr>
        <w:t>provided</w:t>
      </w:r>
      <w:r w:rsidRPr="005105AD">
        <w:rPr>
          <w:rFonts w:ascii="Times New Roman" w:hAnsi="Times New Roman"/>
          <w:spacing w:val="-3"/>
        </w:rPr>
        <w:t xml:space="preserve"> </w:t>
      </w:r>
      <w:r w:rsidRPr="005105AD">
        <w:rPr>
          <w:rFonts w:ascii="Times New Roman" w:hAnsi="Times New Roman"/>
        </w:rPr>
        <w:t>by</w:t>
      </w:r>
      <w:r w:rsidRPr="005105AD">
        <w:rPr>
          <w:rFonts w:ascii="Times New Roman" w:hAnsi="Times New Roman"/>
          <w:spacing w:val="-3"/>
        </w:rPr>
        <w:t xml:space="preserve"> </w:t>
      </w:r>
      <w:r w:rsidRPr="005105AD">
        <w:rPr>
          <w:rFonts w:ascii="Times New Roman" w:hAnsi="Times New Roman"/>
        </w:rPr>
        <w:t>s</w:t>
      </w:r>
      <w:r w:rsidRPr="005105AD">
        <w:rPr>
          <w:rFonts w:ascii="Times New Roman" w:hAnsi="Times New Roman"/>
          <w:spacing w:val="-3"/>
        </w:rPr>
        <w:t> </w:t>
      </w:r>
      <w:r w:rsidRPr="005105AD">
        <w:rPr>
          <w:rFonts w:ascii="Times New Roman" w:hAnsi="Times New Roman"/>
        </w:rPr>
        <w:t>12A</w:t>
      </w:r>
      <w:r w:rsidRPr="005105AD">
        <w:rPr>
          <w:rFonts w:ascii="Times New Roman" w:hAnsi="Times New Roman"/>
          <w:spacing w:val="-3"/>
        </w:rPr>
        <w:t xml:space="preserve"> </w:t>
      </w:r>
      <w:r w:rsidRPr="005105AD">
        <w:rPr>
          <w:rFonts w:ascii="Times New Roman" w:hAnsi="Times New Roman"/>
        </w:rPr>
        <w:t>to</w:t>
      </w:r>
      <w:r w:rsidRPr="005105AD">
        <w:rPr>
          <w:rFonts w:ascii="Times New Roman" w:hAnsi="Times New Roman"/>
          <w:spacing w:val="-3"/>
        </w:rPr>
        <w:t xml:space="preserve"> </w:t>
      </w:r>
      <w:r w:rsidRPr="005105AD">
        <w:rPr>
          <w:rFonts w:ascii="Times New Roman" w:hAnsi="Times New Roman"/>
        </w:rPr>
        <w:t>guilt</w:t>
      </w:r>
      <w:r w:rsidRPr="005105AD">
        <w:rPr>
          <w:rFonts w:ascii="Times New Roman" w:hAnsi="Times New Roman"/>
          <w:spacing w:val="-3"/>
        </w:rPr>
        <w:t xml:space="preserve"> </w:t>
      </w:r>
      <w:r w:rsidRPr="005105AD">
        <w:rPr>
          <w:rFonts w:ascii="Times New Roman" w:hAnsi="Times New Roman"/>
        </w:rPr>
        <w:t>of the offence of murder under s 11 is unavailable.</w:t>
      </w:r>
    </w:p>
    <w:p w14:paraId="2DE9CEAE" w14:textId="77777777" w:rsidR="00484F88" w:rsidRPr="005105AD" w:rsidRDefault="00484F88" w:rsidP="00484F88">
      <w:pPr>
        <w:pStyle w:val="FixListStyle"/>
        <w:numPr>
          <w:ilvl w:val="0"/>
          <w:numId w:val="18"/>
        </w:numPr>
        <w:spacing w:after="260" w:line="280" w:lineRule="exact"/>
        <w:ind w:left="0" w:right="0" w:hanging="720"/>
        <w:jc w:val="both"/>
        <w:rPr>
          <w:rFonts w:ascii="Times New Roman" w:hAnsi="Times New Roman"/>
        </w:rPr>
      </w:pPr>
      <w:r w:rsidRPr="005105AD">
        <w:rPr>
          <w:rFonts w:ascii="Times New Roman" w:hAnsi="Times New Roman"/>
        </w:rPr>
        <w:tab/>
        <w:t>Because</w:t>
      </w:r>
      <w:r w:rsidRPr="005105AD">
        <w:rPr>
          <w:rFonts w:ascii="Times New Roman" w:hAnsi="Times New Roman"/>
          <w:spacing w:val="-4"/>
        </w:rPr>
        <w:t xml:space="preserve"> </w:t>
      </w:r>
      <w:r w:rsidRPr="005105AD">
        <w:rPr>
          <w:rFonts w:ascii="Times New Roman" w:hAnsi="Times New Roman"/>
        </w:rPr>
        <w:t>the</w:t>
      </w:r>
      <w:r w:rsidRPr="005105AD">
        <w:rPr>
          <w:rFonts w:ascii="Times New Roman" w:hAnsi="Times New Roman"/>
          <w:spacing w:val="-4"/>
        </w:rPr>
        <w:t xml:space="preserve"> </w:t>
      </w:r>
      <w:r w:rsidRPr="005105AD">
        <w:rPr>
          <w:rFonts w:ascii="Times New Roman" w:hAnsi="Times New Roman"/>
        </w:rPr>
        <w:t>common</w:t>
      </w:r>
      <w:r w:rsidRPr="005105AD">
        <w:rPr>
          <w:rFonts w:ascii="Times New Roman" w:hAnsi="Times New Roman"/>
          <w:spacing w:val="-4"/>
        </w:rPr>
        <w:t xml:space="preserve"> </w:t>
      </w:r>
      <w:r w:rsidRPr="005105AD">
        <w:rPr>
          <w:rFonts w:ascii="Times New Roman" w:hAnsi="Times New Roman"/>
        </w:rPr>
        <w:t>law</w:t>
      </w:r>
      <w:r w:rsidRPr="005105AD">
        <w:rPr>
          <w:rFonts w:ascii="Times New Roman" w:hAnsi="Times New Roman"/>
          <w:spacing w:val="-4"/>
        </w:rPr>
        <w:t xml:space="preserve"> </w:t>
      </w:r>
      <w:r w:rsidRPr="005105AD">
        <w:rPr>
          <w:rFonts w:ascii="Times New Roman" w:hAnsi="Times New Roman"/>
        </w:rPr>
        <w:t>doctrine</w:t>
      </w:r>
      <w:r w:rsidRPr="005105AD">
        <w:rPr>
          <w:rFonts w:ascii="Times New Roman" w:hAnsi="Times New Roman"/>
          <w:spacing w:val="-4"/>
        </w:rPr>
        <w:t xml:space="preserve"> </w:t>
      </w:r>
      <w:r w:rsidRPr="005105AD">
        <w:rPr>
          <w:rFonts w:ascii="Times New Roman" w:hAnsi="Times New Roman"/>
        </w:rPr>
        <w:t>of</w:t>
      </w:r>
      <w:r w:rsidRPr="005105AD">
        <w:rPr>
          <w:rFonts w:ascii="Times New Roman" w:hAnsi="Times New Roman"/>
          <w:spacing w:val="-4"/>
        </w:rPr>
        <w:t xml:space="preserve"> </w:t>
      </w:r>
      <w:r w:rsidRPr="005105AD">
        <w:rPr>
          <w:rFonts w:ascii="Times New Roman" w:hAnsi="Times New Roman"/>
        </w:rPr>
        <w:t>EJCE</w:t>
      </w:r>
      <w:r w:rsidRPr="005105AD">
        <w:rPr>
          <w:rFonts w:ascii="Times New Roman" w:hAnsi="Times New Roman"/>
          <w:spacing w:val="-4"/>
        </w:rPr>
        <w:t xml:space="preserve"> </w:t>
      </w:r>
      <w:r w:rsidRPr="005105AD">
        <w:rPr>
          <w:rFonts w:ascii="Times New Roman" w:hAnsi="Times New Roman"/>
        </w:rPr>
        <w:t>operates</w:t>
      </w:r>
      <w:r w:rsidRPr="005105AD">
        <w:rPr>
          <w:rFonts w:ascii="Times New Roman" w:hAnsi="Times New Roman"/>
          <w:spacing w:val="-4"/>
        </w:rPr>
        <w:t xml:space="preserve"> </w:t>
      </w:r>
      <w:r w:rsidRPr="005105AD">
        <w:rPr>
          <w:rFonts w:ascii="Times New Roman" w:hAnsi="Times New Roman"/>
        </w:rPr>
        <w:t>to</w:t>
      </w:r>
      <w:r w:rsidRPr="005105AD">
        <w:rPr>
          <w:rFonts w:ascii="Times New Roman" w:hAnsi="Times New Roman"/>
          <w:spacing w:val="-4"/>
        </w:rPr>
        <w:t xml:space="preserve"> </w:t>
      </w:r>
      <w:r w:rsidRPr="005105AD">
        <w:rPr>
          <w:rFonts w:ascii="Times New Roman" w:hAnsi="Times New Roman"/>
        </w:rPr>
        <w:t>impose liability on a secondary party for an offence on the part of a primary party, and because s 12A does not itself create an offence but operates instead only to provide a statutory pathway to guilt of the offence of murder under s 11, the common law doctrine of EJCE is incapable of application to s 12A alone.</w:t>
      </w:r>
      <w:r w:rsidRPr="005105AD">
        <w:rPr>
          <w:rFonts w:ascii="Times New Roman" w:hAnsi="Times New Roman"/>
          <w:spacing w:val="-1"/>
        </w:rPr>
        <w:t xml:space="preserve"> </w:t>
      </w:r>
      <w:r w:rsidRPr="005105AD">
        <w:rPr>
          <w:rFonts w:ascii="Times New Roman" w:hAnsi="Times New Roman"/>
        </w:rPr>
        <w:t>The question is whether the doctrine can operate to impose liability on a secondary party for an offence</w:t>
      </w:r>
      <w:r w:rsidRPr="005105AD">
        <w:rPr>
          <w:rFonts w:ascii="Times New Roman" w:hAnsi="Times New Roman"/>
          <w:spacing w:val="-3"/>
        </w:rPr>
        <w:t xml:space="preserve"> </w:t>
      </w:r>
      <w:r w:rsidRPr="005105AD">
        <w:rPr>
          <w:rFonts w:ascii="Times New Roman" w:hAnsi="Times New Roman"/>
        </w:rPr>
        <w:t>of</w:t>
      </w:r>
      <w:r w:rsidRPr="005105AD">
        <w:rPr>
          <w:rFonts w:ascii="Times New Roman" w:hAnsi="Times New Roman"/>
          <w:spacing w:val="-3"/>
        </w:rPr>
        <w:t xml:space="preserve"> </w:t>
      </w:r>
      <w:r w:rsidRPr="005105AD">
        <w:rPr>
          <w:rFonts w:ascii="Times New Roman" w:hAnsi="Times New Roman"/>
        </w:rPr>
        <w:t>murder</w:t>
      </w:r>
      <w:r w:rsidRPr="005105AD">
        <w:rPr>
          <w:rFonts w:ascii="Times New Roman" w:hAnsi="Times New Roman"/>
          <w:spacing w:val="-3"/>
        </w:rPr>
        <w:t xml:space="preserve"> </w:t>
      </w:r>
      <w:r w:rsidRPr="005105AD">
        <w:rPr>
          <w:rFonts w:ascii="Times New Roman" w:hAnsi="Times New Roman"/>
        </w:rPr>
        <w:t>on</w:t>
      </w:r>
      <w:r w:rsidRPr="005105AD">
        <w:rPr>
          <w:rFonts w:ascii="Times New Roman" w:hAnsi="Times New Roman"/>
          <w:spacing w:val="-3"/>
        </w:rPr>
        <w:t xml:space="preserve"> </w:t>
      </w:r>
      <w:r w:rsidRPr="005105AD">
        <w:rPr>
          <w:rFonts w:ascii="Times New Roman" w:hAnsi="Times New Roman"/>
        </w:rPr>
        <w:t>the</w:t>
      </w:r>
      <w:r w:rsidRPr="005105AD">
        <w:rPr>
          <w:rFonts w:ascii="Times New Roman" w:hAnsi="Times New Roman"/>
          <w:spacing w:val="-3"/>
        </w:rPr>
        <w:t xml:space="preserve"> </w:t>
      </w:r>
      <w:r w:rsidRPr="005105AD">
        <w:rPr>
          <w:rFonts w:ascii="Times New Roman" w:hAnsi="Times New Roman"/>
        </w:rPr>
        <w:t>part</w:t>
      </w:r>
      <w:r w:rsidRPr="005105AD">
        <w:rPr>
          <w:rFonts w:ascii="Times New Roman" w:hAnsi="Times New Roman"/>
          <w:spacing w:val="-3"/>
        </w:rPr>
        <w:t xml:space="preserve"> </w:t>
      </w:r>
      <w:r w:rsidRPr="005105AD">
        <w:rPr>
          <w:rFonts w:ascii="Times New Roman" w:hAnsi="Times New Roman"/>
        </w:rPr>
        <w:t>of</w:t>
      </w:r>
      <w:r w:rsidRPr="005105AD">
        <w:rPr>
          <w:rFonts w:ascii="Times New Roman" w:hAnsi="Times New Roman"/>
          <w:spacing w:val="-3"/>
        </w:rPr>
        <w:t xml:space="preserve"> </w:t>
      </w:r>
      <w:r w:rsidRPr="005105AD">
        <w:rPr>
          <w:rFonts w:ascii="Times New Roman" w:hAnsi="Times New Roman"/>
        </w:rPr>
        <w:t>a</w:t>
      </w:r>
      <w:r w:rsidRPr="005105AD">
        <w:rPr>
          <w:rFonts w:ascii="Times New Roman" w:hAnsi="Times New Roman"/>
          <w:spacing w:val="-3"/>
        </w:rPr>
        <w:t xml:space="preserve"> </w:t>
      </w:r>
      <w:r w:rsidRPr="005105AD">
        <w:rPr>
          <w:rFonts w:ascii="Times New Roman" w:hAnsi="Times New Roman"/>
        </w:rPr>
        <w:t>primary</w:t>
      </w:r>
      <w:r w:rsidRPr="005105AD">
        <w:rPr>
          <w:rFonts w:ascii="Times New Roman" w:hAnsi="Times New Roman"/>
          <w:spacing w:val="-3"/>
        </w:rPr>
        <w:t xml:space="preserve"> </w:t>
      </w:r>
      <w:r w:rsidRPr="005105AD">
        <w:rPr>
          <w:rFonts w:ascii="Times New Roman" w:hAnsi="Times New Roman"/>
        </w:rPr>
        <w:t>party</w:t>
      </w:r>
      <w:r w:rsidRPr="005105AD">
        <w:rPr>
          <w:rFonts w:ascii="Times New Roman" w:hAnsi="Times New Roman"/>
          <w:spacing w:val="-3"/>
        </w:rPr>
        <w:t xml:space="preserve"> </w:t>
      </w:r>
      <w:r w:rsidRPr="005105AD">
        <w:rPr>
          <w:rFonts w:ascii="Times New Roman" w:hAnsi="Times New Roman"/>
        </w:rPr>
        <w:t>in</w:t>
      </w:r>
      <w:r w:rsidRPr="005105AD">
        <w:rPr>
          <w:rFonts w:ascii="Times New Roman" w:hAnsi="Times New Roman"/>
          <w:spacing w:val="-3"/>
        </w:rPr>
        <w:t xml:space="preserve"> </w:t>
      </w:r>
      <w:r w:rsidRPr="005105AD">
        <w:rPr>
          <w:rFonts w:ascii="Times New Roman" w:hAnsi="Times New Roman"/>
        </w:rPr>
        <w:t>respect</w:t>
      </w:r>
      <w:r w:rsidRPr="005105AD">
        <w:rPr>
          <w:rFonts w:ascii="Times New Roman" w:hAnsi="Times New Roman"/>
          <w:spacing w:val="-5"/>
        </w:rPr>
        <w:t xml:space="preserve"> </w:t>
      </w:r>
      <w:r w:rsidRPr="005105AD">
        <w:rPr>
          <w:rFonts w:ascii="Times New Roman" w:hAnsi="Times New Roman"/>
        </w:rPr>
        <w:t>of</w:t>
      </w:r>
      <w:r w:rsidRPr="005105AD">
        <w:rPr>
          <w:rFonts w:ascii="Times New Roman" w:hAnsi="Times New Roman"/>
          <w:spacing w:val="-2"/>
        </w:rPr>
        <w:t xml:space="preserve"> </w:t>
      </w:r>
      <w:r w:rsidRPr="005105AD">
        <w:rPr>
          <w:rFonts w:ascii="Times New Roman" w:hAnsi="Times New Roman"/>
        </w:rPr>
        <w:t>which liability is imposed on that primary party under s 11 through the pathway provided by s 12A.</w:t>
      </w:r>
    </w:p>
    <w:p w14:paraId="7DAABEB3" w14:textId="77777777" w:rsidR="00484F88" w:rsidRPr="005105AD" w:rsidRDefault="00484F88" w:rsidP="00484F88">
      <w:pPr>
        <w:pStyle w:val="FixListStyle"/>
        <w:numPr>
          <w:ilvl w:val="0"/>
          <w:numId w:val="18"/>
        </w:numPr>
        <w:spacing w:after="260" w:line="280" w:lineRule="exact"/>
        <w:ind w:left="0" w:right="0" w:hanging="720"/>
        <w:jc w:val="both"/>
        <w:rPr>
          <w:rFonts w:ascii="Times New Roman" w:hAnsi="Times New Roman"/>
        </w:rPr>
      </w:pPr>
      <w:r w:rsidRPr="005105AD">
        <w:rPr>
          <w:rFonts w:ascii="Times New Roman" w:hAnsi="Times New Roman"/>
        </w:rPr>
        <w:lastRenderedPageBreak/>
        <w:tab/>
        <w:t>For the common law doctrine of EJCE to operate to impose liability on a secondary party in such a</w:t>
      </w:r>
      <w:r w:rsidRPr="005105AD">
        <w:rPr>
          <w:rFonts w:ascii="Times New Roman" w:hAnsi="Times New Roman"/>
          <w:spacing w:val="-1"/>
        </w:rPr>
        <w:t xml:space="preserve"> </w:t>
      </w:r>
      <w:r w:rsidRPr="005105AD">
        <w:rPr>
          <w:rFonts w:ascii="Times New Roman" w:hAnsi="Times New Roman"/>
        </w:rPr>
        <w:t>circumstance would</w:t>
      </w:r>
      <w:r w:rsidRPr="005105AD">
        <w:rPr>
          <w:rFonts w:ascii="Times New Roman" w:hAnsi="Times New Roman"/>
          <w:spacing w:val="-1"/>
        </w:rPr>
        <w:t xml:space="preserve"> </w:t>
      </w:r>
      <w:r w:rsidRPr="005105AD">
        <w:rPr>
          <w:rFonts w:ascii="Times New Roman" w:hAnsi="Times New Roman"/>
        </w:rPr>
        <w:t>amount to the creation at common law of liability for the statutorily</w:t>
      </w:r>
      <w:r w:rsidRPr="005105AD">
        <w:rPr>
          <w:rFonts w:ascii="Times New Roman" w:hAnsi="Times New Roman"/>
          <w:spacing w:val="-1"/>
        </w:rPr>
        <w:t xml:space="preserve"> </w:t>
      </w:r>
      <w:r w:rsidRPr="005105AD">
        <w:rPr>
          <w:rFonts w:ascii="Times New Roman" w:hAnsi="Times New Roman"/>
        </w:rPr>
        <w:t xml:space="preserve">defined form of murder in s 12A in circumstances which the narrowness of the s 12A pathway to that form of murder is designed to avoid. </w:t>
      </w:r>
      <w:proofErr w:type="gramStart"/>
      <w:r w:rsidRPr="005105AD">
        <w:rPr>
          <w:rFonts w:ascii="Times New Roman" w:hAnsi="Times New Roman"/>
        </w:rPr>
        <w:t>In particular, it</w:t>
      </w:r>
      <w:proofErr w:type="gramEnd"/>
      <w:r w:rsidRPr="005105AD">
        <w:rPr>
          <w:rFonts w:ascii="Times New Roman" w:hAnsi="Times New Roman"/>
        </w:rPr>
        <w:t xml:space="preserve"> would operate to impose liability for murder on a participant in a foundational major indictable offence as described in s 12A who has nothing other than foresight</w:t>
      </w:r>
      <w:r w:rsidRPr="005105AD">
        <w:rPr>
          <w:rFonts w:ascii="Times New Roman" w:hAnsi="Times New Roman"/>
          <w:spacing w:val="-3"/>
        </w:rPr>
        <w:t xml:space="preserve"> </w:t>
      </w:r>
      <w:r w:rsidRPr="005105AD">
        <w:rPr>
          <w:rFonts w:ascii="Times New Roman" w:hAnsi="Times New Roman"/>
        </w:rPr>
        <w:t>of</w:t>
      </w:r>
      <w:r w:rsidRPr="005105AD">
        <w:rPr>
          <w:rFonts w:ascii="Times New Roman" w:hAnsi="Times New Roman"/>
          <w:spacing w:val="-3"/>
        </w:rPr>
        <w:t xml:space="preserve"> </w:t>
      </w:r>
      <w:r w:rsidRPr="005105AD">
        <w:rPr>
          <w:rFonts w:ascii="Times New Roman" w:hAnsi="Times New Roman"/>
        </w:rPr>
        <w:t>the</w:t>
      </w:r>
      <w:r w:rsidRPr="005105AD">
        <w:rPr>
          <w:rFonts w:ascii="Times New Roman" w:hAnsi="Times New Roman"/>
          <w:spacing w:val="-2"/>
        </w:rPr>
        <w:t xml:space="preserve"> </w:t>
      </w:r>
      <w:r w:rsidRPr="005105AD">
        <w:rPr>
          <w:rFonts w:ascii="Times New Roman" w:hAnsi="Times New Roman"/>
        </w:rPr>
        <w:t>possibility</w:t>
      </w:r>
      <w:r w:rsidRPr="005105AD">
        <w:rPr>
          <w:rFonts w:ascii="Times New Roman" w:hAnsi="Times New Roman"/>
          <w:spacing w:val="-3"/>
        </w:rPr>
        <w:t xml:space="preserve"> </w:t>
      </w:r>
      <w:r w:rsidRPr="005105AD">
        <w:rPr>
          <w:rFonts w:ascii="Times New Roman" w:hAnsi="Times New Roman"/>
        </w:rPr>
        <w:t>of</w:t>
      </w:r>
      <w:r w:rsidRPr="005105AD">
        <w:rPr>
          <w:rFonts w:ascii="Times New Roman" w:hAnsi="Times New Roman"/>
          <w:spacing w:val="-3"/>
        </w:rPr>
        <w:t xml:space="preserve"> </w:t>
      </w:r>
      <w:r w:rsidRPr="005105AD">
        <w:rPr>
          <w:rFonts w:ascii="Times New Roman" w:hAnsi="Times New Roman"/>
        </w:rPr>
        <w:t>an</w:t>
      </w:r>
      <w:r w:rsidRPr="005105AD">
        <w:rPr>
          <w:rFonts w:ascii="Times New Roman" w:hAnsi="Times New Roman"/>
          <w:spacing w:val="-3"/>
        </w:rPr>
        <w:t xml:space="preserve"> </w:t>
      </w:r>
      <w:r w:rsidRPr="005105AD">
        <w:rPr>
          <w:rFonts w:ascii="Times New Roman" w:hAnsi="Times New Roman"/>
        </w:rPr>
        <w:t>intentional</w:t>
      </w:r>
      <w:r w:rsidRPr="005105AD">
        <w:rPr>
          <w:rFonts w:ascii="Times New Roman" w:hAnsi="Times New Roman"/>
          <w:spacing w:val="-3"/>
        </w:rPr>
        <w:t xml:space="preserve"> </w:t>
      </w:r>
      <w:r w:rsidRPr="005105AD">
        <w:rPr>
          <w:rFonts w:ascii="Times New Roman" w:hAnsi="Times New Roman"/>
        </w:rPr>
        <w:t>commission</w:t>
      </w:r>
      <w:r w:rsidRPr="005105AD">
        <w:rPr>
          <w:rFonts w:ascii="Times New Roman" w:hAnsi="Times New Roman"/>
          <w:spacing w:val="-3"/>
        </w:rPr>
        <w:t xml:space="preserve"> </w:t>
      </w:r>
      <w:r w:rsidRPr="005105AD">
        <w:rPr>
          <w:rFonts w:ascii="Times New Roman" w:hAnsi="Times New Roman"/>
        </w:rPr>
        <w:t>of</w:t>
      </w:r>
      <w:r w:rsidRPr="005105AD">
        <w:rPr>
          <w:rFonts w:ascii="Times New Roman" w:hAnsi="Times New Roman"/>
          <w:spacing w:val="-5"/>
        </w:rPr>
        <w:t xml:space="preserve"> </w:t>
      </w:r>
      <w:r w:rsidRPr="005105AD">
        <w:rPr>
          <w:rFonts w:ascii="Times New Roman" w:hAnsi="Times New Roman"/>
        </w:rPr>
        <w:t>an</w:t>
      </w:r>
      <w:r w:rsidRPr="005105AD">
        <w:rPr>
          <w:rFonts w:ascii="Times New Roman" w:hAnsi="Times New Roman"/>
          <w:spacing w:val="-3"/>
        </w:rPr>
        <w:t xml:space="preserve"> </w:t>
      </w:r>
      <w:r w:rsidRPr="005105AD">
        <w:rPr>
          <w:rFonts w:ascii="Times New Roman" w:hAnsi="Times New Roman"/>
        </w:rPr>
        <w:t>act</w:t>
      </w:r>
      <w:r w:rsidRPr="005105AD">
        <w:rPr>
          <w:rFonts w:ascii="Times New Roman" w:hAnsi="Times New Roman"/>
          <w:spacing w:val="-3"/>
        </w:rPr>
        <w:t xml:space="preserve"> </w:t>
      </w:r>
      <w:r w:rsidRPr="005105AD">
        <w:rPr>
          <w:rFonts w:ascii="Times New Roman" w:hAnsi="Times New Roman"/>
        </w:rPr>
        <w:t>of violence</w:t>
      </w:r>
      <w:r w:rsidRPr="005105AD">
        <w:rPr>
          <w:rFonts w:ascii="Times New Roman" w:hAnsi="Times New Roman"/>
          <w:spacing w:val="-2"/>
        </w:rPr>
        <w:t xml:space="preserve"> </w:t>
      </w:r>
      <w:r w:rsidRPr="005105AD">
        <w:rPr>
          <w:rFonts w:ascii="Times New Roman" w:hAnsi="Times New Roman"/>
        </w:rPr>
        <w:t>by</w:t>
      </w:r>
      <w:r w:rsidRPr="005105AD">
        <w:rPr>
          <w:rFonts w:ascii="Times New Roman" w:hAnsi="Times New Roman"/>
          <w:spacing w:val="-2"/>
        </w:rPr>
        <w:t xml:space="preserve"> </w:t>
      </w:r>
      <w:r w:rsidRPr="005105AD">
        <w:rPr>
          <w:rFonts w:ascii="Times New Roman" w:hAnsi="Times New Roman"/>
        </w:rPr>
        <w:t>another</w:t>
      </w:r>
      <w:r w:rsidRPr="005105AD">
        <w:rPr>
          <w:rFonts w:ascii="Times New Roman" w:hAnsi="Times New Roman"/>
          <w:spacing w:val="-5"/>
        </w:rPr>
        <w:t xml:space="preserve"> </w:t>
      </w:r>
      <w:r w:rsidRPr="005105AD">
        <w:rPr>
          <w:rFonts w:ascii="Times New Roman" w:hAnsi="Times New Roman"/>
        </w:rPr>
        <w:t>participant.</w:t>
      </w:r>
      <w:r w:rsidRPr="005105AD">
        <w:rPr>
          <w:rFonts w:ascii="Times New Roman" w:hAnsi="Times New Roman"/>
          <w:spacing w:val="-2"/>
        </w:rPr>
        <w:t xml:space="preserve"> </w:t>
      </w:r>
      <w:r w:rsidRPr="005105AD">
        <w:rPr>
          <w:rFonts w:ascii="Times New Roman" w:hAnsi="Times New Roman"/>
        </w:rPr>
        <w:t>However,</w:t>
      </w:r>
      <w:r w:rsidRPr="005105AD">
        <w:rPr>
          <w:rFonts w:ascii="Times New Roman" w:hAnsi="Times New Roman"/>
          <w:spacing w:val="-2"/>
        </w:rPr>
        <w:t xml:space="preserve"> </w:t>
      </w:r>
      <w:r w:rsidRPr="005105AD">
        <w:rPr>
          <w:rFonts w:ascii="Times New Roman" w:hAnsi="Times New Roman"/>
        </w:rPr>
        <w:t>the</w:t>
      </w:r>
      <w:r w:rsidRPr="005105AD">
        <w:rPr>
          <w:rFonts w:ascii="Times New Roman" w:hAnsi="Times New Roman"/>
          <w:spacing w:val="-2"/>
        </w:rPr>
        <w:t xml:space="preserve"> </w:t>
      </w:r>
      <w:r w:rsidRPr="005105AD">
        <w:rPr>
          <w:rFonts w:ascii="Times New Roman" w:hAnsi="Times New Roman"/>
        </w:rPr>
        <w:t>statutory</w:t>
      </w:r>
      <w:r w:rsidRPr="005105AD">
        <w:rPr>
          <w:rFonts w:ascii="Times New Roman" w:hAnsi="Times New Roman"/>
          <w:spacing w:val="-2"/>
        </w:rPr>
        <w:t xml:space="preserve"> </w:t>
      </w:r>
      <w:r w:rsidRPr="005105AD">
        <w:rPr>
          <w:rFonts w:ascii="Times New Roman" w:hAnsi="Times New Roman"/>
        </w:rPr>
        <w:t>design</w:t>
      </w:r>
      <w:r w:rsidRPr="005105AD">
        <w:rPr>
          <w:rFonts w:ascii="Times New Roman" w:hAnsi="Times New Roman"/>
          <w:spacing w:val="-2"/>
        </w:rPr>
        <w:t xml:space="preserve"> </w:t>
      </w:r>
      <w:r w:rsidRPr="005105AD">
        <w:rPr>
          <w:rFonts w:ascii="Times New Roman" w:hAnsi="Times New Roman"/>
        </w:rPr>
        <w:t>is</w:t>
      </w:r>
      <w:r w:rsidRPr="005105AD">
        <w:rPr>
          <w:rFonts w:ascii="Times New Roman" w:hAnsi="Times New Roman"/>
          <w:spacing w:val="-2"/>
        </w:rPr>
        <w:t xml:space="preserve"> </w:t>
      </w:r>
      <w:r w:rsidRPr="005105AD">
        <w:rPr>
          <w:rFonts w:ascii="Times New Roman" w:hAnsi="Times New Roman"/>
        </w:rPr>
        <w:t>to impose liability for murder on a person only if that person has an intention to commit an act of violence.</w:t>
      </w:r>
    </w:p>
    <w:p w14:paraId="1A62E2E6" w14:textId="77777777" w:rsidR="00484F88" w:rsidRPr="005105AD" w:rsidRDefault="00484F88" w:rsidP="00484F88">
      <w:pPr>
        <w:pStyle w:val="FixListStyle"/>
        <w:numPr>
          <w:ilvl w:val="0"/>
          <w:numId w:val="18"/>
        </w:numPr>
        <w:spacing w:after="260" w:line="280" w:lineRule="exact"/>
        <w:ind w:left="0" w:right="0" w:hanging="720"/>
        <w:jc w:val="both"/>
        <w:rPr>
          <w:rFonts w:ascii="Times New Roman" w:hAnsi="Times New Roman"/>
        </w:rPr>
      </w:pPr>
      <w:r w:rsidRPr="005105AD">
        <w:rPr>
          <w:rFonts w:ascii="Times New Roman" w:hAnsi="Times New Roman"/>
        </w:rPr>
        <w:tab/>
        <w:t>The background of the common law of felony murder was understood to make the liability for murder of every participant</w:t>
      </w:r>
      <w:r w:rsidRPr="005105AD">
        <w:rPr>
          <w:rFonts w:ascii="Times New Roman" w:hAnsi="Times New Roman"/>
          <w:spacing w:val="-4"/>
        </w:rPr>
        <w:t xml:space="preserve"> </w:t>
      </w:r>
      <w:r w:rsidRPr="005105AD">
        <w:rPr>
          <w:rFonts w:ascii="Times New Roman" w:hAnsi="Times New Roman"/>
        </w:rPr>
        <w:t>in</w:t>
      </w:r>
      <w:r w:rsidRPr="005105AD">
        <w:rPr>
          <w:rFonts w:ascii="Times New Roman" w:hAnsi="Times New Roman"/>
          <w:spacing w:val="-4"/>
        </w:rPr>
        <w:t xml:space="preserve"> </w:t>
      </w:r>
      <w:r w:rsidRPr="005105AD">
        <w:rPr>
          <w:rFonts w:ascii="Times New Roman" w:hAnsi="Times New Roman"/>
        </w:rPr>
        <w:t>a</w:t>
      </w:r>
      <w:r w:rsidRPr="005105AD">
        <w:rPr>
          <w:rFonts w:ascii="Times New Roman" w:hAnsi="Times New Roman"/>
          <w:spacing w:val="-4"/>
        </w:rPr>
        <w:t xml:space="preserve"> </w:t>
      </w:r>
      <w:r w:rsidRPr="005105AD">
        <w:rPr>
          <w:rFonts w:ascii="Times New Roman" w:hAnsi="Times New Roman"/>
        </w:rPr>
        <w:t>foundational</w:t>
      </w:r>
      <w:r w:rsidRPr="005105AD">
        <w:rPr>
          <w:rFonts w:ascii="Times New Roman" w:hAnsi="Times New Roman"/>
          <w:spacing w:val="-4"/>
        </w:rPr>
        <w:t xml:space="preserve"> felony </w:t>
      </w:r>
      <w:r w:rsidRPr="005105AD">
        <w:rPr>
          <w:rFonts w:ascii="Times New Roman" w:hAnsi="Times New Roman"/>
        </w:rPr>
        <w:t>independent</w:t>
      </w:r>
      <w:r w:rsidRPr="005105AD">
        <w:rPr>
          <w:rFonts w:ascii="Times New Roman" w:hAnsi="Times New Roman"/>
          <w:spacing w:val="-4"/>
        </w:rPr>
        <w:t xml:space="preserve"> </w:t>
      </w:r>
      <w:r w:rsidRPr="005105AD">
        <w:rPr>
          <w:rFonts w:ascii="Times New Roman" w:hAnsi="Times New Roman"/>
        </w:rPr>
        <w:t>of</w:t>
      </w:r>
      <w:r w:rsidRPr="005105AD">
        <w:rPr>
          <w:rFonts w:ascii="Times New Roman" w:hAnsi="Times New Roman"/>
          <w:spacing w:val="-4"/>
        </w:rPr>
        <w:t xml:space="preserve"> </w:t>
      </w:r>
      <w:r w:rsidRPr="005105AD">
        <w:rPr>
          <w:rFonts w:ascii="Times New Roman" w:hAnsi="Times New Roman"/>
        </w:rPr>
        <w:t>any</w:t>
      </w:r>
      <w:r w:rsidRPr="005105AD">
        <w:rPr>
          <w:rFonts w:ascii="Times New Roman" w:hAnsi="Times New Roman"/>
          <w:spacing w:val="-4"/>
        </w:rPr>
        <w:t xml:space="preserve"> </w:t>
      </w:r>
      <w:r w:rsidRPr="005105AD">
        <w:rPr>
          <w:rFonts w:ascii="Times New Roman" w:hAnsi="Times New Roman"/>
        </w:rPr>
        <w:t>intention</w:t>
      </w:r>
      <w:r w:rsidRPr="005105AD">
        <w:rPr>
          <w:rFonts w:ascii="Times New Roman" w:hAnsi="Times New Roman"/>
          <w:spacing w:val="-4"/>
        </w:rPr>
        <w:t xml:space="preserve"> </w:t>
      </w:r>
      <w:r w:rsidRPr="005105AD">
        <w:rPr>
          <w:rFonts w:ascii="Times New Roman" w:hAnsi="Times New Roman"/>
        </w:rPr>
        <w:t>or foresight of any of them that the act which in fact caused death would or might be done. Against this background, the legislative choice made in enacting s 12A as its statutory replacement was to make the criminal liability of each</w:t>
      </w:r>
      <w:r w:rsidRPr="005105AD">
        <w:rPr>
          <w:rFonts w:ascii="Times New Roman" w:hAnsi="Times New Roman"/>
          <w:spacing w:val="-1"/>
        </w:rPr>
        <w:t xml:space="preserve"> </w:t>
      </w:r>
      <w:r w:rsidRPr="005105AD">
        <w:rPr>
          <w:rFonts w:ascii="Times New Roman" w:hAnsi="Times New Roman"/>
        </w:rPr>
        <w:t>participant</w:t>
      </w:r>
      <w:r w:rsidRPr="005105AD">
        <w:rPr>
          <w:rFonts w:ascii="Times New Roman" w:hAnsi="Times New Roman"/>
          <w:spacing w:val="-1"/>
        </w:rPr>
        <w:t xml:space="preserve"> for murder by operation of that section depend on </w:t>
      </w:r>
      <w:r w:rsidRPr="005105AD">
        <w:rPr>
          <w:rFonts w:ascii="Times New Roman" w:hAnsi="Times New Roman"/>
        </w:rPr>
        <w:t>the</w:t>
      </w:r>
      <w:r w:rsidRPr="005105AD">
        <w:rPr>
          <w:rFonts w:ascii="Times New Roman" w:hAnsi="Times New Roman"/>
          <w:spacing w:val="-1"/>
        </w:rPr>
        <w:t xml:space="preserve"> </w:t>
      </w:r>
      <w:r w:rsidRPr="005105AD">
        <w:rPr>
          <w:rFonts w:ascii="Times New Roman" w:hAnsi="Times New Roman"/>
        </w:rPr>
        <w:t>intention</w:t>
      </w:r>
      <w:r w:rsidRPr="005105AD">
        <w:rPr>
          <w:rFonts w:ascii="Times New Roman" w:hAnsi="Times New Roman"/>
          <w:spacing w:val="-1"/>
        </w:rPr>
        <w:t xml:space="preserve"> </w:t>
      </w:r>
      <w:r w:rsidRPr="005105AD">
        <w:rPr>
          <w:rFonts w:ascii="Times New Roman" w:hAnsi="Times New Roman"/>
        </w:rPr>
        <w:t>of</w:t>
      </w:r>
      <w:r w:rsidRPr="005105AD">
        <w:rPr>
          <w:rFonts w:ascii="Times New Roman" w:hAnsi="Times New Roman"/>
          <w:spacing w:val="-1"/>
        </w:rPr>
        <w:t xml:space="preserve"> </w:t>
      </w:r>
      <w:r w:rsidRPr="005105AD">
        <w:rPr>
          <w:rFonts w:ascii="Times New Roman" w:hAnsi="Times New Roman"/>
        </w:rPr>
        <w:t>that</w:t>
      </w:r>
      <w:r w:rsidRPr="005105AD">
        <w:rPr>
          <w:rFonts w:ascii="Times New Roman" w:hAnsi="Times New Roman"/>
          <w:spacing w:val="-1"/>
        </w:rPr>
        <w:t xml:space="preserve"> </w:t>
      </w:r>
      <w:r w:rsidRPr="005105AD">
        <w:rPr>
          <w:rFonts w:ascii="Times New Roman" w:hAnsi="Times New Roman"/>
        </w:rPr>
        <w:t>participant to commit, or agree (contingently, reluctantly, or otherwise) in the commission of, the act of violence.</w:t>
      </w:r>
      <w:r w:rsidRPr="005105AD">
        <w:rPr>
          <w:rFonts w:ascii="Times New Roman" w:hAnsi="Times New Roman"/>
          <w:spacing w:val="-1"/>
        </w:rPr>
        <w:t xml:space="preserve"> </w:t>
      </w:r>
      <w:r w:rsidRPr="005105AD">
        <w:rPr>
          <w:rFonts w:ascii="Times New Roman" w:hAnsi="Times New Roman"/>
        </w:rPr>
        <w:t>The operation of the common law doctrine of EJCE on s 12A would distort that legislative choice in two respects. It would introduce foresight</w:t>
      </w:r>
      <w:r w:rsidRPr="005105AD">
        <w:rPr>
          <w:rFonts w:ascii="Times New Roman" w:hAnsi="Times New Roman"/>
          <w:spacing w:val="-3"/>
        </w:rPr>
        <w:t xml:space="preserve"> </w:t>
      </w:r>
      <w:r w:rsidRPr="005105AD">
        <w:rPr>
          <w:rFonts w:ascii="Times New Roman" w:hAnsi="Times New Roman"/>
        </w:rPr>
        <w:t>as</w:t>
      </w:r>
      <w:r w:rsidRPr="005105AD">
        <w:rPr>
          <w:rFonts w:ascii="Times New Roman" w:hAnsi="Times New Roman"/>
          <w:spacing w:val="-3"/>
        </w:rPr>
        <w:t xml:space="preserve"> </w:t>
      </w:r>
      <w:r w:rsidRPr="005105AD">
        <w:rPr>
          <w:rFonts w:ascii="Times New Roman" w:hAnsi="Times New Roman"/>
        </w:rPr>
        <w:t>a</w:t>
      </w:r>
      <w:r w:rsidRPr="005105AD">
        <w:rPr>
          <w:rFonts w:ascii="Times New Roman" w:hAnsi="Times New Roman"/>
          <w:spacing w:val="-3"/>
        </w:rPr>
        <w:t xml:space="preserve"> </w:t>
      </w:r>
      <w:r w:rsidRPr="005105AD">
        <w:rPr>
          <w:rFonts w:ascii="Times New Roman" w:hAnsi="Times New Roman"/>
        </w:rPr>
        <w:t>pathway</w:t>
      </w:r>
      <w:r w:rsidRPr="005105AD">
        <w:rPr>
          <w:rFonts w:ascii="Times New Roman" w:hAnsi="Times New Roman"/>
          <w:spacing w:val="-3"/>
        </w:rPr>
        <w:t xml:space="preserve"> </w:t>
      </w:r>
      <w:r w:rsidRPr="005105AD">
        <w:rPr>
          <w:rFonts w:ascii="Times New Roman" w:hAnsi="Times New Roman"/>
        </w:rPr>
        <w:t>to</w:t>
      </w:r>
      <w:r w:rsidRPr="005105AD">
        <w:rPr>
          <w:rFonts w:ascii="Times New Roman" w:hAnsi="Times New Roman"/>
          <w:spacing w:val="-3"/>
        </w:rPr>
        <w:t xml:space="preserve"> </w:t>
      </w:r>
      <w:r w:rsidRPr="005105AD">
        <w:rPr>
          <w:rFonts w:ascii="Times New Roman" w:hAnsi="Times New Roman"/>
        </w:rPr>
        <w:t>criminal</w:t>
      </w:r>
      <w:r w:rsidRPr="005105AD">
        <w:rPr>
          <w:rFonts w:ascii="Times New Roman" w:hAnsi="Times New Roman"/>
          <w:spacing w:val="-3"/>
        </w:rPr>
        <w:t xml:space="preserve"> </w:t>
      </w:r>
      <w:r w:rsidRPr="005105AD">
        <w:rPr>
          <w:rFonts w:ascii="Times New Roman" w:hAnsi="Times New Roman"/>
        </w:rPr>
        <w:t>liability for murder by operation of s 12A,</w:t>
      </w:r>
      <w:r w:rsidRPr="005105AD">
        <w:rPr>
          <w:rFonts w:ascii="Times New Roman" w:hAnsi="Times New Roman"/>
          <w:spacing w:val="-3"/>
        </w:rPr>
        <w:t xml:space="preserve"> </w:t>
      </w:r>
      <w:r w:rsidRPr="005105AD">
        <w:rPr>
          <w:rFonts w:ascii="Times New Roman" w:hAnsi="Times New Roman"/>
        </w:rPr>
        <w:t>thereby</w:t>
      </w:r>
      <w:r w:rsidRPr="005105AD">
        <w:rPr>
          <w:rFonts w:ascii="Times New Roman" w:hAnsi="Times New Roman"/>
          <w:spacing w:val="-3"/>
        </w:rPr>
        <w:t xml:space="preserve"> </w:t>
      </w:r>
      <w:r w:rsidRPr="005105AD">
        <w:rPr>
          <w:rFonts w:ascii="Times New Roman" w:hAnsi="Times New Roman"/>
        </w:rPr>
        <w:t>adding</w:t>
      </w:r>
      <w:r w:rsidRPr="005105AD">
        <w:rPr>
          <w:rFonts w:ascii="Times New Roman" w:hAnsi="Times New Roman"/>
          <w:spacing w:val="-5"/>
        </w:rPr>
        <w:t xml:space="preserve"> </w:t>
      </w:r>
      <w:r w:rsidRPr="005105AD">
        <w:rPr>
          <w:rFonts w:ascii="Times New Roman" w:hAnsi="Times New Roman"/>
        </w:rPr>
        <w:t>a</w:t>
      </w:r>
      <w:r w:rsidRPr="005105AD">
        <w:rPr>
          <w:rFonts w:ascii="Times New Roman" w:hAnsi="Times New Roman"/>
          <w:spacing w:val="-3"/>
        </w:rPr>
        <w:t xml:space="preserve"> </w:t>
      </w:r>
      <w:r w:rsidRPr="005105AD">
        <w:rPr>
          <w:rFonts w:ascii="Times New Roman" w:hAnsi="Times New Roman"/>
        </w:rPr>
        <w:t>pathway evidently eschewed in the making of the legislative choice. And it would introduce an anomalous distinction between participants in the foundational major indictable offence: the intentional commission of an act of violence being required to render a participant who does the act of violence causing death liable</w:t>
      </w:r>
      <w:r w:rsidRPr="005105AD">
        <w:rPr>
          <w:rFonts w:ascii="Times New Roman" w:hAnsi="Times New Roman"/>
          <w:spacing w:val="-4"/>
        </w:rPr>
        <w:t xml:space="preserve"> </w:t>
      </w:r>
      <w:r w:rsidRPr="005105AD">
        <w:rPr>
          <w:rFonts w:ascii="Times New Roman" w:hAnsi="Times New Roman"/>
        </w:rPr>
        <w:t>for</w:t>
      </w:r>
      <w:r w:rsidRPr="005105AD">
        <w:rPr>
          <w:rFonts w:ascii="Times New Roman" w:hAnsi="Times New Roman"/>
          <w:spacing w:val="-4"/>
        </w:rPr>
        <w:t xml:space="preserve"> </w:t>
      </w:r>
      <w:r w:rsidRPr="005105AD">
        <w:rPr>
          <w:rFonts w:ascii="Times New Roman" w:hAnsi="Times New Roman"/>
        </w:rPr>
        <w:t>murder,</w:t>
      </w:r>
      <w:r w:rsidRPr="005105AD">
        <w:rPr>
          <w:rFonts w:ascii="Times New Roman" w:hAnsi="Times New Roman"/>
          <w:spacing w:val="-4"/>
        </w:rPr>
        <w:t xml:space="preserve"> </w:t>
      </w:r>
      <w:r w:rsidRPr="005105AD">
        <w:rPr>
          <w:rFonts w:ascii="Times New Roman" w:hAnsi="Times New Roman"/>
        </w:rPr>
        <w:t>and</w:t>
      </w:r>
      <w:r w:rsidRPr="005105AD">
        <w:rPr>
          <w:rFonts w:ascii="Times New Roman" w:hAnsi="Times New Roman"/>
          <w:spacing w:val="-4"/>
        </w:rPr>
        <w:t xml:space="preserve"> </w:t>
      </w:r>
      <w:r w:rsidRPr="005105AD">
        <w:rPr>
          <w:rFonts w:ascii="Times New Roman" w:hAnsi="Times New Roman"/>
        </w:rPr>
        <w:t>mere</w:t>
      </w:r>
      <w:r w:rsidRPr="005105AD">
        <w:rPr>
          <w:rFonts w:ascii="Times New Roman" w:hAnsi="Times New Roman"/>
          <w:spacing w:val="-3"/>
        </w:rPr>
        <w:t xml:space="preserve"> </w:t>
      </w:r>
      <w:r w:rsidRPr="005105AD">
        <w:rPr>
          <w:rFonts w:ascii="Times New Roman" w:hAnsi="Times New Roman"/>
        </w:rPr>
        <w:t>foresight</w:t>
      </w:r>
      <w:r w:rsidRPr="005105AD">
        <w:rPr>
          <w:rFonts w:ascii="Times New Roman" w:hAnsi="Times New Roman"/>
          <w:spacing w:val="-4"/>
        </w:rPr>
        <w:t xml:space="preserve"> </w:t>
      </w:r>
      <w:r w:rsidRPr="005105AD">
        <w:rPr>
          <w:rFonts w:ascii="Times New Roman" w:hAnsi="Times New Roman"/>
        </w:rPr>
        <w:t>of</w:t>
      </w:r>
      <w:r w:rsidRPr="005105AD">
        <w:rPr>
          <w:rFonts w:ascii="Times New Roman" w:hAnsi="Times New Roman"/>
          <w:spacing w:val="-6"/>
        </w:rPr>
        <w:t xml:space="preserve"> </w:t>
      </w:r>
      <w:r w:rsidRPr="005105AD">
        <w:rPr>
          <w:rFonts w:ascii="Times New Roman" w:hAnsi="Times New Roman"/>
        </w:rPr>
        <w:t>the</w:t>
      </w:r>
      <w:r w:rsidRPr="005105AD">
        <w:rPr>
          <w:rFonts w:ascii="Times New Roman" w:hAnsi="Times New Roman"/>
          <w:spacing w:val="-4"/>
        </w:rPr>
        <w:t xml:space="preserve"> </w:t>
      </w:r>
      <w:r w:rsidRPr="005105AD">
        <w:rPr>
          <w:rFonts w:ascii="Times New Roman" w:hAnsi="Times New Roman"/>
        </w:rPr>
        <w:t>intentional</w:t>
      </w:r>
      <w:r w:rsidRPr="005105AD">
        <w:rPr>
          <w:rFonts w:ascii="Times New Roman" w:hAnsi="Times New Roman"/>
          <w:spacing w:val="-4"/>
        </w:rPr>
        <w:t xml:space="preserve"> </w:t>
      </w:r>
      <w:r w:rsidRPr="005105AD">
        <w:rPr>
          <w:rFonts w:ascii="Times New Roman" w:hAnsi="Times New Roman"/>
        </w:rPr>
        <w:t>commission of an act of violence causing death being sufficient to render a participant who does not do the act liable for the same offence.</w:t>
      </w:r>
    </w:p>
    <w:p w14:paraId="5EA74D6C" w14:textId="77777777" w:rsidR="00484F88" w:rsidRPr="005105AD" w:rsidRDefault="00484F88" w:rsidP="00484F88">
      <w:pPr>
        <w:pStyle w:val="FixListStyle"/>
        <w:numPr>
          <w:ilvl w:val="0"/>
          <w:numId w:val="18"/>
        </w:numPr>
        <w:spacing w:after="260" w:line="280" w:lineRule="exact"/>
        <w:ind w:left="0" w:right="0" w:hanging="720"/>
        <w:jc w:val="both"/>
        <w:rPr>
          <w:rFonts w:ascii="Times New Roman" w:hAnsi="Times New Roman"/>
        </w:rPr>
      </w:pPr>
      <w:r w:rsidRPr="005105AD">
        <w:rPr>
          <w:rFonts w:ascii="Times New Roman" w:hAnsi="Times New Roman"/>
        </w:rPr>
        <w:tab/>
        <w:t>Further, the common law doctrine of EJCE cannot be taken to have been so well established as to have been in legislative contemplation at the time of enactment of the Amendment Act. Indeed,</w:t>
      </w:r>
      <w:r w:rsidRPr="005105AD">
        <w:rPr>
          <w:rFonts w:ascii="Times New Roman" w:hAnsi="Times New Roman"/>
          <w:spacing w:val="-4"/>
        </w:rPr>
        <w:t xml:space="preserve"> </w:t>
      </w:r>
      <w:r w:rsidRPr="005105AD">
        <w:rPr>
          <w:rFonts w:ascii="Times New Roman" w:hAnsi="Times New Roman"/>
        </w:rPr>
        <w:t>recognition</w:t>
      </w:r>
      <w:r w:rsidRPr="005105AD">
        <w:rPr>
          <w:rFonts w:ascii="Times New Roman" w:hAnsi="Times New Roman"/>
          <w:spacing w:val="-6"/>
        </w:rPr>
        <w:t xml:space="preserve"> </w:t>
      </w:r>
      <w:r w:rsidRPr="005105AD">
        <w:rPr>
          <w:rFonts w:ascii="Times New Roman" w:hAnsi="Times New Roman"/>
        </w:rPr>
        <w:t>of</w:t>
      </w:r>
      <w:r w:rsidRPr="005105AD">
        <w:rPr>
          <w:rFonts w:ascii="Times New Roman" w:hAnsi="Times New Roman"/>
          <w:spacing w:val="-4"/>
        </w:rPr>
        <w:t xml:space="preserve"> </w:t>
      </w:r>
      <w:r w:rsidRPr="005105AD">
        <w:rPr>
          <w:rFonts w:ascii="Times New Roman" w:hAnsi="Times New Roman"/>
        </w:rPr>
        <w:t>the</w:t>
      </w:r>
      <w:r w:rsidRPr="005105AD">
        <w:rPr>
          <w:rFonts w:ascii="Times New Roman" w:hAnsi="Times New Roman"/>
          <w:spacing w:val="-4"/>
        </w:rPr>
        <w:t xml:space="preserve"> </w:t>
      </w:r>
      <w:r w:rsidRPr="005105AD">
        <w:rPr>
          <w:rFonts w:ascii="Times New Roman" w:hAnsi="Times New Roman"/>
        </w:rPr>
        <w:t>doctrine</w:t>
      </w:r>
      <w:r w:rsidRPr="005105AD">
        <w:rPr>
          <w:rFonts w:ascii="Times New Roman" w:hAnsi="Times New Roman"/>
          <w:spacing w:val="-4"/>
        </w:rPr>
        <w:t xml:space="preserve"> </w:t>
      </w:r>
      <w:r w:rsidRPr="005105AD">
        <w:rPr>
          <w:rFonts w:ascii="Times New Roman" w:hAnsi="Times New Roman"/>
        </w:rPr>
        <w:t>occurred</w:t>
      </w:r>
      <w:r w:rsidRPr="005105AD">
        <w:rPr>
          <w:rFonts w:ascii="Times New Roman" w:hAnsi="Times New Roman"/>
          <w:spacing w:val="-4"/>
        </w:rPr>
        <w:t xml:space="preserve"> </w:t>
      </w:r>
      <w:r w:rsidRPr="005105AD">
        <w:rPr>
          <w:rFonts w:ascii="Times New Roman" w:hAnsi="Times New Roman"/>
        </w:rPr>
        <w:t>only</w:t>
      </w:r>
      <w:r w:rsidRPr="005105AD">
        <w:rPr>
          <w:rFonts w:ascii="Times New Roman" w:hAnsi="Times New Roman"/>
          <w:spacing w:val="-4"/>
        </w:rPr>
        <w:t xml:space="preserve"> </w:t>
      </w:r>
      <w:r w:rsidRPr="005105AD">
        <w:rPr>
          <w:rFonts w:ascii="Times New Roman" w:hAnsi="Times New Roman"/>
        </w:rPr>
        <w:t>in</w:t>
      </w:r>
      <w:r w:rsidRPr="005105AD">
        <w:rPr>
          <w:rFonts w:ascii="Times New Roman" w:hAnsi="Times New Roman"/>
          <w:spacing w:val="-4"/>
        </w:rPr>
        <w:t xml:space="preserve"> </w:t>
      </w:r>
      <w:r w:rsidRPr="005105AD">
        <w:rPr>
          <w:rFonts w:ascii="Times New Roman" w:hAnsi="Times New Roman"/>
          <w:i/>
        </w:rPr>
        <w:t>McAuliffe</w:t>
      </w:r>
      <w:r w:rsidRPr="005105AD">
        <w:rPr>
          <w:rFonts w:ascii="Times New Roman" w:hAnsi="Times New Roman"/>
        </w:rPr>
        <w:t>,</w:t>
      </w:r>
      <w:r w:rsidRPr="005105AD">
        <w:rPr>
          <w:rFonts w:ascii="Times New Roman" w:hAnsi="Times New Roman"/>
          <w:spacing w:val="-4"/>
        </w:rPr>
        <w:t xml:space="preserve"> </w:t>
      </w:r>
      <w:r w:rsidRPr="005105AD">
        <w:rPr>
          <w:rFonts w:ascii="Times New Roman" w:hAnsi="Times New Roman"/>
        </w:rPr>
        <w:t>which was decided some months afterwards. The common law doctrine therefore cannot be taken, and is not suggested, to have any measure of presumptive application. No strain should be placed on the statutory language to attempt to accommodate it.</w:t>
      </w:r>
    </w:p>
    <w:p w14:paraId="53520718" w14:textId="77777777" w:rsidR="00484F88" w:rsidRPr="005105AD" w:rsidRDefault="00484F88" w:rsidP="00484F88">
      <w:pPr>
        <w:pStyle w:val="FixListStyle"/>
        <w:numPr>
          <w:ilvl w:val="0"/>
          <w:numId w:val="18"/>
        </w:numPr>
        <w:spacing w:after="260" w:line="280" w:lineRule="exact"/>
        <w:ind w:left="0" w:right="0" w:hanging="720"/>
        <w:jc w:val="both"/>
        <w:rPr>
          <w:rFonts w:ascii="Times New Roman" w:hAnsi="Times New Roman"/>
        </w:rPr>
      </w:pPr>
      <w:r w:rsidRPr="005105AD">
        <w:rPr>
          <w:rFonts w:ascii="Times New Roman" w:hAnsi="Times New Roman"/>
        </w:rPr>
        <w:tab/>
        <w:t>Given that application of the common law doctrine of EJCE would</w:t>
      </w:r>
      <w:r w:rsidRPr="005105AD">
        <w:rPr>
          <w:rFonts w:ascii="Times New Roman" w:hAnsi="Times New Roman"/>
          <w:spacing w:val="-2"/>
        </w:rPr>
        <w:t xml:space="preserve"> </w:t>
      </w:r>
      <w:r w:rsidRPr="005105AD">
        <w:rPr>
          <w:rFonts w:ascii="Times New Roman" w:hAnsi="Times New Roman"/>
        </w:rPr>
        <w:t>be</w:t>
      </w:r>
      <w:r w:rsidRPr="005105AD">
        <w:rPr>
          <w:rFonts w:ascii="Times New Roman" w:hAnsi="Times New Roman"/>
          <w:spacing w:val="-2"/>
        </w:rPr>
        <w:t xml:space="preserve"> </w:t>
      </w:r>
      <w:r w:rsidRPr="005105AD">
        <w:rPr>
          <w:rFonts w:ascii="Times New Roman" w:hAnsi="Times New Roman"/>
        </w:rPr>
        <w:t>in</w:t>
      </w:r>
      <w:r w:rsidRPr="005105AD">
        <w:rPr>
          <w:rFonts w:ascii="Times New Roman" w:hAnsi="Times New Roman"/>
          <w:spacing w:val="-2"/>
        </w:rPr>
        <w:t xml:space="preserve"> </w:t>
      </w:r>
      <w:r w:rsidRPr="005105AD">
        <w:rPr>
          <w:rFonts w:ascii="Times New Roman" w:hAnsi="Times New Roman"/>
        </w:rPr>
        <w:t>tension</w:t>
      </w:r>
      <w:r w:rsidRPr="005105AD">
        <w:rPr>
          <w:rFonts w:ascii="Times New Roman" w:hAnsi="Times New Roman"/>
          <w:spacing w:val="-4"/>
        </w:rPr>
        <w:t xml:space="preserve"> </w:t>
      </w:r>
      <w:r w:rsidRPr="005105AD">
        <w:rPr>
          <w:rFonts w:ascii="Times New Roman" w:hAnsi="Times New Roman"/>
        </w:rPr>
        <w:t>with</w:t>
      </w:r>
      <w:r w:rsidRPr="005105AD">
        <w:rPr>
          <w:rFonts w:ascii="Times New Roman" w:hAnsi="Times New Roman"/>
          <w:spacing w:val="-2"/>
        </w:rPr>
        <w:t xml:space="preserve"> </w:t>
      </w:r>
      <w:r w:rsidRPr="005105AD">
        <w:rPr>
          <w:rFonts w:ascii="Times New Roman" w:hAnsi="Times New Roman"/>
        </w:rPr>
        <w:t>the</w:t>
      </w:r>
      <w:r w:rsidRPr="005105AD">
        <w:rPr>
          <w:rFonts w:ascii="Times New Roman" w:hAnsi="Times New Roman"/>
          <w:spacing w:val="-2"/>
        </w:rPr>
        <w:t xml:space="preserve"> </w:t>
      </w:r>
      <w:r w:rsidRPr="005105AD">
        <w:rPr>
          <w:rFonts w:ascii="Times New Roman" w:hAnsi="Times New Roman"/>
        </w:rPr>
        <w:t>statutory</w:t>
      </w:r>
      <w:r w:rsidRPr="005105AD">
        <w:rPr>
          <w:rFonts w:ascii="Times New Roman" w:hAnsi="Times New Roman"/>
          <w:spacing w:val="-2"/>
        </w:rPr>
        <w:t xml:space="preserve"> </w:t>
      </w:r>
      <w:r w:rsidRPr="005105AD">
        <w:rPr>
          <w:rFonts w:ascii="Times New Roman" w:hAnsi="Times New Roman"/>
        </w:rPr>
        <w:t>scheme,</w:t>
      </w:r>
      <w:r w:rsidRPr="005105AD">
        <w:rPr>
          <w:rFonts w:ascii="Times New Roman" w:hAnsi="Times New Roman"/>
          <w:spacing w:val="-2"/>
        </w:rPr>
        <w:t xml:space="preserve"> </w:t>
      </w:r>
      <w:r w:rsidRPr="005105AD">
        <w:rPr>
          <w:rFonts w:ascii="Times New Roman" w:hAnsi="Times New Roman"/>
        </w:rPr>
        <w:t>it</w:t>
      </w:r>
      <w:r w:rsidRPr="005105AD">
        <w:rPr>
          <w:rFonts w:ascii="Times New Roman" w:hAnsi="Times New Roman"/>
          <w:spacing w:val="-2"/>
        </w:rPr>
        <w:t xml:space="preserve"> </w:t>
      </w:r>
      <w:r w:rsidRPr="005105AD">
        <w:rPr>
          <w:rFonts w:ascii="Times New Roman" w:hAnsi="Times New Roman"/>
        </w:rPr>
        <w:t>is</w:t>
      </w:r>
      <w:r w:rsidRPr="005105AD">
        <w:rPr>
          <w:rFonts w:ascii="Times New Roman" w:hAnsi="Times New Roman"/>
          <w:spacing w:val="-2"/>
        </w:rPr>
        <w:t xml:space="preserve"> </w:t>
      </w:r>
      <w:r w:rsidRPr="005105AD">
        <w:rPr>
          <w:rFonts w:ascii="Times New Roman" w:hAnsi="Times New Roman"/>
        </w:rPr>
        <w:t>the</w:t>
      </w:r>
      <w:r w:rsidRPr="005105AD">
        <w:rPr>
          <w:rFonts w:ascii="Times New Roman" w:hAnsi="Times New Roman"/>
          <w:spacing w:val="-2"/>
        </w:rPr>
        <w:t xml:space="preserve"> </w:t>
      </w:r>
      <w:r w:rsidRPr="005105AD">
        <w:rPr>
          <w:rFonts w:ascii="Times New Roman" w:hAnsi="Times New Roman"/>
        </w:rPr>
        <w:t>common</w:t>
      </w:r>
      <w:r w:rsidRPr="005105AD">
        <w:rPr>
          <w:rFonts w:ascii="Times New Roman" w:hAnsi="Times New Roman"/>
          <w:spacing w:val="-2"/>
        </w:rPr>
        <w:t xml:space="preserve"> </w:t>
      </w:r>
      <w:r w:rsidRPr="005105AD">
        <w:rPr>
          <w:rFonts w:ascii="Times New Roman" w:hAnsi="Times New Roman"/>
        </w:rPr>
        <w:t>law doctrine</w:t>
      </w:r>
      <w:r w:rsidRPr="005105AD">
        <w:rPr>
          <w:rFonts w:ascii="Times New Roman" w:hAnsi="Times New Roman"/>
          <w:spacing w:val="-4"/>
        </w:rPr>
        <w:t xml:space="preserve"> </w:t>
      </w:r>
      <w:r w:rsidRPr="005105AD">
        <w:rPr>
          <w:rFonts w:ascii="Times New Roman" w:hAnsi="Times New Roman"/>
        </w:rPr>
        <w:t>which</w:t>
      </w:r>
      <w:r w:rsidRPr="005105AD">
        <w:rPr>
          <w:rFonts w:ascii="Times New Roman" w:hAnsi="Times New Roman"/>
          <w:spacing w:val="-4"/>
        </w:rPr>
        <w:t xml:space="preserve"> </w:t>
      </w:r>
      <w:r w:rsidRPr="005105AD">
        <w:rPr>
          <w:rFonts w:ascii="Times New Roman" w:hAnsi="Times New Roman"/>
        </w:rPr>
        <w:t>must</w:t>
      </w:r>
      <w:r w:rsidRPr="005105AD">
        <w:rPr>
          <w:rFonts w:ascii="Times New Roman" w:hAnsi="Times New Roman"/>
          <w:spacing w:val="-4"/>
        </w:rPr>
        <w:t xml:space="preserve"> </w:t>
      </w:r>
      <w:r w:rsidRPr="005105AD">
        <w:rPr>
          <w:rFonts w:ascii="Times New Roman" w:hAnsi="Times New Roman"/>
        </w:rPr>
        <w:t>yield</w:t>
      </w:r>
      <w:r w:rsidRPr="005105AD">
        <w:rPr>
          <w:rFonts w:ascii="Times New Roman" w:hAnsi="Times New Roman"/>
          <w:spacing w:val="-4"/>
        </w:rPr>
        <w:t xml:space="preserve"> </w:t>
      </w:r>
      <w:r w:rsidRPr="005105AD">
        <w:rPr>
          <w:rFonts w:ascii="Times New Roman" w:hAnsi="Times New Roman"/>
        </w:rPr>
        <w:t>to</w:t>
      </w:r>
      <w:r w:rsidRPr="005105AD">
        <w:rPr>
          <w:rFonts w:ascii="Times New Roman" w:hAnsi="Times New Roman"/>
          <w:spacing w:val="-4"/>
        </w:rPr>
        <w:t xml:space="preserve"> </w:t>
      </w:r>
      <w:r w:rsidRPr="005105AD">
        <w:rPr>
          <w:rFonts w:ascii="Times New Roman" w:hAnsi="Times New Roman"/>
        </w:rPr>
        <w:t>ensure</w:t>
      </w:r>
      <w:r w:rsidRPr="005105AD">
        <w:rPr>
          <w:rFonts w:ascii="Times New Roman" w:hAnsi="Times New Roman"/>
          <w:spacing w:val="-4"/>
        </w:rPr>
        <w:t xml:space="preserve"> </w:t>
      </w:r>
      <w:r w:rsidRPr="005105AD">
        <w:rPr>
          <w:rFonts w:ascii="Times New Roman" w:hAnsi="Times New Roman"/>
        </w:rPr>
        <w:t>coherence.</w:t>
      </w:r>
      <w:r w:rsidRPr="005105AD">
        <w:rPr>
          <w:rFonts w:ascii="Times New Roman" w:hAnsi="Times New Roman"/>
          <w:spacing w:val="-4"/>
        </w:rPr>
        <w:t xml:space="preserve"> </w:t>
      </w:r>
      <w:r w:rsidRPr="005105AD">
        <w:rPr>
          <w:rFonts w:ascii="Times New Roman" w:hAnsi="Times New Roman"/>
        </w:rPr>
        <w:t>Two</w:t>
      </w:r>
      <w:r w:rsidRPr="005105AD">
        <w:rPr>
          <w:rFonts w:ascii="Times New Roman" w:hAnsi="Times New Roman"/>
          <w:spacing w:val="-4"/>
        </w:rPr>
        <w:t xml:space="preserve"> </w:t>
      </w:r>
      <w:r w:rsidRPr="005105AD">
        <w:rPr>
          <w:rFonts w:ascii="Times New Roman" w:hAnsi="Times New Roman"/>
        </w:rPr>
        <w:t>overarching</w:t>
      </w:r>
      <w:r w:rsidRPr="005105AD">
        <w:rPr>
          <w:rFonts w:ascii="Times New Roman" w:hAnsi="Times New Roman"/>
          <w:spacing w:val="-4"/>
        </w:rPr>
        <w:t xml:space="preserve"> </w:t>
      </w:r>
      <w:r w:rsidRPr="005105AD">
        <w:rPr>
          <w:rFonts w:ascii="Times New Roman" w:hAnsi="Times New Roman"/>
        </w:rPr>
        <w:t xml:space="preserve">and overlapping considerations of legal policy lend support to that conclusion. Expressed normatively in language drawn </w:t>
      </w:r>
      <w:r w:rsidRPr="005105AD">
        <w:rPr>
          <w:rFonts w:ascii="Times New Roman" w:hAnsi="Times New Roman"/>
        </w:rPr>
        <w:lastRenderedPageBreak/>
        <w:t xml:space="preserve">from the majority in </w:t>
      </w:r>
      <w:r w:rsidRPr="005105AD">
        <w:rPr>
          <w:rFonts w:ascii="Times New Roman" w:hAnsi="Times New Roman"/>
          <w:i/>
        </w:rPr>
        <w:t>Wilson v The Queen</w:t>
      </w:r>
      <w:r w:rsidRPr="005105AD">
        <w:rPr>
          <w:rStyle w:val="FootnoteReference"/>
          <w:rFonts w:ascii="Times New Roman" w:hAnsi="Times New Roman"/>
          <w:sz w:val="24"/>
        </w:rPr>
        <w:footnoteReference w:id="45"/>
      </w:r>
      <w:r w:rsidRPr="005105AD">
        <w:rPr>
          <w:rFonts w:ascii="Times New Roman" w:hAnsi="Times New Roman"/>
        </w:rPr>
        <w:t>, they are that: (1) the judicial development of the criminal law has for the most part been, and should continue to be, towards a closer correlation between moral culpability</w:t>
      </w:r>
      <w:r w:rsidRPr="005105AD">
        <w:rPr>
          <w:rFonts w:ascii="Times New Roman" w:hAnsi="Times New Roman"/>
          <w:spacing w:val="-4"/>
        </w:rPr>
        <w:t xml:space="preserve"> </w:t>
      </w:r>
      <w:r w:rsidRPr="005105AD">
        <w:rPr>
          <w:rFonts w:ascii="Times New Roman" w:hAnsi="Times New Roman"/>
        </w:rPr>
        <w:t>and</w:t>
      </w:r>
      <w:r w:rsidRPr="005105AD">
        <w:rPr>
          <w:rFonts w:ascii="Times New Roman" w:hAnsi="Times New Roman"/>
          <w:spacing w:val="-4"/>
        </w:rPr>
        <w:t xml:space="preserve"> </w:t>
      </w:r>
      <w:r w:rsidRPr="005105AD">
        <w:rPr>
          <w:rFonts w:ascii="Times New Roman" w:hAnsi="Times New Roman"/>
        </w:rPr>
        <w:t>legal</w:t>
      </w:r>
      <w:r w:rsidRPr="005105AD">
        <w:rPr>
          <w:rFonts w:ascii="Times New Roman" w:hAnsi="Times New Roman"/>
          <w:spacing w:val="-7"/>
        </w:rPr>
        <w:t xml:space="preserve"> </w:t>
      </w:r>
      <w:r w:rsidRPr="005105AD">
        <w:rPr>
          <w:rFonts w:ascii="Times New Roman" w:hAnsi="Times New Roman"/>
        </w:rPr>
        <w:t>responsibility;</w:t>
      </w:r>
      <w:r w:rsidRPr="005105AD">
        <w:rPr>
          <w:rFonts w:ascii="Times New Roman" w:hAnsi="Times New Roman"/>
          <w:spacing w:val="-4"/>
        </w:rPr>
        <w:t xml:space="preserve"> </w:t>
      </w:r>
      <w:r w:rsidRPr="005105AD">
        <w:rPr>
          <w:rFonts w:ascii="Times New Roman" w:hAnsi="Times New Roman"/>
        </w:rPr>
        <w:t>and</w:t>
      </w:r>
      <w:r w:rsidRPr="005105AD">
        <w:rPr>
          <w:rFonts w:ascii="Times New Roman" w:hAnsi="Times New Roman"/>
          <w:spacing w:val="-4"/>
        </w:rPr>
        <w:t xml:space="preserve"> </w:t>
      </w:r>
      <w:r w:rsidRPr="005105AD">
        <w:rPr>
          <w:rFonts w:ascii="Times New Roman" w:hAnsi="Times New Roman"/>
        </w:rPr>
        <w:t>(2)</w:t>
      </w:r>
      <w:r w:rsidRPr="005105AD">
        <w:rPr>
          <w:rFonts w:ascii="Times New Roman" w:hAnsi="Times New Roman"/>
          <w:spacing w:val="-4"/>
        </w:rPr>
        <w:t> </w:t>
      </w:r>
      <w:r w:rsidRPr="005105AD">
        <w:rPr>
          <w:rFonts w:ascii="Times New Roman" w:hAnsi="Times New Roman"/>
        </w:rPr>
        <w:t>the</w:t>
      </w:r>
      <w:r w:rsidRPr="005105AD">
        <w:rPr>
          <w:rFonts w:ascii="Times New Roman" w:hAnsi="Times New Roman"/>
          <w:spacing w:val="-4"/>
        </w:rPr>
        <w:t xml:space="preserve"> </w:t>
      </w:r>
      <w:r w:rsidRPr="005105AD">
        <w:rPr>
          <w:rFonts w:ascii="Times New Roman" w:hAnsi="Times New Roman"/>
        </w:rPr>
        <w:t>scope</w:t>
      </w:r>
      <w:r w:rsidRPr="005105AD">
        <w:rPr>
          <w:rFonts w:ascii="Times New Roman" w:hAnsi="Times New Roman"/>
          <w:spacing w:val="-4"/>
        </w:rPr>
        <w:t xml:space="preserve"> </w:t>
      </w:r>
      <w:r w:rsidRPr="005105AD">
        <w:rPr>
          <w:rFonts w:ascii="Times New Roman" w:hAnsi="Times New Roman"/>
        </w:rPr>
        <w:t>of</w:t>
      </w:r>
      <w:r w:rsidRPr="005105AD">
        <w:rPr>
          <w:rFonts w:ascii="Times New Roman" w:hAnsi="Times New Roman"/>
          <w:spacing w:val="-4"/>
        </w:rPr>
        <w:t xml:space="preserve"> </w:t>
      </w:r>
      <w:r w:rsidRPr="005105AD">
        <w:rPr>
          <w:rFonts w:ascii="Times New Roman" w:hAnsi="Times New Roman"/>
        </w:rPr>
        <w:t>constructive crime should be confined to what is truly unavoidable.</w:t>
      </w:r>
    </w:p>
    <w:p w14:paraId="0CE6FBEA" w14:textId="77777777" w:rsidR="00484F88" w:rsidRPr="005105AD" w:rsidRDefault="00484F88" w:rsidP="00484F88">
      <w:pPr>
        <w:pStyle w:val="FixListStyle"/>
        <w:numPr>
          <w:ilvl w:val="0"/>
          <w:numId w:val="18"/>
        </w:numPr>
        <w:spacing w:after="260" w:line="280" w:lineRule="exact"/>
        <w:ind w:left="0" w:right="0" w:hanging="720"/>
        <w:jc w:val="both"/>
        <w:rPr>
          <w:rFonts w:ascii="Times New Roman" w:hAnsi="Times New Roman"/>
        </w:rPr>
      </w:pPr>
      <w:r w:rsidRPr="005105AD">
        <w:rPr>
          <w:rFonts w:ascii="Times New Roman" w:hAnsi="Times New Roman"/>
        </w:rPr>
        <w:tab/>
        <w:t>The</w:t>
      </w:r>
      <w:r w:rsidRPr="005105AD">
        <w:rPr>
          <w:rFonts w:ascii="Times New Roman" w:hAnsi="Times New Roman"/>
          <w:spacing w:val="-9"/>
        </w:rPr>
        <w:t xml:space="preserve"> </w:t>
      </w:r>
      <w:r w:rsidRPr="005105AD">
        <w:rPr>
          <w:rFonts w:ascii="Times New Roman" w:hAnsi="Times New Roman"/>
        </w:rPr>
        <w:t>answer</w:t>
      </w:r>
      <w:r w:rsidRPr="005105AD">
        <w:rPr>
          <w:rFonts w:ascii="Times New Roman" w:hAnsi="Times New Roman"/>
          <w:spacing w:val="-8"/>
        </w:rPr>
        <w:t xml:space="preserve"> </w:t>
      </w:r>
      <w:r w:rsidRPr="005105AD">
        <w:rPr>
          <w:rFonts w:ascii="Times New Roman" w:hAnsi="Times New Roman"/>
        </w:rPr>
        <w:t>to</w:t>
      </w:r>
      <w:r w:rsidRPr="005105AD">
        <w:rPr>
          <w:rFonts w:ascii="Times New Roman" w:hAnsi="Times New Roman"/>
          <w:spacing w:val="-8"/>
        </w:rPr>
        <w:t xml:space="preserve"> </w:t>
      </w:r>
      <w:r w:rsidRPr="005105AD">
        <w:rPr>
          <w:rFonts w:ascii="Times New Roman" w:hAnsi="Times New Roman"/>
        </w:rPr>
        <w:t>the</w:t>
      </w:r>
      <w:r w:rsidRPr="005105AD">
        <w:rPr>
          <w:rFonts w:ascii="Times New Roman" w:hAnsi="Times New Roman"/>
          <w:spacing w:val="-8"/>
        </w:rPr>
        <w:t xml:space="preserve"> </w:t>
      </w:r>
      <w:r w:rsidRPr="005105AD">
        <w:rPr>
          <w:rFonts w:ascii="Times New Roman" w:hAnsi="Times New Roman"/>
        </w:rPr>
        <w:t>dispositive</w:t>
      </w:r>
      <w:r w:rsidRPr="005105AD">
        <w:rPr>
          <w:rFonts w:ascii="Times New Roman" w:hAnsi="Times New Roman"/>
          <w:spacing w:val="-8"/>
        </w:rPr>
        <w:t xml:space="preserve"> </w:t>
      </w:r>
      <w:r w:rsidRPr="005105AD">
        <w:rPr>
          <w:rFonts w:ascii="Times New Roman" w:hAnsi="Times New Roman"/>
        </w:rPr>
        <w:t>question</w:t>
      </w:r>
      <w:r w:rsidRPr="005105AD">
        <w:rPr>
          <w:rFonts w:ascii="Times New Roman" w:hAnsi="Times New Roman"/>
          <w:spacing w:val="-8"/>
        </w:rPr>
        <w:t xml:space="preserve"> </w:t>
      </w:r>
      <w:r w:rsidRPr="005105AD">
        <w:rPr>
          <w:rFonts w:ascii="Times New Roman" w:hAnsi="Times New Roman"/>
        </w:rPr>
        <w:t>is,</w:t>
      </w:r>
      <w:r w:rsidRPr="005105AD">
        <w:rPr>
          <w:rFonts w:ascii="Times New Roman" w:hAnsi="Times New Roman"/>
          <w:spacing w:val="-8"/>
        </w:rPr>
        <w:t xml:space="preserve"> </w:t>
      </w:r>
      <w:r w:rsidRPr="005105AD">
        <w:rPr>
          <w:rFonts w:ascii="Times New Roman" w:hAnsi="Times New Roman"/>
        </w:rPr>
        <w:t>accordingly,</w:t>
      </w:r>
      <w:r w:rsidRPr="005105AD">
        <w:rPr>
          <w:rFonts w:ascii="Times New Roman" w:hAnsi="Times New Roman"/>
          <w:spacing w:val="-8"/>
        </w:rPr>
        <w:t xml:space="preserve"> </w:t>
      </w:r>
      <w:r w:rsidRPr="005105AD">
        <w:rPr>
          <w:rFonts w:ascii="Times New Roman" w:hAnsi="Times New Roman"/>
          <w:spacing w:val="-2"/>
        </w:rPr>
        <w:t>"no".</w:t>
      </w:r>
    </w:p>
    <w:p w14:paraId="7B38B57D" w14:textId="77777777" w:rsidR="00484F88" w:rsidRDefault="00484F88" w:rsidP="00484F88">
      <w:pPr>
        <w:pStyle w:val="FixListStyle"/>
        <w:numPr>
          <w:ilvl w:val="0"/>
          <w:numId w:val="18"/>
        </w:numPr>
        <w:spacing w:after="260" w:line="280" w:lineRule="exact"/>
        <w:ind w:left="0" w:right="0" w:hanging="720"/>
        <w:jc w:val="both"/>
        <w:rPr>
          <w:rFonts w:ascii="Times New Roman" w:hAnsi="Times New Roman"/>
        </w:rPr>
      </w:pPr>
      <w:r w:rsidRPr="005105AD">
        <w:rPr>
          <w:rFonts w:ascii="Times New Roman" w:hAnsi="Times New Roman"/>
          <w:spacing w:val="-2"/>
        </w:rPr>
        <w:tab/>
      </w:r>
      <w:r w:rsidRPr="005105AD">
        <w:rPr>
          <w:rFonts w:ascii="Times New Roman" w:hAnsi="Times New Roman"/>
        </w:rPr>
        <w:t>For</w:t>
      </w:r>
      <w:r w:rsidRPr="005105AD">
        <w:rPr>
          <w:rFonts w:ascii="Times New Roman" w:hAnsi="Times New Roman"/>
          <w:spacing w:val="-4"/>
        </w:rPr>
        <w:t xml:space="preserve"> </w:t>
      </w:r>
      <w:r w:rsidRPr="005105AD">
        <w:rPr>
          <w:rFonts w:ascii="Times New Roman" w:hAnsi="Times New Roman"/>
        </w:rPr>
        <w:t>that</w:t>
      </w:r>
      <w:r w:rsidRPr="005105AD">
        <w:rPr>
          <w:rFonts w:ascii="Times New Roman" w:hAnsi="Times New Roman"/>
          <w:spacing w:val="-4"/>
        </w:rPr>
        <w:t xml:space="preserve"> </w:t>
      </w:r>
      <w:r w:rsidRPr="005105AD">
        <w:rPr>
          <w:rFonts w:ascii="Times New Roman" w:hAnsi="Times New Roman"/>
        </w:rPr>
        <w:t>reason,</w:t>
      </w:r>
      <w:r w:rsidRPr="005105AD">
        <w:rPr>
          <w:rFonts w:ascii="Times New Roman" w:hAnsi="Times New Roman"/>
          <w:spacing w:val="-4"/>
        </w:rPr>
        <w:t xml:space="preserve"> </w:t>
      </w:r>
      <w:r w:rsidRPr="005105AD">
        <w:rPr>
          <w:rFonts w:ascii="Times New Roman" w:hAnsi="Times New Roman"/>
        </w:rPr>
        <w:t>we</w:t>
      </w:r>
      <w:r w:rsidRPr="005105AD">
        <w:rPr>
          <w:rFonts w:ascii="Times New Roman" w:hAnsi="Times New Roman"/>
          <w:spacing w:val="-6"/>
        </w:rPr>
        <w:t xml:space="preserve"> </w:t>
      </w:r>
      <w:r w:rsidRPr="005105AD">
        <w:rPr>
          <w:rFonts w:ascii="Times New Roman" w:hAnsi="Times New Roman"/>
        </w:rPr>
        <w:t>agree</w:t>
      </w:r>
      <w:r w:rsidRPr="005105AD">
        <w:rPr>
          <w:rFonts w:ascii="Times New Roman" w:hAnsi="Times New Roman"/>
          <w:spacing w:val="-4"/>
        </w:rPr>
        <w:t xml:space="preserve"> </w:t>
      </w:r>
      <w:r w:rsidRPr="005105AD">
        <w:rPr>
          <w:rFonts w:ascii="Times New Roman" w:hAnsi="Times New Roman"/>
        </w:rPr>
        <w:t>with</w:t>
      </w:r>
      <w:r w:rsidRPr="005105AD">
        <w:rPr>
          <w:rFonts w:ascii="Times New Roman" w:hAnsi="Times New Roman"/>
          <w:spacing w:val="-4"/>
        </w:rPr>
        <w:t xml:space="preserve"> </w:t>
      </w:r>
      <w:r w:rsidRPr="005105AD">
        <w:rPr>
          <w:rFonts w:ascii="Times New Roman" w:hAnsi="Times New Roman"/>
        </w:rPr>
        <w:t>the</w:t>
      </w:r>
      <w:r w:rsidRPr="005105AD">
        <w:rPr>
          <w:rFonts w:ascii="Times New Roman" w:hAnsi="Times New Roman"/>
          <w:spacing w:val="-4"/>
        </w:rPr>
        <w:t xml:space="preserve"> </w:t>
      </w:r>
      <w:r w:rsidRPr="005105AD">
        <w:rPr>
          <w:rFonts w:ascii="Times New Roman" w:hAnsi="Times New Roman"/>
        </w:rPr>
        <w:t>orders</w:t>
      </w:r>
      <w:r w:rsidRPr="005105AD">
        <w:rPr>
          <w:rFonts w:ascii="Times New Roman" w:hAnsi="Times New Roman"/>
          <w:spacing w:val="-4"/>
        </w:rPr>
        <w:t xml:space="preserve"> </w:t>
      </w:r>
      <w:r w:rsidRPr="005105AD">
        <w:rPr>
          <w:rFonts w:ascii="Times New Roman" w:hAnsi="Times New Roman"/>
        </w:rPr>
        <w:t>proposed</w:t>
      </w:r>
      <w:r w:rsidRPr="005105AD">
        <w:rPr>
          <w:rFonts w:ascii="Times New Roman" w:hAnsi="Times New Roman"/>
          <w:spacing w:val="-3"/>
        </w:rPr>
        <w:t xml:space="preserve"> </w:t>
      </w:r>
      <w:r w:rsidRPr="005105AD">
        <w:rPr>
          <w:rFonts w:ascii="Times New Roman" w:hAnsi="Times New Roman"/>
        </w:rPr>
        <w:t>by</w:t>
      </w:r>
      <w:r w:rsidRPr="005105AD">
        <w:rPr>
          <w:rFonts w:ascii="Times New Roman" w:hAnsi="Times New Roman"/>
          <w:spacing w:val="-4"/>
        </w:rPr>
        <w:t xml:space="preserve"> </w:t>
      </w:r>
      <w:r w:rsidRPr="005105AD">
        <w:rPr>
          <w:rFonts w:ascii="Times New Roman" w:hAnsi="Times New Roman"/>
        </w:rPr>
        <w:t>Gordon, Edelman and Steward JJ. As retrials are to be ordered, we add for completeness that we agree that the statement by their Honours appropriately expresses the liability of primary and secondary participants in a murder based on the pathway to guilt provided by s 12A of the CLCA</w:t>
      </w:r>
      <w:r w:rsidRPr="005105AD">
        <w:rPr>
          <w:rStyle w:val="FootnoteReference"/>
          <w:rFonts w:ascii="Times New Roman" w:hAnsi="Times New Roman"/>
          <w:sz w:val="24"/>
        </w:rPr>
        <w:footnoteReference w:id="46"/>
      </w:r>
      <w:r w:rsidRPr="005105AD">
        <w:rPr>
          <w:rFonts w:ascii="Times New Roman" w:hAnsi="Times New Roman"/>
        </w:rPr>
        <w:t xml:space="preserve">. </w:t>
      </w:r>
      <w:proofErr w:type="gramStart"/>
      <w:r w:rsidRPr="005105AD">
        <w:rPr>
          <w:rFonts w:ascii="Times New Roman" w:hAnsi="Times New Roman"/>
        </w:rPr>
        <w:t>In particular, we</w:t>
      </w:r>
      <w:proofErr w:type="gramEnd"/>
      <w:r w:rsidRPr="005105AD">
        <w:rPr>
          <w:rFonts w:ascii="Times New Roman" w:hAnsi="Times New Roman"/>
        </w:rPr>
        <w:t xml:space="preserve"> agree that the liability of an accused as a secondary party on that pathway requires proof beyond reasonable doubt that the accused was party to an agreement to commit a major indictable offence of the required kind and that the agreement included the agreement of the accused to the possible commission of an intentional act of violence of the same general nature as that which caused the death.</w:t>
      </w:r>
    </w:p>
    <w:p w14:paraId="4997883A" w14:textId="77777777" w:rsidR="00484F88" w:rsidRDefault="00484F88" w:rsidP="00484F88">
      <w:pPr>
        <w:pStyle w:val="FixListStyle"/>
        <w:numPr>
          <w:ilvl w:val="0"/>
          <w:numId w:val="18"/>
        </w:numPr>
        <w:spacing w:after="260" w:line="280" w:lineRule="exact"/>
        <w:ind w:left="0" w:right="0" w:hanging="720"/>
        <w:jc w:val="both"/>
        <w:rPr>
          <w:rFonts w:ascii="Times New Roman" w:hAnsi="Times New Roman"/>
        </w:rPr>
        <w:sectPr w:rsidR="00484F88" w:rsidSect="00484F88">
          <w:headerReference w:type="even" r:id="rId23"/>
          <w:headerReference w:type="default" r:id="rId24"/>
          <w:headerReference w:type="first" r:id="rId25"/>
          <w:pgSz w:w="11907" w:h="16839" w:code="9"/>
          <w:pgMar w:top="1440" w:right="1701" w:bottom="1984" w:left="1701" w:header="720" w:footer="720" w:gutter="0"/>
          <w:cols w:space="720"/>
          <w:docGrid w:linePitch="354"/>
        </w:sectPr>
      </w:pPr>
    </w:p>
    <w:p w14:paraId="73C0774F" w14:textId="77777777" w:rsidR="00484F88" w:rsidRPr="00B553C9" w:rsidRDefault="00484F88" w:rsidP="00B553C9">
      <w:pPr>
        <w:pStyle w:val="NormalBody"/>
        <w:tabs>
          <w:tab w:val="clear" w:pos="720"/>
          <w:tab w:val="left" w:pos="0"/>
        </w:tabs>
        <w:spacing w:after="260" w:line="280" w:lineRule="exact"/>
        <w:ind w:right="0"/>
        <w:jc w:val="both"/>
        <w:rPr>
          <w:rFonts w:ascii="Times New Roman" w:hAnsi="Times New Roman"/>
        </w:rPr>
      </w:pPr>
      <w:r w:rsidRPr="00B553C9">
        <w:rPr>
          <w:rFonts w:ascii="Times New Roman" w:hAnsi="Times New Roman"/>
        </w:rPr>
        <w:lastRenderedPageBreak/>
        <w:t xml:space="preserve">GORDON, EDELMAN AND STEWARD JJ.   </w:t>
      </w:r>
    </w:p>
    <w:p w14:paraId="39AE05B0" w14:textId="77777777" w:rsidR="00484F88" w:rsidRPr="00B553C9" w:rsidRDefault="00484F88" w:rsidP="00B553C9">
      <w:pPr>
        <w:pStyle w:val="HeadingL1"/>
        <w:spacing w:after="260" w:line="280" w:lineRule="exact"/>
        <w:ind w:right="0"/>
        <w:jc w:val="both"/>
        <w:rPr>
          <w:rFonts w:ascii="Times New Roman" w:hAnsi="Times New Roman"/>
        </w:rPr>
      </w:pPr>
      <w:r w:rsidRPr="00B553C9">
        <w:rPr>
          <w:rFonts w:ascii="Times New Roman" w:hAnsi="Times New Roman"/>
        </w:rPr>
        <w:t>Introduction</w:t>
      </w:r>
    </w:p>
    <w:p w14:paraId="641D11AB" w14:textId="77777777" w:rsidR="00484F88" w:rsidRPr="00B553C9" w:rsidRDefault="00484F88" w:rsidP="00484F88">
      <w:pPr>
        <w:pStyle w:val="FixListStyle"/>
        <w:numPr>
          <w:ilvl w:val="0"/>
          <w:numId w:val="18"/>
        </w:numPr>
        <w:spacing w:after="260" w:line="280" w:lineRule="exact"/>
        <w:ind w:left="0" w:right="0" w:hanging="720"/>
        <w:jc w:val="both"/>
        <w:rPr>
          <w:rFonts w:ascii="Times New Roman" w:hAnsi="Times New Roman"/>
        </w:rPr>
      </w:pPr>
      <w:r w:rsidRPr="00B553C9">
        <w:rPr>
          <w:rFonts w:ascii="Times New Roman" w:hAnsi="Times New Roman"/>
        </w:rPr>
        <w:tab/>
        <w:t xml:space="preserve">The central issue in the appeals by Messrs Mitchell, Rigney and Carver, and the application for special leave to appeal by </w:t>
      </w:r>
      <w:proofErr w:type="gramStart"/>
      <w:r w:rsidRPr="00B553C9">
        <w:rPr>
          <w:rFonts w:ascii="Times New Roman" w:hAnsi="Times New Roman"/>
        </w:rPr>
        <w:t>Mr </w:t>
      </w:r>
      <w:proofErr w:type="spellStart"/>
      <w:r w:rsidRPr="00B553C9">
        <w:rPr>
          <w:rFonts w:ascii="Times New Roman" w:hAnsi="Times New Roman"/>
        </w:rPr>
        <w:t>Tenhoopen</w:t>
      </w:r>
      <w:proofErr w:type="spellEnd"/>
      <w:proofErr w:type="gramEnd"/>
      <w:r w:rsidRPr="00B553C9">
        <w:rPr>
          <w:rFonts w:ascii="Times New Roman" w:hAnsi="Times New Roman"/>
        </w:rPr>
        <w:t xml:space="preserve"> which was ordered to be heard concurrently, concerns the interaction between the doctrine of extended joint criminal enterprise and the statutory extension to the offence of murder in s 12A of the </w:t>
      </w:r>
      <w:r w:rsidRPr="00B553C9">
        <w:rPr>
          <w:rFonts w:ascii="Times New Roman" w:hAnsi="Times New Roman"/>
          <w:i/>
          <w:iCs/>
        </w:rPr>
        <w:t>Criminal Law Consolidation Act 1935 </w:t>
      </w:r>
      <w:r w:rsidRPr="00B553C9">
        <w:rPr>
          <w:rFonts w:ascii="Times New Roman" w:hAnsi="Times New Roman"/>
        </w:rPr>
        <w:t>(SA) ("the CLC Act"). There is no dispute that the outcome of Mr </w:t>
      </w:r>
      <w:proofErr w:type="spellStart"/>
      <w:r w:rsidRPr="00B553C9">
        <w:rPr>
          <w:rFonts w:ascii="Times New Roman" w:hAnsi="Times New Roman"/>
        </w:rPr>
        <w:t>Tenhoopen's</w:t>
      </w:r>
      <w:proofErr w:type="spellEnd"/>
      <w:r w:rsidRPr="00B553C9">
        <w:rPr>
          <w:rFonts w:ascii="Times New Roman" w:hAnsi="Times New Roman"/>
        </w:rPr>
        <w:t xml:space="preserve"> application for special leave should follow the result of the appeals. It is therefore convenient to refer to all the parties as appellants.</w:t>
      </w:r>
    </w:p>
    <w:p w14:paraId="4A3BBA11" w14:textId="77777777" w:rsidR="00484F88" w:rsidRPr="00B553C9" w:rsidRDefault="00484F88" w:rsidP="00484F88">
      <w:pPr>
        <w:pStyle w:val="FixListStyle"/>
        <w:numPr>
          <w:ilvl w:val="0"/>
          <w:numId w:val="18"/>
        </w:numPr>
        <w:spacing w:after="260" w:line="280" w:lineRule="exact"/>
        <w:ind w:left="0" w:right="0" w:hanging="720"/>
        <w:jc w:val="both"/>
        <w:rPr>
          <w:rFonts w:ascii="Times New Roman" w:hAnsi="Times New Roman"/>
        </w:rPr>
      </w:pPr>
      <w:r w:rsidRPr="00B553C9">
        <w:rPr>
          <w:rFonts w:ascii="Times New Roman" w:hAnsi="Times New Roman"/>
        </w:rPr>
        <w:tab/>
        <w:t xml:space="preserve">The four appellants were charged with murder under s 11 of the CLC Act. The murder was alleged to have been committed during the pursuit of their agreement (together with another accomplice, Mr Howell) to break and enter and steal cannabis from a "grow house". The Crown case was that, during that enterprise, one of the five men killed Mr </w:t>
      </w:r>
      <w:proofErr w:type="spellStart"/>
      <w:r w:rsidRPr="00B553C9">
        <w:rPr>
          <w:rFonts w:ascii="Times New Roman" w:hAnsi="Times New Roman"/>
        </w:rPr>
        <w:t>Gjabri</w:t>
      </w:r>
      <w:proofErr w:type="spellEnd"/>
      <w:r w:rsidRPr="00B553C9">
        <w:rPr>
          <w:rFonts w:ascii="Times New Roman" w:hAnsi="Times New Roman"/>
        </w:rPr>
        <w:t xml:space="preserve"> and each of the men was criminally responsible for murder </w:t>
      </w:r>
      <w:proofErr w:type="gramStart"/>
      <w:r w:rsidRPr="00B553C9">
        <w:rPr>
          <w:rFonts w:ascii="Times New Roman" w:hAnsi="Times New Roman"/>
        </w:rPr>
        <w:t>on the basis of</w:t>
      </w:r>
      <w:proofErr w:type="gramEnd"/>
      <w:r w:rsidRPr="00B553C9">
        <w:rPr>
          <w:rFonts w:ascii="Times New Roman" w:hAnsi="Times New Roman"/>
        </w:rPr>
        <w:t xml:space="preserve"> either (</w:t>
      </w:r>
      <w:proofErr w:type="spellStart"/>
      <w:r w:rsidRPr="00B553C9">
        <w:rPr>
          <w:rFonts w:ascii="Times New Roman" w:hAnsi="Times New Roman"/>
        </w:rPr>
        <w:t>i</w:t>
      </w:r>
      <w:proofErr w:type="spellEnd"/>
      <w:r w:rsidRPr="00B553C9">
        <w:rPr>
          <w:rFonts w:ascii="Times New Roman" w:hAnsi="Times New Roman"/>
        </w:rPr>
        <w:t>) the common law doctrine of extended joint criminal enterprise, or (ii) the common law doctrine of extended joint criminal enterprise together with the doctrine of constructive murder in s 12A of the CLC Act.</w:t>
      </w:r>
    </w:p>
    <w:p w14:paraId="705DFC0F" w14:textId="77777777" w:rsidR="00484F88" w:rsidRPr="00B553C9" w:rsidRDefault="00484F88" w:rsidP="00484F88">
      <w:pPr>
        <w:pStyle w:val="FixListStyle"/>
        <w:numPr>
          <w:ilvl w:val="0"/>
          <w:numId w:val="18"/>
        </w:numPr>
        <w:spacing w:after="260" w:line="280" w:lineRule="exact"/>
        <w:ind w:left="0" w:right="0" w:hanging="720"/>
        <w:jc w:val="both"/>
        <w:rPr>
          <w:rFonts w:ascii="Times New Roman" w:hAnsi="Times New Roman"/>
        </w:rPr>
      </w:pPr>
      <w:r w:rsidRPr="00B553C9">
        <w:rPr>
          <w:rFonts w:ascii="Times New Roman" w:hAnsi="Times New Roman"/>
        </w:rPr>
        <w:tab/>
        <w:t>All four appellants were convicted of murder after trials before a judge (Lovell J) and jury in the Supreme Court of South Australia. Their appeals to the Court of Appeal of the Supreme Court of South Australia (Peek A-JA, Kelly P agreeing and Doyle JA agreeing with additional reasons) were dismissed. In this Court,</w:t>
      </w:r>
      <w:r w:rsidRPr="00B553C9" w:rsidDel="003730E7">
        <w:rPr>
          <w:rFonts w:ascii="Times New Roman" w:hAnsi="Times New Roman"/>
        </w:rPr>
        <w:t xml:space="preserve"> </w:t>
      </w:r>
      <w:r w:rsidRPr="00B553C9">
        <w:rPr>
          <w:rFonts w:ascii="Times New Roman" w:hAnsi="Times New Roman"/>
        </w:rPr>
        <w:t xml:space="preserve">the grounds of appeal were refined and leave was sought, and granted, for the appellants to raise a substantial new ground. They alleged, in summary, that: (1) the doctrine </w:t>
      </w:r>
      <w:r w:rsidRPr="00B553C9" w:rsidDel="00005DC9">
        <w:rPr>
          <w:rFonts w:ascii="Times New Roman" w:hAnsi="Times New Roman"/>
        </w:rPr>
        <w:t>that extends liability for murder to</w:t>
      </w:r>
      <w:r w:rsidRPr="00B553C9">
        <w:rPr>
          <w:rFonts w:ascii="Times New Roman" w:hAnsi="Times New Roman"/>
        </w:rPr>
        <w:t xml:space="preserve"> extended joint criminal enterprise could not be combined with the constructive murder doctrine in s 12A of the CLC Act; (2) alternatively, if the doctrine of extended joint criminal enterprise could be combined with constructive murder under s 12A of the CLC Act, then the trial judge had misdirected the jury as to what needed to be foreseen by each appellant in order for constructive murder under s 12A to have been committed; and (3) the trial judge had misdirected the jury in relation to the elements of extended joint criminal enterprise.</w:t>
      </w:r>
    </w:p>
    <w:p w14:paraId="609BBC24" w14:textId="77777777" w:rsidR="00484F88" w:rsidRPr="00B553C9" w:rsidRDefault="00484F88" w:rsidP="00484F88">
      <w:pPr>
        <w:pStyle w:val="FixListStyle"/>
        <w:numPr>
          <w:ilvl w:val="0"/>
          <w:numId w:val="18"/>
        </w:numPr>
        <w:spacing w:after="260" w:line="280" w:lineRule="exact"/>
        <w:ind w:left="0" w:right="0" w:hanging="720"/>
        <w:jc w:val="both"/>
        <w:rPr>
          <w:rFonts w:ascii="Times New Roman" w:hAnsi="Times New Roman"/>
        </w:rPr>
      </w:pPr>
      <w:r w:rsidRPr="00B553C9">
        <w:rPr>
          <w:rFonts w:ascii="Times New Roman" w:hAnsi="Times New Roman"/>
        </w:rPr>
        <w:tab/>
        <w:t xml:space="preserve">For the reasons below, grounds (1) and (3) should be upheld. The trial judge erred by permitting the Crown to combine the doctrine of extended joint criminal enterprise with the doctrine of constructive murder to create, in effect, a new doctrine of constructive, constructive murder. No such doctrine has ever existed and there is no basis to conclude that the South Australian Parliament intended to create such a new doctrine when the CLC Act was amended to introduce s 12A. </w:t>
      </w:r>
      <w:r w:rsidRPr="00B553C9">
        <w:rPr>
          <w:rFonts w:ascii="Times New Roman" w:hAnsi="Times New Roman"/>
        </w:rPr>
        <w:lastRenderedPageBreak/>
        <w:t xml:space="preserve">The trial judge also erred by failing to direct the jury that the appellants could not be responsible for murder by application of the doctrine of extended joint criminal enterprise unless they foresaw the possibility that acts committed in the course of the enterprise might cause really serious bodily injury or death. Consistently with </w:t>
      </w:r>
      <w:r w:rsidRPr="00B553C9">
        <w:rPr>
          <w:rFonts w:ascii="Times New Roman" w:hAnsi="Times New Roman"/>
          <w:i/>
          <w:iCs/>
        </w:rPr>
        <w:t>Miller v The Queen</w:t>
      </w:r>
      <w:r w:rsidRPr="00B553C9">
        <w:rPr>
          <w:rStyle w:val="FootnoteReference"/>
          <w:rFonts w:ascii="Times New Roman" w:hAnsi="Times New Roman"/>
          <w:sz w:val="24"/>
        </w:rPr>
        <w:footnoteReference w:id="47"/>
      </w:r>
      <w:r w:rsidRPr="00B553C9">
        <w:rPr>
          <w:rFonts w:ascii="Times New Roman" w:hAnsi="Times New Roman"/>
        </w:rPr>
        <w:t>, the appellants were required to have foresight of all elements of the offence committed by the principal offender, including the result.</w:t>
      </w:r>
    </w:p>
    <w:p w14:paraId="518D921C" w14:textId="77777777" w:rsidR="00484F88" w:rsidRPr="00B553C9" w:rsidRDefault="00484F88" w:rsidP="00B553C9">
      <w:pPr>
        <w:pStyle w:val="HeadingL1"/>
        <w:spacing w:after="260" w:line="280" w:lineRule="exact"/>
        <w:ind w:right="0"/>
        <w:jc w:val="both"/>
        <w:rPr>
          <w:rFonts w:ascii="Times New Roman" w:hAnsi="Times New Roman"/>
        </w:rPr>
      </w:pPr>
      <w:r w:rsidRPr="00B553C9">
        <w:rPr>
          <w:rFonts w:ascii="Times New Roman" w:hAnsi="Times New Roman"/>
        </w:rPr>
        <w:t>Common law doctrines of joint criminal enterprise, extended joint criminal enterprise, and constructive murder</w:t>
      </w:r>
    </w:p>
    <w:p w14:paraId="3F2B1EA1" w14:textId="77777777" w:rsidR="00484F88" w:rsidRPr="00B553C9" w:rsidRDefault="00484F88" w:rsidP="00484F88">
      <w:pPr>
        <w:pStyle w:val="FixListStyle"/>
        <w:numPr>
          <w:ilvl w:val="0"/>
          <w:numId w:val="18"/>
        </w:numPr>
        <w:spacing w:after="260" w:line="280" w:lineRule="exact"/>
        <w:ind w:left="0" w:right="0" w:hanging="720"/>
        <w:jc w:val="both"/>
        <w:rPr>
          <w:rFonts w:ascii="Times New Roman" w:hAnsi="Times New Roman"/>
        </w:rPr>
      </w:pPr>
      <w:r w:rsidRPr="00B553C9">
        <w:rPr>
          <w:rFonts w:ascii="Times New Roman" w:hAnsi="Times New Roman"/>
        </w:rPr>
        <w:tab/>
        <w:t>In order to explain the relevant operation of ss 11 and 12A of the CLC Act, it is necessary to commence with the three common law concepts which those provisions incorporated or adapted. The three concepts are (</w:t>
      </w:r>
      <w:proofErr w:type="spellStart"/>
      <w:r w:rsidRPr="00B553C9">
        <w:rPr>
          <w:rFonts w:ascii="Times New Roman" w:hAnsi="Times New Roman"/>
        </w:rPr>
        <w:t>i</w:t>
      </w:r>
      <w:proofErr w:type="spellEnd"/>
      <w:r w:rsidRPr="00B553C9">
        <w:rPr>
          <w:rFonts w:ascii="Times New Roman" w:hAnsi="Times New Roman"/>
        </w:rPr>
        <w:t>) joint criminal enterprise, (ii) extended joint criminal enterprise, and (iii) constructive murder.</w:t>
      </w:r>
    </w:p>
    <w:p w14:paraId="7442D3E3" w14:textId="77777777" w:rsidR="00484F88" w:rsidRPr="00B553C9" w:rsidRDefault="00484F88" w:rsidP="00B553C9">
      <w:pPr>
        <w:pStyle w:val="HeadingL2"/>
        <w:spacing w:after="260" w:line="280" w:lineRule="exact"/>
        <w:ind w:right="0"/>
        <w:jc w:val="both"/>
        <w:rPr>
          <w:rFonts w:ascii="Times New Roman" w:hAnsi="Times New Roman"/>
        </w:rPr>
      </w:pPr>
      <w:r w:rsidRPr="00B553C9">
        <w:rPr>
          <w:rFonts w:ascii="Times New Roman" w:hAnsi="Times New Roman"/>
        </w:rPr>
        <w:t>(</w:t>
      </w:r>
      <w:proofErr w:type="spellStart"/>
      <w:r w:rsidRPr="00B553C9">
        <w:rPr>
          <w:rFonts w:ascii="Times New Roman" w:hAnsi="Times New Roman"/>
        </w:rPr>
        <w:t>i</w:t>
      </w:r>
      <w:proofErr w:type="spellEnd"/>
      <w:r w:rsidRPr="00B553C9">
        <w:rPr>
          <w:rFonts w:ascii="Times New Roman" w:hAnsi="Times New Roman"/>
        </w:rPr>
        <w:t>) Joint criminal enterprise</w:t>
      </w:r>
    </w:p>
    <w:p w14:paraId="42C79DA8" w14:textId="77777777" w:rsidR="00484F88" w:rsidRPr="00B553C9" w:rsidRDefault="00484F88" w:rsidP="00484F88">
      <w:pPr>
        <w:pStyle w:val="FixListStyle"/>
        <w:numPr>
          <w:ilvl w:val="0"/>
          <w:numId w:val="18"/>
        </w:numPr>
        <w:spacing w:after="260" w:line="280" w:lineRule="exact"/>
        <w:ind w:left="0" w:right="0" w:hanging="720"/>
        <w:jc w:val="both"/>
        <w:rPr>
          <w:rFonts w:ascii="Times New Roman" w:hAnsi="Times New Roman"/>
        </w:rPr>
      </w:pPr>
      <w:r w:rsidRPr="00B553C9">
        <w:rPr>
          <w:rFonts w:ascii="Times New Roman" w:hAnsi="Times New Roman"/>
        </w:rPr>
        <w:tab/>
        <w:t>The doctrine of joint criminal enterprise or common enterprise is based on agreement (also expressed as common purpose, design, or enterprise). Whether the agreement is expressed in words or inferred "from the parties' conduct", each party to an agreement to commit a crime will be guilty of the agreed crime and any crime "within the scope of the agreement"</w:t>
      </w:r>
      <w:r w:rsidRPr="00B553C9">
        <w:rPr>
          <w:rStyle w:val="FootnoteReference"/>
          <w:rFonts w:ascii="Times New Roman" w:hAnsi="Times New Roman"/>
          <w:sz w:val="24"/>
        </w:rPr>
        <w:footnoteReference w:id="48"/>
      </w:r>
      <w:r w:rsidRPr="00B553C9">
        <w:rPr>
          <w:rFonts w:ascii="Times New Roman" w:hAnsi="Times New Roman"/>
        </w:rPr>
        <w:t>. It is therefore essential to identify what acts and omissions the parties agreed upon</w:t>
      </w:r>
      <w:r w:rsidRPr="00B553C9">
        <w:rPr>
          <w:rStyle w:val="FootnoteReference"/>
          <w:rFonts w:ascii="Times New Roman" w:hAnsi="Times New Roman"/>
          <w:sz w:val="24"/>
        </w:rPr>
        <w:footnoteReference w:id="49"/>
      </w:r>
      <w:r w:rsidRPr="00B553C9">
        <w:rPr>
          <w:rFonts w:ascii="Times New Roman" w:hAnsi="Times New Roman"/>
        </w:rPr>
        <w:t>. The agreement need not be</w:t>
      </w:r>
      <w:r w:rsidRPr="00B553C9" w:rsidDel="00BD44A6">
        <w:rPr>
          <w:rFonts w:ascii="Times New Roman" w:hAnsi="Times New Roman"/>
        </w:rPr>
        <w:t xml:space="preserve"> </w:t>
      </w:r>
      <w:r w:rsidRPr="00B553C9">
        <w:rPr>
          <w:rFonts w:ascii="Times New Roman" w:hAnsi="Times New Roman"/>
        </w:rPr>
        <w:t>express and may be an inference drawn from the parties' conduct</w:t>
      </w:r>
      <w:r w:rsidRPr="00B553C9">
        <w:rPr>
          <w:rStyle w:val="FootnoteReference"/>
          <w:rFonts w:ascii="Times New Roman" w:hAnsi="Times New Roman"/>
          <w:sz w:val="24"/>
        </w:rPr>
        <w:footnoteReference w:id="50"/>
      </w:r>
      <w:r w:rsidRPr="00B553C9">
        <w:rPr>
          <w:rFonts w:ascii="Times New Roman" w:hAnsi="Times New Roman"/>
        </w:rPr>
        <w:t>, but it must be subjectively appreciated by the accused</w:t>
      </w:r>
      <w:r w:rsidRPr="00B553C9">
        <w:rPr>
          <w:rStyle w:val="FootnoteReference"/>
          <w:rFonts w:ascii="Times New Roman" w:hAnsi="Times New Roman"/>
          <w:sz w:val="24"/>
        </w:rPr>
        <w:footnoteReference w:id="51"/>
      </w:r>
      <w:r w:rsidRPr="00B553C9">
        <w:rPr>
          <w:rFonts w:ascii="Times New Roman" w:hAnsi="Times New Roman"/>
        </w:rPr>
        <w:t xml:space="preserve">. The scope of such an agreement has therefore been expressed as involving matters that each party subjectively considered. In this respect, "it is essential to identify what the parties </w:t>
      </w:r>
      <w:r w:rsidRPr="00B553C9">
        <w:rPr>
          <w:rFonts w:ascii="Times New Roman" w:hAnsi="Times New Roman"/>
          <w:i/>
          <w:iCs/>
        </w:rPr>
        <w:t xml:space="preserve">did </w:t>
      </w:r>
      <w:r w:rsidRPr="00B553C9">
        <w:rPr>
          <w:rFonts w:ascii="Times New Roman" w:hAnsi="Times New Roman"/>
        </w:rPr>
        <w:t>agree upon and what it was that each contemplated might occur"</w:t>
      </w:r>
      <w:r w:rsidRPr="00B553C9">
        <w:rPr>
          <w:rStyle w:val="FootnoteReference"/>
          <w:rFonts w:ascii="Times New Roman" w:hAnsi="Times New Roman"/>
          <w:sz w:val="24"/>
        </w:rPr>
        <w:footnoteReference w:id="52"/>
      </w:r>
      <w:r w:rsidRPr="00B553C9">
        <w:rPr>
          <w:rFonts w:ascii="Times New Roman" w:hAnsi="Times New Roman"/>
        </w:rPr>
        <w:t>, which requires</w:t>
      </w:r>
      <w:r w:rsidRPr="00B553C9" w:rsidDel="00DB52F5">
        <w:rPr>
          <w:rFonts w:ascii="Times New Roman" w:hAnsi="Times New Roman"/>
        </w:rPr>
        <w:t xml:space="preserve"> consideration of </w:t>
      </w:r>
      <w:r w:rsidRPr="00B553C9">
        <w:rPr>
          <w:rFonts w:ascii="Times New Roman" w:hAnsi="Times New Roman"/>
        </w:rPr>
        <w:t xml:space="preserve">whether each party contemplated the criminal acts "as a possible incident of the execution </w:t>
      </w:r>
      <w:r w:rsidRPr="00B553C9">
        <w:rPr>
          <w:rFonts w:ascii="Times New Roman" w:hAnsi="Times New Roman"/>
        </w:rPr>
        <w:lastRenderedPageBreak/>
        <w:t>of their agreement"</w:t>
      </w:r>
      <w:r w:rsidRPr="00B553C9">
        <w:rPr>
          <w:rStyle w:val="FootnoteReference"/>
          <w:rFonts w:ascii="Times New Roman" w:hAnsi="Times New Roman"/>
          <w:sz w:val="24"/>
        </w:rPr>
        <w:footnoteReference w:id="53"/>
      </w:r>
      <w:r w:rsidRPr="00B553C9">
        <w:rPr>
          <w:rFonts w:ascii="Times New Roman" w:hAnsi="Times New Roman"/>
        </w:rPr>
        <w:t>. But the jury must be satisfied that each party subjectively agreed (authorised or assented) to the conduct, including the criminal act. Hence, the "true position" for nearly two centuries has been that "if one of the [parties to the agreement] goes beyond what has been tacitly agreed as part of the common enterprise, [the other party] is not liable for the consequences of that unauthorised act"</w:t>
      </w:r>
      <w:r w:rsidRPr="00B553C9">
        <w:rPr>
          <w:rStyle w:val="FootnoteReference"/>
          <w:rFonts w:ascii="Times New Roman" w:hAnsi="Times New Roman"/>
          <w:sz w:val="24"/>
        </w:rPr>
        <w:footnoteReference w:id="54"/>
      </w:r>
      <w:r w:rsidRPr="00B553C9">
        <w:rPr>
          <w:rFonts w:ascii="Times New Roman" w:hAnsi="Times New Roman"/>
        </w:rPr>
        <w:t>.</w:t>
      </w:r>
    </w:p>
    <w:p w14:paraId="7EF808F9" w14:textId="77777777" w:rsidR="00484F88" w:rsidRPr="00B553C9" w:rsidRDefault="00484F88" w:rsidP="00484F88">
      <w:pPr>
        <w:pStyle w:val="FixListStyle"/>
        <w:numPr>
          <w:ilvl w:val="0"/>
          <w:numId w:val="18"/>
        </w:numPr>
        <w:spacing w:after="260" w:line="280" w:lineRule="exact"/>
        <w:ind w:left="0" w:right="0" w:hanging="720"/>
        <w:jc w:val="both"/>
        <w:rPr>
          <w:rFonts w:ascii="Times New Roman" w:hAnsi="Times New Roman"/>
        </w:rPr>
      </w:pPr>
      <w:r w:rsidRPr="00B553C9">
        <w:rPr>
          <w:rFonts w:ascii="Times New Roman" w:hAnsi="Times New Roman"/>
        </w:rPr>
        <w:tab/>
        <w:t>Joint criminal enterprise is a principle of primary liability based on a form of agency</w:t>
      </w:r>
      <w:r w:rsidRPr="00B553C9">
        <w:rPr>
          <w:rStyle w:val="FootnoteReference"/>
          <w:rFonts w:ascii="Times New Roman" w:hAnsi="Times New Roman"/>
          <w:sz w:val="24"/>
        </w:rPr>
        <w:footnoteReference w:id="55"/>
      </w:r>
      <w:r w:rsidRPr="00B553C9">
        <w:rPr>
          <w:rFonts w:ascii="Times New Roman" w:hAnsi="Times New Roman"/>
        </w:rPr>
        <w:t>. The acts of the perpetrator that are within the scope of the agreement, and therefore done with the authority of the other parties, are attributed to the other parties to the agreement. That is, "if several persons act together in pursuance of a common intent, every act done in furtherance of such intent by each of them is, in law, done by all"</w:t>
      </w:r>
      <w:r w:rsidRPr="00B553C9">
        <w:rPr>
          <w:rStyle w:val="FootnoteReference"/>
          <w:rFonts w:ascii="Times New Roman" w:hAnsi="Times New Roman"/>
          <w:sz w:val="24"/>
        </w:rPr>
        <w:footnoteReference w:id="56"/>
      </w:r>
      <w:r w:rsidRPr="00B553C9">
        <w:rPr>
          <w:rFonts w:ascii="Times New Roman" w:hAnsi="Times New Roman"/>
        </w:rPr>
        <w:t xml:space="preserve">. It is in this sense that joint criminal enterprise is a form of primary liability: all parties are liable as principals in the first degree because those persons who do not physically perform the acts are acting in concert and have the relevant </w:t>
      </w:r>
      <w:proofErr w:type="spellStart"/>
      <w:r w:rsidRPr="00B553C9">
        <w:rPr>
          <w:rFonts w:ascii="Times New Roman" w:hAnsi="Times New Roman"/>
        </w:rPr>
        <w:t>mens</w:t>
      </w:r>
      <w:proofErr w:type="spellEnd"/>
      <w:r w:rsidRPr="00B553C9">
        <w:rPr>
          <w:rFonts w:ascii="Times New Roman" w:hAnsi="Times New Roman"/>
        </w:rPr>
        <w:t xml:space="preserve"> rea. Accordingly, the liability of each party is not derivative, but primary</w:t>
      </w:r>
      <w:r w:rsidRPr="00B553C9">
        <w:rPr>
          <w:rStyle w:val="FootnoteReference"/>
          <w:rFonts w:ascii="Times New Roman" w:hAnsi="Times New Roman"/>
          <w:sz w:val="24"/>
        </w:rPr>
        <w:footnoteReference w:id="57"/>
      </w:r>
      <w:r w:rsidRPr="00B553C9">
        <w:rPr>
          <w:rFonts w:ascii="Times New Roman" w:hAnsi="Times New Roman"/>
        </w:rPr>
        <w:t>. Hence, all those things done "in accordance with the continuing understanding or arrangement ... which are necessary to constitute the crime" are attributed to all parties to the agreement and "they are all equally guilty of the crime regardless of the part played by each in its commission"</w:t>
      </w:r>
      <w:r w:rsidRPr="00B553C9">
        <w:rPr>
          <w:rStyle w:val="FootnoteReference"/>
          <w:rFonts w:ascii="Times New Roman" w:hAnsi="Times New Roman"/>
          <w:sz w:val="24"/>
        </w:rPr>
        <w:footnoteReference w:id="58"/>
      </w:r>
      <w:r w:rsidRPr="00B553C9">
        <w:rPr>
          <w:rFonts w:ascii="Times New Roman" w:hAnsi="Times New Roman"/>
        </w:rPr>
        <w:t>.</w:t>
      </w:r>
    </w:p>
    <w:p w14:paraId="0C7D3B96" w14:textId="77777777" w:rsidR="00484F88" w:rsidRPr="00B553C9" w:rsidRDefault="00484F88" w:rsidP="00B553C9">
      <w:pPr>
        <w:pStyle w:val="HeadingL2"/>
        <w:spacing w:after="260" w:line="280" w:lineRule="exact"/>
        <w:ind w:right="0"/>
        <w:jc w:val="both"/>
        <w:rPr>
          <w:rFonts w:ascii="Times New Roman" w:hAnsi="Times New Roman"/>
        </w:rPr>
      </w:pPr>
      <w:r w:rsidRPr="00B553C9">
        <w:rPr>
          <w:rFonts w:ascii="Times New Roman" w:hAnsi="Times New Roman"/>
        </w:rPr>
        <w:lastRenderedPageBreak/>
        <w:t>(ii) Extended joint criminal enterprise</w:t>
      </w:r>
    </w:p>
    <w:p w14:paraId="3B63982C" w14:textId="77777777" w:rsidR="00484F88" w:rsidRPr="00B553C9" w:rsidRDefault="00484F88" w:rsidP="00484F88">
      <w:pPr>
        <w:pStyle w:val="FixListStyle"/>
        <w:numPr>
          <w:ilvl w:val="0"/>
          <w:numId w:val="18"/>
        </w:numPr>
        <w:spacing w:after="260" w:line="280" w:lineRule="exact"/>
        <w:ind w:left="0" w:right="0" w:hanging="720"/>
        <w:jc w:val="both"/>
        <w:rPr>
          <w:rFonts w:ascii="Times New Roman" w:hAnsi="Times New Roman"/>
        </w:rPr>
      </w:pPr>
      <w:r w:rsidRPr="00B553C9">
        <w:rPr>
          <w:rFonts w:ascii="Times New Roman" w:hAnsi="Times New Roman"/>
        </w:rPr>
        <w:tab/>
        <w:t xml:space="preserve">The doctrine of "extended joint criminal enterprise", as the name suggests, involves an extension, beyond the scope of the agreement, of responsibility for a joint criminal enterprise. In </w:t>
      </w:r>
      <w:r w:rsidRPr="00B553C9">
        <w:rPr>
          <w:rFonts w:ascii="Times New Roman" w:hAnsi="Times New Roman"/>
          <w:i/>
          <w:iCs/>
        </w:rPr>
        <w:t>Miller</w:t>
      </w:r>
      <w:r w:rsidRPr="00B553C9">
        <w:rPr>
          <w:rStyle w:val="FootnoteReference"/>
          <w:rFonts w:ascii="Times New Roman" w:hAnsi="Times New Roman"/>
          <w:sz w:val="24"/>
        </w:rPr>
        <w:footnoteReference w:id="59"/>
      </w:r>
      <w:r w:rsidRPr="00B553C9">
        <w:rPr>
          <w:rFonts w:ascii="Times New Roman" w:hAnsi="Times New Roman"/>
        </w:rPr>
        <w:t>,</w:t>
      </w:r>
      <w:r w:rsidRPr="00B553C9">
        <w:rPr>
          <w:rFonts w:ascii="Times New Roman" w:hAnsi="Times New Roman"/>
          <w:i/>
          <w:iCs/>
        </w:rPr>
        <w:t xml:space="preserve"> </w:t>
      </w:r>
      <w:r w:rsidRPr="00B553C9">
        <w:rPr>
          <w:rFonts w:ascii="Times New Roman" w:hAnsi="Times New Roman"/>
        </w:rPr>
        <w:t>the doctrine of extended joint criminal enterprise was expressed to apply where a party to a joint criminal enterprise has not agreed to the commission of a crime but has instead foreseen the commission of that crime in the course of carrying out the agreement and continues to participate in the enterprise. What is to be foreseen is that an incidental</w:t>
      </w:r>
      <w:r w:rsidRPr="00B553C9">
        <w:rPr>
          <w:rFonts w:ascii="Times New Roman" w:hAnsi="Times New Roman"/>
          <w:i/>
          <w:iCs/>
        </w:rPr>
        <w:t xml:space="preserve"> </w:t>
      </w:r>
      <w:r w:rsidRPr="00B553C9">
        <w:rPr>
          <w:rFonts w:ascii="Times New Roman" w:hAnsi="Times New Roman"/>
          <w:i/>
        </w:rPr>
        <w:t xml:space="preserve">crime </w:t>
      </w:r>
      <w:r w:rsidRPr="00B553C9">
        <w:rPr>
          <w:rFonts w:ascii="Times New Roman" w:hAnsi="Times New Roman"/>
        </w:rPr>
        <w:t>might be committed</w:t>
      </w:r>
      <w:r w:rsidRPr="00B553C9">
        <w:rPr>
          <w:rStyle w:val="FootnoteReference"/>
          <w:rFonts w:ascii="Times New Roman" w:hAnsi="Times New Roman"/>
          <w:sz w:val="24"/>
        </w:rPr>
        <w:footnoteReference w:id="60"/>
      </w:r>
      <w:r w:rsidRPr="00B553C9">
        <w:rPr>
          <w:rFonts w:ascii="Times New Roman" w:hAnsi="Times New Roman"/>
        </w:rPr>
        <w:t>, being all elements of that crime.</w:t>
      </w:r>
    </w:p>
    <w:p w14:paraId="76D1B00A" w14:textId="77777777" w:rsidR="00484F88" w:rsidRPr="00B553C9" w:rsidRDefault="00484F88" w:rsidP="00484F88">
      <w:pPr>
        <w:pStyle w:val="FixListStyle"/>
        <w:numPr>
          <w:ilvl w:val="0"/>
          <w:numId w:val="18"/>
        </w:numPr>
        <w:spacing w:after="260" w:line="280" w:lineRule="exact"/>
        <w:ind w:left="0" w:right="0" w:hanging="720"/>
        <w:jc w:val="both"/>
        <w:rPr>
          <w:rFonts w:ascii="Times New Roman" w:hAnsi="Times New Roman"/>
        </w:rPr>
      </w:pPr>
      <w:r w:rsidRPr="00B553C9">
        <w:rPr>
          <w:rFonts w:ascii="Times New Roman" w:hAnsi="Times New Roman"/>
        </w:rPr>
        <w:tab/>
        <w:t xml:space="preserve">In </w:t>
      </w:r>
      <w:r w:rsidRPr="00B553C9">
        <w:rPr>
          <w:rFonts w:ascii="Times New Roman" w:hAnsi="Times New Roman"/>
          <w:i/>
          <w:iCs/>
        </w:rPr>
        <w:t>Miller</w:t>
      </w:r>
      <w:r w:rsidRPr="00B553C9">
        <w:rPr>
          <w:rStyle w:val="FootnoteReference"/>
          <w:rFonts w:ascii="Times New Roman" w:hAnsi="Times New Roman"/>
          <w:sz w:val="24"/>
        </w:rPr>
        <w:footnoteReference w:id="61"/>
      </w:r>
      <w:r w:rsidRPr="00B553C9">
        <w:rPr>
          <w:rFonts w:ascii="Times New Roman" w:hAnsi="Times New Roman"/>
        </w:rPr>
        <w:t>, the joint judgment of five members of this Court described the "paradigm case" of extended joint criminal enterprise as one "where the parties agree to commit a robbery and, in the course of carrying out their plan, one of them kills the intended victim with the requisite intention for murder". The liability of the other parties to the agreement would arise if they "foresaw murder as a possible incident of carrying out the agreed plan". The opening paragraph of the joint judgment</w:t>
      </w:r>
      <w:r w:rsidRPr="00B553C9" w:rsidDel="004E4B3D">
        <w:rPr>
          <w:rFonts w:ascii="Times New Roman" w:hAnsi="Times New Roman"/>
        </w:rPr>
        <w:t xml:space="preserve"> </w:t>
      </w:r>
      <w:r w:rsidRPr="00B553C9">
        <w:rPr>
          <w:rFonts w:ascii="Times New Roman" w:hAnsi="Times New Roman"/>
        </w:rPr>
        <w:t xml:space="preserve">in </w:t>
      </w:r>
      <w:r w:rsidRPr="00B553C9">
        <w:rPr>
          <w:rFonts w:ascii="Times New Roman" w:hAnsi="Times New Roman"/>
          <w:i/>
          <w:iCs/>
        </w:rPr>
        <w:t>Miller</w:t>
      </w:r>
      <w:r w:rsidRPr="00B553C9">
        <w:rPr>
          <w:rStyle w:val="FootnoteReference"/>
          <w:rFonts w:ascii="Times New Roman" w:hAnsi="Times New Roman"/>
          <w:sz w:val="24"/>
        </w:rPr>
        <w:footnoteReference w:id="62"/>
      </w:r>
      <w:r w:rsidRPr="00B553C9">
        <w:rPr>
          <w:rFonts w:ascii="Times New Roman" w:hAnsi="Times New Roman"/>
          <w:i/>
          <w:iCs/>
        </w:rPr>
        <w:t xml:space="preserve"> </w:t>
      </w:r>
      <w:r w:rsidRPr="00B553C9">
        <w:rPr>
          <w:rFonts w:ascii="Times New Roman" w:hAnsi="Times New Roman"/>
        </w:rPr>
        <w:t>made plain what is meant by foresight of the commission of the crime of murder: foresight</w:t>
      </w:r>
      <w:r w:rsidRPr="00B553C9" w:rsidDel="00AD32AB">
        <w:rPr>
          <w:rFonts w:ascii="Times New Roman" w:hAnsi="Times New Roman"/>
        </w:rPr>
        <w:t xml:space="preserve"> </w:t>
      </w:r>
      <w:r w:rsidRPr="00B553C9">
        <w:rPr>
          <w:rFonts w:ascii="Times New Roman" w:hAnsi="Times New Roman"/>
        </w:rPr>
        <w:t>"that death or really serious bodily injury might be occasioned by a co</w:t>
      </w:r>
      <w:r w:rsidRPr="00B553C9">
        <w:rPr>
          <w:rFonts w:ascii="Times New Roman" w:hAnsi="Times New Roman"/>
        </w:rPr>
        <w:noBreakHyphen/>
        <w:t>venturer" and also foresight that the co</w:t>
      </w:r>
      <w:r w:rsidRPr="00B553C9">
        <w:rPr>
          <w:rFonts w:ascii="Times New Roman" w:hAnsi="Times New Roman"/>
        </w:rPr>
        <w:noBreakHyphen/>
        <w:t>venturer might act with "murderous intention".</w:t>
      </w:r>
    </w:p>
    <w:p w14:paraId="655B6A97" w14:textId="77777777" w:rsidR="00484F88" w:rsidRPr="00B553C9" w:rsidRDefault="00484F88" w:rsidP="00484F88">
      <w:pPr>
        <w:pStyle w:val="FixListStyle"/>
        <w:numPr>
          <w:ilvl w:val="0"/>
          <w:numId w:val="18"/>
        </w:numPr>
        <w:spacing w:after="260" w:line="280" w:lineRule="exact"/>
        <w:ind w:left="0" w:right="0" w:hanging="720"/>
        <w:jc w:val="both"/>
        <w:rPr>
          <w:rFonts w:ascii="Times New Roman" w:hAnsi="Times New Roman"/>
        </w:rPr>
      </w:pPr>
      <w:r w:rsidRPr="00B553C9">
        <w:rPr>
          <w:rFonts w:ascii="Times New Roman" w:hAnsi="Times New Roman"/>
        </w:rPr>
        <w:tab/>
        <w:t xml:space="preserve">As senior counsel for Mr Carver correctly submitted, foresight </w:t>
      </w:r>
      <w:r w:rsidRPr="00B553C9" w:rsidDel="007866EE">
        <w:rPr>
          <w:rFonts w:ascii="Times New Roman" w:hAnsi="Times New Roman"/>
        </w:rPr>
        <w:t xml:space="preserve">of the possibility </w:t>
      </w:r>
      <w:r w:rsidRPr="00B553C9">
        <w:rPr>
          <w:rFonts w:ascii="Times New Roman" w:hAnsi="Times New Roman"/>
        </w:rPr>
        <w:t>of death naturally follows from foresight of really serious bodily injury (a common paraphrase of grievous bodily harm</w:t>
      </w:r>
      <w:r w:rsidRPr="00B553C9">
        <w:rPr>
          <w:rStyle w:val="FootnoteReference"/>
          <w:rFonts w:ascii="Times New Roman" w:hAnsi="Times New Roman"/>
          <w:sz w:val="24"/>
        </w:rPr>
        <w:footnoteReference w:id="63"/>
      </w:r>
      <w:r w:rsidRPr="00B553C9">
        <w:rPr>
          <w:rFonts w:ascii="Times New Roman" w:hAnsi="Times New Roman"/>
        </w:rPr>
        <w:t>). This is particularly so since it must also be proved that the accused foresaw the possibility that the perpetrator would act with murderous intent</w:t>
      </w:r>
      <w:r w:rsidRPr="00B553C9">
        <w:rPr>
          <w:rStyle w:val="FootnoteReference"/>
          <w:rFonts w:ascii="Times New Roman" w:hAnsi="Times New Roman"/>
          <w:sz w:val="24"/>
        </w:rPr>
        <w:footnoteReference w:id="64"/>
      </w:r>
      <w:r w:rsidRPr="00B553C9">
        <w:rPr>
          <w:rFonts w:ascii="Times New Roman" w:hAnsi="Times New Roman"/>
        </w:rPr>
        <w:t xml:space="preserve"> and only acts of the general nature of the </w:t>
      </w:r>
      <w:r w:rsidRPr="00B553C9">
        <w:rPr>
          <w:rFonts w:ascii="Times New Roman" w:hAnsi="Times New Roman"/>
        </w:rPr>
        <w:lastRenderedPageBreak/>
        <w:t>attributed act need to be foreseen</w:t>
      </w:r>
      <w:r w:rsidRPr="00B553C9">
        <w:rPr>
          <w:rStyle w:val="FootnoteReference"/>
          <w:rFonts w:ascii="Times New Roman" w:hAnsi="Times New Roman"/>
          <w:sz w:val="24"/>
        </w:rPr>
        <w:footnoteReference w:id="65"/>
      </w:r>
      <w:r w:rsidRPr="00B553C9">
        <w:rPr>
          <w:rFonts w:ascii="Times New Roman" w:hAnsi="Times New Roman"/>
        </w:rPr>
        <w:t xml:space="preserve">. Consistently with liability for murder being imposed upon a primary offender who intends only to cause the consequence of grievous bodily harm, the foresight required of the secondary offender is that "death </w:t>
      </w:r>
      <w:r w:rsidRPr="00B553C9">
        <w:rPr>
          <w:rFonts w:ascii="Times New Roman" w:hAnsi="Times New Roman"/>
          <w:i/>
          <w:iCs/>
        </w:rPr>
        <w:t>or</w:t>
      </w:r>
      <w:r w:rsidRPr="00B553C9">
        <w:rPr>
          <w:rFonts w:ascii="Times New Roman" w:hAnsi="Times New Roman"/>
        </w:rPr>
        <w:t xml:space="preserve"> really serious bodily injury might be occasioned" by a co</w:t>
      </w:r>
      <w:r w:rsidRPr="00B553C9">
        <w:rPr>
          <w:rFonts w:ascii="Times New Roman" w:hAnsi="Times New Roman"/>
        </w:rPr>
        <w:noBreakHyphen/>
        <w:t>venturer acting with the intention to cause death or really serious bodily injury</w:t>
      </w:r>
      <w:r w:rsidRPr="00B553C9">
        <w:rPr>
          <w:rStyle w:val="FootnoteReference"/>
          <w:rFonts w:ascii="Times New Roman" w:hAnsi="Times New Roman"/>
          <w:sz w:val="24"/>
        </w:rPr>
        <w:footnoteReference w:id="66"/>
      </w:r>
      <w:r w:rsidRPr="00B553C9">
        <w:rPr>
          <w:rFonts w:ascii="Times New Roman" w:hAnsi="Times New Roman"/>
        </w:rPr>
        <w:t>.</w:t>
      </w:r>
    </w:p>
    <w:p w14:paraId="7F14FF8A" w14:textId="77777777" w:rsidR="00484F88" w:rsidRPr="00B553C9" w:rsidRDefault="00484F88" w:rsidP="00484F88">
      <w:pPr>
        <w:pStyle w:val="FixListStyle"/>
        <w:numPr>
          <w:ilvl w:val="0"/>
          <w:numId w:val="18"/>
        </w:numPr>
        <w:spacing w:after="260" w:line="280" w:lineRule="exact"/>
        <w:ind w:left="0" w:right="0" w:hanging="720"/>
        <w:jc w:val="both"/>
        <w:rPr>
          <w:rFonts w:ascii="Times New Roman" w:hAnsi="Times New Roman"/>
        </w:rPr>
      </w:pPr>
      <w:r w:rsidRPr="00B553C9">
        <w:rPr>
          <w:rFonts w:ascii="Times New Roman" w:hAnsi="Times New Roman"/>
        </w:rPr>
        <w:tab/>
        <w:t xml:space="preserve">For these reasons, in each of </w:t>
      </w:r>
      <w:r w:rsidRPr="00B553C9">
        <w:rPr>
          <w:rFonts w:ascii="Times New Roman" w:hAnsi="Times New Roman"/>
          <w:i/>
          <w:iCs/>
        </w:rPr>
        <w:t>Gillard v The Queen</w:t>
      </w:r>
      <w:r w:rsidRPr="00B553C9">
        <w:rPr>
          <w:rStyle w:val="FootnoteReference"/>
          <w:rFonts w:ascii="Times New Roman" w:hAnsi="Times New Roman"/>
          <w:sz w:val="24"/>
        </w:rPr>
        <w:footnoteReference w:id="67"/>
      </w:r>
      <w:r w:rsidRPr="00B553C9">
        <w:rPr>
          <w:rFonts w:ascii="Times New Roman" w:hAnsi="Times New Roman"/>
        </w:rPr>
        <w:t xml:space="preserve">, </w:t>
      </w:r>
      <w:r w:rsidRPr="00B553C9">
        <w:rPr>
          <w:rFonts w:ascii="Times New Roman" w:hAnsi="Times New Roman"/>
          <w:i/>
          <w:iCs/>
        </w:rPr>
        <w:t>Clayto</w:t>
      </w:r>
      <w:r w:rsidRPr="00B553C9">
        <w:rPr>
          <w:rFonts w:ascii="Times New Roman" w:hAnsi="Times New Roman"/>
          <w:i/>
        </w:rPr>
        <w:t>n v The Queen</w:t>
      </w:r>
      <w:r w:rsidRPr="00B553C9">
        <w:rPr>
          <w:rStyle w:val="FootnoteReference"/>
          <w:rFonts w:ascii="Times New Roman" w:hAnsi="Times New Roman"/>
          <w:iCs/>
          <w:sz w:val="24"/>
        </w:rPr>
        <w:footnoteReference w:id="68"/>
      </w:r>
      <w:r w:rsidRPr="00B553C9">
        <w:rPr>
          <w:rFonts w:ascii="Times New Roman" w:hAnsi="Times New Roman"/>
        </w:rPr>
        <w:t>,</w:t>
      </w:r>
      <w:r w:rsidRPr="00B553C9">
        <w:rPr>
          <w:rFonts w:ascii="Times New Roman" w:hAnsi="Times New Roman"/>
          <w:i/>
          <w:iCs/>
        </w:rPr>
        <w:t xml:space="preserve"> </w:t>
      </w:r>
      <w:r w:rsidRPr="00B553C9">
        <w:rPr>
          <w:rFonts w:ascii="Times New Roman" w:hAnsi="Times New Roman"/>
        </w:rPr>
        <w:t xml:space="preserve">and </w:t>
      </w:r>
      <w:r w:rsidRPr="00B553C9">
        <w:rPr>
          <w:rFonts w:ascii="Times New Roman" w:hAnsi="Times New Roman"/>
          <w:i/>
          <w:iCs/>
        </w:rPr>
        <w:t>Mille</w:t>
      </w:r>
      <w:r w:rsidRPr="00B553C9">
        <w:rPr>
          <w:rFonts w:ascii="Times New Roman" w:hAnsi="Times New Roman"/>
          <w:i/>
        </w:rPr>
        <w:t>r</w:t>
      </w:r>
      <w:r w:rsidRPr="00B553C9">
        <w:rPr>
          <w:rFonts w:ascii="Times New Roman" w:hAnsi="Times New Roman"/>
        </w:rPr>
        <w:t>,</w:t>
      </w:r>
      <w:r w:rsidRPr="00B553C9">
        <w:rPr>
          <w:rFonts w:ascii="Times New Roman" w:hAnsi="Times New Roman"/>
          <w:i/>
        </w:rPr>
        <w:t xml:space="preserve"> </w:t>
      </w:r>
      <w:r w:rsidRPr="00B553C9">
        <w:rPr>
          <w:rFonts w:ascii="Times New Roman" w:hAnsi="Times New Roman"/>
        </w:rPr>
        <w:t xml:space="preserve">it would not have made a difference whether the foresight </w:t>
      </w:r>
      <w:r w:rsidRPr="00B553C9" w:rsidDel="009345F8">
        <w:rPr>
          <w:rFonts w:ascii="Times New Roman" w:hAnsi="Times New Roman"/>
        </w:rPr>
        <w:t xml:space="preserve">of the possible consequence </w:t>
      </w:r>
      <w:r w:rsidRPr="00B553C9">
        <w:rPr>
          <w:rFonts w:ascii="Times New Roman" w:hAnsi="Times New Roman"/>
        </w:rPr>
        <w:t xml:space="preserve">was described as one of only death or as one of either death or grievous bodily harm. Foresight of the possibility of the latter is treated as involving equivalent culpability as foresight of the possibility of the former, in the same way as intention to cause death is treated as involving equivalent culpability as intention to cause grievous bodily harm. In </w:t>
      </w:r>
      <w:r w:rsidRPr="00B553C9">
        <w:rPr>
          <w:rFonts w:ascii="Times New Roman" w:hAnsi="Times New Roman"/>
          <w:i/>
          <w:iCs/>
        </w:rPr>
        <w:t>Gillard</w:t>
      </w:r>
      <w:r w:rsidRPr="00B553C9">
        <w:rPr>
          <w:rFonts w:ascii="Times New Roman" w:hAnsi="Times New Roman"/>
        </w:rPr>
        <w:t xml:space="preserve">, the prosecution case of foresight was based on allegations that Mr Preston had been hired to kill the victim and had gone to the victim's workshop with a loaded gun. In </w:t>
      </w:r>
      <w:r w:rsidRPr="00B553C9">
        <w:rPr>
          <w:rFonts w:ascii="Times New Roman" w:hAnsi="Times New Roman"/>
          <w:i/>
          <w:iCs/>
        </w:rPr>
        <w:t>Clayton</w:t>
      </w:r>
      <w:r w:rsidRPr="00B553C9">
        <w:rPr>
          <w:rFonts w:ascii="Times New Roman" w:hAnsi="Times New Roman"/>
        </w:rPr>
        <w:t>,</w:t>
      </w:r>
      <w:r w:rsidRPr="00B553C9">
        <w:rPr>
          <w:rFonts w:ascii="Times New Roman" w:hAnsi="Times New Roman"/>
          <w:i/>
          <w:iCs/>
        </w:rPr>
        <w:t xml:space="preserve"> </w:t>
      </w:r>
      <w:r w:rsidRPr="00B553C9">
        <w:rPr>
          <w:rFonts w:ascii="Times New Roman" w:hAnsi="Times New Roman"/>
        </w:rPr>
        <w:t xml:space="preserve">the prosecution case of foresight was that the assault on the victim lasted 30 to 40 minutes and involved the use of metal poles and a large carving knife. In </w:t>
      </w:r>
      <w:r w:rsidRPr="00B553C9">
        <w:rPr>
          <w:rFonts w:ascii="Times New Roman" w:hAnsi="Times New Roman"/>
          <w:i/>
          <w:iCs/>
        </w:rPr>
        <w:t>Miller</w:t>
      </w:r>
      <w:r w:rsidRPr="00B553C9">
        <w:rPr>
          <w:rFonts w:ascii="Times New Roman" w:hAnsi="Times New Roman"/>
        </w:rPr>
        <w:t>,</w:t>
      </w:r>
      <w:r w:rsidRPr="00B553C9">
        <w:rPr>
          <w:rFonts w:ascii="Times New Roman" w:hAnsi="Times New Roman"/>
          <w:i/>
          <w:iCs/>
        </w:rPr>
        <w:t xml:space="preserve"> </w:t>
      </w:r>
      <w:r w:rsidRPr="00B553C9">
        <w:rPr>
          <w:rFonts w:ascii="Times New Roman" w:hAnsi="Times New Roman"/>
        </w:rPr>
        <w:t>the prosecution case of foresight was based on an assault using weapons including a 332 mm long knife, a baseball bat, and a shovel.</w:t>
      </w:r>
    </w:p>
    <w:p w14:paraId="639C456B" w14:textId="77777777" w:rsidR="00484F88" w:rsidRPr="00B553C9" w:rsidRDefault="00484F88" w:rsidP="00484F88">
      <w:pPr>
        <w:pStyle w:val="FixListStyle"/>
        <w:numPr>
          <w:ilvl w:val="0"/>
          <w:numId w:val="18"/>
        </w:numPr>
        <w:spacing w:after="260" w:line="280" w:lineRule="exact"/>
        <w:ind w:left="0" w:right="0" w:hanging="720"/>
        <w:jc w:val="both"/>
        <w:rPr>
          <w:rFonts w:ascii="Times New Roman" w:hAnsi="Times New Roman"/>
        </w:rPr>
      </w:pPr>
      <w:r w:rsidRPr="00B553C9">
        <w:rPr>
          <w:rFonts w:ascii="Times New Roman" w:hAnsi="Times New Roman"/>
        </w:rPr>
        <w:tab/>
        <w:t>If, however, a participant in a joint criminal enterprise foresees only the elements of a lesser crime than the crime for which the primary offender is convicted, then the participant can only be convicted of that lesser crime under the principles of extended joint criminal enterprise. For example, a participant</w:t>
      </w:r>
      <w:r w:rsidRPr="00B553C9" w:rsidDel="00B02ADC">
        <w:rPr>
          <w:rFonts w:ascii="Times New Roman" w:hAnsi="Times New Roman"/>
        </w:rPr>
        <w:t xml:space="preserve"> </w:t>
      </w:r>
      <w:r w:rsidRPr="00B553C9">
        <w:rPr>
          <w:rFonts w:ascii="Times New Roman" w:hAnsi="Times New Roman"/>
        </w:rPr>
        <w:t>in a joint criminal enterprise of robbery might foresee the possibility that the primary offender would cause very serious bodily harm or death to another person but might not foresee the possibility that the primary offender would do so with murderous intent. In that circumstance, even if the primary offender is convicted of murder, the participant can only be convicted of manslaughter under the principles of extended joint criminal enterprise</w:t>
      </w:r>
      <w:r w:rsidRPr="00B553C9">
        <w:rPr>
          <w:rStyle w:val="FootnoteReference"/>
          <w:rFonts w:ascii="Times New Roman" w:hAnsi="Times New Roman"/>
          <w:sz w:val="24"/>
        </w:rPr>
        <w:footnoteReference w:id="69"/>
      </w:r>
      <w:r w:rsidRPr="00B553C9">
        <w:rPr>
          <w:rFonts w:ascii="Times New Roman" w:hAnsi="Times New Roman"/>
        </w:rPr>
        <w:t>.</w:t>
      </w:r>
    </w:p>
    <w:p w14:paraId="7D201679" w14:textId="77777777" w:rsidR="00484F88" w:rsidRPr="00B553C9" w:rsidRDefault="00484F88" w:rsidP="00484F88">
      <w:pPr>
        <w:pStyle w:val="FixListStyle"/>
        <w:numPr>
          <w:ilvl w:val="0"/>
          <w:numId w:val="18"/>
        </w:numPr>
        <w:spacing w:after="260" w:line="280" w:lineRule="exact"/>
        <w:ind w:left="0" w:right="0" w:hanging="720"/>
        <w:jc w:val="both"/>
        <w:rPr>
          <w:rFonts w:ascii="Times New Roman" w:hAnsi="Times New Roman"/>
        </w:rPr>
      </w:pPr>
      <w:r w:rsidRPr="00B553C9">
        <w:rPr>
          <w:rFonts w:ascii="Times New Roman" w:hAnsi="Times New Roman"/>
        </w:rPr>
        <w:lastRenderedPageBreak/>
        <w:tab/>
        <w:t>The rationale for extended joint criminal enterprise must be different from the rationale for joint criminal enterprise since extended joint criminal enterprise may render a participant in a criminal enterprise liable for a crime committed during that criminal enterprise which was foreseen but which fell outside the scope of the agreement</w:t>
      </w:r>
      <w:r w:rsidRPr="00B553C9">
        <w:rPr>
          <w:rStyle w:val="FootnoteReference"/>
          <w:rFonts w:ascii="Times New Roman" w:hAnsi="Times New Roman"/>
          <w:sz w:val="24"/>
        </w:rPr>
        <w:footnoteReference w:id="70"/>
      </w:r>
      <w:r w:rsidRPr="00B553C9">
        <w:rPr>
          <w:rFonts w:ascii="Times New Roman" w:hAnsi="Times New Roman"/>
        </w:rPr>
        <w:t>.</w:t>
      </w:r>
      <w:r w:rsidRPr="00B553C9" w:rsidDel="000C35D5">
        <w:rPr>
          <w:rFonts w:ascii="Times New Roman" w:hAnsi="Times New Roman"/>
        </w:rPr>
        <w:t xml:space="preserve"> </w:t>
      </w:r>
      <w:r w:rsidRPr="00B553C9">
        <w:rPr>
          <w:rFonts w:ascii="Times New Roman" w:hAnsi="Times New Roman"/>
        </w:rPr>
        <w:t>In this way, rather than being a principle of primary liability stemming from the agreement, extended joint criminal enterprise is a principle of derivative (or "secondary"</w:t>
      </w:r>
      <w:r w:rsidRPr="00B553C9">
        <w:rPr>
          <w:rStyle w:val="FootnoteReference"/>
          <w:rFonts w:ascii="Times New Roman" w:hAnsi="Times New Roman"/>
          <w:sz w:val="24"/>
        </w:rPr>
        <w:footnoteReference w:id="71"/>
      </w:r>
      <w:r w:rsidRPr="00B553C9">
        <w:rPr>
          <w:rFonts w:ascii="Times New Roman" w:hAnsi="Times New Roman"/>
        </w:rPr>
        <w:t>) liability</w:t>
      </w:r>
      <w:r w:rsidRPr="00B553C9">
        <w:rPr>
          <w:rStyle w:val="FootnoteReference"/>
          <w:rFonts w:ascii="Times New Roman" w:hAnsi="Times New Roman"/>
          <w:sz w:val="24"/>
        </w:rPr>
        <w:footnoteReference w:id="72"/>
      </w:r>
      <w:r w:rsidRPr="00B553C9">
        <w:rPr>
          <w:rFonts w:ascii="Times New Roman" w:hAnsi="Times New Roman"/>
        </w:rPr>
        <w:t>. Rather than being a principle that is dependent upon the scope of the agreement, it is a principle that depends upon whether the accused party to the agreement foresaw that an incidental crime might be committed, that is, a crime which was not "within the common purpose" or agreement</w:t>
      </w:r>
      <w:r w:rsidRPr="00B553C9">
        <w:rPr>
          <w:rStyle w:val="FootnoteReference"/>
          <w:rFonts w:ascii="Times New Roman" w:hAnsi="Times New Roman"/>
          <w:sz w:val="24"/>
        </w:rPr>
        <w:footnoteReference w:id="73"/>
      </w:r>
      <w:r w:rsidRPr="00B553C9">
        <w:rPr>
          <w:rFonts w:ascii="Times New Roman" w:hAnsi="Times New Roman"/>
        </w:rPr>
        <w:t xml:space="preserve">. Rather than having a rationale based upon the attribution of the authorised acts of another, its rationale is </w:t>
      </w:r>
      <w:r w:rsidRPr="00B553C9">
        <w:rPr>
          <w:rFonts w:ascii="Times New Roman" w:hAnsi="Times New Roman"/>
          <w:color w:val="000000"/>
        </w:rPr>
        <w:t xml:space="preserve">that </w:t>
      </w:r>
      <w:r w:rsidRPr="00B553C9">
        <w:rPr>
          <w:rFonts w:ascii="Times New Roman" w:hAnsi="Times New Roman"/>
        </w:rPr>
        <w:t>a person is to be regarded as "intentionally assisting in the commission of a crime" when that party "continues to participate in the venture without having agreed to, but foreseeing as a possibility, the act causing death"</w:t>
      </w:r>
      <w:r w:rsidRPr="00B553C9">
        <w:rPr>
          <w:rStyle w:val="FootnoteReference"/>
          <w:rFonts w:ascii="Times New Roman" w:hAnsi="Times New Roman"/>
          <w:sz w:val="24"/>
        </w:rPr>
        <w:footnoteReference w:id="74"/>
      </w:r>
      <w:r w:rsidRPr="00B553C9">
        <w:rPr>
          <w:rFonts w:ascii="Times New Roman" w:hAnsi="Times New Roman"/>
        </w:rPr>
        <w:t xml:space="preserve"> and that act is foreseen as being coupled with the requisite intent</w:t>
      </w:r>
      <w:r w:rsidRPr="00B553C9">
        <w:rPr>
          <w:rStyle w:val="FootnoteReference"/>
          <w:rFonts w:ascii="Times New Roman" w:hAnsi="Times New Roman"/>
          <w:sz w:val="24"/>
        </w:rPr>
        <w:footnoteReference w:id="75"/>
      </w:r>
      <w:r w:rsidRPr="00B553C9">
        <w:rPr>
          <w:rFonts w:ascii="Times New Roman" w:hAnsi="Times New Roman"/>
        </w:rPr>
        <w:t>. In other words, the liability of the accused is derived from, and dependent upon, the criminal liability of another for the foreseen crime that was not part of the agreement</w:t>
      </w:r>
      <w:r w:rsidRPr="00B553C9">
        <w:rPr>
          <w:rStyle w:val="FootnoteReference"/>
          <w:rFonts w:ascii="Times New Roman" w:hAnsi="Times New Roman"/>
          <w:sz w:val="24"/>
        </w:rPr>
        <w:footnoteReference w:id="76"/>
      </w:r>
      <w:r w:rsidRPr="00B553C9">
        <w:rPr>
          <w:rFonts w:ascii="Times New Roman" w:hAnsi="Times New Roman"/>
        </w:rPr>
        <w:t xml:space="preserve">. Unlike joint criminal enterprise simpliciter, in extended joint criminal enterprise there is no attribution of the </w:t>
      </w:r>
      <w:r w:rsidRPr="00B553C9">
        <w:rPr>
          <w:rFonts w:ascii="Times New Roman" w:hAnsi="Times New Roman"/>
          <w:i/>
          <w:iCs/>
        </w:rPr>
        <w:t>acts</w:t>
      </w:r>
      <w:r w:rsidRPr="00B553C9">
        <w:rPr>
          <w:rFonts w:ascii="Times New Roman" w:hAnsi="Times New Roman"/>
        </w:rPr>
        <w:t xml:space="preserve"> in respect of the incidental crime because the secondary participant did not authorise or agree to the commission of the incidental crime.</w:t>
      </w:r>
    </w:p>
    <w:p w14:paraId="530B22C8" w14:textId="77777777" w:rsidR="00484F88" w:rsidRPr="00B553C9" w:rsidRDefault="00484F88" w:rsidP="00B553C9">
      <w:pPr>
        <w:pStyle w:val="HeadingL2"/>
        <w:spacing w:after="260" w:line="280" w:lineRule="exact"/>
        <w:ind w:right="0"/>
        <w:jc w:val="both"/>
        <w:rPr>
          <w:rFonts w:ascii="Times New Roman" w:hAnsi="Times New Roman"/>
        </w:rPr>
      </w:pPr>
      <w:r w:rsidRPr="00B553C9">
        <w:rPr>
          <w:rFonts w:ascii="Times New Roman" w:hAnsi="Times New Roman"/>
        </w:rPr>
        <w:lastRenderedPageBreak/>
        <w:t>(iii) Constructive murder</w:t>
      </w:r>
    </w:p>
    <w:p w14:paraId="6D423230" w14:textId="77777777" w:rsidR="00484F88" w:rsidRPr="00B553C9" w:rsidRDefault="00484F88" w:rsidP="00484F88">
      <w:pPr>
        <w:pStyle w:val="FixListStyle"/>
        <w:numPr>
          <w:ilvl w:val="0"/>
          <w:numId w:val="18"/>
        </w:numPr>
        <w:spacing w:after="260" w:line="280" w:lineRule="exact"/>
        <w:ind w:left="0" w:right="0" w:hanging="720"/>
        <w:jc w:val="both"/>
        <w:rPr>
          <w:rFonts w:ascii="Times New Roman" w:hAnsi="Times New Roman"/>
        </w:rPr>
      </w:pPr>
      <w:r w:rsidRPr="00B553C9">
        <w:rPr>
          <w:rFonts w:ascii="Times New Roman" w:hAnsi="Times New Roman"/>
        </w:rPr>
        <w:tab/>
        <w:t>Prior to the introduction of s 12A of the CLC </w:t>
      </w:r>
      <w:r w:rsidRPr="00B553C9" w:rsidDel="003D1DDC">
        <w:rPr>
          <w:rFonts w:ascii="Times New Roman" w:hAnsi="Times New Roman"/>
        </w:rPr>
        <w:t>Act</w:t>
      </w:r>
      <w:r w:rsidRPr="00B553C9">
        <w:rPr>
          <w:rStyle w:val="FootnoteReference"/>
          <w:rFonts w:ascii="Times New Roman" w:hAnsi="Times New Roman"/>
          <w:sz w:val="24"/>
        </w:rPr>
        <w:footnoteReference w:id="77"/>
      </w:r>
      <w:r w:rsidRPr="00B553C9">
        <w:rPr>
          <w:rFonts w:ascii="Times New Roman" w:hAnsi="Times New Roman"/>
        </w:rPr>
        <w:t xml:space="preserve"> on 1 January 1995, South Australia recognised a common law rule, with lengthy antecedents</w:t>
      </w:r>
      <w:r w:rsidRPr="00B553C9">
        <w:rPr>
          <w:rStyle w:val="FootnoteReference"/>
          <w:rFonts w:ascii="Times New Roman" w:hAnsi="Times New Roman"/>
          <w:sz w:val="24"/>
        </w:rPr>
        <w:footnoteReference w:id="78"/>
      </w:r>
      <w:r w:rsidRPr="00B553C9">
        <w:rPr>
          <w:rFonts w:ascii="Times New Roman" w:hAnsi="Times New Roman"/>
        </w:rPr>
        <w:t>, that "it is murder to cause death in the commission of or in furtherance of the commission of a felony involving violence or danger"</w:t>
      </w:r>
      <w:r w:rsidRPr="00B553C9">
        <w:rPr>
          <w:rStyle w:val="FootnoteReference"/>
          <w:rFonts w:ascii="Times New Roman" w:hAnsi="Times New Roman"/>
          <w:sz w:val="24"/>
        </w:rPr>
        <w:footnoteReference w:id="79"/>
      </w:r>
      <w:r w:rsidRPr="00B553C9">
        <w:rPr>
          <w:rFonts w:ascii="Times New Roman" w:hAnsi="Times New Roman"/>
        </w:rPr>
        <w:t>. At that time, that common law rule of "constructive murder" required only two elements: (1) the commission of an offence capable of being a foundational offence, and (2) that the act causing the death was done in an attempt to commit, or during or immediately after the commission of, that foundational offence</w:t>
      </w:r>
      <w:r w:rsidRPr="00B553C9">
        <w:rPr>
          <w:rStyle w:val="FootnoteReference"/>
          <w:rFonts w:ascii="Times New Roman" w:hAnsi="Times New Roman"/>
          <w:sz w:val="24"/>
        </w:rPr>
        <w:footnoteReference w:id="80"/>
      </w:r>
      <w:r w:rsidRPr="00B553C9">
        <w:rPr>
          <w:rFonts w:ascii="Times New Roman" w:hAnsi="Times New Roman"/>
        </w:rPr>
        <w:t>. An offence was capable of being a foundational offence only if it was a felony and if "the felonious conduct involved violence or danger to some person"</w:t>
      </w:r>
      <w:r w:rsidRPr="00B553C9">
        <w:rPr>
          <w:rStyle w:val="FootnoteReference"/>
          <w:rFonts w:ascii="Times New Roman" w:hAnsi="Times New Roman"/>
          <w:sz w:val="24"/>
        </w:rPr>
        <w:footnoteReference w:id="81"/>
      </w:r>
      <w:r w:rsidRPr="00B553C9">
        <w:rPr>
          <w:rFonts w:ascii="Times New Roman" w:hAnsi="Times New Roman"/>
        </w:rPr>
        <w:t>.</w:t>
      </w:r>
    </w:p>
    <w:p w14:paraId="1F8C4BFB" w14:textId="77777777" w:rsidR="00484F88" w:rsidRPr="00B553C9" w:rsidRDefault="00484F88" w:rsidP="00484F88">
      <w:pPr>
        <w:pStyle w:val="FixListStyle"/>
        <w:numPr>
          <w:ilvl w:val="0"/>
          <w:numId w:val="18"/>
        </w:numPr>
        <w:spacing w:after="260" w:line="280" w:lineRule="exact"/>
        <w:ind w:left="0" w:right="0" w:hanging="720"/>
        <w:jc w:val="both"/>
        <w:rPr>
          <w:rFonts w:ascii="Times New Roman" w:hAnsi="Times New Roman"/>
        </w:rPr>
      </w:pPr>
      <w:r w:rsidRPr="00B553C9">
        <w:rPr>
          <w:rFonts w:ascii="Times New Roman" w:hAnsi="Times New Roman"/>
        </w:rPr>
        <w:tab/>
        <w:t>This "felony murder" rule was commonly described, as it was at trial in these cases, as one of "constructive murder". The label of "constructive murder" illustrates the fiction or deeming of murder: a person was to be treated as though they were a murderer where they caused the death of another, without any intention to cause death or grievous bodily harm, in the course of a foundational offence</w:t>
      </w:r>
      <w:r w:rsidRPr="00B553C9">
        <w:rPr>
          <w:rStyle w:val="FootnoteReference"/>
          <w:rFonts w:ascii="Times New Roman" w:hAnsi="Times New Roman"/>
          <w:sz w:val="24"/>
        </w:rPr>
        <w:footnoteReference w:id="82"/>
      </w:r>
      <w:r w:rsidRPr="00B553C9">
        <w:rPr>
          <w:rFonts w:ascii="Times New Roman" w:hAnsi="Times New Roman"/>
        </w:rPr>
        <w:t>.</w:t>
      </w:r>
    </w:p>
    <w:p w14:paraId="644BAF6D" w14:textId="77777777" w:rsidR="00484F88" w:rsidRPr="00B553C9" w:rsidRDefault="00484F88" w:rsidP="00484F88">
      <w:pPr>
        <w:pStyle w:val="FixListStyle"/>
        <w:numPr>
          <w:ilvl w:val="0"/>
          <w:numId w:val="18"/>
        </w:numPr>
        <w:spacing w:after="260" w:line="280" w:lineRule="exact"/>
        <w:ind w:left="0" w:right="0" w:hanging="720"/>
        <w:jc w:val="both"/>
        <w:rPr>
          <w:rFonts w:ascii="Times New Roman" w:hAnsi="Times New Roman"/>
        </w:rPr>
      </w:pPr>
      <w:r w:rsidRPr="00B553C9">
        <w:rPr>
          <w:rFonts w:ascii="Times New Roman" w:hAnsi="Times New Roman"/>
        </w:rPr>
        <w:tab/>
        <w:t>The constructive murder rule at common law required that the accused "cause[d] death</w:t>
      </w:r>
      <w:r w:rsidRPr="00B553C9">
        <w:rPr>
          <w:rFonts w:ascii="Times New Roman" w:hAnsi="Times New Roman"/>
          <w:i/>
          <w:iCs/>
        </w:rPr>
        <w:t xml:space="preserve"> </w:t>
      </w:r>
      <w:r w:rsidRPr="00B553C9">
        <w:rPr>
          <w:rFonts w:ascii="Times New Roman" w:hAnsi="Times New Roman"/>
        </w:rPr>
        <w:t xml:space="preserve">in the commission of or in furtherance of the commission of a </w:t>
      </w:r>
      <w:r w:rsidRPr="00B553C9">
        <w:rPr>
          <w:rFonts w:ascii="Times New Roman" w:hAnsi="Times New Roman"/>
        </w:rPr>
        <w:lastRenderedPageBreak/>
        <w:t>felony involving violence or danger"</w:t>
      </w:r>
      <w:r w:rsidRPr="00B553C9">
        <w:rPr>
          <w:rStyle w:val="FootnoteReference"/>
          <w:rFonts w:ascii="Times New Roman" w:hAnsi="Times New Roman"/>
          <w:sz w:val="24"/>
        </w:rPr>
        <w:footnoteReference w:id="83"/>
      </w:r>
      <w:r w:rsidRPr="00B553C9">
        <w:rPr>
          <w:rFonts w:ascii="Times New Roman" w:hAnsi="Times New Roman"/>
        </w:rPr>
        <w:t>.</w:t>
      </w:r>
      <w:r w:rsidRPr="00B553C9" w:rsidDel="001F0405">
        <w:rPr>
          <w:rFonts w:ascii="Times New Roman" w:hAnsi="Times New Roman"/>
        </w:rPr>
        <w:t xml:space="preserve"> </w:t>
      </w:r>
      <w:r w:rsidRPr="00B553C9">
        <w:rPr>
          <w:rFonts w:ascii="Times New Roman" w:hAnsi="Times New Roman"/>
        </w:rPr>
        <w:t xml:space="preserve">By 1949 it had already been the law consistently for fifty years that "death unintentionally brought about in the commission or furtherance of a felony is only murder </w:t>
      </w:r>
      <w:r w:rsidRPr="00B553C9">
        <w:rPr>
          <w:rFonts w:ascii="Times New Roman" w:hAnsi="Times New Roman"/>
          <w:i/>
          <w:iCs/>
        </w:rPr>
        <w:t>in the actor</w:t>
      </w:r>
      <w:r w:rsidRPr="00B553C9">
        <w:rPr>
          <w:rFonts w:ascii="Times New Roman" w:hAnsi="Times New Roman"/>
        </w:rPr>
        <w:t>, if the felony is one which is dangerous to life and likely in itself to cause death"</w:t>
      </w:r>
      <w:r w:rsidRPr="00B553C9">
        <w:rPr>
          <w:rStyle w:val="FootnoteReference"/>
          <w:rFonts w:ascii="Times New Roman" w:hAnsi="Times New Roman"/>
          <w:sz w:val="24"/>
        </w:rPr>
        <w:footnoteReference w:id="84"/>
      </w:r>
      <w:r w:rsidRPr="00B553C9">
        <w:rPr>
          <w:rFonts w:ascii="Times New Roman" w:hAnsi="Times New Roman"/>
        </w:rPr>
        <w:t xml:space="preserve">. But this did not resolve whether actions, during or immediately after the foundational offence, would be treated as those of the accused. </w:t>
      </w:r>
    </w:p>
    <w:p w14:paraId="4695E13B" w14:textId="77777777" w:rsidR="00484F88" w:rsidRPr="00B553C9" w:rsidRDefault="00484F88" w:rsidP="00484F88">
      <w:pPr>
        <w:pStyle w:val="FixListStyle"/>
        <w:numPr>
          <w:ilvl w:val="0"/>
          <w:numId w:val="18"/>
        </w:numPr>
        <w:spacing w:after="260" w:line="280" w:lineRule="exact"/>
        <w:ind w:left="0" w:right="0" w:hanging="720"/>
        <w:jc w:val="both"/>
        <w:rPr>
          <w:rFonts w:ascii="Times New Roman" w:hAnsi="Times New Roman"/>
        </w:rPr>
      </w:pPr>
      <w:r w:rsidRPr="00B553C9">
        <w:rPr>
          <w:rFonts w:ascii="Times New Roman" w:hAnsi="Times New Roman"/>
        </w:rPr>
        <w:tab/>
        <w:t>As to the question of whether an accused person had committed the act and thus caused the death, the constructive murder rule incorporated the common law rules of attribution of acts embodied in joint criminal enterprise</w:t>
      </w:r>
      <w:r w:rsidRPr="00B553C9">
        <w:rPr>
          <w:rStyle w:val="FootnoteReference"/>
          <w:rFonts w:ascii="Times New Roman" w:hAnsi="Times New Roman"/>
          <w:sz w:val="24"/>
        </w:rPr>
        <w:footnoteReference w:id="85"/>
      </w:r>
      <w:r w:rsidRPr="00B553C9">
        <w:rPr>
          <w:rFonts w:ascii="Times New Roman" w:hAnsi="Times New Roman"/>
        </w:rPr>
        <w:t>. By those rules, the relevant act causing death was attributed to all parties to an agreement if the act was within the scope of their agreement</w:t>
      </w:r>
      <w:r w:rsidRPr="00B553C9">
        <w:rPr>
          <w:rStyle w:val="FootnoteReference"/>
          <w:rFonts w:ascii="Times New Roman" w:hAnsi="Times New Roman"/>
          <w:sz w:val="24"/>
        </w:rPr>
        <w:footnoteReference w:id="86"/>
      </w:r>
      <w:r w:rsidRPr="00B553C9">
        <w:rPr>
          <w:rFonts w:ascii="Times New Roman" w:hAnsi="Times New Roman"/>
        </w:rPr>
        <w:t xml:space="preserve">. Hence, in </w:t>
      </w:r>
      <w:r w:rsidRPr="00B553C9">
        <w:rPr>
          <w:rFonts w:ascii="Times New Roman" w:hAnsi="Times New Roman"/>
          <w:i/>
          <w:iCs/>
        </w:rPr>
        <w:t>R v Ryan and Walker</w:t>
      </w:r>
      <w:r w:rsidRPr="00B553C9">
        <w:rPr>
          <w:rStyle w:val="FootnoteReference"/>
          <w:rFonts w:ascii="Times New Roman" w:hAnsi="Times New Roman"/>
          <w:sz w:val="24"/>
        </w:rPr>
        <w:footnoteReference w:id="87"/>
      </w:r>
      <w:r w:rsidRPr="00B553C9">
        <w:rPr>
          <w:rFonts w:ascii="Times New Roman" w:hAnsi="Times New Roman"/>
        </w:rPr>
        <w:t>,</w:t>
      </w:r>
      <w:r w:rsidRPr="00B553C9">
        <w:rPr>
          <w:rFonts w:ascii="Times New Roman" w:hAnsi="Times New Roman"/>
          <w:i/>
          <w:iCs/>
        </w:rPr>
        <w:t xml:space="preserve"> </w:t>
      </w:r>
      <w:r w:rsidRPr="00B553C9">
        <w:rPr>
          <w:rFonts w:ascii="Times New Roman" w:hAnsi="Times New Roman"/>
        </w:rPr>
        <w:t>Mr Walker, one of the participants in a felony, could be convicted of felony murder because he was a "party to the unlawful use of force"</w:t>
      </w:r>
      <w:r w:rsidRPr="00B553C9">
        <w:rPr>
          <w:rStyle w:val="FootnoteReference"/>
          <w:rFonts w:ascii="Times New Roman" w:hAnsi="Times New Roman"/>
          <w:sz w:val="24"/>
        </w:rPr>
        <w:footnoteReference w:id="88"/>
      </w:r>
      <w:r w:rsidRPr="00B553C9">
        <w:rPr>
          <w:rFonts w:ascii="Times New Roman" w:hAnsi="Times New Roman"/>
        </w:rPr>
        <w:t xml:space="preserve">. As with joint criminal enterprise generally, difficult questions sometimes arose concerning when an act would be within the scope of the agreement. It was held that the agreement need not extend to the precise manner in which the act was committed. It was sufficient for the scope of the agreement to extend to acts of the general nature of the attributed act. Thus, in the course of upholding a conviction for felony murder of a party to an agreement to rob, it was said not to prevent the conviction of that </w:t>
      </w:r>
      <w:r w:rsidRPr="00B553C9">
        <w:rPr>
          <w:rFonts w:ascii="Times New Roman" w:hAnsi="Times New Roman"/>
        </w:rPr>
        <w:lastRenderedPageBreak/>
        <w:t>party that the robbery varied "in the manner of execution of [the] agreed plan ... [O]</w:t>
      </w:r>
      <w:proofErr w:type="spellStart"/>
      <w:r w:rsidRPr="00B553C9">
        <w:rPr>
          <w:rFonts w:ascii="Times New Roman" w:hAnsi="Times New Roman"/>
        </w:rPr>
        <w:t>bviously</w:t>
      </w:r>
      <w:proofErr w:type="spellEnd"/>
      <w:r w:rsidRPr="00B553C9">
        <w:rPr>
          <w:rFonts w:ascii="Times New Roman" w:hAnsi="Times New Roman"/>
        </w:rPr>
        <w:t xml:space="preserve"> it must have been a plan to rob with some degree of violence"</w:t>
      </w:r>
      <w:r w:rsidRPr="00B553C9">
        <w:rPr>
          <w:rStyle w:val="FootnoteReference"/>
          <w:rFonts w:ascii="Times New Roman" w:hAnsi="Times New Roman"/>
          <w:sz w:val="24"/>
        </w:rPr>
        <w:footnoteReference w:id="89"/>
      </w:r>
      <w:r w:rsidRPr="00B553C9">
        <w:rPr>
          <w:rFonts w:ascii="Times New Roman" w:hAnsi="Times New Roman"/>
        </w:rPr>
        <w:t>.</w:t>
      </w:r>
    </w:p>
    <w:p w14:paraId="7EEE7F34" w14:textId="77777777" w:rsidR="00484F88" w:rsidRPr="00B553C9" w:rsidRDefault="00484F88" w:rsidP="00B553C9">
      <w:pPr>
        <w:pStyle w:val="HeadingL1"/>
        <w:spacing w:after="260" w:line="280" w:lineRule="exact"/>
        <w:ind w:right="0"/>
        <w:jc w:val="both"/>
        <w:rPr>
          <w:rFonts w:ascii="Times New Roman" w:hAnsi="Times New Roman"/>
          <w:i/>
          <w:iCs/>
        </w:rPr>
      </w:pPr>
      <w:r w:rsidRPr="00B553C9">
        <w:rPr>
          <w:rFonts w:ascii="Times New Roman" w:hAnsi="Times New Roman"/>
        </w:rPr>
        <w:t>Sections 11 and 12A of the CLC Act</w:t>
      </w:r>
    </w:p>
    <w:p w14:paraId="1E92E7E0" w14:textId="77777777" w:rsidR="00484F88" w:rsidRPr="00B553C9" w:rsidRDefault="00484F88" w:rsidP="00484F88">
      <w:pPr>
        <w:pStyle w:val="FixListStyle"/>
        <w:numPr>
          <w:ilvl w:val="0"/>
          <w:numId w:val="18"/>
        </w:numPr>
        <w:spacing w:after="260" w:line="280" w:lineRule="exact"/>
        <w:ind w:left="0" w:right="0" w:hanging="720"/>
        <w:jc w:val="both"/>
        <w:rPr>
          <w:rFonts w:ascii="Times New Roman" w:hAnsi="Times New Roman"/>
        </w:rPr>
      </w:pPr>
      <w:r w:rsidRPr="00B553C9">
        <w:rPr>
          <w:rFonts w:ascii="Times New Roman" w:hAnsi="Times New Roman"/>
        </w:rPr>
        <w:tab/>
        <w:t>Sections 11, 12, and 12A of the CLC </w:t>
      </w:r>
      <w:r w:rsidRPr="00B553C9" w:rsidDel="003D1DDC">
        <w:rPr>
          <w:rFonts w:ascii="Times New Roman" w:hAnsi="Times New Roman"/>
        </w:rPr>
        <w:t xml:space="preserve">Act </w:t>
      </w:r>
      <w:r w:rsidRPr="00B553C9">
        <w:rPr>
          <w:rFonts w:ascii="Times New Roman" w:hAnsi="Times New Roman"/>
        </w:rPr>
        <w:t>provide:</w:t>
      </w:r>
    </w:p>
    <w:p w14:paraId="04D64B21" w14:textId="77777777" w:rsidR="00484F88" w:rsidRPr="00B553C9" w:rsidRDefault="00484F88" w:rsidP="00B553C9">
      <w:pPr>
        <w:pStyle w:val="LeftrightafterHC"/>
        <w:spacing w:before="0" w:after="260" w:line="280" w:lineRule="exact"/>
        <w:ind w:right="0"/>
        <w:jc w:val="both"/>
        <w:rPr>
          <w:rFonts w:ascii="Times New Roman" w:hAnsi="Times New Roman"/>
          <w:b/>
          <w:bCs/>
        </w:rPr>
      </w:pPr>
      <w:r w:rsidRPr="00B553C9">
        <w:rPr>
          <w:rFonts w:ascii="Times New Roman" w:hAnsi="Times New Roman"/>
        </w:rPr>
        <w:t>"</w:t>
      </w:r>
      <w:r w:rsidRPr="00B553C9">
        <w:rPr>
          <w:rFonts w:ascii="Times New Roman" w:hAnsi="Times New Roman"/>
          <w:b/>
          <w:bCs/>
        </w:rPr>
        <w:t>11 – Murder</w:t>
      </w:r>
    </w:p>
    <w:p w14:paraId="2C0CE0CB" w14:textId="77777777" w:rsidR="00484F88" w:rsidRPr="00B553C9" w:rsidRDefault="00484F88" w:rsidP="00B553C9">
      <w:pPr>
        <w:pStyle w:val="LeftrightHanging"/>
        <w:spacing w:before="0" w:after="260" w:line="280" w:lineRule="exact"/>
        <w:ind w:right="0"/>
        <w:jc w:val="both"/>
        <w:rPr>
          <w:rFonts w:ascii="Times New Roman" w:hAnsi="Times New Roman"/>
        </w:rPr>
      </w:pPr>
      <w:r w:rsidRPr="00B553C9">
        <w:rPr>
          <w:rFonts w:ascii="Times New Roman" w:hAnsi="Times New Roman"/>
        </w:rPr>
        <w:tab/>
        <w:t>Any person who commits murder shall be guilty of an offence and shall be imprisoned for life.</w:t>
      </w:r>
    </w:p>
    <w:p w14:paraId="0518A13E" w14:textId="77777777" w:rsidR="00484F88" w:rsidRPr="00B553C9" w:rsidRDefault="00484F88" w:rsidP="00B553C9">
      <w:pPr>
        <w:pStyle w:val="leftright"/>
        <w:spacing w:before="0" w:after="260" w:line="280" w:lineRule="exact"/>
        <w:ind w:right="0"/>
        <w:jc w:val="both"/>
        <w:rPr>
          <w:rFonts w:ascii="Times New Roman" w:hAnsi="Times New Roman"/>
          <w:b/>
          <w:bCs/>
        </w:rPr>
      </w:pPr>
      <w:r w:rsidRPr="00B553C9">
        <w:rPr>
          <w:rFonts w:ascii="Times New Roman" w:hAnsi="Times New Roman"/>
          <w:b/>
          <w:bCs/>
        </w:rPr>
        <w:t>12 – Conspiring or soliciting to commit murder</w:t>
      </w:r>
    </w:p>
    <w:p w14:paraId="1CEE84AB" w14:textId="77777777" w:rsidR="00484F88" w:rsidRPr="00B553C9" w:rsidRDefault="00484F88" w:rsidP="00B553C9">
      <w:pPr>
        <w:pStyle w:val="LeftrightHanging"/>
        <w:spacing w:before="0" w:after="260" w:line="280" w:lineRule="exact"/>
        <w:ind w:right="0"/>
        <w:jc w:val="both"/>
        <w:rPr>
          <w:rFonts w:ascii="Times New Roman" w:hAnsi="Times New Roman"/>
        </w:rPr>
      </w:pPr>
      <w:r w:rsidRPr="00B553C9">
        <w:rPr>
          <w:rFonts w:ascii="Times New Roman" w:hAnsi="Times New Roman"/>
        </w:rPr>
        <w:tab/>
        <w:t>Any person who –</w:t>
      </w:r>
    </w:p>
    <w:p w14:paraId="05644FFE" w14:textId="77777777" w:rsidR="00484F88" w:rsidRPr="00B553C9" w:rsidRDefault="00484F88" w:rsidP="00B553C9">
      <w:pPr>
        <w:pStyle w:val="LRHangingMore"/>
        <w:spacing w:before="0" w:after="260" w:line="280" w:lineRule="exact"/>
        <w:ind w:right="0"/>
        <w:jc w:val="both"/>
        <w:rPr>
          <w:rFonts w:ascii="Times New Roman" w:hAnsi="Times New Roman"/>
        </w:rPr>
      </w:pPr>
      <w:r w:rsidRPr="00B553C9">
        <w:rPr>
          <w:rFonts w:ascii="Times New Roman" w:hAnsi="Times New Roman"/>
        </w:rPr>
        <w:t xml:space="preserve">(a) </w:t>
      </w:r>
      <w:r w:rsidRPr="00B553C9">
        <w:rPr>
          <w:rFonts w:ascii="Times New Roman" w:hAnsi="Times New Roman"/>
        </w:rPr>
        <w:tab/>
        <w:t>conspires, confederates and agrees with any other person to murder any person, whether he is a subject of Her Majesty or not and whether he is within the Queen's dominions or not;</w:t>
      </w:r>
    </w:p>
    <w:p w14:paraId="745D7BC4" w14:textId="77777777" w:rsidR="00484F88" w:rsidRPr="00B553C9" w:rsidRDefault="00484F88" w:rsidP="00B553C9">
      <w:pPr>
        <w:pStyle w:val="LRHangingMore"/>
        <w:spacing w:before="0" w:after="260" w:line="280" w:lineRule="exact"/>
        <w:ind w:right="0"/>
        <w:jc w:val="both"/>
        <w:rPr>
          <w:rFonts w:ascii="Times New Roman" w:hAnsi="Times New Roman"/>
        </w:rPr>
      </w:pPr>
      <w:r w:rsidRPr="00B553C9">
        <w:rPr>
          <w:rFonts w:ascii="Times New Roman" w:hAnsi="Times New Roman"/>
        </w:rPr>
        <w:t xml:space="preserve">(b) </w:t>
      </w:r>
      <w:r w:rsidRPr="00B553C9">
        <w:rPr>
          <w:rFonts w:ascii="Times New Roman" w:hAnsi="Times New Roman"/>
        </w:rPr>
        <w:tab/>
        <w:t>solicits, encourages, persuades or endeavours to persuade, or proposes to, any person to murder any other person, whether he is a subject of Her Majesty or not and whether he is within the Queen's dominions or not,</w:t>
      </w:r>
    </w:p>
    <w:p w14:paraId="41620CC2" w14:textId="77777777" w:rsidR="00484F88" w:rsidRPr="00B553C9" w:rsidRDefault="00484F88" w:rsidP="00B553C9">
      <w:pPr>
        <w:pStyle w:val="LeftrightHanging"/>
        <w:spacing w:before="0" w:after="260" w:line="280" w:lineRule="exact"/>
        <w:ind w:right="0"/>
        <w:jc w:val="both"/>
        <w:rPr>
          <w:rFonts w:ascii="Times New Roman" w:hAnsi="Times New Roman"/>
        </w:rPr>
      </w:pPr>
      <w:r w:rsidRPr="00B553C9">
        <w:rPr>
          <w:rFonts w:ascii="Times New Roman" w:hAnsi="Times New Roman"/>
        </w:rPr>
        <w:tab/>
        <w:t>shall be guilty of an offence and liable to be imprisoned for life.</w:t>
      </w:r>
    </w:p>
    <w:p w14:paraId="6990405F" w14:textId="77777777" w:rsidR="00484F88" w:rsidRPr="00B553C9" w:rsidRDefault="00484F88" w:rsidP="00B553C9">
      <w:pPr>
        <w:pStyle w:val="leftright"/>
        <w:spacing w:before="0" w:after="260" w:line="280" w:lineRule="exact"/>
        <w:ind w:right="0"/>
        <w:jc w:val="both"/>
        <w:rPr>
          <w:rFonts w:ascii="Times New Roman" w:hAnsi="Times New Roman"/>
          <w:b/>
          <w:bCs/>
        </w:rPr>
      </w:pPr>
      <w:r w:rsidRPr="00B553C9">
        <w:rPr>
          <w:rFonts w:ascii="Times New Roman" w:hAnsi="Times New Roman"/>
          <w:b/>
          <w:bCs/>
        </w:rPr>
        <w:t>12A – Causing death by an intentional act of violence</w:t>
      </w:r>
    </w:p>
    <w:p w14:paraId="5E026ACE" w14:textId="77777777" w:rsidR="00484F88" w:rsidRPr="00B553C9" w:rsidRDefault="00484F88" w:rsidP="00B553C9">
      <w:pPr>
        <w:pStyle w:val="LeftrightHanging"/>
        <w:spacing w:before="0" w:after="260" w:line="280" w:lineRule="exact"/>
        <w:ind w:right="0"/>
        <w:jc w:val="both"/>
        <w:rPr>
          <w:rFonts w:ascii="Times New Roman" w:hAnsi="Times New Roman"/>
        </w:rPr>
      </w:pPr>
      <w:r w:rsidRPr="00B553C9">
        <w:rPr>
          <w:rFonts w:ascii="Times New Roman" w:hAnsi="Times New Roman"/>
        </w:rPr>
        <w:tab/>
        <w:t>A person who commits an intentional act of violence while acting in the course or furtherance of a major indictable offence punishable by imprisonment for ten years or more (other than abortion</w:t>
      </w:r>
      <w:r w:rsidRPr="00B553C9">
        <w:rPr>
          <w:rFonts w:ascii="Times New Roman" w:hAnsi="Times New Roman"/>
          <w:sz w:val="24"/>
          <w:vertAlign w:val="superscript"/>
        </w:rPr>
        <w:t>1</w:t>
      </w:r>
      <w:r w:rsidRPr="00B553C9">
        <w:rPr>
          <w:rFonts w:ascii="Times New Roman" w:hAnsi="Times New Roman"/>
        </w:rPr>
        <w:t>), and thus causes the death of another, is guilty of murder.</w:t>
      </w:r>
    </w:p>
    <w:p w14:paraId="1DC84910" w14:textId="77777777" w:rsidR="00484F88" w:rsidRPr="00B553C9" w:rsidRDefault="00484F88" w:rsidP="00B553C9">
      <w:pPr>
        <w:pStyle w:val="leftright"/>
        <w:spacing w:before="0" w:after="260" w:line="280" w:lineRule="exact"/>
        <w:ind w:right="0"/>
        <w:jc w:val="both"/>
        <w:rPr>
          <w:rFonts w:ascii="Times New Roman" w:hAnsi="Times New Roman"/>
          <w:b/>
          <w:bCs/>
        </w:rPr>
      </w:pPr>
      <w:r w:rsidRPr="00B553C9">
        <w:rPr>
          <w:rFonts w:ascii="Times New Roman" w:hAnsi="Times New Roman"/>
          <w:b/>
          <w:bCs/>
        </w:rPr>
        <w:t>Note –</w:t>
      </w:r>
    </w:p>
    <w:p w14:paraId="27A7B7B1" w14:textId="77777777" w:rsidR="00484F88" w:rsidRDefault="00484F88" w:rsidP="00B553C9">
      <w:pPr>
        <w:pStyle w:val="leftright"/>
        <w:spacing w:before="0" w:after="260" w:line="280" w:lineRule="exact"/>
        <w:ind w:left="1440" w:right="0"/>
        <w:jc w:val="both"/>
        <w:rPr>
          <w:rFonts w:ascii="Times New Roman" w:hAnsi="Times New Roman"/>
        </w:rPr>
      </w:pPr>
      <w:r w:rsidRPr="00B553C9">
        <w:rPr>
          <w:rFonts w:ascii="Times New Roman" w:hAnsi="Times New Roman"/>
        </w:rPr>
        <w:t>1</w:t>
      </w:r>
      <w:r w:rsidRPr="00B553C9">
        <w:rPr>
          <w:rFonts w:ascii="Times New Roman" w:hAnsi="Times New Roman"/>
        </w:rPr>
        <w:tab/>
      </w:r>
      <w:proofErr w:type="spellStart"/>
      <w:r w:rsidRPr="00B553C9">
        <w:rPr>
          <w:rFonts w:ascii="Times New Roman" w:hAnsi="Times New Roman"/>
        </w:rPr>
        <w:t>ie</w:t>
      </w:r>
      <w:proofErr w:type="spellEnd"/>
      <w:r w:rsidRPr="00B553C9">
        <w:rPr>
          <w:rFonts w:ascii="Times New Roman" w:hAnsi="Times New Roman"/>
        </w:rPr>
        <w:t xml:space="preserve"> an offence against section 81(2)."</w:t>
      </w:r>
    </w:p>
    <w:p w14:paraId="683EC2B6" w14:textId="77777777" w:rsidR="00484F88" w:rsidRPr="00B553C9" w:rsidRDefault="00484F88" w:rsidP="00B553C9">
      <w:pPr>
        <w:pStyle w:val="NormalBody"/>
        <w:spacing w:after="260" w:line="280" w:lineRule="exact"/>
        <w:ind w:right="0"/>
        <w:jc w:val="both"/>
        <w:rPr>
          <w:rFonts w:ascii="Times New Roman" w:hAnsi="Times New Roman"/>
        </w:rPr>
      </w:pPr>
      <w:r w:rsidRPr="00B553C9">
        <w:rPr>
          <w:rFonts w:ascii="Times New Roman" w:hAnsi="Times New Roman"/>
        </w:rPr>
        <w:t xml:space="preserve">A "major indictable offence", to which reference is made in s 12A, is defined in ss 4 and 5 of the </w:t>
      </w:r>
      <w:r w:rsidRPr="00B553C9">
        <w:rPr>
          <w:rFonts w:ascii="Times New Roman" w:hAnsi="Times New Roman"/>
          <w:i/>
        </w:rPr>
        <w:t>Criminal Procedure Act 1921 </w:t>
      </w:r>
      <w:r w:rsidRPr="00B553C9">
        <w:rPr>
          <w:rFonts w:ascii="Times New Roman" w:hAnsi="Times New Roman"/>
        </w:rPr>
        <w:t xml:space="preserve">(SA) as any indictable offence </w:t>
      </w:r>
      <w:r w:rsidRPr="00B553C9">
        <w:rPr>
          <w:rFonts w:ascii="Times New Roman" w:hAnsi="Times New Roman"/>
        </w:rPr>
        <w:lastRenderedPageBreak/>
        <w:t>except for "minor indictable offences", which include various categories of offence such as those for which the maximum term of imprisonment does not exceed five years.</w:t>
      </w:r>
    </w:p>
    <w:p w14:paraId="4AC0AFE9" w14:textId="77777777" w:rsidR="00484F88" w:rsidRPr="00B553C9" w:rsidRDefault="00484F88" w:rsidP="00484F88">
      <w:pPr>
        <w:pStyle w:val="FixListStyle"/>
        <w:numPr>
          <w:ilvl w:val="0"/>
          <w:numId w:val="18"/>
        </w:numPr>
        <w:spacing w:after="260" w:line="280" w:lineRule="exact"/>
        <w:ind w:left="0" w:right="0" w:hanging="720"/>
        <w:jc w:val="both"/>
        <w:rPr>
          <w:rFonts w:ascii="Times New Roman" w:hAnsi="Times New Roman"/>
        </w:rPr>
      </w:pPr>
      <w:r w:rsidRPr="00B553C9">
        <w:rPr>
          <w:rFonts w:ascii="Times New Roman" w:hAnsi="Times New Roman"/>
        </w:rPr>
        <w:tab/>
        <w:t>Section 12A requires "a person" to "commit" an "intentional act of violence" causing the death of another. Thus, the responsibility imposed by s 12A depends upon commission of a particular intentional act of violence by a person. It therefore creates direct or primary liability for murder – its focus is upon the conduct and state of mind of the primary offender, being the person who committed the act and thus caused the death. However,</w:t>
      </w:r>
      <w:r w:rsidRPr="00B553C9">
        <w:rPr>
          <w:rFonts w:ascii="Times New Roman" w:hAnsi="Times New Roman"/>
          <w:b/>
          <w:bCs/>
        </w:rPr>
        <w:t xml:space="preserve"> </w:t>
      </w:r>
      <w:r w:rsidRPr="00B553C9">
        <w:rPr>
          <w:rFonts w:ascii="Times New Roman" w:hAnsi="Times New Roman"/>
        </w:rPr>
        <w:t>as will be explained, s 12A maintains the common law rules of complicity to the extent that those rules attribute the intentional acts of a primary offender to a secondary offender.</w:t>
      </w:r>
    </w:p>
    <w:p w14:paraId="5D2957C8" w14:textId="77777777" w:rsidR="00484F88" w:rsidRPr="00B553C9" w:rsidRDefault="00484F88" w:rsidP="00B553C9">
      <w:pPr>
        <w:pStyle w:val="HeadingL2"/>
        <w:spacing w:after="260" w:line="280" w:lineRule="exact"/>
        <w:ind w:right="0"/>
        <w:jc w:val="both"/>
        <w:rPr>
          <w:rFonts w:ascii="Times New Roman" w:hAnsi="Times New Roman"/>
        </w:rPr>
      </w:pPr>
      <w:r w:rsidRPr="00B553C9">
        <w:rPr>
          <w:rFonts w:ascii="Times New Roman" w:hAnsi="Times New Roman"/>
        </w:rPr>
        <w:t xml:space="preserve">The operation of </w:t>
      </w:r>
      <w:r w:rsidRPr="00B553C9" w:rsidDel="00846849">
        <w:rPr>
          <w:rFonts w:ascii="Times New Roman" w:hAnsi="Times New Roman"/>
        </w:rPr>
        <w:t>s</w:t>
      </w:r>
      <w:r w:rsidRPr="00B553C9">
        <w:rPr>
          <w:rFonts w:ascii="Times New Roman" w:hAnsi="Times New Roman"/>
        </w:rPr>
        <w:t> 11 prior to the introduction of s 12A</w:t>
      </w:r>
    </w:p>
    <w:p w14:paraId="16198134" w14:textId="77777777" w:rsidR="00484F88" w:rsidRPr="00B553C9" w:rsidRDefault="00484F88" w:rsidP="00484F88">
      <w:pPr>
        <w:pStyle w:val="FixListStyle"/>
        <w:numPr>
          <w:ilvl w:val="0"/>
          <w:numId w:val="18"/>
        </w:numPr>
        <w:spacing w:after="260" w:line="280" w:lineRule="exact"/>
        <w:ind w:left="0" w:right="0" w:hanging="720"/>
        <w:jc w:val="both"/>
        <w:rPr>
          <w:rFonts w:ascii="Times New Roman" w:hAnsi="Times New Roman"/>
        </w:rPr>
      </w:pPr>
      <w:r w:rsidRPr="00B553C9">
        <w:rPr>
          <w:rFonts w:ascii="Times New Roman" w:hAnsi="Times New Roman"/>
        </w:rPr>
        <w:tab/>
        <w:t>Prior to the introduction of s 12A, the offence of murder in s 11 was a statutory offence with elements entirely based upon the common law</w:t>
      </w:r>
      <w:r w:rsidRPr="00B553C9">
        <w:rPr>
          <w:rStyle w:val="FootnoteReference"/>
          <w:rFonts w:ascii="Times New Roman" w:hAnsi="Times New Roman"/>
          <w:sz w:val="24"/>
        </w:rPr>
        <w:footnoteReference w:id="90"/>
      </w:r>
      <w:r w:rsidRPr="00B553C9">
        <w:rPr>
          <w:rFonts w:ascii="Times New Roman" w:hAnsi="Times New Roman"/>
        </w:rPr>
        <w:t>. There were relevantly three pathways</w:t>
      </w:r>
      <w:r w:rsidRPr="00B553C9" w:rsidDel="00692C62">
        <w:rPr>
          <w:rFonts w:ascii="Times New Roman" w:hAnsi="Times New Roman"/>
        </w:rPr>
        <w:t xml:space="preserve"> to proof of the offence of murder</w:t>
      </w:r>
      <w:r w:rsidRPr="00B553C9">
        <w:rPr>
          <w:rFonts w:ascii="Times New Roman" w:hAnsi="Times New Roman"/>
        </w:rPr>
        <w:t>.</w:t>
      </w:r>
    </w:p>
    <w:p w14:paraId="6B7E70CB" w14:textId="77777777" w:rsidR="00484F88" w:rsidRPr="00B553C9" w:rsidRDefault="00484F88" w:rsidP="00484F88">
      <w:pPr>
        <w:pStyle w:val="FixListStyle"/>
        <w:numPr>
          <w:ilvl w:val="0"/>
          <w:numId w:val="18"/>
        </w:numPr>
        <w:spacing w:after="260" w:line="280" w:lineRule="exact"/>
        <w:ind w:left="0" w:right="0" w:hanging="720"/>
        <w:jc w:val="both"/>
        <w:rPr>
          <w:rFonts w:ascii="Times New Roman" w:hAnsi="Times New Roman"/>
        </w:rPr>
      </w:pPr>
      <w:r w:rsidRPr="00B553C9">
        <w:rPr>
          <w:rFonts w:ascii="Times New Roman" w:hAnsi="Times New Roman"/>
        </w:rPr>
        <w:tab/>
        <w:t>First, murder could be proved under s 11 pursuant to the principles of conventional common law murder: that an accused person did an act or omitted to act, with an intention to cause death or grievous bodily harm to another, with the consequence of the death of that other person</w:t>
      </w:r>
      <w:r w:rsidRPr="00B553C9">
        <w:rPr>
          <w:rStyle w:val="FootnoteReference"/>
          <w:rFonts w:ascii="Times New Roman" w:hAnsi="Times New Roman"/>
          <w:sz w:val="24"/>
        </w:rPr>
        <w:footnoteReference w:id="91"/>
      </w:r>
      <w:r w:rsidRPr="00B553C9">
        <w:rPr>
          <w:rFonts w:ascii="Times New Roman" w:hAnsi="Times New Roman"/>
        </w:rPr>
        <w:t>. This is the most simple application of the principles of murder. In such cases, murder could also be established by attributing to another accused person the acts of murder if that other accused person was a party to a joint criminal enterprise, provided those acts of murder were within the scope of their agreement.</w:t>
      </w:r>
    </w:p>
    <w:p w14:paraId="6CBA11D5" w14:textId="77777777" w:rsidR="00484F88" w:rsidRPr="00B553C9" w:rsidRDefault="00484F88" w:rsidP="00484F88">
      <w:pPr>
        <w:pStyle w:val="FixListStyle"/>
        <w:numPr>
          <w:ilvl w:val="0"/>
          <w:numId w:val="18"/>
        </w:numPr>
        <w:spacing w:after="260" w:line="280" w:lineRule="exact"/>
        <w:ind w:left="0" w:right="0" w:hanging="720"/>
        <w:jc w:val="both"/>
        <w:rPr>
          <w:rFonts w:ascii="Times New Roman" w:hAnsi="Times New Roman"/>
        </w:rPr>
      </w:pPr>
      <w:r w:rsidRPr="00B553C9">
        <w:rPr>
          <w:rFonts w:ascii="Times New Roman" w:hAnsi="Times New Roman"/>
        </w:rPr>
        <w:tab/>
        <w:t xml:space="preserve">Secondly, murder under s 11 could be proved pursuant to the common law principles of constructive murder. Again, the common law principles of constructive murder could be combined with the rules for attribution of acts embodied in common law joint criminal enterprise. Those common law principles of attribution permitted attribution to the accused of the acts involved in the </w:t>
      </w:r>
      <w:r w:rsidRPr="00B553C9">
        <w:rPr>
          <w:rFonts w:ascii="Times New Roman" w:hAnsi="Times New Roman"/>
        </w:rPr>
        <w:lastRenderedPageBreak/>
        <w:t>foundational offence and the acts causing death provided that the accused was a party to an agreement to commit the foundational offence and that the acts fell within the scope of the agreement.</w:t>
      </w:r>
    </w:p>
    <w:p w14:paraId="394AFC69" w14:textId="77777777" w:rsidR="00484F88" w:rsidRPr="00B553C9" w:rsidRDefault="00484F88" w:rsidP="00484F88">
      <w:pPr>
        <w:pStyle w:val="FixListStyle"/>
        <w:numPr>
          <w:ilvl w:val="0"/>
          <w:numId w:val="18"/>
        </w:numPr>
        <w:spacing w:after="260" w:line="280" w:lineRule="exact"/>
        <w:ind w:left="0" w:right="0" w:hanging="720"/>
        <w:jc w:val="both"/>
        <w:rPr>
          <w:rFonts w:ascii="Times New Roman" w:hAnsi="Times New Roman"/>
        </w:rPr>
      </w:pPr>
      <w:r w:rsidRPr="00B553C9">
        <w:rPr>
          <w:rFonts w:ascii="Times New Roman" w:hAnsi="Times New Roman"/>
        </w:rPr>
        <w:tab/>
        <w:t>Thirdly, s 11 included the common law rule of extended joint criminal enterprise, which recognised liability for murder by attribution of the liability</w:t>
      </w:r>
      <w:r w:rsidRPr="00B553C9">
        <w:rPr>
          <w:rFonts w:ascii="Times New Roman" w:hAnsi="Times New Roman"/>
          <w:i/>
          <w:iCs/>
        </w:rPr>
        <w:t xml:space="preserve"> </w:t>
      </w:r>
      <w:r w:rsidRPr="00B553C9">
        <w:rPr>
          <w:rFonts w:ascii="Times New Roman" w:hAnsi="Times New Roman"/>
        </w:rPr>
        <w:t>of a principal offender to the accused, who was party to an agreement, even if the acts of the principal offender were beyond the scope of their agreement</w:t>
      </w:r>
      <w:r w:rsidRPr="00B553C9">
        <w:rPr>
          <w:rStyle w:val="FootnoteReference"/>
          <w:rFonts w:ascii="Times New Roman" w:hAnsi="Times New Roman"/>
          <w:sz w:val="24"/>
        </w:rPr>
        <w:footnoteReference w:id="92"/>
      </w:r>
      <w:r w:rsidRPr="00B553C9">
        <w:rPr>
          <w:rFonts w:ascii="Times New Roman" w:hAnsi="Times New Roman"/>
        </w:rPr>
        <w:t>. As explained above, extended joint criminal enterprise deems a person to be guilty of murder if the person was a party to a joint criminal enterprise with the principal offender and foresaw, but did not agree to, the possibility that another party to the agreement would kill or cause really serious bodily harm to another with murderous intent in the course of the criminal enterprise.</w:t>
      </w:r>
    </w:p>
    <w:p w14:paraId="0CC20E81" w14:textId="77777777" w:rsidR="00484F88" w:rsidRPr="00B553C9" w:rsidRDefault="00484F88" w:rsidP="00B553C9">
      <w:pPr>
        <w:pStyle w:val="HeadingL2"/>
        <w:spacing w:after="260" w:line="280" w:lineRule="exact"/>
        <w:ind w:right="0"/>
        <w:jc w:val="both"/>
        <w:rPr>
          <w:rFonts w:ascii="Times New Roman" w:hAnsi="Times New Roman"/>
        </w:rPr>
      </w:pPr>
      <w:r w:rsidRPr="00B553C9">
        <w:rPr>
          <w:rFonts w:ascii="Times New Roman" w:hAnsi="Times New Roman"/>
        </w:rPr>
        <w:t>The effect of s 12A</w:t>
      </w:r>
    </w:p>
    <w:p w14:paraId="0BB333D9" w14:textId="77777777" w:rsidR="00484F88" w:rsidRPr="00B553C9" w:rsidRDefault="00484F88" w:rsidP="00484F88">
      <w:pPr>
        <w:pStyle w:val="FixListStyle"/>
        <w:numPr>
          <w:ilvl w:val="0"/>
          <w:numId w:val="18"/>
        </w:numPr>
        <w:spacing w:after="260" w:line="280" w:lineRule="exact"/>
        <w:ind w:left="0" w:right="0" w:hanging="720"/>
        <w:jc w:val="both"/>
        <w:rPr>
          <w:rFonts w:ascii="Times New Roman" w:hAnsi="Times New Roman"/>
        </w:rPr>
      </w:pPr>
      <w:r w:rsidRPr="00B553C9">
        <w:rPr>
          <w:rFonts w:ascii="Times New Roman" w:hAnsi="Times New Roman"/>
        </w:rPr>
        <w:tab/>
        <w:t>In the second reading speech in the Legislative Council of the Bill that introduced s 12A, the Attorney</w:t>
      </w:r>
      <w:r w:rsidRPr="00B553C9">
        <w:rPr>
          <w:rFonts w:ascii="Times New Roman" w:hAnsi="Times New Roman"/>
        </w:rPr>
        <w:noBreakHyphen/>
        <w:t>General described the felony murder rule in orthodox terms as applying if a person "kills another by an act of violence committed in the course of commission of a felony involving violence"</w:t>
      </w:r>
      <w:r w:rsidRPr="00B553C9">
        <w:rPr>
          <w:rStyle w:val="FootnoteReference"/>
          <w:rFonts w:ascii="Times New Roman" w:hAnsi="Times New Roman"/>
          <w:sz w:val="24"/>
        </w:rPr>
        <w:footnoteReference w:id="93"/>
      </w:r>
      <w:r w:rsidRPr="00B553C9">
        <w:rPr>
          <w:rFonts w:ascii="Times New Roman" w:hAnsi="Times New Roman"/>
        </w:rPr>
        <w:t>. Although the Attorney</w:t>
      </w:r>
      <w:r w:rsidRPr="00B553C9">
        <w:rPr>
          <w:rFonts w:ascii="Times New Roman" w:hAnsi="Times New Roman"/>
        </w:rPr>
        <w:noBreakHyphen/>
        <w:t>General made no reference to s 12A incorporating the common law rules of attribution of acts causing death, the Attorney</w:t>
      </w:r>
      <w:r w:rsidRPr="00B553C9">
        <w:rPr>
          <w:rFonts w:ascii="Times New Roman" w:hAnsi="Times New Roman"/>
        </w:rPr>
        <w:noBreakHyphen/>
        <w:t>General said that the Bill had adopted the course of "retaining the [common law] rule to a large degree", adding later that "the scope of the statutory rule is somewhat different as it applies only to serious crimes".</w:t>
      </w:r>
    </w:p>
    <w:p w14:paraId="74D8BC28" w14:textId="77777777" w:rsidR="00484F88" w:rsidRPr="00B553C9" w:rsidRDefault="00484F88" w:rsidP="00484F88">
      <w:pPr>
        <w:pStyle w:val="FixListStyle"/>
        <w:numPr>
          <w:ilvl w:val="0"/>
          <w:numId w:val="18"/>
        </w:numPr>
        <w:spacing w:after="260" w:line="280" w:lineRule="exact"/>
        <w:ind w:left="0" w:right="0" w:hanging="720"/>
        <w:jc w:val="both"/>
        <w:rPr>
          <w:rFonts w:ascii="Times New Roman" w:hAnsi="Times New Roman"/>
        </w:rPr>
      </w:pPr>
      <w:r w:rsidRPr="00B553C9">
        <w:rPr>
          <w:rFonts w:ascii="Times New Roman" w:hAnsi="Times New Roman"/>
        </w:rPr>
        <w:tab/>
        <w:t>Section 12A did not create a separate offence. It is, instead, another pathway to establishing the offence of murder under s 11</w:t>
      </w:r>
      <w:r w:rsidRPr="00B553C9">
        <w:rPr>
          <w:rStyle w:val="FootnoteReference"/>
          <w:rFonts w:ascii="Times New Roman" w:hAnsi="Times New Roman"/>
          <w:sz w:val="24"/>
        </w:rPr>
        <w:footnoteReference w:id="94"/>
      </w:r>
      <w:r w:rsidRPr="00B553C9">
        <w:rPr>
          <w:rFonts w:ascii="Times New Roman" w:hAnsi="Times New Roman"/>
        </w:rPr>
        <w:t>. That is, s 12A adapted the common law "constructive murder" rule to provide a pathway to murder whereby an unlawful killing becomes murder if it results from an intentional act of violence whilst acting in the furtherance of a major indictable offence punishable by imprisonment for ten years or more.</w:t>
      </w:r>
    </w:p>
    <w:p w14:paraId="39B750CE" w14:textId="77777777" w:rsidR="00484F88" w:rsidRPr="00B553C9" w:rsidRDefault="00484F88" w:rsidP="00484F88">
      <w:pPr>
        <w:pStyle w:val="FixListStyle"/>
        <w:numPr>
          <w:ilvl w:val="0"/>
          <w:numId w:val="18"/>
        </w:numPr>
        <w:spacing w:after="260" w:line="280" w:lineRule="exact"/>
        <w:ind w:left="0" w:right="0" w:hanging="720"/>
        <w:jc w:val="both"/>
        <w:rPr>
          <w:rFonts w:ascii="Times New Roman" w:hAnsi="Times New Roman"/>
        </w:rPr>
      </w:pPr>
      <w:r w:rsidRPr="00B553C9">
        <w:rPr>
          <w:rFonts w:ascii="Times New Roman" w:hAnsi="Times New Roman"/>
        </w:rPr>
        <w:lastRenderedPageBreak/>
        <w:tab/>
        <w:t>In this respect, s 12A is unlike ss 11 and 12, which respectively created distinct statutory offences of murder and conspiring to commit, or soliciting the commission of, murder. Instead, s 12A effectively amended the scope of s 11</w:t>
      </w:r>
      <w:r w:rsidRPr="00B553C9" w:rsidDel="00A432B8">
        <w:rPr>
          <w:rFonts w:ascii="Times New Roman" w:hAnsi="Times New Roman"/>
        </w:rPr>
        <w:t>, where the elements were otherwise defined by common law,</w:t>
      </w:r>
      <w:r w:rsidRPr="00B553C9">
        <w:rPr>
          <w:rFonts w:ascii="Times New Roman" w:hAnsi="Times New Roman"/>
        </w:rPr>
        <w:t xml:space="preserve"> by altering the common law constructive murder rule that would otherwise have applied under s 11.</w:t>
      </w:r>
    </w:p>
    <w:p w14:paraId="48A3B57E" w14:textId="77777777" w:rsidR="00484F88" w:rsidRPr="00B553C9" w:rsidRDefault="00484F88" w:rsidP="00484F88">
      <w:pPr>
        <w:pStyle w:val="FixListStyle"/>
        <w:numPr>
          <w:ilvl w:val="0"/>
          <w:numId w:val="18"/>
        </w:numPr>
        <w:spacing w:after="260" w:line="280" w:lineRule="exact"/>
        <w:ind w:left="0" w:right="0" w:hanging="720"/>
        <w:jc w:val="both"/>
        <w:rPr>
          <w:rFonts w:ascii="Times New Roman" w:hAnsi="Times New Roman"/>
        </w:rPr>
      </w:pPr>
      <w:r w:rsidRPr="00B553C9">
        <w:rPr>
          <w:rFonts w:ascii="Times New Roman" w:hAnsi="Times New Roman"/>
        </w:rPr>
        <w:tab/>
        <w:t xml:space="preserve">The requirement in s 12A for "a person" to "commit" the "intentional act of violence" causing the death of another focuses upon the </w:t>
      </w:r>
      <w:r w:rsidRPr="00B553C9">
        <w:rPr>
          <w:rFonts w:ascii="Times New Roman" w:hAnsi="Times New Roman"/>
          <w:i/>
          <w:iCs/>
        </w:rPr>
        <w:t>person</w:t>
      </w:r>
      <w:r w:rsidRPr="00B553C9">
        <w:rPr>
          <w:rFonts w:ascii="Times New Roman" w:hAnsi="Times New Roman"/>
        </w:rPr>
        <w:t xml:space="preserve"> who commits the particular intentional act of violence. Section 12A thus recognises a pathway in s 11 to direct, or primary, liability for murder. Its focus is upon the conduct and state of mind of the primary offender, who committed the act and thus caused the death. But, consistently with the common law rules of attribution of acts, a person will "commit" an act under s 12A and be liable for constructive murder where </w:t>
      </w:r>
      <w:r w:rsidRPr="00B553C9" w:rsidDel="00921B6E">
        <w:rPr>
          <w:rFonts w:ascii="Times New Roman" w:hAnsi="Times New Roman"/>
        </w:rPr>
        <w:t xml:space="preserve">the </w:t>
      </w:r>
      <w:r w:rsidRPr="00B553C9">
        <w:rPr>
          <w:rFonts w:ascii="Times New Roman" w:hAnsi="Times New Roman"/>
        </w:rPr>
        <w:t>primary offender's intentional act of violence was within the scope of their agreement, so that the primary offender's act can be attributed to the accused</w:t>
      </w:r>
      <w:r w:rsidRPr="00B553C9">
        <w:rPr>
          <w:rStyle w:val="FootnoteReference"/>
          <w:rFonts w:ascii="Times New Roman" w:hAnsi="Times New Roman"/>
          <w:sz w:val="24"/>
        </w:rPr>
        <w:footnoteReference w:id="95"/>
      </w:r>
      <w:r w:rsidRPr="00B553C9">
        <w:rPr>
          <w:rFonts w:ascii="Times New Roman" w:hAnsi="Times New Roman"/>
        </w:rPr>
        <w:t>.</w:t>
      </w:r>
    </w:p>
    <w:p w14:paraId="4B7687A0" w14:textId="77777777" w:rsidR="00484F88" w:rsidRPr="00B553C9" w:rsidRDefault="00484F88" w:rsidP="00B553C9">
      <w:pPr>
        <w:pStyle w:val="HeadingL1"/>
        <w:spacing w:after="260" w:line="280" w:lineRule="exact"/>
        <w:ind w:right="0"/>
        <w:jc w:val="both"/>
        <w:rPr>
          <w:rFonts w:ascii="Times New Roman" w:hAnsi="Times New Roman"/>
        </w:rPr>
      </w:pPr>
      <w:r w:rsidRPr="00B553C9">
        <w:rPr>
          <w:rFonts w:ascii="Times New Roman" w:hAnsi="Times New Roman"/>
        </w:rPr>
        <w:t>The prosecution case</w:t>
      </w:r>
    </w:p>
    <w:p w14:paraId="1D3DF1B3" w14:textId="77777777" w:rsidR="00484F88" w:rsidRPr="00B553C9" w:rsidRDefault="00484F88" w:rsidP="00484F88">
      <w:pPr>
        <w:pStyle w:val="FixListStyle"/>
        <w:numPr>
          <w:ilvl w:val="0"/>
          <w:numId w:val="18"/>
        </w:numPr>
        <w:spacing w:after="260" w:line="280" w:lineRule="exact"/>
        <w:ind w:left="0" w:right="0" w:hanging="720"/>
        <w:jc w:val="both"/>
        <w:rPr>
          <w:rFonts w:ascii="Times New Roman" w:hAnsi="Times New Roman"/>
        </w:rPr>
      </w:pPr>
      <w:r w:rsidRPr="00B553C9">
        <w:rPr>
          <w:rFonts w:ascii="Times New Roman" w:hAnsi="Times New Roman"/>
        </w:rPr>
        <w:tab/>
        <w:t>To establish murder under s 11 of the CLC Act, the prosecution relied upon what</w:t>
      </w:r>
      <w:r w:rsidRPr="00B553C9" w:rsidDel="008E603D">
        <w:rPr>
          <w:rFonts w:ascii="Times New Roman" w:hAnsi="Times New Roman"/>
        </w:rPr>
        <w:t xml:space="preserve"> </w:t>
      </w:r>
      <w:r w:rsidRPr="00B553C9">
        <w:rPr>
          <w:rFonts w:ascii="Times New Roman" w:hAnsi="Times New Roman"/>
        </w:rPr>
        <w:t>were asserted to be the alternative pathways of "common law murder" by extended joint criminal enterprise and "constructive murder" (as defined by s 12A) combined with extended joint criminal enterprise. In opening, the prosecutor asserted that the foundational offences for constructive murder were either robbery</w:t>
      </w:r>
      <w:r w:rsidRPr="00B553C9">
        <w:rPr>
          <w:rStyle w:val="FootnoteReference"/>
          <w:rFonts w:ascii="Times New Roman" w:hAnsi="Times New Roman"/>
          <w:sz w:val="24"/>
        </w:rPr>
        <w:footnoteReference w:id="96"/>
      </w:r>
      <w:r w:rsidRPr="00B553C9">
        <w:rPr>
          <w:rFonts w:ascii="Times New Roman" w:hAnsi="Times New Roman"/>
        </w:rPr>
        <w:t xml:space="preserve"> or a criminal trespass offence of "Aggravated Serious Criminal Trespass in a Place of Residence with the Intent to Commit Theft"</w:t>
      </w:r>
      <w:r w:rsidRPr="00B553C9">
        <w:rPr>
          <w:rStyle w:val="FootnoteReference"/>
          <w:rFonts w:ascii="Times New Roman" w:hAnsi="Times New Roman"/>
          <w:sz w:val="24"/>
        </w:rPr>
        <w:footnoteReference w:id="97"/>
      </w:r>
      <w:r w:rsidRPr="00B553C9">
        <w:rPr>
          <w:rFonts w:ascii="Times New Roman" w:hAnsi="Times New Roman"/>
        </w:rPr>
        <w:t>. The trial judge required the prosecutor to elect between these offences as the foundational offence. The prosecutor elected to rely upon the criminal trespass offence. The trial judge rejected a submission by counsel for Mr Rigney that s 12A of the CLC Act required the foundational offence to include an act of violence as a necessary element.</w:t>
      </w:r>
    </w:p>
    <w:p w14:paraId="6C6E1B12" w14:textId="77777777" w:rsidR="00484F88" w:rsidRPr="00B553C9" w:rsidRDefault="00484F88" w:rsidP="00484F88">
      <w:pPr>
        <w:pStyle w:val="FixListStyle"/>
        <w:numPr>
          <w:ilvl w:val="0"/>
          <w:numId w:val="18"/>
        </w:numPr>
        <w:spacing w:after="260" w:line="280" w:lineRule="exact"/>
        <w:ind w:left="0" w:right="0" w:hanging="720"/>
        <w:jc w:val="both"/>
        <w:rPr>
          <w:rFonts w:ascii="Times New Roman" w:hAnsi="Times New Roman"/>
        </w:rPr>
      </w:pPr>
      <w:r w:rsidRPr="00B553C9">
        <w:rPr>
          <w:rFonts w:ascii="Times New Roman" w:hAnsi="Times New Roman"/>
        </w:rPr>
        <w:tab/>
        <w:t xml:space="preserve">As the trial judge directed the jury, the prosecution case, on either common law murder or constructive murder (as defined by s 12A of the CLC Act), had been based on extended joint criminal enterprise. The prosecution alleged a joint criminal enterprise between the appellants and a fifth man who was tried separately </w:t>
      </w:r>
      <w:r w:rsidRPr="00B553C9">
        <w:rPr>
          <w:rFonts w:ascii="Times New Roman" w:hAnsi="Times New Roman"/>
        </w:rPr>
        <w:lastRenderedPageBreak/>
        <w:t>(Mr Howell) to break into a residence and steal a substantial amount of cannabis. The residence was described as a "grow house".</w:t>
      </w:r>
    </w:p>
    <w:p w14:paraId="57116079" w14:textId="77777777" w:rsidR="00484F88" w:rsidRPr="00B553C9" w:rsidRDefault="00484F88" w:rsidP="00484F88">
      <w:pPr>
        <w:pStyle w:val="FixListStyle"/>
        <w:numPr>
          <w:ilvl w:val="0"/>
          <w:numId w:val="18"/>
        </w:numPr>
        <w:spacing w:after="260" w:line="280" w:lineRule="exact"/>
        <w:ind w:left="0" w:right="0" w:hanging="720"/>
        <w:jc w:val="both"/>
        <w:rPr>
          <w:rFonts w:ascii="Times New Roman" w:hAnsi="Times New Roman"/>
        </w:rPr>
      </w:pPr>
      <w:r w:rsidRPr="00B553C9">
        <w:rPr>
          <w:rFonts w:ascii="Times New Roman" w:hAnsi="Times New Roman"/>
        </w:rPr>
        <w:tab/>
        <w:t>The prosecution alleged that during the night of 8 October 2018, the five men travelled to an area close to the grow house in a white Holden Commodore bought by Mr Rigney and a blue Subaru owned by Mr Mitchell. They then left the cars and walked to the grow house, where they broke in with an intention to steal cannabis. Mr </w:t>
      </w:r>
      <w:proofErr w:type="spellStart"/>
      <w:r w:rsidRPr="00B553C9">
        <w:rPr>
          <w:rFonts w:ascii="Times New Roman" w:hAnsi="Times New Roman"/>
        </w:rPr>
        <w:t>Gjabri</w:t>
      </w:r>
      <w:proofErr w:type="spellEnd"/>
      <w:r w:rsidRPr="00B553C9">
        <w:rPr>
          <w:rFonts w:ascii="Times New Roman" w:hAnsi="Times New Roman"/>
        </w:rPr>
        <w:t xml:space="preserve"> was living there and guarding the cannabis. They violently assaulted Mr </w:t>
      </w:r>
      <w:proofErr w:type="spellStart"/>
      <w:r w:rsidRPr="00B553C9">
        <w:rPr>
          <w:rFonts w:ascii="Times New Roman" w:hAnsi="Times New Roman"/>
        </w:rPr>
        <w:t>Gjabri</w:t>
      </w:r>
      <w:proofErr w:type="spellEnd"/>
      <w:r w:rsidRPr="00B553C9">
        <w:rPr>
          <w:rFonts w:ascii="Times New Roman" w:hAnsi="Times New Roman"/>
        </w:rPr>
        <w:t xml:space="preserve"> with one or more blows to his head, which caused his death at least 35 minutes later. They then loaded the cannabis into Mr </w:t>
      </w:r>
      <w:proofErr w:type="spellStart"/>
      <w:r w:rsidRPr="00B553C9">
        <w:rPr>
          <w:rFonts w:ascii="Times New Roman" w:hAnsi="Times New Roman"/>
        </w:rPr>
        <w:t>Gjabri's</w:t>
      </w:r>
      <w:proofErr w:type="spellEnd"/>
      <w:r w:rsidRPr="00B553C9">
        <w:rPr>
          <w:rFonts w:ascii="Times New Roman" w:hAnsi="Times New Roman"/>
        </w:rPr>
        <w:t xml:space="preserve"> car and drove it to where the other two cars had been parked earlier. All the cars then travelled to a location where the cannabis was then transferred from Mr </w:t>
      </w:r>
      <w:proofErr w:type="spellStart"/>
      <w:r w:rsidRPr="00B553C9">
        <w:rPr>
          <w:rFonts w:ascii="Times New Roman" w:hAnsi="Times New Roman"/>
        </w:rPr>
        <w:t>Gjabri's</w:t>
      </w:r>
      <w:proofErr w:type="spellEnd"/>
      <w:r w:rsidRPr="00B553C9">
        <w:rPr>
          <w:rFonts w:ascii="Times New Roman" w:hAnsi="Times New Roman"/>
        </w:rPr>
        <w:t xml:space="preserve"> car to Mr Mitchell's blue Subaru.</w:t>
      </w:r>
    </w:p>
    <w:p w14:paraId="50AEE131" w14:textId="77777777" w:rsidR="00484F88" w:rsidRPr="00B553C9" w:rsidRDefault="00484F88" w:rsidP="00484F88">
      <w:pPr>
        <w:pStyle w:val="FixListStyle"/>
        <w:numPr>
          <w:ilvl w:val="0"/>
          <w:numId w:val="18"/>
        </w:numPr>
        <w:spacing w:after="260" w:line="280" w:lineRule="exact"/>
        <w:ind w:left="0" w:right="0" w:hanging="720"/>
        <w:jc w:val="both"/>
        <w:rPr>
          <w:rFonts w:ascii="Times New Roman" w:hAnsi="Times New Roman"/>
        </w:rPr>
      </w:pPr>
      <w:r w:rsidRPr="00B553C9">
        <w:rPr>
          <w:rFonts w:ascii="Times New Roman" w:hAnsi="Times New Roman"/>
        </w:rPr>
        <w:tab/>
        <w:t>The prosecution had a very strong circumstantial case establishing a joint criminal enterprise. Earlier on 8 October 2018, Mr Rigney had bought a white Holden Commodore and, at his request, had it registered in the name of an acquaintance. CCTV footage showed a car matching that description driving near the grow house and parking in a b</w:t>
      </w:r>
      <w:r w:rsidRPr="00B553C9" w:rsidDel="00C27E3F">
        <w:rPr>
          <w:rFonts w:ascii="Times New Roman" w:hAnsi="Times New Roman"/>
        </w:rPr>
        <w:t>ack</w:t>
      </w:r>
      <w:r w:rsidRPr="00B553C9">
        <w:rPr>
          <w:rFonts w:ascii="Times New Roman" w:hAnsi="Times New Roman"/>
        </w:rPr>
        <w:t>street, just before the murder. CCTV footage also recorded a car, matching the description of the blue Subaru owned by Mr Mitchell, parking in the same street.</w:t>
      </w:r>
    </w:p>
    <w:p w14:paraId="6001E978" w14:textId="77777777" w:rsidR="00484F88" w:rsidRPr="00B553C9" w:rsidRDefault="00484F88" w:rsidP="00484F88">
      <w:pPr>
        <w:pStyle w:val="FixListStyle"/>
        <w:numPr>
          <w:ilvl w:val="0"/>
          <w:numId w:val="18"/>
        </w:numPr>
        <w:spacing w:after="260" w:line="280" w:lineRule="exact"/>
        <w:ind w:left="0" w:right="0" w:hanging="720"/>
        <w:jc w:val="both"/>
        <w:rPr>
          <w:rFonts w:ascii="Times New Roman" w:hAnsi="Times New Roman"/>
        </w:rPr>
      </w:pPr>
      <w:r w:rsidRPr="00B553C9">
        <w:rPr>
          <w:rFonts w:ascii="Times New Roman" w:hAnsi="Times New Roman"/>
        </w:rPr>
        <w:tab/>
        <w:t>Shortly before the murder, telephone tower data</w:t>
      </w:r>
      <w:r w:rsidRPr="00B553C9" w:rsidDel="005E5EF8">
        <w:rPr>
          <w:rFonts w:ascii="Times New Roman" w:hAnsi="Times New Roman"/>
        </w:rPr>
        <w:t xml:space="preserve"> </w:t>
      </w:r>
      <w:r w:rsidRPr="00B553C9">
        <w:rPr>
          <w:rFonts w:ascii="Times New Roman" w:hAnsi="Times New Roman"/>
        </w:rPr>
        <w:t>indicated the mobile phones of each of the appellants, except Mr </w:t>
      </w:r>
      <w:proofErr w:type="spellStart"/>
      <w:r w:rsidRPr="00B553C9" w:rsidDel="00230792">
        <w:rPr>
          <w:rFonts w:ascii="Times New Roman" w:hAnsi="Times New Roman"/>
        </w:rPr>
        <w:t>Tenhoopen</w:t>
      </w:r>
      <w:proofErr w:type="spellEnd"/>
      <w:r w:rsidRPr="00B553C9">
        <w:rPr>
          <w:rFonts w:ascii="Times New Roman" w:hAnsi="Times New Roman"/>
        </w:rPr>
        <w:t>, converged upon an area near the grow house. At that time, five persons were seen on CCTV footage walking together in the direction of the grow house. One was carrying a long object that was described by the trial judge as resembling a stick or possibly a bat. In this Court, senior counsel for the respondent described it as "a long item, linear, that glistened", and the prosecution in opening referred to it as a "long reflective object". The five people shown on the CCTV footage walked past a building site containing bricks, and police later found similar bricks or parts of bricks at the crime scene.</w:t>
      </w:r>
    </w:p>
    <w:p w14:paraId="4466842C" w14:textId="77777777" w:rsidR="00484F88" w:rsidRPr="00B553C9" w:rsidRDefault="00484F88" w:rsidP="00484F88">
      <w:pPr>
        <w:pStyle w:val="FixListStyle"/>
        <w:numPr>
          <w:ilvl w:val="0"/>
          <w:numId w:val="18"/>
        </w:numPr>
        <w:spacing w:after="260" w:line="280" w:lineRule="exact"/>
        <w:ind w:left="0" w:right="0" w:hanging="720"/>
        <w:jc w:val="both"/>
        <w:rPr>
          <w:rFonts w:ascii="Times New Roman" w:hAnsi="Times New Roman"/>
        </w:rPr>
      </w:pPr>
      <w:r w:rsidRPr="00B553C9">
        <w:rPr>
          <w:rFonts w:ascii="Times New Roman" w:hAnsi="Times New Roman"/>
        </w:rPr>
        <w:tab/>
        <w:t xml:space="preserve">Two of the men in the CCTV footage appeared to be smoking and a light was seen to fall to the ground consistent with one of the men dropping a cigarette. A search of that location revealed a cigarette butt on which DNA was found with an extremely strong probability of a match to Mr Carver. A swab taken from a knife found in the laundry at the grow house </w:t>
      </w:r>
      <w:r w:rsidRPr="00B553C9" w:rsidDel="00A13201">
        <w:rPr>
          <w:rFonts w:ascii="Times New Roman" w:hAnsi="Times New Roman"/>
        </w:rPr>
        <w:t xml:space="preserve">contained </w:t>
      </w:r>
      <w:r w:rsidRPr="00B553C9">
        <w:rPr>
          <w:rFonts w:ascii="Times New Roman" w:hAnsi="Times New Roman"/>
        </w:rPr>
        <w:t>DNA with an extremely strong probability of a match to Mr Carver. A pair of secateurs found in the grow house contained DNA with a</w:t>
      </w:r>
      <w:r w:rsidRPr="00B553C9" w:rsidDel="0007038A">
        <w:rPr>
          <w:rFonts w:ascii="Times New Roman" w:hAnsi="Times New Roman"/>
        </w:rPr>
        <w:t xml:space="preserve"> </w:t>
      </w:r>
      <w:r w:rsidRPr="00B553C9">
        <w:rPr>
          <w:rFonts w:ascii="Times New Roman" w:hAnsi="Times New Roman"/>
        </w:rPr>
        <w:t xml:space="preserve">very strong probability of a match to Mr Mitchell. Swabs taken from the steering wheel of Mr </w:t>
      </w:r>
      <w:proofErr w:type="spellStart"/>
      <w:r w:rsidRPr="00B553C9">
        <w:rPr>
          <w:rFonts w:ascii="Times New Roman" w:hAnsi="Times New Roman"/>
        </w:rPr>
        <w:t>Gjabri's</w:t>
      </w:r>
      <w:proofErr w:type="spellEnd"/>
      <w:r w:rsidRPr="00B553C9">
        <w:rPr>
          <w:rFonts w:ascii="Times New Roman" w:hAnsi="Times New Roman"/>
        </w:rPr>
        <w:t xml:space="preserve"> car contained DNA with an extremely strong probability of a match to Mr Rigney. And Mr Rigney's partner found Mr </w:t>
      </w:r>
      <w:proofErr w:type="spellStart"/>
      <w:r w:rsidRPr="00B553C9">
        <w:rPr>
          <w:rFonts w:ascii="Times New Roman" w:hAnsi="Times New Roman"/>
        </w:rPr>
        <w:t>Gjabri's</w:t>
      </w:r>
      <w:proofErr w:type="spellEnd"/>
      <w:r w:rsidRPr="00B553C9">
        <w:rPr>
          <w:rFonts w:ascii="Times New Roman" w:hAnsi="Times New Roman"/>
        </w:rPr>
        <w:t xml:space="preserve"> phone</w:t>
      </w:r>
      <w:r w:rsidRPr="00B553C9" w:rsidDel="0037245D">
        <w:rPr>
          <w:rFonts w:ascii="Times New Roman" w:hAnsi="Times New Roman"/>
        </w:rPr>
        <w:t xml:space="preserve"> </w:t>
      </w:r>
      <w:r w:rsidRPr="00B553C9">
        <w:rPr>
          <w:rFonts w:ascii="Times New Roman" w:hAnsi="Times New Roman"/>
        </w:rPr>
        <w:t xml:space="preserve">inside the white Holden Commodore </w:t>
      </w:r>
      <w:r w:rsidRPr="00B553C9" w:rsidDel="0037245D">
        <w:rPr>
          <w:rFonts w:ascii="Times New Roman" w:hAnsi="Times New Roman"/>
        </w:rPr>
        <w:t>bought by Mr Rigney</w:t>
      </w:r>
      <w:r w:rsidRPr="00B553C9">
        <w:rPr>
          <w:rFonts w:ascii="Times New Roman" w:hAnsi="Times New Roman"/>
        </w:rPr>
        <w:t>.</w:t>
      </w:r>
    </w:p>
    <w:p w14:paraId="2BE9752F" w14:textId="77777777" w:rsidR="00484F88" w:rsidRPr="00B553C9" w:rsidRDefault="00484F88" w:rsidP="00484F88">
      <w:pPr>
        <w:pStyle w:val="FixListStyle"/>
        <w:numPr>
          <w:ilvl w:val="0"/>
          <w:numId w:val="18"/>
        </w:numPr>
        <w:spacing w:after="260" w:line="280" w:lineRule="exact"/>
        <w:ind w:left="0" w:right="0" w:hanging="720"/>
        <w:jc w:val="both"/>
        <w:rPr>
          <w:rFonts w:ascii="Times New Roman" w:hAnsi="Times New Roman"/>
        </w:rPr>
      </w:pPr>
      <w:r w:rsidRPr="00B553C9">
        <w:rPr>
          <w:rFonts w:ascii="Times New Roman" w:hAnsi="Times New Roman"/>
        </w:rPr>
        <w:lastRenderedPageBreak/>
        <w:tab/>
        <w:t xml:space="preserve">The police searched Mr </w:t>
      </w:r>
      <w:proofErr w:type="spellStart"/>
      <w:r w:rsidRPr="00B553C9">
        <w:rPr>
          <w:rFonts w:ascii="Times New Roman" w:hAnsi="Times New Roman"/>
        </w:rPr>
        <w:t>Gjabri's</w:t>
      </w:r>
      <w:proofErr w:type="spellEnd"/>
      <w:r w:rsidRPr="00B553C9">
        <w:rPr>
          <w:rFonts w:ascii="Times New Roman" w:hAnsi="Times New Roman"/>
        </w:rPr>
        <w:t xml:space="preserve"> car and found numerous remnants of cannabis in it. Stolen cannabis was found by the police which contained pieces of yellow tape that were indistinguishable on scientific analysis from yellow tape found by the police in cannabis located at Mr Carver's house. The police found a receipt at the grow house for a box of "Raven" nitrile gloves. The police later found a box of Raven nitrile gloves at Mr Carver's house</w:t>
      </w:r>
      <w:r w:rsidRPr="00B553C9" w:rsidDel="0039613E">
        <w:rPr>
          <w:rFonts w:ascii="Times New Roman" w:hAnsi="Times New Roman"/>
        </w:rPr>
        <w:t xml:space="preserve">. </w:t>
      </w:r>
      <w:r w:rsidRPr="00B553C9">
        <w:rPr>
          <w:rFonts w:ascii="Times New Roman" w:hAnsi="Times New Roman"/>
        </w:rPr>
        <w:t xml:space="preserve">DNA on the </w:t>
      </w:r>
      <w:r w:rsidRPr="00B553C9" w:rsidDel="0039613E">
        <w:rPr>
          <w:rFonts w:ascii="Times New Roman" w:hAnsi="Times New Roman"/>
        </w:rPr>
        <w:t xml:space="preserve">box </w:t>
      </w:r>
      <w:r w:rsidRPr="00B553C9">
        <w:rPr>
          <w:rFonts w:ascii="Times New Roman" w:hAnsi="Times New Roman"/>
        </w:rPr>
        <w:t>was found to have</w:t>
      </w:r>
      <w:r w:rsidRPr="00B553C9" w:rsidDel="0039613E">
        <w:rPr>
          <w:rFonts w:ascii="Times New Roman" w:hAnsi="Times New Roman"/>
        </w:rPr>
        <w:t xml:space="preserve"> an </w:t>
      </w:r>
      <w:r w:rsidRPr="00B553C9">
        <w:rPr>
          <w:rFonts w:ascii="Times New Roman" w:hAnsi="Times New Roman"/>
        </w:rPr>
        <w:t xml:space="preserve">extremely strong probability </w:t>
      </w:r>
      <w:r w:rsidRPr="00B553C9" w:rsidDel="0039613E">
        <w:rPr>
          <w:rFonts w:ascii="Times New Roman" w:hAnsi="Times New Roman"/>
        </w:rPr>
        <w:t xml:space="preserve">of a match </w:t>
      </w:r>
      <w:r w:rsidRPr="00B553C9">
        <w:rPr>
          <w:rFonts w:ascii="Times New Roman" w:hAnsi="Times New Roman"/>
        </w:rPr>
        <w:t>to Mr Carver, and fingerprint</w:t>
      </w:r>
      <w:r w:rsidRPr="00B553C9" w:rsidDel="00D26BB3">
        <w:rPr>
          <w:rFonts w:ascii="Times New Roman" w:hAnsi="Times New Roman"/>
        </w:rPr>
        <w:t>s</w:t>
      </w:r>
      <w:r w:rsidRPr="00B553C9">
        <w:rPr>
          <w:rFonts w:ascii="Times New Roman" w:hAnsi="Times New Roman"/>
        </w:rPr>
        <w:t xml:space="preserve"> on the box were matched to Mr Carver and Mr </w:t>
      </w:r>
      <w:proofErr w:type="spellStart"/>
      <w:r w:rsidRPr="00B553C9">
        <w:rPr>
          <w:rFonts w:ascii="Times New Roman" w:hAnsi="Times New Roman"/>
        </w:rPr>
        <w:t>Tenhoopen</w:t>
      </w:r>
      <w:proofErr w:type="spellEnd"/>
      <w:r w:rsidRPr="00B553C9">
        <w:rPr>
          <w:rFonts w:ascii="Times New Roman" w:hAnsi="Times New Roman"/>
        </w:rPr>
        <w:t>.</w:t>
      </w:r>
    </w:p>
    <w:p w14:paraId="364166D0" w14:textId="77777777" w:rsidR="00484F88" w:rsidRPr="00B553C9" w:rsidRDefault="00484F88" w:rsidP="00484F88">
      <w:pPr>
        <w:pStyle w:val="FixListStyle"/>
        <w:numPr>
          <w:ilvl w:val="0"/>
          <w:numId w:val="18"/>
        </w:numPr>
        <w:spacing w:after="260" w:line="280" w:lineRule="exact"/>
        <w:ind w:left="0" w:right="0" w:hanging="720"/>
        <w:jc w:val="both"/>
        <w:rPr>
          <w:rFonts w:ascii="Times New Roman" w:hAnsi="Times New Roman"/>
          <w:b/>
          <w:bCs/>
        </w:rPr>
      </w:pPr>
      <w:r w:rsidRPr="00B553C9">
        <w:rPr>
          <w:rFonts w:ascii="Times New Roman" w:hAnsi="Times New Roman"/>
        </w:rPr>
        <w:tab/>
        <w:t>Three witnesses (Ms Carson, Ms McCormack and Mr Watts) gave evidence that Mr </w:t>
      </w:r>
      <w:proofErr w:type="spellStart"/>
      <w:r w:rsidRPr="00B553C9">
        <w:rPr>
          <w:rFonts w:ascii="Times New Roman" w:hAnsi="Times New Roman"/>
        </w:rPr>
        <w:t>Tenhoopen</w:t>
      </w:r>
      <w:proofErr w:type="spellEnd"/>
      <w:r w:rsidRPr="00B553C9">
        <w:rPr>
          <w:rFonts w:ascii="Times New Roman" w:hAnsi="Times New Roman"/>
        </w:rPr>
        <w:t xml:space="preserve"> had made admissions that he was at the grow house with the other appellants and had taken part in the theft of the cannabis.</w:t>
      </w:r>
      <w:r w:rsidRPr="00B553C9">
        <w:rPr>
          <w:rFonts w:ascii="Times New Roman" w:hAnsi="Times New Roman"/>
          <w:b/>
          <w:bCs/>
        </w:rPr>
        <w:t xml:space="preserve"> </w:t>
      </w:r>
      <w:r w:rsidRPr="00B553C9">
        <w:rPr>
          <w:rFonts w:ascii="Times New Roman" w:hAnsi="Times New Roman"/>
        </w:rPr>
        <w:t>Mr Mitchell gave evidence in his defence in which he made admissions including that he was driving in the vicinity of the grow house at the relevant time with Mr Carver, Mr </w:t>
      </w:r>
      <w:proofErr w:type="spellStart"/>
      <w:r w:rsidRPr="00B553C9">
        <w:rPr>
          <w:rFonts w:ascii="Times New Roman" w:hAnsi="Times New Roman"/>
        </w:rPr>
        <w:t>Tenhoopen</w:t>
      </w:r>
      <w:proofErr w:type="spellEnd"/>
      <w:r w:rsidRPr="00B553C9">
        <w:rPr>
          <w:rFonts w:ascii="Times New Roman" w:hAnsi="Times New Roman"/>
        </w:rPr>
        <w:t xml:space="preserve"> and Mr Howell, that he was told to stop, and that the others then left the vehicle </w:t>
      </w:r>
      <w:r w:rsidRPr="00B553C9" w:rsidDel="00D241BD">
        <w:rPr>
          <w:rFonts w:ascii="Times New Roman" w:hAnsi="Times New Roman"/>
        </w:rPr>
        <w:t>for some indeterminate time</w:t>
      </w:r>
      <w:r w:rsidRPr="00B553C9">
        <w:rPr>
          <w:rFonts w:ascii="Times New Roman" w:hAnsi="Times New Roman"/>
        </w:rPr>
        <w:t>.</w:t>
      </w:r>
      <w:r w:rsidRPr="00B553C9" w:rsidDel="00D241BD">
        <w:rPr>
          <w:rFonts w:ascii="Times New Roman" w:hAnsi="Times New Roman"/>
        </w:rPr>
        <w:t xml:space="preserve"> </w:t>
      </w:r>
      <w:r w:rsidRPr="00B553C9">
        <w:rPr>
          <w:rFonts w:ascii="Times New Roman" w:hAnsi="Times New Roman"/>
        </w:rPr>
        <w:t>When Mr </w:t>
      </w:r>
      <w:proofErr w:type="spellStart"/>
      <w:r w:rsidRPr="00B553C9">
        <w:rPr>
          <w:rFonts w:ascii="Times New Roman" w:hAnsi="Times New Roman"/>
        </w:rPr>
        <w:t>Tenhoopen</w:t>
      </w:r>
      <w:proofErr w:type="spellEnd"/>
      <w:r w:rsidRPr="00B553C9">
        <w:rPr>
          <w:rFonts w:ascii="Times New Roman" w:hAnsi="Times New Roman"/>
        </w:rPr>
        <w:t xml:space="preserve"> and Mr Howell returned to the car, he followed the car driven by Mr Carver</w:t>
      </w:r>
      <w:r w:rsidRPr="00B553C9">
        <w:rPr>
          <w:rFonts w:ascii="Times New Roman" w:hAnsi="Times New Roman"/>
          <w:bCs/>
        </w:rPr>
        <w:t>. The cars</w:t>
      </w:r>
      <w:r w:rsidRPr="00B553C9">
        <w:rPr>
          <w:rFonts w:ascii="Times New Roman" w:hAnsi="Times New Roman"/>
        </w:rPr>
        <w:t xml:space="preserve"> later stopped in a residential street where Mr </w:t>
      </w:r>
      <w:proofErr w:type="spellStart"/>
      <w:r w:rsidRPr="00B553C9">
        <w:rPr>
          <w:rFonts w:ascii="Times New Roman" w:hAnsi="Times New Roman"/>
        </w:rPr>
        <w:t>Tenhoopen</w:t>
      </w:r>
      <w:proofErr w:type="spellEnd"/>
      <w:r w:rsidRPr="00B553C9">
        <w:rPr>
          <w:rFonts w:ascii="Times New Roman" w:hAnsi="Times New Roman"/>
        </w:rPr>
        <w:t xml:space="preserve"> and Mr Howell put cannabis in the boot of Mr Mitchell's car. </w:t>
      </w:r>
      <w:r w:rsidRPr="00B553C9">
        <w:rPr>
          <w:rFonts w:ascii="Times New Roman" w:hAnsi="Times New Roman"/>
          <w:bCs/>
        </w:rPr>
        <w:t>Mr Mitchell said that he</w:t>
      </w:r>
      <w:r w:rsidRPr="00B553C9">
        <w:rPr>
          <w:rFonts w:ascii="Times New Roman" w:hAnsi="Times New Roman"/>
        </w:rPr>
        <w:t xml:space="preserve"> then drove to Mr Carver's house, helped to unload the cannabis, and left.</w:t>
      </w:r>
    </w:p>
    <w:p w14:paraId="06121222" w14:textId="77777777" w:rsidR="00484F88" w:rsidRPr="00B553C9" w:rsidRDefault="00484F88" w:rsidP="00484F88">
      <w:pPr>
        <w:pStyle w:val="FixListStyle"/>
        <w:numPr>
          <w:ilvl w:val="0"/>
          <w:numId w:val="18"/>
        </w:numPr>
        <w:spacing w:after="260" w:line="280" w:lineRule="exact"/>
        <w:ind w:left="0" w:right="0" w:hanging="720"/>
        <w:jc w:val="both"/>
        <w:rPr>
          <w:rFonts w:ascii="Times New Roman" w:hAnsi="Times New Roman"/>
          <w:b/>
          <w:bCs/>
        </w:rPr>
      </w:pPr>
      <w:r w:rsidRPr="00B553C9">
        <w:rPr>
          <w:rFonts w:ascii="Times New Roman" w:hAnsi="Times New Roman"/>
        </w:rPr>
        <w:tab/>
        <w:t>Mr Carver's partner gave evidence that Mr Howell had told her that he thought he had killed a man and he proposed to leave town. When she spoke to Mr Carver about that conversation, she said that Mr Carver appeared shocked, scared, and worried, and that he cried. She overheard a subsequent conversation between Mr Carver and Mr Howell where Mr Howell told Mr Carver that he, Mr Howell, might have killed a man and spoke about breaking into a house.</w:t>
      </w:r>
    </w:p>
    <w:p w14:paraId="7E4E4A49" w14:textId="77777777" w:rsidR="00484F88" w:rsidRPr="00B553C9" w:rsidRDefault="00484F88" w:rsidP="00B553C9">
      <w:pPr>
        <w:pStyle w:val="HeadingL1"/>
        <w:spacing w:after="260" w:line="280" w:lineRule="exact"/>
        <w:ind w:right="0"/>
        <w:jc w:val="both"/>
        <w:rPr>
          <w:rFonts w:ascii="Times New Roman" w:hAnsi="Times New Roman"/>
        </w:rPr>
      </w:pPr>
      <w:r w:rsidRPr="00B553C9">
        <w:rPr>
          <w:rFonts w:ascii="Times New Roman" w:hAnsi="Times New Roman"/>
        </w:rPr>
        <w:t>The trial judge's directions and the convictions</w:t>
      </w:r>
    </w:p>
    <w:p w14:paraId="1C84CB9B" w14:textId="77777777" w:rsidR="00484F88" w:rsidRPr="00B553C9" w:rsidRDefault="00484F88" w:rsidP="00484F88">
      <w:pPr>
        <w:pStyle w:val="FixListStyle"/>
        <w:numPr>
          <w:ilvl w:val="0"/>
          <w:numId w:val="18"/>
        </w:numPr>
        <w:spacing w:after="260" w:line="280" w:lineRule="exact"/>
        <w:ind w:left="0" w:right="0" w:hanging="720"/>
        <w:jc w:val="both"/>
        <w:rPr>
          <w:rFonts w:ascii="Times New Roman" w:hAnsi="Times New Roman"/>
        </w:rPr>
      </w:pPr>
      <w:r w:rsidRPr="00B553C9">
        <w:rPr>
          <w:rFonts w:ascii="Times New Roman" w:hAnsi="Times New Roman"/>
        </w:rPr>
        <w:tab/>
        <w:t>The trial judge directed the jury in relation to both murder and an alternative offence of manslaughter. These appeals are concerned only with the murder offence. The trial judge correctly described the prosecution alternatives as "two different pathways" to the offence of murder and separated those pathways by descriptions of them as common law murder and "constructive murder". The trial judge directed the jury, consistently with the prosecution case, that both pathways relied upon principles of extended joint criminal enterprise.</w:t>
      </w:r>
    </w:p>
    <w:p w14:paraId="2D83C12B" w14:textId="77777777" w:rsidR="00484F88" w:rsidRPr="00B553C9" w:rsidRDefault="00484F88" w:rsidP="00484F88">
      <w:pPr>
        <w:pStyle w:val="FixListStyle"/>
        <w:numPr>
          <w:ilvl w:val="0"/>
          <w:numId w:val="18"/>
        </w:numPr>
        <w:spacing w:after="260" w:line="280" w:lineRule="exact"/>
        <w:ind w:left="0" w:right="0" w:hanging="720"/>
        <w:jc w:val="both"/>
        <w:rPr>
          <w:rFonts w:ascii="Times New Roman" w:hAnsi="Times New Roman"/>
        </w:rPr>
      </w:pPr>
      <w:r w:rsidRPr="00B553C9">
        <w:rPr>
          <w:rFonts w:ascii="Times New Roman" w:hAnsi="Times New Roman"/>
        </w:rPr>
        <w:tab/>
        <w:t xml:space="preserve">As to the pathway of common law murder by extended joint criminal enterprise, the trial judge correctly directed the jury, on repeated occasions, of the requirements for a primary offender to have committed murder: that the </w:t>
      </w:r>
      <w:r w:rsidRPr="00B553C9">
        <w:rPr>
          <w:rFonts w:ascii="Times New Roman" w:hAnsi="Times New Roman"/>
          <w:noProof/>
        </w:rPr>
        <w:t>person by a voluntary and deliberate act or acts unlawfully caused the death of another person and did so with the intention either to kill or to cause grievous bodily harm (really serious bodily harm)</w:t>
      </w:r>
      <w:r w:rsidRPr="00B553C9">
        <w:rPr>
          <w:rFonts w:ascii="Times New Roman" w:hAnsi="Times New Roman"/>
        </w:rPr>
        <w:t xml:space="preserve">. The trial judge directed the jury that a conclusion of murder </w:t>
      </w:r>
      <w:r w:rsidRPr="00B553C9">
        <w:rPr>
          <w:rFonts w:ascii="Times New Roman" w:hAnsi="Times New Roman"/>
        </w:rPr>
        <w:lastRenderedPageBreak/>
        <w:t>by a primary offender (whomever the person might have been) could extend to any of the accused by extended joint criminal enterprise. The issue for the jury was said to be:</w:t>
      </w:r>
    </w:p>
    <w:p w14:paraId="32964984" w14:textId="77777777" w:rsidR="00484F88" w:rsidRDefault="00484F88" w:rsidP="00B553C9">
      <w:pPr>
        <w:pStyle w:val="LeftrightafterHC"/>
        <w:spacing w:before="0" w:after="260" w:line="280" w:lineRule="exact"/>
        <w:ind w:right="0"/>
        <w:jc w:val="both"/>
        <w:rPr>
          <w:rFonts w:ascii="Times New Roman" w:hAnsi="Times New Roman"/>
          <w:noProof/>
        </w:rPr>
      </w:pPr>
      <w:r w:rsidRPr="00B553C9">
        <w:rPr>
          <w:rFonts w:ascii="Times New Roman" w:hAnsi="Times New Roman"/>
          <w:noProof/>
        </w:rPr>
        <w:t xml:space="preserve">"[D]id the accused contemplate that in carrying out the joint enterprise to break into the house and steal the cannabis that one or more of the accused, if they came across someone in the house, might inflict violence on that person and inflict violence accompanied with that specific intention of causing death, trying to kill Mr Gjabri, or causing him really serious bodily harm." </w:t>
      </w:r>
    </w:p>
    <w:p w14:paraId="4A8F1DF3" w14:textId="77777777" w:rsidR="00484F88" w:rsidRPr="00B553C9" w:rsidRDefault="00484F88" w:rsidP="00B553C9">
      <w:pPr>
        <w:pStyle w:val="NormalBody"/>
        <w:spacing w:after="260" w:line="280" w:lineRule="exact"/>
        <w:ind w:right="0"/>
        <w:jc w:val="both"/>
        <w:rPr>
          <w:rFonts w:ascii="Times New Roman" w:hAnsi="Times New Roman"/>
        </w:rPr>
      </w:pPr>
      <w:r w:rsidRPr="00B553C9">
        <w:rPr>
          <w:rFonts w:ascii="Times New Roman" w:hAnsi="Times New Roman"/>
        </w:rPr>
        <w:t xml:space="preserve">A direction to similar effect was repeated numerous times but at no time did the trial judge direct that, in addition to foresight </w:t>
      </w:r>
      <w:r w:rsidRPr="00B553C9" w:rsidDel="00AE68AA">
        <w:rPr>
          <w:rFonts w:ascii="Times New Roman" w:hAnsi="Times New Roman"/>
        </w:rPr>
        <w:t xml:space="preserve">of the possibility </w:t>
      </w:r>
      <w:r w:rsidRPr="00B553C9">
        <w:rPr>
          <w:rFonts w:ascii="Times New Roman" w:hAnsi="Times New Roman"/>
        </w:rPr>
        <w:t xml:space="preserve">of violence with an intention to cause death or really serious bodily harm, the accused must also contemplate the </w:t>
      </w:r>
      <w:r w:rsidRPr="00B553C9">
        <w:rPr>
          <w:rFonts w:ascii="Times New Roman" w:hAnsi="Times New Roman"/>
          <w:i/>
          <w:iCs/>
        </w:rPr>
        <w:t xml:space="preserve">result </w:t>
      </w:r>
      <w:r w:rsidRPr="00B553C9">
        <w:rPr>
          <w:rFonts w:ascii="Times New Roman" w:hAnsi="Times New Roman"/>
        </w:rPr>
        <w:t>of death or really serious bodily harm.</w:t>
      </w:r>
    </w:p>
    <w:p w14:paraId="6F7CDAAD" w14:textId="77777777" w:rsidR="00484F88" w:rsidRPr="00B553C9" w:rsidRDefault="00484F88" w:rsidP="00484F88">
      <w:pPr>
        <w:pStyle w:val="FixListStyle"/>
        <w:numPr>
          <w:ilvl w:val="0"/>
          <w:numId w:val="18"/>
        </w:numPr>
        <w:spacing w:after="260" w:line="280" w:lineRule="exact"/>
        <w:ind w:left="0" w:right="0" w:hanging="720"/>
        <w:jc w:val="both"/>
        <w:rPr>
          <w:rFonts w:ascii="Times New Roman" w:hAnsi="Times New Roman"/>
        </w:rPr>
      </w:pPr>
      <w:r w:rsidRPr="00B553C9">
        <w:rPr>
          <w:rFonts w:ascii="Times New Roman" w:hAnsi="Times New Roman"/>
        </w:rPr>
        <w:tab/>
        <w:t>As to the pathway of</w:t>
      </w:r>
      <w:r w:rsidRPr="00B553C9" w:rsidDel="008D28B8">
        <w:rPr>
          <w:rFonts w:ascii="Times New Roman" w:hAnsi="Times New Roman"/>
        </w:rPr>
        <w:t xml:space="preserve"> </w:t>
      </w:r>
      <w:r w:rsidRPr="00B553C9">
        <w:rPr>
          <w:rFonts w:ascii="Times New Roman" w:hAnsi="Times New Roman"/>
        </w:rPr>
        <w:t xml:space="preserve">constructive murder combined with extended joint criminal enterprise, the trial judge again correctly directed the jury of the elements of constructive murder for the primary offender: </w:t>
      </w:r>
      <w:r w:rsidRPr="00B553C9">
        <w:rPr>
          <w:rFonts w:ascii="Times New Roman" w:hAnsi="Times New Roman"/>
          <w:noProof/>
        </w:rPr>
        <w:t>an intentional act of violence</w:t>
      </w:r>
      <w:r w:rsidRPr="00B553C9">
        <w:rPr>
          <w:rFonts w:ascii="Times New Roman" w:hAnsi="Times New Roman"/>
        </w:rPr>
        <w:t>,</w:t>
      </w:r>
      <w:r w:rsidRPr="00B553C9">
        <w:rPr>
          <w:rFonts w:ascii="Times New Roman" w:hAnsi="Times New Roman"/>
          <w:noProof/>
        </w:rPr>
        <w:t xml:space="preserve"> committed in the course or furtherance of the alleged criminal trespass offence</w:t>
      </w:r>
      <w:r w:rsidRPr="00B553C9">
        <w:rPr>
          <w:rFonts w:ascii="Times New Roman" w:hAnsi="Times New Roman"/>
        </w:rPr>
        <w:t>,</w:t>
      </w:r>
      <w:r w:rsidRPr="00B553C9">
        <w:rPr>
          <w:rFonts w:ascii="Times New Roman" w:hAnsi="Times New Roman"/>
          <w:noProof/>
        </w:rPr>
        <w:t xml:space="preserve"> and </w:t>
      </w:r>
      <w:r w:rsidRPr="00B553C9">
        <w:rPr>
          <w:rFonts w:ascii="Times New Roman" w:hAnsi="Times New Roman"/>
        </w:rPr>
        <w:t>which</w:t>
      </w:r>
      <w:r w:rsidRPr="00B553C9">
        <w:rPr>
          <w:rFonts w:ascii="Times New Roman" w:hAnsi="Times New Roman"/>
          <w:noProof/>
        </w:rPr>
        <w:t xml:space="preserve"> caused the death of Mr Gjabri.</w:t>
      </w:r>
      <w:r w:rsidRPr="00B553C9">
        <w:rPr>
          <w:rFonts w:ascii="Times New Roman" w:hAnsi="Times New Roman"/>
        </w:rPr>
        <w:t xml:space="preserve"> The trial judge also directed the jury that a conclusion of murder by this route extended the responsibility of the primary offender to any of the accused by what the trial judge described as "extended joint enterprise in relation to the constructive murder". The question for the jury was said to be:</w:t>
      </w:r>
    </w:p>
    <w:p w14:paraId="23DE122A" w14:textId="77777777" w:rsidR="00484F88" w:rsidRDefault="00484F88" w:rsidP="00B553C9">
      <w:pPr>
        <w:pStyle w:val="LeftrightafterHC"/>
        <w:spacing w:before="0" w:after="260" w:line="280" w:lineRule="exact"/>
        <w:ind w:right="0"/>
        <w:jc w:val="both"/>
        <w:rPr>
          <w:rFonts w:ascii="Times New Roman" w:hAnsi="Times New Roman"/>
        </w:rPr>
      </w:pPr>
      <w:r w:rsidRPr="00B553C9">
        <w:rPr>
          <w:rFonts w:ascii="Times New Roman" w:hAnsi="Times New Roman"/>
        </w:rPr>
        <w:t>"[D]id the accused contemplate that in carrying out the joint enterprise to break into the house and steal the cannabis, if they came across someone in the house, might inflict an intentional act of violence on that person? ... [T]he prosecution do not have to prove that the accused or all of them contemplated that someone, one of their number, might inflict such violence, violence with the intent to cause really serious bodily harm or the intent to kill. For constructive murder, what they have to contemplate is that one of the people in the joint enterprise might inflict an intentional act of violence on Mr </w:t>
      </w:r>
      <w:proofErr w:type="spellStart"/>
      <w:r w:rsidRPr="00B553C9">
        <w:rPr>
          <w:rFonts w:ascii="Times New Roman" w:hAnsi="Times New Roman"/>
        </w:rPr>
        <w:t>Gjabri</w:t>
      </w:r>
      <w:proofErr w:type="spellEnd"/>
      <w:r w:rsidRPr="00B553C9">
        <w:rPr>
          <w:rFonts w:ascii="Times New Roman" w:hAnsi="Times New Roman"/>
        </w:rPr>
        <w:t>."</w:t>
      </w:r>
    </w:p>
    <w:p w14:paraId="196B9DB7" w14:textId="77777777" w:rsidR="00484F88" w:rsidRPr="00B553C9" w:rsidRDefault="00484F88" w:rsidP="00484F88">
      <w:pPr>
        <w:pStyle w:val="FixListStyle"/>
        <w:numPr>
          <w:ilvl w:val="0"/>
          <w:numId w:val="18"/>
        </w:numPr>
        <w:spacing w:after="260" w:line="280" w:lineRule="exact"/>
        <w:ind w:left="0" w:right="0" w:hanging="720"/>
        <w:jc w:val="both"/>
        <w:rPr>
          <w:rFonts w:ascii="Times New Roman" w:hAnsi="Times New Roman"/>
        </w:rPr>
      </w:pPr>
      <w:r w:rsidRPr="00B553C9">
        <w:rPr>
          <w:rFonts w:ascii="Times New Roman" w:hAnsi="Times New Roman"/>
        </w:rPr>
        <w:tab/>
        <w:t>The trial judge directed the jury several times in the context of constructive murder that the intentional act of violence contemplated by the accused could be any intentional act of violence at all. The jury were directed that the accused would only have to contemplate that one of their co</w:t>
      </w:r>
      <w:r w:rsidRPr="00B553C9">
        <w:rPr>
          <w:rFonts w:ascii="Times New Roman" w:hAnsi="Times New Roman"/>
        </w:rPr>
        <w:noBreakHyphen/>
        <w:t xml:space="preserve">accused "might strike Mr </w:t>
      </w:r>
      <w:proofErr w:type="spellStart"/>
      <w:r w:rsidRPr="00B553C9">
        <w:rPr>
          <w:rFonts w:ascii="Times New Roman" w:hAnsi="Times New Roman"/>
        </w:rPr>
        <w:t>Gjabri</w:t>
      </w:r>
      <w:proofErr w:type="spellEnd"/>
      <w:r w:rsidRPr="00B553C9">
        <w:rPr>
          <w:rFonts w:ascii="Times New Roman" w:hAnsi="Times New Roman"/>
        </w:rPr>
        <w:t xml:space="preserve"> for example on the back of the leg". The trial judge repeated this example twice when explaining that contemplation of any intentional act of violence would suffice.</w:t>
      </w:r>
    </w:p>
    <w:p w14:paraId="508E41C2" w14:textId="77777777" w:rsidR="00484F88" w:rsidRPr="00B553C9" w:rsidRDefault="00484F88" w:rsidP="00484F88">
      <w:pPr>
        <w:pStyle w:val="FixListStyle"/>
        <w:numPr>
          <w:ilvl w:val="0"/>
          <w:numId w:val="18"/>
        </w:numPr>
        <w:spacing w:after="260" w:line="280" w:lineRule="exact"/>
        <w:ind w:left="0" w:right="0" w:hanging="720"/>
        <w:jc w:val="both"/>
        <w:rPr>
          <w:rFonts w:ascii="Times New Roman" w:hAnsi="Times New Roman"/>
        </w:rPr>
      </w:pPr>
      <w:r w:rsidRPr="00B553C9">
        <w:rPr>
          <w:rFonts w:ascii="Times New Roman" w:hAnsi="Times New Roman"/>
        </w:rPr>
        <w:lastRenderedPageBreak/>
        <w:tab/>
        <w:t>The jury returned verdicts of guilty for each of the appellants of the offence of murder under s 11 of the CLC Act. The jury were not asked to, and did not, take the unusual course of answering a special question as to the pathway upon which the conviction for murder had been reached. This has the effect that an error in relation to the direction concerning either pathway to guilt for murder requires that the convictions be set aside entirely.</w:t>
      </w:r>
    </w:p>
    <w:p w14:paraId="7C7D85DE" w14:textId="77777777" w:rsidR="00484F88" w:rsidRPr="00B553C9" w:rsidRDefault="00484F88" w:rsidP="00B553C9">
      <w:pPr>
        <w:pStyle w:val="HeadingL1"/>
        <w:spacing w:after="260" w:line="280" w:lineRule="exact"/>
        <w:ind w:right="0"/>
        <w:jc w:val="both"/>
        <w:rPr>
          <w:rFonts w:ascii="Times New Roman" w:hAnsi="Times New Roman"/>
        </w:rPr>
      </w:pPr>
      <w:r w:rsidRPr="00B553C9">
        <w:rPr>
          <w:rFonts w:ascii="Times New Roman" w:hAnsi="Times New Roman"/>
        </w:rPr>
        <w:t>The decision of the Court of Appeal</w:t>
      </w:r>
    </w:p>
    <w:p w14:paraId="7685800B" w14:textId="77777777" w:rsidR="00484F88" w:rsidRPr="00B553C9" w:rsidRDefault="00484F88" w:rsidP="00484F88">
      <w:pPr>
        <w:pStyle w:val="FixListStyle"/>
        <w:numPr>
          <w:ilvl w:val="0"/>
          <w:numId w:val="18"/>
        </w:numPr>
        <w:spacing w:after="260" w:line="280" w:lineRule="exact"/>
        <w:ind w:left="0" w:right="0" w:hanging="720"/>
        <w:jc w:val="both"/>
        <w:rPr>
          <w:rFonts w:ascii="Times New Roman" w:hAnsi="Times New Roman"/>
        </w:rPr>
      </w:pPr>
      <w:r w:rsidRPr="00B553C9">
        <w:rPr>
          <w:rFonts w:ascii="Times New Roman" w:hAnsi="Times New Roman"/>
        </w:rPr>
        <w:tab/>
        <w:t>Each of the appellants before this Court appealed to the Court of Appeal on a number of grounds, all of which were dismissed. Two grounds are relevant to these appeals. In broad effect, they were as follows. The first was that the trial judge erred by directing the jury that an accused person could be guilty of murder by reference to s 12A of the CLC Act when the foundational crime did not involve the commission of an intentional act of violence. The second was that the trial judge erred by directing the jury in relation to constructive murder under s 12A by failing to direct the jury that an accused person must have contemplated the death of the victim arising from an intentional act of violence.</w:t>
      </w:r>
    </w:p>
    <w:p w14:paraId="7A8E237F" w14:textId="77777777" w:rsidR="00484F88" w:rsidRPr="00B553C9" w:rsidRDefault="00484F88" w:rsidP="00484F88">
      <w:pPr>
        <w:pStyle w:val="FixListStyle"/>
        <w:numPr>
          <w:ilvl w:val="0"/>
          <w:numId w:val="18"/>
        </w:numPr>
        <w:spacing w:after="260" w:line="280" w:lineRule="exact"/>
        <w:ind w:left="0" w:right="0" w:hanging="720"/>
        <w:jc w:val="both"/>
        <w:rPr>
          <w:rFonts w:ascii="Times New Roman" w:hAnsi="Times New Roman"/>
        </w:rPr>
      </w:pPr>
      <w:r w:rsidRPr="00B553C9">
        <w:rPr>
          <w:rFonts w:ascii="Times New Roman" w:hAnsi="Times New Roman"/>
        </w:rPr>
        <w:tab/>
        <w:t>Peek A-JA, with whom Kelly P and Doyle JA agreed, rejected the first ground on the basis that the constructive murder rule at common law did not require that the foundational offence contain an element of violence, and s 12A had not introduced such a requirement</w:t>
      </w:r>
      <w:r w:rsidRPr="00B553C9">
        <w:rPr>
          <w:rStyle w:val="FootnoteReference"/>
          <w:rFonts w:ascii="Times New Roman" w:hAnsi="Times New Roman"/>
          <w:sz w:val="24"/>
        </w:rPr>
        <w:footnoteReference w:id="98"/>
      </w:r>
      <w:r w:rsidRPr="00B553C9">
        <w:rPr>
          <w:rFonts w:ascii="Times New Roman" w:hAnsi="Times New Roman"/>
        </w:rPr>
        <w:t>. Doyle JA, in additional reasons, observed that while the common law constructive murder rule required that the commission of the felony involved an act that was violent or dangerous, the felony itself did not need to include a violent or dangerous act</w:t>
      </w:r>
      <w:r w:rsidRPr="00B553C9">
        <w:rPr>
          <w:rStyle w:val="FootnoteReference"/>
          <w:rFonts w:ascii="Times New Roman" w:hAnsi="Times New Roman"/>
          <w:sz w:val="24"/>
        </w:rPr>
        <w:footnoteReference w:id="99"/>
      </w:r>
      <w:r w:rsidRPr="00B553C9">
        <w:rPr>
          <w:rFonts w:ascii="Times New Roman" w:hAnsi="Times New Roman"/>
        </w:rPr>
        <w:t>. Peek A-JA rejected the second ground on the basis that the contemplation of the death of another was not necessary for constructive murder</w:t>
      </w:r>
      <w:r w:rsidRPr="00B553C9">
        <w:rPr>
          <w:rStyle w:val="FootnoteReference"/>
          <w:rFonts w:ascii="Times New Roman" w:hAnsi="Times New Roman"/>
          <w:sz w:val="24"/>
        </w:rPr>
        <w:footnoteReference w:id="100"/>
      </w:r>
      <w:r w:rsidRPr="00B553C9">
        <w:rPr>
          <w:rFonts w:ascii="Times New Roman" w:hAnsi="Times New Roman"/>
        </w:rPr>
        <w:t>.</w:t>
      </w:r>
    </w:p>
    <w:p w14:paraId="39F4C8EE" w14:textId="77777777" w:rsidR="00484F88" w:rsidRPr="00B553C9" w:rsidRDefault="00484F88" w:rsidP="00B553C9">
      <w:pPr>
        <w:pStyle w:val="HeadingL1"/>
        <w:spacing w:after="260" w:line="280" w:lineRule="exact"/>
        <w:ind w:right="0"/>
        <w:jc w:val="both"/>
        <w:rPr>
          <w:rFonts w:ascii="Times New Roman" w:hAnsi="Times New Roman"/>
        </w:rPr>
      </w:pPr>
      <w:r w:rsidRPr="00B553C9">
        <w:rPr>
          <w:rFonts w:ascii="Times New Roman" w:hAnsi="Times New Roman"/>
        </w:rPr>
        <w:t>The grounds of appeal in this Court</w:t>
      </w:r>
    </w:p>
    <w:p w14:paraId="7ECD2DCC" w14:textId="77777777" w:rsidR="00484F88" w:rsidRPr="00B553C9" w:rsidRDefault="00484F88" w:rsidP="00484F88">
      <w:pPr>
        <w:pStyle w:val="FixListStyle"/>
        <w:numPr>
          <w:ilvl w:val="0"/>
          <w:numId w:val="18"/>
        </w:numPr>
        <w:spacing w:after="260" w:line="280" w:lineRule="exact"/>
        <w:ind w:left="0" w:right="0" w:hanging="720"/>
        <w:jc w:val="both"/>
        <w:rPr>
          <w:rFonts w:ascii="Times New Roman" w:hAnsi="Times New Roman"/>
        </w:rPr>
      </w:pPr>
      <w:r w:rsidRPr="00B553C9">
        <w:rPr>
          <w:rFonts w:ascii="Times New Roman" w:hAnsi="Times New Roman"/>
        </w:rPr>
        <w:tab/>
        <w:t xml:space="preserve">One difficulty with the manner in which the appeals were presented in the Court of Appeal was that the grounds of appeal followed the approach of the trial judge, which combined two different doctrines in the second pathway to murder in s 11: extended joint criminal enterprise and constructive murder. In this Court, with a grant of special leave to appeal, the appellants relied upon a ground of appeal to the effect that the principles of extended joint criminal enterprise could </w:t>
      </w:r>
      <w:r w:rsidRPr="00B553C9">
        <w:rPr>
          <w:rFonts w:ascii="Times New Roman" w:hAnsi="Times New Roman"/>
        </w:rPr>
        <w:lastRenderedPageBreak/>
        <w:t>not be combined with those of constructive murder to create a new pathway to proof of murder. This ground is necessarily anterior to the issue considered by the Court of Appeal concerning the elements of proof of murder based on s 12A and extended joint criminal enterprise.</w:t>
      </w:r>
    </w:p>
    <w:p w14:paraId="2062D50F" w14:textId="77777777" w:rsidR="00484F88" w:rsidRPr="00B553C9" w:rsidRDefault="00484F88" w:rsidP="00484F88">
      <w:pPr>
        <w:pStyle w:val="FixListStyle"/>
        <w:numPr>
          <w:ilvl w:val="0"/>
          <w:numId w:val="18"/>
        </w:numPr>
        <w:spacing w:after="260" w:line="280" w:lineRule="exact"/>
        <w:ind w:left="0" w:right="0" w:hanging="720"/>
        <w:jc w:val="both"/>
        <w:rPr>
          <w:rFonts w:ascii="Times New Roman" w:hAnsi="Times New Roman"/>
        </w:rPr>
      </w:pPr>
      <w:r w:rsidRPr="00B553C9">
        <w:rPr>
          <w:rFonts w:ascii="Times New Roman" w:hAnsi="Times New Roman"/>
        </w:rPr>
        <w:tab/>
        <w:t xml:space="preserve">As an alternative to the first ground, the appellants (with some variation in formulation) asserted that if the doctrines of extended joint criminal enterprise and constructive murder could be combined, then the trial judge should have directed that </w:t>
      </w:r>
      <w:r w:rsidRPr="00B553C9" w:rsidDel="005D5C85">
        <w:rPr>
          <w:rFonts w:ascii="Times New Roman" w:hAnsi="Times New Roman"/>
        </w:rPr>
        <w:t xml:space="preserve">the </w:t>
      </w:r>
      <w:r w:rsidRPr="00B553C9">
        <w:rPr>
          <w:rFonts w:ascii="Times New Roman" w:hAnsi="Times New Roman"/>
        </w:rPr>
        <w:t>accused must foresee that a co</w:t>
      </w:r>
      <w:r w:rsidRPr="00B553C9">
        <w:rPr>
          <w:rFonts w:ascii="Times New Roman" w:hAnsi="Times New Roman"/>
        </w:rPr>
        <w:noBreakHyphen/>
        <w:t>venturer might, in the course or furtherance of the foundational offence, commit an intentional act of violence that might cause, or was capable of causing, death or really serious bodily harm.</w:t>
      </w:r>
    </w:p>
    <w:p w14:paraId="0A94744C" w14:textId="77777777" w:rsidR="00484F88" w:rsidRPr="00B553C9" w:rsidRDefault="00484F88" w:rsidP="00484F88">
      <w:pPr>
        <w:pStyle w:val="FixListStyle"/>
        <w:numPr>
          <w:ilvl w:val="0"/>
          <w:numId w:val="18"/>
        </w:numPr>
        <w:spacing w:after="260" w:line="280" w:lineRule="exact"/>
        <w:ind w:left="0" w:right="0" w:hanging="720"/>
        <w:jc w:val="both"/>
        <w:rPr>
          <w:rFonts w:ascii="Times New Roman" w:hAnsi="Times New Roman"/>
        </w:rPr>
      </w:pPr>
      <w:r w:rsidRPr="00B553C9">
        <w:rPr>
          <w:rFonts w:ascii="Times New Roman" w:hAnsi="Times New Roman"/>
        </w:rPr>
        <w:tab/>
        <w:t>The appellants also relied upon a separate ground of appeal that the Court of Appeal erred by</w:t>
      </w:r>
      <w:r w:rsidRPr="00B553C9" w:rsidDel="00794DB9">
        <w:rPr>
          <w:rFonts w:ascii="Times New Roman" w:hAnsi="Times New Roman"/>
        </w:rPr>
        <w:t xml:space="preserve"> </w:t>
      </w:r>
      <w:r w:rsidRPr="00B553C9">
        <w:rPr>
          <w:rFonts w:ascii="Times New Roman" w:hAnsi="Times New Roman"/>
        </w:rPr>
        <w:t xml:space="preserve">holding that common law murder based on extended joint criminal enterprise did not require the prosecution to prove foresight </w:t>
      </w:r>
      <w:r w:rsidRPr="00B553C9" w:rsidDel="00AE68AA">
        <w:rPr>
          <w:rFonts w:ascii="Times New Roman" w:hAnsi="Times New Roman"/>
        </w:rPr>
        <w:t xml:space="preserve">of the possibility </w:t>
      </w:r>
      <w:r w:rsidRPr="00B553C9">
        <w:rPr>
          <w:rFonts w:ascii="Times New Roman" w:hAnsi="Times New Roman"/>
        </w:rPr>
        <w:t>of an act causing death or at least an act capable of causing death or really serious bodily harm.</w:t>
      </w:r>
    </w:p>
    <w:p w14:paraId="7C3E44E6" w14:textId="77777777" w:rsidR="00484F88" w:rsidRPr="00B553C9" w:rsidRDefault="00484F88" w:rsidP="00484F88">
      <w:pPr>
        <w:pStyle w:val="FixListStyle"/>
        <w:numPr>
          <w:ilvl w:val="0"/>
          <w:numId w:val="18"/>
        </w:numPr>
        <w:spacing w:after="260" w:line="280" w:lineRule="exact"/>
        <w:ind w:left="0" w:right="0" w:hanging="720"/>
        <w:jc w:val="both"/>
        <w:rPr>
          <w:rFonts w:ascii="Times New Roman" w:hAnsi="Times New Roman"/>
        </w:rPr>
      </w:pPr>
      <w:r w:rsidRPr="00B553C9">
        <w:rPr>
          <w:rFonts w:ascii="Times New Roman" w:hAnsi="Times New Roman"/>
        </w:rPr>
        <w:tab/>
        <w:t>Mr Mitchell had an additional ground of appeal that the Court of Appeal erred in considering that it was common knowledge in Australian society that a grow house would likely be guarded and that violence might be necessary to overcome the guard. But during oral argument, senior counsel for Mr Mitchell accepted that this ground was only a "minor point". The ground</w:t>
      </w:r>
      <w:r w:rsidRPr="00B553C9" w:rsidDel="00266BDB">
        <w:rPr>
          <w:rFonts w:ascii="Times New Roman" w:hAnsi="Times New Roman"/>
        </w:rPr>
        <w:t xml:space="preserve"> </w:t>
      </w:r>
      <w:r w:rsidRPr="00B553C9">
        <w:rPr>
          <w:rFonts w:ascii="Times New Roman" w:hAnsi="Times New Roman"/>
        </w:rPr>
        <w:t>does not separately establish any legal error and does not assist in resolving the issues of interpretation which are central to these appeals.</w:t>
      </w:r>
    </w:p>
    <w:p w14:paraId="7BE61BB8" w14:textId="77777777" w:rsidR="00484F88" w:rsidRPr="00B553C9" w:rsidRDefault="00484F88" w:rsidP="00B553C9">
      <w:pPr>
        <w:pStyle w:val="HeadingL1"/>
        <w:spacing w:after="260" w:line="280" w:lineRule="exact"/>
        <w:ind w:right="0"/>
        <w:jc w:val="both"/>
        <w:rPr>
          <w:rFonts w:ascii="Times New Roman" w:hAnsi="Times New Roman"/>
        </w:rPr>
      </w:pPr>
      <w:r w:rsidRPr="00B553C9">
        <w:rPr>
          <w:rFonts w:ascii="Times New Roman" w:hAnsi="Times New Roman"/>
        </w:rPr>
        <w:t>The first ground of appeal: s 12A does not permit the combination of constructive murder and extended joint criminal enterprise</w:t>
      </w:r>
    </w:p>
    <w:p w14:paraId="45C25EE6" w14:textId="77777777" w:rsidR="00484F88" w:rsidRPr="00B553C9" w:rsidRDefault="00484F88" w:rsidP="00484F88">
      <w:pPr>
        <w:pStyle w:val="FixListStyle"/>
        <w:numPr>
          <w:ilvl w:val="0"/>
          <w:numId w:val="18"/>
        </w:numPr>
        <w:spacing w:after="260" w:line="280" w:lineRule="exact"/>
        <w:ind w:left="0" w:right="0" w:hanging="720"/>
        <w:jc w:val="both"/>
        <w:rPr>
          <w:rFonts w:ascii="Times New Roman" w:hAnsi="Times New Roman"/>
        </w:rPr>
      </w:pPr>
      <w:r w:rsidRPr="00B553C9">
        <w:rPr>
          <w:rFonts w:ascii="Times New Roman" w:hAnsi="Times New Roman"/>
        </w:rPr>
        <w:tab/>
        <w:t>The effect of the directions of the trial judge was that in addition to the three relevant pathways to murder in s 11 that are set out above</w:t>
      </w:r>
      <w:r w:rsidRPr="00B553C9">
        <w:rPr>
          <w:rStyle w:val="FootnoteReference"/>
          <w:rFonts w:ascii="Times New Roman" w:hAnsi="Times New Roman"/>
          <w:sz w:val="24"/>
        </w:rPr>
        <w:footnoteReference w:id="101"/>
      </w:r>
      <w:r w:rsidRPr="00B553C9">
        <w:rPr>
          <w:rFonts w:ascii="Times New Roman" w:hAnsi="Times New Roman"/>
        </w:rPr>
        <w:t>, a new, fourth pathway was created:</w:t>
      </w:r>
      <w:r w:rsidRPr="00B553C9" w:rsidDel="007E3B0B">
        <w:rPr>
          <w:rFonts w:ascii="Times New Roman" w:hAnsi="Times New Roman"/>
        </w:rPr>
        <w:t xml:space="preserve"> </w:t>
      </w:r>
      <w:r w:rsidRPr="00B553C9">
        <w:rPr>
          <w:rFonts w:ascii="Times New Roman" w:hAnsi="Times New Roman"/>
        </w:rPr>
        <w:t xml:space="preserve">constructive, constructive murder. This new pathway to murder would dispense with the requirement for constructive murder that the accused commit an act, or be attributed an act, causing the death of another. It would replace that requirement for an act, actual or attributed, with the mere foresight </w:t>
      </w:r>
      <w:r w:rsidRPr="00B553C9" w:rsidDel="00DF7E7E">
        <w:rPr>
          <w:rFonts w:ascii="Times New Roman" w:hAnsi="Times New Roman"/>
        </w:rPr>
        <w:t xml:space="preserve">of the possibility </w:t>
      </w:r>
      <w:r w:rsidRPr="00B553C9">
        <w:rPr>
          <w:rFonts w:ascii="Times New Roman" w:hAnsi="Times New Roman"/>
        </w:rPr>
        <w:t xml:space="preserve">of </w:t>
      </w:r>
      <w:r w:rsidRPr="00B553C9" w:rsidDel="001C143F">
        <w:rPr>
          <w:rFonts w:ascii="Times New Roman" w:hAnsi="Times New Roman"/>
        </w:rPr>
        <w:t xml:space="preserve">an </w:t>
      </w:r>
      <w:r w:rsidRPr="00B553C9">
        <w:rPr>
          <w:rFonts w:ascii="Times New Roman" w:hAnsi="Times New Roman"/>
        </w:rPr>
        <w:t>intentional act of violence.</w:t>
      </w:r>
    </w:p>
    <w:p w14:paraId="4CBF7D8A" w14:textId="77777777" w:rsidR="00484F88" w:rsidRPr="00B553C9" w:rsidRDefault="00484F88" w:rsidP="00484F88">
      <w:pPr>
        <w:pStyle w:val="FixListStyle"/>
        <w:numPr>
          <w:ilvl w:val="0"/>
          <w:numId w:val="18"/>
        </w:numPr>
        <w:spacing w:after="260" w:line="280" w:lineRule="exact"/>
        <w:ind w:left="0" w:right="0" w:hanging="720"/>
        <w:jc w:val="both"/>
        <w:rPr>
          <w:rFonts w:ascii="Times New Roman" w:hAnsi="Times New Roman"/>
        </w:rPr>
      </w:pPr>
      <w:r w:rsidRPr="00B553C9">
        <w:rPr>
          <w:rFonts w:ascii="Times New Roman" w:hAnsi="Times New Roman"/>
        </w:rPr>
        <w:tab/>
        <w:t xml:space="preserve">There is nothing in either the text, context, or purpose of s 12A to suggest that it was intended to create a new pathway to murder that combined the deeming element of constructive murder with the deeming elements of extended joint criminal enterprise. Moreover, at the time of introduction of s 12A on 1 January </w:t>
      </w:r>
      <w:r w:rsidRPr="00B553C9">
        <w:rPr>
          <w:rFonts w:ascii="Times New Roman" w:hAnsi="Times New Roman"/>
        </w:rPr>
        <w:lastRenderedPageBreak/>
        <w:t>1995, the doctrine of extended joint criminal enterprise was not recognised in Australia</w:t>
      </w:r>
      <w:r w:rsidRPr="00B553C9">
        <w:rPr>
          <w:rStyle w:val="FootnoteReference"/>
          <w:rFonts w:ascii="Times New Roman" w:hAnsi="Times New Roman"/>
          <w:sz w:val="24"/>
        </w:rPr>
        <w:footnoteReference w:id="102"/>
      </w:r>
      <w:r w:rsidRPr="00B553C9">
        <w:rPr>
          <w:rFonts w:ascii="Times New Roman" w:hAnsi="Times New Roman"/>
        </w:rPr>
        <w:t>.</w:t>
      </w:r>
    </w:p>
    <w:p w14:paraId="693FE4C2" w14:textId="77777777" w:rsidR="00484F88" w:rsidRPr="00B553C9" w:rsidRDefault="00484F88" w:rsidP="00484F88">
      <w:pPr>
        <w:pStyle w:val="FixListStyle"/>
        <w:numPr>
          <w:ilvl w:val="0"/>
          <w:numId w:val="18"/>
        </w:numPr>
        <w:spacing w:after="260" w:line="280" w:lineRule="exact"/>
        <w:ind w:left="0" w:right="0" w:hanging="720"/>
        <w:jc w:val="both"/>
        <w:rPr>
          <w:rFonts w:ascii="Times New Roman" w:hAnsi="Times New Roman"/>
        </w:rPr>
      </w:pPr>
      <w:r w:rsidRPr="00B553C9">
        <w:rPr>
          <w:rFonts w:ascii="Times New Roman" w:hAnsi="Times New Roman"/>
        </w:rPr>
        <w:tab/>
        <w:t xml:space="preserve">As to the text of s 12A, because extended joint criminal enterprise is a form of derivative (not primary) liability, the primary offender's </w:t>
      </w:r>
      <w:r w:rsidRPr="00B553C9">
        <w:rPr>
          <w:rFonts w:ascii="Times New Roman" w:hAnsi="Times New Roman"/>
          <w:i/>
        </w:rPr>
        <w:t>acts</w:t>
      </w:r>
      <w:r w:rsidRPr="00B553C9">
        <w:rPr>
          <w:rFonts w:ascii="Times New Roman" w:hAnsi="Times New Roman"/>
        </w:rPr>
        <w:t xml:space="preserve"> are not attributed to a secondary participant. No secondary participant can be "[a] person who commits</w:t>
      </w:r>
      <w:r w:rsidRPr="00B553C9">
        <w:rPr>
          <w:rFonts w:ascii="Times New Roman" w:hAnsi="Times New Roman"/>
          <w:i/>
          <w:iCs/>
        </w:rPr>
        <w:t xml:space="preserve"> </w:t>
      </w:r>
      <w:r w:rsidRPr="00B553C9">
        <w:rPr>
          <w:rFonts w:ascii="Times New Roman" w:hAnsi="Times New Roman"/>
        </w:rPr>
        <w:t>an intentional act of violence" within the meaning of s 12A. That is because the primary offender's intentional act of violence was not within the scope of the agreement between the parties. Whatever the expression that is used to describe the rules of attribution of acts ("agreement", "common purpose", "joint enterprise"), s 12A does not permit the attribution of an intentional act of violence by a primary offender to a secondary participant where the act was not agreed to, or was not within a common purpose or a common enterprise.</w:t>
      </w:r>
    </w:p>
    <w:p w14:paraId="5337C735" w14:textId="77777777" w:rsidR="00484F88" w:rsidRPr="00B553C9" w:rsidRDefault="00484F88" w:rsidP="00484F88">
      <w:pPr>
        <w:pStyle w:val="FixListStyle"/>
        <w:numPr>
          <w:ilvl w:val="0"/>
          <w:numId w:val="18"/>
        </w:numPr>
        <w:spacing w:after="260" w:line="280" w:lineRule="exact"/>
        <w:ind w:left="0" w:right="0" w:hanging="720"/>
        <w:jc w:val="both"/>
        <w:rPr>
          <w:rFonts w:ascii="Times New Roman" w:hAnsi="Times New Roman"/>
        </w:rPr>
      </w:pPr>
      <w:r w:rsidRPr="00B553C9">
        <w:rPr>
          <w:rFonts w:ascii="Times New Roman" w:hAnsi="Times New Roman"/>
        </w:rPr>
        <w:tab/>
        <w:t>Nor does the context or purpose of ss 11 and 12A support the view that s 12A created a new pathway to murder. As explained above, s 12A modified the common law "constructive murder" pathway to murder in s 11. The modifications introduced by the Parliament of South Australia had the effect of amending and restricting the operation of constructive murder. They did not create a new pathway to murder.</w:t>
      </w:r>
    </w:p>
    <w:p w14:paraId="1DE22934" w14:textId="77777777" w:rsidR="00484F88" w:rsidRPr="00B553C9" w:rsidRDefault="00484F88" w:rsidP="00484F88">
      <w:pPr>
        <w:pStyle w:val="FixListStyle"/>
        <w:numPr>
          <w:ilvl w:val="0"/>
          <w:numId w:val="18"/>
        </w:numPr>
        <w:spacing w:after="260" w:line="280" w:lineRule="exact"/>
        <w:ind w:left="0" w:right="0" w:hanging="720"/>
        <w:jc w:val="both"/>
        <w:rPr>
          <w:rFonts w:ascii="Times New Roman" w:hAnsi="Times New Roman"/>
        </w:rPr>
      </w:pPr>
      <w:r w:rsidRPr="00B553C9">
        <w:rPr>
          <w:rFonts w:ascii="Times New Roman" w:hAnsi="Times New Roman"/>
        </w:rPr>
        <w:tab/>
        <w:t xml:space="preserve">It would have been a remarkable step for s 12A to have created such a new, expansive pathway. For a long time prior to its abolition in England, the constructive murder rule had itself been deprecated. Sir James </w:t>
      </w:r>
      <w:proofErr w:type="spellStart"/>
      <w:r w:rsidRPr="00B553C9">
        <w:rPr>
          <w:rFonts w:ascii="Times New Roman" w:hAnsi="Times New Roman"/>
        </w:rPr>
        <w:t>Fitzjames</w:t>
      </w:r>
      <w:proofErr w:type="spellEnd"/>
      <w:r w:rsidRPr="00B553C9">
        <w:rPr>
          <w:rFonts w:ascii="Times New Roman" w:hAnsi="Times New Roman"/>
        </w:rPr>
        <w:t xml:space="preserve"> Stephen described it as an "astonishing doctrine" and "monstrous"</w:t>
      </w:r>
      <w:r w:rsidRPr="00B553C9">
        <w:rPr>
          <w:rStyle w:val="FootnoteReference"/>
          <w:rFonts w:ascii="Times New Roman" w:hAnsi="Times New Roman"/>
          <w:sz w:val="24"/>
        </w:rPr>
        <w:footnoteReference w:id="103"/>
      </w:r>
      <w:r w:rsidRPr="00B553C9">
        <w:rPr>
          <w:rFonts w:ascii="Times New Roman" w:hAnsi="Times New Roman"/>
        </w:rPr>
        <w:t>. In this Court, it has been described as a "harsh" rule, "criticised for over 150 years"</w:t>
      </w:r>
      <w:r w:rsidRPr="00B553C9">
        <w:rPr>
          <w:rStyle w:val="FootnoteReference"/>
          <w:rFonts w:ascii="Times New Roman" w:hAnsi="Times New Roman"/>
          <w:sz w:val="24"/>
        </w:rPr>
        <w:footnoteReference w:id="104"/>
      </w:r>
      <w:r w:rsidRPr="00B553C9">
        <w:rPr>
          <w:rFonts w:ascii="Times New Roman" w:hAnsi="Times New Roman"/>
        </w:rPr>
        <w:t>.</w:t>
      </w:r>
    </w:p>
    <w:p w14:paraId="0853676B" w14:textId="77777777" w:rsidR="00484F88" w:rsidRPr="00B553C9" w:rsidRDefault="00484F88" w:rsidP="00484F88">
      <w:pPr>
        <w:pStyle w:val="FixListStyle"/>
        <w:numPr>
          <w:ilvl w:val="0"/>
          <w:numId w:val="18"/>
        </w:numPr>
        <w:spacing w:after="260" w:line="280" w:lineRule="exact"/>
        <w:ind w:left="0" w:right="0" w:hanging="720"/>
        <w:jc w:val="both"/>
        <w:rPr>
          <w:rFonts w:ascii="Times New Roman" w:hAnsi="Times New Roman"/>
        </w:rPr>
      </w:pPr>
      <w:r w:rsidRPr="00B553C9">
        <w:rPr>
          <w:rFonts w:ascii="Times New Roman" w:hAnsi="Times New Roman"/>
        </w:rPr>
        <w:tab/>
        <w:t>For s 12A to have created a new, expansive pathway it would, in effect, have expanded constructive murder in the teeth of these criticisms to "constructive, constructive murder". Rather than merely adjusting the operation of the existing common law as the text of s 12A purported to do, s 12A would have created a new pathway of constructive, constructive murder – in effect a new offence</w:t>
      </w:r>
      <w:r w:rsidRPr="00B553C9">
        <w:rPr>
          <w:rStyle w:val="FootnoteReference"/>
          <w:rFonts w:ascii="Times New Roman" w:hAnsi="Times New Roman"/>
          <w:sz w:val="24"/>
        </w:rPr>
        <w:footnoteReference w:id="105"/>
      </w:r>
      <w:r w:rsidRPr="00B553C9">
        <w:rPr>
          <w:rFonts w:ascii="Times New Roman" w:hAnsi="Times New Roman"/>
        </w:rPr>
        <w:t xml:space="preserve">. It would be extraordinary if, without any textual mandate to do so, this Court were to </w:t>
      </w:r>
      <w:r w:rsidRPr="00B553C9">
        <w:rPr>
          <w:rFonts w:ascii="Times New Roman" w:hAnsi="Times New Roman"/>
        </w:rPr>
        <w:lastRenderedPageBreak/>
        <w:t>interpret s 12A as creating such a new pathway to murder, by combining constructive murder (as modified) with extended joint criminal enterprise.</w:t>
      </w:r>
    </w:p>
    <w:p w14:paraId="02B317D7" w14:textId="77777777" w:rsidR="00484F88" w:rsidRPr="00B553C9" w:rsidRDefault="00484F88" w:rsidP="00484F88">
      <w:pPr>
        <w:pStyle w:val="FixListStyle"/>
        <w:numPr>
          <w:ilvl w:val="0"/>
          <w:numId w:val="18"/>
        </w:numPr>
        <w:spacing w:after="260" w:line="280" w:lineRule="exact"/>
        <w:ind w:left="0" w:right="0" w:hanging="720"/>
        <w:jc w:val="both"/>
        <w:rPr>
          <w:rFonts w:ascii="Times New Roman" w:hAnsi="Times New Roman"/>
        </w:rPr>
      </w:pPr>
      <w:r w:rsidRPr="00B553C9">
        <w:rPr>
          <w:rFonts w:ascii="Times New Roman" w:hAnsi="Times New Roman"/>
        </w:rPr>
        <w:tab/>
        <w:t xml:space="preserve">The only authority which the respondent pointed to as an attempt to justify the existence of this new pathway to murder was the decision of the Full Court of the Supreme Court of South Australia in </w:t>
      </w:r>
      <w:r w:rsidRPr="00B553C9">
        <w:rPr>
          <w:rFonts w:ascii="Times New Roman" w:hAnsi="Times New Roman"/>
          <w:i/>
          <w:iCs/>
        </w:rPr>
        <w:t>R v R</w:t>
      </w:r>
      <w:r w:rsidRPr="00B553C9">
        <w:rPr>
          <w:rStyle w:val="FootnoteReference"/>
          <w:rFonts w:ascii="Times New Roman" w:hAnsi="Times New Roman"/>
          <w:sz w:val="24"/>
        </w:rPr>
        <w:footnoteReference w:id="106"/>
      </w:r>
      <w:r w:rsidRPr="00B553C9">
        <w:rPr>
          <w:rFonts w:ascii="Times New Roman" w:hAnsi="Times New Roman"/>
        </w:rPr>
        <w:t>. In that case, the trial judge had directed the jury to the effect that a party to an agreement to commit a robbery would be guilty of constructive murder if the scope of the agreement to rob included violence and a danger to life. The trial judge recognised that the attribution would occur because, by agreement, the person "joins in" the "violent and dangerous crime"</w:t>
      </w:r>
      <w:r w:rsidRPr="00B553C9">
        <w:rPr>
          <w:rStyle w:val="FootnoteReference"/>
          <w:rFonts w:ascii="Times New Roman" w:hAnsi="Times New Roman"/>
          <w:sz w:val="24"/>
        </w:rPr>
        <w:footnoteReference w:id="107"/>
      </w:r>
      <w:r w:rsidRPr="00B553C9">
        <w:rPr>
          <w:rFonts w:ascii="Times New Roman" w:hAnsi="Times New Roman"/>
        </w:rPr>
        <w:t>. In the course of his reasoning dismissing the appeals, however, King CJ (with whom the other Justices agreed) said that the act of the actual perpetrator would be attributed to the other parties to the agreement even if the act was "unintended" by, and not within the "contemplation" of, the other parties to the agreement</w:t>
      </w:r>
      <w:r w:rsidRPr="00B553C9">
        <w:rPr>
          <w:rStyle w:val="FootnoteReference"/>
          <w:rFonts w:ascii="Times New Roman" w:hAnsi="Times New Roman"/>
          <w:sz w:val="24"/>
        </w:rPr>
        <w:footnoteReference w:id="108"/>
      </w:r>
      <w:r w:rsidRPr="00B553C9">
        <w:rPr>
          <w:rFonts w:ascii="Times New Roman" w:hAnsi="Times New Roman"/>
        </w:rPr>
        <w:t>.</w:t>
      </w:r>
    </w:p>
    <w:p w14:paraId="2BA64DC7" w14:textId="77777777" w:rsidR="00484F88" w:rsidRPr="00B553C9" w:rsidRDefault="00484F88" w:rsidP="00484F88">
      <w:pPr>
        <w:pStyle w:val="FixListStyle"/>
        <w:numPr>
          <w:ilvl w:val="0"/>
          <w:numId w:val="18"/>
        </w:numPr>
        <w:spacing w:after="260" w:line="280" w:lineRule="exact"/>
        <w:ind w:left="0" w:right="0" w:hanging="720"/>
        <w:jc w:val="both"/>
        <w:rPr>
          <w:rFonts w:ascii="Times New Roman" w:hAnsi="Times New Roman"/>
        </w:rPr>
      </w:pPr>
      <w:r w:rsidRPr="00B553C9">
        <w:rPr>
          <w:rFonts w:ascii="Times New Roman" w:hAnsi="Times New Roman"/>
        </w:rPr>
        <w:tab/>
        <w:t>The statement by King CJ is consistent with the long</w:t>
      </w:r>
      <w:r w:rsidRPr="00B553C9">
        <w:rPr>
          <w:rFonts w:ascii="Times New Roman" w:hAnsi="Times New Roman"/>
        </w:rPr>
        <w:noBreakHyphen/>
        <w:t>standing authority discussed earlier in these reasons if it is taken to mean that an act of violence within the scope of an agreement will be attributed to all parties, even if they could not have foreseen that it would cause death. But if it is taken to mean that at common law a party to an agreement to commit a felony may have an act attributed to them which was not within the scope of their agreement simply on the basis that, no matter how remote the act, a participant must "accept responsibility for what occurs in the course of [the agreed] felony"</w:t>
      </w:r>
      <w:r w:rsidRPr="00B553C9">
        <w:rPr>
          <w:rStyle w:val="FootnoteReference"/>
          <w:rFonts w:ascii="Times New Roman" w:hAnsi="Times New Roman"/>
          <w:sz w:val="24"/>
        </w:rPr>
        <w:footnoteReference w:id="109"/>
      </w:r>
      <w:r w:rsidRPr="00B553C9">
        <w:rPr>
          <w:rFonts w:ascii="Times New Roman" w:hAnsi="Times New Roman"/>
        </w:rPr>
        <w:t>, then the statement is contrary to the long</w:t>
      </w:r>
      <w:r w:rsidRPr="00B553C9">
        <w:rPr>
          <w:rFonts w:ascii="Times New Roman" w:hAnsi="Times New Roman"/>
        </w:rPr>
        <w:noBreakHyphen/>
        <w:t>established principles of common law constructive murder. Indeed, if the statement were read in that way, it would also go further than the double fiction of constructive, constructive murder because it would not even require foresight of the elements of the offence of murder.</w:t>
      </w:r>
    </w:p>
    <w:p w14:paraId="26028764" w14:textId="77777777" w:rsidR="00484F88" w:rsidRPr="00B553C9" w:rsidRDefault="00484F88" w:rsidP="00484F88">
      <w:pPr>
        <w:pStyle w:val="FixListStyle"/>
        <w:numPr>
          <w:ilvl w:val="0"/>
          <w:numId w:val="18"/>
        </w:numPr>
        <w:spacing w:after="260" w:line="280" w:lineRule="exact"/>
        <w:ind w:left="0" w:right="0" w:hanging="720"/>
        <w:jc w:val="both"/>
        <w:rPr>
          <w:rFonts w:ascii="Times New Roman" w:hAnsi="Times New Roman"/>
        </w:rPr>
      </w:pPr>
      <w:r w:rsidRPr="00B553C9">
        <w:rPr>
          <w:rFonts w:ascii="Times New Roman" w:hAnsi="Times New Roman"/>
        </w:rPr>
        <w:tab/>
        <w:t xml:space="preserve">The appellants' first ground should therefore be upheld. Section 12A does not permit the creation of a new pathway to murder by combining the deeming effects in each of the doctrines of constructive murder and extended joint criminal enterprise. Consequently, it is unnecessary to consider the second ground </w:t>
      </w:r>
      <w:r w:rsidRPr="00B553C9">
        <w:rPr>
          <w:rFonts w:ascii="Times New Roman" w:hAnsi="Times New Roman"/>
        </w:rPr>
        <w:lastRenderedPageBreak/>
        <w:t>concerning what the elements of such a wholly new pathway would be, or what directions might have been required to give effect to it.</w:t>
      </w:r>
    </w:p>
    <w:p w14:paraId="4A10C55E" w14:textId="77777777" w:rsidR="00484F88" w:rsidRPr="00B553C9" w:rsidRDefault="00484F88" w:rsidP="00B553C9">
      <w:pPr>
        <w:pStyle w:val="HeadingL1"/>
        <w:spacing w:after="260" w:line="280" w:lineRule="exact"/>
        <w:ind w:right="0"/>
        <w:jc w:val="both"/>
        <w:rPr>
          <w:rFonts w:ascii="Times New Roman" w:hAnsi="Times New Roman"/>
        </w:rPr>
      </w:pPr>
      <w:r w:rsidRPr="00B553C9">
        <w:rPr>
          <w:rFonts w:ascii="Times New Roman" w:hAnsi="Times New Roman"/>
        </w:rPr>
        <w:t>The third ground: erroneous directions concerning extended joint criminal enterprise</w:t>
      </w:r>
    </w:p>
    <w:p w14:paraId="00709047" w14:textId="77777777" w:rsidR="00484F88" w:rsidRPr="00B553C9" w:rsidRDefault="00484F88" w:rsidP="00484F88">
      <w:pPr>
        <w:pStyle w:val="FixListStyle"/>
        <w:numPr>
          <w:ilvl w:val="0"/>
          <w:numId w:val="18"/>
        </w:numPr>
        <w:spacing w:after="260" w:line="280" w:lineRule="exact"/>
        <w:ind w:left="0" w:right="0" w:hanging="720"/>
        <w:jc w:val="both"/>
        <w:rPr>
          <w:rFonts w:ascii="Times New Roman" w:hAnsi="Times New Roman"/>
        </w:rPr>
      </w:pPr>
      <w:r w:rsidRPr="00B553C9">
        <w:rPr>
          <w:rFonts w:ascii="Times New Roman" w:hAnsi="Times New Roman"/>
        </w:rPr>
        <w:tab/>
        <w:t>This conclusion would be sufficient for the appeals to be allowed. But in circumstances where there must be retrials of the appellants, it is necessary also to address the third ground of appeal by focusing only upon the principle of extended joint criminal enterprise at common law and the proper directions in relation to that principle. That ground should also be upheld. The respondent to these appeals did not allege that these appeals could have been dismissed by application of the common form proviso to criminal appeals</w:t>
      </w:r>
      <w:r w:rsidRPr="00B553C9">
        <w:rPr>
          <w:rStyle w:val="FootnoteReference"/>
          <w:rFonts w:ascii="Times New Roman" w:hAnsi="Times New Roman"/>
          <w:sz w:val="24"/>
        </w:rPr>
        <w:footnoteReference w:id="110"/>
      </w:r>
      <w:r w:rsidRPr="00B553C9">
        <w:rPr>
          <w:rFonts w:ascii="Times New Roman" w:hAnsi="Times New Roman"/>
        </w:rPr>
        <w:t>.</w:t>
      </w:r>
    </w:p>
    <w:p w14:paraId="795BA132" w14:textId="77777777" w:rsidR="00484F88" w:rsidRPr="00B553C9" w:rsidRDefault="00484F88" w:rsidP="00484F88">
      <w:pPr>
        <w:pStyle w:val="FixListStyle"/>
        <w:numPr>
          <w:ilvl w:val="0"/>
          <w:numId w:val="18"/>
        </w:numPr>
        <w:spacing w:after="260" w:line="280" w:lineRule="exact"/>
        <w:ind w:left="0" w:right="0" w:hanging="720"/>
        <w:jc w:val="both"/>
        <w:rPr>
          <w:rFonts w:ascii="Times New Roman" w:hAnsi="Times New Roman"/>
        </w:rPr>
      </w:pPr>
      <w:r w:rsidRPr="00B553C9">
        <w:rPr>
          <w:rFonts w:ascii="Times New Roman" w:hAnsi="Times New Roman"/>
        </w:rPr>
        <w:tab/>
        <w:t xml:space="preserve">The decision of this Court in </w:t>
      </w:r>
      <w:r w:rsidRPr="00B553C9">
        <w:rPr>
          <w:rFonts w:ascii="Times New Roman" w:hAnsi="Times New Roman"/>
          <w:i/>
          <w:iCs/>
        </w:rPr>
        <w:t>Miller</w:t>
      </w:r>
      <w:r w:rsidRPr="00B553C9">
        <w:rPr>
          <w:rStyle w:val="FootnoteReference"/>
          <w:rFonts w:ascii="Times New Roman" w:hAnsi="Times New Roman"/>
          <w:sz w:val="24"/>
        </w:rPr>
        <w:footnoteReference w:id="111"/>
      </w:r>
      <w:r w:rsidRPr="00B553C9">
        <w:rPr>
          <w:rFonts w:ascii="Times New Roman" w:hAnsi="Times New Roman"/>
        </w:rPr>
        <w:t xml:space="preserve"> precluded each appellant from being held responsible for murder by application of the doctrine of extended joint criminal enterprise unless the prosecution established beyond reasonable doubt that he foresaw both</w:t>
      </w:r>
      <w:r w:rsidRPr="00B553C9" w:rsidDel="006C48B7">
        <w:rPr>
          <w:rFonts w:ascii="Times New Roman" w:hAnsi="Times New Roman"/>
        </w:rPr>
        <w:t xml:space="preserve"> </w:t>
      </w:r>
      <w:r w:rsidRPr="00B553C9">
        <w:rPr>
          <w:rFonts w:ascii="Times New Roman" w:hAnsi="Times New Roman"/>
        </w:rPr>
        <w:t>that a participant in the joint criminal enterprise might act with murderous intention and</w:t>
      </w:r>
      <w:r w:rsidRPr="00B553C9" w:rsidDel="006C48B7">
        <w:rPr>
          <w:rFonts w:ascii="Times New Roman" w:hAnsi="Times New Roman"/>
        </w:rPr>
        <w:t xml:space="preserve"> </w:t>
      </w:r>
      <w:r w:rsidRPr="00B553C9">
        <w:rPr>
          <w:rFonts w:ascii="Times New Roman" w:hAnsi="Times New Roman"/>
        </w:rPr>
        <w:t>that acts committed in the course of the enterprise might cause really serious bodily injury or death.</w:t>
      </w:r>
    </w:p>
    <w:p w14:paraId="4B43FE37" w14:textId="77777777" w:rsidR="00484F88" w:rsidRPr="00B553C9" w:rsidRDefault="00484F88" w:rsidP="00484F88">
      <w:pPr>
        <w:pStyle w:val="FixListStyle"/>
        <w:numPr>
          <w:ilvl w:val="0"/>
          <w:numId w:val="18"/>
        </w:numPr>
        <w:spacing w:after="260" w:line="280" w:lineRule="exact"/>
        <w:ind w:left="0" w:right="0" w:hanging="720"/>
        <w:jc w:val="both"/>
        <w:rPr>
          <w:rFonts w:ascii="Times New Roman" w:hAnsi="Times New Roman"/>
        </w:rPr>
      </w:pPr>
      <w:r w:rsidRPr="00B553C9">
        <w:rPr>
          <w:rFonts w:ascii="Times New Roman" w:hAnsi="Times New Roman"/>
        </w:rPr>
        <w:tab/>
        <w:t>The trial judge directed the jury that they could only find that an accused person was guilty of murder under the pathway of common law murder based on extended joint criminal enterprise if the prosecution had proved beyond reasonable doubt that the accused foresaw that a participant to the joint criminal enterprise might inflict violence with an intention of causing death or really serious bodily harm. But the trial judge erred by failing to direct the jury that for common law murder based on extended joint criminal enterprise the accused must also foresee the consequence</w:t>
      </w:r>
      <w:r w:rsidRPr="00B553C9">
        <w:rPr>
          <w:rFonts w:ascii="Times New Roman" w:hAnsi="Times New Roman"/>
          <w:i/>
          <w:iCs/>
        </w:rPr>
        <w:t xml:space="preserve"> </w:t>
      </w:r>
      <w:r w:rsidRPr="00B553C9">
        <w:rPr>
          <w:rFonts w:ascii="Times New Roman" w:hAnsi="Times New Roman"/>
        </w:rPr>
        <w:t>of death or really serious bodily harm. In many cases, foresight of this consequence might be a very short step from foresight that a participant might act with murderous intention. The direction that the trial judge should have given in relation to extended joint criminal enterprise is one in which it was explained that conviction depended upon proof beyond reasonable doubt that the accused was a party to an agreement to commit a crime and that the accused foresaw that in the commission of that crime there was a possibility that another person, with intent to do so, would cause really serious bodily harm or death.</w:t>
      </w:r>
    </w:p>
    <w:p w14:paraId="0A7C5D86" w14:textId="77777777" w:rsidR="00484F88" w:rsidRPr="00B553C9" w:rsidRDefault="00484F88" w:rsidP="00484F88">
      <w:pPr>
        <w:pStyle w:val="FixListStyle"/>
        <w:numPr>
          <w:ilvl w:val="0"/>
          <w:numId w:val="18"/>
        </w:numPr>
        <w:spacing w:after="260" w:line="280" w:lineRule="exact"/>
        <w:ind w:left="0" w:right="0" w:hanging="720"/>
        <w:jc w:val="both"/>
        <w:rPr>
          <w:rFonts w:ascii="Times New Roman" w:hAnsi="Times New Roman"/>
        </w:rPr>
      </w:pPr>
      <w:r w:rsidRPr="00B553C9">
        <w:rPr>
          <w:rFonts w:ascii="Times New Roman" w:hAnsi="Times New Roman"/>
        </w:rPr>
        <w:tab/>
        <w:t xml:space="preserve">For the reasons explained above in relation to the first ground, any direction should separate that pathway to conviction for common law murder based on </w:t>
      </w:r>
      <w:r w:rsidRPr="00B553C9">
        <w:rPr>
          <w:rFonts w:ascii="Times New Roman" w:hAnsi="Times New Roman"/>
        </w:rPr>
        <w:lastRenderedPageBreak/>
        <w:t>extended joint criminal enterprise from any pathway to conviction for common law murder based upon s 12A of the CLC Act. Where an accused is alleged to be the primary offender under s 12A, it would require a jury to be satisfied beyond reasonable doubt that the accused, while acting in the course or furtherance of committing the major indictable offence alleged by the prosecution, caused the death of the victim by an intentional act of violence. Where, in the case of joint criminal enterprise, an accused is alleged under s 12A to be a party to an agreement to commit the major indictable offence alleged by the prosecution, it would require a jury to be satisfied beyond reasonable doubt that the accused was a party to an agreement to commit that major indictable offence and that the agreement included the possible commission of an intentional act of violence of the same general nature as that which caused the death</w:t>
      </w:r>
      <w:r w:rsidRPr="00B553C9">
        <w:rPr>
          <w:rStyle w:val="FootnoteReference"/>
          <w:rFonts w:ascii="Times New Roman" w:hAnsi="Times New Roman"/>
          <w:sz w:val="24"/>
        </w:rPr>
        <w:footnoteReference w:id="112"/>
      </w:r>
      <w:r w:rsidRPr="00B553C9">
        <w:rPr>
          <w:rFonts w:ascii="Times New Roman" w:hAnsi="Times New Roman"/>
        </w:rPr>
        <w:t>.</w:t>
      </w:r>
    </w:p>
    <w:p w14:paraId="601C937A" w14:textId="77777777" w:rsidR="00484F88" w:rsidRPr="00B553C9" w:rsidRDefault="00484F88" w:rsidP="00B553C9">
      <w:pPr>
        <w:pStyle w:val="HeadingL1"/>
        <w:spacing w:after="260" w:line="280" w:lineRule="exact"/>
        <w:ind w:right="0"/>
        <w:jc w:val="both"/>
        <w:rPr>
          <w:rFonts w:ascii="Times New Roman" w:hAnsi="Times New Roman"/>
        </w:rPr>
      </w:pPr>
      <w:r w:rsidRPr="00B553C9">
        <w:rPr>
          <w:rFonts w:ascii="Times New Roman" w:hAnsi="Times New Roman"/>
        </w:rPr>
        <w:t>Conclusion</w:t>
      </w:r>
    </w:p>
    <w:p w14:paraId="0E3D9CEA" w14:textId="77777777" w:rsidR="001E298D" w:rsidRDefault="00484F88" w:rsidP="001E298D">
      <w:pPr>
        <w:pStyle w:val="FixListStyle"/>
        <w:numPr>
          <w:ilvl w:val="0"/>
          <w:numId w:val="18"/>
        </w:numPr>
        <w:spacing w:after="260" w:line="280" w:lineRule="exact"/>
        <w:ind w:left="0" w:right="0" w:hanging="720"/>
        <w:jc w:val="both"/>
        <w:rPr>
          <w:rFonts w:ascii="Times New Roman" w:hAnsi="Times New Roman"/>
        </w:rPr>
      </w:pPr>
      <w:r w:rsidRPr="00B553C9">
        <w:rPr>
          <w:rFonts w:ascii="Times New Roman" w:hAnsi="Times New Roman"/>
        </w:rPr>
        <w:tab/>
        <w:t>Mr </w:t>
      </w:r>
      <w:proofErr w:type="spellStart"/>
      <w:r w:rsidRPr="00B553C9">
        <w:rPr>
          <w:rFonts w:ascii="Times New Roman" w:hAnsi="Times New Roman"/>
        </w:rPr>
        <w:t>Tenhoopen's</w:t>
      </w:r>
      <w:proofErr w:type="spellEnd"/>
      <w:r w:rsidRPr="00B553C9">
        <w:rPr>
          <w:rFonts w:ascii="Times New Roman" w:hAnsi="Times New Roman"/>
        </w:rPr>
        <w:t xml:space="preserve"> application for special leave to appeal should be granted and his appeal allowed. Each other appeal should also be allowed. In each appeal, including that of Mr </w:t>
      </w:r>
      <w:proofErr w:type="spellStart"/>
      <w:r w:rsidRPr="00B553C9">
        <w:rPr>
          <w:rFonts w:ascii="Times New Roman" w:hAnsi="Times New Roman"/>
        </w:rPr>
        <w:t>Tenhoopen</w:t>
      </w:r>
      <w:proofErr w:type="spellEnd"/>
      <w:r w:rsidRPr="00B553C9">
        <w:rPr>
          <w:rFonts w:ascii="Times New Roman" w:hAnsi="Times New Roman"/>
        </w:rPr>
        <w:t>, there should be orders that: order 2 of the orders of the Court of Appeal of the Supreme Court of South Australia, made on 10 August 2021, be set aside and in its place there be orders that (</w:t>
      </w:r>
      <w:proofErr w:type="spellStart"/>
      <w:r w:rsidRPr="00B553C9">
        <w:rPr>
          <w:rFonts w:ascii="Times New Roman" w:hAnsi="Times New Roman"/>
        </w:rPr>
        <w:t>i</w:t>
      </w:r>
      <w:proofErr w:type="spellEnd"/>
      <w:r w:rsidRPr="00B553C9">
        <w:rPr>
          <w:rFonts w:ascii="Times New Roman" w:hAnsi="Times New Roman"/>
        </w:rPr>
        <w:t>) the appeal be allowed, (ii) the conviction be quashed, and (iii) there be a new trial.</w:t>
      </w:r>
    </w:p>
    <w:p w14:paraId="16DDC835" w14:textId="59BBA1DE" w:rsidR="001E298D" w:rsidRDefault="001E298D" w:rsidP="001E298D">
      <w:pPr>
        <w:pStyle w:val="FixListStyle"/>
        <w:numPr>
          <w:ilvl w:val="0"/>
          <w:numId w:val="18"/>
        </w:numPr>
        <w:spacing w:after="260" w:line="280" w:lineRule="exact"/>
        <w:ind w:left="0" w:right="0" w:hanging="720"/>
        <w:jc w:val="both"/>
        <w:rPr>
          <w:rFonts w:ascii="Times New Roman" w:hAnsi="Times New Roman"/>
        </w:rPr>
        <w:sectPr w:rsidR="001E298D" w:rsidSect="00E42A57">
          <w:headerReference w:type="even" r:id="rId26"/>
          <w:headerReference w:type="default" r:id="rId27"/>
          <w:footerReference w:type="even" r:id="rId28"/>
          <w:footerReference w:type="default" r:id="rId29"/>
          <w:headerReference w:type="first" r:id="rId30"/>
          <w:footerReference w:type="first" r:id="rId31"/>
          <w:pgSz w:w="11907" w:h="16839" w:code="9"/>
          <w:pgMar w:top="1440" w:right="1701" w:bottom="1984" w:left="1701" w:header="720" w:footer="720" w:gutter="0"/>
          <w:cols w:space="720"/>
          <w:docGrid w:linePitch="354"/>
        </w:sectPr>
      </w:pPr>
    </w:p>
    <w:p w14:paraId="5C068DD7" w14:textId="2232EDE9" w:rsidR="00A76487" w:rsidRPr="001E298D" w:rsidRDefault="00A76487" w:rsidP="001E298D">
      <w:pPr>
        <w:pStyle w:val="NormalBody"/>
      </w:pPr>
    </w:p>
    <w:sectPr w:rsidR="00A76487" w:rsidRPr="001E298D" w:rsidSect="00E42A57">
      <w:headerReference w:type="default" r:id="rId32"/>
      <w:pgSz w:w="11907" w:h="16839" w:code="9"/>
      <w:pgMar w:top="1440" w:right="1701" w:bottom="1984" w:left="1701" w:header="720" w:footer="720" w:gutter="0"/>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A0CE5" w14:textId="77777777" w:rsidR="00CD33FB" w:rsidRDefault="00CD33FB">
      <w:pPr>
        <w:spacing w:line="240" w:lineRule="auto"/>
      </w:pPr>
      <w:r>
        <w:separator/>
      </w:r>
    </w:p>
  </w:endnote>
  <w:endnote w:type="continuationSeparator" w:id="0">
    <w:p w14:paraId="210CA0B5" w14:textId="77777777" w:rsidR="00CD33FB" w:rsidRDefault="00CD33FB">
      <w:pPr>
        <w:spacing w:line="240" w:lineRule="auto"/>
      </w:pPr>
      <w:r>
        <w:continuationSeparator/>
      </w:r>
    </w:p>
  </w:endnote>
  <w:endnote w:type="continuationNotice" w:id="1">
    <w:p w14:paraId="0A8F2614" w14:textId="77777777" w:rsidR="00CD33FB" w:rsidRDefault="00CD33F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panose1 w:val="020B0603020202030204"/>
    <w:charset w:val="00"/>
    <w:family w:val="swiss"/>
    <w:pitch w:val="variable"/>
    <w:sig w:usb0="8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C4A5C" w14:textId="77777777" w:rsidR="00CD1C0A" w:rsidRDefault="00CD1C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9F91D" w14:textId="77777777" w:rsidR="00CD1C0A" w:rsidRDefault="00CD1C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F58C3" w14:textId="77777777" w:rsidR="00CD1C0A" w:rsidRDefault="00CD1C0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F09B4" w14:textId="77777777" w:rsidR="00CD1C0A" w:rsidRDefault="00CD1C0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93F45" w14:textId="77777777" w:rsidR="00CD1C0A" w:rsidRDefault="00CD1C0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409BF" w14:textId="77777777" w:rsidR="00CD1C0A" w:rsidRDefault="00CD1C0A">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BCBFA" w14:textId="77777777" w:rsidR="00B553C9" w:rsidRDefault="00CD1C0A">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F719E" w14:textId="77777777" w:rsidR="00B553C9" w:rsidRDefault="00CD1C0A">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EF03C" w14:textId="77777777" w:rsidR="00B553C9" w:rsidRDefault="00CD1C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8819E" w14:textId="77777777" w:rsidR="00CD33FB" w:rsidRPr="007C5B81" w:rsidRDefault="00CD33FB" w:rsidP="007C5B81">
      <w:pPr>
        <w:pStyle w:val="Footer"/>
        <w:spacing w:before="120" w:after="20"/>
        <w:ind w:right="0"/>
        <w:rPr>
          <w:rFonts w:ascii="Times New Roman" w:hAnsi="Times New Roman"/>
        </w:rPr>
      </w:pPr>
      <w:r>
        <w:continuationSeparator/>
      </w:r>
    </w:p>
  </w:footnote>
  <w:footnote w:type="continuationSeparator" w:id="0">
    <w:p w14:paraId="2447AD62" w14:textId="77777777" w:rsidR="00CD33FB" w:rsidRPr="007C5B81" w:rsidRDefault="00CD33FB" w:rsidP="007C5B81">
      <w:pPr>
        <w:pStyle w:val="Footer"/>
        <w:spacing w:before="120" w:after="20"/>
        <w:ind w:right="0"/>
        <w:rPr>
          <w:rFonts w:ascii="Times New Roman" w:hAnsi="Times New Roman"/>
        </w:rPr>
      </w:pPr>
      <w:r w:rsidRPr="007C5B81">
        <w:rPr>
          <w:rFonts w:ascii="Times New Roman" w:hAnsi="Times New Roman"/>
        </w:rPr>
        <w:continuationSeparator/>
      </w:r>
    </w:p>
  </w:footnote>
  <w:footnote w:type="continuationNotice" w:id="1">
    <w:p w14:paraId="00BFC568" w14:textId="77777777" w:rsidR="00CD33FB" w:rsidRPr="00484F88" w:rsidRDefault="00CD33FB">
      <w:pPr>
        <w:jc w:val="right"/>
        <w:rPr>
          <w:rFonts w:ascii="Times New Roman" w:hAnsi="Times New Roman"/>
          <w:sz w:val="24"/>
        </w:rPr>
      </w:pPr>
    </w:p>
  </w:footnote>
  <w:footnote w:id="2">
    <w:p w14:paraId="14596A20" w14:textId="4A2E0270" w:rsidR="00A5444D" w:rsidRPr="007C5B81" w:rsidRDefault="00A5444D" w:rsidP="007C5B81">
      <w:pPr>
        <w:pStyle w:val="FootnoteText"/>
        <w:spacing w:line="280" w:lineRule="exact"/>
        <w:ind w:right="0"/>
        <w:jc w:val="both"/>
        <w:rPr>
          <w:rFonts w:ascii="Times New Roman" w:hAnsi="Times New Roman"/>
          <w:sz w:val="24"/>
        </w:rPr>
      </w:pPr>
      <w:r w:rsidRPr="007C5B81">
        <w:rPr>
          <w:rStyle w:val="FootnoteReference"/>
          <w:rFonts w:ascii="Times New Roman" w:hAnsi="Times New Roman"/>
          <w:sz w:val="22"/>
          <w:vertAlign w:val="baseline"/>
        </w:rPr>
        <w:footnoteRef/>
      </w:r>
      <w:r w:rsidRPr="007C5B81">
        <w:rPr>
          <w:rFonts w:ascii="Times New Roman" w:hAnsi="Times New Roman"/>
          <w:sz w:val="24"/>
        </w:rPr>
        <w:t xml:space="preserve"> </w:t>
      </w:r>
      <w:r w:rsidR="00150A53" w:rsidRPr="007C5B81">
        <w:rPr>
          <w:rFonts w:ascii="Times New Roman" w:hAnsi="Times New Roman"/>
          <w:sz w:val="24"/>
        </w:rPr>
        <w:tab/>
      </w:r>
      <w:r w:rsidR="00D83300" w:rsidRPr="007C5B81">
        <w:rPr>
          <w:rFonts w:ascii="Times New Roman" w:hAnsi="Times New Roman"/>
          <w:sz w:val="24"/>
        </w:rPr>
        <w:t xml:space="preserve">Mr </w:t>
      </w:r>
      <w:proofErr w:type="spellStart"/>
      <w:r w:rsidR="00D83300" w:rsidRPr="007C5B81">
        <w:rPr>
          <w:rFonts w:ascii="Times New Roman" w:hAnsi="Times New Roman"/>
          <w:sz w:val="24"/>
        </w:rPr>
        <w:t>Tenhoopen</w:t>
      </w:r>
      <w:proofErr w:type="spellEnd"/>
      <w:r w:rsidR="00D83300" w:rsidRPr="007C5B81">
        <w:rPr>
          <w:rFonts w:ascii="Times New Roman" w:hAnsi="Times New Roman"/>
          <w:sz w:val="24"/>
        </w:rPr>
        <w:t xml:space="preserve"> is an applicant</w:t>
      </w:r>
      <w:r w:rsidR="00E50380" w:rsidRPr="007C5B81">
        <w:rPr>
          <w:rFonts w:ascii="Times New Roman" w:hAnsi="Times New Roman"/>
          <w:sz w:val="24"/>
        </w:rPr>
        <w:t xml:space="preserve"> for special leave to appeal</w:t>
      </w:r>
      <w:r w:rsidR="00D83300" w:rsidRPr="007C5B81">
        <w:rPr>
          <w:rFonts w:ascii="Times New Roman" w:hAnsi="Times New Roman"/>
          <w:sz w:val="24"/>
        </w:rPr>
        <w:t>,</w:t>
      </w:r>
      <w:r w:rsidR="007F613E" w:rsidRPr="007C5B81">
        <w:rPr>
          <w:rFonts w:ascii="Times New Roman" w:hAnsi="Times New Roman"/>
          <w:sz w:val="24"/>
        </w:rPr>
        <w:t xml:space="preserve"> but</w:t>
      </w:r>
      <w:r w:rsidR="00150A53" w:rsidRPr="007C5B81">
        <w:rPr>
          <w:rFonts w:ascii="Times New Roman" w:hAnsi="Times New Roman"/>
          <w:sz w:val="24"/>
        </w:rPr>
        <w:t xml:space="preserve"> </w:t>
      </w:r>
      <w:r w:rsidR="00D83300" w:rsidRPr="007C5B81">
        <w:rPr>
          <w:rFonts w:ascii="Times New Roman" w:hAnsi="Times New Roman"/>
          <w:sz w:val="24"/>
        </w:rPr>
        <w:t>it</w:t>
      </w:r>
      <w:r w:rsidRPr="007C5B81">
        <w:rPr>
          <w:rFonts w:ascii="Times New Roman" w:hAnsi="Times New Roman"/>
          <w:sz w:val="24"/>
        </w:rPr>
        <w:t xml:space="preserve"> is convenient to refer </w:t>
      </w:r>
      <w:r w:rsidR="00E50380" w:rsidRPr="007C5B81">
        <w:rPr>
          <w:rFonts w:ascii="Times New Roman" w:hAnsi="Times New Roman"/>
          <w:sz w:val="24"/>
        </w:rPr>
        <w:t>to the</w:t>
      </w:r>
      <w:r w:rsidR="00150A53" w:rsidRPr="007C5B81">
        <w:rPr>
          <w:rFonts w:ascii="Times New Roman" w:hAnsi="Times New Roman"/>
          <w:sz w:val="24"/>
        </w:rPr>
        <w:t xml:space="preserve"> three</w:t>
      </w:r>
      <w:r w:rsidR="00E50380" w:rsidRPr="007C5B81">
        <w:rPr>
          <w:rFonts w:ascii="Times New Roman" w:hAnsi="Times New Roman"/>
          <w:sz w:val="24"/>
        </w:rPr>
        <w:t xml:space="preserve"> appellants and Mr </w:t>
      </w:r>
      <w:proofErr w:type="spellStart"/>
      <w:r w:rsidR="00E50380" w:rsidRPr="007C5B81">
        <w:rPr>
          <w:rFonts w:ascii="Times New Roman" w:hAnsi="Times New Roman"/>
          <w:sz w:val="24"/>
        </w:rPr>
        <w:t>Tenhoopen</w:t>
      </w:r>
      <w:proofErr w:type="spellEnd"/>
      <w:r w:rsidR="00E50380" w:rsidRPr="007C5B81">
        <w:rPr>
          <w:rFonts w:ascii="Times New Roman" w:hAnsi="Times New Roman"/>
          <w:sz w:val="24"/>
        </w:rPr>
        <w:t xml:space="preserve"> </w:t>
      </w:r>
      <w:r w:rsidR="00D83300" w:rsidRPr="007C5B81">
        <w:rPr>
          <w:rFonts w:ascii="Times New Roman" w:hAnsi="Times New Roman"/>
          <w:sz w:val="24"/>
        </w:rPr>
        <w:t xml:space="preserve">collectively as </w:t>
      </w:r>
      <w:r w:rsidR="00CB5856" w:rsidRPr="007C5B81">
        <w:rPr>
          <w:rFonts w:ascii="Times New Roman" w:hAnsi="Times New Roman"/>
          <w:sz w:val="24"/>
        </w:rPr>
        <w:t>"</w:t>
      </w:r>
      <w:r w:rsidR="00D83300" w:rsidRPr="007C5B81">
        <w:rPr>
          <w:rFonts w:ascii="Times New Roman" w:hAnsi="Times New Roman"/>
          <w:sz w:val="24"/>
        </w:rPr>
        <w:t>the appellants".</w:t>
      </w:r>
    </w:p>
  </w:footnote>
  <w:footnote w:id="3">
    <w:p w14:paraId="5FE10E37" w14:textId="748F1C5D" w:rsidR="00746CC1" w:rsidRPr="007C5B81" w:rsidRDefault="00746CC1" w:rsidP="007C5B81">
      <w:pPr>
        <w:pStyle w:val="FootnoteText"/>
        <w:spacing w:line="280" w:lineRule="exact"/>
        <w:ind w:right="0"/>
        <w:jc w:val="both"/>
        <w:rPr>
          <w:rFonts w:ascii="Times New Roman" w:hAnsi="Times New Roman"/>
          <w:sz w:val="24"/>
        </w:rPr>
      </w:pPr>
      <w:r w:rsidRPr="007C5B81">
        <w:rPr>
          <w:rStyle w:val="FootnoteReference"/>
          <w:rFonts w:ascii="Times New Roman" w:hAnsi="Times New Roman"/>
          <w:sz w:val="22"/>
          <w:vertAlign w:val="baseline"/>
        </w:rPr>
        <w:footnoteRef/>
      </w:r>
      <w:r w:rsidRPr="007C5B81">
        <w:rPr>
          <w:rFonts w:ascii="Times New Roman" w:hAnsi="Times New Roman"/>
          <w:sz w:val="24"/>
        </w:rPr>
        <w:t xml:space="preserve"> </w:t>
      </w:r>
      <w:r w:rsidRPr="007C5B81">
        <w:rPr>
          <w:rFonts w:ascii="Times New Roman" w:hAnsi="Times New Roman"/>
          <w:sz w:val="24"/>
        </w:rPr>
        <w:tab/>
      </w:r>
      <w:proofErr w:type="spellStart"/>
      <w:r w:rsidR="006E15ED" w:rsidRPr="007C5B81">
        <w:rPr>
          <w:rFonts w:ascii="Times New Roman" w:hAnsi="Times New Roman"/>
          <w:i/>
          <w:iCs/>
          <w:sz w:val="24"/>
        </w:rPr>
        <w:t>Arulthilakan</w:t>
      </w:r>
      <w:proofErr w:type="spellEnd"/>
      <w:r w:rsidR="006E15ED" w:rsidRPr="007C5B81">
        <w:rPr>
          <w:rFonts w:ascii="Times New Roman" w:hAnsi="Times New Roman"/>
          <w:i/>
          <w:iCs/>
          <w:sz w:val="24"/>
        </w:rPr>
        <w:t xml:space="preserve"> v The Queen</w:t>
      </w:r>
      <w:r w:rsidR="006E15ED" w:rsidRPr="007C5B81">
        <w:rPr>
          <w:rFonts w:ascii="Times New Roman" w:hAnsi="Times New Roman"/>
          <w:sz w:val="24"/>
        </w:rPr>
        <w:t xml:space="preserve"> (2003) 78 ALJR 257 at 263 [27]</w:t>
      </w:r>
      <w:r w:rsidR="004A3703" w:rsidRPr="007C5B81">
        <w:rPr>
          <w:rFonts w:ascii="Times New Roman" w:hAnsi="Times New Roman"/>
          <w:sz w:val="24"/>
        </w:rPr>
        <w:t>; 203 ALR 259 at 266</w:t>
      </w:r>
      <w:r w:rsidR="00AF7DDA" w:rsidRPr="007C5B81">
        <w:rPr>
          <w:rFonts w:ascii="Times New Roman" w:hAnsi="Times New Roman"/>
          <w:sz w:val="24"/>
        </w:rPr>
        <w:t xml:space="preserve">, citing </w:t>
      </w:r>
      <w:r w:rsidR="00AF7DDA" w:rsidRPr="007C5B81">
        <w:rPr>
          <w:rFonts w:ascii="Times New Roman" w:hAnsi="Times New Roman"/>
          <w:i/>
          <w:iCs/>
          <w:sz w:val="24"/>
        </w:rPr>
        <w:t>Ryan v The Queen</w:t>
      </w:r>
      <w:r w:rsidR="00AF7DDA" w:rsidRPr="007C5B81">
        <w:rPr>
          <w:rFonts w:ascii="Times New Roman" w:hAnsi="Times New Roman"/>
          <w:sz w:val="24"/>
        </w:rPr>
        <w:t xml:space="preserve"> (1967) 121 CLR 205 at 240</w:t>
      </w:r>
      <w:r w:rsidR="00FE7A12" w:rsidRPr="007C5B81">
        <w:rPr>
          <w:rFonts w:ascii="Times New Roman" w:hAnsi="Times New Roman"/>
          <w:sz w:val="24"/>
        </w:rPr>
        <w:t>-241.</w:t>
      </w:r>
    </w:p>
  </w:footnote>
  <w:footnote w:id="4">
    <w:p w14:paraId="1620C787" w14:textId="79B5046D" w:rsidR="00E92930" w:rsidRPr="007C5B81" w:rsidRDefault="00E92930" w:rsidP="007C5B81">
      <w:pPr>
        <w:pStyle w:val="FootnoteText"/>
        <w:spacing w:line="280" w:lineRule="exact"/>
        <w:ind w:right="0"/>
        <w:jc w:val="both"/>
        <w:rPr>
          <w:rFonts w:ascii="Times New Roman" w:hAnsi="Times New Roman"/>
          <w:sz w:val="24"/>
        </w:rPr>
      </w:pPr>
      <w:r w:rsidRPr="007C5B81">
        <w:rPr>
          <w:rStyle w:val="FootnoteReference"/>
          <w:rFonts w:ascii="Times New Roman" w:hAnsi="Times New Roman"/>
          <w:sz w:val="22"/>
          <w:vertAlign w:val="baseline"/>
        </w:rPr>
        <w:footnoteRef/>
      </w:r>
      <w:r w:rsidRPr="007C5B81">
        <w:rPr>
          <w:rFonts w:ascii="Times New Roman" w:hAnsi="Times New Roman"/>
          <w:sz w:val="24"/>
        </w:rPr>
        <w:t xml:space="preserve"> </w:t>
      </w:r>
      <w:r w:rsidRPr="007C5B81">
        <w:rPr>
          <w:rFonts w:ascii="Times New Roman" w:hAnsi="Times New Roman"/>
          <w:sz w:val="24"/>
        </w:rPr>
        <w:tab/>
      </w:r>
      <w:proofErr w:type="spellStart"/>
      <w:r w:rsidRPr="007C5B81">
        <w:rPr>
          <w:rFonts w:ascii="Times New Roman" w:hAnsi="Times New Roman"/>
          <w:i/>
          <w:iCs/>
          <w:sz w:val="24"/>
        </w:rPr>
        <w:t>Arulthilakan</w:t>
      </w:r>
      <w:proofErr w:type="spellEnd"/>
      <w:r w:rsidRPr="007C5B81">
        <w:rPr>
          <w:rFonts w:ascii="Times New Roman" w:hAnsi="Times New Roman"/>
          <w:i/>
          <w:iCs/>
          <w:sz w:val="24"/>
        </w:rPr>
        <w:t xml:space="preserve"> v The Queen</w:t>
      </w:r>
      <w:r w:rsidRPr="007C5B81">
        <w:rPr>
          <w:rFonts w:ascii="Times New Roman" w:hAnsi="Times New Roman"/>
          <w:sz w:val="24"/>
        </w:rPr>
        <w:t xml:space="preserve"> (2003) 78 ALJR 257 at 263 [28]</w:t>
      </w:r>
      <w:r w:rsidR="00320A28" w:rsidRPr="007C5B81">
        <w:rPr>
          <w:rFonts w:ascii="Times New Roman" w:hAnsi="Times New Roman"/>
          <w:sz w:val="24"/>
        </w:rPr>
        <w:t>; 203 ALR 259 at 266</w:t>
      </w:r>
      <w:r w:rsidRPr="007C5B81">
        <w:rPr>
          <w:rFonts w:ascii="Times New Roman" w:hAnsi="Times New Roman"/>
          <w:sz w:val="24"/>
        </w:rPr>
        <w:t>.</w:t>
      </w:r>
    </w:p>
  </w:footnote>
  <w:footnote w:id="5">
    <w:p w14:paraId="40CAA5BE" w14:textId="1D93CEC0" w:rsidR="00AC3301" w:rsidRPr="007C5B81" w:rsidRDefault="00AC3301" w:rsidP="007C5B81">
      <w:pPr>
        <w:pStyle w:val="FootnoteText"/>
        <w:spacing w:line="280" w:lineRule="exact"/>
        <w:ind w:right="0"/>
        <w:jc w:val="both"/>
        <w:rPr>
          <w:rFonts w:ascii="Times New Roman" w:hAnsi="Times New Roman"/>
          <w:sz w:val="24"/>
        </w:rPr>
      </w:pPr>
      <w:r w:rsidRPr="007C5B81">
        <w:rPr>
          <w:rStyle w:val="FootnoteReference"/>
          <w:rFonts w:ascii="Times New Roman" w:hAnsi="Times New Roman"/>
          <w:sz w:val="22"/>
          <w:vertAlign w:val="baseline"/>
        </w:rPr>
        <w:footnoteRef/>
      </w:r>
      <w:r w:rsidRPr="007C5B81">
        <w:rPr>
          <w:rFonts w:ascii="Times New Roman" w:hAnsi="Times New Roman"/>
          <w:sz w:val="24"/>
        </w:rPr>
        <w:t xml:space="preserve"> </w:t>
      </w:r>
      <w:r w:rsidRPr="007C5B81">
        <w:rPr>
          <w:rFonts w:ascii="Times New Roman" w:hAnsi="Times New Roman"/>
          <w:sz w:val="24"/>
        </w:rPr>
        <w:tab/>
      </w:r>
      <w:r w:rsidRPr="007C5B81">
        <w:rPr>
          <w:rFonts w:ascii="Times New Roman" w:hAnsi="Times New Roman"/>
          <w:i/>
          <w:iCs/>
          <w:sz w:val="24"/>
        </w:rPr>
        <w:t>McAuliffe v The Queen</w:t>
      </w:r>
      <w:r w:rsidRPr="007C5B81">
        <w:rPr>
          <w:rFonts w:ascii="Times New Roman" w:hAnsi="Times New Roman"/>
          <w:sz w:val="24"/>
        </w:rPr>
        <w:t xml:space="preserve"> (1995) </w:t>
      </w:r>
      <w:r w:rsidR="00F05F5F" w:rsidRPr="007C5B81">
        <w:rPr>
          <w:rFonts w:ascii="Times New Roman" w:hAnsi="Times New Roman"/>
          <w:sz w:val="24"/>
        </w:rPr>
        <w:t>183 CLR 108.</w:t>
      </w:r>
    </w:p>
  </w:footnote>
  <w:footnote w:id="6">
    <w:p w14:paraId="66DFF8F2" w14:textId="3D131085" w:rsidR="002C17AE" w:rsidRPr="007C5B81" w:rsidRDefault="002C17AE" w:rsidP="007C5B81">
      <w:pPr>
        <w:pStyle w:val="FootnoteText"/>
        <w:spacing w:line="280" w:lineRule="exact"/>
        <w:ind w:right="0"/>
        <w:jc w:val="both"/>
        <w:rPr>
          <w:rFonts w:ascii="Times New Roman" w:hAnsi="Times New Roman"/>
          <w:sz w:val="24"/>
        </w:rPr>
      </w:pPr>
      <w:r w:rsidRPr="007C5B81">
        <w:rPr>
          <w:rStyle w:val="FootnoteReference"/>
          <w:rFonts w:ascii="Times New Roman" w:hAnsi="Times New Roman"/>
          <w:sz w:val="22"/>
          <w:vertAlign w:val="baseline"/>
        </w:rPr>
        <w:footnoteRef/>
      </w:r>
      <w:r w:rsidRPr="007C5B81">
        <w:rPr>
          <w:rFonts w:ascii="Times New Roman" w:hAnsi="Times New Roman"/>
          <w:sz w:val="24"/>
        </w:rPr>
        <w:t xml:space="preserve"> </w:t>
      </w:r>
      <w:r w:rsidRPr="007C5B81">
        <w:rPr>
          <w:rFonts w:ascii="Times New Roman" w:hAnsi="Times New Roman"/>
          <w:sz w:val="24"/>
        </w:rPr>
        <w:tab/>
      </w:r>
      <w:r w:rsidRPr="007C5B81">
        <w:rPr>
          <w:rFonts w:ascii="Times New Roman" w:hAnsi="Times New Roman"/>
          <w:i/>
          <w:iCs/>
          <w:sz w:val="24"/>
        </w:rPr>
        <w:t xml:space="preserve">McAuliffe </w:t>
      </w:r>
      <w:r w:rsidR="009E41AC" w:rsidRPr="007C5B81">
        <w:rPr>
          <w:rFonts w:ascii="Times New Roman" w:hAnsi="Times New Roman"/>
          <w:i/>
          <w:iCs/>
          <w:sz w:val="24"/>
        </w:rPr>
        <w:t>v The Queen</w:t>
      </w:r>
      <w:r w:rsidR="009E41AC" w:rsidRPr="007C5B81">
        <w:rPr>
          <w:rFonts w:ascii="Times New Roman" w:hAnsi="Times New Roman"/>
          <w:sz w:val="24"/>
        </w:rPr>
        <w:t xml:space="preserve"> </w:t>
      </w:r>
      <w:r w:rsidR="00CA76B8" w:rsidRPr="007C5B81">
        <w:rPr>
          <w:rFonts w:ascii="Times New Roman" w:hAnsi="Times New Roman"/>
          <w:sz w:val="24"/>
        </w:rPr>
        <w:t>(</w:t>
      </w:r>
      <w:r w:rsidR="00505E2E" w:rsidRPr="007C5B81">
        <w:rPr>
          <w:rFonts w:ascii="Times New Roman" w:hAnsi="Times New Roman"/>
          <w:sz w:val="24"/>
        </w:rPr>
        <w:t>1995) 183 CLR 108</w:t>
      </w:r>
      <w:r w:rsidR="00490BFD" w:rsidRPr="007C5B81">
        <w:rPr>
          <w:rFonts w:ascii="Times New Roman" w:hAnsi="Times New Roman"/>
          <w:sz w:val="24"/>
        </w:rPr>
        <w:t xml:space="preserve"> at 113</w:t>
      </w:r>
      <w:r w:rsidR="00505E2E" w:rsidRPr="007C5B81">
        <w:rPr>
          <w:rFonts w:ascii="Times New Roman" w:hAnsi="Times New Roman"/>
          <w:sz w:val="24"/>
        </w:rPr>
        <w:t>.</w:t>
      </w:r>
    </w:p>
  </w:footnote>
  <w:footnote w:id="7">
    <w:p w14:paraId="08D217C8" w14:textId="38727F19" w:rsidR="00E4610E" w:rsidRPr="007C5B81" w:rsidRDefault="00E4610E" w:rsidP="007C5B81">
      <w:pPr>
        <w:pStyle w:val="FootnoteText"/>
        <w:spacing w:line="280" w:lineRule="exact"/>
        <w:ind w:right="0"/>
        <w:jc w:val="both"/>
        <w:rPr>
          <w:rFonts w:ascii="Times New Roman" w:hAnsi="Times New Roman"/>
          <w:sz w:val="24"/>
        </w:rPr>
      </w:pPr>
      <w:r w:rsidRPr="007C5B81">
        <w:rPr>
          <w:rStyle w:val="FootnoteReference"/>
          <w:rFonts w:ascii="Times New Roman" w:hAnsi="Times New Roman"/>
          <w:sz w:val="22"/>
          <w:vertAlign w:val="baseline"/>
        </w:rPr>
        <w:footnoteRef/>
      </w:r>
      <w:r w:rsidRPr="007C5B81">
        <w:rPr>
          <w:rFonts w:ascii="Times New Roman" w:hAnsi="Times New Roman"/>
          <w:sz w:val="24"/>
        </w:rPr>
        <w:t xml:space="preserve"> </w:t>
      </w:r>
      <w:r w:rsidRPr="007C5B81">
        <w:rPr>
          <w:rFonts w:ascii="Times New Roman" w:hAnsi="Times New Roman"/>
          <w:sz w:val="24"/>
        </w:rPr>
        <w:tab/>
      </w:r>
      <w:r w:rsidRPr="007C5B81">
        <w:rPr>
          <w:rFonts w:ascii="Times New Roman" w:hAnsi="Times New Roman"/>
          <w:i/>
          <w:iCs/>
          <w:sz w:val="24"/>
        </w:rPr>
        <w:t>Mil</w:t>
      </w:r>
      <w:r w:rsidR="008153C8" w:rsidRPr="007C5B81">
        <w:rPr>
          <w:rFonts w:ascii="Times New Roman" w:hAnsi="Times New Roman"/>
          <w:i/>
          <w:iCs/>
          <w:sz w:val="24"/>
        </w:rPr>
        <w:t>l</w:t>
      </w:r>
      <w:r w:rsidRPr="007C5B81">
        <w:rPr>
          <w:rFonts w:ascii="Times New Roman" w:hAnsi="Times New Roman"/>
          <w:i/>
          <w:iCs/>
          <w:sz w:val="24"/>
        </w:rPr>
        <w:t xml:space="preserve">er v </w:t>
      </w:r>
      <w:r w:rsidR="00260602" w:rsidRPr="007C5B81">
        <w:rPr>
          <w:rFonts w:ascii="Times New Roman" w:hAnsi="Times New Roman"/>
          <w:i/>
          <w:iCs/>
          <w:sz w:val="24"/>
        </w:rPr>
        <w:t>T</w:t>
      </w:r>
      <w:r w:rsidRPr="007C5B81">
        <w:rPr>
          <w:rFonts w:ascii="Times New Roman" w:hAnsi="Times New Roman"/>
          <w:i/>
          <w:iCs/>
          <w:sz w:val="24"/>
        </w:rPr>
        <w:t>he Queen</w:t>
      </w:r>
      <w:r w:rsidRPr="007C5B81">
        <w:rPr>
          <w:rFonts w:ascii="Times New Roman" w:hAnsi="Times New Roman"/>
          <w:sz w:val="24"/>
        </w:rPr>
        <w:t xml:space="preserve"> (2016) </w:t>
      </w:r>
      <w:r w:rsidR="005A5F5F" w:rsidRPr="007C5B81">
        <w:rPr>
          <w:rFonts w:ascii="Times New Roman" w:hAnsi="Times New Roman"/>
          <w:sz w:val="24"/>
        </w:rPr>
        <w:t>259 CLR 380 at 398 [</w:t>
      </w:r>
      <w:r w:rsidR="00A01ED1" w:rsidRPr="007C5B81">
        <w:rPr>
          <w:rFonts w:ascii="Times New Roman" w:hAnsi="Times New Roman"/>
          <w:sz w:val="24"/>
        </w:rPr>
        <w:t>3</w:t>
      </w:r>
      <w:r w:rsidR="005A5F5F" w:rsidRPr="007C5B81">
        <w:rPr>
          <w:rFonts w:ascii="Times New Roman" w:hAnsi="Times New Roman"/>
          <w:sz w:val="24"/>
        </w:rPr>
        <w:t>4].</w:t>
      </w:r>
    </w:p>
  </w:footnote>
  <w:footnote w:id="8">
    <w:p w14:paraId="37480B1A" w14:textId="7AB0813D" w:rsidR="00754797" w:rsidRPr="007C5B81" w:rsidRDefault="00754797" w:rsidP="007C5B81">
      <w:pPr>
        <w:pStyle w:val="FootnoteText"/>
        <w:spacing w:line="280" w:lineRule="exact"/>
        <w:ind w:right="0"/>
        <w:jc w:val="both"/>
        <w:rPr>
          <w:rFonts w:ascii="Times New Roman" w:hAnsi="Times New Roman"/>
          <w:i/>
          <w:iCs/>
          <w:sz w:val="24"/>
        </w:rPr>
      </w:pPr>
      <w:r w:rsidRPr="007C5B81">
        <w:rPr>
          <w:rStyle w:val="FootnoteReference"/>
          <w:rFonts w:ascii="Times New Roman" w:hAnsi="Times New Roman"/>
          <w:sz w:val="22"/>
          <w:vertAlign w:val="baseline"/>
        </w:rPr>
        <w:footnoteRef/>
      </w:r>
      <w:r w:rsidRPr="007C5B81">
        <w:rPr>
          <w:rFonts w:ascii="Times New Roman" w:hAnsi="Times New Roman"/>
          <w:sz w:val="24"/>
        </w:rPr>
        <w:t xml:space="preserve"> </w:t>
      </w:r>
      <w:r w:rsidRPr="007C5B81">
        <w:rPr>
          <w:rFonts w:ascii="Times New Roman" w:hAnsi="Times New Roman"/>
          <w:sz w:val="24"/>
        </w:rPr>
        <w:tab/>
      </w:r>
      <w:r w:rsidR="004F5842" w:rsidRPr="007C5B81">
        <w:rPr>
          <w:rFonts w:ascii="Times New Roman" w:hAnsi="Times New Roman"/>
          <w:i/>
          <w:iCs/>
          <w:sz w:val="24"/>
        </w:rPr>
        <w:t>McAuliffe v The Queen</w:t>
      </w:r>
      <w:r w:rsidR="004F5842" w:rsidRPr="007C5B81">
        <w:rPr>
          <w:rFonts w:ascii="Times New Roman" w:hAnsi="Times New Roman"/>
          <w:sz w:val="24"/>
        </w:rPr>
        <w:t xml:space="preserve"> (1995) 183 CLR 108 at 1</w:t>
      </w:r>
      <w:r w:rsidR="00952DA6" w:rsidRPr="007C5B81">
        <w:rPr>
          <w:rFonts w:ascii="Times New Roman" w:hAnsi="Times New Roman"/>
          <w:sz w:val="24"/>
        </w:rPr>
        <w:t>1</w:t>
      </w:r>
      <w:r w:rsidR="004F5842" w:rsidRPr="007C5B81">
        <w:rPr>
          <w:rFonts w:ascii="Times New Roman" w:hAnsi="Times New Roman"/>
          <w:sz w:val="24"/>
        </w:rPr>
        <w:t>4</w:t>
      </w:r>
      <w:r w:rsidR="00A80FD1" w:rsidRPr="007C5B81">
        <w:rPr>
          <w:rFonts w:ascii="Times New Roman" w:hAnsi="Times New Roman"/>
          <w:sz w:val="24"/>
        </w:rPr>
        <w:t xml:space="preserve">; </w:t>
      </w:r>
      <w:r w:rsidR="00A80FD1" w:rsidRPr="007C5B81">
        <w:rPr>
          <w:rFonts w:ascii="Times New Roman" w:hAnsi="Times New Roman"/>
          <w:i/>
          <w:iCs/>
          <w:sz w:val="24"/>
        </w:rPr>
        <w:t>Miller v The Queen</w:t>
      </w:r>
      <w:r w:rsidR="00A80FD1" w:rsidRPr="007C5B81">
        <w:rPr>
          <w:rFonts w:ascii="Times New Roman" w:hAnsi="Times New Roman"/>
          <w:sz w:val="24"/>
        </w:rPr>
        <w:t xml:space="preserve"> (2016) 259 CLR 380 at 388 [4].</w:t>
      </w:r>
    </w:p>
  </w:footnote>
  <w:footnote w:id="9">
    <w:p w14:paraId="03176AD9" w14:textId="71574E87" w:rsidR="00E662AA" w:rsidRPr="007C5B81" w:rsidRDefault="00E662AA" w:rsidP="007C5B81">
      <w:pPr>
        <w:pStyle w:val="FootnoteText"/>
        <w:spacing w:line="280" w:lineRule="exact"/>
        <w:ind w:right="0"/>
        <w:jc w:val="both"/>
        <w:rPr>
          <w:rFonts w:ascii="Times New Roman" w:hAnsi="Times New Roman"/>
          <w:sz w:val="24"/>
        </w:rPr>
      </w:pPr>
      <w:r w:rsidRPr="007C5B81">
        <w:rPr>
          <w:rStyle w:val="FootnoteReference"/>
          <w:rFonts w:ascii="Times New Roman" w:hAnsi="Times New Roman"/>
          <w:sz w:val="22"/>
          <w:vertAlign w:val="baseline"/>
        </w:rPr>
        <w:footnoteRef/>
      </w:r>
      <w:r w:rsidRPr="007C5B81">
        <w:rPr>
          <w:rFonts w:ascii="Times New Roman" w:hAnsi="Times New Roman"/>
          <w:sz w:val="24"/>
        </w:rPr>
        <w:t xml:space="preserve"> </w:t>
      </w:r>
      <w:r w:rsidRPr="007C5B81">
        <w:rPr>
          <w:rFonts w:ascii="Times New Roman" w:hAnsi="Times New Roman"/>
          <w:sz w:val="24"/>
        </w:rPr>
        <w:tab/>
      </w:r>
      <w:r w:rsidR="00952DA6" w:rsidRPr="007C5B81">
        <w:rPr>
          <w:rFonts w:ascii="Times New Roman" w:hAnsi="Times New Roman"/>
          <w:i/>
          <w:iCs/>
          <w:sz w:val="24"/>
        </w:rPr>
        <w:t xml:space="preserve">Miller v </w:t>
      </w:r>
      <w:r w:rsidR="00260602" w:rsidRPr="007C5B81">
        <w:rPr>
          <w:rFonts w:ascii="Times New Roman" w:hAnsi="Times New Roman"/>
          <w:i/>
          <w:iCs/>
          <w:sz w:val="24"/>
        </w:rPr>
        <w:t>T</w:t>
      </w:r>
      <w:r w:rsidR="00952DA6" w:rsidRPr="007C5B81">
        <w:rPr>
          <w:rFonts w:ascii="Times New Roman" w:hAnsi="Times New Roman"/>
          <w:i/>
          <w:iCs/>
          <w:sz w:val="24"/>
        </w:rPr>
        <w:t>he Queen</w:t>
      </w:r>
      <w:r w:rsidR="00952DA6" w:rsidRPr="007C5B81">
        <w:rPr>
          <w:rFonts w:ascii="Times New Roman" w:hAnsi="Times New Roman"/>
          <w:sz w:val="24"/>
        </w:rPr>
        <w:t xml:space="preserve"> (2016) 259 CLR 380 at 388 [4].</w:t>
      </w:r>
    </w:p>
  </w:footnote>
  <w:footnote w:id="10">
    <w:p w14:paraId="42748D30" w14:textId="0BAC11E0" w:rsidR="006931D1" w:rsidRPr="007C5B81" w:rsidRDefault="006931D1" w:rsidP="007C5B81">
      <w:pPr>
        <w:pStyle w:val="FootnoteText"/>
        <w:spacing w:line="280" w:lineRule="exact"/>
        <w:ind w:right="0"/>
        <w:jc w:val="both"/>
        <w:rPr>
          <w:rFonts w:ascii="Times New Roman" w:hAnsi="Times New Roman"/>
          <w:sz w:val="24"/>
        </w:rPr>
      </w:pPr>
      <w:r w:rsidRPr="007C5B81">
        <w:rPr>
          <w:rStyle w:val="FootnoteReference"/>
          <w:rFonts w:ascii="Times New Roman" w:hAnsi="Times New Roman"/>
          <w:sz w:val="22"/>
          <w:vertAlign w:val="baseline"/>
        </w:rPr>
        <w:footnoteRef/>
      </w:r>
      <w:r w:rsidRPr="007C5B81">
        <w:rPr>
          <w:rFonts w:ascii="Times New Roman" w:hAnsi="Times New Roman"/>
          <w:sz w:val="24"/>
        </w:rPr>
        <w:t xml:space="preserve"> </w:t>
      </w:r>
      <w:r w:rsidRPr="007C5B81">
        <w:rPr>
          <w:rFonts w:ascii="Times New Roman" w:hAnsi="Times New Roman"/>
          <w:sz w:val="24"/>
        </w:rPr>
        <w:tab/>
      </w:r>
      <w:r w:rsidR="00A77148" w:rsidRPr="007C5B81">
        <w:rPr>
          <w:rFonts w:ascii="Times New Roman" w:hAnsi="Times New Roman"/>
          <w:i/>
          <w:iCs/>
          <w:sz w:val="24"/>
        </w:rPr>
        <w:t>McAuliffe v The Queen</w:t>
      </w:r>
      <w:r w:rsidR="00A77148" w:rsidRPr="007C5B81">
        <w:rPr>
          <w:rFonts w:ascii="Times New Roman" w:hAnsi="Times New Roman"/>
          <w:sz w:val="24"/>
        </w:rPr>
        <w:t xml:space="preserve"> (1995) 183 CLR 108</w:t>
      </w:r>
      <w:r w:rsidRPr="007C5B81">
        <w:rPr>
          <w:rFonts w:ascii="Times New Roman" w:hAnsi="Times New Roman"/>
          <w:i/>
          <w:iCs/>
          <w:sz w:val="24"/>
        </w:rPr>
        <w:t xml:space="preserve"> </w:t>
      </w:r>
      <w:r w:rsidR="00B74503" w:rsidRPr="007C5B81">
        <w:rPr>
          <w:rFonts w:ascii="Times New Roman" w:hAnsi="Times New Roman"/>
          <w:sz w:val="24"/>
        </w:rPr>
        <w:t>at 115.</w:t>
      </w:r>
    </w:p>
  </w:footnote>
  <w:footnote w:id="11">
    <w:p w14:paraId="046E3185" w14:textId="605B00D6" w:rsidR="00C63A8D" w:rsidRPr="007C5B81" w:rsidRDefault="00C63A8D" w:rsidP="007C5B81">
      <w:pPr>
        <w:pStyle w:val="FootnoteText"/>
        <w:spacing w:line="280" w:lineRule="exact"/>
        <w:ind w:right="0"/>
        <w:jc w:val="both"/>
        <w:rPr>
          <w:rFonts w:ascii="Times New Roman" w:hAnsi="Times New Roman"/>
          <w:sz w:val="24"/>
        </w:rPr>
      </w:pPr>
      <w:r w:rsidRPr="007C5B81">
        <w:rPr>
          <w:rStyle w:val="FootnoteReference"/>
          <w:rFonts w:ascii="Times New Roman" w:hAnsi="Times New Roman"/>
          <w:sz w:val="22"/>
          <w:vertAlign w:val="baseline"/>
        </w:rPr>
        <w:footnoteRef/>
      </w:r>
      <w:r w:rsidRPr="007C5B81">
        <w:rPr>
          <w:rFonts w:ascii="Times New Roman" w:hAnsi="Times New Roman"/>
          <w:sz w:val="24"/>
        </w:rPr>
        <w:t xml:space="preserve"> </w:t>
      </w:r>
      <w:r w:rsidRPr="007C5B81">
        <w:rPr>
          <w:rFonts w:ascii="Times New Roman" w:hAnsi="Times New Roman"/>
          <w:sz w:val="24"/>
        </w:rPr>
        <w:tab/>
      </w:r>
      <w:r w:rsidRPr="007C5B81">
        <w:rPr>
          <w:rFonts w:ascii="Times New Roman" w:hAnsi="Times New Roman"/>
          <w:i/>
          <w:iCs/>
          <w:sz w:val="24"/>
        </w:rPr>
        <w:t>McAuliffe v The Queen</w:t>
      </w:r>
      <w:r w:rsidR="001A69F5" w:rsidRPr="007C5B81">
        <w:rPr>
          <w:rFonts w:ascii="Times New Roman" w:hAnsi="Times New Roman"/>
          <w:sz w:val="24"/>
        </w:rPr>
        <w:t xml:space="preserve"> </w:t>
      </w:r>
      <w:r w:rsidRPr="007C5B81">
        <w:rPr>
          <w:rFonts w:ascii="Times New Roman" w:hAnsi="Times New Roman"/>
          <w:sz w:val="24"/>
        </w:rPr>
        <w:t>(1995) 183 CLR 108 at 11</w:t>
      </w:r>
      <w:r w:rsidR="005771FD" w:rsidRPr="007C5B81">
        <w:rPr>
          <w:rFonts w:ascii="Times New Roman" w:hAnsi="Times New Roman"/>
          <w:sz w:val="24"/>
        </w:rPr>
        <w:t>8</w:t>
      </w:r>
      <w:r w:rsidR="002F7E85" w:rsidRPr="007C5B81">
        <w:rPr>
          <w:rFonts w:ascii="Times New Roman" w:hAnsi="Times New Roman"/>
          <w:sz w:val="24"/>
        </w:rPr>
        <w:t>;</w:t>
      </w:r>
      <w:r w:rsidRPr="007C5B81">
        <w:rPr>
          <w:rFonts w:ascii="Times New Roman" w:hAnsi="Times New Roman"/>
          <w:sz w:val="24"/>
        </w:rPr>
        <w:t xml:space="preserve"> </w:t>
      </w:r>
      <w:r w:rsidR="00CB62FF" w:rsidRPr="007C5B81">
        <w:rPr>
          <w:rFonts w:ascii="Times New Roman" w:hAnsi="Times New Roman"/>
          <w:i/>
          <w:iCs/>
          <w:sz w:val="24"/>
        </w:rPr>
        <w:t xml:space="preserve">Miller v </w:t>
      </w:r>
      <w:r w:rsidR="00AB3B36" w:rsidRPr="007C5B81">
        <w:rPr>
          <w:rFonts w:ascii="Times New Roman" w:hAnsi="Times New Roman"/>
          <w:i/>
          <w:iCs/>
          <w:sz w:val="24"/>
        </w:rPr>
        <w:t>T</w:t>
      </w:r>
      <w:r w:rsidR="00CB62FF" w:rsidRPr="007C5B81">
        <w:rPr>
          <w:rFonts w:ascii="Times New Roman" w:hAnsi="Times New Roman"/>
          <w:i/>
          <w:iCs/>
          <w:sz w:val="24"/>
        </w:rPr>
        <w:t>he Queen</w:t>
      </w:r>
      <w:r w:rsidR="00CB62FF" w:rsidRPr="007C5B81">
        <w:rPr>
          <w:rFonts w:ascii="Times New Roman" w:hAnsi="Times New Roman"/>
          <w:sz w:val="24"/>
        </w:rPr>
        <w:t xml:space="preserve"> (2016) 259 CLR 380</w:t>
      </w:r>
      <w:r w:rsidR="00C77287" w:rsidRPr="007C5B81">
        <w:rPr>
          <w:rFonts w:ascii="Times New Roman" w:hAnsi="Times New Roman"/>
          <w:sz w:val="24"/>
        </w:rPr>
        <w:t xml:space="preserve"> at</w:t>
      </w:r>
      <w:r w:rsidR="000E5BC7" w:rsidRPr="007C5B81">
        <w:rPr>
          <w:rFonts w:ascii="Times New Roman" w:hAnsi="Times New Roman"/>
          <w:sz w:val="24"/>
        </w:rPr>
        <w:t xml:space="preserve"> 396</w:t>
      </w:r>
      <w:r w:rsidR="000E5BC7" w:rsidRPr="007C5B81">
        <w:rPr>
          <w:rFonts w:ascii="Times New Roman" w:hAnsi="Times New Roman"/>
          <w:sz w:val="24"/>
        </w:rPr>
        <w:noBreakHyphen/>
      </w:r>
      <w:r w:rsidR="00375828" w:rsidRPr="007C5B81">
        <w:rPr>
          <w:rFonts w:ascii="Times New Roman" w:hAnsi="Times New Roman"/>
          <w:sz w:val="24"/>
        </w:rPr>
        <w:t>39</w:t>
      </w:r>
      <w:r w:rsidR="000E5BC7" w:rsidRPr="007C5B81">
        <w:rPr>
          <w:rFonts w:ascii="Times New Roman" w:hAnsi="Times New Roman"/>
          <w:sz w:val="24"/>
        </w:rPr>
        <w:t>7 [30].</w:t>
      </w:r>
    </w:p>
  </w:footnote>
  <w:footnote w:id="12">
    <w:p w14:paraId="1ED92554" w14:textId="39A753C8" w:rsidR="006F0A60" w:rsidRPr="007C5B81" w:rsidRDefault="006F0A60" w:rsidP="007C5B81">
      <w:pPr>
        <w:pStyle w:val="FootnoteText"/>
        <w:spacing w:line="280" w:lineRule="exact"/>
        <w:ind w:right="0"/>
        <w:jc w:val="both"/>
        <w:rPr>
          <w:rFonts w:ascii="Times New Roman" w:hAnsi="Times New Roman"/>
          <w:sz w:val="24"/>
        </w:rPr>
      </w:pPr>
      <w:r w:rsidRPr="007C5B81">
        <w:rPr>
          <w:rStyle w:val="FootnoteReference"/>
          <w:rFonts w:ascii="Times New Roman" w:hAnsi="Times New Roman"/>
          <w:sz w:val="22"/>
          <w:vertAlign w:val="baseline"/>
        </w:rPr>
        <w:footnoteRef/>
      </w:r>
      <w:r w:rsidRPr="007C5B81">
        <w:rPr>
          <w:rFonts w:ascii="Times New Roman" w:hAnsi="Times New Roman"/>
          <w:sz w:val="24"/>
        </w:rPr>
        <w:t xml:space="preserve"> </w:t>
      </w:r>
      <w:r w:rsidRPr="007C5B81">
        <w:rPr>
          <w:rFonts w:ascii="Times New Roman" w:hAnsi="Times New Roman"/>
          <w:sz w:val="24"/>
        </w:rPr>
        <w:tab/>
      </w:r>
      <w:r w:rsidR="00E12DA5" w:rsidRPr="007C5B81">
        <w:rPr>
          <w:rFonts w:ascii="Times New Roman" w:hAnsi="Times New Roman"/>
          <w:i/>
          <w:iCs/>
          <w:sz w:val="24"/>
        </w:rPr>
        <w:t>Clayton v The Queen</w:t>
      </w:r>
      <w:r w:rsidR="00E12DA5" w:rsidRPr="007C5B81">
        <w:rPr>
          <w:rFonts w:ascii="Times New Roman" w:hAnsi="Times New Roman"/>
          <w:sz w:val="24"/>
        </w:rPr>
        <w:t xml:space="preserve"> (2006) 81 ALJR 439 at 443 [17], 444 [20]</w:t>
      </w:r>
      <w:r w:rsidR="008E3BEF" w:rsidRPr="007C5B81">
        <w:rPr>
          <w:rFonts w:ascii="Times New Roman" w:hAnsi="Times New Roman"/>
          <w:sz w:val="24"/>
        </w:rPr>
        <w:t xml:space="preserve">; 231 ALR 500 at 504-505, </w:t>
      </w:r>
      <w:r w:rsidR="000B4F33" w:rsidRPr="007C5B81">
        <w:rPr>
          <w:rFonts w:ascii="Times New Roman" w:hAnsi="Times New Roman"/>
          <w:sz w:val="24"/>
        </w:rPr>
        <w:t>505</w:t>
      </w:r>
      <w:r w:rsidR="00E12DA5" w:rsidRPr="007C5B81">
        <w:rPr>
          <w:rFonts w:ascii="Times New Roman" w:hAnsi="Times New Roman"/>
          <w:sz w:val="24"/>
        </w:rPr>
        <w:t xml:space="preserve">; </w:t>
      </w:r>
      <w:r w:rsidRPr="007C5B81">
        <w:rPr>
          <w:rFonts w:ascii="Times New Roman" w:hAnsi="Times New Roman"/>
          <w:i/>
          <w:iCs/>
          <w:sz w:val="24"/>
        </w:rPr>
        <w:t>Miller</w:t>
      </w:r>
      <w:r w:rsidRPr="007C5B81">
        <w:rPr>
          <w:rFonts w:ascii="Times New Roman" w:hAnsi="Times New Roman"/>
          <w:sz w:val="24"/>
        </w:rPr>
        <w:t xml:space="preserve"> </w:t>
      </w:r>
      <w:r w:rsidR="00262345" w:rsidRPr="007C5B81">
        <w:rPr>
          <w:rFonts w:ascii="Times New Roman" w:hAnsi="Times New Roman"/>
          <w:i/>
          <w:iCs/>
          <w:sz w:val="24"/>
        </w:rPr>
        <w:t xml:space="preserve">v </w:t>
      </w:r>
      <w:r w:rsidR="00AB3B36" w:rsidRPr="007C5B81">
        <w:rPr>
          <w:rFonts w:ascii="Times New Roman" w:hAnsi="Times New Roman"/>
          <w:i/>
          <w:iCs/>
          <w:sz w:val="24"/>
        </w:rPr>
        <w:t>T</w:t>
      </w:r>
      <w:r w:rsidR="00262345" w:rsidRPr="007C5B81">
        <w:rPr>
          <w:rFonts w:ascii="Times New Roman" w:hAnsi="Times New Roman"/>
          <w:i/>
          <w:iCs/>
          <w:sz w:val="24"/>
        </w:rPr>
        <w:t>he Queen</w:t>
      </w:r>
      <w:r w:rsidR="00262345" w:rsidRPr="007C5B81">
        <w:rPr>
          <w:rFonts w:ascii="Times New Roman" w:hAnsi="Times New Roman"/>
          <w:sz w:val="24"/>
        </w:rPr>
        <w:t xml:space="preserve"> (2016) 259 CLR 380 </w:t>
      </w:r>
      <w:r w:rsidR="00A2562F" w:rsidRPr="007C5B81">
        <w:rPr>
          <w:rFonts w:ascii="Times New Roman" w:hAnsi="Times New Roman"/>
          <w:sz w:val="24"/>
        </w:rPr>
        <w:t xml:space="preserve">at </w:t>
      </w:r>
      <w:r w:rsidRPr="007C5B81">
        <w:rPr>
          <w:rFonts w:ascii="Times New Roman" w:hAnsi="Times New Roman"/>
          <w:sz w:val="24"/>
        </w:rPr>
        <w:t>388 [4]</w:t>
      </w:r>
      <w:r w:rsidR="00E12DA5" w:rsidRPr="007C5B81">
        <w:rPr>
          <w:rFonts w:ascii="Times New Roman" w:hAnsi="Times New Roman"/>
          <w:sz w:val="24"/>
        </w:rPr>
        <w:t>.</w:t>
      </w:r>
      <w:r w:rsidR="00AC4DBB" w:rsidRPr="007C5B81">
        <w:rPr>
          <w:rFonts w:ascii="Times New Roman" w:hAnsi="Times New Roman"/>
          <w:sz w:val="24"/>
        </w:rPr>
        <w:t xml:space="preserve"> </w:t>
      </w:r>
    </w:p>
  </w:footnote>
  <w:footnote w:id="13">
    <w:p w14:paraId="4D09B79B" w14:textId="596D8601" w:rsidR="002F5B3E" w:rsidRPr="007C5B81" w:rsidRDefault="002F5B3E" w:rsidP="007C5B81">
      <w:pPr>
        <w:pStyle w:val="FootnoteText"/>
        <w:spacing w:line="280" w:lineRule="exact"/>
        <w:ind w:right="0"/>
        <w:jc w:val="both"/>
        <w:rPr>
          <w:rFonts w:ascii="Times New Roman" w:hAnsi="Times New Roman"/>
          <w:sz w:val="24"/>
        </w:rPr>
      </w:pPr>
      <w:r w:rsidRPr="007C5B81">
        <w:rPr>
          <w:rStyle w:val="FootnoteReference"/>
          <w:rFonts w:ascii="Times New Roman" w:hAnsi="Times New Roman"/>
          <w:sz w:val="22"/>
          <w:vertAlign w:val="baseline"/>
        </w:rPr>
        <w:footnoteRef/>
      </w:r>
      <w:r w:rsidRPr="007C5B81">
        <w:rPr>
          <w:rFonts w:ascii="Times New Roman" w:hAnsi="Times New Roman"/>
          <w:sz w:val="24"/>
        </w:rPr>
        <w:t xml:space="preserve"> </w:t>
      </w:r>
      <w:r w:rsidRPr="007C5B81">
        <w:rPr>
          <w:rFonts w:ascii="Times New Roman" w:hAnsi="Times New Roman"/>
          <w:sz w:val="24"/>
        </w:rPr>
        <w:tab/>
      </w:r>
      <w:r w:rsidR="006335AA" w:rsidRPr="007C5B81">
        <w:rPr>
          <w:rFonts w:ascii="Times New Roman" w:hAnsi="Times New Roman"/>
          <w:i/>
          <w:iCs/>
          <w:sz w:val="24"/>
        </w:rPr>
        <w:t>McAuliffe v The Queen</w:t>
      </w:r>
      <w:r w:rsidR="006335AA" w:rsidRPr="007C5B81">
        <w:rPr>
          <w:rFonts w:ascii="Times New Roman" w:hAnsi="Times New Roman"/>
          <w:sz w:val="24"/>
        </w:rPr>
        <w:t xml:space="preserve"> (1995) 183 CLR 108</w:t>
      </w:r>
      <w:r w:rsidR="00F33C1C" w:rsidRPr="007C5B81">
        <w:rPr>
          <w:rFonts w:ascii="Times New Roman" w:hAnsi="Times New Roman"/>
          <w:sz w:val="24"/>
        </w:rPr>
        <w:t xml:space="preserve"> at 118.</w:t>
      </w:r>
    </w:p>
  </w:footnote>
  <w:footnote w:id="14">
    <w:p w14:paraId="6704CB73" w14:textId="59BAC534" w:rsidR="00F33C1C" w:rsidRPr="007C5B81" w:rsidRDefault="00F33C1C" w:rsidP="007C5B81">
      <w:pPr>
        <w:pStyle w:val="FootnoteText"/>
        <w:spacing w:line="280" w:lineRule="exact"/>
        <w:ind w:right="0"/>
        <w:jc w:val="both"/>
        <w:rPr>
          <w:rFonts w:ascii="Times New Roman" w:hAnsi="Times New Roman"/>
          <w:sz w:val="24"/>
        </w:rPr>
      </w:pPr>
      <w:r w:rsidRPr="007C5B81">
        <w:rPr>
          <w:rStyle w:val="FootnoteReference"/>
          <w:rFonts w:ascii="Times New Roman" w:hAnsi="Times New Roman"/>
          <w:sz w:val="22"/>
          <w:vertAlign w:val="baseline"/>
        </w:rPr>
        <w:footnoteRef/>
      </w:r>
      <w:r w:rsidRPr="007C5B81">
        <w:rPr>
          <w:rFonts w:ascii="Times New Roman" w:hAnsi="Times New Roman"/>
          <w:sz w:val="24"/>
        </w:rPr>
        <w:t xml:space="preserve"> </w:t>
      </w:r>
      <w:r w:rsidRPr="007C5B81">
        <w:rPr>
          <w:rFonts w:ascii="Times New Roman" w:hAnsi="Times New Roman"/>
          <w:sz w:val="24"/>
        </w:rPr>
        <w:tab/>
      </w:r>
      <w:r w:rsidR="006335AA" w:rsidRPr="007C5B81">
        <w:rPr>
          <w:rFonts w:ascii="Times New Roman" w:hAnsi="Times New Roman"/>
          <w:i/>
          <w:iCs/>
          <w:sz w:val="24"/>
        </w:rPr>
        <w:t>McAuliffe v The Queen</w:t>
      </w:r>
      <w:r w:rsidR="006335AA" w:rsidRPr="007C5B81">
        <w:rPr>
          <w:rFonts w:ascii="Times New Roman" w:hAnsi="Times New Roman"/>
          <w:sz w:val="24"/>
        </w:rPr>
        <w:t xml:space="preserve"> (1995) 183 CLR 108</w:t>
      </w:r>
      <w:r w:rsidRPr="007C5B81">
        <w:rPr>
          <w:rFonts w:ascii="Times New Roman" w:hAnsi="Times New Roman"/>
          <w:sz w:val="24"/>
        </w:rPr>
        <w:t xml:space="preserve"> at 118.</w:t>
      </w:r>
    </w:p>
  </w:footnote>
  <w:footnote w:id="15">
    <w:p w14:paraId="069FEEED" w14:textId="6D2C4ADB" w:rsidR="000B3841" w:rsidRPr="007C5B81" w:rsidRDefault="000B3841" w:rsidP="007C5B81">
      <w:pPr>
        <w:pStyle w:val="FootnoteText"/>
        <w:spacing w:line="280" w:lineRule="exact"/>
        <w:ind w:right="0"/>
        <w:jc w:val="both"/>
        <w:rPr>
          <w:rFonts w:ascii="Times New Roman" w:hAnsi="Times New Roman"/>
          <w:sz w:val="24"/>
        </w:rPr>
      </w:pPr>
      <w:r w:rsidRPr="007C5B81">
        <w:rPr>
          <w:rStyle w:val="FootnoteReference"/>
          <w:rFonts w:ascii="Times New Roman" w:hAnsi="Times New Roman"/>
          <w:sz w:val="22"/>
          <w:vertAlign w:val="baseline"/>
        </w:rPr>
        <w:footnoteRef/>
      </w:r>
      <w:r w:rsidRPr="007C5B81">
        <w:rPr>
          <w:rFonts w:ascii="Times New Roman" w:hAnsi="Times New Roman"/>
          <w:sz w:val="24"/>
        </w:rPr>
        <w:t xml:space="preserve"> </w:t>
      </w:r>
      <w:r w:rsidRPr="007C5B81">
        <w:rPr>
          <w:rFonts w:ascii="Times New Roman" w:hAnsi="Times New Roman"/>
          <w:sz w:val="24"/>
        </w:rPr>
        <w:tab/>
      </w:r>
      <w:r w:rsidR="006335AA" w:rsidRPr="007C5B81">
        <w:rPr>
          <w:rFonts w:ascii="Times New Roman" w:hAnsi="Times New Roman"/>
          <w:i/>
          <w:iCs/>
          <w:sz w:val="24"/>
        </w:rPr>
        <w:t>McAuliffe v The Queen</w:t>
      </w:r>
      <w:r w:rsidR="006335AA" w:rsidRPr="007C5B81">
        <w:rPr>
          <w:rFonts w:ascii="Times New Roman" w:hAnsi="Times New Roman"/>
          <w:sz w:val="24"/>
        </w:rPr>
        <w:t xml:space="preserve"> (1995) 183 CLR 108</w:t>
      </w:r>
      <w:r w:rsidRPr="007C5B81">
        <w:rPr>
          <w:rFonts w:ascii="Times New Roman" w:hAnsi="Times New Roman"/>
          <w:sz w:val="24"/>
        </w:rPr>
        <w:t xml:space="preserve"> </w:t>
      </w:r>
      <w:r w:rsidR="002D13CC" w:rsidRPr="007C5B81">
        <w:rPr>
          <w:rFonts w:ascii="Times New Roman" w:hAnsi="Times New Roman"/>
          <w:sz w:val="24"/>
        </w:rPr>
        <w:t xml:space="preserve">at </w:t>
      </w:r>
      <w:r w:rsidRPr="007C5B81">
        <w:rPr>
          <w:rFonts w:ascii="Times New Roman" w:hAnsi="Times New Roman"/>
          <w:sz w:val="24"/>
        </w:rPr>
        <w:t>115.</w:t>
      </w:r>
    </w:p>
  </w:footnote>
  <w:footnote w:id="16">
    <w:p w14:paraId="487CE892" w14:textId="5740B422" w:rsidR="00EE2530" w:rsidRPr="007C5B81" w:rsidRDefault="00EE2530" w:rsidP="007C5B81">
      <w:pPr>
        <w:pStyle w:val="FootnoteText"/>
        <w:spacing w:line="280" w:lineRule="exact"/>
        <w:ind w:right="0"/>
        <w:jc w:val="both"/>
        <w:rPr>
          <w:rFonts w:ascii="Times New Roman" w:hAnsi="Times New Roman"/>
          <w:sz w:val="24"/>
        </w:rPr>
      </w:pPr>
      <w:r w:rsidRPr="007C5B81">
        <w:rPr>
          <w:rStyle w:val="FootnoteReference"/>
          <w:rFonts w:ascii="Times New Roman" w:hAnsi="Times New Roman"/>
          <w:sz w:val="22"/>
          <w:vertAlign w:val="baseline"/>
        </w:rPr>
        <w:footnoteRef/>
      </w:r>
      <w:r w:rsidRPr="007C5B81">
        <w:rPr>
          <w:rFonts w:ascii="Times New Roman" w:hAnsi="Times New Roman"/>
          <w:sz w:val="24"/>
        </w:rPr>
        <w:t xml:space="preserve"> </w:t>
      </w:r>
      <w:r w:rsidRPr="007C5B81">
        <w:rPr>
          <w:rFonts w:ascii="Times New Roman" w:hAnsi="Times New Roman"/>
          <w:sz w:val="24"/>
        </w:rPr>
        <w:tab/>
      </w:r>
      <w:r w:rsidR="00EC6DF2" w:rsidRPr="007C5B81">
        <w:rPr>
          <w:rFonts w:ascii="Times New Roman" w:hAnsi="Times New Roman"/>
          <w:i/>
          <w:iCs/>
          <w:sz w:val="24"/>
        </w:rPr>
        <w:t>McAuliffe v The Queen</w:t>
      </w:r>
      <w:r w:rsidR="00EC6DF2" w:rsidRPr="007C5B81">
        <w:rPr>
          <w:rFonts w:ascii="Times New Roman" w:hAnsi="Times New Roman"/>
          <w:sz w:val="24"/>
        </w:rPr>
        <w:t xml:space="preserve"> (1995) 183 CLR 108</w:t>
      </w:r>
      <w:r w:rsidRPr="007C5B81">
        <w:rPr>
          <w:rFonts w:ascii="Times New Roman" w:hAnsi="Times New Roman"/>
          <w:sz w:val="24"/>
        </w:rPr>
        <w:t xml:space="preserve"> </w:t>
      </w:r>
      <w:r w:rsidR="002D13CC" w:rsidRPr="007C5B81">
        <w:rPr>
          <w:rFonts w:ascii="Times New Roman" w:hAnsi="Times New Roman"/>
          <w:sz w:val="24"/>
        </w:rPr>
        <w:t xml:space="preserve">at </w:t>
      </w:r>
      <w:r w:rsidRPr="007C5B81">
        <w:rPr>
          <w:rFonts w:ascii="Times New Roman" w:hAnsi="Times New Roman"/>
          <w:sz w:val="24"/>
        </w:rPr>
        <w:t>117-118.</w:t>
      </w:r>
    </w:p>
  </w:footnote>
  <w:footnote w:id="17">
    <w:p w14:paraId="2D2A96A7" w14:textId="0BF7AC0A" w:rsidR="00DC307F" w:rsidRPr="007C5B81" w:rsidRDefault="00DC307F" w:rsidP="007C5B81">
      <w:pPr>
        <w:pStyle w:val="FootnoteText"/>
        <w:spacing w:line="280" w:lineRule="exact"/>
        <w:ind w:right="0"/>
        <w:jc w:val="both"/>
        <w:rPr>
          <w:rFonts w:ascii="Times New Roman" w:hAnsi="Times New Roman"/>
          <w:sz w:val="24"/>
        </w:rPr>
      </w:pPr>
      <w:r w:rsidRPr="007C5B81">
        <w:rPr>
          <w:rStyle w:val="FootnoteReference"/>
          <w:rFonts w:ascii="Times New Roman" w:hAnsi="Times New Roman"/>
          <w:sz w:val="22"/>
          <w:vertAlign w:val="baseline"/>
        </w:rPr>
        <w:footnoteRef/>
      </w:r>
      <w:r w:rsidRPr="007C5B81">
        <w:rPr>
          <w:rFonts w:ascii="Times New Roman" w:hAnsi="Times New Roman"/>
          <w:sz w:val="24"/>
        </w:rPr>
        <w:t xml:space="preserve"> </w:t>
      </w:r>
      <w:r w:rsidRPr="007C5B81">
        <w:rPr>
          <w:rFonts w:ascii="Times New Roman" w:hAnsi="Times New Roman"/>
          <w:sz w:val="24"/>
        </w:rPr>
        <w:tab/>
      </w:r>
      <w:r w:rsidRPr="007C5B81">
        <w:rPr>
          <w:rFonts w:ascii="Times New Roman" w:hAnsi="Times New Roman"/>
          <w:i/>
          <w:iCs/>
          <w:sz w:val="24"/>
        </w:rPr>
        <w:t xml:space="preserve">R v </w:t>
      </w:r>
      <w:proofErr w:type="spellStart"/>
      <w:r w:rsidRPr="007C5B81">
        <w:rPr>
          <w:rFonts w:ascii="Times New Roman" w:hAnsi="Times New Roman"/>
          <w:i/>
          <w:iCs/>
          <w:sz w:val="24"/>
        </w:rPr>
        <w:t>Jog</w:t>
      </w:r>
      <w:r w:rsidR="00BB23AA" w:rsidRPr="007C5B81">
        <w:rPr>
          <w:rFonts w:ascii="Times New Roman" w:hAnsi="Times New Roman"/>
          <w:i/>
          <w:iCs/>
          <w:sz w:val="24"/>
        </w:rPr>
        <w:t>ee</w:t>
      </w:r>
      <w:proofErr w:type="spellEnd"/>
      <w:r w:rsidRPr="007C5B81">
        <w:rPr>
          <w:rFonts w:ascii="Times New Roman" w:hAnsi="Times New Roman"/>
          <w:sz w:val="24"/>
        </w:rPr>
        <w:t xml:space="preserve"> </w:t>
      </w:r>
      <w:r w:rsidR="00F10FC6" w:rsidRPr="007C5B81">
        <w:rPr>
          <w:rFonts w:ascii="Times New Roman" w:hAnsi="Times New Roman"/>
          <w:sz w:val="24"/>
        </w:rPr>
        <w:t>[</w:t>
      </w:r>
      <w:r w:rsidRPr="007C5B81">
        <w:rPr>
          <w:rFonts w:ascii="Times New Roman" w:hAnsi="Times New Roman"/>
          <w:sz w:val="24"/>
        </w:rPr>
        <w:t>2017</w:t>
      </w:r>
      <w:r w:rsidR="00F10FC6" w:rsidRPr="007C5B81">
        <w:rPr>
          <w:rFonts w:ascii="Times New Roman" w:hAnsi="Times New Roman"/>
          <w:sz w:val="24"/>
        </w:rPr>
        <w:t>]</w:t>
      </w:r>
      <w:r w:rsidRPr="007C5B81">
        <w:rPr>
          <w:rFonts w:ascii="Times New Roman" w:hAnsi="Times New Roman"/>
          <w:sz w:val="24"/>
        </w:rPr>
        <w:t xml:space="preserve"> AC 387.</w:t>
      </w:r>
    </w:p>
  </w:footnote>
  <w:footnote w:id="18">
    <w:p w14:paraId="6A6E5676" w14:textId="2C6E15EE" w:rsidR="00791CA2" w:rsidRPr="007C5B81" w:rsidRDefault="00791CA2" w:rsidP="007C5B81">
      <w:pPr>
        <w:pStyle w:val="FootnoteText"/>
        <w:spacing w:line="280" w:lineRule="exact"/>
        <w:ind w:right="0"/>
        <w:jc w:val="both"/>
        <w:rPr>
          <w:rFonts w:ascii="Times New Roman" w:hAnsi="Times New Roman"/>
          <w:sz w:val="24"/>
        </w:rPr>
      </w:pPr>
      <w:r w:rsidRPr="007C5B81">
        <w:rPr>
          <w:rStyle w:val="FootnoteReference"/>
          <w:rFonts w:ascii="Times New Roman" w:hAnsi="Times New Roman"/>
          <w:sz w:val="22"/>
          <w:vertAlign w:val="baseline"/>
        </w:rPr>
        <w:footnoteRef/>
      </w:r>
      <w:r w:rsidRPr="007C5B81">
        <w:rPr>
          <w:rFonts w:ascii="Times New Roman" w:hAnsi="Times New Roman"/>
          <w:sz w:val="24"/>
        </w:rPr>
        <w:t xml:space="preserve"> </w:t>
      </w:r>
      <w:r w:rsidRPr="007C5B81">
        <w:rPr>
          <w:rFonts w:ascii="Times New Roman" w:hAnsi="Times New Roman"/>
          <w:sz w:val="24"/>
        </w:rPr>
        <w:tab/>
      </w:r>
      <w:r w:rsidR="009F5385" w:rsidRPr="007C5B81">
        <w:rPr>
          <w:rFonts w:ascii="Times New Roman" w:hAnsi="Times New Roman"/>
          <w:i/>
          <w:iCs/>
          <w:sz w:val="24"/>
        </w:rPr>
        <w:t>Miller v The Queen</w:t>
      </w:r>
      <w:r w:rsidR="009F5385" w:rsidRPr="007C5B81">
        <w:rPr>
          <w:rFonts w:ascii="Times New Roman" w:hAnsi="Times New Roman"/>
          <w:sz w:val="24"/>
        </w:rPr>
        <w:t xml:space="preserve"> </w:t>
      </w:r>
      <w:r w:rsidRPr="007C5B81">
        <w:rPr>
          <w:rFonts w:ascii="Times New Roman" w:hAnsi="Times New Roman"/>
          <w:sz w:val="24"/>
        </w:rPr>
        <w:t xml:space="preserve">(2016) 259 CLR 380. </w:t>
      </w:r>
    </w:p>
  </w:footnote>
  <w:footnote w:id="19">
    <w:p w14:paraId="41B9EF6D" w14:textId="378FB94D" w:rsidR="004A1EBC" w:rsidRPr="007C5B81" w:rsidRDefault="004A1EBC" w:rsidP="007C5B81">
      <w:pPr>
        <w:pStyle w:val="FootnoteText"/>
        <w:spacing w:line="280" w:lineRule="exact"/>
        <w:ind w:right="0"/>
        <w:jc w:val="both"/>
        <w:rPr>
          <w:rFonts w:ascii="Times New Roman" w:hAnsi="Times New Roman"/>
          <w:sz w:val="24"/>
        </w:rPr>
      </w:pPr>
      <w:r w:rsidRPr="007C5B81">
        <w:rPr>
          <w:rStyle w:val="FootnoteReference"/>
          <w:rFonts w:ascii="Times New Roman" w:hAnsi="Times New Roman"/>
          <w:sz w:val="22"/>
          <w:vertAlign w:val="baseline"/>
        </w:rPr>
        <w:footnoteRef/>
      </w:r>
      <w:r w:rsidRPr="007C5B81">
        <w:rPr>
          <w:rFonts w:ascii="Times New Roman" w:hAnsi="Times New Roman"/>
          <w:sz w:val="24"/>
        </w:rPr>
        <w:t xml:space="preserve"> </w:t>
      </w:r>
      <w:r w:rsidRPr="007C5B81">
        <w:rPr>
          <w:rFonts w:ascii="Times New Roman" w:hAnsi="Times New Roman"/>
          <w:sz w:val="24"/>
        </w:rPr>
        <w:tab/>
      </w:r>
      <w:r w:rsidR="00BB23AA" w:rsidRPr="007C5B81">
        <w:rPr>
          <w:rFonts w:ascii="Times New Roman" w:hAnsi="Times New Roman"/>
          <w:i/>
          <w:iCs/>
          <w:sz w:val="24"/>
        </w:rPr>
        <w:t>R</w:t>
      </w:r>
      <w:r w:rsidR="007F638A" w:rsidRPr="007C5B81">
        <w:rPr>
          <w:rFonts w:ascii="Times New Roman" w:hAnsi="Times New Roman"/>
          <w:i/>
          <w:iCs/>
          <w:sz w:val="24"/>
        </w:rPr>
        <w:t xml:space="preserve"> v Solomon</w:t>
      </w:r>
      <w:r w:rsidR="007F638A" w:rsidRPr="007C5B81">
        <w:rPr>
          <w:rFonts w:ascii="Times New Roman" w:hAnsi="Times New Roman"/>
          <w:sz w:val="24"/>
        </w:rPr>
        <w:t xml:space="preserve"> </w:t>
      </w:r>
      <w:r w:rsidR="007E701B" w:rsidRPr="007C5B81">
        <w:rPr>
          <w:rFonts w:ascii="Times New Roman" w:hAnsi="Times New Roman"/>
          <w:sz w:val="24"/>
        </w:rPr>
        <w:t>[</w:t>
      </w:r>
      <w:r w:rsidR="007F638A" w:rsidRPr="007C5B81">
        <w:rPr>
          <w:rFonts w:ascii="Times New Roman" w:hAnsi="Times New Roman"/>
          <w:sz w:val="24"/>
        </w:rPr>
        <w:t>1959</w:t>
      </w:r>
      <w:r w:rsidR="007E701B" w:rsidRPr="007C5B81">
        <w:rPr>
          <w:rFonts w:ascii="Times New Roman" w:hAnsi="Times New Roman"/>
          <w:sz w:val="24"/>
        </w:rPr>
        <w:t>]</w:t>
      </w:r>
      <w:r w:rsidR="007F638A" w:rsidRPr="007C5B81">
        <w:rPr>
          <w:rFonts w:ascii="Times New Roman" w:hAnsi="Times New Roman"/>
          <w:sz w:val="24"/>
        </w:rPr>
        <w:t xml:space="preserve"> </w:t>
      </w:r>
      <w:proofErr w:type="spellStart"/>
      <w:r w:rsidR="007F638A" w:rsidRPr="007C5B81">
        <w:rPr>
          <w:rFonts w:ascii="Times New Roman" w:hAnsi="Times New Roman"/>
          <w:sz w:val="24"/>
        </w:rPr>
        <w:t>Qd</w:t>
      </w:r>
      <w:proofErr w:type="spellEnd"/>
      <w:r w:rsidR="002D13CC" w:rsidRPr="007C5B81">
        <w:rPr>
          <w:rFonts w:ascii="Times New Roman" w:hAnsi="Times New Roman"/>
          <w:sz w:val="24"/>
        </w:rPr>
        <w:t xml:space="preserve"> </w:t>
      </w:r>
      <w:r w:rsidR="007F638A" w:rsidRPr="007C5B81">
        <w:rPr>
          <w:rFonts w:ascii="Times New Roman" w:hAnsi="Times New Roman"/>
          <w:sz w:val="24"/>
        </w:rPr>
        <w:t>R 123</w:t>
      </w:r>
      <w:r w:rsidR="007E3AD9" w:rsidRPr="007C5B81">
        <w:rPr>
          <w:rFonts w:ascii="Times New Roman" w:hAnsi="Times New Roman"/>
          <w:sz w:val="24"/>
        </w:rPr>
        <w:t xml:space="preserve"> at</w:t>
      </w:r>
      <w:r w:rsidR="007F638A" w:rsidRPr="007C5B81">
        <w:rPr>
          <w:rFonts w:ascii="Times New Roman" w:hAnsi="Times New Roman"/>
          <w:sz w:val="24"/>
        </w:rPr>
        <w:t xml:space="preserve"> 126-</w:t>
      </w:r>
      <w:r w:rsidR="00E40CD4" w:rsidRPr="007C5B81">
        <w:rPr>
          <w:rFonts w:ascii="Times New Roman" w:hAnsi="Times New Roman"/>
          <w:sz w:val="24"/>
        </w:rPr>
        <w:t>12</w:t>
      </w:r>
      <w:r w:rsidR="007F638A" w:rsidRPr="007C5B81">
        <w:rPr>
          <w:rFonts w:ascii="Times New Roman" w:hAnsi="Times New Roman"/>
          <w:sz w:val="24"/>
        </w:rPr>
        <w:t>7.</w:t>
      </w:r>
    </w:p>
  </w:footnote>
  <w:footnote w:id="20">
    <w:p w14:paraId="2B943F27" w14:textId="69552D33" w:rsidR="00183A96" w:rsidRPr="007C5B81" w:rsidRDefault="00183A96" w:rsidP="007C5B81">
      <w:pPr>
        <w:pStyle w:val="FootnoteText"/>
        <w:spacing w:line="280" w:lineRule="exact"/>
        <w:ind w:right="0"/>
        <w:jc w:val="both"/>
        <w:rPr>
          <w:rFonts w:ascii="Times New Roman" w:hAnsi="Times New Roman"/>
          <w:sz w:val="24"/>
        </w:rPr>
      </w:pPr>
      <w:r w:rsidRPr="007C5B81">
        <w:rPr>
          <w:rStyle w:val="FootnoteReference"/>
          <w:rFonts w:ascii="Times New Roman" w:hAnsi="Times New Roman"/>
          <w:sz w:val="22"/>
          <w:vertAlign w:val="baseline"/>
        </w:rPr>
        <w:footnoteRef/>
      </w:r>
      <w:r w:rsidRPr="007C5B81">
        <w:rPr>
          <w:rFonts w:ascii="Times New Roman" w:hAnsi="Times New Roman"/>
          <w:sz w:val="24"/>
        </w:rPr>
        <w:t xml:space="preserve"> </w:t>
      </w:r>
      <w:r w:rsidRPr="007C5B81">
        <w:rPr>
          <w:rFonts w:ascii="Times New Roman" w:hAnsi="Times New Roman"/>
          <w:sz w:val="24"/>
        </w:rPr>
        <w:tab/>
      </w:r>
      <w:proofErr w:type="spellStart"/>
      <w:r w:rsidRPr="007C5B81">
        <w:rPr>
          <w:rFonts w:ascii="Times New Roman" w:hAnsi="Times New Roman"/>
          <w:i/>
          <w:iCs/>
          <w:sz w:val="24"/>
        </w:rPr>
        <w:t>Arulthilakan</w:t>
      </w:r>
      <w:proofErr w:type="spellEnd"/>
      <w:r w:rsidRPr="007C5B81">
        <w:rPr>
          <w:rFonts w:ascii="Times New Roman" w:hAnsi="Times New Roman"/>
          <w:i/>
          <w:iCs/>
          <w:sz w:val="24"/>
        </w:rPr>
        <w:t xml:space="preserve"> v The Queen</w:t>
      </w:r>
      <w:r w:rsidRPr="007C5B81">
        <w:rPr>
          <w:rFonts w:ascii="Times New Roman" w:hAnsi="Times New Roman"/>
          <w:sz w:val="24"/>
        </w:rPr>
        <w:t xml:space="preserve"> (2003) 78 ALJR 257 at 263 [28]</w:t>
      </w:r>
      <w:r w:rsidR="00330DA8" w:rsidRPr="007C5B81">
        <w:rPr>
          <w:rFonts w:ascii="Times New Roman" w:hAnsi="Times New Roman"/>
          <w:sz w:val="24"/>
        </w:rPr>
        <w:t>; 203 ALR 259 at 266</w:t>
      </w:r>
      <w:r w:rsidR="00484D62" w:rsidRPr="007C5B81">
        <w:rPr>
          <w:rFonts w:ascii="Times New Roman" w:hAnsi="Times New Roman"/>
          <w:sz w:val="24"/>
        </w:rPr>
        <w:t>.</w:t>
      </w:r>
      <w:r w:rsidR="008C0AC1" w:rsidRPr="007C5B81">
        <w:rPr>
          <w:rFonts w:ascii="Times New Roman" w:hAnsi="Times New Roman"/>
          <w:sz w:val="24"/>
        </w:rPr>
        <w:t xml:space="preserve"> </w:t>
      </w:r>
      <w:r w:rsidR="00484D62" w:rsidRPr="007C5B81">
        <w:rPr>
          <w:rFonts w:ascii="Times New Roman" w:hAnsi="Times New Roman"/>
          <w:sz w:val="24"/>
        </w:rPr>
        <w:t>S</w:t>
      </w:r>
      <w:r w:rsidR="008C0AC1" w:rsidRPr="007C5B81">
        <w:rPr>
          <w:rFonts w:ascii="Times New Roman" w:hAnsi="Times New Roman"/>
          <w:sz w:val="24"/>
        </w:rPr>
        <w:t xml:space="preserve">ee also </w:t>
      </w:r>
      <w:r w:rsidR="008C0AC1" w:rsidRPr="007C5B81">
        <w:rPr>
          <w:rFonts w:ascii="Times New Roman" w:hAnsi="Times New Roman"/>
          <w:i/>
          <w:iCs/>
          <w:sz w:val="24"/>
        </w:rPr>
        <w:t xml:space="preserve">R v </w:t>
      </w:r>
      <w:r w:rsidR="005E18F6" w:rsidRPr="007C5B81">
        <w:rPr>
          <w:rFonts w:ascii="Times New Roman" w:hAnsi="Times New Roman"/>
          <w:i/>
          <w:iCs/>
          <w:sz w:val="24"/>
        </w:rPr>
        <w:t>R</w:t>
      </w:r>
      <w:r w:rsidR="00632602" w:rsidRPr="007C5B81">
        <w:rPr>
          <w:rFonts w:ascii="Times New Roman" w:hAnsi="Times New Roman"/>
          <w:sz w:val="24"/>
        </w:rPr>
        <w:t xml:space="preserve"> (1995) 63 SASR 417</w:t>
      </w:r>
      <w:r w:rsidR="00B40202" w:rsidRPr="007C5B81">
        <w:rPr>
          <w:rFonts w:ascii="Times New Roman" w:hAnsi="Times New Roman"/>
          <w:sz w:val="24"/>
        </w:rPr>
        <w:t>;</w:t>
      </w:r>
      <w:r w:rsidR="00632602" w:rsidRPr="007C5B81">
        <w:rPr>
          <w:rFonts w:ascii="Times New Roman" w:hAnsi="Times New Roman"/>
          <w:sz w:val="24"/>
        </w:rPr>
        <w:t xml:space="preserve"> </w:t>
      </w:r>
      <w:r w:rsidR="00632602" w:rsidRPr="007C5B81">
        <w:rPr>
          <w:rFonts w:ascii="Times New Roman" w:hAnsi="Times New Roman"/>
          <w:i/>
          <w:iCs/>
          <w:sz w:val="24"/>
        </w:rPr>
        <w:t>R v CMM</w:t>
      </w:r>
      <w:r w:rsidR="00632602" w:rsidRPr="007C5B81">
        <w:rPr>
          <w:rFonts w:ascii="Times New Roman" w:hAnsi="Times New Roman"/>
          <w:sz w:val="24"/>
        </w:rPr>
        <w:t xml:space="preserve"> (200</w:t>
      </w:r>
      <w:r w:rsidR="00B40202" w:rsidRPr="007C5B81">
        <w:rPr>
          <w:rFonts w:ascii="Times New Roman" w:hAnsi="Times New Roman"/>
          <w:sz w:val="24"/>
        </w:rPr>
        <w:t>2</w:t>
      </w:r>
      <w:r w:rsidR="00632602" w:rsidRPr="007C5B81">
        <w:rPr>
          <w:rFonts w:ascii="Times New Roman" w:hAnsi="Times New Roman"/>
          <w:sz w:val="24"/>
        </w:rPr>
        <w:t>) 81 SASR 300</w:t>
      </w:r>
      <w:r w:rsidRPr="007C5B81">
        <w:rPr>
          <w:rFonts w:ascii="Times New Roman" w:hAnsi="Times New Roman"/>
          <w:sz w:val="24"/>
        </w:rPr>
        <w:t>.</w:t>
      </w:r>
    </w:p>
  </w:footnote>
  <w:footnote w:id="21">
    <w:p w14:paraId="121B4A59" w14:textId="285B716C" w:rsidR="00527A62" w:rsidRPr="007C5B81" w:rsidRDefault="00527A62" w:rsidP="007C5B81">
      <w:pPr>
        <w:pStyle w:val="FootnoteText"/>
        <w:spacing w:line="280" w:lineRule="exact"/>
        <w:ind w:right="0"/>
        <w:jc w:val="both"/>
        <w:rPr>
          <w:rFonts w:ascii="Times New Roman" w:hAnsi="Times New Roman"/>
          <w:sz w:val="24"/>
        </w:rPr>
      </w:pPr>
      <w:r w:rsidRPr="007C5B81">
        <w:rPr>
          <w:rStyle w:val="FootnoteReference"/>
          <w:rFonts w:ascii="Times New Roman" w:hAnsi="Times New Roman"/>
          <w:sz w:val="22"/>
          <w:vertAlign w:val="baseline"/>
        </w:rPr>
        <w:footnoteRef/>
      </w:r>
      <w:r w:rsidRPr="007C5B81">
        <w:rPr>
          <w:rFonts w:ascii="Times New Roman" w:hAnsi="Times New Roman"/>
          <w:sz w:val="24"/>
        </w:rPr>
        <w:t xml:space="preserve"> </w:t>
      </w:r>
      <w:r w:rsidRPr="007C5B81">
        <w:rPr>
          <w:rFonts w:ascii="Times New Roman" w:hAnsi="Times New Roman"/>
          <w:sz w:val="24"/>
        </w:rPr>
        <w:tab/>
      </w:r>
      <w:proofErr w:type="spellStart"/>
      <w:r w:rsidR="009F5385" w:rsidRPr="007C5B81">
        <w:rPr>
          <w:rFonts w:ascii="Times New Roman" w:hAnsi="Times New Roman"/>
          <w:i/>
          <w:iCs/>
          <w:sz w:val="24"/>
        </w:rPr>
        <w:t>Arulthilakan</w:t>
      </w:r>
      <w:proofErr w:type="spellEnd"/>
      <w:r w:rsidR="009F5385" w:rsidRPr="007C5B81">
        <w:rPr>
          <w:rFonts w:ascii="Times New Roman" w:hAnsi="Times New Roman"/>
          <w:i/>
          <w:iCs/>
          <w:sz w:val="24"/>
        </w:rPr>
        <w:t xml:space="preserve"> v The Queen</w:t>
      </w:r>
      <w:r w:rsidR="009F5385" w:rsidRPr="007C5B81">
        <w:rPr>
          <w:rFonts w:ascii="Times New Roman" w:hAnsi="Times New Roman"/>
          <w:sz w:val="24"/>
        </w:rPr>
        <w:t xml:space="preserve"> </w:t>
      </w:r>
      <w:r w:rsidRPr="007C5B81">
        <w:rPr>
          <w:rFonts w:ascii="Times New Roman" w:hAnsi="Times New Roman"/>
          <w:sz w:val="24"/>
        </w:rPr>
        <w:t>(2003) 78 ALJR 257</w:t>
      </w:r>
      <w:r w:rsidR="00330DA8" w:rsidRPr="007C5B81">
        <w:rPr>
          <w:rFonts w:ascii="Times New Roman" w:hAnsi="Times New Roman"/>
          <w:sz w:val="24"/>
        </w:rPr>
        <w:t xml:space="preserve">; 203 ALR 259. </w:t>
      </w:r>
    </w:p>
  </w:footnote>
  <w:footnote w:id="22">
    <w:p w14:paraId="27F75760" w14:textId="3B3E21D1" w:rsidR="00B962D6" w:rsidRPr="007C5B81" w:rsidRDefault="00B962D6" w:rsidP="007C5B81">
      <w:pPr>
        <w:pStyle w:val="FootnoteText"/>
        <w:spacing w:line="280" w:lineRule="exact"/>
        <w:ind w:right="0"/>
        <w:jc w:val="both"/>
        <w:rPr>
          <w:rFonts w:ascii="Times New Roman" w:hAnsi="Times New Roman"/>
          <w:sz w:val="24"/>
        </w:rPr>
      </w:pPr>
      <w:r w:rsidRPr="007C5B81">
        <w:rPr>
          <w:rStyle w:val="FootnoteReference"/>
          <w:rFonts w:ascii="Times New Roman" w:hAnsi="Times New Roman"/>
          <w:sz w:val="22"/>
          <w:vertAlign w:val="baseline"/>
        </w:rPr>
        <w:footnoteRef/>
      </w:r>
      <w:r w:rsidRPr="007C5B81">
        <w:rPr>
          <w:rFonts w:ascii="Times New Roman" w:hAnsi="Times New Roman"/>
          <w:sz w:val="24"/>
        </w:rPr>
        <w:t xml:space="preserve"> </w:t>
      </w:r>
      <w:r w:rsidRPr="007C5B81">
        <w:rPr>
          <w:rFonts w:ascii="Times New Roman" w:hAnsi="Times New Roman"/>
          <w:sz w:val="24"/>
        </w:rPr>
        <w:tab/>
      </w:r>
      <w:proofErr w:type="spellStart"/>
      <w:r w:rsidR="00352999" w:rsidRPr="007C5B81">
        <w:rPr>
          <w:rFonts w:ascii="Times New Roman" w:hAnsi="Times New Roman"/>
          <w:i/>
          <w:iCs/>
          <w:sz w:val="24"/>
        </w:rPr>
        <w:t>Arulthilakan</w:t>
      </w:r>
      <w:proofErr w:type="spellEnd"/>
      <w:r w:rsidR="00352999" w:rsidRPr="007C5B81">
        <w:rPr>
          <w:rFonts w:ascii="Times New Roman" w:hAnsi="Times New Roman"/>
          <w:i/>
          <w:iCs/>
          <w:sz w:val="24"/>
        </w:rPr>
        <w:t xml:space="preserve"> v The Queen</w:t>
      </w:r>
      <w:r w:rsidR="00352999" w:rsidRPr="007C5B81">
        <w:rPr>
          <w:rFonts w:ascii="Times New Roman" w:hAnsi="Times New Roman"/>
          <w:sz w:val="24"/>
        </w:rPr>
        <w:t xml:space="preserve"> (2003) 78 ALJR 257 at </w:t>
      </w:r>
      <w:r w:rsidRPr="007C5B81">
        <w:rPr>
          <w:rFonts w:ascii="Times New Roman" w:hAnsi="Times New Roman"/>
          <w:sz w:val="24"/>
        </w:rPr>
        <w:t>263 [2</w:t>
      </w:r>
      <w:r w:rsidR="002A70EA" w:rsidRPr="007C5B81">
        <w:rPr>
          <w:rFonts w:ascii="Times New Roman" w:hAnsi="Times New Roman"/>
          <w:sz w:val="24"/>
        </w:rPr>
        <w:t>9</w:t>
      </w:r>
      <w:r w:rsidRPr="007C5B81">
        <w:rPr>
          <w:rFonts w:ascii="Times New Roman" w:hAnsi="Times New Roman"/>
          <w:sz w:val="24"/>
        </w:rPr>
        <w:t>]</w:t>
      </w:r>
      <w:r w:rsidR="008A6FF7" w:rsidRPr="007C5B81">
        <w:rPr>
          <w:rFonts w:ascii="Times New Roman" w:hAnsi="Times New Roman"/>
          <w:sz w:val="24"/>
        </w:rPr>
        <w:t>; 203 ALR 259 at 266</w:t>
      </w:r>
      <w:r w:rsidRPr="007C5B81">
        <w:rPr>
          <w:rFonts w:ascii="Times New Roman" w:hAnsi="Times New Roman"/>
          <w:sz w:val="24"/>
        </w:rPr>
        <w:t>.</w:t>
      </w:r>
    </w:p>
  </w:footnote>
  <w:footnote w:id="23">
    <w:p w14:paraId="6D281028" w14:textId="63DE45BD" w:rsidR="008B1207" w:rsidRPr="007C5B81" w:rsidRDefault="008B1207" w:rsidP="007C5B81">
      <w:pPr>
        <w:pStyle w:val="FootnoteText"/>
        <w:spacing w:line="280" w:lineRule="exact"/>
        <w:ind w:right="0"/>
        <w:jc w:val="both"/>
        <w:rPr>
          <w:rFonts w:ascii="Times New Roman" w:hAnsi="Times New Roman"/>
          <w:sz w:val="24"/>
        </w:rPr>
      </w:pPr>
      <w:r w:rsidRPr="007C5B81">
        <w:rPr>
          <w:rStyle w:val="FootnoteReference"/>
          <w:rFonts w:ascii="Times New Roman" w:hAnsi="Times New Roman"/>
          <w:sz w:val="22"/>
          <w:vertAlign w:val="baseline"/>
        </w:rPr>
        <w:footnoteRef/>
      </w:r>
      <w:r w:rsidRPr="007C5B81">
        <w:rPr>
          <w:rFonts w:ascii="Times New Roman" w:hAnsi="Times New Roman"/>
          <w:sz w:val="24"/>
        </w:rPr>
        <w:t xml:space="preserve"> </w:t>
      </w:r>
      <w:r w:rsidRPr="007C5B81">
        <w:rPr>
          <w:rFonts w:ascii="Times New Roman" w:hAnsi="Times New Roman"/>
          <w:sz w:val="24"/>
        </w:rPr>
        <w:tab/>
      </w:r>
      <w:r w:rsidR="00352999" w:rsidRPr="007C5B81">
        <w:rPr>
          <w:rFonts w:ascii="Times New Roman" w:hAnsi="Times New Roman"/>
          <w:i/>
          <w:iCs/>
          <w:sz w:val="24"/>
        </w:rPr>
        <w:t>McAuliffe v The Queen</w:t>
      </w:r>
      <w:r w:rsidR="00352999" w:rsidRPr="007C5B81">
        <w:rPr>
          <w:rFonts w:ascii="Times New Roman" w:hAnsi="Times New Roman"/>
          <w:sz w:val="24"/>
        </w:rPr>
        <w:t xml:space="preserve"> (1995) 183 CLR 108 at</w:t>
      </w:r>
      <w:r w:rsidR="00E11A69" w:rsidRPr="007C5B81">
        <w:rPr>
          <w:rFonts w:ascii="Times New Roman" w:hAnsi="Times New Roman"/>
          <w:sz w:val="24"/>
        </w:rPr>
        <w:t xml:space="preserve"> 115-116.</w:t>
      </w:r>
    </w:p>
  </w:footnote>
  <w:footnote w:id="24">
    <w:p w14:paraId="1D918099" w14:textId="2A170C3F" w:rsidR="00A01551" w:rsidRPr="007C5B81" w:rsidRDefault="00A01551" w:rsidP="007C5B81">
      <w:pPr>
        <w:pStyle w:val="FootnoteText"/>
        <w:spacing w:line="280" w:lineRule="exact"/>
        <w:ind w:right="0"/>
        <w:jc w:val="both"/>
        <w:rPr>
          <w:rFonts w:ascii="Times New Roman" w:hAnsi="Times New Roman"/>
          <w:sz w:val="24"/>
        </w:rPr>
      </w:pPr>
      <w:r w:rsidRPr="007C5B81">
        <w:rPr>
          <w:rStyle w:val="FootnoteReference"/>
          <w:rFonts w:ascii="Times New Roman" w:hAnsi="Times New Roman"/>
          <w:sz w:val="22"/>
          <w:vertAlign w:val="baseline"/>
        </w:rPr>
        <w:footnoteRef/>
      </w:r>
      <w:r w:rsidRPr="007C5B81">
        <w:rPr>
          <w:rFonts w:ascii="Times New Roman" w:hAnsi="Times New Roman"/>
          <w:sz w:val="24"/>
        </w:rPr>
        <w:t xml:space="preserve"> </w:t>
      </w:r>
      <w:r w:rsidRPr="007C5B81">
        <w:rPr>
          <w:rFonts w:ascii="Times New Roman" w:hAnsi="Times New Roman"/>
          <w:sz w:val="24"/>
        </w:rPr>
        <w:tab/>
      </w:r>
      <w:r w:rsidRPr="007C5B81">
        <w:rPr>
          <w:rFonts w:ascii="Times New Roman" w:hAnsi="Times New Roman"/>
          <w:i/>
          <w:iCs/>
          <w:sz w:val="24"/>
        </w:rPr>
        <w:t>Chan Wing</w:t>
      </w:r>
      <w:r w:rsidRPr="007C5B81">
        <w:rPr>
          <w:rFonts w:ascii="Times New Roman" w:hAnsi="Times New Roman"/>
          <w:i/>
          <w:iCs/>
          <w:sz w:val="24"/>
        </w:rPr>
        <w:noBreakHyphen/>
      </w:r>
      <w:r w:rsidR="00A05D43" w:rsidRPr="007C5B81">
        <w:rPr>
          <w:rFonts w:ascii="Times New Roman" w:hAnsi="Times New Roman"/>
          <w:i/>
          <w:iCs/>
          <w:sz w:val="24"/>
        </w:rPr>
        <w:t>Siu</w:t>
      </w:r>
      <w:r w:rsidRPr="007C5B81">
        <w:rPr>
          <w:rFonts w:ascii="Times New Roman" w:hAnsi="Times New Roman"/>
          <w:i/>
          <w:iCs/>
          <w:sz w:val="24"/>
        </w:rPr>
        <w:t xml:space="preserve"> v </w:t>
      </w:r>
      <w:r w:rsidR="00637CB1" w:rsidRPr="007C5B81">
        <w:rPr>
          <w:rFonts w:ascii="Times New Roman" w:hAnsi="Times New Roman"/>
          <w:i/>
          <w:iCs/>
          <w:sz w:val="24"/>
        </w:rPr>
        <w:t xml:space="preserve">The </w:t>
      </w:r>
      <w:r w:rsidRPr="007C5B81">
        <w:rPr>
          <w:rFonts w:ascii="Times New Roman" w:hAnsi="Times New Roman"/>
          <w:i/>
          <w:iCs/>
          <w:sz w:val="24"/>
        </w:rPr>
        <w:t>Queen</w:t>
      </w:r>
      <w:r w:rsidRPr="007C5B81">
        <w:rPr>
          <w:rFonts w:ascii="Times New Roman" w:hAnsi="Times New Roman"/>
          <w:sz w:val="24"/>
        </w:rPr>
        <w:t xml:space="preserve"> </w:t>
      </w:r>
      <w:r w:rsidR="000A1F1A" w:rsidRPr="007C5B81">
        <w:rPr>
          <w:rFonts w:ascii="Times New Roman" w:hAnsi="Times New Roman"/>
          <w:sz w:val="24"/>
        </w:rPr>
        <w:t>[</w:t>
      </w:r>
      <w:r w:rsidR="004342AC" w:rsidRPr="007C5B81">
        <w:rPr>
          <w:rFonts w:ascii="Times New Roman" w:hAnsi="Times New Roman"/>
          <w:sz w:val="24"/>
        </w:rPr>
        <w:t>1985</w:t>
      </w:r>
      <w:r w:rsidR="000A1F1A" w:rsidRPr="007C5B81">
        <w:rPr>
          <w:rFonts w:ascii="Times New Roman" w:hAnsi="Times New Roman"/>
          <w:sz w:val="24"/>
        </w:rPr>
        <w:t xml:space="preserve">] </w:t>
      </w:r>
      <w:r w:rsidR="004342AC" w:rsidRPr="007C5B81">
        <w:rPr>
          <w:rFonts w:ascii="Times New Roman" w:hAnsi="Times New Roman"/>
          <w:sz w:val="24"/>
        </w:rPr>
        <w:t>AC 168 at 175.</w:t>
      </w:r>
    </w:p>
  </w:footnote>
  <w:footnote w:id="25">
    <w:p w14:paraId="012D4232" w14:textId="205D24B6" w:rsidR="007D1DBC" w:rsidRPr="007C5B81" w:rsidRDefault="007D1DBC" w:rsidP="007C5B81">
      <w:pPr>
        <w:pStyle w:val="FootnoteText"/>
        <w:spacing w:line="280" w:lineRule="exact"/>
        <w:ind w:right="0"/>
        <w:jc w:val="both"/>
        <w:rPr>
          <w:rFonts w:ascii="Times New Roman" w:hAnsi="Times New Roman"/>
          <w:sz w:val="24"/>
        </w:rPr>
      </w:pPr>
      <w:r w:rsidRPr="007C5B81">
        <w:rPr>
          <w:rStyle w:val="FootnoteReference"/>
          <w:rFonts w:ascii="Times New Roman" w:hAnsi="Times New Roman"/>
          <w:sz w:val="22"/>
          <w:vertAlign w:val="baseline"/>
        </w:rPr>
        <w:footnoteRef/>
      </w:r>
      <w:r w:rsidRPr="007C5B81">
        <w:rPr>
          <w:rFonts w:ascii="Times New Roman" w:hAnsi="Times New Roman"/>
          <w:sz w:val="24"/>
        </w:rPr>
        <w:t xml:space="preserve"> </w:t>
      </w:r>
      <w:r w:rsidRPr="007C5B81">
        <w:rPr>
          <w:rFonts w:ascii="Times New Roman" w:hAnsi="Times New Roman"/>
          <w:sz w:val="24"/>
        </w:rPr>
        <w:tab/>
      </w:r>
      <w:r w:rsidR="006A6993" w:rsidRPr="007C5B81">
        <w:rPr>
          <w:rFonts w:ascii="Times New Roman" w:hAnsi="Times New Roman"/>
          <w:i/>
          <w:iCs/>
          <w:sz w:val="24"/>
        </w:rPr>
        <w:t>McAuliffe v The Queen</w:t>
      </w:r>
      <w:r w:rsidR="006A6993" w:rsidRPr="007C5B81">
        <w:rPr>
          <w:rFonts w:ascii="Times New Roman" w:hAnsi="Times New Roman"/>
          <w:sz w:val="24"/>
        </w:rPr>
        <w:t xml:space="preserve"> (1995) 183 CLR 108 </w:t>
      </w:r>
      <w:r w:rsidRPr="007C5B81">
        <w:rPr>
          <w:rFonts w:ascii="Times New Roman" w:hAnsi="Times New Roman"/>
          <w:sz w:val="24"/>
        </w:rPr>
        <w:t>at 115.</w:t>
      </w:r>
    </w:p>
  </w:footnote>
  <w:footnote w:id="26">
    <w:p w14:paraId="5C7153F0" w14:textId="43381601" w:rsidR="00F912F3" w:rsidRPr="007C5B81" w:rsidRDefault="00F912F3" w:rsidP="007C5B81">
      <w:pPr>
        <w:pStyle w:val="FootnoteText"/>
        <w:spacing w:line="280" w:lineRule="exact"/>
        <w:ind w:right="0"/>
        <w:jc w:val="both"/>
        <w:rPr>
          <w:rFonts w:ascii="Times New Roman" w:hAnsi="Times New Roman"/>
          <w:sz w:val="24"/>
        </w:rPr>
      </w:pPr>
      <w:r w:rsidRPr="007C5B81">
        <w:rPr>
          <w:rStyle w:val="FootnoteReference"/>
          <w:rFonts w:ascii="Times New Roman" w:hAnsi="Times New Roman"/>
          <w:sz w:val="22"/>
          <w:vertAlign w:val="baseline"/>
        </w:rPr>
        <w:footnoteRef/>
      </w:r>
      <w:r w:rsidRPr="007C5B81">
        <w:rPr>
          <w:rFonts w:ascii="Times New Roman" w:hAnsi="Times New Roman"/>
          <w:sz w:val="24"/>
        </w:rPr>
        <w:t xml:space="preserve"> </w:t>
      </w:r>
      <w:r w:rsidRPr="007C5B81">
        <w:rPr>
          <w:rFonts w:ascii="Times New Roman" w:hAnsi="Times New Roman"/>
          <w:sz w:val="24"/>
        </w:rPr>
        <w:tab/>
      </w:r>
      <w:r w:rsidR="00566C6A" w:rsidRPr="007C5B81">
        <w:rPr>
          <w:rFonts w:ascii="Times New Roman" w:hAnsi="Times New Roman"/>
          <w:i/>
          <w:iCs/>
          <w:sz w:val="24"/>
        </w:rPr>
        <w:t>Chan Wing</w:t>
      </w:r>
      <w:r w:rsidR="00566C6A" w:rsidRPr="007C5B81">
        <w:rPr>
          <w:rFonts w:ascii="Times New Roman" w:hAnsi="Times New Roman"/>
          <w:i/>
          <w:iCs/>
          <w:sz w:val="24"/>
        </w:rPr>
        <w:noBreakHyphen/>
        <w:t xml:space="preserve">Siu v </w:t>
      </w:r>
      <w:r w:rsidR="008622B4" w:rsidRPr="007C5B81">
        <w:rPr>
          <w:rFonts w:ascii="Times New Roman" w:hAnsi="Times New Roman"/>
          <w:i/>
          <w:iCs/>
          <w:sz w:val="24"/>
        </w:rPr>
        <w:t>T</w:t>
      </w:r>
      <w:r w:rsidR="00566C6A" w:rsidRPr="007C5B81">
        <w:rPr>
          <w:rFonts w:ascii="Times New Roman" w:hAnsi="Times New Roman"/>
          <w:i/>
          <w:iCs/>
          <w:sz w:val="24"/>
        </w:rPr>
        <w:t>he Queen</w:t>
      </w:r>
      <w:r w:rsidR="00566C6A" w:rsidRPr="007C5B81">
        <w:rPr>
          <w:rFonts w:ascii="Times New Roman" w:hAnsi="Times New Roman"/>
          <w:sz w:val="24"/>
        </w:rPr>
        <w:t xml:space="preserve"> </w:t>
      </w:r>
      <w:r w:rsidR="000A1F1A" w:rsidRPr="007C5B81">
        <w:rPr>
          <w:rFonts w:ascii="Times New Roman" w:hAnsi="Times New Roman"/>
          <w:sz w:val="24"/>
        </w:rPr>
        <w:t>[</w:t>
      </w:r>
      <w:r w:rsidR="00566C6A" w:rsidRPr="007C5B81">
        <w:rPr>
          <w:rFonts w:ascii="Times New Roman" w:hAnsi="Times New Roman"/>
          <w:sz w:val="24"/>
        </w:rPr>
        <w:t>1985</w:t>
      </w:r>
      <w:r w:rsidR="000A1F1A" w:rsidRPr="007C5B81">
        <w:rPr>
          <w:rFonts w:ascii="Times New Roman" w:hAnsi="Times New Roman"/>
          <w:sz w:val="24"/>
        </w:rPr>
        <w:t>]</w:t>
      </w:r>
      <w:r w:rsidR="00566C6A" w:rsidRPr="007C5B81">
        <w:rPr>
          <w:rFonts w:ascii="Times New Roman" w:hAnsi="Times New Roman"/>
          <w:sz w:val="24"/>
        </w:rPr>
        <w:t xml:space="preserve"> AC 168 </w:t>
      </w:r>
      <w:r w:rsidRPr="007C5B81">
        <w:rPr>
          <w:rFonts w:ascii="Times New Roman" w:hAnsi="Times New Roman"/>
          <w:sz w:val="24"/>
        </w:rPr>
        <w:t>at 178.</w:t>
      </w:r>
    </w:p>
  </w:footnote>
  <w:footnote w:id="27">
    <w:p w14:paraId="7B0A76E0" w14:textId="69490287" w:rsidR="00F912F3" w:rsidRPr="007C5B81" w:rsidRDefault="00F912F3" w:rsidP="007C5B81">
      <w:pPr>
        <w:pStyle w:val="FootnoteText"/>
        <w:spacing w:line="280" w:lineRule="exact"/>
        <w:ind w:right="0"/>
        <w:jc w:val="both"/>
        <w:rPr>
          <w:rFonts w:ascii="Times New Roman" w:hAnsi="Times New Roman"/>
          <w:sz w:val="24"/>
        </w:rPr>
      </w:pPr>
      <w:r w:rsidRPr="007C5B81">
        <w:rPr>
          <w:rStyle w:val="FootnoteReference"/>
          <w:rFonts w:ascii="Times New Roman" w:hAnsi="Times New Roman"/>
          <w:sz w:val="22"/>
          <w:vertAlign w:val="baseline"/>
        </w:rPr>
        <w:footnoteRef/>
      </w:r>
      <w:r w:rsidRPr="007C5B81">
        <w:rPr>
          <w:rFonts w:ascii="Times New Roman" w:hAnsi="Times New Roman"/>
          <w:sz w:val="24"/>
        </w:rPr>
        <w:t xml:space="preserve"> </w:t>
      </w:r>
      <w:r w:rsidRPr="007C5B81">
        <w:rPr>
          <w:rFonts w:ascii="Times New Roman" w:hAnsi="Times New Roman"/>
          <w:sz w:val="24"/>
        </w:rPr>
        <w:tab/>
      </w:r>
      <w:r w:rsidR="009F5385" w:rsidRPr="007C5B81">
        <w:rPr>
          <w:rFonts w:ascii="Times New Roman" w:hAnsi="Times New Roman"/>
          <w:i/>
          <w:iCs/>
          <w:sz w:val="24"/>
        </w:rPr>
        <w:t>R v Hyde</w:t>
      </w:r>
      <w:r w:rsidR="009F5385" w:rsidRPr="007C5B81">
        <w:rPr>
          <w:rFonts w:ascii="Times New Roman" w:hAnsi="Times New Roman"/>
          <w:sz w:val="24"/>
        </w:rPr>
        <w:t xml:space="preserve"> </w:t>
      </w:r>
      <w:r w:rsidR="00F431F5" w:rsidRPr="007C5B81">
        <w:rPr>
          <w:rFonts w:ascii="Times New Roman" w:hAnsi="Times New Roman"/>
          <w:sz w:val="24"/>
        </w:rPr>
        <w:t>[</w:t>
      </w:r>
      <w:r w:rsidRPr="007C5B81">
        <w:rPr>
          <w:rFonts w:ascii="Times New Roman" w:hAnsi="Times New Roman"/>
          <w:sz w:val="24"/>
        </w:rPr>
        <w:t>1991</w:t>
      </w:r>
      <w:r w:rsidR="00F431F5" w:rsidRPr="007C5B81">
        <w:rPr>
          <w:rFonts w:ascii="Times New Roman" w:hAnsi="Times New Roman"/>
          <w:sz w:val="24"/>
        </w:rPr>
        <w:t xml:space="preserve">] </w:t>
      </w:r>
      <w:r w:rsidRPr="007C5B81">
        <w:rPr>
          <w:rFonts w:ascii="Times New Roman" w:hAnsi="Times New Roman"/>
          <w:sz w:val="24"/>
        </w:rPr>
        <w:t>1</w:t>
      </w:r>
      <w:r w:rsidR="00F431F5" w:rsidRPr="007C5B81">
        <w:rPr>
          <w:rFonts w:ascii="Times New Roman" w:hAnsi="Times New Roman"/>
          <w:sz w:val="24"/>
        </w:rPr>
        <w:t xml:space="preserve"> </w:t>
      </w:r>
      <w:r w:rsidRPr="007C5B81">
        <w:rPr>
          <w:rFonts w:ascii="Times New Roman" w:hAnsi="Times New Roman"/>
          <w:sz w:val="24"/>
        </w:rPr>
        <w:t>QB 134</w:t>
      </w:r>
      <w:r w:rsidR="006A256B" w:rsidRPr="007C5B81">
        <w:rPr>
          <w:rFonts w:ascii="Times New Roman" w:hAnsi="Times New Roman"/>
          <w:sz w:val="24"/>
        </w:rPr>
        <w:t xml:space="preserve"> at 139</w:t>
      </w:r>
      <w:r w:rsidR="00996857" w:rsidRPr="007C5B81">
        <w:rPr>
          <w:rFonts w:ascii="Times New Roman" w:hAnsi="Times New Roman"/>
          <w:sz w:val="24"/>
        </w:rPr>
        <w:t>.</w:t>
      </w:r>
    </w:p>
  </w:footnote>
  <w:footnote w:id="28">
    <w:p w14:paraId="3354CDF0" w14:textId="4A34C10D" w:rsidR="007C3261" w:rsidRPr="007C5B81" w:rsidRDefault="007C3261" w:rsidP="007C5B81">
      <w:pPr>
        <w:pStyle w:val="FootnoteText"/>
        <w:spacing w:line="280" w:lineRule="exact"/>
        <w:ind w:right="0"/>
        <w:jc w:val="both"/>
        <w:rPr>
          <w:rFonts w:ascii="Times New Roman" w:hAnsi="Times New Roman"/>
          <w:sz w:val="24"/>
        </w:rPr>
      </w:pPr>
      <w:r w:rsidRPr="007C5B81">
        <w:rPr>
          <w:rStyle w:val="FootnoteReference"/>
          <w:rFonts w:ascii="Times New Roman" w:hAnsi="Times New Roman"/>
          <w:sz w:val="22"/>
          <w:vertAlign w:val="baseline"/>
        </w:rPr>
        <w:footnoteRef/>
      </w:r>
      <w:r w:rsidRPr="007C5B81">
        <w:rPr>
          <w:rFonts w:ascii="Times New Roman" w:hAnsi="Times New Roman"/>
          <w:sz w:val="24"/>
        </w:rPr>
        <w:t xml:space="preserve"> </w:t>
      </w:r>
      <w:r w:rsidRPr="007C5B81">
        <w:rPr>
          <w:rFonts w:ascii="Times New Roman" w:hAnsi="Times New Roman"/>
          <w:sz w:val="24"/>
        </w:rPr>
        <w:tab/>
      </w:r>
      <w:r w:rsidR="0047204F" w:rsidRPr="007C5B81">
        <w:rPr>
          <w:rFonts w:ascii="Times New Roman" w:hAnsi="Times New Roman"/>
          <w:i/>
          <w:iCs/>
          <w:sz w:val="24"/>
        </w:rPr>
        <w:t>McAuliffe v The Queen</w:t>
      </w:r>
      <w:r w:rsidR="0047204F" w:rsidRPr="007C5B81">
        <w:rPr>
          <w:rFonts w:ascii="Times New Roman" w:hAnsi="Times New Roman"/>
          <w:sz w:val="24"/>
        </w:rPr>
        <w:t xml:space="preserve"> (1995) 183 CLR 108 </w:t>
      </w:r>
      <w:r w:rsidRPr="007C5B81">
        <w:rPr>
          <w:rFonts w:ascii="Times New Roman" w:hAnsi="Times New Roman"/>
          <w:sz w:val="24"/>
        </w:rPr>
        <w:t>at 116</w:t>
      </w:r>
      <w:r w:rsidR="00827A93" w:rsidRPr="007C5B81">
        <w:rPr>
          <w:rFonts w:ascii="Times New Roman" w:hAnsi="Times New Roman"/>
          <w:sz w:val="24"/>
        </w:rPr>
        <w:t>-117</w:t>
      </w:r>
      <w:r w:rsidRPr="007C5B81">
        <w:rPr>
          <w:rFonts w:ascii="Times New Roman" w:hAnsi="Times New Roman"/>
          <w:sz w:val="24"/>
        </w:rPr>
        <w:t>.</w:t>
      </w:r>
    </w:p>
  </w:footnote>
  <w:footnote w:id="29">
    <w:p w14:paraId="23BA1861" w14:textId="7CFBDFB4" w:rsidR="00FF093F" w:rsidRPr="007C5B81" w:rsidRDefault="00FF093F" w:rsidP="007C5B81">
      <w:pPr>
        <w:pStyle w:val="FootnoteText"/>
        <w:spacing w:line="280" w:lineRule="exact"/>
        <w:ind w:right="0"/>
        <w:jc w:val="both"/>
        <w:rPr>
          <w:rFonts w:ascii="Times New Roman" w:hAnsi="Times New Roman"/>
          <w:sz w:val="24"/>
        </w:rPr>
      </w:pPr>
      <w:r w:rsidRPr="007C5B81">
        <w:rPr>
          <w:rStyle w:val="FootnoteReference"/>
          <w:rFonts w:ascii="Times New Roman" w:hAnsi="Times New Roman"/>
          <w:sz w:val="22"/>
          <w:vertAlign w:val="baseline"/>
        </w:rPr>
        <w:footnoteRef/>
      </w:r>
      <w:r w:rsidRPr="007C5B81">
        <w:rPr>
          <w:rFonts w:ascii="Times New Roman" w:hAnsi="Times New Roman"/>
          <w:sz w:val="24"/>
        </w:rPr>
        <w:t xml:space="preserve"> </w:t>
      </w:r>
      <w:r w:rsidRPr="007C5B81">
        <w:rPr>
          <w:rFonts w:ascii="Times New Roman" w:hAnsi="Times New Roman"/>
          <w:sz w:val="24"/>
        </w:rPr>
        <w:tab/>
      </w:r>
      <w:r w:rsidR="00445CDA" w:rsidRPr="007C5B81">
        <w:rPr>
          <w:rFonts w:ascii="Times New Roman" w:hAnsi="Times New Roman"/>
          <w:sz w:val="24"/>
        </w:rPr>
        <w:t>I</w:t>
      </w:r>
      <w:r w:rsidRPr="007C5B81">
        <w:rPr>
          <w:rFonts w:ascii="Times New Roman" w:hAnsi="Times New Roman"/>
          <w:sz w:val="24"/>
        </w:rPr>
        <w:t xml:space="preserve">n England and Wales by the </w:t>
      </w:r>
      <w:r w:rsidRPr="007C5B81">
        <w:rPr>
          <w:rFonts w:ascii="Times New Roman" w:hAnsi="Times New Roman"/>
          <w:i/>
          <w:iCs/>
          <w:sz w:val="24"/>
        </w:rPr>
        <w:t>Homicide Act 1957</w:t>
      </w:r>
      <w:r w:rsidR="00732FA8" w:rsidRPr="007C5B81">
        <w:rPr>
          <w:rFonts w:ascii="Times New Roman" w:hAnsi="Times New Roman"/>
          <w:i/>
          <w:iCs/>
          <w:sz w:val="24"/>
        </w:rPr>
        <w:t xml:space="preserve"> </w:t>
      </w:r>
      <w:r w:rsidR="00732FA8" w:rsidRPr="007C5B81">
        <w:rPr>
          <w:rFonts w:ascii="Times New Roman" w:hAnsi="Times New Roman"/>
          <w:sz w:val="24"/>
        </w:rPr>
        <w:t>(UK)</w:t>
      </w:r>
      <w:r w:rsidRPr="007C5B81">
        <w:rPr>
          <w:rFonts w:ascii="Times New Roman" w:hAnsi="Times New Roman"/>
          <w:sz w:val="24"/>
        </w:rPr>
        <w:t xml:space="preserve">, s 1; in Northern Ireland by the </w:t>
      </w:r>
      <w:r w:rsidRPr="007C5B81">
        <w:rPr>
          <w:rFonts w:ascii="Times New Roman" w:hAnsi="Times New Roman"/>
          <w:i/>
          <w:iCs/>
          <w:sz w:val="24"/>
        </w:rPr>
        <w:t>Criminal Justice Act (Northern Ireland) 1966</w:t>
      </w:r>
      <w:r w:rsidR="000F5147" w:rsidRPr="007C5B81">
        <w:rPr>
          <w:rFonts w:ascii="Times New Roman" w:hAnsi="Times New Roman"/>
          <w:sz w:val="24"/>
        </w:rPr>
        <w:t xml:space="preserve"> (NI)</w:t>
      </w:r>
      <w:r w:rsidR="00884A74" w:rsidRPr="007C5B81">
        <w:rPr>
          <w:rFonts w:ascii="Times New Roman" w:hAnsi="Times New Roman"/>
          <w:sz w:val="24"/>
        </w:rPr>
        <w:t>, s 8</w:t>
      </w:r>
      <w:r w:rsidR="00F12FBF" w:rsidRPr="007C5B81">
        <w:rPr>
          <w:rFonts w:ascii="Times New Roman" w:hAnsi="Times New Roman"/>
          <w:sz w:val="24"/>
        </w:rPr>
        <w:t>. It does not seem to have existed in Scotland.</w:t>
      </w:r>
    </w:p>
  </w:footnote>
  <w:footnote w:id="30">
    <w:p w14:paraId="3B42F949" w14:textId="7579A98B" w:rsidR="009823AE" w:rsidRPr="007C5B81" w:rsidRDefault="009823AE" w:rsidP="007C5B81">
      <w:pPr>
        <w:pStyle w:val="FootnoteText"/>
        <w:spacing w:line="280" w:lineRule="exact"/>
        <w:ind w:right="0"/>
        <w:jc w:val="both"/>
        <w:rPr>
          <w:rFonts w:ascii="Times New Roman" w:hAnsi="Times New Roman"/>
          <w:sz w:val="24"/>
        </w:rPr>
      </w:pPr>
      <w:r w:rsidRPr="007C5B81">
        <w:rPr>
          <w:rStyle w:val="FootnoteReference"/>
          <w:rFonts w:ascii="Times New Roman" w:hAnsi="Times New Roman"/>
          <w:sz w:val="22"/>
          <w:vertAlign w:val="baseline"/>
        </w:rPr>
        <w:footnoteRef/>
      </w:r>
      <w:r w:rsidRPr="007C5B81">
        <w:rPr>
          <w:rFonts w:ascii="Times New Roman" w:hAnsi="Times New Roman"/>
          <w:sz w:val="24"/>
        </w:rPr>
        <w:t xml:space="preserve"> </w:t>
      </w:r>
      <w:r w:rsidRPr="007C5B81">
        <w:rPr>
          <w:rFonts w:ascii="Times New Roman" w:hAnsi="Times New Roman"/>
          <w:sz w:val="24"/>
        </w:rPr>
        <w:tab/>
      </w:r>
      <w:r w:rsidR="00992AA1" w:rsidRPr="007C5B81">
        <w:rPr>
          <w:rFonts w:ascii="Times New Roman" w:hAnsi="Times New Roman"/>
          <w:i/>
          <w:iCs/>
          <w:sz w:val="24"/>
        </w:rPr>
        <w:t xml:space="preserve">Rigney v The Queen </w:t>
      </w:r>
      <w:r w:rsidR="00992AA1" w:rsidRPr="007C5B81">
        <w:rPr>
          <w:rFonts w:ascii="Times New Roman" w:hAnsi="Times New Roman"/>
          <w:sz w:val="24"/>
        </w:rPr>
        <w:t>(2021) 139 SASR 305 at 312</w:t>
      </w:r>
      <w:r w:rsidR="00FF1EE3" w:rsidRPr="007C5B81">
        <w:rPr>
          <w:rFonts w:ascii="Times New Roman" w:hAnsi="Times New Roman"/>
          <w:sz w:val="24"/>
        </w:rPr>
        <w:t xml:space="preserve"> [13]</w:t>
      </w:r>
      <w:r w:rsidR="00992AA1" w:rsidRPr="007C5B81">
        <w:rPr>
          <w:rFonts w:ascii="Times New Roman" w:hAnsi="Times New Roman"/>
          <w:sz w:val="24"/>
        </w:rPr>
        <w:t>, 345 [124].</w:t>
      </w:r>
    </w:p>
  </w:footnote>
  <w:footnote w:id="31">
    <w:p w14:paraId="12E37898" w14:textId="65AE63E2" w:rsidR="00E14C76" w:rsidRPr="007C5B81" w:rsidRDefault="00E14C76" w:rsidP="007C5B81">
      <w:pPr>
        <w:pStyle w:val="FootnoteText"/>
        <w:spacing w:line="280" w:lineRule="exact"/>
        <w:ind w:right="0"/>
        <w:jc w:val="both"/>
        <w:rPr>
          <w:rFonts w:ascii="Times New Roman" w:hAnsi="Times New Roman"/>
          <w:sz w:val="24"/>
        </w:rPr>
      </w:pPr>
      <w:r w:rsidRPr="007C5B81">
        <w:rPr>
          <w:rStyle w:val="FootnoteReference"/>
          <w:rFonts w:ascii="Times New Roman" w:hAnsi="Times New Roman"/>
          <w:sz w:val="22"/>
          <w:vertAlign w:val="baseline"/>
        </w:rPr>
        <w:footnoteRef/>
      </w:r>
      <w:r w:rsidRPr="007C5B81">
        <w:rPr>
          <w:rFonts w:ascii="Times New Roman" w:hAnsi="Times New Roman"/>
          <w:sz w:val="24"/>
        </w:rPr>
        <w:t xml:space="preserve"> </w:t>
      </w:r>
      <w:r w:rsidR="0047204F" w:rsidRPr="007C5B81">
        <w:rPr>
          <w:rFonts w:ascii="Times New Roman" w:hAnsi="Times New Roman"/>
          <w:sz w:val="24"/>
        </w:rPr>
        <w:tab/>
      </w:r>
      <w:proofErr w:type="spellStart"/>
      <w:r w:rsidR="00B720FC" w:rsidRPr="007C5B81">
        <w:rPr>
          <w:rFonts w:ascii="Times New Roman" w:hAnsi="Times New Roman"/>
          <w:i/>
          <w:iCs/>
          <w:sz w:val="24"/>
        </w:rPr>
        <w:t>Arulthilakan</w:t>
      </w:r>
      <w:proofErr w:type="spellEnd"/>
      <w:r w:rsidR="00B720FC" w:rsidRPr="007C5B81">
        <w:rPr>
          <w:rFonts w:ascii="Times New Roman" w:hAnsi="Times New Roman"/>
          <w:i/>
          <w:iCs/>
          <w:sz w:val="24"/>
        </w:rPr>
        <w:t xml:space="preserve"> v The Queen</w:t>
      </w:r>
      <w:r w:rsidR="00B720FC" w:rsidRPr="007C5B81">
        <w:rPr>
          <w:rFonts w:ascii="Times New Roman" w:hAnsi="Times New Roman"/>
          <w:sz w:val="24"/>
        </w:rPr>
        <w:t xml:space="preserve"> (2003) 78 ALJR 257 at 262 [23]</w:t>
      </w:r>
      <w:r w:rsidR="0011400A" w:rsidRPr="007C5B81">
        <w:rPr>
          <w:rFonts w:ascii="Times New Roman" w:hAnsi="Times New Roman"/>
          <w:sz w:val="24"/>
        </w:rPr>
        <w:t xml:space="preserve">; 203 ALR 259 at </w:t>
      </w:r>
      <w:r w:rsidR="00D6221D" w:rsidRPr="007C5B81">
        <w:rPr>
          <w:rFonts w:ascii="Times New Roman" w:hAnsi="Times New Roman"/>
          <w:sz w:val="24"/>
        </w:rPr>
        <w:t>264-265</w:t>
      </w:r>
      <w:r w:rsidR="00B720FC" w:rsidRPr="007C5B81">
        <w:rPr>
          <w:rFonts w:ascii="Times New Roman" w:hAnsi="Times New Roman"/>
          <w:sz w:val="24"/>
        </w:rPr>
        <w:t>.</w:t>
      </w:r>
    </w:p>
  </w:footnote>
  <w:footnote w:id="32">
    <w:p w14:paraId="4052647E" w14:textId="1FFDE7BE" w:rsidR="000F0107" w:rsidRPr="007C5B81" w:rsidRDefault="000F0107" w:rsidP="007C5B81">
      <w:pPr>
        <w:pStyle w:val="FootnoteText"/>
        <w:spacing w:line="280" w:lineRule="exact"/>
        <w:ind w:right="0"/>
        <w:jc w:val="both"/>
        <w:rPr>
          <w:rFonts w:ascii="Times New Roman" w:hAnsi="Times New Roman"/>
          <w:sz w:val="24"/>
        </w:rPr>
      </w:pPr>
      <w:r w:rsidRPr="007C5B81">
        <w:rPr>
          <w:rStyle w:val="FootnoteReference"/>
          <w:rFonts w:ascii="Times New Roman" w:hAnsi="Times New Roman"/>
          <w:sz w:val="22"/>
          <w:vertAlign w:val="baseline"/>
        </w:rPr>
        <w:footnoteRef/>
      </w:r>
      <w:r w:rsidR="00CC0A56" w:rsidRPr="007C5B81">
        <w:rPr>
          <w:rFonts w:ascii="Times New Roman" w:hAnsi="Times New Roman"/>
          <w:sz w:val="24"/>
        </w:rPr>
        <w:tab/>
      </w:r>
      <w:proofErr w:type="spellStart"/>
      <w:r w:rsidR="00CC0A56" w:rsidRPr="007C5B81">
        <w:rPr>
          <w:rFonts w:ascii="Times New Roman" w:hAnsi="Times New Roman"/>
          <w:i/>
          <w:iCs/>
          <w:sz w:val="24"/>
        </w:rPr>
        <w:t>Arulthilakan</w:t>
      </w:r>
      <w:proofErr w:type="spellEnd"/>
      <w:r w:rsidR="00CC0A56" w:rsidRPr="007C5B81">
        <w:rPr>
          <w:rFonts w:ascii="Times New Roman" w:hAnsi="Times New Roman"/>
          <w:i/>
          <w:iCs/>
          <w:sz w:val="24"/>
        </w:rPr>
        <w:t xml:space="preserve"> v The Queen</w:t>
      </w:r>
      <w:r w:rsidR="00CC0A56" w:rsidRPr="007C5B81">
        <w:rPr>
          <w:rFonts w:ascii="Times New Roman" w:hAnsi="Times New Roman"/>
          <w:sz w:val="24"/>
        </w:rPr>
        <w:t xml:space="preserve"> (2003) 78 ALJR 257 at 262</w:t>
      </w:r>
      <w:r w:rsidR="009C7155" w:rsidRPr="007C5B81">
        <w:rPr>
          <w:rFonts w:ascii="Times New Roman" w:hAnsi="Times New Roman"/>
          <w:sz w:val="24"/>
        </w:rPr>
        <w:t>-263</w:t>
      </w:r>
      <w:r w:rsidR="00CC0A56" w:rsidRPr="007C5B81">
        <w:rPr>
          <w:rFonts w:ascii="Times New Roman" w:hAnsi="Times New Roman"/>
          <w:sz w:val="24"/>
        </w:rPr>
        <w:t xml:space="preserve"> [23]-[26]</w:t>
      </w:r>
      <w:r w:rsidR="0070690C" w:rsidRPr="007C5B81">
        <w:rPr>
          <w:rFonts w:ascii="Times New Roman" w:hAnsi="Times New Roman"/>
          <w:sz w:val="24"/>
        </w:rPr>
        <w:t xml:space="preserve">; 203 ALR 259 </w:t>
      </w:r>
      <w:r w:rsidR="009C7155" w:rsidRPr="007C5B81">
        <w:rPr>
          <w:rFonts w:ascii="Times New Roman" w:hAnsi="Times New Roman"/>
          <w:sz w:val="24"/>
        </w:rPr>
        <w:t>at 264-266</w:t>
      </w:r>
      <w:r w:rsidR="00CC0A56" w:rsidRPr="007C5B81">
        <w:rPr>
          <w:rFonts w:ascii="Times New Roman" w:hAnsi="Times New Roman"/>
          <w:sz w:val="24"/>
        </w:rPr>
        <w:t>.</w:t>
      </w:r>
    </w:p>
  </w:footnote>
  <w:footnote w:id="33">
    <w:p w14:paraId="6AE1D91B" w14:textId="6AB03518" w:rsidR="00BF5A98" w:rsidRPr="007C5B81" w:rsidRDefault="00BF5A98" w:rsidP="007C5B81">
      <w:pPr>
        <w:pStyle w:val="FootnoteText"/>
        <w:spacing w:line="280" w:lineRule="exact"/>
        <w:ind w:right="0"/>
        <w:jc w:val="both"/>
        <w:rPr>
          <w:rFonts w:ascii="Times New Roman" w:hAnsi="Times New Roman"/>
          <w:sz w:val="24"/>
        </w:rPr>
      </w:pPr>
      <w:r w:rsidRPr="007C5B81">
        <w:rPr>
          <w:rStyle w:val="FootnoteReference"/>
          <w:rFonts w:ascii="Times New Roman" w:hAnsi="Times New Roman"/>
          <w:sz w:val="22"/>
          <w:vertAlign w:val="baseline"/>
        </w:rPr>
        <w:footnoteRef/>
      </w:r>
      <w:r w:rsidRPr="007C5B81">
        <w:rPr>
          <w:rFonts w:ascii="Times New Roman" w:hAnsi="Times New Roman"/>
          <w:sz w:val="24"/>
        </w:rPr>
        <w:t xml:space="preserve"> </w:t>
      </w:r>
      <w:r w:rsidR="0047204F" w:rsidRPr="007C5B81">
        <w:rPr>
          <w:rFonts w:ascii="Times New Roman" w:hAnsi="Times New Roman"/>
          <w:sz w:val="24"/>
        </w:rPr>
        <w:tab/>
      </w:r>
      <w:r w:rsidR="00A76487" w:rsidRPr="007C5B81">
        <w:rPr>
          <w:rFonts w:ascii="Times New Roman" w:hAnsi="Times New Roman"/>
          <w:i/>
          <w:iCs/>
          <w:sz w:val="24"/>
        </w:rPr>
        <w:t>Wilson v The Queen</w:t>
      </w:r>
      <w:r w:rsidR="00A76487" w:rsidRPr="007C5B81">
        <w:rPr>
          <w:rFonts w:ascii="Times New Roman" w:hAnsi="Times New Roman"/>
          <w:sz w:val="24"/>
        </w:rPr>
        <w:t xml:space="preserve"> (1992) 174 CLR 31</w:t>
      </w:r>
      <w:r w:rsidR="00133F46" w:rsidRPr="007C5B81">
        <w:rPr>
          <w:rFonts w:ascii="Times New Roman" w:hAnsi="Times New Roman"/>
          <w:sz w:val="24"/>
        </w:rPr>
        <w:t>3</w:t>
      </w:r>
      <w:r w:rsidR="00F14534" w:rsidRPr="007C5B81">
        <w:rPr>
          <w:rFonts w:ascii="Times New Roman" w:hAnsi="Times New Roman"/>
          <w:sz w:val="24"/>
        </w:rPr>
        <w:t xml:space="preserve"> at</w:t>
      </w:r>
      <w:r w:rsidR="00A76487" w:rsidRPr="007C5B81">
        <w:rPr>
          <w:rFonts w:ascii="Times New Roman" w:hAnsi="Times New Roman"/>
          <w:sz w:val="24"/>
        </w:rPr>
        <w:t xml:space="preserve"> 327.</w:t>
      </w:r>
    </w:p>
  </w:footnote>
  <w:footnote w:id="34">
    <w:p w14:paraId="7F081B8E" w14:textId="77777777" w:rsidR="00484F88" w:rsidRPr="005105AD" w:rsidRDefault="00484F88" w:rsidP="005105AD">
      <w:pPr>
        <w:pStyle w:val="FootnoteText"/>
        <w:spacing w:line="280" w:lineRule="exact"/>
        <w:ind w:right="0"/>
        <w:jc w:val="both"/>
        <w:rPr>
          <w:rFonts w:ascii="Times New Roman" w:hAnsi="Times New Roman"/>
          <w:sz w:val="24"/>
          <w:lang w:val="en-US"/>
        </w:rPr>
      </w:pPr>
      <w:r w:rsidRPr="005105AD">
        <w:rPr>
          <w:rStyle w:val="FootnoteReference"/>
          <w:rFonts w:ascii="Times New Roman" w:hAnsi="Times New Roman"/>
          <w:sz w:val="22"/>
          <w:vertAlign w:val="baseline"/>
        </w:rPr>
        <w:footnoteRef/>
      </w:r>
      <w:r w:rsidRPr="005105AD">
        <w:rPr>
          <w:rFonts w:ascii="Times New Roman" w:hAnsi="Times New Roman"/>
          <w:sz w:val="24"/>
        </w:rPr>
        <w:t xml:space="preserve"> </w:t>
      </w:r>
      <w:r w:rsidRPr="005105AD">
        <w:rPr>
          <w:rFonts w:ascii="Times New Roman" w:hAnsi="Times New Roman"/>
          <w:sz w:val="24"/>
          <w:lang w:val="en-US"/>
        </w:rPr>
        <w:tab/>
      </w:r>
      <w:r w:rsidRPr="005105AD">
        <w:rPr>
          <w:rFonts w:ascii="Times New Roman" w:hAnsi="Times New Roman"/>
          <w:sz w:val="24"/>
        </w:rPr>
        <w:t>(1995)</w:t>
      </w:r>
      <w:r w:rsidRPr="005105AD">
        <w:rPr>
          <w:rFonts w:ascii="Times New Roman" w:hAnsi="Times New Roman"/>
          <w:spacing w:val="-6"/>
          <w:sz w:val="24"/>
        </w:rPr>
        <w:t xml:space="preserve"> </w:t>
      </w:r>
      <w:r w:rsidRPr="005105AD">
        <w:rPr>
          <w:rFonts w:ascii="Times New Roman" w:hAnsi="Times New Roman"/>
          <w:sz w:val="24"/>
        </w:rPr>
        <w:t>183</w:t>
      </w:r>
      <w:r w:rsidRPr="005105AD">
        <w:rPr>
          <w:rFonts w:ascii="Times New Roman" w:hAnsi="Times New Roman"/>
          <w:spacing w:val="-7"/>
          <w:sz w:val="24"/>
        </w:rPr>
        <w:t xml:space="preserve"> </w:t>
      </w:r>
      <w:r w:rsidRPr="005105AD">
        <w:rPr>
          <w:rFonts w:ascii="Times New Roman" w:hAnsi="Times New Roman"/>
          <w:sz w:val="24"/>
        </w:rPr>
        <w:t>CLR</w:t>
      </w:r>
      <w:r w:rsidRPr="005105AD">
        <w:rPr>
          <w:rFonts w:ascii="Times New Roman" w:hAnsi="Times New Roman"/>
          <w:spacing w:val="-6"/>
          <w:sz w:val="24"/>
        </w:rPr>
        <w:t xml:space="preserve"> </w:t>
      </w:r>
      <w:r w:rsidRPr="005105AD">
        <w:rPr>
          <w:rFonts w:ascii="Times New Roman" w:hAnsi="Times New Roman"/>
          <w:spacing w:val="-4"/>
          <w:sz w:val="24"/>
        </w:rPr>
        <w:t>108.</w:t>
      </w:r>
    </w:p>
  </w:footnote>
  <w:footnote w:id="35">
    <w:p w14:paraId="751602EE" w14:textId="77777777" w:rsidR="00484F88" w:rsidRPr="005105AD" w:rsidRDefault="00484F88" w:rsidP="005105AD">
      <w:pPr>
        <w:pStyle w:val="FootnoteText"/>
        <w:spacing w:line="280" w:lineRule="exact"/>
        <w:ind w:right="0"/>
        <w:jc w:val="both"/>
        <w:rPr>
          <w:rFonts w:ascii="Times New Roman" w:hAnsi="Times New Roman"/>
          <w:sz w:val="24"/>
          <w:lang w:val="en-US"/>
        </w:rPr>
      </w:pPr>
      <w:r w:rsidRPr="005105AD">
        <w:rPr>
          <w:rStyle w:val="FootnoteReference"/>
          <w:rFonts w:ascii="Times New Roman" w:hAnsi="Times New Roman"/>
          <w:sz w:val="22"/>
          <w:vertAlign w:val="baseline"/>
        </w:rPr>
        <w:footnoteRef/>
      </w:r>
      <w:r w:rsidRPr="005105AD">
        <w:rPr>
          <w:rFonts w:ascii="Times New Roman" w:hAnsi="Times New Roman"/>
          <w:sz w:val="24"/>
        </w:rPr>
        <w:t xml:space="preserve"> </w:t>
      </w:r>
      <w:r w:rsidRPr="005105AD">
        <w:rPr>
          <w:rFonts w:ascii="Times New Roman" w:hAnsi="Times New Roman"/>
          <w:sz w:val="24"/>
          <w:lang w:val="en-US"/>
        </w:rPr>
        <w:tab/>
      </w:r>
      <w:r w:rsidRPr="005105AD">
        <w:rPr>
          <w:rFonts w:ascii="Times New Roman" w:hAnsi="Times New Roman"/>
          <w:sz w:val="24"/>
        </w:rPr>
        <w:t>(2016)</w:t>
      </w:r>
      <w:r w:rsidRPr="005105AD">
        <w:rPr>
          <w:rFonts w:ascii="Times New Roman" w:hAnsi="Times New Roman"/>
          <w:spacing w:val="-7"/>
          <w:sz w:val="24"/>
        </w:rPr>
        <w:t xml:space="preserve"> </w:t>
      </w:r>
      <w:r w:rsidRPr="005105AD">
        <w:rPr>
          <w:rFonts w:ascii="Times New Roman" w:hAnsi="Times New Roman"/>
          <w:sz w:val="24"/>
        </w:rPr>
        <w:t>259</w:t>
      </w:r>
      <w:r w:rsidRPr="005105AD">
        <w:rPr>
          <w:rFonts w:ascii="Times New Roman" w:hAnsi="Times New Roman"/>
          <w:spacing w:val="-6"/>
          <w:sz w:val="24"/>
        </w:rPr>
        <w:t xml:space="preserve"> </w:t>
      </w:r>
      <w:r w:rsidRPr="005105AD">
        <w:rPr>
          <w:rFonts w:ascii="Times New Roman" w:hAnsi="Times New Roman"/>
          <w:sz w:val="24"/>
        </w:rPr>
        <w:t>CLR</w:t>
      </w:r>
      <w:r w:rsidRPr="005105AD">
        <w:rPr>
          <w:rFonts w:ascii="Times New Roman" w:hAnsi="Times New Roman"/>
          <w:spacing w:val="-7"/>
          <w:sz w:val="24"/>
        </w:rPr>
        <w:t xml:space="preserve"> </w:t>
      </w:r>
      <w:r w:rsidRPr="005105AD">
        <w:rPr>
          <w:rFonts w:ascii="Times New Roman" w:hAnsi="Times New Roman"/>
          <w:spacing w:val="-4"/>
          <w:sz w:val="24"/>
        </w:rPr>
        <w:t>380.</w:t>
      </w:r>
    </w:p>
  </w:footnote>
  <w:footnote w:id="36">
    <w:p w14:paraId="687B5779" w14:textId="77777777" w:rsidR="00484F88" w:rsidRPr="005105AD" w:rsidRDefault="00484F88" w:rsidP="005105AD">
      <w:pPr>
        <w:pStyle w:val="FootnoteText"/>
        <w:spacing w:line="280" w:lineRule="exact"/>
        <w:ind w:right="0"/>
        <w:jc w:val="both"/>
        <w:rPr>
          <w:rFonts w:ascii="Times New Roman" w:hAnsi="Times New Roman"/>
          <w:sz w:val="24"/>
          <w:lang w:val="en-US"/>
        </w:rPr>
      </w:pPr>
      <w:r w:rsidRPr="005105AD">
        <w:rPr>
          <w:rStyle w:val="FootnoteReference"/>
          <w:rFonts w:ascii="Times New Roman" w:hAnsi="Times New Roman"/>
          <w:sz w:val="22"/>
          <w:vertAlign w:val="baseline"/>
        </w:rPr>
        <w:footnoteRef/>
      </w:r>
      <w:r w:rsidRPr="005105AD">
        <w:rPr>
          <w:rFonts w:ascii="Times New Roman" w:hAnsi="Times New Roman"/>
          <w:sz w:val="24"/>
        </w:rPr>
        <w:t xml:space="preserve"> </w:t>
      </w:r>
      <w:r w:rsidRPr="005105AD">
        <w:rPr>
          <w:rFonts w:ascii="Times New Roman" w:hAnsi="Times New Roman"/>
          <w:sz w:val="24"/>
          <w:lang w:val="en-US"/>
        </w:rPr>
        <w:tab/>
      </w:r>
      <w:r w:rsidRPr="005105AD">
        <w:rPr>
          <w:rFonts w:ascii="Times New Roman" w:hAnsi="Times New Roman"/>
          <w:sz w:val="24"/>
        </w:rPr>
        <w:t>(2016)</w:t>
      </w:r>
      <w:r w:rsidRPr="005105AD">
        <w:rPr>
          <w:rFonts w:ascii="Times New Roman" w:hAnsi="Times New Roman"/>
          <w:spacing w:val="-6"/>
          <w:sz w:val="24"/>
        </w:rPr>
        <w:t xml:space="preserve"> </w:t>
      </w:r>
      <w:r w:rsidRPr="005105AD">
        <w:rPr>
          <w:rFonts w:ascii="Times New Roman" w:hAnsi="Times New Roman"/>
          <w:sz w:val="24"/>
        </w:rPr>
        <w:t>259</w:t>
      </w:r>
      <w:r w:rsidRPr="005105AD">
        <w:rPr>
          <w:rFonts w:ascii="Times New Roman" w:hAnsi="Times New Roman"/>
          <w:spacing w:val="-5"/>
          <w:sz w:val="24"/>
        </w:rPr>
        <w:t xml:space="preserve"> </w:t>
      </w:r>
      <w:r w:rsidRPr="005105AD">
        <w:rPr>
          <w:rFonts w:ascii="Times New Roman" w:hAnsi="Times New Roman"/>
          <w:sz w:val="24"/>
        </w:rPr>
        <w:t>CLR</w:t>
      </w:r>
      <w:r w:rsidRPr="005105AD">
        <w:rPr>
          <w:rFonts w:ascii="Times New Roman" w:hAnsi="Times New Roman"/>
          <w:spacing w:val="-6"/>
          <w:sz w:val="24"/>
        </w:rPr>
        <w:t xml:space="preserve"> </w:t>
      </w:r>
      <w:r w:rsidRPr="005105AD">
        <w:rPr>
          <w:rFonts w:ascii="Times New Roman" w:hAnsi="Times New Roman"/>
          <w:sz w:val="24"/>
        </w:rPr>
        <w:t>380</w:t>
      </w:r>
      <w:r w:rsidRPr="005105AD">
        <w:rPr>
          <w:rFonts w:ascii="Times New Roman" w:hAnsi="Times New Roman"/>
          <w:spacing w:val="-5"/>
          <w:sz w:val="24"/>
        </w:rPr>
        <w:t xml:space="preserve"> </w:t>
      </w:r>
      <w:r w:rsidRPr="005105AD">
        <w:rPr>
          <w:rFonts w:ascii="Times New Roman" w:hAnsi="Times New Roman"/>
          <w:sz w:val="24"/>
        </w:rPr>
        <w:t>at</w:t>
      </w:r>
      <w:r w:rsidRPr="005105AD">
        <w:rPr>
          <w:rFonts w:ascii="Times New Roman" w:hAnsi="Times New Roman"/>
          <w:spacing w:val="-5"/>
          <w:sz w:val="24"/>
        </w:rPr>
        <w:t xml:space="preserve"> </w:t>
      </w:r>
      <w:r w:rsidRPr="005105AD">
        <w:rPr>
          <w:rFonts w:ascii="Times New Roman" w:hAnsi="Times New Roman"/>
          <w:sz w:val="24"/>
        </w:rPr>
        <w:t>398</w:t>
      </w:r>
      <w:r w:rsidRPr="005105AD">
        <w:rPr>
          <w:rFonts w:ascii="Times New Roman" w:hAnsi="Times New Roman"/>
          <w:spacing w:val="-6"/>
          <w:sz w:val="24"/>
        </w:rPr>
        <w:t xml:space="preserve"> </w:t>
      </w:r>
      <w:r w:rsidRPr="005105AD">
        <w:rPr>
          <w:rFonts w:ascii="Times New Roman" w:hAnsi="Times New Roman"/>
          <w:spacing w:val="-2"/>
          <w:sz w:val="24"/>
        </w:rPr>
        <w:t>[34].</w:t>
      </w:r>
    </w:p>
  </w:footnote>
  <w:footnote w:id="37">
    <w:p w14:paraId="5ED7B644" w14:textId="77777777" w:rsidR="00484F88" w:rsidRPr="005105AD" w:rsidRDefault="00484F88" w:rsidP="005105AD">
      <w:pPr>
        <w:pStyle w:val="FootnoteText"/>
        <w:spacing w:line="280" w:lineRule="exact"/>
        <w:ind w:right="0"/>
        <w:jc w:val="both"/>
        <w:rPr>
          <w:rFonts w:ascii="Times New Roman" w:hAnsi="Times New Roman"/>
          <w:sz w:val="24"/>
        </w:rPr>
      </w:pPr>
      <w:r w:rsidRPr="005105AD">
        <w:rPr>
          <w:rStyle w:val="FootnoteReference"/>
          <w:rFonts w:ascii="Times New Roman" w:hAnsi="Times New Roman"/>
          <w:sz w:val="22"/>
          <w:vertAlign w:val="baseline"/>
        </w:rPr>
        <w:footnoteRef/>
      </w:r>
      <w:r w:rsidRPr="005105AD">
        <w:rPr>
          <w:rFonts w:ascii="Times New Roman" w:hAnsi="Times New Roman"/>
          <w:sz w:val="24"/>
        </w:rPr>
        <w:t xml:space="preserve"> </w:t>
      </w:r>
      <w:r w:rsidRPr="005105AD">
        <w:rPr>
          <w:rFonts w:ascii="Times New Roman" w:hAnsi="Times New Roman"/>
          <w:sz w:val="24"/>
        </w:rPr>
        <w:tab/>
        <w:t>Often referred to as the "incidental" offence or crime.</w:t>
      </w:r>
    </w:p>
  </w:footnote>
  <w:footnote w:id="38">
    <w:p w14:paraId="14782B78" w14:textId="77777777" w:rsidR="00484F88" w:rsidRPr="005105AD" w:rsidRDefault="00484F88" w:rsidP="005105AD">
      <w:pPr>
        <w:pStyle w:val="FootnoteText"/>
        <w:spacing w:line="280" w:lineRule="exact"/>
        <w:ind w:right="0"/>
        <w:jc w:val="both"/>
        <w:rPr>
          <w:rFonts w:ascii="Times New Roman" w:hAnsi="Times New Roman"/>
          <w:sz w:val="24"/>
        </w:rPr>
      </w:pPr>
      <w:r w:rsidRPr="005105AD">
        <w:rPr>
          <w:rStyle w:val="FootnoteReference"/>
          <w:rFonts w:ascii="Times New Roman" w:hAnsi="Times New Roman"/>
          <w:sz w:val="22"/>
          <w:vertAlign w:val="baseline"/>
        </w:rPr>
        <w:footnoteRef/>
      </w:r>
      <w:r w:rsidRPr="005105AD">
        <w:rPr>
          <w:rStyle w:val="FootnoteReference"/>
          <w:rFonts w:ascii="Times New Roman" w:hAnsi="Times New Roman"/>
          <w:sz w:val="22"/>
          <w:vertAlign w:val="baseline"/>
        </w:rPr>
        <w:t xml:space="preserve"> </w:t>
      </w:r>
      <w:r w:rsidRPr="005105AD">
        <w:rPr>
          <w:rFonts w:ascii="Times New Roman" w:hAnsi="Times New Roman"/>
          <w:sz w:val="24"/>
        </w:rPr>
        <w:tab/>
        <w:t>Often referred to as the "foundational" offence, crime, or felony, the subject of the joint criminal enterprise.</w:t>
      </w:r>
    </w:p>
  </w:footnote>
  <w:footnote w:id="39">
    <w:p w14:paraId="6128491F" w14:textId="77777777" w:rsidR="00484F88" w:rsidRPr="005105AD" w:rsidRDefault="00484F88" w:rsidP="005105AD">
      <w:pPr>
        <w:pStyle w:val="FootnoteText"/>
        <w:spacing w:line="280" w:lineRule="exact"/>
        <w:ind w:right="0"/>
        <w:jc w:val="both"/>
        <w:rPr>
          <w:rFonts w:ascii="Times New Roman" w:hAnsi="Times New Roman"/>
          <w:sz w:val="24"/>
        </w:rPr>
      </w:pPr>
      <w:r w:rsidRPr="005105AD">
        <w:rPr>
          <w:rStyle w:val="FootnoteReference"/>
          <w:rFonts w:ascii="Times New Roman" w:hAnsi="Times New Roman"/>
          <w:sz w:val="22"/>
          <w:vertAlign w:val="baseline"/>
        </w:rPr>
        <w:footnoteRef/>
      </w:r>
      <w:r w:rsidRPr="005105AD">
        <w:rPr>
          <w:rFonts w:ascii="Times New Roman" w:hAnsi="Times New Roman"/>
          <w:sz w:val="24"/>
        </w:rPr>
        <w:t xml:space="preserve"> </w:t>
      </w:r>
      <w:r w:rsidRPr="005105AD">
        <w:rPr>
          <w:rFonts w:ascii="Times New Roman" w:hAnsi="Times New Roman"/>
          <w:sz w:val="24"/>
        </w:rPr>
        <w:tab/>
        <w:t>Namely, the commission of the foundational offence, crime, or felony.</w:t>
      </w:r>
    </w:p>
  </w:footnote>
  <w:footnote w:id="40">
    <w:p w14:paraId="618A22BF" w14:textId="77777777" w:rsidR="00484F88" w:rsidRPr="005105AD" w:rsidRDefault="00484F88" w:rsidP="005105AD">
      <w:pPr>
        <w:pStyle w:val="FootnoteText"/>
        <w:spacing w:line="280" w:lineRule="exact"/>
        <w:ind w:right="0"/>
        <w:jc w:val="both"/>
        <w:rPr>
          <w:rFonts w:ascii="Times New Roman" w:hAnsi="Times New Roman"/>
          <w:sz w:val="24"/>
          <w:lang w:val="en-US"/>
        </w:rPr>
      </w:pPr>
      <w:r w:rsidRPr="005105AD">
        <w:rPr>
          <w:rStyle w:val="FootnoteReference"/>
          <w:rFonts w:ascii="Times New Roman" w:hAnsi="Times New Roman"/>
          <w:sz w:val="22"/>
          <w:vertAlign w:val="baseline"/>
        </w:rPr>
        <w:footnoteRef/>
      </w:r>
      <w:r w:rsidRPr="005105AD">
        <w:rPr>
          <w:rFonts w:ascii="Times New Roman" w:hAnsi="Times New Roman"/>
          <w:sz w:val="24"/>
        </w:rPr>
        <w:t xml:space="preserve"> </w:t>
      </w:r>
      <w:r w:rsidRPr="005105AD">
        <w:rPr>
          <w:rFonts w:ascii="Times New Roman" w:hAnsi="Times New Roman"/>
          <w:sz w:val="24"/>
          <w:lang w:val="en-US"/>
        </w:rPr>
        <w:tab/>
      </w:r>
      <w:r w:rsidRPr="005105AD">
        <w:rPr>
          <w:rFonts w:ascii="Times New Roman" w:hAnsi="Times New Roman"/>
          <w:i/>
          <w:iCs/>
          <w:sz w:val="24"/>
          <w:lang w:val="en-US"/>
        </w:rPr>
        <w:t>Miller v The Queen</w:t>
      </w:r>
      <w:r w:rsidRPr="005105AD">
        <w:rPr>
          <w:rFonts w:ascii="Times New Roman" w:hAnsi="Times New Roman"/>
          <w:sz w:val="24"/>
          <w:lang w:val="en-US"/>
        </w:rPr>
        <w:t xml:space="preserve"> (2016) 259 CLR 380 at 398 [34], citing </w:t>
      </w:r>
      <w:r w:rsidRPr="005105AD">
        <w:rPr>
          <w:rFonts w:ascii="Times New Roman" w:hAnsi="Times New Roman"/>
          <w:i/>
          <w:iCs/>
          <w:sz w:val="24"/>
          <w:lang w:val="en-US"/>
        </w:rPr>
        <w:t>Clayton v The Queen</w:t>
      </w:r>
      <w:r w:rsidRPr="005105AD">
        <w:rPr>
          <w:rFonts w:ascii="Times New Roman" w:hAnsi="Times New Roman"/>
          <w:sz w:val="24"/>
          <w:lang w:val="en-US"/>
        </w:rPr>
        <w:t xml:space="preserve"> (2006) 81 ALJR 439 at 444 [20]; 231 ALR 500 at 505.</w:t>
      </w:r>
    </w:p>
  </w:footnote>
  <w:footnote w:id="41">
    <w:p w14:paraId="0B63D63A" w14:textId="77777777" w:rsidR="00484F88" w:rsidRPr="005105AD" w:rsidRDefault="00484F88" w:rsidP="005105AD">
      <w:pPr>
        <w:pStyle w:val="FootnoteText"/>
        <w:spacing w:line="280" w:lineRule="exact"/>
        <w:ind w:right="0"/>
        <w:jc w:val="both"/>
        <w:rPr>
          <w:rFonts w:ascii="Times New Roman" w:hAnsi="Times New Roman"/>
          <w:sz w:val="24"/>
          <w:lang w:val="en-US"/>
        </w:rPr>
      </w:pPr>
      <w:r w:rsidRPr="005105AD">
        <w:rPr>
          <w:rStyle w:val="FootnoteReference"/>
          <w:rFonts w:ascii="Times New Roman" w:hAnsi="Times New Roman"/>
          <w:sz w:val="22"/>
          <w:vertAlign w:val="baseline"/>
        </w:rPr>
        <w:footnoteRef/>
      </w:r>
      <w:r w:rsidRPr="005105AD">
        <w:rPr>
          <w:rFonts w:ascii="Times New Roman" w:hAnsi="Times New Roman"/>
          <w:sz w:val="24"/>
        </w:rPr>
        <w:t xml:space="preserve"> </w:t>
      </w:r>
      <w:r w:rsidRPr="005105AD">
        <w:rPr>
          <w:rFonts w:ascii="Times New Roman" w:hAnsi="Times New Roman"/>
          <w:sz w:val="24"/>
          <w:lang w:val="en-US"/>
        </w:rPr>
        <w:tab/>
      </w:r>
      <w:proofErr w:type="spellStart"/>
      <w:r w:rsidRPr="005105AD">
        <w:rPr>
          <w:rFonts w:ascii="Times New Roman" w:hAnsi="Times New Roman"/>
          <w:sz w:val="24"/>
        </w:rPr>
        <w:t>Simester</w:t>
      </w:r>
      <w:proofErr w:type="spellEnd"/>
      <w:r w:rsidRPr="005105AD">
        <w:rPr>
          <w:rFonts w:ascii="Times New Roman" w:hAnsi="Times New Roman"/>
          <w:sz w:val="24"/>
        </w:rPr>
        <w:t>,</w:t>
      </w:r>
      <w:r w:rsidRPr="005105AD">
        <w:rPr>
          <w:rFonts w:ascii="Times New Roman" w:hAnsi="Times New Roman"/>
          <w:spacing w:val="-5"/>
          <w:sz w:val="24"/>
        </w:rPr>
        <w:t xml:space="preserve"> </w:t>
      </w:r>
      <w:r w:rsidRPr="005105AD">
        <w:rPr>
          <w:rFonts w:ascii="Times New Roman" w:hAnsi="Times New Roman"/>
          <w:sz w:val="24"/>
        </w:rPr>
        <w:t>"The</w:t>
      </w:r>
      <w:r w:rsidRPr="005105AD">
        <w:rPr>
          <w:rFonts w:ascii="Times New Roman" w:hAnsi="Times New Roman"/>
          <w:spacing w:val="-5"/>
          <w:sz w:val="24"/>
        </w:rPr>
        <w:t xml:space="preserve"> </w:t>
      </w:r>
      <w:r w:rsidRPr="005105AD">
        <w:rPr>
          <w:rFonts w:ascii="Times New Roman" w:hAnsi="Times New Roman"/>
          <w:sz w:val="24"/>
        </w:rPr>
        <w:t>Mental</w:t>
      </w:r>
      <w:r w:rsidRPr="005105AD">
        <w:rPr>
          <w:rFonts w:ascii="Times New Roman" w:hAnsi="Times New Roman"/>
          <w:spacing w:val="-5"/>
          <w:sz w:val="24"/>
        </w:rPr>
        <w:t xml:space="preserve"> </w:t>
      </w:r>
      <w:r w:rsidRPr="005105AD">
        <w:rPr>
          <w:rFonts w:ascii="Times New Roman" w:hAnsi="Times New Roman"/>
          <w:sz w:val="24"/>
        </w:rPr>
        <w:t>Element</w:t>
      </w:r>
      <w:r w:rsidRPr="005105AD">
        <w:rPr>
          <w:rFonts w:ascii="Times New Roman" w:hAnsi="Times New Roman"/>
          <w:spacing w:val="-5"/>
          <w:sz w:val="24"/>
        </w:rPr>
        <w:t xml:space="preserve"> </w:t>
      </w:r>
      <w:r w:rsidRPr="005105AD">
        <w:rPr>
          <w:rFonts w:ascii="Times New Roman" w:hAnsi="Times New Roman"/>
          <w:sz w:val="24"/>
        </w:rPr>
        <w:t>in</w:t>
      </w:r>
      <w:r w:rsidRPr="005105AD">
        <w:rPr>
          <w:rFonts w:ascii="Times New Roman" w:hAnsi="Times New Roman"/>
          <w:spacing w:val="-5"/>
          <w:sz w:val="24"/>
        </w:rPr>
        <w:t xml:space="preserve"> </w:t>
      </w:r>
      <w:r w:rsidRPr="005105AD">
        <w:rPr>
          <w:rFonts w:ascii="Times New Roman" w:hAnsi="Times New Roman"/>
          <w:sz w:val="24"/>
        </w:rPr>
        <w:t>Complicity"</w:t>
      </w:r>
      <w:r w:rsidRPr="005105AD">
        <w:rPr>
          <w:rFonts w:ascii="Times New Roman" w:hAnsi="Times New Roman"/>
          <w:spacing w:val="-5"/>
          <w:sz w:val="24"/>
        </w:rPr>
        <w:t xml:space="preserve"> </w:t>
      </w:r>
      <w:r w:rsidRPr="005105AD">
        <w:rPr>
          <w:rFonts w:ascii="Times New Roman" w:hAnsi="Times New Roman"/>
          <w:sz w:val="24"/>
        </w:rPr>
        <w:t>(2006)</w:t>
      </w:r>
      <w:r w:rsidRPr="005105AD">
        <w:rPr>
          <w:rFonts w:ascii="Times New Roman" w:hAnsi="Times New Roman"/>
          <w:spacing w:val="-5"/>
          <w:sz w:val="24"/>
        </w:rPr>
        <w:t xml:space="preserve"> </w:t>
      </w:r>
      <w:r w:rsidRPr="005105AD">
        <w:rPr>
          <w:rFonts w:ascii="Times New Roman" w:hAnsi="Times New Roman"/>
          <w:sz w:val="24"/>
        </w:rPr>
        <w:t>122</w:t>
      </w:r>
      <w:r w:rsidRPr="005105AD">
        <w:rPr>
          <w:rFonts w:ascii="Times New Roman" w:hAnsi="Times New Roman"/>
          <w:spacing w:val="-4"/>
          <w:sz w:val="24"/>
        </w:rPr>
        <w:t xml:space="preserve"> </w:t>
      </w:r>
      <w:r w:rsidRPr="005105AD">
        <w:rPr>
          <w:rFonts w:ascii="Times New Roman" w:hAnsi="Times New Roman"/>
          <w:i/>
          <w:sz w:val="24"/>
        </w:rPr>
        <w:t xml:space="preserve">Law Quarterly Review </w:t>
      </w:r>
      <w:r w:rsidRPr="005105AD">
        <w:rPr>
          <w:rFonts w:ascii="Times New Roman" w:hAnsi="Times New Roman"/>
          <w:sz w:val="24"/>
        </w:rPr>
        <w:t xml:space="preserve">578 at 599, cited in </w:t>
      </w:r>
      <w:r w:rsidRPr="005105AD">
        <w:rPr>
          <w:rFonts w:ascii="Times New Roman" w:hAnsi="Times New Roman"/>
          <w:i/>
          <w:sz w:val="24"/>
        </w:rPr>
        <w:t xml:space="preserve">Clayton v The Queen </w:t>
      </w:r>
      <w:r w:rsidRPr="005105AD">
        <w:rPr>
          <w:rFonts w:ascii="Times New Roman" w:hAnsi="Times New Roman"/>
          <w:sz w:val="24"/>
        </w:rPr>
        <w:t xml:space="preserve">(2006) 81 ALJR 439 at 444 [20]; 231 ALR 500 at 505 and </w:t>
      </w:r>
      <w:r w:rsidRPr="005105AD">
        <w:rPr>
          <w:rFonts w:ascii="Times New Roman" w:hAnsi="Times New Roman"/>
          <w:i/>
          <w:iCs/>
          <w:sz w:val="24"/>
        </w:rPr>
        <w:t>Miller v The Queen</w:t>
      </w:r>
      <w:r w:rsidRPr="005105AD">
        <w:rPr>
          <w:rFonts w:ascii="Times New Roman" w:hAnsi="Times New Roman"/>
          <w:sz w:val="24"/>
        </w:rPr>
        <w:t xml:space="preserve"> (2016) 259 CLR 380 at 398 [33]-[34].</w:t>
      </w:r>
    </w:p>
  </w:footnote>
  <w:footnote w:id="42">
    <w:p w14:paraId="101E2493" w14:textId="77777777" w:rsidR="00484F88" w:rsidRPr="005105AD" w:rsidRDefault="00484F88" w:rsidP="005105AD">
      <w:pPr>
        <w:pStyle w:val="FootnoteText"/>
        <w:spacing w:line="280" w:lineRule="exact"/>
        <w:ind w:right="0"/>
        <w:jc w:val="both"/>
        <w:rPr>
          <w:rFonts w:ascii="Times New Roman" w:hAnsi="Times New Roman"/>
          <w:sz w:val="24"/>
          <w:lang w:val="en-US"/>
        </w:rPr>
      </w:pPr>
      <w:r w:rsidRPr="005105AD">
        <w:rPr>
          <w:rStyle w:val="FootnoteReference"/>
          <w:rFonts w:ascii="Times New Roman" w:hAnsi="Times New Roman"/>
          <w:sz w:val="22"/>
          <w:vertAlign w:val="baseline"/>
        </w:rPr>
        <w:footnoteRef/>
      </w:r>
      <w:r w:rsidRPr="005105AD">
        <w:rPr>
          <w:rFonts w:ascii="Times New Roman" w:hAnsi="Times New Roman"/>
          <w:sz w:val="24"/>
        </w:rPr>
        <w:t xml:space="preserve"> </w:t>
      </w:r>
      <w:r w:rsidRPr="005105AD">
        <w:rPr>
          <w:rFonts w:ascii="Times New Roman" w:hAnsi="Times New Roman"/>
          <w:sz w:val="24"/>
          <w:lang w:val="en-US"/>
        </w:rPr>
        <w:tab/>
      </w:r>
      <w:r w:rsidRPr="005105AD">
        <w:rPr>
          <w:rFonts w:ascii="Times New Roman" w:hAnsi="Times New Roman"/>
          <w:i/>
          <w:sz w:val="24"/>
        </w:rPr>
        <w:t>R</w:t>
      </w:r>
      <w:r w:rsidRPr="005105AD">
        <w:rPr>
          <w:rFonts w:ascii="Times New Roman" w:hAnsi="Times New Roman"/>
          <w:i/>
          <w:spacing w:val="-6"/>
          <w:sz w:val="24"/>
        </w:rPr>
        <w:t xml:space="preserve"> </w:t>
      </w:r>
      <w:r w:rsidRPr="005105AD">
        <w:rPr>
          <w:rFonts w:ascii="Times New Roman" w:hAnsi="Times New Roman"/>
          <w:i/>
          <w:sz w:val="24"/>
        </w:rPr>
        <w:t>v</w:t>
      </w:r>
      <w:r w:rsidRPr="005105AD">
        <w:rPr>
          <w:rFonts w:ascii="Times New Roman" w:hAnsi="Times New Roman"/>
          <w:i/>
          <w:spacing w:val="-6"/>
          <w:sz w:val="24"/>
        </w:rPr>
        <w:t xml:space="preserve"> </w:t>
      </w:r>
      <w:r w:rsidRPr="005105AD">
        <w:rPr>
          <w:rFonts w:ascii="Times New Roman" w:hAnsi="Times New Roman"/>
          <w:i/>
          <w:sz w:val="24"/>
        </w:rPr>
        <w:t>R</w:t>
      </w:r>
      <w:r w:rsidRPr="005105AD">
        <w:rPr>
          <w:rFonts w:ascii="Times New Roman" w:hAnsi="Times New Roman"/>
          <w:i/>
          <w:spacing w:val="-6"/>
          <w:sz w:val="24"/>
        </w:rPr>
        <w:t xml:space="preserve"> </w:t>
      </w:r>
      <w:r w:rsidRPr="005105AD">
        <w:rPr>
          <w:rFonts w:ascii="Times New Roman" w:hAnsi="Times New Roman"/>
          <w:sz w:val="24"/>
        </w:rPr>
        <w:t>(1995)</w:t>
      </w:r>
      <w:r w:rsidRPr="005105AD">
        <w:rPr>
          <w:rFonts w:ascii="Times New Roman" w:hAnsi="Times New Roman"/>
          <w:spacing w:val="-6"/>
          <w:sz w:val="24"/>
        </w:rPr>
        <w:t xml:space="preserve"> </w:t>
      </w:r>
      <w:r w:rsidRPr="005105AD">
        <w:rPr>
          <w:rFonts w:ascii="Times New Roman" w:hAnsi="Times New Roman"/>
          <w:sz w:val="24"/>
        </w:rPr>
        <w:t>63</w:t>
      </w:r>
      <w:r w:rsidRPr="005105AD">
        <w:rPr>
          <w:rFonts w:ascii="Times New Roman" w:hAnsi="Times New Roman"/>
          <w:spacing w:val="-6"/>
          <w:sz w:val="24"/>
        </w:rPr>
        <w:t xml:space="preserve"> </w:t>
      </w:r>
      <w:r w:rsidRPr="005105AD">
        <w:rPr>
          <w:rFonts w:ascii="Times New Roman" w:hAnsi="Times New Roman"/>
          <w:sz w:val="24"/>
        </w:rPr>
        <w:t>SASR</w:t>
      </w:r>
      <w:r w:rsidRPr="005105AD">
        <w:rPr>
          <w:rFonts w:ascii="Times New Roman" w:hAnsi="Times New Roman"/>
          <w:spacing w:val="-6"/>
          <w:sz w:val="24"/>
        </w:rPr>
        <w:t xml:space="preserve"> </w:t>
      </w:r>
      <w:r w:rsidRPr="005105AD">
        <w:rPr>
          <w:rFonts w:ascii="Times New Roman" w:hAnsi="Times New Roman"/>
          <w:sz w:val="24"/>
        </w:rPr>
        <w:t>417</w:t>
      </w:r>
      <w:r w:rsidRPr="005105AD">
        <w:rPr>
          <w:rFonts w:ascii="Times New Roman" w:hAnsi="Times New Roman"/>
          <w:spacing w:val="-6"/>
          <w:sz w:val="24"/>
        </w:rPr>
        <w:t xml:space="preserve"> </w:t>
      </w:r>
      <w:r w:rsidRPr="005105AD">
        <w:rPr>
          <w:rFonts w:ascii="Times New Roman" w:hAnsi="Times New Roman"/>
          <w:sz w:val="24"/>
        </w:rPr>
        <w:t>at</w:t>
      </w:r>
      <w:r w:rsidRPr="005105AD">
        <w:rPr>
          <w:rFonts w:ascii="Times New Roman" w:hAnsi="Times New Roman"/>
          <w:spacing w:val="-5"/>
          <w:sz w:val="24"/>
        </w:rPr>
        <w:t xml:space="preserve"> </w:t>
      </w:r>
      <w:r w:rsidRPr="005105AD">
        <w:rPr>
          <w:rFonts w:ascii="Times New Roman" w:hAnsi="Times New Roman"/>
          <w:sz w:val="24"/>
        </w:rPr>
        <w:t>420-421,</w:t>
      </w:r>
      <w:r w:rsidRPr="005105AD">
        <w:rPr>
          <w:rFonts w:ascii="Times New Roman" w:hAnsi="Times New Roman"/>
          <w:spacing w:val="-6"/>
          <w:sz w:val="24"/>
        </w:rPr>
        <w:t xml:space="preserve"> </w:t>
      </w:r>
      <w:r w:rsidRPr="005105AD">
        <w:rPr>
          <w:rFonts w:ascii="Times New Roman" w:hAnsi="Times New Roman"/>
          <w:sz w:val="24"/>
        </w:rPr>
        <w:t>424-</w:t>
      </w:r>
      <w:r w:rsidRPr="005105AD">
        <w:rPr>
          <w:rFonts w:ascii="Times New Roman" w:hAnsi="Times New Roman"/>
          <w:spacing w:val="-4"/>
          <w:sz w:val="24"/>
        </w:rPr>
        <w:t xml:space="preserve">425; Criminal Law and Penal Methods Reform Committee of South Australia, </w:t>
      </w:r>
      <w:r w:rsidRPr="005105AD">
        <w:rPr>
          <w:rFonts w:ascii="Times New Roman" w:hAnsi="Times New Roman"/>
          <w:i/>
          <w:iCs/>
          <w:spacing w:val="-4"/>
          <w:sz w:val="24"/>
        </w:rPr>
        <w:t>Fourth Report: The Substantive Criminal Law</w:t>
      </w:r>
      <w:r w:rsidRPr="005105AD">
        <w:rPr>
          <w:rFonts w:ascii="Times New Roman" w:hAnsi="Times New Roman"/>
          <w:spacing w:val="-4"/>
          <w:sz w:val="24"/>
        </w:rPr>
        <w:t xml:space="preserve"> (1977) at 15. </w:t>
      </w:r>
    </w:p>
  </w:footnote>
  <w:footnote w:id="43">
    <w:p w14:paraId="6F6DC309" w14:textId="77777777" w:rsidR="00484F88" w:rsidRPr="005105AD" w:rsidRDefault="00484F88" w:rsidP="005105AD">
      <w:pPr>
        <w:pStyle w:val="FootnoteText"/>
        <w:spacing w:line="280" w:lineRule="exact"/>
        <w:ind w:right="0"/>
        <w:jc w:val="both"/>
        <w:rPr>
          <w:rFonts w:ascii="Times New Roman" w:hAnsi="Times New Roman"/>
          <w:sz w:val="24"/>
          <w:lang w:val="en-US"/>
        </w:rPr>
      </w:pPr>
      <w:r w:rsidRPr="005105AD">
        <w:rPr>
          <w:rStyle w:val="FootnoteReference"/>
          <w:rFonts w:ascii="Times New Roman" w:hAnsi="Times New Roman"/>
          <w:sz w:val="22"/>
          <w:vertAlign w:val="baseline"/>
        </w:rPr>
        <w:footnoteRef/>
      </w:r>
      <w:r w:rsidRPr="005105AD">
        <w:rPr>
          <w:rFonts w:ascii="Times New Roman" w:hAnsi="Times New Roman"/>
          <w:sz w:val="24"/>
        </w:rPr>
        <w:t xml:space="preserve"> </w:t>
      </w:r>
      <w:r w:rsidRPr="005105AD">
        <w:rPr>
          <w:rFonts w:ascii="Times New Roman" w:hAnsi="Times New Roman"/>
          <w:sz w:val="24"/>
          <w:lang w:val="en-US"/>
        </w:rPr>
        <w:tab/>
        <w:t xml:space="preserve">South Australia, </w:t>
      </w:r>
      <w:r w:rsidRPr="005105AD">
        <w:rPr>
          <w:rFonts w:ascii="Times New Roman" w:hAnsi="Times New Roman"/>
          <w:sz w:val="24"/>
        </w:rPr>
        <w:t>Legislative</w:t>
      </w:r>
      <w:r w:rsidRPr="005105AD">
        <w:rPr>
          <w:rFonts w:ascii="Times New Roman" w:hAnsi="Times New Roman"/>
          <w:spacing w:val="-7"/>
          <w:sz w:val="24"/>
        </w:rPr>
        <w:t xml:space="preserve"> </w:t>
      </w:r>
      <w:r w:rsidRPr="005105AD">
        <w:rPr>
          <w:rFonts w:ascii="Times New Roman" w:hAnsi="Times New Roman"/>
          <w:sz w:val="24"/>
        </w:rPr>
        <w:t>Council,</w:t>
      </w:r>
      <w:r w:rsidRPr="005105AD">
        <w:rPr>
          <w:rFonts w:ascii="Times New Roman" w:hAnsi="Times New Roman"/>
          <w:spacing w:val="-8"/>
          <w:sz w:val="24"/>
        </w:rPr>
        <w:t xml:space="preserve"> </w:t>
      </w:r>
      <w:r w:rsidRPr="005105AD">
        <w:rPr>
          <w:rFonts w:ascii="Times New Roman" w:hAnsi="Times New Roman"/>
          <w:i/>
          <w:iCs/>
          <w:spacing w:val="-8"/>
          <w:sz w:val="24"/>
        </w:rPr>
        <w:t>Parliamentary Debates</w:t>
      </w:r>
      <w:r w:rsidRPr="005105AD">
        <w:rPr>
          <w:rFonts w:ascii="Times New Roman" w:hAnsi="Times New Roman"/>
          <w:spacing w:val="-8"/>
          <w:sz w:val="24"/>
        </w:rPr>
        <w:t xml:space="preserve"> (</w:t>
      </w:r>
      <w:r w:rsidRPr="005105AD">
        <w:rPr>
          <w:rFonts w:ascii="Times New Roman" w:hAnsi="Times New Roman"/>
          <w:sz w:val="24"/>
        </w:rPr>
        <w:t>Hansard), 4 August 1994 at 49</w:t>
      </w:r>
      <w:r w:rsidRPr="005105AD">
        <w:rPr>
          <w:rFonts w:ascii="Times New Roman" w:hAnsi="Times New Roman"/>
          <w:spacing w:val="-4"/>
          <w:sz w:val="24"/>
        </w:rPr>
        <w:t>.</w:t>
      </w:r>
    </w:p>
  </w:footnote>
  <w:footnote w:id="44">
    <w:p w14:paraId="60E033D8" w14:textId="77777777" w:rsidR="00484F88" w:rsidRPr="005105AD" w:rsidRDefault="00484F88" w:rsidP="005105AD">
      <w:pPr>
        <w:pStyle w:val="FootnoteText"/>
        <w:spacing w:line="280" w:lineRule="exact"/>
        <w:ind w:right="0"/>
        <w:jc w:val="both"/>
        <w:rPr>
          <w:rFonts w:ascii="Times New Roman" w:hAnsi="Times New Roman"/>
          <w:sz w:val="24"/>
          <w:lang w:val="en-US"/>
        </w:rPr>
      </w:pPr>
      <w:r w:rsidRPr="005105AD">
        <w:rPr>
          <w:rStyle w:val="FootnoteReference"/>
          <w:rFonts w:ascii="Times New Roman" w:hAnsi="Times New Roman"/>
          <w:sz w:val="22"/>
          <w:vertAlign w:val="baseline"/>
        </w:rPr>
        <w:footnoteRef/>
      </w:r>
      <w:r w:rsidRPr="005105AD">
        <w:rPr>
          <w:rFonts w:ascii="Times New Roman" w:hAnsi="Times New Roman"/>
          <w:sz w:val="24"/>
        </w:rPr>
        <w:t xml:space="preserve"> </w:t>
      </w:r>
      <w:r w:rsidRPr="005105AD">
        <w:rPr>
          <w:rFonts w:ascii="Times New Roman" w:hAnsi="Times New Roman"/>
          <w:sz w:val="24"/>
          <w:lang w:val="en-US"/>
        </w:rPr>
        <w:tab/>
      </w:r>
      <w:r w:rsidRPr="005105AD">
        <w:rPr>
          <w:rFonts w:ascii="Times New Roman" w:hAnsi="Times New Roman"/>
          <w:sz w:val="24"/>
        </w:rPr>
        <w:t>(2003)</w:t>
      </w:r>
      <w:r w:rsidRPr="005105AD">
        <w:rPr>
          <w:rFonts w:ascii="Times New Roman" w:hAnsi="Times New Roman"/>
          <w:spacing w:val="-6"/>
          <w:sz w:val="24"/>
        </w:rPr>
        <w:t xml:space="preserve"> </w:t>
      </w:r>
      <w:r w:rsidRPr="005105AD">
        <w:rPr>
          <w:rFonts w:ascii="Times New Roman" w:hAnsi="Times New Roman"/>
          <w:sz w:val="24"/>
        </w:rPr>
        <w:t>78</w:t>
      </w:r>
      <w:r w:rsidRPr="005105AD">
        <w:rPr>
          <w:rFonts w:ascii="Times New Roman" w:hAnsi="Times New Roman"/>
          <w:spacing w:val="-6"/>
          <w:sz w:val="24"/>
        </w:rPr>
        <w:t xml:space="preserve"> </w:t>
      </w:r>
      <w:r w:rsidRPr="005105AD">
        <w:rPr>
          <w:rFonts w:ascii="Times New Roman" w:hAnsi="Times New Roman"/>
          <w:sz w:val="24"/>
        </w:rPr>
        <w:t>ALJR</w:t>
      </w:r>
      <w:r w:rsidRPr="005105AD">
        <w:rPr>
          <w:rFonts w:ascii="Times New Roman" w:hAnsi="Times New Roman"/>
          <w:spacing w:val="-6"/>
          <w:sz w:val="24"/>
        </w:rPr>
        <w:t xml:space="preserve"> </w:t>
      </w:r>
      <w:r w:rsidRPr="005105AD">
        <w:rPr>
          <w:rFonts w:ascii="Times New Roman" w:hAnsi="Times New Roman"/>
          <w:sz w:val="24"/>
        </w:rPr>
        <w:t>257;</w:t>
      </w:r>
      <w:r w:rsidRPr="005105AD">
        <w:rPr>
          <w:rFonts w:ascii="Times New Roman" w:hAnsi="Times New Roman"/>
          <w:spacing w:val="-6"/>
          <w:sz w:val="24"/>
        </w:rPr>
        <w:t xml:space="preserve"> </w:t>
      </w:r>
      <w:r w:rsidRPr="005105AD">
        <w:rPr>
          <w:rFonts w:ascii="Times New Roman" w:hAnsi="Times New Roman"/>
          <w:sz w:val="24"/>
        </w:rPr>
        <w:t>203</w:t>
      </w:r>
      <w:r w:rsidRPr="005105AD">
        <w:rPr>
          <w:rFonts w:ascii="Times New Roman" w:hAnsi="Times New Roman"/>
          <w:spacing w:val="-6"/>
          <w:sz w:val="24"/>
        </w:rPr>
        <w:t xml:space="preserve"> </w:t>
      </w:r>
      <w:r w:rsidRPr="005105AD">
        <w:rPr>
          <w:rFonts w:ascii="Times New Roman" w:hAnsi="Times New Roman"/>
          <w:sz w:val="24"/>
        </w:rPr>
        <w:t>ALR</w:t>
      </w:r>
      <w:r w:rsidRPr="005105AD">
        <w:rPr>
          <w:rFonts w:ascii="Times New Roman" w:hAnsi="Times New Roman"/>
          <w:spacing w:val="-6"/>
          <w:sz w:val="24"/>
        </w:rPr>
        <w:t xml:space="preserve"> </w:t>
      </w:r>
      <w:r w:rsidRPr="005105AD">
        <w:rPr>
          <w:rFonts w:ascii="Times New Roman" w:hAnsi="Times New Roman"/>
          <w:spacing w:val="-4"/>
          <w:sz w:val="24"/>
        </w:rPr>
        <w:t>259.</w:t>
      </w:r>
    </w:p>
  </w:footnote>
  <w:footnote w:id="45">
    <w:p w14:paraId="1431BDD0" w14:textId="77777777" w:rsidR="00484F88" w:rsidRPr="005105AD" w:rsidRDefault="00484F88" w:rsidP="005105AD">
      <w:pPr>
        <w:pStyle w:val="FootnoteText"/>
        <w:spacing w:line="280" w:lineRule="exact"/>
        <w:ind w:right="0"/>
        <w:jc w:val="both"/>
        <w:rPr>
          <w:rFonts w:ascii="Times New Roman" w:hAnsi="Times New Roman"/>
          <w:sz w:val="24"/>
          <w:lang w:val="en-US"/>
        </w:rPr>
      </w:pPr>
      <w:r w:rsidRPr="005105AD">
        <w:rPr>
          <w:rStyle w:val="FootnoteReference"/>
          <w:rFonts w:ascii="Times New Roman" w:hAnsi="Times New Roman"/>
          <w:sz w:val="22"/>
          <w:vertAlign w:val="baseline"/>
        </w:rPr>
        <w:footnoteRef/>
      </w:r>
      <w:r w:rsidRPr="005105AD">
        <w:rPr>
          <w:rFonts w:ascii="Times New Roman" w:hAnsi="Times New Roman"/>
          <w:sz w:val="24"/>
        </w:rPr>
        <w:t xml:space="preserve"> </w:t>
      </w:r>
      <w:r w:rsidRPr="005105AD">
        <w:rPr>
          <w:rFonts w:ascii="Times New Roman" w:hAnsi="Times New Roman"/>
          <w:sz w:val="24"/>
          <w:lang w:val="en-US"/>
        </w:rPr>
        <w:tab/>
        <w:t xml:space="preserve">(1992) 174 CLR 313 at 327. See also </w:t>
      </w:r>
      <w:r w:rsidRPr="005105AD">
        <w:rPr>
          <w:rFonts w:ascii="Times New Roman" w:hAnsi="Times New Roman"/>
          <w:i/>
          <w:sz w:val="24"/>
          <w:lang w:val="en-US"/>
        </w:rPr>
        <w:t xml:space="preserve">IL v The Queen </w:t>
      </w:r>
      <w:r w:rsidRPr="005105AD">
        <w:rPr>
          <w:rFonts w:ascii="Times New Roman" w:hAnsi="Times New Roman"/>
          <w:sz w:val="24"/>
          <w:lang w:val="en-US"/>
        </w:rPr>
        <w:t>(2017) 262 CLR 268 at 309 [97].</w:t>
      </w:r>
    </w:p>
  </w:footnote>
  <w:footnote w:id="46">
    <w:p w14:paraId="534B8DF5" w14:textId="77777777" w:rsidR="00484F88" w:rsidRPr="005105AD" w:rsidRDefault="00484F88" w:rsidP="005105AD">
      <w:pPr>
        <w:pStyle w:val="FootnoteText"/>
        <w:spacing w:line="280" w:lineRule="exact"/>
        <w:ind w:right="0"/>
        <w:jc w:val="both"/>
        <w:rPr>
          <w:rFonts w:ascii="Times New Roman" w:hAnsi="Times New Roman"/>
          <w:sz w:val="24"/>
          <w:lang w:val="en-US"/>
        </w:rPr>
      </w:pPr>
      <w:r w:rsidRPr="005105AD">
        <w:rPr>
          <w:rStyle w:val="FootnoteReference"/>
          <w:rFonts w:ascii="Times New Roman" w:hAnsi="Times New Roman"/>
          <w:sz w:val="22"/>
          <w:vertAlign w:val="baseline"/>
        </w:rPr>
        <w:footnoteRef/>
      </w:r>
      <w:r w:rsidRPr="005105AD">
        <w:rPr>
          <w:rFonts w:ascii="Times New Roman" w:hAnsi="Times New Roman"/>
          <w:sz w:val="24"/>
        </w:rPr>
        <w:t xml:space="preserve"> </w:t>
      </w:r>
      <w:r w:rsidRPr="005105AD">
        <w:rPr>
          <w:rFonts w:ascii="Times New Roman" w:hAnsi="Times New Roman"/>
          <w:sz w:val="24"/>
        </w:rPr>
        <w:tab/>
        <w:t xml:space="preserve">See the reasons of Gordon, Edelman and Steward JJ at </w:t>
      </w:r>
      <w:r w:rsidRPr="008B5207">
        <w:rPr>
          <w:rFonts w:ascii="Times New Roman" w:hAnsi="Times New Roman"/>
          <w:sz w:val="24"/>
        </w:rPr>
        <w:t>[108]</w:t>
      </w:r>
      <w:r w:rsidRPr="005105AD">
        <w:rPr>
          <w:rFonts w:ascii="Times New Roman" w:hAnsi="Times New Roman"/>
          <w:sz w:val="24"/>
        </w:rPr>
        <w:t>.</w:t>
      </w:r>
    </w:p>
  </w:footnote>
  <w:footnote w:id="47">
    <w:p w14:paraId="52CBDFE4" w14:textId="77777777" w:rsidR="00484F88" w:rsidRPr="00B553C9" w:rsidRDefault="00484F88" w:rsidP="00B553C9">
      <w:pPr>
        <w:pStyle w:val="FootnoteText"/>
        <w:spacing w:line="280" w:lineRule="exact"/>
        <w:ind w:right="0"/>
        <w:jc w:val="both"/>
        <w:rPr>
          <w:rFonts w:ascii="Times New Roman" w:hAnsi="Times New Roman"/>
          <w:sz w:val="24"/>
        </w:rPr>
      </w:pPr>
      <w:r w:rsidRPr="00B553C9">
        <w:rPr>
          <w:rStyle w:val="FootnoteReference"/>
          <w:rFonts w:ascii="Times New Roman" w:hAnsi="Times New Roman"/>
          <w:sz w:val="22"/>
          <w:vertAlign w:val="baseline"/>
        </w:rPr>
        <w:footnoteRef/>
      </w:r>
      <w:r w:rsidRPr="00B553C9">
        <w:rPr>
          <w:rFonts w:ascii="Times New Roman" w:hAnsi="Times New Roman"/>
          <w:sz w:val="24"/>
        </w:rPr>
        <w:t xml:space="preserve"> </w:t>
      </w:r>
      <w:r w:rsidRPr="00B553C9">
        <w:rPr>
          <w:rFonts w:ascii="Times New Roman" w:hAnsi="Times New Roman"/>
          <w:sz w:val="24"/>
        </w:rPr>
        <w:tab/>
        <w:t>(2016) 259 CLR 380 at 388 [4]. See also at 416 [100].</w:t>
      </w:r>
    </w:p>
  </w:footnote>
  <w:footnote w:id="48">
    <w:p w14:paraId="725907AA" w14:textId="77777777" w:rsidR="00484F88" w:rsidRPr="00B553C9" w:rsidRDefault="00484F88" w:rsidP="00B553C9">
      <w:pPr>
        <w:pStyle w:val="FootnoteText"/>
        <w:spacing w:line="280" w:lineRule="exact"/>
        <w:ind w:right="0"/>
        <w:jc w:val="both"/>
        <w:rPr>
          <w:rFonts w:ascii="Times New Roman" w:hAnsi="Times New Roman"/>
          <w:sz w:val="24"/>
        </w:rPr>
      </w:pPr>
      <w:r w:rsidRPr="00B553C9">
        <w:rPr>
          <w:rStyle w:val="FootnoteReference"/>
          <w:rFonts w:ascii="Times New Roman" w:hAnsi="Times New Roman"/>
          <w:sz w:val="22"/>
          <w:vertAlign w:val="baseline"/>
        </w:rPr>
        <w:footnoteRef/>
      </w:r>
      <w:r w:rsidRPr="00B553C9">
        <w:rPr>
          <w:rFonts w:ascii="Times New Roman" w:hAnsi="Times New Roman"/>
          <w:sz w:val="24"/>
        </w:rPr>
        <w:t xml:space="preserve"> </w:t>
      </w:r>
      <w:r w:rsidRPr="00B553C9">
        <w:rPr>
          <w:rFonts w:ascii="Times New Roman" w:hAnsi="Times New Roman"/>
          <w:sz w:val="24"/>
        </w:rPr>
        <w:tab/>
      </w:r>
      <w:r w:rsidRPr="00B553C9">
        <w:rPr>
          <w:rFonts w:ascii="Times New Roman" w:hAnsi="Times New Roman"/>
          <w:i/>
          <w:iCs/>
          <w:sz w:val="24"/>
        </w:rPr>
        <w:t xml:space="preserve">Miller v The Queen </w:t>
      </w:r>
      <w:r w:rsidRPr="00B553C9">
        <w:rPr>
          <w:rFonts w:ascii="Times New Roman" w:hAnsi="Times New Roman"/>
          <w:sz w:val="24"/>
        </w:rPr>
        <w:t xml:space="preserve">(2016) 259 CLR 380 at 388 [4]. See also </w:t>
      </w:r>
      <w:r w:rsidRPr="00B553C9">
        <w:rPr>
          <w:rFonts w:ascii="Times New Roman" w:hAnsi="Times New Roman"/>
          <w:i/>
          <w:iCs/>
          <w:sz w:val="24"/>
        </w:rPr>
        <w:t xml:space="preserve">McAuliffe v The Queen </w:t>
      </w:r>
      <w:r w:rsidRPr="00B553C9">
        <w:rPr>
          <w:rFonts w:ascii="Times New Roman" w:hAnsi="Times New Roman"/>
          <w:sz w:val="24"/>
        </w:rPr>
        <w:t xml:space="preserve">(1995) 183 CLR 108 at 114; </w:t>
      </w:r>
      <w:r w:rsidRPr="00B553C9">
        <w:rPr>
          <w:rFonts w:ascii="Times New Roman" w:hAnsi="Times New Roman"/>
          <w:i/>
          <w:iCs/>
          <w:sz w:val="24"/>
        </w:rPr>
        <w:t xml:space="preserve">Gillard v The Queen </w:t>
      </w:r>
      <w:r w:rsidRPr="00B553C9">
        <w:rPr>
          <w:rFonts w:ascii="Times New Roman" w:hAnsi="Times New Roman"/>
          <w:sz w:val="24"/>
        </w:rPr>
        <w:t>(2003) 219 CLR 1 at 36 [111].</w:t>
      </w:r>
    </w:p>
  </w:footnote>
  <w:footnote w:id="49">
    <w:p w14:paraId="5C87FCCB" w14:textId="77777777" w:rsidR="00484F88" w:rsidRPr="00B553C9" w:rsidRDefault="00484F88" w:rsidP="00B553C9">
      <w:pPr>
        <w:pStyle w:val="FootnoteText"/>
        <w:spacing w:line="280" w:lineRule="exact"/>
        <w:ind w:right="0"/>
        <w:jc w:val="both"/>
        <w:rPr>
          <w:rFonts w:ascii="Times New Roman" w:hAnsi="Times New Roman"/>
          <w:sz w:val="24"/>
        </w:rPr>
      </w:pPr>
      <w:r w:rsidRPr="00B553C9">
        <w:rPr>
          <w:rStyle w:val="FootnoteReference"/>
          <w:rFonts w:ascii="Times New Roman" w:hAnsi="Times New Roman"/>
          <w:sz w:val="22"/>
          <w:vertAlign w:val="baseline"/>
        </w:rPr>
        <w:footnoteRef/>
      </w:r>
      <w:r w:rsidRPr="00B553C9">
        <w:rPr>
          <w:rFonts w:ascii="Times New Roman" w:hAnsi="Times New Roman"/>
          <w:sz w:val="24"/>
        </w:rPr>
        <w:t xml:space="preserve"> </w:t>
      </w:r>
      <w:r w:rsidRPr="00B553C9">
        <w:rPr>
          <w:rFonts w:ascii="Times New Roman" w:hAnsi="Times New Roman"/>
          <w:sz w:val="24"/>
        </w:rPr>
        <w:tab/>
      </w:r>
      <w:r w:rsidRPr="00B553C9">
        <w:rPr>
          <w:rFonts w:ascii="Times New Roman" w:hAnsi="Times New Roman"/>
          <w:i/>
          <w:iCs/>
          <w:sz w:val="24"/>
        </w:rPr>
        <w:t xml:space="preserve">Gillard v The Queen </w:t>
      </w:r>
      <w:r w:rsidRPr="00B553C9">
        <w:rPr>
          <w:rFonts w:ascii="Times New Roman" w:hAnsi="Times New Roman"/>
          <w:sz w:val="24"/>
        </w:rPr>
        <w:t>(2003) 219 CLR 1 at 39 [124].</w:t>
      </w:r>
    </w:p>
  </w:footnote>
  <w:footnote w:id="50">
    <w:p w14:paraId="67F9D149" w14:textId="77777777" w:rsidR="00484F88" w:rsidRPr="00B553C9" w:rsidRDefault="00484F88" w:rsidP="00B553C9">
      <w:pPr>
        <w:pStyle w:val="FootnoteText"/>
        <w:spacing w:line="280" w:lineRule="exact"/>
        <w:ind w:right="0"/>
        <w:jc w:val="both"/>
        <w:rPr>
          <w:rFonts w:ascii="Times New Roman" w:hAnsi="Times New Roman"/>
          <w:sz w:val="24"/>
        </w:rPr>
      </w:pPr>
      <w:r w:rsidRPr="00B553C9">
        <w:rPr>
          <w:rStyle w:val="FootnoteReference"/>
          <w:rFonts w:ascii="Times New Roman" w:hAnsi="Times New Roman"/>
          <w:sz w:val="22"/>
          <w:vertAlign w:val="baseline"/>
        </w:rPr>
        <w:footnoteRef/>
      </w:r>
      <w:r w:rsidRPr="00B553C9">
        <w:rPr>
          <w:rFonts w:ascii="Times New Roman" w:hAnsi="Times New Roman"/>
          <w:sz w:val="24"/>
        </w:rPr>
        <w:t xml:space="preserve"> </w:t>
      </w:r>
      <w:r w:rsidRPr="00B553C9">
        <w:rPr>
          <w:rFonts w:ascii="Times New Roman" w:hAnsi="Times New Roman"/>
          <w:sz w:val="24"/>
        </w:rPr>
        <w:tab/>
      </w:r>
      <w:r w:rsidRPr="00B553C9">
        <w:rPr>
          <w:rFonts w:ascii="Times New Roman" w:hAnsi="Times New Roman"/>
          <w:i/>
          <w:iCs/>
          <w:sz w:val="24"/>
        </w:rPr>
        <w:t xml:space="preserve">Miller v The Queen </w:t>
      </w:r>
      <w:r w:rsidRPr="00B553C9">
        <w:rPr>
          <w:rFonts w:ascii="Times New Roman" w:hAnsi="Times New Roman"/>
          <w:sz w:val="24"/>
        </w:rPr>
        <w:t>(2016) 259 CLR 380 at 388 [4].</w:t>
      </w:r>
    </w:p>
  </w:footnote>
  <w:footnote w:id="51">
    <w:p w14:paraId="75DEB9AE" w14:textId="77777777" w:rsidR="00484F88" w:rsidRPr="00B553C9" w:rsidRDefault="00484F88" w:rsidP="00B553C9">
      <w:pPr>
        <w:pStyle w:val="FootnoteText"/>
        <w:spacing w:line="280" w:lineRule="exact"/>
        <w:ind w:right="0"/>
        <w:jc w:val="both"/>
        <w:rPr>
          <w:rFonts w:ascii="Times New Roman" w:hAnsi="Times New Roman"/>
          <w:sz w:val="24"/>
        </w:rPr>
      </w:pPr>
      <w:r w:rsidRPr="00B553C9">
        <w:rPr>
          <w:rStyle w:val="FootnoteReference"/>
          <w:rFonts w:ascii="Times New Roman" w:hAnsi="Times New Roman"/>
          <w:sz w:val="22"/>
          <w:vertAlign w:val="baseline"/>
        </w:rPr>
        <w:footnoteRef/>
      </w:r>
      <w:r w:rsidRPr="00B553C9">
        <w:rPr>
          <w:rFonts w:ascii="Times New Roman" w:hAnsi="Times New Roman"/>
          <w:sz w:val="24"/>
        </w:rPr>
        <w:t xml:space="preserve"> </w:t>
      </w:r>
      <w:r w:rsidRPr="00B553C9">
        <w:rPr>
          <w:rFonts w:ascii="Times New Roman" w:hAnsi="Times New Roman"/>
          <w:sz w:val="24"/>
        </w:rPr>
        <w:tab/>
      </w:r>
      <w:r w:rsidRPr="00B553C9">
        <w:rPr>
          <w:rFonts w:ascii="Times New Roman" w:hAnsi="Times New Roman"/>
          <w:i/>
          <w:iCs/>
          <w:sz w:val="24"/>
        </w:rPr>
        <w:t xml:space="preserve">McAuliffe v The Queen </w:t>
      </w:r>
      <w:r w:rsidRPr="00B553C9">
        <w:rPr>
          <w:rFonts w:ascii="Times New Roman" w:hAnsi="Times New Roman"/>
          <w:sz w:val="24"/>
        </w:rPr>
        <w:t>(1995) 183 CLR 108 at 114.</w:t>
      </w:r>
    </w:p>
  </w:footnote>
  <w:footnote w:id="52">
    <w:p w14:paraId="7C863215" w14:textId="77777777" w:rsidR="00484F88" w:rsidRPr="00B553C9" w:rsidRDefault="00484F88" w:rsidP="00B553C9">
      <w:pPr>
        <w:pStyle w:val="FootnoteText"/>
        <w:spacing w:line="280" w:lineRule="exact"/>
        <w:ind w:right="0"/>
        <w:jc w:val="both"/>
        <w:rPr>
          <w:rFonts w:ascii="Times New Roman" w:hAnsi="Times New Roman"/>
          <w:sz w:val="24"/>
        </w:rPr>
      </w:pPr>
      <w:r w:rsidRPr="00B553C9">
        <w:rPr>
          <w:rStyle w:val="FootnoteReference"/>
          <w:rFonts w:ascii="Times New Roman" w:hAnsi="Times New Roman"/>
          <w:sz w:val="22"/>
          <w:vertAlign w:val="baseline"/>
        </w:rPr>
        <w:footnoteRef/>
      </w:r>
      <w:r w:rsidRPr="00B553C9">
        <w:rPr>
          <w:rFonts w:ascii="Times New Roman" w:hAnsi="Times New Roman"/>
          <w:sz w:val="24"/>
        </w:rPr>
        <w:t xml:space="preserve"> </w:t>
      </w:r>
      <w:r w:rsidRPr="00B553C9">
        <w:rPr>
          <w:rFonts w:ascii="Times New Roman" w:hAnsi="Times New Roman"/>
          <w:sz w:val="24"/>
        </w:rPr>
        <w:tab/>
      </w:r>
      <w:r w:rsidRPr="00B553C9">
        <w:rPr>
          <w:rFonts w:ascii="Times New Roman" w:hAnsi="Times New Roman"/>
          <w:i/>
          <w:iCs/>
          <w:sz w:val="24"/>
        </w:rPr>
        <w:t xml:space="preserve">Gillard v The Queen </w:t>
      </w:r>
      <w:r w:rsidRPr="00B553C9">
        <w:rPr>
          <w:rFonts w:ascii="Times New Roman" w:hAnsi="Times New Roman"/>
          <w:sz w:val="24"/>
        </w:rPr>
        <w:t>(2003) 219 CLR 1 at 39 [124] (emphasis in original).</w:t>
      </w:r>
    </w:p>
  </w:footnote>
  <w:footnote w:id="53">
    <w:p w14:paraId="433C42CB" w14:textId="77777777" w:rsidR="00484F88" w:rsidRPr="00B553C9" w:rsidRDefault="00484F88" w:rsidP="00B553C9">
      <w:pPr>
        <w:pStyle w:val="FootnoteText"/>
        <w:spacing w:line="280" w:lineRule="exact"/>
        <w:ind w:right="0"/>
        <w:jc w:val="both"/>
        <w:rPr>
          <w:rFonts w:ascii="Times New Roman" w:hAnsi="Times New Roman"/>
          <w:sz w:val="24"/>
        </w:rPr>
      </w:pPr>
      <w:r w:rsidRPr="00B553C9">
        <w:rPr>
          <w:rStyle w:val="FootnoteReference"/>
          <w:rFonts w:ascii="Times New Roman" w:hAnsi="Times New Roman"/>
          <w:sz w:val="22"/>
          <w:vertAlign w:val="baseline"/>
        </w:rPr>
        <w:footnoteRef/>
      </w:r>
      <w:r w:rsidRPr="00B553C9">
        <w:rPr>
          <w:rFonts w:ascii="Times New Roman" w:hAnsi="Times New Roman"/>
          <w:sz w:val="24"/>
        </w:rPr>
        <w:t xml:space="preserve"> </w:t>
      </w:r>
      <w:r w:rsidRPr="00B553C9">
        <w:rPr>
          <w:rFonts w:ascii="Times New Roman" w:hAnsi="Times New Roman"/>
          <w:sz w:val="24"/>
        </w:rPr>
        <w:tab/>
      </w:r>
      <w:r w:rsidRPr="00B553C9">
        <w:rPr>
          <w:rFonts w:ascii="Times New Roman" w:hAnsi="Times New Roman"/>
          <w:i/>
          <w:iCs/>
          <w:sz w:val="24"/>
        </w:rPr>
        <w:t xml:space="preserve">Miller v The Queen </w:t>
      </w:r>
      <w:r w:rsidRPr="00B553C9">
        <w:rPr>
          <w:rFonts w:ascii="Times New Roman" w:hAnsi="Times New Roman"/>
          <w:sz w:val="24"/>
        </w:rPr>
        <w:t>(2016) 259 CLR 380 at 388 [4].</w:t>
      </w:r>
    </w:p>
  </w:footnote>
  <w:footnote w:id="54">
    <w:p w14:paraId="79DB46A0" w14:textId="77777777" w:rsidR="00484F88" w:rsidRPr="00B553C9" w:rsidRDefault="00484F88" w:rsidP="00B553C9">
      <w:pPr>
        <w:pStyle w:val="FootnoteText"/>
        <w:spacing w:line="280" w:lineRule="exact"/>
        <w:ind w:right="0"/>
        <w:jc w:val="both"/>
        <w:rPr>
          <w:rFonts w:ascii="Times New Roman" w:hAnsi="Times New Roman"/>
          <w:sz w:val="24"/>
        </w:rPr>
      </w:pPr>
      <w:r w:rsidRPr="00B553C9">
        <w:rPr>
          <w:rStyle w:val="FootnoteReference"/>
          <w:rFonts w:ascii="Times New Roman" w:hAnsi="Times New Roman"/>
          <w:sz w:val="22"/>
          <w:vertAlign w:val="baseline"/>
        </w:rPr>
        <w:footnoteRef/>
      </w:r>
      <w:r w:rsidRPr="00B553C9">
        <w:rPr>
          <w:rFonts w:ascii="Times New Roman" w:hAnsi="Times New Roman"/>
          <w:sz w:val="24"/>
        </w:rPr>
        <w:t xml:space="preserve"> </w:t>
      </w:r>
      <w:r w:rsidRPr="00B553C9">
        <w:rPr>
          <w:rFonts w:ascii="Times New Roman" w:hAnsi="Times New Roman"/>
          <w:sz w:val="24"/>
        </w:rPr>
        <w:tab/>
      </w:r>
      <w:r w:rsidRPr="00B553C9">
        <w:rPr>
          <w:rFonts w:ascii="Times New Roman" w:hAnsi="Times New Roman"/>
          <w:i/>
          <w:sz w:val="24"/>
        </w:rPr>
        <w:t xml:space="preserve">R v Anderson </w:t>
      </w:r>
      <w:r w:rsidRPr="00B553C9">
        <w:rPr>
          <w:rFonts w:ascii="Times New Roman" w:hAnsi="Times New Roman"/>
          <w:sz w:val="24"/>
        </w:rPr>
        <w:t>[1966] 2 QB 110 at 118</w:t>
      </w:r>
      <w:r w:rsidRPr="00B553C9">
        <w:rPr>
          <w:rFonts w:ascii="Times New Roman" w:hAnsi="Times New Roman"/>
          <w:sz w:val="24"/>
        </w:rPr>
        <w:noBreakHyphen/>
        <w:t xml:space="preserve">119. See also </w:t>
      </w:r>
      <w:r w:rsidRPr="00B553C9">
        <w:rPr>
          <w:rFonts w:ascii="Times New Roman" w:hAnsi="Times New Roman"/>
          <w:i/>
          <w:iCs/>
          <w:sz w:val="24"/>
        </w:rPr>
        <w:t xml:space="preserve">R v Collinson </w:t>
      </w:r>
      <w:r w:rsidRPr="00B553C9">
        <w:rPr>
          <w:rFonts w:ascii="Times New Roman" w:hAnsi="Times New Roman"/>
          <w:sz w:val="24"/>
        </w:rPr>
        <w:t xml:space="preserve">(1831) 4 Car &amp; P 565 at 566 [172 ER 827 at 828]; </w:t>
      </w:r>
      <w:r w:rsidRPr="00B553C9">
        <w:rPr>
          <w:rFonts w:ascii="Times New Roman" w:hAnsi="Times New Roman"/>
          <w:i/>
          <w:iCs/>
          <w:sz w:val="24"/>
        </w:rPr>
        <w:t xml:space="preserve">Pearce </w:t>
      </w:r>
      <w:r w:rsidRPr="00B553C9">
        <w:rPr>
          <w:rFonts w:ascii="Times New Roman" w:hAnsi="Times New Roman"/>
          <w:sz w:val="24"/>
        </w:rPr>
        <w:t>(1929) 21 Cr App R 79 at 80</w:t>
      </w:r>
      <w:r w:rsidRPr="00B553C9">
        <w:rPr>
          <w:rFonts w:ascii="Times New Roman" w:hAnsi="Times New Roman"/>
          <w:sz w:val="24"/>
        </w:rPr>
        <w:noBreakHyphen/>
        <w:t xml:space="preserve">81; </w:t>
      </w:r>
      <w:r w:rsidRPr="00B553C9">
        <w:rPr>
          <w:rFonts w:ascii="Times New Roman" w:hAnsi="Times New Roman"/>
          <w:i/>
          <w:sz w:val="24"/>
        </w:rPr>
        <w:t xml:space="preserve">R v Lovesey </w:t>
      </w:r>
      <w:r w:rsidRPr="00B553C9">
        <w:rPr>
          <w:rFonts w:ascii="Times New Roman" w:hAnsi="Times New Roman"/>
          <w:sz w:val="24"/>
        </w:rPr>
        <w:t>[1970] 1 QB 352 at 356.</w:t>
      </w:r>
    </w:p>
  </w:footnote>
  <w:footnote w:id="55">
    <w:p w14:paraId="6C316301" w14:textId="77777777" w:rsidR="00484F88" w:rsidRPr="00B553C9" w:rsidRDefault="00484F88" w:rsidP="00B553C9">
      <w:pPr>
        <w:pStyle w:val="FootnoteText"/>
        <w:spacing w:line="280" w:lineRule="exact"/>
        <w:ind w:right="0"/>
        <w:jc w:val="both"/>
        <w:rPr>
          <w:rFonts w:ascii="Times New Roman" w:hAnsi="Times New Roman"/>
          <w:sz w:val="24"/>
        </w:rPr>
      </w:pPr>
      <w:r w:rsidRPr="00B553C9">
        <w:rPr>
          <w:rStyle w:val="FootnoteReference"/>
          <w:rFonts w:ascii="Times New Roman" w:hAnsi="Times New Roman"/>
          <w:sz w:val="22"/>
          <w:vertAlign w:val="baseline"/>
        </w:rPr>
        <w:footnoteRef/>
      </w:r>
      <w:r w:rsidRPr="00B553C9">
        <w:rPr>
          <w:rFonts w:ascii="Times New Roman" w:hAnsi="Times New Roman"/>
          <w:sz w:val="24"/>
        </w:rPr>
        <w:t xml:space="preserve"> </w:t>
      </w:r>
      <w:r w:rsidRPr="00B553C9">
        <w:rPr>
          <w:rFonts w:ascii="Times New Roman" w:hAnsi="Times New Roman"/>
          <w:sz w:val="24"/>
        </w:rPr>
        <w:tab/>
      </w:r>
      <w:r w:rsidRPr="00B553C9">
        <w:rPr>
          <w:rFonts w:ascii="Times New Roman" w:hAnsi="Times New Roman"/>
          <w:i/>
          <w:iCs/>
          <w:sz w:val="24"/>
        </w:rPr>
        <w:t xml:space="preserve">IL v The </w:t>
      </w:r>
      <w:r w:rsidRPr="00B553C9">
        <w:rPr>
          <w:rFonts w:ascii="Times New Roman" w:hAnsi="Times New Roman"/>
          <w:i/>
          <w:sz w:val="24"/>
        </w:rPr>
        <w:t xml:space="preserve">Queen </w:t>
      </w:r>
      <w:r w:rsidRPr="00B553C9">
        <w:rPr>
          <w:rFonts w:ascii="Times New Roman" w:hAnsi="Times New Roman"/>
          <w:sz w:val="24"/>
        </w:rPr>
        <w:t>(2017) 262 CLR 268</w:t>
      </w:r>
      <w:r w:rsidRPr="00B553C9">
        <w:rPr>
          <w:rFonts w:ascii="Times New Roman" w:hAnsi="Times New Roman"/>
          <w:i/>
          <w:sz w:val="24"/>
        </w:rPr>
        <w:t xml:space="preserve"> </w:t>
      </w:r>
      <w:r w:rsidRPr="00B553C9">
        <w:rPr>
          <w:rFonts w:ascii="Times New Roman" w:hAnsi="Times New Roman"/>
          <w:sz w:val="24"/>
        </w:rPr>
        <w:t>at 282 [29], 311 [103], 323</w:t>
      </w:r>
      <w:r w:rsidRPr="00B553C9">
        <w:rPr>
          <w:rFonts w:ascii="Times New Roman" w:hAnsi="Times New Roman"/>
          <w:sz w:val="24"/>
        </w:rPr>
        <w:noBreakHyphen/>
        <w:t>324 [</w:t>
      </w:r>
      <w:proofErr w:type="gramStart"/>
      <w:r w:rsidRPr="00B553C9">
        <w:rPr>
          <w:rFonts w:ascii="Times New Roman" w:hAnsi="Times New Roman"/>
          <w:sz w:val="24"/>
        </w:rPr>
        <w:t>146]</w:t>
      </w:r>
      <w:r w:rsidRPr="00B553C9">
        <w:rPr>
          <w:rFonts w:ascii="Times New Roman" w:hAnsi="Times New Roman"/>
          <w:sz w:val="24"/>
        </w:rPr>
        <w:noBreakHyphen/>
      </w:r>
      <w:proofErr w:type="gramEnd"/>
      <w:r w:rsidRPr="00B553C9">
        <w:rPr>
          <w:rFonts w:ascii="Times New Roman" w:hAnsi="Times New Roman"/>
          <w:sz w:val="24"/>
        </w:rPr>
        <w:t xml:space="preserve">[149]; </w:t>
      </w:r>
      <w:r w:rsidRPr="00B553C9">
        <w:rPr>
          <w:rFonts w:ascii="Times New Roman" w:hAnsi="Times New Roman"/>
          <w:i/>
          <w:sz w:val="24"/>
        </w:rPr>
        <w:t xml:space="preserve">O'Dea v Western Australia </w:t>
      </w:r>
      <w:r w:rsidRPr="00B553C9">
        <w:rPr>
          <w:rFonts w:ascii="Times New Roman" w:hAnsi="Times New Roman"/>
          <w:sz w:val="24"/>
        </w:rPr>
        <w:t>(2022) 96 ALJR 710</w:t>
      </w:r>
      <w:r w:rsidRPr="00B553C9">
        <w:rPr>
          <w:rFonts w:ascii="Times New Roman" w:hAnsi="Times New Roman"/>
          <w:i/>
          <w:sz w:val="24"/>
        </w:rPr>
        <w:t xml:space="preserve"> </w:t>
      </w:r>
      <w:r w:rsidRPr="00B553C9">
        <w:rPr>
          <w:rFonts w:ascii="Times New Roman" w:hAnsi="Times New Roman"/>
          <w:sz w:val="24"/>
        </w:rPr>
        <w:t>at 721 [55]; 403 ALR 200 at 212</w:t>
      </w:r>
      <w:r w:rsidRPr="00B553C9">
        <w:rPr>
          <w:rFonts w:ascii="Times New Roman" w:hAnsi="Times New Roman"/>
          <w:sz w:val="24"/>
        </w:rPr>
        <w:noBreakHyphen/>
        <w:t xml:space="preserve">213. See also </w:t>
      </w:r>
      <w:proofErr w:type="spellStart"/>
      <w:r w:rsidRPr="00B553C9">
        <w:rPr>
          <w:rFonts w:ascii="Times New Roman" w:hAnsi="Times New Roman"/>
          <w:sz w:val="24"/>
        </w:rPr>
        <w:t>Kadish</w:t>
      </w:r>
      <w:proofErr w:type="spellEnd"/>
      <w:r w:rsidRPr="00B553C9">
        <w:rPr>
          <w:rFonts w:ascii="Times New Roman" w:hAnsi="Times New Roman"/>
          <w:sz w:val="24"/>
        </w:rPr>
        <w:t xml:space="preserve">, "Complicity, Cause and Blame: A Study in the Interpretation of Doctrine" (1985) 73 </w:t>
      </w:r>
      <w:r w:rsidRPr="00B553C9">
        <w:rPr>
          <w:rFonts w:ascii="Times New Roman" w:hAnsi="Times New Roman"/>
          <w:i/>
          <w:iCs/>
          <w:sz w:val="24"/>
        </w:rPr>
        <w:t xml:space="preserve">California Law Review </w:t>
      </w:r>
      <w:r w:rsidRPr="00B553C9">
        <w:rPr>
          <w:rFonts w:ascii="Times New Roman" w:hAnsi="Times New Roman"/>
          <w:sz w:val="24"/>
        </w:rPr>
        <w:t xml:space="preserve">323 at 354; Dressler, "Reassessing the Theoretical Underpinnings of Accomplice Liability: New Solutions to an Old Problem" (1985) 37 </w:t>
      </w:r>
      <w:r w:rsidRPr="00B553C9">
        <w:rPr>
          <w:rFonts w:ascii="Times New Roman" w:hAnsi="Times New Roman"/>
          <w:i/>
          <w:iCs/>
          <w:sz w:val="24"/>
        </w:rPr>
        <w:t xml:space="preserve">Hastings Law </w:t>
      </w:r>
      <w:r w:rsidRPr="00B553C9">
        <w:rPr>
          <w:rFonts w:ascii="Times New Roman" w:hAnsi="Times New Roman"/>
          <w:i/>
          <w:sz w:val="24"/>
        </w:rPr>
        <w:t xml:space="preserve">Journal </w:t>
      </w:r>
      <w:r w:rsidRPr="00B553C9">
        <w:rPr>
          <w:rFonts w:ascii="Times New Roman" w:hAnsi="Times New Roman"/>
          <w:sz w:val="24"/>
        </w:rPr>
        <w:t>91 at 110</w:t>
      </w:r>
      <w:r w:rsidRPr="00B553C9">
        <w:rPr>
          <w:rFonts w:ascii="Times New Roman" w:hAnsi="Times New Roman"/>
          <w:sz w:val="24"/>
        </w:rPr>
        <w:noBreakHyphen/>
        <w:t>111.</w:t>
      </w:r>
    </w:p>
  </w:footnote>
  <w:footnote w:id="56">
    <w:p w14:paraId="3DB0195F" w14:textId="77777777" w:rsidR="00484F88" w:rsidRPr="00B553C9" w:rsidRDefault="00484F88" w:rsidP="00B553C9">
      <w:pPr>
        <w:pStyle w:val="FootnoteText"/>
        <w:spacing w:line="280" w:lineRule="exact"/>
        <w:ind w:right="0"/>
        <w:jc w:val="both"/>
        <w:rPr>
          <w:rFonts w:ascii="Times New Roman" w:hAnsi="Times New Roman"/>
          <w:sz w:val="24"/>
        </w:rPr>
      </w:pPr>
      <w:r w:rsidRPr="00B553C9">
        <w:rPr>
          <w:rStyle w:val="FootnoteReference"/>
          <w:rFonts w:ascii="Times New Roman" w:hAnsi="Times New Roman"/>
          <w:sz w:val="22"/>
          <w:vertAlign w:val="baseline"/>
        </w:rPr>
        <w:footnoteRef/>
      </w:r>
      <w:r w:rsidRPr="00B553C9">
        <w:rPr>
          <w:rFonts w:ascii="Times New Roman" w:hAnsi="Times New Roman"/>
          <w:sz w:val="24"/>
        </w:rPr>
        <w:t xml:space="preserve"> </w:t>
      </w:r>
      <w:r w:rsidRPr="00B553C9">
        <w:rPr>
          <w:rFonts w:ascii="Times New Roman" w:hAnsi="Times New Roman"/>
          <w:sz w:val="24"/>
        </w:rPr>
        <w:tab/>
      </w:r>
      <w:r w:rsidRPr="00B553C9">
        <w:rPr>
          <w:rFonts w:ascii="Times New Roman" w:hAnsi="Times New Roman"/>
          <w:i/>
          <w:iCs/>
          <w:sz w:val="24"/>
        </w:rPr>
        <w:t xml:space="preserve">Macklin, </w:t>
      </w:r>
      <w:r w:rsidRPr="00B553C9">
        <w:rPr>
          <w:rFonts w:ascii="Times New Roman" w:hAnsi="Times New Roman"/>
          <w:i/>
          <w:sz w:val="24"/>
        </w:rPr>
        <w:t xml:space="preserve">Murphy, and Others' Case </w:t>
      </w:r>
      <w:r w:rsidRPr="00B553C9">
        <w:rPr>
          <w:rFonts w:ascii="Times New Roman" w:hAnsi="Times New Roman"/>
          <w:sz w:val="24"/>
        </w:rPr>
        <w:t>(1838) 2 Lewin</w:t>
      </w:r>
      <w:r w:rsidRPr="00B553C9" w:rsidDel="001D2ED4">
        <w:rPr>
          <w:rFonts w:ascii="Times New Roman" w:hAnsi="Times New Roman"/>
          <w:sz w:val="24"/>
        </w:rPr>
        <w:t xml:space="preserve"> </w:t>
      </w:r>
      <w:r w:rsidRPr="00B553C9">
        <w:rPr>
          <w:rFonts w:ascii="Times New Roman" w:hAnsi="Times New Roman"/>
          <w:sz w:val="24"/>
        </w:rPr>
        <w:t>225 at 226 [168 ER 1136 at 1136].</w:t>
      </w:r>
    </w:p>
  </w:footnote>
  <w:footnote w:id="57">
    <w:p w14:paraId="27CA1CAB" w14:textId="77777777" w:rsidR="00484F88" w:rsidRPr="00B553C9" w:rsidRDefault="00484F88" w:rsidP="00B553C9">
      <w:pPr>
        <w:pStyle w:val="FootnoteText"/>
        <w:spacing w:line="280" w:lineRule="exact"/>
        <w:ind w:right="0"/>
        <w:jc w:val="both"/>
        <w:rPr>
          <w:rFonts w:ascii="Times New Roman" w:hAnsi="Times New Roman"/>
          <w:sz w:val="24"/>
        </w:rPr>
      </w:pPr>
      <w:r w:rsidRPr="00B553C9">
        <w:rPr>
          <w:rStyle w:val="FootnoteReference"/>
          <w:rFonts w:ascii="Times New Roman" w:hAnsi="Times New Roman"/>
          <w:sz w:val="22"/>
          <w:vertAlign w:val="baseline"/>
        </w:rPr>
        <w:footnoteRef/>
      </w:r>
      <w:r w:rsidRPr="00B553C9">
        <w:rPr>
          <w:rFonts w:ascii="Times New Roman" w:hAnsi="Times New Roman"/>
          <w:sz w:val="24"/>
        </w:rPr>
        <w:t xml:space="preserve"> </w:t>
      </w:r>
      <w:r w:rsidRPr="00B553C9">
        <w:rPr>
          <w:rFonts w:ascii="Times New Roman" w:hAnsi="Times New Roman"/>
          <w:sz w:val="24"/>
        </w:rPr>
        <w:tab/>
      </w:r>
      <w:proofErr w:type="spellStart"/>
      <w:r w:rsidRPr="00B553C9">
        <w:rPr>
          <w:rFonts w:ascii="Times New Roman" w:hAnsi="Times New Roman"/>
          <w:i/>
          <w:iCs/>
          <w:sz w:val="24"/>
        </w:rPr>
        <w:t>Osland</w:t>
      </w:r>
      <w:proofErr w:type="spellEnd"/>
      <w:r w:rsidRPr="00B553C9">
        <w:rPr>
          <w:rFonts w:ascii="Times New Roman" w:hAnsi="Times New Roman"/>
          <w:i/>
          <w:iCs/>
          <w:sz w:val="24"/>
        </w:rPr>
        <w:t xml:space="preserve"> </w:t>
      </w:r>
      <w:r w:rsidRPr="00B553C9">
        <w:rPr>
          <w:rFonts w:ascii="Times New Roman" w:hAnsi="Times New Roman"/>
          <w:i/>
          <w:sz w:val="24"/>
        </w:rPr>
        <w:t>v The Queen</w:t>
      </w:r>
      <w:r w:rsidRPr="00B553C9">
        <w:rPr>
          <w:rFonts w:ascii="Times New Roman" w:hAnsi="Times New Roman"/>
          <w:i/>
          <w:iCs/>
          <w:sz w:val="24"/>
        </w:rPr>
        <w:t xml:space="preserve"> </w:t>
      </w:r>
      <w:r w:rsidRPr="00B553C9">
        <w:rPr>
          <w:rFonts w:ascii="Times New Roman" w:hAnsi="Times New Roman"/>
          <w:sz w:val="24"/>
        </w:rPr>
        <w:t xml:space="preserve">(1998) 197 CLR 316 at 350 [93]. See also at 383 [174], 413 [257]; </w:t>
      </w:r>
      <w:r w:rsidRPr="00B553C9">
        <w:rPr>
          <w:rFonts w:ascii="Times New Roman" w:hAnsi="Times New Roman"/>
          <w:i/>
          <w:iCs/>
          <w:sz w:val="24"/>
        </w:rPr>
        <w:t xml:space="preserve">IL v The Queen </w:t>
      </w:r>
      <w:r w:rsidRPr="00B553C9">
        <w:rPr>
          <w:rFonts w:ascii="Times New Roman" w:hAnsi="Times New Roman"/>
          <w:sz w:val="24"/>
        </w:rPr>
        <w:t>(2017) 262 CLR 268 at 283 [30], 284</w:t>
      </w:r>
      <w:r w:rsidRPr="00B553C9">
        <w:rPr>
          <w:rFonts w:ascii="Times New Roman" w:hAnsi="Times New Roman"/>
          <w:sz w:val="24"/>
        </w:rPr>
        <w:noBreakHyphen/>
        <w:t>285 [34], 287 [40], 297 [66], 299</w:t>
      </w:r>
      <w:r w:rsidRPr="00B553C9">
        <w:rPr>
          <w:rFonts w:ascii="Times New Roman" w:hAnsi="Times New Roman"/>
          <w:sz w:val="24"/>
        </w:rPr>
        <w:noBreakHyphen/>
        <w:t>300 [74], 311 [103], 323 [146].</w:t>
      </w:r>
    </w:p>
  </w:footnote>
  <w:footnote w:id="58">
    <w:p w14:paraId="0FBA86B8" w14:textId="77777777" w:rsidR="00484F88" w:rsidRPr="00B553C9" w:rsidRDefault="00484F88" w:rsidP="00B553C9">
      <w:pPr>
        <w:pStyle w:val="FootnoteText"/>
        <w:spacing w:line="280" w:lineRule="exact"/>
        <w:ind w:right="0"/>
        <w:jc w:val="both"/>
        <w:rPr>
          <w:rFonts w:ascii="Times New Roman" w:hAnsi="Times New Roman"/>
          <w:sz w:val="24"/>
        </w:rPr>
      </w:pPr>
      <w:r w:rsidRPr="00B553C9">
        <w:rPr>
          <w:rStyle w:val="FootnoteReference"/>
          <w:rFonts w:ascii="Times New Roman" w:hAnsi="Times New Roman"/>
          <w:sz w:val="22"/>
          <w:vertAlign w:val="baseline"/>
        </w:rPr>
        <w:footnoteRef/>
      </w:r>
      <w:r w:rsidRPr="00B553C9">
        <w:rPr>
          <w:rFonts w:ascii="Times New Roman" w:hAnsi="Times New Roman"/>
          <w:sz w:val="24"/>
        </w:rPr>
        <w:t xml:space="preserve"> </w:t>
      </w:r>
      <w:r w:rsidRPr="00B553C9">
        <w:rPr>
          <w:rFonts w:ascii="Times New Roman" w:hAnsi="Times New Roman"/>
          <w:sz w:val="24"/>
        </w:rPr>
        <w:tab/>
      </w:r>
      <w:r w:rsidRPr="00B553C9">
        <w:rPr>
          <w:rFonts w:ascii="Times New Roman" w:hAnsi="Times New Roman"/>
          <w:i/>
          <w:iCs/>
          <w:sz w:val="24"/>
        </w:rPr>
        <w:t xml:space="preserve">McAuliffe v The Queen </w:t>
      </w:r>
      <w:r w:rsidRPr="00B553C9">
        <w:rPr>
          <w:rFonts w:ascii="Times New Roman" w:hAnsi="Times New Roman"/>
          <w:sz w:val="24"/>
        </w:rPr>
        <w:t>(1995) 183 CLR 108 at 114.</w:t>
      </w:r>
    </w:p>
  </w:footnote>
  <w:footnote w:id="59">
    <w:p w14:paraId="01CEF5F9" w14:textId="77777777" w:rsidR="00484F88" w:rsidRPr="00B553C9" w:rsidRDefault="00484F88" w:rsidP="00B553C9">
      <w:pPr>
        <w:pStyle w:val="FootnoteText"/>
        <w:spacing w:line="280" w:lineRule="exact"/>
        <w:ind w:right="0"/>
        <w:jc w:val="both"/>
        <w:rPr>
          <w:rFonts w:ascii="Times New Roman" w:hAnsi="Times New Roman"/>
          <w:sz w:val="24"/>
        </w:rPr>
      </w:pPr>
      <w:r w:rsidRPr="00B553C9">
        <w:rPr>
          <w:rStyle w:val="FootnoteReference"/>
          <w:rFonts w:ascii="Times New Roman" w:hAnsi="Times New Roman"/>
          <w:sz w:val="22"/>
          <w:vertAlign w:val="baseline"/>
        </w:rPr>
        <w:footnoteRef/>
      </w:r>
      <w:r w:rsidRPr="00B553C9">
        <w:rPr>
          <w:rFonts w:ascii="Times New Roman" w:hAnsi="Times New Roman"/>
          <w:sz w:val="24"/>
        </w:rPr>
        <w:t xml:space="preserve"> </w:t>
      </w:r>
      <w:r w:rsidRPr="00B553C9">
        <w:rPr>
          <w:rFonts w:ascii="Times New Roman" w:hAnsi="Times New Roman"/>
          <w:sz w:val="24"/>
        </w:rPr>
        <w:tab/>
        <w:t>(2016) 259 CLR 380 at 388 [4]. See also at 416 [100].</w:t>
      </w:r>
    </w:p>
  </w:footnote>
  <w:footnote w:id="60">
    <w:p w14:paraId="7BBEFC9D" w14:textId="77777777" w:rsidR="00484F88" w:rsidRPr="00B553C9" w:rsidRDefault="00484F88" w:rsidP="00B553C9">
      <w:pPr>
        <w:pStyle w:val="FootnoteText"/>
        <w:spacing w:line="280" w:lineRule="exact"/>
        <w:ind w:right="0"/>
        <w:jc w:val="both"/>
        <w:rPr>
          <w:rFonts w:ascii="Times New Roman" w:hAnsi="Times New Roman"/>
          <w:sz w:val="24"/>
        </w:rPr>
      </w:pPr>
      <w:r w:rsidRPr="00B553C9">
        <w:rPr>
          <w:rStyle w:val="FootnoteReference"/>
          <w:rFonts w:ascii="Times New Roman" w:hAnsi="Times New Roman"/>
          <w:sz w:val="22"/>
          <w:vertAlign w:val="baseline"/>
        </w:rPr>
        <w:footnoteRef/>
      </w:r>
      <w:r w:rsidRPr="00B553C9">
        <w:rPr>
          <w:rFonts w:ascii="Times New Roman" w:hAnsi="Times New Roman"/>
          <w:sz w:val="24"/>
        </w:rPr>
        <w:t xml:space="preserve"> </w:t>
      </w:r>
      <w:r w:rsidRPr="00B553C9">
        <w:rPr>
          <w:rFonts w:ascii="Times New Roman" w:hAnsi="Times New Roman"/>
          <w:sz w:val="24"/>
        </w:rPr>
        <w:tab/>
      </w:r>
      <w:r w:rsidRPr="00B553C9">
        <w:rPr>
          <w:rFonts w:ascii="Times New Roman" w:hAnsi="Times New Roman"/>
          <w:i/>
          <w:iCs/>
          <w:sz w:val="24"/>
        </w:rPr>
        <w:t xml:space="preserve">McAuliffe v The Queen </w:t>
      </w:r>
      <w:r w:rsidRPr="00B553C9">
        <w:rPr>
          <w:rFonts w:ascii="Times New Roman" w:hAnsi="Times New Roman"/>
          <w:sz w:val="24"/>
        </w:rPr>
        <w:t>(1995) 183 CLR 108 at 117</w:t>
      </w:r>
      <w:r w:rsidRPr="00B553C9">
        <w:rPr>
          <w:rFonts w:ascii="Times New Roman" w:hAnsi="Times New Roman"/>
          <w:sz w:val="24"/>
        </w:rPr>
        <w:noBreakHyphen/>
        <w:t xml:space="preserve">118; </w:t>
      </w:r>
      <w:r w:rsidRPr="00B553C9">
        <w:rPr>
          <w:rFonts w:ascii="Times New Roman" w:hAnsi="Times New Roman"/>
          <w:i/>
          <w:iCs/>
          <w:sz w:val="24"/>
        </w:rPr>
        <w:t xml:space="preserve">Clayton v The Queen </w:t>
      </w:r>
      <w:r w:rsidRPr="00B553C9">
        <w:rPr>
          <w:rFonts w:ascii="Times New Roman" w:hAnsi="Times New Roman"/>
          <w:sz w:val="24"/>
        </w:rPr>
        <w:t>(2006) 81 ALJR 439 at 444</w:t>
      </w:r>
      <w:r w:rsidRPr="00B553C9">
        <w:rPr>
          <w:rFonts w:ascii="Times New Roman" w:hAnsi="Times New Roman"/>
          <w:sz w:val="24"/>
        </w:rPr>
        <w:noBreakHyphen/>
        <w:t xml:space="preserve">445 [26]; 231 ALR 500 at 506; </w:t>
      </w:r>
      <w:r w:rsidRPr="00B553C9">
        <w:rPr>
          <w:rFonts w:ascii="Times New Roman" w:hAnsi="Times New Roman"/>
          <w:i/>
          <w:iCs/>
          <w:sz w:val="24"/>
        </w:rPr>
        <w:t xml:space="preserve">Miller v The Queen </w:t>
      </w:r>
      <w:r w:rsidRPr="00B553C9">
        <w:rPr>
          <w:rFonts w:ascii="Times New Roman" w:hAnsi="Times New Roman"/>
          <w:sz w:val="24"/>
        </w:rPr>
        <w:t>(2016) 259 CLR 380 at 388 [4].</w:t>
      </w:r>
    </w:p>
  </w:footnote>
  <w:footnote w:id="61">
    <w:p w14:paraId="68EE04DA" w14:textId="77777777" w:rsidR="00484F88" w:rsidRPr="00B553C9" w:rsidRDefault="00484F88" w:rsidP="00B553C9">
      <w:pPr>
        <w:pStyle w:val="FootnoteText"/>
        <w:spacing w:line="280" w:lineRule="exact"/>
        <w:ind w:right="0"/>
        <w:jc w:val="both"/>
        <w:rPr>
          <w:rFonts w:ascii="Times New Roman" w:hAnsi="Times New Roman"/>
          <w:sz w:val="24"/>
        </w:rPr>
      </w:pPr>
      <w:r w:rsidRPr="00B553C9">
        <w:rPr>
          <w:rStyle w:val="FootnoteReference"/>
          <w:rFonts w:ascii="Times New Roman" w:hAnsi="Times New Roman"/>
          <w:sz w:val="22"/>
          <w:vertAlign w:val="baseline"/>
        </w:rPr>
        <w:footnoteRef/>
      </w:r>
      <w:r w:rsidRPr="00B553C9">
        <w:rPr>
          <w:rFonts w:ascii="Times New Roman" w:hAnsi="Times New Roman"/>
          <w:sz w:val="24"/>
        </w:rPr>
        <w:t xml:space="preserve"> </w:t>
      </w:r>
      <w:r w:rsidRPr="00B553C9">
        <w:rPr>
          <w:rFonts w:ascii="Times New Roman" w:hAnsi="Times New Roman"/>
          <w:sz w:val="24"/>
        </w:rPr>
        <w:tab/>
        <w:t>(2016) 259 CLR 380 at 390 [10].</w:t>
      </w:r>
    </w:p>
  </w:footnote>
  <w:footnote w:id="62">
    <w:p w14:paraId="0E3D0CAB" w14:textId="77777777" w:rsidR="00484F88" w:rsidRPr="00B553C9" w:rsidRDefault="00484F88" w:rsidP="00B553C9">
      <w:pPr>
        <w:pStyle w:val="FootnoteText"/>
        <w:spacing w:line="280" w:lineRule="exact"/>
        <w:ind w:right="0"/>
        <w:jc w:val="both"/>
        <w:rPr>
          <w:rFonts w:ascii="Times New Roman" w:hAnsi="Times New Roman"/>
          <w:sz w:val="24"/>
        </w:rPr>
      </w:pPr>
      <w:r w:rsidRPr="00B553C9">
        <w:rPr>
          <w:rStyle w:val="FootnoteReference"/>
          <w:rFonts w:ascii="Times New Roman" w:hAnsi="Times New Roman"/>
          <w:sz w:val="22"/>
          <w:vertAlign w:val="baseline"/>
        </w:rPr>
        <w:footnoteRef/>
      </w:r>
      <w:r w:rsidRPr="00B553C9">
        <w:rPr>
          <w:rFonts w:ascii="Times New Roman" w:hAnsi="Times New Roman"/>
          <w:sz w:val="24"/>
        </w:rPr>
        <w:t xml:space="preserve"> </w:t>
      </w:r>
      <w:r w:rsidRPr="00B553C9">
        <w:rPr>
          <w:rFonts w:ascii="Times New Roman" w:hAnsi="Times New Roman"/>
          <w:sz w:val="24"/>
        </w:rPr>
        <w:tab/>
        <w:t>(2016) 259 CLR 380 at 387 [1].</w:t>
      </w:r>
    </w:p>
  </w:footnote>
  <w:footnote w:id="63">
    <w:p w14:paraId="571BBE0F" w14:textId="77777777" w:rsidR="00484F88" w:rsidRPr="00B553C9" w:rsidRDefault="00484F88" w:rsidP="00B553C9">
      <w:pPr>
        <w:pStyle w:val="FootnoteText"/>
        <w:spacing w:line="280" w:lineRule="exact"/>
        <w:ind w:right="0"/>
        <w:jc w:val="both"/>
        <w:rPr>
          <w:rFonts w:ascii="Times New Roman" w:hAnsi="Times New Roman"/>
          <w:sz w:val="24"/>
        </w:rPr>
      </w:pPr>
      <w:r w:rsidRPr="00B553C9">
        <w:rPr>
          <w:rStyle w:val="FootnoteReference"/>
          <w:rFonts w:ascii="Times New Roman" w:hAnsi="Times New Roman"/>
          <w:sz w:val="22"/>
          <w:vertAlign w:val="baseline"/>
        </w:rPr>
        <w:footnoteRef/>
      </w:r>
      <w:r w:rsidRPr="00B553C9">
        <w:rPr>
          <w:rFonts w:ascii="Times New Roman" w:hAnsi="Times New Roman"/>
          <w:sz w:val="24"/>
        </w:rPr>
        <w:t xml:space="preserve"> </w:t>
      </w:r>
      <w:r w:rsidRPr="00B553C9">
        <w:rPr>
          <w:rFonts w:ascii="Times New Roman" w:hAnsi="Times New Roman"/>
          <w:sz w:val="24"/>
        </w:rPr>
        <w:tab/>
        <w:t xml:space="preserve">See </w:t>
      </w:r>
      <w:r w:rsidRPr="00B553C9">
        <w:rPr>
          <w:rFonts w:ascii="Times New Roman" w:hAnsi="Times New Roman"/>
          <w:i/>
          <w:iCs/>
          <w:sz w:val="24"/>
        </w:rPr>
        <w:t>Chan Wing</w:t>
      </w:r>
      <w:r w:rsidRPr="00B553C9">
        <w:rPr>
          <w:rFonts w:ascii="Times New Roman" w:hAnsi="Times New Roman"/>
          <w:i/>
          <w:iCs/>
          <w:sz w:val="24"/>
        </w:rPr>
        <w:noBreakHyphen/>
        <w:t>Siu v The Queen</w:t>
      </w:r>
      <w:r w:rsidRPr="00B553C9">
        <w:rPr>
          <w:rFonts w:ascii="Times New Roman" w:hAnsi="Times New Roman"/>
          <w:sz w:val="24"/>
        </w:rPr>
        <w:t xml:space="preserve"> [1985] AC 168 at 174.</w:t>
      </w:r>
    </w:p>
  </w:footnote>
  <w:footnote w:id="64">
    <w:p w14:paraId="5E57194B" w14:textId="77777777" w:rsidR="00484F88" w:rsidRPr="00B553C9" w:rsidRDefault="00484F88" w:rsidP="00B553C9">
      <w:pPr>
        <w:pStyle w:val="FootnoteText"/>
        <w:spacing w:line="280" w:lineRule="exact"/>
        <w:ind w:right="0"/>
        <w:jc w:val="both"/>
        <w:rPr>
          <w:rFonts w:ascii="Times New Roman" w:hAnsi="Times New Roman"/>
          <w:sz w:val="24"/>
        </w:rPr>
      </w:pPr>
      <w:r w:rsidRPr="00B553C9">
        <w:rPr>
          <w:rStyle w:val="FootnoteReference"/>
          <w:rFonts w:ascii="Times New Roman" w:hAnsi="Times New Roman"/>
          <w:sz w:val="22"/>
          <w:vertAlign w:val="baseline"/>
        </w:rPr>
        <w:footnoteRef/>
      </w:r>
      <w:r w:rsidRPr="00B553C9">
        <w:rPr>
          <w:rFonts w:ascii="Times New Roman" w:hAnsi="Times New Roman"/>
          <w:sz w:val="24"/>
        </w:rPr>
        <w:t xml:space="preserve"> </w:t>
      </w:r>
      <w:r w:rsidRPr="00B553C9">
        <w:rPr>
          <w:rFonts w:ascii="Times New Roman" w:hAnsi="Times New Roman"/>
          <w:sz w:val="24"/>
        </w:rPr>
        <w:tab/>
      </w:r>
      <w:r w:rsidRPr="00B553C9">
        <w:rPr>
          <w:rFonts w:ascii="Times New Roman" w:hAnsi="Times New Roman"/>
          <w:i/>
          <w:iCs/>
          <w:sz w:val="24"/>
        </w:rPr>
        <w:t xml:space="preserve">Miller v The Queen </w:t>
      </w:r>
      <w:r w:rsidRPr="00B553C9">
        <w:rPr>
          <w:rFonts w:ascii="Times New Roman" w:hAnsi="Times New Roman"/>
          <w:sz w:val="24"/>
        </w:rPr>
        <w:t xml:space="preserve">(2016) 259 CLR 380 at 387 [1]. See also </w:t>
      </w:r>
      <w:r w:rsidRPr="00B553C9">
        <w:rPr>
          <w:rFonts w:ascii="Times New Roman" w:hAnsi="Times New Roman"/>
          <w:i/>
          <w:sz w:val="24"/>
        </w:rPr>
        <w:t xml:space="preserve">Clayton v The Queen </w:t>
      </w:r>
      <w:r w:rsidRPr="00B553C9">
        <w:rPr>
          <w:rFonts w:ascii="Times New Roman" w:hAnsi="Times New Roman"/>
          <w:sz w:val="24"/>
        </w:rPr>
        <w:t>(2006) 81 ALJR 439 at 443 [17], 444</w:t>
      </w:r>
      <w:r w:rsidRPr="00B553C9">
        <w:rPr>
          <w:rFonts w:ascii="Times New Roman" w:hAnsi="Times New Roman"/>
          <w:sz w:val="24"/>
        </w:rPr>
        <w:noBreakHyphen/>
        <w:t>445 [26]; 231 ALR 500 at 504</w:t>
      </w:r>
      <w:r w:rsidRPr="00B553C9">
        <w:rPr>
          <w:rFonts w:ascii="Times New Roman" w:hAnsi="Times New Roman"/>
          <w:sz w:val="24"/>
        </w:rPr>
        <w:noBreakHyphen/>
        <w:t xml:space="preserve">505, 506; </w:t>
      </w:r>
      <w:r w:rsidRPr="00B553C9">
        <w:rPr>
          <w:rFonts w:ascii="Times New Roman" w:hAnsi="Times New Roman"/>
          <w:i/>
          <w:sz w:val="24"/>
        </w:rPr>
        <w:t xml:space="preserve">R v </w:t>
      </w:r>
      <w:proofErr w:type="spellStart"/>
      <w:r w:rsidRPr="00B553C9">
        <w:rPr>
          <w:rFonts w:ascii="Times New Roman" w:hAnsi="Times New Roman"/>
          <w:i/>
          <w:sz w:val="24"/>
        </w:rPr>
        <w:t>Taufahema</w:t>
      </w:r>
      <w:proofErr w:type="spellEnd"/>
      <w:r w:rsidRPr="00B553C9">
        <w:rPr>
          <w:rFonts w:ascii="Times New Roman" w:hAnsi="Times New Roman"/>
          <w:i/>
          <w:sz w:val="24"/>
        </w:rPr>
        <w:t xml:space="preserve"> </w:t>
      </w:r>
      <w:r w:rsidRPr="00B553C9">
        <w:rPr>
          <w:rFonts w:ascii="Times New Roman" w:hAnsi="Times New Roman"/>
          <w:sz w:val="24"/>
        </w:rPr>
        <w:t>(2007) 228 CLR 232 at 238 [7].</w:t>
      </w:r>
    </w:p>
  </w:footnote>
  <w:footnote w:id="65">
    <w:p w14:paraId="4E7235E6" w14:textId="77777777" w:rsidR="00484F88" w:rsidRPr="00B553C9" w:rsidRDefault="00484F88" w:rsidP="00B553C9">
      <w:pPr>
        <w:pStyle w:val="FootnoteText"/>
        <w:spacing w:line="280" w:lineRule="exact"/>
        <w:ind w:right="0"/>
        <w:jc w:val="both"/>
        <w:rPr>
          <w:rFonts w:ascii="Times New Roman" w:hAnsi="Times New Roman"/>
          <w:sz w:val="24"/>
        </w:rPr>
      </w:pPr>
      <w:r w:rsidRPr="00B553C9">
        <w:rPr>
          <w:rStyle w:val="FootnoteReference"/>
          <w:rFonts w:ascii="Times New Roman" w:hAnsi="Times New Roman"/>
          <w:sz w:val="22"/>
          <w:vertAlign w:val="baseline"/>
        </w:rPr>
        <w:footnoteRef/>
      </w:r>
      <w:r w:rsidRPr="00B553C9">
        <w:rPr>
          <w:rFonts w:ascii="Times New Roman" w:hAnsi="Times New Roman"/>
          <w:sz w:val="24"/>
        </w:rPr>
        <w:t xml:space="preserve"> </w:t>
      </w:r>
      <w:r w:rsidRPr="00B553C9">
        <w:rPr>
          <w:rFonts w:ascii="Times New Roman" w:hAnsi="Times New Roman"/>
          <w:sz w:val="24"/>
        </w:rPr>
        <w:tab/>
        <w:t xml:space="preserve">Williams, </w:t>
      </w:r>
      <w:r w:rsidRPr="00B553C9">
        <w:rPr>
          <w:rFonts w:ascii="Times New Roman" w:hAnsi="Times New Roman"/>
          <w:i/>
          <w:sz w:val="24"/>
        </w:rPr>
        <w:t xml:space="preserve">Criminal Law </w:t>
      </w:r>
      <w:r w:rsidRPr="00B553C9">
        <w:rPr>
          <w:rFonts w:ascii="Times New Roman" w:hAnsi="Times New Roman"/>
          <w:sz w:val="24"/>
        </w:rPr>
        <w:t>(1953) at 216</w:t>
      </w:r>
      <w:r w:rsidRPr="00B553C9">
        <w:rPr>
          <w:rFonts w:ascii="Times New Roman" w:hAnsi="Times New Roman"/>
          <w:sz w:val="24"/>
        </w:rPr>
        <w:noBreakHyphen/>
        <w:t xml:space="preserve">218; </w:t>
      </w:r>
      <w:proofErr w:type="spellStart"/>
      <w:r w:rsidRPr="00B553C9">
        <w:rPr>
          <w:rFonts w:ascii="Times New Roman" w:hAnsi="Times New Roman"/>
          <w:sz w:val="24"/>
        </w:rPr>
        <w:t>Hartt</w:t>
      </w:r>
      <w:proofErr w:type="spellEnd"/>
      <w:r w:rsidRPr="00B553C9">
        <w:rPr>
          <w:rFonts w:ascii="Times New Roman" w:hAnsi="Times New Roman"/>
          <w:sz w:val="24"/>
        </w:rPr>
        <w:t xml:space="preserve">, "Parties to the Offence of Murder" (1958) 1 </w:t>
      </w:r>
      <w:r w:rsidRPr="00B553C9">
        <w:rPr>
          <w:rFonts w:ascii="Times New Roman" w:hAnsi="Times New Roman"/>
          <w:i/>
          <w:iCs/>
          <w:sz w:val="24"/>
        </w:rPr>
        <w:t>Criminal Law Quarterly</w:t>
      </w:r>
      <w:r w:rsidRPr="00B553C9">
        <w:rPr>
          <w:rFonts w:ascii="Times New Roman" w:hAnsi="Times New Roman"/>
          <w:sz w:val="24"/>
        </w:rPr>
        <w:t xml:space="preserve"> 178 at 181.</w:t>
      </w:r>
    </w:p>
  </w:footnote>
  <w:footnote w:id="66">
    <w:p w14:paraId="0E8AA8BA" w14:textId="77777777" w:rsidR="00484F88" w:rsidRPr="00B553C9" w:rsidRDefault="00484F88" w:rsidP="00B553C9">
      <w:pPr>
        <w:pStyle w:val="FootnoteText"/>
        <w:spacing w:line="280" w:lineRule="exact"/>
        <w:ind w:right="0"/>
        <w:jc w:val="both"/>
        <w:rPr>
          <w:rFonts w:ascii="Times New Roman" w:hAnsi="Times New Roman"/>
          <w:sz w:val="24"/>
        </w:rPr>
      </w:pPr>
      <w:r w:rsidRPr="00B553C9">
        <w:rPr>
          <w:rStyle w:val="FootnoteReference"/>
          <w:rFonts w:ascii="Times New Roman" w:hAnsi="Times New Roman"/>
          <w:sz w:val="22"/>
          <w:vertAlign w:val="baseline"/>
        </w:rPr>
        <w:footnoteRef/>
      </w:r>
      <w:r w:rsidRPr="00B553C9">
        <w:rPr>
          <w:rFonts w:ascii="Times New Roman" w:hAnsi="Times New Roman"/>
          <w:sz w:val="24"/>
        </w:rPr>
        <w:t xml:space="preserve"> </w:t>
      </w:r>
      <w:r w:rsidRPr="00B553C9">
        <w:rPr>
          <w:rFonts w:ascii="Times New Roman" w:hAnsi="Times New Roman"/>
          <w:sz w:val="24"/>
        </w:rPr>
        <w:tab/>
      </w:r>
      <w:r w:rsidRPr="00B553C9">
        <w:rPr>
          <w:rFonts w:ascii="Times New Roman" w:hAnsi="Times New Roman"/>
          <w:i/>
          <w:iCs/>
          <w:sz w:val="24"/>
        </w:rPr>
        <w:t xml:space="preserve">Miller v The Queen </w:t>
      </w:r>
      <w:r w:rsidRPr="00B553C9">
        <w:rPr>
          <w:rFonts w:ascii="Times New Roman" w:hAnsi="Times New Roman"/>
          <w:sz w:val="24"/>
        </w:rPr>
        <w:t xml:space="preserve">(2016) 259 CLR 380 at 387 [1] (emphasis added). See also </w:t>
      </w:r>
      <w:r w:rsidRPr="00B553C9">
        <w:rPr>
          <w:rFonts w:ascii="Times New Roman" w:hAnsi="Times New Roman"/>
          <w:i/>
          <w:iCs/>
          <w:sz w:val="24"/>
        </w:rPr>
        <w:t xml:space="preserve">McAuliffe v The Queen </w:t>
      </w:r>
      <w:r w:rsidRPr="00B553C9">
        <w:rPr>
          <w:rFonts w:ascii="Times New Roman" w:hAnsi="Times New Roman"/>
          <w:sz w:val="24"/>
        </w:rPr>
        <w:t>(1995) 183 CLR 108 at 118.</w:t>
      </w:r>
    </w:p>
  </w:footnote>
  <w:footnote w:id="67">
    <w:p w14:paraId="787797D2" w14:textId="77777777" w:rsidR="00484F88" w:rsidRPr="00B553C9" w:rsidRDefault="00484F88" w:rsidP="00B553C9">
      <w:pPr>
        <w:pStyle w:val="FootnoteText"/>
        <w:spacing w:line="280" w:lineRule="exact"/>
        <w:ind w:right="0"/>
        <w:jc w:val="both"/>
        <w:rPr>
          <w:rFonts w:ascii="Times New Roman" w:hAnsi="Times New Roman"/>
          <w:sz w:val="24"/>
        </w:rPr>
      </w:pPr>
      <w:r w:rsidRPr="00B553C9">
        <w:rPr>
          <w:rStyle w:val="FootnoteReference"/>
          <w:rFonts w:ascii="Times New Roman" w:hAnsi="Times New Roman"/>
          <w:sz w:val="22"/>
          <w:vertAlign w:val="baseline"/>
        </w:rPr>
        <w:footnoteRef/>
      </w:r>
      <w:r w:rsidRPr="00B553C9">
        <w:rPr>
          <w:rFonts w:ascii="Times New Roman" w:hAnsi="Times New Roman"/>
          <w:sz w:val="24"/>
        </w:rPr>
        <w:t xml:space="preserve"> </w:t>
      </w:r>
      <w:r w:rsidRPr="00B553C9">
        <w:rPr>
          <w:rFonts w:ascii="Times New Roman" w:hAnsi="Times New Roman"/>
          <w:sz w:val="24"/>
        </w:rPr>
        <w:tab/>
        <w:t>(2003) 219 CLR 1.</w:t>
      </w:r>
    </w:p>
  </w:footnote>
  <w:footnote w:id="68">
    <w:p w14:paraId="1F085298" w14:textId="77777777" w:rsidR="00484F88" w:rsidRPr="00B553C9" w:rsidRDefault="00484F88" w:rsidP="00B553C9">
      <w:pPr>
        <w:pStyle w:val="FootnoteText"/>
        <w:spacing w:line="280" w:lineRule="exact"/>
        <w:ind w:right="0"/>
        <w:jc w:val="both"/>
        <w:rPr>
          <w:rFonts w:ascii="Times New Roman" w:hAnsi="Times New Roman"/>
          <w:sz w:val="24"/>
        </w:rPr>
      </w:pPr>
      <w:r w:rsidRPr="00B553C9">
        <w:rPr>
          <w:rStyle w:val="FootnoteReference"/>
          <w:rFonts w:ascii="Times New Roman" w:hAnsi="Times New Roman"/>
          <w:sz w:val="22"/>
          <w:vertAlign w:val="baseline"/>
        </w:rPr>
        <w:footnoteRef/>
      </w:r>
      <w:r w:rsidRPr="00B553C9">
        <w:rPr>
          <w:rFonts w:ascii="Times New Roman" w:hAnsi="Times New Roman"/>
          <w:sz w:val="24"/>
        </w:rPr>
        <w:t xml:space="preserve"> </w:t>
      </w:r>
      <w:r w:rsidRPr="00B553C9">
        <w:rPr>
          <w:rFonts w:ascii="Times New Roman" w:hAnsi="Times New Roman"/>
          <w:sz w:val="24"/>
        </w:rPr>
        <w:tab/>
        <w:t>(2006) 81 ALJR 439; 231 ALR 500.</w:t>
      </w:r>
    </w:p>
  </w:footnote>
  <w:footnote w:id="69">
    <w:p w14:paraId="1D555C13" w14:textId="77777777" w:rsidR="00484F88" w:rsidRPr="00B553C9" w:rsidRDefault="00484F88" w:rsidP="00B553C9">
      <w:pPr>
        <w:pStyle w:val="FootnoteText"/>
        <w:spacing w:line="280" w:lineRule="exact"/>
        <w:ind w:right="0"/>
        <w:jc w:val="both"/>
        <w:rPr>
          <w:rFonts w:ascii="Times New Roman" w:hAnsi="Times New Roman"/>
          <w:sz w:val="24"/>
        </w:rPr>
      </w:pPr>
      <w:r w:rsidRPr="00B553C9">
        <w:rPr>
          <w:rStyle w:val="FootnoteReference"/>
          <w:rFonts w:ascii="Times New Roman" w:hAnsi="Times New Roman"/>
          <w:sz w:val="22"/>
          <w:vertAlign w:val="baseline"/>
        </w:rPr>
        <w:footnoteRef/>
      </w:r>
      <w:r w:rsidRPr="00B553C9">
        <w:rPr>
          <w:rFonts w:ascii="Times New Roman" w:hAnsi="Times New Roman"/>
          <w:sz w:val="24"/>
        </w:rPr>
        <w:t xml:space="preserve"> </w:t>
      </w:r>
      <w:r w:rsidRPr="00B553C9">
        <w:rPr>
          <w:rFonts w:ascii="Times New Roman" w:hAnsi="Times New Roman"/>
          <w:sz w:val="24"/>
        </w:rPr>
        <w:tab/>
      </w:r>
      <w:r w:rsidRPr="00B553C9">
        <w:rPr>
          <w:rFonts w:ascii="Times New Roman" w:hAnsi="Times New Roman"/>
          <w:i/>
          <w:iCs/>
          <w:sz w:val="24"/>
        </w:rPr>
        <w:t xml:space="preserve">Gillard v The Queen </w:t>
      </w:r>
      <w:r w:rsidRPr="00B553C9">
        <w:rPr>
          <w:rFonts w:ascii="Times New Roman" w:hAnsi="Times New Roman"/>
          <w:sz w:val="24"/>
        </w:rPr>
        <w:t>(2003) 219 CLR 1 at 14 [25], 15 [</w:t>
      </w:r>
      <w:proofErr w:type="gramStart"/>
      <w:r w:rsidRPr="00B553C9">
        <w:rPr>
          <w:rFonts w:ascii="Times New Roman" w:hAnsi="Times New Roman"/>
          <w:sz w:val="24"/>
        </w:rPr>
        <w:t>31]</w:t>
      </w:r>
      <w:r w:rsidRPr="00B553C9">
        <w:rPr>
          <w:rFonts w:ascii="Times New Roman" w:hAnsi="Times New Roman"/>
          <w:sz w:val="24"/>
        </w:rPr>
        <w:noBreakHyphen/>
      </w:r>
      <w:proofErr w:type="gramEnd"/>
      <w:r w:rsidRPr="00B553C9">
        <w:rPr>
          <w:rFonts w:ascii="Times New Roman" w:hAnsi="Times New Roman"/>
          <w:sz w:val="24"/>
        </w:rPr>
        <w:t>[32], 28</w:t>
      </w:r>
      <w:r w:rsidRPr="00B553C9">
        <w:rPr>
          <w:rFonts w:ascii="Times New Roman" w:hAnsi="Times New Roman"/>
          <w:sz w:val="24"/>
        </w:rPr>
        <w:noBreakHyphen/>
        <w:t>29 [77]</w:t>
      </w:r>
      <w:r w:rsidRPr="00B553C9">
        <w:rPr>
          <w:rFonts w:ascii="Times New Roman" w:hAnsi="Times New Roman"/>
          <w:sz w:val="24"/>
        </w:rPr>
        <w:noBreakHyphen/>
        <w:t>[78], 40 [128]</w:t>
      </w:r>
      <w:r w:rsidRPr="00B553C9">
        <w:rPr>
          <w:rFonts w:ascii="Times New Roman" w:hAnsi="Times New Roman"/>
          <w:sz w:val="24"/>
        </w:rPr>
        <w:noBreakHyphen/>
        <w:t>[129].</w:t>
      </w:r>
    </w:p>
  </w:footnote>
  <w:footnote w:id="70">
    <w:p w14:paraId="6EBA09FC" w14:textId="77777777" w:rsidR="00484F88" w:rsidRPr="00B553C9" w:rsidRDefault="00484F88" w:rsidP="00B553C9">
      <w:pPr>
        <w:pStyle w:val="FootnoteText"/>
        <w:spacing w:line="280" w:lineRule="exact"/>
        <w:ind w:right="0"/>
        <w:jc w:val="both"/>
        <w:rPr>
          <w:rFonts w:ascii="Times New Roman" w:hAnsi="Times New Roman"/>
          <w:sz w:val="24"/>
        </w:rPr>
      </w:pPr>
      <w:r w:rsidRPr="00B553C9">
        <w:rPr>
          <w:rStyle w:val="FootnoteReference"/>
          <w:rFonts w:ascii="Times New Roman" w:hAnsi="Times New Roman"/>
          <w:sz w:val="22"/>
          <w:vertAlign w:val="baseline"/>
        </w:rPr>
        <w:footnoteRef/>
      </w:r>
      <w:r w:rsidRPr="00B553C9">
        <w:rPr>
          <w:rFonts w:ascii="Times New Roman" w:hAnsi="Times New Roman"/>
          <w:sz w:val="24"/>
        </w:rPr>
        <w:t xml:space="preserve"> </w:t>
      </w:r>
      <w:r w:rsidRPr="00B553C9">
        <w:rPr>
          <w:rFonts w:ascii="Times New Roman" w:hAnsi="Times New Roman"/>
          <w:sz w:val="24"/>
        </w:rPr>
        <w:tab/>
        <w:t xml:space="preserve">See </w:t>
      </w:r>
      <w:r w:rsidRPr="00B553C9">
        <w:rPr>
          <w:rFonts w:ascii="Times New Roman" w:hAnsi="Times New Roman"/>
          <w:i/>
          <w:sz w:val="24"/>
        </w:rPr>
        <w:t>Gillard</w:t>
      </w:r>
      <w:r w:rsidRPr="00B553C9">
        <w:rPr>
          <w:rFonts w:ascii="Times New Roman" w:hAnsi="Times New Roman"/>
          <w:i/>
          <w:iCs/>
          <w:sz w:val="24"/>
        </w:rPr>
        <w:t xml:space="preserve"> v The Queen </w:t>
      </w:r>
      <w:r w:rsidRPr="00B553C9">
        <w:rPr>
          <w:rFonts w:ascii="Times New Roman" w:hAnsi="Times New Roman"/>
          <w:sz w:val="24"/>
        </w:rPr>
        <w:t xml:space="preserve">(2003) 219 CLR 1 at 36 [112]; </w:t>
      </w:r>
      <w:r w:rsidRPr="00B553C9">
        <w:rPr>
          <w:rFonts w:ascii="Times New Roman" w:hAnsi="Times New Roman"/>
          <w:i/>
          <w:iCs/>
          <w:sz w:val="24"/>
        </w:rPr>
        <w:t>Clayton v The Quee</w:t>
      </w:r>
      <w:r w:rsidRPr="00B553C9">
        <w:rPr>
          <w:rFonts w:ascii="Times New Roman" w:hAnsi="Times New Roman"/>
          <w:i/>
          <w:sz w:val="24"/>
        </w:rPr>
        <w:t xml:space="preserve">n </w:t>
      </w:r>
      <w:r w:rsidRPr="00B553C9">
        <w:rPr>
          <w:rFonts w:ascii="Times New Roman" w:hAnsi="Times New Roman"/>
          <w:sz w:val="24"/>
        </w:rPr>
        <w:t>(2006) 81 ALJR 439 at 443 [17]; 231 ALR 500 at 504</w:t>
      </w:r>
      <w:r w:rsidRPr="00B553C9">
        <w:rPr>
          <w:rFonts w:ascii="Times New Roman" w:hAnsi="Times New Roman"/>
          <w:sz w:val="24"/>
        </w:rPr>
        <w:noBreakHyphen/>
        <w:t xml:space="preserve">505; </w:t>
      </w:r>
      <w:r w:rsidRPr="00B553C9">
        <w:rPr>
          <w:rFonts w:ascii="Times New Roman" w:hAnsi="Times New Roman"/>
          <w:i/>
          <w:iCs/>
          <w:sz w:val="24"/>
        </w:rPr>
        <w:t xml:space="preserve">Miller v The Queen </w:t>
      </w:r>
      <w:r w:rsidRPr="00B553C9">
        <w:rPr>
          <w:rFonts w:ascii="Times New Roman" w:hAnsi="Times New Roman"/>
          <w:sz w:val="24"/>
        </w:rPr>
        <w:t>(2016) 259 CLR 380 at 388 [4].</w:t>
      </w:r>
    </w:p>
  </w:footnote>
  <w:footnote w:id="71">
    <w:p w14:paraId="721DF484" w14:textId="77777777" w:rsidR="00484F88" w:rsidRPr="00B553C9" w:rsidRDefault="00484F88" w:rsidP="00B553C9">
      <w:pPr>
        <w:pStyle w:val="FootnoteText"/>
        <w:spacing w:line="280" w:lineRule="exact"/>
        <w:ind w:right="0"/>
        <w:jc w:val="both"/>
        <w:rPr>
          <w:rFonts w:ascii="Times New Roman" w:hAnsi="Times New Roman"/>
          <w:sz w:val="24"/>
        </w:rPr>
      </w:pPr>
      <w:r w:rsidRPr="00B553C9">
        <w:rPr>
          <w:rStyle w:val="FootnoteReference"/>
          <w:rFonts w:ascii="Times New Roman" w:hAnsi="Times New Roman"/>
          <w:sz w:val="22"/>
          <w:vertAlign w:val="baseline"/>
        </w:rPr>
        <w:footnoteRef/>
      </w:r>
      <w:r w:rsidRPr="00B553C9">
        <w:rPr>
          <w:rFonts w:ascii="Times New Roman" w:hAnsi="Times New Roman"/>
          <w:sz w:val="24"/>
        </w:rPr>
        <w:t xml:space="preserve"> </w:t>
      </w:r>
      <w:r w:rsidRPr="00B553C9">
        <w:rPr>
          <w:rFonts w:ascii="Times New Roman" w:hAnsi="Times New Roman"/>
          <w:sz w:val="24"/>
        </w:rPr>
        <w:tab/>
      </w:r>
      <w:proofErr w:type="spellStart"/>
      <w:r w:rsidRPr="00B553C9">
        <w:rPr>
          <w:rFonts w:ascii="Times New Roman" w:hAnsi="Times New Roman"/>
          <w:sz w:val="24"/>
        </w:rPr>
        <w:t>Simester</w:t>
      </w:r>
      <w:proofErr w:type="spellEnd"/>
      <w:r w:rsidRPr="00B553C9">
        <w:rPr>
          <w:rFonts w:ascii="Times New Roman" w:hAnsi="Times New Roman"/>
          <w:sz w:val="24"/>
        </w:rPr>
        <w:t xml:space="preserve">, "The Mental Element in Complicity" (2006) 122 </w:t>
      </w:r>
      <w:r w:rsidRPr="00B553C9">
        <w:rPr>
          <w:rFonts w:ascii="Times New Roman" w:hAnsi="Times New Roman"/>
          <w:i/>
          <w:iCs/>
          <w:sz w:val="24"/>
        </w:rPr>
        <w:t xml:space="preserve">Law </w:t>
      </w:r>
      <w:r w:rsidRPr="00B553C9">
        <w:rPr>
          <w:rFonts w:ascii="Times New Roman" w:hAnsi="Times New Roman"/>
          <w:i/>
          <w:sz w:val="24"/>
        </w:rPr>
        <w:t xml:space="preserve">Quarterly Review </w:t>
      </w:r>
      <w:r w:rsidRPr="00B553C9">
        <w:rPr>
          <w:rFonts w:ascii="Times New Roman" w:hAnsi="Times New Roman"/>
          <w:sz w:val="24"/>
        </w:rPr>
        <w:t xml:space="preserve">578, adopted in the joint reasons in </w:t>
      </w:r>
      <w:r w:rsidRPr="00B553C9">
        <w:rPr>
          <w:rFonts w:ascii="Times New Roman" w:hAnsi="Times New Roman"/>
          <w:i/>
          <w:sz w:val="24"/>
        </w:rPr>
        <w:t xml:space="preserve">Clayton v The Queen </w:t>
      </w:r>
      <w:r w:rsidRPr="00B553C9">
        <w:rPr>
          <w:rFonts w:ascii="Times New Roman" w:hAnsi="Times New Roman"/>
          <w:sz w:val="24"/>
        </w:rPr>
        <w:t xml:space="preserve">(2006) 81 ALJR 439 at 444 [20]; 231 ALR 500 at 505. See also </w:t>
      </w:r>
      <w:r w:rsidRPr="00B553C9">
        <w:rPr>
          <w:rFonts w:ascii="Times New Roman" w:hAnsi="Times New Roman"/>
          <w:i/>
          <w:iCs/>
          <w:sz w:val="24"/>
        </w:rPr>
        <w:t xml:space="preserve">Miller v The Queen </w:t>
      </w:r>
      <w:r w:rsidRPr="00B553C9">
        <w:rPr>
          <w:rFonts w:ascii="Times New Roman" w:hAnsi="Times New Roman"/>
          <w:sz w:val="24"/>
        </w:rPr>
        <w:t>(2016) 259 CLR 380 at 398 [34].</w:t>
      </w:r>
    </w:p>
  </w:footnote>
  <w:footnote w:id="72">
    <w:p w14:paraId="023A626B" w14:textId="77777777" w:rsidR="00484F88" w:rsidRPr="00B553C9" w:rsidRDefault="00484F88" w:rsidP="00B553C9">
      <w:pPr>
        <w:pStyle w:val="FootnoteText"/>
        <w:spacing w:line="280" w:lineRule="exact"/>
        <w:ind w:right="0"/>
        <w:jc w:val="both"/>
        <w:rPr>
          <w:rFonts w:ascii="Times New Roman" w:hAnsi="Times New Roman"/>
          <w:sz w:val="24"/>
        </w:rPr>
      </w:pPr>
      <w:r w:rsidRPr="00B553C9">
        <w:rPr>
          <w:rStyle w:val="FootnoteReference"/>
          <w:rFonts w:ascii="Times New Roman" w:hAnsi="Times New Roman"/>
          <w:sz w:val="22"/>
          <w:vertAlign w:val="baseline"/>
        </w:rPr>
        <w:footnoteRef/>
      </w:r>
      <w:r w:rsidRPr="00B553C9">
        <w:rPr>
          <w:rFonts w:ascii="Times New Roman" w:hAnsi="Times New Roman"/>
          <w:sz w:val="24"/>
        </w:rPr>
        <w:t xml:space="preserve"> </w:t>
      </w:r>
      <w:r w:rsidRPr="00B553C9">
        <w:rPr>
          <w:rFonts w:ascii="Times New Roman" w:hAnsi="Times New Roman"/>
          <w:sz w:val="24"/>
        </w:rPr>
        <w:tab/>
        <w:t xml:space="preserve">See </w:t>
      </w:r>
      <w:proofErr w:type="spellStart"/>
      <w:r w:rsidRPr="00B553C9">
        <w:rPr>
          <w:rFonts w:ascii="Times New Roman" w:hAnsi="Times New Roman"/>
          <w:i/>
          <w:iCs/>
          <w:sz w:val="24"/>
        </w:rPr>
        <w:t>Osland</w:t>
      </w:r>
      <w:proofErr w:type="spellEnd"/>
      <w:r w:rsidRPr="00B553C9">
        <w:rPr>
          <w:rFonts w:ascii="Times New Roman" w:hAnsi="Times New Roman"/>
          <w:i/>
          <w:iCs/>
          <w:sz w:val="24"/>
        </w:rPr>
        <w:t xml:space="preserve"> v The Queen </w:t>
      </w:r>
      <w:r w:rsidRPr="00B553C9">
        <w:rPr>
          <w:rFonts w:ascii="Times New Roman" w:hAnsi="Times New Roman"/>
          <w:sz w:val="24"/>
        </w:rPr>
        <w:t>(1998) 197 CLR 316 at 341</w:t>
      </w:r>
      <w:r w:rsidRPr="00B553C9">
        <w:rPr>
          <w:rFonts w:ascii="Times New Roman" w:hAnsi="Times New Roman"/>
          <w:sz w:val="24"/>
        </w:rPr>
        <w:noBreakHyphen/>
        <w:t>342 [71].</w:t>
      </w:r>
    </w:p>
  </w:footnote>
  <w:footnote w:id="73">
    <w:p w14:paraId="14DE5D18" w14:textId="77777777" w:rsidR="00484F88" w:rsidRPr="00B553C9" w:rsidRDefault="00484F88" w:rsidP="00B553C9">
      <w:pPr>
        <w:pStyle w:val="FootnoteText"/>
        <w:spacing w:line="280" w:lineRule="exact"/>
        <w:ind w:right="0"/>
        <w:jc w:val="both"/>
        <w:rPr>
          <w:rFonts w:ascii="Times New Roman" w:hAnsi="Times New Roman"/>
          <w:sz w:val="24"/>
        </w:rPr>
      </w:pPr>
      <w:r w:rsidRPr="00B553C9">
        <w:rPr>
          <w:rStyle w:val="FootnoteReference"/>
          <w:rFonts w:ascii="Times New Roman" w:hAnsi="Times New Roman"/>
          <w:sz w:val="22"/>
          <w:vertAlign w:val="baseline"/>
        </w:rPr>
        <w:footnoteRef/>
      </w:r>
      <w:r w:rsidRPr="00B553C9">
        <w:rPr>
          <w:rFonts w:ascii="Times New Roman" w:hAnsi="Times New Roman"/>
          <w:sz w:val="24"/>
        </w:rPr>
        <w:t xml:space="preserve"> </w:t>
      </w:r>
      <w:r w:rsidRPr="00B553C9">
        <w:rPr>
          <w:rFonts w:ascii="Times New Roman" w:hAnsi="Times New Roman"/>
          <w:sz w:val="24"/>
        </w:rPr>
        <w:tab/>
      </w:r>
      <w:r w:rsidRPr="00B553C9">
        <w:rPr>
          <w:rFonts w:ascii="Times New Roman" w:hAnsi="Times New Roman"/>
          <w:i/>
          <w:iCs/>
          <w:sz w:val="24"/>
        </w:rPr>
        <w:t xml:space="preserve">McAuliffe v The Queen </w:t>
      </w:r>
      <w:r w:rsidRPr="00B553C9">
        <w:rPr>
          <w:rFonts w:ascii="Times New Roman" w:hAnsi="Times New Roman"/>
          <w:sz w:val="24"/>
        </w:rPr>
        <w:t>(1995) 183 CLR 108 at 117.</w:t>
      </w:r>
    </w:p>
  </w:footnote>
  <w:footnote w:id="74">
    <w:p w14:paraId="31A61A5E" w14:textId="77777777" w:rsidR="00484F88" w:rsidRPr="00B553C9" w:rsidRDefault="00484F88" w:rsidP="00B553C9">
      <w:pPr>
        <w:pStyle w:val="FootnoteText"/>
        <w:spacing w:line="280" w:lineRule="exact"/>
        <w:ind w:right="0"/>
        <w:jc w:val="both"/>
        <w:rPr>
          <w:rFonts w:ascii="Times New Roman" w:hAnsi="Times New Roman"/>
          <w:sz w:val="24"/>
        </w:rPr>
      </w:pPr>
      <w:r w:rsidRPr="00B553C9">
        <w:rPr>
          <w:rStyle w:val="FootnoteReference"/>
          <w:rFonts w:ascii="Times New Roman" w:hAnsi="Times New Roman"/>
          <w:sz w:val="22"/>
          <w:vertAlign w:val="baseline"/>
        </w:rPr>
        <w:footnoteRef/>
      </w:r>
      <w:r w:rsidRPr="00B553C9">
        <w:rPr>
          <w:rFonts w:ascii="Times New Roman" w:hAnsi="Times New Roman"/>
          <w:sz w:val="24"/>
        </w:rPr>
        <w:t xml:space="preserve"> </w:t>
      </w:r>
      <w:r w:rsidRPr="00B553C9">
        <w:rPr>
          <w:rFonts w:ascii="Times New Roman" w:hAnsi="Times New Roman"/>
          <w:sz w:val="24"/>
        </w:rPr>
        <w:tab/>
      </w:r>
      <w:r w:rsidRPr="00B553C9">
        <w:rPr>
          <w:rFonts w:ascii="Times New Roman" w:hAnsi="Times New Roman"/>
          <w:i/>
          <w:iCs/>
          <w:sz w:val="24"/>
        </w:rPr>
        <w:t xml:space="preserve">Gillard v The Queen </w:t>
      </w:r>
      <w:r w:rsidRPr="00B553C9">
        <w:rPr>
          <w:rFonts w:ascii="Times New Roman" w:hAnsi="Times New Roman"/>
          <w:sz w:val="24"/>
        </w:rPr>
        <w:t>(2003) 219 CLR 1 at 13</w:t>
      </w:r>
      <w:r w:rsidRPr="00B553C9">
        <w:rPr>
          <w:rFonts w:ascii="Times New Roman" w:hAnsi="Times New Roman"/>
          <w:sz w:val="24"/>
        </w:rPr>
        <w:noBreakHyphen/>
        <w:t xml:space="preserve">14 [25]. See also at 38 [118]; </w:t>
      </w:r>
      <w:r w:rsidRPr="00B553C9">
        <w:rPr>
          <w:rFonts w:ascii="Times New Roman" w:hAnsi="Times New Roman"/>
          <w:i/>
          <w:sz w:val="24"/>
        </w:rPr>
        <w:t xml:space="preserve">Clayton v The Queen </w:t>
      </w:r>
      <w:r w:rsidRPr="00B553C9">
        <w:rPr>
          <w:rFonts w:ascii="Times New Roman" w:hAnsi="Times New Roman"/>
          <w:sz w:val="24"/>
        </w:rPr>
        <w:t>(2006) 81 ALJR 439 at 444 [20]; 231 ALR 500 at 505.</w:t>
      </w:r>
    </w:p>
  </w:footnote>
  <w:footnote w:id="75">
    <w:p w14:paraId="4C4E5EEA" w14:textId="77777777" w:rsidR="00484F88" w:rsidRPr="00B553C9" w:rsidRDefault="00484F88" w:rsidP="00B553C9">
      <w:pPr>
        <w:pStyle w:val="FootnoteText"/>
        <w:spacing w:line="280" w:lineRule="exact"/>
        <w:ind w:right="0"/>
        <w:jc w:val="both"/>
        <w:rPr>
          <w:rFonts w:ascii="Times New Roman" w:hAnsi="Times New Roman"/>
          <w:sz w:val="24"/>
        </w:rPr>
      </w:pPr>
      <w:r w:rsidRPr="00B553C9">
        <w:rPr>
          <w:rStyle w:val="FootnoteReference"/>
          <w:rFonts w:ascii="Times New Roman" w:hAnsi="Times New Roman"/>
          <w:sz w:val="22"/>
          <w:vertAlign w:val="baseline"/>
        </w:rPr>
        <w:footnoteRef/>
      </w:r>
      <w:r w:rsidRPr="00B553C9">
        <w:rPr>
          <w:rFonts w:ascii="Times New Roman" w:hAnsi="Times New Roman"/>
          <w:sz w:val="24"/>
        </w:rPr>
        <w:t xml:space="preserve"> </w:t>
      </w:r>
      <w:r w:rsidRPr="00B553C9">
        <w:rPr>
          <w:rFonts w:ascii="Times New Roman" w:hAnsi="Times New Roman"/>
          <w:sz w:val="24"/>
        </w:rPr>
        <w:tab/>
      </w:r>
      <w:r w:rsidRPr="00B553C9">
        <w:rPr>
          <w:rFonts w:ascii="Times New Roman" w:hAnsi="Times New Roman"/>
          <w:i/>
          <w:iCs/>
          <w:sz w:val="24"/>
        </w:rPr>
        <w:t xml:space="preserve">Miller v The Queen </w:t>
      </w:r>
      <w:r w:rsidRPr="00B553C9">
        <w:rPr>
          <w:rFonts w:ascii="Times New Roman" w:hAnsi="Times New Roman"/>
          <w:sz w:val="24"/>
        </w:rPr>
        <w:t>(2016) 259 CLR 380 at 387 [1], 388 [4].</w:t>
      </w:r>
    </w:p>
  </w:footnote>
  <w:footnote w:id="76">
    <w:p w14:paraId="759C1DE2" w14:textId="77777777" w:rsidR="00484F88" w:rsidRPr="00B553C9" w:rsidRDefault="00484F88" w:rsidP="00B553C9">
      <w:pPr>
        <w:pStyle w:val="FootnoteText"/>
        <w:spacing w:line="280" w:lineRule="exact"/>
        <w:ind w:right="0"/>
        <w:jc w:val="both"/>
        <w:rPr>
          <w:rFonts w:ascii="Times New Roman" w:hAnsi="Times New Roman"/>
          <w:sz w:val="24"/>
        </w:rPr>
      </w:pPr>
      <w:r w:rsidRPr="00B553C9">
        <w:rPr>
          <w:rStyle w:val="FootnoteReference"/>
          <w:rFonts w:ascii="Times New Roman" w:hAnsi="Times New Roman"/>
          <w:sz w:val="22"/>
          <w:vertAlign w:val="baseline"/>
        </w:rPr>
        <w:footnoteRef/>
      </w:r>
      <w:r w:rsidRPr="00B553C9">
        <w:rPr>
          <w:rFonts w:ascii="Times New Roman" w:hAnsi="Times New Roman"/>
          <w:sz w:val="24"/>
        </w:rPr>
        <w:t xml:space="preserve"> </w:t>
      </w:r>
      <w:r w:rsidRPr="00B553C9">
        <w:rPr>
          <w:rFonts w:ascii="Times New Roman" w:hAnsi="Times New Roman"/>
          <w:sz w:val="24"/>
        </w:rPr>
        <w:tab/>
      </w:r>
      <w:r w:rsidRPr="00B553C9">
        <w:rPr>
          <w:rFonts w:ascii="Times New Roman" w:hAnsi="Times New Roman"/>
          <w:i/>
          <w:iCs/>
          <w:sz w:val="24"/>
        </w:rPr>
        <w:t xml:space="preserve">McAuliffe v The Queen </w:t>
      </w:r>
      <w:r w:rsidRPr="00B553C9">
        <w:rPr>
          <w:rFonts w:ascii="Times New Roman" w:hAnsi="Times New Roman"/>
          <w:sz w:val="24"/>
        </w:rPr>
        <w:t>(1995) 183 CLR 108 at 117.</w:t>
      </w:r>
    </w:p>
  </w:footnote>
  <w:footnote w:id="77">
    <w:p w14:paraId="01335001" w14:textId="77777777" w:rsidR="00484F88" w:rsidRPr="00B553C9" w:rsidRDefault="00484F88" w:rsidP="00B553C9">
      <w:pPr>
        <w:pStyle w:val="FootnoteText"/>
        <w:spacing w:line="280" w:lineRule="exact"/>
        <w:ind w:right="0"/>
        <w:jc w:val="both"/>
        <w:rPr>
          <w:rFonts w:ascii="Times New Roman" w:hAnsi="Times New Roman"/>
          <w:sz w:val="24"/>
        </w:rPr>
      </w:pPr>
      <w:r w:rsidRPr="00B553C9">
        <w:rPr>
          <w:rStyle w:val="FootnoteReference"/>
          <w:rFonts w:ascii="Times New Roman" w:hAnsi="Times New Roman"/>
          <w:sz w:val="22"/>
          <w:vertAlign w:val="baseline"/>
        </w:rPr>
        <w:footnoteRef/>
      </w:r>
      <w:r w:rsidRPr="00B553C9">
        <w:rPr>
          <w:rFonts w:ascii="Times New Roman" w:hAnsi="Times New Roman"/>
          <w:sz w:val="24"/>
        </w:rPr>
        <w:t xml:space="preserve"> </w:t>
      </w:r>
      <w:r w:rsidRPr="00B553C9">
        <w:rPr>
          <w:rFonts w:ascii="Times New Roman" w:hAnsi="Times New Roman"/>
          <w:sz w:val="24"/>
        </w:rPr>
        <w:tab/>
        <w:t xml:space="preserve">See </w:t>
      </w:r>
      <w:r w:rsidRPr="00B553C9">
        <w:rPr>
          <w:rFonts w:ascii="Times New Roman" w:hAnsi="Times New Roman"/>
          <w:i/>
          <w:iCs/>
          <w:sz w:val="24"/>
        </w:rPr>
        <w:t xml:space="preserve">Criminal Law Consolidation (Felonies and Misdemeanours) Amendment Act 1994 </w:t>
      </w:r>
      <w:r w:rsidRPr="00B553C9">
        <w:rPr>
          <w:rFonts w:ascii="Times New Roman" w:hAnsi="Times New Roman"/>
          <w:sz w:val="24"/>
        </w:rPr>
        <w:t>(SA), s 5.</w:t>
      </w:r>
    </w:p>
  </w:footnote>
  <w:footnote w:id="78">
    <w:p w14:paraId="2890F53B" w14:textId="77777777" w:rsidR="00484F88" w:rsidRPr="00B553C9" w:rsidRDefault="00484F88" w:rsidP="00B553C9">
      <w:pPr>
        <w:pStyle w:val="FootnoteText"/>
        <w:spacing w:line="280" w:lineRule="exact"/>
        <w:ind w:right="0"/>
        <w:jc w:val="both"/>
        <w:rPr>
          <w:rFonts w:ascii="Times New Roman" w:hAnsi="Times New Roman"/>
          <w:sz w:val="24"/>
        </w:rPr>
      </w:pPr>
      <w:r w:rsidRPr="00B553C9">
        <w:rPr>
          <w:rStyle w:val="FootnoteReference"/>
          <w:rFonts w:ascii="Times New Roman" w:hAnsi="Times New Roman"/>
          <w:sz w:val="22"/>
          <w:vertAlign w:val="baseline"/>
        </w:rPr>
        <w:footnoteRef/>
      </w:r>
      <w:r w:rsidRPr="00B553C9">
        <w:rPr>
          <w:rFonts w:ascii="Times New Roman" w:hAnsi="Times New Roman"/>
          <w:sz w:val="24"/>
        </w:rPr>
        <w:t xml:space="preserve"> </w:t>
      </w:r>
      <w:r w:rsidRPr="00B553C9">
        <w:rPr>
          <w:rFonts w:ascii="Times New Roman" w:hAnsi="Times New Roman"/>
          <w:sz w:val="24"/>
        </w:rPr>
        <w:tab/>
      </w:r>
      <w:r w:rsidRPr="00B553C9">
        <w:rPr>
          <w:rFonts w:ascii="Times New Roman" w:hAnsi="Times New Roman"/>
          <w:i/>
          <w:iCs/>
          <w:sz w:val="24"/>
        </w:rPr>
        <w:t xml:space="preserve">R v Jackson </w:t>
      </w:r>
      <w:r w:rsidRPr="00B553C9">
        <w:rPr>
          <w:rFonts w:ascii="Times New Roman" w:hAnsi="Times New Roman"/>
          <w:sz w:val="24"/>
        </w:rPr>
        <w:t>(1857) 7 Cox CC 357 at 360</w:t>
      </w:r>
      <w:r w:rsidRPr="00B553C9">
        <w:rPr>
          <w:rFonts w:ascii="Times New Roman" w:hAnsi="Times New Roman"/>
          <w:sz w:val="24"/>
        </w:rPr>
        <w:noBreakHyphen/>
        <w:t xml:space="preserve">361; </w:t>
      </w:r>
      <w:r w:rsidRPr="00B553C9">
        <w:rPr>
          <w:rFonts w:ascii="Times New Roman" w:hAnsi="Times New Roman"/>
          <w:i/>
          <w:sz w:val="24"/>
        </w:rPr>
        <w:t xml:space="preserve">R v Franz </w:t>
      </w:r>
      <w:r w:rsidRPr="00B553C9">
        <w:rPr>
          <w:rFonts w:ascii="Times New Roman" w:hAnsi="Times New Roman"/>
          <w:sz w:val="24"/>
        </w:rPr>
        <w:t xml:space="preserve">(1861) 2 F &amp; F 580 at 582 [175 ER 1195 at 1196]; </w:t>
      </w:r>
      <w:r w:rsidRPr="00B553C9">
        <w:rPr>
          <w:rFonts w:ascii="Times New Roman" w:hAnsi="Times New Roman"/>
          <w:i/>
          <w:sz w:val="24"/>
        </w:rPr>
        <w:t xml:space="preserve">R v </w:t>
      </w:r>
      <w:proofErr w:type="spellStart"/>
      <w:r w:rsidRPr="00B553C9">
        <w:rPr>
          <w:rFonts w:ascii="Times New Roman" w:hAnsi="Times New Roman"/>
          <w:i/>
          <w:iCs/>
          <w:sz w:val="24"/>
        </w:rPr>
        <w:t>Pembliton</w:t>
      </w:r>
      <w:proofErr w:type="spellEnd"/>
      <w:r w:rsidRPr="00B553C9">
        <w:rPr>
          <w:rFonts w:ascii="Times New Roman" w:hAnsi="Times New Roman"/>
          <w:sz w:val="24"/>
        </w:rPr>
        <w:t xml:space="preserve"> (1874) LR 2 CCR 119 at 122; </w:t>
      </w:r>
      <w:r w:rsidRPr="00B553C9">
        <w:rPr>
          <w:rFonts w:ascii="Times New Roman" w:hAnsi="Times New Roman"/>
          <w:i/>
          <w:iCs/>
          <w:sz w:val="24"/>
        </w:rPr>
        <w:t xml:space="preserve">Rubens </w:t>
      </w:r>
      <w:r w:rsidRPr="00B553C9">
        <w:rPr>
          <w:rFonts w:ascii="Times New Roman" w:hAnsi="Times New Roman"/>
          <w:sz w:val="24"/>
        </w:rPr>
        <w:t xml:space="preserve">(1909) 2 Cr App R 163 at 167; </w:t>
      </w:r>
      <w:r w:rsidRPr="00B553C9">
        <w:rPr>
          <w:rFonts w:ascii="Times New Roman" w:hAnsi="Times New Roman"/>
          <w:i/>
          <w:iCs/>
          <w:sz w:val="24"/>
        </w:rPr>
        <w:t xml:space="preserve">R v Murray </w:t>
      </w:r>
      <w:r w:rsidRPr="00B553C9">
        <w:rPr>
          <w:rFonts w:ascii="Times New Roman" w:hAnsi="Times New Roman"/>
          <w:sz w:val="24"/>
        </w:rPr>
        <w:t xml:space="preserve">[1924] VLR 374 at 377. See also Stephen, </w:t>
      </w:r>
      <w:r w:rsidRPr="00B553C9">
        <w:rPr>
          <w:rFonts w:ascii="Times New Roman" w:hAnsi="Times New Roman"/>
          <w:i/>
          <w:iCs/>
          <w:sz w:val="24"/>
        </w:rPr>
        <w:t xml:space="preserve">A Digest of the Criminal Law (Crimes and Punishments) </w:t>
      </w:r>
      <w:r w:rsidRPr="00B553C9">
        <w:rPr>
          <w:rFonts w:ascii="Times New Roman" w:hAnsi="Times New Roman"/>
          <w:sz w:val="24"/>
        </w:rPr>
        <w:t xml:space="preserve">(1877) at 144; Kenny, </w:t>
      </w:r>
      <w:r w:rsidRPr="00B553C9">
        <w:rPr>
          <w:rFonts w:ascii="Times New Roman" w:hAnsi="Times New Roman"/>
          <w:i/>
          <w:iCs/>
          <w:sz w:val="24"/>
        </w:rPr>
        <w:t>Outlines of Criminal Law</w:t>
      </w:r>
      <w:r w:rsidRPr="00B553C9">
        <w:rPr>
          <w:rFonts w:ascii="Times New Roman" w:hAnsi="Times New Roman"/>
          <w:sz w:val="24"/>
        </w:rPr>
        <w:t xml:space="preserve"> (1902) at 136</w:t>
      </w:r>
      <w:r w:rsidRPr="00B553C9">
        <w:rPr>
          <w:rFonts w:ascii="Times New Roman" w:hAnsi="Times New Roman"/>
          <w:sz w:val="24"/>
        </w:rPr>
        <w:noBreakHyphen/>
        <w:t>137.</w:t>
      </w:r>
    </w:p>
  </w:footnote>
  <w:footnote w:id="79">
    <w:p w14:paraId="5C1C9B1F" w14:textId="77777777" w:rsidR="00484F88" w:rsidRPr="00B553C9" w:rsidRDefault="00484F88" w:rsidP="00B553C9">
      <w:pPr>
        <w:pStyle w:val="FootnoteText"/>
        <w:spacing w:line="280" w:lineRule="exact"/>
        <w:ind w:right="0"/>
        <w:jc w:val="both"/>
        <w:rPr>
          <w:rFonts w:ascii="Times New Roman" w:hAnsi="Times New Roman"/>
          <w:sz w:val="24"/>
        </w:rPr>
      </w:pPr>
      <w:r w:rsidRPr="00B553C9">
        <w:rPr>
          <w:rStyle w:val="FootnoteReference"/>
          <w:rFonts w:ascii="Times New Roman" w:hAnsi="Times New Roman"/>
          <w:sz w:val="22"/>
          <w:vertAlign w:val="baseline"/>
        </w:rPr>
        <w:footnoteRef/>
      </w:r>
      <w:r w:rsidRPr="00B553C9">
        <w:rPr>
          <w:rFonts w:ascii="Times New Roman" w:hAnsi="Times New Roman"/>
          <w:sz w:val="24"/>
        </w:rPr>
        <w:t xml:space="preserve"> </w:t>
      </w:r>
      <w:r w:rsidRPr="00B553C9">
        <w:rPr>
          <w:rFonts w:ascii="Times New Roman" w:hAnsi="Times New Roman"/>
          <w:sz w:val="24"/>
        </w:rPr>
        <w:tab/>
      </w:r>
      <w:r w:rsidRPr="00B553C9">
        <w:rPr>
          <w:rFonts w:ascii="Times New Roman" w:hAnsi="Times New Roman"/>
          <w:i/>
          <w:iCs/>
          <w:sz w:val="24"/>
        </w:rPr>
        <w:t xml:space="preserve">R v Van </w:t>
      </w:r>
      <w:proofErr w:type="spellStart"/>
      <w:r w:rsidRPr="00B553C9">
        <w:rPr>
          <w:rFonts w:ascii="Times New Roman" w:hAnsi="Times New Roman"/>
          <w:i/>
          <w:iCs/>
          <w:sz w:val="24"/>
        </w:rPr>
        <w:t>Beelen</w:t>
      </w:r>
      <w:proofErr w:type="spellEnd"/>
      <w:r w:rsidRPr="00B553C9">
        <w:rPr>
          <w:rFonts w:ascii="Times New Roman" w:hAnsi="Times New Roman"/>
          <w:i/>
          <w:iCs/>
          <w:sz w:val="24"/>
        </w:rPr>
        <w:t xml:space="preserve"> </w:t>
      </w:r>
      <w:r w:rsidRPr="00B553C9">
        <w:rPr>
          <w:rFonts w:ascii="Times New Roman" w:hAnsi="Times New Roman"/>
          <w:sz w:val="24"/>
        </w:rPr>
        <w:t xml:space="preserve">(1973) 4 SASR 353 at 403; </w:t>
      </w:r>
      <w:r w:rsidRPr="00B553C9">
        <w:rPr>
          <w:rFonts w:ascii="Times New Roman" w:hAnsi="Times New Roman"/>
          <w:i/>
          <w:iCs/>
          <w:sz w:val="24"/>
        </w:rPr>
        <w:t xml:space="preserve">R v R </w:t>
      </w:r>
      <w:r w:rsidRPr="00B553C9">
        <w:rPr>
          <w:rFonts w:ascii="Times New Roman" w:hAnsi="Times New Roman"/>
          <w:sz w:val="24"/>
        </w:rPr>
        <w:t>(1995) 63 SASR 417 at 420.</w:t>
      </w:r>
    </w:p>
  </w:footnote>
  <w:footnote w:id="80">
    <w:p w14:paraId="5077CC90" w14:textId="77777777" w:rsidR="00484F88" w:rsidRPr="00B553C9" w:rsidRDefault="00484F88" w:rsidP="00B553C9">
      <w:pPr>
        <w:pStyle w:val="FootnoteText"/>
        <w:spacing w:line="280" w:lineRule="exact"/>
        <w:ind w:right="0"/>
        <w:jc w:val="both"/>
        <w:rPr>
          <w:rFonts w:ascii="Times New Roman" w:hAnsi="Times New Roman"/>
          <w:sz w:val="24"/>
        </w:rPr>
      </w:pPr>
      <w:r w:rsidRPr="00B553C9">
        <w:rPr>
          <w:rStyle w:val="FootnoteReference"/>
          <w:rFonts w:ascii="Times New Roman" w:hAnsi="Times New Roman"/>
          <w:sz w:val="22"/>
          <w:vertAlign w:val="baseline"/>
        </w:rPr>
        <w:footnoteRef/>
      </w:r>
      <w:r w:rsidRPr="00B553C9">
        <w:rPr>
          <w:rFonts w:ascii="Times New Roman" w:hAnsi="Times New Roman"/>
          <w:sz w:val="24"/>
        </w:rPr>
        <w:t xml:space="preserve"> </w:t>
      </w:r>
      <w:r w:rsidRPr="00B553C9">
        <w:rPr>
          <w:rFonts w:ascii="Times New Roman" w:hAnsi="Times New Roman"/>
          <w:sz w:val="24"/>
        </w:rPr>
        <w:tab/>
      </w:r>
      <w:r w:rsidRPr="00B553C9">
        <w:rPr>
          <w:rFonts w:ascii="Times New Roman" w:hAnsi="Times New Roman"/>
          <w:i/>
          <w:iCs/>
          <w:sz w:val="24"/>
        </w:rPr>
        <w:t xml:space="preserve">IL v The Queen </w:t>
      </w:r>
      <w:r w:rsidRPr="00B553C9">
        <w:rPr>
          <w:rFonts w:ascii="Times New Roman" w:hAnsi="Times New Roman"/>
          <w:sz w:val="24"/>
        </w:rPr>
        <w:t>(2017) 262 CLR 268</w:t>
      </w:r>
      <w:r w:rsidRPr="00B553C9">
        <w:rPr>
          <w:rFonts w:ascii="Times New Roman" w:hAnsi="Times New Roman"/>
          <w:i/>
          <w:iCs/>
          <w:sz w:val="24"/>
        </w:rPr>
        <w:t xml:space="preserve"> </w:t>
      </w:r>
      <w:r w:rsidRPr="00B553C9">
        <w:rPr>
          <w:rFonts w:ascii="Times New Roman" w:hAnsi="Times New Roman"/>
          <w:sz w:val="24"/>
        </w:rPr>
        <w:t>at 326 [156].</w:t>
      </w:r>
    </w:p>
  </w:footnote>
  <w:footnote w:id="81">
    <w:p w14:paraId="1EEF9FCF" w14:textId="77777777" w:rsidR="00484F88" w:rsidRPr="00B553C9" w:rsidRDefault="00484F88" w:rsidP="00B553C9">
      <w:pPr>
        <w:pStyle w:val="FootnoteText"/>
        <w:spacing w:line="280" w:lineRule="exact"/>
        <w:ind w:right="0"/>
        <w:jc w:val="both"/>
        <w:rPr>
          <w:rFonts w:ascii="Times New Roman" w:hAnsi="Times New Roman"/>
          <w:sz w:val="24"/>
        </w:rPr>
      </w:pPr>
      <w:r w:rsidRPr="00B553C9">
        <w:rPr>
          <w:rStyle w:val="FootnoteReference"/>
          <w:rFonts w:ascii="Times New Roman" w:hAnsi="Times New Roman"/>
          <w:sz w:val="22"/>
          <w:vertAlign w:val="baseline"/>
        </w:rPr>
        <w:footnoteRef/>
      </w:r>
      <w:r w:rsidRPr="00B553C9">
        <w:rPr>
          <w:rFonts w:ascii="Times New Roman" w:hAnsi="Times New Roman"/>
          <w:sz w:val="24"/>
        </w:rPr>
        <w:t xml:space="preserve"> </w:t>
      </w:r>
      <w:r w:rsidRPr="00B553C9">
        <w:rPr>
          <w:rFonts w:ascii="Times New Roman" w:hAnsi="Times New Roman"/>
          <w:sz w:val="24"/>
        </w:rPr>
        <w:tab/>
      </w:r>
      <w:r w:rsidRPr="00B553C9">
        <w:rPr>
          <w:rFonts w:ascii="Times New Roman" w:hAnsi="Times New Roman"/>
          <w:i/>
          <w:iCs/>
          <w:sz w:val="24"/>
        </w:rPr>
        <w:t xml:space="preserve">Ryan v The Queen </w:t>
      </w:r>
      <w:r w:rsidRPr="00B553C9">
        <w:rPr>
          <w:rFonts w:ascii="Times New Roman" w:hAnsi="Times New Roman"/>
          <w:sz w:val="24"/>
        </w:rPr>
        <w:t xml:space="preserve">(1967) 121 CLR 205 at 241; </w:t>
      </w:r>
      <w:proofErr w:type="spellStart"/>
      <w:r w:rsidRPr="00B553C9">
        <w:rPr>
          <w:rFonts w:ascii="Times New Roman" w:hAnsi="Times New Roman"/>
          <w:i/>
          <w:iCs/>
          <w:sz w:val="24"/>
        </w:rPr>
        <w:t>Arulthilakan</w:t>
      </w:r>
      <w:proofErr w:type="spellEnd"/>
      <w:r w:rsidRPr="00B553C9">
        <w:rPr>
          <w:rFonts w:ascii="Times New Roman" w:hAnsi="Times New Roman"/>
          <w:i/>
          <w:iCs/>
          <w:sz w:val="24"/>
        </w:rPr>
        <w:t xml:space="preserve"> v The Queen </w:t>
      </w:r>
      <w:r w:rsidRPr="00B553C9">
        <w:rPr>
          <w:rFonts w:ascii="Times New Roman" w:hAnsi="Times New Roman"/>
          <w:sz w:val="24"/>
        </w:rPr>
        <w:t xml:space="preserve">(2003) 78 ALJR 257 at 263 [27]; 203 ALR 259 at 266; </w:t>
      </w:r>
      <w:r w:rsidRPr="00B553C9">
        <w:rPr>
          <w:rFonts w:ascii="Times New Roman" w:hAnsi="Times New Roman"/>
          <w:i/>
          <w:iCs/>
          <w:sz w:val="24"/>
        </w:rPr>
        <w:t xml:space="preserve">IL v The Queen </w:t>
      </w:r>
      <w:r w:rsidRPr="00B553C9">
        <w:rPr>
          <w:rFonts w:ascii="Times New Roman" w:hAnsi="Times New Roman"/>
          <w:sz w:val="24"/>
        </w:rPr>
        <w:t>(2017) 262 CLR 268</w:t>
      </w:r>
      <w:r w:rsidRPr="00B553C9">
        <w:rPr>
          <w:rFonts w:ascii="Times New Roman" w:hAnsi="Times New Roman"/>
          <w:i/>
          <w:iCs/>
          <w:sz w:val="24"/>
        </w:rPr>
        <w:t xml:space="preserve"> </w:t>
      </w:r>
      <w:r w:rsidRPr="00B553C9">
        <w:rPr>
          <w:rFonts w:ascii="Times New Roman" w:hAnsi="Times New Roman"/>
          <w:sz w:val="24"/>
        </w:rPr>
        <w:t>at 309 [94].</w:t>
      </w:r>
    </w:p>
  </w:footnote>
  <w:footnote w:id="82">
    <w:p w14:paraId="69D28676" w14:textId="77777777" w:rsidR="00484F88" w:rsidRPr="00B553C9" w:rsidRDefault="00484F88" w:rsidP="00B553C9">
      <w:pPr>
        <w:pStyle w:val="FootnoteText"/>
        <w:spacing w:line="280" w:lineRule="exact"/>
        <w:ind w:right="0"/>
        <w:jc w:val="both"/>
        <w:rPr>
          <w:rFonts w:ascii="Times New Roman" w:hAnsi="Times New Roman"/>
          <w:sz w:val="24"/>
        </w:rPr>
      </w:pPr>
      <w:r w:rsidRPr="00B553C9">
        <w:rPr>
          <w:rStyle w:val="FootnoteReference"/>
          <w:rFonts w:ascii="Times New Roman" w:hAnsi="Times New Roman"/>
          <w:sz w:val="22"/>
          <w:vertAlign w:val="baseline"/>
        </w:rPr>
        <w:footnoteRef/>
      </w:r>
      <w:r w:rsidRPr="00B553C9">
        <w:rPr>
          <w:rFonts w:ascii="Times New Roman" w:hAnsi="Times New Roman"/>
          <w:sz w:val="24"/>
        </w:rPr>
        <w:t xml:space="preserve"> </w:t>
      </w:r>
      <w:r w:rsidRPr="00B553C9">
        <w:rPr>
          <w:rFonts w:ascii="Times New Roman" w:hAnsi="Times New Roman"/>
          <w:sz w:val="24"/>
        </w:rPr>
        <w:tab/>
        <w:t xml:space="preserve">See </w:t>
      </w:r>
      <w:r w:rsidRPr="00B553C9">
        <w:rPr>
          <w:rFonts w:ascii="Times New Roman" w:hAnsi="Times New Roman"/>
          <w:i/>
          <w:iCs/>
          <w:sz w:val="24"/>
        </w:rPr>
        <w:t xml:space="preserve">Pyrenees Shire Council v Day </w:t>
      </w:r>
      <w:r w:rsidRPr="00B553C9">
        <w:rPr>
          <w:rFonts w:ascii="Times New Roman" w:hAnsi="Times New Roman"/>
          <w:sz w:val="24"/>
        </w:rPr>
        <w:t xml:space="preserve">(1998) 192 CLR 330 at 387 [163], referring to Fuller, </w:t>
      </w:r>
      <w:r w:rsidRPr="00B553C9">
        <w:rPr>
          <w:rFonts w:ascii="Times New Roman" w:hAnsi="Times New Roman"/>
          <w:i/>
          <w:iCs/>
          <w:sz w:val="24"/>
        </w:rPr>
        <w:t xml:space="preserve">Legal Fictions </w:t>
      </w:r>
      <w:r w:rsidRPr="00B553C9">
        <w:rPr>
          <w:rFonts w:ascii="Times New Roman" w:hAnsi="Times New Roman"/>
          <w:sz w:val="24"/>
        </w:rPr>
        <w:t>(1967) at 71.</w:t>
      </w:r>
    </w:p>
  </w:footnote>
  <w:footnote w:id="83">
    <w:p w14:paraId="4C7D5AE5" w14:textId="77777777" w:rsidR="00484F88" w:rsidRPr="00B553C9" w:rsidRDefault="00484F88" w:rsidP="00B553C9">
      <w:pPr>
        <w:pStyle w:val="FootnoteText"/>
        <w:spacing w:line="280" w:lineRule="exact"/>
        <w:ind w:right="0"/>
        <w:jc w:val="both"/>
        <w:rPr>
          <w:rFonts w:ascii="Times New Roman" w:hAnsi="Times New Roman"/>
          <w:sz w:val="24"/>
        </w:rPr>
      </w:pPr>
      <w:r w:rsidRPr="00B553C9">
        <w:rPr>
          <w:rStyle w:val="FootnoteReference"/>
          <w:rFonts w:ascii="Times New Roman" w:hAnsi="Times New Roman"/>
          <w:sz w:val="22"/>
          <w:vertAlign w:val="baseline"/>
        </w:rPr>
        <w:footnoteRef/>
      </w:r>
      <w:r w:rsidRPr="00B553C9">
        <w:rPr>
          <w:rFonts w:ascii="Times New Roman" w:hAnsi="Times New Roman"/>
          <w:sz w:val="24"/>
        </w:rPr>
        <w:t xml:space="preserve"> </w:t>
      </w:r>
      <w:r w:rsidRPr="00B553C9">
        <w:rPr>
          <w:rFonts w:ascii="Times New Roman" w:hAnsi="Times New Roman"/>
          <w:sz w:val="24"/>
        </w:rPr>
        <w:tab/>
      </w:r>
      <w:r w:rsidRPr="00B553C9">
        <w:rPr>
          <w:rFonts w:ascii="Times New Roman" w:hAnsi="Times New Roman"/>
          <w:i/>
          <w:iCs/>
          <w:sz w:val="24"/>
        </w:rPr>
        <w:t xml:space="preserve">R v Van </w:t>
      </w:r>
      <w:proofErr w:type="spellStart"/>
      <w:r w:rsidRPr="00B553C9">
        <w:rPr>
          <w:rFonts w:ascii="Times New Roman" w:hAnsi="Times New Roman"/>
          <w:i/>
          <w:iCs/>
          <w:sz w:val="24"/>
        </w:rPr>
        <w:t>Beelen</w:t>
      </w:r>
      <w:proofErr w:type="spellEnd"/>
      <w:r w:rsidRPr="00B553C9">
        <w:rPr>
          <w:rFonts w:ascii="Times New Roman" w:hAnsi="Times New Roman"/>
          <w:i/>
          <w:iCs/>
          <w:sz w:val="24"/>
        </w:rPr>
        <w:t xml:space="preserve"> </w:t>
      </w:r>
      <w:r w:rsidRPr="00B553C9">
        <w:rPr>
          <w:rFonts w:ascii="Times New Roman" w:hAnsi="Times New Roman"/>
          <w:sz w:val="24"/>
        </w:rPr>
        <w:t xml:space="preserve">(1973) 4 SASR 353 at 403; </w:t>
      </w:r>
      <w:r w:rsidRPr="00B553C9">
        <w:rPr>
          <w:rFonts w:ascii="Times New Roman" w:hAnsi="Times New Roman"/>
          <w:i/>
          <w:iCs/>
          <w:sz w:val="24"/>
        </w:rPr>
        <w:t xml:space="preserve">R v R </w:t>
      </w:r>
      <w:r w:rsidRPr="00B553C9">
        <w:rPr>
          <w:rFonts w:ascii="Times New Roman" w:hAnsi="Times New Roman"/>
          <w:sz w:val="24"/>
        </w:rPr>
        <w:t xml:space="preserve">(1995) 63 SASR 417 at 420. See also Stephen, </w:t>
      </w:r>
      <w:r w:rsidRPr="00B553C9">
        <w:rPr>
          <w:rFonts w:ascii="Times New Roman" w:hAnsi="Times New Roman"/>
          <w:i/>
          <w:sz w:val="24"/>
        </w:rPr>
        <w:t>A</w:t>
      </w:r>
      <w:r w:rsidRPr="00B553C9">
        <w:rPr>
          <w:rFonts w:ascii="Times New Roman" w:hAnsi="Times New Roman"/>
          <w:i/>
          <w:iCs/>
          <w:sz w:val="24"/>
        </w:rPr>
        <w:t xml:space="preserve"> Digest of the Criminal Law (Crimes and Punishments)</w:t>
      </w:r>
      <w:r w:rsidRPr="00B553C9">
        <w:rPr>
          <w:rFonts w:ascii="Times New Roman" w:hAnsi="Times New Roman"/>
          <w:sz w:val="24"/>
        </w:rPr>
        <w:t xml:space="preserve"> (1877) at 146, </w:t>
      </w:r>
      <w:proofErr w:type="spellStart"/>
      <w:r w:rsidRPr="00B553C9">
        <w:rPr>
          <w:rFonts w:ascii="Times New Roman" w:hAnsi="Times New Roman"/>
          <w:sz w:val="24"/>
        </w:rPr>
        <w:t>fn</w:t>
      </w:r>
      <w:proofErr w:type="spellEnd"/>
      <w:r w:rsidRPr="00B553C9">
        <w:rPr>
          <w:rFonts w:ascii="Times New Roman" w:hAnsi="Times New Roman"/>
          <w:sz w:val="24"/>
        </w:rPr>
        <w:t xml:space="preserve"> 4.</w:t>
      </w:r>
    </w:p>
  </w:footnote>
  <w:footnote w:id="84">
    <w:p w14:paraId="0014F0F7" w14:textId="77777777" w:rsidR="00484F88" w:rsidRPr="00B553C9" w:rsidRDefault="00484F88" w:rsidP="00B553C9">
      <w:pPr>
        <w:pStyle w:val="FootnoteText"/>
        <w:spacing w:line="280" w:lineRule="exact"/>
        <w:ind w:right="0"/>
        <w:jc w:val="both"/>
        <w:rPr>
          <w:rFonts w:ascii="Times New Roman" w:hAnsi="Times New Roman"/>
          <w:sz w:val="24"/>
        </w:rPr>
      </w:pPr>
      <w:r w:rsidRPr="00B553C9">
        <w:rPr>
          <w:rStyle w:val="FootnoteReference"/>
          <w:rFonts w:ascii="Times New Roman" w:hAnsi="Times New Roman"/>
          <w:sz w:val="22"/>
          <w:vertAlign w:val="baseline"/>
        </w:rPr>
        <w:footnoteRef/>
      </w:r>
      <w:r w:rsidRPr="00B553C9">
        <w:rPr>
          <w:rFonts w:ascii="Times New Roman" w:hAnsi="Times New Roman"/>
          <w:sz w:val="24"/>
        </w:rPr>
        <w:t xml:space="preserve"> </w:t>
      </w:r>
      <w:r w:rsidRPr="00B553C9">
        <w:rPr>
          <w:rFonts w:ascii="Times New Roman" w:hAnsi="Times New Roman"/>
          <w:sz w:val="24"/>
        </w:rPr>
        <w:tab/>
      </w:r>
      <w:r w:rsidRPr="00B553C9">
        <w:rPr>
          <w:rFonts w:ascii="Times New Roman" w:hAnsi="Times New Roman"/>
          <w:i/>
          <w:iCs/>
          <w:sz w:val="24"/>
        </w:rPr>
        <w:t xml:space="preserve">Ryan v The Queen </w:t>
      </w:r>
      <w:r w:rsidRPr="00B553C9">
        <w:rPr>
          <w:rFonts w:ascii="Times New Roman" w:hAnsi="Times New Roman"/>
          <w:sz w:val="24"/>
        </w:rPr>
        <w:t xml:space="preserve">(1967) 121 CLR 205 at 240, quoting </w:t>
      </w:r>
      <w:r w:rsidRPr="00B553C9">
        <w:rPr>
          <w:rFonts w:ascii="Times New Roman" w:hAnsi="Times New Roman"/>
          <w:i/>
          <w:iCs/>
          <w:sz w:val="24"/>
        </w:rPr>
        <w:t xml:space="preserve">R v Brown and Brian </w:t>
      </w:r>
      <w:r w:rsidRPr="00B553C9">
        <w:rPr>
          <w:rFonts w:ascii="Times New Roman" w:hAnsi="Times New Roman"/>
          <w:sz w:val="24"/>
        </w:rPr>
        <w:t xml:space="preserve">[1949] VLR 177 at 181 (emphasis added). </w:t>
      </w:r>
    </w:p>
  </w:footnote>
  <w:footnote w:id="85">
    <w:p w14:paraId="3E6CEB2E" w14:textId="77777777" w:rsidR="00484F88" w:rsidRPr="00B553C9" w:rsidRDefault="00484F88" w:rsidP="00B553C9">
      <w:pPr>
        <w:pStyle w:val="FootnoteText"/>
        <w:spacing w:line="280" w:lineRule="exact"/>
        <w:ind w:right="0"/>
        <w:jc w:val="both"/>
        <w:rPr>
          <w:rFonts w:ascii="Times New Roman" w:hAnsi="Times New Roman"/>
          <w:sz w:val="24"/>
        </w:rPr>
      </w:pPr>
      <w:r w:rsidRPr="00B553C9">
        <w:rPr>
          <w:rStyle w:val="FootnoteReference"/>
          <w:rFonts w:ascii="Times New Roman" w:hAnsi="Times New Roman"/>
          <w:sz w:val="22"/>
          <w:vertAlign w:val="baseline"/>
        </w:rPr>
        <w:footnoteRef/>
      </w:r>
      <w:r w:rsidRPr="00B553C9">
        <w:rPr>
          <w:rFonts w:ascii="Times New Roman" w:hAnsi="Times New Roman"/>
          <w:sz w:val="24"/>
        </w:rPr>
        <w:t xml:space="preserve"> </w:t>
      </w:r>
      <w:r w:rsidRPr="00B553C9">
        <w:rPr>
          <w:rFonts w:ascii="Times New Roman" w:hAnsi="Times New Roman"/>
          <w:sz w:val="24"/>
        </w:rPr>
        <w:tab/>
      </w:r>
      <w:r w:rsidRPr="00B553C9">
        <w:rPr>
          <w:rFonts w:ascii="Times New Roman" w:hAnsi="Times New Roman"/>
          <w:i/>
          <w:iCs/>
          <w:sz w:val="24"/>
        </w:rPr>
        <w:t xml:space="preserve">R v Solomon </w:t>
      </w:r>
      <w:r w:rsidRPr="00B553C9">
        <w:rPr>
          <w:rFonts w:ascii="Times New Roman" w:hAnsi="Times New Roman"/>
          <w:sz w:val="24"/>
        </w:rPr>
        <w:t xml:space="preserve">[1959] </w:t>
      </w:r>
      <w:proofErr w:type="spellStart"/>
      <w:r w:rsidRPr="00B553C9">
        <w:rPr>
          <w:rFonts w:ascii="Times New Roman" w:hAnsi="Times New Roman"/>
          <w:sz w:val="24"/>
        </w:rPr>
        <w:t>Qd</w:t>
      </w:r>
      <w:proofErr w:type="spellEnd"/>
      <w:r w:rsidRPr="00B553C9">
        <w:rPr>
          <w:rFonts w:ascii="Times New Roman" w:hAnsi="Times New Roman"/>
          <w:sz w:val="24"/>
        </w:rPr>
        <w:t xml:space="preserve"> R 123 at 126-127; </w:t>
      </w:r>
      <w:proofErr w:type="spellStart"/>
      <w:r w:rsidRPr="00B553C9">
        <w:rPr>
          <w:rFonts w:ascii="Times New Roman" w:hAnsi="Times New Roman"/>
          <w:i/>
          <w:iCs/>
          <w:sz w:val="24"/>
        </w:rPr>
        <w:t>Arulthilakan</w:t>
      </w:r>
      <w:proofErr w:type="spellEnd"/>
      <w:r w:rsidRPr="00B553C9">
        <w:rPr>
          <w:rFonts w:ascii="Times New Roman" w:hAnsi="Times New Roman"/>
          <w:i/>
          <w:iCs/>
          <w:sz w:val="24"/>
        </w:rPr>
        <w:t xml:space="preserve"> v The Queen </w:t>
      </w:r>
      <w:r w:rsidRPr="00B553C9">
        <w:rPr>
          <w:rFonts w:ascii="Times New Roman" w:hAnsi="Times New Roman"/>
          <w:sz w:val="24"/>
        </w:rPr>
        <w:t xml:space="preserve">(2003) 78 </w:t>
      </w:r>
      <w:r w:rsidRPr="00EC21E3">
        <w:rPr>
          <w:rFonts w:ascii="Times New Roman" w:hAnsi="Times New Roman"/>
          <w:sz w:val="24"/>
        </w:rPr>
        <w:t>ALJR 257 at 263 [28]-[29]; 203 ALR 259 at 266. See also the reasons of Kiefel CJ at [19].</w:t>
      </w:r>
      <w:r w:rsidRPr="00B553C9">
        <w:rPr>
          <w:rFonts w:ascii="Times New Roman" w:hAnsi="Times New Roman"/>
          <w:sz w:val="24"/>
        </w:rPr>
        <w:t xml:space="preserve"> </w:t>
      </w:r>
    </w:p>
  </w:footnote>
  <w:footnote w:id="86">
    <w:p w14:paraId="73870712" w14:textId="77777777" w:rsidR="00484F88" w:rsidRPr="00B553C9" w:rsidRDefault="00484F88" w:rsidP="00B553C9">
      <w:pPr>
        <w:pStyle w:val="FootnoteText"/>
        <w:spacing w:line="280" w:lineRule="exact"/>
        <w:ind w:right="0"/>
        <w:jc w:val="both"/>
        <w:rPr>
          <w:rFonts w:ascii="Times New Roman" w:hAnsi="Times New Roman"/>
          <w:sz w:val="24"/>
        </w:rPr>
      </w:pPr>
      <w:r w:rsidRPr="00B553C9">
        <w:rPr>
          <w:rStyle w:val="FootnoteReference"/>
          <w:rFonts w:ascii="Times New Roman" w:hAnsi="Times New Roman"/>
          <w:sz w:val="22"/>
          <w:vertAlign w:val="baseline"/>
        </w:rPr>
        <w:footnoteRef/>
      </w:r>
      <w:r w:rsidRPr="00B553C9">
        <w:rPr>
          <w:rFonts w:ascii="Times New Roman" w:hAnsi="Times New Roman"/>
          <w:sz w:val="24"/>
        </w:rPr>
        <w:t xml:space="preserve"> </w:t>
      </w:r>
      <w:r w:rsidRPr="00B553C9">
        <w:rPr>
          <w:rFonts w:ascii="Times New Roman" w:hAnsi="Times New Roman"/>
          <w:sz w:val="24"/>
        </w:rPr>
        <w:tab/>
      </w:r>
      <w:r w:rsidRPr="00B553C9">
        <w:rPr>
          <w:rFonts w:ascii="Times New Roman" w:hAnsi="Times New Roman"/>
          <w:i/>
          <w:sz w:val="24"/>
        </w:rPr>
        <w:t>Macklin, Murphy, and Others' Case</w:t>
      </w:r>
      <w:r w:rsidRPr="00B553C9">
        <w:rPr>
          <w:rFonts w:ascii="Times New Roman" w:hAnsi="Times New Roman"/>
          <w:sz w:val="24"/>
        </w:rPr>
        <w:t xml:space="preserve"> (1838) 2 Lewin 225 at 226 [168 ER 1136 at 1136]; </w:t>
      </w:r>
      <w:r w:rsidRPr="00B553C9">
        <w:rPr>
          <w:rFonts w:ascii="Times New Roman" w:hAnsi="Times New Roman"/>
          <w:i/>
          <w:iCs/>
          <w:sz w:val="24"/>
        </w:rPr>
        <w:t xml:space="preserve">R v Jackson </w:t>
      </w:r>
      <w:r w:rsidRPr="00B553C9">
        <w:rPr>
          <w:rFonts w:ascii="Times New Roman" w:hAnsi="Times New Roman"/>
          <w:sz w:val="24"/>
        </w:rPr>
        <w:t>(1857) 7 Cox CC 357 at 360</w:t>
      </w:r>
      <w:r w:rsidRPr="00B553C9">
        <w:rPr>
          <w:rFonts w:ascii="Times New Roman" w:hAnsi="Times New Roman"/>
          <w:sz w:val="24"/>
        </w:rPr>
        <w:noBreakHyphen/>
        <w:t xml:space="preserve">361; </w:t>
      </w:r>
      <w:r w:rsidRPr="00B553C9">
        <w:rPr>
          <w:rFonts w:ascii="Times New Roman" w:hAnsi="Times New Roman"/>
          <w:i/>
          <w:iCs/>
          <w:sz w:val="24"/>
        </w:rPr>
        <w:t xml:space="preserve">R v Murray </w:t>
      </w:r>
      <w:r w:rsidRPr="00B553C9">
        <w:rPr>
          <w:rFonts w:ascii="Times New Roman" w:hAnsi="Times New Roman"/>
          <w:sz w:val="24"/>
        </w:rPr>
        <w:t>[1924] VLR 374 at 377.</w:t>
      </w:r>
    </w:p>
  </w:footnote>
  <w:footnote w:id="87">
    <w:p w14:paraId="1E273055" w14:textId="77777777" w:rsidR="00484F88" w:rsidRPr="00B553C9" w:rsidRDefault="00484F88" w:rsidP="00B553C9">
      <w:pPr>
        <w:pStyle w:val="FootnoteText"/>
        <w:spacing w:line="280" w:lineRule="exact"/>
        <w:ind w:right="0"/>
        <w:jc w:val="both"/>
        <w:rPr>
          <w:rFonts w:ascii="Times New Roman" w:hAnsi="Times New Roman"/>
          <w:sz w:val="24"/>
        </w:rPr>
      </w:pPr>
      <w:r w:rsidRPr="00B553C9">
        <w:rPr>
          <w:rStyle w:val="FootnoteReference"/>
          <w:rFonts w:ascii="Times New Roman" w:hAnsi="Times New Roman"/>
          <w:sz w:val="22"/>
          <w:vertAlign w:val="baseline"/>
        </w:rPr>
        <w:footnoteRef/>
      </w:r>
      <w:r w:rsidRPr="00B553C9">
        <w:rPr>
          <w:rFonts w:ascii="Times New Roman" w:hAnsi="Times New Roman"/>
          <w:sz w:val="24"/>
        </w:rPr>
        <w:t xml:space="preserve"> </w:t>
      </w:r>
      <w:r w:rsidRPr="00B553C9">
        <w:rPr>
          <w:rFonts w:ascii="Times New Roman" w:hAnsi="Times New Roman"/>
          <w:sz w:val="24"/>
        </w:rPr>
        <w:tab/>
        <w:t xml:space="preserve">[1966] VR 553. </w:t>
      </w:r>
    </w:p>
  </w:footnote>
  <w:footnote w:id="88">
    <w:p w14:paraId="6075EAD8" w14:textId="77777777" w:rsidR="00484F88" w:rsidRPr="00B553C9" w:rsidRDefault="00484F88" w:rsidP="00B553C9">
      <w:pPr>
        <w:pStyle w:val="FootnoteText"/>
        <w:spacing w:line="280" w:lineRule="exact"/>
        <w:ind w:right="0"/>
        <w:jc w:val="both"/>
        <w:rPr>
          <w:rFonts w:ascii="Times New Roman" w:hAnsi="Times New Roman"/>
          <w:sz w:val="24"/>
        </w:rPr>
      </w:pPr>
      <w:r w:rsidRPr="00B553C9">
        <w:rPr>
          <w:rStyle w:val="FootnoteReference"/>
          <w:rFonts w:ascii="Times New Roman" w:hAnsi="Times New Roman"/>
          <w:sz w:val="22"/>
          <w:vertAlign w:val="baseline"/>
        </w:rPr>
        <w:footnoteRef/>
      </w:r>
      <w:r w:rsidRPr="00B553C9">
        <w:rPr>
          <w:rFonts w:ascii="Times New Roman" w:hAnsi="Times New Roman"/>
          <w:sz w:val="24"/>
        </w:rPr>
        <w:t xml:space="preserve"> </w:t>
      </w:r>
      <w:r w:rsidRPr="00B553C9">
        <w:rPr>
          <w:rFonts w:ascii="Times New Roman" w:hAnsi="Times New Roman"/>
          <w:sz w:val="24"/>
        </w:rPr>
        <w:tab/>
        <w:t>[1966] VR 553 at 567.</w:t>
      </w:r>
    </w:p>
  </w:footnote>
  <w:footnote w:id="89">
    <w:p w14:paraId="26BF42A0" w14:textId="77777777" w:rsidR="00484F88" w:rsidRPr="00B553C9" w:rsidRDefault="00484F88" w:rsidP="00B553C9">
      <w:pPr>
        <w:pStyle w:val="FootnoteText"/>
        <w:spacing w:line="280" w:lineRule="exact"/>
        <w:ind w:right="0"/>
        <w:jc w:val="both"/>
        <w:rPr>
          <w:rFonts w:ascii="Times New Roman" w:hAnsi="Times New Roman"/>
          <w:sz w:val="24"/>
        </w:rPr>
      </w:pPr>
      <w:r w:rsidRPr="00B553C9">
        <w:rPr>
          <w:rStyle w:val="FootnoteReference"/>
          <w:rFonts w:ascii="Times New Roman" w:hAnsi="Times New Roman"/>
          <w:sz w:val="22"/>
          <w:vertAlign w:val="baseline"/>
        </w:rPr>
        <w:footnoteRef/>
      </w:r>
      <w:r w:rsidRPr="00B553C9">
        <w:rPr>
          <w:rFonts w:ascii="Times New Roman" w:hAnsi="Times New Roman"/>
          <w:sz w:val="24"/>
        </w:rPr>
        <w:t xml:space="preserve"> </w:t>
      </w:r>
      <w:r w:rsidRPr="00B553C9">
        <w:rPr>
          <w:rFonts w:ascii="Times New Roman" w:hAnsi="Times New Roman"/>
          <w:sz w:val="24"/>
        </w:rPr>
        <w:tab/>
      </w:r>
      <w:r w:rsidRPr="00B553C9">
        <w:rPr>
          <w:rFonts w:ascii="Times New Roman" w:hAnsi="Times New Roman"/>
          <w:i/>
          <w:iCs/>
          <w:sz w:val="24"/>
        </w:rPr>
        <w:t xml:space="preserve">Betts </w:t>
      </w:r>
      <w:r w:rsidRPr="00B553C9">
        <w:rPr>
          <w:rFonts w:ascii="Times New Roman" w:hAnsi="Times New Roman"/>
          <w:sz w:val="24"/>
        </w:rPr>
        <w:t>(1930) 22 Cr App R 148</w:t>
      </w:r>
      <w:r w:rsidRPr="00B553C9">
        <w:rPr>
          <w:rFonts w:ascii="Times New Roman" w:hAnsi="Times New Roman"/>
          <w:i/>
          <w:iCs/>
          <w:sz w:val="24"/>
        </w:rPr>
        <w:t xml:space="preserve"> </w:t>
      </w:r>
      <w:r w:rsidRPr="00B553C9">
        <w:rPr>
          <w:rFonts w:ascii="Times New Roman" w:hAnsi="Times New Roman"/>
          <w:sz w:val="24"/>
        </w:rPr>
        <w:t xml:space="preserve">at 155. </w:t>
      </w:r>
      <w:bookmarkStart w:id="0" w:name="_Hlk121924277"/>
      <w:r w:rsidRPr="00B553C9">
        <w:rPr>
          <w:rFonts w:ascii="Times New Roman" w:hAnsi="Times New Roman"/>
          <w:sz w:val="24"/>
        </w:rPr>
        <w:t xml:space="preserve">See also </w:t>
      </w:r>
      <w:r w:rsidRPr="00B553C9">
        <w:rPr>
          <w:rFonts w:ascii="Times New Roman" w:hAnsi="Times New Roman"/>
          <w:i/>
          <w:iCs/>
          <w:sz w:val="24"/>
        </w:rPr>
        <w:t xml:space="preserve">R v </w:t>
      </w:r>
      <w:proofErr w:type="spellStart"/>
      <w:r w:rsidRPr="00B553C9">
        <w:rPr>
          <w:rFonts w:ascii="Times New Roman" w:hAnsi="Times New Roman"/>
          <w:i/>
          <w:iCs/>
          <w:sz w:val="24"/>
        </w:rPr>
        <w:t>Dowdle</w:t>
      </w:r>
      <w:proofErr w:type="spellEnd"/>
      <w:r w:rsidRPr="00B553C9">
        <w:rPr>
          <w:rFonts w:ascii="Times New Roman" w:hAnsi="Times New Roman"/>
          <w:sz w:val="24"/>
        </w:rPr>
        <w:t xml:space="preserve"> (1900) 26 VLR 637 at 639; </w:t>
      </w:r>
      <w:r w:rsidRPr="00B553C9">
        <w:rPr>
          <w:rFonts w:ascii="Times New Roman" w:hAnsi="Times New Roman"/>
          <w:i/>
          <w:iCs/>
          <w:sz w:val="24"/>
        </w:rPr>
        <w:t>R v Kalinowski</w:t>
      </w:r>
      <w:r w:rsidRPr="00B553C9">
        <w:rPr>
          <w:rFonts w:ascii="Times New Roman" w:hAnsi="Times New Roman"/>
          <w:sz w:val="24"/>
        </w:rPr>
        <w:t xml:space="preserve"> (1930) 31 SR (NSW) 377 at 380; </w:t>
      </w:r>
      <w:r w:rsidRPr="00B553C9">
        <w:rPr>
          <w:rFonts w:ascii="Times New Roman" w:hAnsi="Times New Roman"/>
          <w:i/>
          <w:iCs/>
          <w:sz w:val="24"/>
        </w:rPr>
        <w:t xml:space="preserve">R v Solomon </w:t>
      </w:r>
      <w:r w:rsidRPr="00B553C9">
        <w:rPr>
          <w:rFonts w:ascii="Times New Roman" w:hAnsi="Times New Roman"/>
          <w:sz w:val="24"/>
        </w:rPr>
        <w:t xml:space="preserve">[1959] </w:t>
      </w:r>
      <w:proofErr w:type="spellStart"/>
      <w:r w:rsidRPr="00B553C9">
        <w:rPr>
          <w:rFonts w:ascii="Times New Roman" w:hAnsi="Times New Roman"/>
          <w:sz w:val="24"/>
        </w:rPr>
        <w:t>Qd</w:t>
      </w:r>
      <w:proofErr w:type="spellEnd"/>
      <w:r w:rsidRPr="00B553C9">
        <w:rPr>
          <w:rFonts w:ascii="Times New Roman" w:hAnsi="Times New Roman"/>
          <w:sz w:val="24"/>
        </w:rPr>
        <w:t xml:space="preserve"> R 123 at 126</w:t>
      </w:r>
      <w:r w:rsidRPr="00B553C9">
        <w:rPr>
          <w:rFonts w:ascii="Times New Roman" w:hAnsi="Times New Roman"/>
          <w:sz w:val="24"/>
        </w:rPr>
        <w:noBreakHyphen/>
        <w:t>127</w:t>
      </w:r>
      <w:bookmarkEnd w:id="0"/>
      <w:r w:rsidRPr="00B553C9">
        <w:rPr>
          <w:rFonts w:ascii="Times New Roman" w:hAnsi="Times New Roman"/>
          <w:sz w:val="24"/>
        </w:rPr>
        <w:t xml:space="preserve">; </w:t>
      </w:r>
      <w:r w:rsidRPr="00B553C9">
        <w:rPr>
          <w:rFonts w:ascii="Times New Roman" w:hAnsi="Times New Roman"/>
          <w:i/>
          <w:iCs/>
          <w:sz w:val="24"/>
        </w:rPr>
        <w:t>IL v The Queen</w:t>
      </w:r>
      <w:r w:rsidRPr="00B553C9">
        <w:rPr>
          <w:rFonts w:ascii="Times New Roman" w:hAnsi="Times New Roman"/>
          <w:sz w:val="24"/>
        </w:rPr>
        <w:t xml:space="preserve"> (2017) 262 CLR 268 at 326</w:t>
      </w:r>
      <w:r w:rsidRPr="00B553C9">
        <w:rPr>
          <w:rFonts w:ascii="Times New Roman" w:hAnsi="Times New Roman"/>
          <w:sz w:val="24"/>
        </w:rPr>
        <w:noBreakHyphen/>
        <w:t>327 [157].</w:t>
      </w:r>
    </w:p>
  </w:footnote>
  <w:footnote w:id="90">
    <w:p w14:paraId="126BCC05" w14:textId="77777777" w:rsidR="00484F88" w:rsidRPr="00B553C9" w:rsidRDefault="00484F88" w:rsidP="00B553C9">
      <w:pPr>
        <w:pStyle w:val="FootnoteText"/>
        <w:spacing w:line="280" w:lineRule="exact"/>
        <w:ind w:right="0"/>
        <w:jc w:val="both"/>
        <w:rPr>
          <w:rFonts w:ascii="Times New Roman" w:hAnsi="Times New Roman"/>
          <w:sz w:val="24"/>
        </w:rPr>
      </w:pPr>
      <w:r w:rsidRPr="00B553C9">
        <w:rPr>
          <w:rStyle w:val="FootnoteReference"/>
          <w:rFonts w:ascii="Times New Roman" w:hAnsi="Times New Roman"/>
          <w:sz w:val="22"/>
          <w:vertAlign w:val="baseline"/>
        </w:rPr>
        <w:footnoteRef/>
      </w:r>
      <w:r w:rsidRPr="00B553C9">
        <w:rPr>
          <w:rFonts w:ascii="Times New Roman" w:hAnsi="Times New Roman"/>
          <w:sz w:val="24"/>
        </w:rPr>
        <w:t xml:space="preserve"> </w:t>
      </w:r>
      <w:r w:rsidRPr="00B553C9">
        <w:rPr>
          <w:rFonts w:ascii="Times New Roman" w:hAnsi="Times New Roman"/>
          <w:sz w:val="24"/>
        </w:rPr>
        <w:tab/>
      </w:r>
      <w:proofErr w:type="spellStart"/>
      <w:r w:rsidRPr="00B553C9">
        <w:rPr>
          <w:rFonts w:ascii="Times New Roman" w:hAnsi="Times New Roman"/>
          <w:i/>
          <w:iCs/>
          <w:sz w:val="24"/>
        </w:rPr>
        <w:t>Arulthilakan</w:t>
      </w:r>
      <w:proofErr w:type="spellEnd"/>
      <w:r w:rsidRPr="00B553C9">
        <w:rPr>
          <w:rFonts w:ascii="Times New Roman" w:hAnsi="Times New Roman"/>
          <w:i/>
          <w:iCs/>
          <w:sz w:val="24"/>
        </w:rPr>
        <w:t xml:space="preserve"> v The Queen </w:t>
      </w:r>
      <w:r w:rsidRPr="00B553C9">
        <w:rPr>
          <w:rFonts w:ascii="Times New Roman" w:hAnsi="Times New Roman"/>
          <w:sz w:val="24"/>
        </w:rPr>
        <w:t xml:space="preserve">(2003) 78 ALJR 257 at 269 [63] </w:t>
      </w:r>
      <w:proofErr w:type="spellStart"/>
      <w:r w:rsidRPr="00B553C9">
        <w:rPr>
          <w:rFonts w:ascii="Times New Roman" w:hAnsi="Times New Roman"/>
          <w:sz w:val="24"/>
        </w:rPr>
        <w:t>fn</w:t>
      </w:r>
      <w:proofErr w:type="spellEnd"/>
      <w:r w:rsidRPr="00B553C9">
        <w:rPr>
          <w:rFonts w:ascii="Times New Roman" w:hAnsi="Times New Roman"/>
          <w:sz w:val="24"/>
        </w:rPr>
        <w:t xml:space="preserve"> 39; 203 ALR 259 at 275; </w:t>
      </w:r>
      <w:r w:rsidRPr="00B553C9">
        <w:rPr>
          <w:rFonts w:ascii="Times New Roman" w:hAnsi="Times New Roman"/>
          <w:i/>
          <w:iCs/>
          <w:sz w:val="24"/>
        </w:rPr>
        <w:t xml:space="preserve">R v B, FG </w:t>
      </w:r>
      <w:r w:rsidRPr="00B553C9">
        <w:rPr>
          <w:rFonts w:ascii="Times New Roman" w:hAnsi="Times New Roman"/>
          <w:sz w:val="24"/>
        </w:rPr>
        <w:t xml:space="preserve">(2013) 115 SASR 499 at 523 [95]; </w:t>
      </w:r>
      <w:r w:rsidRPr="00B553C9">
        <w:rPr>
          <w:rFonts w:ascii="Times New Roman" w:hAnsi="Times New Roman"/>
          <w:i/>
          <w:iCs/>
          <w:sz w:val="24"/>
        </w:rPr>
        <w:t>R v Willoughby</w:t>
      </w:r>
      <w:r w:rsidRPr="00B553C9">
        <w:rPr>
          <w:rFonts w:ascii="Times New Roman" w:hAnsi="Times New Roman"/>
          <w:sz w:val="24"/>
        </w:rPr>
        <w:t xml:space="preserve"> </w:t>
      </w:r>
      <w:r w:rsidRPr="00B553C9">
        <w:rPr>
          <w:rFonts w:ascii="Times New Roman" w:hAnsi="Times New Roman"/>
          <w:i/>
          <w:sz w:val="24"/>
        </w:rPr>
        <w:t>[</w:t>
      </w:r>
      <w:r w:rsidRPr="00B553C9">
        <w:rPr>
          <w:rFonts w:ascii="Times New Roman" w:hAnsi="Times New Roman"/>
          <w:i/>
          <w:iCs/>
          <w:sz w:val="24"/>
        </w:rPr>
        <w:t>No 2</w:t>
      </w:r>
      <w:r w:rsidRPr="00B553C9">
        <w:rPr>
          <w:rFonts w:ascii="Times New Roman" w:hAnsi="Times New Roman"/>
          <w:i/>
          <w:sz w:val="24"/>
        </w:rPr>
        <w:t>]</w:t>
      </w:r>
      <w:r w:rsidRPr="00B553C9">
        <w:rPr>
          <w:rFonts w:ascii="Times New Roman" w:hAnsi="Times New Roman"/>
          <w:sz w:val="24"/>
        </w:rPr>
        <w:t xml:space="preserve"> [2017] SASC 191 at [5].</w:t>
      </w:r>
    </w:p>
  </w:footnote>
  <w:footnote w:id="91">
    <w:p w14:paraId="4C7E91C4" w14:textId="77777777" w:rsidR="00484F88" w:rsidRPr="00B553C9" w:rsidRDefault="00484F88" w:rsidP="00B553C9">
      <w:pPr>
        <w:pStyle w:val="FootnoteText"/>
        <w:spacing w:line="280" w:lineRule="exact"/>
        <w:ind w:right="0"/>
        <w:jc w:val="both"/>
        <w:rPr>
          <w:rFonts w:ascii="Times New Roman" w:hAnsi="Times New Roman"/>
          <w:sz w:val="24"/>
        </w:rPr>
      </w:pPr>
      <w:r w:rsidRPr="00B553C9">
        <w:rPr>
          <w:rStyle w:val="FootnoteReference"/>
          <w:rFonts w:ascii="Times New Roman" w:hAnsi="Times New Roman"/>
          <w:sz w:val="22"/>
          <w:vertAlign w:val="baseline"/>
        </w:rPr>
        <w:footnoteRef/>
      </w:r>
      <w:r w:rsidRPr="00B553C9">
        <w:rPr>
          <w:rFonts w:ascii="Times New Roman" w:hAnsi="Times New Roman"/>
          <w:sz w:val="24"/>
        </w:rPr>
        <w:t xml:space="preserve"> </w:t>
      </w:r>
      <w:r w:rsidRPr="00B553C9">
        <w:rPr>
          <w:rFonts w:ascii="Times New Roman" w:hAnsi="Times New Roman"/>
          <w:sz w:val="24"/>
        </w:rPr>
        <w:tab/>
        <w:t xml:space="preserve">Putting to one side cases of reckless indifference: Stephen, </w:t>
      </w:r>
      <w:r w:rsidRPr="00B553C9">
        <w:rPr>
          <w:rFonts w:ascii="Times New Roman" w:hAnsi="Times New Roman"/>
          <w:i/>
          <w:sz w:val="24"/>
        </w:rPr>
        <w:t>A</w:t>
      </w:r>
      <w:r w:rsidRPr="00B553C9">
        <w:rPr>
          <w:rFonts w:ascii="Times New Roman" w:hAnsi="Times New Roman"/>
          <w:i/>
          <w:iCs/>
          <w:sz w:val="24"/>
        </w:rPr>
        <w:t xml:space="preserve"> Digest of the Criminal Law</w:t>
      </w:r>
      <w:r w:rsidRPr="00B553C9">
        <w:rPr>
          <w:rFonts w:ascii="Times New Roman" w:hAnsi="Times New Roman"/>
          <w:i/>
          <w:sz w:val="24"/>
        </w:rPr>
        <w:t xml:space="preserve"> (</w:t>
      </w:r>
      <w:r w:rsidRPr="00B553C9">
        <w:rPr>
          <w:rFonts w:ascii="Times New Roman" w:hAnsi="Times New Roman"/>
          <w:i/>
          <w:iCs/>
          <w:sz w:val="24"/>
        </w:rPr>
        <w:t>Crimes and Punishments)</w:t>
      </w:r>
      <w:r w:rsidRPr="00B553C9">
        <w:rPr>
          <w:rFonts w:ascii="Times New Roman" w:hAnsi="Times New Roman"/>
          <w:sz w:val="24"/>
        </w:rPr>
        <w:t xml:space="preserve"> (1877) at 144; Kenny, </w:t>
      </w:r>
      <w:r w:rsidRPr="00B553C9">
        <w:rPr>
          <w:rFonts w:ascii="Times New Roman" w:hAnsi="Times New Roman"/>
          <w:i/>
          <w:iCs/>
          <w:sz w:val="24"/>
        </w:rPr>
        <w:t>Outlines of Criminal Law</w:t>
      </w:r>
      <w:r w:rsidRPr="00B553C9">
        <w:rPr>
          <w:rFonts w:ascii="Times New Roman" w:hAnsi="Times New Roman"/>
          <w:sz w:val="24"/>
        </w:rPr>
        <w:t xml:space="preserve"> (1902) at 135</w:t>
      </w:r>
      <w:r w:rsidRPr="00B553C9">
        <w:rPr>
          <w:rFonts w:ascii="Times New Roman" w:hAnsi="Times New Roman"/>
          <w:sz w:val="24"/>
        </w:rPr>
        <w:noBreakHyphen/>
        <w:t xml:space="preserve">136; </w:t>
      </w:r>
      <w:proofErr w:type="spellStart"/>
      <w:r w:rsidRPr="00B553C9">
        <w:rPr>
          <w:rFonts w:ascii="Times New Roman" w:hAnsi="Times New Roman"/>
          <w:i/>
          <w:iCs/>
          <w:sz w:val="24"/>
        </w:rPr>
        <w:t>Pemble</w:t>
      </w:r>
      <w:proofErr w:type="spellEnd"/>
      <w:r w:rsidRPr="00B553C9">
        <w:rPr>
          <w:rFonts w:ascii="Times New Roman" w:hAnsi="Times New Roman"/>
          <w:i/>
          <w:iCs/>
          <w:sz w:val="24"/>
        </w:rPr>
        <w:t xml:space="preserve"> v The Queen </w:t>
      </w:r>
      <w:r w:rsidRPr="00B553C9">
        <w:rPr>
          <w:rFonts w:ascii="Times New Roman" w:hAnsi="Times New Roman"/>
          <w:sz w:val="24"/>
        </w:rPr>
        <w:t>(1971) 124 CLR 107 at 119;</w:t>
      </w:r>
      <w:r w:rsidRPr="00B553C9">
        <w:rPr>
          <w:rFonts w:ascii="Times New Roman" w:hAnsi="Times New Roman"/>
          <w:i/>
          <w:iCs/>
          <w:sz w:val="24"/>
        </w:rPr>
        <w:t xml:space="preserve"> La Fontaine v The Queen </w:t>
      </w:r>
      <w:r w:rsidRPr="00B553C9">
        <w:rPr>
          <w:rFonts w:ascii="Times New Roman" w:hAnsi="Times New Roman"/>
          <w:sz w:val="24"/>
        </w:rPr>
        <w:t>(1976) 136 CLR 62 at 75</w:t>
      </w:r>
      <w:r w:rsidRPr="00B553C9">
        <w:rPr>
          <w:rFonts w:ascii="Times New Roman" w:hAnsi="Times New Roman"/>
          <w:sz w:val="24"/>
        </w:rPr>
        <w:noBreakHyphen/>
        <w:t>76;</w:t>
      </w:r>
      <w:r w:rsidRPr="00B553C9">
        <w:rPr>
          <w:rFonts w:ascii="Times New Roman" w:hAnsi="Times New Roman"/>
          <w:i/>
          <w:iCs/>
          <w:sz w:val="24"/>
        </w:rPr>
        <w:t xml:space="preserve"> R v Crabbe </w:t>
      </w:r>
      <w:r w:rsidRPr="00B553C9">
        <w:rPr>
          <w:rFonts w:ascii="Times New Roman" w:hAnsi="Times New Roman"/>
          <w:sz w:val="24"/>
        </w:rPr>
        <w:t>(1985) 156 CLR 464 at 467</w:t>
      </w:r>
      <w:r w:rsidRPr="00B553C9">
        <w:rPr>
          <w:rFonts w:ascii="Times New Roman" w:hAnsi="Times New Roman"/>
          <w:sz w:val="24"/>
        </w:rPr>
        <w:noBreakHyphen/>
        <w:t xml:space="preserve">470; </w:t>
      </w:r>
      <w:r w:rsidRPr="00B553C9">
        <w:rPr>
          <w:rFonts w:ascii="Times New Roman" w:hAnsi="Times New Roman"/>
          <w:i/>
          <w:iCs/>
          <w:sz w:val="24"/>
        </w:rPr>
        <w:t>Royall v The Queen</w:t>
      </w:r>
      <w:r w:rsidRPr="00B553C9">
        <w:rPr>
          <w:rFonts w:ascii="Times New Roman" w:hAnsi="Times New Roman"/>
          <w:sz w:val="24"/>
        </w:rPr>
        <w:t xml:space="preserve"> (1991) 172 CLR 378 at 416.</w:t>
      </w:r>
    </w:p>
  </w:footnote>
  <w:footnote w:id="92">
    <w:p w14:paraId="2EAADDA7" w14:textId="77777777" w:rsidR="00484F88" w:rsidRPr="00B553C9" w:rsidRDefault="00484F88" w:rsidP="00B553C9">
      <w:pPr>
        <w:pStyle w:val="FootnoteText"/>
        <w:spacing w:line="280" w:lineRule="exact"/>
        <w:ind w:right="0"/>
        <w:jc w:val="both"/>
        <w:rPr>
          <w:rFonts w:ascii="Times New Roman" w:hAnsi="Times New Roman"/>
          <w:sz w:val="24"/>
        </w:rPr>
      </w:pPr>
      <w:r w:rsidRPr="00B553C9">
        <w:rPr>
          <w:rStyle w:val="FootnoteReference"/>
          <w:rFonts w:ascii="Times New Roman" w:hAnsi="Times New Roman"/>
          <w:sz w:val="22"/>
          <w:vertAlign w:val="baseline"/>
        </w:rPr>
        <w:footnoteRef/>
      </w:r>
      <w:r w:rsidRPr="00B553C9">
        <w:rPr>
          <w:rFonts w:ascii="Times New Roman" w:hAnsi="Times New Roman"/>
          <w:sz w:val="24"/>
        </w:rPr>
        <w:t xml:space="preserve"> </w:t>
      </w:r>
      <w:r w:rsidRPr="00B553C9">
        <w:rPr>
          <w:rFonts w:ascii="Times New Roman" w:hAnsi="Times New Roman"/>
          <w:sz w:val="24"/>
        </w:rPr>
        <w:tab/>
      </w:r>
      <w:r w:rsidRPr="00B553C9">
        <w:rPr>
          <w:rFonts w:ascii="Times New Roman" w:hAnsi="Times New Roman"/>
          <w:i/>
          <w:iCs/>
          <w:sz w:val="24"/>
        </w:rPr>
        <w:t xml:space="preserve">McAuliffe v The Queen </w:t>
      </w:r>
      <w:r w:rsidRPr="00B553C9">
        <w:rPr>
          <w:rFonts w:ascii="Times New Roman" w:hAnsi="Times New Roman"/>
          <w:sz w:val="24"/>
        </w:rPr>
        <w:t xml:space="preserve">(1995) 183 CLR 108, adapting </w:t>
      </w:r>
      <w:r w:rsidRPr="00B553C9">
        <w:rPr>
          <w:rFonts w:ascii="Times New Roman" w:hAnsi="Times New Roman"/>
          <w:i/>
          <w:iCs/>
          <w:sz w:val="24"/>
        </w:rPr>
        <w:t>Chan Wing</w:t>
      </w:r>
      <w:r w:rsidRPr="00B553C9">
        <w:rPr>
          <w:rFonts w:ascii="Times New Roman" w:hAnsi="Times New Roman"/>
          <w:i/>
          <w:iCs/>
          <w:sz w:val="24"/>
        </w:rPr>
        <w:noBreakHyphen/>
        <w:t xml:space="preserve">Siu v The Queen </w:t>
      </w:r>
      <w:r w:rsidRPr="00B553C9">
        <w:rPr>
          <w:rFonts w:ascii="Times New Roman" w:hAnsi="Times New Roman"/>
          <w:sz w:val="24"/>
        </w:rPr>
        <w:t>[1985] AC 168.</w:t>
      </w:r>
    </w:p>
  </w:footnote>
  <w:footnote w:id="93">
    <w:p w14:paraId="6C061426" w14:textId="77777777" w:rsidR="00484F88" w:rsidRPr="00B553C9" w:rsidRDefault="00484F88" w:rsidP="00B553C9">
      <w:pPr>
        <w:pStyle w:val="FootnoteText"/>
        <w:spacing w:line="280" w:lineRule="exact"/>
        <w:ind w:right="0"/>
        <w:jc w:val="both"/>
        <w:rPr>
          <w:rFonts w:ascii="Times New Roman" w:hAnsi="Times New Roman"/>
          <w:sz w:val="24"/>
        </w:rPr>
      </w:pPr>
      <w:r w:rsidRPr="00B553C9">
        <w:rPr>
          <w:rStyle w:val="FootnoteReference"/>
          <w:rFonts w:ascii="Times New Roman" w:hAnsi="Times New Roman"/>
          <w:sz w:val="22"/>
          <w:vertAlign w:val="baseline"/>
        </w:rPr>
        <w:footnoteRef/>
      </w:r>
      <w:r w:rsidRPr="00B553C9">
        <w:rPr>
          <w:rFonts w:ascii="Times New Roman" w:hAnsi="Times New Roman"/>
          <w:sz w:val="24"/>
        </w:rPr>
        <w:t xml:space="preserve"> </w:t>
      </w:r>
      <w:r w:rsidRPr="00B553C9">
        <w:rPr>
          <w:rFonts w:ascii="Times New Roman" w:hAnsi="Times New Roman"/>
          <w:sz w:val="24"/>
        </w:rPr>
        <w:tab/>
        <w:t xml:space="preserve">South Australia, Legislative Council, </w:t>
      </w:r>
      <w:r w:rsidRPr="00B553C9">
        <w:rPr>
          <w:rFonts w:ascii="Times New Roman" w:hAnsi="Times New Roman"/>
          <w:i/>
          <w:iCs/>
          <w:sz w:val="24"/>
        </w:rPr>
        <w:t xml:space="preserve">Parliamentary Debates </w:t>
      </w:r>
      <w:r w:rsidRPr="00B553C9">
        <w:rPr>
          <w:rFonts w:ascii="Times New Roman" w:hAnsi="Times New Roman"/>
          <w:sz w:val="24"/>
        </w:rPr>
        <w:t>(Hansard), 4 August 1994 at 49.</w:t>
      </w:r>
    </w:p>
  </w:footnote>
  <w:footnote w:id="94">
    <w:p w14:paraId="403FF6C2" w14:textId="77777777" w:rsidR="00484F88" w:rsidRPr="00B553C9" w:rsidRDefault="00484F88" w:rsidP="00B553C9">
      <w:pPr>
        <w:pStyle w:val="FootnoteText"/>
        <w:spacing w:line="280" w:lineRule="exact"/>
        <w:ind w:right="0"/>
        <w:jc w:val="both"/>
        <w:rPr>
          <w:rFonts w:ascii="Times New Roman" w:hAnsi="Times New Roman"/>
          <w:sz w:val="24"/>
        </w:rPr>
      </w:pPr>
      <w:r w:rsidRPr="00B553C9">
        <w:rPr>
          <w:rStyle w:val="FootnoteReference"/>
          <w:rFonts w:ascii="Times New Roman" w:hAnsi="Times New Roman"/>
          <w:sz w:val="22"/>
          <w:vertAlign w:val="baseline"/>
        </w:rPr>
        <w:footnoteRef/>
      </w:r>
      <w:r w:rsidRPr="00B553C9">
        <w:rPr>
          <w:rFonts w:ascii="Times New Roman" w:hAnsi="Times New Roman"/>
          <w:sz w:val="24"/>
        </w:rPr>
        <w:t xml:space="preserve"> </w:t>
      </w:r>
      <w:r w:rsidRPr="00B553C9">
        <w:rPr>
          <w:rFonts w:ascii="Times New Roman" w:hAnsi="Times New Roman"/>
          <w:sz w:val="24"/>
        </w:rPr>
        <w:tab/>
      </w:r>
      <w:proofErr w:type="spellStart"/>
      <w:r w:rsidRPr="00B553C9">
        <w:rPr>
          <w:rFonts w:ascii="Times New Roman" w:hAnsi="Times New Roman"/>
          <w:i/>
          <w:iCs/>
          <w:sz w:val="24"/>
        </w:rPr>
        <w:t>Arulthilakan</w:t>
      </w:r>
      <w:proofErr w:type="spellEnd"/>
      <w:r w:rsidRPr="00B553C9">
        <w:rPr>
          <w:rFonts w:ascii="Times New Roman" w:hAnsi="Times New Roman"/>
          <w:i/>
          <w:iCs/>
          <w:sz w:val="24"/>
        </w:rPr>
        <w:t xml:space="preserve"> v The Queen</w:t>
      </w:r>
      <w:r w:rsidRPr="00B553C9">
        <w:rPr>
          <w:rFonts w:ascii="Times New Roman" w:hAnsi="Times New Roman"/>
          <w:sz w:val="24"/>
        </w:rPr>
        <w:t xml:space="preserve"> (2003) 78 ALJR 257 at 263 [</w:t>
      </w:r>
      <w:proofErr w:type="gramStart"/>
      <w:r w:rsidRPr="00B553C9">
        <w:rPr>
          <w:rFonts w:ascii="Times New Roman" w:hAnsi="Times New Roman"/>
          <w:sz w:val="24"/>
        </w:rPr>
        <w:t>27]</w:t>
      </w:r>
      <w:r w:rsidRPr="00B553C9">
        <w:rPr>
          <w:rFonts w:ascii="Times New Roman" w:hAnsi="Times New Roman"/>
          <w:sz w:val="24"/>
        </w:rPr>
        <w:noBreakHyphen/>
      </w:r>
      <w:proofErr w:type="gramEnd"/>
      <w:r w:rsidRPr="00B553C9">
        <w:rPr>
          <w:rFonts w:ascii="Times New Roman" w:hAnsi="Times New Roman"/>
          <w:sz w:val="24"/>
        </w:rPr>
        <w:t xml:space="preserve">[28]; 203 ALR 259 at 266; </w:t>
      </w:r>
      <w:r w:rsidRPr="00B553C9">
        <w:rPr>
          <w:rFonts w:ascii="Times New Roman" w:hAnsi="Times New Roman"/>
          <w:i/>
          <w:iCs/>
          <w:sz w:val="24"/>
        </w:rPr>
        <w:t>IL</w:t>
      </w:r>
      <w:r w:rsidRPr="00B553C9">
        <w:rPr>
          <w:rFonts w:ascii="Times New Roman" w:hAnsi="Times New Roman"/>
          <w:sz w:val="24"/>
        </w:rPr>
        <w:t xml:space="preserve"> </w:t>
      </w:r>
      <w:r w:rsidRPr="00B553C9">
        <w:rPr>
          <w:rFonts w:ascii="Times New Roman" w:hAnsi="Times New Roman"/>
          <w:i/>
          <w:iCs/>
          <w:sz w:val="24"/>
        </w:rPr>
        <w:t xml:space="preserve">v The Queen </w:t>
      </w:r>
      <w:r w:rsidRPr="00B553C9">
        <w:rPr>
          <w:rFonts w:ascii="Times New Roman" w:hAnsi="Times New Roman"/>
          <w:sz w:val="24"/>
        </w:rPr>
        <w:t>(2017) 262 CLR 268 at 326 [155].</w:t>
      </w:r>
    </w:p>
  </w:footnote>
  <w:footnote w:id="95">
    <w:p w14:paraId="70EA3B2D" w14:textId="77777777" w:rsidR="00484F88" w:rsidRPr="00B553C9" w:rsidRDefault="00484F88" w:rsidP="00B553C9">
      <w:pPr>
        <w:pStyle w:val="FootnoteText"/>
        <w:spacing w:line="280" w:lineRule="exact"/>
        <w:ind w:right="0"/>
        <w:jc w:val="both"/>
        <w:rPr>
          <w:rFonts w:ascii="Times New Roman" w:hAnsi="Times New Roman"/>
          <w:sz w:val="24"/>
        </w:rPr>
      </w:pPr>
      <w:r w:rsidRPr="00B553C9">
        <w:rPr>
          <w:rStyle w:val="FootnoteReference"/>
          <w:rFonts w:ascii="Times New Roman" w:hAnsi="Times New Roman"/>
          <w:sz w:val="22"/>
          <w:vertAlign w:val="baseline"/>
        </w:rPr>
        <w:footnoteRef/>
      </w:r>
      <w:r w:rsidRPr="00B553C9">
        <w:rPr>
          <w:rFonts w:ascii="Times New Roman" w:hAnsi="Times New Roman"/>
          <w:sz w:val="24"/>
        </w:rPr>
        <w:t xml:space="preserve"> </w:t>
      </w:r>
      <w:r w:rsidRPr="00B553C9">
        <w:rPr>
          <w:rFonts w:ascii="Times New Roman" w:hAnsi="Times New Roman"/>
          <w:sz w:val="24"/>
        </w:rPr>
        <w:tab/>
      </w:r>
      <w:proofErr w:type="spellStart"/>
      <w:r w:rsidRPr="00B553C9">
        <w:rPr>
          <w:rFonts w:ascii="Times New Roman" w:hAnsi="Times New Roman"/>
          <w:i/>
          <w:iCs/>
          <w:sz w:val="24"/>
        </w:rPr>
        <w:t>Arulthilakan</w:t>
      </w:r>
      <w:proofErr w:type="spellEnd"/>
      <w:r w:rsidRPr="00B553C9">
        <w:rPr>
          <w:rFonts w:ascii="Times New Roman" w:hAnsi="Times New Roman"/>
          <w:i/>
          <w:iCs/>
          <w:sz w:val="24"/>
        </w:rPr>
        <w:t xml:space="preserve"> v The Queen </w:t>
      </w:r>
      <w:r w:rsidRPr="00B553C9">
        <w:rPr>
          <w:rFonts w:ascii="Times New Roman" w:hAnsi="Times New Roman"/>
          <w:sz w:val="24"/>
        </w:rPr>
        <w:t>(2003) 78 ALJR 257 at 260</w:t>
      </w:r>
      <w:r w:rsidRPr="00B553C9">
        <w:rPr>
          <w:rFonts w:ascii="Times New Roman" w:hAnsi="Times New Roman"/>
          <w:sz w:val="24"/>
        </w:rPr>
        <w:noBreakHyphen/>
        <w:t xml:space="preserve">261 [16]; 203 ALR 259 at 263; </w:t>
      </w:r>
      <w:r w:rsidRPr="00B553C9">
        <w:rPr>
          <w:rFonts w:ascii="Times New Roman" w:hAnsi="Times New Roman"/>
          <w:i/>
          <w:sz w:val="24"/>
        </w:rPr>
        <w:t xml:space="preserve">IL v The Queen </w:t>
      </w:r>
      <w:r w:rsidRPr="00B553C9">
        <w:rPr>
          <w:rFonts w:ascii="Times New Roman" w:hAnsi="Times New Roman"/>
          <w:sz w:val="24"/>
        </w:rPr>
        <w:t>(2017) 262 CLR 268</w:t>
      </w:r>
      <w:r w:rsidRPr="00B553C9">
        <w:rPr>
          <w:rFonts w:ascii="Times New Roman" w:hAnsi="Times New Roman"/>
          <w:i/>
          <w:sz w:val="24"/>
        </w:rPr>
        <w:t xml:space="preserve"> </w:t>
      </w:r>
      <w:r w:rsidRPr="00B553C9">
        <w:rPr>
          <w:rFonts w:ascii="Times New Roman" w:hAnsi="Times New Roman"/>
          <w:sz w:val="24"/>
        </w:rPr>
        <w:t>at 294 [60], 324 [</w:t>
      </w:r>
      <w:proofErr w:type="gramStart"/>
      <w:r w:rsidRPr="00B553C9">
        <w:rPr>
          <w:rFonts w:ascii="Times New Roman" w:hAnsi="Times New Roman"/>
          <w:sz w:val="24"/>
        </w:rPr>
        <w:t>148]</w:t>
      </w:r>
      <w:r w:rsidRPr="00B553C9">
        <w:rPr>
          <w:rFonts w:ascii="Times New Roman" w:hAnsi="Times New Roman"/>
          <w:sz w:val="24"/>
        </w:rPr>
        <w:noBreakHyphen/>
      </w:r>
      <w:proofErr w:type="gramEnd"/>
      <w:r w:rsidRPr="00B553C9">
        <w:rPr>
          <w:rFonts w:ascii="Times New Roman" w:hAnsi="Times New Roman"/>
          <w:sz w:val="24"/>
        </w:rPr>
        <w:t>[149], 328 [160].</w:t>
      </w:r>
    </w:p>
  </w:footnote>
  <w:footnote w:id="96">
    <w:p w14:paraId="64ED3138" w14:textId="77777777" w:rsidR="00484F88" w:rsidRPr="00B553C9" w:rsidRDefault="00484F88" w:rsidP="00B553C9">
      <w:pPr>
        <w:pStyle w:val="FootnoteText"/>
        <w:spacing w:line="280" w:lineRule="exact"/>
        <w:ind w:right="0"/>
        <w:jc w:val="both"/>
        <w:rPr>
          <w:rFonts w:ascii="Times New Roman" w:hAnsi="Times New Roman"/>
          <w:sz w:val="24"/>
        </w:rPr>
      </w:pPr>
      <w:r w:rsidRPr="00B553C9">
        <w:rPr>
          <w:rStyle w:val="FootnoteReference"/>
          <w:rFonts w:ascii="Times New Roman" w:hAnsi="Times New Roman"/>
          <w:sz w:val="22"/>
          <w:vertAlign w:val="baseline"/>
        </w:rPr>
        <w:footnoteRef/>
      </w:r>
      <w:r w:rsidRPr="00B553C9">
        <w:rPr>
          <w:rFonts w:ascii="Times New Roman" w:hAnsi="Times New Roman"/>
          <w:sz w:val="24"/>
        </w:rPr>
        <w:t xml:space="preserve"> </w:t>
      </w:r>
      <w:r w:rsidRPr="00B553C9">
        <w:rPr>
          <w:rFonts w:ascii="Times New Roman" w:hAnsi="Times New Roman"/>
          <w:sz w:val="24"/>
        </w:rPr>
        <w:tab/>
        <w:t>CLC Act, s 137.</w:t>
      </w:r>
    </w:p>
  </w:footnote>
  <w:footnote w:id="97">
    <w:p w14:paraId="7A86258E" w14:textId="77777777" w:rsidR="00484F88" w:rsidRPr="00B553C9" w:rsidRDefault="00484F88" w:rsidP="00B553C9">
      <w:pPr>
        <w:pStyle w:val="FootnoteText"/>
        <w:spacing w:line="280" w:lineRule="exact"/>
        <w:ind w:right="0"/>
        <w:jc w:val="both"/>
        <w:rPr>
          <w:rFonts w:ascii="Times New Roman" w:hAnsi="Times New Roman"/>
          <w:sz w:val="24"/>
        </w:rPr>
      </w:pPr>
      <w:r w:rsidRPr="00B553C9">
        <w:rPr>
          <w:rStyle w:val="FootnoteReference"/>
          <w:rFonts w:ascii="Times New Roman" w:hAnsi="Times New Roman"/>
          <w:sz w:val="22"/>
          <w:vertAlign w:val="baseline"/>
        </w:rPr>
        <w:footnoteRef/>
      </w:r>
      <w:r w:rsidRPr="00B553C9">
        <w:rPr>
          <w:rFonts w:ascii="Times New Roman" w:hAnsi="Times New Roman"/>
          <w:sz w:val="24"/>
        </w:rPr>
        <w:t xml:space="preserve"> </w:t>
      </w:r>
      <w:r w:rsidRPr="00B553C9">
        <w:rPr>
          <w:rFonts w:ascii="Times New Roman" w:hAnsi="Times New Roman"/>
          <w:sz w:val="24"/>
        </w:rPr>
        <w:tab/>
        <w:t>CLC Act, s 170.</w:t>
      </w:r>
    </w:p>
  </w:footnote>
  <w:footnote w:id="98">
    <w:p w14:paraId="075BAE3A" w14:textId="77777777" w:rsidR="00484F88" w:rsidRPr="00B553C9" w:rsidRDefault="00484F88" w:rsidP="00B553C9">
      <w:pPr>
        <w:pStyle w:val="FootnoteText"/>
        <w:spacing w:line="280" w:lineRule="exact"/>
        <w:ind w:right="0"/>
        <w:jc w:val="both"/>
        <w:rPr>
          <w:rFonts w:ascii="Times New Roman" w:hAnsi="Times New Roman"/>
          <w:sz w:val="24"/>
        </w:rPr>
      </w:pPr>
      <w:r w:rsidRPr="00B553C9">
        <w:rPr>
          <w:rStyle w:val="FootnoteReference"/>
          <w:rFonts w:ascii="Times New Roman" w:hAnsi="Times New Roman"/>
          <w:sz w:val="22"/>
          <w:vertAlign w:val="baseline"/>
        </w:rPr>
        <w:footnoteRef/>
      </w:r>
      <w:r w:rsidRPr="00B553C9">
        <w:rPr>
          <w:rFonts w:ascii="Times New Roman" w:hAnsi="Times New Roman"/>
          <w:sz w:val="24"/>
        </w:rPr>
        <w:t xml:space="preserve"> </w:t>
      </w:r>
      <w:r w:rsidRPr="00B553C9">
        <w:rPr>
          <w:rFonts w:ascii="Times New Roman" w:hAnsi="Times New Roman"/>
          <w:sz w:val="24"/>
        </w:rPr>
        <w:tab/>
      </w:r>
      <w:r w:rsidRPr="00B553C9">
        <w:rPr>
          <w:rFonts w:ascii="Times New Roman" w:hAnsi="Times New Roman"/>
          <w:i/>
          <w:sz w:val="24"/>
        </w:rPr>
        <w:t>Rigney v The Queen</w:t>
      </w:r>
      <w:r w:rsidRPr="00B553C9">
        <w:rPr>
          <w:rFonts w:ascii="Times New Roman" w:hAnsi="Times New Roman"/>
          <w:sz w:val="24"/>
        </w:rPr>
        <w:t xml:space="preserve"> (2021) 139 SASR 305 at 337 [</w:t>
      </w:r>
      <w:proofErr w:type="gramStart"/>
      <w:r w:rsidRPr="00B553C9">
        <w:rPr>
          <w:rFonts w:ascii="Times New Roman" w:hAnsi="Times New Roman"/>
          <w:sz w:val="24"/>
        </w:rPr>
        <w:t>95]</w:t>
      </w:r>
      <w:r w:rsidRPr="00B553C9">
        <w:rPr>
          <w:rFonts w:ascii="Times New Roman" w:hAnsi="Times New Roman"/>
          <w:sz w:val="24"/>
        </w:rPr>
        <w:noBreakHyphen/>
      </w:r>
      <w:proofErr w:type="gramEnd"/>
      <w:r w:rsidRPr="00B553C9">
        <w:rPr>
          <w:rFonts w:ascii="Times New Roman" w:hAnsi="Times New Roman"/>
          <w:sz w:val="24"/>
        </w:rPr>
        <w:t>[97], 339 [103].</w:t>
      </w:r>
    </w:p>
  </w:footnote>
  <w:footnote w:id="99">
    <w:p w14:paraId="6337A170" w14:textId="77777777" w:rsidR="00484F88" w:rsidRPr="00B553C9" w:rsidRDefault="00484F88" w:rsidP="00B553C9">
      <w:pPr>
        <w:pStyle w:val="FootnoteText"/>
        <w:spacing w:line="280" w:lineRule="exact"/>
        <w:ind w:right="0"/>
        <w:jc w:val="both"/>
        <w:rPr>
          <w:rFonts w:ascii="Times New Roman" w:hAnsi="Times New Roman"/>
          <w:sz w:val="24"/>
        </w:rPr>
      </w:pPr>
      <w:r w:rsidRPr="00B553C9">
        <w:rPr>
          <w:rStyle w:val="FootnoteReference"/>
          <w:rFonts w:ascii="Times New Roman" w:hAnsi="Times New Roman"/>
          <w:sz w:val="22"/>
          <w:vertAlign w:val="baseline"/>
        </w:rPr>
        <w:footnoteRef/>
      </w:r>
      <w:r w:rsidRPr="00B553C9">
        <w:rPr>
          <w:rFonts w:ascii="Times New Roman" w:hAnsi="Times New Roman"/>
          <w:sz w:val="24"/>
        </w:rPr>
        <w:t xml:space="preserve"> </w:t>
      </w:r>
      <w:r w:rsidRPr="00B553C9">
        <w:rPr>
          <w:rFonts w:ascii="Times New Roman" w:hAnsi="Times New Roman"/>
          <w:sz w:val="24"/>
        </w:rPr>
        <w:tab/>
        <w:t>(2021) 139 SASR 305 at 311 [6].</w:t>
      </w:r>
    </w:p>
  </w:footnote>
  <w:footnote w:id="100">
    <w:p w14:paraId="683932A2" w14:textId="77777777" w:rsidR="00484F88" w:rsidRPr="00B553C9" w:rsidRDefault="00484F88" w:rsidP="00B553C9">
      <w:pPr>
        <w:pStyle w:val="FootnoteText"/>
        <w:spacing w:line="280" w:lineRule="exact"/>
        <w:ind w:right="0"/>
        <w:jc w:val="both"/>
        <w:rPr>
          <w:rFonts w:ascii="Times New Roman" w:hAnsi="Times New Roman"/>
          <w:sz w:val="24"/>
        </w:rPr>
      </w:pPr>
      <w:r w:rsidRPr="00B553C9">
        <w:rPr>
          <w:rStyle w:val="FootnoteReference"/>
          <w:rFonts w:ascii="Times New Roman" w:hAnsi="Times New Roman"/>
          <w:sz w:val="22"/>
          <w:vertAlign w:val="baseline"/>
        </w:rPr>
        <w:footnoteRef/>
      </w:r>
      <w:r w:rsidRPr="00B553C9">
        <w:rPr>
          <w:rFonts w:ascii="Times New Roman" w:hAnsi="Times New Roman"/>
          <w:sz w:val="24"/>
        </w:rPr>
        <w:t xml:space="preserve"> </w:t>
      </w:r>
      <w:r w:rsidRPr="00B553C9">
        <w:rPr>
          <w:rFonts w:ascii="Times New Roman" w:hAnsi="Times New Roman"/>
          <w:sz w:val="24"/>
        </w:rPr>
        <w:tab/>
        <w:t>(2021) 139 SASR 305 at 358 [172].</w:t>
      </w:r>
    </w:p>
  </w:footnote>
  <w:footnote w:id="101">
    <w:p w14:paraId="75584EBC" w14:textId="77777777" w:rsidR="00484F88" w:rsidRPr="00B553C9" w:rsidRDefault="00484F88" w:rsidP="00B553C9">
      <w:pPr>
        <w:pStyle w:val="FootnoteText"/>
        <w:spacing w:line="280" w:lineRule="exact"/>
        <w:ind w:right="0"/>
        <w:jc w:val="both"/>
        <w:rPr>
          <w:rFonts w:ascii="Times New Roman" w:hAnsi="Times New Roman"/>
          <w:sz w:val="24"/>
        </w:rPr>
      </w:pPr>
      <w:r w:rsidRPr="00B553C9">
        <w:rPr>
          <w:rStyle w:val="FootnoteReference"/>
          <w:rFonts w:ascii="Times New Roman" w:hAnsi="Times New Roman"/>
          <w:sz w:val="22"/>
          <w:vertAlign w:val="baseline"/>
        </w:rPr>
        <w:footnoteRef/>
      </w:r>
      <w:r w:rsidRPr="00B553C9">
        <w:rPr>
          <w:rFonts w:ascii="Times New Roman" w:hAnsi="Times New Roman"/>
          <w:sz w:val="24"/>
        </w:rPr>
        <w:t xml:space="preserve"> </w:t>
      </w:r>
      <w:r w:rsidRPr="00B553C9">
        <w:rPr>
          <w:rFonts w:ascii="Times New Roman" w:hAnsi="Times New Roman"/>
          <w:sz w:val="24"/>
        </w:rPr>
        <w:tab/>
        <w:t>Above at [</w:t>
      </w:r>
      <w:r>
        <w:rPr>
          <w:rFonts w:ascii="Times New Roman" w:hAnsi="Times New Roman"/>
          <w:sz w:val="24"/>
        </w:rPr>
        <w:t>68</w:t>
      </w:r>
      <w:r w:rsidRPr="00B553C9">
        <w:rPr>
          <w:rFonts w:ascii="Times New Roman" w:hAnsi="Times New Roman"/>
          <w:sz w:val="24"/>
        </w:rPr>
        <w:t>]-[</w:t>
      </w:r>
      <w:r>
        <w:rPr>
          <w:rFonts w:ascii="Times New Roman" w:hAnsi="Times New Roman"/>
          <w:sz w:val="24"/>
        </w:rPr>
        <w:t>71</w:t>
      </w:r>
      <w:r w:rsidRPr="00B553C9">
        <w:rPr>
          <w:rFonts w:ascii="Times New Roman" w:hAnsi="Times New Roman"/>
          <w:sz w:val="24"/>
        </w:rPr>
        <w:t>].</w:t>
      </w:r>
    </w:p>
  </w:footnote>
  <w:footnote w:id="102">
    <w:p w14:paraId="57D172FD" w14:textId="77777777" w:rsidR="00484F88" w:rsidRPr="00B553C9" w:rsidRDefault="00484F88" w:rsidP="00B553C9">
      <w:pPr>
        <w:pStyle w:val="FootnoteText"/>
        <w:spacing w:line="280" w:lineRule="exact"/>
        <w:ind w:right="0"/>
        <w:jc w:val="both"/>
        <w:rPr>
          <w:rFonts w:ascii="Times New Roman" w:hAnsi="Times New Roman"/>
          <w:sz w:val="24"/>
        </w:rPr>
      </w:pPr>
      <w:r w:rsidRPr="00B553C9">
        <w:rPr>
          <w:rStyle w:val="FootnoteReference"/>
          <w:rFonts w:ascii="Times New Roman" w:hAnsi="Times New Roman"/>
          <w:sz w:val="22"/>
          <w:vertAlign w:val="baseline"/>
        </w:rPr>
        <w:footnoteRef/>
      </w:r>
      <w:r w:rsidRPr="00B553C9">
        <w:rPr>
          <w:rFonts w:ascii="Times New Roman" w:hAnsi="Times New Roman"/>
          <w:sz w:val="24"/>
        </w:rPr>
        <w:t xml:space="preserve"> </w:t>
      </w:r>
      <w:r w:rsidRPr="00B553C9">
        <w:rPr>
          <w:rFonts w:ascii="Times New Roman" w:hAnsi="Times New Roman"/>
          <w:sz w:val="24"/>
        </w:rPr>
        <w:tab/>
      </w:r>
      <w:r w:rsidRPr="00B553C9">
        <w:rPr>
          <w:rFonts w:ascii="Times New Roman" w:hAnsi="Times New Roman"/>
          <w:i/>
          <w:iCs/>
          <w:sz w:val="24"/>
        </w:rPr>
        <w:t xml:space="preserve">McAuliffe v The Queen </w:t>
      </w:r>
      <w:r w:rsidRPr="00B553C9">
        <w:rPr>
          <w:rFonts w:ascii="Times New Roman" w:hAnsi="Times New Roman"/>
          <w:sz w:val="24"/>
        </w:rPr>
        <w:t>(1995) 183 CLR 108, decided on 28 June 1995.</w:t>
      </w:r>
    </w:p>
  </w:footnote>
  <w:footnote w:id="103">
    <w:p w14:paraId="193534F2" w14:textId="77777777" w:rsidR="00484F88" w:rsidRPr="00B553C9" w:rsidRDefault="00484F88" w:rsidP="00B553C9">
      <w:pPr>
        <w:pStyle w:val="FootnoteText"/>
        <w:spacing w:line="280" w:lineRule="exact"/>
        <w:ind w:right="0"/>
        <w:jc w:val="both"/>
        <w:rPr>
          <w:rFonts w:ascii="Times New Roman" w:hAnsi="Times New Roman"/>
          <w:sz w:val="24"/>
        </w:rPr>
      </w:pPr>
      <w:r w:rsidRPr="00B553C9">
        <w:rPr>
          <w:rStyle w:val="FootnoteReference"/>
          <w:rFonts w:ascii="Times New Roman" w:hAnsi="Times New Roman"/>
          <w:sz w:val="22"/>
          <w:vertAlign w:val="baseline"/>
        </w:rPr>
        <w:footnoteRef/>
      </w:r>
      <w:r w:rsidRPr="00B553C9">
        <w:rPr>
          <w:rFonts w:ascii="Times New Roman" w:hAnsi="Times New Roman"/>
          <w:sz w:val="24"/>
        </w:rPr>
        <w:t xml:space="preserve"> </w:t>
      </w:r>
      <w:r w:rsidRPr="00B553C9">
        <w:rPr>
          <w:rFonts w:ascii="Times New Roman" w:hAnsi="Times New Roman"/>
          <w:sz w:val="24"/>
        </w:rPr>
        <w:tab/>
        <w:t xml:space="preserve">Stephen, </w:t>
      </w:r>
      <w:r w:rsidRPr="00B553C9">
        <w:rPr>
          <w:rFonts w:ascii="Times New Roman" w:hAnsi="Times New Roman"/>
          <w:i/>
          <w:iCs/>
          <w:sz w:val="24"/>
        </w:rPr>
        <w:t xml:space="preserve">A History of the Criminal Law </w:t>
      </w:r>
      <w:r w:rsidRPr="00B553C9">
        <w:rPr>
          <w:rFonts w:ascii="Times New Roman" w:hAnsi="Times New Roman"/>
          <w:i/>
          <w:sz w:val="24"/>
        </w:rPr>
        <w:t>of England</w:t>
      </w:r>
      <w:r w:rsidRPr="00B553C9">
        <w:rPr>
          <w:rFonts w:ascii="Times New Roman" w:hAnsi="Times New Roman"/>
          <w:i/>
          <w:iCs/>
          <w:sz w:val="24"/>
        </w:rPr>
        <w:t xml:space="preserve"> </w:t>
      </w:r>
      <w:r w:rsidRPr="00B553C9">
        <w:rPr>
          <w:rFonts w:ascii="Times New Roman" w:hAnsi="Times New Roman"/>
          <w:sz w:val="24"/>
        </w:rPr>
        <w:t>(1883), vol 3 at 57, 70</w:t>
      </w:r>
      <w:r w:rsidRPr="00B553C9">
        <w:rPr>
          <w:rFonts w:ascii="Times New Roman" w:hAnsi="Times New Roman"/>
          <w:sz w:val="24"/>
        </w:rPr>
        <w:noBreakHyphen/>
        <w:t xml:space="preserve">71. See also </w:t>
      </w:r>
      <w:r w:rsidRPr="00B553C9">
        <w:rPr>
          <w:rFonts w:ascii="Times New Roman" w:hAnsi="Times New Roman"/>
          <w:i/>
          <w:iCs/>
          <w:sz w:val="24"/>
        </w:rPr>
        <w:t>Russell on Crime</w:t>
      </w:r>
      <w:r w:rsidRPr="00B553C9">
        <w:rPr>
          <w:rFonts w:ascii="Times New Roman" w:hAnsi="Times New Roman"/>
          <w:sz w:val="24"/>
        </w:rPr>
        <w:t>, 12th ed (1964), vol 1 at 481.</w:t>
      </w:r>
    </w:p>
  </w:footnote>
  <w:footnote w:id="104">
    <w:p w14:paraId="293CE402" w14:textId="77777777" w:rsidR="00484F88" w:rsidRPr="00B553C9" w:rsidRDefault="00484F88" w:rsidP="00B553C9">
      <w:pPr>
        <w:pStyle w:val="FootnoteText"/>
        <w:spacing w:line="280" w:lineRule="exact"/>
        <w:ind w:right="0"/>
        <w:jc w:val="both"/>
        <w:rPr>
          <w:rFonts w:ascii="Times New Roman" w:hAnsi="Times New Roman"/>
          <w:sz w:val="24"/>
        </w:rPr>
      </w:pPr>
      <w:r w:rsidRPr="00B553C9">
        <w:rPr>
          <w:rStyle w:val="FootnoteReference"/>
          <w:rFonts w:ascii="Times New Roman" w:hAnsi="Times New Roman"/>
          <w:sz w:val="22"/>
          <w:vertAlign w:val="baseline"/>
        </w:rPr>
        <w:footnoteRef/>
      </w:r>
      <w:r w:rsidRPr="00B553C9">
        <w:rPr>
          <w:rFonts w:ascii="Times New Roman" w:hAnsi="Times New Roman"/>
          <w:sz w:val="24"/>
        </w:rPr>
        <w:t xml:space="preserve"> </w:t>
      </w:r>
      <w:r w:rsidRPr="00B553C9">
        <w:rPr>
          <w:rFonts w:ascii="Times New Roman" w:hAnsi="Times New Roman"/>
          <w:sz w:val="24"/>
        </w:rPr>
        <w:tab/>
      </w:r>
      <w:r w:rsidRPr="00B553C9">
        <w:rPr>
          <w:rFonts w:ascii="Times New Roman" w:hAnsi="Times New Roman"/>
          <w:i/>
          <w:iCs/>
          <w:sz w:val="24"/>
        </w:rPr>
        <w:t xml:space="preserve">IL v The Queen </w:t>
      </w:r>
      <w:r w:rsidRPr="00B553C9">
        <w:rPr>
          <w:rFonts w:ascii="Times New Roman" w:hAnsi="Times New Roman"/>
          <w:sz w:val="24"/>
        </w:rPr>
        <w:t>(2017) 262 CLR 268</w:t>
      </w:r>
      <w:r w:rsidRPr="00B553C9">
        <w:rPr>
          <w:rFonts w:ascii="Times New Roman" w:hAnsi="Times New Roman"/>
          <w:i/>
          <w:iCs/>
          <w:sz w:val="24"/>
        </w:rPr>
        <w:t xml:space="preserve"> </w:t>
      </w:r>
      <w:r w:rsidRPr="00B553C9">
        <w:rPr>
          <w:rFonts w:ascii="Times New Roman" w:hAnsi="Times New Roman"/>
          <w:sz w:val="24"/>
        </w:rPr>
        <w:t>at 323 [143], 326 [155].</w:t>
      </w:r>
    </w:p>
  </w:footnote>
  <w:footnote w:id="105">
    <w:p w14:paraId="2003EE21" w14:textId="77777777" w:rsidR="00484F88" w:rsidRPr="00B553C9" w:rsidRDefault="00484F88" w:rsidP="00B553C9">
      <w:pPr>
        <w:pStyle w:val="FootnoteText"/>
        <w:spacing w:line="280" w:lineRule="exact"/>
        <w:ind w:right="0"/>
        <w:jc w:val="both"/>
        <w:rPr>
          <w:rFonts w:ascii="Times New Roman" w:hAnsi="Times New Roman"/>
          <w:sz w:val="24"/>
        </w:rPr>
      </w:pPr>
      <w:r w:rsidRPr="00B553C9">
        <w:rPr>
          <w:rStyle w:val="FootnoteReference"/>
          <w:rFonts w:ascii="Times New Roman" w:hAnsi="Times New Roman"/>
          <w:sz w:val="22"/>
          <w:vertAlign w:val="baseline"/>
        </w:rPr>
        <w:footnoteRef/>
      </w:r>
      <w:r w:rsidRPr="00B553C9">
        <w:rPr>
          <w:rFonts w:ascii="Times New Roman" w:hAnsi="Times New Roman"/>
          <w:sz w:val="24"/>
        </w:rPr>
        <w:t xml:space="preserve"> </w:t>
      </w:r>
      <w:r w:rsidRPr="00B553C9">
        <w:rPr>
          <w:rFonts w:ascii="Times New Roman" w:hAnsi="Times New Roman"/>
          <w:sz w:val="24"/>
        </w:rPr>
        <w:tab/>
        <w:t xml:space="preserve">Compare </w:t>
      </w:r>
      <w:r w:rsidRPr="00B553C9">
        <w:rPr>
          <w:rFonts w:ascii="Times New Roman" w:hAnsi="Times New Roman"/>
          <w:i/>
          <w:iCs/>
          <w:sz w:val="24"/>
        </w:rPr>
        <w:t xml:space="preserve">Peters v The Queen </w:t>
      </w:r>
      <w:r w:rsidRPr="00B553C9">
        <w:rPr>
          <w:rFonts w:ascii="Times New Roman" w:hAnsi="Times New Roman"/>
          <w:sz w:val="24"/>
        </w:rPr>
        <w:t>(1998) 192 CLR 493 at 515 [53].</w:t>
      </w:r>
    </w:p>
  </w:footnote>
  <w:footnote w:id="106">
    <w:p w14:paraId="51D333D1" w14:textId="77777777" w:rsidR="00484F88" w:rsidRPr="00B553C9" w:rsidRDefault="00484F88" w:rsidP="00B553C9">
      <w:pPr>
        <w:pStyle w:val="FootnoteText"/>
        <w:spacing w:line="280" w:lineRule="exact"/>
        <w:ind w:right="0"/>
        <w:jc w:val="both"/>
        <w:rPr>
          <w:rFonts w:ascii="Times New Roman" w:hAnsi="Times New Roman"/>
          <w:sz w:val="24"/>
        </w:rPr>
      </w:pPr>
      <w:r w:rsidRPr="00B553C9">
        <w:rPr>
          <w:rStyle w:val="FootnoteReference"/>
          <w:rFonts w:ascii="Times New Roman" w:hAnsi="Times New Roman"/>
          <w:sz w:val="22"/>
          <w:vertAlign w:val="baseline"/>
        </w:rPr>
        <w:footnoteRef/>
      </w:r>
      <w:r w:rsidRPr="00B553C9">
        <w:rPr>
          <w:rFonts w:ascii="Times New Roman" w:hAnsi="Times New Roman"/>
          <w:sz w:val="24"/>
        </w:rPr>
        <w:t xml:space="preserve"> </w:t>
      </w:r>
      <w:r w:rsidRPr="00B553C9">
        <w:rPr>
          <w:rFonts w:ascii="Times New Roman" w:hAnsi="Times New Roman"/>
          <w:sz w:val="24"/>
        </w:rPr>
        <w:tab/>
        <w:t>(1995) 63 SASR 417.</w:t>
      </w:r>
    </w:p>
  </w:footnote>
  <w:footnote w:id="107">
    <w:p w14:paraId="2E77ABDF" w14:textId="77777777" w:rsidR="00484F88" w:rsidRPr="00B553C9" w:rsidRDefault="00484F88" w:rsidP="00B553C9">
      <w:pPr>
        <w:pStyle w:val="FootnoteText"/>
        <w:spacing w:line="280" w:lineRule="exact"/>
        <w:ind w:right="0"/>
        <w:jc w:val="both"/>
        <w:rPr>
          <w:rFonts w:ascii="Times New Roman" w:hAnsi="Times New Roman"/>
          <w:sz w:val="24"/>
        </w:rPr>
      </w:pPr>
      <w:r w:rsidRPr="00B553C9">
        <w:rPr>
          <w:rStyle w:val="FootnoteReference"/>
          <w:rFonts w:ascii="Times New Roman" w:hAnsi="Times New Roman"/>
          <w:sz w:val="22"/>
          <w:vertAlign w:val="baseline"/>
        </w:rPr>
        <w:footnoteRef/>
      </w:r>
      <w:r w:rsidRPr="00B553C9">
        <w:rPr>
          <w:rFonts w:ascii="Times New Roman" w:hAnsi="Times New Roman"/>
          <w:sz w:val="24"/>
        </w:rPr>
        <w:t xml:space="preserve"> </w:t>
      </w:r>
      <w:r w:rsidRPr="00B553C9">
        <w:rPr>
          <w:rFonts w:ascii="Times New Roman" w:hAnsi="Times New Roman"/>
          <w:sz w:val="24"/>
        </w:rPr>
        <w:tab/>
        <w:t>(1995) 63 SASR 417 at 419.</w:t>
      </w:r>
    </w:p>
  </w:footnote>
  <w:footnote w:id="108">
    <w:p w14:paraId="400966C6" w14:textId="77777777" w:rsidR="00484F88" w:rsidRPr="00B553C9" w:rsidRDefault="00484F88" w:rsidP="00B553C9">
      <w:pPr>
        <w:pStyle w:val="FootnoteText"/>
        <w:spacing w:line="280" w:lineRule="exact"/>
        <w:ind w:right="0"/>
        <w:jc w:val="both"/>
        <w:rPr>
          <w:rFonts w:ascii="Times New Roman" w:hAnsi="Times New Roman"/>
          <w:sz w:val="24"/>
        </w:rPr>
      </w:pPr>
      <w:r w:rsidRPr="00B553C9">
        <w:rPr>
          <w:rStyle w:val="FootnoteReference"/>
          <w:rFonts w:ascii="Times New Roman" w:hAnsi="Times New Roman"/>
          <w:sz w:val="22"/>
          <w:vertAlign w:val="baseline"/>
        </w:rPr>
        <w:footnoteRef/>
      </w:r>
      <w:r w:rsidRPr="00B553C9">
        <w:rPr>
          <w:rFonts w:ascii="Times New Roman" w:hAnsi="Times New Roman"/>
          <w:sz w:val="24"/>
        </w:rPr>
        <w:t xml:space="preserve"> </w:t>
      </w:r>
      <w:r w:rsidRPr="00B553C9">
        <w:rPr>
          <w:rFonts w:ascii="Times New Roman" w:hAnsi="Times New Roman"/>
          <w:sz w:val="24"/>
        </w:rPr>
        <w:tab/>
        <w:t>(1995) 63 SASR 417 at 421.</w:t>
      </w:r>
    </w:p>
  </w:footnote>
  <w:footnote w:id="109">
    <w:p w14:paraId="43B88ED3" w14:textId="77777777" w:rsidR="00484F88" w:rsidRPr="00B553C9" w:rsidRDefault="00484F88" w:rsidP="00B553C9">
      <w:pPr>
        <w:pStyle w:val="FootnoteText"/>
        <w:spacing w:line="280" w:lineRule="exact"/>
        <w:ind w:right="0"/>
        <w:jc w:val="both"/>
        <w:rPr>
          <w:rFonts w:ascii="Times New Roman" w:hAnsi="Times New Roman"/>
          <w:sz w:val="24"/>
        </w:rPr>
      </w:pPr>
      <w:r w:rsidRPr="00B553C9">
        <w:rPr>
          <w:rStyle w:val="FootnoteReference"/>
          <w:rFonts w:ascii="Times New Roman" w:hAnsi="Times New Roman"/>
          <w:sz w:val="22"/>
          <w:vertAlign w:val="baseline"/>
        </w:rPr>
        <w:footnoteRef/>
      </w:r>
      <w:r w:rsidRPr="00B553C9">
        <w:rPr>
          <w:rFonts w:ascii="Times New Roman" w:hAnsi="Times New Roman"/>
          <w:sz w:val="24"/>
        </w:rPr>
        <w:t xml:space="preserve"> </w:t>
      </w:r>
      <w:r w:rsidRPr="00B553C9">
        <w:rPr>
          <w:rFonts w:ascii="Times New Roman" w:hAnsi="Times New Roman"/>
          <w:sz w:val="24"/>
        </w:rPr>
        <w:tab/>
        <w:t>(1995) 63 SASR 417 at 421.</w:t>
      </w:r>
    </w:p>
  </w:footnote>
  <w:footnote w:id="110">
    <w:p w14:paraId="1A4C06C7" w14:textId="77777777" w:rsidR="00484F88" w:rsidRPr="00B553C9" w:rsidRDefault="00484F88" w:rsidP="00B553C9">
      <w:pPr>
        <w:pStyle w:val="FootnoteText"/>
        <w:spacing w:line="280" w:lineRule="exact"/>
        <w:ind w:right="0"/>
        <w:jc w:val="both"/>
        <w:rPr>
          <w:rFonts w:ascii="Times New Roman" w:hAnsi="Times New Roman"/>
          <w:sz w:val="24"/>
        </w:rPr>
      </w:pPr>
      <w:r w:rsidRPr="00B553C9">
        <w:rPr>
          <w:rStyle w:val="FootnoteReference"/>
          <w:rFonts w:ascii="Times New Roman" w:hAnsi="Times New Roman"/>
          <w:sz w:val="22"/>
          <w:vertAlign w:val="baseline"/>
        </w:rPr>
        <w:footnoteRef/>
      </w:r>
      <w:r w:rsidRPr="00B553C9">
        <w:rPr>
          <w:rFonts w:ascii="Times New Roman" w:hAnsi="Times New Roman"/>
          <w:sz w:val="24"/>
        </w:rPr>
        <w:t xml:space="preserve"> </w:t>
      </w:r>
      <w:r w:rsidRPr="00B553C9">
        <w:rPr>
          <w:rFonts w:ascii="Times New Roman" w:hAnsi="Times New Roman"/>
          <w:sz w:val="24"/>
        </w:rPr>
        <w:tab/>
      </w:r>
      <w:r w:rsidRPr="00B553C9">
        <w:rPr>
          <w:rFonts w:ascii="Times New Roman" w:hAnsi="Times New Roman"/>
          <w:i/>
          <w:iCs/>
          <w:sz w:val="24"/>
        </w:rPr>
        <w:t>Criminal Procedure Act 1921 </w:t>
      </w:r>
      <w:r w:rsidRPr="00B553C9">
        <w:rPr>
          <w:rFonts w:ascii="Times New Roman" w:hAnsi="Times New Roman"/>
          <w:sz w:val="24"/>
        </w:rPr>
        <w:t>(SA), s 158(2).</w:t>
      </w:r>
    </w:p>
  </w:footnote>
  <w:footnote w:id="111">
    <w:p w14:paraId="71ACB6C3" w14:textId="77777777" w:rsidR="00484F88" w:rsidRPr="00B553C9" w:rsidRDefault="00484F88" w:rsidP="00B553C9">
      <w:pPr>
        <w:pStyle w:val="FootnoteText"/>
        <w:spacing w:line="280" w:lineRule="exact"/>
        <w:ind w:right="0"/>
        <w:jc w:val="both"/>
        <w:rPr>
          <w:rFonts w:ascii="Times New Roman" w:hAnsi="Times New Roman"/>
          <w:sz w:val="24"/>
        </w:rPr>
      </w:pPr>
      <w:r w:rsidRPr="00B553C9">
        <w:rPr>
          <w:rStyle w:val="FootnoteReference"/>
          <w:rFonts w:ascii="Times New Roman" w:hAnsi="Times New Roman"/>
          <w:sz w:val="22"/>
          <w:vertAlign w:val="baseline"/>
        </w:rPr>
        <w:footnoteRef/>
      </w:r>
      <w:r w:rsidRPr="00B553C9">
        <w:rPr>
          <w:rFonts w:ascii="Times New Roman" w:hAnsi="Times New Roman"/>
          <w:sz w:val="24"/>
        </w:rPr>
        <w:t xml:space="preserve"> </w:t>
      </w:r>
      <w:r w:rsidRPr="00B553C9">
        <w:rPr>
          <w:rFonts w:ascii="Times New Roman" w:hAnsi="Times New Roman"/>
          <w:sz w:val="24"/>
        </w:rPr>
        <w:tab/>
        <w:t>(2016) 259 CLR 380 at 387 [1]. See also at 416 [100].</w:t>
      </w:r>
    </w:p>
  </w:footnote>
  <w:footnote w:id="112">
    <w:p w14:paraId="09EC5912" w14:textId="77777777" w:rsidR="00484F88" w:rsidRPr="00B553C9" w:rsidRDefault="00484F88" w:rsidP="00B553C9">
      <w:pPr>
        <w:pStyle w:val="FootnoteText"/>
        <w:spacing w:line="280" w:lineRule="exact"/>
        <w:ind w:right="0"/>
        <w:jc w:val="both"/>
        <w:rPr>
          <w:rFonts w:ascii="Times New Roman" w:hAnsi="Times New Roman"/>
          <w:sz w:val="24"/>
        </w:rPr>
      </w:pPr>
      <w:r w:rsidRPr="00B553C9">
        <w:rPr>
          <w:rStyle w:val="FootnoteReference"/>
          <w:rFonts w:ascii="Times New Roman" w:hAnsi="Times New Roman"/>
          <w:sz w:val="22"/>
          <w:vertAlign w:val="baseline"/>
        </w:rPr>
        <w:footnoteRef/>
      </w:r>
      <w:r w:rsidRPr="00B553C9">
        <w:rPr>
          <w:rFonts w:ascii="Times New Roman" w:hAnsi="Times New Roman"/>
          <w:sz w:val="24"/>
        </w:rPr>
        <w:t xml:space="preserve"> </w:t>
      </w:r>
      <w:r w:rsidRPr="00B553C9">
        <w:rPr>
          <w:rFonts w:ascii="Times New Roman" w:hAnsi="Times New Roman"/>
          <w:sz w:val="24"/>
        </w:rPr>
        <w:tab/>
        <w:t xml:space="preserve">See also the reasons of Kiefel </w:t>
      </w:r>
      <w:r w:rsidRPr="00EC21E3">
        <w:rPr>
          <w:rFonts w:ascii="Times New Roman" w:hAnsi="Times New Roman"/>
          <w:sz w:val="24"/>
        </w:rPr>
        <w:t>CJ at [19].</w:t>
      </w:r>
      <w:r w:rsidRPr="00B553C9">
        <w:rPr>
          <w:rFonts w:ascii="Times New Roman" w:hAnsi="Times New Roman"/>
          <w:sz w:val="24"/>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6C0CC" w14:textId="77777777" w:rsidR="007C5B81" w:rsidRPr="00CD1C0A" w:rsidRDefault="007C5B81" w:rsidP="00CD1C0A">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1AF53" w14:textId="77777777" w:rsidR="00B553C9" w:rsidRPr="00B553C9" w:rsidRDefault="00415FEB" w:rsidP="00B553C9">
    <w:pPr>
      <w:pStyle w:val="Header"/>
      <w:tabs>
        <w:tab w:val="clear" w:pos="4153"/>
        <w:tab w:val="clear" w:pos="8306"/>
        <w:tab w:val="right" w:pos="1304"/>
      </w:tabs>
      <w:spacing w:line="280" w:lineRule="exact"/>
      <w:ind w:firstLine="0"/>
      <w:rPr>
        <w:rFonts w:ascii="Times New Roman" w:hAnsi="Times New Roman"/>
        <w:i/>
        <w:sz w:val="22"/>
      </w:rPr>
    </w:pPr>
    <w:r w:rsidRPr="00B553C9">
      <w:rPr>
        <w:rFonts w:ascii="Times New Roman" w:hAnsi="Times New Roman"/>
        <w:i/>
        <w:sz w:val="22"/>
      </w:rPr>
      <w:t>Gordon</w:t>
    </w:r>
    <w:r w:rsidRPr="00B553C9">
      <w:rPr>
        <w:rFonts w:ascii="Times New Roman" w:hAnsi="Times New Roman"/>
        <w:i/>
        <w:sz w:val="22"/>
      </w:rPr>
      <w:tab/>
      <w:t>J</w:t>
    </w:r>
  </w:p>
  <w:p w14:paraId="664FEE4C" w14:textId="77777777" w:rsidR="00B553C9" w:rsidRPr="00B553C9" w:rsidRDefault="00415FEB" w:rsidP="00B553C9">
    <w:pPr>
      <w:pStyle w:val="Header"/>
      <w:tabs>
        <w:tab w:val="clear" w:pos="4153"/>
        <w:tab w:val="clear" w:pos="8306"/>
        <w:tab w:val="right" w:pos="1304"/>
      </w:tabs>
      <w:spacing w:line="280" w:lineRule="exact"/>
      <w:ind w:firstLine="0"/>
      <w:rPr>
        <w:rFonts w:ascii="Times New Roman" w:hAnsi="Times New Roman"/>
        <w:i/>
        <w:sz w:val="22"/>
      </w:rPr>
    </w:pPr>
    <w:r w:rsidRPr="00B553C9">
      <w:rPr>
        <w:rFonts w:ascii="Times New Roman" w:hAnsi="Times New Roman"/>
        <w:i/>
        <w:sz w:val="22"/>
      </w:rPr>
      <w:t>Edelman</w:t>
    </w:r>
    <w:r w:rsidRPr="00B553C9">
      <w:rPr>
        <w:rFonts w:ascii="Times New Roman" w:hAnsi="Times New Roman"/>
        <w:i/>
        <w:sz w:val="22"/>
      </w:rPr>
      <w:tab/>
      <w:t>J</w:t>
    </w:r>
  </w:p>
  <w:p w14:paraId="2375D013" w14:textId="77777777" w:rsidR="00B553C9" w:rsidRDefault="00415FEB" w:rsidP="00B553C9">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Steward</w:t>
    </w:r>
    <w:r>
      <w:rPr>
        <w:rFonts w:ascii="Times New Roman" w:hAnsi="Times New Roman"/>
        <w:i/>
        <w:sz w:val="22"/>
      </w:rPr>
      <w:tab/>
      <w:t>J</w:t>
    </w:r>
  </w:p>
  <w:p w14:paraId="79BC230B" w14:textId="77777777" w:rsidR="00B553C9" w:rsidRDefault="00CD1C0A" w:rsidP="00B553C9">
    <w:pPr>
      <w:pStyle w:val="Header"/>
      <w:tabs>
        <w:tab w:val="clear" w:pos="4153"/>
        <w:tab w:val="clear" w:pos="8306"/>
        <w:tab w:val="right" w:pos="1304"/>
      </w:tabs>
      <w:spacing w:line="280" w:lineRule="exact"/>
      <w:ind w:firstLine="0"/>
      <w:rPr>
        <w:rFonts w:ascii="Times New Roman" w:hAnsi="Times New Roman"/>
        <w:i/>
        <w:sz w:val="22"/>
      </w:rPr>
    </w:pPr>
  </w:p>
  <w:p w14:paraId="41995B66" w14:textId="77777777" w:rsidR="00B553C9" w:rsidRDefault="00415FEB" w:rsidP="00B553C9">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33544261" w14:textId="77777777" w:rsidR="00B553C9" w:rsidRPr="00B553C9" w:rsidRDefault="00CD1C0A" w:rsidP="00B553C9">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3CA9F" w14:textId="77777777" w:rsidR="00B553C9" w:rsidRPr="00B553C9" w:rsidRDefault="00415FEB" w:rsidP="00B553C9">
    <w:pPr>
      <w:pStyle w:val="Header"/>
      <w:tabs>
        <w:tab w:val="clear" w:pos="4153"/>
        <w:tab w:val="clear" w:pos="8306"/>
        <w:tab w:val="left" w:pos="7200"/>
        <w:tab w:val="right" w:pos="8504"/>
      </w:tabs>
      <w:spacing w:line="280" w:lineRule="exact"/>
      <w:jc w:val="right"/>
      <w:rPr>
        <w:rFonts w:ascii="Times New Roman" w:hAnsi="Times New Roman"/>
        <w:i/>
        <w:sz w:val="22"/>
      </w:rPr>
    </w:pPr>
    <w:r w:rsidRPr="00B553C9">
      <w:rPr>
        <w:rFonts w:ascii="Times New Roman" w:hAnsi="Times New Roman"/>
        <w:i/>
        <w:sz w:val="22"/>
      </w:rPr>
      <w:tab/>
      <w:t>Gordon</w:t>
    </w:r>
    <w:r w:rsidRPr="00B553C9">
      <w:rPr>
        <w:rFonts w:ascii="Times New Roman" w:hAnsi="Times New Roman"/>
        <w:i/>
        <w:sz w:val="22"/>
      </w:rPr>
      <w:tab/>
      <w:t>J</w:t>
    </w:r>
  </w:p>
  <w:p w14:paraId="4F2109AE" w14:textId="77777777" w:rsidR="00B553C9" w:rsidRPr="00B553C9" w:rsidRDefault="00415FEB" w:rsidP="00B553C9">
    <w:pPr>
      <w:pStyle w:val="Header"/>
      <w:tabs>
        <w:tab w:val="clear" w:pos="4153"/>
        <w:tab w:val="clear" w:pos="8306"/>
        <w:tab w:val="left" w:pos="7200"/>
        <w:tab w:val="right" w:pos="8504"/>
      </w:tabs>
      <w:spacing w:line="280" w:lineRule="exact"/>
      <w:jc w:val="right"/>
      <w:rPr>
        <w:rFonts w:ascii="Times New Roman" w:hAnsi="Times New Roman"/>
        <w:i/>
        <w:sz w:val="22"/>
      </w:rPr>
    </w:pPr>
    <w:r w:rsidRPr="00B553C9">
      <w:rPr>
        <w:rFonts w:ascii="Times New Roman" w:hAnsi="Times New Roman"/>
        <w:i/>
        <w:sz w:val="22"/>
      </w:rPr>
      <w:tab/>
      <w:t>Edelman</w:t>
    </w:r>
    <w:r w:rsidRPr="00B553C9">
      <w:rPr>
        <w:rFonts w:ascii="Times New Roman" w:hAnsi="Times New Roman"/>
        <w:i/>
        <w:sz w:val="22"/>
      </w:rPr>
      <w:tab/>
      <w:t>J</w:t>
    </w:r>
  </w:p>
  <w:p w14:paraId="417D42D6" w14:textId="77777777" w:rsidR="00B553C9" w:rsidRDefault="00415FEB" w:rsidP="00B553C9">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Steward</w:t>
    </w:r>
    <w:r>
      <w:rPr>
        <w:rFonts w:ascii="Times New Roman" w:hAnsi="Times New Roman"/>
        <w:i/>
        <w:sz w:val="22"/>
      </w:rPr>
      <w:tab/>
      <w:t>J</w:t>
    </w:r>
  </w:p>
  <w:p w14:paraId="7D79D16C" w14:textId="77777777" w:rsidR="00B553C9" w:rsidRDefault="00CD1C0A" w:rsidP="00B553C9">
    <w:pPr>
      <w:pStyle w:val="Header"/>
      <w:tabs>
        <w:tab w:val="clear" w:pos="4153"/>
        <w:tab w:val="clear" w:pos="8306"/>
        <w:tab w:val="left" w:pos="7200"/>
        <w:tab w:val="right" w:pos="8504"/>
      </w:tabs>
      <w:spacing w:line="280" w:lineRule="exact"/>
      <w:jc w:val="right"/>
      <w:rPr>
        <w:rFonts w:ascii="Times New Roman" w:hAnsi="Times New Roman"/>
        <w:i/>
        <w:sz w:val="22"/>
      </w:rPr>
    </w:pPr>
  </w:p>
  <w:p w14:paraId="45641997" w14:textId="77777777" w:rsidR="00B553C9" w:rsidRDefault="00415FEB" w:rsidP="00B553C9">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2C368B5A" w14:textId="77777777" w:rsidR="00B553C9" w:rsidRPr="00B553C9" w:rsidRDefault="00CD1C0A" w:rsidP="00B553C9">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E27AB" w14:textId="77777777" w:rsidR="00B553C9" w:rsidRDefault="00CD1C0A" w:rsidP="00B553C9">
    <w:pPr>
      <w:pStyle w:val="Header"/>
      <w:tabs>
        <w:tab w:val="clear" w:pos="4153"/>
        <w:tab w:val="clear" w:pos="8306"/>
        <w:tab w:val="center" w:pos="1134"/>
      </w:tabs>
      <w:spacing w:line="280" w:lineRule="exact"/>
      <w:ind w:firstLine="0"/>
      <w:rPr>
        <w:rFonts w:ascii="Times New Roman" w:hAnsi="Times New Roman"/>
        <w:i/>
        <w:sz w:val="22"/>
      </w:rPr>
    </w:pPr>
  </w:p>
  <w:p w14:paraId="2A34B778" w14:textId="77777777" w:rsidR="00B553C9" w:rsidRDefault="00CD1C0A" w:rsidP="00B553C9">
    <w:pPr>
      <w:pStyle w:val="Header"/>
      <w:tabs>
        <w:tab w:val="clear" w:pos="4153"/>
        <w:tab w:val="clear" w:pos="8306"/>
        <w:tab w:val="center" w:pos="1134"/>
      </w:tabs>
      <w:spacing w:line="280" w:lineRule="exact"/>
      <w:ind w:firstLine="0"/>
      <w:rPr>
        <w:rFonts w:ascii="Times New Roman" w:hAnsi="Times New Roman"/>
        <w:i/>
        <w:sz w:val="22"/>
      </w:rPr>
    </w:pPr>
  </w:p>
  <w:p w14:paraId="436F433F" w14:textId="77777777" w:rsidR="00B553C9" w:rsidRDefault="00CD1C0A" w:rsidP="00B553C9">
    <w:pPr>
      <w:pStyle w:val="Header"/>
      <w:tabs>
        <w:tab w:val="clear" w:pos="4153"/>
        <w:tab w:val="clear" w:pos="8306"/>
        <w:tab w:val="center" w:pos="1134"/>
      </w:tabs>
      <w:spacing w:line="280" w:lineRule="exact"/>
      <w:ind w:firstLine="0"/>
      <w:rPr>
        <w:rFonts w:ascii="Times New Roman" w:hAnsi="Times New Roman"/>
        <w:i/>
        <w:sz w:val="22"/>
      </w:rPr>
    </w:pPr>
  </w:p>
  <w:p w14:paraId="1E739AC3" w14:textId="77777777" w:rsidR="00B553C9" w:rsidRDefault="00CD1C0A" w:rsidP="00B553C9">
    <w:pPr>
      <w:pStyle w:val="Header"/>
      <w:tabs>
        <w:tab w:val="clear" w:pos="4153"/>
        <w:tab w:val="clear" w:pos="8306"/>
        <w:tab w:val="center" w:pos="1134"/>
      </w:tabs>
      <w:spacing w:line="280" w:lineRule="exact"/>
      <w:ind w:firstLine="0"/>
      <w:rPr>
        <w:rFonts w:ascii="Times New Roman" w:hAnsi="Times New Roman"/>
        <w:i/>
        <w:sz w:val="22"/>
      </w:rPr>
    </w:pPr>
  </w:p>
  <w:p w14:paraId="5404DA45" w14:textId="77777777" w:rsidR="00B553C9" w:rsidRDefault="00CD1C0A" w:rsidP="00B553C9">
    <w:pPr>
      <w:pStyle w:val="Header"/>
      <w:tabs>
        <w:tab w:val="clear" w:pos="4153"/>
        <w:tab w:val="clear" w:pos="8306"/>
        <w:tab w:val="center" w:pos="1134"/>
      </w:tabs>
      <w:spacing w:line="280" w:lineRule="exact"/>
      <w:ind w:firstLine="0"/>
      <w:rPr>
        <w:rFonts w:ascii="Times New Roman" w:hAnsi="Times New Roman"/>
        <w:i/>
        <w:sz w:val="22"/>
      </w:rPr>
    </w:pPr>
  </w:p>
  <w:p w14:paraId="59366214" w14:textId="77777777" w:rsidR="00DA48BA" w:rsidRPr="00B553C9" w:rsidRDefault="00CD1C0A" w:rsidP="00B553C9">
    <w:pPr>
      <w:pStyle w:val="Header"/>
      <w:tabs>
        <w:tab w:val="clear" w:pos="4153"/>
        <w:tab w:val="clear" w:pos="8306"/>
        <w:tab w:val="center" w:pos="1134"/>
      </w:tabs>
      <w:spacing w:line="280" w:lineRule="exact"/>
      <w:ind w:firstLine="0"/>
      <w:rPr>
        <w:rFonts w:ascii="Times New Roman" w:hAnsi="Times New Roman"/>
        <w:i/>
        <w:sz w:val="22"/>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27EC5" w14:textId="77777777" w:rsidR="001E298D" w:rsidRPr="001E298D" w:rsidRDefault="001E298D" w:rsidP="001E29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14065" w14:textId="67760A60" w:rsidR="007C5B81" w:rsidRPr="00CD1C0A" w:rsidRDefault="00CD1C0A" w:rsidP="00CD1C0A">
    <w:pPr>
      <w:pStyle w:val="Header"/>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 (</w:instrText>
    </w:r>
    <w:r>
      <w:rPr>
        <w:rFonts w:ascii="Times New Roman" w:hAnsi="Times New Roman"/>
        <w:sz w:val="22"/>
      </w:rPr>
      <w:fldChar w:fldCharType="begin"/>
    </w:r>
    <w:r>
      <w:rPr>
        <w:rFonts w:ascii="Times New Roman" w:hAnsi="Times New Roman"/>
        <w:sz w:val="22"/>
      </w:rPr>
      <w:instrText xml:space="preserve"> page </w:instrText>
    </w:r>
    <w:r>
      <w:rPr>
        <w:rFonts w:ascii="Times New Roman" w:hAnsi="Times New Roman"/>
        <w:sz w:val="22"/>
      </w:rPr>
      <w:fldChar w:fldCharType="separate"/>
    </w:r>
    <w:r>
      <w:rPr>
        <w:rFonts w:ascii="Times New Roman" w:hAnsi="Times New Roman"/>
        <w:noProof/>
        <w:sz w:val="22"/>
      </w:rPr>
      <w:instrText>5</w:instrText>
    </w:r>
    <w:r>
      <w:rPr>
        <w:rFonts w:ascii="Times New Roman" w:hAnsi="Times New Roman"/>
        <w:sz w:val="22"/>
      </w:rPr>
      <w:fldChar w:fldCharType="end"/>
    </w:r>
    <w:r>
      <w:rPr>
        <w:rFonts w:ascii="Times New Roman" w:hAnsi="Times New Roman"/>
        <w:sz w:val="22"/>
      </w:rPr>
      <w:instrText xml:space="preserve"> + 1)/2 </w:instrText>
    </w:r>
    <w:r>
      <w:rPr>
        <w:rFonts w:ascii="Times New Roman" w:hAnsi="Times New Roman"/>
        <w:sz w:val="22"/>
      </w:rPr>
      <w:fldChar w:fldCharType="separate"/>
    </w:r>
    <w:r>
      <w:rPr>
        <w:rFonts w:ascii="Times New Roman" w:hAnsi="Times New Roman"/>
        <w:noProof/>
        <w:sz w:val="22"/>
      </w:rPr>
      <w:t>3</w:t>
    </w:r>
    <w:r>
      <w:rPr>
        <w:rFonts w:ascii="Times New Roman" w:hAnsi="Times New Roman"/>
        <w:sz w:val="22"/>
      </w:rPr>
      <w:fldChar w:fldCharType="end"/>
    </w:r>
    <w:r>
      <w:rPr>
        <w:rFonts w:ascii="Times New Roman" w:hAnsi="Times New Roman"/>
        <w:sz w:val="22"/>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12D3E" w14:textId="465CD3F0" w:rsidR="00524C1D" w:rsidRPr="00CD1C0A" w:rsidRDefault="00524C1D" w:rsidP="00CD1C0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37F04" w14:textId="77777777" w:rsidR="00CD1C0A" w:rsidRDefault="00CD1C0A" w:rsidP="007C5B81">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Kiefel</w:t>
    </w:r>
    <w:r>
      <w:rPr>
        <w:rFonts w:ascii="Times New Roman" w:hAnsi="Times New Roman"/>
        <w:i/>
        <w:sz w:val="22"/>
      </w:rPr>
      <w:tab/>
      <w:t>CJ</w:t>
    </w:r>
  </w:p>
  <w:p w14:paraId="461C8309" w14:textId="77777777" w:rsidR="00CD1C0A" w:rsidRDefault="00CD1C0A" w:rsidP="007C5B81">
    <w:pPr>
      <w:pStyle w:val="Header"/>
      <w:tabs>
        <w:tab w:val="clear" w:pos="4153"/>
        <w:tab w:val="clear" w:pos="8306"/>
        <w:tab w:val="right" w:pos="1304"/>
      </w:tabs>
      <w:spacing w:line="280" w:lineRule="exact"/>
      <w:ind w:firstLine="0"/>
      <w:rPr>
        <w:rFonts w:ascii="Times New Roman" w:hAnsi="Times New Roman"/>
        <w:i/>
        <w:sz w:val="22"/>
      </w:rPr>
    </w:pPr>
  </w:p>
  <w:p w14:paraId="4EDBCE27" w14:textId="77777777" w:rsidR="00CD1C0A" w:rsidRDefault="00CD1C0A" w:rsidP="007C5B81">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61809EDC" w14:textId="77777777" w:rsidR="00CD1C0A" w:rsidRPr="007C5B81" w:rsidRDefault="00CD1C0A" w:rsidP="007C5B81">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4DF8E" w14:textId="77777777" w:rsidR="00CD1C0A" w:rsidRDefault="00CD1C0A" w:rsidP="007C5B81">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Kiefel</w:t>
    </w:r>
    <w:r>
      <w:rPr>
        <w:rFonts w:ascii="Times New Roman" w:hAnsi="Times New Roman"/>
        <w:i/>
        <w:sz w:val="22"/>
      </w:rPr>
      <w:tab/>
      <w:t>CJ</w:t>
    </w:r>
  </w:p>
  <w:p w14:paraId="4420F91E" w14:textId="77777777" w:rsidR="00CD1C0A" w:rsidRDefault="00CD1C0A" w:rsidP="007C5B81">
    <w:pPr>
      <w:pStyle w:val="Header"/>
      <w:tabs>
        <w:tab w:val="clear" w:pos="4153"/>
        <w:tab w:val="clear" w:pos="8306"/>
        <w:tab w:val="left" w:pos="7200"/>
        <w:tab w:val="right" w:pos="8504"/>
      </w:tabs>
      <w:spacing w:line="280" w:lineRule="exact"/>
      <w:jc w:val="right"/>
      <w:rPr>
        <w:rFonts w:ascii="Times New Roman" w:hAnsi="Times New Roman"/>
        <w:i/>
        <w:sz w:val="22"/>
      </w:rPr>
    </w:pPr>
  </w:p>
  <w:p w14:paraId="4001C605" w14:textId="77777777" w:rsidR="00CD1C0A" w:rsidRDefault="00CD1C0A" w:rsidP="007C5B81">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1F168AA8" w14:textId="77777777" w:rsidR="00CD1C0A" w:rsidRPr="007C5B81" w:rsidRDefault="00CD1C0A" w:rsidP="007C5B81">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4CDD5" w14:textId="77777777" w:rsidR="00CD1C0A" w:rsidRDefault="00CD1C0A" w:rsidP="007C5B81">
    <w:pPr>
      <w:pStyle w:val="Header"/>
      <w:tabs>
        <w:tab w:val="clear" w:pos="4153"/>
        <w:tab w:val="clear" w:pos="8306"/>
        <w:tab w:val="center" w:pos="1134"/>
      </w:tabs>
      <w:spacing w:line="280" w:lineRule="exact"/>
      <w:ind w:firstLine="0"/>
      <w:rPr>
        <w:rFonts w:ascii="Times New Roman" w:hAnsi="Times New Roman"/>
        <w:i/>
        <w:sz w:val="22"/>
      </w:rPr>
    </w:pPr>
  </w:p>
  <w:p w14:paraId="51192B1C" w14:textId="77777777" w:rsidR="00CD1C0A" w:rsidRDefault="00CD1C0A" w:rsidP="007C5B81">
    <w:pPr>
      <w:pStyle w:val="Header"/>
      <w:tabs>
        <w:tab w:val="clear" w:pos="4153"/>
        <w:tab w:val="clear" w:pos="8306"/>
        <w:tab w:val="center" w:pos="1134"/>
      </w:tabs>
      <w:spacing w:line="280" w:lineRule="exact"/>
      <w:ind w:firstLine="0"/>
      <w:rPr>
        <w:rFonts w:ascii="Times New Roman" w:hAnsi="Times New Roman"/>
        <w:i/>
        <w:sz w:val="22"/>
      </w:rPr>
    </w:pPr>
  </w:p>
  <w:p w14:paraId="4D97BCFE" w14:textId="77777777" w:rsidR="00CD1C0A" w:rsidRDefault="00CD1C0A" w:rsidP="007C5B81">
    <w:pPr>
      <w:pStyle w:val="Header"/>
      <w:tabs>
        <w:tab w:val="clear" w:pos="4153"/>
        <w:tab w:val="clear" w:pos="8306"/>
        <w:tab w:val="center" w:pos="1134"/>
      </w:tabs>
      <w:spacing w:line="280" w:lineRule="exact"/>
      <w:ind w:firstLine="0"/>
      <w:rPr>
        <w:rFonts w:ascii="Times New Roman" w:hAnsi="Times New Roman"/>
        <w:i/>
        <w:sz w:val="22"/>
      </w:rPr>
    </w:pPr>
  </w:p>
  <w:p w14:paraId="513A44B9" w14:textId="77777777" w:rsidR="00CD1C0A" w:rsidRPr="007C5B81" w:rsidRDefault="00CD1C0A" w:rsidP="007C5B81">
    <w:pPr>
      <w:pStyle w:val="Header"/>
      <w:tabs>
        <w:tab w:val="clear" w:pos="4153"/>
        <w:tab w:val="clear" w:pos="8306"/>
        <w:tab w:val="center" w:pos="1134"/>
      </w:tabs>
      <w:spacing w:line="280" w:lineRule="exact"/>
      <w:ind w:firstLine="0"/>
      <w:rPr>
        <w:rFonts w:ascii="Times New Roman" w:hAnsi="Times New Roman"/>
        <w:i/>
        <w:sz w:val="2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1CF17" w14:textId="77777777" w:rsidR="005105AD" w:rsidRPr="005105AD" w:rsidRDefault="00415FEB" w:rsidP="005105AD">
    <w:pPr>
      <w:pStyle w:val="Header"/>
      <w:tabs>
        <w:tab w:val="clear" w:pos="4153"/>
        <w:tab w:val="clear" w:pos="8306"/>
        <w:tab w:val="right" w:pos="1304"/>
      </w:tabs>
      <w:spacing w:line="280" w:lineRule="exact"/>
      <w:ind w:firstLine="0"/>
      <w:rPr>
        <w:rFonts w:ascii="Times New Roman" w:hAnsi="Times New Roman"/>
        <w:i/>
        <w:sz w:val="22"/>
      </w:rPr>
    </w:pPr>
    <w:proofErr w:type="spellStart"/>
    <w:r w:rsidRPr="005105AD">
      <w:rPr>
        <w:rFonts w:ascii="Times New Roman" w:hAnsi="Times New Roman"/>
        <w:i/>
        <w:sz w:val="22"/>
      </w:rPr>
      <w:t>Gageler</w:t>
    </w:r>
    <w:proofErr w:type="spellEnd"/>
    <w:r w:rsidRPr="005105AD">
      <w:rPr>
        <w:rFonts w:ascii="Times New Roman" w:hAnsi="Times New Roman"/>
        <w:i/>
        <w:sz w:val="22"/>
      </w:rPr>
      <w:tab/>
      <w:t>J</w:t>
    </w:r>
  </w:p>
  <w:p w14:paraId="38C26C17" w14:textId="77777777" w:rsidR="005105AD" w:rsidRPr="005105AD" w:rsidRDefault="00415FEB" w:rsidP="005105AD">
    <w:pPr>
      <w:pStyle w:val="Header"/>
      <w:tabs>
        <w:tab w:val="clear" w:pos="4153"/>
        <w:tab w:val="clear" w:pos="8306"/>
        <w:tab w:val="right" w:pos="1304"/>
      </w:tabs>
      <w:spacing w:line="280" w:lineRule="exact"/>
      <w:ind w:firstLine="0"/>
      <w:rPr>
        <w:rFonts w:ascii="Times New Roman" w:hAnsi="Times New Roman"/>
        <w:i/>
        <w:sz w:val="22"/>
      </w:rPr>
    </w:pPr>
    <w:r w:rsidRPr="005105AD">
      <w:rPr>
        <w:rFonts w:ascii="Times New Roman" w:hAnsi="Times New Roman"/>
        <w:i/>
        <w:sz w:val="22"/>
      </w:rPr>
      <w:t>Gleeson</w:t>
    </w:r>
    <w:r w:rsidRPr="005105AD">
      <w:rPr>
        <w:rFonts w:ascii="Times New Roman" w:hAnsi="Times New Roman"/>
        <w:i/>
        <w:sz w:val="22"/>
      </w:rPr>
      <w:tab/>
      <w:t>J</w:t>
    </w:r>
  </w:p>
  <w:p w14:paraId="15B973D1" w14:textId="77777777" w:rsidR="005105AD" w:rsidRDefault="00415FEB" w:rsidP="005105AD">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Jagot</w:t>
    </w:r>
    <w:r>
      <w:rPr>
        <w:rFonts w:ascii="Times New Roman" w:hAnsi="Times New Roman"/>
        <w:i/>
        <w:sz w:val="22"/>
      </w:rPr>
      <w:tab/>
      <w:t>J</w:t>
    </w:r>
  </w:p>
  <w:p w14:paraId="069CDB04" w14:textId="77777777" w:rsidR="005105AD" w:rsidRDefault="00CD1C0A" w:rsidP="005105AD">
    <w:pPr>
      <w:pStyle w:val="Header"/>
      <w:tabs>
        <w:tab w:val="clear" w:pos="4153"/>
        <w:tab w:val="clear" w:pos="8306"/>
        <w:tab w:val="right" w:pos="1304"/>
      </w:tabs>
      <w:spacing w:line="280" w:lineRule="exact"/>
      <w:ind w:firstLine="0"/>
      <w:rPr>
        <w:rFonts w:ascii="Times New Roman" w:hAnsi="Times New Roman"/>
        <w:i/>
        <w:sz w:val="22"/>
      </w:rPr>
    </w:pPr>
  </w:p>
  <w:p w14:paraId="4A8AE3DF" w14:textId="77777777" w:rsidR="005105AD" w:rsidRDefault="00415FEB" w:rsidP="005105AD">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4D54BD6C" w14:textId="77777777" w:rsidR="005105AD" w:rsidRPr="005105AD" w:rsidRDefault="00CD1C0A" w:rsidP="005105AD">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8ACBF" w14:textId="77777777" w:rsidR="005105AD" w:rsidRPr="005105AD" w:rsidRDefault="00415FEB" w:rsidP="005105AD">
    <w:pPr>
      <w:pStyle w:val="Header"/>
      <w:tabs>
        <w:tab w:val="clear" w:pos="4153"/>
        <w:tab w:val="clear" w:pos="8306"/>
        <w:tab w:val="left" w:pos="7200"/>
        <w:tab w:val="right" w:pos="8504"/>
      </w:tabs>
      <w:spacing w:line="280" w:lineRule="exact"/>
      <w:jc w:val="right"/>
      <w:rPr>
        <w:rFonts w:ascii="Times New Roman" w:hAnsi="Times New Roman"/>
        <w:i/>
        <w:sz w:val="22"/>
      </w:rPr>
    </w:pPr>
    <w:r w:rsidRPr="005105AD">
      <w:rPr>
        <w:rFonts w:ascii="Times New Roman" w:hAnsi="Times New Roman"/>
        <w:i/>
        <w:sz w:val="22"/>
      </w:rPr>
      <w:tab/>
      <w:t>Gageler</w:t>
    </w:r>
    <w:r w:rsidRPr="005105AD">
      <w:rPr>
        <w:rFonts w:ascii="Times New Roman" w:hAnsi="Times New Roman"/>
        <w:i/>
        <w:sz w:val="22"/>
      </w:rPr>
      <w:tab/>
      <w:t>J</w:t>
    </w:r>
  </w:p>
  <w:p w14:paraId="5D87CB1D" w14:textId="77777777" w:rsidR="005105AD" w:rsidRPr="005105AD" w:rsidRDefault="00415FEB" w:rsidP="005105AD">
    <w:pPr>
      <w:pStyle w:val="Header"/>
      <w:tabs>
        <w:tab w:val="clear" w:pos="4153"/>
        <w:tab w:val="clear" w:pos="8306"/>
        <w:tab w:val="left" w:pos="7200"/>
        <w:tab w:val="right" w:pos="8504"/>
      </w:tabs>
      <w:spacing w:line="280" w:lineRule="exact"/>
      <w:jc w:val="right"/>
      <w:rPr>
        <w:rFonts w:ascii="Times New Roman" w:hAnsi="Times New Roman"/>
        <w:i/>
        <w:sz w:val="22"/>
      </w:rPr>
    </w:pPr>
    <w:r w:rsidRPr="005105AD">
      <w:rPr>
        <w:rFonts w:ascii="Times New Roman" w:hAnsi="Times New Roman"/>
        <w:i/>
        <w:sz w:val="22"/>
      </w:rPr>
      <w:tab/>
      <w:t>Gleeson</w:t>
    </w:r>
    <w:r w:rsidRPr="005105AD">
      <w:rPr>
        <w:rFonts w:ascii="Times New Roman" w:hAnsi="Times New Roman"/>
        <w:i/>
        <w:sz w:val="22"/>
      </w:rPr>
      <w:tab/>
      <w:t>J</w:t>
    </w:r>
  </w:p>
  <w:p w14:paraId="3D880C6C" w14:textId="77777777" w:rsidR="005105AD" w:rsidRDefault="00415FEB" w:rsidP="005105AD">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Jagot</w:t>
    </w:r>
    <w:r>
      <w:rPr>
        <w:rFonts w:ascii="Times New Roman" w:hAnsi="Times New Roman"/>
        <w:i/>
        <w:sz w:val="22"/>
      </w:rPr>
      <w:tab/>
      <w:t>J</w:t>
    </w:r>
  </w:p>
  <w:p w14:paraId="275172DD" w14:textId="77777777" w:rsidR="005105AD" w:rsidRDefault="00CD1C0A" w:rsidP="005105AD">
    <w:pPr>
      <w:pStyle w:val="Header"/>
      <w:tabs>
        <w:tab w:val="clear" w:pos="4153"/>
        <w:tab w:val="clear" w:pos="8306"/>
        <w:tab w:val="left" w:pos="7200"/>
        <w:tab w:val="right" w:pos="8504"/>
      </w:tabs>
      <w:spacing w:line="280" w:lineRule="exact"/>
      <w:jc w:val="right"/>
      <w:rPr>
        <w:rFonts w:ascii="Times New Roman" w:hAnsi="Times New Roman"/>
        <w:i/>
        <w:sz w:val="22"/>
      </w:rPr>
    </w:pPr>
  </w:p>
  <w:p w14:paraId="7AB043C6" w14:textId="77777777" w:rsidR="005105AD" w:rsidRDefault="00415FEB" w:rsidP="005105AD">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57250BAC" w14:textId="77777777" w:rsidR="005105AD" w:rsidRPr="005105AD" w:rsidRDefault="00CD1C0A" w:rsidP="005105AD">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023FA" w14:textId="77777777" w:rsidR="005105AD" w:rsidRDefault="00CD1C0A" w:rsidP="005105AD">
    <w:pPr>
      <w:pStyle w:val="Header"/>
      <w:tabs>
        <w:tab w:val="clear" w:pos="4153"/>
        <w:tab w:val="clear" w:pos="8306"/>
        <w:tab w:val="center" w:pos="1134"/>
      </w:tabs>
      <w:spacing w:line="280" w:lineRule="exact"/>
      <w:ind w:firstLine="0"/>
      <w:rPr>
        <w:rFonts w:ascii="Times New Roman" w:hAnsi="Times New Roman"/>
        <w:i/>
        <w:sz w:val="22"/>
      </w:rPr>
    </w:pPr>
  </w:p>
  <w:p w14:paraId="07A0FC46" w14:textId="77777777" w:rsidR="005105AD" w:rsidRDefault="00CD1C0A" w:rsidP="005105AD">
    <w:pPr>
      <w:pStyle w:val="Header"/>
      <w:tabs>
        <w:tab w:val="clear" w:pos="4153"/>
        <w:tab w:val="clear" w:pos="8306"/>
        <w:tab w:val="center" w:pos="1134"/>
      </w:tabs>
      <w:spacing w:line="280" w:lineRule="exact"/>
      <w:ind w:firstLine="0"/>
      <w:rPr>
        <w:rFonts w:ascii="Times New Roman" w:hAnsi="Times New Roman"/>
        <w:i/>
        <w:sz w:val="22"/>
      </w:rPr>
    </w:pPr>
  </w:p>
  <w:p w14:paraId="45FAC3B9" w14:textId="77777777" w:rsidR="005105AD" w:rsidRDefault="00CD1C0A" w:rsidP="005105AD">
    <w:pPr>
      <w:pStyle w:val="Header"/>
      <w:tabs>
        <w:tab w:val="clear" w:pos="4153"/>
        <w:tab w:val="clear" w:pos="8306"/>
        <w:tab w:val="center" w:pos="1134"/>
      </w:tabs>
      <w:spacing w:line="280" w:lineRule="exact"/>
      <w:ind w:firstLine="0"/>
      <w:rPr>
        <w:rFonts w:ascii="Times New Roman" w:hAnsi="Times New Roman"/>
        <w:i/>
        <w:sz w:val="22"/>
      </w:rPr>
    </w:pPr>
  </w:p>
  <w:p w14:paraId="4033762F" w14:textId="77777777" w:rsidR="005105AD" w:rsidRDefault="00CD1C0A" w:rsidP="005105AD">
    <w:pPr>
      <w:pStyle w:val="Header"/>
      <w:tabs>
        <w:tab w:val="clear" w:pos="4153"/>
        <w:tab w:val="clear" w:pos="8306"/>
        <w:tab w:val="center" w:pos="1134"/>
      </w:tabs>
      <w:spacing w:line="280" w:lineRule="exact"/>
      <w:ind w:firstLine="0"/>
      <w:rPr>
        <w:rFonts w:ascii="Times New Roman" w:hAnsi="Times New Roman"/>
        <w:i/>
        <w:sz w:val="22"/>
      </w:rPr>
    </w:pPr>
  </w:p>
  <w:p w14:paraId="1149CB15" w14:textId="77777777" w:rsidR="005105AD" w:rsidRDefault="00CD1C0A" w:rsidP="005105AD">
    <w:pPr>
      <w:pStyle w:val="Header"/>
      <w:tabs>
        <w:tab w:val="clear" w:pos="4153"/>
        <w:tab w:val="clear" w:pos="8306"/>
        <w:tab w:val="center" w:pos="1134"/>
      </w:tabs>
      <w:spacing w:line="280" w:lineRule="exact"/>
      <w:ind w:firstLine="0"/>
      <w:rPr>
        <w:rFonts w:ascii="Times New Roman" w:hAnsi="Times New Roman"/>
        <w:i/>
        <w:sz w:val="22"/>
      </w:rPr>
    </w:pPr>
  </w:p>
  <w:p w14:paraId="5700AE95" w14:textId="77777777" w:rsidR="00C1534F" w:rsidRPr="005105AD" w:rsidRDefault="00CD1C0A" w:rsidP="005105AD">
    <w:pPr>
      <w:pStyle w:val="Header"/>
      <w:tabs>
        <w:tab w:val="clear" w:pos="4153"/>
        <w:tab w:val="clear" w:pos="8306"/>
        <w:tab w:val="center" w:pos="1134"/>
      </w:tabs>
      <w:spacing w:line="280" w:lineRule="exact"/>
      <w:ind w:firstLine="0"/>
      <w:rPr>
        <w:rFonts w:ascii="Times New Roman" w:hAnsi="Times New Roman"/>
        <w: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7682C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F0807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7496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64B1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BA88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A2BE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F827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008F1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02F9F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556C1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D158E9"/>
    <w:multiLevelType w:val="hybridMultilevel"/>
    <w:tmpl w:val="F2E28A58"/>
    <w:lvl w:ilvl="0" w:tplc="3F84F7E0">
      <w:start w:val="1"/>
      <w:numFmt w:val="decimal"/>
      <w:lvlText w:val="%1."/>
      <w:lvlJc w:val="left"/>
      <w:pPr>
        <w:tabs>
          <w:tab w:val="num" w:pos="1440"/>
        </w:tabs>
        <w:ind w:left="1440" w:hanging="72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1" w15:restartNumberingAfterBreak="0">
    <w:nsid w:val="0CA83894"/>
    <w:multiLevelType w:val="hybridMultilevel"/>
    <w:tmpl w:val="6CA696CA"/>
    <w:lvl w:ilvl="0" w:tplc="2542D178">
      <w:start w:val="1"/>
      <w:numFmt w:val="decimal"/>
      <w:pStyle w:val="FixListStyle"/>
      <w:lvlText w:val="%1"/>
      <w:lvlJc w:val="left"/>
      <w:pPr>
        <w:ind w:left="-360" w:hanging="360"/>
      </w:pPr>
      <w:rPr>
        <w:rFonts w:ascii="Times New Roman" w:hAnsi="Times New Roman" w:hint="default"/>
        <w:b w:val="0"/>
        <w:i w:val="0"/>
        <w:sz w:val="2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1EF5578A"/>
    <w:multiLevelType w:val="hybridMultilevel"/>
    <w:tmpl w:val="1576A010"/>
    <w:lvl w:ilvl="0" w:tplc="97AE9906">
      <w:start w:val="1"/>
      <w:numFmt w:val="decimal"/>
      <w:pStyle w:val="NormalHC"/>
      <w:lvlText w:val="%1."/>
      <w:lvlJc w:val="left"/>
      <w:pPr>
        <w:ind w:left="720" w:hanging="144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2E8C6A09"/>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D151F96"/>
    <w:multiLevelType w:val="hybridMultilevel"/>
    <w:tmpl w:val="CA222870"/>
    <w:lvl w:ilvl="0" w:tplc="3F84F7E0">
      <w:start w:val="1"/>
      <w:numFmt w:val="decimal"/>
      <w:lvlText w:val="%1."/>
      <w:lvlJc w:val="left"/>
      <w:pPr>
        <w:tabs>
          <w:tab w:val="num" w:pos="2160"/>
        </w:tabs>
        <w:ind w:left="2160" w:hanging="720"/>
      </w:pPr>
      <w:rPr>
        <w:rFonts w:hint="default"/>
      </w:r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15" w15:restartNumberingAfterBreak="0">
    <w:nsid w:val="4A7943C2"/>
    <w:multiLevelType w:val="hybridMultilevel"/>
    <w:tmpl w:val="77D8FB18"/>
    <w:lvl w:ilvl="0" w:tplc="108C3F1C">
      <w:start w:val="1"/>
      <w:numFmt w:val="decimal"/>
      <w:lvlText w:val="%1"/>
      <w:lvlJc w:val="left"/>
      <w:pPr>
        <w:ind w:left="-360" w:hanging="360"/>
      </w:pPr>
      <w:rPr>
        <w:rFonts w:ascii="Univers" w:hAnsi="Univers" w:hint="default"/>
        <w:b w:val="0"/>
        <w:i w:val="0"/>
        <w:sz w:val="2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57C4EEB"/>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7FD97D7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89809043">
    <w:abstractNumId w:val="10"/>
  </w:num>
  <w:num w:numId="2" w16cid:durableId="697852814">
    <w:abstractNumId w:val="14"/>
  </w:num>
  <w:num w:numId="3" w16cid:durableId="467675514">
    <w:abstractNumId w:val="17"/>
  </w:num>
  <w:num w:numId="4" w16cid:durableId="1834104099">
    <w:abstractNumId w:val="13"/>
  </w:num>
  <w:num w:numId="5" w16cid:durableId="970479063">
    <w:abstractNumId w:val="16"/>
  </w:num>
  <w:num w:numId="6" w16cid:durableId="1727683730">
    <w:abstractNumId w:val="6"/>
  </w:num>
  <w:num w:numId="7" w16cid:durableId="199171453">
    <w:abstractNumId w:val="9"/>
  </w:num>
  <w:num w:numId="8" w16cid:durableId="1856915187">
    <w:abstractNumId w:val="7"/>
  </w:num>
  <w:num w:numId="9" w16cid:durableId="639728684">
    <w:abstractNumId w:val="5"/>
  </w:num>
  <w:num w:numId="10" w16cid:durableId="1735197464">
    <w:abstractNumId w:val="4"/>
  </w:num>
  <w:num w:numId="11" w16cid:durableId="1445491799">
    <w:abstractNumId w:val="8"/>
  </w:num>
  <w:num w:numId="12" w16cid:durableId="2131170944">
    <w:abstractNumId w:val="3"/>
  </w:num>
  <w:num w:numId="13" w16cid:durableId="1727601754">
    <w:abstractNumId w:val="2"/>
  </w:num>
  <w:num w:numId="14" w16cid:durableId="1708530237">
    <w:abstractNumId w:val="1"/>
  </w:num>
  <w:num w:numId="15" w16cid:durableId="1232496064">
    <w:abstractNumId w:val="0"/>
  </w:num>
  <w:num w:numId="16" w16cid:durableId="849948208">
    <w:abstractNumId w:val="12"/>
  </w:num>
  <w:num w:numId="17" w16cid:durableId="403451368">
    <w:abstractNumId w:val="15"/>
  </w:num>
  <w:num w:numId="18" w16cid:durableId="1551573885">
    <w:abstractNumId w:val="11"/>
  </w:num>
  <w:num w:numId="19" w16cid:durableId="672224245">
    <w:abstractNumId w:val="11"/>
  </w:num>
  <w:num w:numId="20" w16cid:durableId="820577947">
    <w:abstractNumId w:val="12"/>
  </w:num>
  <w:num w:numId="21" w16cid:durableId="600144870">
    <w:abstractNumId w:val="12"/>
  </w:num>
  <w:num w:numId="22" w16cid:durableId="1839030281">
    <w:abstractNumId w:val="12"/>
  </w:num>
  <w:num w:numId="23" w16cid:durableId="160052647">
    <w:abstractNumId w:val="12"/>
  </w:num>
  <w:num w:numId="24" w16cid:durableId="394820139">
    <w:abstractNumId w:val="12"/>
  </w:num>
  <w:num w:numId="25" w16cid:durableId="627785604">
    <w:abstractNumId w:val="12"/>
  </w:num>
  <w:num w:numId="26" w16cid:durableId="1943805668">
    <w:abstractNumId w:val="12"/>
  </w:num>
  <w:num w:numId="27" w16cid:durableId="14942961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attachedTemplate r:id="rId1"/>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C1D"/>
    <w:rsid w:val="00002069"/>
    <w:rsid w:val="00002CE6"/>
    <w:rsid w:val="0000316A"/>
    <w:rsid w:val="00003939"/>
    <w:rsid w:val="000049B7"/>
    <w:rsid w:val="00007132"/>
    <w:rsid w:val="000071E6"/>
    <w:rsid w:val="00007B9D"/>
    <w:rsid w:val="00007E49"/>
    <w:rsid w:val="00014498"/>
    <w:rsid w:val="00014B34"/>
    <w:rsid w:val="00015402"/>
    <w:rsid w:val="00015821"/>
    <w:rsid w:val="000168C9"/>
    <w:rsid w:val="00016C20"/>
    <w:rsid w:val="00016DBB"/>
    <w:rsid w:val="00017138"/>
    <w:rsid w:val="00017144"/>
    <w:rsid w:val="00020FA4"/>
    <w:rsid w:val="00023C5E"/>
    <w:rsid w:val="00025089"/>
    <w:rsid w:val="000250AF"/>
    <w:rsid w:val="00025490"/>
    <w:rsid w:val="0002561E"/>
    <w:rsid w:val="00026280"/>
    <w:rsid w:val="000268E1"/>
    <w:rsid w:val="00026FF0"/>
    <w:rsid w:val="000303B0"/>
    <w:rsid w:val="00030BE0"/>
    <w:rsid w:val="00034510"/>
    <w:rsid w:val="0003575A"/>
    <w:rsid w:val="000360EB"/>
    <w:rsid w:val="00037A5F"/>
    <w:rsid w:val="00037D87"/>
    <w:rsid w:val="00042172"/>
    <w:rsid w:val="00042758"/>
    <w:rsid w:val="000428FD"/>
    <w:rsid w:val="00043D2C"/>
    <w:rsid w:val="00045942"/>
    <w:rsid w:val="00046812"/>
    <w:rsid w:val="00052786"/>
    <w:rsid w:val="0005362C"/>
    <w:rsid w:val="00054135"/>
    <w:rsid w:val="00054FF2"/>
    <w:rsid w:val="00055ACD"/>
    <w:rsid w:val="000562BC"/>
    <w:rsid w:val="00056F27"/>
    <w:rsid w:val="000571E7"/>
    <w:rsid w:val="000573AF"/>
    <w:rsid w:val="000602B3"/>
    <w:rsid w:val="0006169E"/>
    <w:rsid w:val="000621B0"/>
    <w:rsid w:val="000626FD"/>
    <w:rsid w:val="00063AAC"/>
    <w:rsid w:val="0006432B"/>
    <w:rsid w:val="000653D4"/>
    <w:rsid w:val="00071C35"/>
    <w:rsid w:val="00071D5E"/>
    <w:rsid w:val="00075ADC"/>
    <w:rsid w:val="00075F50"/>
    <w:rsid w:val="000762C0"/>
    <w:rsid w:val="00077E66"/>
    <w:rsid w:val="0008018D"/>
    <w:rsid w:val="00080D77"/>
    <w:rsid w:val="0008217E"/>
    <w:rsid w:val="00082635"/>
    <w:rsid w:val="0008435D"/>
    <w:rsid w:val="000852C4"/>
    <w:rsid w:val="000854AF"/>
    <w:rsid w:val="0008558C"/>
    <w:rsid w:val="00085F13"/>
    <w:rsid w:val="00086317"/>
    <w:rsid w:val="00096DF3"/>
    <w:rsid w:val="00097A6D"/>
    <w:rsid w:val="00097B4D"/>
    <w:rsid w:val="000A170E"/>
    <w:rsid w:val="000A1F1A"/>
    <w:rsid w:val="000A28D4"/>
    <w:rsid w:val="000A2EB4"/>
    <w:rsid w:val="000A3DA3"/>
    <w:rsid w:val="000A63C6"/>
    <w:rsid w:val="000A669E"/>
    <w:rsid w:val="000A6EFE"/>
    <w:rsid w:val="000B1AA7"/>
    <w:rsid w:val="000B26A6"/>
    <w:rsid w:val="000B3841"/>
    <w:rsid w:val="000B4630"/>
    <w:rsid w:val="000B497F"/>
    <w:rsid w:val="000B4F33"/>
    <w:rsid w:val="000B5D63"/>
    <w:rsid w:val="000B710D"/>
    <w:rsid w:val="000B7558"/>
    <w:rsid w:val="000C04DC"/>
    <w:rsid w:val="000C0CEB"/>
    <w:rsid w:val="000C0D98"/>
    <w:rsid w:val="000C14B1"/>
    <w:rsid w:val="000C3227"/>
    <w:rsid w:val="000C3764"/>
    <w:rsid w:val="000C412A"/>
    <w:rsid w:val="000C57A0"/>
    <w:rsid w:val="000C63B8"/>
    <w:rsid w:val="000D2345"/>
    <w:rsid w:val="000D25E6"/>
    <w:rsid w:val="000D362B"/>
    <w:rsid w:val="000D3B19"/>
    <w:rsid w:val="000D5F20"/>
    <w:rsid w:val="000E099A"/>
    <w:rsid w:val="000E0E84"/>
    <w:rsid w:val="000E467C"/>
    <w:rsid w:val="000E5BC7"/>
    <w:rsid w:val="000E65F7"/>
    <w:rsid w:val="000E677A"/>
    <w:rsid w:val="000F0107"/>
    <w:rsid w:val="000F1138"/>
    <w:rsid w:val="000F1345"/>
    <w:rsid w:val="000F19A0"/>
    <w:rsid w:val="000F20DA"/>
    <w:rsid w:val="000F3E22"/>
    <w:rsid w:val="000F5147"/>
    <w:rsid w:val="000F5533"/>
    <w:rsid w:val="000F70B6"/>
    <w:rsid w:val="001001B9"/>
    <w:rsid w:val="001001FC"/>
    <w:rsid w:val="001010C7"/>
    <w:rsid w:val="00102254"/>
    <w:rsid w:val="00102CE5"/>
    <w:rsid w:val="00104D40"/>
    <w:rsid w:val="001052ED"/>
    <w:rsid w:val="00106610"/>
    <w:rsid w:val="0010702C"/>
    <w:rsid w:val="00110970"/>
    <w:rsid w:val="00110F65"/>
    <w:rsid w:val="00111568"/>
    <w:rsid w:val="001120C0"/>
    <w:rsid w:val="00113F33"/>
    <w:rsid w:val="0011400A"/>
    <w:rsid w:val="00114A23"/>
    <w:rsid w:val="001150BF"/>
    <w:rsid w:val="00115EB0"/>
    <w:rsid w:val="001168F2"/>
    <w:rsid w:val="00120207"/>
    <w:rsid w:val="00123C1B"/>
    <w:rsid w:val="001256E9"/>
    <w:rsid w:val="00125E3C"/>
    <w:rsid w:val="00127C7C"/>
    <w:rsid w:val="00132CAF"/>
    <w:rsid w:val="00133E7E"/>
    <w:rsid w:val="00133F46"/>
    <w:rsid w:val="0013456F"/>
    <w:rsid w:val="001352BD"/>
    <w:rsid w:val="00141F82"/>
    <w:rsid w:val="0014202D"/>
    <w:rsid w:val="00142072"/>
    <w:rsid w:val="00142DC4"/>
    <w:rsid w:val="001431B4"/>
    <w:rsid w:val="00143B3F"/>
    <w:rsid w:val="00143C7A"/>
    <w:rsid w:val="00143FCB"/>
    <w:rsid w:val="00144527"/>
    <w:rsid w:val="00144B2B"/>
    <w:rsid w:val="00145627"/>
    <w:rsid w:val="00146A41"/>
    <w:rsid w:val="00150A53"/>
    <w:rsid w:val="00150C2F"/>
    <w:rsid w:val="00151679"/>
    <w:rsid w:val="0015318E"/>
    <w:rsid w:val="00155B4D"/>
    <w:rsid w:val="00156329"/>
    <w:rsid w:val="00161610"/>
    <w:rsid w:val="0016302D"/>
    <w:rsid w:val="00163D92"/>
    <w:rsid w:val="00163DD4"/>
    <w:rsid w:val="00163F18"/>
    <w:rsid w:val="00164144"/>
    <w:rsid w:val="001642A4"/>
    <w:rsid w:val="00164AEA"/>
    <w:rsid w:val="00167AB8"/>
    <w:rsid w:val="00171721"/>
    <w:rsid w:val="00171B43"/>
    <w:rsid w:val="00172ADE"/>
    <w:rsid w:val="00173C1F"/>
    <w:rsid w:val="00175406"/>
    <w:rsid w:val="00175703"/>
    <w:rsid w:val="0017572E"/>
    <w:rsid w:val="001758DE"/>
    <w:rsid w:val="00175D91"/>
    <w:rsid w:val="00176A1D"/>
    <w:rsid w:val="00176D25"/>
    <w:rsid w:val="00176D64"/>
    <w:rsid w:val="00177908"/>
    <w:rsid w:val="00177F1E"/>
    <w:rsid w:val="0018342E"/>
    <w:rsid w:val="00183A96"/>
    <w:rsid w:val="001840C2"/>
    <w:rsid w:val="00184B46"/>
    <w:rsid w:val="00185939"/>
    <w:rsid w:val="00185A81"/>
    <w:rsid w:val="00185B7F"/>
    <w:rsid w:val="001876F6"/>
    <w:rsid w:val="001909DC"/>
    <w:rsid w:val="00191B77"/>
    <w:rsid w:val="00191E23"/>
    <w:rsid w:val="00193A3E"/>
    <w:rsid w:val="00194678"/>
    <w:rsid w:val="001953B1"/>
    <w:rsid w:val="001963C0"/>
    <w:rsid w:val="00196AE2"/>
    <w:rsid w:val="0019780C"/>
    <w:rsid w:val="00197956"/>
    <w:rsid w:val="001A1D03"/>
    <w:rsid w:val="001A446E"/>
    <w:rsid w:val="001A69F5"/>
    <w:rsid w:val="001A743B"/>
    <w:rsid w:val="001B1542"/>
    <w:rsid w:val="001B17A8"/>
    <w:rsid w:val="001B1E2E"/>
    <w:rsid w:val="001B2B9A"/>
    <w:rsid w:val="001B4DD8"/>
    <w:rsid w:val="001B5F1A"/>
    <w:rsid w:val="001B63C6"/>
    <w:rsid w:val="001C07D1"/>
    <w:rsid w:val="001C27FE"/>
    <w:rsid w:val="001C3353"/>
    <w:rsid w:val="001C3E47"/>
    <w:rsid w:val="001C48D4"/>
    <w:rsid w:val="001C4968"/>
    <w:rsid w:val="001C7290"/>
    <w:rsid w:val="001C7C93"/>
    <w:rsid w:val="001D0B81"/>
    <w:rsid w:val="001D36CD"/>
    <w:rsid w:val="001D4F49"/>
    <w:rsid w:val="001D502B"/>
    <w:rsid w:val="001D6D8A"/>
    <w:rsid w:val="001D76D0"/>
    <w:rsid w:val="001D7982"/>
    <w:rsid w:val="001E0403"/>
    <w:rsid w:val="001E1D3D"/>
    <w:rsid w:val="001E2583"/>
    <w:rsid w:val="001E298D"/>
    <w:rsid w:val="001E47D1"/>
    <w:rsid w:val="001E6A64"/>
    <w:rsid w:val="001E75C5"/>
    <w:rsid w:val="001F0AFC"/>
    <w:rsid w:val="001F0BE3"/>
    <w:rsid w:val="001F1887"/>
    <w:rsid w:val="001F34F5"/>
    <w:rsid w:val="001F3F2A"/>
    <w:rsid w:val="001F6088"/>
    <w:rsid w:val="001F69C2"/>
    <w:rsid w:val="001F7F2E"/>
    <w:rsid w:val="002011E6"/>
    <w:rsid w:val="00203052"/>
    <w:rsid w:val="0020391E"/>
    <w:rsid w:val="002045E2"/>
    <w:rsid w:val="002048D1"/>
    <w:rsid w:val="002049CD"/>
    <w:rsid w:val="002079CB"/>
    <w:rsid w:val="0021096E"/>
    <w:rsid w:val="00210DE8"/>
    <w:rsid w:val="00210F83"/>
    <w:rsid w:val="00211D73"/>
    <w:rsid w:val="00212A3E"/>
    <w:rsid w:val="00212DE0"/>
    <w:rsid w:val="002136FE"/>
    <w:rsid w:val="00214BF2"/>
    <w:rsid w:val="00215A7F"/>
    <w:rsid w:val="00216522"/>
    <w:rsid w:val="002177FB"/>
    <w:rsid w:val="00221D19"/>
    <w:rsid w:val="00222FAD"/>
    <w:rsid w:val="0022666B"/>
    <w:rsid w:val="0022734D"/>
    <w:rsid w:val="00231A5B"/>
    <w:rsid w:val="0023236D"/>
    <w:rsid w:val="0023447F"/>
    <w:rsid w:val="002350B3"/>
    <w:rsid w:val="00235367"/>
    <w:rsid w:val="00236CE9"/>
    <w:rsid w:val="002374C6"/>
    <w:rsid w:val="0023798E"/>
    <w:rsid w:val="00237BBE"/>
    <w:rsid w:val="00237F57"/>
    <w:rsid w:val="002428AA"/>
    <w:rsid w:val="00242B5B"/>
    <w:rsid w:val="00242EE4"/>
    <w:rsid w:val="002441AE"/>
    <w:rsid w:val="0024462E"/>
    <w:rsid w:val="00244D94"/>
    <w:rsid w:val="00244ECA"/>
    <w:rsid w:val="002474FA"/>
    <w:rsid w:val="0025198C"/>
    <w:rsid w:val="00253493"/>
    <w:rsid w:val="002536EE"/>
    <w:rsid w:val="00257131"/>
    <w:rsid w:val="00257AFB"/>
    <w:rsid w:val="00257B47"/>
    <w:rsid w:val="00260602"/>
    <w:rsid w:val="0026120B"/>
    <w:rsid w:val="00262345"/>
    <w:rsid w:val="0026293D"/>
    <w:rsid w:val="0026372F"/>
    <w:rsid w:val="00265982"/>
    <w:rsid w:val="00265BE6"/>
    <w:rsid w:val="00267EA0"/>
    <w:rsid w:val="00270154"/>
    <w:rsid w:val="00270E67"/>
    <w:rsid w:val="002712B3"/>
    <w:rsid w:val="00271629"/>
    <w:rsid w:val="00271F70"/>
    <w:rsid w:val="0027288E"/>
    <w:rsid w:val="00273B94"/>
    <w:rsid w:val="0027408B"/>
    <w:rsid w:val="002761A0"/>
    <w:rsid w:val="00276671"/>
    <w:rsid w:val="0027687B"/>
    <w:rsid w:val="00276B56"/>
    <w:rsid w:val="00277579"/>
    <w:rsid w:val="00280F46"/>
    <w:rsid w:val="002812D0"/>
    <w:rsid w:val="002819FD"/>
    <w:rsid w:val="002827DC"/>
    <w:rsid w:val="00282FAC"/>
    <w:rsid w:val="0028524B"/>
    <w:rsid w:val="0028583A"/>
    <w:rsid w:val="00287368"/>
    <w:rsid w:val="00287873"/>
    <w:rsid w:val="0029069F"/>
    <w:rsid w:val="002916CC"/>
    <w:rsid w:val="0029278C"/>
    <w:rsid w:val="00292E65"/>
    <w:rsid w:val="00293C83"/>
    <w:rsid w:val="00293DEE"/>
    <w:rsid w:val="00294D83"/>
    <w:rsid w:val="0029516D"/>
    <w:rsid w:val="00296651"/>
    <w:rsid w:val="0029697C"/>
    <w:rsid w:val="00296BA4"/>
    <w:rsid w:val="002978EA"/>
    <w:rsid w:val="002979F1"/>
    <w:rsid w:val="00297FE2"/>
    <w:rsid w:val="002A1202"/>
    <w:rsid w:val="002A13E1"/>
    <w:rsid w:val="002A3248"/>
    <w:rsid w:val="002A3944"/>
    <w:rsid w:val="002A431E"/>
    <w:rsid w:val="002A4983"/>
    <w:rsid w:val="002A70EA"/>
    <w:rsid w:val="002A7872"/>
    <w:rsid w:val="002B0846"/>
    <w:rsid w:val="002B0E11"/>
    <w:rsid w:val="002B1304"/>
    <w:rsid w:val="002B22A2"/>
    <w:rsid w:val="002B2E26"/>
    <w:rsid w:val="002B2F9D"/>
    <w:rsid w:val="002B55E6"/>
    <w:rsid w:val="002B5612"/>
    <w:rsid w:val="002B7621"/>
    <w:rsid w:val="002B7740"/>
    <w:rsid w:val="002B79EA"/>
    <w:rsid w:val="002C026B"/>
    <w:rsid w:val="002C03FB"/>
    <w:rsid w:val="002C17AE"/>
    <w:rsid w:val="002C21C1"/>
    <w:rsid w:val="002C33BD"/>
    <w:rsid w:val="002C5981"/>
    <w:rsid w:val="002C7C10"/>
    <w:rsid w:val="002D0410"/>
    <w:rsid w:val="002D0899"/>
    <w:rsid w:val="002D13CC"/>
    <w:rsid w:val="002D1707"/>
    <w:rsid w:val="002D17E2"/>
    <w:rsid w:val="002D3E35"/>
    <w:rsid w:val="002D3EBA"/>
    <w:rsid w:val="002D3F5B"/>
    <w:rsid w:val="002D4A72"/>
    <w:rsid w:val="002D7077"/>
    <w:rsid w:val="002E0EC8"/>
    <w:rsid w:val="002E278F"/>
    <w:rsid w:val="002E3B4D"/>
    <w:rsid w:val="002E4224"/>
    <w:rsid w:val="002E5657"/>
    <w:rsid w:val="002E565F"/>
    <w:rsid w:val="002E574A"/>
    <w:rsid w:val="002E581D"/>
    <w:rsid w:val="002E6302"/>
    <w:rsid w:val="002F027D"/>
    <w:rsid w:val="002F03DF"/>
    <w:rsid w:val="002F0522"/>
    <w:rsid w:val="002F0734"/>
    <w:rsid w:val="002F4A95"/>
    <w:rsid w:val="002F5B3E"/>
    <w:rsid w:val="002F7E85"/>
    <w:rsid w:val="00300266"/>
    <w:rsid w:val="0030070F"/>
    <w:rsid w:val="00301975"/>
    <w:rsid w:val="00302258"/>
    <w:rsid w:val="0030401A"/>
    <w:rsid w:val="0030542C"/>
    <w:rsid w:val="00306BAC"/>
    <w:rsid w:val="00307DB3"/>
    <w:rsid w:val="0031029E"/>
    <w:rsid w:val="00310418"/>
    <w:rsid w:val="00310958"/>
    <w:rsid w:val="00312790"/>
    <w:rsid w:val="00312FFC"/>
    <w:rsid w:val="003150BF"/>
    <w:rsid w:val="003150CE"/>
    <w:rsid w:val="00315E92"/>
    <w:rsid w:val="003169D6"/>
    <w:rsid w:val="00317E8C"/>
    <w:rsid w:val="00320A28"/>
    <w:rsid w:val="00321818"/>
    <w:rsid w:val="00322C6F"/>
    <w:rsid w:val="00323B9E"/>
    <w:rsid w:val="00324D94"/>
    <w:rsid w:val="003254A9"/>
    <w:rsid w:val="003254D3"/>
    <w:rsid w:val="00325F6C"/>
    <w:rsid w:val="00326643"/>
    <w:rsid w:val="00330098"/>
    <w:rsid w:val="00330804"/>
    <w:rsid w:val="00330DA8"/>
    <w:rsid w:val="00330E4C"/>
    <w:rsid w:val="00334426"/>
    <w:rsid w:val="00334A6B"/>
    <w:rsid w:val="003353EE"/>
    <w:rsid w:val="00336468"/>
    <w:rsid w:val="003366B2"/>
    <w:rsid w:val="00340066"/>
    <w:rsid w:val="00340697"/>
    <w:rsid w:val="0034288B"/>
    <w:rsid w:val="0034332B"/>
    <w:rsid w:val="00343ADA"/>
    <w:rsid w:val="00343DE2"/>
    <w:rsid w:val="003445A5"/>
    <w:rsid w:val="00344640"/>
    <w:rsid w:val="003449B3"/>
    <w:rsid w:val="0034681C"/>
    <w:rsid w:val="00351F0E"/>
    <w:rsid w:val="00352999"/>
    <w:rsid w:val="00353D88"/>
    <w:rsid w:val="00354710"/>
    <w:rsid w:val="00356787"/>
    <w:rsid w:val="00356D50"/>
    <w:rsid w:val="003600A8"/>
    <w:rsid w:val="00360947"/>
    <w:rsid w:val="00366524"/>
    <w:rsid w:val="00366603"/>
    <w:rsid w:val="003674D5"/>
    <w:rsid w:val="00370716"/>
    <w:rsid w:val="00371E29"/>
    <w:rsid w:val="0037243A"/>
    <w:rsid w:val="0037273F"/>
    <w:rsid w:val="00373E58"/>
    <w:rsid w:val="00374CDB"/>
    <w:rsid w:val="00375828"/>
    <w:rsid w:val="00376073"/>
    <w:rsid w:val="00377452"/>
    <w:rsid w:val="00380A88"/>
    <w:rsid w:val="00381223"/>
    <w:rsid w:val="00381849"/>
    <w:rsid w:val="003823A0"/>
    <w:rsid w:val="003832C2"/>
    <w:rsid w:val="00384F36"/>
    <w:rsid w:val="00385057"/>
    <w:rsid w:val="00385271"/>
    <w:rsid w:val="00385574"/>
    <w:rsid w:val="00386E4D"/>
    <w:rsid w:val="0038747A"/>
    <w:rsid w:val="003902E6"/>
    <w:rsid w:val="00390CE0"/>
    <w:rsid w:val="00391BA6"/>
    <w:rsid w:val="0039226E"/>
    <w:rsid w:val="00392CC8"/>
    <w:rsid w:val="003966A3"/>
    <w:rsid w:val="00396E5D"/>
    <w:rsid w:val="00397A69"/>
    <w:rsid w:val="00397FC4"/>
    <w:rsid w:val="003A2017"/>
    <w:rsid w:val="003A256F"/>
    <w:rsid w:val="003A3609"/>
    <w:rsid w:val="003A37AA"/>
    <w:rsid w:val="003A48CC"/>
    <w:rsid w:val="003A72EF"/>
    <w:rsid w:val="003B4EED"/>
    <w:rsid w:val="003B6B2C"/>
    <w:rsid w:val="003C0DDF"/>
    <w:rsid w:val="003C246A"/>
    <w:rsid w:val="003C266A"/>
    <w:rsid w:val="003C314F"/>
    <w:rsid w:val="003C602A"/>
    <w:rsid w:val="003D0379"/>
    <w:rsid w:val="003D1759"/>
    <w:rsid w:val="003D1896"/>
    <w:rsid w:val="003D25DD"/>
    <w:rsid w:val="003D3B14"/>
    <w:rsid w:val="003D62F7"/>
    <w:rsid w:val="003D69CD"/>
    <w:rsid w:val="003E1035"/>
    <w:rsid w:val="003E1565"/>
    <w:rsid w:val="003E17F2"/>
    <w:rsid w:val="003E19F7"/>
    <w:rsid w:val="003E1E75"/>
    <w:rsid w:val="003E1EB2"/>
    <w:rsid w:val="003E3E54"/>
    <w:rsid w:val="003E4177"/>
    <w:rsid w:val="003E492C"/>
    <w:rsid w:val="003E710D"/>
    <w:rsid w:val="003E7A9C"/>
    <w:rsid w:val="003E7CB6"/>
    <w:rsid w:val="003F0D05"/>
    <w:rsid w:val="003F21E7"/>
    <w:rsid w:val="003F324E"/>
    <w:rsid w:val="003F328F"/>
    <w:rsid w:val="003F356A"/>
    <w:rsid w:val="003F3C05"/>
    <w:rsid w:val="003F48DE"/>
    <w:rsid w:val="003F531A"/>
    <w:rsid w:val="003F7C9E"/>
    <w:rsid w:val="004025E8"/>
    <w:rsid w:val="00402768"/>
    <w:rsid w:val="0040285D"/>
    <w:rsid w:val="00402B5D"/>
    <w:rsid w:val="00404C36"/>
    <w:rsid w:val="004058F8"/>
    <w:rsid w:val="00406F38"/>
    <w:rsid w:val="004107CA"/>
    <w:rsid w:val="004111BC"/>
    <w:rsid w:val="004114CB"/>
    <w:rsid w:val="004125F4"/>
    <w:rsid w:val="004126D4"/>
    <w:rsid w:val="00414703"/>
    <w:rsid w:val="00415D2B"/>
    <w:rsid w:val="00415FEB"/>
    <w:rsid w:val="00416C0A"/>
    <w:rsid w:val="00421941"/>
    <w:rsid w:val="00422758"/>
    <w:rsid w:val="00424DE2"/>
    <w:rsid w:val="00427D34"/>
    <w:rsid w:val="00432528"/>
    <w:rsid w:val="00432836"/>
    <w:rsid w:val="004342AC"/>
    <w:rsid w:val="00434797"/>
    <w:rsid w:val="004373D1"/>
    <w:rsid w:val="0043778D"/>
    <w:rsid w:val="00442821"/>
    <w:rsid w:val="004454C2"/>
    <w:rsid w:val="00445CDA"/>
    <w:rsid w:val="00447347"/>
    <w:rsid w:val="00447F33"/>
    <w:rsid w:val="00450A27"/>
    <w:rsid w:val="00451EC2"/>
    <w:rsid w:val="004530EE"/>
    <w:rsid w:val="00453D5E"/>
    <w:rsid w:val="00454F54"/>
    <w:rsid w:val="00456819"/>
    <w:rsid w:val="00457B6B"/>
    <w:rsid w:val="00457D28"/>
    <w:rsid w:val="00463357"/>
    <w:rsid w:val="00463A04"/>
    <w:rsid w:val="00464D90"/>
    <w:rsid w:val="00465255"/>
    <w:rsid w:val="0046609D"/>
    <w:rsid w:val="0046624C"/>
    <w:rsid w:val="0046630F"/>
    <w:rsid w:val="00467931"/>
    <w:rsid w:val="00470048"/>
    <w:rsid w:val="00470358"/>
    <w:rsid w:val="00470654"/>
    <w:rsid w:val="0047204F"/>
    <w:rsid w:val="00473718"/>
    <w:rsid w:val="00473792"/>
    <w:rsid w:val="00473869"/>
    <w:rsid w:val="00473948"/>
    <w:rsid w:val="0047410E"/>
    <w:rsid w:val="0047432D"/>
    <w:rsid w:val="00477233"/>
    <w:rsid w:val="00477B55"/>
    <w:rsid w:val="0048054A"/>
    <w:rsid w:val="004818E8"/>
    <w:rsid w:val="00482C8C"/>
    <w:rsid w:val="00482F67"/>
    <w:rsid w:val="00483006"/>
    <w:rsid w:val="00484915"/>
    <w:rsid w:val="00484D62"/>
    <w:rsid w:val="00484F88"/>
    <w:rsid w:val="00485961"/>
    <w:rsid w:val="00487387"/>
    <w:rsid w:val="00487BE8"/>
    <w:rsid w:val="00490BFD"/>
    <w:rsid w:val="004919FD"/>
    <w:rsid w:val="004922FA"/>
    <w:rsid w:val="00493A92"/>
    <w:rsid w:val="00495D75"/>
    <w:rsid w:val="0049614E"/>
    <w:rsid w:val="004978C4"/>
    <w:rsid w:val="004A132C"/>
    <w:rsid w:val="004A1DC9"/>
    <w:rsid w:val="004A1EBC"/>
    <w:rsid w:val="004A1FDB"/>
    <w:rsid w:val="004A3703"/>
    <w:rsid w:val="004A5686"/>
    <w:rsid w:val="004A6552"/>
    <w:rsid w:val="004B041F"/>
    <w:rsid w:val="004B26D9"/>
    <w:rsid w:val="004B2C5E"/>
    <w:rsid w:val="004B2FC1"/>
    <w:rsid w:val="004B32BC"/>
    <w:rsid w:val="004B573C"/>
    <w:rsid w:val="004B58A2"/>
    <w:rsid w:val="004B5EE2"/>
    <w:rsid w:val="004B774B"/>
    <w:rsid w:val="004B7C9C"/>
    <w:rsid w:val="004C098B"/>
    <w:rsid w:val="004C0A76"/>
    <w:rsid w:val="004C4023"/>
    <w:rsid w:val="004C4629"/>
    <w:rsid w:val="004C4B71"/>
    <w:rsid w:val="004C6B12"/>
    <w:rsid w:val="004C7CC3"/>
    <w:rsid w:val="004D087E"/>
    <w:rsid w:val="004D19DB"/>
    <w:rsid w:val="004D1E88"/>
    <w:rsid w:val="004D3CA6"/>
    <w:rsid w:val="004D3CD7"/>
    <w:rsid w:val="004D3D78"/>
    <w:rsid w:val="004D4114"/>
    <w:rsid w:val="004D4AE1"/>
    <w:rsid w:val="004D4F05"/>
    <w:rsid w:val="004D58DE"/>
    <w:rsid w:val="004D63E2"/>
    <w:rsid w:val="004D69C5"/>
    <w:rsid w:val="004E1601"/>
    <w:rsid w:val="004E2863"/>
    <w:rsid w:val="004E3366"/>
    <w:rsid w:val="004E3F30"/>
    <w:rsid w:val="004E4242"/>
    <w:rsid w:val="004E46F8"/>
    <w:rsid w:val="004E50C8"/>
    <w:rsid w:val="004E653E"/>
    <w:rsid w:val="004E65F5"/>
    <w:rsid w:val="004F1E06"/>
    <w:rsid w:val="004F2D77"/>
    <w:rsid w:val="004F3E28"/>
    <w:rsid w:val="004F5842"/>
    <w:rsid w:val="004F5FCD"/>
    <w:rsid w:val="004F621F"/>
    <w:rsid w:val="00502DFD"/>
    <w:rsid w:val="00502EAE"/>
    <w:rsid w:val="00503A1B"/>
    <w:rsid w:val="00503E39"/>
    <w:rsid w:val="00504EBC"/>
    <w:rsid w:val="0050500F"/>
    <w:rsid w:val="00505279"/>
    <w:rsid w:val="00505E2E"/>
    <w:rsid w:val="005063E1"/>
    <w:rsid w:val="0050666F"/>
    <w:rsid w:val="00507CC5"/>
    <w:rsid w:val="0051002D"/>
    <w:rsid w:val="005161BA"/>
    <w:rsid w:val="00516713"/>
    <w:rsid w:val="00516BBB"/>
    <w:rsid w:val="00520DE9"/>
    <w:rsid w:val="00520FD6"/>
    <w:rsid w:val="00522D16"/>
    <w:rsid w:val="00523E83"/>
    <w:rsid w:val="005248BB"/>
    <w:rsid w:val="00524C1D"/>
    <w:rsid w:val="00527A62"/>
    <w:rsid w:val="005308A5"/>
    <w:rsid w:val="005314E9"/>
    <w:rsid w:val="00531723"/>
    <w:rsid w:val="00531B71"/>
    <w:rsid w:val="0053275E"/>
    <w:rsid w:val="0053324F"/>
    <w:rsid w:val="0054098C"/>
    <w:rsid w:val="00541A04"/>
    <w:rsid w:val="00541EF9"/>
    <w:rsid w:val="005431CF"/>
    <w:rsid w:val="005431DD"/>
    <w:rsid w:val="00543D0A"/>
    <w:rsid w:val="00543E20"/>
    <w:rsid w:val="005447D6"/>
    <w:rsid w:val="005454F3"/>
    <w:rsid w:val="005455E5"/>
    <w:rsid w:val="0054681B"/>
    <w:rsid w:val="0054779A"/>
    <w:rsid w:val="00547BA1"/>
    <w:rsid w:val="005531C9"/>
    <w:rsid w:val="00554C3D"/>
    <w:rsid w:val="00554D19"/>
    <w:rsid w:val="005558FD"/>
    <w:rsid w:val="00556101"/>
    <w:rsid w:val="00556D75"/>
    <w:rsid w:val="00557CB1"/>
    <w:rsid w:val="0056091E"/>
    <w:rsid w:val="00561371"/>
    <w:rsid w:val="0056172D"/>
    <w:rsid w:val="0056254E"/>
    <w:rsid w:val="005635F3"/>
    <w:rsid w:val="0056402B"/>
    <w:rsid w:val="0056411C"/>
    <w:rsid w:val="00564CF3"/>
    <w:rsid w:val="005657E8"/>
    <w:rsid w:val="00565B4C"/>
    <w:rsid w:val="005663D3"/>
    <w:rsid w:val="005663FF"/>
    <w:rsid w:val="00566662"/>
    <w:rsid w:val="00566C6A"/>
    <w:rsid w:val="005677E5"/>
    <w:rsid w:val="00570D24"/>
    <w:rsid w:val="00571089"/>
    <w:rsid w:val="005732F8"/>
    <w:rsid w:val="005732F9"/>
    <w:rsid w:val="00573980"/>
    <w:rsid w:val="00574C1A"/>
    <w:rsid w:val="00574EE5"/>
    <w:rsid w:val="005771FD"/>
    <w:rsid w:val="00580EEB"/>
    <w:rsid w:val="00580FCF"/>
    <w:rsid w:val="00583371"/>
    <w:rsid w:val="00583673"/>
    <w:rsid w:val="00583BD8"/>
    <w:rsid w:val="00583D08"/>
    <w:rsid w:val="00587BE7"/>
    <w:rsid w:val="00587CBC"/>
    <w:rsid w:val="00590C40"/>
    <w:rsid w:val="00590CA1"/>
    <w:rsid w:val="00592447"/>
    <w:rsid w:val="005934EB"/>
    <w:rsid w:val="00593BBF"/>
    <w:rsid w:val="005940D2"/>
    <w:rsid w:val="00595DF1"/>
    <w:rsid w:val="00596524"/>
    <w:rsid w:val="00597D35"/>
    <w:rsid w:val="005A0F72"/>
    <w:rsid w:val="005A4A36"/>
    <w:rsid w:val="005A5A7D"/>
    <w:rsid w:val="005A5F5F"/>
    <w:rsid w:val="005A606C"/>
    <w:rsid w:val="005A6D6D"/>
    <w:rsid w:val="005A7264"/>
    <w:rsid w:val="005B018C"/>
    <w:rsid w:val="005B086C"/>
    <w:rsid w:val="005B1601"/>
    <w:rsid w:val="005B167B"/>
    <w:rsid w:val="005B1989"/>
    <w:rsid w:val="005B3EB7"/>
    <w:rsid w:val="005B4CFC"/>
    <w:rsid w:val="005B58B0"/>
    <w:rsid w:val="005B6BED"/>
    <w:rsid w:val="005C0298"/>
    <w:rsid w:val="005C0769"/>
    <w:rsid w:val="005C360A"/>
    <w:rsid w:val="005D0BA2"/>
    <w:rsid w:val="005D221C"/>
    <w:rsid w:val="005D2A43"/>
    <w:rsid w:val="005D3493"/>
    <w:rsid w:val="005D480E"/>
    <w:rsid w:val="005D6EA0"/>
    <w:rsid w:val="005D7515"/>
    <w:rsid w:val="005E1852"/>
    <w:rsid w:val="005E18F6"/>
    <w:rsid w:val="005E4C38"/>
    <w:rsid w:val="005E69A0"/>
    <w:rsid w:val="005E7B36"/>
    <w:rsid w:val="005F02E6"/>
    <w:rsid w:val="005F10F1"/>
    <w:rsid w:val="005F1911"/>
    <w:rsid w:val="005F2CBA"/>
    <w:rsid w:val="005F3216"/>
    <w:rsid w:val="005F4DFE"/>
    <w:rsid w:val="005F4EF9"/>
    <w:rsid w:val="005F6036"/>
    <w:rsid w:val="005F6A26"/>
    <w:rsid w:val="005F7113"/>
    <w:rsid w:val="006015AE"/>
    <w:rsid w:val="006017B1"/>
    <w:rsid w:val="0060306A"/>
    <w:rsid w:val="006048BC"/>
    <w:rsid w:val="0060685F"/>
    <w:rsid w:val="00607066"/>
    <w:rsid w:val="00607197"/>
    <w:rsid w:val="0060752A"/>
    <w:rsid w:val="00607A16"/>
    <w:rsid w:val="006109F8"/>
    <w:rsid w:val="00610DA3"/>
    <w:rsid w:val="006147EA"/>
    <w:rsid w:val="00614A55"/>
    <w:rsid w:val="00615526"/>
    <w:rsid w:val="00615F07"/>
    <w:rsid w:val="00623075"/>
    <w:rsid w:val="00623910"/>
    <w:rsid w:val="00624A27"/>
    <w:rsid w:val="00624D74"/>
    <w:rsid w:val="00625452"/>
    <w:rsid w:val="0062716D"/>
    <w:rsid w:val="00627AF2"/>
    <w:rsid w:val="00632602"/>
    <w:rsid w:val="00632F94"/>
    <w:rsid w:val="006335AA"/>
    <w:rsid w:val="0063402D"/>
    <w:rsid w:val="0063632F"/>
    <w:rsid w:val="00637CB1"/>
    <w:rsid w:val="00650C56"/>
    <w:rsid w:val="00650F9B"/>
    <w:rsid w:val="00651FBA"/>
    <w:rsid w:val="00652858"/>
    <w:rsid w:val="00654486"/>
    <w:rsid w:val="00654BED"/>
    <w:rsid w:val="006558DC"/>
    <w:rsid w:val="006563F8"/>
    <w:rsid w:val="00656B27"/>
    <w:rsid w:val="00657DB9"/>
    <w:rsid w:val="00657F8B"/>
    <w:rsid w:val="00660401"/>
    <w:rsid w:val="006618FC"/>
    <w:rsid w:val="00663D00"/>
    <w:rsid w:val="00663E86"/>
    <w:rsid w:val="00665475"/>
    <w:rsid w:val="00665B06"/>
    <w:rsid w:val="00666DCA"/>
    <w:rsid w:val="00671B7E"/>
    <w:rsid w:val="006752BA"/>
    <w:rsid w:val="006767BC"/>
    <w:rsid w:val="006800F9"/>
    <w:rsid w:val="00681D75"/>
    <w:rsid w:val="0068242E"/>
    <w:rsid w:val="006827BB"/>
    <w:rsid w:val="00684035"/>
    <w:rsid w:val="00684BAF"/>
    <w:rsid w:val="006850C4"/>
    <w:rsid w:val="00686948"/>
    <w:rsid w:val="00687122"/>
    <w:rsid w:val="00690879"/>
    <w:rsid w:val="00692308"/>
    <w:rsid w:val="006930F5"/>
    <w:rsid w:val="006931D1"/>
    <w:rsid w:val="0069575E"/>
    <w:rsid w:val="006957BB"/>
    <w:rsid w:val="00696EBB"/>
    <w:rsid w:val="006A13EC"/>
    <w:rsid w:val="006A1613"/>
    <w:rsid w:val="006A1786"/>
    <w:rsid w:val="006A1A7A"/>
    <w:rsid w:val="006A1F10"/>
    <w:rsid w:val="006A2415"/>
    <w:rsid w:val="006A256B"/>
    <w:rsid w:val="006A2756"/>
    <w:rsid w:val="006A2919"/>
    <w:rsid w:val="006A3415"/>
    <w:rsid w:val="006A3FCD"/>
    <w:rsid w:val="006A4D4E"/>
    <w:rsid w:val="006A67E6"/>
    <w:rsid w:val="006A6993"/>
    <w:rsid w:val="006B0506"/>
    <w:rsid w:val="006B2CCA"/>
    <w:rsid w:val="006B630A"/>
    <w:rsid w:val="006B6A15"/>
    <w:rsid w:val="006C1577"/>
    <w:rsid w:val="006C3E2D"/>
    <w:rsid w:val="006C50FC"/>
    <w:rsid w:val="006C5ACD"/>
    <w:rsid w:val="006C6300"/>
    <w:rsid w:val="006D08D7"/>
    <w:rsid w:val="006D1544"/>
    <w:rsid w:val="006D1BBD"/>
    <w:rsid w:val="006D2A3C"/>
    <w:rsid w:val="006D36B7"/>
    <w:rsid w:val="006D3A49"/>
    <w:rsid w:val="006D5F10"/>
    <w:rsid w:val="006D6503"/>
    <w:rsid w:val="006D686D"/>
    <w:rsid w:val="006D6894"/>
    <w:rsid w:val="006D7533"/>
    <w:rsid w:val="006E15ED"/>
    <w:rsid w:val="006E16F1"/>
    <w:rsid w:val="006E2254"/>
    <w:rsid w:val="006E359B"/>
    <w:rsid w:val="006E40C1"/>
    <w:rsid w:val="006E4196"/>
    <w:rsid w:val="006E75BF"/>
    <w:rsid w:val="006F0979"/>
    <w:rsid w:val="006F09B5"/>
    <w:rsid w:val="006F0A60"/>
    <w:rsid w:val="006F1349"/>
    <w:rsid w:val="006F1786"/>
    <w:rsid w:val="006F201F"/>
    <w:rsid w:val="006F2C03"/>
    <w:rsid w:val="006F48B3"/>
    <w:rsid w:val="006F48B8"/>
    <w:rsid w:val="006F5141"/>
    <w:rsid w:val="006F553C"/>
    <w:rsid w:val="006F5924"/>
    <w:rsid w:val="006F6258"/>
    <w:rsid w:val="006F65E1"/>
    <w:rsid w:val="006F7F8E"/>
    <w:rsid w:val="00701552"/>
    <w:rsid w:val="00701D76"/>
    <w:rsid w:val="00702C32"/>
    <w:rsid w:val="00704F4B"/>
    <w:rsid w:val="00704FDE"/>
    <w:rsid w:val="00705448"/>
    <w:rsid w:val="0070582C"/>
    <w:rsid w:val="0070690C"/>
    <w:rsid w:val="00706F0D"/>
    <w:rsid w:val="007110B4"/>
    <w:rsid w:val="00711EEF"/>
    <w:rsid w:val="007122EC"/>
    <w:rsid w:val="0071244D"/>
    <w:rsid w:val="00713249"/>
    <w:rsid w:val="00713F52"/>
    <w:rsid w:val="00714504"/>
    <w:rsid w:val="00716488"/>
    <w:rsid w:val="007167D7"/>
    <w:rsid w:val="0071742A"/>
    <w:rsid w:val="0072020B"/>
    <w:rsid w:val="007205F1"/>
    <w:rsid w:val="0072387D"/>
    <w:rsid w:val="00726B29"/>
    <w:rsid w:val="00730E8F"/>
    <w:rsid w:val="00731D48"/>
    <w:rsid w:val="00732FA8"/>
    <w:rsid w:val="007335EE"/>
    <w:rsid w:val="00734484"/>
    <w:rsid w:val="007349C2"/>
    <w:rsid w:val="00742076"/>
    <w:rsid w:val="00745136"/>
    <w:rsid w:val="00745A15"/>
    <w:rsid w:val="00745A34"/>
    <w:rsid w:val="00745DD2"/>
    <w:rsid w:val="00746CC1"/>
    <w:rsid w:val="00751354"/>
    <w:rsid w:val="00754797"/>
    <w:rsid w:val="00756909"/>
    <w:rsid w:val="00756F7E"/>
    <w:rsid w:val="00760D10"/>
    <w:rsid w:val="00761D4F"/>
    <w:rsid w:val="00762108"/>
    <w:rsid w:val="00770218"/>
    <w:rsid w:val="00770E38"/>
    <w:rsid w:val="00774A91"/>
    <w:rsid w:val="007751DE"/>
    <w:rsid w:val="00776134"/>
    <w:rsid w:val="007779AA"/>
    <w:rsid w:val="007805B5"/>
    <w:rsid w:val="0078133D"/>
    <w:rsid w:val="007818B1"/>
    <w:rsid w:val="00781A27"/>
    <w:rsid w:val="00781E34"/>
    <w:rsid w:val="0078299C"/>
    <w:rsid w:val="0078440F"/>
    <w:rsid w:val="00784C44"/>
    <w:rsid w:val="00785785"/>
    <w:rsid w:val="00791053"/>
    <w:rsid w:val="00791CA2"/>
    <w:rsid w:val="00791DED"/>
    <w:rsid w:val="00792AA8"/>
    <w:rsid w:val="00793AAE"/>
    <w:rsid w:val="00794972"/>
    <w:rsid w:val="00794E8C"/>
    <w:rsid w:val="00795DE8"/>
    <w:rsid w:val="00796EE7"/>
    <w:rsid w:val="00797022"/>
    <w:rsid w:val="007973D9"/>
    <w:rsid w:val="007A09BF"/>
    <w:rsid w:val="007A3ABE"/>
    <w:rsid w:val="007A3EB1"/>
    <w:rsid w:val="007A4CB0"/>
    <w:rsid w:val="007A5B52"/>
    <w:rsid w:val="007A62C3"/>
    <w:rsid w:val="007A6EA9"/>
    <w:rsid w:val="007B0406"/>
    <w:rsid w:val="007B3FA4"/>
    <w:rsid w:val="007B4102"/>
    <w:rsid w:val="007B4F10"/>
    <w:rsid w:val="007B651A"/>
    <w:rsid w:val="007B6648"/>
    <w:rsid w:val="007B6669"/>
    <w:rsid w:val="007C311B"/>
    <w:rsid w:val="007C3261"/>
    <w:rsid w:val="007C484D"/>
    <w:rsid w:val="007C506B"/>
    <w:rsid w:val="007C5B81"/>
    <w:rsid w:val="007C663B"/>
    <w:rsid w:val="007D0986"/>
    <w:rsid w:val="007D123E"/>
    <w:rsid w:val="007D12EA"/>
    <w:rsid w:val="007D1DBC"/>
    <w:rsid w:val="007D59A7"/>
    <w:rsid w:val="007D67F5"/>
    <w:rsid w:val="007D68E3"/>
    <w:rsid w:val="007D698B"/>
    <w:rsid w:val="007D7BB6"/>
    <w:rsid w:val="007E2518"/>
    <w:rsid w:val="007E3AD9"/>
    <w:rsid w:val="007E4D74"/>
    <w:rsid w:val="007E5D35"/>
    <w:rsid w:val="007E5D7E"/>
    <w:rsid w:val="007E68A5"/>
    <w:rsid w:val="007E701B"/>
    <w:rsid w:val="007F19DB"/>
    <w:rsid w:val="007F52A6"/>
    <w:rsid w:val="007F54B7"/>
    <w:rsid w:val="007F5789"/>
    <w:rsid w:val="007F613E"/>
    <w:rsid w:val="007F638A"/>
    <w:rsid w:val="007F6789"/>
    <w:rsid w:val="007F68DA"/>
    <w:rsid w:val="007F7344"/>
    <w:rsid w:val="007F7770"/>
    <w:rsid w:val="007F7EC5"/>
    <w:rsid w:val="008004E7"/>
    <w:rsid w:val="0080276C"/>
    <w:rsid w:val="00802ACE"/>
    <w:rsid w:val="008046CD"/>
    <w:rsid w:val="00805E04"/>
    <w:rsid w:val="008060C8"/>
    <w:rsid w:val="00810F5C"/>
    <w:rsid w:val="00812723"/>
    <w:rsid w:val="00814A6A"/>
    <w:rsid w:val="00814ED4"/>
    <w:rsid w:val="008152E3"/>
    <w:rsid w:val="008153C8"/>
    <w:rsid w:val="0081557C"/>
    <w:rsid w:val="008159B1"/>
    <w:rsid w:val="00815BC6"/>
    <w:rsid w:val="008171F7"/>
    <w:rsid w:val="00820282"/>
    <w:rsid w:val="0082117F"/>
    <w:rsid w:val="00822163"/>
    <w:rsid w:val="008245EA"/>
    <w:rsid w:val="00825ADF"/>
    <w:rsid w:val="0082619C"/>
    <w:rsid w:val="0082750D"/>
    <w:rsid w:val="00827574"/>
    <w:rsid w:val="00827A93"/>
    <w:rsid w:val="00827BE0"/>
    <w:rsid w:val="00830064"/>
    <w:rsid w:val="00831A0D"/>
    <w:rsid w:val="00834727"/>
    <w:rsid w:val="00835C87"/>
    <w:rsid w:val="00836AD2"/>
    <w:rsid w:val="008375CC"/>
    <w:rsid w:val="0084125A"/>
    <w:rsid w:val="008415CC"/>
    <w:rsid w:val="00842192"/>
    <w:rsid w:val="00842862"/>
    <w:rsid w:val="008432F4"/>
    <w:rsid w:val="00843B0C"/>
    <w:rsid w:val="00843E73"/>
    <w:rsid w:val="00845187"/>
    <w:rsid w:val="00845199"/>
    <w:rsid w:val="00847DFE"/>
    <w:rsid w:val="00851111"/>
    <w:rsid w:val="008525CF"/>
    <w:rsid w:val="008542CC"/>
    <w:rsid w:val="00854E67"/>
    <w:rsid w:val="00855BA6"/>
    <w:rsid w:val="00860973"/>
    <w:rsid w:val="00860B77"/>
    <w:rsid w:val="00860C87"/>
    <w:rsid w:val="0086183E"/>
    <w:rsid w:val="008622B4"/>
    <w:rsid w:val="00862982"/>
    <w:rsid w:val="008648B5"/>
    <w:rsid w:val="0086641A"/>
    <w:rsid w:val="00867F68"/>
    <w:rsid w:val="00872075"/>
    <w:rsid w:val="008737D3"/>
    <w:rsid w:val="008754F3"/>
    <w:rsid w:val="00877CBF"/>
    <w:rsid w:val="008810A9"/>
    <w:rsid w:val="00882490"/>
    <w:rsid w:val="00882D53"/>
    <w:rsid w:val="00883437"/>
    <w:rsid w:val="008834C5"/>
    <w:rsid w:val="00883C24"/>
    <w:rsid w:val="00884A74"/>
    <w:rsid w:val="008853F8"/>
    <w:rsid w:val="008869E7"/>
    <w:rsid w:val="00887DC8"/>
    <w:rsid w:val="00894629"/>
    <w:rsid w:val="008953BD"/>
    <w:rsid w:val="0089584B"/>
    <w:rsid w:val="00895CF5"/>
    <w:rsid w:val="00896221"/>
    <w:rsid w:val="00897354"/>
    <w:rsid w:val="008A003F"/>
    <w:rsid w:val="008A4628"/>
    <w:rsid w:val="008A5ADD"/>
    <w:rsid w:val="008A6FF7"/>
    <w:rsid w:val="008B1207"/>
    <w:rsid w:val="008B2711"/>
    <w:rsid w:val="008B36F7"/>
    <w:rsid w:val="008B47CB"/>
    <w:rsid w:val="008B6A6C"/>
    <w:rsid w:val="008B71C1"/>
    <w:rsid w:val="008B7F65"/>
    <w:rsid w:val="008C025C"/>
    <w:rsid w:val="008C0AC1"/>
    <w:rsid w:val="008C0B87"/>
    <w:rsid w:val="008C0DB4"/>
    <w:rsid w:val="008C15BB"/>
    <w:rsid w:val="008C252E"/>
    <w:rsid w:val="008C2797"/>
    <w:rsid w:val="008C28E5"/>
    <w:rsid w:val="008C4E5F"/>
    <w:rsid w:val="008C58B7"/>
    <w:rsid w:val="008C5F7A"/>
    <w:rsid w:val="008C6C82"/>
    <w:rsid w:val="008C7389"/>
    <w:rsid w:val="008D15F7"/>
    <w:rsid w:val="008D1C72"/>
    <w:rsid w:val="008D1FDE"/>
    <w:rsid w:val="008D351D"/>
    <w:rsid w:val="008D3B38"/>
    <w:rsid w:val="008D5E12"/>
    <w:rsid w:val="008D726B"/>
    <w:rsid w:val="008E0EC6"/>
    <w:rsid w:val="008E1C45"/>
    <w:rsid w:val="008E242E"/>
    <w:rsid w:val="008E3BEF"/>
    <w:rsid w:val="008E4C2B"/>
    <w:rsid w:val="008E647B"/>
    <w:rsid w:val="008E7B61"/>
    <w:rsid w:val="008F0065"/>
    <w:rsid w:val="008F13F7"/>
    <w:rsid w:val="008F2C5B"/>
    <w:rsid w:val="008F2C98"/>
    <w:rsid w:val="008F3AE2"/>
    <w:rsid w:val="008F6221"/>
    <w:rsid w:val="008F722B"/>
    <w:rsid w:val="008F777B"/>
    <w:rsid w:val="008F7CCE"/>
    <w:rsid w:val="009064E2"/>
    <w:rsid w:val="009077C7"/>
    <w:rsid w:val="00911FCC"/>
    <w:rsid w:val="0091220E"/>
    <w:rsid w:val="00912A41"/>
    <w:rsid w:val="0091465A"/>
    <w:rsid w:val="00915639"/>
    <w:rsid w:val="00916459"/>
    <w:rsid w:val="009170F2"/>
    <w:rsid w:val="00920216"/>
    <w:rsid w:val="00920463"/>
    <w:rsid w:val="00921F70"/>
    <w:rsid w:val="009223BA"/>
    <w:rsid w:val="009231E5"/>
    <w:rsid w:val="009233C7"/>
    <w:rsid w:val="009238C7"/>
    <w:rsid w:val="00923D68"/>
    <w:rsid w:val="00923D9C"/>
    <w:rsid w:val="009245CA"/>
    <w:rsid w:val="009252DA"/>
    <w:rsid w:val="00925DD1"/>
    <w:rsid w:val="00926E4D"/>
    <w:rsid w:val="00927A7D"/>
    <w:rsid w:val="00930A8A"/>
    <w:rsid w:val="00930E82"/>
    <w:rsid w:val="00931618"/>
    <w:rsid w:val="0093342C"/>
    <w:rsid w:val="0093352D"/>
    <w:rsid w:val="0093441E"/>
    <w:rsid w:val="009376FF"/>
    <w:rsid w:val="00940185"/>
    <w:rsid w:val="00940BCD"/>
    <w:rsid w:val="00941279"/>
    <w:rsid w:val="00943A07"/>
    <w:rsid w:val="009462D5"/>
    <w:rsid w:val="00950228"/>
    <w:rsid w:val="00950469"/>
    <w:rsid w:val="009522B5"/>
    <w:rsid w:val="00952DA6"/>
    <w:rsid w:val="0095361B"/>
    <w:rsid w:val="0095456C"/>
    <w:rsid w:val="009547B3"/>
    <w:rsid w:val="00956905"/>
    <w:rsid w:val="009578AF"/>
    <w:rsid w:val="009614C6"/>
    <w:rsid w:val="0096218C"/>
    <w:rsid w:val="00962BFB"/>
    <w:rsid w:val="00962E1C"/>
    <w:rsid w:val="009630AD"/>
    <w:rsid w:val="0096349D"/>
    <w:rsid w:val="0096485C"/>
    <w:rsid w:val="00964954"/>
    <w:rsid w:val="00964AE3"/>
    <w:rsid w:val="00966741"/>
    <w:rsid w:val="00966DEC"/>
    <w:rsid w:val="00967893"/>
    <w:rsid w:val="00970C07"/>
    <w:rsid w:val="00975877"/>
    <w:rsid w:val="0097673B"/>
    <w:rsid w:val="0098125B"/>
    <w:rsid w:val="009823AE"/>
    <w:rsid w:val="009840FB"/>
    <w:rsid w:val="0098468A"/>
    <w:rsid w:val="0098635B"/>
    <w:rsid w:val="00986EDD"/>
    <w:rsid w:val="00987C7D"/>
    <w:rsid w:val="00990380"/>
    <w:rsid w:val="009907EE"/>
    <w:rsid w:val="00990A4E"/>
    <w:rsid w:val="009921DB"/>
    <w:rsid w:val="00992AA1"/>
    <w:rsid w:val="00993D91"/>
    <w:rsid w:val="009940EF"/>
    <w:rsid w:val="0099430E"/>
    <w:rsid w:val="00994A8D"/>
    <w:rsid w:val="00994D06"/>
    <w:rsid w:val="0099625B"/>
    <w:rsid w:val="00996857"/>
    <w:rsid w:val="00997CF0"/>
    <w:rsid w:val="009A0A38"/>
    <w:rsid w:val="009A0BBC"/>
    <w:rsid w:val="009A1177"/>
    <w:rsid w:val="009A346F"/>
    <w:rsid w:val="009A5AFD"/>
    <w:rsid w:val="009A6EFD"/>
    <w:rsid w:val="009B39DC"/>
    <w:rsid w:val="009B5FA6"/>
    <w:rsid w:val="009B61E7"/>
    <w:rsid w:val="009C0C82"/>
    <w:rsid w:val="009C1620"/>
    <w:rsid w:val="009C2427"/>
    <w:rsid w:val="009C3E11"/>
    <w:rsid w:val="009C6ADE"/>
    <w:rsid w:val="009C6E72"/>
    <w:rsid w:val="009C6FF6"/>
    <w:rsid w:val="009C7155"/>
    <w:rsid w:val="009C79DD"/>
    <w:rsid w:val="009D06C4"/>
    <w:rsid w:val="009D0BDA"/>
    <w:rsid w:val="009D0C72"/>
    <w:rsid w:val="009D207A"/>
    <w:rsid w:val="009D3C3F"/>
    <w:rsid w:val="009D3EDE"/>
    <w:rsid w:val="009D4D67"/>
    <w:rsid w:val="009D635B"/>
    <w:rsid w:val="009D66DC"/>
    <w:rsid w:val="009D6A27"/>
    <w:rsid w:val="009D7F6F"/>
    <w:rsid w:val="009E0393"/>
    <w:rsid w:val="009E07D3"/>
    <w:rsid w:val="009E41AC"/>
    <w:rsid w:val="009E49C6"/>
    <w:rsid w:val="009E4C7D"/>
    <w:rsid w:val="009F06F2"/>
    <w:rsid w:val="009F1890"/>
    <w:rsid w:val="009F19CB"/>
    <w:rsid w:val="009F5385"/>
    <w:rsid w:val="009F635E"/>
    <w:rsid w:val="009F6805"/>
    <w:rsid w:val="00A01551"/>
    <w:rsid w:val="00A01ED1"/>
    <w:rsid w:val="00A02C5D"/>
    <w:rsid w:val="00A046AE"/>
    <w:rsid w:val="00A058DF"/>
    <w:rsid w:val="00A05D43"/>
    <w:rsid w:val="00A05E76"/>
    <w:rsid w:val="00A05F21"/>
    <w:rsid w:val="00A10BD5"/>
    <w:rsid w:val="00A10FFF"/>
    <w:rsid w:val="00A11643"/>
    <w:rsid w:val="00A13008"/>
    <w:rsid w:val="00A140D3"/>
    <w:rsid w:val="00A1446B"/>
    <w:rsid w:val="00A159AF"/>
    <w:rsid w:val="00A167F2"/>
    <w:rsid w:val="00A16E79"/>
    <w:rsid w:val="00A17ABF"/>
    <w:rsid w:val="00A17AE7"/>
    <w:rsid w:val="00A17EFE"/>
    <w:rsid w:val="00A20C78"/>
    <w:rsid w:val="00A2312E"/>
    <w:rsid w:val="00A24323"/>
    <w:rsid w:val="00A2512C"/>
    <w:rsid w:val="00A2515B"/>
    <w:rsid w:val="00A254A7"/>
    <w:rsid w:val="00A2562F"/>
    <w:rsid w:val="00A2588E"/>
    <w:rsid w:val="00A26EDF"/>
    <w:rsid w:val="00A31AC2"/>
    <w:rsid w:val="00A34789"/>
    <w:rsid w:val="00A35E48"/>
    <w:rsid w:val="00A3630E"/>
    <w:rsid w:val="00A36C49"/>
    <w:rsid w:val="00A37494"/>
    <w:rsid w:val="00A37BB8"/>
    <w:rsid w:val="00A40C8D"/>
    <w:rsid w:val="00A41FF8"/>
    <w:rsid w:val="00A42D87"/>
    <w:rsid w:val="00A4328F"/>
    <w:rsid w:val="00A43E0C"/>
    <w:rsid w:val="00A44BD3"/>
    <w:rsid w:val="00A4521D"/>
    <w:rsid w:val="00A4645B"/>
    <w:rsid w:val="00A46D6F"/>
    <w:rsid w:val="00A51F0A"/>
    <w:rsid w:val="00A52632"/>
    <w:rsid w:val="00A53DF1"/>
    <w:rsid w:val="00A5444D"/>
    <w:rsid w:val="00A54EF2"/>
    <w:rsid w:val="00A55D48"/>
    <w:rsid w:val="00A57BEB"/>
    <w:rsid w:val="00A61673"/>
    <w:rsid w:val="00A63FE9"/>
    <w:rsid w:val="00A64926"/>
    <w:rsid w:val="00A665CF"/>
    <w:rsid w:val="00A6739E"/>
    <w:rsid w:val="00A67CA7"/>
    <w:rsid w:val="00A735DE"/>
    <w:rsid w:val="00A73989"/>
    <w:rsid w:val="00A76204"/>
    <w:rsid w:val="00A762A7"/>
    <w:rsid w:val="00A76487"/>
    <w:rsid w:val="00A76C6D"/>
    <w:rsid w:val="00A77095"/>
    <w:rsid w:val="00A77148"/>
    <w:rsid w:val="00A7752F"/>
    <w:rsid w:val="00A80FD1"/>
    <w:rsid w:val="00A81FC4"/>
    <w:rsid w:val="00A822AA"/>
    <w:rsid w:val="00A836A4"/>
    <w:rsid w:val="00A847B8"/>
    <w:rsid w:val="00A85C35"/>
    <w:rsid w:val="00A85CAF"/>
    <w:rsid w:val="00A9205D"/>
    <w:rsid w:val="00A92061"/>
    <w:rsid w:val="00A93708"/>
    <w:rsid w:val="00A94249"/>
    <w:rsid w:val="00A94BC9"/>
    <w:rsid w:val="00A9552D"/>
    <w:rsid w:val="00A959BC"/>
    <w:rsid w:val="00A974E1"/>
    <w:rsid w:val="00AA0B82"/>
    <w:rsid w:val="00AA2265"/>
    <w:rsid w:val="00AA292E"/>
    <w:rsid w:val="00AA3C60"/>
    <w:rsid w:val="00AA5C58"/>
    <w:rsid w:val="00AA7A20"/>
    <w:rsid w:val="00AB14C4"/>
    <w:rsid w:val="00AB2FF4"/>
    <w:rsid w:val="00AB3B36"/>
    <w:rsid w:val="00AB42C3"/>
    <w:rsid w:val="00AB5AB3"/>
    <w:rsid w:val="00AB5F9C"/>
    <w:rsid w:val="00AC0622"/>
    <w:rsid w:val="00AC1AD6"/>
    <w:rsid w:val="00AC2318"/>
    <w:rsid w:val="00AC2461"/>
    <w:rsid w:val="00AC3301"/>
    <w:rsid w:val="00AC4AFB"/>
    <w:rsid w:val="00AC4DBB"/>
    <w:rsid w:val="00AC71DA"/>
    <w:rsid w:val="00AD1CE0"/>
    <w:rsid w:val="00AD64DF"/>
    <w:rsid w:val="00AD65B4"/>
    <w:rsid w:val="00AE00A8"/>
    <w:rsid w:val="00AE0E97"/>
    <w:rsid w:val="00AE1025"/>
    <w:rsid w:val="00AE3F03"/>
    <w:rsid w:val="00AE45FC"/>
    <w:rsid w:val="00AE582A"/>
    <w:rsid w:val="00AE64F0"/>
    <w:rsid w:val="00AE7943"/>
    <w:rsid w:val="00AF0301"/>
    <w:rsid w:val="00AF112D"/>
    <w:rsid w:val="00AF14B2"/>
    <w:rsid w:val="00AF23C8"/>
    <w:rsid w:val="00AF2912"/>
    <w:rsid w:val="00AF2AE2"/>
    <w:rsid w:val="00AF34CD"/>
    <w:rsid w:val="00AF50F2"/>
    <w:rsid w:val="00AF5605"/>
    <w:rsid w:val="00AF7DDA"/>
    <w:rsid w:val="00B02FE9"/>
    <w:rsid w:val="00B0377E"/>
    <w:rsid w:val="00B03C2E"/>
    <w:rsid w:val="00B0472A"/>
    <w:rsid w:val="00B060EB"/>
    <w:rsid w:val="00B07BA9"/>
    <w:rsid w:val="00B10055"/>
    <w:rsid w:val="00B1141E"/>
    <w:rsid w:val="00B1278B"/>
    <w:rsid w:val="00B13C66"/>
    <w:rsid w:val="00B147EA"/>
    <w:rsid w:val="00B1712E"/>
    <w:rsid w:val="00B17295"/>
    <w:rsid w:val="00B215F5"/>
    <w:rsid w:val="00B27A54"/>
    <w:rsid w:val="00B30783"/>
    <w:rsid w:val="00B32B18"/>
    <w:rsid w:val="00B35673"/>
    <w:rsid w:val="00B35EEC"/>
    <w:rsid w:val="00B40038"/>
    <w:rsid w:val="00B40202"/>
    <w:rsid w:val="00B407F0"/>
    <w:rsid w:val="00B40D75"/>
    <w:rsid w:val="00B41915"/>
    <w:rsid w:val="00B41F0F"/>
    <w:rsid w:val="00B42560"/>
    <w:rsid w:val="00B455AA"/>
    <w:rsid w:val="00B45778"/>
    <w:rsid w:val="00B457A1"/>
    <w:rsid w:val="00B4630F"/>
    <w:rsid w:val="00B464B1"/>
    <w:rsid w:val="00B47A4A"/>
    <w:rsid w:val="00B47B99"/>
    <w:rsid w:val="00B5059E"/>
    <w:rsid w:val="00B506F2"/>
    <w:rsid w:val="00B510E3"/>
    <w:rsid w:val="00B51A63"/>
    <w:rsid w:val="00B521AC"/>
    <w:rsid w:val="00B52702"/>
    <w:rsid w:val="00B530E4"/>
    <w:rsid w:val="00B5498D"/>
    <w:rsid w:val="00B5501D"/>
    <w:rsid w:val="00B6123B"/>
    <w:rsid w:val="00B6151E"/>
    <w:rsid w:val="00B63B34"/>
    <w:rsid w:val="00B64962"/>
    <w:rsid w:val="00B676EC"/>
    <w:rsid w:val="00B7016C"/>
    <w:rsid w:val="00B7039B"/>
    <w:rsid w:val="00B720FC"/>
    <w:rsid w:val="00B7411B"/>
    <w:rsid w:val="00B74503"/>
    <w:rsid w:val="00B74D1E"/>
    <w:rsid w:val="00B76A18"/>
    <w:rsid w:val="00B76C2E"/>
    <w:rsid w:val="00B82899"/>
    <w:rsid w:val="00B84C6C"/>
    <w:rsid w:val="00B86172"/>
    <w:rsid w:val="00B875A2"/>
    <w:rsid w:val="00B901F0"/>
    <w:rsid w:val="00B90314"/>
    <w:rsid w:val="00B91F3F"/>
    <w:rsid w:val="00B92687"/>
    <w:rsid w:val="00B94248"/>
    <w:rsid w:val="00B942A1"/>
    <w:rsid w:val="00B94B4F"/>
    <w:rsid w:val="00B95D03"/>
    <w:rsid w:val="00B96011"/>
    <w:rsid w:val="00B962D6"/>
    <w:rsid w:val="00B976F6"/>
    <w:rsid w:val="00BA3DEC"/>
    <w:rsid w:val="00BA5F41"/>
    <w:rsid w:val="00BA7385"/>
    <w:rsid w:val="00BB187C"/>
    <w:rsid w:val="00BB22AA"/>
    <w:rsid w:val="00BB23AA"/>
    <w:rsid w:val="00BB296B"/>
    <w:rsid w:val="00BB3622"/>
    <w:rsid w:val="00BB682C"/>
    <w:rsid w:val="00BB7CA9"/>
    <w:rsid w:val="00BC236B"/>
    <w:rsid w:val="00BC255E"/>
    <w:rsid w:val="00BC2BB4"/>
    <w:rsid w:val="00BC30E0"/>
    <w:rsid w:val="00BC65D9"/>
    <w:rsid w:val="00BC7C52"/>
    <w:rsid w:val="00BD0CF6"/>
    <w:rsid w:val="00BD1471"/>
    <w:rsid w:val="00BD14C5"/>
    <w:rsid w:val="00BD196A"/>
    <w:rsid w:val="00BD2081"/>
    <w:rsid w:val="00BD2311"/>
    <w:rsid w:val="00BD26E8"/>
    <w:rsid w:val="00BD6262"/>
    <w:rsid w:val="00BD65B3"/>
    <w:rsid w:val="00BD65BF"/>
    <w:rsid w:val="00BD7B27"/>
    <w:rsid w:val="00BD7EC9"/>
    <w:rsid w:val="00BE1689"/>
    <w:rsid w:val="00BE2C49"/>
    <w:rsid w:val="00BE2FF8"/>
    <w:rsid w:val="00BE4C48"/>
    <w:rsid w:val="00BE61C1"/>
    <w:rsid w:val="00BE64AF"/>
    <w:rsid w:val="00BE6717"/>
    <w:rsid w:val="00BE749A"/>
    <w:rsid w:val="00BF0381"/>
    <w:rsid w:val="00BF0A22"/>
    <w:rsid w:val="00BF3377"/>
    <w:rsid w:val="00BF5A98"/>
    <w:rsid w:val="00BF625D"/>
    <w:rsid w:val="00BF6E7B"/>
    <w:rsid w:val="00BF7476"/>
    <w:rsid w:val="00C00666"/>
    <w:rsid w:val="00C01021"/>
    <w:rsid w:val="00C0141F"/>
    <w:rsid w:val="00C03E82"/>
    <w:rsid w:val="00C048AF"/>
    <w:rsid w:val="00C04E59"/>
    <w:rsid w:val="00C0585A"/>
    <w:rsid w:val="00C05B6F"/>
    <w:rsid w:val="00C077E0"/>
    <w:rsid w:val="00C07DE6"/>
    <w:rsid w:val="00C1220F"/>
    <w:rsid w:val="00C13CA5"/>
    <w:rsid w:val="00C14FEB"/>
    <w:rsid w:val="00C154B5"/>
    <w:rsid w:val="00C15504"/>
    <w:rsid w:val="00C158C5"/>
    <w:rsid w:val="00C16B64"/>
    <w:rsid w:val="00C17872"/>
    <w:rsid w:val="00C205E9"/>
    <w:rsid w:val="00C212FC"/>
    <w:rsid w:val="00C23F48"/>
    <w:rsid w:val="00C24FF0"/>
    <w:rsid w:val="00C2560C"/>
    <w:rsid w:val="00C262BD"/>
    <w:rsid w:val="00C26DAE"/>
    <w:rsid w:val="00C30E2C"/>
    <w:rsid w:val="00C310C2"/>
    <w:rsid w:val="00C331CE"/>
    <w:rsid w:val="00C338FC"/>
    <w:rsid w:val="00C349A4"/>
    <w:rsid w:val="00C35716"/>
    <w:rsid w:val="00C361EA"/>
    <w:rsid w:val="00C36525"/>
    <w:rsid w:val="00C40171"/>
    <w:rsid w:val="00C40EB3"/>
    <w:rsid w:val="00C41B47"/>
    <w:rsid w:val="00C41BD9"/>
    <w:rsid w:val="00C43421"/>
    <w:rsid w:val="00C434FD"/>
    <w:rsid w:val="00C47AC7"/>
    <w:rsid w:val="00C47C48"/>
    <w:rsid w:val="00C5192E"/>
    <w:rsid w:val="00C52DE6"/>
    <w:rsid w:val="00C538AA"/>
    <w:rsid w:val="00C538BE"/>
    <w:rsid w:val="00C55F5E"/>
    <w:rsid w:val="00C6016B"/>
    <w:rsid w:val="00C634A7"/>
    <w:rsid w:val="00C638D7"/>
    <w:rsid w:val="00C638DF"/>
    <w:rsid w:val="00C6392E"/>
    <w:rsid w:val="00C63A8D"/>
    <w:rsid w:val="00C64720"/>
    <w:rsid w:val="00C6517F"/>
    <w:rsid w:val="00C67BA6"/>
    <w:rsid w:val="00C70DA3"/>
    <w:rsid w:val="00C71920"/>
    <w:rsid w:val="00C72A63"/>
    <w:rsid w:val="00C77287"/>
    <w:rsid w:val="00C80AE4"/>
    <w:rsid w:val="00C857F1"/>
    <w:rsid w:val="00C86600"/>
    <w:rsid w:val="00C871C4"/>
    <w:rsid w:val="00C94A72"/>
    <w:rsid w:val="00C9502B"/>
    <w:rsid w:val="00C95AD1"/>
    <w:rsid w:val="00C95D5D"/>
    <w:rsid w:val="00C97AF2"/>
    <w:rsid w:val="00CA1130"/>
    <w:rsid w:val="00CA1478"/>
    <w:rsid w:val="00CA415F"/>
    <w:rsid w:val="00CA538F"/>
    <w:rsid w:val="00CA5EA7"/>
    <w:rsid w:val="00CA6437"/>
    <w:rsid w:val="00CA76B8"/>
    <w:rsid w:val="00CB026C"/>
    <w:rsid w:val="00CB175C"/>
    <w:rsid w:val="00CB2C14"/>
    <w:rsid w:val="00CB434C"/>
    <w:rsid w:val="00CB5856"/>
    <w:rsid w:val="00CB5A49"/>
    <w:rsid w:val="00CB5C15"/>
    <w:rsid w:val="00CB62FF"/>
    <w:rsid w:val="00CB678B"/>
    <w:rsid w:val="00CB73DF"/>
    <w:rsid w:val="00CB7A28"/>
    <w:rsid w:val="00CB7C6B"/>
    <w:rsid w:val="00CC0A56"/>
    <w:rsid w:val="00CC1228"/>
    <w:rsid w:val="00CC1A21"/>
    <w:rsid w:val="00CC1C3F"/>
    <w:rsid w:val="00CC25B4"/>
    <w:rsid w:val="00CC3722"/>
    <w:rsid w:val="00CC3BA7"/>
    <w:rsid w:val="00CC4326"/>
    <w:rsid w:val="00CC4B52"/>
    <w:rsid w:val="00CC614C"/>
    <w:rsid w:val="00CC66DE"/>
    <w:rsid w:val="00CC690E"/>
    <w:rsid w:val="00CC7C0C"/>
    <w:rsid w:val="00CD1C0A"/>
    <w:rsid w:val="00CD33FB"/>
    <w:rsid w:val="00CD4CE8"/>
    <w:rsid w:val="00CD75B4"/>
    <w:rsid w:val="00CD75E3"/>
    <w:rsid w:val="00CE05CA"/>
    <w:rsid w:val="00CE0A33"/>
    <w:rsid w:val="00CE2627"/>
    <w:rsid w:val="00CE2EB2"/>
    <w:rsid w:val="00CE495C"/>
    <w:rsid w:val="00CE525D"/>
    <w:rsid w:val="00CE531E"/>
    <w:rsid w:val="00CE5928"/>
    <w:rsid w:val="00CE5C99"/>
    <w:rsid w:val="00CE66B6"/>
    <w:rsid w:val="00CF02AC"/>
    <w:rsid w:val="00CF07D1"/>
    <w:rsid w:val="00CF0E3C"/>
    <w:rsid w:val="00CF1911"/>
    <w:rsid w:val="00CF23EE"/>
    <w:rsid w:val="00CF3A40"/>
    <w:rsid w:val="00CF48F3"/>
    <w:rsid w:val="00CF60F2"/>
    <w:rsid w:val="00D01F1E"/>
    <w:rsid w:val="00D02367"/>
    <w:rsid w:val="00D02524"/>
    <w:rsid w:val="00D0330E"/>
    <w:rsid w:val="00D04DEC"/>
    <w:rsid w:val="00D10A19"/>
    <w:rsid w:val="00D11357"/>
    <w:rsid w:val="00D126F7"/>
    <w:rsid w:val="00D12962"/>
    <w:rsid w:val="00D129F5"/>
    <w:rsid w:val="00D12ED9"/>
    <w:rsid w:val="00D141DD"/>
    <w:rsid w:val="00D1494A"/>
    <w:rsid w:val="00D177B0"/>
    <w:rsid w:val="00D21887"/>
    <w:rsid w:val="00D257FF"/>
    <w:rsid w:val="00D266DE"/>
    <w:rsid w:val="00D2682A"/>
    <w:rsid w:val="00D26DC6"/>
    <w:rsid w:val="00D31689"/>
    <w:rsid w:val="00D335AB"/>
    <w:rsid w:val="00D33770"/>
    <w:rsid w:val="00D355E8"/>
    <w:rsid w:val="00D37BCC"/>
    <w:rsid w:val="00D42A60"/>
    <w:rsid w:val="00D43DD6"/>
    <w:rsid w:val="00D47D88"/>
    <w:rsid w:val="00D51C2C"/>
    <w:rsid w:val="00D55A36"/>
    <w:rsid w:val="00D5689A"/>
    <w:rsid w:val="00D57072"/>
    <w:rsid w:val="00D61249"/>
    <w:rsid w:val="00D612AB"/>
    <w:rsid w:val="00D61AE5"/>
    <w:rsid w:val="00D6221D"/>
    <w:rsid w:val="00D6286E"/>
    <w:rsid w:val="00D62E9C"/>
    <w:rsid w:val="00D64294"/>
    <w:rsid w:val="00D64636"/>
    <w:rsid w:val="00D64DF0"/>
    <w:rsid w:val="00D65ABC"/>
    <w:rsid w:val="00D65F63"/>
    <w:rsid w:val="00D668E4"/>
    <w:rsid w:val="00D66F12"/>
    <w:rsid w:val="00D67466"/>
    <w:rsid w:val="00D67609"/>
    <w:rsid w:val="00D7047B"/>
    <w:rsid w:val="00D71CD2"/>
    <w:rsid w:val="00D729A9"/>
    <w:rsid w:val="00D741F4"/>
    <w:rsid w:val="00D74FEC"/>
    <w:rsid w:val="00D75505"/>
    <w:rsid w:val="00D76695"/>
    <w:rsid w:val="00D77B94"/>
    <w:rsid w:val="00D77DAB"/>
    <w:rsid w:val="00D8228F"/>
    <w:rsid w:val="00D83300"/>
    <w:rsid w:val="00D83CB1"/>
    <w:rsid w:val="00D84165"/>
    <w:rsid w:val="00D84B7E"/>
    <w:rsid w:val="00D862DA"/>
    <w:rsid w:val="00D8640C"/>
    <w:rsid w:val="00D86456"/>
    <w:rsid w:val="00D870BD"/>
    <w:rsid w:val="00D87B1A"/>
    <w:rsid w:val="00D90ED8"/>
    <w:rsid w:val="00D92F97"/>
    <w:rsid w:val="00D9301E"/>
    <w:rsid w:val="00D93F46"/>
    <w:rsid w:val="00D9797C"/>
    <w:rsid w:val="00DA0E2D"/>
    <w:rsid w:val="00DA3635"/>
    <w:rsid w:val="00DA3D7B"/>
    <w:rsid w:val="00DA6634"/>
    <w:rsid w:val="00DA6721"/>
    <w:rsid w:val="00DA7189"/>
    <w:rsid w:val="00DA7370"/>
    <w:rsid w:val="00DB1190"/>
    <w:rsid w:val="00DB14A2"/>
    <w:rsid w:val="00DB295B"/>
    <w:rsid w:val="00DB4594"/>
    <w:rsid w:val="00DB4AA3"/>
    <w:rsid w:val="00DB4B6A"/>
    <w:rsid w:val="00DB4F52"/>
    <w:rsid w:val="00DB68FF"/>
    <w:rsid w:val="00DB7230"/>
    <w:rsid w:val="00DC0492"/>
    <w:rsid w:val="00DC08FA"/>
    <w:rsid w:val="00DC0A68"/>
    <w:rsid w:val="00DC1452"/>
    <w:rsid w:val="00DC307F"/>
    <w:rsid w:val="00DC32BA"/>
    <w:rsid w:val="00DC3EC9"/>
    <w:rsid w:val="00DC56BF"/>
    <w:rsid w:val="00DC581F"/>
    <w:rsid w:val="00DC5FD8"/>
    <w:rsid w:val="00DC62B2"/>
    <w:rsid w:val="00DD087E"/>
    <w:rsid w:val="00DD3565"/>
    <w:rsid w:val="00DD3D33"/>
    <w:rsid w:val="00DD4074"/>
    <w:rsid w:val="00DD4420"/>
    <w:rsid w:val="00DD6537"/>
    <w:rsid w:val="00DD6667"/>
    <w:rsid w:val="00DD74A2"/>
    <w:rsid w:val="00DE0510"/>
    <w:rsid w:val="00DE383B"/>
    <w:rsid w:val="00DE39E5"/>
    <w:rsid w:val="00DE49BE"/>
    <w:rsid w:val="00DE4CA6"/>
    <w:rsid w:val="00DE5CC0"/>
    <w:rsid w:val="00DE6576"/>
    <w:rsid w:val="00DF038A"/>
    <w:rsid w:val="00DF2824"/>
    <w:rsid w:val="00DF4614"/>
    <w:rsid w:val="00DF6D10"/>
    <w:rsid w:val="00DF7502"/>
    <w:rsid w:val="00DF7B25"/>
    <w:rsid w:val="00E000FD"/>
    <w:rsid w:val="00E00B67"/>
    <w:rsid w:val="00E01575"/>
    <w:rsid w:val="00E034D0"/>
    <w:rsid w:val="00E038C5"/>
    <w:rsid w:val="00E057D7"/>
    <w:rsid w:val="00E11A69"/>
    <w:rsid w:val="00E12DA5"/>
    <w:rsid w:val="00E135A1"/>
    <w:rsid w:val="00E1496E"/>
    <w:rsid w:val="00E14C76"/>
    <w:rsid w:val="00E14F86"/>
    <w:rsid w:val="00E1648F"/>
    <w:rsid w:val="00E16AD9"/>
    <w:rsid w:val="00E16EF1"/>
    <w:rsid w:val="00E177A0"/>
    <w:rsid w:val="00E17F3B"/>
    <w:rsid w:val="00E17F63"/>
    <w:rsid w:val="00E254F2"/>
    <w:rsid w:val="00E27568"/>
    <w:rsid w:val="00E27C36"/>
    <w:rsid w:val="00E3038A"/>
    <w:rsid w:val="00E310B0"/>
    <w:rsid w:val="00E33BEC"/>
    <w:rsid w:val="00E34CD6"/>
    <w:rsid w:val="00E3767F"/>
    <w:rsid w:val="00E37C73"/>
    <w:rsid w:val="00E40CD4"/>
    <w:rsid w:val="00E4235D"/>
    <w:rsid w:val="00E4320F"/>
    <w:rsid w:val="00E43C06"/>
    <w:rsid w:val="00E449B1"/>
    <w:rsid w:val="00E44BE9"/>
    <w:rsid w:val="00E457A1"/>
    <w:rsid w:val="00E45D19"/>
    <w:rsid w:val="00E4610E"/>
    <w:rsid w:val="00E47B31"/>
    <w:rsid w:val="00E501F7"/>
    <w:rsid w:val="00E50380"/>
    <w:rsid w:val="00E5082D"/>
    <w:rsid w:val="00E50DDA"/>
    <w:rsid w:val="00E56B7C"/>
    <w:rsid w:val="00E574A9"/>
    <w:rsid w:val="00E61355"/>
    <w:rsid w:val="00E613BC"/>
    <w:rsid w:val="00E61605"/>
    <w:rsid w:val="00E61F1E"/>
    <w:rsid w:val="00E662AA"/>
    <w:rsid w:val="00E664E5"/>
    <w:rsid w:val="00E66861"/>
    <w:rsid w:val="00E66E21"/>
    <w:rsid w:val="00E67063"/>
    <w:rsid w:val="00E67764"/>
    <w:rsid w:val="00E70F38"/>
    <w:rsid w:val="00E710FC"/>
    <w:rsid w:val="00E71915"/>
    <w:rsid w:val="00E73A5A"/>
    <w:rsid w:val="00E73A5D"/>
    <w:rsid w:val="00E73B65"/>
    <w:rsid w:val="00E73C7D"/>
    <w:rsid w:val="00E74FD8"/>
    <w:rsid w:val="00E77005"/>
    <w:rsid w:val="00E77198"/>
    <w:rsid w:val="00E77936"/>
    <w:rsid w:val="00E7798E"/>
    <w:rsid w:val="00E80916"/>
    <w:rsid w:val="00E820C4"/>
    <w:rsid w:val="00E834F6"/>
    <w:rsid w:val="00E840DF"/>
    <w:rsid w:val="00E8560F"/>
    <w:rsid w:val="00E8780A"/>
    <w:rsid w:val="00E87C65"/>
    <w:rsid w:val="00E92930"/>
    <w:rsid w:val="00E94588"/>
    <w:rsid w:val="00E94B8A"/>
    <w:rsid w:val="00E94CDE"/>
    <w:rsid w:val="00E94D10"/>
    <w:rsid w:val="00E957FC"/>
    <w:rsid w:val="00E95A82"/>
    <w:rsid w:val="00EA0289"/>
    <w:rsid w:val="00EA3EE3"/>
    <w:rsid w:val="00EB11D1"/>
    <w:rsid w:val="00EB181B"/>
    <w:rsid w:val="00EB1954"/>
    <w:rsid w:val="00EB1CA4"/>
    <w:rsid w:val="00EB23AB"/>
    <w:rsid w:val="00EB2AD0"/>
    <w:rsid w:val="00EB2DEA"/>
    <w:rsid w:val="00EB53EC"/>
    <w:rsid w:val="00EC0DC9"/>
    <w:rsid w:val="00EC0F02"/>
    <w:rsid w:val="00EC341C"/>
    <w:rsid w:val="00EC4639"/>
    <w:rsid w:val="00EC4C80"/>
    <w:rsid w:val="00EC5B34"/>
    <w:rsid w:val="00EC6DF2"/>
    <w:rsid w:val="00EC7C6F"/>
    <w:rsid w:val="00ED1657"/>
    <w:rsid w:val="00ED2839"/>
    <w:rsid w:val="00ED283F"/>
    <w:rsid w:val="00ED3653"/>
    <w:rsid w:val="00ED5637"/>
    <w:rsid w:val="00ED6618"/>
    <w:rsid w:val="00ED6B7B"/>
    <w:rsid w:val="00ED7E5B"/>
    <w:rsid w:val="00EE0CA3"/>
    <w:rsid w:val="00EE2530"/>
    <w:rsid w:val="00EE3408"/>
    <w:rsid w:val="00EE71C9"/>
    <w:rsid w:val="00EF2CE1"/>
    <w:rsid w:val="00EF352D"/>
    <w:rsid w:val="00EF407B"/>
    <w:rsid w:val="00EF4AEE"/>
    <w:rsid w:val="00EF6E41"/>
    <w:rsid w:val="00EF75CB"/>
    <w:rsid w:val="00EF7747"/>
    <w:rsid w:val="00F026D1"/>
    <w:rsid w:val="00F02EAD"/>
    <w:rsid w:val="00F031C8"/>
    <w:rsid w:val="00F03F3B"/>
    <w:rsid w:val="00F04D2A"/>
    <w:rsid w:val="00F04E13"/>
    <w:rsid w:val="00F05F5F"/>
    <w:rsid w:val="00F06B8A"/>
    <w:rsid w:val="00F07468"/>
    <w:rsid w:val="00F10FC6"/>
    <w:rsid w:val="00F11DDC"/>
    <w:rsid w:val="00F12FBF"/>
    <w:rsid w:val="00F1302B"/>
    <w:rsid w:val="00F132C4"/>
    <w:rsid w:val="00F13F76"/>
    <w:rsid w:val="00F14534"/>
    <w:rsid w:val="00F1549A"/>
    <w:rsid w:val="00F154E6"/>
    <w:rsid w:val="00F1557E"/>
    <w:rsid w:val="00F204B0"/>
    <w:rsid w:val="00F2160C"/>
    <w:rsid w:val="00F2176B"/>
    <w:rsid w:val="00F2181D"/>
    <w:rsid w:val="00F22D82"/>
    <w:rsid w:val="00F23A8E"/>
    <w:rsid w:val="00F24152"/>
    <w:rsid w:val="00F25F0F"/>
    <w:rsid w:val="00F267D1"/>
    <w:rsid w:val="00F26D40"/>
    <w:rsid w:val="00F31AC5"/>
    <w:rsid w:val="00F33C1C"/>
    <w:rsid w:val="00F340B6"/>
    <w:rsid w:val="00F361B7"/>
    <w:rsid w:val="00F37762"/>
    <w:rsid w:val="00F40BAE"/>
    <w:rsid w:val="00F40DD2"/>
    <w:rsid w:val="00F41FDE"/>
    <w:rsid w:val="00F42347"/>
    <w:rsid w:val="00F431F5"/>
    <w:rsid w:val="00F44C90"/>
    <w:rsid w:val="00F461CC"/>
    <w:rsid w:val="00F4671B"/>
    <w:rsid w:val="00F504C3"/>
    <w:rsid w:val="00F5083F"/>
    <w:rsid w:val="00F51367"/>
    <w:rsid w:val="00F51974"/>
    <w:rsid w:val="00F52F93"/>
    <w:rsid w:val="00F531ED"/>
    <w:rsid w:val="00F536BB"/>
    <w:rsid w:val="00F54608"/>
    <w:rsid w:val="00F552F2"/>
    <w:rsid w:val="00F55E52"/>
    <w:rsid w:val="00F56A19"/>
    <w:rsid w:val="00F56CDE"/>
    <w:rsid w:val="00F57EF0"/>
    <w:rsid w:val="00F604FC"/>
    <w:rsid w:val="00F627E2"/>
    <w:rsid w:val="00F65F30"/>
    <w:rsid w:val="00F66DFC"/>
    <w:rsid w:val="00F671B4"/>
    <w:rsid w:val="00F704D6"/>
    <w:rsid w:val="00F7059D"/>
    <w:rsid w:val="00F71520"/>
    <w:rsid w:val="00F7217F"/>
    <w:rsid w:val="00F7590F"/>
    <w:rsid w:val="00F75FE2"/>
    <w:rsid w:val="00F772CC"/>
    <w:rsid w:val="00F84255"/>
    <w:rsid w:val="00F8569E"/>
    <w:rsid w:val="00F85A14"/>
    <w:rsid w:val="00F85FD0"/>
    <w:rsid w:val="00F8753B"/>
    <w:rsid w:val="00F90EB0"/>
    <w:rsid w:val="00F912F3"/>
    <w:rsid w:val="00F913C6"/>
    <w:rsid w:val="00F918DC"/>
    <w:rsid w:val="00F92D6A"/>
    <w:rsid w:val="00F92F1B"/>
    <w:rsid w:val="00F94864"/>
    <w:rsid w:val="00F94D2C"/>
    <w:rsid w:val="00F95BDD"/>
    <w:rsid w:val="00FA02EE"/>
    <w:rsid w:val="00FA27F3"/>
    <w:rsid w:val="00FA33A6"/>
    <w:rsid w:val="00FA57E4"/>
    <w:rsid w:val="00FA5FCF"/>
    <w:rsid w:val="00FA7B80"/>
    <w:rsid w:val="00FB00E0"/>
    <w:rsid w:val="00FB06B2"/>
    <w:rsid w:val="00FB0B18"/>
    <w:rsid w:val="00FB2ACA"/>
    <w:rsid w:val="00FB3BB2"/>
    <w:rsid w:val="00FB6301"/>
    <w:rsid w:val="00FB673E"/>
    <w:rsid w:val="00FB753B"/>
    <w:rsid w:val="00FC09F3"/>
    <w:rsid w:val="00FC16A1"/>
    <w:rsid w:val="00FC2701"/>
    <w:rsid w:val="00FC3D57"/>
    <w:rsid w:val="00FC3EB4"/>
    <w:rsid w:val="00FC51B8"/>
    <w:rsid w:val="00FC5FD1"/>
    <w:rsid w:val="00FC6C2D"/>
    <w:rsid w:val="00FC7C46"/>
    <w:rsid w:val="00FD16AB"/>
    <w:rsid w:val="00FD2E3A"/>
    <w:rsid w:val="00FD38DC"/>
    <w:rsid w:val="00FD534E"/>
    <w:rsid w:val="00FD5986"/>
    <w:rsid w:val="00FD5E7B"/>
    <w:rsid w:val="00FD6457"/>
    <w:rsid w:val="00FD755E"/>
    <w:rsid w:val="00FD7CD3"/>
    <w:rsid w:val="00FE0184"/>
    <w:rsid w:val="00FE0814"/>
    <w:rsid w:val="00FE44C5"/>
    <w:rsid w:val="00FE6424"/>
    <w:rsid w:val="00FE7A12"/>
    <w:rsid w:val="00FF0763"/>
    <w:rsid w:val="00FF093F"/>
    <w:rsid w:val="00FF097D"/>
    <w:rsid w:val="00FF0FFE"/>
    <w:rsid w:val="00FF1021"/>
    <w:rsid w:val="00FF141F"/>
    <w:rsid w:val="00FF1EE3"/>
    <w:rsid w:val="00FF3DCF"/>
    <w:rsid w:val="00FF406D"/>
    <w:rsid w:val="00FF4308"/>
    <w:rsid w:val="00FF5CE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E1E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Univers" w:eastAsia="Times New Roman" w:hAnsi="Univers" w:cs="Times New Roman"/>
        <w:sz w:val="26"/>
        <w:szCs w:val="26"/>
        <w:lang w:val="en-AU" w:eastAsia="en-AU"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uiPriority="9" w:qFormat="1"/>
    <w:lsdException w:name="heading 3" w:uiPriority="9"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5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56"/>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55"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iPriority w:val="99"/>
    <w:semiHidden/>
    <w:qFormat/>
    <w:rsid w:val="001E47D1"/>
    <w:pPr>
      <w:tabs>
        <w:tab w:val="left" w:pos="720"/>
        <w:tab w:val="left" w:pos="1440"/>
        <w:tab w:val="left" w:pos="2160"/>
        <w:tab w:val="left" w:pos="2880"/>
        <w:tab w:val="left" w:pos="3600"/>
        <w:tab w:val="left" w:pos="4320"/>
        <w:tab w:val="left" w:pos="5040"/>
        <w:tab w:val="left" w:pos="5760"/>
        <w:tab w:val="left" w:pos="6480"/>
        <w:tab w:val="left" w:pos="7200"/>
      </w:tabs>
      <w:spacing w:line="480" w:lineRule="exact"/>
      <w:ind w:right="130" w:firstLine="720"/>
    </w:pPr>
  </w:style>
  <w:style w:type="paragraph" w:styleId="Heading1">
    <w:name w:val="heading 1"/>
    <w:basedOn w:val="Normal"/>
    <w:next w:val="Normal"/>
    <w:uiPriority w:val="99"/>
    <w:semiHidden/>
    <w:qFormat/>
    <w:locked/>
    <w:rsid w:val="00F75FE2"/>
    <w:pPr>
      <w:keepNext/>
      <w:numPr>
        <w:numId w:val="5"/>
      </w:numPr>
      <w:ind w:right="1296"/>
      <w:outlineLvl w:val="0"/>
    </w:pPr>
    <w:rPr>
      <w:u w:val="single"/>
    </w:rPr>
  </w:style>
  <w:style w:type="paragraph" w:styleId="Heading2">
    <w:name w:val="heading 2"/>
    <w:basedOn w:val="Normal"/>
    <w:next w:val="Normal"/>
    <w:uiPriority w:val="99"/>
    <w:semiHidden/>
    <w:qFormat/>
    <w:locked/>
    <w:rsid w:val="00F75FE2"/>
    <w:pPr>
      <w:keepNext/>
      <w:numPr>
        <w:ilvl w:val="1"/>
        <w:numId w:val="5"/>
      </w:numPr>
      <w:spacing w:before="240" w:after="60"/>
      <w:outlineLvl w:val="1"/>
    </w:pPr>
    <w:rPr>
      <w:rFonts w:ascii="Arial" w:hAnsi="Arial"/>
      <w:b/>
      <w:i/>
      <w:sz w:val="24"/>
    </w:rPr>
  </w:style>
  <w:style w:type="paragraph" w:styleId="Heading3">
    <w:name w:val="heading 3"/>
    <w:basedOn w:val="Normal"/>
    <w:next w:val="Normal"/>
    <w:uiPriority w:val="99"/>
    <w:semiHidden/>
    <w:qFormat/>
    <w:locked/>
    <w:rsid w:val="00F75FE2"/>
    <w:pPr>
      <w:keepNext/>
      <w:numPr>
        <w:ilvl w:val="2"/>
        <w:numId w:val="5"/>
      </w:numPr>
      <w:spacing w:before="240" w:after="60"/>
      <w:outlineLvl w:val="2"/>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43"/>
    <w:locked/>
    <w:pPr>
      <w:tabs>
        <w:tab w:val="center" w:pos="4153"/>
        <w:tab w:val="right" w:pos="8306"/>
      </w:tabs>
      <w:spacing w:after="240" w:line="240" w:lineRule="exact"/>
      <w:ind w:firstLine="0"/>
    </w:pPr>
  </w:style>
  <w:style w:type="paragraph" w:customStyle="1" w:styleId="FootInd">
    <w:name w:val="FootInd"/>
    <w:basedOn w:val="FootnoteText"/>
    <w:uiPriority w:val="45"/>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1440" w:right="1077" w:firstLine="0"/>
    </w:pPr>
  </w:style>
  <w:style w:type="paragraph" w:customStyle="1" w:styleId="leftright">
    <w:name w:val="leftright"/>
    <w:basedOn w:val="Normal"/>
    <w:uiPriority w:val="33"/>
    <w:qFormat/>
    <w:locked/>
    <w:rsid w:val="00B976F6"/>
    <w:pPr>
      <w:spacing w:before="240" w:line="240" w:lineRule="exact"/>
      <w:ind w:left="720" w:right="794" w:firstLine="0"/>
    </w:pPr>
  </w:style>
  <w:style w:type="paragraph" w:styleId="FootnoteText">
    <w:name w:val="footnote text"/>
    <w:basedOn w:val="Normal"/>
    <w:link w:val="FootnoteTextChar"/>
    <w:uiPriority w:val="53"/>
    <w:locked/>
    <w:pPr>
      <w:spacing w:after="240" w:line="240" w:lineRule="exact"/>
      <w:ind w:left="510" w:hanging="510"/>
    </w:pPr>
  </w:style>
  <w:style w:type="character" w:styleId="FootnoteReference">
    <w:name w:val="footnote reference"/>
    <w:uiPriority w:val="51"/>
    <w:locked/>
    <w:rsid w:val="00C40EB3"/>
    <w:rPr>
      <w:b/>
      <w:sz w:val="28"/>
      <w:vertAlign w:val="superscript"/>
    </w:rPr>
  </w:style>
  <w:style w:type="paragraph" w:customStyle="1" w:styleId="FootIndAgain">
    <w:name w:val="FootIndAgain"/>
    <w:basedOn w:val="FootnoteText"/>
    <w:uiPriority w:val="47"/>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2160" w:right="1077" w:firstLine="0"/>
    </w:pPr>
  </w:style>
  <w:style w:type="paragraph" w:customStyle="1" w:styleId="FootNorm">
    <w:name w:val="FootNorm"/>
    <w:basedOn w:val="FootnoteText"/>
    <w:uiPriority w:val="49"/>
    <w:qFormat/>
    <w:locked/>
    <w:rsid w:val="00570D24"/>
    <w:pPr>
      <w:ind w:firstLine="0"/>
    </w:pPr>
  </w:style>
  <w:style w:type="character" w:customStyle="1" w:styleId="Heading1Char">
    <w:name w:val="Heading 1 Char"/>
    <w:uiPriority w:val="99"/>
    <w:semiHidden/>
    <w:locked/>
    <w:rPr>
      <w:rFonts w:ascii="Univers" w:hAnsi="Univers"/>
      <w:sz w:val="26"/>
      <w:u w:val="single"/>
      <w:lang w:val="en-AU"/>
    </w:rPr>
  </w:style>
  <w:style w:type="character" w:customStyle="1" w:styleId="Heading2Char">
    <w:name w:val="Heading 2 Char"/>
    <w:uiPriority w:val="99"/>
    <w:semiHidden/>
    <w:locked/>
    <w:rPr>
      <w:rFonts w:ascii="Arial" w:hAnsi="Arial"/>
      <w:b/>
      <w:i/>
      <w:sz w:val="24"/>
      <w:lang w:val="en-AU"/>
    </w:rPr>
  </w:style>
  <w:style w:type="character" w:customStyle="1" w:styleId="Heading3Char">
    <w:name w:val="Heading 3 Char"/>
    <w:uiPriority w:val="99"/>
    <w:semiHidden/>
    <w:locked/>
    <w:rPr>
      <w:rFonts w:ascii="Arial" w:hAnsi="Arial"/>
      <w:sz w:val="24"/>
      <w:lang w:val="en-AU"/>
    </w:rPr>
  </w:style>
  <w:style w:type="paragraph" w:customStyle="1" w:styleId="NormalHC">
    <w:name w:val="Normal HC"/>
    <w:basedOn w:val="Normal"/>
    <w:uiPriority w:val="27"/>
    <w:qFormat/>
    <w:locked/>
    <w:rsid w:val="006E359B"/>
    <w:pPr>
      <w:numPr>
        <w:numId w:val="16"/>
      </w:numPr>
      <w:spacing w:after="480"/>
    </w:pPr>
  </w:style>
  <w:style w:type="paragraph" w:customStyle="1" w:styleId="HeadingFirst">
    <w:name w:val="Heading First"/>
    <w:basedOn w:val="NormalHC"/>
    <w:next w:val="HeadingV"/>
    <w:uiPriority w:val="15"/>
    <w:qFormat/>
    <w:locked/>
    <w:rsid w:val="005F3216"/>
    <w:pPr>
      <w:keepNext/>
      <w:numPr>
        <w:numId w:val="0"/>
      </w:numPr>
      <w:jc w:val="center"/>
      <w:outlineLvl w:val="1"/>
    </w:pPr>
    <w:rPr>
      <w:caps/>
      <w:u w:val="single"/>
    </w:rPr>
  </w:style>
  <w:style w:type="paragraph" w:customStyle="1" w:styleId="HeadingL1">
    <w:name w:val="Heading L1"/>
    <w:basedOn w:val="NormalHC"/>
    <w:next w:val="NormalHC"/>
    <w:uiPriority w:val="21"/>
    <w:qFormat/>
    <w:locked/>
    <w:rsid w:val="005F3216"/>
    <w:pPr>
      <w:keepNext/>
      <w:numPr>
        <w:numId w:val="0"/>
      </w:numPr>
      <w:outlineLvl w:val="2"/>
    </w:pPr>
    <w:rPr>
      <w:b/>
      <w:szCs w:val="20"/>
    </w:rPr>
  </w:style>
  <w:style w:type="paragraph" w:customStyle="1" w:styleId="HeadingL2">
    <w:name w:val="Heading L2"/>
    <w:basedOn w:val="HeadingL1"/>
    <w:next w:val="NormalHC"/>
    <w:uiPriority w:val="23"/>
    <w:qFormat/>
    <w:locked/>
    <w:rsid w:val="00745DD2"/>
    <w:pPr>
      <w:outlineLvl w:val="3"/>
    </w:pPr>
    <w:rPr>
      <w:b w:val="0"/>
      <w:i/>
    </w:rPr>
  </w:style>
  <w:style w:type="paragraph" w:customStyle="1" w:styleId="HeadingMatter">
    <w:name w:val="Heading Matter"/>
    <w:basedOn w:val="NormalHC"/>
    <w:next w:val="HeadingFirst"/>
    <w:uiPriority w:val="13"/>
    <w:qFormat/>
    <w:locked/>
    <w:rsid w:val="005F3216"/>
    <w:pPr>
      <w:keepNext/>
      <w:numPr>
        <w:numId w:val="0"/>
      </w:numPr>
      <w:spacing w:after="0"/>
      <w:outlineLvl w:val="0"/>
    </w:pPr>
    <w:rPr>
      <w:u w:val="single"/>
    </w:rPr>
  </w:style>
  <w:style w:type="paragraph" w:customStyle="1" w:styleId="HeadingSecond">
    <w:name w:val="Heading Second"/>
    <w:basedOn w:val="HeadingFirst"/>
    <w:next w:val="NormalHC"/>
    <w:uiPriority w:val="19"/>
    <w:qFormat/>
    <w:locked/>
    <w:rsid w:val="000E65F7"/>
    <w:pPr>
      <w:keepNext w:val="0"/>
    </w:pPr>
  </w:style>
  <w:style w:type="paragraph" w:customStyle="1" w:styleId="HeadingV">
    <w:name w:val="Heading V"/>
    <w:basedOn w:val="HeadingFirst"/>
    <w:next w:val="HeadingSecond"/>
    <w:uiPriority w:val="17"/>
    <w:qFormat/>
    <w:locked/>
    <w:rsid w:val="000E65F7"/>
    <w:rPr>
      <w:caps w:val="0"/>
      <w:u w:val="none"/>
    </w:rPr>
  </w:style>
  <w:style w:type="paragraph" w:customStyle="1" w:styleId="LeftrightafterHC">
    <w:name w:val="Leftright after HC"/>
    <w:basedOn w:val="Normal"/>
    <w:next w:val="leftright"/>
    <w:uiPriority w:val="31"/>
    <w:qFormat/>
    <w:locked/>
    <w:rsid w:val="00B976F6"/>
    <w:pPr>
      <w:spacing w:before="720" w:line="240" w:lineRule="exact"/>
      <w:ind w:left="720" w:right="794" w:firstLine="0"/>
    </w:pPr>
  </w:style>
  <w:style w:type="paragraph" w:customStyle="1" w:styleId="LRIndentafterHC">
    <w:name w:val="LR Indent after HC"/>
    <w:basedOn w:val="LeftrightafterHC"/>
    <w:next w:val="leftright"/>
    <w:uiPriority w:val="39"/>
    <w:qFormat/>
    <w:locked/>
    <w:rsid w:val="00E66E21"/>
    <w:pPr>
      <w:ind w:firstLine="720"/>
    </w:pPr>
  </w:style>
  <w:style w:type="paragraph" w:customStyle="1" w:styleId="LeftrightHanging">
    <w:name w:val="LeftrightHanging"/>
    <w:basedOn w:val="NormalHC"/>
    <w:uiPriority w:val="35"/>
    <w:qFormat/>
    <w:locked/>
    <w:rsid w:val="00E66E21"/>
    <w:pPr>
      <w:numPr>
        <w:numId w:val="0"/>
      </w:numPr>
      <w:spacing w:before="240" w:after="0" w:line="240" w:lineRule="exact"/>
      <w:ind w:left="1440" w:right="794" w:hanging="720"/>
    </w:pPr>
    <w:rPr>
      <w:szCs w:val="20"/>
    </w:rPr>
  </w:style>
  <w:style w:type="paragraph" w:customStyle="1" w:styleId="LRIndent">
    <w:name w:val="LR Indent"/>
    <w:basedOn w:val="Normal"/>
    <w:uiPriority w:val="41"/>
    <w:qFormat/>
    <w:locked/>
    <w:rsid w:val="00E66E21"/>
    <w:pPr>
      <w:tabs>
        <w:tab w:val="clear" w:pos="720"/>
        <w:tab w:val="clear" w:pos="1440"/>
        <w:tab w:val="clear" w:pos="2160"/>
        <w:tab w:val="clear" w:pos="2880"/>
        <w:tab w:val="clear" w:pos="3600"/>
        <w:tab w:val="clear" w:pos="4320"/>
        <w:tab w:val="clear" w:pos="5040"/>
        <w:tab w:val="clear" w:pos="5760"/>
        <w:tab w:val="clear" w:pos="6480"/>
        <w:tab w:val="clear" w:pos="7200"/>
      </w:tabs>
      <w:spacing w:before="240" w:line="240" w:lineRule="exact"/>
      <w:ind w:left="720" w:right="794"/>
    </w:pPr>
  </w:style>
  <w:style w:type="paragraph" w:customStyle="1" w:styleId="LRHangingMore">
    <w:name w:val="LRHangingMore"/>
    <w:basedOn w:val="LeftrightHanging"/>
    <w:uiPriority w:val="37"/>
    <w:qFormat/>
    <w:locked/>
    <w:rsid w:val="00E66E21"/>
    <w:pPr>
      <w:spacing w:before="200"/>
      <w:ind w:left="2160"/>
    </w:pPr>
  </w:style>
  <w:style w:type="paragraph" w:customStyle="1" w:styleId="NormalafterHd2nd">
    <w:name w:val="Normal after Hd2nd"/>
    <w:basedOn w:val="NormalHC"/>
    <w:next w:val="NormalHC"/>
    <w:uiPriority w:val="29"/>
    <w:locked/>
    <w:rsid w:val="005F3216"/>
    <w:pPr>
      <w:numPr>
        <w:numId w:val="0"/>
      </w:numPr>
      <w:spacing w:before="1000"/>
    </w:pPr>
  </w:style>
  <w:style w:type="character" w:customStyle="1" w:styleId="NormalHCChar">
    <w:name w:val="Normal HC Char"/>
    <w:uiPriority w:val="99"/>
    <w:semiHidden/>
    <w:locked/>
    <w:rPr>
      <w:rFonts w:ascii="Univers" w:hAnsi="Univers"/>
      <w:sz w:val="26"/>
      <w:szCs w:val="26"/>
    </w:rPr>
  </w:style>
  <w:style w:type="character" w:customStyle="1" w:styleId="StyleFootnoteReferenceChar">
    <w:name w:val="Style Footnote Reference Char"/>
    <w:uiPriority w:val="99"/>
    <w:semiHidden/>
    <w:locked/>
    <w:rPr>
      <w:rFonts w:ascii="Univers" w:hAnsi="Univers"/>
      <w:sz w:val="26"/>
      <w:szCs w:val="26"/>
      <w:vertAlign w:val="superscript"/>
      <w:lang w:val="en-AU" w:eastAsia="en-AU" w:bidi="ar-SA"/>
    </w:rPr>
  </w:style>
  <w:style w:type="character" w:customStyle="1" w:styleId="FooterChar">
    <w:name w:val="Footer Char"/>
    <w:basedOn w:val="DefaultParagraphFont"/>
    <w:link w:val="Footer"/>
    <w:uiPriority w:val="43"/>
    <w:rsid w:val="00663E86"/>
  </w:style>
  <w:style w:type="paragraph" w:customStyle="1" w:styleId="HeadingJudgment">
    <w:name w:val="Heading Judgment"/>
    <w:basedOn w:val="Normal"/>
    <w:uiPriority w:val="59"/>
    <w:qFormat/>
    <w:locked/>
    <w:rsid w:val="00F90EB0"/>
    <w:pPr>
      <w:tabs>
        <w:tab w:val="clear" w:pos="720"/>
        <w:tab w:val="clear" w:pos="1440"/>
        <w:tab w:val="clear" w:pos="2160"/>
        <w:tab w:val="clear" w:pos="2880"/>
        <w:tab w:val="clear" w:pos="3600"/>
        <w:tab w:val="clear" w:pos="4320"/>
        <w:tab w:val="clear" w:pos="5040"/>
        <w:tab w:val="clear" w:pos="5760"/>
        <w:tab w:val="clear" w:pos="6480"/>
        <w:tab w:val="clear" w:pos="7200"/>
        <w:tab w:val="left" w:pos="6237"/>
      </w:tabs>
      <w:spacing w:line="240" w:lineRule="auto"/>
      <w:ind w:right="0" w:firstLine="0"/>
    </w:pPr>
  </w:style>
  <w:style w:type="paragraph" w:customStyle="1" w:styleId="ClosingTextSign">
    <w:name w:val="Closing Text Sign"/>
    <w:basedOn w:val="Normal"/>
    <w:uiPriority w:val="99"/>
    <w:semiHidden/>
    <w:qFormat/>
    <w:locked/>
    <w:rsid w:val="00F75FE2"/>
    <w:pPr>
      <w:tabs>
        <w:tab w:val="clear" w:pos="720"/>
        <w:tab w:val="clear" w:pos="1440"/>
        <w:tab w:val="clear" w:pos="2160"/>
        <w:tab w:val="clear" w:pos="2880"/>
        <w:tab w:val="clear" w:pos="3600"/>
        <w:tab w:val="clear" w:pos="4320"/>
        <w:tab w:val="clear" w:pos="5040"/>
        <w:tab w:val="clear" w:pos="5760"/>
        <w:tab w:val="clear" w:pos="6480"/>
        <w:tab w:val="clear" w:pos="7200"/>
        <w:tab w:val="right" w:leader="underscore" w:pos="8505"/>
      </w:tabs>
      <w:spacing w:line="840" w:lineRule="exact"/>
      <w:ind w:left="2268" w:right="0" w:firstLine="0"/>
      <w:jc w:val="both"/>
    </w:pPr>
    <w:rPr>
      <w:sz w:val="20"/>
    </w:rPr>
  </w:style>
  <w:style w:type="paragraph" w:customStyle="1" w:styleId="HeadingL3">
    <w:name w:val="Heading L3"/>
    <w:basedOn w:val="HeadingL1"/>
    <w:next w:val="NormalHC"/>
    <w:uiPriority w:val="25"/>
    <w:qFormat/>
    <w:locked/>
    <w:rsid w:val="00CE2EB2"/>
    <w:pPr>
      <w:outlineLvl w:val="4"/>
    </w:pPr>
    <w:rPr>
      <w:b w:val="0"/>
    </w:rPr>
  </w:style>
  <w:style w:type="character" w:styleId="PageNumber">
    <w:name w:val="page number"/>
    <w:basedOn w:val="DefaultParagraphFont"/>
    <w:uiPriority w:val="57"/>
    <w:locked/>
    <w:rsid w:val="00A2312E"/>
  </w:style>
  <w:style w:type="paragraph" w:styleId="BalloonText">
    <w:name w:val="Balloon Text"/>
    <w:basedOn w:val="Normal"/>
    <w:link w:val="BalloonTextChar"/>
    <w:semiHidden/>
    <w:locked/>
    <w:rsid w:val="005F4DFE"/>
    <w:rPr>
      <w:rFonts w:ascii="Tahoma" w:hAnsi="Tahoma" w:cs="Tahoma"/>
      <w:sz w:val="16"/>
      <w:szCs w:val="16"/>
      <w:lang w:eastAsia="en-US"/>
    </w:rPr>
  </w:style>
  <w:style w:type="character" w:customStyle="1" w:styleId="BalloonTextChar">
    <w:name w:val="Balloon Text Char"/>
    <w:basedOn w:val="DefaultParagraphFont"/>
    <w:link w:val="BalloonText"/>
    <w:semiHidden/>
    <w:rsid w:val="005F4DFE"/>
    <w:rPr>
      <w:rFonts w:ascii="Tahoma" w:hAnsi="Tahoma" w:cs="Tahoma"/>
      <w:sz w:val="16"/>
      <w:szCs w:val="16"/>
      <w:lang w:eastAsia="en-US"/>
    </w:rPr>
  </w:style>
  <w:style w:type="paragraph" w:customStyle="1" w:styleId="ClosingText">
    <w:name w:val="Closing Text"/>
    <w:basedOn w:val="Normal"/>
    <w:uiPriority w:val="98"/>
    <w:semiHidden/>
    <w:qFormat/>
    <w:locked/>
    <w:rsid w:val="005F4DFE"/>
    <w:pPr>
      <w:spacing w:line="240" w:lineRule="auto"/>
      <w:ind w:left="2268" w:right="0" w:firstLine="0"/>
      <w:jc w:val="both"/>
    </w:pPr>
    <w:rPr>
      <w:sz w:val="20"/>
      <w:szCs w:val="20"/>
      <w:lang w:eastAsia="en-US"/>
    </w:rPr>
  </w:style>
  <w:style w:type="paragraph" w:styleId="EnvelopeAddress">
    <w:name w:val="envelope address"/>
    <w:basedOn w:val="Normal"/>
    <w:uiPriority w:val="99"/>
    <w:semiHidden/>
    <w:unhideWhenUsed/>
    <w:locked/>
    <w:rsid w:val="005F4DFE"/>
    <w:pPr>
      <w:framePr w:w="7920" w:h="1980" w:hRule="exact" w:hSpace="180" w:wrap="auto" w:hAnchor="page" w:xAlign="center" w:yAlign="bottom"/>
      <w:spacing w:line="240" w:lineRule="auto"/>
      <w:ind w:left="2880"/>
    </w:pPr>
    <w:rPr>
      <w:rFonts w:ascii="Cambria" w:hAnsi="Cambria"/>
      <w:sz w:val="24"/>
      <w:szCs w:val="24"/>
      <w:lang w:eastAsia="en-US"/>
    </w:rPr>
  </w:style>
  <w:style w:type="paragraph" w:styleId="EnvelopeReturn">
    <w:name w:val="envelope return"/>
    <w:basedOn w:val="Normal"/>
    <w:uiPriority w:val="99"/>
    <w:semiHidden/>
    <w:unhideWhenUsed/>
    <w:locked/>
    <w:rsid w:val="005F4DFE"/>
    <w:pPr>
      <w:spacing w:line="240" w:lineRule="auto"/>
    </w:pPr>
    <w:rPr>
      <w:rFonts w:ascii="Cambria" w:hAnsi="Cambria"/>
      <w:sz w:val="20"/>
      <w:szCs w:val="20"/>
      <w:lang w:eastAsia="en-US"/>
    </w:rPr>
  </w:style>
  <w:style w:type="paragraph" w:styleId="Header">
    <w:name w:val="header"/>
    <w:basedOn w:val="Normal"/>
    <w:link w:val="HeaderChar"/>
    <w:uiPriority w:val="98"/>
    <w:semiHidden/>
    <w:locked/>
    <w:rsid w:val="005F4DFE"/>
    <w:pPr>
      <w:tabs>
        <w:tab w:val="clear" w:pos="720"/>
        <w:tab w:val="clear" w:pos="1440"/>
        <w:tab w:val="clear" w:pos="2160"/>
        <w:tab w:val="clear" w:pos="2880"/>
        <w:tab w:val="clear" w:pos="3600"/>
        <w:tab w:val="clear" w:pos="4320"/>
        <w:tab w:val="clear" w:pos="5040"/>
        <w:tab w:val="clear" w:pos="5760"/>
        <w:tab w:val="clear" w:pos="6480"/>
        <w:tab w:val="clear" w:pos="7200"/>
        <w:tab w:val="center" w:pos="4153"/>
        <w:tab w:val="right" w:pos="8306"/>
      </w:tabs>
    </w:pPr>
    <w:rPr>
      <w:szCs w:val="20"/>
      <w:lang w:eastAsia="en-US"/>
    </w:rPr>
  </w:style>
  <w:style w:type="character" w:customStyle="1" w:styleId="HeaderChar">
    <w:name w:val="Header Char"/>
    <w:link w:val="Header"/>
    <w:uiPriority w:val="98"/>
    <w:semiHidden/>
    <w:rsid w:val="00037A5F"/>
    <w:rPr>
      <w:szCs w:val="20"/>
      <w:lang w:eastAsia="en-US"/>
    </w:rPr>
  </w:style>
  <w:style w:type="paragraph" w:customStyle="1" w:styleId="NormalBody">
    <w:name w:val="Normal Body"/>
    <w:basedOn w:val="NormalHC"/>
    <w:uiPriority w:val="28"/>
    <w:qFormat/>
    <w:locked/>
    <w:rsid w:val="005F3216"/>
    <w:pPr>
      <w:numPr>
        <w:numId w:val="0"/>
      </w:numPr>
    </w:pPr>
    <w:rPr>
      <w:lang w:eastAsia="en-US"/>
    </w:rPr>
  </w:style>
  <w:style w:type="paragraph" w:customStyle="1" w:styleId="StyleFootnoteReference">
    <w:name w:val="Style Footnote Reference"/>
    <w:basedOn w:val="Normal"/>
    <w:next w:val="Normal"/>
    <w:semiHidden/>
    <w:rsid w:val="005F4DFE"/>
    <w:rPr>
      <w:vertAlign w:val="superscript"/>
      <w:lang w:eastAsia="en-US"/>
    </w:rPr>
  </w:style>
  <w:style w:type="paragraph" w:styleId="ListNumber">
    <w:name w:val="List Number"/>
    <w:basedOn w:val="Normal"/>
    <w:uiPriority w:val="56"/>
    <w:locked/>
    <w:rsid w:val="00473869"/>
    <w:pPr>
      <w:numPr>
        <w:numId w:val="11"/>
      </w:numPr>
      <w:contextualSpacing/>
    </w:pPr>
  </w:style>
  <w:style w:type="paragraph" w:customStyle="1" w:styleId="FixListStyle">
    <w:name w:val="FixListStyle"/>
    <w:basedOn w:val="Normal"/>
    <w:uiPriority w:val="99"/>
    <w:qFormat/>
    <w:rsid w:val="00583673"/>
    <w:pPr>
      <w:numPr>
        <w:numId w:val="19"/>
      </w:numPr>
      <w:spacing w:after="480"/>
      <w:ind w:left="0" w:hanging="720"/>
    </w:pPr>
  </w:style>
  <w:style w:type="paragraph" w:customStyle="1" w:styleId="CatchwordsBold">
    <w:name w:val="Catchwords Bold"/>
    <w:basedOn w:val="Normal"/>
    <w:link w:val="CatchwordsBoldChar"/>
    <w:qFormat/>
    <w:rsid w:val="0095456C"/>
    <w:pPr>
      <w:tabs>
        <w:tab w:val="clear" w:pos="4320"/>
        <w:tab w:val="clear" w:pos="5040"/>
        <w:tab w:val="clear" w:pos="5760"/>
        <w:tab w:val="clear" w:pos="7200"/>
      </w:tabs>
      <w:spacing w:line="280" w:lineRule="exact"/>
      <w:ind w:right="0" w:firstLine="0"/>
      <w:jc w:val="both"/>
    </w:pPr>
    <w:rPr>
      <w:rFonts w:ascii="Times New Roman" w:hAnsi="Times New Roman"/>
      <w:b/>
      <w:szCs w:val="20"/>
    </w:rPr>
  </w:style>
  <w:style w:type="character" w:customStyle="1" w:styleId="CatchwordsBoldChar">
    <w:name w:val="Catchwords Bold Char"/>
    <w:link w:val="CatchwordsBold"/>
    <w:rsid w:val="0095456C"/>
    <w:rPr>
      <w:rFonts w:ascii="Times New Roman" w:hAnsi="Times New Roman"/>
      <w:b/>
      <w:szCs w:val="20"/>
    </w:rPr>
  </w:style>
  <w:style w:type="paragraph" w:customStyle="1" w:styleId="CatchwordsRight">
    <w:name w:val="Catchwords Right"/>
    <w:basedOn w:val="Normal"/>
    <w:link w:val="CatchwordsRightChar"/>
    <w:qFormat/>
    <w:rsid w:val="0095456C"/>
    <w:pPr>
      <w:tabs>
        <w:tab w:val="clear" w:pos="4320"/>
        <w:tab w:val="clear" w:pos="5040"/>
        <w:tab w:val="clear" w:pos="5760"/>
        <w:tab w:val="clear" w:pos="7200"/>
      </w:tabs>
      <w:spacing w:line="280" w:lineRule="exact"/>
      <w:ind w:right="0" w:firstLine="0"/>
      <w:jc w:val="right"/>
    </w:pPr>
    <w:rPr>
      <w:rFonts w:ascii="Times New Roman" w:hAnsi="Times New Roman"/>
      <w:szCs w:val="20"/>
    </w:rPr>
  </w:style>
  <w:style w:type="character" w:customStyle="1" w:styleId="CatchwordsRightChar">
    <w:name w:val="Catchwords Right Char"/>
    <w:link w:val="CatchwordsRight"/>
    <w:rsid w:val="0095456C"/>
    <w:rPr>
      <w:rFonts w:ascii="Times New Roman" w:hAnsi="Times New Roman"/>
      <w:szCs w:val="20"/>
    </w:rPr>
  </w:style>
  <w:style w:type="paragraph" w:customStyle="1" w:styleId="CatchwordsText">
    <w:name w:val="Catchwords Text"/>
    <w:basedOn w:val="Normal"/>
    <w:link w:val="CatchwordsTextChar"/>
    <w:qFormat/>
    <w:rsid w:val="0095456C"/>
    <w:pPr>
      <w:tabs>
        <w:tab w:val="clear" w:pos="4320"/>
        <w:tab w:val="clear" w:pos="5040"/>
        <w:tab w:val="clear" w:pos="5760"/>
        <w:tab w:val="clear" w:pos="7200"/>
      </w:tabs>
      <w:spacing w:line="240" w:lineRule="auto"/>
      <w:ind w:right="0" w:firstLine="0"/>
      <w:jc w:val="both"/>
    </w:pPr>
    <w:rPr>
      <w:rFonts w:ascii="Times New Roman" w:hAnsi="Times New Roman"/>
      <w:szCs w:val="20"/>
    </w:rPr>
  </w:style>
  <w:style w:type="character" w:customStyle="1" w:styleId="CatchwordsTextChar">
    <w:name w:val="Catchwords Text Char"/>
    <w:link w:val="CatchwordsText"/>
    <w:rsid w:val="0095456C"/>
    <w:rPr>
      <w:rFonts w:ascii="Times New Roman" w:hAnsi="Times New Roman"/>
      <w:szCs w:val="20"/>
    </w:rPr>
  </w:style>
  <w:style w:type="paragraph" w:customStyle="1" w:styleId="CenteredBorder">
    <w:name w:val="Centered Border"/>
    <w:qFormat/>
    <w:rsid w:val="0095456C"/>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CentreBold">
    <w:name w:val="Order Centre Bold"/>
    <w:rsid w:val="0095456C"/>
    <w:pPr>
      <w:jc w:val="center"/>
    </w:pPr>
    <w:rPr>
      <w:rFonts w:ascii="Times New Roman" w:hAnsi="Times New Roman"/>
      <w:b/>
      <w:bCs/>
      <w:szCs w:val="20"/>
      <w:lang w:val="en-GB"/>
    </w:rPr>
  </w:style>
  <w:style w:type="character" w:customStyle="1" w:styleId="OrderCentred">
    <w:name w:val="Order Centred"/>
    <w:semiHidden/>
    <w:rsid w:val="0095456C"/>
    <w:rPr>
      <w:b/>
      <w:bCs/>
      <w:sz w:val="26"/>
    </w:rPr>
  </w:style>
  <w:style w:type="paragraph" w:customStyle="1" w:styleId="OrdersTopLine">
    <w:name w:val="Orders TopLine"/>
    <w:qFormat/>
    <w:rsid w:val="0095456C"/>
    <w:pPr>
      <w:spacing w:line="240" w:lineRule="atLeast"/>
      <w:ind w:right="17"/>
      <w:jc w:val="center"/>
      <w:outlineLvl w:val="0"/>
    </w:pPr>
    <w:rPr>
      <w:rFonts w:ascii="Times New Roman" w:hAnsi="Times New Roman"/>
      <w:b/>
      <w:bCs/>
      <w:kern w:val="28"/>
      <w:sz w:val="48"/>
      <w:szCs w:val="20"/>
      <w:lang w:val="en-GB" w:eastAsia="en-US"/>
    </w:rPr>
  </w:style>
  <w:style w:type="paragraph" w:customStyle="1" w:styleId="OrdersBody">
    <w:name w:val="Orders Body"/>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lang w:val="en-GB"/>
    </w:rPr>
  </w:style>
  <w:style w:type="paragraph" w:customStyle="1" w:styleId="OrdersBodyHeading">
    <w:name w:val="Orders Body Heading"/>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lang w:val="en-GB"/>
    </w:rPr>
  </w:style>
  <w:style w:type="paragraph" w:customStyle="1" w:styleId="OrdersCentre">
    <w:name w:val="Orders Centre"/>
    <w:qFormat/>
    <w:rsid w:val="0095456C"/>
    <w:pPr>
      <w:tabs>
        <w:tab w:val="left" w:pos="720"/>
        <w:tab w:val="left" w:pos="1440"/>
      </w:tabs>
      <w:ind w:right="17"/>
      <w:jc w:val="center"/>
    </w:pPr>
    <w:rPr>
      <w:rFonts w:ascii="Times New Roman" w:hAnsi="Times New Roman"/>
      <w:szCs w:val="20"/>
      <w:lang w:val="en-GB"/>
    </w:rPr>
  </w:style>
  <w:style w:type="paragraph" w:customStyle="1" w:styleId="OrdersCentreItalics">
    <w:name w:val="Orders Centre Italics"/>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lang w:val="en-GB"/>
    </w:rPr>
  </w:style>
  <w:style w:type="paragraph" w:customStyle="1" w:styleId="OrdersIndentLevel1a">
    <w:name w:val="Orders Indent Level 1 (a)"/>
    <w:basedOn w:val="Normal"/>
    <w:link w:val="OrdersIndentLevel1aChar"/>
    <w:qFormat/>
    <w:rsid w:val="0095456C"/>
    <w:pPr>
      <w:tabs>
        <w:tab w:val="clear" w:pos="720"/>
        <w:tab w:val="clear" w:pos="1440"/>
        <w:tab w:val="clear" w:pos="2160"/>
        <w:tab w:val="clear" w:pos="4320"/>
        <w:tab w:val="clear" w:pos="5040"/>
        <w:tab w:val="clear" w:pos="5760"/>
        <w:tab w:val="clear" w:pos="7200"/>
        <w:tab w:val="left" w:pos="709"/>
        <w:tab w:val="left" w:pos="1418"/>
      </w:tabs>
      <w:spacing w:line="240" w:lineRule="auto"/>
      <w:ind w:left="1418" w:right="0" w:hanging="709"/>
      <w:jc w:val="both"/>
    </w:pPr>
    <w:rPr>
      <w:rFonts w:ascii="Times New Roman" w:hAnsi="Times New Roman"/>
      <w:i/>
      <w:lang w:eastAsia="en-US"/>
    </w:rPr>
  </w:style>
  <w:style w:type="character" w:customStyle="1" w:styleId="OrdersIndentLevel1aChar">
    <w:name w:val="Orders Indent Level 1 (a) Char"/>
    <w:link w:val="OrdersIndentLevel1a"/>
    <w:rsid w:val="0095456C"/>
    <w:rPr>
      <w:rFonts w:ascii="Times New Roman" w:hAnsi="Times New Roman"/>
      <w:i/>
      <w:lang w:eastAsia="en-US"/>
    </w:rPr>
  </w:style>
  <w:style w:type="paragraph" w:customStyle="1" w:styleId="OrdersIndentLevel2i">
    <w:name w:val="Orders Indent Level 2 (i)"/>
    <w:basedOn w:val="Normal"/>
    <w:link w:val="OrdersIndentLevel2iChar"/>
    <w:qFormat/>
    <w:rsid w:val="0095456C"/>
    <w:pPr>
      <w:tabs>
        <w:tab w:val="clear" w:pos="720"/>
        <w:tab w:val="clear" w:pos="1440"/>
        <w:tab w:val="clear" w:pos="4320"/>
        <w:tab w:val="clear" w:pos="5040"/>
        <w:tab w:val="clear" w:pos="5760"/>
        <w:tab w:val="clear" w:pos="7200"/>
      </w:tabs>
      <w:spacing w:line="240" w:lineRule="auto"/>
      <w:ind w:left="2836" w:right="0" w:hanging="1418"/>
      <w:jc w:val="both"/>
    </w:pPr>
    <w:rPr>
      <w:rFonts w:ascii="Times New Roman" w:hAnsi="Times New Roman"/>
      <w:i/>
      <w:lang w:eastAsia="en-US"/>
    </w:rPr>
  </w:style>
  <w:style w:type="character" w:customStyle="1" w:styleId="OrdersIndentLevel2iChar">
    <w:name w:val="Orders Indent Level 2 (i) Char"/>
    <w:link w:val="OrdersIndentLevel2i"/>
    <w:rsid w:val="0095456C"/>
    <w:rPr>
      <w:rFonts w:ascii="Times New Roman" w:hAnsi="Times New Roman"/>
      <w:i/>
      <w:lang w:eastAsia="en-US"/>
    </w:rPr>
  </w:style>
  <w:style w:type="paragraph" w:customStyle="1" w:styleId="OrdersMatter">
    <w:name w:val="Orders Matter"/>
    <w:basedOn w:val="OrderCentreBold"/>
    <w:link w:val="OrdersMatterChar"/>
    <w:qFormat/>
    <w:rsid w:val="0095456C"/>
  </w:style>
  <w:style w:type="character" w:customStyle="1" w:styleId="OrdersMatterChar">
    <w:name w:val="Orders Matter Char"/>
    <w:link w:val="OrdersMatter"/>
    <w:rsid w:val="0095456C"/>
    <w:rPr>
      <w:rFonts w:ascii="Times New Roman" w:hAnsi="Times New Roman"/>
      <w:b/>
      <w:bCs/>
      <w:szCs w:val="20"/>
      <w:lang w:val="en-GB"/>
    </w:rPr>
  </w:style>
  <w:style w:type="paragraph" w:customStyle="1" w:styleId="OrdersNotice">
    <w:name w:val="Orders Notice"/>
    <w:rsid w:val="0095456C"/>
    <w:pPr>
      <w:tabs>
        <w:tab w:val="left" w:pos="5103"/>
        <w:tab w:val="right" w:pos="7797"/>
      </w:tabs>
      <w:ind w:left="851" w:right="17"/>
    </w:pPr>
    <w:rPr>
      <w:rFonts w:ascii="Times New Roman" w:hAnsi="Times New Roman"/>
      <w:szCs w:val="20"/>
      <w:lang w:val="en-GB"/>
    </w:rPr>
  </w:style>
  <w:style w:type="paragraph" w:customStyle="1" w:styleId="OrdersRight">
    <w:name w:val="Orders Right"/>
    <w:basedOn w:val="Normal"/>
    <w:link w:val="OrdersRightChar"/>
    <w:qFormat/>
    <w:rsid w:val="0095456C"/>
    <w:pPr>
      <w:tabs>
        <w:tab w:val="clear" w:pos="4320"/>
        <w:tab w:val="clear" w:pos="5040"/>
        <w:tab w:val="clear" w:pos="5760"/>
        <w:tab w:val="clear" w:pos="7200"/>
      </w:tabs>
      <w:spacing w:line="240" w:lineRule="auto"/>
      <w:ind w:right="0" w:firstLine="0"/>
      <w:jc w:val="right"/>
    </w:pPr>
    <w:rPr>
      <w:rFonts w:ascii="Times New Roman" w:hAnsi="Times New Roman"/>
      <w:szCs w:val="20"/>
      <w:lang w:eastAsia="en-US"/>
    </w:rPr>
  </w:style>
  <w:style w:type="character" w:customStyle="1" w:styleId="OrdersRightChar">
    <w:name w:val="Orders Right Char"/>
    <w:link w:val="OrdersRight"/>
    <w:rsid w:val="0095456C"/>
    <w:rPr>
      <w:rFonts w:ascii="Times New Roman" w:hAnsi="Times New Roman"/>
      <w:szCs w:val="20"/>
      <w:lang w:eastAsia="en-US"/>
    </w:rPr>
  </w:style>
  <w:style w:type="paragraph" w:customStyle="1" w:styleId="OrdersText">
    <w:name w:val="Orders Text"/>
    <w:basedOn w:val="Normal"/>
    <w:link w:val="OrdersTextChar"/>
    <w:qFormat/>
    <w:rsid w:val="0095456C"/>
    <w:pPr>
      <w:spacing w:line="240" w:lineRule="auto"/>
      <w:ind w:left="709" w:right="0" w:hanging="709"/>
      <w:jc w:val="both"/>
    </w:pPr>
    <w:rPr>
      <w:rFonts w:ascii="Times New Roman" w:hAnsi="Times New Roman"/>
      <w:i/>
      <w:lang w:eastAsia="en-US"/>
    </w:rPr>
  </w:style>
  <w:style w:type="character" w:customStyle="1" w:styleId="OrdersTextChar">
    <w:name w:val="Orders Text Char"/>
    <w:link w:val="OrdersText"/>
    <w:rsid w:val="0095456C"/>
    <w:rPr>
      <w:rFonts w:ascii="Times New Roman" w:hAnsi="Times New Roman"/>
      <w:i/>
      <w:lang w:eastAsia="en-US"/>
    </w:rPr>
  </w:style>
  <w:style w:type="paragraph" w:customStyle="1" w:styleId="OrdersCenteredBorder">
    <w:name w:val="Orders Centered Border"/>
    <w:qFormat/>
    <w:rsid w:val="004B26D9"/>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sPartyName">
    <w:name w:val="Orders PartyName"/>
    <w:basedOn w:val="Normal"/>
    <w:link w:val="OrdersPartyNameChar"/>
    <w:qFormat/>
    <w:rsid w:val="00B94B4F"/>
    <w:pPr>
      <w:tabs>
        <w:tab w:val="clear" w:pos="720"/>
        <w:tab w:val="clear" w:pos="1440"/>
        <w:tab w:val="clear" w:pos="2160"/>
        <w:tab w:val="clear" w:pos="2880"/>
        <w:tab w:val="clear" w:pos="3600"/>
        <w:tab w:val="clear" w:pos="4320"/>
        <w:tab w:val="clear" w:pos="5040"/>
        <w:tab w:val="clear" w:pos="5760"/>
        <w:tab w:val="clear" w:pos="6480"/>
        <w:tab w:val="clear" w:pos="7200"/>
        <w:tab w:val="right" w:pos="7938"/>
      </w:tabs>
      <w:spacing w:line="240" w:lineRule="auto"/>
      <w:ind w:right="2125" w:firstLine="0"/>
      <w:jc w:val="both"/>
    </w:pPr>
    <w:rPr>
      <w:rFonts w:ascii="Times New Roman" w:hAnsi="Times New Roman"/>
      <w:szCs w:val="20"/>
    </w:rPr>
  </w:style>
  <w:style w:type="character" w:customStyle="1" w:styleId="OrdersPartyNameChar">
    <w:name w:val="Orders PartyName Char"/>
    <w:link w:val="OrdersPartyName"/>
    <w:rsid w:val="00B94B4F"/>
    <w:rPr>
      <w:rFonts w:ascii="Times New Roman" w:hAnsi="Times New Roman"/>
      <w:szCs w:val="20"/>
    </w:rPr>
  </w:style>
  <w:style w:type="paragraph" w:customStyle="1" w:styleId="LRHangingafterHC">
    <w:name w:val="LR Hanging after HC"/>
    <w:basedOn w:val="Normal"/>
    <w:next w:val="LeftrightHanging"/>
    <w:uiPriority w:val="99"/>
    <w:qFormat/>
    <w:rsid w:val="0053324F"/>
    <w:pPr>
      <w:spacing w:before="720" w:line="240" w:lineRule="exact"/>
      <w:ind w:left="1440" w:right="794" w:hanging="720"/>
    </w:pPr>
  </w:style>
  <w:style w:type="character" w:styleId="CommentReference">
    <w:name w:val="annotation reference"/>
    <w:basedOn w:val="DefaultParagraphFont"/>
    <w:uiPriority w:val="99"/>
    <w:semiHidden/>
    <w:unhideWhenUsed/>
    <w:locked/>
    <w:rsid w:val="00EC7C6F"/>
    <w:rPr>
      <w:sz w:val="16"/>
      <w:szCs w:val="16"/>
    </w:rPr>
  </w:style>
  <w:style w:type="paragraph" w:styleId="CommentText">
    <w:name w:val="annotation text"/>
    <w:basedOn w:val="Normal"/>
    <w:link w:val="CommentTextChar"/>
    <w:uiPriority w:val="99"/>
    <w:semiHidden/>
    <w:unhideWhenUsed/>
    <w:locked/>
    <w:rsid w:val="00EC7C6F"/>
    <w:pPr>
      <w:spacing w:line="240" w:lineRule="auto"/>
    </w:pPr>
    <w:rPr>
      <w:sz w:val="20"/>
      <w:szCs w:val="20"/>
    </w:rPr>
  </w:style>
  <w:style w:type="character" w:customStyle="1" w:styleId="CommentTextChar">
    <w:name w:val="Comment Text Char"/>
    <w:basedOn w:val="DefaultParagraphFont"/>
    <w:link w:val="CommentText"/>
    <w:uiPriority w:val="99"/>
    <w:semiHidden/>
    <w:rsid w:val="00EC7C6F"/>
    <w:rPr>
      <w:sz w:val="20"/>
      <w:szCs w:val="20"/>
    </w:rPr>
  </w:style>
  <w:style w:type="paragraph" w:styleId="CommentSubject">
    <w:name w:val="annotation subject"/>
    <w:basedOn w:val="CommentText"/>
    <w:next w:val="CommentText"/>
    <w:link w:val="CommentSubjectChar"/>
    <w:uiPriority w:val="99"/>
    <w:semiHidden/>
    <w:unhideWhenUsed/>
    <w:locked/>
    <w:rsid w:val="00EC7C6F"/>
    <w:rPr>
      <w:b/>
      <w:bCs/>
    </w:rPr>
  </w:style>
  <w:style w:type="character" w:customStyle="1" w:styleId="CommentSubjectChar">
    <w:name w:val="Comment Subject Char"/>
    <w:basedOn w:val="CommentTextChar"/>
    <w:link w:val="CommentSubject"/>
    <w:uiPriority w:val="99"/>
    <w:semiHidden/>
    <w:rsid w:val="00EC7C6F"/>
    <w:rPr>
      <w:b/>
      <w:bCs/>
      <w:sz w:val="20"/>
      <w:szCs w:val="20"/>
    </w:rPr>
  </w:style>
  <w:style w:type="paragraph" w:styleId="Revision">
    <w:name w:val="Revision"/>
    <w:hidden/>
    <w:uiPriority w:val="99"/>
    <w:semiHidden/>
    <w:rsid w:val="00EC5B34"/>
  </w:style>
  <w:style w:type="character" w:customStyle="1" w:styleId="FootnoteTextChar">
    <w:name w:val="Footnote Text Char"/>
    <w:link w:val="FootnoteText"/>
    <w:uiPriority w:val="53"/>
    <w:rsid w:val="00484F88"/>
  </w:style>
  <w:style w:type="paragraph" w:customStyle="1" w:styleId="Body">
    <w:name w:val="Body"/>
    <w:basedOn w:val="Normal"/>
    <w:qFormat/>
    <w:rsid w:val="00CD1C0A"/>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rPr>
  </w:style>
  <w:style w:type="paragraph" w:customStyle="1" w:styleId="BodyHeading">
    <w:name w:val="Body Heading"/>
    <w:basedOn w:val="Normal"/>
    <w:qFormat/>
    <w:rsid w:val="00CD1C0A"/>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rPr>
  </w:style>
  <w:style w:type="paragraph" w:customStyle="1" w:styleId="Centre">
    <w:name w:val="Centre"/>
    <w:qFormat/>
    <w:rsid w:val="00CD1C0A"/>
    <w:pPr>
      <w:tabs>
        <w:tab w:val="left" w:pos="720"/>
        <w:tab w:val="left" w:pos="1440"/>
      </w:tabs>
      <w:ind w:right="17"/>
      <w:jc w:val="center"/>
    </w:pPr>
    <w:rPr>
      <w:rFonts w:ascii="Times New Roman" w:hAnsi="Times New Roman"/>
      <w:szCs w:val="20"/>
      <w:lang w:val="en-GB"/>
    </w:rPr>
  </w:style>
  <w:style w:type="paragraph" w:customStyle="1" w:styleId="CentreItalics">
    <w:name w:val="Centre Italics"/>
    <w:basedOn w:val="Normal"/>
    <w:qFormat/>
    <w:rsid w:val="00CD1C0A"/>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rPr>
  </w:style>
  <w:style w:type="paragraph" w:customStyle="1" w:styleId="Notice">
    <w:name w:val="Notice"/>
    <w:rsid w:val="00CD1C0A"/>
    <w:pPr>
      <w:tabs>
        <w:tab w:val="left" w:pos="5103"/>
        <w:tab w:val="right" w:pos="7797"/>
      </w:tabs>
      <w:ind w:left="851" w:right="17"/>
      <w:jc w:val="both"/>
    </w:pPr>
    <w:rPr>
      <w:rFonts w:ascii="Times New Roman" w:hAnsi="Times New Roman"/>
      <w:szCs w:val="20"/>
      <w:lang w:val="en-GB"/>
    </w:rPr>
  </w:style>
  <w:style w:type="paragraph" w:customStyle="1" w:styleId="OrderCentre">
    <w:name w:val="Order Centre"/>
    <w:rsid w:val="00CD1C0A"/>
    <w:pPr>
      <w:jc w:val="center"/>
    </w:pPr>
    <w:rPr>
      <w:rFonts w:ascii="Times New Roman" w:hAnsi="Times New Roman"/>
      <w:bCs/>
      <w:szCs w:val="20"/>
      <w:lang w:val="en-GB"/>
    </w:rPr>
  </w:style>
  <w:style w:type="paragraph" w:customStyle="1" w:styleId="Default">
    <w:name w:val="Default"/>
    <w:rsid w:val="00CD1C0A"/>
    <w:pPr>
      <w:autoSpaceDE w:val="0"/>
      <w:autoSpaceDN w:val="0"/>
      <w:adjustRightInd w:val="0"/>
    </w:pPr>
    <w:rPr>
      <w:rFonts w:ascii="Times New Roman" w:eastAsia="Calibri"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header" Target="header6.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9.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8.xml"/><Relationship Id="rId32" Type="http://schemas.openxmlformats.org/officeDocument/2006/relationships/header" Target="header13.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7.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footer" Target="footer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11.xml"/><Relationship Id="rId30" Type="http://schemas.openxmlformats.org/officeDocument/2006/relationships/header" Target="header12.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hca.local\shares\MasterTemplates\Chambers\Chambers(V10.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bc5b7fd-636f-49ec-b8cc-eb8a3f2ba19e" xsi:nil="true"/>
    <lcf76f155ced4ddcb4097134ff3c332f xmlns="3cc3f26d-d9cc-46f3-89c7-f1482de8c8f1">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1F32D2EC4F8DE44A8C0C478B82839881" ma:contentTypeVersion="14" ma:contentTypeDescription="Create a new document." ma:contentTypeScope="" ma:versionID="b03433a8869e012864dbc6c70f50c033">
  <xsd:schema xmlns:xsd="http://www.w3.org/2001/XMLSchema" xmlns:xs="http://www.w3.org/2001/XMLSchema" xmlns:p="http://schemas.microsoft.com/office/2006/metadata/properties" xmlns:ns2="cbc5b7fd-636f-49ec-b8cc-eb8a3f2ba19e" xmlns:ns3="3cc3f26d-d9cc-46f3-89c7-f1482de8c8f1" targetNamespace="http://schemas.microsoft.com/office/2006/metadata/properties" ma:root="true" ma:fieldsID="d73e3d83e2164b731b89076c80adee54" ns2:_="" ns3:_="">
    <xsd:import namespace="cbc5b7fd-636f-49ec-b8cc-eb8a3f2ba19e"/>
    <xsd:import namespace="3cc3f26d-d9cc-46f3-89c7-f1482de8c8f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c5b7fd-636f-49ec-b8cc-eb8a3f2ba19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3917a95-3fa1-418e-808a-c77197b9d2d6}" ma:internalName="TaxCatchAll" ma:showField="CatchAllData" ma:web="cbc5b7fd-636f-49ec-b8cc-eb8a3f2ba19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cc3f26d-d9cc-46f3-89c7-f1482de8c8f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5e3044c-c92f-4775-8f51-280d1277677b"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7DD54D-5AB1-4084-B29D-C530544F59D2}">
  <ds:schemaRefs>
    <ds:schemaRef ds:uri="http://schemas.microsoft.com/office/2006/metadata/properties"/>
    <ds:schemaRef ds:uri="http://schemas.microsoft.com/office/infopath/2007/PartnerControls"/>
    <ds:schemaRef ds:uri="cbc5b7fd-636f-49ec-b8cc-eb8a3f2ba19e"/>
    <ds:schemaRef ds:uri="3cc3f26d-d9cc-46f3-89c7-f1482de8c8f1"/>
  </ds:schemaRefs>
</ds:datastoreItem>
</file>

<file path=customXml/itemProps2.xml><?xml version="1.0" encoding="utf-8"?>
<ds:datastoreItem xmlns:ds="http://schemas.openxmlformats.org/officeDocument/2006/customXml" ds:itemID="{45EC6EDD-F216-48FC-9330-62E6B57D55A7}">
  <ds:schemaRefs>
    <ds:schemaRef ds:uri="http://schemas.openxmlformats.org/officeDocument/2006/bibliography"/>
  </ds:schemaRefs>
</ds:datastoreItem>
</file>

<file path=customXml/itemProps3.xml><?xml version="1.0" encoding="utf-8"?>
<ds:datastoreItem xmlns:ds="http://schemas.openxmlformats.org/officeDocument/2006/customXml" ds:itemID="{92266463-5127-446C-9DB5-5E500B11E4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c5b7fd-636f-49ec-b8cc-eb8a3f2ba19e"/>
    <ds:schemaRef ds:uri="3cc3f26d-d9cc-46f3-89c7-f1482de8c8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F51E2A-5120-49B8-B8A9-580B46FA2A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Chambers(V10.0)</Template>
  <TotalTime>0</TotalTime>
  <Pages>43</Pages>
  <Words>13080</Words>
  <Characters>63516</Characters>
  <Application>Microsoft Office Word</Application>
  <DocSecurity>0</DocSecurity>
  <Lines>529</Lines>
  <Paragraphs>152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76444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2023-03-06T21:42:00Z</dcterms:created>
  <dcterms:modified xsi:type="dcterms:W3CDTF">2023-03-06T21:46:00Z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udge01">
    <vt:lpwstr>KIEFEL CJ 01</vt:lpwstr>
  </property>
  <property fmtid="{D5CDD505-2E9C-101B-9397-08002B2CF9AE}" pid="3" name="Judge02">
    <vt:lpwstr>GAGELER J 02</vt:lpwstr>
  </property>
  <property fmtid="{D5CDD505-2E9C-101B-9397-08002B2CF9AE}" pid="4" name="Judge03">
    <vt:lpwstr>GORDON J 03</vt:lpwstr>
  </property>
  <property fmtid="{D5CDD505-2E9C-101B-9397-08002B2CF9AE}" pid="5" name="Judge04">
    <vt:lpwstr>EDELMAN J 04</vt:lpwstr>
  </property>
  <property fmtid="{D5CDD505-2E9C-101B-9397-08002B2CF9AE}" pid="6" name="Judge05">
    <vt:lpwstr>STEWARD J 05</vt:lpwstr>
  </property>
  <property fmtid="{D5CDD505-2E9C-101B-9397-08002B2CF9AE}" pid="7" name="Judge06">
    <vt:lpwstr>GLEESON J 06</vt:lpwstr>
  </property>
  <property fmtid="{D5CDD505-2E9C-101B-9397-08002B2CF9AE}" pid="8" name="Judge07">
    <vt:lpwstr>JAGOT J 07</vt:lpwstr>
  </property>
  <property fmtid="{D5CDD505-2E9C-101B-9397-08002B2CF9AE}" pid="9" name="ContentTypeId">
    <vt:lpwstr>0x0101001F32D2EC4F8DE44A8C0C478B82839881</vt:lpwstr>
  </property>
  <property fmtid="{D5CDD505-2E9C-101B-9397-08002B2CF9AE}" pid="10" name="MediaServiceImageTags">
    <vt:lpwstr/>
  </property>
</Properties>
</file>