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FE1D" w14:textId="77777777" w:rsidR="00E9402E" w:rsidRPr="00704FF8" w:rsidRDefault="00E9402E" w:rsidP="00704FF8">
      <w:pPr>
        <w:pStyle w:val="OrdersTopLine"/>
      </w:pPr>
      <w:r w:rsidRPr="00704FF8">
        <w:t>HIGH COURT OF AUSTRALIA</w:t>
      </w:r>
    </w:p>
    <w:p w14:paraId="17815948" w14:textId="77777777" w:rsidR="00E9402E" w:rsidRPr="00704FF8" w:rsidRDefault="00E9402E" w:rsidP="00704FF8">
      <w:pPr>
        <w:pStyle w:val="OrderCentre"/>
      </w:pPr>
    </w:p>
    <w:p w14:paraId="584AE237" w14:textId="77777777" w:rsidR="00E9402E" w:rsidRPr="00C46004" w:rsidRDefault="00E9402E" w:rsidP="00704FF8">
      <w:pPr>
        <w:pStyle w:val="OrderCentre"/>
        <w:rPr>
          <w:spacing w:val="-4"/>
          <w:sz w:val="24"/>
          <w:szCs w:val="24"/>
        </w:rPr>
      </w:pPr>
      <w:r w:rsidRPr="00C46004">
        <w:rPr>
          <w:spacing w:val="-4"/>
          <w:sz w:val="24"/>
          <w:szCs w:val="24"/>
        </w:rPr>
        <w:t>GAGELER CJ,</w:t>
      </w:r>
    </w:p>
    <w:p w14:paraId="4BD547A0" w14:textId="77777777" w:rsidR="00E9402E" w:rsidRPr="00704FF8" w:rsidRDefault="00E9402E" w:rsidP="00704FF8">
      <w:pPr>
        <w:pStyle w:val="OrderCentre"/>
      </w:pPr>
      <w:r w:rsidRPr="00C46004">
        <w:rPr>
          <w:spacing w:val="-4"/>
          <w:sz w:val="24"/>
          <w:szCs w:val="24"/>
        </w:rPr>
        <w:t>GORDON, EDELMAN, STEWARD, GLEESON, JAGOT AND BEECH</w:t>
      </w:r>
      <w:r w:rsidRPr="00C46004">
        <w:rPr>
          <w:spacing w:val="-4"/>
          <w:sz w:val="24"/>
          <w:szCs w:val="24"/>
        </w:rPr>
        <w:noBreakHyphen/>
        <w:t>JONES JJ</w:t>
      </w:r>
    </w:p>
    <w:p w14:paraId="50299154" w14:textId="77777777" w:rsidR="00E9402E" w:rsidRPr="00427F3A" w:rsidRDefault="00E9402E" w:rsidP="00EE5374">
      <w:pPr>
        <w:pStyle w:val="Centre"/>
        <w:rPr>
          <w:lang w:val="en-AU"/>
        </w:rPr>
      </w:pPr>
    </w:p>
    <w:p w14:paraId="65B912F0" w14:textId="77777777" w:rsidR="00E9402E" w:rsidRPr="00704FF8" w:rsidRDefault="00E9402E" w:rsidP="00704FF8">
      <w:pPr>
        <w:pStyle w:val="OrdersCenteredBorder"/>
      </w:pPr>
    </w:p>
    <w:p w14:paraId="08186FB6" w14:textId="77777777" w:rsidR="00E9402E" w:rsidRPr="00704FF8" w:rsidRDefault="00E9402E" w:rsidP="0032341F">
      <w:pPr>
        <w:pStyle w:val="OrdersBodyHeading"/>
      </w:pPr>
    </w:p>
    <w:p w14:paraId="2C824986" w14:textId="77777777" w:rsidR="00E9402E" w:rsidRPr="0032341F" w:rsidRDefault="00E9402E" w:rsidP="009362E8">
      <w:pPr>
        <w:pStyle w:val="OrdersPartyName"/>
        <w:ind w:right="-1"/>
      </w:pPr>
      <w:r w:rsidRPr="005C3FDB">
        <w:t>LPDT</w:t>
      </w:r>
      <w:r w:rsidRPr="0032341F">
        <w:tab/>
        <w:t>APPELLANT</w:t>
      </w:r>
    </w:p>
    <w:p w14:paraId="1D4B5A32" w14:textId="77777777" w:rsidR="00E9402E" w:rsidRPr="0032341F" w:rsidRDefault="00E9402E" w:rsidP="009362E8">
      <w:pPr>
        <w:pStyle w:val="OrdersPartyName"/>
        <w:ind w:right="-1"/>
      </w:pPr>
    </w:p>
    <w:p w14:paraId="6ECFF2B3" w14:textId="77777777" w:rsidR="00E9402E" w:rsidRPr="0032341F" w:rsidRDefault="00E9402E" w:rsidP="009362E8">
      <w:pPr>
        <w:pStyle w:val="OrdersPartyName"/>
        <w:ind w:right="-1"/>
      </w:pPr>
      <w:r w:rsidRPr="0032341F">
        <w:t>AND</w:t>
      </w:r>
    </w:p>
    <w:p w14:paraId="3A9EA242" w14:textId="77777777" w:rsidR="00E9402E" w:rsidRPr="0032341F" w:rsidRDefault="00E9402E" w:rsidP="009362E8">
      <w:pPr>
        <w:pStyle w:val="OrdersPartyName"/>
        <w:ind w:right="-1"/>
      </w:pPr>
    </w:p>
    <w:p w14:paraId="72C380BC" w14:textId="77777777" w:rsidR="00E9402E" w:rsidRDefault="00E9402E" w:rsidP="009362E8">
      <w:pPr>
        <w:pStyle w:val="OrdersPartyName"/>
        <w:ind w:right="-1"/>
      </w:pPr>
      <w:r w:rsidRPr="005C3FDB">
        <w:t xml:space="preserve">MINISTER FOR IMMIGRATION, CITIZENSHIP, </w:t>
      </w:r>
    </w:p>
    <w:p w14:paraId="512EA66E" w14:textId="77777777" w:rsidR="00E9402E" w:rsidRDefault="00E9402E" w:rsidP="009362E8">
      <w:pPr>
        <w:pStyle w:val="OrdersPartyName"/>
        <w:ind w:right="-1"/>
      </w:pPr>
      <w:r w:rsidRPr="005C3FDB">
        <w:t xml:space="preserve">MIGRANT SERVICES AND MULTICULTURAL </w:t>
      </w:r>
    </w:p>
    <w:p w14:paraId="05B3A6CD" w14:textId="77777777" w:rsidR="00E9402E" w:rsidRPr="0032341F" w:rsidRDefault="00E9402E" w:rsidP="009362E8">
      <w:pPr>
        <w:pStyle w:val="OrdersPartyName"/>
        <w:ind w:right="-1"/>
      </w:pPr>
      <w:r w:rsidRPr="005C3FDB">
        <w:t>AFFAIRS</w:t>
      </w:r>
      <w:r>
        <w:t xml:space="preserve"> &amp; ANOR</w:t>
      </w:r>
      <w:r w:rsidRPr="0032341F">
        <w:tab/>
        <w:t>RESPONDENT</w:t>
      </w:r>
      <w:r>
        <w:t>S</w:t>
      </w:r>
    </w:p>
    <w:p w14:paraId="5812BBF8" w14:textId="77777777" w:rsidR="00E9402E" w:rsidRPr="00427F3A" w:rsidRDefault="00E9402E" w:rsidP="00AF0A5E">
      <w:pPr>
        <w:pStyle w:val="BodyHeading"/>
      </w:pPr>
    </w:p>
    <w:p w14:paraId="61C20D75" w14:textId="77777777" w:rsidR="00E9402E" w:rsidRPr="00427F3A" w:rsidRDefault="00E9402E" w:rsidP="00BE0A6C">
      <w:pPr>
        <w:pStyle w:val="BodyHeading"/>
      </w:pPr>
    </w:p>
    <w:p w14:paraId="6C8B1EB6" w14:textId="77777777" w:rsidR="00E9402E" w:rsidRPr="00427F3A" w:rsidRDefault="00E9402E" w:rsidP="00EE5374">
      <w:pPr>
        <w:pStyle w:val="CentreItalics"/>
      </w:pPr>
      <w:r w:rsidRPr="005C3FDB">
        <w:t>LPDT v Minister for Immigration, Citizenship, Migrant Services and Multicultural Affairs</w:t>
      </w:r>
    </w:p>
    <w:p w14:paraId="30262AD2" w14:textId="77777777" w:rsidR="00E9402E" w:rsidRPr="00427F3A" w:rsidRDefault="00E9402E" w:rsidP="00E90E4F">
      <w:pPr>
        <w:pStyle w:val="OrdersCentre"/>
      </w:pPr>
      <w:r>
        <w:t>[2024</w:t>
      </w:r>
      <w:r w:rsidRPr="00427F3A">
        <w:t xml:space="preserve">] HCA </w:t>
      </w:r>
      <w:r>
        <w:t>12</w:t>
      </w:r>
    </w:p>
    <w:p w14:paraId="43459A1F" w14:textId="77777777" w:rsidR="00E9402E" w:rsidRDefault="00E9402E" w:rsidP="00E90E4F">
      <w:pPr>
        <w:pStyle w:val="OrdersCentreItalics"/>
      </w:pPr>
      <w:r>
        <w:t xml:space="preserve">Date of Hearing: </w:t>
      </w:r>
      <w:r w:rsidRPr="005C3FDB">
        <w:t>6 February 2024</w:t>
      </w:r>
    </w:p>
    <w:p w14:paraId="60367D50" w14:textId="77777777" w:rsidR="00E9402E" w:rsidRPr="00427F3A" w:rsidRDefault="00E9402E" w:rsidP="00E90E4F">
      <w:pPr>
        <w:pStyle w:val="OrdersCentreItalics"/>
      </w:pPr>
      <w:r>
        <w:t>Date of Judgment: 10 April 2024</w:t>
      </w:r>
    </w:p>
    <w:p w14:paraId="25724F0A" w14:textId="77777777" w:rsidR="00E9402E" w:rsidRDefault="00E9402E" w:rsidP="00E90E4F">
      <w:pPr>
        <w:pStyle w:val="OrdersCentre"/>
      </w:pPr>
      <w:r w:rsidRPr="005C3FDB">
        <w:t>M70/2023</w:t>
      </w:r>
    </w:p>
    <w:p w14:paraId="2D4EF878" w14:textId="77777777" w:rsidR="00E9402E" w:rsidRPr="00427F3A" w:rsidRDefault="00E9402E" w:rsidP="00E90E4F">
      <w:pPr>
        <w:pStyle w:val="OrdersCentre"/>
      </w:pPr>
    </w:p>
    <w:p w14:paraId="499ED229" w14:textId="77777777" w:rsidR="00E9402E" w:rsidRPr="00BE0A6C" w:rsidRDefault="00E9402E" w:rsidP="00E90E4F">
      <w:pPr>
        <w:pStyle w:val="OrderCentreBold"/>
      </w:pPr>
      <w:r w:rsidRPr="00BE0A6C">
        <w:t>ORDER</w:t>
      </w:r>
    </w:p>
    <w:p w14:paraId="6CF13C11" w14:textId="77777777" w:rsidR="00E9402E" w:rsidRPr="00427F3A" w:rsidRDefault="00E9402E" w:rsidP="00736C52">
      <w:pPr>
        <w:pStyle w:val="Centre"/>
        <w:rPr>
          <w:lang w:val="en-AU"/>
        </w:rPr>
      </w:pPr>
    </w:p>
    <w:p w14:paraId="7D9A5BD2" w14:textId="77777777" w:rsidR="00E9402E" w:rsidRDefault="00E9402E" w:rsidP="009E6C8E">
      <w:pPr>
        <w:pStyle w:val="OrdersText"/>
      </w:pPr>
      <w:r>
        <w:t>1.</w:t>
      </w:r>
      <w:r>
        <w:tab/>
        <w:t>Appeal allowed with costs</w:t>
      </w:r>
      <w:r w:rsidRPr="008E5636">
        <w:t>.</w:t>
      </w:r>
    </w:p>
    <w:p w14:paraId="25C18D0A" w14:textId="77777777" w:rsidR="00E9402E" w:rsidRDefault="00E9402E" w:rsidP="009E6C8E">
      <w:pPr>
        <w:pStyle w:val="OrdersText"/>
      </w:pPr>
    </w:p>
    <w:p w14:paraId="0D4C74F4" w14:textId="77777777" w:rsidR="00E9402E" w:rsidRDefault="00E9402E" w:rsidP="009E6C8E">
      <w:pPr>
        <w:pStyle w:val="OrdersText"/>
      </w:pPr>
      <w:r>
        <w:t>2.</w:t>
      </w:r>
      <w:r>
        <w:tab/>
        <w:t>Set aside t</w:t>
      </w:r>
      <w:r w:rsidRPr="007E5F32">
        <w:t xml:space="preserve">he orders of the Full Court of the Federal Court of Australia </w:t>
      </w:r>
      <w:r>
        <w:t xml:space="preserve">made </w:t>
      </w:r>
      <w:r w:rsidRPr="007E5F32">
        <w:t>on 3 May 2023 and 24 May 2023 and, in their place, order that</w:t>
      </w:r>
      <w:r>
        <w:t>:</w:t>
      </w:r>
    </w:p>
    <w:p w14:paraId="492F7095" w14:textId="77777777" w:rsidR="00E9402E" w:rsidRDefault="00E9402E" w:rsidP="009E6C8E">
      <w:pPr>
        <w:pStyle w:val="OrdersText"/>
      </w:pPr>
    </w:p>
    <w:p w14:paraId="3BFEE9F5" w14:textId="77777777" w:rsidR="00E9402E" w:rsidRDefault="00E9402E" w:rsidP="009E6C8E">
      <w:pPr>
        <w:pStyle w:val="OrdersText"/>
        <w:ind w:left="1418"/>
      </w:pPr>
      <w:r>
        <w:t>(a)</w:t>
      </w:r>
      <w:r>
        <w:tab/>
      </w:r>
      <w:r w:rsidRPr="007E5F32">
        <w:t>the appeal be allowed with costs</w:t>
      </w:r>
      <w:r>
        <w:t>;</w:t>
      </w:r>
      <w:r w:rsidRPr="007E5F32">
        <w:t xml:space="preserve"> and</w:t>
      </w:r>
    </w:p>
    <w:p w14:paraId="3D623013" w14:textId="77777777" w:rsidR="00E9402E" w:rsidRDefault="00E9402E" w:rsidP="009E6C8E">
      <w:pPr>
        <w:pStyle w:val="OrdersText"/>
        <w:ind w:left="1418"/>
      </w:pPr>
    </w:p>
    <w:p w14:paraId="7ADB1B18" w14:textId="77777777" w:rsidR="00E9402E" w:rsidRDefault="00E9402E" w:rsidP="009E6C8E">
      <w:pPr>
        <w:pStyle w:val="OrdersText"/>
        <w:ind w:left="1418"/>
      </w:pPr>
      <w:r>
        <w:t>(b)</w:t>
      </w:r>
      <w:r>
        <w:tab/>
      </w:r>
      <w:r w:rsidRPr="007E5F32">
        <w:t>the orders of the</w:t>
      </w:r>
      <w:r>
        <w:t xml:space="preserve"> </w:t>
      </w:r>
      <w:r w:rsidRPr="00621F0F">
        <w:t>Federal Court of Australia</w:t>
      </w:r>
      <w:r>
        <w:t xml:space="preserve"> made</w:t>
      </w:r>
      <w:r w:rsidRPr="00621F0F">
        <w:t xml:space="preserve"> on 14 July 2022 be set aside and, in their place, order that:</w:t>
      </w:r>
    </w:p>
    <w:p w14:paraId="42AB71E3" w14:textId="77777777" w:rsidR="00E9402E" w:rsidRDefault="00E9402E" w:rsidP="009E6C8E">
      <w:pPr>
        <w:pStyle w:val="OrdersText"/>
        <w:ind w:left="1418"/>
      </w:pPr>
    </w:p>
    <w:p w14:paraId="463CE935" w14:textId="77777777" w:rsidR="00E9402E" w:rsidRDefault="00E9402E" w:rsidP="009E6C8E">
      <w:pPr>
        <w:pStyle w:val="OrdersText"/>
        <w:ind w:left="2127"/>
      </w:pPr>
      <w:r w:rsidRPr="00EF592D">
        <w:t>(</w:t>
      </w:r>
      <w:proofErr w:type="spellStart"/>
      <w:r>
        <w:t>i</w:t>
      </w:r>
      <w:proofErr w:type="spellEnd"/>
      <w:r w:rsidRPr="00EF592D">
        <w:t>)</w:t>
      </w:r>
      <w:r>
        <w:tab/>
      </w:r>
      <w:r w:rsidRPr="00BC3C30">
        <w:t xml:space="preserve">a writ of certiorari issue to quash the decision of the </w:t>
      </w:r>
      <w:r>
        <w:t>second respondent</w:t>
      </w:r>
      <w:r w:rsidRPr="00BC3C30">
        <w:t xml:space="preserve"> on 7 July 2021 not to revoke the cancellation of the appellant's </w:t>
      </w:r>
      <w:proofErr w:type="gramStart"/>
      <w:r w:rsidRPr="00BC3C30">
        <w:t>visa;</w:t>
      </w:r>
      <w:proofErr w:type="gramEnd"/>
    </w:p>
    <w:p w14:paraId="29CB64A1" w14:textId="77777777" w:rsidR="00E9402E" w:rsidRDefault="00E9402E" w:rsidP="009E6C8E">
      <w:pPr>
        <w:pStyle w:val="OrdersText"/>
        <w:ind w:left="2127"/>
      </w:pPr>
    </w:p>
    <w:p w14:paraId="7AE04E2D" w14:textId="77777777" w:rsidR="00E9402E" w:rsidRDefault="00E9402E" w:rsidP="009E6C8E">
      <w:pPr>
        <w:pStyle w:val="OrdersText"/>
        <w:ind w:left="2127"/>
      </w:pPr>
      <w:r>
        <w:t>(ii)</w:t>
      </w:r>
      <w:r>
        <w:tab/>
      </w:r>
      <w:r w:rsidRPr="004208EE">
        <w:t xml:space="preserve">a writ of mandamus issue directed to the </w:t>
      </w:r>
      <w:r>
        <w:t>second respondent</w:t>
      </w:r>
      <w:r w:rsidRPr="004208EE">
        <w:t xml:space="preserve"> requiring it to determine the appellant's request for revocation according to law; and</w:t>
      </w:r>
    </w:p>
    <w:p w14:paraId="0A23FE73" w14:textId="77777777" w:rsidR="00E9402E" w:rsidRDefault="00E9402E" w:rsidP="009E6C8E">
      <w:pPr>
        <w:pStyle w:val="OrdersText"/>
        <w:ind w:left="2127"/>
      </w:pPr>
    </w:p>
    <w:p w14:paraId="62B4951C" w14:textId="77777777" w:rsidR="00E9402E" w:rsidRDefault="00E940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br w:type="page"/>
      </w:r>
    </w:p>
    <w:p w14:paraId="795149E6" w14:textId="77777777" w:rsidR="00E9402E" w:rsidRDefault="00E940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i/>
          <w:lang w:eastAsia="en-US"/>
        </w:rPr>
      </w:pPr>
      <w:r>
        <w:lastRenderedPageBreak/>
        <w:br w:type="page"/>
      </w:r>
    </w:p>
    <w:p w14:paraId="21E53D0C" w14:textId="44C94B0F" w:rsidR="00E9402E" w:rsidRDefault="00E9402E" w:rsidP="009E6C8E">
      <w:pPr>
        <w:pStyle w:val="OrdersText"/>
        <w:ind w:left="2127"/>
      </w:pPr>
      <w:r>
        <w:lastRenderedPageBreak/>
        <w:t>(iii)</w:t>
      </w:r>
      <w:r>
        <w:tab/>
      </w:r>
      <w:r w:rsidRPr="00901529">
        <w:t xml:space="preserve">the </w:t>
      </w:r>
      <w:r>
        <w:t>first respondent</w:t>
      </w:r>
      <w:r w:rsidRPr="00901529">
        <w:t xml:space="preserve"> </w:t>
      </w:r>
      <w:proofErr w:type="gramStart"/>
      <w:r w:rsidRPr="00901529">
        <w:t>pay</w:t>
      </w:r>
      <w:proofErr w:type="gramEnd"/>
      <w:r w:rsidRPr="00901529">
        <w:t xml:space="preserve"> the appellant's costs</w:t>
      </w:r>
      <w:r>
        <w:t>.</w:t>
      </w:r>
    </w:p>
    <w:p w14:paraId="7263C2D5" w14:textId="77777777" w:rsidR="00E9402E" w:rsidRDefault="00E9402E" w:rsidP="00EE5374">
      <w:pPr>
        <w:pStyle w:val="Body"/>
      </w:pPr>
    </w:p>
    <w:p w14:paraId="78365E89" w14:textId="77777777" w:rsidR="00E9402E" w:rsidRPr="00427F3A" w:rsidRDefault="00E9402E" w:rsidP="00EE5374">
      <w:pPr>
        <w:pStyle w:val="Body"/>
      </w:pPr>
    </w:p>
    <w:p w14:paraId="58D5A308" w14:textId="77777777" w:rsidR="00E9402E" w:rsidRPr="00427F3A" w:rsidRDefault="00E9402E" w:rsidP="0032341F">
      <w:pPr>
        <w:pStyle w:val="OrdersBody"/>
      </w:pPr>
      <w:r w:rsidRPr="00427F3A">
        <w:t xml:space="preserve">On appeal from the </w:t>
      </w:r>
      <w:r w:rsidRPr="005C3FDB">
        <w:t>Federal Court of Australia</w:t>
      </w:r>
    </w:p>
    <w:p w14:paraId="16DC4E17" w14:textId="77777777" w:rsidR="00E9402E" w:rsidRDefault="00E9402E" w:rsidP="00EE5374">
      <w:pPr>
        <w:pStyle w:val="Body"/>
      </w:pPr>
    </w:p>
    <w:p w14:paraId="1CAC7637" w14:textId="77777777" w:rsidR="00E9402E" w:rsidRPr="00427F3A" w:rsidRDefault="00E9402E" w:rsidP="00EE5374">
      <w:pPr>
        <w:pStyle w:val="Body"/>
      </w:pPr>
    </w:p>
    <w:p w14:paraId="1F3FD5C1" w14:textId="77777777" w:rsidR="00E9402E" w:rsidRPr="005C3FDB" w:rsidRDefault="00E9402E" w:rsidP="00E90E4F">
      <w:pPr>
        <w:pStyle w:val="OrdersBodyHeading"/>
      </w:pPr>
      <w:r w:rsidRPr="005C3FDB">
        <w:t>Representation</w:t>
      </w:r>
    </w:p>
    <w:p w14:paraId="6EF8024F" w14:textId="77777777" w:rsidR="00E9402E" w:rsidRPr="005C3FDB" w:rsidRDefault="00E9402E" w:rsidP="00EE5374">
      <w:pPr>
        <w:pStyle w:val="Body"/>
      </w:pPr>
    </w:p>
    <w:p w14:paraId="3B7D8F8E" w14:textId="77777777" w:rsidR="00E9402E" w:rsidRPr="005C3FDB" w:rsidRDefault="00E9402E" w:rsidP="00E90E4F">
      <w:pPr>
        <w:pStyle w:val="OrdersBody"/>
      </w:pPr>
      <w:r w:rsidRPr="005C3FDB">
        <w:t>N M Wood SC with K R McInnes for the appellant (instructed by Clothier Anderson Immigration Lawyers)</w:t>
      </w:r>
    </w:p>
    <w:p w14:paraId="5AF901FE" w14:textId="77777777" w:rsidR="00E9402E" w:rsidRPr="005C3FDB" w:rsidRDefault="00E9402E" w:rsidP="001B3C97">
      <w:pPr>
        <w:pStyle w:val="Body"/>
      </w:pPr>
    </w:p>
    <w:p w14:paraId="1DCE4B16" w14:textId="77777777" w:rsidR="00E9402E" w:rsidRPr="005C3FDB" w:rsidRDefault="00E9402E" w:rsidP="00E90E4F">
      <w:pPr>
        <w:pStyle w:val="OrdersBody"/>
      </w:pPr>
      <w:r w:rsidRPr="005C3FDB">
        <w:t>R C Knowles KC with C E A Hibbard for the first respondent (instructed by Clayton Utz)</w:t>
      </w:r>
    </w:p>
    <w:p w14:paraId="0E234E5B" w14:textId="77777777" w:rsidR="00E9402E" w:rsidRPr="005C3FDB" w:rsidRDefault="00E9402E" w:rsidP="00A01277">
      <w:pPr>
        <w:pStyle w:val="Body"/>
      </w:pPr>
    </w:p>
    <w:p w14:paraId="7B81B7D8" w14:textId="77777777" w:rsidR="00E9402E" w:rsidRPr="005C3FDB" w:rsidRDefault="00E9402E" w:rsidP="00E90E4F">
      <w:pPr>
        <w:pStyle w:val="OrdersBody"/>
      </w:pPr>
      <w:r w:rsidRPr="005C3FDB">
        <w:t>Submitting appearance for the second respondent</w:t>
      </w:r>
    </w:p>
    <w:p w14:paraId="3A76E1EA" w14:textId="77777777" w:rsidR="00E9402E" w:rsidRDefault="00E9402E" w:rsidP="00A01277">
      <w:pPr>
        <w:pStyle w:val="Body"/>
      </w:pPr>
    </w:p>
    <w:p w14:paraId="7DC59F00" w14:textId="77777777" w:rsidR="00E9402E" w:rsidRDefault="00E9402E" w:rsidP="00EE5374">
      <w:pPr>
        <w:pStyle w:val="Body"/>
      </w:pPr>
    </w:p>
    <w:p w14:paraId="2171D0C4" w14:textId="77777777" w:rsidR="00E9402E" w:rsidRDefault="00E9402E" w:rsidP="00EE5374">
      <w:pPr>
        <w:pStyle w:val="Body"/>
      </w:pPr>
    </w:p>
    <w:p w14:paraId="2662BC28" w14:textId="77777777" w:rsidR="00E9402E" w:rsidRDefault="00E9402E" w:rsidP="00EE5374">
      <w:pPr>
        <w:pStyle w:val="Body"/>
      </w:pPr>
    </w:p>
    <w:p w14:paraId="34D912EA" w14:textId="77777777" w:rsidR="00E9402E" w:rsidRDefault="00E9402E" w:rsidP="00EE5374">
      <w:pPr>
        <w:pStyle w:val="Body"/>
      </w:pPr>
    </w:p>
    <w:p w14:paraId="06B76052" w14:textId="77777777" w:rsidR="00E9402E" w:rsidRDefault="00E9402E" w:rsidP="00EE5374">
      <w:pPr>
        <w:pStyle w:val="Body"/>
      </w:pPr>
    </w:p>
    <w:p w14:paraId="43F6DDF0" w14:textId="77777777" w:rsidR="00E9402E" w:rsidRDefault="00E9402E" w:rsidP="00EE5374">
      <w:pPr>
        <w:pStyle w:val="Body"/>
      </w:pPr>
    </w:p>
    <w:p w14:paraId="70AD2A35" w14:textId="77777777" w:rsidR="00E9402E" w:rsidRDefault="00E9402E" w:rsidP="00EE5374">
      <w:pPr>
        <w:pStyle w:val="Body"/>
      </w:pPr>
    </w:p>
    <w:p w14:paraId="3E393448" w14:textId="77777777" w:rsidR="00E9402E" w:rsidRDefault="00E9402E" w:rsidP="00EE5374">
      <w:pPr>
        <w:pStyle w:val="Body"/>
      </w:pPr>
    </w:p>
    <w:p w14:paraId="33977FE7" w14:textId="77777777" w:rsidR="00E9402E" w:rsidRDefault="00E9402E" w:rsidP="00EE5374">
      <w:pPr>
        <w:pStyle w:val="Body"/>
      </w:pPr>
    </w:p>
    <w:p w14:paraId="5612A146" w14:textId="77777777" w:rsidR="00E9402E" w:rsidRDefault="00E9402E" w:rsidP="00EE5374">
      <w:pPr>
        <w:pStyle w:val="Body"/>
      </w:pPr>
    </w:p>
    <w:p w14:paraId="23C1EAE6" w14:textId="77777777" w:rsidR="00E9402E" w:rsidRDefault="00E9402E" w:rsidP="00EE5374">
      <w:pPr>
        <w:pStyle w:val="Body"/>
      </w:pPr>
    </w:p>
    <w:p w14:paraId="615D45AE" w14:textId="77777777" w:rsidR="00E9402E" w:rsidRDefault="00E9402E" w:rsidP="00EE5374">
      <w:pPr>
        <w:pStyle w:val="Body"/>
      </w:pPr>
    </w:p>
    <w:p w14:paraId="52471307" w14:textId="77777777" w:rsidR="00E9402E" w:rsidRDefault="00E9402E" w:rsidP="00EE5374">
      <w:pPr>
        <w:pStyle w:val="Body"/>
      </w:pPr>
    </w:p>
    <w:p w14:paraId="45F18C52" w14:textId="77777777" w:rsidR="00A87552" w:rsidRDefault="00A87552" w:rsidP="00EE5374">
      <w:pPr>
        <w:pStyle w:val="Body"/>
      </w:pPr>
    </w:p>
    <w:p w14:paraId="42945065" w14:textId="77777777" w:rsidR="00A87552" w:rsidRDefault="00A87552" w:rsidP="00EE5374">
      <w:pPr>
        <w:pStyle w:val="Body"/>
      </w:pPr>
    </w:p>
    <w:p w14:paraId="0223EA5B" w14:textId="77777777" w:rsidR="00A87552" w:rsidRDefault="00A87552" w:rsidP="00EE5374">
      <w:pPr>
        <w:pStyle w:val="Body"/>
      </w:pPr>
    </w:p>
    <w:p w14:paraId="7DA24567" w14:textId="77777777" w:rsidR="00A87552" w:rsidRDefault="00A87552" w:rsidP="00EE5374">
      <w:pPr>
        <w:pStyle w:val="Body"/>
      </w:pPr>
    </w:p>
    <w:p w14:paraId="0BB1E630" w14:textId="77777777" w:rsidR="00E9402E" w:rsidRDefault="00E9402E" w:rsidP="00EE5374">
      <w:pPr>
        <w:pStyle w:val="Body"/>
      </w:pPr>
    </w:p>
    <w:p w14:paraId="42D86F77" w14:textId="77777777" w:rsidR="00E9402E" w:rsidRDefault="00E9402E" w:rsidP="00EE5374">
      <w:pPr>
        <w:pStyle w:val="Body"/>
      </w:pPr>
    </w:p>
    <w:p w14:paraId="043912A2" w14:textId="77777777" w:rsidR="00E9402E" w:rsidRDefault="00E9402E" w:rsidP="00EE5374">
      <w:pPr>
        <w:pStyle w:val="Body"/>
      </w:pPr>
    </w:p>
    <w:p w14:paraId="1C8C81A2" w14:textId="77777777" w:rsidR="00E9402E" w:rsidRDefault="00E9402E" w:rsidP="00EE5374">
      <w:pPr>
        <w:pStyle w:val="Body"/>
      </w:pPr>
    </w:p>
    <w:p w14:paraId="5555E0D8" w14:textId="77777777" w:rsidR="00E9402E" w:rsidRDefault="00E9402E" w:rsidP="00EE5374">
      <w:pPr>
        <w:pStyle w:val="Body"/>
      </w:pPr>
    </w:p>
    <w:p w14:paraId="5A9F92C3" w14:textId="77777777" w:rsidR="00E9402E" w:rsidRPr="00427F3A" w:rsidRDefault="00E9402E" w:rsidP="00EE5374">
      <w:pPr>
        <w:pStyle w:val="Body"/>
      </w:pPr>
    </w:p>
    <w:p w14:paraId="36CE29F1" w14:textId="77777777" w:rsidR="00E9402E" w:rsidRPr="00427F3A" w:rsidRDefault="00E9402E" w:rsidP="00F9713B">
      <w:pPr>
        <w:pStyle w:val="Notice"/>
        <w:rPr>
          <w:lang w:val="en-AU"/>
        </w:rPr>
      </w:pPr>
      <w:r w:rsidRPr="00427F3A">
        <w:rPr>
          <w:lang w:val="en-AU"/>
        </w:rPr>
        <w:t>Notice:  This copy of the Court's Reasons for Judgment is subject to formal revision prior to publication in the Commonwealth Law Reports.</w:t>
      </w:r>
    </w:p>
    <w:p w14:paraId="7026ECD0" w14:textId="70B37BE1" w:rsidR="00E9402E" w:rsidRDefault="00E940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54A270D" w14:textId="77777777" w:rsidR="00A87552" w:rsidRDefault="00E9402E">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A87552" w:rsidSect="00E9402E">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3D2A928A" w14:textId="77777777" w:rsidR="00A87552" w:rsidRDefault="00A87552" w:rsidP="00A82B2B">
      <w:pPr>
        <w:pStyle w:val="CatchwordsBold"/>
      </w:pPr>
      <w:r w:rsidRPr="00B9489E">
        <w:lastRenderedPageBreak/>
        <w:t>CATCHWORDS</w:t>
      </w:r>
    </w:p>
    <w:p w14:paraId="25449353" w14:textId="77777777" w:rsidR="00A87552" w:rsidRPr="00B9489E" w:rsidRDefault="00A87552" w:rsidP="00A82B2B">
      <w:pPr>
        <w:pStyle w:val="CatchwordsBold"/>
      </w:pPr>
    </w:p>
    <w:p w14:paraId="52D48CCD" w14:textId="77777777" w:rsidR="00A87552" w:rsidRPr="00B9489E" w:rsidRDefault="00A87552" w:rsidP="00A82B2B">
      <w:pPr>
        <w:pStyle w:val="CatchwordsBold"/>
      </w:pPr>
      <w:r>
        <w:t>LPDT v Minister for Immigration, Citizenship, Migrant Services and Multicultural Affairs</w:t>
      </w:r>
    </w:p>
    <w:p w14:paraId="3F2A7069" w14:textId="77777777" w:rsidR="00A87552" w:rsidRPr="00B9489E" w:rsidRDefault="00A87552" w:rsidP="00A82B2B">
      <w:pPr>
        <w:pStyle w:val="CatchwordsBold"/>
      </w:pPr>
    </w:p>
    <w:p w14:paraId="5A27411D" w14:textId="77777777" w:rsidR="00A87552" w:rsidRDefault="00A87552" w:rsidP="005A598F">
      <w:pPr>
        <w:pStyle w:val="CatchwordsText"/>
      </w:pPr>
      <w:r>
        <w:t>Administrative law (</w:t>
      </w:r>
      <w:proofErr w:type="spellStart"/>
      <w:r>
        <w:t>Cth</w:t>
      </w:r>
      <w:proofErr w:type="spellEnd"/>
      <w:r>
        <w:t xml:space="preserve">) – Judicial review </w:t>
      </w:r>
      <w:r w:rsidRPr="00B9489E">
        <w:t>–</w:t>
      </w:r>
      <w:r>
        <w:t xml:space="preserve"> Jurisdictional error </w:t>
      </w:r>
      <w:r w:rsidRPr="00B9489E">
        <w:t>–</w:t>
      </w:r>
      <w:r>
        <w:t xml:space="preserve"> Materiality </w:t>
      </w:r>
      <w:r w:rsidRPr="00B9489E">
        <w:t>–</w:t>
      </w:r>
      <w:r>
        <w:t xml:space="preserve"> Threshold of materiality </w:t>
      </w:r>
      <w:r w:rsidRPr="00B9489E">
        <w:t>–</w:t>
      </w:r>
      <w:r>
        <w:t xml:space="preserve"> Principles to be applied.</w:t>
      </w:r>
    </w:p>
    <w:p w14:paraId="2EF9CEA0" w14:textId="77777777" w:rsidR="00A87552" w:rsidRDefault="00A87552" w:rsidP="005A598F">
      <w:pPr>
        <w:pStyle w:val="CatchwordsText"/>
      </w:pPr>
    </w:p>
    <w:p w14:paraId="4078A8D7" w14:textId="2C68E4F7" w:rsidR="00A87552" w:rsidRDefault="00A87552" w:rsidP="005A598F">
      <w:pPr>
        <w:pStyle w:val="CatchwordsText"/>
      </w:pPr>
      <w:r>
        <w:t xml:space="preserve">Immigration – Visas </w:t>
      </w:r>
      <w:r w:rsidRPr="00B9489E">
        <w:t>–</w:t>
      </w:r>
      <w:r>
        <w:t xml:space="preserve"> Cancellation of visa </w:t>
      </w:r>
      <w:r w:rsidRPr="00B9489E">
        <w:t>–</w:t>
      </w:r>
      <w:r>
        <w:t xml:space="preserve"> Where appellant committed and found guilty of offences </w:t>
      </w:r>
      <w:r w:rsidRPr="00B9489E">
        <w:t>–</w:t>
      </w:r>
      <w:r>
        <w:t xml:space="preserve"> Where appellant sentenced to terms of imprisonment </w:t>
      </w:r>
      <w:r w:rsidRPr="00B9489E">
        <w:t>–</w:t>
      </w:r>
      <w:r>
        <w:t xml:space="preserve"> Where appellant's visa mandatorily cancelled under s 501(3A) of </w:t>
      </w:r>
      <w:r>
        <w:rPr>
          <w:i/>
          <w:iCs/>
        </w:rPr>
        <w:t>Migration Act 1958</w:t>
      </w:r>
      <w:r w:rsidR="00641630">
        <w:t xml:space="preserve"> </w:t>
      </w:r>
      <w:r>
        <w:t>(</w:t>
      </w:r>
      <w:proofErr w:type="spellStart"/>
      <w:r>
        <w:t>Cth</w:t>
      </w:r>
      <w:proofErr w:type="spellEnd"/>
      <w:r>
        <w:t xml:space="preserve">) </w:t>
      </w:r>
      <w:r w:rsidRPr="00B9489E">
        <w:t>–</w:t>
      </w:r>
      <w:r>
        <w:t xml:space="preserve"> Where delegate of Minister refused application to revoke cancellation</w:t>
      </w:r>
      <w:r w:rsidR="00641630">
        <w:t> </w:t>
      </w:r>
      <w:r w:rsidRPr="00B9489E">
        <w:t>–</w:t>
      </w:r>
      <w:r>
        <w:t xml:space="preserve"> Where </w:t>
      </w:r>
      <w:r w:rsidRPr="00686D9A">
        <w:t xml:space="preserve">appellant applied to </w:t>
      </w:r>
      <w:r>
        <w:t>Administrative Appeals Tribunal</w:t>
      </w:r>
      <w:r w:rsidRPr="00686D9A">
        <w:t xml:space="preserve"> to review delegate's decision</w:t>
      </w:r>
      <w:r>
        <w:t xml:space="preserve"> </w:t>
      </w:r>
      <w:r w:rsidRPr="00B9489E">
        <w:t>–</w:t>
      </w:r>
      <w:r>
        <w:t xml:space="preserve"> Where Tribunal </w:t>
      </w:r>
      <w:r w:rsidRPr="00686D9A">
        <w:t xml:space="preserve">required to comply with </w:t>
      </w:r>
      <w:r>
        <w:t>D</w:t>
      </w:r>
      <w:r w:rsidRPr="00686D9A">
        <w:t>irection given by Minister under s</w:t>
      </w:r>
      <w:r>
        <w:t> </w:t>
      </w:r>
      <w:r w:rsidRPr="00686D9A">
        <w:t xml:space="preserve">499 of </w:t>
      </w:r>
      <w:r>
        <w:rPr>
          <w:i/>
          <w:iCs/>
        </w:rPr>
        <w:t xml:space="preserve">Migration </w:t>
      </w:r>
      <w:r w:rsidRPr="001678B5">
        <w:rPr>
          <w:i/>
          <w:iCs/>
        </w:rPr>
        <w:t>Act</w:t>
      </w:r>
      <w:r>
        <w:t xml:space="preserve"> in determining whether "another reason" </w:t>
      </w:r>
      <w:r w:rsidRPr="004D499A">
        <w:t xml:space="preserve">why </w:t>
      </w:r>
      <w:r>
        <w:t>visa cancellation</w:t>
      </w:r>
      <w:r w:rsidRPr="004D499A" w:rsidDel="008E3E6F">
        <w:t xml:space="preserve"> </w:t>
      </w:r>
      <w:r w:rsidRPr="004D499A">
        <w:t>should be revoked</w:t>
      </w:r>
      <w:r w:rsidRPr="00B9489E">
        <w:t xml:space="preserve"> –</w:t>
      </w:r>
      <w:r>
        <w:t xml:space="preserve"> Where</w:t>
      </w:r>
      <w:r w:rsidRPr="00686D9A">
        <w:t xml:space="preserve"> Direction required Tribunal engage in evaluative assessment of </w:t>
      </w:r>
      <w:r>
        <w:t xml:space="preserve">relevant </w:t>
      </w:r>
      <w:r w:rsidRPr="00686D9A">
        <w:t>mandatory considerations</w:t>
      </w:r>
      <w:r>
        <w:t xml:space="preserve"> </w:t>
      </w:r>
      <w:r w:rsidRPr="00B9489E">
        <w:t>–</w:t>
      </w:r>
      <w:r w:rsidRPr="00686D9A">
        <w:t xml:space="preserve"> </w:t>
      </w:r>
      <w:r>
        <w:t xml:space="preserve">Where Tribunal's decision involved error </w:t>
      </w:r>
      <w:r w:rsidRPr="00B9489E">
        <w:t>–</w:t>
      </w:r>
      <w:r>
        <w:t xml:space="preserve"> Whether Tribunal's decision affected by jurisdictional error </w:t>
      </w:r>
      <w:r w:rsidRPr="00B9489E">
        <w:t>–</w:t>
      </w:r>
      <w:r>
        <w:t xml:space="preserve"> Whether error was material.</w:t>
      </w:r>
    </w:p>
    <w:p w14:paraId="6FF21C57" w14:textId="77777777" w:rsidR="00A87552" w:rsidRDefault="00A87552" w:rsidP="005A598F">
      <w:pPr>
        <w:pStyle w:val="CatchwordsText"/>
      </w:pPr>
    </w:p>
    <w:p w14:paraId="36362673" w14:textId="77777777" w:rsidR="00A87552" w:rsidRDefault="00A87552" w:rsidP="005A598F">
      <w:pPr>
        <w:pStyle w:val="CatchwordsText"/>
      </w:pPr>
      <w:r w:rsidRPr="000524EB">
        <w:t>Words and phrases</w:t>
      </w:r>
      <w:r w:rsidRPr="00B9489E">
        <w:t xml:space="preserve"> –</w:t>
      </w:r>
      <w:r>
        <w:t xml:space="preserve"> "another reason", "cancellation decision", "convicted", "criminal offending", "direction", "fanciful or improbable", "judicial review", "jurisdictional error", "materiality", "merits review", "protection of the Australian community", "realistic possibility", "threshold of materiality".</w:t>
      </w:r>
    </w:p>
    <w:p w14:paraId="566DD288" w14:textId="77777777" w:rsidR="00A87552" w:rsidRPr="00B9489E" w:rsidRDefault="00A87552" w:rsidP="005A598F">
      <w:pPr>
        <w:pStyle w:val="CatchwordsText"/>
      </w:pPr>
    </w:p>
    <w:p w14:paraId="4E32938E" w14:textId="77777777" w:rsidR="00A87552" w:rsidRPr="00A704D6" w:rsidRDefault="00A87552" w:rsidP="005A598F">
      <w:pPr>
        <w:pStyle w:val="CatchwordsText"/>
        <w:rPr>
          <w:iCs/>
        </w:rPr>
      </w:pPr>
      <w:r>
        <w:rPr>
          <w:i/>
        </w:rPr>
        <w:t xml:space="preserve">Migration Act 1958 </w:t>
      </w:r>
      <w:r>
        <w:rPr>
          <w:iCs/>
        </w:rPr>
        <w:t>(</w:t>
      </w:r>
      <w:proofErr w:type="spellStart"/>
      <w:r>
        <w:rPr>
          <w:iCs/>
        </w:rPr>
        <w:t>Cth</w:t>
      </w:r>
      <w:proofErr w:type="spellEnd"/>
      <w:r>
        <w:rPr>
          <w:iCs/>
        </w:rPr>
        <w:t>), ss 499, 501(3A), 501CA(4).</w:t>
      </w:r>
    </w:p>
    <w:p w14:paraId="30A4588E" w14:textId="2BE61621" w:rsidR="00E9402E" w:rsidRDefault="00E9402E" w:rsidP="00A8755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34EBC1F6" w14:textId="28D0D878" w:rsidR="00A87552" w:rsidRDefault="00A8755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F0D4C28" w14:textId="6C2F9AB2" w:rsidR="00A87552" w:rsidRDefault="00A87552">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794E8025" w14:textId="77777777" w:rsidR="00E9402E" w:rsidRDefault="00E9402E" w:rsidP="00AF01A0">
      <w:pPr>
        <w:pStyle w:val="FixListStyle"/>
        <w:tabs>
          <w:tab w:val="clear" w:pos="720"/>
          <w:tab w:val="left" w:pos="0"/>
        </w:tabs>
        <w:spacing w:after="260" w:line="280" w:lineRule="exact"/>
        <w:ind w:right="0"/>
        <w:jc w:val="both"/>
        <w:rPr>
          <w:rFonts w:ascii="Times New Roman" w:hAnsi="Times New Roman"/>
        </w:rPr>
        <w:sectPr w:rsidR="00E9402E" w:rsidSect="00A87552">
          <w:pgSz w:w="11907" w:h="16839" w:code="9"/>
          <w:pgMar w:top="1440" w:right="1701" w:bottom="1984" w:left="1701" w:header="720" w:footer="720" w:gutter="0"/>
          <w:pgNumType w:start="1"/>
          <w:cols w:space="720"/>
          <w:titlePg/>
          <w:docGrid w:linePitch="354"/>
        </w:sectPr>
      </w:pPr>
    </w:p>
    <w:p w14:paraId="6C230F83" w14:textId="7FE69408" w:rsidR="00C66B25" w:rsidRPr="00AF01A0" w:rsidRDefault="00AF01A0" w:rsidP="00AF01A0">
      <w:pPr>
        <w:pStyle w:val="FixListStyle"/>
        <w:tabs>
          <w:tab w:val="clear" w:pos="720"/>
          <w:tab w:val="left" w:pos="0"/>
        </w:tabs>
        <w:spacing w:after="260" w:line="280" w:lineRule="exact"/>
        <w:ind w:right="0"/>
        <w:jc w:val="both"/>
        <w:rPr>
          <w:rFonts w:ascii="Times New Roman" w:hAnsi="Times New Roman"/>
        </w:rPr>
      </w:pPr>
      <w:r w:rsidRPr="00AF01A0">
        <w:rPr>
          <w:rFonts w:ascii="Times New Roman" w:hAnsi="Times New Roman"/>
        </w:rPr>
        <w:lastRenderedPageBreak/>
        <w:t>GAGELER CJ, GORDON, EDELMAN, STEWARD, GLEESON AND JAGOT JJ.</w:t>
      </w:r>
      <w:r w:rsidR="00752EF7">
        <w:rPr>
          <w:rFonts w:ascii="Times New Roman" w:hAnsi="Times New Roman"/>
        </w:rPr>
        <w:t xml:space="preserve"> </w:t>
      </w:r>
      <w:r w:rsidRPr="00AF01A0">
        <w:rPr>
          <w:rFonts w:ascii="Times New Roman" w:hAnsi="Times New Roman"/>
        </w:rPr>
        <w:t xml:space="preserve"> </w:t>
      </w:r>
      <w:r w:rsidR="00752EF7">
        <w:rPr>
          <w:rFonts w:ascii="Times New Roman" w:hAnsi="Times New Roman"/>
        </w:rPr>
        <w:t xml:space="preserve"> </w:t>
      </w:r>
      <w:r w:rsidR="00C66B25" w:rsidRPr="00AF01A0">
        <w:rPr>
          <w:rFonts w:ascii="Times New Roman" w:hAnsi="Times New Roman"/>
        </w:rPr>
        <w:t xml:space="preserve">This appeal concerns jurisdictional error and the requirement of materiality. </w:t>
      </w:r>
    </w:p>
    <w:p w14:paraId="18170F2D" w14:textId="77777777" w:rsidR="00C66B25" w:rsidRPr="00AF01A0" w:rsidRDefault="00C66B25" w:rsidP="00AF01A0">
      <w:pPr>
        <w:pStyle w:val="HeadingL1"/>
        <w:spacing w:after="260" w:line="280" w:lineRule="exact"/>
        <w:ind w:right="0"/>
        <w:jc w:val="both"/>
        <w:rPr>
          <w:rFonts w:ascii="Times New Roman" w:hAnsi="Times New Roman"/>
        </w:rPr>
      </w:pPr>
      <w:r w:rsidRPr="00AF01A0">
        <w:rPr>
          <w:rFonts w:ascii="Times New Roman" w:hAnsi="Times New Roman"/>
        </w:rPr>
        <w:t xml:space="preserve">Jurisdictional error and materiality </w:t>
      </w:r>
    </w:p>
    <w:p w14:paraId="47ADEB1E"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Jurisdictional error can refer to breach of an express or implied condition of a statutory conferral of decision-making authority which results in a decision made in the purported exercise of that authority lacking the legal force attributed to exercise of that authority by statute. Though a decision affected by jurisdictional error is a decision in fact,</w:t>
      </w:r>
      <w:r w:rsidRPr="00AF01A0">
        <w:rPr>
          <w:rFonts w:ascii="Times New Roman" w:hAnsi="Times New Roman"/>
          <w:b/>
          <w:bCs/>
          <w:sz w:val="24"/>
          <w:szCs w:val="28"/>
          <w:vertAlign w:val="superscript"/>
        </w:rPr>
        <w:footnoteReference w:id="2"/>
      </w:r>
      <w:r w:rsidRPr="00AF01A0">
        <w:rPr>
          <w:rFonts w:ascii="Times New Roman" w:hAnsi="Times New Roman"/>
        </w:rPr>
        <w:t xml:space="preserve"> it is "in law ... no decision at all"</w:t>
      </w:r>
      <w:r w:rsidRPr="00AF01A0">
        <w:rPr>
          <w:rFonts w:ascii="Times New Roman" w:hAnsi="Times New Roman"/>
          <w:b/>
          <w:bCs/>
          <w:sz w:val="24"/>
          <w:szCs w:val="28"/>
          <w:vertAlign w:val="superscript"/>
        </w:rPr>
        <w:footnoteReference w:id="3"/>
      </w:r>
      <w:r w:rsidRPr="00AF01A0">
        <w:rPr>
          <w:rFonts w:ascii="Times New Roman" w:hAnsi="Times New Roman"/>
        </w:rPr>
        <w:t xml:space="preserve"> and is in that sense "void".</w:t>
      </w:r>
      <w:r w:rsidRPr="00AF01A0">
        <w:rPr>
          <w:rStyle w:val="FootnoteReference"/>
          <w:rFonts w:ascii="Times New Roman" w:hAnsi="Times New Roman"/>
          <w:sz w:val="24"/>
        </w:rPr>
        <w:footnoteReference w:id="4"/>
      </w:r>
    </w:p>
    <w:p w14:paraId="7621B975" w14:textId="45942714"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Because an express or implied condition of a statutory conferral of decision</w:t>
      </w:r>
      <w:r w:rsidR="00CE3E9B">
        <w:rPr>
          <w:rFonts w:ascii="Times New Roman" w:hAnsi="Times New Roman"/>
        </w:rPr>
        <w:noBreakHyphen/>
      </w:r>
      <w:r w:rsidRPr="00AF01A0">
        <w:rPr>
          <w:rFonts w:ascii="Times New Roman" w:hAnsi="Times New Roman"/>
        </w:rPr>
        <w:t>making authority can take many different forms, and because breach can occur in many different circumstances, the categories of jurisdictional error are not closed.</w:t>
      </w:r>
      <w:r w:rsidRPr="00AF01A0">
        <w:rPr>
          <w:rFonts w:ascii="Times New Roman" w:hAnsi="Times New Roman"/>
          <w:b/>
          <w:bCs/>
          <w:sz w:val="24"/>
          <w:szCs w:val="28"/>
          <w:vertAlign w:val="superscript"/>
        </w:rPr>
        <w:footnoteReference w:id="5"/>
      </w:r>
      <w:r w:rsidRPr="00AF01A0">
        <w:rPr>
          <w:rFonts w:ascii="Times New Roman" w:hAnsi="Times New Roman"/>
        </w:rPr>
        <w:t xml:space="preserve"> Jurisdictional error can result from breach by a third party of a condition of a statutory process preceding a decision,</w:t>
      </w:r>
      <w:r w:rsidRPr="00AF01A0">
        <w:rPr>
          <w:rFonts w:ascii="Times New Roman" w:hAnsi="Times New Roman"/>
          <w:b/>
          <w:bCs/>
          <w:sz w:val="24"/>
          <w:szCs w:val="28"/>
          <w:vertAlign w:val="superscript"/>
        </w:rPr>
        <w:footnoteReference w:id="6"/>
      </w:r>
      <w:r w:rsidRPr="00AF01A0">
        <w:rPr>
          <w:rFonts w:ascii="Times New Roman" w:hAnsi="Times New Roman"/>
        </w:rPr>
        <w:t xml:space="preserve"> but more often results from breach by a statutory decision-maker of a condition of the making of a decision. Jurisdictional error on the part of a statutory decision-maker in making a decision can </w:t>
      </w:r>
      <w:proofErr w:type="gramStart"/>
      <w:r w:rsidRPr="00AF01A0">
        <w:rPr>
          <w:rFonts w:ascii="Times New Roman" w:hAnsi="Times New Roman"/>
        </w:rPr>
        <w:t>include:</w:t>
      </w:r>
      <w:proofErr w:type="gramEnd"/>
      <w:r w:rsidRPr="00AF01A0">
        <w:rPr>
          <w:rFonts w:ascii="Times New Roman" w:hAnsi="Times New Roman"/>
        </w:rPr>
        <w:t xml:space="preserve"> misunderstanding the applicable law; asking the wrong question; exceeding the bounds of reasonableness; identifying a wrong issue; ignoring</w:t>
      </w:r>
      <w:r w:rsidR="00CE3E9B">
        <w:rPr>
          <w:rFonts w:ascii="Times New Roman" w:hAnsi="Times New Roman"/>
        </w:rPr>
        <w:t> </w:t>
      </w:r>
      <w:r w:rsidRPr="00AF01A0">
        <w:rPr>
          <w:rFonts w:ascii="Times New Roman" w:hAnsi="Times New Roman"/>
        </w:rPr>
        <w:t xml:space="preserve">relevant material; relying on irrelevant material; in some cases, </w:t>
      </w:r>
      <w:r w:rsidRPr="00AF01A0">
        <w:rPr>
          <w:rFonts w:ascii="Times New Roman" w:hAnsi="Times New Roman"/>
        </w:rPr>
        <w:lastRenderedPageBreak/>
        <w:t>making</w:t>
      </w:r>
      <w:r w:rsidR="00CE3E9B">
        <w:rPr>
          <w:rFonts w:ascii="Times New Roman" w:hAnsi="Times New Roman"/>
        </w:rPr>
        <w:t> </w:t>
      </w:r>
      <w:r w:rsidRPr="00AF01A0">
        <w:rPr>
          <w:rFonts w:ascii="Times New Roman" w:hAnsi="Times New Roman"/>
        </w:rPr>
        <w:t>an erroneous finding or reaching a mistaken conclusion; or failing to observe some applicable requirement of procedural fairness.</w:t>
      </w:r>
      <w:r w:rsidRPr="00AF01A0">
        <w:rPr>
          <w:rFonts w:ascii="Times New Roman" w:hAnsi="Times New Roman"/>
          <w:b/>
          <w:bCs/>
          <w:sz w:val="24"/>
          <w:szCs w:val="28"/>
          <w:vertAlign w:val="superscript"/>
        </w:rPr>
        <w:footnoteReference w:id="7"/>
      </w:r>
    </w:p>
    <w:p w14:paraId="06D4BC5C" w14:textId="5B373574"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A statute which contains an express or implied condition of a conferral of decision-making authority is not always to be interpreted as denying legal force and effect to every decision that might be made in breach of that condition.</w:t>
      </w:r>
      <w:r w:rsidRPr="00AF01A0">
        <w:rPr>
          <w:rFonts w:ascii="Times New Roman" w:hAnsi="Times New Roman"/>
          <w:b/>
          <w:bCs/>
          <w:sz w:val="24"/>
          <w:szCs w:val="28"/>
          <w:vertAlign w:val="superscript"/>
        </w:rPr>
        <w:footnoteReference w:id="8"/>
      </w:r>
      <w:r w:rsidRPr="00AF01A0">
        <w:rPr>
          <w:rFonts w:ascii="Times New Roman" w:hAnsi="Times New Roman"/>
        </w:rPr>
        <w:t xml:space="preserve"> Only</w:t>
      </w:r>
      <w:r w:rsidR="00D20B35">
        <w:rPr>
          <w:rFonts w:ascii="Times New Roman" w:hAnsi="Times New Roman"/>
        </w:rPr>
        <w:t> </w:t>
      </w:r>
      <w:r w:rsidRPr="00AF01A0">
        <w:rPr>
          <w:rFonts w:ascii="Times New Roman" w:hAnsi="Times New Roman"/>
        </w:rPr>
        <w:t>by construing the statute so as to understand the limits of the statutory conferral of decision</w:t>
      </w:r>
      <w:r w:rsidRPr="00AF01A0">
        <w:rPr>
          <w:rFonts w:ascii="Times New Roman" w:hAnsi="Times New Roman"/>
        </w:rPr>
        <w:noBreakHyphen/>
        <w:t>making authority is it possible to determine, first, whether an error has occurred (that is, whether there has been a breach of an express or implied condition of the statutory conferral of decision</w:t>
      </w:r>
      <w:r w:rsidRPr="00AF01A0">
        <w:rPr>
          <w:rFonts w:ascii="Times New Roman" w:hAnsi="Times New Roman"/>
        </w:rPr>
        <w:noBreakHyphen/>
        <w:t>making authority)</w:t>
      </w:r>
      <w:r w:rsidR="00AE6FDC">
        <w:rPr>
          <w:rFonts w:ascii="Times New Roman" w:hAnsi="Times New Roman"/>
        </w:rPr>
        <w:t xml:space="preserve"> </w:t>
      </w:r>
      <w:r w:rsidRPr="00AF01A0">
        <w:rPr>
          <w:rFonts w:ascii="Times New Roman" w:hAnsi="Times New Roman"/>
        </w:rPr>
        <w:t>and</w:t>
      </w:r>
      <w:r w:rsidR="00AE6FDC">
        <w:rPr>
          <w:rFonts w:ascii="Times New Roman" w:hAnsi="Times New Roman"/>
        </w:rPr>
        <w:t>, </w:t>
      </w:r>
      <w:r w:rsidRPr="00AF01A0">
        <w:rPr>
          <w:rFonts w:ascii="Times New Roman" w:hAnsi="Times New Roman"/>
        </w:rPr>
        <w:t>second,</w:t>
      </w:r>
      <w:r w:rsidR="00D20B35">
        <w:rPr>
          <w:rFonts w:ascii="Times New Roman" w:hAnsi="Times New Roman"/>
        </w:rPr>
        <w:t> </w:t>
      </w:r>
      <w:r w:rsidRPr="00AF01A0">
        <w:rPr>
          <w:rFonts w:ascii="Times New Roman" w:hAnsi="Times New Roman"/>
        </w:rPr>
        <w:t>whether any such error is jurisdictional (that is, whether the error has resulted in the decision made lacking legal force).</w:t>
      </w:r>
      <w:r w:rsidRPr="00AF01A0">
        <w:rPr>
          <w:rFonts w:ascii="Times New Roman" w:hAnsi="Times New Roman"/>
          <w:b/>
          <w:bCs/>
          <w:sz w:val="24"/>
          <w:szCs w:val="28"/>
          <w:vertAlign w:val="superscript"/>
        </w:rPr>
        <w:footnoteReference w:id="9"/>
      </w:r>
    </w:p>
    <w:p w14:paraId="2A4ADCD5"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Determining whether an error exists as well as whether it is jurisdictional starts with an analysis of the nature of the error alleged in the statutory context within which the decision has been made. Given the broad range of decisions in which errors might be made, the large variety of statutory schemes in which those decisions might be made, and the range of circumstances which may attend the making of any particular decision, it is impossible to divine a rigid classification of the errors that constitute jurisdictional errors.</w:t>
      </w:r>
      <w:r w:rsidRPr="00AF01A0">
        <w:rPr>
          <w:rFonts w:ascii="Times New Roman" w:hAnsi="Times New Roman"/>
          <w:b/>
          <w:bCs/>
          <w:sz w:val="24"/>
          <w:szCs w:val="28"/>
          <w:vertAlign w:val="superscript"/>
        </w:rPr>
        <w:footnoteReference w:id="10"/>
      </w:r>
      <w:r w:rsidRPr="00AF01A0">
        <w:rPr>
          <w:rFonts w:ascii="Times New Roman" w:hAnsi="Times New Roman"/>
        </w:rPr>
        <w:t xml:space="preserve"> There are no bright lines to be drawn – "[t]he nature of the error has to be worked out in each case concerning a specific decision under a particular statute".</w:t>
      </w:r>
      <w:r w:rsidRPr="00AF01A0">
        <w:rPr>
          <w:rFonts w:ascii="Times New Roman" w:hAnsi="Times New Roman"/>
          <w:b/>
          <w:bCs/>
          <w:sz w:val="24"/>
          <w:szCs w:val="28"/>
          <w:vertAlign w:val="superscript"/>
        </w:rPr>
        <w:footnoteReference w:id="11"/>
      </w:r>
    </w:p>
    <w:p w14:paraId="15068ED4" w14:textId="04A7DD98"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lastRenderedPageBreak/>
        <w:tab/>
        <w:t>In some cases, where an error is established, the error will be jurisdictional irrespective of any effect that the error might or might not have had on the decision that was made in fact. In other cases, the potential for an effect on the decision will be inherent in the nature of the error. An example of the former is apprehended or actual bias.</w:t>
      </w:r>
      <w:r w:rsidRPr="00AF01A0">
        <w:rPr>
          <w:rFonts w:ascii="Times New Roman" w:hAnsi="Times New Roman"/>
          <w:b/>
          <w:bCs/>
          <w:sz w:val="24"/>
          <w:szCs w:val="28"/>
          <w:vertAlign w:val="superscript"/>
        </w:rPr>
        <w:footnoteReference w:id="12"/>
      </w:r>
      <w:r w:rsidRPr="00AF01A0">
        <w:rPr>
          <w:rFonts w:ascii="Times New Roman" w:hAnsi="Times New Roman"/>
        </w:rPr>
        <w:t xml:space="preserve"> An example of the latter is unreasonableness in </w:t>
      </w:r>
      <w:proofErr w:type="gramStart"/>
      <w:r w:rsidRPr="00AF01A0">
        <w:rPr>
          <w:rFonts w:ascii="Times New Roman" w:hAnsi="Times New Roman"/>
        </w:rPr>
        <w:t>the final result</w:t>
      </w:r>
      <w:proofErr w:type="gramEnd"/>
      <w:r w:rsidRPr="00AF01A0">
        <w:rPr>
          <w:rFonts w:ascii="Times New Roman" w:hAnsi="Times New Roman"/>
        </w:rPr>
        <w:t>.</w:t>
      </w:r>
      <w:r w:rsidRPr="00AF01A0">
        <w:rPr>
          <w:rFonts w:ascii="Times New Roman" w:hAnsi="Times New Roman"/>
          <w:b/>
          <w:bCs/>
          <w:sz w:val="24"/>
          <w:szCs w:val="28"/>
          <w:vertAlign w:val="superscript"/>
        </w:rPr>
        <w:footnoteReference w:id="13"/>
      </w:r>
      <w:r w:rsidRPr="00AF01A0">
        <w:rPr>
          <w:rFonts w:ascii="Times New Roman" w:hAnsi="Times New Roman"/>
        </w:rPr>
        <w:t xml:space="preserve"> In</w:t>
      </w:r>
      <w:r w:rsidR="00C03A7B">
        <w:rPr>
          <w:rFonts w:ascii="Times New Roman" w:hAnsi="Times New Roman"/>
        </w:rPr>
        <w:t> </w:t>
      </w:r>
      <w:r w:rsidRPr="00AF01A0">
        <w:rPr>
          <w:rFonts w:ascii="Times New Roman" w:hAnsi="Times New Roman"/>
        </w:rPr>
        <w:t>such cases, the error necessarily satisfies the requirement of materiality.</w:t>
      </w:r>
    </w:p>
    <w:p w14:paraId="37A21E61"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In most cases, however, an error will only be jurisdictional if the error was material to the decision that was made in fact,</w:t>
      </w:r>
      <w:r w:rsidRPr="00AF01A0">
        <w:rPr>
          <w:rFonts w:ascii="Times New Roman" w:hAnsi="Times New Roman"/>
          <w:b/>
          <w:bCs/>
          <w:sz w:val="24"/>
          <w:szCs w:val="28"/>
          <w:vertAlign w:val="superscript"/>
        </w:rPr>
        <w:footnoteReference w:id="14"/>
      </w:r>
      <w:r w:rsidRPr="00AF01A0">
        <w:rPr>
          <w:rFonts w:ascii="Times New Roman" w:hAnsi="Times New Roman"/>
        </w:rPr>
        <w:t xml:space="preserve"> </w:t>
      </w:r>
      <w:r w:rsidRPr="00AF01A0" w:rsidDel="005C1624">
        <w:rPr>
          <w:rFonts w:ascii="Times New Roman" w:hAnsi="Times New Roman"/>
        </w:rPr>
        <w:t xml:space="preserve">in the sense that </w:t>
      </w:r>
      <w:r w:rsidRPr="00AF01A0">
        <w:rPr>
          <w:rFonts w:ascii="Times New Roman" w:hAnsi="Times New Roman"/>
        </w:rPr>
        <w:t>there is a realistic possibility that the decision that was made in fact</w:t>
      </w:r>
      <w:r w:rsidRPr="00AF01A0">
        <w:rPr>
          <w:rFonts w:ascii="Times New Roman" w:hAnsi="Times New Roman"/>
          <w:i/>
        </w:rPr>
        <w:t xml:space="preserve"> could</w:t>
      </w:r>
      <w:r w:rsidRPr="00AF01A0">
        <w:rPr>
          <w:rFonts w:ascii="Times New Roman" w:hAnsi="Times New Roman"/>
        </w:rPr>
        <w:t xml:space="preserve"> have been different if the error had not occurred.</w:t>
      </w:r>
      <w:r w:rsidRPr="00AF01A0">
        <w:rPr>
          <w:rFonts w:ascii="Times New Roman" w:hAnsi="Times New Roman"/>
          <w:b/>
          <w:bCs/>
          <w:sz w:val="24"/>
          <w:szCs w:val="28"/>
          <w:vertAlign w:val="superscript"/>
        </w:rPr>
        <w:footnoteReference w:id="15"/>
      </w:r>
      <w:r w:rsidRPr="00AF01A0">
        <w:rPr>
          <w:rFonts w:ascii="Times New Roman" w:hAnsi="Times New Roman"/>
        </w:rPr>
        <w:t xml:space="preserve"> That is because it is now accepted that a statute which contains an express or implied condition to be observed in a decision</w:t>
      </w:r>
      <w:r w:rsidRPr="00AF01A0">
        <w:rPr>
          <w:rFonts w:ascii="Times New Roman" w:hAnsi="Times New Roman"/>
        </w:rPr>
        <w:noBreakHyphen/>
        <w:t>making process is ordinarily to be interpreted as incorporating such a "threshold of materiality" in the event of non</w:t>
      </w:r>
      <w:r w:rsidRPr="00AF01A0">
        <w:rPr>
          <w:rFonts w:ascii="Times New Roman" w:hAnsi="Times New Roman"/>
        </w:rPr>
        <w:noBreakHyphen/>
        <w:t>compliance.</w:t>
      </w:r>
      <w:r w:rsidRPr="00AF01A0">
        <w:rPr>
          <w:rFonts w:ascii="Times New Roman" w:hAnsi="Times New Roman"/>
          <w:b/>
          <w:bCs/>
          <w:sz w:val="24"/>
          <w:szCs w:val="28"/>
          <w:vertAlign w:val="superscript"/>
        </w:rPr>
        <w:footnoteReference w:id="16"/>
      </w:r>
      <w:r w:rsidRPr="00AF01A0">
        <w:rPr>
          <w:rFonts w:ascii="Times New Roman" w:hAnsi="Times New Roman"/>
          <w:b/>
          <w:bCs/>
          <w:sz w:val="28"/>
          <w:szCs w:val="28"/>
        </w:rPr>
        <w:t xml:space="preserve"> </w:t>
      </w:r>
    </w:p>
    <w:p w14:paraId="61742E07" w14:textId="7DA56A3B"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The reasons of the primary judge and the Full Court in the present case, as</w:t>
      </w:r>
      <w:r w:rsidR="00C03A7B">
        <w:rPr>
          <w:rFonts w:ascii="Times New Roman" w:hAnsi="Times New Roman"/>
        </w:rPr>
        <w:t> </w:t>
      </w:r>
      <w:r w:rsidRPr="00AF01A0">
        <w:rPr>
          <w:rFonts w:ascii="Times New Roman" w:hAnsi="Times New Roman"/>
        </w:rPr>
        <w:t>well as other trial and intermediate appellate decisions, suggest uncertainty or confusion about the meaning and effect of some of the language used by the Court in identifying the principles to be applied in assessing materiality. It would be unsatisfactory if that uncertainty or confusion persisted. It is desirable to give practical guidance in terms with which all the Court agree. Necessarily,</w:t>
      </w:r>
      <w:r w:rsidR="00C03A7B">
        <w:rPr>
          <w:rFonts w:ascii="Times New Roman" w:hAnsi="Times New Roman"/>
        </w:rPr>
        <w:t> </w:t>
      </w:r>
      <w:r w:rsidRPr="00AF01A0">
        <w:rPr>
          <w:rFonts w:ascii="Times New Roman" w:hAnsi="Times New Roman"/>
        </w:rPr>
        <w:t>differences</w:t>
      </w:r>
      <w:r w:rsidR="00C03A7B">
        <w:rPr>
          <w:rFonts w:ascii="Times New Roman" w:hAnsi="Times New Roman"/>
        </w:rPr>
        <w:t> </w:t>
      </w:r>
      <w:r w:rsidRPr="00AF01A0">
        <w:rPr>
          <w:rFonts w:ascii="Times New Roman" w:hAnsi="Times New Roman"/>
        </w:rPr>
        <w:t>of expression and emphasis previously adopted by individual Justices have been set aside in favour of the guidance that is now set out.</w:t>
      </w:r>
    </w:p>
    <w:p w14:paraId="4116A4A0" w14:textId="77777777" w:rsidR="00C66B25" w:rsidRPr="00AF01A0" w:rsidRDefault="00C66B25" w:rsidP="00AF01A0">
      <w:pPr>
        <w:pStyle w:val="HeadingL2"/>
        <w:spacing w:after="260" w:line="280" w:lineRule="exact"/>
        <w:ind w:right="0"/>
        <w:jc w:val="both"/>
        <w:rPr>
          <w:rFonts w:ascii="Times New Roman" w:hAnsi="Times New Roman"/>
        </w:rPr>
      </w:pPr>
      <w:r w:rsidRPr="00AF01A0">
        <w:rPr>
          <w:rFonts w:ascii="Times New Roman" w:hAnsi="Times New Roman"/>
        </w:rPr>
        <w:lastRenderedPageBreak/>
        <w:t xml:space="preserve">Two questions </w:t>
      </w:r>
    </w:p>
    <w:p w14:paraId="1CB65F0D"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Where it is alleged in an application for judicial review that a decision is affected by jurisdictional error constituted by a breach of an express or implied condition of a conferral of decision-making authority by a statute</w:t>
      </w:r>
      <w:r w:rsidRPr="00AF01A0">
        <w:rPr>
          <w:rStyle w:val="FootnoteReference"/>
          <w:rFonts w:ascii="Times New Roman" w:hAnsi="Times New Roman"/>
          <w:sz w:val="24"/>
          <w:szCs w:val="28"/>
        </w:rPr>
        <w:footnoteReference w:id="17"/>
      </w:r>
      <w:r w:rsidRPr="00AF01A0">
        <w:rPr>
          <w:rFonts w:ascii="Times New Roman" w:hAnsi="Times New Roman"/>
        </w:rPr>
        <w:t xml:space="preserve"> which incorporates a requirement of materiality, there are two questions: has an error occurred; and, if so, was that error material.</w:t>
      </w:r>
    </w:p>
    <w:p w14:paraId="1B692FCB" w14:textId="6C81C488"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The inquiry posited by each question is wholly backward</w:t>
      </w:r>
      <w:r w:rsidRPr="00AF01A0">
        <w:rPr>
          <w:rFonts w:ascii="Times New Roman" w:hAnsi="Times New Roman"/>
        </w:rPr>
        <w:noBreakHyphen/>
        <w:t>looking.</w:t>
      </w:r>
      <w:r w:rsidRPr="00AF01A0">
        <w:rPr>
          <w:rFonts w:ascii="Times New Roman" w:hAnsi="Times New Roman"/>
          <w:b/>
          <w:bCs/>
          <w:sz w:val="24"/>
          <w:szCs w:val="28"/>
          <w:vertAlign w:val="superscript"/>
        </w:rPr>
        <w:footnoteReference w:id="18"/>
      </w:r>
      <w:r w:rsidRPr="00AF01A0">
        <w:rPr>
          <w:rFonts w:ascii="Times New Roman" w:hAnsi="Times New Roman"/>
        </w:rPr>
        <w:t xml:space="preserve"> Both</w:t>
      </w:r>
      <w:r w:rsidR="00531866">
        <w:rPr>
          <w:rFonts w:ascii="Times New Roman" w:hAnsi="Times New Roman"/>
        </w:rPr>
        <w:t> </w:t>
      </w:r>
      <w:r w:rsidRPr="00AF01A0">
        <w:rPr>
          <w:rFonts w:ascii="Times New Roman" w:hAnsi="Times New Roman"/>
        </w:rPr>
        <w:t>questions are to be answered by reference to the decision that was made and, depending on the nature of the error, how that decision was made. Those are facts in respect of which the applicant for judicial review bears the onus of proof on the balance of probabilities.</w:t>
      </w:r>
      <w:r w:rsidRPr="00AF01A0">
        <w:rPr>
          <w:rFonts w:ascii="Times New Roman" w:hAnsi="Times New Roman"/>
          <w:b/>
          <w:bCs/>
          <w:sz w:val="24"/>
          <w:szCs w:val="28"/>
          <w:vertAlign w:val="superscript"/>
        </w:rPr>
        <w:footnoteReference w:id="19"/>
      </w:r>
      <w:r w:rsidRPr="00AF01A0">
        <w:rPr>
          <w:rFonts w:ascii="Times New Roman" w:hAnsi="Times New Roman"/>
        </w:rPr>
        <w:t xml:space="preserve"> Proof of these facts ought to be neither difficult nor contentious.</w:t>
      </w:r>
    </w:p>
    <w:p w14:paraId="2D5B4FD2" w14:textId="2510A121"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What must be proved to show what decision was made and how it was made will depend upon the nature of the error. In a common case – of which the present is an example – where the error alleged is breach of a condition governing the reasoning to be undertaken by the decision-maker, the applicant's onus of proving the relevant facts is discharged by nothing more than the tender of the decision</w:t>
      </w:r>
      <w:r w:rsidR="00531866">
        <w:rPr>
          <w:rFonts w:ascii="Times New Roman" w:hAnsi="Times New Roman"/>
        </w:rPr>
        <w:noBreakHyphen/>
      </w:r>
      <w:r w:rsidRPr="00AF01A0">
        <w:rPr>
          <w:rFonts w:ascii="Times New Roman" w:hAnsi="Times New Roman"/>
        </w:rPr>
        <w:t xml:space="preserve">maker's statement of reasons. </w:t>
      </w:r>
    </w:p>
    <w:p w14:paraId="2311F34C"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 xml:space="preserve">Where the jurisdictional error alleged is one concerned with the process of the decision making, such as a denial of procedural fairness, what must be proved by the applicant will depend upon the precise error alleged to have occurred in the decision-making process, having regard to any relevant statutory provisions within the applicable legislative framework. Examples of the types of evidence that have been sufficient for establishing the relevant facts in such cases include the appellate </w:t>
      </w:r>
      <w:r w:rsidRPr="00AF01A0">
        <w:rPr>
          <w:rFonts w:ascii="Times New Roman" w:hAnsi="Times New Roman"/>
        </w:rPr>
        <w:lastRenderedPageBreak/>
        <w:t>record,</w:t>
      </w:r>
      <w:r w:rsidRPr="00AF01A0">
        <w:rPr>
          <w:rFonts w:ascii="Times New Roman" w:hAnsi="Times New Roman"/>
          <w:b/>
          <w:bCs/>
          <w:sz w:val="24"/>
          <w:szCs w:val="28"/>
          <w:vertAlign w:val="superscript"/>
        </w:rPr>
        <w:footnoteReference w:id="20"/>
      </w:r>
      <w:r w:rsidRPr="00AF01A0">
        <w:rPr>
          <w:rFonts w:ascii="Times New Roman" w:hAnsi="Times New Roman"/>
        </w:rPr>
        <w:t xml:space="preserve"> and evidence of the content of a document or information that was required to be provided as part of the decision-making process.</w:t>
      </w:r>
      <w:r w:rsidRPr="00AF01A0">
        <w:rPr>
          <w:rFonts w:ascii="Times New Roman" w:hAnsi="Times New Roman"/>
          <w:b/>
          <w:bCs/>
          <w:sz w:val="24"/>
          <w:szCs w:val="28"/>
          <w:vertAlign w:val="superscript"/>
        </w:rPr>
        <w:footnoteReference w:id="21"/>
      </w:r>
    </w:p>
    <w:p w14:paraId="02AF7372"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The applicant must satisfy the court on the balance of probabilities that the alleged error in fact occurred.</w:t>
      </w:r>
      <w:r w:rsidRPr="00AF01A0">
        <w:rPr>
          <w:rFonts w:ascii="Times New Roman" w:hAnsi="Times New Roman"/>
          <w:b/>
          <w:bCs/>
          <w:sz w:val="24"/>
          <w:szCs w:val="28"/>
          <w:vertAlign w:val="superscript"/>
        </w:rPr>
        <w:footnoteReference w:id="22"/>
      </w:r>
      <w:r w:rsidRPr="00AF01A0">
        <w:rPr>
          <w:rFonts w:ascii="Times New Roman" w:hAnsi="Times New Roman"/>
          <w:sz w:val="28"/>
          <w:szCs w:val="28"/>
        </w:rPr>
        <w:t xml:space="preserve"> </w:t>
      </w:r>
      <w:r w:rsidRPr="00AF01A0">
        <w:rPr>
          <w:rFonts w:ascii="Times New Roman" w:hAnsi="Times New Roman"/>
        </w:rPr>
        <w:t xml:space="preserve">Unless the error is of a type such as those identified at [6] above (where the error is always material and therefore jurisdictional), whether the error is, or is not, material is determined by inferences drawn from the evidence adduced on the application. </w:t>
      </w:r>
    </w:p>
    <w:p w14:paraId="1FEC7ECF"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 xml:space="preserve">The question in these cases is whether the decision that was in fact made </w:t>
      </w:r>
      <w:r w:rsidRPr="00AF01A0">
        <w:rPr>
          <w:rFonts w:ascii="Times New Roman" w:hAnsi="Times New Roman"/>
          <w:i/>
        </w:rPr>
        <w:t>could</w:t>
      </w:r>
      <w:r w:rsidRPr="00AF01A0">
        <w:rPr>
          <w:rFonts w:ascii="Times New Roman" w:hAnsi="Times New Roman"/>
        </w:rPr>
        <w:t xml:space="preserve">, not </w:t>
      </w:r>
      <w:r w:rsidRPr="00AF01A0">
        <w:rPr>
          <w:rFonts w:ascii="Times New Roman" w:hAnsi="Times New Roman"/>
          <w:i/>
        </w:rPr>
        <w:t>would</w:t>
      </w:r>
      <w:r w:rsidRPr="00AF01A0">
        <w:rPr>
          <w:rFonts w:ascii="Times New Roman" w:hAnsi="Times New Roman"/>
        </w:rPr>
        <w:t>, "realistically" have been different had there been no error.</w:t>
      </w:r>
      <w:r w:rsidRPr="00AF01A0">
        <w:rPr>
          <w:rFonts w:ascii="Times New Roman" w:hAnsi="Times New Roman"/>
          <w:b/>
          <w:bCs/>
          <w:sz w:val="24"/>
          <w:szCs w:val="28"/>
          <w:vertAlign w:val="superscript"/>
        </w:rPr>
        <w:footnoteReference w:id="23"/>
      </w:r>
      <w:r w:rsidRPr="00AF01A0">
        <w:rPr>
          <w:rFonts w:ascii="Times New Roman" w:hAnsi="Times New Roman"/>
          <w:sz w:val="28"/>
          <w:szCs w:val="28"/>
        </w:rPr>
        <w:t xml:space="preserve"> </w:t>
      </w:r>
      <w:r w:rsidRPr="00AF01A0">
        <w:rPr>
          <w:rFonts w:ascii="Times New Roman" w:hAnsi="Times New Roman"/>
        </w:rPr>
        <w:t>"Realistic" is used to distinguish the assessment of the possibility of a different outcome from one where the possibility is fanciful or improbable.</w:t>
      </w:r>
      <w:r w:rsidRPr="00AF01A0">
        <w:rPr>
          <w:rFonts w:ascii="Times New Roman" w:hAnsi="Times New Roman"/>
          <w:b/>
          <w:bCs/>
          <w:sz w:val="24"/>
          <w:szCs w:val="28"/>
          <w:vertAlign w:val="superscript"/>
        </w:rPr>
        <w:footnoteReference w:id="24"/>
      </w:r>
      <w:r w:rsidRPr="00AF01A0">
        <w:rPr>
          <w:rFonts w:ascii="Times New Roman" w:hAnsi="Times New Roman"/>
        </w:rPr>
        <w:t xml:space="preserve"> Though the applicant must satisfy the court that the threshold of materiality is met in order to establish that the error is jurisdictional, meeting that threshold is not demanding or onerous.</w:t>
      </w:r>
      <w:r w:rsidRPr="00AF01A0">
        <w:rPr>
          <w:rFonts w:ascii="Times New Roman" w:hAnsi="Times New Roman"/>
          <w:b/>
          <w:bCs/>
          <w:sz w:val="24"/>
          <w:szCs w:val="28"/>
          <w:vertAlign w:val="superscript"/>
        </w:rPr>
        <w:footnoteReference w:id="25"/>
      </w:r>
      <w:r w:rsidRPr="00AF01A0">
        <w:rPr>
          <w:rFonts w:ascii="Times New Roman" w:hAnsi="Times New Roman"/>
        </w:rPr>
        <w:t xml:space="preserve"> </w:t>
      </w:r>
    </w:p>
    <w:p w14:paraId="4EC98CFD"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What must be shown to demonstrate that an established error meets the threshold of materiality will depend upon the error. In some cases, it will be sufficient to show that there has been an error and that the outcome is consistent with the error having affected the decision.</w:t>
      </w:r>
      <w:r w:rsidRPr="00AF01A0">
        <w:rPr>
          <w:rFonts w:ascii="Times New Roman" w:hAnsi="Times New Roman"/>
          <w:b/>
          <w:bCs/>
          <w:sz w:val="24"/>
          <w:szCs w:val="28"/>
          <w:vertAlign w:val="superscript"/>
        </w:rPr>
        <w:footnoteReference w:id="26"/>
      </w:r>
      <w:r w:rsidRPr="00AF01A0">
        <w:rPr>
          <w:rFonts w:ascii="Times New Roman" w:hAnsi="Times New Roman"/>
          <w:sz w:val="28"/>
          <w:szCs w:val="28"/>
        </w:rPr>
        <w:t xml:space="preserve"> </w:t>
      </w:r>
      <w:r w:rsidRPr="00AF01A0">
        <w:rPr>
          <w:rFonts w:ascii="Times New Roman" w:hAnsi="Times New Roman"/>
        </w:rPr>
        <w:t xml:space="preserve">Where the error is a denial of </w:t>
      </w:r>
      <w:r w:rsidRPr="00AF01A0">
        <w:rPr>
          <w:rFonts w:ascii="Times New Roman" w:hAnsi="Times New Roman"/>
        </w:rPr>
        <w:lastRenderedPageBreak/>
        <w:t>procedural fairness arising from a failure to put the applicant on notice of a fact or issue, the court may readily be able to infer that, if fairly put on notice of that fact or issue, the applicant might have addressed it by way of further evidence or submissions, and that the decision-maker would have approached the applicant's further evidence or submissions with an open mind.</w:t>
      </w:r>
      <w:r w:rsidRPr="00AF01A0">
        <w:rPr>
          <w:rFonts w:ascii="Times New Roman" w:hAnsi="Times New Roman"/>
          <w:b/>
          <w:bCs/>
          <w:sz w:val="24"/>
          <w:szCs w:val="28"/>
          <w:vertAlign w:val="superscript"/>
        </w:rPr>
        <w:footnoteReference w:id="27"/>
      </w:r>
      <w:r w:rsidRPr="00AF01A0">
        <w:rPr>
          <w:rFonts w:ascii="Times New Roman" w:hAnsi="Times New Roman"/>
        </w:rPr>
        <w:t xml:space="preserve"> In those cases, it is "no easy task" for the court to be satisfied that the loss of such an opportunity did not deprive the person of the possibility of a successful outcome.</w:t>
      </w:r>
      <w:r w:rsidRPr="00AF01A0">
        <w:rPr>
          <w:rFonts w:ascii="Times New Roman" w:hAnsi="Times New Roman"/>
          <w:b/>
          <w:bCs/>
          <w:sz w:val="24"/>
          <w:szCs w:val="28"/>
          <w:vertAlign w:val="superscript"/>
        </w:rPr>
        <w:footnoteReference w:id="28"/>
      </w:r>
      <w:r w:rsidRPr="00AF01A0">
        <w:rPr>
          <w:rFonts w:ascii="Times New Roman" w:hAnsi="Times New Roman"/>
        </w:rPr>
        <w:t xml:space="preserve"> Importantly, a court called upon to determine whether the threshold has been met must be careful not to assume the function of the decision-maker:</w:t>
      </w:r>
      <w:r w:rsidRPr="00AF01A0">
        <w:rPr>
          <w:rFonts w:ascii="Times New Roman" w:hAnsi="Times New Roman"/>
          <w:b/>
          <w:bCs/>
          <w:sz w:val="24"/>
          <w:szCs w:val="28"/>
          <w:vertAlign w:val="superscript"/>
        </w:rPr>
        <w:footnoteReference w:id="29"/>
      </w:r>
      <w:r w:rsidRPr="00AF01A0">
        <w:rPr>
          <w:rFonts w:ascii="Times New Roman" w:hAnsi="Times New Roman"/>
        </w:rPr>
        <w:t xml:space="preserve"> the point at which the line between judicial review and merits review is crossed may not always be clear, but the line must be maintained. This case affords an example.</w:t>
      </w:r>
    </w:p>
    <w:p w14:paraId="2532A2D3"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In sum, unless there is identified a basis on which it can be affirmatively concluded that the outcome would inevitably have been the same had the error not been made, once an applicant establishes that there has been an error and demonstrates that there exists a realistic possibility that the outcome of the decision could have been different had that error not been made, the threshold of materiality will have been met (and curial relief will be justified subject to any issue of utility or discretion).</w:t>
      </w:r>
    </w:p>
    <w:p w14:paraId="229D351F" w14:textId="77777777" w:rsidR="00C66B25" w:rsidRPr="00AF01A0" w:rsidRDefault="00C66B25" w:rsidP="00AF01A0">
      <w:pPr>
        <w:pStyle w:val="HeadingL1"/>
        <w:spacing w:after="260" w:line="280" w:lineRule="exact"/>
        <w:ind w:right="0"/>
        <w:jc w:val="both"/>
        <w:rPr>
          <w:rFonts w:ascii="Times New Roman" w:hAnsi="Times New Roman"/>
        </w:rPr>
      </w:pPr>
      <w:r w:rsidRPr="00AF01A0">
        <w:rPr>
          <w:rFonts w:ascii="Times New Roman" w:hAnsi="Times New Roman"/>
        </w:rPr>
        <w:t>Background</w:t>
      </w:r>
    </w:p>
    <w:p w14:paraId="040BB025" w14:textId="184C0E13"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The appellant is a Vietnamese national. He arrived in Australia in 1997 and, in 2008, was granted a Class BS Subclass 801 (Spouse) visa.</w:t>
      </w:r>
      <w:r w:rsidR="00AC7E45">
        <w:rPr>
          <w:rFonts w:ascii="Times New Roman" w:hAnsi="Times New Roman"/>
        </w:rPr>
        <w:t> </w:t>
      </w:r>
      <w:r w:rsidRPr="00AF01A0">
        <w:rPr>
          <w:rFonts w:ascii="Times New Roman" w:hAnsi="Times New Roman"/>
        </w:rPr>
        <w:t>Between</w:t>
      </w:r>
      <w:r w:rsidR="008F1794">
        <w:rPr>
          <w:rFonts w:ascii="Times New Roman" w:hAnsi="Times New Roman"/>
        </w:rPr>
        <w:t> </w:t>
      </w:r>
      <w:r w:rsidRPr="00AF01A0">
        <w:rPr>
          <w:rFonts w:ascii="Times New Roman" w:hAnsi="Times New Roman"/>
        </w:rPr>
        <w:t xml:space="preserve">November 2011 and August 2017, he was convicted of various offences on three separate occasions, twice in the County Court of Victoria and once in the Magistrates' Court of Victoria, including offences of conspiring to import or export a marketable quantity of a </w:t>
      </w:r>
      <w:proofErr w:type="gramStart"/>
      <w:r w:rsidRPr="00AF01A0">
        <w:rPr>
          <w:rFonts w:ascii="Times New Roman" w:hAnsi="Times New Roman"/>
        </w:rPr>
        <w:t>border controlled</w:t>
      </w:r>
      <w:proofErr w:type="gramEnd"/>
      <w:r w:rsidRPr="00AF01A0">
        <w:rPr>
          <w:rFonts w:ascii="Times New Roman" w:hAnsi="Times New Roman"/>
        </w:rPr>
        <w:t xml:space="preserve"> drug or plant, attempting to possess a marketable quantity of a border controlled drug or plant, and trafficking a drug of dependence. On each occasion he was sentenced to a </w:t>
      </w:r>
      <w:r w:rsidRPr="00AF01A0">
        <w:rPr>
          <w:rFonts w:ascii="Times New Roman" w:hAnsi="Times New Roman"/>
        </w:rPr>
        <w:lastRenderedPageBreak/>
        <w:t>period of imprisonment, the</w:t>
      </w:r>
      <w:r w:rsidR="008F1794">
        <w:rPr>
          <w:rFonts w:ascii="Times New Roman" w:hAnsi="Times New Roman"/>
        </w:rPr>
        <w:t> </w:t>
      </w:r>
      <w:r w:rsidRPr="00AF01A0">
        <w:rPr>
          <w:rFonts w:ascii="Times New Roman" w:hAnsi="Times New Roman"/>
        </w:rPr>
        <w:t>most recent of which was on 17 August 2017 for a period of four years and six months.</w:t>
      </w:r>
    </w:p>
    <w:p w14:paraId="4F7132AA" w14:textId="6ED015E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In May 2019, the appellant's visa</w:t>
      </w:r>
      <w:r w:rsidRPr="00AF01A0">
        <w:rPr>
          <w:rFonts w:ascii="Times New Roman" w:hAnsi="Times New Roman"/>
          <w:b/>
          <w:bCs/>
        </w:rPr>
        <w:t xml:space="preserve"> </w:t>
      </w:r>
      <w:r w:rsidRPr="00AF01A0">
        <w:rPr>
          <w:rFonts w:ascii="Times New Roman" w:hAnsi="Times New Roman"/>
        </w:rPr>
        <w:t xml:space="preserve">was subject to mandatory cancellation under s 501(3A) of the </w:t>
      </w:r>
      <w:r w:rsidRPr="00AF01A0">
        <w:rPr>
          <w:rFonts w:ascii="Times New Roman" w:hAnsi="Times New Roman"/>
          <w:i/>
          <w:iCs/>
        </w:rPr>
        <w:t xml:space="preserve">Migration Act 1958 </w:t>
      </w:r>
      <w:r w:rsidRPr="00AF01A0">
        <w:rPr>
          <w:rFonts w:ascii="Times New Roman" w:hAnsi="Times New Roman"/>
        </w:rPr>
        <w:t>(</w:t>
      </w:r>
      <w:proofErr w:type="spellStart"/>
      <w:r w:rsidRPr="00AF01A0">
        <w:rPr>
          <w:rFonts w:ascii="Times New Roman" w:hAnsi="Times New Roman"/>
        </w:rPr>
        <w:t>Cth</w:t>
      </w:r>
      <w:proofErr w:type="spellEnd"/>
      <w:r w:rsidRPr="00AF01A0">
        <w:rPr>
          <w:rFonts w:ascii="Times New Roman" w:hAnsi="Times New Roman"/>
        </w:rPr>
        <w:t>) ("the cancellation decision"). An application, under s 501CA(4) of the Act, for revocation of the cancellation failed ("the delegate's decision").</w:t>
      </w:r>
    </w:p>
    <w:p w14:paraId="44B17894" w14:textId="757BF3F6"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The appellant applied to the Administrative Appeals Tribunal ("the</w:t>
      </w:r>
      <w:r w:rsidR="0049414A">
        <w:rPr>
          <w:rFonts w:ascii="Times New Roman" w:hAnsi="Times New Roman"/>
        </w:rPr>
        <w:t> </w:t>
      </w:r>
      <w:r w:rsidRPr="00AF01A0">
        <w:rPr>
          <w:rFonts w:ascii="Times New Roman" w:hAnsi="Times New Roman"/>
        </w:rPr>
        <w:t xml:space="preserve">Tribunal") to review the delegate's decision and, in deciding to affirm the delegate's decision, the Tribunal said it was not satisfied (under s 501CA(4)(b)(ii) of the </w:t>
      </w:r>
      <w:r w:rsidRPr="00AF01A0">
        <w:rPr>
          <w:rFonts w:ascii="Times New Roman" w:hAnsi="Times New Roman"/>
          <w:i/>
          <w:iCs/>
        </w:rPr>
        <w:t>Migration Act</w:t>
      </w:r>
      <w:r w:rsidRPr="00AF01A0">
        <w:rPr>
          <w:rFonts w:ascii="Times New Roman" w:hAnsi="Times New Roman"/>
        </w:rPr>
        <w:t>) that there was "another reason" why the cancellation decision</w:t>
      </w:r>
      <w:r w:rsidRPr="00AF01A0" w:rsidDel="008E3E6F">
        <w:rPr>
          <w:rFonts w:ascii="Times New Roman" w:hAnsi="Times New Roman"/>
        </w:rPr>
        <w:t xml:space="preserve"> </w:t>
      </w:r>
      <w:r w:rsidRPr="00AF01A0">
        <w:rPr>
          <w:rFonts w:ascii="Times New Roman" w:hAnsi="Times New Roman"/>
        </w:rPr>
        <w:t>should be revoked. In considering whether there was "another reason", the</w:t>
      </w:r>
      <w:r w:rsidR="004C08C6">
        <w:rPr>
          <w:rFonts w:ascii="Times New Roman" w:hAnsi="Times New Roman"/>
        </w:rPr>
        <w:t> </w:t>
      </w:r>
      <w:r w:rsidRPr="00AF01A0">
        <w:rPr>
          <w:rFonts w:ascii="Times New Roman" w:hAnsi="Times New Roman"/>
        </w:rPr>
        <w:t xml:space="preserve">Tribunal was required by s 499(2A) of the </w:t>
      </w:r>
      <w:r w:rsidRPr="00AF01A0">
        <w:rPr>
          <w:rFonts w:ascii="Times New Roman" w:hAnsi="Times New Roman"/>
          <w:i/>
          <w:iCs/>
        </w:rPr>
        <w:t xml:space="preserve">Migration Act </w:t>
      </w:r>
      <w:r w:rsidRPr="00AF01A0">
        <w:rPr>
          <w:rFonts w:ascii="Times New Roman" w:hAnsi="Times New Roman"/>
        </w:rPr>
        <w:t xml:space="preserve">to comply with </w:t>
      </w:r>
      <w:r w:rsidRPr="00AF01A0">
        <w:rPr>
          <w:rFonts w:ascii="Times New Roman" w:hAnsi="Times New Roman"/>
          <w:i/>
          <w:iCs/>
        </w:rPr>
        <w:t>Direction No 90 – Visa refusal and cancellation under section 501 and revocation of a mandatory cancellation of a visa under section 501CA</w:t>
      </w:r>
      <w:r w:rsidRPr="00AF01A0">
        <w:rPr>
          <w:rFonts w:ascii="Times New Roman" w:hAnsi="Times New Roman"/>
        </w:rPr>
        <w:t xml:space="preserve"> ("Direction 90").</w:t>
      </w:r>
      <w:r w:rsidRPr="00AF01A0">
        <w:rPr>
          <w:rStyle w:val="FootnoteReference"/>
          <w:rFonts w:ascii="Times New Roman" w:hAnsi="Times New Roman"/>
          <w:sz w:val="24"/>
        </w:rPr>
        <w:footnoteReference w:id="30"/>
      </w:r>
      <w:r w:rsidRPr="00AF01A0">
        <w:rPr>
          <w:rFonts w:ascii="Times New Roman" w:hAnsi="Times New Roman"/>
        </w:rPr>
        <w:t xml:space="preserve"> </w:t>
      </w:r>
    </w:p>
    <w:p w14:paraId="676B90EB" w14:textId="71BFF525"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Direction 90 required the Tribunal, informed by certain principles,</w:t>
      </w:r>
      <w:r w:rsidRPr="00AF01A0">
        <w:rPr>
          <w:rFonts w:ascii="Times New Roman" w:hAnsi="Times New Roman"/>
          <w:b/>
          <w:sz w:val="24"/>
          <w:vertAlign w:val="superscript"/>
        </w:rPr>
        <w:footnoteReference w:id="31"/>
      </w:r>
      <w:r w:rsidRPr="00AF01A0">
        <w:rPr>
          <w:rFonts w:ascii="Times New Roman" w:hAnsi="Times New Roman"/>
        </w:rPr>
        <w:t xml:space="preserve"> to take into account the considerations identified in paras 8 ("primary considerations") and 9 ("other considerations") where those considerations were relevant to the decision.</w:t>
      </w:r>
      <w:r w:rsidRPr="00AF01A0">
        <w:rPr>
          <w:rFonts w:ascii="Times New Roman" w:hAnsi="Times New Roman"/>
          <w:b/>
          <w:sz w:val="24"/>
          <w:vertAlign w:val="superscript"/>
        </w:rPr>
        <w:footnoteReference w:id="32"/>
      </w:r>
      <w:r w:rsidRPr="00AF01A0">
        <w:rPr>
          <w:rFonts w:ascii="Times New Roman" w:hAnsi="Times New Roman"/>
        </w:rPr>
        <w:t xml:space="preserve"> The Tribunal addressed each of the primary considerations in turn, the</w:t>
      </w:r>
      <w:r w:rsidR="002F3E21">
        <w:rPr>
          <w:rFonts w:ascii="Times New Roman" w:hAnsi="Times New Roman"/>
        </w:rPr>
        <w:t> </w:t>
      </w:r>
      <w:r w:rsidRPr="00AF01A0">
        <w:rPr>
          <w:rFonts w:ascii="Times New Roman" w:hAnsi="Times New Roman"/>
        </w:rPr>
        <w:t>most relevant of which for the present appeal was Primary Consideration 1: the</w:t>
      </w:r>
      <w:r w:rsidR="002F3E21">
        <w:rPr>
          <w:rFonts w:ascii="Times New Roman" w:hAnsi="Times New Roman"/>
        </w:rPr>
        <w:t> </w:t>
      </w:r>
      <w:r w:rsidRPr="00AF01A0">
        <w:rPr>
          <w:rFonts w:ascii="Times New Roman" w:hAnsi="Times New Roman"/>
        </w:rPr>
        <w:t>"protection of the Australian community from criminal or other serious conduct".</w:t>
      </w:r>
      <w:r w:rsidRPr="00AF01A0">
        <w:rPr>
          <w:rFonts w:ascii="Times New Roman" w:hAnsi="Times New Roman"/>
          <w:b/>
          <w:sz w:val="24"/>
          <w:vertAlign w:val="superscript"/>
        </w:rPr>
        <w:footnoteReference w:id="33"/>
      </w:r>
      <w:r w:rsidRPr="00AF01A0">
        <w:rPr>
          <w:rFonts w:ascii="Times New Roman" w:hAnsi="Times New Roman"/>
        </w:rPr>
        <w:t xml:space="preserve"> In considering this primary consideration the Tribunal was bound to consider, among other things, the "nature and seriousness of the non-citizen's conduct to date".</w:t>
      </w:r>
      <w:r w:rsidRPr="00AF01A0">
        <w:rPr>
          <w:rFonts w:ascii="Times New Roman" w:hAnsi="Times New Roman"/>
          <w:b/>
          <w:sz w:val="24"/>
          <w:vertAlign w:val="superscript"/>
        </w:rPr>
        <w:footnoteReference w:id="34"/>
      </w:r>
      <w:r w:rsidRPr="00AF01A0">
        <w:rPr>
          <w:rFonts w:ascii="Times New Roman" w:hAnsi="Times New Roman"/>
        </w:rPr>
        <w:t xml:space="preserve"> That in turn required the Tribunal to have regard to the matters set out in sub</w:t>
      </w:r>
      <w:r w:rsidRPr="00AF01A0">
        <w:rPr>
          <w:rFonts w:ascii="Times New Roman" w:hAnsi="Times New Roman"/>
        </w:rPr>
        <w:noBreakHyphen/>
        <w:t>paras (a) to (g) of para 8.1.1(1) of Direction 90. Sub</w:t>
      </w:r>
      <w:r w:rsidRPr="00AF01A0">
        <w:rPr>
          <w:rFonts w:ascii="Times New Roman" w:hAnsi="Times New Roman"/>
        </w:rPr>
        <w:noBreakHyphen/>
        <w:t xml:space="preserve">paragraphs (a), </w:t>
      </w:r>
      <w:r w:rsidRPr="00AF01A0">
        <w:rPr>
          <w:rFonts w:ascii="Times New Roman" w:hAnsi="Times New Roman"/>
        </w:rPr>
        <w:lastRenderedPageBreak/>
        <w:t xml:space="preserve">(b) and (g), and the Tribunal's reasoning relating to them, are those relevant to the appellant's contention that the Tribunal's decision involved jurisdictional error. </w:t>
      </w:r>
    </w:p>
    <w:p w14:paraId="24A36855" w14:textId="70606FE5"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The Tribunal was required by para 8.1.1(1)(a) to have regard to the fact that certain "types of crimes or conduct" described therein are deemed to be viewed "very seriously" by the Australian Government and the Australian community. There was no dispute that none of the appellant's convictions fell within any one of the described types. In considering this sub-paragraph, the Tribunal found that it "militate[d] strongly in favour of a finding that the [appellant's] criminal</w:t>
      </w:r>
      <w:r w:rsidR="00F35C1D">
        <w:rPr>
          <w:rFonts w:ascii="Times New Roman" w:hAnsi="Times New Roman"/>
        </w:rPr>
        <w:t> </w:t>
      </w:r>
      <w:r w:rsidRPr="00AF01A0">
        <w:rPr>
          <w:rFonts w:ascii="Times New Roman" w:hAnsi="Times New Roman"/>
        </w:rPr>
        <w:t>offending has been of a very serious nature"</w:t>
      </w:r>
      <w:r w:rsidR="002F3E21">
        <w:rPr>
          <w:rFonts w:ascii="Times New Roman" w:hAnsi="Times New Roman"/>
        </w:rPr>
        <w:t>.</w:t>
      </w:r>
      <w:r w:rsidRPr="00AF01A0">
        <w:rPr>
          <w:rFonts w:ascii="Times New Roman" w:hAnsi="Times New Roman"/>
        </w:rPr>
        <w:t xml:space="preserve"> </w:t>
      </w:r>
    </w:p>
    <w:p w14:paraId="2BE63A01" w14:textId="3BDE8A86"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Paragraph 8.1.1(1)(b) required the Tribunal to have regard to the fact that certain "types of crimes or conduct", which were listed, are considered by the Australian Government and the Australian community to be "serious". The</w:t>
      </w:r>
      <w:r w:rsidR="002F3E21">
        <w:rPr>
          <w:rFonts w:ascii="Times New Roman" w:hAnsi="Times New Roman"/>
        </w:rPr>
        <w:t> </w:t>
      </w:r>
      <w:r w:rsidRPr="00AF01A0">
        <w:rPr>
          <w:rFonts w:ascii="Times New Roman" w:hAnsi="Times New Roman"/>
        </w:rPr>
        <w:t>appellant did not dispute that his drug offending could be characterised as falling within one of these described types, namely "crimes committed against vulnerable members of the community".</w:t>
      </w:r>
      <w:r w:rsidRPr="00AF01A0">
        <w:rPr>
          <w:rStyle w:val="FootnoteReference"/>
          <w:rFonts w:ascii="Times New Roman" w:hAnsi="Times New Roman"/>
          <w:sz w:val="24"/>
        </w:rPr>
        <w:footnoteReference w:id="35"/>
      </w:r>
      <w:r w:rsidRPr="00AF01A0">
        <w:rPr>
          <w:rFonts w:ascii="Times New Roman" w:hAnsi="Times New Roman"/>
          <w:b/>
          <w:bCs/>
        </w:rPr>
        <w:t xml:space="preserve"> </w:t>
      </w:r>
      <w:r w:rsidRPr="00AF01A0">
        <w:rPr>
          <w:rFonts w:ascii="Times New Roman" w:hAnsi="Times New Roman"/>
        </w:rPr>
        <w:t>The</w:t>
      </w:r>
      <w:r w:rsidR="002F3E21">
        <w:rPr>
          <w:rFonts w:ascii="Times New Roman" w:hAnsi="Times New Roman"/>
        </w:rPr>
        <w:t> </w:t>
      </w:r>
      <w:r w:rsidRPr="00AF01A0">
        <w:rPr>
          <w:rFonts w:ascii="Times New Roman" w:hAnsi="Times New Roman"/>
        </w:rPr>
        <w:t xml:space="preserve">Tribunal found that para 8.1.1(1)(b) also "militate[d] in favour of a finding that the [appellant's] criminal offending has been of a very serious nature". </w:t>
      </w:r>
    </w:p>
    <w:p w14:paraId="3A4C09E3" w14:textId="63750128"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b/>
          <w:bCs/>
        </w:rPr>
        <w:tab/>
      </w:r>
      <w:r w:rsidRPr="00AF01A0">
        <w:rPr>
          <w:rFonts w:ascii="Times New Roman" w:hAnsi="Times New Roman"/>
        </w:rPr>
        <w:t>Paragraph 8.1.1(1)(g) required the Tribunal to have regard to whether the appellant "has re-offended since being formally warned, or since otherwise being made aware, in writing, about the consequences of further offending in terms of the [appellant's] migration status". The Tribunal found that "[t]his consideration is directly relevant in this case", and specifically found that it was "satisfied that the [appellant] re-offended since having been formally warned or since otherwise being made aware in writing about the consequences of further offending in terms of his migration status".</w:t>
      </w:r>
    </w:p>
    <w:p w14:paraId="122414EC" w14:textId="317BDA7B"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b/>
          <w:bCs/>
        </w:rPr>
        <w:tab/>
      </w:r>
      <w:r w:rsidRPr="00AF01A0">
        <w:rPr>
          <w:rFonts w:ascii="Times New Roman" w:hAnsi="Times New Roman"/>
        </w:rPr>
        <w:t>Having regard to those and other findings in respect of factors referred to in para 8.1, the Tribunal reached an "overall view" that the nature and seriousness of the appellant's conduct "[could] only be characterised as very serious" and went on to find that "Primary Consideration 1 weigh[ed] very strongly in favour of non</w:t>
      </w:r>
      <w:r w:rsidR="00F35C1D">
        <w:rPr>
          <w:rFonts w:ascii="Times New Roman" w:hAnsi="Times New Roman"/>
        </w:rPr>
        <w:noBreakHyphen/>
      </w:r>
      <w:r w:rsidRPr="00AF01A0">
        <w:rPr>
          <w:rFonts w:ascii="Times New Roman" w:hAnsi="Times New Roman"/>
        </w:rPr>
        <w:t xml:space="preserve">revocation". </w:t>
      </w:r>
      <w:r w:rsidRPr="00AF01A0" w:rsidDel="002E1B4E">
        <w:rPr>
          <w:rFonts w:ascii="Times New Roman" w:hAnsi="Times New Roman"/>
        </w:rPr>
        <w:t xml:space="preserve">The </w:t>
      </w:r>
      <w:r w:rsidRPr="00AF01A0">
        <w:rPr>
          <w:rFonts w:ascii="Times New Roman" w:hAnsi="Times New Roman"/>
        </w:rPr>
        <w:t>Tribunal found</w:t>
      </w:r>
      <w:r w:rsidRPr="00AF01A0">
        <w:rPr>
          <w:rFonts w:ascii="Times New Roman" w:hAnsi="Times New Roman"/>
          <w:b/>
          <w:bCs/>
        </w:rPr>
        <w:t xml:space="preserve"> </w:t>
      </w:r>
      <w:r w:rsidRPr="00AF01A0">
        <w:rPr>
          <w:rFonts w:ascii="Times New Roman" w:hAnsi="Times New Roman"/>
        </w:rPr>
        <w:t>that Primary Considerations 2 and 3</w:t>
      </w:r>
      <w:r w:rsidRPr="00AF01A0">
        <w:rPr>
          <w:rStyle w:val="FootnoteReference"/>
          <w:rFonts w:ascii="Times New Roman" w:hAnsi="Times New Roman"/>
          <w:sz w:val="24"/>
        </w:rPr>
        <w:footnoteReference w:id="36"/>
      </w:r>
      <w:r w:rsidRPr="00AF01A0">
        <w:rPr>
          <w:rFonts w:ascii="Times New Roman" w:hAnsi="Times New Roman"/>
        </w:rPr>
        <w:t xml:space="preserve"> were not relevant to the case but considered that Primary Consideration 4, </w:t>
      </w:r>
      <w:r w:rsidRPr="00AF01A0">
        <w:rPr>
          <w:rFonts w:ascii="Times New Roman" w:hAnsi="Times New Roman"/>
        </w:rPr>
        <w:lastRenderedPageBreak/>
        <w:t>concerning</w:t>
      </w:r>
      <w:r w:rsidR="00F35C1D">
        <w:rPr>
          <w:rFonts w:ascii="Times New Roman" w:hAnsi="Times New Roman"/>
        </w:rPr>
        <w:t> </w:t>
      </w:r>
      <w:r w:rsidRPr="00AF01A0">
        <w:rPr>
          <w:rFonts w:ascii="Times New Roman" w:hAnsi="Times New Roman"/>
        </w:rPr>
        <w:t>community expectations,</w:t>
      </w:r>
      <w:r w:rsidRPr="00AF01A0">
        <w:rPr>
          <w:rStyle w:val="FootnoteReference"/>
          <w:rFonts w:ascii="Times New Roman" w:hAnsi="Times New Roman"/>
          <w:sz w:val="24"/>
        </w:rPr>
        <w:footnoteReference w:id="37"/>
      </w:r>
      <w:r w:rsidRPr="00AF01A0">
        <w:rPr>
          <w:rFonts w:ascii="Times New Roman" w:hAnsi="Times New Roman"/>
        </w:rPr>
        <w:t xml:space="preserve"> weighed strongly in favour of non</w:t>
      </w:r>
      <w:r w:rsidR="00293CE5">
        <w:rPr>
          <w:rFonts w:ascii="Times New Roman" w:hAnsi="Times New Roman"/>
        </w:rPr>
        <w:noBreakHyphen/>
      </w:r>
      <w:r w:rsidRPr="00AF01A0">
        <w:rPr>
          <w:rFonts w:ascii="Times New Roman" w:hAnsi="Times New Roman"/>
        </w:rPr>
        <w:t>revocation. Its assessment of each of the "other considerations" under para 9 resulted in findings that they were either "neutral" or provided "slight weight in favour of" the appellant. The conclusion of the Tribunal was stated in terms that it "[did] not consider that the totality of the weight attributable to the relevant ['other</w:t>
      </w:r>
      <w:r w:rsidR="00293CE5">
        <w:rPr>
          <w:rFonts w:ascii="Times New Roman" w:hAnsi="Times New Roman"/>
        </w:rPr>
        <w:t> </w:t>
      </w:r>
      <w:r w:rsidRPr="00AF01A0">
        <w:rPr>
          <w:rFonts w:ascii="Times New Roman" w:hAnsi="Times New Roman"/>
        </w:rPr>
        <w:t xml:space="preserve">considerations'] outweigh[ed] the strong, combined and determinative weight that </w:t>
      </w:r>
      <w:proofErr w:type="gramStart"/>
      <w:r w:rsidRPr="00AF01A0">
        <w:rPr>
          <w:rFonts w:ascii="Times New Roman" w:hAnsi="Times New Roman"/>
        </w:rPr>
        <w:t>it</w:t>
      </w:r>
      <w:proofErr w:type="gramEnd"/>
      <w:r w:rsidRPr="00AF01A0">
        <w:rPr>
          <w:rFonts w:ascii="Times New Roman" w:hAnsi="Times New Roman"/>
        </w:rPr>
        <w:t xml:space="preserve"> </w:t>
      </w:r>
      <w:proofErr w:type="spellStart"/>
      <w:r w:rsidRPr="00AF01A0">
        <w:rPr>
          <w:rFonts w:ascii="Times New Roman" w:hAnsi="Times New Roman"/>
        </w:rPr>
        <w:t>ha</w:t>
      </w:r>
      <w:proofErr w:type="spellEnd"/>
      <w:r w:rsidRPr="00AF01A0">
        <w:rPr>
          <w:rFonts w:ascii="Times New Roman" w:hAnsi="Times New Roman"/>
        </w:rPr>
        <w:t>[d] attributed to Primary Considerations 1 and 4".</w:t>
      </w:r>
    </w:p>
    <w:p w14:paraId="0D4351D7" w14:textId="3800BA7F"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 xml:space="preserve">In the Federal Court of Australia, </w:t>
      </w:r>
      <w:proofErr w:type="spellStart"/>
      <w:r w:rsidRPr="00AF01A0">
        <w:rPr>
          <w:rFonts w:ascii="Times New Roman" w:hAnsi="Times New Roman"/>
        </w:rPr>
        <w:t>Snaden</w:t>
      </w:r>
      <w:proofErr w:type="spellEnd"/>
      <w:r w:rsidRPr="00AF01A0">
        <w:rPr>
          <w:rFonts w:ascii="Times New Roman" w:hAnsi="Times New Roman"/>
        </w:rPr>
        <w:t xml:space="preserve"> J dismissed the appellant's application for judicial review of the Tribunal's decision under s 476A(1)(b) of the </w:t>
      </w:r>
      <w:r w:rsidRPr="00AF01A0">
        <w:rPr>
          <w:rFonts w:ascii="Times New Roman" w:hAnsi="Times New Roman"/>
          <w:i/>
          <w:iCs/>
        </w:rPr>
        <w:t>Migration Act</w:t>
      </w:r>
      <w:r w:rsidRPr="00AF01A0">
        <w:rPr>
          <w:rFonts w:ascii="Times New Roman" w:hAnsi="Times New Roman"/>
        </w:rPr>
        <w:t xml:space="preserve"> on the basis that the Tribunal's decision "was not attended by jurisdictional error". Relevantly, his Honour found that the Tribunal had not erred in its treatment of para 8.1.1(1)(a), (b) and (g) of Direction 90</w:t>
      </w:r>
      <w:r w:rsidR="002F3E21">
        <w:rPr>
          <w:rFonts w:ascii="Times New Roman" w:hAnsi="Times New Roman"/>
        </w:rPr>
        <w:t>.</w:t>
      </w:r>
    </w:p>
    <w:p w14:paraId="6AA7701B" w14:textId="71CE9D65"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The Full Court of the Federal Court (Markovic, Thomas and Button JJ) agreed with the primary judge's conclusion that the Tribunal's decision was not attended by jurisdictional error but arrived at that conclusion by a different route. The Full Court found that the Tribunal's findings in relation to para 8.1.1(1)(a), (b)</w:t>
      </w:r>
      <w:r w:rsidR="00712934">
        <w:rPr>
          <w:rFonts w:ascii="Times New Roman" w:hAnsi="Times New Roman"/>
        </w:rPr>
        <w:t> </w:t>
      </w:r>
      <w:r w:rsidRPr="00AF01A0">
        <w:rPr>
          <w:rFonts w:ascii="Times New Roman" w:hAnsi="Times New Roman"/>
        </w:rPr>
        <w:t>and (g) did</w:t>
      </w:r>
      <w:r w:rsidRPr="00AF01A0">
        <w:rPr>
          <w:rFonts w:ascii="Times New Roman" w:hAnsi="Times New Roman"/>
          <w:i/>
          <w:iCs/>
        </w:rPr>
        <w:t xml:space="preserve"> </w:t>
      </w:r>
      <w:r w:rsidRPr="00AF01A0">
        <w:rPr>
          <w:rFonts w:ascii="Times New Roman" w:hAnsi="Times New Roman"/>
        </w:rPr>
        <w:t xml:space="preserve">involve error, but dismissed the appeal on the basis that the error was not material and therefore not jurisdictional. </w:t>
      </w:r>
    </w:p>
    <w:p w14:paraId="3484B532" w14:textId="209EACF2"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With respect to para 8.1.1(1)(a), the Full Court found that "the error lies in the very lack of any articulated comprehensible connection between the conclusion and the articulated basis for it", that "the Tribunal's reasoning was scant", and that its conclusion with respect to sub-para (a) (see [21] above) "bore no exposed logical connection" with the Tribunal's summary of the appellant's contentions about his offending or "the precis of what subparagraph (a) stated". As for the Tribunal's finding relating to para 8.1.1(1)(b), the Full Court found that "[g]</w:t>
      </w:r>
      <w:proofErr w:type="spellStart"/>
      <w:r w:rsidRPr="00AF01A0">
        <w:rPr>
          <w:rFonts w:ascii="Times New Roman" w:hAnsi="Times New Roman"/>
        </w:rPr>
        <w:t>iven</w:t>
      </w:r>
      <w:proofErr w:type="spellEnd"/>
      <w:r w:rsidR="00712934">
        <w:rPr>
          <w:rFonts w:ascii="Times New Roman" w:hAnsi="Times New Roman"/>
        </w:rPr>
        <w:t> </w:t>
      </w:r>
      <w:r w:rsidRPr="00AF01A0">
        <w:rPr>
          <w:rFonts w:ascii="Times New Roman" w:hAnsi="Times New Roman"/>
        </w:rPr>
        <w:t xml:space="preserve">that subparagraph (b) establishes the deemed views of the Australian government and community that certain criminal conduct is 'serious' (as distinct from 'very </w:t>
      </w:r>
      <w:proofErr w:type="spellStart"/>
      <w:r w:rsidRPr="00AF01A0">
        <w:rPr>
          <w:rFonts w:ascii="Times New Roman" w:hAnsi="Times New Roman"/>
        </w:rPr>
        <w:t>serious'</w:t>
      </w:r>
      <w:proofErr w:type="spellEnd"/>
      <w:r w:rsidRPr="00AF01A0">
        <w:rPr>
          <w:rFonts w:ascii="Times New Roman" w:hAnsi="Times New Roman"/>
        </w:rPr>
        <w:t xml:space="preserve">), the failure of the Tribunal to elucidate a course of reasoning by which those deemed views could support its 'very </w:t>
      </w:r>
      <w:proofErr w:type="spellStart"/>
      <w:r w:rsidRPr="00AF01A0">
        <w:rPr>
          <w:rFonts w:ascii="Times New Roman" w:hAnsi="Times New Roman"/>
        </w:rPr>
        <w:t>serious'</w:t>
      </w:r>
      <w:proofErr w:type="spellEnd"/>
      <w:r w:rsidRPr="00AF01A0">
        <w:rPr>
          <w:rFonts w:ascii="Times New Roman" w:hAnsi="Times New Roman"/>
        </w:rPr>
        <w:t xml:space="preserve"> conclusion,</w:t>
      </w:r>
      <w:r w:rsidR="00712934">
        <w:rPr>
          <w:rFonts w:ascii="Times New Roman" w:hAnsi="Times New Roman"/>
        </w:rPr>
        <w:t> </w:t>
      </w:r>
      <w:r w:rsidRPr="00AF01A0">
        <w:rPr>
          <w:rFonts w:ascii="Times New Roman" w:hAnsi="Times New Roman"/>
        </w:rPr>
        <w:t>constitutes an error".</w:t>
      </w:r>
    </w:p>
    <w:p w14:paraId="6227FC87" w14:textId="5AD21EF1"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b/>
          <w:bCs/>
        </w:rPr>
        <w:tab/>
      </w:r>
      <w:r w:rsidRPr="00AF01A0">
        <w:rPr>
          <w:rFonts w:ascii="Times New Roman" w:hAnsi="Times New Roman"/>
        </w:rPr>
        <w:t xml:space="preserve">Finally, with respect to para 8.1.1(1)(g), the Full Court found that the consideration identified in that sub-paragraph could not be regarded as applicable, as there was "not a skerrick of evidence" that the appellant had been </w:t>
      </w:r>
      <w:r w:rsidRPr="00AF01A0">
        <w:rPr>
          <w:rFonts w:ascii="Times New Roman" w:hAnsi="Times New Roman"/>
        </w:rPr>
        <w:lastRenderedPageBreak/>
        <w:t>"formally</w:t>
      </w:r>
      <w:r w:rsidR="00712934">
        <w:rPr>
          <w:rFonts w:ascii="Times New Roman" w:hAnsi="Times New Roman"/>
        </w:rPr>
        <w:t> </w:t>
      </w:r>
      <w:r w:rsidRPr="00AF01A0">
        <w:rPr>
          <w:rFonts w:ascii="Times New Roman" w:hAnsi="Times New Roman"/>
        </w:rPr>
        <w:t>warned" or had been "otherwise ... made aware, in writing" about the consequences of further offending in terms of his migration status.</w:t>
      </w:r>
    </w:p>
    <w:p w14:paraId="330FBE2E" w14:textId="3A226039"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Having found the Tribunal so erred, the Full Court then identified other aspects of the Tribunal's reasons as bases for assuming that the Tribunal would have adopted a different process of reasoning to the same end and, on that basis, concluded that the error was not material.</w:t>
      </w:r>
      <w:r w:rsidRPr="00AF01A0">
        <w:rPr>
          <w:rStyle w:val="FootnoteReference"/>
          <w:rFonts w:ascii="Times New Roman" w:hAnsi="Times New Roman"/>
          <w:sz w:val="24"/>
        </w:rPr>
        <w:footnoteReference w:id="38"/>
      </w:r>
      <w:r w:rsidRPr="00AF01A0">
        <w:rPr>
          <w:rFonts w:ascii="Times New Roman" w:hAnsi="Times New Roman"/>
        </w:rPr>
        <w:t xml:space="preserve"> By way of example, the Full Court reasoned that, "even if the Tribunal had concluded that subparagraph (a) was</w:t>
      </w:r>
      <w:r w:rsidR="00712934">
        <w:rPr>
          <w:rFonts w:ascii="Times New Roman" w:hAnsi="Times New Roman"/>
        </w:rPr>
        <w:t> </w:t>
      </w:r>
      <w:r w:rsidRPr="00AF01A0">
        <w:rPr>
          <w:rFonts w:ascii="Times New Roman" w:hAnsi="Times New Roman"/>
        </w:rPr>
        <w:t>entirely irrelevant and moved on", the Full Court did not consider that there was "a realistic possibility" that the Tribunal could have found the appellant's conduct to be merely "serious" in considering the nature and seriousness of his conduct under paras 8.1(2)(a) and 8.1.1(1), or that the weighing exercise under para 8.1.1(1) could have had a "favourable outcome" for the appellant even if the Tribunal did assess his conduct to be "serious".</w:t>
      </w:r>
      <w:r w:rsidRPr="00AF01A0">
        <w:rPr>
          <w:rStyle w:val="FootnoteReference"/>
          <w:rFonts w:ascii="Times New Roman" w:hAnsi="Times New Roman"/>
          <w:sz w:val="24"/>
        </w:rPr>
        <w:footnoteReference w:id="39"/>
      </w:r>
      <w:r w:rsidRPr="00AF01A0">
        <w:rPr>
          <w:rFonts w:ascii="Times New Roman" w:hAnsi="Times New Roman"/>
        </w:rPr>
        <w:t xml:space="preserve"> Both of these findings involved the Full Court making assumptions about how the Tribunal would have undertaken the weighing exercise of the matters in para 8.1.1(1). Such approaches should not be adopted. A reviewing court does not engage in a review of the merits of the decision</w:t>
      </w:r>
      <w:r w:rsidR="00811693">
        <w:rPr>
          <w:rFonts w:ascii="Times New Roman" w:hAnsi="Times New Roman"/>
        </w:rPr>
        <w:t>,</w:t>
      </w:r>
      <w:r w:rsidRPr="00AF01A0">
        <w:rPr>
          <w:rStyle w:val="FootnoteReference"/>
          <w:rFonts w:ascii="Times New Roman" w:hAnsi="Times New Roman"/>
          <w:sz w:val="24"/>
        </w:rPr>
        <w:footnoteReference w:id="40"/>
      </w:r>
      <w:r w:rsidRPr="00AF01A0">
        <w:rPr>
          <w:rFonts w:ascii="Times New Roman" w:hAnsi="Times New Roman"/>
        </w:rPr>
        <w:t xml:space="preserve"> reconstruct a decision</w:t>
      </w:r>
      <w:r w:rsidRPr="00AF01A0">
        <w:rPr>
          <w:rFonts w:ascii="Times New Roman" w:hAnsi="Times New Roman"/>
        </w:rPr>
        <w:noBreakHyphen/>
        <w:t>making process, rework the apparent basis upon which a decision has been made, or rewrite the reasons for decision.</w:t>
      </w:r>
      <w:r w:rsidRPr="00AF01A0">
        <w:rPr>
          <w:rStyle w:val="FootnoteReference"/>
          <w:rFonts w:ascii="Times New Roman" w:hAnsi="Times New Roman"/>
          <w:sz w:val="24"/>
        </w:rPr>
        <w:footnoteReference w:id="41"/>
      </w:r>
    </w:p>
    <w:p w14:paraId="7DFFBD34" w14:textId="77777777" w:rsidR="00C66B25" w:rsidRPr="00AF01A0" w:rsidRDefault="00C66B25" w:rsidP="00AF01A0">
      <w:pPr>
        <w:pStyle w:val="HeadingL1"/>
        <w:spacing w:after="260" w:line="280" w:lineRule="exact"/>
        <w:ind w:right="0"/>
        <w:jc w:val="both"/>
        <w:rPr>
          <w:rFonts w:ascii="Times New Roman" w:hAnsi="Times New Roman"/>
        </w:rPr>
      </w:pPr>
      <w:r w:rsidRPr="00AF01A0">
        <w:rPr>
          <w:rFonts w:ascii="Times New Roman" w:hAnsi="Times New Roman"/>
        </w:rPr>
        <w:t>Did an error occur?</w:t>
      </w:r>
    </w:p>
    <w:p w14:paraId="570A7391"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b/>
          <w:bCs/>
        </w:rPr>
        <w:tab/>
      </w:r>
      <w:r w:rsidRPr="00AF01A0">
        <w:rPr>
          <w:rFonts w:ascii="Times New Roman" w:hAnsi="Times New Roman"/>
        </w:rPr>
        <w:t xml:space="preserve">Before this Court, there was no dispute that the Tribunal's decision involved error: the Tribunal breached s 499(2A) of the </w:t>
      </w:r>
      <w:r w:rsidRPr="00AF01A0">
        <w:rPr>
          <w:rFonts w:ascii="Times New Roman" w:hAnsi="Times New Roman"/>
          <w:i/>
          <w:iCs/>
        </w:rPr>
        <w:t xml:space="preserve">Migration Act </w:t>
      </w:r>
      <w:r w:rsidRPr="00AF01A0">
        <w:rPr>
          <w:rFonts w:ascii="Times New Roman" w:hAnsi="Times New Roman"/>
        </w:rPr>
        <w:t xml:space="preserve">in failing to comply with Direction 90 in the manner described. In the present case, where the error was </w:t>
      </w:r>
      <w:r w:rsidRPr="00AF01A0">
        <w:rPr>
          <w:rFonts w:ascii="Times New Roman" w:hAnsi="Times New Roman"/>
        </w:rPr>
        <w:lastRenderedPageBreak/>
        <w:t>a breach by a statutory decision-maker of a condition governing the making of the decision, the relevant facts were established by the tender of the Tribunal's reasons for decision. Nothing more was required.</w:t>
      </w:r>
    </w:p>
    <w:p w14:paraId="47006F4C" w14:textId="0FD581CD"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 xml:space="preserve">In the courts below, the parties and the courts approached the identification of error by considering each aspect of the Tribunal's reasons which was challenged as a separate error. That was a misidentification of the error. As counsel for both the appellant and the Minister accepted </w:t>
      </w:r>
      <w:proofErr w:type="gramStart"/>
      <w:r w:rsidRPr="00AF01A0">
        <w:rPr>
          <w:rFonts w:ascii="Times New Roman" w:hAnsi="Times New Roman"/>
        </w:rPr>
        <w:t>in the course of</w:t>
      </w:r>
      <w:proofErr w:type="gramEnd"/>
      <w:r w:rsidRPr="00AF01A0">
        <w:rPr>
          <w:rFonts w:ascii="Times New Roman" w:hAnsi="Times New Roman"/>
        </w:rPr>
        <w:t xml:space="preserve"> argument, there was one error – a failure to comply with s 499(2A) of the </w:t>
      </w:r>
      <w:r w:rsidRPr="00AF01A0">
        <w:rPr>
          <w:rFonts w:ascii="Times New Roman" w:hAnsi="Times New Roman"/>
          <w:i/>
          <w:iCs/>
        </w:rPr>
        <w:t>Migration Act</w:t>
      </w:r>
      <w:r w:rsidRPr="00AF01A0">
        <w:rPr>
          <w:rFonts w:ascii="Times New Roman" w:hAnsi="Times New Roman"/>
        </w:rPr>
        <w:t>. Each aspect of non-compliance with s 499(2A) was a particular of the one error – a breach by a statutory decision-maker of a condition governing the making of a decision, namely statutory non</w:t>
      </w:r>
      <w:r w:rsidRPr="00AF01A0">
        <w:rPr>
          <w:rFonts w:ascii="Times New Roman" w:hAnsi="Times New Roman"/>
        </w:rPr>
        <w:noBreakHyphen/>
        <w:t xml:space="preserve">compliance with s 499(2A) of the </w:t>
      </w:r>
      <w:r w:rsidRPr="00AF01A0">
        <w:rPr>
          <w:rFonts w:ascii="Times New Roman" w:hAnsi="Times New Roman"/>
          <w:i/>
          <w:iCs/>
        </w:rPr>
        <w:t>Migration Act</w:t>
      </w:r>
      <w:r w:rsidRPr="00AF01A0">
        <w:rPr>
          <w:rFonts w:ascii="Times New Roman" w:hAnsi="Times New Roman"/>
        </w:rPr>
        <w:t xml:space="preserve"> in failing to comply with Direction 90</w:t>
      </w:r>
      <w:r w:rsidR="002F3E21">
        <w:rPr>
          <w:rFonts w:ascii="Times New Roman" w:hAnsi="Times New Roman"/>
        </w:rPr>
        <w:t>.</w:t>
      </w:r>
    </w:p>
    <w:p w14:paraId="76BA867B" w14:textId="77777777" w:rsidR="00C66B25" w:rsidRPr="00AF01A0" w:rsidRDefault="00C66B25" w:rsidP="00AF01A0">
      <w:pPr>
        <w:pStyle w:val="HeadingL1"/>
        <w:spacing w:after="260" w:line="280" w:lineRule="exact"/>
        <w:ind w:right="0"/>
        <w:jc w:val="both"/>
        <w:rPr>
          <w:rFonts w:ascii="Times New Roman" w:hAnsi="Times New Roman"/>
        </w:rPr>
      </w:pPr>
      <w:r w:rsidRPr="00AF01A0">
        <w:rPr>
          <w:rFonts w:ascii="Times New Roman" w:hAnsi="Times New Roman"/>
        </w:rPr>
        <w:t>Was the error material?</w:t>
      </w:r>
    </w:p>
    <w:p w14:paraId="6CC60EA6"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 xml:space="preserve">The issue on appeal concerns the second question: whether the error was material </w:t>
      </w:r>
      <w:proofErr w:type="gramStart"/>
      <w:r w:rsidRPr="00AF01A0">
        <w:rPr>
          <w:rFonts w:ascii="Times New Roman" w:hAnsi="Times New Roman"/>
        </w:rPr>
        <w:t>so as to</w:t>
      </w:r>
      <w:proofErr w:type="gramEnd"/>
      <w:r w:rsidRPr="00AF01A0">
        <w:rPr>
          <w:rFonts w:ascii="Times New Roman" w:hAnsi="Times New Roman"/>
        </w:rPr>
        <w:t xml:space="preserve"> constitute jurisdictional error. The starting point is the nature of the error. There was no submission that a breach of s 499(2A) of the </w:t>
      </w:r>
      <w:r w:rsidRPr="00AF01A0">
        <w:rPr>
          <w:rFonts w:ascii="Times New Roman" w:hAnsi="Times New Roman"/>
          <w:i/>
          <w:iCs/>
        </w:rPr>
        <w:t xml:space="preserve">Migration Act </w:t>
      </w:r>
      <w:r w:rsidRPr="00AF01A0">
        <w:rPr>
          <w:rFonts w:ascii="Times New Roman" w:hAnsi="Times New Roman"/>
        </w:rPr>
        <w:t xml:space="preserve">in failing to comply with Direction 90 was an error that was jurisdictional irrespective of any effect that the error might or might not have had on the decision that was made in fact. The question was whether the decision that was in fact made by the Tribunal </w:t>
      </w:r>
      <w:r w:rsidRPr="00AF01A0">
        <w:rPr>
          <w:rFonts w:ascii="Times New Roman" w:hAnsi="Times New Roman"/>
          <w:i/>
          <w:iCs/>
        </w:rPr>
        <w:t>could</w:t>
      </w:r>
      <w:r w:rsidRPr="00AF01A0">
        <w:rPr>
          <w:rFonts w:ascii="Times New Roman" w:hAnsi="Times New Roman"/>
        </w:rPr>
        <w:t>, not would, "realistically" have been different had there been no error. The answer to that question, in this appeal, is to be determined from the face of the Tribunal's reasons.</w:t>
      </w:r>
    </w:p>
    <w:p w14:paraId="052CDACA" w14:textId="27DC5BC5"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The error of the Tribunal was a breach by a statutory decision</w:t>
      </w:r>
      <w:r w:rsidRPr="00AF01A0">
        <w:rPr>
          <w:rFonts w:ascii="Times New Roman" w:hAnsi="Times New Roman"/>
        </w:rPr>
        <w:noBreakHyphen/>
        <w:t xml:space="preserve">maker of a condition governing the process of reasoning to be undertaken in exercising the decision-making power under s 501CA(4). The condition imposed by s 499(2A) by reference to Direction 90 required the Tribunal to </w:t>
      </w:r>
      <w:proofErr w:type="gramStart"/>
      <w:r w:rsidRPr="00AF01A0">
        <w:rPr>
          <w:rFonts w:ascii="Times New Roman" w:hAnsi="Times New Roman"/>
        </w:rPr>
        <w:t>take into account</w:t>
      </w:r>
      <w:proofErr w:type="gramEnd"/>
      <w:r w:rsidRPr="00AF01A0">
        <w:rPr>
          <w:rFonts w:ascii="Times New Roman" w:hAnsi="Times New Roman"/>
        </w:rPr>
        <w:t>, as</w:t>
      </w:r>
      <w:r w:rsidR="008610D8">
        <w:rPr>
          <w:rFonts w:ascii="Times New Roman" w:hAnsi="Times New Roman"/>
        </w:rPr>
        <w:t> </w:t>
      </w:r>
      <w:r w:rsidRPr="00AF01A0">
        <w:rPr>
          <w:rFonts w:ascii="Times New Roman" w:hAnsi="Times New Roman"/>
        </w:rPr>
        <w:t xml:space="preserve">mandatory considerations, the primary considerations identified in para 8 and the other considerations in para 9, where those considerations were relevant to the decision. Fulfilment of the condition required the Tribunal to identify which of those mandatory considerations were relevant to the </w:t>
      </w:r>
      <w:proofErr w:type="gramStart"/>
      <w:r w:rsidRPr="00AF01A0">
        <w:rPr>
          <w:rFonts w:ascii="Times New Roman" w:hAnsi="Times New Roman"/>
        </w:rPr>
        <w:t>particular circumstances</w:t>
      </w:r>
      <w:proofErr w:type="gramEnd"/>
      <w:r w:rsidRPr="00AF01A0">
        <w:rPr>
          <w:rFonts w:ascii="Times New Roman" w:hAnsi="Times New Roman"/>
        </w:rPr>
        <w:t xml:space="preserve"> of the particular applicant. Then, having identified the </w:t>
      </w:r>
      <w:r w:rsidRPr="00AF01A0">
        <w:rPr>
          <w:rFonts w:ascii="Times New Roman" w:hAnsi="Times New Roman"/>
          <w:i/>
          <w:iCs/>
        </w:rPr>
        <w:t xml:space="preserve">relevant </w:t>
      </w:r>
      <w:r w:rsidRPr="00AF01A0">
        <w:rPr>
          <w:rFonts w:ascii="Times New Roman" w:hAnsi="Times New Roman"/>
        </w:rPr>
        <w:t xml:space="preserve">mandatory considerations, </w:t>
      </w:r>
      <w:r w:rsidRPr="00AF01A0" w:rsidDel="003754E8">
        <w:rPr>
          <w:rFonts w:ascii="Times New Roman" w:hAnsi="Times New Roman"/>
        </w:rPr>
        <w:t xml:space="preserve">the </w:t>
      </w:r>
      <w:r w:rsidRPr="00AF01A0">
        <w:rPr>
          <w:rFonts w:ascii="Times New Roman" w:hAnsi="Times New Roman"/>
        </w:rPr>
        <w:t xml:space="preserve">exercise of the discretion under s 501CA(4) required the Tribunal to engage in an evaluative assessment involving the weighing of those relevant mandatory considerations with other relevant considerations. </w:t>
      </w:r>
    </w:p>
    <w:p w14:paraId="24D21AD3" w14:textId="1E43DF5C"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 xml:space="preserve">In this case, the Tribunal did not follow the required process of reasoning. In relation to para 8.1.1(1)(a), the unavoidable inference is that the Tribunal </w:t>
      </w:r>
      <w:r w:rsidRPr="00AF01A0">
        <w:rPr>
          <w:rFonts w:ascii="Times New Roman" w:hAnsi="Times New Roman"/>
        </w:rPr>
        <w:lastRenderedPageBreak/>
        <w:t>misunderstood the provision, the appellant's conduct, or both. In relation to para</w:t>
      </w:r>
      <w:r w:rsidR="004559BE">
        <w:rPr>
          <w:rFonts w:ascii="Times New Roman" w:hAnsi="Times New Roman"/>
        </w:rPr>
        <w:t> </w:t>
      </w:r>
      <w:r w:rsidRPr="00AF01A0">
        <w:rPr>
          <w:rFonts w:ascii="Times New Roman" w:hAnsi="Times New Roman"/>
        </w:rPr>
        <w:t>8.1.1(1)(b), it is not possible to comprehend how the Tribunal made its findings.</w:t>
      </w:r>
      <w:r w:rsidRPr="00AF01A0">
        <w:rPr>
          <w:rStyle w:val="FootnoteReference"/>
          <w:rFonts w:ascii="Times New Roman" w:hAnsi="Times New Roman"/>
          <w:sz w:val="24"/>
        </w:rPr>
        <w:footnoteReference w:id="42"/>
      </w:r>
      <w:r w:rsidRPr="00AF01A0">
        <w:rPr>
          <w:rFonts w:ascii="Times New Roman" w:hAnsi="Times New Roman"/>
        </w:rPr>
        <w:t xml:space="preserve"> In relation to para 8.1.1(1)(g), the Tribunal regarded the consideration as directly relevant when there was no evidence before the Tribunal showing that it did apply. There is no rational basis for the Tribunal's findings.</w:t>
      </w:r>
    </w:p>
    <w:p w14:paraId="2B5BE745"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Those aspects of the error, in the statutory context in which the decision was made, compel the finding that the evaluative conclusion reached by the Tribunal in</w:t>
      </w:r>
      <w:r w:rsidRPr="00AF01A0">
        <w:rPr>
          <w:rFonts w:ascii="Times New Roman" w:hAnsi="Times New Roman"/>
          <w:i/>
          <w:iCs/>
        </w:rPr>
        <w:t xml:space="preserve"> </w:t>
      </w:r>
      <w:r w:rsidRPr="00AF01A0" w:rsidDel="003754E8">
        <w:rPr>
          <w:rFonts w:ascii="Times New Roman" w:hAnsi="Times New Roman"/>
        </w:rPr>
        <w:t xml:space="preserve">the </w:t>
      </w:r>
      <w:r w:rsidRPr="00AF01A0">
        <w:rPr>
          <w:rFonts w:ascii="Times New Roman" w:hAnsi="Times New Roman"/>
        </w:rPr>
        <w:t>exercise of the discretion under s 501CA(4) could</w:t>
      </w:r>
      <w:r w:rsidRPr="00AF01A0" w:rsidDel="00101BD9">
        <w:rPr>
          <w:rFonts w:ascii="Times New Roman" w:hAnsi="Times New Roman"/>
        </w:rPr>
        <w:t xml:space="preserve"> </w:t>
      </w:r>
      <w:r w:rsidRPr="00AF01A0">
        <w:rPr>
          <w:rFonts w:ascii="Times New Roman" w:hAnsi="Times New Roman"/>
        </w:rPr>
        <w:t>have been different if there had been no error. Each particular of the error contributed to the evaluative and discretionary decision which the Tribunal made in that each bore on the Tribunal's assessment of Primary Consideration 1, and in that the Tribunal's assessment of Primary Consideration 1 weighed in favour of its</w:t>
      </w:r>
      <w:r w:rsidRPr="00AF01A0" w:rsidDel="003754E8">
        <w:rPr>
          <w:rFonts w:ascii="Times New Roman" w:hAnsi="Times New Roman"/>
        </w:rPr>
        <w:t xml:space="preserve"> </w:t>
      </w:r>
      <w:r w:rsidRPr="00AF01A0">
        <w:rPr>
          <w:rFonts w:ascii="Times New Roman" w:hAnsi="Times New Roman"/>
        </w:rPr>
        <w:t xml:space="preserve">exercise of discretion under s 501CA(4) not to revoke the cancellation of the appellant's visa. The Tribunal's error in its process of reasoning in these respects alone established that the error was material. </w:t>
      </w:r>
    </w:p>
    <w:p w14:paraId="7FC41B01" w14:textId="0CE144E8"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It would involve improper speculation to attempt to discern how the Tribunal would have reasoned if it had not departed from the required process of reasoning in these respects. It follows that there is a possibility, not fanciful or improbable, that the decision that was made in fact</w:t>
      </w:r>
      <w:r w:rsidRPr="00AF01A0">
        <w:rPr>
          <w:rFonts w:ascii="Times New Roman" w:hAnsi="Times New Roman"/>
          <w:i/>
        </w:rPr>
        <w:t xml:space="preserve"> could</w:t>
      </w:r>
      <w:r w:rsidRPr="00AF01A0">
        <w:rPr>
          <w:rFonts w:ascii="Times New Roman" w:hAnsi="Times New Roman"/>
        </w:rPr>
        <w:t xml:space="preserve"> have been different if the error had not occurred. The threshold of materiality was met. None of the facts before the Court provided a basis to consider that the outcome would inevitably have been the same had the error not been made. The error was jurisdictional. The curial relief sought by the appellant should be granted. </w:t>
      </w:r>
    </w:p>
    <w:p w14:paraId="214CE682" w14:textId="77777777" w:rsidR="00C66B25" w:rsidRPr="00AF01A0" w:rsidRDefault="00C66B25" w:rsidP="00AF01A0">
      <w:pPr>
        <w:pStyle w:val="HeadingL1"/>
        <w:spacing w:after="260" w:line="280" w:lineRule="exact"/>
        <w:ind w:right="0"/>
        <w:jc w:val="both"/>
        <w:rPr>
          <w:rFonts w:ascii="Times New Roman" w:hAnsi="Times New Roman"/>
        </w:rPr>
      </w:pPr>
      <w:r w:rsidRPr="00AF01A0">
        <w:rPr>
          <w:rFonts w:ascii="Times New Roman" w:hAnsi="Times New Roman"/>
        </w:rPr>
        <w:t>Orders</w:t>
      </w:r>
    </w:p>
    <w:p w14:paraId="1E33C77F" w14:textId="77777777" w:rsidR="00C66B25" w:rsidRPr="00AF01A0" w:rsidRDefault="00C66B25" w:rsidP="00AF01A0">
      <w:pPr>
        <w:pStyle w:val="FixListStyle"/>
        <w:spacing w:after="260" w:line="280" w:lineRule="exact"/>
        <w:ind w:right="0"/>
        <w:jc w:val="both"/>
        <w:rPr>
          <w:rFonts w:ascii="Times New Roman" w:hAnsi="Times New Roman"/>
        </w:rPr>
      </w:pPr>
      <w:r w:rsidRPr="00AF01A0">
        <w:rPr>
          <w:rFonts w:ascii="Times New Roman" w:hAnsi="Times New Roman"/>
        </w:rPr>
        <w:tab/>
        <w:t>For those reasons:</w:t>
      </w:r>
    </w:p>
    <w:p w14:paraId="43790471" w14:textId="77777777" w:rsidR="00C66B25" w:rsidRPr="00AF01A0" w:rsidRDefault="00C66B25" w:rsidP="00AF01A0">
      <w:pPr>
        <w:pStyle w:val="leftright"/>
        <w:spacing w:before="0" w:after="260" w:line="280" w:lineRule="exact"/>
        <w:ind w:right="0"/>
        <w:jc w:val="both"/>
        <w:rPr>
          <w:rFonts w:ascii="Times New Roman" w:hAnsi="Times New Roman"/>
        </w:rPr>
      </w:pPr>
      <w:r w:rsidRPr="00AF01A0">
        <w:rPr>
          <w:rFonts w:ascii="Times New Roman" w:hAnsi="Times New Roman"/>
        </w:rPr>
        <w:t>1.</w:t>
      </w:r>
      <w:r w:rsidRPr="00AF01A0">
        <w:rPr>
          <w:rFonts w:ascii="Times New Roman" w:hAnsi="Times New Roman"/>
        </w:rPr>
        <w:tab/>
        <w:t>The appeal should be allowed with costs.</w:t>
      </w:r>
    </w:p>
    <w:p w14:paraId="14AC2A76" w14:textId="6F4C796B" w:rsidR="00C66B25" w:rsidRPr="00AF01A0" w:rsidRDefault="00C66B25" w:rsidP="00AF01A0">
      <w:pPr>
        <w:pStyle w:val="leftright"/>
        <w:tabs>
          <w:tab w:val="left" w:pos="7797"/>
        </w:tabs>
        <w:spacing w:before="0" w:after="260" w:line="280" w:lineRule="exact"/>
        <w:ind w:left="1440" w:right="0" w:hanging="720"/>
        <w:jc w:val="both"/>
        <w:rPr>
          <w:rFonts w:ascii="Times New Roman" w:hAnsi="Times New Roman"/>
        </w:rPr>
      </w:pPr>
      <w:r w:rsidRPr="00AF01A0">
        <w:rPr>
          <w:rFonts w:ascii="Times New Roman" w:hAnsi="Times New Roman"/>
        </w:rPr>
        <w:t>2.</w:t>
      </w:r>
      <w:r w:rsidRPr="00AF01A0">
        <w:rPr>
          <w:rFonts w:ascii="Times New Roman" w:hAnsi="Times New Roman"/>
        </w:rPr>
        <w:tab/>
        <w:t>The orders of the Full Court of the Federal Court of Australia on 3</w:t>
      </w:r>
      <w:r w:rsidR="00AF572B">
        <w:rPr>
          <w:rFonts w:ascii="Times New Roman" w:hAnsi="Times New Roman"/>
        </w:rPr>
        <w:t> </w:t>
      </w:r>
      <w:r w:rsidRPr="00AF01A0">
        <w:rPr>
          <w:rFonts w:ascii="Times New Roman" w:hAnsi="Times New Roman"/>
        </w:rPr>
        <w:t xml:space="preserve">May 2023 and 24 May 2023 should be set aside and, in their place, order that the appeal be allowed with costs and the orders of the </w:t>
      </w:r>
      <w:r w:rsidRPr="00AF01A0">
        <w:rPr>
          <w:rFonts w:ascii="Times New Roman" w:hAnsi="Times New Roman"/>
        </w:rPr>
        <w:lastRenderedPageBreak/>
        <w:t>Federal Court of Australia on 14 July 2022 be set aside and, in their place, order that:</w:t>
      </w:r>
    </w:p>
    <w:p w14:paraId="2BE5A851" w14:textId="77777777" w:rsidR="00C66B25" w:rsidRPr="00AF01A0" w:rsidRDefault="00C66B25" w:rsidP="00AF01A0">
      <w:pPr>
        <w:pStyle w:val="leftright"/>
        <w:tabs>
          <w:tab w:val="left" w:pos="7797"/>
        </w:tabs>
        <w:spacing w:before="0" w:after="260" w:line="280" w:lineRule="exact"/>
        <w:ind w:left="2160" w:right="0" w:hanging="720"/>
        <w:jc w:val="both"/>
        <w:rPr>
          <w:rFonts w:ascii="Times New Roman" w:hAnsi="Times New Roman"/>
        </w:rPr>
      </w:pPr>
      <w:r w:rsidRPr="00AF01A0">
        <w:rPr>
          <w:rFonts w:ascii="Times New Roman" w:hAnsi="Times New Roman"/>
        </w:rPr>
        <w:t>(a)</w:t>
      </w:r>
      <w:r w:rsidRPr="00AF01A0">
        <w:rPr>
          <w:rFonts w:ascii="Times New Roman" w:hAnsi="Times New Roman"/>
        </w:rPr>
        <w:tab/>
        <w:t xml:space="preserve">a writ of certiorari issue to quash the decision of the Tribunal on 7 July 2021 not to revoke the cancellation of the appellant's </w:t>
      </w:r>
      <w:proofErr w:type="gramStart"/>
      <w:r w:rsidRPr="00AF01A0">
        <w:rPr>
          <w:rFonts w:ascii="Times New Roman" w:hAnsi="Times New Roman"/>
        </w:rPr>
        <w:t>visa;</w:t>
      </w:r>
      <w:proofErr w:type="gramEnd"/>
      <w:r w:rsidRPr="00AF01A0">
        <w:rPr>
          <w:rFonts w:ascii="Times New Roman" w:hAnsi="Times New Roman"/>
        </w:rPr>
        <w:t xml:space="preserve"> </w:t>
      </w:r>
    </w:p>
    <w:p w14:paraId="2476EECA" w14:textId="77777777" w:rsidR="00C66B25" w:rsidRPr="00AF01A0" w:rsidRDefault="00C66B25" w:rsidP="00AF01A0">
      <w:pPr>
        <w:pStyle w:val="leftright"/>
        <w:tabs>
          <w:tab w:val="left" w:pos="7797"/>
        </w:tabs>
        <w:spacing w:before="0" w:after="260" w:line="280" w:lineRule="exact"/>
        <w:ind w:left="2160" w:right="0" w:hanging="720"/>
        <w:jc w:val="both"/>
        <w:rPr>
          <w:rFonts w:ascii="Times New Roman" w:hAnsi="Times New Roman"/>
        </w:rPr>
      </w:pPr>
      <w:r w:rsidRPr="00AF01A0">
        <w:rPr>
          <w:rFonts w:ascii="Times New Roman" w:hAnsi="Times New Roman"/>
        </w:rPr>
        <w:t>(b)</w:t>
      </w:r>
      <w:r w:rsidRPr="00AF01A0">
        <w:rPr>
          <w:rFonts w:ascii="Times New Roman" w:hAnsi="Times New Roman"/>
        </w:rPr>
        <w:tab/>
        <w:t>a writ of mandamus issue directed to the Tribunal requiring it to determine the appellant's request for revocation according to law; and</w:t>
      </w:r>
    </w:p>
    <w:p w14:paraId="4FE7431C" w14:textId="77777777" w:rsidR="00221570" w:rsidRDefault="00C66B25" w:rsidP="00AF01A0">
      <w:pPr>
        <w:pStyle w:val="leftright"/>
        <w:tabs>
          <w:tab w:val="left" w:pos="7797"/>
        </w:tabs>
        <w:spacing w:before="0" w:after="260" w:line="280" w:lineRule="exact"/>
        <w:ind w:left="2160" w:right="0" w:hanging="720"/>
        <w:jc w:val="both"/>
        <w:rPr>
          <w:rFonts w:ascii="Times New Roman" w:hAnsi="Times New Roman"/>
        </w:rPr>
      </w:pPr>
      <w:r w:rsidRPr="00AF01A0">
        <w:rPr>
          <w:rFonts w:ascii="Times New Roman" w:hAnsi="Times New Roman"/>
        </w:rPr>
        <w:t>(c)</w:t>
      </w:r>
      <w:r w:rsidRPr="00AF01A0">
        <w:rPr>
          <w:rFonts w:ascii="Times New Roman" w:hAnsi="Times New Roman"/>
        </w:rPr>
        <w:tab/>
        <w:t>the Minister pay the appellant's costs.</w:t>
      </w:r>
    </w:p>
    <w:p w14:paraId="70BD5CFB" w14:textId="77777777" w:rsidR="00221570" w:rsidRDefault="00221570" w:rsidP="00AF01A0">
      <w:pPr>
        <w:pStyle w:val="leftright"/>
        <w:tabs>
          <w:tab w:val="left" w:pos="7797"/>
        </w:tabs>
        <w:spacing w:before="0" w:after="260" w:line="280" w:lineRule="exact"/>
        <w:ind w:left="2160" w:right="0" w:hanging="720"/>
        <w:jc w:val="both"/>
        <w:rPr>
          <w:rFonts w:ascii="Times New Roman" w:hAnsi="Times New Roman"/>
        </w:rPr>
        <w:sectPr w:rsidR="00221570" w:rsidSect="00E9402E">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3276CE8E" w14:textId="77777777" w:rsidR="00221570" w:rsidRPr="00473CF3" w:rsidRDefault="00221570" w:rsidP="00221570">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473CF3">
        <w:rPr>
          <w:rFonts w:ascii="Times New Roman" w:hAnsi="Times New Roman"/>
        </w:rPr>
        <w:lastRenderedPageBreak/>
        <w:t>BEECH-JONES J.   The background to this appeal is set out in the judgment of Gageler CJ, Gordon, Edelman, Steward, Gleeson and Jagot JJ. I agree with what their Honours state in relation to jurisdictional error and materiality.</w:t>
      </w:r>
      <w:r w:rsidRPr="00473CF3">
        <w:rPr>
          <w:rStyle w:val="FootnoteReference"/>
          <w:rFonts w:ascii="Times New Roman" w:hAnsi="Times New Roman"/>
          <w:sz w:val="24"/>
        </w:rPr>
        <w:footnoteReference w:id="43"/>
      </w:r>
      <w:r w:rsidRPr="00473CF3">
        <w:rPr>
          <w:rFonts w:ascii="Times New Roman" w:hAnsi="Times New Roman"/>
        </w:rPr>
        <w:t xml:space="preserve"> I write separately in relation to the application of the principles stated by their Honours to the circumstances of this case. </w:t>
      </w:r>
    </w:p>
    <w:p w14:paraId="12DEF7F4" w14:textId="77777777" w:rsidR="00221570" w:rsidRPr="00473CF3" w:rsidRDefault="00221570" w:rsidP="00221570">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tab/>
        <w:t>The first and second errors, or the first and second particulars of a single error, disclosed by the reasons of the Administrative Appeals Tribunal ("the Tribunal") for dismissing the appellant's application for review arise from its findings that each of para 8.1.1(1)(a) and (b) of the relevant Ministerial Direction ("Direction 90")</w:t>
      </w:r>
      <w:r w:rsidRPr="00473CF3">
        <w:rPr>
          <w:rStyle w:val="FootnoteReference"/>
          <w:rFonts w:ascii="Times New Roman" w:hAnsi="Times New Roman"/>
          <w:sz w:val="24"/>
        </w:rPr>
        <w:footnoteReference w:id="44"/>
      </w:r>
      <w:r w:rsidRPr="00473CF3">
        <w:rPr>
          <w:rFonts w:ascii="Times New Roman" w:hAnsi="Times New Roman"/>
        </w:rPr>
        <w:t xml:space="preserve"> made under s 499(1) of the </w:t>
      </w:r>
      <w:r w:rsidRPr="00473CF3">
        <w:rPr>
          <w:rFonts w:ascii="Times New Roman" w:hAnsi="Times New Roman"/>
          <w:i/>
          <w:iCs/>
        </w:rPr>
        <w:t>Migration Act 1958</w:t>
      </w:r>
      <w:r w:rsidRPr="00473CF3">
        <w:rPr>
          <w:rFonts w:ascii="Times New Roman" w:hAnsi="Times New Roman"/>
        </w:rPr>
        <w:t xml:space="preserve"> (</w:t>
      </w:r>
      <w:proofErr w:type="spellStart"/>
      <w:r w:rsidRPr="00473CF3">
        <w:rPr>
          <w:rFonts w:ascii="Times New Roman" w:hAnsi="Times New Roman"/>
        </w:rPr>
        <w:t>Cth</w:t>
      </w:r>
      <w:proofErr w:type="spellEnd"/>
      <w:r w:rsidRPr="00473CF3">
        <w:rPr>
          <w:rFonts w:ascii="Times New Roman" w:hAnsi="Times New Roman"/>
        </w:rPr>
        <w:t>) "militates", and in the case of para 8.1.1(1)(a) "militates strongly", "in favour of a finding that the [appellant's] criminal offending has been of a very serious nature". The crimes of which the appellant was convicted did not fall within any of the types of crimes listed as "very serious" in para 8.1.1(1)(a). They may have fallen within the types of crimes described as "serious" in para 8.1.1(1)(b), but even so, that sub</w:t>
      </w:r>
      <w:r w:rsidRPr="00473CF3">
        <w:rPr>
          <w:rFonts w:ascii="Times New Roman" w:hAnsi="Times New Roman"/>
        </w:rPr>
        <w:noBreakHyphen/>
        <w:t>paragraph concerns crimes that are viewed as "serious" and not as "very serious". Although the reasons of the Full Court of the Federal Court of Australia described these errors of the Tribunal in terms suggestive of a failure to give adequate reasons,</w:t>
      </w:r>
      <w:r w:rsidRPr="00473CF3">
        <w:rPr>
          <w:rStyle w:val="FootnoteReference"/>
          <w:rFonts w:ascii="Times New Roman" w:hAnsi="Times New Roman"/>
          <w:sz w:val="24"/>
        </w:rPr>
        <w:footnoteReference w:id="45"/>
      </w:r>
      <w:r w:rsidRPr="00473CF3">
        <w:rPr>
          <w:rFonts w:ascii="Times New Roman" w:hAnsi="Times New Roman"/>
        </w:rPr>
        <w:t xml:space="preserve"> the absence of such reasoning reinforces the inference that the Tribunal misconstrued Direction 90. In particular, the Tribunal misconstrued the types of crimes described in para 8.1.1(1)(a) and the characterisation of crimes described in para 8.1.1(1)(b). </w:t>
      </w:r>
    </w:p>
    <w:p w14:paraId="0EDB015E" w14:textId="77777777" w:rsidR="00221570" w:rsidRPr="00473CF3" w:rsidRDefault="00221570" w:rsidP="00221570">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tab/>
        <w:t xml:space="preserve">The third error on the part of the Tribunal, or the third particular of a single error, arises from its conclusion that para 8.1.1(1)(g) of Direction 90 was "directly relevant" and its finding that the appellant was formally warned or otherwise made aware in writing about the consequences of further offending. Paragraph 8.1.1(1)(g) is only relevant if the non-citizen reoffends after having been "formally warned, or ... otherwise ... made aware, in writing, about the consequences of further offending". The Full Court found that the Tribunal's findings were erroneous because there was no evidence to support the finding that </w:t>
      </w:r>
      <w:r w:rsidRPr="00473CF3">
        <w:rPr>
          <w:rFonts w:ascii="Times New Roman" w:hAnsi="Times New Roman"/>
        </w:rPr>
        <w:lastRenderedPageBreak/>
        <w:t>the appellant had been so warned.</w:t>
      </w:r>
      <w:r w:rsidRPr="00473CF3">
        <w:rPr>
          <w:rStyle w:val="FootnoteReference"/>
          <w:rFonts w:ascii="Times New Roman" w:hAnsi="Times New Roman"/>
          <w:sz w:val="24"/>
        </w:rPr>
        <w:footnoteReference w:id="46"/>
      </w:r>
      <w:r w:rsidRPr="00473CF3">
        <w:rPr>
          <w:rFonts w:ascii="Times New Roman" w:hAnsi="Times New Roman"/>
        </w:rPr>
        <w:t xml:space="preserve"> However, the relevant error is better characterised as a misconstruction of para 8.1.1(1)(g) in that the Tribunal proceeded on the basis that it was sufficient to engage that provision if the non</w:t>
      </w:r>
      <w:r w:rsidRPr="00473CF3">
        <w:rPr>
          <w:rFonts w:ascii="Times New Roman" w:hAnsi="Times New Roman"/>
        </w:rPr>
        <w:noBreakHyphen/>
        <w:t>citizen was aware of the consequences of reoffending on their migration status even without receiving a formal warning or advice in writing.</w:t>
      </w:r>
      <w:r w:rsidRPr="00473CF3">
        <w:rPr>
          <w:rStyle w:val="FootnoteReference"/>
          <w:rFonts w:ascii="Times New Roman" w:hAnsi="Times New Roman"/>
          <w:sz w:val="24"/>
        </w:rPr>
        <w:footnoteReference w:id="47"/>
      </w:r>
      <w:r w:rsidRPr="00473CF3">
        <w:rPr>
          <w:rFonts w:ascii="Times New Roman" w:hAnsi="Times New Roman"/>
        </w:rPr>
        <w:t xml:space="preserve"> </w:t>
      </w:r>
    </w:p>
    <w:p w14:paraId="02D02FB2" w14:textId="77777777" w:rsidR="00221570" w:rsidRPr="00473CF3" w:rsidRDefault="00221570" w:rsidP="00221570">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tab/>
        <w:t xml:space="preserve">Each of these three errors, or particulars of a single error, involved a misconstruction of Direction 90. This means that even though the Tribunal purported to comply with Direction 90 as required by s 499(2A) of the </w:t>
      </w:r>
      <w:r w:rsidRPr="00473CF3">
        <w:rPr>
          <w:rFonts w:ascii="Times New Roman" w:hAnsi="Times New Roman"/>
          <w:i/>
          <w:iCs/>
        </w:rPr>
        <w:t>Migration Act</w:t>
      </w:r>
      <w:r w:rsidRPr="00473CF3">
        <w:rPr>
          <w:rFonts w:ascii="Times New Roman" w:hAnsi="Times New Roman"/>
        </w:rPr>
        <w:t>, it failed to do so. This analysis supports the consensus in this Court, noted in the judgment of Gageler CJ, Gordon, Edelman, Steward, Gleeson and Jagot JJ, that there was only one error on the part of the Tribunal and not three.</w:t>
      </w:r>
      <w:r w:rsidRPr="00473CF3">
        <w:rPr>
          <w:rStyle w:val="FootnoteReference"/>
          <w:rFonts w:ascii="Times New Roman" w:hAnsi="Times New Roman"/>
          <w:sz w:val="24"/>
        </w:rPr>
        <w:footnoteReference w:id="48"/>
      </w:r>
      <w:r w:rsidRPr="00473CF3">
        <w:rPr>
          <w:rFonts w:ascii="Times New Roman" w:hAnsi="Times New Roman"/>
        </w:rPr>
        <w:t xml:space="preserve"> However, even if there were multiple errors or "breach[es]" of the kind described by their Honours,</w:t>
      </w:r>
      <w:r w:rsidRPr="00473CF3">
        <w:rPr>
          <w:rStyle w:val="FootnoteReference"/>
          <w:rFonts w:ascii="Times New Roman" w:hAnsi="Times New Roman"/>
          <w:sz w:val="24"/>
        </w:rPr>
        <w:footnoteReference w:id="49"/>
      </w:r>
      <w:r w:rsidRPr="00473CF3">
        <w:rPr>
          <w:rFonts w:ascii="Times New Roman" w:hAnsi="Times New Roman"/>
        </w:rPr>
        <w:t xml:space="preserve"> an assessment of materiality is not to be undertaken by reference to each such breach separately without regard to the others. The object of the inquiry is to determine whether the </w:t>
      </w:r>
      <w:r w:rsidRPr="00473CF3">
        <w:rPr>
          <w:rFonts w:ascii="Times New Roman" w:hAnsi="Times New Roman"/>
          <w:i/>
          <w:iCs/>
        </w:rPr>
        <w:t>decision</w:t>
      </w:r>
      <w:r w:rsidRPr="00473CF3">
        <w:rPr>
          <w:rFonts w:ascii="Times New Roman" w:hAnsi="Times New Roman"/>
        </w:rPr>
        <w:t xml:space="preserve"> was one involving jurisdictional error, </w:t>
      </w:r>
      <w:proofErr w:type="spellStart"/>
      <w:r w:rsidRPr="00473CF3">
        <w:rPr>
          <w:rFonts w:ascii="Times New Roman" w:hAnsi="Times New Roman"/>
        </w:rPr>
        <w:t>ie</w:t>
      </w:r>
      <w:proofErr w:type="spellEnd"/>
      <w:r w:rsidRPr="00473CF3">
        <w:rPr>
          <w:rFonts w:ascii="Times New Roman" w:hAnsi="Times New Roman"/>
        </w:rPr>
        <w:t xml:space="preserve">, was there "a failure to comply with one or more statutory </w:t>
      </w:r>
      <w:r w:rsidRPr="00473CF3">
        <w:rPr>
          <w:rFonts w:ascii="Times New Roman" w:hAnsi="Times New Roman"/>
          <w:i/>
          <w:iCs/>
        </w:rPr>
        <w:t>preconditions</w:t>
      </w:r>
      <w:r w:rsidRPr="00473CF3">
        <w:rPr>
          <w:rFonts w:ascii="Times New Roman" w:hAnsi="Times New Roman"/>
        </w:rPr>
        <w:t xml:space="preserve"> or </w:t>
      </w:r>
      <w:r w:rsidRPr="00473CF3">
        <w:rPr>
          <w:rFonts w:ascii="Times New Roman" w:hAnsi="Times New Roman"/>
          <w:i/>
          <w:iCs/>
        </w:rPr>
        <w:t>conditions</w:t>
      </w:r>
      <w:r w:rsidRPr="00473CF3">
        <w:rPr>
          <w:rFonts w:ascii="Times New Roman" w:hAnsi="Times New Roman"/>
        </w:rPr>
        <w:t xml:space="preserve"> to [such] an extent [that it] results in a decision which has been made in fact lacking [the] characteristics necessary for it to be given force and effect by the statute pursuant to which the decision-maker purported to make it" (emphasis added)?</w:t>
      </w:r>
      <w:r w:rsidRPr="00473CF3">
        <w:rPr>
          <w:rStyle w:val="FootnoteReference"/>
          <w:rFonts w:ascii="Times New Roman" w:hAnsi="Times New Roman"/>
          <w:sz w:val="24"/>
        </w:rPr>
        <w:footnoteReference w:id="50"/>
      </w:r>
      <w:r w:rsidRPr="00473CF3">
        <w:rPr>
          <w:rFonts w:ascii="Times New Roman" w:hAnsi="Times New Roman"/>
        </w:rPr>
        <w:t xml:space="preserve"> In assessing materiality, multiple failures to comply with a precondition or condition, or failures to comply with different preconditions or conditions, are not to be considered without regard to each other.</w:t>
      </w:r>
    </w:p>
    <w:p w14:paraId="07C26A27" w14:textId="77777777" w:rsidR="00221570" w:rsidRPr="00473CF3" w:rsidRDefault="00221570" w:rsidP="00221570">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tab/>
        <w:t>The error on the part of the Tribunal in failing to comply with Direction 90 was not an error that was jurisdictional irrespective of any effect it might have had on the Tribunal's decision to affirm the delegate's decision, nor was its potential effect on the Tribunal's decision inherent in its nature.</w:t>
      </w:r>
      <w:r w:rsidRPr="00473CF3">
        <w:rPr>
          <w:rStyle w:val="FootnoteReference"/>
          <w:rFonts w:ascii="Times New Roman" w:hAnsi="Times New Roman"/>
          <w:sz w:val="24"/>
        </w:rPr>
        <w:footnoteReference w:id="51"/>
      </w:r>
      <w:r w:rsidRPr="00473CF3">
        <w:rPr>
          <w:rFonts w:ascii="Times New Roman" w:hAnsi="Times New Roman"/>
        </w:rPr>
        <w:t xml:space="preserve"> Thus, for the error to be jurisdictional, there had to be a "realistic possibility" that the decision that was </w:t>
      </w:r>
      <w:r w:rsidRPr="00473CF3">
        <w:rPr>
          <w:rFonts w:ascii="Times New Roman" w:hAnsi="Times New Roman"/>
        </w:rPr>
        <w:lastRenderedPageBreak/>
        <w:t>made in fact could have been different if the error had not occurred.</w:t>
      </w:r>
      <w:r w:rsidRPr="00473CF3">
        <w:rPr>
          <w:rStyle w:val="FootnoteReference"/>
          <w:rFonts w:ascii="Times New Roman" w:hAnsi="Times New Roman"/>
          <w:sz w:val="24"/>
        </w:rPr>
        <w:footnoteReference w:id="52"/>
      </w:r>
      <w:r w:rsidRPr="00473CF3">
        <w:rPr>
          <w:rFonts w:ascii="Times New Roman" w:hAnsi="Times New Roman"/>
        </w:rPr>
        <w:t xml:space="preserve"> Given the nature of the error, the burden of proof as to how the decision was made was discharged by the tender of the Tribunal's reasons.</w:t>
      </w:r>
      <w:r w:rsidRPr="00473CF3">
        <w:rPr>
          <w:rStyle w:val="FootnoteReference"/>
          <w:rFonts w:ascii="Times New Roman" w:hAnsi="Times New Roman"/>
          <w:sz w:val="24"/>
        </w:rPr>
        <w:footnoteReference w:id="53"/>
      </w:r>
      <w:r w:rsidRPr="00473CF3">
        <w:rPr>
          <w:rFonts w:ascii="Times New Roman" w:hAnsi="Times New Roman"/>
        </w:rPr>
        <w:t xml:space="preserve"> </w:t>
      </w:r>
    </w:p>
    <w:p w14:paraId="486F0D45" w14:textId="77777777" w:rsidR="00221570" w:rsidRPr="00473CF3" w:rsidRDefault="00221570" w:rsidP="00221570">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tab/>
        <w:t>Was the decision made by the Tribunal one which could "realistically" have been different had the Tribunal not misconstrued Direction 90?</w:t>
      </w:r>
      <w:r w:rsidRPr="00473CF3">
        <w:rPr>
          <w:rStyle w:val="FootnoteReference"/>
          <w:rFonts w:ascii="Times New Roman" w:hAnsi="Times New Roman"/>
          <w:sz w:val="24"/>
        </w:rPr>
        <w:footnoteReference w:id="54"/>
      </w:r>
      <w:r w:rsidRPr="00473CF3">
        <w:rPr>
          <w:rFonts w:ascii="Times New Roman" w:hAnsi="Times New Roman"/>
        </w:rPr>
        <w:t xml:space="preserve"> </w:t>
      </w:r>
    </w:p>
    <w:p w14:paraId="675CFC40" w14:textId="77777777" w:rsidR="00221570" w:rsidRPr="00473CF3" w:rsidRDefault="00221570" w:rsidP="00221570">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tab/>
        <w:t>Direction 90 provided the relevant framework for the decision. It specifies four primary considerations for a decision</w:t>
      </w:r>
      <w:r w:rsidRPr="00473CF3">
        <w:rPr>
          <w:rFonts w:ascii="Times New Roman" w:hAnsi="Times New Roman"/>
        </w:rPr>
        <w:noBreakHyphen/>
        <w:t>maker to consider, two of which are presently relevant, namely, the "protection of the Australian community from criminal or other serious conduct" and the "expectations of the Australian community".</w:t>
      </w:r>
      <w:r w:rsidRPr="00473CF3">
        <w:rPr>
          <w:rStyle w:val="FootnoteReference"/>
          <w:rFonts w:ascii="Times New Roman" w:hAnsi="Times New Roman"/>
          <w:sz w:val="24"/>
        </w:rPr>
        <w:footnoteReference w:id="55"/>
      </w:r>
      <w:r w:rsidRPr="00473CF3">
        <w:rPr>
          <w:rFonts w:ascii="Times New Roman" w:hAnsi="Times New Roman"/>
        </w:rPr>
        <w:t xml:space="preserve"> In addressing the protection of the Australian community, Direction 90 specifies that the decision-maker should, inter alia, give consideration to "the nature and seriousness of the non</w:t>
      </w:r>
      <w:r w:rsidRPr="00473CF3">
        <w:rPr>
          <w:rFonts w:ascii="Times New Roman" w:hAnsi="Times New Roman"/>
        </w:rPr>
        <w:noBreakHyphen/>
        <w:t>citizen's conduct to date" and "the risk to the Australian community, should the non-citizen commit further offences or engage in other serious conduct".</w:t>
      </w:r>
      <w:r w:rsidRPr="00473CF3">
        <w:rPr>
          <w:rStyle w:val="FootnoteReference"/>
          <w:rFonts w:ascii="Times New Roman" w:hAnsi="Times New Roman"/>
          <w:sz w:val="24"/>
        </w:rPr>
        <w:footnoteReference w:id="56"/>
      </w:r>
      <w:r w:rsidRPr="00473CF3">
        <w:rPr>
          <w:rFonts w:ascii="Times New Roman" w:hAnsi="Times New Roman"/>
        </w:rPr>
        <w:t xml:space="preserve"> In determining the nature and seriousness of the non</w:t>
      </w:r>
      <w:r>
        <w:rPr>
          <w:rFonts w:ascii="Times New Roman" w:hAnsi="Times New Roman"/>
        </w:rPr>
        <w:noBreakHyphen/>
      </w:r>
      <w:r w:rsidRPr="00473CF3">
        <w:rPr>
          <w:rFonts w:ascii="Times New Roman" w:hAnsi="Times New Roman"/>
        </w:rPr>
        <w:t>citizen's criminal offending, Direction 90 specifies a number of matters the decision-maker must have regard to, including those noted in para 8.1.1(1)(a), (b) and (g), the effect of which has already been described. Although</w:t>
      </w:r>
      <w:r>
        <w:rPr>
          <w:rFonts w:ascii="Times New Roman" w:hAnsi="Times New Roman"/>
        </w:rPr>
        <w:t xml:space="preserve"> </w:t>
      </w:r>
      <w:r w:rsidRPr="00473CF3">
        <w:rPr>
          <w:rFonts w:ascii="Times New Roman" w:hAnsi="Times New Roman"/>
        </w:rPr>
        <w:t>sub-paras</w:t>
      </w:r>
      <w:r>
        <w:rPr>
          <w:rFonts w:ascii="Times New Roman" w:hAnsi="Times New Roman"/>
        </w:rPr>
        <w:t xml:space="preserve"> </w:t>
      </w:r>
      <w:r w:rsidRPr="00473CF3">
        <w:rPr>
          <w:rFonts w:ascii="Times New Roman" w:hAnsi="Times New Roman"/>
        </w:rPr>
        <w:t>(a) and</w:t>
      </w:r>
      <w:r>
        <w:rPr>
          <w:rFonts w:ascii="Times New Roman" w:hAnsi="Times New Roman"/>
        </w:rPr>
        <w:t xml:space="preserve"> </w:t>
      </w:r>
      <w:r w:rsidRPr="00473CF3">
        <w:rPr>
          <w:rFonts w:ascii="Times New Roman" w:hAnsi="Times New Roman"/>
        </w:rPr>
        <w:t>(b) specify types of crime and conduct that are viewed as "very serious" and "serious" respectively, an assessment of the nature and seriousness of a non</w:t>
      </w:r>
      <w:r w:rsidRPr="00473CF3">
        <w:rPr>
          <w:rFonts w:ascii="Times New Roman" w:hAnsi="Times New Roman"/>
        </w:rPr>
        <w:noBreakHyphen/>
        <w:t xml:space="preserve">citizen's conduct does not yield discrete assessments. There is a spectrum of seriousness.    </w:t>
      </w:r>
    </w:p>
    <w:p w14:paraId="75461F41" w14:textId="77777777" w:rsidR="00221570" w:rsidRPr="00473CF3" w:rsidRDefault="00221570" w:rsidP="00221570">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tab/>
        <w:t>Further, those parts of Direction 90 that concern the assessment of the risk posed by the non-citizen are informed by the assessment of the seriousness of their past conduct. Thus, Direction 90 states that "[s]</w:t>
      </w:r>
      <w:proofErr w:type="spellStart"/>
      <w:r w:rsidRPr="00473CF3">
        <w:rPr>
          <w:rFonts w:ascii="Times New Roman" w:hAnsi="Times New Roman"/>
        </w:rPr>
        <w:t>ome</w:t>
      </w:r>
      <w:proofErr w:type="spellEnd"/>
      <w:r w:rsidRPr="00473CF3">
        <w:rPr>
          <w:rFonts w:ascii="Times New Roman" w:hAnsi="Times New Roman"/>
        </w:rPr>
        <w:t xml:space="preserve"> conduct and the harm that would be caused, if it were to be repeated, is so serious that any risk that it may be repeated may be unacceptable".</w:t>
      </w:r>
      <w:r w:rsidRPr="00473CF3">
        <w:rPr>
          <w:rStyle w:val="FootnoteReference"/>
          <w:rFonts w:ascii="Times New Roman" w:hAnsi="Times New Roman"/>
          <w:sz w:val="24"/>
        </w:rPr>
        <w:footnoteReference w:id="57"/>
      </w:r>
      <w:r w:rsidRPr="00473CF3">
        <w:rPr>
          <w:rFonts w:ascii="Times New Roman" w:hAnsi="Times New Roman"/>
        </w:rPr>
        <w:t xml:space="preserve"> Similarly, that part of Direction 90 which addresses the expectations of the Australian community is also informed by a consideration of the seriousness of the non-citizen's conduct.</w:t>
      </w:r>
      <w:r w:rsidRPr="00473CF3">
        <w:rPr>
          <w:rStyle w:val="FootnoteReference"/>
          <w:rFonts w:ascii="Times New Roman" w:hAnsi="Times New Roman"/>
          <w:sz w:val="24"/>
        </w:rPr>
        <w:footnoteReference w:id="58"/>
      </w:r>
    </w:p>
    <w:p w14:paraId="1E29F20F" w14:textId="77777777" w:rsidR="00221570" w:rsidRPr="00473CF3" w:rsidRDefault="00221570" w:rsidP="00221570">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lastRenderedPageBreak/>
        <w:tab/>
        <w:t>Consistent with these aspects of Direction 90, the Tribunal found that the appellant's offending was "very serious". Even though it might have been open to the Tribunal to reach that conclusion had it not misconstrued Direction 90, that finding was clearly affected by the Tribunal's misconstruction. Similarly, in assessing the risk posed by the appellant should he remain in Australia, the Tribunal found that there was a "convincing" likelihood that the appellant would engage in "further very serious offending". This finding was also affected by the Tribunal's misconstruction of Direction 90. In addressing the expectations of the Australian community, the Tribunal referred to an earlier part of Direction 90 that refers to, inter alia, the "nature of the non-citizen's conduct".</w:t>
      </w:r>
      <w:r w:rsidRPr="00473CF3">
        <w:rPr>
          <w:rStyle w:val="FootnoteReference"/>
          <w:rFonts w:ascii="Times New Roman" w:hAnsi="Times New Roman"/>
          <w:sz w:val="24"/>
        </w:rPr>
        <w:footnoteReference w:id="59"/>
      </w:r>
      <w:r w:rsidRPr="00473CF3">
        <w:rPr>
          <w:rFonts w:ascii="Times New Roman" w:hAnsi="Times New Roman"/>
        </w:rPr>
        <w:t xml:space="preserve"> Although it is less clear, the Tribunal's assessment of community expectations was also informed by its assessment of the seriousness of the appellant's offending, and thus was affected by its misconstruction of Direction 90.</w:t>
      </w:r>
    </w:p>
    <w:p w14:paraId="4A37DD39" w14:textId="77777777" w:rsidR="00221570" w:rsidRPr="00473CF3" w:rsidRDefault="00221570" w:rsidP="00221570">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tab/>
        <w:t xml:space="preserve">In affirming the delegate's decision not to revoke the cancellation of the appellant's visa, the Tribunal found that both relevant primary considerations noted above weighed strongly in favour of that outcome. The Tribunal identified other considerations that weighed in favour of revoking the cancellation of the visa, principally the appellant's family ties to Australia, but concluded that the "totality of the weight attributable" to those considerations did not "outweigh the strong, combined and determinative weight" that was attributed to the two primary considerations. </w:t>
      </w:r>
    </w:p>
    <w:p w14:paraId="5C2EC140" w14:textId="77777777" w:rsidR="00221570" w:rsidRPr="00473CF3" w:rsidRDefault="00221570" w:rsidP="00221570">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tab/>
        <w:t xml:space="preserve">The first respondent contended that, at its highest, the Tribunal's error only affected its assessment that the appellant's crimes were "very serious" and that, absent the error, it would have assessed his crimes as "serious", and the same outcome would have ensued. However, as explained, the structure of Direction 90, as exemplified by the Tribunal's decision, is such that an assessment of the seriousness of the non-citizen's conduct is an evaluative exercise which informs the assessment of the relative weight to be attached to the two primary considerations that were relevant to this case. </w:t>
      </w:r>
    </w:p>
    <w:p w14:paraId="08B8A386" w14:textId="77777777" w:rsidR="00221570" w:rsidRPr="00473CF3" w:rsidRDefault="00221570" w:rsidP="00221570">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tab/>
        <w:t>In this case, a court could only be affirmatively satisfied that the outcome would inevitably have been the same had the error not been made if the court assumed the function of the Tribunal and assessed for itself the relative seriousness of the appellant's crimes and the weight to be attached to the primary considerations relating to the relative seriousness of those crimes, and then, in light of those assessments, weighed the competing considerations against each other. Such an approach is impermissible.</w:t>
      </w:r>
      <w:r w:rsidRPr="00473CF3">
        <w:rPr>
          <w:rStyle w:val="FootnoteReference"/>
          <w:rFonts w:ascii="Times New Roman" w:hAnsi="Times New Roman"/>
          <w:sz w:val="24"/>
        </w:rPr>
        <w:footnoteReference w:id="60"/>
      </w:r>
      <w:r w:rsidRPr="00473CF3">
        <w:rPr>
          <w:rFonts w:ascii="Times New Roman" w:hAnsi="Times New Roman"/>
        </w:rPr>
        <w:t xml:space="preserve"> The evaluative nature of the Tribunal's decision was such that the failure to comply with so much of Direction 90 that related to the assessment of the nature and seriousness of the appellant's crimes </w:t>
      </w:r>
      <w:r w:rsidRPr="00473CF3">
        <w:rPr>
          <w:rFonts w:ascii="Times New Roman" w:hAnsi="Times New Roman"/>
        </w:rPr>
        <w:lastRenderedPageBreak/>
        <w:t>meant that there was a "realistic possibility" that the outcome of the decision would have been different had the error in construing and applying Direction 90 not been made.</w:t>
      </w:r>
      <w:r w:rsidRPr="00473CF3">
        <w:rPr>
          <w:rStyle w:val="FootnoteReference"/>
          <w:rFonts w:ascii="Times New Roman" w:hAnsi="Times New Roman"/>
          <w:sz w:val="24"/>
        </w:rPr>
        <w:footnoteReference w:id="61"/>
      </w:r>
      <w:r w:rsidRPr="00473CF3">
        <w:rPr>
          <w:rFonts w:ascii="Times New Roman" w:hAnsi="Times New Roman"/>
        </w:rPr>
        <w:t xml:space="preserve"> The Tribunal's error was jurisdictional. The Tribunal's decision was made "outside jurisdiction".</w:t>
      </w:r>
      <w:r w:rsidRPr="00473CF3">
        <w:rPr>
          <w:rStyle w:val="FootnoteReference"/>
          <w:rFonts w:ascii="Times New Roman" w:hAnsi="Times New Roman"/>
          <w:sz w:val="24"/>
        </w:rPr>
        <w:footnoteReference w:id="62"/>
      </w:r>
      <w:r w:rsidRPr="00473CF3">
        <w:rPr>
          <w:rFonts w:ascii="Times New Roman" w:hAnsi="Times New Roman"/>
        </w:rPr>
        <w:t xml:space="preserve"> </w:t>
      </w:r>
    </w:p>
    <w:p w14:paraId="1834A2AF" w14:textId="77777777" w:rsidR="006B5025" w:rsidRDefault="00221570" w:rsidP="006B5025">
      <w:pPr>
        <w:pStyle w:val="FixListStyle"/>
        <w:numPr>
          <w:ilvl w:val="0"/>
          <w:numId w:val="18"/>
        </w:numPr>
        <w:spacing w:after="260" w:line="280" w:lineRule="exact"/>
        <w:ind w:left="0" w:right="0" w:hanging="720"/>
        <w:jc w:val="both"/>
        <w:rPr>
          <w:rFonts w:ascii="Times New Roman" w:hAnsi="Times New Roman"/>
        </w:rPr>
      </w:pPr>
      <w:r w:rsidRPr="00473CF3">
        <w:rPr>
          <w:rFonts w:ascii="Times New Roman" w:hAnsi="Times New Roman"/>
        </w:rPr>
        <w:tab/>
        <w:t xml:space="preserve">The orders proposed by Gageler CJ, Gordon, Edelman, Steward, Gleeson and Jagot JJ should be made.  </w:t>
      </w:r>
    </w:p>
    <w:p w14:paraId="0B2E0EBE" w14:textId="77777777" w:rsidR="00786019" w:rsidRDefault="00786019" w:rsidP="006B5025">
      <w:pPr>
        <w:pStyle w:val="FixListStyle"/>
        <w:numPr>
          <w:ilvl w:val="0"/>
          <w:numId w:val="18"/>
        </w:numPr>
        <w:spacing w:after="260" w:line="280" w:lineRule="exact"/>
        <w:ind w:left="0" w:right="0" w:hanging="720"/>
        <w:jc w:val="both"/>
        <w:rPr>
          <w:rFonts w:ascii="Times New Roman" w:hAnsi="Times New Roman"/>
        </w:rPr>
        <w:sectPr w:rsidR="00786019" w:rsidSect="006B5025">
          <w:headerReference w:type="even" r:id="rId23"/>
          <w:headerReference w:type="default" r:id="rId24"/>
          <w:headerReference w:type="first" r:id="rId25"/>
          <w:pgSz w:w="11907" w:h="16839" w:code="9"/>
          <w:pgMar w:top="1440" w:right="1701" w:bottom="1984" w:left="1701" w:header="720" w:footer="720" w:gutter="0"/>
          <w:cols w:space="720"/>
          <w:docGrid w:linePitch="354"/>
        </w:sectPr>
      </w:pPr>
    </w:p>
    <w:p w14:paraId="3080DFF6" w14:textId="2C158F68" w:rsidR="00A73989" w:rsidRPr="006B5025" w:rsidRDefault="00A73989" w:rsidP="006B5025">
      <w:pPr>
        <w:pStyle w:val="NormalBody"/>
      </w:pPr>
    </w:p>
    <w:sectPr w:rsidR="00A73989" w:rsidRPr="006B5025" w:rsidSect="006B5025">
      <w:headerReference w:type="default" r:id="rId26"/>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C67B" w14:textId="77777777" w:rsidR="004327EF" w:rsidRDefault="004327EF">
      <w:pPr>
        <w:spacing w:line="240" w:lineRule="auto"/>
      </w:pPr>
      <w:r>
        <w:separator/>
      </w:r>
    </w:p>
  </w:endnote>
  <w:endnote w:type="continuationSeparator" w:id="0">
    <w:p w14:paraId="6ECBF873" w14:textId="77777777" w:rsidR="004327EF" w:rsidRDefault="00432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EE50" w14:textId="77777777" w:rsidR="00E9402E" w:rsidRDefault="00E9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CF86" w14:textId="77777777" w:rsidR="00E9402E" w:rsidRDefault="00E94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3044" w14:textId="77777777" w:rsidR="00E9402E" w:rsidRDefault="00E94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6103" w14:textId="77777777" w:rsidR="00E9402E" w:rsidRDefault="00E940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8464" w14:textId="77777777" w:rsidR="00E9402E" w:rsidRDefault="00E940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602E" w14:textId="77777777" w:rsidR="00E9402E" w:rsidRDefault="00E9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17F5" w14:textId="77777777" w:rsidR="004327EF" w:rsidRPr="00AF01A0" w:rsidRDefault="004327EF" w:rsidP="00AF01A0">
      <w:pPr>
        <w:pStyle w:val="Footer"/>
        <w:spacing w:before="120" w:after="20"/>
        <w:ind w:right="0"/>
        <w:rPr>
          <w:rFonts w:ascii="Times New Roman" w:hAnsi="Times New Roman"/>
        </w:rPr>
      </w:pPr>
      <w:r>
        <w:continuationSeparator/>
      </w:r>
    </w:p>
  </w:footnote>
  <w:footnote w:type="continuationSeparator" w:id="0">
    <w:p w14:paraId="3278FF0C" w14:textId="77777777" w:rsidR="004327EF" w:rsidRPr="00AF01A0" w:rsidRDefault="004327EF" w:rsidP="00AF01A0">
      <w:pPr>
        <w:pStyle w:val="Footer"/>
        <w:spacing w:before="120" w:after="20"/>
        <w:ind w:right="0"/>
        <w:rPr>
          <w:rFonts w:ascii="Times New Roman" w:hAnsi="Times New Roman"/>
        </w:rPr>
      </w:pPr>
      <w:r w:rsidRPr="00AF01A0">
        <w:rPr>
          <w:rFonts w:ascii="Times New Roman" w:hAnsi="Times New Roman"/>
        </w:rPr>
        <w:continuationSeparator/>
      </w:r>
    </w:p>
  </w:footnote>
  <w:footnote w:type="continuationNotice" w:id="1">
    <w:p w14:paraId="53760DE1" w14:textId="77777777" w:rsidR="004327EF" w:rsidRPr="006B5025" w:rsidRDefault="004327EF">
      <w:pPr>
        <w:jc w:val="right"/>
        <w:rPr>
          <w:rFonts w:ascii="Times New Roman" w:hAnsi="Times New Roman"/>
          <w:sz w:val="24"/>
        </w:rPr>
      </w:pPr>
    </w:p>
  </w:footnote>
  <w:footnote w:id="2">
    <w:p w14:paraId="323B791A" w14:textId="77777777" w:rsidR="00C66B25" w:rsidRPr="00AF01A0" w:rsidRDefault="00C66B25" w:rsidP="00AF01A0">
      <w:pPr>
        <w:pStyle w:val="FootnoteText"/>
        <w:spacing w:line="280" w:lineRule="exact"/>
        <w:ind w:right="0"/>
        <w:jc w:val="both"/>
        <w:rPr>
          <w:rFonts w:ascii="Times New Roman" w:hAnsi="Times New Roman"/>
          <w:sz w:val="24"/>
          <w:lang w:val="en-US"/>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Oakey Coal Action Alliance Inc v New Acland Coal Pty Ltd </w:t>
      </w:r>
      <w:r w:rsidRPr="00AF01A0">
        <w:rPr>
          <w:rFonts w:ascii="Times New Roman" w:hAnsi="Times New Roman"/>
          <w:sz w:val="24"/>
        </w:rPr>
        <w:t xml:space="preserve">(2021) 272 CLR 33 at 64 [94]; </w:t>
      </w:r>
      <w:r w:rsidRPr="00AF01A0">
        <w:rPr>
          <w:rFonts w:ascii="Times New Roman" w:hAnsi="Times New Roman"/>
          <w:i/>
          <w:iCs/>
          <w:sz w:val="24"/>
        </w:rPr>
        <w:t>Minister for Immigration, Citizenship, Migrant Services and Multicultural Affairs v Moorcroft</w:t>
      </w:r>
      <w:r w:rsidRPr="00AF01A0">
        <w:rPr>
          <w:rFonts w:ascii="Times New Roman" w:hAnsi="Times New Roman"/>
          <w:sz w:val="24"/>
        </w:rPr>
        <w:t xml:space="preserve"> (2021) 273 CLR 21 at 37-38 [20]. </w:t>
      </w:r>
    </w:p>
  </w:footnote>
  <w:footnote w:id="3">
    <w:p w14:paraId="2EA1AB85" w14:textId="77777777" w:rsidR="00C66B25" w:rsidRPr="00AF01A0" w:rsidRDefault="00C66B25" w:rsidP="00AF01A0">
      <w:pPr>
        <w:pStyle w:val="FootnoteText"/>
        <w:spacing w:line="280" w:lineRule="exact"/>
        <w:ind w:right="0"/>
        <w:jc w:val="both"/>
        <w:rPr>
          <w:rFonts w:ascii="Times New Roman" w:hAnsi="Times New Roman"/>
          <w:sz w:val="24"/>
          <w:lang w:val="en-US"/>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lang w:val="en-US"/>
        </w:rPr>
        <w:tab/>
      </w:r>
      <w:r w:rsidRPr="00AF01A0">
        <w:rPr>
          <w:rFonts w:ascii="Times New Roman" w:hAnsi="Times New Roman"/>
          <w:i/>
          <w:iCs/>
          <w:sz w:val="24"/>
          <w:lang w:val="en-US"/>
        </w:rPr>
        <w:t>Minister for Immigration and Multicultural Affairs v Bhardwaj</w:t>
      </w:r>
      <w:r w:rsidRPr="00AF01A0">
        <w:rPr>
          <w:rFonts w:ascii="Times New Roman" w:hAnsi="Times New Roman"/>
          <w:sz w:val="24"/>
          <w:lang w:val="en-US"/>
        </w:rPr>
        <w:t xml:space="preserve"> (2002) 209 CLR </w:t>
      </w:r>
      <w:r w:rsidRPr="00AF01A0">
        <w:rPr>
          <w:rFonts w:ascii="Times New Roman" w:hAnsi="Times New Roman"/>
          <w:sz w:val="24"/>
        </w:rPr>
        <w:t>597</w:t>
      </w:r>
      <w:r w:rsidRPr="00AF01A0">
        <w:rPr>
          <w:rFonts w:ascii="Times New Roman" w:hAnsi="Times New Roman"/>
          <w:sz w:val="24"/>
          <w:lang w:val="en-US"/>
        </w:rPr>
        <w:t xml:space="preserve"> at 616 [53].</w:t>
      </w:r>
    </w:p>
  </w:footnote>
  <w:footnote w:id="4">
    <w:p w14:paraId="0B3DD553"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sz w:val="24"/>
        </w:rPr>
        <w:t xml:space="preserve">Hossain v Minister for Immigration and Border Protection </w:t>
      </w:r>
      <w:r w:rsidRPr="00AF01A0">
        <w:rPr>
          <w:rFonts w:ascii="Times New Roman" w:hAnsi="Times New Roman"/>
          <w:sz w:val="24"/>
        </w:rPr>
        <w:t>(2018) 264 CLR 123 at 133 [24], 143 [62].</w:t>
      </w:r>
    </w:p>
  </w:footnote>
  <w:footnote w:id="5">
    <w:p w14:paraId="5E2D99FB" w14:textId="101AF375"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sz w:val="24"/>
        </w:rPr>
        <w:t>Kirk v Industrial Court (NSW)</w:t>
      </w:r>
      <w:r w:rsidRPr="00AF01A0" w:rsidDel="00B93002">
        <w:rPr>
          <w:rFonts w:ascii="Times New Roman" w:hAnsi="Times New Roman"/>
          <w:i/>
          <w:sz w:val="24"/>
        </w:rPr>
        <w:t xml:space="preserve"> </w:t>
      </w:r>
      <w:r w:rsidRPr="00AF01A0">
        <w:rPr>
          <w:rFonts w:ascii="Times New Roman" w:hAnsi="Times New Roman"/>
          <w:sz w:val="24"/>
        </w:rPr>
        <w:t xml:space="preserve">(2010) 239 CLR 531 at 573 [71], 574 [73]; </w:t>
      </w:r>
      <w:r w:rsidRPr="00AF01A0">
        <w:rPr>
          <w:rFonts w:ascii="Times New Roman" w:hAnsi="Times New Roman"/>
          <w:i/>
          <w:sz w:val="24"/>
        </w:rPr>
        <w:t>Minister</w:t>
      </w:r>
      <w:r w:rsidR="00057C88">
        <w:rPr>
          <w:rFonts w:ascii="Times New Roman" w:hAnsi="Times New Roman"/>
          <w:i/>
          <w:sz w:val="24"/>
        </w:rPr>
        <w:t> </w:t>
      </w:r>
      <w:r w:rsidRPr="00AF01A0">
        <w:rPr>
          <w:rFonts w:ascii="Times New Roman" w:hAnsi="Times New Roman"/>
          <w:i/>
          <w:sz w:val="24"/>
        </w:rPr>
        <w:t xml:space="preserve">for Immigration and Border Protection v SZMTA </w:t>
      </w:r>
      <w:r w:rsidRPr="00AF01A0">
        <w:rPr>
          <w:rFonts w:ascii="Times New Roman" w:hAnsi="Times New Roman"/>
          <w:sz w:val="24"/>
        </w:rPr>
        <w:t xml:space="preserve">(2019) 264 CLR 421 at 455 [81], citing </w:t>
      </w:r>
      <w:r w:rsidRPr="00AF01A0">
        <w:rPr>
          <w:rFonts w:ascii="Times New Roman" w:hAnsi="Times New Roman"/>
          <w:i/>
          <w:iCs/>
          <w:sz w:val="24"/>
        </w:rPr>
        <w:t xml:space="preserve">Minister for Immigration and Multicultural Affairs v </w:t>
      </w:r>
      <w:r w:rsidRPr="00AF01A0">
        <w:rPr>
          <w:rFonts w:ascii="Times New Roman" w:hAnsi="Times New Roman"/>
          <w:i/>
          <w:sz w:val="24"/>
        </w:rPr>
        <w:t>Yusuf</w:t>
      </w:r>
      <w:r w:rsidRPr="00AF01A0">
        <w:rPr>
          <w:rFonts w:ascii="Times New Roman" w:hAnsi="Times New Roman"/>
          <w:sz w:val="24"/>
        </w:rPr>
        <w:t xml:space="preserve"> (2001) 206 CLR 323 at 351 [82]. </w:t>
      </w:r>
    </w:p>
  </w:footnote>
  <w:footnote w:id="6">
    <w:p w14:paraId="1679214E" w14:textId="77777777" w:rsidR="00C66B25" w:rsidRPr="00AF01A0" w:rsidRDefault="00C66B25" w:rsidP="00AF01A0">
      <w:pPr>
        <w:pStyle w:val="FootnoteText"/>
        <w:spacing w:line="280" w:lineRule="exact"/>
        <w:ind w:right="0"/>
        <w:jc w:val="both"/>
        <w:rPr>
          <w:rFonts w:ascii="Times New Roman" w:hAnsi="Times New Roman"/>
          <w:sz w:val="24"/>
          <w:lang w:val="en-US"/>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lang w:val="en-US"/>
        </w:rPr>
        <w:tab/>
        <w:t xml:space="preserve">See, </w:t>
      </w:r>
      <w:proofErr w:type="spellStart"/>
      <w:r w:rsidRPr="00AF01A0">
        <w:rPr>
          <w:rFonts w:ascii="Times New Roman" w:hAnsi="Times New Roman"/>
          <w:sz w:val="24"/>
          <w:lang w:val="en-US"/>
        </w:rPr>
        <w:t>eg</w:t>
      </w:r>
      <w:proofErr w:type="spellEnd"/>
      <w:r w:rsidRPr="00AF01A0">
        <w:rPr>
          <w:rFonts w:ascii="Times New Roman" w:hAnsi="Times New Roman"/>
          <w:sz w:val="24"/>
          <w:lang w:val="en-US"/>
        </w:rPr>
        <w:t xml:space="preserve">, </w:t>
      </w:r>
      <w:r w:rsidRPr="00AF01A0">
        <w:rPr>
          <w:rFonts w:ascii="Times New Roman" w:hAnsi="Times New Roman"/>
          <w:i/>
          <w:iCs/>
          <w:sz w:val="24"/>
          <w:lang w:val="en-US"/>
        </w:rPr>
        <w:t>Wei v Minister for Immigration and Border Protection</w:t>
      </w:r>
      <w:r w:rsidRPr="00AF01A0">
        <w:rPr>
          <w:rFonts w:ascii="Times New Roman" w:hAnsi="Times New Roman"/>
          <w:sz w:val="24"/>
          <w:lang w:val="en-US"/>
        </w:rPr>
        <w:t xml:space="preserve"> (2015) 257 CLR 22 at 32-33 [23]-[24], 35 [32]-[33]; </w:t>
      </w:r>
      <w:r w:rsidRPr="00AF01A0">
        <w:rPr>
          <w:rFonts w:ascii="Times New Roman" w:hAnsi="Times New Roman"/>
          <w:i/>
          <w:sz w:val="24"/>
        </w:rPr>
        <w:t xml:space="preserve">SZMTA </w:t>
      </w:r>
      <w:r w:rsidRPr="00AF01A0">
        <w:rPr>
          <w:rFonts w:ascii="Times New Roman" w:hAnsi="Times New Roman"/>
          <w:sz w:val="24"/>
        </w:rPr>
        <w:t>(2019) 264 CLR 421 at 444 [44].</w:t>
      </w:r>
    </w:p>
  </w:footnote>
  <w:footnote w:id="7">
    <w:p w14:paraId="3FFF6F20"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 xml:space="preserve">See, </w:t>
      </w:r>
      <w:proofErr w:type="spellStart"/>
      <w:r w:rsidRPr="00AF01A0">
        <w:rPr>
          <w:rFonts w:ascii="Times New Roman" w:hAnsi="Times New Roman"/>
          <w:sz w:val="24"/>
        </w:rPr>
        <w:t>eg</w:t>
      </w:r>
      <w:proofErr w:type="spellEnd"/>
      <w:r w:rsidRPr="00AF01A0">
        <w:rPr>
          <w:rFonts w:ascii="Times New Roman" w:hAnsi="Times New Roman"/>
          <w:sz w:val="24"/>
        </w:rPr>
        <w:t xml:space="preserve">, </w:t>
      </w:r>
      <w:r w:rsidRPr="00AF01A0">
        <w:rPr>
          <w:rFonts w:ascii="Times New Roman" w:hAnsi="Times New Roman"/>
          <w:i/>
          <w:sz w:val="24"/>
        </w:rPr>
        <w:t>Craig v South Australia</w:t>
      </w:r>
      <w:r w:rsidRPr="00AF01A0">
        <w:rPr>
          <w:rFonts w:ascii="Times New Roman" w:hAnsi="Times New Roman"/>
          <w:sz w:val="24"/>
        </w:rPr>
        <w:t xml:space="preserve"> (1995) 184 CLR 163 at 179; </w:t>
      </w:r>
      <w:r w:rsidRPr="00AF01A0">
        <w:rPr>
          <w:rFonts w:ascii="Times New Roman" w:hAnsi="Times New Roman"/>
          <w:i/>
          <w:sz w:val="24"/>
        </w:rPr>
        <w:t>Kirk</w:t>
      </w:r>
      <w:r w:rsidRPr="00AF01A0">
        <w:rPr>
          <w:rFonts w:ascii="Times New Roman" w:hAnsi="Times New Roman"/>
          <w:sz w:val="24"/>
        </w:rPr>
        <w:t xml:space="preserve"> (2010) 239 CLR 531 at 572 [67]; </w:t>
      </w:r>
      <w:r w:rsidRPr="00AF01A0">
        <w:rPr>
          <w:rFonts w:ascii="Times New Roman" w:hAnsi="Times New Roman"/>
          <w:i/>
          <w:sz w:val="24"/>
        </w:rPr>
        <w:t xml:space="preserve">Hossain </w:t>
      </w:r>
      <w:r w:rsidRPr="00AF01A0">
        <w:rPr>
          <w:rFonts w:ascii="Times New Roman" w:hAnsi="Times New Roman"/>
          <w:sz w:val="24"/>
        </w:rPr>
        <w:t>(2018) 264 CLR 123 at 134</w:t>
      </w:r>
      <w:r w:rsidRPr="00AF01A0">
        <w:rPr>
          <w:rFonts w:ascii="Times New Roman" w:hAnsi="Times New Roman"/>
          <w:sz w:val="24"/>
        </w:rPr>
        <w:noBreakHyphen/>
        <w:t xml:space="preserve">135 [30], 147-148 [70]-[72]; </w:t>
      </w:r>
      <w:r w:rsidRPr="00AF01A0">
        <w:rPr>
          <w:rFonts w:ascii="Times New Roman" w:hAnsi="Times New Roman"/>
          <w:i/>
          <w:sz w:val="24"/>
        </w:rPr>
        <w:t xml:space="preserve">SZMTA </w:t>
      </w:r>
      <w:r w:rsidRPr="00AF01A0">
        <w:rPr>
          <w:rFonts w:ascii="Times New Roman" w:hAnsi="Times New Roman"/>
          <w:sz w:val="24"/>
        </w:rPr>
        <w:t>(2019) 264 CLR 421 at 455 [81].</w:t>
      </w:r>
    </w:p>
  </w:footnote>
  <w:footnote w:id="8">
    <w:p w14:paraId="4556E488"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ab/>
      </w:r>
      <w:r w:rsidRPr="00AF01A0">
        <w:rPr>
          <w:rFonts w:ascii="Times New Roman" w:hAnsi="Times New Roman"/>
          <w:i/>
          <w:sz w:val="24"/>
        </w:rPr>
        <w:t>Project Blue Sky Inc v Australian Broadcasting Authority</w:t>
      </w:r>
      <w:r w:rsidRPr="00AF01A0">
        <w:rPr>
          <w:rFonts w:ascii="Times New Roman" w:hAnsi="Times New Roman"/>
          <w:sz w:val="24"/>
        </w:rPr>
        <w:t xml:space="preserve"> (1998) 194 CLR 355 at 388-389 [91].</w:t>
      </w:r>
    </w:p>
  </w:footnote>
  <w:footnote w:id="9">
    <w:p w14:paraId="318A214E" w14:textId="4D4BCB56"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sz w:val="24"/>
        </w:rPr>
        <w:t xml:space="preserve">Hossain </w:t>
      </w:r>
      <w:r w:rsidRPr="00AF01A0">
        <w:rPr>
          <w:rFonts w:ascii="Times New Roman" w:hAnsi="Times New Roman"/>
          <w:sz w:val="24"/>
        </w:rPr>
        <w:t>(2018) 264 CLR 123 at 133 [24], 133</w:t>
      </w:r>
      <w:r w:rsidRPr="00AF01A0">
        <w:rPr>
          <w:rFonts w:ascii="Times New Roman" w:hAnsi="Times New Roman"/>
          <w:sz w:val="24"/>
        </w:rPr>
        <w:noBreakHyphen/>
        <w:t xml:space="preserve">134 [27], 147 [72]; </w:t>
      </w:r>
      <w:r w:rsidRPr="00AF01A0">
        <w:rPr>
          <w:rFonts w:ascii="Times New Roman" w:hAnsi="Times New Roman"/>
          <w:i/>
          <w:sz w:val="24"/>
        </w:rPr>
        <w:t xml:space="preserve">SZMTA </w:t>
      </w:r>
      <w:r w:rsidRPr="00AF01A0">
        <w:rPr>
          <w:rFonts w:ascii="Times New Roman" w:hAnsi="Times New Roman"/>
          <w:sz w:val="24"/>
        </w:rPr>
        <w:t xml:space="preserve">(2019) 264 CLR 421 at 456 [83]; </w:t>
      </w:r>
      <w:r w:rsidRPr="00AF01A0">
        <w:rPr>
          <w:rFonts w:ascii="Times New Roman" w:hAnsi="Times New Roman"/>
          <w:i/>
          <w:iCs/>
          <w:sz w:val="24"/>
        </w:rPr>
        <w:t xml:space="preserve">Minister for Immigration, Citizenship, Migrant Services and Multicultural Affairs v Thornton </w:t>
      </w:r>
      <w:r w:rsidRPr="00AF01A0">
        <w:rPr>
          <w:rFonts w:ascii="Times New Roman" w:hAnsi="Times New Roman"/>
          <w:sz w:val="24"/>
        </w:rPr>
        <w:t xml:space="preserve">(2023) </w:t>
      </w:r>
      <w:r w:rsidR="009D62A7">
        <w:rPr>
          <w:rFonts w:ascii="Times New Roman" w:hAnsi="Times New Roman"/>
          <w:sz w:val="24"/>
        </w:rPr>
        <w:t xml:space="preserve">276 CLR 136 at </w:t>
      </w:r>
      <w:r w:rsidR="00E0464C">
        <w:rPr>
          <w:rFonts w:ascii="Times New Roman" w:hAnsi="Times New Roman"/>
          <w:sz w:val="24"/>
        </w:rPr>
        <w:t xml:space="preserve">154-155 </w:t>
      </w:r>
      <w:r w:rsidRPr="00AF01A0">
        <w:rPr>
          <w:rFonts w:ascii="Times New Roman" w:hAnsi="Times New Roman"/>
          <w:sz w:val="24"/>
        </w:rPr>
        <w:t>[53].</w:t>
      </w:r>
    </w:p>
  </w:footnote>
  <w:footnote w:id="10">
    <w:p w14:paraId="1B2C7665"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 xml:space="preserve">See </w:t>
      </w:r>
      <w:r w:rsidRPr="00AF01A0">
        <w:rPr>
          <w:rFonts w:ascii="Times New Roman" w:hAnsi="Times New Roman"/>
          <w:i/>
          <w:iCs/>
          <w:sz w:val="24"/>
        </w:rPr>
        <w:t xml:space="preserve">Kirk </w:t>
      </w:r>
      <w:r w:rsidRPr="00AF01A0">
        <w:rPr>
          <w:rFonts w:ascii="Times New Roman" w:hAnsi="Times New Roman"/>
          <w:sz w:val="24"/>
        </w:rPr>
        <w:t xml:space="preserve">(2010) 239 CLR 531 at 574 [73]; </w:t>
      </w:r>
      <w:r w:rsidRPr="00AF01A0">
        <w:rPr>
          <w:rFonts w:ascii="Times New Roman" w:hAnsi="Times New Roman"/>
          <w:i/>
          <w:sz w:val="24"/>
        </w:rPr>
        <w:t xml:space="preserve">Hossain </w:t>
      </w:r>
      <w:r w:rsidRPr="00AF01A0">
        <w:rPr>
          <w:rFonts w:ascii="Times New Roman" w:hAnsi="Times New Roman"/>
          <w:sz w:val="24"/>
        </w:rPr>
        <w:t>(2018) 264 CLR 123 at 137 [42].</w:t>
      </w:r>
    </w:p>
  </w:footnote>
  <w:footnote w:id="11">
    <w:p w14:paraId="13C6B7FE" w14:textId="72EE933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MZAPC v Minister for Immigration and Border Protection </w:t>
      </w:r>
      <w:r w:rsidRPr="00AF01A0">
        <w:rPr>
          <w:rFonts w:ascii="Times New Roman" w:hAnsi="Times New Roman"/>
          <w:sz w:val="24"/>
        </w:rPr>
        <w:t xml:space="preserve">(2021) 273 CLR 506 at 543 [101]; </w:t>
      </w:r>
      <w:r w:rsidRPr="00AF01A0">
        <w:rPr>
          <w:rFonts w:ascii="Times New Roman" w:hAnsi="Times New Roman"/>
          <w:i/>
          <w:iCs/>
          <w:sz w:val="24"/>
        </w:rPr>
        <w:t>Nathanson v Minister for Home Affairs</w:t>
      </w:r>
      <w:r w:rsidRPr="00AF01A0">
        <w:rPr>
          <w:rFonts w:ascii="Times New Roman" w:hAnsi="Times New Roman"/>
          <w:sz w:val="24"/>
        </w:rPr>
        <w:t xml:space="preserve"> (2022) </w:t>
      </w:r>
      <w:r w:rsidR="0087394C">
        <w:rPr>
          <w:rFonts w:ascii="Times New Roman" w:hAnsi="Times New Roman"/>
          <w:sz w:val="24"/>
        </w:rPr>
        <w:t>276</w:t>
      </w:r>
      <w:r w:rsidR="000A2022">
        <w:rPr>
          <w:rFonts w:ascii="Times New Roman" w:hAnsi="Times New Roman"/>
          <w:sz w:val="24"/>
        </w:rPr>
        <w:t xml:space="preserve"> CLR 80 at 117-118</w:t>
      </w:r>
      <w:r w:rsidRPr="00AF01A0">
        <w:rPr>
          <w:rFonts w:ascii="Times New Roman" w:hAnsi="Times New Roman"/>
          <w:sz w:val="24"/>
        </w:rPr>
        <w:t xml:space="preserve"> [78]; </w:t>
      </w:r>
      <w:r w:rsidRPr="00AF01A0">
        <w:rPr>
          <w:rFonts w:ascii="Times New Roman" w:hAnsi="Times New Roman"/>
          <w:i/>
          <w:iCs/>
          <w:sz w:val="24"/>
        </w:rPr>
        <w:t>Thornton</w:t>
      </w:r>
      <w:r w:rsidRPr="00AF01A0">
        <w:rPr>
          <w:rFonts w:ascii="Times New Roman" w:hAnsi="Times New Roman"/>
          <w:sz w:val="24"/>
        </w:rPr>
        <w:t xml:space="preserve"> (2023) </w:t>
      </w:r>
      <w:r w:rsidR="00B35FB3">
        <w:rPr>
          <w:rFonts w:ascii="Times New Roman" w:hAnsi="Times New Roman"/>
          <w:sz w:val="24"/>
        </w:rPr>
        <w:t>276 CLR 136 at 162</w:t>
      </w:r>
      <w:r w:rsidRPr="00AF01A0">
        <w:rPr>
          <w:rFonts w:ascii="Times New Roman" w:hAnsi="Times New Roman"/>
          <w:sz w:val="24"/>
        </w:rPr>
        <w:t xml:space="preserve"> [77]. </w:t>
      </w:r>
    </w:p>
  </w:footnote>
  <w:footnote w:id="12">
    <w:p w14:paraId="498D40B2" w14:textId="6105F558" w:rsidR="00C66B25" w:rsidRPr="00AF01A0" w:rsidRDefault="00C66B25" w:rsidP="00AF01A0">
      <w:pPr>
        <w:pStyle w:val="FootnoteText"/>
        <w:spacing w:line="280" w:lineRule="exact"/>
        <w:ind w:right="0"/>
        <w:jc w:val="both"/>
        <w:rPr>
          <w:rFonts w:ascii="Times New Roman" w:hAnsi="Times New Roman"/>
          <w:i/>
          <w:iCs/>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MZAPC </w:t>
      </w:r>
      <w:r w:rsidRPr="00AF01A0">
        <w:rPr>
          <w:rFonts w:ascii="Times New Roman" w:hAnsi="Times New Roman"/>
          <w:sz w:val="24"/>
        </w:rPr>
        <w:t xml:space="preserve">(2021) 273 CLR 506 at 522 [33], 572-573 [182]; </w:t>
      </w:r>
      <w:r w:rsidRPr="00AF01A0">
        <w:rPr>
          <w:rFonts w:ascii="Times New Roman" w:hAnsi="Times New Roman"/>
          <w:i/>
          <w:iCs/>
          <w:sz w:val="24"/>
        </w:rPr>
        <w:t>Nathanson</w:t>
      </w:r>
      <w:r w:rsidRPr="00AF01A0">
        <w:rPr>
          <w:rFonts w:ascii="Times New Roman" w:hAnsi="Times New Roman"/>
          <w:sz w:val="24"/>
        </w:rPr>
        <w:t xml:space="preserve"> (2022) </w:t>
      </w:r>
      <w:r w:rsidR="00926F09">
        <w:rPr>
          <w:rFonts w:ascii="Times New Roman" w:hAnsi="Times New Roman"/>
          <w:sz w:val="24"/>
        </w:rPr>
        <w:t xml:space="preserve">276 CLR 80 at 125-126 </w:t>
      </w:r>
      <w:r w:rsidRPr="00AF01A0">
        <w:rPr>
          <w:rFonts w:ascii="Times New Roman" w:hAnsi="Times New Roman"/>
          <w:sz w:val="24"/>
        </w:rPr>
        <w:t>[98]-[102].</w:t>
      </w:r>
    </w:p>
  </w:footnote>
  <w:footnote w:id="13">
    <w:p w14:paraId="4AF7DA0F" w14:textId="77777777" w:rsidR="00C66B25" w:rsidRPr="00AF01A0" w:rsidRDefault="00C66B25" w:rsidP="00AF01A0">
      <w:pPr>
        <w:pStyle w:val="FootnoteText"/>
        <w:spacing w:line="280" w:lineRule="exact"/>
        <w:ind w:right="0"/>
        <w:jc w:val="both"/>
        <w:rPr>
          <w:rFonts w:ascii="Times New Roman" w:hAnsi="Times New Roman"/>
          <w:sz w:val="24"/>
          <w:lang w:val="en-US"/>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MZAPC </w:t>
      </w:r>
      <w:r w:rsidRPr="00AF01A0">
        <w:rPr>
          <w:rFonts w:ascii="Times New Roman" w:hAnsi="Times New Roman"/>
          <w:sz w:val="24"/>
        </w:rPr>
        <w:t>(2021) 273 CLR 506 at 522 [33].</w:t>
      </w:r>
    </w:p>
  </w:footnote>
  <w:footnote w:id="14">
    <w:p w14:paraId="217552C9"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MZAPC </w:t>
      </w:r>
      <w:r w:rsidRPr="00AF01A0">
        <w:rPr>
          <w:rFonts w:ascii="Times New Roman" w:hAnsi="Times New Roman"/>
          <w:sz w:val="24"/>
        </w:rPr>
        <w:t>(2021) 273 CLR 506 at 543-544 [101].</w:t>
      </w:r>
    </w:p>
  </w:footnote>
  <w:footnote w:id="15">
    <w:p w14:paraId="2CF59AA0" w14:textId="10163BDA"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SZMTA </w:t>
      </w:r>
      <w:r w:rsidRPr="00AF01A0">
        <w:rPr>
          <w:rFonts w:ascii="Times New Roman" w:hAnsi="Times New Roman"/>
          <w:sz w:val="24"/>
        </w:rPr>
        <w:t xml:space="preserve">(2019) 264 CLR 421 at 445 [45]; </w:t>
      </w:r>
      <w:r w:rsidRPr="00AF01A0">
        <w:rPr>
          <w:rFonts w:ascii="Times New Roman" w:hAnsi="Times New Roman"/>
          <w:i/>
          <w:iCs/>
          <w:sz w:val="24"/>
        </w:rPr>
        <w:t xml:space="preserve">MZAPC </w:t>
      </w:r>
      <w:r w:rsidRPr="00AF01A0">
        <w:rPr>
          <w:rFonts w:ascii="Times New Roman" w:hAnsi="Times New Roman"/>
          <w:sz w:val="24"/>
        </w:rPr>
        <w:t xml:space="preserve">(2021) 273 CLR 506 at 524 [39]; </w:t>
      </w:r>
      <w:r w:rsidRPr="00AF01A0">
        <w:rPr>
          <w:rFonts w:ascii="Times New Roman" w:hAnsi="Times New Roman"/>
          <w:i/>
          <w:iCs/>
          <w:sz w:val="24"/>
        </w:rPr>
        <w:t xml:space="preserve">Nathanson </w:t>
      </w:r>
      <w:r w:rsidRPr="00AF01A0">
        <w:rPr>
          <w:rFonts w:ascii="Times New Roman" w:hAnsi="Times New Roman"/>
          <w:sz w:val="24"/>
        </w:rPr>
        <w:t xml:space="preserve">(2022) </w:t>
      </w:r>
      <w:r w:rsidR="005603A2">
        <w:rPr>
          <w:rFonts w:ascii="Times New Roman" w:hAnsi="Times New Roman"/>
          <w:sz w:val="24"/>
        </w:rPr>
        <w:t xml:space="preserve">276 CLR 80 at </w:t>
      </w:r>
      <w:r w:rsidR="007D3473">
        <w:rPr>
          <w:rFonts w:ascii="Times New Roman" w:hAnsi="Times New Roman"/>
          <w:sz w:val="24"/>
        </w:rPr>
        <w:t xml:space="preserve">103 </w:t>
      </w:r>
      <w:r w:rsidRPr="00AF01A0">
        <w:rPr>
          <w:rFonts w:ascii="Times New Roman" w:hAnsi="Times New Roman"/>
          <w:sz w:val="24"/>
        </w:rPr>
        <w:t xml:space="preserve">[32], </w:t>
      </w:r>
      <w:r w:rsidR="004E519A">
        <w:rPr>
          <w:rFonts w:ascii="Times New Roman" w:hAnsi="Times New Roman"/>
          <w:sz w:val="24"/>
        </w:rPr>
        <w:t xml:space="preserve">107-108 </w:t>
      </w:r>
      <w:r w:rsidRPr="00AF01A0">
        <w:rPr>
          <w:rFonts w:ascii="Times New Roman" w:hAnsi="Times New Roman"/>
          <w:sz w:val="24"/>
        </w:rPr>
        <w:t xml:space="preserve">[46], </w:t>
      </w:r>
      <w:r w:rsidR="001E1E81">
        <w:rPr>
          <w:rFonts w:ascii="Times New Roman" w:hAnsi="Times New Roman"/>
          <w:sz w:val="24"/>
        </w:rPr>
        <w:t>113</w:t>
      </w:r>
      <w:r w:rsidR="001E1E81" w:rsidRPr="00AF01A0">
        <w:rPr>
          <w:rFonts w:ascii="Times New Roman" w:hAnsi="Times New Roman"/>
          <w:sz w:val="24"/>
        </w:rPr>
        <w:t xml:space="preserve"> </w:t>
      </w:r>
      <w:r w:rsidRPr="00AF01A0">
        <w:rPr>
          <w:rFonts w:ascii="Times New Roman" w:hAnsi="Times New Roman"/>
          <w:sz w:val="24"/>
        </w:rPr>
        <w:t xml:space="preserve">[63]; </w:t>
      </w:r>
      <w:r w:rsidRPr="00AF01A0">
        <w:rPr>
          <w:rFonts w:ascii="Times New Roman" w:hAnsi="Times New Roman"/>
          <w:i/>
          <w:iCs/>
          <w:sz w:val="24"/>
        </w:rPr>
        <w:t xml:space="preserve">Thornton </w:t>
      </w:r>
      <w:r w:rsidRPr="00AF01A0">
        <w:rPr>
          <w:rFonts w:ascii="Times New Roman" w:hAnsi="Times New Roman"/>
          <w:sz w:val="24"/>
        </w:rPr>
        <w:t xml:space="preserve">(2023) </w:t>
      </w:r>
      <w:r w:rsidR="00363AAB">
        <w:rPr>
          <w:rFonts w:ascii="Times New Roman" w:hAnsi="Times New Roman"/>
          <w:sz w:val="24"/>
        </w:rPr>
        <w:t xml:space="preserve">276 CLR 136 at </w:t>
      </w:r>
      <w:r w:rsidR="009D62A7">
        <w:rPr>
          <w:rFonts w:ascii="Times New Roman" w:hAnsi="Times New Roman"/>
          <w:sz w:val="24"/>
        </w:rPr>
        <w:t xml:space="preserve">161 </w:t>
      </w:r>
      <w:r w:rsidRPr="00AF01A0">
        <w:rPr>
          <w:rFonts w:ascii="Times New Roman" w:hAnsi="Times New Roman"/>
          <w:sz w:val="24"/>
        </w:rPr>
        <w:t>[75].</w:t>
      </w:r>
    </w:p>
  </w:footnote>
  <w:footnote w:id="16">
    <w:p w14:paraId="6539A90A" w14:textId="1F848BBE"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 xml:space="preserve">See </w:t>
      </w:r>
      <w:r w:rsidRPr="00AF01A0">
        <w:rPr>
          <w:rFonts w:ascii="Times New Roman" w:hAnsi="Times New Roman"/>
          <w:i/>
          <w:sz w:val="24"/>
        </w:rPr>
        <w:t xml:space="preserve">Hossain </w:t>
      </w:r>
      <w:r w:rsidRPr="00AF01A0">
        <w:rPr>
          <w:rFonts w:ascii="Times New Roman" w:hAnsi="Times New Roman"/>
          <w:sz w:val="24"/>
        </w:rPr>
        <w:t xml:space="preserve">(2018) 264 CLR 123 at 134 [29]; </w:t>
      </w:r>
      <w:r w:rsidRPr="00AF01A0">
        <w:rPr>
          <w:rFonts w:ascii="Times New Roman" w:hAnsi="Times New Roman"/>
          <w:i/>
          <w:sz w:val="24"/>
        </w:rPr>
        <w:t xml:space="preserve">SZMTA </w:t>
      </w:r>
      <w:r w:rsidRPr="00AF01A0">
        <w:rPr>
          <w:rFonts w:ascii="Times New Roman" w:hAnsi="Times New Roman"/>
          <w:sz w:val="24"/>
        </w:rPr>
        <w:t xml:space="preserve">(2019) 264 CLR 421 at 444 [44]; </w:t>
      </w:r>
      <w:r w:rsidRPr="00AF01A0">
        <w:rPr>
          <w:rFonts w:ascii="Times New Roman" w:hAnsi="Times New Roman"/>
          <w:i/>
          <w:iCs/>
          <w:sz w:val="24"/>
        </w:rPr>
        <w:t xml:space="preserve">MZAPC </w:t>
      </w:r>
      <w:r w:rsidRPr="00AF01A0">
        <w:rPr>
          <w:rFonts w:ascii="Times New Roman" w:hAnsi="Times New Roman"/>
          <w:sz w:val="24"/>
        </w:rPr>
        <w:t xml:space="preserve">(2021) 273 CLR 506 at 522 [33]; </w:t>
      </w:r>
      <w:r w:rsidRPr="00AF01A0">
        <w:rPr>
          <w:rFonts w:ascii="Times New Roman" w:hAnsi="Times New Roman"/>
          <w:i/>
          <w:iCs/>
          <w:sz w:val="24"/>
        </w:rPr>
        <w:t xml:space="preserve">Nathanson </w:t>
      </w:r>
      <w:r w:rsidRPr="00AF01A0">
        <w:rPr>
          <w:rFonts w:ascii="Times New Roman" w:hAnsi="Times New Roman"/>
          <w:sz w:val="24"/>
        </w:rPr>
        <w:t xml:space="preserve">(2022) </w:t>
      </w:r>
      <w:r w:rsidR="004C0713">
        <w:rPr>
          <w:rFonts w:ascii="Times New Roman" w:hAnsi="Times New Roman"/>
          <w:sz w:val="24"/>
        </w:rPr>
        <w:t xml:space="preserve">276 CLR 80 at </w:t>
      </w:r>
      <w:r w:rsidR="00270732">
        <w:rPr>
          <w:rFonts w:ascii="Times New Roman" w:hAnsi="Times New Roman"/>
          <w:sz w:val="24"/>
        </w:rPr>
        <w:t xml:space="preserve">102 </w:t>
      </w:r>
      <w:r w:rsidRPr="00AF01A0">
        <w:rPr>
          <w:rFonts w:ascii="Times New Roman" w:hAnsi="Times New Roman"/>
          <w:sz w:val="24"/>
        </w:rPr>
        <w:t xml:space="preserve">[30], </w:t>
      </w:r>
      <w:r w:rsidR="00270732">
        <w:rPr>
          <w:rFonts w:ascii="Times New Roman" w:hAnsi="Times New Roman"/>
          <w:sz w:val="24"/>
        </w:rPr>
        <w:t xml:space="preserve">132 </w:t>
      </w:r>
      <w:r w:rsidRPr="00AF01A0">
        <w:rPr>
          <w:rFonts w:ascii="Times New Roman" w:hAnsi="Times New Roman"/>
          <w:sz w:val="24"/>
        </w:rPr>
        <w:t xml:space="preserve">[121]. </w:t>
      </w:r>
    </w:p>
  </w:footnote>
  <w:footnote w:id="17">
    <w:p w14:paraId="7016D852"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Project</w:t>
      </w:r>
      <w:r w:rsidRPr="00AF01A0">
        <w:rPr>
          <w:rFonts w:ascii="Times New Roman" w:hAnsi="Times New Roman"/>
          <w:sz w:val="24"/>
        </w:rPr>
        <w:t xml:space="preserve"> </w:t>
      </w:r>
      <w:r w:rsidRPr="00AF01A0">
        <w:rPr>
          <w:rFonts w:ascii="Times New Roman" w:hAnsi="Times New Roman"/>
          <w:i/>
          <w:sz w:val="24"/>
        </w:rPr>
        <w:t xml:space="preserve">Blue Sky </w:t>
      </w:r>
      <w:r w:rsidRPr="00AF01A0">
        <w:rPr>
          <w:rFonts w:ascii="Times New Roman" w:hAnsi="Times New Roman"/>
          <w:sz w:val="24"/>
        </w:rPr>
        <w:t>(1998) 194 CLR 355 at 388-389 [91].</w:t>
      </w:r>
    </w:p>
  </w:footnote>
  <w:footnote w:id="18">
    <w:p w14:paraId="3775AD03" w14:textId="77777777" w:rsidR="00C66B25" w:rsidRPr="00AF01A0" w:rsidRDefault="00C66B25" w:rsidP="00AF01A0">
      <w:pPr>
        <w:pStyle w:val="FootnoteText"/>
        <w:spacing w:line="280" w:lineRule="exact"/>
        <w:ind w:right="0"/>
        <w:jc w:val="both"/>
        <w:rPr>
          <w:rFonts w:ascii="Times New Roman" w:hAnsi="Times New Roman"/>
          <w:sz w:val="24"/>
          <w:lang w:val="en-US"/>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lang w:val="en-US"/>
        </w:rPr>
        <w:tab/>
      </w:r>
      <w:r w:rsidRPr="00AF01A0">
        <w:rPr>
          <w:rFonts w:ascii="Times New Roman" w:hAnsi="Times New Roman"/>
          <w:i/>
          <w:iCs/>
          <w:sz w:val="24"/>
        </w:rPr>
        <w:t xml:space="preserve">MZAPC </w:t>
      </w:r>
      <w:r w:rsidRPr="00AF01A0">
        <w:rPr>
          <w:rFonts w:ascii="Times New Roman" w:hAnsi="Times New Roman"/>
          <w:sz w:val="24"/>
        </w:rPr>
        <w:t>(2021) 273 CLR 506 at 523-524 [37].</w:t>
      </w:r>
    </w:p>
  </w:footnote>
  <w:footnote w:id="19">
    <w:p w14:paraId="387B233B" w14:textId="77777777" w:rsidR="00C66B25" w:rsidRPr="00AF01A0" w:rsidRDefault="00C66B25" w:rsidP="00AF01A0">
      <w:pPr>
        <w:pStyle w:val="FootnoteText"/>
        <w:spacing w:line="280" w:lineRule="exact"/>
        <w:ind w:right="0"/>
        <w:jc w:val="both"/>
        <w:rPr>
          <w:rFonts w:ascii="Times New Roman" w:hAnsi="Times New Roman"/>
          <w:sz w:val="24"/>
          <w:lang w:val="en-US"/>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lang w:val="en-US"/>
        </w:rPr>
        <w:tab/>
      </w:r>
      <w:r w:rsidRPr="00AF01A0">
        <w:rPr>
          <w:rFonts w:ascii="Times New Roman" w:hAnsi="Times New Roman"/>
          <w:i/>
          <w:iCs/>
          <w:sz w:val="24"/>
        </w:rPr>
        <w:t xml:space="preserve">MZAPC </w:t>
      </w:r>
      <w:r w:rsidRPr="00AF01A0">
        <w:rPr>
          <w:rFonts w:ascii="Times New Roman" w:hAnsi="Times New Roman"/>
          <w:sz w:val="24"/>
        </w:rPr>
        <w:t>(2021) 273 CLR 506 at 524-525 [38]-[40], 531 [60].</w:t>
      </w:r>
    </w:p>
  </w:footnote>
  <w:footnote w:id="20">
    <w:p w14:paraId="670371C9" w14:textId="64A35B4A" w:rsidR="00C66B25" w:rsidRPr="00AF01A0" w:rsidRDefault="00C66B25" w:rsidP="00AF01A0">
      <w:pPr>
        <w:pStyle w:val="FootnoteText"/>
        <w:spacing w:line="280" w:lineRule="exact"/>
        <w:ind w:right="0"/>
        <w:jc w:val="both"/>
        <w:rPr>
          <w:rFonts w:ascii="Times New Roman" w:hAnsi="Times New Roman"/>
          <w:i/>
          <w:iCs/>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Nathanson </w:t>
      </w:r>
      <w:r w:rsidRPr="00AF01A0">
        <w:rPr>
          <w:rFonts w:ascii="Times New Roman" w:hAnsi="Times New Roman"/>
          <w:sz w:val="24"/>
        </w:rPr>
        <w:t xml:space="preserve">(2022) </w:t>
      </w:r>
      <w:r w:rsidR="00270732">
        <w:rPr>
          <w:rFonts w:ascii="Times New Roman" w:hAnsi="Times New Roman"/>
          <w:sz w:val="24"/>
        </w:rPr>
        <w:t xml:space="preserve">276 CLR 80 at </w:t>
      </w:r>
      <w:r w:rsidR="00453293">
        <w:rPr>
          <w:rFonts w:ascii="Times New Roman" w:hAnsi="Times New Roman"/>
          <w:sz w:val="24"/>
        </w:rPr>
        <w:t xml:space="preserve">108 </w:t>
      </w:r>
      <w:r w:rsidRPr="00AF01A0">
        <w:rPr>
          <w:rFonts w:ascii="Times New Roman" w:hAnsi="Times New Roman"/>
          <w:sz w:val="24"/>
        </w:rPr>
        <w:t xml:space="preserve">[48], referring to </w:t>
      </w:r>
      <w:r w:rsidRPr="00AF01A0">
        <w:rPr>
          <w:rFonts w:ascii="Times New Roman" w:hAnsi="Times New Roman"/>
          <w:i/>
          <w:sz w:val="24"/>
        </w:rPr>
        <w:t xml:space="preserve">Stead v State Government Insurance Commission </w:t>
      </w:r>
      <w:r w:rsidRPr="00AF01A0">
        <w:rPr>
          <w:rFonts w:ascii="Times New Roman" w:hAnsi="Times New Roman"/>
          <w:sz w:val="24"/>
        </w:rPr>
        <w:t xml:space="preserve">(1986) 161 CLR 141. See also </w:t>
      </w:r>
      <w:r w:rsidRPr="00AF01A0">
        <w:rPr>
          <w:rFonts w:ascii="Times New Roman" w:hAnsi="Times New Roman"/>
          <w:i/>
          <w:iCs/>
          <w:sz w:val="24"/>
        </w:rPr>
        <w:t>Re</w:t>
      </w:r>
      <w:r w:rsidR="000466A9">
        <w:rPr>
          <w:rFonts w:ascii="Times New Roman" w:hAnsi="Times New Roman"/>
          <w:i/>
          <w:iCs/>
          <w:sz w:val="24"/>
        </w:rPr>
        <w:t> </w:t>
      </w:r>
      <w:r w:rsidRPr="00AF01A0">
        <w:rPr>
          <w:rFonts w:ascii="Times New Roman" w:hAnsi="Times New Roman"/>
          <w:i/>
          <w:iCs/>
          <w:sz w:val="24"/>
        </w:rPr>
        <w:t xml:space="preserve">Refugee Review Tribunal; Ex </w:t>
      </w:r>
      <w:proofErr w:type="spellStart"/>
      <w:r w:rsidRPr="00AF01A0">
        <w:rPr>
          <w:rFonts w:ascii="Times New Roman" w:hAnsi="Times New Roman"/>
          <w:i/>
          <w:iCs/>
          <w:sz w:val="24"/>
        </w:rPr>
        <w:t>parte</w:t>
      </w:r>
      <w:proofErr w:type="spellEnd"/>
      <w:r w:rsidRPr="00AF01A0">
        <w:rPr>
          <w:rFonts w:ascii="Times New Roman" w:hAnsi="Times New Roman"/>
          <w:i/>
          <w:iCs/>
          <w:sz w:val="24"/>
        </w:rPr>
        <w:t xml:space="preserve"> </w:t>
      </w:r>
      <w:r w:rsidRPr="00AF01A0">
        <w:rPr>
          <w:rFonts w:ascii="Times New Roman" w:hAnsi="Times New Roman"/>
          <w:i/>
          <w:sz w:val="24"/>
        </w:rPr>
        <w:t xml:space="preserve">Aala </w:t>
      </w:r>
      <w:r w:rsidRPr="00AF01A0">
        <w:rPr>
          <w:rFonts w:ascii="Times New Roman" w:hAnsi="Times New Roman"/>
          <w:sz w:val="24"/>
        </w:rPr>
        <w:t xml:space="preserve">(2000) 204 CLR 82 at 111 [66]. </w:t>
      </w:r>
    </w:p>
  </w:footnote>
  <w:footnote w:id="21">
    <w:p w14:paraId="0A3126AE"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 xml:space="preserve">See, </w:t>
      </w:r>
      <w:proofErr w:type="spellStart"/>
      <w:r w:rsidRPr="00AF01A0">
        <w:rPr>
          <w:rFonts w:ascii="Times New Roman" w:hAnsi="Times New Roman"/>
          <w:sz w:val="24"/>
        </w:rPr>
        <w:t>eg</w:t>
      </w:r>
      <w:proofErr w:type="spellEnd"/>
      <w:r w:rsidRPr="00AF01A0">
        <w:rPr>
          <w:rFonts w:ascii="Times New Roman" w:hAnsi="Times New Roman"/>
          <w:sz w:val="24"/>
        </w:rPr>
        <w:t xml:space="preserve">, </w:t>
      </w:r>
      <w:r w:rsidRPr="00AF01A0">
        <w:rPr>
          <w:rFonts w:ascii="Times New Roman" w:hAnsi="Times New Roman"/>
          <w:i/>
          <w:iCs/>
          <w:sz w:val="24"/>
        </w:rPr>
        <w:t xml:space="preserve">Aala </w:t>
      </w:r>
      <w:r w:rsidRPr="00AF01A0">
        <w:rPr>
          <w:rFonts w:ascii="Times New Roman" w:hAnsi="Times New Roman"/>
          <w:sz w:val="24"/>
        </w:rPr>
        <w:t xml:space="preserve">(2000) 204 CLR 82 at 115 [74]; </w:t>
      </w:r>
      <w:r w:rsidRPr="00AF01A0">
        <w:rPr>
          <w:rFonts w:ascii="Times New Roman" w:hAnsi="Times New Roman"/>
          <w:i/>
          <w:sz w:val="24"/>
        </w:rPr>
        <w:t xml:space="preserve">SZMTA </w:t>
      </w:r>
      <w:r w:rsidRPr="00AF01A0">
        <w:rPr>
          <w:rFonts w:ascii="Times New Roman" w:hAnsi="Times New Roman"/>
          <w:sz w:val="24"/>
        </w:rPr>
        <w:t xml:space="preserve">(2019) 264 CLR 421 at 446 [50]. </w:t>
      </w:r>
    </w:p>
  </w:footnote>
  <w:footnote w:id="22">
    <w:p w14:paraId="1AA5A1F4" w14:textId="77777777" w:rsidR="00C66B25" w:rsidRPr="00AF01A0" w:rsidRDefault="00C66B25" w:rsidP="00AF01A0">
      <w:pPr>
        <w:pStyle w:val="FootnoteText"/>
        <w:spacing w:line="280" w:lineRule="exact"/>
        <w:ind w:right="0"/>
        <w:jc w:val="both"/>
        <w:rPr>
          <w:rFonts w:ascii="Times New Roman" w:hAnsi="Times New Roman"/>
          <w:sz w:val="24"/>
          <w:lang w:val="en-US"/>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sz w:val="24"/>
        </w:rPr>
        <w:t xml:space="preserve">SZMTA </w:t>
      </w:r>
      <w:r w:rsidRPr="00AF01A0">
        <w:rPr>
          <w:rFonts w:ascii="Times New Roman" w:hAnsi="Times New Roman"/>
          <w:sz w:val="24"/>
        </w:rPr>
        <w:t xml:space="preserve">(2019) 264 CLR 421 at 451 [69]; </w:t>
      </w:r>
      <w:r w:rsidRPr="00AF01A0">
        <w:rPr>
          <w:rFonts w:ascii="Times New Roman" w:hAnsi="Times New Roman"/>
          <w:i/>
          <w:iCs/>
          <w:sz w:val="24"/>
        </w:rPr>
        <w:t xml:space="preserve">MZAPC </w:t>
      </w:r>
      <w:r w:rsidRPr="00AF01A0">
        <w:rPr>
          <w:rFonts w:ascii="Times New Roman" w:hAnsi="Times New Roman"/>
          <w:sz w:val="24"/>
        </w:rPr>
        <w:t>(2021) 273 CLR 506 at 524 [39], 538-539 [85]-[86], 563 [159].</w:t>
      </w:r>
    </w:p>
  </w:footnote>
  <w:footnote w:id="23">
    <w:p w14:paraId="5F42BEB8" w14:textId="4EB34C61"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Nathanson </w:t>
      </w:r>
      <w:r w:rsidRPr="00AF01A0">
        <w:rPr>
          <w:rFonts w:ascii="Times New Roman" w:hAnsi="Times New Roman"/>
          <w:sz w:val="24"/>
        </w:rPr>
        <w:t xml:space="preserve">(2022) </w:t>
      </w:r>
      <w:r w:rsidR="00453293">
        <w:rPr>
          <w:rFonts w:ascii="Times New Roman" w:hAnsi="Times New Roman"/>
          <w:sz w:val="24"/>
        </w:rPr>
        <w:t xml:space="preserve">276 CLR 80 at </w:t>
      </w:r>
      <w:r w:rsidR="00F065B2">
        <w:rPr>
          <w:rFonts w:ascii="Times New Roman" w:hAnsi="Times New Roman"/>
          <w:sz w:val="24"/>
        </w:rPr>
        <w:t xml:space="preserve">103 </w:t>
      </w:r>
      <w:r w:rsidRPr="00AF01A0">
        <w:rPr>
          <w:rFonts w:ascii="Times New Roman" w:hAnsi="Times New Roman"/>
          <w:sz w:val="24"/>
        </w:rPr>
        <w:t xml:space="preserve">[32], </w:t>
      </w:r>
      <w:r w:rsidR="00F065B2">
        <w:rPr>
          <w:rFonts w:ascii="Times New Roman" w:hAnsi="Times New Roman"/>
          <w:sz w:val="24"/>
        </w:rPr>
        <w:t>107-108</w:t>
      </w:r>
      <w:r w:rsidR="00F065B2" w:rsidRPr="00AF01A0">
        <w:rPr>
          <w:rFonts w:ascii="Times New Roman" w:hAnsi="Times New Roman"/>
          <w:sz w:val="24"/>
        </w:rPr>
        <w:t xml:space="preserve"> </w:t>
      </w:r>
      <w:r w:rsidRPr="00AF01A0">
        <w:rPr>
          <w:rFonts w:ascii="Times New Roman" w:hAnsi="Times New Roman"/>
          <w:sz w:val="24"/>
        </w:rPr>
        <w:t xml:space="preserve">[46], </w:t>
      </w:r>
      <w:r w:rsidR="00F065B2">
        <w:rPr>
          <w:rFonts w:ascii="Times New Roman" w:hAnsi="Times New Roman"/>
          <w:sz w:val="24"/>
        </w:rPr>
        <w:t>113</w:t>
      </w:r>
      <w:r w:rsidR="00F065B2" w:rsidRPr="00AF01A0">
        <w:rPr>
          <w:rFonts w:ascii="Times New Roman" w:hAnsi="Times New Roman"/>
          <w:sz w:val="24"/>
        </w:rPr>
        <w:t xml:space="preserve"> </w:t>
      </w:r>
      <w:r w:rsidRPr="00AF01A0">
        <w:rPr>
          <w:rFonts w:ascii="Times New Roman" w:hAnsi="Times New Roman"/>
          <w:sz w:val="24"/>
        </w:rPr>
        <w:t>[63].</w:t>
      </w:r>
    </w:p>
  </w:footnote>
  <w:footnote w:id="24">
    <w:p w14:paraId="1E9B71B6"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sz w:val="24"/>
        </w:rPr>
        <w:t xml:space="preserve">SZMTA </w:t>
      </w:r>
      <w:r w:rsidRPr="00AF01A0">
        <w:rPr>
          <w:rFonts w:ascii="Times New Roman" w:hAnsi="Times New Roman"/>
          <w:sz w:val="24"/>
        </w:rPr>
        <w:t xml:space="preserve">(2019) 264 CLR 421 at 445 [45]; </w:t>
      </w:r>
      <w:r w:rsidRPr="00AF01A0">
        <w:rPr>
          <w:rFonts w:ascii="Times New Roman" w:hAnsi="Times New Roman"/>
          <w:i/>
          <w:iCs/>
          <w:sz w:val="24"/>
        </w:rPr>
        <w:t xml:space="preserve">MZAPC </w:t>
      </w:r>
      <w:r w:rsidRPr="00AF01A0">
        <w:rPr>
          <w:rFonts w:ascii="Times New Roman" w:hAnsi="Times New Roman"/>
          <w:sz w:val="24"/>
        </w:rPr>
        <w:t xml:space="preserve">(2021) 273 CLR 506 at 514 [2], 538 [85]. See also </w:t>
      </w:r>
      <w:r w:rsidRPr="00AF01A0">
        <w:rPr>
          <w:rFonts w:ascii="Times New Roman" w:hAnsi="Times New Roman"/>
          <w:i/>
          <w:iCs/>
          <w:sz w:val="24"/>
        </w:rPr>
        <w:t xml:space="preserve">Hossain </w:t>
      </w:r>
      <w:r w:rsidRPr="00AF01A0">
        <w:rPr>
          <w:rFonts w:ascii="Times New Roman" w:hAnsi="Times New Roman"/>
          <w:sz w:val="24"/>
        </w:rPr>
        <w:t xml:space="preserve">(2018) 264 CLR 123 at 134-135 [30]-[31]; </w:t>
      </w:r>
      <w:r w:rsidRPr="00AF01A0">
        <w:rPr>
          <w:rFonts w:ascii="Times New Roman" w:hAnsi="Times New Roman"/>
          <w:i/>
          <w:iCs/>
          <w:sz w:val="24"/>
        </w:rPr>
        <w:t xml:space="preserve">ABT17 v Minister for Immigration and Border Protection </w:t>
      </w:r>
      <w:r w:rsidRPr="00AF01A0">
        <w:rPr>
          <w:rFonts w:ascii="Times New Roman" w:hAnsi="Times New Roman"/>
          <w:sz w:val="24"/>
        </w:rPr>
        <w:t>(2020) 269 CLR 439 at 467 [62].</w:t>
      </w:r>
    </w:p>
  </w:footnote>
  <w:footnote w:id="25">
    <w:p w14:paraId="4C6616ED" w14:textId="0102FBBE"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Nathanson </w:t>
      </w:r>
      <w:r w:rsidRPr="00AF01A0">
        <w:rPr>
          <w:rFonts w:ascii="Times New Roman" w:hAnsi="Times New Roman"/>
          <w:sz w:val="24"/>
        </w:rPr>
        <w:t xml:space="preserve">(2022) </w:t>
      </w:r>
      <w:r w:rsidR="00F065B2">
        <w:rPr>
          <w:rFonts w:ascii="Times New Roman" w:hAnsi="Times New Roman"/>
          <w:sz w:val="24"/>
        </w:rPr>
        <w:t>276 CLR 80 at</w:t>
      </w:r>
      <w:r w:rsidRPr="00AF01A0">
        <w:rPr>
          <w:rFonts w:ascii="Times New Roman" w:hAnsi="Times New Roman"/>
          <w:sz w:val="24"/>
        </w:rPr>
        <w:t xml:space="preserve"> </w:t>
      </w:r>
      <w:r w:rsidR="006838A8">
        <w:rPr>
          <w:rFonts w:ascii="Times New Roman" w:hAnsi="Times New Roman"/>
          <w:sz w:val="24"/>
        </w:rPr>
        <w:t xml:space="preserve">107-108 </w:t>
      </w:r>
      <w:r w:rsidRPr="00AF01A0">
        <w:rPr>
          <w:rFonts w:ascii="Times New Roman" w:hAnsi="Times New Roman"/>
          <w:sz w:val="24"/>
        </w:rPr>
        <w:t xml:space="preserve">[46]-[47], </w:t>
      </w:r>
      <w:r w:rsidR="00D67869">
        <w:rPr>
          <w:rFonts w:ascii="Times New Roman" w:hAnsi="Times New Roman"/>
          <w:sz w:val="24"/>
        </w:rPr>
        <w:t>134</w:t>
      </w:r>
      <w:r w:rsidR="00D67869" w:rsidRPr="00AF01A0">
        <w:rPr>
          <w:rFonts w:ascii="Times New Roman" w:hAnsi="Times New Roman"/>
          <w:sz w:val="24"/>
        </w:rPr>
        <w:t xml:space="preserve"> </w:t>
      </w:r>
      <w:r w:rsidRPr="00AF01A0">
        <w:rPr>
          <w:rFonts w:ascii="Times New Roman" w:hAnsi="Times New Roman"/>
          <w:sz w:val="24"/>
        </w:rPr>
        <w:t xml:space="preserve">[127]. </w:t>
      </w:r>
    </w:p>
  </w:footnote>
  <w:footnote w:id="26">
    <w:p w14:paraId="038A6AB4" w14:textId="5871389D" w:rsidR="00C66B25" w:rsidRPr="00AF01A0" w:rsidRDefault="00C66B25" w:rsidP="00AF01A0">
      <w:pPr>
        <w:pStyle w:val="FootnoteText"/>
        <w:spacing w:line="280" w:lineRule="exact"/>
        <w:ind w:right="0"/>
        <w:jc w:val="both"/>
        <w:rPr>
          <w:rFonts w:ascii="Times New Roman" w:hAnsi="Times New Roman"/>
          <w:sz w:val="24"/>
        </w:rPr>
      </w:pPr>
      <w:r w:rsidRPr="00AF01A0" w:rsidDel="002728C4">
        <w:rPr>
          <w:rStyle w:val="FootnoteReference"/>
          <w:rFonts w:ascii="Times New Roman" w:hAnsi="Times New Roman"/>
          <w:sz w:val="22"/>
          <w:vertAlign w:val="baseline"/>
        </w:rPr>
        <w:footnoteRef/>
      </w:r>
      <w:r w:rsidRPr="00AF01A0" w:rsidDel="002728C4">
        <w:rPr>
          <w:rFonts w:ascii="Times New Roman" w:hAnsi="Times New Roman"/>
          <w:sz w:val="24"/>
        </w:rPr>
        <w:t xml:space="preserve"> </w:t>
      </w:r>
      <w:r w:rsidRPr="00AF01A0" w:rsidDel="002728C4">
        <w:rPr>
          <w:rFonts w:ascii="Times New Roman" w:hAnsi="Times New Roman"/>
          <w:sz w:val="24"/>
        </w:rPr>
        <w:tab/>
      </w:r>
      <w:r w:rsidRPr="00AF01A0">
        <w:rPr>
          <w:rFonts w:ascii="Times New Roman" w:hAnsi="Times New Roman"/>
          <w:sz w:val="24"/>
        </w:rPr>
        <w:t xml:space="preserve">See, </w:t>
      </w:r>
      <w:proofErr w:type="spellStart"/>
      <w:r w:rsidRPr="00AF01A0">
        <w:rPr>
          <w:rFonts w:ascii="Times New Roman" w:hAnsi="Times New Roman"/>
          <w:sz w:val="24"/>
        </w:rPr>
        <w:t>eg</w:t>
      </w:r>
      <w:proofErr w:type="spellEnd"/>
      <w:r w:rsidRPr="00AF01A0">
        <w:rPr>
          <w:rFonts w:ascii="Times New Roman" w:hAnsi="Times New Roman"/>
          <w:sz w:val="24"/>
        </w:rPr>
        <w:t xml:space="preserve">, </w:t>
      </w:r>
      <w:r w:rsidRPr="00AF01A0">
        <w:rPr>
          <w:rFonts w:ascii="Times New Roman" w:hAnsi="Times New Roman"/>
          <w:i/>
          <w:iCs/>
          <w:sz w:val="24"/>
        </w:rPr>
        <w:t>Thornton</w:t>
      </w:r>
      <w:r w:rsidRPr="00AF01A0">
        <w:rPr>
          <w:rFonts w:ascii="Times New Roman" w:hAnsi="Times New Roman"/>
          <w:sz w:val="24"/>
        </w:rPr>
        <w:t xml:space="preserve"> (2023) </w:t>
      </w:r>
      <w:r w:rsidR="009D62A7">
        <w:rPr>
          <w:rFonts w:ascii="Times New Roman" w:hAnsi="Times New Roman"/>
          <w:sz w:val="24"/>
        </w:rPr>
        <w:t>276 CLR 136</w:t>
      </w:r>
      <w:r w:rsidRPr="00AF01A0">
        <w:rPr>
          <w:rFonts w:ascii="Times New Roman" w:hAnsi="Times New Roman"/>
          <w:sz w:val="24"/>
        </w:rPr>
        <w:t>.</w:t>
      </w:r>
    </w:p>
  </w:footnote>
  <w:footnote w:id="27">
    <w:p w14:paraId="702C1E61" w14:textId="7EEE7418"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Minister for Immigration and Border Protection v </w:t>
      </w:r>
      <w:r w:rsidRPr="00AF01A0">
        <w:rPr>
          <w:rFonts w:ascii="Times New Roman" w:hAnsi="Times New Roman"/>
          <w:i/>
          <w:sz w:val="24"/>
        </w:rPr>
        <w:t xml:space="preserve">WZARH </w:t>
      </w:r>
      <w:r w:rsidRPr="00AF01A0">
        <w:rPr>
          <w:rFonts w:ascii="Times New Roman" w:hAnsi="Times New Roman"/>
          <w:sz w:val="24"/>
        </w:rPr>
        <w:t xml:space="preserve">(2015) 256 CLR 326 at 342-343 [58]-[60]; </w:t>
      </w:r>
      <w:r w:rsidRPr="00AF01A0">
        <w:rPr>
          <w:rFonts w:ascii="Times New Roman" w:hAnsi="Times New Roman"/>
          <w:i/>
          <w:iCs/>
          <w:sz w:val="24"/>
        </w:rPr>
        <w:t xml:space="preserve">Nathanson </w:t>
      </w:r>
      <w:r w:rsidRPr="00AF01A0">
        <w:rPr>
          <w:rFonts w:ascii="Times New Roman" w:hAnsi="Times New Roman"/>
          <w:sz w:val="24"/>
        </w:rPr>
        <w:t xml:space="preserve">(2022) </w:t>
      </w:r>
      <w:r w:rsidR="002E35E0">
        <w:rPr>
          <w:rFonts w:ascii="Times New Roman" w:hAnsi="Times New Roman"/>
          <w:sz w:val="24"/>
        </w:rPr>
        <w:t xml:space="preserve">276 CLR 80 at </w:t>
      </w:r>
      <w:r w:rsidR="004C0235">
        <w:rPr>
          <w:rFonts w:ascii="Times New Roman" w:hAnsi="Times New Roman"/>
          <w:sz w:val="24"/>
        </w:rPr>
        <w:t xml:space="preserve">103 </w:t>
      </w:r>
      <w:r w:rsidRPr="00AF01A0">
        <w:rPr>
          <w:rFonts w:ascii="Times New Roman" w:hAnsi="Times New Roman"/>
          <w:sz w:val="24"/>
        </w:rPr>
        <w:t xml:space="preserve">[33], </w:t>
      </w:r>
      <w:r w:rsidR="004C0235">
        <w:rPr>
          <w:rFonts w:ascii="Times New Roman" w:hAnsi="Times New Roman"/>
          <w:sz w:val="24"/>
        </w:rPr>
        <w:t>110-111</w:t>
      </w:r>
      <w:r w:rsidR="004C0235" w:rsidRPr="00AF01A0">
        <w:rPr>
          <w:rFonts w:ascii="Times New Roman" w:hAnsi="Times New Roman"/>
          <w:sz w:val="24"/>
        </w:rPr>
        <w:t xml:space="preserve"> </w:t>
      </w:r>
      <w:r w:rsidRPr="00AF01A0">
        <w:rPr>
          <w:rFonts w:ascii="Times New Roman" w:hAnsi="Times New Roman"/>
          <w:sz w:val="24"/>
        </w:rPr>
        <w:t xml:space="preserve">[55]-[56], </w:t>
      </w:r>
      <w:r w:rsidR="00747D6C">
        <w:rPr>
          <w:rFonts w:ascii="Times New Roman" w:hAnsi="Times New Roman"/>
          <w:sz w:val="24"/>
        </w:rPr>
        <w:t>113 </w:t>
      </w:r>
      <w:r w:rsidRPr="00AF01A0">
        <w:rPr>
          <w:rFonts w:ascii="Times New Roman" w:hAnsi="Times New Roman"/>
          <w:sz w:val="24"/>
        </w:rPr>
        <w:t xml:space="preserve">[63], </w:t>
      </w:r>
      <w:r w:rsidR="00596D5A">
        <w:rPr>
          <w:rFonts w:ascii="Times New Roman" w:hAnsi="Times New Roman"/>
          <w:sz w:val="24"/>
        </w:rPr>
        <w:t>116-117</w:t>
      </w:r>
      <w:r w:rsidR="00596D5A" w:rsidRPr="00AF01A0">
        <w:rPr>
          <w:rFonts w:ascii="Times New Roman" w:hAnsi="Times New Roman"/>
          <w:sz w:val="24"/>
        </w:rPr>
        <w:t xml:space="preserve"> </w:t>
      </w:r>
      <w:r w:rsidRPr="00AF01A0">
        <w:rPr>
          <w:rFonts w:ascii="Times New Roman" w:hAnsi="Times New Roman"/>
          <w:sz w:val="24"/>
        </w:rPr>
        <w:t>[76].</w:t>
      </w:r>
    </w:p>
  </w:footnote>
  <w:footnote w:id="28">
    <w:p w14:paraId="679668C5" w14:textId="77777777" w:rsidR="00C66B25" w:rsidRPr="00AF01A0" w:rsidRDefault="00C66B25" w:rsidP="00AF01A0">
      <w:pPr>
        <w:pStyle w:val="FootnoteText"/>
        <w:spacing w:line="280" w:lineRule="exact"/>
        <w:ind w:right="0"/>
        <w:jc w:val="both"/>
        <w:rPr>
          <w:rFonts w:ascii="Times New Roman" w:hAnsi="Times New Roman"/>
          <w:i/>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sz w:val="24"/>
        </w:rPr>
        <w:t>Stead</w:t>
      </w:r>
      <w:r w:rsidRPr="00AF01A0">
        <w:rPr>
          <w:rFonts w:ascii="Times New Roman" w:hAnsi="Times New Roman"/>
          <w:sz w:val="24"/>
        </w:rPr>
        <w:t xml:space="preserve"> (1986) 161 CLR 141 at 145-146. See also </w:t>
      </w:r>
      <w:r w:rsidRPr="00AF01A0">
        <w:rPr>
          <w:rFonts w:ascii="Times New Roman" w:hAnsi="Times New Roman"/>
          <w:i/>
          <w:sz w:val="24"/>
        </w:rPr>
        <w:t>Aala</w:t>
      </w:r>
      <w:r w:rsidRPr="00AF01A0">
        <w:rPr>
          <w:rFonts w:ascii="Times New Roman" w:hAnsi="Times New Roman"/>
          <w:sz w:val="24"/>
        </w:rPr>
        <w:t xml:space="preserve"> (2000) 204 CLR 82 at 122 [104]; </w:t>
      </w:r>
      <w:r w:rsidRPr="00AF01A0">
        <w:rPr>
          <w:rFonts w:ascii="Times New Roman" w:hAnsi="Times New Roman"/>
          <w:i/>
          <w:sz w:val="24"/>
        </w:rPr>
        <w:t xml:space="preserve">WZARH </w:t>
      </w:r>
      <w:r w:rsidRPr="00AF01A0">
        <w:rPr>
          <w:rFonts w:ascii="Times New Roman" w:hAnsi="Times New Roman"/>
          <w:sz w:val="24"/>
        </w:rPr>
        <w:t>(2015) 256 CLR 326 at 343 [60].</w:t>
      </w:r>
    </w:p>
  </w:footnote>
  <w:footnote w:id="29">
    <w:p w14:paraId="103E3F63"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sz w:val="24"/>
        </w:rPr>
        <w:t xml:space="preserve">SZMTA </w:t>
      </w:r>
      <w:r w:rsidRPr="00AF01A0">
        <w:rPr>
          <w:rFonts w:ascii="Times New Roman" w:hAnsi="Times New Roman"/>
          <w:sz w:val="24"/>
        </w:rPr>
        <w:t xml:space="preserve">(2019) 264 CLR 421 at 460 [95]; </w:t>
      </w:r>
      <w:r w:rsidRPr="00AF01A0">
        <w:rPr>
          <w:rFonts w:ascii="Times New Roman" w:hAnsi="Times New Roman"/>
          <w:i/>
          <w:iCs/>
          <w:sz w:val="24"/>
        </w:rPr>
        <w:t xml:space="preserve">MZAPC </w:t>
      </w:r>
      <w:r w:rsidRPr="00AF01A0">
        <w:rPr>
          <w:rFonts w:ascii="Times New Roman" w:hAnsi="Times New Roman"/>
          <w:sz w:val="24"/>
        </w:rPr>
        <w:t>(2021) 273 CLR 506 at 528 [51].</w:t>
      </w:r>
    </w:p>
  </w:footnote>
  <w:footnote w:id="30">
    <w:p w14:paraId="3F126912"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 xml:space="preserve">See </w:t>
      </w:r>
      <w:r w:rsidRPr="00AF01A0">
        <w:rPr>
          <w:rFonts w:ascii="Times New Roman" w:hAnsi="Times New Roman"/>
          <w:i/>
          <w:iCs/>
          <w:sz w:val="24"/>
        </w:rPr>
        <w:t xml:space="preserve">Ismail v Minister for Immigration, Citizenship and Multicultural Affairs </w:t>
      </w:r>
      <w:r w:rsidRPr="00AF01A0">
        <w:rPr>
          <w:rFonts w:ascii="Times New Roman" w:hAnsi="Times New Roman"/>
          <w:sz w:val="24"/>
        </w:rPr>
        <w:t xml:space="preserve">(2024) 98 ALJR 196 at 199 [8]; see also </w:t>
      </w:r>
      <w:proofErr w:type="spellStart"/>
      <w:r w:rsidRPr="00AF01A0">
        <w:rPr>
          <w:rFonts w:ascii="Times New Roman" w:hAnsi="Times New Roman"/>
          <w:i/>
          <w:iCs/>
          <w:sz w:val="24"/>
        </w:rPr>
        <w:t>Uelese</w:t>
      </w:r>
      <w:proofErr w:type="spellEnd"/>
      <w:r w:rsidRPr="00AF01A0">
        <w:rPr>
          <w:rFonts w:ascii="Times New Roman" w:hAnsi="Times New Roman"/>
          <w:i/>
          <w:iCs/>
          <w:sz w:val="24"/>
        </w:rPr>
        <w:t xml:space="preserve"> v Minister for Immigration and Border Protection </w:t>
      </w:r>
      <w:r w:rsidRPr="00AF01A0">
        <w:rPr>
          <w:rFonts w:ascii="Times New Roman" w:hAnsi="Times New Roman"/>
          <w:sz w:val="24"/>
        </w:rPr>
        <w:t>(2015) 256 CLR 203 at 210 [11], 211 [19].</w:t>
      </w:r>
    </w:p>
  </w:footnote>
  <w:footnote w:id="31">
    <w:p w14:paraId="4055A28B"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Direction 90, para 5.2.</w:t>
      </w:r>
    </w:p>
  </w:footnote>
  <w:footnote w:id="32">
    <w:p w14:paraId="30498185"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 xml:space="preserve">Direction 90, para 6. </w:t>
      </w:r>
    </w:p>
  </w:footnote>
  <w:footnote w:id="33">
    <w:p w14:paraId="0EFA88B0"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Direction 90, para 8(1).</w:t>
      </w:r>
    </w:p>
  </w:footnote>
  <w:footnote w:id="34">
    <w:p w14:paraId="3C5A7259"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 xml:space="preserve">Direction 90, para 8.1(2)(a). </w:t>
      </w:r>
    </w:p>
  </w:footnote>
  <w:footnote w:id="35">
    <w:p w14:paraId="74E192D3"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Direction 90, para 8.1.1(1)(b)(ii).</w:t>
      </w:r>
    </w:p>
  </w:footnote>
  <w:footnote w:id="36">
    <w:p w14:paraId="0CCAA855" w14:textId="77777777" w:rsidR="00C66B25" w:rsidRPr="00AF01A0" w:rsidRDefault="00C66B25" w:rsidP="00AF01A0">
      <w:pPr>
        <w:pStyle w:val="FootnoteText"/>
        <w:spacing w:line="280" w:lineRule="exact"/>
        <w:ind w:right="0"/>
        <w:jc w:val="both"/>
        <w:rPr>
          <w:rFonts w:ascii="Times New Roman" w:hAnsi="Times New Roman"/>
          <w:sz w:val="24"/>
          <w:lang w:val="en-US"/>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Direction 90, paras 8.2 and 8.3.</w:t>
      </w:r>
    </w:p>
  </w:footnote>
  <w:footnote w:id="37">
    <w:p w14:paraId="55A88C22" w14:textId="77777777" w:rsidR="00C66B25" w:rsidRPr="00AF01A0" w:rsidRDefault="00C66B25" w:rsidP="00AF01A0">
      <w:pPr>
        <w:pStyle w:val="FootnoteText"/>
        <w:spacing w:line="280" w:lineRule="exact"/>
        <w:ind w:right="0"/>
        <w:jc w:val="both"/>
        <w:rPr>
          <w:rFonts w:ascii="Times New Roman" w:hAnsi="Times New Roman"/>
          <w:sz w:val="24"/>
          <w:lang w:val="en-US"/>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Direction 90, para 8.4.</w:t>
      </w:r>
    </w:p>
  </w:footnote>
  <w:footnote w:id="38">
    <w:p w14:paraId="3E14EA97" w14:textId="65EA098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 xml:space="preserve">See, </w:t>
      </w:r>
      <w:proofErr w:type="spellStart"/>
      <w:r w:rsidRPr="00AF01A0">
        <w:rPr>
          <w:rFonts w:ascii="Times New Roman" w:hAnsi="Times New Roman"/>
          <w:sz w:val="24"/>
        </w:rPr>
        <w:t>eg</w:t>
      </w:r>
      <w:proofErr w:type="spellEnd"/>
      <w:r w:rsidRPr="00AF01A0">
        <w:rPr>
          <w:rFonts w:ascii="Times New Roman" w:hAnsi="Times New Roman"/>
          <w:sz w:val="24"/>
        </w:rPr>
        <w:t xml:space="preserve">, </w:t>
      </w:r>
      <w:r w:rsidRPr="00AF01A0">
        <w:rPr>
          <w:rFonts w:ascii="Times New Roman" w:hAnsi="Times New Roman"/>
          <w:i/>
          <w:iCs/>
          <w:sz w:val="24"/>
        </w:rPr>
        <w:t xml:space="preserve">LPDT v Minister for Immigration, Citizenship, Migrant Services and Multicultural Affairs </w:t>
      </w:r>
      <w:r w:rsidRPr="00AF01A0">
        <w:rPr>
          <w:rFonts w:ascii="Times New Roman" w:hAnsi="Times New Roman"/>
          <w:sz w:val="24"/>
        </w:rPr>
        <w:t>(2023) 297 FCR 1 at 25-28 [91]</w:t>
      </w:r>
      <w:r w:rsidRPr="00AF01A0">
        <w:rPr>
          <w:rFonts w:ascii="Times New Roman" w:hAnsi="Times New Roman"/>
          <w:sz w:val="24"/>
        </w:rPr>
        <w:noBreakHyphen/>
        <w:t>[105] (in relation to (a)), 31</w:t>
      </w:r>
      <w:r w:rsidR="00E57ADB">
        <w:rPr>
          <w:rFonts w:ascii="Times New Roman" w:hAnsi="Times New Roman"/>
          <w:sz w:val="24"/>
        </w:rPr>
        <w:t> </w:t>
      </w:r>
      <w:r w:rsidRPr="00AF01A0">
        <w:rPr>
          <w:rFonts w:ascii="Times New Roman" w:hAnsi="Times New Roman"/>
          <w:sz w:val="24"/>
        </w:rPr>
        <w:t>[124] (in relation to (b)), 37-38 [158]</w:t>
      </w:r>
      <w:r w:rsidRPr="00AF01A0">
        <w:rPr>
          <w:rFonts w:ascii="Times New Roman" w:hAnsi="Times New Roman"/>
          <w:sz w:val="24"/>
        </w:rPr>
        <w:noBreakHyphen/>
        <w:t>[162] (in relation to (g)).</w:t>
      </w:r>
    </w:p>
  </w:footnote>
  <w:footnote w:id="39">
    <w:p w14:paraId="43786E75" w14:textId="77777777"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LPDT </w:t>
      </w:r>
      <w:r w:rsidRPr="00AF01A0">
        <w:rPr>
          <w:rFonts w:ascii="Times New Roman" w:hAnsi="Times New Roman"/>
          <w:sz w:val="24"/>
        </w:rPr>
        <w:t>(2023) 297 FCR 1 at 26 [97].</w:t>
      </w:r>
    </w:p>
  </w:footnote>
  <w:footnote w:id="40">
    <w:p w14:paraId="7E3262E8" w14:textId="1F21F156"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 xml:space="preserve">Attorney-General (NSW) v Quin </w:t>
      </w:r>
      <w:r w:rsidRPr="00AF01A0">
        <w:rPr>
          <w:rFonts w:ascii="Times New Roman" w:hAnsi="Times New Roman"/>
          <w:sz w:val="24"/>
        </w:rPr>
        <w:t xml:space="preserve">(1990) 170 CLR 1 at 35-36, 38; </w:t>
      </w:r>
      <w:r w:rsidRPr="00AF01A0">
        <w:rPr>
          <w:rFonts w:ascii="Times New Roman" w:hAnsi="Times New Roman"/>
          <w:i/>
          <w:sz w:val="24"/>
        </w:rPr>
        <w:t xml:space="preserve">SZMTA </w:t>
      </w:r>
      <w:r w:rsidRPr="00AF01A0">
        <w:rPr>
          <w:rFonts w:ascii="Times New Roman" w:hAnsi="Times New Roman"/>
          <w:sz w:val="24"/>
        </w:rPr>
        <w:t>(2019) 264</w:t>
      </w:r>
      <w:r w:rsidR="00A30C6E">
        <w:rPr>
          <w:rFonts w:ascii="Times New Roman" w:hAnsi="Times New Roman"/>
          <w:sz w:val="24"/>
        </w:rPr>
        <w:t> </w:t>
      </w:r>
      <w:r w:rsidRPr="00AF01A0">
        <w:rPr>
          <w:rFonts w:ascii="Times New Roman" w:hAnsi="Times New Roman"/>
          <w:sz w:val="24"/>
        </w:rPr>
        <w:t xml:space="preserve">CLR 421 at 445 [48], 460 [95]; </w:t>
      </w:r>
      <w:r w:rsidRPr="00AF01A0">
        <w:rPr>
          <w:rFonts w:ascii="Times New Roman" w:hAnsi="Times New Roman"/>
          <w:i/>
          <w:iCs/>
          <w:sz w:val="24"/>
        </w:rPr>
        <w:t xml:space="preserve">MZAPC </w:t>
      </w:r>
      <w:r w:rsidRPr="00AF01A0">
        <w:rPr>
          <w:rFonts w:ascii="Times New Roman" w:hAnsi="Times New Roman"/>
          <w:sz w:val="24"/>
        </w:rPr>
        <w:t>(2021) 273 CLR 506 at 528 [51].</w:t>
      </w:r>
    </w:p>
  </w:footnote>
  <w:footnote w:id="41">
    <w:p w14:paraId="6E094767" w14:textId="3FCCD7A2"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t xml:space="preserve">See, </w:t>
      </w:r>
      <w:proofErr w:type="spellStart"/>
      <w:r w:rsidRPr="00AF01A0">
        <w:rPr>
          <w:rFonts w:ascii="Times New Roman" w:hAnsi="Times New Roman"/>
          <w:sz w:val="24"/>
        </w:rPr>
        <w:t>eg</w:t>
      </w:r>
      <w:proofErr w:type="spellEnd"/>
      <w:r w:rsidRPr="00AF01A0">
        <w:rPr>
          <w:rFonts w:ascii="Times New Roman" w:hAnsi="Times New Roman"/>
          <w:sz w:val="24"/>
        </w:rPr>
        <w:t xml:space="preserve">, </w:t>
      </w:r>
      <w:r w:rsidRPr="00AF01A0">
        <w:rPr>
          <w:rFonts w:ascii="Times New Roman" w:hAnsi="Times New Roman"/>
          <w:i/>
          <w:iCs/>
          <w:sz w:val="24"/>
        </w:rPr>
        <w:t xml:space="preserve">FTZK v Minister for Immigration and Border Protection </w:t>
      </w:r>
      <w:r w:rsidRPr="00AF01A0">
        <w:rPr>
          <w:rFonts w:ascii="Times New Roman" w:hAnsi="Times New Roman"/>
          <w:sz w:val="24"/>
        </w:rPr>
        <w:t xml:space="preserve">(2014) 88 ALJR 754 at 768 [67]; 310 ALR 1 at 18; </w:t>
      </w:r>
      <w:r w:rsidRPr="00AF01A0">
        <w:rPr>
          <w:rFonts w:ascii="Times New Roman" w:hAnsi="Times New Roman"/>
          <w:i/>
          <w:iCs/>
          <w:sz w:val="24"/>
        </w:rPr>
        <w:t xml:space="preserve">MZAPC </w:t>
      </w:r>
      <w:r w:rsidRPr="00AF01A0">
        <w:rPr>
          <w:rFonts w:ascii="Times New Roman" w:hAnsi="Times New Roman"/>
          <w:sz w:val="24"/>
        </w:rPr>
        <w:t>(2021) 273 CLR 506 at 549 [114]. See</w:t>
      </w:r>
      <w:r w:rsidR="00E57ADB">
        <w:rPr>
          <w:rFonts w:ascii="Times New Roman" w:hAnsi="Times New Roman"/>
          <w:sz w:val="24"/>
        </w:rPr>
        <w:t> </w:t>
      </w:r>
      <w:r w:rsidRPr="00AF01A0">
        <w:rPr>
          <w:rFonts w:ascii="Times New Roman" w:hAnsi="Times New Roman"/>
          <w:sz w:val="24"/>
        </w:rPr>
        <w:t xml:space="preserve">also, </w:t>
      </w:r>
      <w:proofErr w:type="spellStart"/>
      <w:r w:rsidRPr="00AF01A0">
        <w:rPr>
          <w:rFonts w:ascii="Times New Roman" w:hAnsi="Times New Roman"/>
          <w:sz w:val="24"/>
        </w:rPr>
        <w:t>eg</w:t>
      </w:r>
      <w:proofErr w:type="spellEnd"/>
      <w:r w:rsidRPr="00AF01A0">
        <w:rPr>
          <w:rFonts w:ascii="Times New Roman" w:hAnsi="Times New Roman"/>
          <w:sz w:val="24"/>
        </w:rPr>
        <w:t xml:space="preserve">, </w:t>
      </w:r>
      <w:proofErr w:type="spellStart"/>
      <w:r w:rsidRPr="00AF01A0">
        <w:rPr>
          <w:rFonts w:ascii="Times New Roman" w:hAnsi="Times New Roman"/>
          <w:i/>
          <w:iCs/>
          <w:sz w:val="24"/>
        </w:rPr>
        <w:t>Sadsad</w:t>
      </w:r>
      <w:proofErr w:type="spellEnd"/>
      <w:r w:rsidRPr="00AF01A0">
        <w:rPr>
          <w:rFonts w:ascii="Times New Roman" w:hAnsi="Times New Roman"/>
          <w:i/>
          <w:iCs/>
          <w:sz w:val="24"/>
        </w:rPr>
        <w:t xml:space="preserve"> v NRMA Insurance Ltd </w:t>
      </w:r>
      <w:r w:rsidRPr="00AF01A0">
        <w:rPr>
          <w:rFonts w:ascii="Times New Roman" w:hAnsi="Times New Roman"/>
          <w:sz w:val="24"/>
        </w:rPr>
        <w:t xml:space="preserve">(2014) 67 MVR 601 at 610 [47]; </w:t>
      </w:r>
      <w:r w:rsidRPr="00AF01A0">
        <w:rPr>
          <w:rFonts w:ascii="Times New Roman" w:hAnsi="Times New Roman"/>
          <w:i/>
          <w:iCs/>
          <w:sz w:val="24"/>
        </w:rPr>
        <w:t>Acting</w:t>
      </w:r>
      <w:r w:rsidR="00E57ADB">
        <w:rPr>
          <w:rFonts w:ascii="Times New Roman" w:hAnsi="Times New Roman"/>
          <w:i/>
          <w:iCs/>
          <w:sz w:val="24"/>
        </w:rPr>
        <w:t> </w:t>
      </w:r>
      <w:r w:rsidRPr="00AF01A0">
        <w:rPr>
          <w:rFonts w:ascii="Times New Roman" w:hAnsi="Times New Roman"/>
          <w:i/>
          <w:iCs/>
          <w:sz w:val="24"/>
        </w:rPr>
        <w:t xml:space="preserve">Minister for Immigration, Citizenship, Migrant Services and Multicultural Affairs v CWY20 </w:t>
      </w:r>
      <w:r w:rsidRPr="00AF01A0">
        <w:rPr>
          <w:rFonts w:ascii="Times New Roman" w:hAnsi="Times New Roman"/>
          <w:sz w:val="24"/>
        </w:rPr>
        <w:t xml:space="preserve">(2021) 288 FCR 565 at 595 [130]. </w:t>
      </w:r>
    </w:p>
  </w:footnote>
  <w:footnote w:id="42">
    <w:p w14:paraId="750534A0" w14:textId="58034D4F" w:rsidR="00C66B25" w:rsidRPr="00AF01A0" w:rsidRDefault="00C66B25" w:rsidP="00AF01A0">
      <w:pPr>
        <w:pStyle w:val="FootnoteText"/>
        <w:spacing w:line="280" w:lineRule="exact"/>
        <w:ind w:right="0"/>
        <w:jc w:val="both"/>
        <w:rPr>
          <w:rFonts w:ascii="Times New Roman" w:hAnsi="Times New Roman"/>
          <w:sz w:val="24"/>
        </w:rPr>
      </w:pPr>
      <w:r w:rsidRPr="00AF01A0">
        <w:rPr>
          <w:rStyle w:val="FootnoteReference"/>
          <w:rFonts w:ascii="Times New Roman" w:hAnsi="Times New Roman"/>
          <w:sz w:val="22"/>
          <w:vertAlign w:val="baseline"/>
        </w:rPr>
        <w:footnoteRef/>
      </w:r>
      <w:r w:rsidRPr="00AF01A0">
        <w:rPr>
          <w:rFonts w:ascii="Times New Roman" w:hAnsi="Times New Roman"/>
          <w:sz w:val="24"/>
        </w:rPr>
        <w:t xml:space="preserve"> </w:t>
      </w:r>
      <w:r w:rsidRPr="00AF01A0">
        <w:rPr>
          <w:rFonts w:ascii="Times New Roman" w:hAnsi="Times New Roman"/>
          <w:sz w:val="24"/>
        </w:rPr>
        <w:tab/>
      </w:r>
      <w:r w:rsidRPr="00AF01A0">
        <w:rPr>
          <w:rFonts w:ascii="Times New Roman" w:hAnsi="Times New Roman"/>
          <w:i/>
          <w:iCs/>
          <w:sz w:val="24"/>
        </w:rPr>
        <w:t>Minister for Immigration and Citizenship v Li</w:t>
      </w:r>
      <w:r w:rsidRPr="00AF01A0">
        <w:rPr>
          <w:rFonts w:ascii="Times New Roman" w:hAnsi="Times New Roman"/>
          <w:sz w:val="24"/>
        </w:rPr>
        <w:t xml:space="preserve"> (2013) 249 CLR 332 at 364 [68], 367</w:t>
      </w:r>
      <w:r w:rsidR="00A30C6E">
        <w:rPr>
          <w:rFonts w:ascii="Times New Roman" w:hAnsi="Times New Roman"/>
          <w:sz w:val="24"/>
        </w:rPr>
        <w:t> </w:t>
      </w:r>
      <w:r w:rsidRPr="00AF01A0">
        <w:rPr>
          <w:rFonts w:ascii="Times New Roman" w:hAnsi="Times New Roman"/>
          <w:sz w:val="24"/>
        </w:rPr>
        <w:t xml:space="preserve">[76], 371 [91], 375 [105]. </w:t>
      </w:r>
    </w:p>
  </w:footnote>
  <w:footnote w:id="43">
    <w:p w14:paraId="187664AA"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r>
      <w:bookmarkStart w:id="0" w:name="_Hlk160009163"/>
      <w:r w:rsidRPr="00473CF3">
        <w:rPr>
          <w:rFonts w:ascii="Times New Roman" w:hAnsi="Times New Roman"/>
          <w:sz w:val="24"/>
        </w:rPr>
        <w:t xml:space="preserve">Reasons of Gageler CJ, Gordon, Edelman, Steward, Gleeson and Jagot JJ ("Joint Reasons") at </w:t>
      </w:r>
      <w:bookmarkEnd w:id="0"/>
      <w:r w:rsidRPr="00CA73ED">
        <w:rPr>
          <w:rFonts w:ascii="Times New Roman" w:hAnsi="Times New Roman"/>
          <w:sz w:val="24"/>
        </w:rPr>
        <w:t>[2]-[16].</w:t>
      </w:r>
    </w:p>
  </w:footnote>
  <w:footnote w:id="44">
    <w:p w14:paraId="1100940B"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Pr>
          <w:rFonts w:ascii="Times New Roman" w:hAnsi="Times New Roman"/>
          <w:sz w:val="24"/>
        </w:rPr>
        <w:tab/>
      </w:r>
      <w:r w:rsidRPr="00473CF3">
        <w:rPr>
          <w:rFonts w:ascii="Times New Roman" w:hAnsi="Times New Roman"/>
          <w:i/>
          <w:iCs/>
          <w:sz w:val="24"/>
        </w:rPr>
        <w:t xml:space="preserve">Direction No 90 − Visa refusal and cancellation under section 501 and revocation of a mandatory cancellation of a visa under section 501CA </w:t>
      </w:r>
      <w:r w:rsidRPr="00473CF3">
        <w:rPr>
          <w:rFonts w:ascii="Times New Roman" w:hAnsi="Times New Roman"/>
          <w:sz w:val="24"/>
        </w:rPr>
        <w:t xml:space="preserve">("Direction 90"). </w:t>
      </w:r>
    </w:p>
  </w:footnote>
  <w:footnote w:id="45">
    <w:p w14:paraId="5E3C2C02"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r>
      <w:r w:rsidRPr="00473CF3">
        <w:rPr>
          <w:rFonts w:ascii="Times New Roman" w:hAnsi="Times New Roman"/>
          <w:i/>
          <w:iCs/>
          <w:sz w:val="24"/>
        </w:rPr>
        <w:t>LPDT v Minister for Immigration, Citizenship, Migrant Services and Multicultural Affairs</w:t>
      </w:r>
      <w:r w:rsidRPr="00473CF3">
        <w:rPr>
          <w:rFonts w:ascii="Times New Roman" w:hAnsi="Times New Roman"/>
          <w:sz w:val="24"/>
        </w:rPr>
        <w:t xml:space="preserve"> (2023) 297 FCR 1 at 19-21 [64]-[71], 30 [119] per Markovic, Thomas and Button JJ.</w:t>
      </w:r>
    </w:p>
  </w:footnote>
  <w:footnote w:id="46">
    <w:p w14:paraId="4571238A"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r>
      <w:r w:rsidRPr="00473CF3">
        <w:rPr>
          <w:rFonts w:ascii="Times New Roman" w:hAnsi="Times New Roman"/>
          <w:i/>
          <w:iCs/>
          <w:sz w:val="24"/>
        </w:rPr>
        <w:t>LPDT v Minister for Immigration, Citizenship, Migrant Services and Multicultural Affairs</w:t>
      </w:r>
      <w:r w:rsidRPr="00473CF3">
        <w:rPr>
          <w:rFonts w:ascii="Times New Roman" w:hAnsi="Times New Roman"/>
          <w:sz w:val="24"/>
        </w:rPr>
        <w:t xml:space="preserve"> (2023) 297 FCR 1 at 34 [143], 35 [148] per Markovic, Thomas and Button</w:t>
      </w:r>
      <w:r>
        <w:rPr>
          <w:rFonts w:ascii="Times New Roman" w:hAnsi="Times New Roman"/>
          <w:sz w:val="24"/>
        </w:rPr>
        <w:t> </w:t>
      </w:r>
      <w:r w:rsidRPr="00473CF3">
        <w:rPr>
          <w:rFonts w:ascii="Times New Roman" w:hAnsi="Times New Roman"/>
          <w:sz w:val="24"/>
        </w:rPr>
        <w:t>JJ.</w:t>
      </w:r>
    </w:p>
  </w:footnote>
  <w:footnote w:id="47">
    <w:p w14:paraId="206D44AB"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t xml:space="preserve">See </w:t>
      </w:r>
      <w:r w:rsidRPr="00473CF3">
        <w:rPr>
          <w:rFonts w:ascii="Times New Roman" w:hAnsi="Times New Roman"/>
          <w:i/>
          <w:iCs/>
          <w:sz w:val="24"/>
        </w:rPr>
        <w:t>LPDT v Minister for Immigration, Citizenship, Migrant Services and Multicultural Affairs</w:t>
      </w:r>
      <w:r w:rsidRPr="00473CF3">
        <w:rPr>
          <w:rFonts w:ascii="Times New Roman" w:hAnsi="Times New Roman"/>
          <w:sz w:val="24"/>
        </w:rPr>
        <w:t xml:space="preserve"> (2023) 297 FCR 1 at 33 [139] per Markovic, Thomas and Button JJ.</w:t>
      </w:r>
    </w:p>
  </w:footnote>
  <w:footnote w:id="48">
    <w:p w14:paraId="1AF01E4D"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r>
      <w:bookmarkStart w:id="1" w:name="_Hlk160009268"/>
      <w:r w:rsidRPr="00473CF3">
        <w:rPr>
          <w:rFonts w:ascii="Times New Roman" w:hAnsi="Times New Roman"/>
          <w:sz w:val="24"/>
        </w:rPr>
        <w:t xml:space="preserve">Joint Reasons at </w:t>
      </w:r>
      <w:r w:rsidRPr="00A064D0">
        <w:rPr>
          <w:rFonts w:ascii="Times New Roman" w:hAnsi="Times New Roman"/>
          <w:sz w:val="24"/>
        </w:rPr>
        <w:t>[31]</w:t>
      </w:r>
      <w:bookmarkEnd w:id="1"/>
      <w:r w:rsidRPr="00A064D0">
        <w:rPr>
          <w:rFonts w:ascii="Times New Roman" w:hAnsi="Times New Roman"/>
          <w:sz w:val="24"/>
        </w:rPr>
        <w:t>.</w:t>
      </w:r>
    </w:p>
  </w:footnote>
  <w:footnote w:id="49">
    <w:p w14:paraId="08C74312"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r>
      <w:bookmarkStart w:id="2" w:name="_Hlk160009656"/>
      <w:r w:rsidRPr="00473CF3">
        <w:rPr>
          <w:rFonts w:ascii="Times New Roman" w:hAnsi="Times New Roman"/>
          <w:sz w:val="24"/>
        </w:rPr>
        <w:t>Joint Reasons</w:t>
      </w:r>
      <w:r w:rsidRPr="00473CF3">
        <w:rPr>
          <w:rFonts w:ascii="Times New Roman" w:hAnsi="Times New Roman"/>
          <w:i/>
          <w:iCs/>
          <w:sz w:val="24"/>
        </w:rPr>
        <w:t xml:space="preserve"> </w:t>
      </w:r>
      <w:r w:rsidRPr="00761E45">
        <w:rPr>
          <w:rFonts w:ascii="Times New Roman" w:hAnsi="Times New Roman"/>
          <w:sz w:val="24"/>
        </w:rPr>
        <w:t>at [3]</w:t>
      </w:r>
      <w:bookmarkEnd w:id="2"/>
      <w:r w:rsidRPr="00761E45">
        <w:rPr>
          <w:rFonts w:ascii="Times New Roman" w:hAnsi="Times New Roman"/>
          <w:sz w:val="24"/>
        </w:rPr>
        <w:t>.</w:t>
      </w:r>
    </w:p>
  </w:footnote>
  <w:footnote w:id="50">
    <w:p w14:paraId="5F64CDDF"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r>
      <w:r w:rsidRPr="00473CF3">
        <w:rPr>
          <w:rFonts w:ascii="Times New Roman" w:hAnsi="Times New Roman"/>
          <w:i/>
          <w:iCs/>
          <w:sz w:val="24"/>
        </w:rPr>
        <w:t xml:space="preserve">Hossain v Minister for Immigration and Border Protection </w:t>
      </w:r>
      <w:r w:rsidRPr="00473CF3">
        <w:rPr>
          <w:rFonts w:ascii="Times New Roman" w:hAnsi="Times New Roman"/>
          <w:sz w:val="24"/>
        </w:rPr>
        <w:t>(2018) 264 CLR 123 ("</w:t>
      </w:r>
      <w:r w:rsidRPr="00473CF3">
        <w:rPr>
          <w:rFonts w:ascii="Times New Roman" w:hAnsi="Times New Roman"/>
          <w:i/>
          <w:iCs/>
          <w:sz w:val="24"/>
        </w:rPr>
        <w:t>Hossain</w:t>
      </w:r>
      <w:r w:rsidRPr="00473CF3">
        <w:rPr>
          <w:rFonts w:ascii="Times New Roman" w:hAnsi="Times New Roman"/>
          <w:sz w:val="24"/>
        </w:rPr>
        <w:t>") at 133 [24] per Kiefel CJ, Gageler and Keane JJ.</w:t>
      </w:r>
    </w:p>
  </w:footnote>
  <w:footnote w:id="51">
    <w:p w14:paraId="393AD707"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r>
      <w:proofErr w:type="spellStart"/>
      <w:r w:rsidRPr="00473CF3">
        <w:rPr>
          <w:rFonts w:ascii="Times New Roman" w:hAnsi="Times New Roman"/>
          <w:sz w:val="24"/>
        </w:rPr>
        <w:t>cf</w:t>
      </w:r>
      <w:proofErr w:type="spellEnd"/>
      <w:r w:rsidRPr="00473CF3">
        <w:rPr>
          <w:rFonts w:ascii="Times New Roman" w:hAnsi="Times New Roman"/>
          <w:sz w:val="24"/>
        </w:rPr>
        <w:t xml:space="preserve"> Joint Reasons </w:t>
      </w:r>
      <w:r w:rsidRPr="00301962">
        <w:rPr>
          <w:rFonts w:ascii="Times New Roman" w:hAnsi="Times New Roman"/>
          <w:sz w:val="24"/>
        </w:rPr>
        <w:t>at [6].</w:t>
      </w:r>
      <w:r w:rsidRPr="00473CF3" w:rsidDel="006D306A">
        <w:rPr>
          <w:rFonts w:ascii="Times New Roman" w:hAnsi="Times New Roman"/>
          <w:sz w:val="24"/>
        </w:rPr>
        <w:t xml:space="preserve"> </w:t>
      </w:r>
    </w:p>
  </w:footnote>
  <w:footnote w:id="52">
    <w:p w14:paraId="2157FA6A"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t>Joint Reasons</w:t>
      </w:r>
      <w:r w:rsidRPr="00473CF3">
        <w:rPr>
          <w:rFonts w:ascii="Times New Roman" w:hAnsi="Times New Roman"/>
          <w:i/>
          <w:iCs/>
          <w:sz w:val="24"/>
        </w:rPr>
        <w:t xml:space="preserve"> </w:t>
      </w:r>
      <w:r w:rsidRPr="00053396">
        <w:rPr>
          <w:rFonts w:ascii="Times New Roman" w:hAnsi="Times New Roman"/>
          <w:sz w:val="24"/>
        </w:rPr>
        <w:t>at [7].</w:t>
      </w:r>
    </w:p>
  </w:footnote>
  <w:footnote w:id="53">
    <w:p w14:paraId="472E8A4D"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t>Joint Reasons a</w:t>
      </w:r>
      <w:r w:rsidRPr="0096776A">
        <w:rPr>
          <w:rFonts w:ascii="Times New Roman" w:hAnsi="Times New Roman"/>
          <w:sz w:val="24"/>
        </w:rPr>
        <w:t>t [11].</w:t>
      </w:r>
    </w:p>
  </w:footnote>
  <w:footnote w:id="54">
    <w:p w14:paraId="5F7C84FC"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r>
      <w:bookmarkStart w:id="3" w:name="_Hlk160011365"/>
      <w:r w:rsidRPr="00473CF3">
        <w:rPr>
          <w:rFonts w:ascii="Times New Roman" w:hAnsi="Times New Roman"/>
          <w:sz w:val="24"/>
        </w:rPr>
        <w:t xml:space="preserve">Joint Reasons </w:t>
      </w:r>
      <w:r w:rsidRPr="004A3660">
        <w:rPr>
          <w:rFonts w:ascii="Times New Roman" w:hAnsi="Times New Roman"/>
          <w:sz w:val="24"/>
        </w:rPr>
        <w:t>at [14]</w:t>
      </w:r>
      <w:bookmarkEnd w:id="3"/>
      <w:r w:rsidRPr="004A3660">
        <w:rPr>
          <w:rFonts w:ascii="Times New Roman" w:hAnsi="Times New Roman"/>
          <w:sz w:val="24"/>
        </w:rPr>
        <w:t>.</w:t>
      </w:r>
    </w:p>
  </w:footnote>
  <w:footnote w:id="55">
    <w:p w14:paraId="4706AFA8"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t xml:space="preserve">Direction 90, para 8(1), (4). </w:t>
      </w:r>
    </w:p>
  </w:footnote>
  <w:footnote w:id="56">
    <w:p w14:paraId="668DA063"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t>Direction 90, para 8.1(2).</w:t>
      </w:r>
    </w:p>
  </w:footnote>
  <w:footnote w:id="57">
    <w:p w14:paraId="624EE66E"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t>Direction 90, para 8.1.2(1).</w:t>
      </w:r>
    </w:p>
  </w:footnote>
  <w:footnote w:id="58">
    <w:p w14:paraId="07EAFC75"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t>Direction 90, para 8.4(1).</w:t>
      </w:r>
    </w:p>
  </w:footnote>
  <w:footnote w:id="59">
    <w:p w14:paraId="5CE3B698"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t>Direction 90, para 5.2(5).</w:t>
      </w:r>
    </w:p>
  </w:footnote>
  <w:footnote w:id="60">
    <w:p w14:paraId="26E0D7DC"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t xml:space="preserve">See Joint Reasons </w:t>
      </w:r>
      <w:r w:rsidRPr="00A75312">
        <w:rPr>
          <w:rFonts w:ascii="Times New Roman" w:hAnsi="Times New Roman"/>
          <w:sz w:val="24"/>
        </w:rPr>
        <w:t>at [15].</w:t>
      </w:r>
    </w:p>
  </w:footnote>
  <w:footnote w:id="61">
    <w:p w14:paraId="1AC5E951"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t xml:space="preserve">Joint Reasons at </w:t>
      </w:r>
      <w:r w:rsidRPr="00EA7804">
        <w:rPr>
          <w:rFonts w:ascii="Times New Roman" w:hAnsi="Times New Roman"/>
          <w:sz w:val="24"/>
        </w:rPr>
        <w:t>[16].</w:t>
      </w:r>
    </w:p>
  </w:footnote>
  <w:footnote w:id="62">
    <w:p w14:paraId="35948C76" w14:textId="77777777" w:rsidR="00221570" w:rsidRPr="00473CF3" w:rsidRDefault="00221570" w:rsidP="00473CF3">
      <w:pPr>
        <w:pStyle w:val="FootnoteText"/>
        <w:spacing w:line="280" w:lineRule="exact"/>
        <w:ind w:right="0"/>
        <w:jc w:val="both"/>
        <w:rPr>
          <w:rFonts w:ascii="Times New Roman" w:hAnsi="Times New Roman"/>
          <w:sz w:val="24"/>
        </w:rPr>
      </w:pPr>
      <w:r w:rsidRPr="00473CF3">
        <w:rPr>
          <w:rStyle w:val="FootnoteReference"/>
          <w:rFonts w:ascii="Times New Roman" w:hAnsi="Times New Roman"/>
          <w:sz w:val="22"/>
          <w:vertAlign w:val="baseline"/>
        </w:rPr>
        <w:footnoteRef/>
      </w:r>
      <w:r w:rsidRPr="00473CF3">
        <w:rPr>
          <w:rFonts w:ascii="Times New Roman" w:hAnsi="Times New Roman"/>
          <w:sz w:val="24"/>
        </w:rPr>
        <w:t xml:space="preserve"> </w:t>
      </w:r>
      <w:r w:rsidRPr="00473CF3">
        <w:rPr>
          <w:rFonts w:ascii="Times New Roman" w:hAnsi="Times New Roman"/>
          <w:sz w:val="24"/>
        </w:rPr>
        <w:tab/>
      </w:r>
      <w:r w:rsidRPr="00473CF3">
        <w:rPr>
          <w:rFonts w:ascii="Times New Roman" w:hAnsi="Times New Roman"/>
          <w:i/>
          <w:iCs/>
          <w:sz w:val="24"/>
        </w:rPr>
        <w:t xml:space="preserve">Hossain </w:t>
      </w:r>
      <w:r w:rsidRPr="00473CF3">
        <w:rPr>
          <w:rFonts w:ascii="Times New Roman" w:hAnsi="Times New Roman"/>
          <w:sz w:val="24"/>
        </w:rPr>
        <w:t>(2018) 264 CLR 123 at 133 [24] per Kiefel CJ, Gageler and Keane JJ.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05F1" w14:textId="77777777" w:rsidR="00AF01A0" w:rsidRPr="00E9402E" w:rsidRDefault="00AF01A0" w:rsidP="00E940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4085" w14:textId="77777777" w:rsidR="00531864" w:rsidRPr="00531864" w:rsidRDefault="00531864" w:rsidP="00531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5B68" w14:textId="0883A7EB" w:rsidR="00AF01A0" w:rsidRPr="00E9402E" w:rsidRDefault="00E9402E" w:rsidP="00E9402E">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sidR="00641630">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sidR="00641630">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CA87" w14:textId="3EE65D22" w:rsidR="00C66B25" w:rsidRPr="00E9402E" w:rsidRDefault="00C66B25" w:rsidP="00E9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1CDA" w14:textId="77777777" w:rsidR="00E9402E" w:rsidRPr="00AF01A0" w:rsidRDefault="00E9402E" w:rsidP="00AF01A0">
    <w:pPr>
      <w:pStyle w:val="Header"/>
      <w:tabs>
        <w:tab w:val="clear" w:pos="4153"/>
        <w:tab w:val="clear" w:pos="8306"/>
        <w:tab w:val="right" w:pos="1304"/>
      </w:tabs>
      <w:spacing w:line="280" w:lineRule="exact"/>
      <w:ind w:firstLine="0"/>
      <w:rPr>
        <w:rFonts w:ascii="Times New Roman" w:hAnsi="Times New Roman"/>
        <w:i/>
        <w:sz w:val="22"/>
      </w:rPr>
    </w:pPr>
    <w:r w:rsidRPr="00AF01A0">
      <w:rPr>
        <w:rFonts w:ascii="Times New Roman" w:hAnsi="Times New Roman"/>
        <w:i/>
        <w:sz w:val="22"/>
      </w:rPr>
      <w:t>Gageler</w:t>
    </w:r>
    <w:r w:rsidRPr="00AF01A0">
      <w:rPr>
        <w:rFonts w:ascii="Times New Roman" w:hAnsi="Times New Roman"/>
        <w:i/>
        <w:sz w:val="22"/>
      </w:rPr>
      <w:tab/>
      <w:t>CJ</w:t>
    </w:r>
  </w:p>
  <w:p w14:paraId="224FCD22" w14:textId="77777777" w:rsidR="00E9402E" w:rsidRPr="00AF01A0" w:rsidRDefault="00E9402E" w:rsidP="00AF01A0">
    <w:pPr>
      <w:pStyle w:val="Header"/>
      <w:tabs>
        <w:tab w:val="clear" w:pos="4153"/>
        <w:tab w:val="clear" w:pos="8306"/>
        <w:tab w:val="right" w:pos="1304"/>
      </w:tabs>
      <w:spacing w:line="280" w:lineRule="exact"/>
      <w:ind w:firstLine="0"/>
      <w:rPr>
        <w:rFonts w:ascii="Times New Roman" w:hAnsi="Times New Roman"/>
        <w:i/>
        <w:sz w:val="22"/>
      </w:rPr>
    </w:pPr>
    <w:r w:rsidRPr="00AF01A0">
      <w:rPr>
        <w:rFonts w:ascii="Times New Roman" w:hAnsi="Times New Roman"/>
        <w:i/>
        <w:sz w:val="22"/>
      </w:rPr>
      <w:t>Gordon</w:t>
    </w:r>
    <w:r w:rsidRPr="00AF01A0">
      <w:rPr>
        <w:rFonts w:ascii="Times New Roman" w:hAnsi="Times New Roman"/>
        <w:i/>
        <w:sz w:val="22"/>
      </w:rPr>
      <w:tab/>
      <w:t>J</w:t>
    </w:r>
  </w:p>
  <w:p w14:paraId="6A7D6797" w14:textId="77777777" w:rsidR="00E9402E" w:rsidRPr="00AF01A0" w:rsidRDefault="00E9402E" w:rsidP="00AF01A0">
    <w:pPr>
      <w:pStyle w:val="Header"/>
      <w:tabs>
        <w:tab w:val="clear" w:pos="4153"/>
        <w:tab w:val="clear" w:pos="8306"/>
        <w:tab w:val="right" w:pos="1304"/>
      </w:tabs>
      <w:spacing w:line="280" w:lineRule="exact"/>
      <w:ind w:firstLine="0"/>
      <w:rPr>
        <w:rFonts w:ascii="Times New Roman" w:hAnsi="Times New Roman"/>
        <w:i/>
        <w:sz w:val="22"/>
      </w:rPr>
    </w:pPr>
    <w:r w:rsidRPr="00AF01A0">
      <w:rPr>
        <w:rFonts w:ascii="Times New Roman" w:hAnsi="Times New Roman"/>
        <w:i/>
        <w:sz w:val="22"/>
      </w:rPr>
      <w:t>Edelman</w:t>
    </w:r>
    <w:r w:rsidRPr="00AF01A0">
      <w:rPr>
        <w:rFonts w:ascii="Times New Roman" w:hAnsi="Times New Roman"/>
        <w:i/>
        <w:sz w:val="22"/>
      </w:rPr>
      <w:tab/>
      <w:t>J</w:t>
    </w:r>
  </w:p>
  <w:p w14:paraId="67FC0EAE" w14:textId="77777777" w:rsidR="00E9402E" w:rsidRPr="00AF01A0" w:rsidRDefault="00E9402E" w:rsidP="00AF01A0">
    <w:pPr>
      <w:pStyle w:val="Header"/>
      <w:tabs>
        <w:tab w:val="clear" w:pos="4153"/>
        <w:tab w:val="clear" w:pos="8306"/>
        <w:tab w:val="right" w:pos="1304"/>
      </w:tabs>
      <w:spacing w:line="280" w:lineRule="exact"/>
      <w:ind w:firstLine="0"/>
      <w:rPr>
        <w:rFonts w:ascii="Times New Roman" w:hAnsi="Times New Roman"/>
        <w:i/>
        <w:sz w:val="22"/>
      </w:rPr>
    </w:pPr>
    <w:r w:rsidRPr="00AF01A0">
      <w:rPr>
        <w:rFonts w:ascii="Times New Roman" w:hAnsi="Times New Roman"/>
        <w:i/>
        <w:sz w:val="22"/>
      </w:rPr>
      <w:t>Steward</w:t>
    </w:r>
    <w:r w:rsidRPr="00AF01A0">
      <w:rPr>
        <w:rFonts w:ascii="Times New Roman" w:hAnsi="Times New Roman"/>
        <w:i/>
        <w:sz w:val="22"/>
      </w:rPr>
      <w:tab/>
      <w:t>J</w:t>
    </w:r>
  </w:p>
  <w:p w14:paraId="4BCC0898" w14:textId="77777777" w:rsidR="00E9402E" w:rsidRPr="00AF01A0" w:rsidRDefault="00E9402E" w:rsidP="00AF01A0">
    <w:pPr>
      <w:pStyle w:val="Header"/>
      <w:tabs>
        <w:tab w:val="clear" w:pos="4153"/>
        <w:tab w:val="clear" w:pos="8306"/>
        <w:tab w:val="right" w:pos="1304"/>
      </w:tabs>
      <w:spacing w:line="280" w:lineRule="exact"/>
      <w:ind w:firstLine="0"/>
      <w:rPr>
        <w:rFonts w:ascii="Times New Roman" w:hAnsi="Times New Roman"/>
        <w:i/>
        <w:sz w:val="22"/>
      </w:rPr>
    </w:pPr>
    <w:r w:rsidRPr="00AF01A0">
      <w:rPr>
        <w:rFonts w:ascii="Times New Roman" w:hAnsi="Times New Roman"/>
        <w:i/>
        <w:sz w:val="22"/>
      </w:rPr>
      <w:t>Gleeson</w:t>
    </w:r>
    <w:r w:rsidRPr="00AF01A0">
      <w:rPr>
        <w:rFonts w:ascii="Times New Roman" w:hAnsi="Times New Roman"/>
        <w:i/>
        <w:sz w:val="22"/>
      </w:rPr>
      <w:tab/>
      <w:t>J</w:t>
    </w:r>
  </w:p>
  <w:p w14:paraId="6D7291D2" w14:textId="77777777" w:rsidR="00E9402E" w:rsidRDefault="00E9402E" w:rsidP="00AF01A0">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5F5126FD" w14:textId="77777777" w:rsidR="00E9402E" w:rsidRDefault="00E9402E" w:rsidP="00AF01A0">
    <w:pPr>
      <w:pStyle w:val="Header"/>
      <w:tabs>
        <w:tab w:val="clear" w:pos="4153"/>
        <w:tab w:val="clear" w:pos="8306"/>
        <w:tab w:val="right" w:pos="1304"/>
      </w:tabs>
      <w:spacing w:line="280" w:lineRule="exact"/>
      <w:ind w:firstLine="0"/>
      <w:rPr>
        <w:rFonts w:ascii="Times New Roman" w:hAnsi="Times New Roman"/>
        <w:i/>
        <w:sz w:val="22"/>
      </w:rPr>
    </w:pPr>
  </w:p>
  <w:p w14:paraId="4751A1EF" w14:textId="77777777" w:rsidR="00E9402E" w:rsidRDefault="00E9402E" w:rsidP="00AF01A0">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1BE287D" w14:textId="77777777" w:rsidR="00E9402E" w:rsidRPr="00AF01A0" w:rsidRDefault="00E9402E" w:rsidP="00AF01A0">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B69" w14:textId="77777777" w:rsidR="00E9402E" w:rsidRPr="00AF01A0" w:rsidRDefault="00E9402E" w:rsidP="00AF01A0">
    <w:pPr>
      <w:pStyle w:val="Header"/>
      <w:tabs>
        <w:tab w:val="clear" w:pos="4153"/>
        <w:tab w:val="clear" w:pos="8306"/>
        <w:tab w:val="left" w:pos="7200"/>
        <w:tab w:val="right" w:pos="8504"/>
      </w:tabs>
      <w:spacing w:line="280" w:lineRule="exact"/>
      <w:jc w:val="right"/>
      <w:rPr>
        <w:rFonts w:ascii="Times New Roman" w:hAnsi="Times New Roman"/>
        <w:i/>
        <w:sz w:val="22"/>
      </w:rPr>
    </w:pPr>
    <w:r w:rsidRPr="00AF01A0">
      <w:rPr>
        <w:rFonts w:ascii="Times New Roman" w:hAnsi="Times New Roman"/>
        <w:i/>
        <w:sz w:val="22"/>
      </w:rPr>
      <w:tab/>
      <w:t>Gageler</w:t>
    </w:r>
    <w:r w:rsidRPr="00AF01A0">
      <w:rPr>
        <w:rFonts w:ascii="Times New Roman" w:hAnsi="Times New Roman"/>
        <w:i/>
        <w:sz w:val="22"/>
      </w:rPr>
      <w:tab/>
      <w:t>CJ</w:t>
    </w:r>
  </w:p>
  <w:p w14:paraId="33565CC7" w14:textId="77777777" w:rsidR="00E9402E" w:rsidRPr="00AF01A0" w:rsidRDefault="00E9402E" w:rsidP="00AF01A0">
    <w:pPr>
      <w:pStyle w:val="Header"/>
      <w:tabs>
        <w:tab w:val="clear" w:pos="4153"/>
        <w:tab w:val="clear" w:pos="8306"/>
        <w:tab w:val="left" w:pos="7200"/>
        <w:tab w:val="right" w:pos="8504"/>
      </w:tabs>
      <w:spacing w:line="280" w:lineRule="exact"/>
      <w:jc w:val="right"/>
      <w:rPr>
        <w:rFonts w:ascii="Times New Roman" w:hAnsi="Times New Roman"/>
        <w:i/>
        <w:sz w:val="22"/>
      </w:rPr>
    </w:pPr>
    <w:r w:rsidRPr="00AF01A0">
      <w:rPr>
        <w:rFonts w:ascii="Times New Roman" w:hAnsi="Times New Roman"/>
        <w:i/>
        <w:sz w:val="22"/>
      </w:rPr>
      <w:tab/>
      <w:t>Gordon</w:t>
    </w:r>
    <w:r w:rsidRPr="00AF01A0">
      <w:rPr>
        <w:rFonts w:ascii="Times New Roman" w:hAnsi="Times New Roman"/>
        <w:i/>
        <w:sz w:val="22"/>
      </w:rPr>
      <w:tab/>
      <w:t>J</w:t>
    </w:r>
  </w:p>
  <w:p w14:paraId="13320BC6" w14:textId="77777777" w:rsidR="00E9402E" w:rsidRPr="00AF01A0" w:rsidRDefault="00E9402E" w:rsidP="00AF01A0">
    <w:pPr>
      <w:pStyle w:val="Header"/>
      <w:tabs>
        <w:tab w:val="clear" w:pos="4153"/>
        <w:tab w:val="clear" w:pos="8306"/>
        <w:tab w:val="left" w:pos="7200"/>
        <w:tab w:val="right" w:pos="8504"/>
      </w:tabs>
      <w:spacing w:line="280" w:lineRule="exact"/>
      <w:jc w:val="right"/>
      <w:rPr>
        <w:rFonts w:ascii="Times New Roman" w:hAnsi="Times New Roman"/>
        <w:i/>
        <w:sz w:val="22"/>
      </w:rPr>
    </w:pPr>
    <w:r w:rsidRPr="00AF01A0">
      <w:rPr>
        <w:rFonts w:ascii="Times New Roman" w:hAnsi="Times New Roman"/>
        <w:i/>
        <w:sz w:val="22"/>
      </w:rPr>
      <w:tab/>
      <w:t>Edelman</w:t>
    </w:r>
    <w:r w:rsidRPr="00AF01A0">
      <w:rPr>
        <w:rFonts w:ascii="Times New Roman" w:hAnsi="Times New Roman"/>
        <w:i/>
        <w:sz w:val="22"/>
      </w:rPr>
      <w:tab/>
      <w:t>J</w:t>
    </w:r>
  </w:p>
  <w:p w14:paraId="01FA575E" w14:textId="77777777" w:rsidR="00E9402E" w:rsidRPr="00AF01A0" w:rsidRDefault="00E9402E" w:rsidP="00AF01A0">
    <w:pPr>
      <w:pStyle w:val="Header"/>
      <w:tabs>
        <w:tab w:val="clear" w:pos="4153"/>
        <w:tab w:val="clear" w:pos="8306"/>
        <w:tab w:val="left" w:pos="7200"/>
        <w:tab w:val="right" w:pos="8504"/>
      </w:tabs>
      <w:spacing w:line="280" w:lineRule="exact"/>
      <w:jc w:val="right"/>
      <w:rPr>
        <w:rFonts w:ascii="Times New Roman" w:hAnsi="Times New Roman"/>
        <w:i/>
        <w:sz w:val="22"/>
      </w:rPr>
    </w:pPr>
    <w:r w:rsidRPr="00AF01A0">
      <w:rPr>
        <w:rFonts w:ascii="Times New Roman" w:hAnsi="Times New Roman"/>
        <w:i/>
        <w:sz w:val="22"/>
      </w:rPr>
      <w:tab/>
      <w:t>Steward</w:t>
    </w:r>
    <w:r w:rsidRPr="00AF01A0">
      <w:rPr>
        <w:rFonts w:ascii="Times New Roman" w:hAnsi="Times New Roman"/>
        <w:i/>
        <w:sz w:val="22"/>
      </w:rPr>
      <w:tab/>
      <w:t>J</w:t>
    </w:r>
  </w:p>
  <w:p w14:paraId="7BF6599B" w14:textId="77777777" w:rsidR="00E9402E" w:rsidRPr="00AF01A0" w:rsidRDefault="00E9402E" w:rsidP="00AF01A0">
    <w:pPr>
      <w:pStyle w:val="Header"/>
      <w:tabs>
        <w:tab w:val="clear" w:pos="4153"/>
        <w:tab w:val="clear" w:pos="8306"/>
        <w:tab w:val="left" w:pos="7200"/>
        <w:tab w:val="right" w:pos="8504"/>
      </w:tabs>
      <w:spacing w:line="280" w:lineRule="exact"/>
      <w:jc w:val="right"/>
      <w:rPr>
        <w:rFonts w:ascii="Times New Roman" w:hAnsi="Times New Roman"/>
        <w:i/>
        <w:sz w:val="22"/>
      </w:rPr>
    </w:pPr>
    <w:r w:rsidRPr="00AF01A0">
      <w:rPr>
        <w:rFonts w:ascii="Times New Roman" w:hAnsi="Times New Roman"/>
        <w:i/>
        <w:sz w:val="22"/>
      </w:rPr>
      <w:tab/>
      <w:t>Gleeson</w:t>
    </w:r>
    <w:r w:rsidRPr="00AF01A0">
      <w:rPr>
        <w:rFonts w:ascii="Times New Roman" w:hAnsi="Times New Roman"/>
        <w:i/>
        <w:sz w:val="22"/>
      </w:rPr>
      <w:tab/>
      <w:t>J</w:t>
    </w:r>
  </w:p>
  <w:p w14:paraId="34D892D0" w14:textId="77777777" w:rsidR="00E9402E" w:rsidRDefault="00E9402E" w:rsidP="00AF01A0">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7384F792" w14:textId="77777777" w:rsidR="00E9402E" w:rsidRDefault="00E9402E" w:rsidP="00AF01A0">
    <w:pPr>
      <w:pStyle w:val="Header"/>
      <w:tabs>
        <w:tab w:val="clear" w:pos="4153"/>
        <w:tab w:val="clear" w:pos="8306"/>
        <w:tab w:val="left" w:pos="7200"/>
        <w:tab w:val="right" w:pos="8504"/>
      </w:tabs>
      <w:spacing w:line="280" w:lineRule="exact"/>
      <w:jc w:val="right"/>
      <w:rPr>
        <w:rFonts w:ascii="Times New Roman" w:hAnsi="Times New Roman"/>
        <w:i/>
        <w:sz w:val="22"/>
      </w:rPr>
    </w:pPr>
  </w:p>
  <w:p w14:paraId="4F1A9D37" w14:textId="77777777" w:rsidR="00E9402E" w:rsidRDefault="00E9402E" w:rsidP="00AF01A0">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4B0E2684" w14:textId="77777777" w:rsidR="00E9402E" w:rsidRPr="00AF01A0" w:rsidRDefault="00E9402E" w:rsidP="00AF01A0">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61D1" w14:textId="77777777" w:rsidR="00E9402E" w:rsidRDefault="00E9402E" w:rsidP="00AF01A0">
    <w:pPr>
      <w:pStyle w:val="Header"/>
      <w:tabs>
        <w:tab w:val="clear" w:pos="4153"/>
        <w:tab w:val="clear" w:pos="8306"/>
        <w:tab w:val="center" w:pos="1134"/>
      </w:tabs>
      <w:spacing w:line="280" w:lineRule="exact"/>
      <w:ind w:firstLine="0"/>
      <w:rPr>
        <w:rFonts w:ascii="Times New Roman" w:hAnsi="Times New Roman"/>
        <w:i/>
        <w:sz w:val="22"/>
      </w:rPr>
    </w:pPr>
  </w:p>
  <w:p w14:paraId="29215D3A" w14:textId="77777777" w:rsidR="00E9402E" w:rsidRDefault="00E9402E" w:rsidP="00AF01A0">
    <w:pPr>
      <w:pStyle w:val="Header"/>
      <w:tabs>
        <w:tab w:val="clear" w:pos="4153"/>
        <w:tab w:val="clear" w:pos="8306"/>
        <w:tab w:val="center" w:pos="1134"/>
      </w:tabs>
      <w:spacing w:line="280" w:lineRule="exact"/>
      <w:ind w:firstLine="0"/>
      <w:rPr>
        <w:rFonts w:ascii="Times New Roman" w:hAnsi="Times New Roman"/>
        <w:i/>
        <w:sz w:val="22"/>
      </w:rPr>
    </w:pPr>
  </w:p>
  <w:p w14:paraId="00024CCC" w14:textId="77777777" w:rsidR="00E9402E" w:rsidRDefault="00E9402E" w:rsidP="00AF01A0">
    <w:pPr>
      <w:pStyle w:val="Header"/>
      <w:tabs>
        <w:tab w:val="clear" w:pos="4153"/>
        <w:tab w:val="clear" w:pos="8306"/>
        <w:tab w:val="center" w:pos="1134"/>
      </w:tabs>
      <w:spacing w:line="280" w:lineRule="exact"/>
      <w:ind w:firstLine="0"/>
      <w:rPr>
        <w:rFonts w:ascii="Times New Roman" w:hAnsi="Times New Roman"/>
        <w:i/>
        <w:sz w:val="22"/>
      </w:rPr>
    </w:pPr>
  </w:p>
  <w:p w14:paraId="7348CF99" w14:textId="77777777" w:rsidR="00E9402E" w:rsidRDefault="00E9402E" w:rsidP="00AF01A0">
    <w:pPr>
      <w:pStyle w:val="Header"/>
      <w:tabs>
        <w:tab w:val="clear" w:pos="4153"/>
        <w:tab w:val="clear" w:pos="8306"/>
        <w:tab w:val="center" w:pos="1134"/>
      </w:tabs>
      <w:spacing w:line="280" w:lineRule="exact"/>
      <w:ind w:firstLine="0"/>
      <w:rPr>
        <w:rFonts w:ascii="Times New Roman" w:hAnsi="Times New Roman"/>
        <w:i/>
        <w:sz w:val="22"/>
      </w:rPr>
    </w:pPr>
  </w:p>
  <w:p w14:paraId="4B512834" w14:textId="77777777" w:rsidR="00E9402E" w:rsidRDefault="00E9402E" w:rsidP="00AF01A0">
    <w:pPr>
      <w:pStyle w:val="Header"/>
      <w:tabs>
        <w:tab w:val="clear" w:pos="4153"/>
        <w:tab w:val="clear" w:pos="8306"/>
        <w:tab w:val="center" w:pos="1134"/>
      </w:tabs>
      <w:spacing w:line="280" w:lineRule="exact"/>
      <w:ind w:firstLine="0"/>
      <w:rPr>
        <w:rFonts w:ascii="Times New Roman" w:hAnsi="Times New Roman"/>
        <w:i/>
        <w:sz w:val="22"/>
      </w:rPr>
    </w:pPr>
  </w:p>
  <w:p w14:paraId="038031D4" w14:textId="77777777" w:rsidR="00E9402E" w:rsidRDefault="00E9402E" w:rsidP="00AF01A0">
    <w:pPr>
      <w:pStyle w:val="Header"/>
      <w:tabs>
        <w:tab w:val="clear" w:pos="4153"/>
        <w:tab w:val="clear" w:pos="8306"/>
        <w:tab w:val="center" w:pos="1134"/>
      </w:tabs>
      <w:spacing w:line="280" w:lineRule="exact"/>
      <w:ind w:firstLine="0"/>
      <w:rPr>
        <w:rFonts w:ascii="Times New Roman" w:hAnsi="Times New Roman"/>
        <w:i/>
        <w:sz w:val="22"/>
      </w:rPr>
    </w:pPr>
  </w:p>
  <w:p w14:paraId="68044ACF" w14:textId="77777777" w:rsidR="00E9402E" w:rsidRDefault="00E9402E" w:rsidP="00AF01A0">
    <w:pPr>
      <w:pStyle w:val="Header"/>
      <w:tabs>
        <w:tab w:val="clear" w:pos="4153"/>
        <w:tab w:val="clear" w:pos="8306"/>
        <w:tab w:val="center" w:pos="1134"/>
      </w:tabs>
      <w:spacing w:line="280" w:lineRule="exact"/>
      <w:ind w:firstLine="0"/>
      <w:rPr>
        <w:rFonts w:ascii="Times New Roman" w:hAnsi="Times New Roman"/>
        <w:i/>
        <w:sz w:val="22"/>
      </w:rPr>
    </w:pPr>
  </w:p>
  <w:p w14:paraId="07B6DB44" w14:textId="77777777" w:rsidR="00E9402E" w:rsidRDefault="00E9402E" w:rsidP="00AF01A0">
    <w:pPr>
      <w:pStyle w:val="Header"/>
      <w:tabs>
        <w:tab w:val="clear" w:pos="4153"/>
        <w:tab w:val="clear" w:pos="8306"/>
        <w:tab w:val="center" w:pos="1134"/>
      </w:tabs>
      <w:spacing w:line="280" w:lineRule="exact"/>
      <w:ind w:firstLine="0"/>
      <w:rPr>
        <w:rFonts w:ascii="Times New Roman" w:hAnsi="Times New Roman"/>
        <w:i/>
        <w:sz w:val="22"/>
      </w:rPr>
    </w:pPr>
  </w:p>
  <w:p w14:paraId="0D06810B" w14:textId="77777777" w:rsidR="00E9402E" w:rsidRPr="00AF01A0" w:rsidRDefault="00E9402E" w:rsidP="00AF01A0">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6203" w14:textId="77777777" w:rsidR="001A79E1" w:rsidRDefault="00000000" w:rsidP="00473CF3">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Beech-Jones</w:t>
    </w:r>
    <w:r>
      <w:rPr>
        <w:rFonts w:ascii="Times New Roman" w:hAnsi="Times New Roman"/>
        <w:i/>
        <w:sz w:val="22"/>
      </w:rPr>
      <w:tab/>
      <w:t>J</w:t>
    </w:r>
  </w:p>
  <w:p w14:paraId="2E05CA15" w14:textId="77777777" w:rsidR="001A79E1" w:rsidRDefault="001A79E1" w:rsidP="00473CF3">
    <w:pPr>
      <w:pStyle w:val="Header"/>
      <w:tabs>
        <w:tab w:val="clear" w:pos="4153"/>
        <w:tab w:val="clear" w:pos="8306"/>
        <w:tab w:val="right" w:pos="1304"/>
      </w:tabs>
      <w:spacing w:line="280" w:lineRule="exact"/>
      <w:ind w:firstLine="0"/>
      <w:rPr>
        <w:rFonts w:ascii="Times New Roman" w:hAnsi="Times New Roman"/>
        <w:i/>
        <w:sz w:val="22"/>
      </w:rPr>
    </w:pPr>
  </w:p>
  <w:p w14:paraId="2F265BED" w14:textId="77777777" w:rsidR="001A79E1" w:rsidRDefault="00000000" w:rsidP="00473CF3">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6DA153D5" w14:textId="77777777" w:rsidR="001A79E1" w:rsidRPr="00473CF3" w:rsidRDefault="001A79E1" w:rsidP="00473CF3">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B404" w14:textId="77777777" w:rsidR="001A79E1" w:rsidRDefault="00000000" w:rsidP="00473CF3">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Beech-Jones</w:t>
    </w:r>
    <w:r>
      <w:rPr>
        <w:rFonts w:ascii="Times New Roman" w:hAnsi="Times New Roman"/>
        <w:i/>
        <w:sz w:val="22"/>
      </w:rPr>
      <w:tab/>
      <w:t>J</w:t>
    </w:r>
  </w:p>
  <w:p w14:paraId="5065C83B" w14:textId="77777777" w:rsidR="001A79E1" w:rsidRDefault="001A79E1" w:rsidP="00473CF3">
    <w:pPr>
      <w:pStyle w:val="Header"/>
      <w:tabs>
        <w:tab w:val="clear" w:pos="4153"/>
        <w:tab w:val="clear" w:pos="8306"/>
        <w:tab w:val="left" w:pos="7200"/>
        <w:tab w:val="right" w:pos="8504"/>
      </w:tabs>
      <w:spacing w:line="280" w:lineRule="exact"/>
      <w:jc w:val="right"/>
      <w:rPr>
        <w:rFonts w:ascii="Times New Roman" w:hAnsi="Times New Roman"/>
        <w:i/>
        <w:sz w:val="22"/>
      </w:rPr>
    </w:pPr>
  </w:p>
  <w:p w14:paraId="6BBF63E9" w14:textId="77777777" w:rsidR="001A79E1" w:rsidRDefault="00000000" w:rsidP="00473CF3">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868D1BD" w14:textId="77777777" w:rsidR="001A79E1" w:rsidRPr="00473CF3" w:rsidRDefault="001A79E1" w:rsidP="00473CF3">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26C3" w14:textId="77777777" w:rsidR="001A79E1" w:rsidRDefault="001A79E1" w:rsidP="00473CF3">
    <w:pPr>
      <w:pStyle w:val="Header"/>
      <w:tabs>
        <w:tab w:val="clear" w:pos="4153"/>
        <w:tab w:val="clear" w:pos="8306"/>
        <w:tab w:val="center" w:pos="1134"/>
      </w:tabs>
      <w:spacing w:line="280" w:lineRule="exact"/>
      <w:ind w:firstLine="0"/>
      <w:rPr>
        <w:rFonts w:ascii="Times New Roman" w:hAnsi="Times New Roman"/>
        <w:i/>
        <w:sz w:val="22"/>
      </w:rPr>
    </w:pPr>
  </w:p>
  <w:p w14:paraId="1D6ED13F" w14:textId="77777777" w:rsidR="001A79E1" w:rsidRDefault="001A79E1" w:rsidP="00473CF3">
    <w:pPr>
      <w:pStyle w:val="Header"/>
      <w:tabs>
        <w:tab w:val="clear" w:pos="4153"/>
        <w:tab w:val="clear" w:pos="8306"/>
        <w:tab w:val="center" w:pos="1134"/>
      </w:tabs>
      <w:spacing w:line="280" w:lineRule="exact"/>
      <w:ind w:firstLine="0"/>
      <w:rPr>
        <w:rFonts w:ascii="Times New Roman" w:hAnsi="Times New Roman"/>
        <w:i/>
        <w:sz w:val="22"/>
      </w:rPr>
    </w:pPr>
  </w:p>
  <w:p w14:paraId="3F5E1F86" w14:textId="77777777" w:rsidR="001A79E1" w:rsidRDefault="001A79E1" w:rsidP="00473CF3">
    <w:pPr>
      <w:pStyle w:val="Header"/>
      <w:tabs>
        <w:tab w:val="clear" w:pos="4153"/>
        <w:tab w:val="clear" w:pos="8306"/>
        <w:tab w:val="center" w:pos="1134"/>
      </w:tabs>
      <w:spacing w:line="280" w:lineRule="exact"/>
      <w:ind w:firstLine="0"/>
      <w:rPr>
        <w:rFonts w:ascii="Times New Roman" w:hAnsi="Times New Roman"/>
        <w:i/>
        <w:sz w:val="22"/>
      </w:rPr>
    </w:pPr>
  </w:p>
  <w:p w14:paraId="18EC3604" w14:textId="77777777" w:rsidR="001A79E1" w:rsidRPr="00473CF3" w:rsidRDefault="001A79E1" w:rsidP="00473CF3">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596476">
    <w:abstractNumId w:val="10"/>
  </w:num>
  <w:num w:numId="2" w16cid:durableId="375815310">
    <w:abstractNumId w:val="14"/>
  </w:num>
  <w:num w:numId="3" w16cid:durableId="1375159326">
    <w:abstractNumId w:val="17"/>
  </w:num>
  <w:num w:numId="4" w16cid:durableId="1020468450">
    <w:abstractNumId w:val="13"/>
  </w:num>
  <w:num w:numId="5" w16cid:durableId="298609604">
    <w:abstractNumId w:val="16"/>
  </w:num>
  <w:num w:numId="6" w16cid:durableId="1668483507">
    <w:abstractNumId w:val="6"/>
  </w:num>
  <w:num w:numId="7" w16cid:durableId="1277131474">
    <w:abstractNumId w:val="9"/>
  </w:num>
  <w:num w:numId="8" w16cid:durableId="720982448">
    <w:abstractNumId w:val="7"/>
  </w:num>
  <w:num w:numId="9" w16cid:durableId="880166639">
    <w:abstractNumId w:val="5"/>
  </w:num>
  <w:num w:numId="10" w16cid:durableId="1552577615">
    <w:abstractNumId w:val="4"/>
  </w:num>
  <w:num w:numId="11" w16cid:durableId="822114542">
    <w:abstractNumId w:val="8"/>
  </w:num>
  <w:num w:numId="12" w16cid:durableId="868374538">
    <w:abstractNumId w:val="3"/>
  </w:num>
  <w:num w:numId="13" w16cid:durableId="935400494">
    <w:abstractNumId w:val="2"/>
  </w:num>
  <w:num w:numId="14" w16cid:durableId="1552810459">
    <w:abstractNumId w:val="1"/>
  </w:num>
  <w:num w:numId="15" w16cid:durableId="788087333">
    <w:abstractNumId w:val="0"/>
  </w:num>
  <w:num w:numId="16" w16cid:durableId="92282540">
    <w:abstractNumId w:val="12"/>
  </w:num>
  <w:num w:numId="17" w16cid:durableId="952325839">
    <w:abstractNumId w:val="15"/>
  </w:num>
  <w:num w:numId="18" w16cid:durableId="586305847">
    <w:abstractNumId w:val="11"/>
  </w:num>
  <w:num w:numId="19" w16cid:durableId="65098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25"/>
    <w:rsid w:val="00002069"/>
    <w:rsid w:val="00002CE6"/>
    <w:rsid w:val="0000316A"/>
    <w:rsid w:val="000049B7"/>
    <w:rsid w:val="000141CA"/>
    <w:rsid w:val="00014B34"/>
    <w:rsid w:val="000168C9"/>
    <w:rsid w:val="00016C20"/>
    <w:rsid w:val="00016DBB"/>
    <w:rsid w:val="00017144"/>
    <w:rsid w:val="0002114E"/>
    <w:rsid w:val="00022A53"/>
    <w:rsid w:val="000250AF"/>
    <w:rsid w:val="00025490"/>
    <w:rsid w:val="0002561E"/>
    <w:rsid w:val="000268E1"/>
    <w:rsid w:val="0003575A"/>
    <w:rsid w:val="000360EB"/>
    <w:rsid w:val="00037A5F"/>
    <w:rsid w:val="00037D87"/>
    <w:rsid w:val="00042EF3"/>
    <w:rsid w:val="00043D2C"/>
    <w:rsid w:val="000466A9"/>
    <w:rsid w:val="00046812"/>
    <w:rsid w:val="00055ACD"/>
    <w:rsid w:val="00056F27"/>
    <w:rsid w:val="000573AF"/>
    <w:rsid w:val="00057C88"/>
    <w:rsid w:val="0006169E"/>
    <w:rsid w:val="000626FD"/>
    <w:rsid w:val="0006432B"/>
    <w:rsid w:val="000653D4"/>
    <w:rsid w:val="00071C35"/>
    <w:rsid w:val="00074E9F"/>
    <w:rsid w:val="00075F50"/>
    <w:rsid w:val="00080D77"/>
    <w:rsid w:val="0008435D"/>
    <w:rsid w:val="0008558C"/>
    <w:rsid w:val="00085F13"/>
    <w:rsid w:val="000A2022"/>
    <w:rsid w:val="000A28D4"/>
    <w:rsid w:val="000A2EB4"/>
    <w:rsid w:val="000A3DA3"/>
    <w:rsid w:val="000A63C6"/>
    <w:rsid w:val="000B4630"/>
    <w:rsid w:val="000B497F"/>
    <w:rsid w:val="000B710D"/>
    <w:rsid w:val="000B7558"/>
    <w:rsid w:val="000C04DC"/>
    <w:rsid w:val="000C0D98"/>
    <w:rsid w:val="000D25E6"/>
    <w:rsid w:val="000D53C8"/>
    <w:rsid w:val="000E65F7"/>
    <w:rsid w:val="000F1345"/>
    <w:rsid w:val="000F3BB3"/>
    <w:rsid w:val="001001B9"/>
    <w:rsid w:val="00102254"/>
    <w:rsid w:val="0010702C"/>
    <w:rsid w:val="00110970"/>
    <w:rsid w:val="00111568"/>
    <w:rsid w:val="001120C0"/>
    <w:rsid w:val="001150BF"/>
    <w:rsid w:val="00115EB0"/>
    <w:rsid w:val="001168F2"/>
    <w:rsid w:val="00120207"/>
    <w:rsid w:val="00123C1B"/>
    <w:rsid w:val="00125E3C"/>
    <w:rsid w:val="00133E7E"/>
    <w:rsid w:val="0013456F"/>
    <w:rsid w:val="00142072"/>
    <w:rsid w:val="00143FCB"/>
    <w:rsid w:val="00144FEF"/>
    <w:rsid w:val="00145627"/>
    <w:rsid w:val="00146A41"/>
    <w:rsid w:val="0015031C"/>
    <w:rsid w:val="00151679"/>
    <w:rsid w:val="0015318E"/>
    <w:rsid w:val="00163D92"/>
    <w:rsid w:val="00164144"/>
    <w:rsid w:val="001708DE"/>
    <w:rsid w:val="00172ADE"/>
    <w:rsid w:val="00175703"/>
    <w:rsid w:val="001758DE"/>
    <w:rsid w:val="00176D25"/>
    <w:rsid w:val="00182BC0"/>
    <w:rsid w:val="0018342E"/>
    <w:rsid w:val="001840C2"/>
    <w:rsid w:val="00184B46"/>
    <w:rsid w:val="00185939"/>
    <w:rsid w:val="001876F6"/>
    <w:rsid w:val="00191E23"/>
    <w:rsid w:val="001953B1"/>
    <w:rsid w:val="001963C0"/>
    <w:rsid w:val="00197956"/>
    <w:rsid w:val="001A409D"/>
    <w:rsid w:val="001A446E"/>
    <w:rsid w:val="001A79E1"/>
    <w:rsid w:val="001B1676"/>
    <w:rsid w:val="001B17A8"/>
    <w:rsid w:val="001B55C8"/>
    <w:rsid w:val="001B63C6"/>
    <w:rsid w:val="001C48D4"/>
    <w:rsid w:val="001C7C93"/>
    <w:rsid w:val="001D36CD"/>
    <w:rsid w:val="001D4F49"/>
    <w:rsid w:val="001D7982"/>
    <w:rsid w:val="001E1D3D"/>
    <w:rsid w:val="001E1E81"/>
    <w:rsid w:val="001E47D1"/>
    <w:rsid w:val="001E6A64"/>
    <w:rsid w:val="001E75C5"/>
    <w:rsid w:val="001F1B5F"/>
    <w:rsid w:val="001F3F2A"/>
    <w:rsid w:val="001F69C2"/>
    <w:rsid w:val="002048D1"/>
    <w:rsid w:val="002079CB"/>
    <w:rsid w:val="0021096E"/>
    <w:rsid w:val="00210DE8"/>
    <w:rsid w:val="00211D73"/>
    <w:rsid w:val="00212A3E"/>
    <w:rsid w:val="00214BF2"/>
    <w:rsid w:val="00215A7F"/>
    <w:rsid w:val="00216522"/>
    <w:rsid w:val="00221570"/>
    <w:rsid w:val="00221D19"/>
    <w:rsid w:val="0022666B"/>
    <w:rsid w:val="0022734D"/>
    <w:rsid w:val="0023447F"/>
    <w:rsid w:val="002350B3"/>
    <w:rsid w:val="0023798E"/>
    <w:rsid w:val="00242EE4"/>
    <w:rsid w:val="0024462E"/>
    <w:rsid w:val="002474FA"/>
    <w:rsid w:val="00253493"/>
    <w:rsid w:val="00253DE9"/>
    <w:rsid w:val="00257AFB"/>
    <w:rsid w:val="0026293D"/>
    <w:rsid w:val="00265982"/>
    <w:rsid w:val="00270154"/>
    <w:rsid w:val="00270732"/>
    <w:rsid w:val="00271F70"/>
    <w:rsid w:val="0027408B"/>
    <w:rsid w:val="00276B56"/>
    <w:rsid w:val="00280F46"/>
    <w:rsid w:val="002819FD"/>
    <w:rsid w:val="0028583A"/>
    <w:rsid w:val="00287368"/>
    <w:rsid w:val="00287873"/>
    <w:rsid w:val="002916CC"/>
    <w:rsid w:val="0029278C"/>
    <w:rsid w:val="00292E65"/>
    <w:rsid w:val="00293CE5"/>
    <w:rsid w:val="0029697C"/>
    <w:rsid w:val="002979F1"/>
    <w:rsid w:val="00297BF9"/>
    <w:rsid w:val="002A13E1"/>
    <w:rsid w:val="002A3248"/>
    <w:rsid w:val="002A45F8"/>
    <w:rsid w:val="002B0846"/>
    <w:rsid w:val="002B1304"/>
    <w:rsid w:val="002C1EDE"/>
    <w:rsid w:val="002C516A"/>
    <w:rsid w:val="002C5981"/>
    <w:rsid w:val="002C7307"/>
    <w:rsid w:val="002D0410"/>
    <w:rsid w:val="002D0899"/>
    <w:rsid w:val="002D1707"/>
    <w:rsid w:val="002D17E2"/>
    <w:rsid w:val="002D3F5B"/>
    <w:rsid w:val="002E0EC8"/>
    <w:rsid w:val="002E278F"/>
    <w:rsid w:val="002E35E0"/>
    <w:rsid w:val="002E3B4D"/>
    <w:rsid w:val="002F0522"/>
    <w:rsid w:val="002F0734"/>
    <w:rsid w:val="002F3E21"/>
    <w:rsid w:val="0030026A"/>
    <w:rsid w:val="00301975"/>
    <w:rsid w:val="0030542C"/>
    <w:rsid w:val="00310418"/>
    <w:rsid w:val="00312FFC"/>
    <w:rsid w:val="003150BF"/>
    <w:rsid w:val="003150CE"/>
    <w:rsid w:val="00315E92"/>
    <w:rsid w:val="00323B9E"/>
    <w:rsid w:val="00330804"/>
    <w:rsid w:val="00332863"/>
    <w:rsid w:val="00334A6B"/>
    <w:rsid w:val="003366B2"/>
    <w:rsid w:val="00340066"/>
    <w:rsid w:val="0034122D"/>
    <w:rsid w:val="0034288B"/>
    <w:rsid w:val="0034332B"/>
    <w:rsid w:val="0034681C"/>
    <w:rsid w:val="003600A8"/>
    <w:rsid w:val="0036284D"/>
    <w:rsid w:val="00363AAB"/>
    <w:rsid w:val="00366524"/>
    <w:rsid w:val="00373E58"/>
    <w:rsid w:val="00376073"/>
    <w:rsid w:val="00377452"/>
    <w:rsid w:val="00381223"/>
    <w:rsid w:val="00381849"/>
    <w:rsid w:val="003823A0"/>
    <w:rsid w:val="00384F36"/>
    <w:rsid w:val="00385271"/>
    <w:rsid w:val="0039226E"/>
    <w:rsid w:val="00392CC8"/>
    <w:rsid w:val="00397708"/>
    <w:rsid w:val="003A2017"/>
    <w:rsid w:val="003A48CC"/>
    <w:rsid w:val="003A72EF"/>
    <w:rsid w:val="003A7E21"/>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7EF"/>
    <w:rsid w:val="00432836"/>
    <w:rsid w:val="004373D1"/>
    <w:rsid w:val="0043778D"/>
    <w:rsid w:val="004454C2"/>
    <w:rsid w:val="00447347"/>
    <w:rsid w:val="00447F33"/>
    <w:rsid w:val="00450A27"/>
    <w:rsid w:val="00451EC2"/>
    <w:rsid w:val="00453293"/>
    <w:rsid w:val="004559BE"/>
    <w:rsid w:val="00463357"/>
    <w:rsid w:val="00463A04"/>
    <w:rsid w:val="00465255"/>
    <w:rsid w:val="0046562D"/>
    <w:rsid w:val="00473718"/>
    <w:rsid w:val="00473869"/>
    <w:rsid w:val="0047410E"/>
    <w:rsid w:val="0048054A"/>
    <w:rsid w:val="004818E8"/>
    <w:rsid w:val="00482F67"/>
    <w:rsid w:val="00483006"/>
    <w:rsid w:val="00484915"/>
    <w:rsid w:val="00485961"/>
    <w:rsid w:val="00487387"/>
    <w:rsid w:val="00490E50"/>
    <w:rsid w:val="004919FD"/>
    <w:rsid w:val="0049414A"/>
    <w:rsid w:val="004A06FC"/>
    <w:rsid w:val="004A132C"/>
    <w:rsid w:val="004A1C66"/>
    <w:rsid w:val="004B26D9"/>
    <w:rsid w:val="004B2C5E"/>
    <w:rsid w:val="004B774B"/>
    <w:rsid w:val="004C0235"/>
    <w:rsid w:val="004C0713"/>
    <w:rsid w:val="004C08C6"/>
    <w:rsid w:val="004C4629"/>
    <w:rsid w:val="004C4B71"/>
    <w:rsid w:val="004D087E"/>
    <w:rsid w:val="004D19DB"/>
    <w:rsid w:val="004D1E88"/>
    <w:rsid w:val="004D3CD7"/>
    <w:rsid w:val="004D58DE"/>
    <w:rsid w:val="004D63E2"/>
    <w:rsid w:val="004E3F30"/>
    <w:rsid w:val="004E46F8"/>
    <w:rsid w:val="004E50C8"/>
    <w:rsid w:val="004E519A"/>
    <w:rsid w:val="004E653E"/>
    <w:rsid w:val="004E65F5"/>
    <w:rsid w:val="004F2D77"/>
    <w:rsid w:val="004F3C00"/>
    <w:rsid w:val="004F3E28"/>
    <w:rsid w:val="004F621F"/>
    <w:rsid w:val="00502EAE"/>
    <w:rsid w:val="00503A1B"/>
    <w:rsid w:val="0050500F"/>
    <w:rsid w:val="00505279"/>
    <w:rsid w:val="005063E1"/>
    <w:rsid w:val="00507CC5"/>
    <w:rsid w:val="0051239B"/>
    <w:rsid w:val="00516BBB"/>
    <w:rsid w:val="00523E83"/>
    <w:rsid w:val="005248BB"/>
    <w:rsid w:val="005308A5"/>
    <w:rsid w:val="005314E9"/>
    <w:rsid w:val="00531723"/>
    <w:rsid w:val="00531864"/>
    <w:rsid w:val="00531866"/>
    <w:rsid w:val="0053275E"/>
    <w:rsid w:val="0053324F"/>
    <w:rsid w:val="005348BF"/>
    <w:rsid w:val="00541E10"/>
    <w:rsid w:val="00541EF9"/>
    <w:rsid w:val="005431CF"/>
    <w:rsid w:val="00543D0A"/>
    <w:rsid w:val="00544EFB"/>
    <w:rsid w:val="005454F3"/>
    <w:rsid w:val="005455E5"/>
    <w:rsid w:val="0054681B"/>
    <w:rsid w:val="0054779A"/>
    <w:rsid w:val="00547BA1"/>
    <w:rsid w:val="00556101"/>
    <w:rsid w:val="00557CB1"/>
    <w:rsid w:val="005603A2"/>
    <w:rsid w:val="0056072C"/>
    <w:rsid w:val="0056091E"/>
    <w:rsid w:val="00561371"/>
    <w:rsid w:val="0056172D"/>
    <w:rsid w:val="005635F3"/>
    <w:rsid w:val="0056411C"/>
    <w:rsid w:val="00565B4C"/>
    <w:rsid w:val="005663FF"/>
    <w:rsid w:val="005677E5"/>
    <w:rsid w:val="00570D24"/>
    <w:rsid w:val="00574C1A"/>
    <w:rsid w:val="00577E4E"/>
    <w:rsid w:val="00580EEB"/>
    <w:rsid w:val="00580FCF"/>
    <w:rsid w:val="00583673"/>
    <w:rsid w:val="00583D08"/>
    <w:rsid w:val="00587BE7"/>
    <w:rsid w:val="00587CBC"/>
    <w:rsid w:val="00595DF1"/>
    <w:rsid w:val="00596524"/>
    <w:rsid w:val="00596D5A"/>
    <w:rsid w:val="00597D35"/>
    <w:rsid w:val="005A4A36"/>
    <w:rsid w:val="005A6D6D"/>
    <w:rsid w:val="005A7264"/>
    <w:rsid w:val="005B1601"/>
    <w:rsid w:val="005B4CFC"/>
    <w:rsid w:val="005B58B0"/>
    <w:rsid w:val="005B6E0D"/>
    <w:rsid w:val="005C0298"/>
    <w:rsid w:val="005C0769"/>
    <w:rsid w:val="005C360A"/>
    <w:rsid w:val="005C7EE9"/>
    <w:rsid w:val="005D221C"/>
    <w:rsid w:val="005D2A43"/>
    <w:rsid w:val="005D6EA0"/>
    <w:rsid w:val="005E3188"/>
    <w:rsid w:val="005E76E2"/>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47EA"/>
    <w:rsid w:val="00623075"/>
    <w:rsid w:val="00623910"/>
    <w:rsid w:val="00624A27"/>
    <w:rsid w:val="00624D74"/>
    <w:rsid w:val="0062716D"/>
    <w:rsid w:val="00627AF2"/>
    <w:rsid w:val="00632F94"/>
    <w:rsid w:val="0063632F"/>
    <w:rsid w:val="00640E38"/>
    <w:rsid w:val="00641630"/>
    <w:rsid w:val="00650C56"/>
    <w:rsid w:val="00652858"/>
    <w:rsid w:val="006558DC"/>
    <w:rsid w:val="00656B27"/>
    <w:rsid w:val="00657F8B"/>
    <w:rsid w:val="00660401"/>
    <w:rsid w:val="006618FC"/>
    <w:rsid w:val="00663D00"/>
    <w:rsid w:val="00663E86"/>
    <w:rsid w:val="00671B7E"/>
    <w:rsid w:val="006767BC"/>
    <w:rsid w:val="00681D75"/>
    <w:rsid w:val="0068242E"/>
    <w:rsid w:val="006838A8"/>
    <w:rsid w:val="00684BAF"/>
    <w:rsid w:val="00696EBB"/>
    <w:rsid w:val="006A1F10"/>
    <w:rsid w:val="006A3AAF"/>
    <w:rsid w:val="006A4D4E"/>
    <w:rsid w:val="006B5025"/>
    <w:rsid w:val="006B630A"/>
    <w:rsid w:val="006B7C24"/>
    <w:rsid w:val="006C1577"/>
    <w:rsid w:val="006C1A37"/>
    <w:rsid w:val="006C5ACD"/>
    <w:rsid w:val="006C6300"/>
    <w:rsid w:val="006D1544"/>
    <w:rsid w:val="006D36B7"/>
    <w:rsid w:val="006D3A49"/>
    <w:rsid w:val="006D686D"/>
    <w:rsid w:val="006E16F1"/>
    <w:rsid w:val="006E359B"/>
    <w:rsid w:val="006E75BF"/>
    <w:rsid w:val="006F09B5"/>
    <w:rsid w:val="006F1349"/>
    <w:rsid w:val="006F201F"/>
    <w:rsid w:val="006F2C03"/>
    <w:rsid w:val="006F48B3"/>
    <w:rsid w:val="006F48B8"/>
    <w:rsid w:val="006F4ACE"/>
    <w:rsid w:val="006F553C"/>
    <w:rsid w:val="006F5924"/>
    <w:rsid w:val="006F6258"/>
    <w:rsid w:val="006F65E1"/>
    <w:rsid w:val="006F7F8E"/>
    <w:rsid w:val="00701552"/>
    <w:rsid w:val="00704FDE"/>
    <w:rsid w:val="00705448"/>
    <w:rsid w:val="007122EC"/>
    <w:rsid w:val="00712934"/>
    <w:rsid w:val="00714504"/>
    <w:rsid w:val="0071742A"/>
    <w:rsid w:val="00730E8F"/>
    <w:rsid w:val="00731D48"/>
    <w:rsid w:val="00733D9F"/>
    <w:rsid w:val="00734484"/>
    <w:rsid w:val="0074159D"/>
    <w:rsid w:val="00742076"/>
    <w:rsid w:val="00745136"/>
    <w:rsid w:val="00745A15"/>
    <w:rsid w:val="00745DD2"/>
    <w:rsid w:val="00747D6C"/>
    <w:rsid w:val="00751354"/>
    <w:rsid w:val="00752EF7"/>
    <w:rsid w:val="00756909"/>
    <w:rsid w:val="00760D10"/>
    <w:rsid w:val="00762108"/>
    <w:rsid w:val="00770E38"/>
    <w:rsid w:val="007751DE"/>
    <w:rsid w:val="00776AF1"/>
    <w:rsid w:val="0078133D"/>
    <w:rsid w:val="00781E34"/>
    <w:rsid w:val="00785785"/>
    <w:rsid w:val="00786019"/>
    <w:rsid w:val="00791DED"/>
    <w:rsid w:val="00792AA8"/>
    <w:rsid w:val="00793AAE"/>
    <w:rsid w:val="00794972"/>
    <w:rsid w:val="00796EE7"/>
    <w:rsid w:val="00797022"/>
    <w:rsid w:val="007A3ABE"/>
    <w:rsid w:val="007A4CB0"/>
    <w:rsid w:val="007A5B52"/>
    <w:rsid w:val="007A60F8"/>
    <w:rsid w:val="007A62C3"/>
    <w:rsid w:val="007B341B"/>
    <w:rsid w:val="007B4102"/>
    <w:rsid w:val="007B651A"/>
    <w:rsid w:val="007B6648"/>
    <w:rsid w:val="007B6669"/>
    <w:rsid w:val="007C311B"/>
    <w:rsid w:val="007C462E"/>
    <w:rsid w:val="007C506B"/>
    <w:rsid w:val="007D0986"/>
    <w:rsid w:val="007D3473"/>
    <w:rsid w:val="007D59A7"/>
    <w:rsid w:val="007D698B"/>
    <w:rsid w:val="007D7BB6"/>
    <w:rsid w:val="007E5D35"/>
    <w:rsid w:val="007F52A6"/>
    <w:rsid w:val="007F5789"/>
    <w:rsid w:val="007F68DA"/>
    <w:rsid w:val="008004E7"/>
    <w:rsid w:val="0080276C"/>
    <w:rsid w:val="008060C8"/>
    <w:rsid w:val="00810F5C"/>
    <w:rsid w:val="00811693"/>
    <w:rsid w:val="008116EB"/>
    <w:rsid w:val="00812723"/>
    <w:rsid w:val="00814A6A"/>
    <w:rsid w:val="00814ED4"/>
    <w:rsid w:val="008152E3"/>
    <w:rsid w:val="0081557C"/>
    <w:rsid w:val="008159B1"/>
    <w:rsid w:val="00820282"/>
    <w:rsid w:val="00820651"/>
    <w:rsid w:val="0082117F"/>
    <w:rsid w:val="0082619C"/>
    <w:rsid w:val="00831A0D"/>
    <w:rsid w:val="00836AD2"/>
    <w:rsid w:val="008375CC"/>
    <w:rsid w:val="008415CC"/>
    <w:rsid w:val="00842862"/>
    <w:rsid w:val="00844A64"/>
    <w:rsid w:val="00845199"/>
    <w:rsid w:val="00847DFE"/>
    <w:rsid w:val="00851111"/>
    <w:rsid w:val="008525CF"/>
    <w:rsid w:val="008542CC"/>
    <w:rsid w:val="00860973"/>
    <w:rsid w:val="00860B77"/>
    <w:rsid w:val="008610D8"/>
    <w:rsid w:val="0086183E"/>
    <w:rsid w:val="008648B5"/>
    <w:rsid w:val="00865A78"/>
    <w:rsid w:val="0086641A"/>
    <w:rsid w:val="00867F68"/>
    <w:rsid w:val="008737D3"/>
    <w:rsid w:val="0087394C"/>
    <w:rsid w:val="00873E0E"/>
    <w:rsid w:val="00877CBF"/>
    <w:rsid w:val="00882D53"/>
    <w:rsid w:val="00883437"/>
    <w:rsid w:val="008834C5"/>
    <w:rsid w:val="00883C24"/>
    <w:rsid w:val="008853F8"/>
    <w:rsid w:val="008953BD"/>
    <w:rsid w:val="008A4628"/>
    <w:rsid w:val="008B47CB"/>
    <w:rsid w:val="008B6A6C"/>
    <w:rsid w:val="008C15BB"/>
    <w:rsid w:val="008C28E5"/>
    <w:rsid w:val="008C4E5F"/>
    <w:rsid w:val="008C6886"/>
    <w:rsid w:val="008C6C82"/>
    <w:rsid w:val="008D15F7"/>
    <w:rsid w:val="008D1FDE"/>
    <w:rsid w:val="008D351D"/>
    <w:rsid w:val="008E1C45"/>
    <w:rsid w:val="008E242E"/>
    <w:rsid w:val="008E647B"/>
    <w:rsid w:val="008E7B61"/>
    <w:rsid w:val="008F1794"/>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26F09"/>
    <w:rsid w:val="0093112A"/>
    <w:rsid w:val="0093352D"/>
    <w:rsid w:val="009376FF"/>
    <w:rsid w:val="00940185"/>
    <w:rsid w:val="00940BCD"/>
    <w:rsid w:val="00941279"/>
    <w:rsid w:val="009462D5"/>
    <w:rsid w:val="00953EB6"/>
    <w:rsid w:val="0095456C"/>
    <w:rsid w:val="009547B3"/>
    <w:rsid w:val="00956905"/>
    <w:rsid w:val="009614C6"/>
    <w:rsid w:val="00962BFB"/>
    <w:rsid w:val="00962E1C"/>
    <w:rsid w:val="0096349D"/>
    <w:rsid w:val="00964954"/>
    <w:rsid w:val="00966DEC"/>
    <w:rsid w:val="0097673B"/>
    <w:rsid w:val="00987C7D"/>
    <w:rsid w:val="00990380"/>
    <w:rsid w:val="0099102F"/>
    <w:rsid w:val="009921DB"/>
    <w:rsid w:val="009940EF"/>
    <w:rsid w:val="00994A8D"/>
    <w:rsid w:val="00994D06"/>
    <w:rsid w:val="00997CF0"/>
    <w:rsid w:val="009A01BD"/>
    <w:rsid w:val="009A0BBC"/>
    <w:rsid w:val="009A5AFD"/>
    <w:rsid w:val="009A6EFD"/>
    <w:rsid w:val="009B39DC"/>
    <w:rsid w:val="009B61E7"/>
    <w:rsid w:val="009C0087"/>
    <w:rsid w:val="009C6E72"/>
    <w:rsid w:val="009D3C3F"/>
    <w:rsid w:val="009D4D67"/>
    <w:rsid w:val="009D62A7"/>
    <w:rsid w:val="009D635B"/>
    <w:rsid w:val="009D66DC"/>
    <w:rsid w:val="009D7F6F"/>
    <w:rsid w:val="009D7FEE"/>
    <w:rsid w:val="009E0393"/>
    <w:rsid w:val="009E07D3"/>
    <w:rsid w:val="009F06F2"/>
    <w:rsid w:val="009F635E"/>
    <w:rsid w:val="00A02C5D"/>
    <w:rsid w:val="00A140D3"/>
    <w:rsid w:val="00A1446B"/>
    <w:rsid w:val="00A167F2"/>
    <w:rsid w:val="00A17EFE"/>
    <w:rsid w:val="00A20C78"/>
    <w:rsid w:val="00A2312E"/>
    <w:rsid w:val="00A24323"/>
    <w:rsid w:val="00A2512C"/>
    <w:rsid w:val="00A2515B"/>
    <w:rsid w:val="00A2588E"/>
    <w:rsid w:val="00A26EDF"/>
    <w:rsid w:val="00A30C6E"/>
    <w:rsid w:val="00A34789"/>
    <w:rsid w:val="00A3630E"/>
    <w:rsid w:val="00A37BB8"/>
    <w:rsid w:val="00A37D74"/>
    <w:rsid w:val="00A41FF8"/>
    <w:rsid w:val="00A42D87"/>
    <w:rsid w:val="00A44BD3"/>
    <w:rsid w:val="00A4521D"/>
    <w:rsid w:val="00A46D6F"/>
    <w:rsid w:val="00A51F0A"/>
    <w:rsid w:val="00A54EF2"/>
    <w:rsid w:val="00A55D48"/>
    <w:rsid w:val="00A57BEB"/>
    <w:rsid w:val="00A61673"/>
    <w:rsid w:val="00A64926"/>
    <w:rsid w:val="00A665CF"/>
    <w:rsid w:val="00A67CA7"/>
    <w:rsid w:val="00A72084"/>
    <w:rsid w:val="00A73989"/>
    <w:rsid w:val="00A7752F"/>
    <w:rsid w:val="00A82B2B"/>
    <w:rsid w:val="00A85C35"/>
    <w:rsid w:val="00A87552"/>
    <w:rsid w:val="00A92061"/>
    <w:rsid w:val="00A94249"/>
    <w:rsid w:val="00A94BC9"/>
    <w:rsid w:val="00A959BC"/>
    <w:rsid w:val="00AA2562"/>
    <w:rsid w:val="00AA3C60"/>
    <w:rsid w:val="00AB2FF4"/>
    <w:rsid w:val="00AB5F9C"/>
    <w:rsid w:val="00AC1AD6"/>
    <w:rsid w:val="00AC7E45"/>
    <w:rsid w:val="00AD64DF"/>
    <w:rsid w:val="00AE1025"/>
    <w:rsid w:val="00AE3F03"/>
    <w:rsid w:val="00AE64F0"/>
    <w:rsid w:val="00AE6FDC"/>
    <w:rsid w:val="00AF01A0"/>
    <w:rsid w:val="00AF23C8"/>
    <w:rsid w:val="00AF2AE2"/>
    <w:rsid w:val="00AF572B"/>
    <w:rsid w:val="00B0377E"/>
    <w:rsid w:val="00B07BA9"/>
    <w:rsid w:val="00B10055"/>
    <w:rsid w:val="00B1141E"/>
    <w:rsid w:val="00B1278B"/>
    <w:rsid w:val="00B17295"/>
    <w:rsid w:val="00B215F5"/>
    <w:rsid w:val="00B26B62"/>
    <w:rsid w:val="00B27A54"/>
    <w:rsid w:val="00B30783"/>
    <w:rsid w:val="00B35FB3"/>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4D1E"/>
    <w:rsid w:val="00B76A18"/>
    <w:rsid w:val="00B84C6C"/>
    <w:rsid w:val="00B92687"/>
    <w:rsid w:val="00B94248"/>
    <w:rsid w:val="00B942A1"/>
    <w:rsid w:val="00B94B4F"/>
    <w:rsid w:val="00B9606E"/>
    <w:rsid w:val="00B976F6"/>
    <w:rsid w:val="00BA5F41"/>
    <w:rsid w:val="00BA7385"/>
    <w:rsid w:val="00BB187C"/>
    <w:rsid w:val="00BB296B"/>
    <w:rsid w:val="00BB2A9C"/>
    <w:rsid w:val="00BB3622"/>
    <w:rsid w:val="00BB682C"/>
    <w:rsid w:val="00BB7CA9"/>
    <w:rsid w:val="00BC236B"/>
    <w:rsid w:val="00BC2BB4"/>
    <w:rsid w:val="00BC65D9"/>
    <w:rsid w:val="00BC7C52"/>
    <w:rsid w:val="00BD0CF6"/>
    <w:rsid w:val="00BD1471"/>
    <w:rsid w:val="00BD14C5"/>
    <w:rsid w:val="00BD196A"/>
    <w:rsid w:val="00BD2081"/>
    <w:rsid w:val="00BD2311"/>
    <w:rsid w:val="00BD6262"/>
    <w:rsid w:val="00BD7EED"/>
    <w:rsid w:val="00BE4C48"/>
    <w:rsid w:val="00BE61C1"/>
    <w:rsid w:val="00BE64AF"/>
    <w:rsid w:val="00BE6717"/>
    <w:rsid w:val="00BF0381"/>
    <w:rsid w:val="00BF446E"/>
    <w:rsid w:val="00BF6E7B"/>
    <w:rsid w:val="00C01021"/>
    <w:rsid w:val="00C0141F"/>
    <w:rsid w:val="00C02190"/>
    <w:rsid w:val="00C03A7B"/>
    <w:rsid w:val="00C048AF"/>
    <w:rsid w:val="00C077E0"/>
    <w:rsid w:val="00C07DE6"/>
    <w:rsid w:val="00C154B5"/>
    <w:rsid w:val="00C17872"/>
    <w:rsid w:val="00C205E9"/>
    <w:rsid w:val="00C212FC"/>
    <w:rsid w:val="00C23F48"/>
    <w:rsid w:val="00C262BD"/>
    <w:rsid w:val="00C30E04"/>
    <w:rsid w:val="00C310C2"/>
    <w:rsid w:val="00C36525"/>
    <w:rsid w:val="00C40EB3"/>
    <w:rsid w:val="00C41BD9"/>
    <w:rsid w:val="00C434FD"/>
    <w:rsid w:val="00C4350E"/>
    <w:rsid w:val="00C47AC7"/>
    <w:rsid w:val="00C5192E"/>
    <w:rsid w:val="00C52DE6"/>
    <w:rsid w:val="00C6016B"/>
    <w:rsid w:val="00C634A7"/>
    <w:rsid w:val="00C638D7"/>
    <w:rsid w:val="00C638DF"/>
    <w:rsid w:val="00C64720"/>
    <w:rsid w:val="00C6517F"/>
    <w:rsid w:val="00C66B25"/>
    <w:rsid w:val="00C67BA6"/>
    <w:rsid w:val="00C70DA3"/>
    <w:rsid w:val="00C71920"/>
    <w:rsid w:val="00C72A63"/>
    <w:rsid w:val="00C73ECB"/>
    <w:rsid w:val="00C77A70"/>
    <w:rsid w:val="00C80AE4"/>
    <w:rsid w:val="00C857F1"/>
    <w:rsid w:val="00C871C4"/>
    <w:rsid w:val="00C97301"/>
    <w:rsid w:val="00CA1130"/>
    <w:rsid w:val="00CA415F"/>
    <w:rsid w:val="00CA529D"/>
    <w:rsid w:val="00CA5EA7"/>
    <w:rsid w:val="00CB026C"/>
    <w:rsid w:val="00CB2C14"/>
    <w:rsid w:val="00CB5A49"/>
    <w:rsid w:val="00CB5C15"/>
    <w:rsid w:val="00CB678B"/>
    <w:rsid w:val="00CC1228"/>
    <w:rsid w:val="00CC1A21"/>
    <w:rsid w:val="00CC66DE"/>
    <w:rsid w:val="00CC7C0C"/>
    <w:rsid w:val="00CD5694"/>
    <w:rsid w:val="00CD75E3"/>
    <w:rsid w:val="00CE2627"/>
    <w:rsid w:val="00CE2EB2"/>
    <w:rsid w:val="00CE3E9B"/>
    <w:rsid w:val="00CE525D"/>
    <w:rsid w:val="00CE5C99"/>
    <w:rsid w:val="00CF23EE"/>
    <w:rsid w:val="00CF41D3"/>
    <w:rsid w:val="00D11357"/>
    <w:rsid w:val="00D126F7"/>
    <w:rsid w:val="00D129F5"/>
    <w:rsid w:val="00D12ED9"/>
    <w:rsid w:val="00D141DD"/>
    <w:rsid w:val="00D1494A"/>
    <w:rsid w:val="00D20B35"/>
    <w:rsid w:val="00D21887"/>
    <w:rsid w:val="00D266DE"/>
    <w:rsid w:val="00D31689"/>
    <w:rsid w:val="00D325D3"/>
    <w:rsid w:val="00D355E8"/>
    <w:rsid w:val="00D43DD6"/>
    <w:rsid w:val="00D454EC"/>
    <w:rsid w:val="00D51C2C"/>
    <w:rsid w:val="00D55A36"/>
    <w:rsid w:val="00D5689A"/>
    <w:rsid w:val="00D57072"/>
    <w:rsid w:val="00D61249"/>
    <w:rsid w:val="00D61AE5"/>
    <w:rsid w:val="00D64636"/>
    <w:rsid w:val="00D668E4"/>
    <w:rsid w:val="00D67466"/>
    <w:rsid w:val="00D67869"/>
    <w:rsid w:val="00D7047B"/>
    <w:rsid w:val="00D70735"/>
    <w:rsid w:val="00D729A9"/>
    <w:rsid w:val="00D741F4"/>
    <w:rsid w:val="00D74FEC"/>
    <w:rsid w:val="00D75505"/>
    <w:rsid w:val="00D76695"/>
    <w:rsid w:val="00D77DAB"/>
    <w:rsid w:val="00D80998"/>
    <w:rsid w:val="00D8228F"/>
    <w:rsid w:val="00D83CB1"/>
    <w:rsid w:val="00D862DA"/>
    <w:rsid w:val="00D8640C"/>
    <w:rsid w:val="00D86456"/>
    <w:rsid w:val="00D870BD"/>
    <w:rsid w:val="00D90ED8"/>
    <w:rsid w:val="00D936C9"/>
    <w:rsid w:val="00DA3D7B"/>
    <w:rsid w:val="00DA6721"/>
    <w:rsid w:val="00DA7189"/>
    <w:rsid w:val="00DA7370"/>
    <w:rsid w:val="00DB1190"/>
    <w:rsid w:val="00DB4594"/>
    <w:rsid w:val="00DB4AA3"/>
    <w:rsid w:val="00DB68FF"/>
    <w:rsid w:val="00DB7230"/>
    <w:rsid w:val="00DC32BA"/>
    <w:rsid w:val="00DC5FD8"/>
    <w:rsid w:val="00DD6518"/>
    <w:rsid w:val="00DD6537"/>
    <w:rsid w:val="00DD6667"/>
    <w:rsid w:val="00DD74A2"/>
    <w:rsid w:val="00DE383B"/>
    <w:rsid w:val="00DE49BE"/>
    <w:rsid w:val="00DE6576"/>
    <w:rsid w:val="00DF4614"/>
    <w:rsid w:val="00DF6D10"/>
    <w:rsid w:val="00DF7B25"/>
    <w:rsid w:val="00E00B67"/>
    <w:rsid w:val="00E0464C"/>
    <w:rsid w:val="00E04840"/>
    <w:rsid w:val="00E135A1"/>
    <w:rsid w:val="00E1496E"/>
    <w:rsid w:val="00E16EF1"/>
    <w:rsid w:val="00E177A0"/>
    <w:rsid w:val="00E17F63"/>
    <w:rsid w:val="00E368C3"/>
    <w:rsid w:val="00E3764A"/>
    <w:rsid w:val="00E43C06"/>
    <w:rsid w:val="00E449B1"/>
    <w:rsid w:val="00E47B31"/>
    <w:rsid w:val="00E501F7"/>
    <w:rsid w:val="00E5082D"/>
    <w:rsid w:val="00E574A9"/>
    <w:rsid w:val="00E57ADB"/>
    <w:rsid w:val="00E61355"/>
    <w:rsid w:val="00E613BC"/>
    <w:rsid w:val="00E61F1E"/>
    <w:rsid w:val="00E66861"/>
    <w:rsid w:val="00E66E21"/>
    <w:rsid w:val="00E67063"/>
    <w:rsid w:val="00E70F38"/>
    <w:rsid w:val="00E710FC"/>
    <w:rsid w:val="00E71915"/>
    <w:rsid w:val="00E80916"/>
    <w:rsid w:val="00E840DF"/>
    <w:rsid w:val="00E8452A"/>
    <w:rsid w:val="00E8560F"/>
    <w:rsid w:val="00E8780A"/>
    <w:rsid w:val="00E9402E"/>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BF4"/>
    <w:rsid w:val="00F03F3B"/>
    <w:rsid w:val="00F065B2"/>
    <w:rsid w:val="00F07468"/>
    <w:rsid w:val="00F11DDC"/>
    <w:rsid w:val="00F1302B"/>
    <w:rsid w:val="00F13F76"/>
    <w:rsid w:val="00F153C1"/>
    <w:rsid w:val="00F2176B"/>
    <w:rsid w:val="00F217E8"/>
    <w:rsid w:val="00F22D82"/>
    <w:rsid w:val="00F22FE8"/>
    <w:rsid w:val="00F23A8E"/>
    <w:rsid w:val="00F26D40"/>
    <w:rsid w:val="00F340B6"/>
    <w:rsid w:val="00F35C1D"/>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33A6"/>
    <w:rsid w:val="00FA7B80"/>
    <w:rsid w:val="00FB0B18"/>
    <w:rsid w:val="00FB18EA"/>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10C"/>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8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link w:val="FootnoteText"/>
    <w:rsid w:val="00C66B25"/>
  </w:style>
  <w:style w:type="paragraph" w:styleId="Revision">
    <w:name w:val="Revision"/>
    <w:hidden/>
    <w:uiPriority w:val="99"/>
    <w:semiHidden/>
    <w:rsid w:val="00752EF7"/>
  </w:style>
  <w:style w:type="paragraph" w:customStyle="1" w:styleId="Body">
    <w:name w:val="Body"/>
    <w:basedOn w:val="Normal"/>
    <w:qFormat/>
    <w:rsid w:val="00E9402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E9402E"/>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E9402E"/>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E9402E"/>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E9402E"/>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E9402E"/>
    <w:pPr>
      <w:jc w:val="center"/>
    </w:pPr>
    <w:rPr>
      <w:rFonts w:ascii="Times New Roman" w:hAnsi="Times New Roman"/>
      <w:bCs/>
      <w:szCs w:val="20"/>
      <w:lang w:val="en-GB"/>
    </w:rPr>
  </w:style>
  <w:style w:type="paragraph" w:customStyle="1" w:styleId="Default">
    <w:name w:val="Default"/>
    <w:rsid w:val="00A87552"/>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20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20BB0D2F-0382-4966-80D1-984B248FA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 V11</Template>
  <TotalTime>0</TotalTime>
  <Pages>25</Pages>
  <Words>5361</Words>
  <Characters>30560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2024-04-07T22:57:00Z</dcterms:created>
  <dcterms:modified xsi:type="dcterms:W3CDTF">2024-04-07T23:00:00Z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0x0101001F32D2EC4F8DE44A8C0C478B82839881</vt:lpwstr>
  </property>
  <property fmtid="{D5CDD505-2E9C-101B-9397-08002B2CF9AE}" pid="3" name="MediaServiceImageTags">
    <vt:lpwstr/>
  </property>
</Properties>
</file>