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BB6C" w14:textId="77777777" w:rsidR="006F46DC" w:rsidRPr="00704FF8" w:rsidRDefault="006F46DC" w:rsidP="00704FF8">
      <w:pPr>
        <w:pStyle w:val="OrdersTopLine"/>
      </w:pPr>
      <w:r w:rsidRPr="00704FF8">
        <w:t>HIGH COURT OF AUSTRALIA</w:t>
      </w:r>
    </w:p>
    <w:p w14:paraId="24E0E305" w14:textId="77777777" w:rsidR="006F46DC" w:rsidRPr="00704FF8" w:rsidRDefault="006F46DC" w:rsidP="00704FF8">
      <w:pPr>
        <w:pStyle w:val="OrderCentre"/>
      </w:pPr>
    </w:p>
    <w:p w14:paraId="627206EA" w14:textId="77777777" w:rsidR="006F46DC" w:rsidRPr="00C46004" w:rsidRDefault="006F46DC" w:rsidP="00704FF8">
      <w:pPr>
        <w:pStyle w:val="OrderCentre"/>
        <w:rPr>
          <w:spacing w:val="-4"/>
          <w:sz w:val="24"/>
          <w:szCs w:val="24"/>
        </w:rPr>
      </w:pPr>
      <w:r w:rsidRPr="00C46004">
        <w:rPr>
          <w:spacing w:val="-4"/>
          <w:sz w:val="24"/>
          <w:szCs w:val="24"/>
        </w:rPr>
        <w:t>GAGELER CJ,</w:t>
      </w:r>
    </w:p>
    <w:p w14:paraId="4B801F84" w14:textId="77777777" w:rsidR="006F46DC" w:rsidRPr="00704FF8" w:rsidRDefault="006F46DC" w:rsidP="00704FF8">
      <w:pPr>
        <w:pStyle w:val="OrderCentre"/>
      </w:pPr>
      <w:r w:rsidRPr="00C46004">
        <w:rPr>
          <w:spacing w:val="-4"/>
          <w:sz w:val="24"/>
          <w:szCs w:val="24"/>
        </w:rPr>
        <w:t>GORDON, GLEESON, JAGOT AND BEECH</w:t>
      </w:r>
      <w:r w:rsidRPr="00C46004">
        <w:rPr>
          <w:spacing w:val="-4"/>
          <w:sz w:val="24"/>
          <w:szCs w:val="24"/>
        </w:rPr>
        <w:noBreakHyphen/>
        <w:t>JONES JJ</w:t>
      </w:r>
    </w:p>
    <w:p w14:paraId="0D45E2FF" w14:textId="77777777" w:rsidR="006F46DC" w:rsidRPr="00427F3A" w:rsidRDefault="006F46DC" w:rsidP="00EE5374">
      <w:pPr>
        <w:pStyle w:val="Centre"/>
        <w:rPr>
          <w:lang w:val="en-AU"/>
        </w:rPr>
      </w:pPr>
    </w:p>
    <w:p w14:paraId="4D221485" w14:textId="77777777" w:rsidR="006F46DC" w:rsidRPr="00704FF8" w:rsidRDefault="006F46DC" w:rsidP="00704FF8">
      <w:pPr>
        <w:pStyle w:val="OrdersCenteredBorder"/>
      </w:pPr>
    </w:p>
    <w:p w14:paraId="2F7A21E3" w14:textId="77777777" w:rsidR="006F46DC" w:rsidRPr="00704FF8" w:rsidRDefault="006F46DC" w:rsidP="0032341F">
      <w:pPr>
        <w:pStyle w:val="OrdersBodyHeading"/>
      </w:pPr>
    </w:p>
    <w:p w14:paraId="7B72C6B2" w14:textId="77777777" w:rsidR="006F46DC" w:rsidRPr="0032341F" w:rsidRDefault="006F46DC" w:rsidP="009362E8">
      <w:pPr>
        <w:pStyle w:val="OrdersPartyName"/>
        <w:ind w:right="-1"/>
      </w:pPr>
      <w:r w:rsidRPr="006C6AD2">
        <w:t>MARK VINCENT DAYNEY</w:t>
      </w:r>
      <w:r w:rsidRPr="0032341F">
        <w:tab/>
        <w:t>APPELLANT</w:t>
      </w:r>
    </w:p>
    <w:p w14:paraId="7D3D9492" w14:textId="77777777" w:rsidR="006F46DC" w:rsidRPr="0032341F" w:rsidRDefault="006F46DC" w:rsidP="009362E8">
      <w:pPr>
        <w:pStyle w:val="OrdersPartyName"/>
        <w:ind w:right="-1"/>
      </w:pPr>
    </w:p>
    <w:p w14:paraId="3E799342" w14:textId="77777777" w:rsidR="006F46DC" w:rsidRPr="0032341F" w:rsidRDefault="006F46DC" w:rsidP="009362E8">
      <w:pPr>
        <w:pStyle w:val="OrdersPartyName"/>
        <w:ind w:right="-1"/>
      </w:pPr>
      <w:r w:rsidRPr="0032341F">
        <w:t>AND</w:t>
      </w:r>
    </w:p>
    <w:p w14:paraId="59132C4F" w14:textId="77777777" w:rsidR="006F46DC" w:rsidRPr="0032341F" w:rsidRDefault="006F46DC" w:rsidP="009362E8">
      <w:pPr>
        <w:pStyle w:val="OrdersPartyName"/>
        <w:ind w:right="-1"/>
      </w:pPr>
    </w:p>
    <w:p w14:paraId="4F97AAAA" w14:textId="77777777" w:rsidR="006F46DC" w:rsidRPr="0032341F" w:rsidRDefault="006F46DC" w:rsidP="009362E8">
      <w:pPr>
        <w:pStyle w:val="OrdersPartyName"/>
        <w:ind w:right="-1"/>
      </w:pPr>
      <w:r w:rsidRPr="006C6AD2">
        <w:t>THE KING</w:t>
      </w:r>
      <w:r w:rsidRPr="0032341F">
        <w:tab/>
        <w:t>RESPONDENT</w:t>
      </w:r>
    </w:p>
    <w:p w14:paraId="087B1F0B" w14:textId="77777777" w:rsidR="006F46DC" w:rsidRPr="00427F3A" w:rsidRDefault="006F46DC" w:rsidP="00AF0A5E">
      <w:pPr>
        <w:pStyle w:val="BodyHeading"/>
      </w:pPr>
    </w:p>
    <w:p w14:paraId="76628FF5" w14:textId="77777777" w:rsidR="006F46DC" w:rsidRPr="00427F3A" w:rsidRDefault="006F46DC" w:rsidP="00BE0A6C">
      <w:pPr>
        <w:pStyle w:val="BodyHeading"/>
      </w:pPr>
    </w:p>
    <w:p w14:paraId="3E39953A" w14:textId="77777777" w:rsidR="006F46DC" w:rsidRPr="00427F3A" w:rsidRDefault="006F46DC" w:rsidP="00EE5374">
      <w:pPr>
        <w:pStyle w:val="CentreItalics"/>
      </w:pPr>
      <w:proofErr w:type="spellStart"/>
      <w:r w:rsidRPr="006C6AD2">
        <w:t>Dayney</w:t>
      </w:r>
      <w:proofErr w:type="spellEnd"/>
      <w:r w:rsidRPr="006C6AD2">
        <w:t xml:space="preserve"> v The King</w:t>
      </w:r>
    </w:p>
    <w:p w14:paraId="421EA936" w14:textId="77777777" w:rsidR="006F46DC" w:rsidRPr="00427F3A" w:rsidRDefault="006F46DC" w:rsidP="00E90E4F">
      <w:pPr>
        <w:pStyle w:val="OrdersCentre"/>
      </w:pPr>
      <w:r>
        <w:t>[2024</w:t>
      </w:r>
      <w:r w:rsidRPr="00427F3A">
        <w:t xml:space="preserve">] HCA </w:t>
      </w:r>
      <w:r>
        <w:t>22</w:t>
      </w:r>
    </w:p>
    <w:p w14:paraId="2D4E5FF9" w14:textId="77777777" w:rsidR="006F46DC" w:rsidRDefault="006F46DC" w:rsidP="00E90E4F">
      <w:pPr>
        <w:pStyle w:val="OrdersCentreItalics"/>
      </w:pPr>
      <w:r>
        <w:t xml:space="preserve">Date of Hearing: </w:t>
      </w:r>
      <w:r w:rsidRPr="006C6AD2">
        <w:t>19 April 2024</w:t>
      </w:r>
    </w:p>
    <w:p w14:paraId="32C4A7C1" w14:textId="77777777" w:rsidR="006F46DC" w:rsidRPr="00427F3A" w:rsidRDefault="006F46DC" w:rsidP="00E90E4F">
      <w:pPr>
        <w:pStyle w:val="OrdersCentreItalics"/>
      </w:pPr>
      <w:r>
        <w:t>Date of Judgment: 12 June 2024</w:t>
      </w:r>
    </w:p>
    <w:p w14:paraId="3D6457DA" w14:textId="77777777" w:rsidR="006F46DC" w:rsidRDefault="006F46DC" w:rsidP="00E90E4F">
      <w:pPr>
        <w:pStyle w:val="OrdersCentre"/>
      </w:pPr>
      <w:r w:rsidRPr="006C6AD2">
        <w:t>B69/2023</w:t>
      </w:r>
    </w:p>
    <w:p w14:paraId="4D8B1DA3" w14:textId="77777777" w:rsidR="006F46DC" w:rsidRPr="00427F3A" w:rsidRDefault="006F46DC" w:rsidP="00E90E4F">
      <w:pPr>
        <w:pStyle w:val="OrdersCentre"/>
      </w:pPr>
    </w:p>
    <w:p w14:paraId="6CFCCF14" w14:textId="77777777" w:rsidR="006F46DC" w:rsidRPr="00BE0A6C" w:rsidRDefault="006F46DC" w:rsidP="00E90E4F">
      <w:pPr>
        <w:pStyle w:val="OrderCentreBold"/>
      </w:pPr>
      <w:r w:rsidRPr="00BE0A6C">
        <w:t>ORDER</w:t>
      </w:r>
    </w:p>
    <w:p w14:paraId="39A11C71" w14:textId="77777777" w:rsidR="006F46DC" w:rsidRPr="00427F3A" w:rsidRDefault="006F46DC" w:rsidP="00736C52">
      <w:pPr>
        <w:pStyle w:val="Centre"/>
        <w:rPr>
          <w:lang w:val="en-AU"/>
        </w:rPr>
      </w:pPr>
    </w:p>
    <w:p w14:paraId="74CCDD5C" w14:textId="77777777" w:rsidR="006F46DC" w:rsidRPr="00932312" w:rsidRDefault="006F46DC" w:rsidP="00D4418D">
      <w:pPr>
        <w:pStyle w:val="OrdersText"/>
      </w:pPr>
      <w:r w:rsidRPr="009F6FDE">
        <w:t xml:space="preserve">Appeal </w:t>
      </w:r>
      <w:r>
        <w:t>dismissed</w:t>
      </w:r>
      <w:r w:rsidRPr="009F6FDE">
        <w:t>.</w:t>
      </w:r>
    </w:p>
    <w:p w14:paraId="7255091B" w14:textId="77777777" w:rsidR="006F46DC" w:rsidRDefault="006F46DC" w:rsidP="00EE5374">
      <w:pPr>
        <w:pStyle w:val="Body"/>
      </w:pPr>
    </w:p>
    <w:p w14:paraId="434B4639" w14:textId="77777777" w:rsidR="006F46DC" w:rsidRPr="00427F3A" w:rsidRDefault="006F46DC" w:rsidP="00EE5374">
      <w:pPr>
        <w:pStyle w:val="Body"/>
      </w:pPr>
    </w:p>
    <w:p w14:paraId="39D1C476" w14:textId="77777777" w:rsidR="006F46DC" w:rsidRPr="00427F3A" w:rsidRDefault="006F46DC" w:rsidP="0032341F">
      <w:pPr>
        <w:pStyle w:val="OrdersBody"/>
      </w:pPr>
      <w:r w:rsidRPr="00427F3A">
        <w:t xml:space="preserve">On appeal from the </w:t>
      </w:r>
      <w:r w:rsidRPr="006C6AD2">
        <w:t>Supreme Court of Queensland</w:t>
      </w:r>
    </w:p>
    <w:p w14:paraId="3F6AAED8" w14:textId="77777777" w:rsidR="006F46DC" w:rsidRDefault="006F46DC" w:rsidP="00EE5374">
      <w:pPr>
        <w:pStyle w:val="Body"/>
      </w:pPr>
    </w:p>
    <w:p w14:paraId="7AC27559" w14:textId="77777777" w:rsidR="006F46DC" w:rsidRPr="00427F3A" w:rsidRDefault="006F46DC" w:rsidP="00EE5374">
      <w:pPr>
        <w:pStyle w:val="Body"/>
      </w:pPr>
    </w:p>
    <w:p w14:paraId="111CD238" w14:textId="77777777" w:rsidR="006F46DC" w:rsidRPr="00427F3A" w:rsidRDefault="006F46DC" w:rsidP="00E90E4F">
      <w:pPr>
        <w:pStyle w:val="OrdersBodyHeading"/>
      </w:pPr>
      <w:r w:rsidRPr="00427F3A">
        <w:t>Representation</w:t>
      </w:r>
    </w:p>
    <w:p w14:paraId="19B95DA0" w14:textId="77777777" w:rsidR="006F46DC" w:rsidRDefault="006F46DC" w:rsidP="00EE5374">
      <w:pPr>
        <w:pStyle w:val="Body"/>
      </w:pPr>
    </w:p>
    <w:p w14:paraId="77498E33" w14:textId="77777777" w:rsidR="006F46DC" w:rsidRPr="006C6AD2" w:rsidRDefault="006F46DC" w:rsidP="00E90E4F">
      <w:pPr>
        <w:pStyle w:val="OrdersBody"/>
      </w:pPr>
      <w:r w:rsidRPr="006C6AD2">
        <w:t>R M O</w:t>
      </w:r>
      <w:r w:rsidRPr="006C6AD2">
        <w:rPr>
          <w:lang w:val="en-AU"/>
        </w:rPr>
        <w:t>'</w:t>
      </w:r>
      <w:r w:rsidRPr="006C6AD2">
        <w:t xml:space="preserve">Gorman KC with J </w:t>
      </w:r>
      <w:proofErr w:type="spellStart"/>
      <w:r w:rsidRPr="006C6AD2">
        <w:t>J</w:t>
      </w:r>
      <w:proofErr w:type="spellEnd"/>
      <w:r w:rsidRPr="006C6AD2">
        <w:t xml:space="preserve"> Underwood for the appellant (instructed by A W Bale &amp; Son Solicitors)</w:t>
      </w:r>
    </w:p>
    <w:p w14:paraId="5BE13AE1" w14:textId="77777777" w:rsidR="006F46DC" w:rsidRPr="006C6AD2" w:rsidRDefault="006F46DC" w:rsidP="001B3C97">
      <w:pPr>
        <w:pStyle w:val="Body"/>
      </w:pPr>
    </w:p>
    <w:p w14:paraId="6A9CA96B" w14:textId="77777777" w:rsidR="006F46DC" w:rsidRPr="006C6AD2" w:rsidRDefault="006F46DC" w:rsidP="00E90E4F">
      <w:pPr>
        <w:pStyle w:val="OrdersBody"/>
      </w:pPr>
      <w:r w:rsidRPr="006C6AD2">
        <w:t>C W Wallis with S L Dennis for the respondent (instructed by Office of the Director of Public Prosecutions (Qld))</w:t>
      </w:r>
    </w:p>
    <w:p w14:paraId="171C6C5A" w14:textId="77777777" w:rsidR="006F46DC" w:rsidRDefault="006F46DC" w:rsidP="00A01277">
      <w:pPr>
        <w:pStyle w:val="Body"/>
      </w:pPr>
    </w:p>
    <w:p w14:paraId="3875838D" w14:textId="77777777" w:rsidR="006F46DC" w:rsidRDefault="006F46DC" w:rsidP="00EE5374">
      <w:pPr>
        <w:pStyle w:val="Body"/>
      </w:pPr>
    </w:p>
    <w:p w14:paraId="0F447D4F" w14:textId="77777777" w:rsidR="006F46DC" w:rsidRPr="00427F3A" w:rsidRDefault="006F46DC" w:rsidP="00EE5374">
      <w:pPr>
        <w:pStyle w:val="Body"/>
      </w:pPr>
    </w:p>
    <w:p w14:paraId="5188054F" w14:textId="77777777" w:rsidR="006F46DC" w:rsidRPr="00427F3A" w:rsidRDefault="006F46DC" w:rsidP="00F9713B">
      <w:pPr>
        <w:pStyle w:val="Notice"/>
        <w:rPr>
          <w:lang w:val="en-AU"/>
        </w:rPr>
      </w:pPr>
      <w:r w:rsidRPr="00427F3A">
        <w:rPr>
          <w:lang w:val="en-AU"/>
        </w:rPr>
        <w:t>Notice:  This copy of the Court's Reasons for Judgment is subject to formal revision prior to publication in the Commonwealth Law Reports.</w:t>
      </w:r>
    </w:p>
    <w:p w14:paraId="309AFB53" w14:textId="5A0EADE4" w:rsidR="006F46DC" w:rsidRDefault="006F46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28CC446F" w14:textId="77777777" w:rsidR="006F46DC" w:rsidRDefault="006F46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F46DC" w:rsidSect="006F46D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0F36B86" w14:textId="77777777" w:rsidR="006F46DC" w:rsidRDefault="006F46DC" w:rsidP="001649CA">
      <w:pPr>
        <w:pStyle w:val="CatchwordsBold"/>
      </w:pPr>
      <w:r w:rsidRPr="00B9489E">
        <w:lastRenderedPageBreak/>
        <w:t>CATCHWORDS</w:t>
      </w:r>
    </w:p>
    <w:p w14:paraId="6570A01C" w14:textId="77777777" w:rsidR="006F46DC" w:rsidRPr="00B9489E" w:rsidRDefault="006F46DC" w:rsidP="001649CA">
      <w:pPr>
        <w:pStyle w:val="CatchwordsBold"/>
      </w:pPr>
    </w:p>
    <w:p w14:paraId="2CBB475C" w14:textId="77777777" w:rsidR="006F46DC" w:rsidRPr="00B9489E" w:rsidRDefault="006F46DC" w:rsidP="001649CA">
      <w:pPr>
        <w:pStyle w:val="CatchwordsBold"/>
      </w:pPr>
      <w:proofErr w:type="spellStart"/>
      <w:r>
        <w:t>Dayney</w:t>
      </w:r>
      <w:proofErr w:type="spellEnd"/>
      <w:r>
        <w:t xml:space="preserve"> v The King</w:t>
      </w:r>
    </w:p>
    <w:p w14:paraId="27AD718F" w14:textId="77777777" w:rsidR="006F46DC" w:rsidRPr="00B9489E" w:rsidRDefault="006F46DC" w:rsidP="00562CAB">
      <w:pPr>
        <w:pStyle w:val="Default"/>
      </w:pPr>
    </w:p>
    <w:p w14:paraId="43EA4C52" w14:textId="77777777" w:rsidR="006F46DC" w:rsidRDefault="006F46DC" w:rsidP="001649CA">
      <w:pPr>
        <w:pStyle w:val="CatchwordsText"/>
      </w:pPr>
      <w:r w:rsidRPr="005D5EB8">
        <w:t>Criminal law – Appeal against conviction – Self-defence against provoked assault</w:t>
      </w:r>
      <w:r>
        <w:t> </w:t>
      </w:r>
      <w:r w:rsidRPr="005D5EB8">
        <w:t>– Where appellant convicted of murder – Where s</w:t>
      </w:r>
      <w:r>
        <w:t> </w:t>
      </w:r>
      <w:r w:rsidRPr="005D5EB8">
        <w:t>272</w:t>
      </w:r>
      <w:r>
        <w:t>(1)</w:t>
      </w:r>
      <w:r w:rsidRPr="005D5EB8">
        <w:t xml:space="preserve"> of </w:t>
      </w:r>
      <w:r w:rsidRPr="0065249A">
        <w:rPr>
          <w:i/>
          <w:iCs/>
        </w:rPr>
        <w:t>Criminal Code</w:t>
      </w:r>
      <w:r>
        <w:rPr>
          <w:i/>
          <w:iCs/>
        </w:rPr>
        <w:t> </w:t>
      </w:r>
      <w:r w:rsidRPr="005D5EB8">
        <w:t>(Qld) affords defence of self-defence against provoked assault –</w:t>
      </w:r>
      <w:r>
        <w:t xml:space="preserve"> Where s 272(2) </w:t>
      </w:r>
      <w:r w:rsidRPr="0056084F">
        <w:t xml:space="preserve">identifies cases to which </w:t>
      </w:r>
      <w:r>
        <w:t xml:space="preserve">defence does not apply </w:t>
      </w:r>
      <w:r w:rsidRPr="005D5EB8">
        <w:t>–</w:t>
      </w:r>
      <w:r>
        <w:t xml:space="preserve"> Where s 272(2) contains three clauses </w:t>
      </w:r>
      <w:r w:rsidRPr="005D5EB8">
        <w:t>–</w:t>
      </w:r>
      <w:r>
        <w:t xml:space="preserve"> Where third clause of s 272(2) states that accused will not obtain protection of s 272(1) unless they declined further conflict and quitted it or retreated from it as far as practicable before using force in self-defence </w:t>
      </w:r>
      <w:r w:rsidRPr="005D5EB8">
        <w:t>–</w:t>
      </w:r>
      <w:r>
        <w:t xml:space="preserve"> Whether </w:t>
      </w:r>
      <w:r w:rsidDel="00203D3D">
        <w:t xml:space="preserve">condition in </w:t>
      </w:r>
      <w:r>
        <w:t xml:space="preserve">third clause of s 272(2) is an independent condition or modifies effect of first two clauses of s 272(2) </w:t>
      </w:r>
      <w:r w:rsidRPr="005D5EB8">
        <w:t>–</w:t>
      </w:r>
      <w:r>
        <w:t xml:space="preserve"> Whether trial judge erred in directing jury that appellant must satisfy retreat condition for </w:t>
      </w:r>
      <w:r w:rsidRPr="005D5EB8">
        <w:t>defence of self-defence against provoked assault</w:t>
      </w:r>
      <w:r>
        <w:t>.</w:t>
      </w:r>
    </w:p>
    <w:p w14:paraId="0E7EC9AC" w14:textId="77777777" w:rsidR="006F46DC" w:rsidRDefault="006F46DC" w:rsidP="001649CA">
      <w:pPr>
        <w:pStyle w:val="CatchwordsText"/>
      </w:pPr>
    </w:p>
    <w:p w14:paraId="310B83D5" w14:textId="77777777" w:rsidR="006F46DC" w:rsidRPr="007D7924" w:rsidRDefault="006F46DC" w:rsidP="001649CA">
      <w:pPr>
        <w:pStyle w:val="CatchwordsText"/>
        <w:rPr>
          <w:b/>
          <w:highlight w:val="yellow"/>
        </w:rPr>
      </w:pPr>
      <w:r w:rsidRPr="006E571D">
        <w:t>Words and phrases –</w:t>
      </w:r>
      <w:r>
        <w:t xml:space="preserve"> </w:t>
      </w:r>
      <w:r w:rsidRPr="00B35080">
        <w:t>"death or grievous bodily harm"</w:t>
      </w:r>
      <w:r>
        <w:t>,</w:t>
      </w:r>
      <w:r w:rsidRPr="00B35080">
        <w:t xml:space="preserve"> "murder"</w:t>
      </w:r>
      <w:r>
        <w:t>,</w:t>
      </w:r>
      <w:r w:rsidRPr="00B35080">
        <w:t xml:space="preserve"> "necessity"</w:t>
      </w:r>
      <w:r>
        <w:t>,</w:t>
      </w:r>
      <w:r w:rsidRPr="00B35080">
        <w:t xml:space="preserve"> "nor, in either case"</w:t>
      </w:r>
      <w:r>
        <w:t xml:space="preserve">, </w:t>
      </w:r>
      <w:r w:rsidRPr="00B35080">
        <w:t>"reasonably necessary"</w:t>
      </w:r>
      <w:r>
        <w:t xml:space="preserve">, </w:t>
      </w:r>
      <w:r w:rsidRPr="00B35080">
        <w:t>"self-defence"</w:t>
      </w:r>
      <w:r>
        <w:t xml:space="preserve">, </w:t>
      </w:r>
      <w:r w:rsidRPr="00B35080">
        <w:t>"self-defence against provoked assault"</w:t>
      </w:r>
      <w:r>
        <w:t>.</w:t>
      </w:r>
    </w:p>
    <w:p w14:paraId="21CD4CA3" w14:textId="77777777" w:rsidR="006F46DC" w:rsidRDefault="006F46DC" w:rsidP="0065249A">
      <w:pPr>
        <w:pStyle w:val="CatchwordsText"/>
        <w:rPr>
          <w:i/>
          <w:iCs/>
        </w:rPr>
      </w:pPr>
    </w:p>
    <w:p w14:paraId="5C01BCEA" w14:textId="77777777" w:rsidR="006F46DC" w:rsidRPr="0065249A" w:rsidRDefault="006F46DC" w:rsidP="0065249A">
      <w:pPr>
        <w:pStyle w:val="CatchwordsText"/>
      </w:pPr>
      <w:r w:rsidRPr="0065249A">
        <w:rPr>
          <w:i/>
          <w:iCs/>
        </w:rPr>
        <w:t xml:space="preserve">Criminal Code </w:t>
      </w:r>
      <w:r w:rsidRPr="0065249A">
        <w:t>(Qld)</w:t>
      </w:r>
      <w:r>
        <w:t>,</w:t>
      </w:r>
      <w:r w:rsidRPr="0065249A">
        <w:t xml:space="preserve"> s</w:t>
      </w:r>
      <w:r>
        <w:t> </w:t>
      </w:r>
      <w:r w:rsidRPr="0065249A">
        <w:t>272</w:t>
      </w:r>
      <w:r>
        <w:t>.</w:t>
      </w:r>
      <w:r w:rsidRPr="0065249A">
        <w:t xml:space="preserve"> </w:t>
      </w:r>
    </w:p>
    <w:p w14:paraId="49B94396" w14:textId="77777777" w:rsidR="006F46DC" w:rsidRDefault="006F46DC" w:rsidP="00123AAD">
      <w:pPr>
        <w:pStyle w:val="CatchwordsText"/>
        <w:rPr>
          <w:bCs/>
        </w:rPr>
      </w:pPr>
    </w:p>
    <w:p w14:paraId="63629E84" w14:textId="77777777" w:rsidR="006F46DC" w:rsidRPr="009B7BC6" w:rsidRDefault="006F46DC" w:rsidP="00123AAD">
      <w:pPr>
        <w:pStyle w:val="CatchwordsText"/>
        <w:rPr>
          <w:bCs/>
        </w:rPr>
      </w:pPr>
    </w:p>
    <w:p w14:paraId="0031EBD5" w14:textId="1631025A" w:rsidR="006F46DC" w:rsidRDefault="006F46DC" w:rsidP="006F46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71340478" w14:textId="0B1745C3" w:rsidR="006F46DC" w:rsidRDefault="006F46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6DC0569" w14:textId="11C85022" w:rsidR="006F46DC" w:rsidRDefault="006F46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4CB6EAAA" w14:textId="77777777" w:rsidR="006F46DC" w:rsidRDefault="006F46DC" w:rsidP="0093589C">
      <w:pPr>
        <w:pStyle w:val="NormalBody"/>
        <w:tabs>
          <w:tab w:val="clear" w:pos="720"/>
          <w:tab w:val="left" w:pos="0"/>
        </w:tabs>
        <w:spacing w:after="260" w:line="280" w:lineRule="exact"/>
        <w:ind w:right="0"/>
        <w:jc w:val="both"/>
        <w:rPr>
          <w:rFonts w:ascii="Times New Roman" w:hAnsi="Times New Roman"/>
        </w:rPr>
        <w:sectPr w:rsidR="006F46DC" w:rsidSect="006F46DC">
          <w:pgSz w:w="11907" w:h="16839" w:code="9"/>
          <w:pgMar w:top="1440" w:right="1701" w:bottom="1984" w:left="1701" w:header="720" w:footer="720" w:gutter="0"/>
          <w:pgNumType w:start="1"/>
          <w:cols w:space="720"/>
          <w:titlePg/>
          <w:docGrid w:linePitch="354"/>
        </w:sectPr>
      </w:pPr>
    </w:p>
    <w:p w14:paraId="6631DBB4" w14:textId="5C527431" w:rsidR="0093589C" w:rsidRPr="0093589C" w:rsidRDefault="0093589C" w:rsidP="0093589C">
      <w:pPr>
        <w:pStyle w:val="NormalBody"/>
        <w:tabs>
          <w:tab w:val="clear" w:pos="720"/>
          <w:tab w:val="left" w:pos="0"/>
        </w:tabs>
        <w:spacing w:after="260" w:line="280" w:lineRule="exact"/>
        <w:ind w:right="0"/>
        <w:jc w:val="both"/>
        <w:rPr>
          <w:rFonts w:ascii="Times New Roman" w:hAnsi="Times New Roman"/>
        </w:rPr>
      </w:pPr>
      <w:r w:rsidRPr="0093589C">
        <w:rPr>
          <w:rFonts w:ascii="Times New Roman" w:hAnsi="Times New Roman"/>
        </w:rPr>
        <w:lastRenderedPageBreak/>
        <w:t xml:space="preserve">GAGELER CJ, GORDON, GLEESON, JAGOT AND BEECH-JONES JJ.   </w:t>
      </w:r>
    </w:p>
    <w:p w14:paraId="037040C9" w14:textId="3BDE9CCB" w:rsidR="00BB4F06" w:rsidRPr="0093589C" w:rsidRDefault="001C3027" w:rsidP="0093589C">
      <w:pPr>
        <w:pStyle w:val="HeadingL1"/>
        <w:spacing w:after="260" w:line="280" w:lineRule="exact"/>
        <w:ind w:right="0"/>
        <w:jc w:val="both"/>
        <w:rPr>
          <w:rFonts w:ascii="Times New Roman" w:hAnsi="Times New Roman"/>
        </w:rPr>
      </w:pPr>
      <w:r w:rsidRPr="0093589C">
        <w:rPr>
          <w:rFonts w:ascii="Times New Roman" w:hAnsi="Times New Roman"/>
        </w:rPr>
        <w:t>Introduction</w:t>
      </w:r>
    </w:p>
    <w:p w14:paraId="04720324" w14:textId="61740C7B" w:rsidR="00BB4F06" w:rsidRPr="0093589C" w:rsidRDefault="00BB4F06"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Section 272 of the </w:t>
      </w:r>
      <w:r w:rsidRPr="0093589C">
        <w:rPr>
          <w:rFonts w:ascii="Times New Roman" w:hAnsi="Times New Roman"/>
          <w:i/>
          <w:iCs/>
        </w:rPr>
        <w:t>Criminal Code</w:t>
      </w:r>
      <w:r w:rsidR="00A12622" w:rsidRPr="0093589C">
        <w:rPr>
          <w:rFonts w:ascii="Times New Roman" w:hAnsi="Times New Roman"/>
        </w:rPr>
        <w:t> </w:t>
      </w:r>
      <w:r w:rsidRPr="0093589C">
        <w:rPr>
          <w:rFonts w:ascii="Times New Roman" w:hAnsi="Times New Roman"/>
        </w:rPr>
        <w:t>(Qld)</w:t>
      </w:r>
      <w:r w:rsidR="00A96420" w:rsidRPr="0093589C">
        <w:rPr>
          <w:rFonts w:ascii="Times New Roman" w:hAnsi="Times New Roman"/>
        </w:rPr>
        <w:t xml:space="preserve"> ("the Code")</w:t>
      </w:r>
      <w:r w:rsidRPr="0093589C">
        <w:rPr>
          <w:rFonts w:ascii="Times New Roman" w:hAnsi="Times New Roman"/>
        </w:rPr>
        <w:t>, headed "Self</w:t>
      </w:r>
      <w:r w:rsidR="00A12622" w:rsidRPr="0093589C">
        <w:rPr>
          <w:rFonts w:ascii="Times New Roman" w:hAnsi="Times New Roman"/>
        </w:rPr>
        <w:noBreakHyphen/>
      </w:r>
      <w:r w:rsidRPr="0093589C">
        <w:rPr>
          <w:rFonts w:ascii="Times New Roman" w:hAnsi="Times New Roman"/>
        </w:rPr>
        <w:t>defence against provoked assault", affords a defence to all criminal charges involving an assault, spanning</w:t>
      </w:r>
      <w:r w:rsidR="00113FEE" w:rsidRPr="0093589C">
        <w:rPr>
          <w:rFonts w:ascii="Times New Roman" w:hAnsi="Times New Roman"/>
        </w:rPr>
        <w:t xml:space="preserve"> </w:t>
      </w:r>
      <w:r w:rsidRPr="0093589C">
        <w:rPr>
          <w:rFonts w:ascii="Times New Roman" w:hAnsi="Times New Roman"/>
        </w:rPr>
        <w:t xml:space="preserve">common assault to murder. </w:t>
      </w:r>
      <w:r w:rsidR="008405D2" w:rsidRPr="0093589C">
        <w:rPr>
          <w:rFonts w:ascii="Times New Roman" w:hAnsi="Times New Roman"/>
        </w:rPr>
        <w:t>The section</w:t>
      </w:r>
      <w:r w:rsidRPr="0093589C">
        <w:rPr>
          <w:rFonts w:ascii="Times New Roman" w:hAnsi="Times New Roman"/>
        </w:rPr>
        <w:t xml:space="preserve"> provides:</w:t>
      </w:r>
    </w:p>
    <w:p w14:paraId="24EF1E53" w14:textId="35FFD437" w:rsidR="00BB4F06" w:rsidRPr="0093589C" w:rsidRDefault="00BB4F06" w:rsidP="0093589C">
      <w:pPr>
        <w:pStyle w:val="leftright"/>
        <w:spacing w:before="0" w:after="260" w:line="280" w:lineRule="exact"/>
        <w:ind w:left="1440" w:right="0" w:hanging="720"/>
        <w:jc w:val="both"/>
        <w:rPr>
          <w:rFonts w:ascii="Times New Roman" w:hAnsi="Times New Roman"/>
        </w:rPr>
      </w:pPr>
      <w:r w:rsidRPr="0093589C">
        <w:rPr>
          <w:rFonts w:ascii="Times New Roman" w:hAnsi="Times New Roman"/>
        </w:rPr>
        <w:t>"(1)</w:t>
      </w:r>
      <w:r w:rsidRPr="0093589C">
        <w:rPr>
          <w:rFonts w:ascii="Times New Roman" w:hAnsi="Times New Roman"/>
        </w:rPr>
        <w:tab/>
        <w:t>When a person has unlawfully assaulted another or has provoked an assault from another, and that other assaults the person with such violence as to cause reasonable apprehension of death or grievous bodily harm, and to induce the person to believe, on reasonable grounds, that it is necessary for the person's preservation from death or grievous bodily harm to use force in self</w:t>
      </w:r>
      <w:r w:rsidR="00A12622" w:rsidRPr="0093589C">
        <w:rPr>
          <w:rFonts w:ascii="Times New Roman" w:hAnsi="Times New Roman"/>
        </w:rPr>
        <w:noBreakHyphen/>
      </w:r>
      <w:r w:rsidRPr="0093589C">
        <w:rPr>
          <w:rFonts w:ascii="Times New Roman" w:hAnsi="Times New Roman"/>
        </w:rPr>
        <w:t>defence, the person is not criminally responsible for using any such force as is reasonably necessary for such preservation, although such force may cause death or grievous bodily harm.</w:t>
      </w:r>
    </w:p>
    <w:p w14:paraId="648EEBBF" w14:textId="77777777" w:rsidR="0093589C" w:rsidRDefault="00BB4F06" w:rsidP="0093589C">
      <w:pPr>
        <w:pStyle w:val="leftright"/>
        <w:spacing w:before="0" w:after="260" w:line="280" w:lineRule="exact"/>
        <w:ind w:left="1440" w:right="0" w:hanging="720"/>
        <w:jc w:val="both"/>
        <w:rPr>
          <w:rFonts w:ascii="Times New Roman" w:hAnsi="Times New Roman"/>
        </w:rPr>
      </w:pPr>
      <w:r w:rsidRPr="0093589C">
        <w:rPr>
          <w:rFonts w:ascii="Times New Roman" w:hAnsi="Times New Roman"/>
        </w:rPr>
        <w:t>(2)</w:t>
      </w:r>
      <w:r w:rsidRPr="0093589C">
        <w:rPr>
          <w:rFonts w:ascii="Times New Roman" w:hAnsi="Times New Roman"/>
        </w:rPr>
        <w:tab/>
        <w:t xml:space="preserve">This protection does not extend to a case in which the person using force which causes death or grievous bodily harm first begun the assault with intent to kill or to do grievous bodily harm to some </w:t>
      </w:r>
      <w:r w:rsidR="00921976" w:rsidRPr="0093589C">
        <w:rPr>
          <w:rFonts w:ascii="Times New Roman" w:hAnsi="Times New Roman"/>
        </w:rPr>
        <w:t>person; nor</w:t>
      </w:r>
      <w:r w:rsidRPr="0093589C">
        <w:rPr>
          <w:rFonts w:ascii="Times New Roman" w:hAnsi="Times New Roman"/>
        </w:rPr>
        <w:t xml:space="preserve"> to a case in which the person using force which causes death or grievous bodily harm endeavoured to kill or to do grievous bodily harm to some person before the necessity of so preserving himself or herself </w:t>
      </w:r>
      <w:r w:rsidR="00921976" w:rsidRPr="0093589C">
        <w:rPr>
          <w:rFonts w:ascii="Times New Roman" w:hAnsi="Times New Roman"/>
        </w:rPr>
        <w:t>arose; nor</w:t>
      </w:r>
      <w:r w:rsidRPr="0093589C">
        <w:rPr>
          <w:rFonts w:ascii="Times New Roman" w:hAnsi="Times New Roman"/>
        </w:rPr>
        <w:t xml:space="preserve">, in either case, unless, before such necessity arose, the person using such force declined further conflict, and quitted it or retreated from it as far as was practicable." </w:t>
      </w:r>
    </w:p>
    <w:p w14:paraId="0A5B26FD" w14:textId="323CE0F5" w:rsidR="00BB4F06" w:rsidRPr="0093589C" w:rsidRDefault="00BB4F06"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B511F7" w:rsidRPr="0093589C">
        <w:rPr>
          <w:rFonts w:ascii="Times New Roman" w:hAnsi="Times New Roman"/>
        </w:rPr>
        <w:t>Section</w:t>
      </w:r>
      <w:r w:rsidRPr="0093589C">
        <w:rPr>
          <w:rFonts w:ascii="Times New Roman" w:hAnsi="Times New Roman"/>
        </w:rPr>
        <w:t> 272(1) affords a protection from criminal responsibility for the use of force in response to a provoked assault</w:t>
      </w:r>
      <w:r w:rsidR="00A6651D" w:rsidRPr="0093589C">
        <w:rPr>
          <w:rFonts w:ascii="Times New Roman" w:hAnsi="Times New Roman"/>
        </w:rPr>
        <w:t xml:space="preserve"> and s</w:t>
      </w:r>
      <w:r w:rsidRPr="0093589C">
        <w:rPr>
          <w:rFonts w:ascii="Times New Roman" w:hAnsi="Times New Roman"/>
        </w:rPr>
        <w:t> 272(2) identifies cases to which that protection does not extend.</w:t>
      </w:r>
    </w:p>
    <w:p w14:paraId="65F36996" w14:textId="3CF3B4C8" w:rsidR="00BB4F06" w:rsidRPr="0093589C" w:rsidRDefault="00BB4F06"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This appeal is concerned with the proper construction of s 272(2). The question </w:t>
      </w:r>
      <w:r w:rsidR="007A7CB9" w:rsidRPr="0093589C">
        <w:rPr>
          <w:rFonts w:ascii="Times New Roman" w:hAnsi="Times New Roman"/>
        </w:rPr>
        <w:t xml:space="preserve">is </w:t>
      </w:r>
      <w:r w:rsidRPr="0093589C">
        <w:rPr>
          <w:rFonts w:ascii="Times New Roman" w:hAnsi="Times New Roman"/>
        </w:rPr>
        <w:t>whether</w:t>
      </w:r>
      <w:r w:rsidR="007A7CB9" w:rsidRPr="0093589C">
        <w:rPr>
          <w:rFonts w:ascii="Times New Roman" w:hAnsi="Times New Roman"/>
        </w:rPr>
        <w:t xml:space="preserve">, as </w:t>
      </w:r>
      <w:r w:rsidR="00001E1D" w:rsidRPr="0093589C">
        <w:rPr>
          <w:rFonts w:ascii="Times New Roman" w:hAnsi="Times New Roman"/>
        </w:rPr>
        <w:t>the Court of Appeal of the Supreme Court of Queensland</w:t>
      </w:r>
      <w:r w:rsidR="00343595" w:rsidRPr="0093589C">
        <w:rPr>
          <w:rFonts w:ascii="Times New Roman" w:hAnsi="Times New Roman"/>
        </w:rPr>
        <w:t xml:space="preserve"> </w:t>
      </w:r>
      <w:r w:rsidR="00FB5BF8" w:rsidRPr="0093589C">
        <w:rPr>
          <w:rFonts w:ascii="Times New Roman" w:hAnsi="Times New Roman"/>
        </w:rPr>
        <w:t xml:space="preserve">unanimously </w:t>
      </w:r>
      <w:r w:rsidR="00DD6C75" w:rsidRPr="0093589C">
        <w:rPr>
          <w:rFonts w:ascii="Times New Roman" w:hAnsi="Times New Roman"/>
        </w:rPr>
        <w:t xml:space="preserve">held </w:t>
      </w:r>
      <w:r w:rsidR="00AA4150" w:rsidRPr="0093589C">
        <w:rPr>
          <w:rFonts w:ascii="Times New Roman" w:hAnsi="Times New Roman"/>
        </w:rPr>
        <w:t>in the decision under appeal</w:t>
      </w:r>
      <w:r w:rsidR="0002742F" w:rsidRPr="0093589C">
        <w:rPr>
          <w:rFonts w:ascii="Times New Roman" w:hAnsi="Times New Roman"/>
        </w:rPr>
        <w:t xml:space="preserve"> </w:t>
      </w:r>
      <w:r w:rsidR="00F6417B" w:rsidRPr="0093589C">
        <w:rPr>
          <w:rFonts w:ascii="Times New Roman" w:hAnsi="Times New Roman"/>
        </w:rPr>
        <w:t xml:space="preserve">in </w:t>
      </w:r>
      <w:r w:rsidR="00F6417B" w:rsidRPr="0093589C">
        <w:rPr>
          <w:rFonts w:ascii="Times New Roman" w:hAnsi="Times New Roman"/>
          <w:i/>
          <w:iCs/>
          <w:lang w:val="en-US"/>
        </w:rPr>
        <w:t xml:space="preserve">R v </w:t>
      </w:r>
      <w:proofErr w:type="spellStart"/>
      <w:r w:rsidR="00F6417B" w:rsidRPr="0093589C">
        <w:rPr>
          <w:rFonts w:ascii="Times New Roman" w:hAnsi="Times New Roman"/>
          <w:i/>
          <w:iCs/>
          <w:lang w:val="en-US"/>
        </w:rPr>
        <w:t>Dayney</w:t>
      </w:r>
      <w:proofErr w:type="spellEnd"/>
      <w:r w:rsidR="00F6417B" w:rsidRPr="0093589C">
        <w:rPr>
          <w:rFonts w:ascii="Times New Roman" w:hAnsi="Times New Roman"/>
          <w:lang w:val="en-US"/>
        </w:rPr>
        <w:t xml:space="preserve"> </w:t>
      </w:r>
      <w:r w:rsidR="00636645" w:rsidRPr="0093589C">
        <w:rPr>
          <w:rFonts w:ascii="Times New Roman" w:hAnsi="Times New Roman"/>
          <w:i/>
          <w:iCs/>
          <w:lang w:val="en-US"/>
        </w:rPr>
        <w:t>[No 2]</w:t>
      </w:r>
      <w:r w:rsidR="00753650" w:rsidRPr="0093589C">
        <w:rPr>
          <w:rStyle w:val="FootnoteReference"/>
          <w:rFonts w:ascii="Times New Roman" w:hAnsi="Times New Roman"/>
          <w:sz w:val="24"/>
        </w:rPr>
        <w:footnoteReference w:id="2"/>
      </w:r>
      <w:r w:rsidR="00AA4150" w:rsidRPr="0093589C">
        <w:rPr>
          <w:rFonts w:ascii="Times New Roman" w:hAnsi="Times New Roman"/>
        </w:rPr>
        <w:t xml:space="preserve"> </w:t>
      </w:r>
      <w:r w:rsidR="00753650" w:rsidRPr="0093589C">
        <w:rPr>
          <w:rFonts w:ascii="Times New Roman" w:hAnsi="Times New Roman"/>
        </w:rPr>
        <w:t xml:space="preserve">following </w:t>
      </w:r>
      <w:r w:rsidR="009E2CD6" w:rsidRPr="0093589C">
        <w:rPr>
          <w:rFonts w:ascii="Times New Roman" w:hAnsi="Times New Roman"/>
        </w:rPr>
        <w:t xml:space="preserve">the </w:t>
      </w:r>
      <w:r w:rsidR="00F6417B" w:rsidRPr="0093589C">
        <w:rPr>
          <w:rFonts w:ascii="Times New Roman" w:hAnsi="Times New Roman"/>
        </w:rPr>
        <w:t>reasoning</w:t>
      </w:r>
      <w:r w:rsidR="00753650" w:rsidRPr="0093589C">
        <w:rPr>
          <w:rFonts w:ascii="Times New Roman" w:hAnsi="Times New Roman"/>
        </w:rPr>
        <w:t xml:space="preserve"> of </w:t>
      </w:r>
      <w:r w:rsidR="00DD60F3" w:rsidRPr="0093589C">
        <w:rPr>
          <w:rFonts w:ascii="Times New Roman" w:hAnsi="Times New Roman"/>
        </w:rPr>
        <w:t>the</w:t>
      </w:r>
      <w:r w:rsidR="009A5E55" w:rsidRPr="0093589C">
        <w:rPr>
          <w:rFonts w:ascii="Times New Roman" w:hAnsi="Times New Roman"/>
        </w:rPr>
        <w:t xml:space="preserve"> majority </w:t>
      </w:r>
      <w:r w:rsidR="00753650" w:rsidRPr="0093589C">
        <w:rPr>
          <w:rFonts w:ascii="Times New Roman" w:hAnsi="Times New Roman"/>
        </w:rPr>
        <w:t xml:space="preserve">in </w:t>
      </w:r>
      <w:r w:rsidR="00753650" w:rsidRPr="0093589C">
        <w:rPr>
          <w:rFonts w:ascii="Times New Roman" w:hAnsi="Times New Roman"/>
          <w:i/>
          <w:iCs/>
          <w:lang w:val="en-US"/>
        </w:rPr>
        <w:t xml:space="preserve">R v </w:t>
      </w:r>
      <w:proofErr w:type="spellStart"/>
      <w:r w:rsidR="00753650" w:rsidRPr="0093589C">
        <w:rPr>
          <w:rFonts w:ascii="Times New Roman" w:hAnsi="Times New Roman"/>
          <w:i/>
          <w:iCs/>
          <w:lang w:val="en-US"/>
        </w:rPr>
        <w:t>Dayney</w:t>
      </w:r>
      <w:proofErr w:type="spellEnd"/>
      <w:r w:rsidR="00753650" w:rsidRPr="0093589C">
        <w:rPr>
          <w:rFonts w:ascii="Times New Roman" w:hAnsi="Times New Roman"/>
          <w:lang w:val="en-US"/>
        </w:rPr>
        <w:t xml:space="preserve"> </w:t>
      </w:r>
      <w:r w:rsidR="00636645" w:rsidRPr="0093589C">
        <w:rPr>
          <w:rFonts w:ascii="Times New Roman" w:hAnsi="Times New Roman"/>
          <w:i/>
          <w:iCs/>
          <w:lang w:val="en-US"/>
        </w:rPr>
        <w:t>[No 1]</w:t>
      </w:r>
      <w:r w:rsidR="00753650" w:rsidRPr="0093589C">
        <w:rPr>
          <w:rFonts w:ascii="Times New Roman" w:hAnsi="Times New Roman"/>
          <w:lang w:val="en-US"/>
        </w:rPr>
        <w:t>,</w:t>
      </w:r>
      <w:r w:rsidR="00F6417B" w:rsidRPr="0093589C">
        <w:rPr>
          <w:rStyle w:val="FootnoteReference"/>
          <w:rFonts w:ascii="Times New Roman" w:hAnsi="Times New Roman"/>
          <w:sz w:val="24"/>
          <w:lang w:val="en-US"/>
        </w:rPr>
        <w:footnoteReference w:id="3"/>
      </w:r>
      <w:r w:rsidR="006076C4" w:rsidRPr="0093589C">
        <w:rPr>
          <w:rFonts w:ascii="Times New Roman" w:hAnsi="Times New Roman"/>
          <w:lang w:val="en-US"/>
        </w:rPr>
        <w:t xml:space="preserve"> </w:t>
      </w:r>
      <w:r w:rsidRPr="0093589C">
        <w:rPr>
          <w:rFonts w:ascii="Times New Roman" w:hAnsi="Times New Roman"/>
        </w:rPr>
        <w:t xml:space="preserve">s 272(2) specifies three independent conditions in which the protection given by s 272(1) is not available </w:t>
      </w:r>
      <w:r w:rsidRPr="0093589C">
        <w:rPr>
          <w:rFonts w:ascii="Times New Roman" w:hAnsi="Times New Roman"/>
        </w:rPr>
        <w:lastRenderedPageBreak/>
        <w:t>or whether</w:t>
      </w:r>
      <w:r w:rsidR="00F6417B" w:rsidRPr="0093589C">
        <w:rPr>
          <w:rFonts w:ascii="Times New Roman" w:hAnsi="Times New Roman"/>
        </w:rPr>
        <w:t xml:space="preserve">, as </w:t>
      </w:r>
      <w:proofErr w:type="spellStart"/>
      <w:r w:rsidR="00312846" w:rsidRPr="0093589C">
        <w:rPr>
          <w:rFonts w:ascii="Times New Roman" w:hAnsi="Times New Roman"/>
        </w:rPr>
        <w:t>Sofronoff</w:t>
      </w:r>
      <w:proofErr w:type="spellEnd"/>
      <w:r w:rsidR="00312846" w:rsidRPr="0093589C">
        <w:rPr>
          <w:rFonts w:ascii="Times New Roman" w:hAnsi="Times New Roman"/>
        </w:rPr>
        <w:t xml:space="preserve"> P </w:t>
      </w:r>
      <w:r w:rsidR="00DF5DD2" w:rsidRPr="0093589C">
        <w:rPr>
          <w:rFonts w:ascii="Times New Roman" w:hAnsi="Times New Roman"/>
        </w:rPr>
        <w:t xml:space="preserve">considered in </w:t>
      </w:r>
      <w:proofErr w:type="spellStart"/>
      <w:r w:rsidR="00DF5DD2" w:rsidRPr="0093589C">
        <w:rPr>
          <w:rFonts w:ascii="Times New Roman" w:hAnsi="Times New Roman"/>
          <w:i/>
          <w:iCs/>
          <w:lang w:val="en-US"/>
        </w:rPr>
        <w:t>Dayney</w:t>
      </w:r>
      <w:proofErr w:type="spellEnd"/>
      <w:r w:rsidR="00DF5DD2" w:rsidRPr="0093589C">
        <w:rPr>
          <w:rFonts w:ascii="Times New Roman" w:hAnsi="Times New Roman"/>
          <w:i/>
          <w:iCs/>
          <w:lang w:val="en-US"/>
        </w:rPr>
        <w:t xml:space="preserve"> </w:t>
      </w:r>
      <w:r w:rsidR="0008406B" w:rsidRPr="0093589C">
        <w:rPr>
          <w:rFonts w:ascii="Times New Roman" w:hAnsi="Times New Roman"/>
          <w:i/>
          <w:iCs/>
          <w:lang w:val="en-US"/>
        </w:rPr>
        <w:t>[</w:t>
      </w:r>
      <w:r w:rsidR="00DF5DD2" w:rsidRPr="0093589C">
        <w:rPr>
          <w:rFonts w:ascii="Times New Roman" w:hAnsi="Times New Roman"/>
          <w:i/>
          <w:iCs/>
          <w:lang w:val="en-US"/>
        </w:rPr>
        <w:t>No</w:t>
      </w:r>
      <w:r w:rsidR="004B58E7" w:rsidRPr="0093589C">
        <w:rPr>
          <w:rFonts w:ascii="Times New Roman" w:hAnsi="Times New Roman"/>
          <w:i/>
          <w:iCs/>
          <w:lang w:val="en-US"/>
        </w:rPr>
        <w:t> </w:t>
      </w:r>
      <w:r w:rsidR="00DF5DD2" w:rsidRPr="0093589C">
        <w:rPr>
          <w:rFonts w:ascii="Times New Roman" w:hAnsi="Times New Roman"/>
          <w:i/>
          <w:iCs/>
          <w:lang w:val="en-US"/>
        </w:rPr>
        <w:t>1</w:t>
      </w:r>
      <w:r w:rsidR="0008406B" w:rsidRPr="0093589C">
        <w:rPr>
          <w:rFonts w:ascii="Times New Roman" w:hAnsi="Times New Roman"/>
          <w:i/>
          <w:iCs/>
          <w:lang w:val="en-US"/>
        </w:rPr>
        <w:t>]</w:t>
      </w:r>
      <w:r w:rsidR="00DF5DD2" w:rsidRPr="0093589C">
        <w:rPr>
          <w:rFonts w:ascii="Times New Roman" w:hAnsi="Times New Roman"/>
          <w:lang w:val="en-US"/>
        </w:rPr>
        <w:t xml:space="preserve">, </w:t>
      </w:r>
      <w:r w:rsidRPr="0093589C">
        <w:rPr>
          <w:rFonts w:ascii="Times New Roman" w:hAnsi="Times New Roman"/>
        </w:rPr>
        <w:t>the final clause modifies the effect of the first two clauses.</w:t>
      </w:r>
    </w:p>
    <w:p w14:paraId="5E8ECC85" w14:textId="608B7307" w:rsidR="001C3027" w:rsidRPr="0093589C" w:rsidRDefault="00BB4F06"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626D0E" w:rsidRPr="0093589C">
        <w:rPr>
          <w:rFonts w:ascii="Times New Roman" w:hAnsi="Times New Roman"/>
        </w:rPr>
        <w:t xml:space="preserve">For </w:t>
      </w:r>
      <w:r w:rsidR="0057124A" w:rsidRPr="0093589C">
        <w:rPr>
          <w:rFonts w:ascii="Times New Roman" w:hAnsi="Times New Roman"/>
        </w:rPr>
        <w:t xml:space="preserve">reasons </w:t>
      </w:r>
      <w:r w:rsidR="007A7CB9" w:rsidRPr="0093589C">
        <w:rPr>
          <w:rFonts w:ascii="Times New Roman" w:hAnsi="Times New Roman"/>
        </w:rPr>
        <w:t>to be explained</w:t>
      </w:r>
      <w:r w:rsidR="0057124A" w:rsidRPr="0093589C">
        <w:rPr>
          <w:rFonts w:ascii="Times New Roman" w:hAnsi="Times New Roman"/>
        </w:rPr>
        <w:t xml:space="preserve">, </w:t>
      </w:r>
      <w:r w:rsidRPr="0093589C">
        <w:rPr>
          <w:rFonts w:ascii="Times New Roman" w:hAnsi="Times New Roman"/>
        </w:rPr>
        <w:t xml:space="preserve">the </w:t>
      </w:r>
      <w:r w:rsidR="007C7E60" w:rsidRPr="0093589C">
        <w:rPr>
          <w:rFonts w:ascii="Times New Roman" w:hAnsi="Times New Roman"/>
        </w:rPr>
        <w:t xml:space="preserve">Court of Appeal was correct, and the appeal must therefore be dismissed. The </w:t>
      </w:r>
      <w:r w:rsidRPr="0093589C">
        <w:rPr>
          <w:rFonts w:ascii="Times New Roman" w:hAnsi="Times New Roman"/>
        </w:rPr>
        <w:t xml:space="preserve">final clause of s 272(2) </w:t>
      </w:r>
      <w:r w:rsidR="007A7CB9" w:rsidRPr="0093589C">
        <w:rPr>
          <w:rFonts w:ascii="Times New Roman" w:hAnsi="Times New Roman"/>
        </w:rPr>
        <w:t>specifies</w:t>
      </w:r>
      <w:r w:rsidR="00AA7092" w:rsidRPr="0093589C">
        <w:rPr>
          <w:rFonts w:ascii="Times New Roman" w:hAnsi="Times New Roman"/>
        </w:rPr>
        <w:t xml:space="preserve"> </w:t>
      </w:r>
      <w:r w:rsidRPr="0093589C">
        <w:rPr>
          <w:rFonts w:ascii="Times New Roman" w:hAnsi="Times New Roman"/>
        </w:rPr>
        <w:t>an independent condition that operates to deny the protection in s 272(1)</w:t>
      </w:r>
      <w:r w:rsidR="002C2B97" w:rsidRPr="0093589C">
        <w:rPr>
          <w:rFonts w:ascii="Times New Roman" w:hAnsi="Times New Roman"/>
        </w:rPr>
        <w:t xml:space="preserve">, </w:t>
      </w:r>
      <w:r w:rsidRPr="0093589C">
        <w:rPr>
          <w:rFonts w:ascii="Times New Roman" w:hAnsi="Times New Roman"/>
        </w:rPr>
        <w:t xml:space="preserve">in </w:t>
      </w:r>
      <w:r w:rsidR="002D4DA5" w:rsidRPr="0093589C">
        <w:rPr>
          <w:rFonts w:ascii="Times New Roman" w:hAnsi="Times New Roman"/>
        </w:rPr>
        <w:t xml:space="preserve">a </w:t>
      </w:r>
      <w:r w:rsidRPr="0093589C">
        <w:rPr>
          <w:rFonts w:ascii="Times New Roman" w:hAnsi="Times New Roman"/>
        </w:rPr>
        <w:t xml:space="preserve">case where the accused uses force which causes death or </w:t>
      </w:r>
      <w:r w:rsidR="00A2633B" w:rsidRPr="0093589C">
        <w:rPr>
          <w:rFonts w:ascii="Times New Roman" w:hAnsi="Times New Roman"/>
        </w:rPr>
        <w:t xml:space="preserve">in </w:t>
      </w:r>
      <w:r w:rsidRPr="0093589C">
        <w:rPr>
          <w:rFonts w:ascii="Times New Roman" w:hAnsi="Times New Roman"/>
        </w:rPr>
        <w:t xml:space="preserve">a case where the accused uses force which causes grievous bodily harm, unless the accused first retreated from the conflict before engaging in such force. </w:t>
      </w:r>
    </w:p>
    <w:p w14:paraId="2748F2B1" w14:textId="5016C843" w:rsidR="001C3027" w:rsidRPr="0093589C" w:rsidRDefault="007C7E60" w:rsidP="0093589C">
      <w:pPr>
        <w:pStyle w:val="HeadingL1"/>
        <w:spacing w:after="260" w:line="280" w:lineRule="exact"/>
        <w:ind w:right="0"/>
        <w:jc w:val="both"/>
        <w:rPr>
          <w:rFonts w:ascii="Times New Roman" w:hAnsi="Times New Roman"/>
        </w:rPr>
      </w:pPr>
      <w:r w:rsidRPr="0093589C">
        <w:rPr>
          <w:rFonts w:ascii="Times New Roman" w:hAnsi="Times New Roman"/>
        </w:rPr>
        <w:t>The p</w:t>
      </w:r>
      <w:r w:rsidR="001C3027" w:rsidRPr="0093589C">
        <w:rPr>
          <w:rFonts w:ascii="Times New Roman" w:hAnsi="Times New Roman"/>
        </w:rPr>
        <w:t>roceedings below</w:t>
      </w:r>
    </w:p>
    <w:p w14:paraId="32E576D5" w14:textId="77777777" w:rsidR="009B280D" w:rsidRPr="0093589C" w:rsidRDefault="001C3027"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In October 2014, the appellant was involved in a violent altercation resulting in the death of Mark Spencer. </w:t>
      </w:r>
    </w:p>
    <w:p w14:paraId="79A5B7B7" w14:textId="7D850FA4" w:rsidR="001C3027" w:rsidRPr="0093589C" w:rsidRDefault="009B280D"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1C3027" w:rsidRPr="0093589C">
        <w:rPr>
          <w:rFonts w:ascii="Times New Roman" w:hAnsi="Times New Roman"/>
        </w:rPr>
        <w:t>The appellant first stood trial before Douglas J and a jury in the Supreme Court of Queensland charged with Mr</w:t>
      </w:r>
      <w:r w:rsidR="00A12622" w:rsidRPr="0093589C">
        <w:rPr>
          <w:rFonts w:ascii="Times New Roman" w:hAnsi="Times New Roman"/>
        </w:rPr>
        <w:t> </w:t>
      </w:r>
      <w:r w:rsidR="001C3027" w:rsidRPr="0093589C">
        <w:rPr>
          <w:rFonts w:ascii="Times New Roman" w:hAnsi="Times New Roman"/>
        </w:rPr>
        <w:t>Spencer's murder. The Crown case was that the appellant killed Mr</w:t>
      </w:r>
      <w:r w:rsidR="00A12622" w:rsidRPr="0093589C">
        <w:rPr>
          <w:rFonts w:ascii="Times New Roman" w:hAnsi="Times New Roman"/>
        </w:rPr>
        <w:t> </w:t>
      </w:r>
      <w:r w:rsidR="001C3027" w:rsidRPr="0093589C">
        <w:rPr>
          <w:rFonts w:ascii="Times New Roman" w:hAnsi="Times New Roman"/>
        </w:rPr>
        <w:t>Spencer during a planned burglary of Mr</w:t>
      </w:r>
      <w:r w:rsidR="00A12622" w:rsidRPr="0093589C">
        <w:rPr>
          <w:rFonts w:ascii="Times New Roman" w:hAnsi="Times New Roman"/>
        </w:rPr>
        <w:t> </w:t>
      </w:r>
      <w:r w:rsidR="001C3027" w:rsidRPr="0093589C">
        <w:rPr>
          <w:rFonts w:ascii="Times New Roman" w:hAnsi="Times New Roman"/>
        </w:rPr>
        <w:t>Spencer's home. At trial, the appellant testified that Mr</w:t>
      </w:r>
      <w:r w:rsidR="00A12622" w:rsidRPr="0093589C">
        <w:rPr>
          <w:rFonts w:ascii="Times New Roman" w:hAnsi="Times New Roman"/>
        </w:rPr>
        <w:t> </w:t>
      </w:r>
      <w:r w:rsidR="001C3027" w:rsidRPr="0093589C">
        <w:rPr>
          <w:rFonts w:ascii="Times New Roman" w:hAnsi="Times New Roman"/>
        </w:rPr>
        <w:t>Spencer pulled out a gun immediately after he entered Mr</w:t>
      </w:r>
      <w:r w:rsidR="00A12622" w:rsidRPr="0093589C">
        <w:rPr>
          <w:rFonts w:ascii="Times New Roman" w:hAnsi="Times New Roman"/>
        </w:rPr>
        <w:t> </w:t>
      </w:r>
      <w:r w:rsidR="001C3027" w:rsidRPr="0093589C">
        <w:rPr>
          <w:rFonts w:ascii="Times New Roman" w:hAnsi="Times New Roman"/>
        </w:rPr>
        <w:t>Spencer's lounge room and that everything he did after that point was done for the purpose of saving his own life or that of his girlfriend, who was present at the time.</w:t>
      </w:r>
    </w:p>
    <w:p w14:paraId="6585E0F0" w14:textId="04492E57" w:rsidR="001C3027" w:rsidRPr="0093589C" w:rsidRDefault="001C3027"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9B280D" w:rsidRPr="0093589C">
        <w:rPr>
          <w:rFonts w:ascii="Times New Roman" w:hAnsi="Times New Roman"/>
        </w:rPr>
        <w:t xml:space="preserve">In response to a question from the jury concerning </w:t>
      </w:r>
      <w:r w:rsidR="00A96420" w:rsidRPr="0093589C">
        <w:rPr>
          <w:rFonts w:ascii="Times New Roman" w:hAnsi="Times New Roman"/>
        </w:rPr>
        <w:t xml:space="preserve">s 272 of the Code, </w:t>
      </w:r>
      <w:r w:rsidRPr="0093589C">
        <w:rPr>
          <w:rFonts w:ascii="Times New Roman" w:hAnsi="Times New Roman"/>
        </w:rPr>
        <w:t xml:space="preserve">Douglas J </w:t>
      </w:r>
      <w:r w:rsidR="009B280D" w:rsidRPr="0093589C">
        <w:rPr>
          <w:rFonts w:ascii="Times New Roman" w:hAnsi="Times New Roman"/>
        </w:rPr>
        <w:t>instructed the</w:t>
      </w:r>
      <w:r w:rsidR="004A1767" w:rsidRPr="0093589C">
        <w:rPr>
          <w:rFonts w:ascii="Times New Roman" w:hAnsi="Times New Roman"/>
        </w:rPr>
        <w:t xml:space="preserve"> jury</w:t>
      </w:r>
      <w:r w:rsidRPr="0093589C">
        <w:rPr>
          <w:rFonts w:ascii="Times New Roman" w:hAnsi="Times New Roman"/>
        </w:rPr>
        <w:t xml:space="preserve"> in the following way:</w:t>
      </w:r>
    </w:p>
    <w:p w14:paraId="7052FDE6" w14:textId="77777777" w:rsidR="0093589C" w:rsidRDefault="001C3027" w:rsidP="0093589C">
      <w:pPr>
        <w:pStyle w:val="LeftrightafterHC"/>
        <w:spacing w:before="0" w:after="260" w:line="280" w:lineRule="exact"/>
        <w:ind w:right="0"/>
        <w:jc w:val="both"/>
        <w:rPr>
          <w:rFonts w:ascii="Times New Roman" w:hAnsi="Times New Roman"/>
        </w:rPr>
      </w:pPr>
      <w:r w:rsidRPr="0093589C">
        <w:rPr>
          <w:rFonts w:ascii="Times New Roman" w:hAnsi="Times New Roman"/>
        </w:rPr>
        <w:t>"If you conclude that Mr</w:t>
      </w:r>
      <w:r w:rsidR="00A12622" w:rsidRPr="0093589C">
        <w:rPr>
          <w:rFonts w:ascii="Times New Roman" w:hAnsi="Times New Roman"/>
        </w:rPr>
        <w:t> </w:t>
      </w:r>
      <w:proofErr w:type="spellStart"/>
      <w:r w:rsidRPr="0093589C">
        <w:rPr>
          <w:rFonts w:ascii="Times New Roman" w:hAnsi="Times New Roman"/>
        </w:rPr>
        <w:t>Dayney's</w:t>
      </w:r>
      <w:proofErr w:type="spellEnd"/>
      <w:r w:rsidRPr="0093589C">
        <w:rPr>
          <w:rFonts w:ascii="Times New Roman" w:hAnsi="Times New Roman"/>
        </w:rPr>
        <w:t xml:space="preserve"> appearance a</w:t>
      </w:r>
      <w:r w:rsidR="00AC5CE1" w:rsidRPr="0093589C">
        <w:rPr>
          <w:rFonts w:ascii="Times New Roman" w:hAnsi="Times New Roman"/>
        </w:rPr>
        <w:t>bout</w:t>
      </w:r>
      <w:r w:rsidRPr="0093589C">
        <w:rPr>
          <w:rFonts w:ascii="Times New Roman" w:hAnsi="Times New Roman"/>
        </w:rPr>
        <w:t xml:space="preserve"> 3.30</w:t>
      </w:r>
      <w:r w:rsidR="00AC5CE1" w:rsidRPr="0093589C">
        <w:rPr>
          <w:rFonts w:ascii="Times New Roman" w:hAnsi="Times New Roman"/>
        </w:rPr>
        <w:t> </w:t>
      </w:r>
      <w:r w:rsidRPr="0093589C">
        <w:rPr>
          <w:rFonts w:ascii="Times New Roman" w:hAnsi="Times New Roman"/>
        </w:rPr>
        <w:t>am in Mr</w:t>
      </w:r>
      <w:r w:rsidR="00A12622" w:rsidRPr="0093589C">
        <w:rPr>
          <w:rFonts w:ascii="Times New Roman" w:hAnsi="Times New Roman"/>
        </w:rPr>
        <w:t> </w:t>
      </w:r>
      <w:r w:rsidRPr="0093589C">
        <w:rPr>
          <w:rFonts w:ascii="Times New Roman" w:hAnsi="Times New Roman"/>
        </w:rPr>
        <w:t>Spencer's house, dressed in dark clothes, with his head wrapped in a dark shirt, amounted to provocation of an assault from Mr</w:t>
      </w:r>
      <w:r w:rsidR="00A12622" w:rsidRPr="0093589C">
        <w:rPr>
          <w:rFonts w:ascii="Times New Roman" w:hAnsi="Times New Roman"/>
        </w:rPr>
        <w:t> </w:t>
      </w:r>
      <w:r w:rsidRPr="0093589C">
        <w:rPr>
          <w:rFonts w:ascii="Times New Roman" w:hAnsi="Times New Roman"/>
        </w:rPr>
        <w:t>Spencer, and that Mr</w:t>
      </w:r>
      <w:r w:rsidR="00A12622" w:rsidRPr="0093589C">
        <w:rPr>
          <w:rFonts w:ascii="Times New Roman" w:hAnsi="Times New Roman"/>
        </w:rPr>
        <w:t> </w:t>
      </w:r>
      <w:r w:rsidRPr="0093589C">
        <w:rPr>
          <w:rFonts w:ascii="Times New Roman" w:hAnsi="Times New Roman"/>
        </w:rPr>
        <w:t>Spencer pulled out a gun, then the defence does not apply unless, before Mr</w:t>
      </w:r>
      <w:r w:rsidR="00A12622" w:rsidRPr="0093589C">
        <w:rPr>
          <w:rFonts w:ascii="Times New Roman" w:hAnsi="Times New Roman"/>
        </w:rPr>
        <w:t> </w:t>
      </w:r>
      <w:r w:rsidRPr="0093589C">
        <w:rPr>
          <w:rFonts w:ascii="Times New Roman" w:hAnsi="Times New Roman"/>
        </w:rPr>
        <w:t>Spencer pulled out the gun, Mr</w:t>
      </w:r>
      <w:r w:rsidR="00A12622" w:rsidRPr="0093589C">
        <w:rPr>
          <w:rFonts w:ascii="Times New Roman" w:hAnsi="Times New Roman"/>
        </w:rPr>
        <w:t> </w:t>
      </w:r>
      <w:proofErr w:type="spellStart"/>
      <w:r w:rsidRPr="0093589C">
        <w:rPr>
          <w:rFonts w:ascii="Times New Roman" w:hAnsi="Times New Roman"/>
        </w:rPr>
        <w:t>Dayney</w:t>
      </w:r>
      <w:proofErr w:type="spellEnd"/>
      <w:r w:rsidRPr="0093589C">
        <w:rPr>
          <w:rFonts w:ascii="Times New Roman" w:hAnsi="Times New Roman"/>
        </w:rPr>
        <w:t xml:space="preserve"> declined further conflict and quitted it, or retreated from it, as far as was practicable."</w:t>
      </w:r>
    </w:p>
    <w:p w14:paraId="3CF6D696" w14:textId="59F6E8EF" w:rsidR="00813FCE" w:rsidRPr="0093589C" w:rsidRDefault="001C3027" w:rsidP="0093589C">
      <w:pPr>
        <w:pStyle w:val="FixListStyle"/>
        <w:spacing w:after="260" w:line="280" w:lineRule="exact"/>
        <w:ind w:right="0"/>
        <w:jc w:val="both"/>
        <w:rPr>
          <w:rFonts w:ascii="Times New Roman" w:hAnsi="Times New Roman"/>
        </w:rPr>
      </w:pPr>
      <w:r w:rsidRPr="0093589C">
        <w:rPr>
          <w:rFonts w:ascii="Times New Roman" w:hAnsi="Times New Roman"/>
        </w:rPr>
        <w:tab/>
        <w:t>The jury convicted the appellant, who appealed the conviction on grounds which included that Douglas</w:t>
      </w:r>
      <w:r w:rsidR="00A53A26" w:rsidRPr="0093589C">
        <w:rPr>
          <w:rFonts w:ascii="Times New Roman" w:hAnsi="Times New Roman"/>
        </w:rPr>
        <w:t> </w:t>
      </w:r>
      <w:r w:rsidRPr="0093589C">
        <w:rPr>
          <w:rFonts w:ascii="Times New Roman" w:hAnsi="Times New Roman"/>
        </w:rPr>
        <w:t>J misdirected the jury on the application of s 272</w:t>
      </w:r>
      <w:r w:rsidR="007B5E25" w:rsidRPr="0093589C">
        <w:rPr>
          <w:rFonts w:ascii="Times New Roman" w:hAnsi="Times New Roman"/>
        </w:rPr>
        <w:t>(1)</w:t>
      </w:r>
      <w:r w:rsidRPr="0093589C">
        <w:rPr>
          <w:rFonts w:ascii="Times New Roman" w:hAnsi="Times New Roman"/>
        </w:rPr>
        <w:t xml:space="preserve"> of the Code. </w:t>
      </w:r>
      <w:r w:rsidR="001817C5" w:rsidRPr="0093589C">
        <w:rPr>
          <w:rFonts w:ascii="Times New Roman" w:hAnsi="Times New Roman"/>
        </w:rPr>
        <w:t xml:space="preserve">In </w:t>
      </w:r>
      <w:proofErr w:type="spellStart"/>
      <w:r w:rsidR="001817C5" w:rsidRPr="0093589C">
        <w:rPr>
          <w:rFonts w:ascii="Times New Roman" w:hAnsi="Times New Roman"/>
          <w:i/>
          <w:iCs/>
          <w:lang w:val="en-US"/>
        </w:rPr>
        <w:t>Dayney</w:t>
      </w:r>
      <w:proofErr w:type="spellEnd"/>
      <w:r w:rsidR="001817C5" w:rsidRPr="0093589C">
        <w:rPr>
          <w:rFonts w:ascii="Times New Roman" w:hAnsi="Times New Roman"/>
          <w:i/>
          <w:iCs/>
          <w:lang w:val="en-US"/>
        </w:rPr>
        <w:t xml:space="preserve"> [No 1]</w:t>
      </w:r>
      <w:r w:rsidR="001817C5" w:rsidRPr="0093589C">
        <w:rPr>
          <w:rFonts w:ascii="Times New Roman" w:hAnsi="Times New Roman"/>
          <w:lang w:val="en-US"/>
        </w:rPr>
        <w:t xml:space="preserve">, </w:t>
      </w:r>
      <w:r w:rsidR="001817C5" w:rsidRPr="0093589C">
        <w:rPr>
          <w:rFonts w:ascii="Times New Roman" w:hAnsi="Times New Roman"/>
        </w:rPr>
        <w:t>t</w:t>
      </w:r>
      <w:r w:rsidRPr="0093589C">
        <w:rPr>
          <w:rFonts w:ascii="Times New Roman" w:hAnsi="Times New Roman"/>
        </w:rPr>
        <w:t>he Court of Appeal</w:t>
      </w:r>
      <w:r w:rsidR="00CE09BE" w:rsidRPr="0093589C">
        <w:rPr>
          <w:rFonts w:ascii="Times New Roman" w:hAnsi="Times New Roman"/>
        </w:rPr>
        <w:t xml:space="preserve">, </w:t>
      </w:r>
      <w:r w:rsidR="00C36337" w:rsidRPr="0093589C">
        <w:rPr>
          <w:rFonts w:ascii="Times New Roman" w:hAnsi="Times New Roman"/>
        </w:rPr>
        <w:t>compris</w:t>
      </w:r>
      <w:r w:rsidR="00323A8F" w:rsidRPr="0093589C">
        <w:rPr>
          <w:rFonts w:ascii="Times New Roman" w:hAnsi="Times New Roman"/>
        </w:rPr>
        <w:t>ing</w:t>
      </w:r>
      <w:r w:rsidR="00CE09BE" w:rsidRPr="0093589C">
        <w:rPr>
          <w:rFonts w:ascii="Times New Roman" w:hAnsi="Times New Roman"/>
        </w:rPr>
        <w:t xml:space="preserve"> </w:t>
      </w:r>
      <w:proofErr w:type="spellStart"/>
      <w:r w:rsidR="00C36337" w:rsidRPr="0093589C">
        <w:rPr>
          <w:rFonts w:ascii="Times New Roman" w:hAnsi="Times New Roman"/>
        </w:rPr>
        <w:t>Sofronoff</w:t>
      </w:r>
      <w:proofErr w:type="spellEnd"/>
      <w:r w:rsidR="00A53A26" w:rsidRPr="0093589C">
        <w:rPr>
          <w:rFonts w:ascii="Times New Roman" w:hAnsi="Times New Roman"/>
        </w:rPr>
        <w:t> </w:t>
      </w:r>
      <w:r w:rsidR="00C36337" w:rsidRPr="0093589C">
        <w:rPr>
          <w:rFonts w:ascii="Times New Roman" w:hAnsi="Times New Roman"/>
        </w:rPr>
        <w:t xml:space="preserve">P, </w:t>
      </w:r>
      <w:proofErr w:type="gramStart"/>
      <w:r w:rsidR="00C36337" w:rsidRPr="0093589C">
        <w:rPr>
          <w:rFonts w:ascii="Times New Roman" w:hAnsi="Times New Roman"/>
        </w:rPr>
        <w:t>Fraser</w:t>
      </w:r>
      <w:proofErr w:type="gramEnd"/>
      <w:r w:rsidR="00C36337" w:rsidRPr="0093589C">
        <w:rPr>
          <w:rFonts w:ascii="Times New Roman" w:hAnsi="Times New Roman"/>
        </w:rPr>
        <w:t xml:space="preserve"> and McMurdo JJ</w:t>
      </w:r>
      <w:r w:rsidR="007009E2" w:rsidRPr="0093589C">
        <w:rPr>
          <w:rFonts w:ascii="Times New Roman" w:hAnsi="Times New Roman"/>
        </w:rPr>
        <w:t>A</w:t>
      </w:r>
      <w:r w:rsidR="00CE09BE" w:rsidRPr="0093589C">
        <w:rPr>
          <w:rFonts w:ascii="Times New Roman" w:hAnsi="Times New Roman"/>
        </w:rPr>
        <w:t xml:space="preserve">, </w:t>
      </w:r>
      <w:r w:rsidRPr="0093589C">
        <w:rPr>
          <w:rFonts w:ascii="Times New Roman" w:hAnsi="Times New Roman"/>
        </w:rPr>
        <w:t>allowed the appeal and ordered a retrial</w:t>
      </w:r>
      <w:r w:rsidR="00323A8F" w:rsidRPr="0093589C">
        <w:rPr>
          <w:rFonts w:ascii="Times New Roman" w:hAnsi="Times New Roman"/>
        </w:rPr>
        <w:t>.</w:t>
      </w:r>
      <w:r w:rsidRPr="0093589C">
        <w:rPr>
          <w:rFonts w:ascii="Times New Roman" w:hAnsi="Times New Roman"/>
        </w:rPr>
        <w:t xml:space="preserve"> </w:t>
      </w:r>
    </w:p>
    <w:p w14:paraId="5D7AB1A9" w14:textId="06957A8F" w:rsidR="001C3027" w:rsidRPr="0093589C" w:rsidRDefault="00813FCE"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6D7FF7" w:rsidRPr="0093589C">
        <w:rPr>
          <w:rFonts w:ascii="Times New Roman" w:hAnsi="Times New Roman"/>
        </w:rPr>
        <w:t>However,</w:t>
      </w:r>
      <w:r w:rsidR="00A23EF0" w:rsidRPr="0093589C">
        <w:rPr>
          <w:rFonts w:ascii="Times New Roman" w:hAnsi="Times New Roman"/>
        </w:rPr>
        <w:t xml:space="preserve"> a majority</w:t>
      </w:r>
      <w:r w:rsidR="006D7FF7" w:rsidRPr="0093589C">
        <w:rPr>
          <w:rFonts w:ascii="Times New Roman" w:hAnsi="Times New Roman"/>
        </w:rPr>
        <w:t xml:space="preserve">, </w:t>
      </w:r>
      <w:r w:rsidR="001C3027" w:rsidRPr="0093589C">
        <w:rPr>
          <w:rFonts w:ascii="Times New Roman" w:hAnsi="Times New Roman"/>
        </w:rPr>
        <w:t>Fraser and McMurdo JJ</w:t>
      </w:r>
      <w:r w:rsidR="007009E2" w:rsidRPr="0093589C">
        <w:rPr>
          <w:rFonts w:ascii="Times New Roman" w:hAnsi="Times New Roman"/>
        </w:rPr>
        <w:t>A</w:t>
      </w:r>
      <w:r w:rsidR="00A23EF0" w:rsidRPr="0093589C">
        <w:rPr>
          <w:rFonts w:ascii="Times New Roman" w:hAnsi="Times New Roman"/>
        </w:rPr>
        <w:t xml:space="preserve">, </w:t>
      </w:r>
      <w:r w:rsidR="001C3027" w:rsidRPr="0093589C">
        <w:rPr>
          <w:rFonts w:ascii="Times New Roman" w:hAnsi="Times New Roman"/>
        </w:rPr>
        <w:t xml:space="preserve">rejected </w:t>
      </w:r>
      <w:r w:rsidR="00627295" w:rsidRPr="0093589C">
        <w:rPr>
          <w:rFonts w:ascii="Times New Roman" w:hAnsi="Times New Roman"/>
        </w:rPr>
        <w:t>the misdirection ground,</w:t>
      </w:r>
      <w:r w:rsidR="00A23EF0" w:rsidRPr="0093589C">
        <w:rPr>
          <w:rFonts w:ascii="Times New Roman" w:hAnsi="Times New Roman"/>
        </w:rPr>
        <w:t xml:space="preserve"> </w:t>
      </w:r>
      <w:r w:rsidR="001C3027" w:rsidRPr="0093589C">
        <w:rPr>
          <w:rFonts w:ascii="Times New Roman" w:hAnsi="Times New Roman"/>
        </w:rPr>
        <w:t>conclud</w:t>
      </w:r>
      <w:r w:rsidR="00A23EF0" w:rsidRPr="0093589C">
        <w:rPr>
          <w:rFonts w:ascii="Times New Roman" w:hAnsi="Times New Roman"/>
        </w:rPr>
        <w:t>ing</w:t>
      </w:r>
      <w:r w:rsidR="001C3027" w:rsidRPr="0093589C">
        <w:rPr>
          <w:rFonts w:ascii="Times New Roman" w:hAnsi="Times New Roman"/>
        </w:rPr>
        <w:t xml:space="preserve"> that, on the proper interpretation of s 272(2) of the Code, "self</w:t>
      </w:r>
      <w:r w:rsidR="00A12622" w:rsidRPr="0093589C">
        <w:rPr>
          <w:rFonts w:ascii="Times New Roman" w:hAnsi="Times New Roman"/>
        </w:rPr>
        <w:noBreakHyphen/>
      </w:r>
      <w:r w:rsidR="001C3027" w:rsidRPr="0093589C">
        <w:rPr>
          <w:rFonts w:ascii="Times New Roman" w:hAnsi="Times New Roman"/>
        </w:rPr>
        <w:t>defence [under s 272(1)]</w:t>
      </w:r>
      <w:r w:rsidR="00CE287D" w:rsidRPr="0093589C">
        <w:rPr>
          <w:rFonts w:ascii="Times New Roman" w:hAnsi="Times New Roman"/>
        </w:rPr>
        <w:t> </w:t>
      </w:r>
      <w:r w:rsidR="001C3027" w:rsidRPr="0093589C">
        <w:rPr>
          <w:rFonts w:ascii="Times New Roman" w:hAnsi="Times New Roman"/>
        </w:rPr>
        <w:t>...</w:t>
      </w:r>
      <w:r w:rsidR="00CE287D" w:rsidRPr="0093589C">
        <w:rPr>
          <w:rFonts w:ascii="Times New Roman" w:hAnsi="Times New Roman"/>
        </w:rPr>
        <w:t xml:space="preserve"> </w:t>
      </w:r>
      <w:r w:rsidR="001C3027" w:rsidRPr="0093589C">
        <w:rPr>
          <w:rFonts w:ascii="Times New Roman" w:hAnsi="Times New Roman"/>
        </w:rPr>
        <w:t xml:space="preserve">could be excluded by proof that, as far as </w:t>
      </w:r>
      <w:r w:rsidR="00213442" w:rsidRPr="0093589C">
        <w:rPr>
          <w:rFonts w:ascii="Times New Roman" w:hAnsi="Times New Roman"/>
        </w:rPr>
        <w:t xml:space="preserve">was </w:t>
      </w:r>
      <w:r w:rsidR="001C3027" w:rsidRPr="0093589C">
        <w:rPr>
          <w:rFonts w:ascii="Times New Roman" w:hAnsi="Times New Roman"/>
        </w:rPr>
        <w:lastRenderedPageBreak/>
        <w:t>practicable, the accused person did not decline further conflict, and quit it or retreat from it, before it became necessary to preserve himself or herself"</w:t>
      </w:r>
      <w:r w:rsidR="00A23EF0" w:rsidRPr="0093589C">
        <w:rPr>
          <w:rFonts w:ascii="Times New Roman" w:hAnsi="Times New Roman"/>
        </w:rPr>
        <w:t>.</w:t>
      </w:r>
      <w:r w:rsidR="001C3027" w:rsidRPr="0093589C">
        <w:rPr>
          <w:rStyle w:val="FootnoteReference"/>
          <w:rFonts w:ascii="Times New Roman" w:hAnsi="Times New Roman"/>
          <w:sz w:val="24"/>
        </w:rPr>
        <w:footnoteReference w:id="4"/>
      </w:r>
    </w:p>
    <w:p w14:paraId="3CC06649" w14:textId="12955AAF" w:rsidR="009B4C1E" w:rsidRPr="0093589C" w:rsidRDefault="009B4C1E" w:rsidP="0093589C">
      <w:pPr>
        <w:pStyle w:val="FixListStyle"/>
        <w:spacing w:after="260" w:line="280" w:lineRule="exact"/>
        <w:ind w:right="0"/>
        <w:jc w:val="both"/>
        <w:rPr>
          <w:rFonts w:ascii="Times New Roman" w:hAnsi="Times New Roman"/>
        </w:rPr>
      </w:pPr>
      <w:r w:rsidRPr="0093589C">
        <w:rPr>
          <w:rFonts w:ascii="Times New Roman" w:hAnsi="Times New Roman"/>
          <w:b/>
          <w:bCs/>
        </w:rPr>
        <w:tab/>
      </w:r>
      <w:proofErr w:type="spellStart"/>
      <w:r w:rsidRPr="0093589C">
        <w:rPr>
          <w:rFonts w:ascii="Times New Roman" w:hAnsi="Times New Roman"/>
        </w:rPr>
        <w:t>Sofronoff</w:t>
      </w:r>
      <w:proofErr w:type="spellEnd"/>
      <w:r w:rsidR="00A53A26" w:rsidRPr="0093589C">
        <w:rPr>
          <w:rFonts w:ascii="Times New Roman" w:hAnsi="Times New Roman"/>
        </w:rPr>
        <w:t> </w:t>
      </w:r>
      <w:r w:rsidRPr="0093589C">
        <w:rPr>
          <w:rFonts w:ascii="Times New Roman" w:hAnsi="Times New Roman"/>
        </w:rPr>
        <w:t xml:space="preserve">P would have upheld the misdirection ground. </w:t>
      </w:r>
      <w:r w:rsidR="00323A8F" w:rsidRPr="0093589C">
        <w:rPr>
          <w:rFonts w:ascii="Times New Roman" w:hAnsi="Times New Roman"/>
        </w:rPr>
        <w:t>Consistently with reasoning o</w:t>
      </w:r>
      <w:r w:rsidR="00BC7FF4" w:rsidRPr="0093589C">
        <w:rPr>
          <w:rFonts w:ascii="Times New Roman" w:hAnsi="Times New Roman"/>
        </w:rPr>
        <w:t>f</w:t>
      </w:r>
      <w:r w:rsidR="00323A8F" w:rsidRPr="0093589C">
        <w:rPr>
          <w:rFonts w:ascii="Times New Roman" w:hAnsi="Times New Roman"/>
        </w:rPr>
        <w:t xml:space="preserve"> the Court of Criminal Appeal of </w:t>
      </w:r>
      <w:r w:rsidR="00463521" w:rsidRPr="0093589C">
        <w:rPr>
          <w:rFonts w:ascii="Times New Roman" w:hAnsi="Times New Roman"/>
        </w:rPr>
        <w:t xml:space="preserve">the Supreme Court of Western Australia in </w:t>
      </w:r>
      <w:r w:rsidR="00463521" w:rsidRPr="0093589C">
        <w:rPr>
          <w:rFonts w:ascii="Times New Roman" w:hAnsi="Times New Roman"/>
          <w:i/>
          <w:iCs/>
        </w:rPr>
        <w:t>Randle</w:t>
      </w:r>
      <w:r w:rsidR="000018AF" w:rsidRPr="0093589C">
        <w:rPr>
          <w:rFonts w:ascii="Times New Roman" w:hAnsi="Times New Roman"/>
          <w:i/>
          <w:iCs/>
        </w:rPr>
        <w:t xml:space="preserve"> v The Queen</w:t>
      </w:r>
      <w:r w:rsidR="00B36F2E" w:rsidRPr="0093589C">
        <w:rPr>
          <w:rFonts w:ascii="Times New Roman" w:hAnsi="Times New Roman"/>
        </w:rPr>
        <w:t>,</w:t>
      </w:r>
      <w:r w:rsidR="00463521" w:rsidRPr="0093589C">
        <w:rPr>
          <w:rStyle w:val="FootnoteReference"/>
          <w:rFonts w:ascii="Times New Roman" w:hAnsi="Times New Roman"/>
          <w:sz w:val="24"/>
        </w:rPr>
        <w:footnoteReference w:id="5"/>
      </w:r>
      <w:r w:rsidR="00B36F2E" w:rsidRPr="0093589C">
        <w:rPr>
          <w:rFonts w:ascii="Times New Roman" w:hAnsi="Times New Roman"/>
        </w:rPr>
        <w:t xml:space="preserve"> his</w:t>
      </w:r>
      <w:r w:rsidR="00A12622" w:rsidRPr="0093589C">
        <w:rPr>
          <w:rFonts w:ascii="Times New Roman" w:hAnsi="Times New Roman"/>
        </w:rPr>
        <w:t> </w:t>
      </w:r>
      <w:r w:rsidR="00B36F2E" w:rsidRPr="0093589C">
        <w:rPr>
          <w:rFonts w:ascii="Times New Roman" w:hAnsi="Times New Roman"/>
        </w:rPr>
        <w:t xml:space="preserve">Honour </w:t>
      </w:r>
      <w:r w:rsidR="00C60B6C" w:rsidRPr="0093589C">
        <w:rPr>
          <w:rFonts w:ascii="Times New Roman" w:hAnsi="Times New Roman"/>
        </w:rPr>
        <w:t xml:space="preserve">construed the third clause of </w:t>
      </w:r>
      <w:r w:rsidR="008715D2" w:rsidRPr="0093589C">
        <w:rPr>
          <w:rFonts w:ascii="Times New Roman" w:hAnsi="Times New Roman"/>
        </w:rPr>
        <w:t>s</w:t>
      </w:r>
      <w:r w:rsidR="00A12622" w:rsidRPr="0093589C">
        <w:rPr>
          <w:rFonts w:ascii="Times New Roman" w:hAnsi="Times New Roman"/>
        </w:rPr>
        <w:t> </w:t>
      </w:r>
      <w:r w:rsidR="008715D2" w:rsidRPr="0093589C">
        <w:rPr>
          <w:rFonts w:ascii="Times New Roman" w:hAnsi="Times New Roman"/>
        </w:rPr>
        <w:t>272(2) as operating "</w:t>
      </w:r>
      <w:r w:rsidR="006215D8" w:rsidRPr="0093589C">
        <w:rPr>
          <w:rFonts w:ascii="Times New Roman" w:hAnsi="Times New Roman"/>
        </w:rPr>
        <w:t>to deny an accused, whose case fits into the two kinds of cases referred to in the subsection, a legal excuse for killing unless the accused first removes the necessity (which the accused created) for the deceased to use lethal force".</w:t>
      </w:r>
      <w:r w:rsidR="008715D2" w:rsidRPr="0093589C">
        <w:rPr>
          <w:rStyle w:val="FootnoteReference"/>
          <w:rFonts w:ascii="Times New Roman" w:hAnsi="Times New Roman"/>
          <w:sz w:val="24"/>
        </w:rPr>
        <w:footnoteReference w:id="6"/>
      </w:r>
    </w:p>
    <w:p w14:paraId="2A598B9F" w14:textId="375B2CEA" w:rsidR="001C3027" w:rsidRPr="0093589C" w:rsidRDefault="001C3027"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At the retrial, </w:t>
      </w:r>
      <w:r w:rsidR="006E25A8" w:rsidRPr="0093589C">
        <w:rPr>
          <w:rFonts w:ascii="Times New Roman" w:hAnsi="Times New Roman"/>
        </w:rPr>
        <w:t xml:space="preserve">before </w:t>
      </w:r>
      <w:proofErr w:type="spellStart"/>
      <w:r w:rsidR="006E25A8" w:rsidRPr="0093589C">
        <w:rPr>
          <w:rFonts w:ascii="Times New Roman" w:hAnsi="Times New Roman"/>
        </w:rPr>
        <w:t>Bowskill</w:t>
      </w:r>
      <w:proofErr w:type="spellEnd"/>
      <w:r w:rsidR="006E25A8" w:rsidRPr="0093589C">
        <w:rPr>
          <w:rFonts w:ascii="Times New Roman" w:hAnsi="Times New Roman"/>
        </w:rPr>
        <w:t> </w:t>
      </w:r>
      <w:r w:rsidR="00E2691C" w:rsidRPr="0093589C">
        <w:rPr>
          <w:rFonts w:ascii="Times New Roman" w:hAnsi="Times New Roman"/>
        </w:rPr>
        <w:t>S</w:t>
      </w:r>
      <w:r w:rsidR="006E25A8" w:rsidRPr="0093589C">
        <w:rPr>
          <w:rFonts w:ascii="Times New Roman" w:hAnsi="Times New Roman"/>
        </w:rPr>
        <w:t>J</w:t>
      </w:r>
      <w:r w:rsidR="00F47C36" w:rsidRPr="0093589C">
        <w:rPr>
          <w:rFonts w:ascii="Times New Roman" w:hAnsi="Times New Roman"/>
        </w:rPr>
        <w:t>A</w:t>
      </w:r>
      <w:r w:rsidR="006E25A8" w:rsidRPr="0093589C">
        <w:rPr>
          <w:rFonts w:ascii="Times New Roman" w:hAnsi="Times New Roman"/>
        </w:rPr>
        <w:t xml:space="preserve"> and a jury, </w:t>
      </w:r>
      <w:r w:rsidRPr="0093589C">
        <w:rPr>
          <w:rFonts w:ascii="Times New Roman" w:hAnsi="Times New Roman"/>
        </w:rPr>
        <w:t xml:space="preserve">the appellant was convicted. He appealed that conviction on two grounds, including that </w:t>
      </w:r>
      <w:proofErr w:type="spellStart"/>
      <w:r w:rsidRPr="0093589C">
        <w:rPr>
          <w:rFonts w:ascii="Times New Roman" w:hAnsi="Times New Roman"/>
        </w:rPr>
        <w:t>Bowskill</w:t>
      </w:r>
      <w:proofErr w:type="spellEnd"/>
      <w:r w:rsidRPr="0093589C">
        <w:rPr>
          <w:rFonts w:ascii="Times New Roman" w:hAnsi="Times New Roman"/>
        </w:rPr>
        <w:t> SJA erred by adopting Fraser and McMurdo JJA's interpretation of s 272(2) in instructing the jury. A differently constituted Court of Appeal</w:t>
      </w:r>
      <w:r w:rsidR="008715D2" w:rsidRPr="0093589C">
        <w:rPr>
          <w:rFonts w:ascii="Times New Roman" w:hAnsi="Times New Roman"/>
        </w:rPr>
        <w:t xml:space="preserve"> </w:t>
      </w:r>
      <w:r w:rsidR="000F5190" w:rsidRPr="0093589C">
        <w:rPr>
          <w:rFonts w:ascii="Times New Roman" w:hAnsi="Times New Roman"/>
        </w:rPr>
        <w:t>(</w:t>
      </w:r>
      <w:r w:rsidRPr="0093589C">
        <w:rPr>
          <w:rFonts w:ascii="Times New Roman" w:hAnsi="Times New Roman"/>
        </w:rPr>
        <w:t>Mullins P, Dalton</w:t>
      </w:r>
      <w:r w:rsidR="003C7A2E" w:rsidRPr="0093589C">
        <w:rPr>
          <w:rFonts w:ascii="Times New Roman" w:hAnsi="Times New Roman"/>
        </w:rPr>
        <w:t xml:space="preserve"> </w:t>
      </w:r>
      <w:proofErr w:type="gramStart"/>
      <w:r w:rsidR="003C7A2E" w:rsidRPr="0093589C">
        <w:rPr>
          <w:rFonts w:ascii="Times New Roman" w:hAnsi="Times New Roman"/>
        </w:rPr>
        <w:t>JA</w:t>
      </w:r>
      <w:proofErr w:type="gramEnd"/>
      <w:r w:rsidRPr="0093589C">
        <w:rPr>
          <w:rFonts w:ascii="Times New Roman" w:hAnsi="Times New Roman"/>
        </w:rPr>
        <w:t xml:space="preserve"> and Boddice </w:t>
      </w:r>
      <w:r w:rsidR="008B6D73" w:rsidRPr="0093589C">
        <w:rPr>
          <w:rFonts w:ascii="Times New Roman" w:hAnsi="Times New Roman"/>
        </w:rPr>
        <w:t>J</w:t>
      </w:r>
      <w:r w:rsidRPr="0093589C">
        <w:rPr>
          <w:rFonts w:ascii="Times New Roman" w:hAnsi="Times New Roman"/>
        </w:rPr>
        <w:t>) dismissed the appeal</w:t>
      </w:r>
      <w:r w:rsidR="00190735" w:rsidRPr="0093589C">
        <w:rPr>
          <w:rFonts w:ascii="Times New Roman" w:hAnsi="Times New Roman"/>
        </w:rPr>
        <w:t xml:space="preserve"> in </w:t>
      </w:r>
      <w:proofErr w:type="spellStart"/>
      <w:r w:rsidR="00190735" w:rsidRPr="0093589C">
        <w:rPr>
          <w:rFonts w:ascii="Times New Roman" w:hAnsi="Times New Roman"/>
          <w:i/>
          <w:iCs/>
          <w:lang w:val="en-US"/>
        </w:rPr>
        <w:t>Dayney</w:t>
      </w:r>
      <w:proofErr w:type="spellEnd"/>
      <w:r w:rsidR="00190735" w:rsidRPr="0093589C">
        <w:rPr>
          <w:rFonts w:ascii="Times New Roman" w:hAnsi="Times New Roman"/>
          <w:i/>
          <w:iCs/>
          <w:lang w:val="en-US"/>
        </w:rPr>
        <w:t xml:space="preserve"> </w:t>
      </w:r>
      <w:r w:rsidR="000F5190" w:rsidRPr="0093589C">
        <w:rPr>
          <w:rFonts w:ascii="Times New Roman" w:hAnsi="Times New Roman"/>
          <w:i/>
          <w:iCs/>
          <w:lang w:val="en-US"/>
        </w:rPr>
        <w:t>[</w:t>
      </w:r>
      <w:r w:rsidR="00190735" w:rsidRPr="0093589C">
        <w:rPr>
          <w:rFonts w:ascii="Times New Roman" w:hAnsi="Times New Roman"/>
          <w:i/>
          <w:iCs/>
          <w:lang w:val="en-US"/>
        </w:rPr>
        <w:t>No 2</w:t>
      </w:r>
      <w:r w:rsidR="000F5190" w:rsidRPr="0093589C">
        <w:rPr>
          <w:rFonts w:ascii="Times New Roman" w:hAnsi="Times New Roman"/>
          <w:i/>
          <w:iCs/>
          <w:lang w:val="en-US"/>
        </w:rPr>
        <w:t>]</w:t>
      </w:r>
      <w:r w:rsidR="00190735" w:rsidRPr="0093589C">
        <w:rPr>
          <w:rFonts w:ascii="Times New Roman" w:hAnsi="Times New Roman"/>
        </w:rPr>
        <w:t xml:space="preserve">. </w:t>
      </w:r>
      <w:r w:rsidRPr="0093589C">
        <w:rPr>
          <w:rFonts w:ascii="Times New Roman" w:hAnsi="Times New Roman"/>
        </w:rPr>
        <w:t>Dalton JA</w:t>
      </w:r>
      <w:r w:rsidR="008715D2" w:rsidRPr="0093589C">
        <w:rPr>
          <w:rFonts w:ascii="Times New Roman" w:hAnsi="Times New Roman"/>
        </w:rPr>
        <w:t xml:space="preserve">, </w:t>
      </w:r>
      <w:r w:rsidRPr="0093589C">
        <w:rPr>
          <w:rFonts w:ascii="Times New Roman" w:hAnsi="Times New Roman"/>
        </w:rPr>
        <w:t>with whom Mullins P and Boddice J agreed</w:t>
      </w:r>
      <w:r w:rsidR="008715D2" w:rsidRPr="0093589C">
        <w:rPr>
          <w:rFonts w:ascii="Times New Roman" w:hAnsi="Times New Roman"/>
        </w:rPr>
        <w:t>,</w:t>
      </w:r>
      <w:r w:rsidRPr="0093589C">
        <w:rPr>
          <w:rFonts w:ascii="Times New Roman" w:hAnsi="Times New Roman"/>
        </w:rPr>
        <w:t xml:space="preserve"> held that the interpretation of s 272(2) adopted by </w:t>
      </w:r>
      <w:proofErr w:type="spellStart"/>
      <w:r w:rsidRPr="0093589C">
        <w:rPr>
          <w:rFonts w:ascii="Times New Roman" w:hAnsi="Times New Roman"/>
        </w:rPr>
        <w:t>Bowskill</w:t>
      </w:r>
      <w:proofErr w:type="spellEnd"/>
      <w:r w:rsidRPr="0093589C">
        <w:rPr>
          <w:rFonts w:ascii="Times New Roman" w:hAnsi="Times New Roman"/>
        </w:rPr>
        <w:t> SJA was correct.</w:t>
      </w:r>
      <w:r w:rsidRPr="0093589C">
        <w:rPr>
          <w:rStyle w:val="FootnoteReference"/>
          <w:rFonts w:ascii="Times New Roman" w:hAnsi="Times New Roman"/>
          <w:sz w:val="24"/>
        </w:rPr>
        <w:footnoteReference w:id="7"/>
      </w:r>
    </w:p>
    <w:p w14:paraId="0F0651CD" w14:textId="59DE06ED" w:rsidR="00357607" w:rsidRPr="0093589C" w:rsidRDefault="008A5016" w:rsidP="0093589C">
      <w:pPr>
        <w:pStyle w:val="HeadingL1"/>
        <w:spacing w:after="260" w:line="280" w:lineRule="exact"/>
        <w:ind w:right="0"/>
        <w:jc w:val="both"/>
        <w:rPr>
          <w:rFonts w:ascii="Times New Roman" w:hAnsi="Times New Roman"/>
        </w:rPr>
      </w:pPr>
      <w:r w:rsidRPr="0093589C">
        <w:rPr>
          <w:rFonts w:ascii="Times New Roman" w:hAnsi="Times New Roman"/>
        </w:rPr>
        <w:t>The proper construction</w:t>
      </w:r>
      <w:r w:rsidR="004D264F" w:rsidRPr="0093589C">
        <w:rPr>
          <w:rFonts w:ascii="Times New Roman" w:hAnsi="Times New Roman"/>
        </w:rPr>
        <w:t xml:space="preserve"> of s </w:t>
      </w:r>
      <w:r w:rsidR="002D4DA5" w:rsidRPr="0093589C">
        <w:rPr>
          <w:rFonts w:ascii="Times New Roman" w:hAnsi="Times New Roman"/>
        </w:rPr>
        <w:t>272(2)</w:t>
      </w:r>
      <w:r w:rsidR="001C3027" w:rsidRPr="0093589C">
        <w:rPr>
          <w:rFonts w:ascii="Times New Roman" w:hAnsi="Times New Roman"/>
        </w:rPr>
        <w:t xml:space="preserve"> </w:t>
      </w:r>
    </w:p>
    <w:p w14:paraId="196E1C03" w14:textId="3FD6EFFD" w:rsidR="008A5016" w:rsidRPr="0093589C" w:rsidRDefault="00810711"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5F5461" w:rsidRPr="0093589C">
        <w:rPr>
          <w:rFonts w:ascii="Times New Roman" w:hAnsi="Times New Roman"/>
        </w:rPr>
        <w:t>T</w:t>
      </w:r>
      <w:r w:rsidR="008A5016" w:rsidRPr="0093589C">
        <w:rPr>
          <w:rFonts w:ascii="Times New Roman" w:hAnsi="Times New Roman"/>
        </w:rPr>
        <w:t xml:space="preserve">he Code </w:t>
      </w:r>
      <w:r w:rsidR="005F5461" w:rsidRPr="0093589C">
        <w:rPr>
          <w:rFonts w:ascii="Times New Roman" w:hAnsi="Times New Roman"/>
        </w:rPr>
        <w:t xml:space="preserve">is </w:t>
      </w:r>
      <w:r w:rsidR="008A5016" w:rsidRPr="0093589C">
        <w:rPr>
          <w:rFonts w:ascii="Times New Roman" w:hAnsi="Times New Roman"/>
        </w:rPr>
        <w:t>to be construed "without any presumption that it was intended to do no more than restate the existing law".</w:t>
      </w:r>
      <w:r w:rsidR="008A5016" w:rsidRPr="0093589C">
        <w:rPr>
          <w:rStyle w:val="FootnoteReference"/>
          <w:rFonts w:ascii="Times New Roman" w:hAnsi="Times New Roman"/>
          <w:sz w:val="24"/>
        </w:rPr>
        <w:footnoteReference w:id="8"/>
      </w:r>
      <w:r w:rsidR="008A5016" w:rsidRPr="0093589C">
        <w:rPr>
          <w:rFonts w:ascii="Times New Roman" w:hAnsi="Times New Roman"/>
        </w:rPr>
        <w:t xml:space="preserve"> </w:t>
      </w:r>
      <w:r w:rsidR="00603AA5" w:rsidRPr="0093589C">
        <w:rPr>
          <w:rFonts w:ascii="Times New Roman" w:hAnsi="Times New Roman"/>
        </w:rPr>
        <w:t>Th</w:t>
      </w:r>
      <w:r w:rsidR="008A6953" w:rsidRPr="0093589C">
        <w:rPr>
          <w:rFonts w:ascii="Times New Roman" w:hAnsi="Times New Roman"/>
        </w:rPr>
        <w:t>ough the</w:t>
      </w:r>
      <w:r w:rsidR="00603AA5" w:rsidRPr="0093589C">
        <w:rPr>
          <w:rFonts w:ascii="Times New Roman" w:hAnsi="Times New Roman"/>
        </w:rPr>
        <w:t xml:space="preserve"> </w:t>
      </w:r>
      <w:r w:rsidR="00AF3537" w:rsidRPr="0093589C">
        <w:rPr>
          <w:rFonts w:ascii="Times New Roman" w:hAnsi="Times New Roman"/>
        </w:rPr>
        <w:t>parties drew attention t</w:t>
      </w:r>
      <w:r w:rsidR="00BC10ED" w:rsidRPr="0093589C">
        <w:rPr>
          <w:rFonts w:ascii="Times New Roman" w:hAnsi="Times New Roman"/>
        </w:rPr>
        <w:t>o</w:t>
      </w:r>
      <w:r w:rsidR="00603AA5" w:rsidRPr="0093589C">
        <w:rPr>
          <w:rFonts w:ascii="Times New Roman" w:hAnsi="Times New Roman"/>
        </w:rPr>
        <w:t xml:space="preserve"> the potential </w:t>
      </w:r>
      <w:r w:rsidR="00E86F9A" w:rsidRPr="0093589C">
        <w:rPr>
          <w:rFonts w:ascii="Times New Roman" w:hAnsi="Times New Roman"/>
        </w:rPr>
        <w:t xml:space="preserve">interpretative </w:t>
      </w:r>
      <w:r w:rsidR="00603AA5" w:rsidRPr="0093589C">
        <w:rPr>
          <w:rFonts w:ascii="Times New Roman" w:hAnsi="Times New Roman"/>
        </w:rPr>
        <w:t xml:space="preserve">relevance </w:t>
      </w:r>
      <w:r w:rsidR="00442812" w:rsidRPr="0093589C">
        <w:rPr>
          <w:rFonts w:ascii="Times New Roman" w:hAnsi="Times New Roman"/>
        </w:rPr>
        <w:t xml:space="preserve">of </w:t>
      </w:r>
      <w:r w:rsidR="00603AA5" w:rsidRPr="0093589C">
        <w:rPr>
          <w:rFonts w:ascii="Times New Roman" w:hAnsi="Times New Roman"/>
        </w:rPr>
        <w:t xml:space="preserve">the </w:t>
      </w:r>
      <w:r w:rsidR="00495B50" w:rsidRPr="0093589C">
        <w:rPr>
          <w:rFonts w:ascii="Times New Roman" w:hAnsi="Times New Roman"/>
          <w:i/>
          <w:iCs/>
        </w:rPr>
        <w:t>Draft of a Code of Criminal Law</w:t>
      </w:r>
      <w:r w:rsidR="00603AA5" w:rsidRPr="0093589C">
        <w:rPr>
          <w:rFonts w:ascii="Times New Roman" w:hAnsi="Times New Roman"/>
        </w:rPr>
        <w:t xml:space="preserve"> prepared by Sir</w:t>
      </w:r>
      <w:r w:rsidR="00A12622" w:rsidRPr="0093589C">
        <w:rPr>
          <w:rFonts w:ascii="Times New Roman" w:hAnsi="Times New Roman"/>
        </w:rPr>
        <w:t> </w:t>
      </w:r>
      <w:r w:rsidR="00603AA5" w:rsidRPr="0093589C">
        <w:rPr>
          <w:rFonts w:ascii="Times New Roman" w:hAnsi="Times New Roman"/>
        </w:rPr>
        <w:t xml:space="preserve">Samuel Griffith for the Government of Queensland and </w:t>
      </w:r>
      <w:r w:rsidR="0015437B" w:rsidRPr="0093589C">
        <w:rPr>
          <w:rFonts w:ascii="Times New Roman" w:hAnsi="Times New Roman"/>
        </w:rPr>
        <w:t>the</w:t>
      </w:r>
      <w:r w:rsidR="00603AA5" w:rsidRPr="0093589C">
        <w:rPr>
          <w:rFonts w:ascii="Times New Roman" w:hAnsi="Times New Roman"/>
        </w:rPr>
        <w:t xml:space="preserve"> letter from Sir</w:t>
      </w:r>
      <w:r w:rsidR="00A12622" w:rsidRPr="0093589C">
        <w:rPr>
          <w:rFonts w:ascii="Times New Roman" w:hAnsi="Times New Roman"/>
        </w:rPr>
        <w:t> </w:t>
      </w:r>
      <w:r w:rsidR="00603AA5" w:rsidRPr="0093589C">
        <w:rPr>
          <w:rFonts w:ascii="Times New Roman" w:hAnsi="Times New Roman"/>
        </w:rPr>
        <w:t>Samuel to the Attorney</w:t>
      </w:r>
      <w:r w:rsidR="00A12622" w:rsidRPr="0093589C">
        <w:rPr>
          <w:rFonts w:ascii="Times New Roman" w:hAnsi="Times New Roman"/>
        </w:rPr>
        <w:noBreakHyphen/>
      </w:r>
      <w:r w:rsidR="00603AA5" w:rsidRPr="0093589C">
        <w:rPr>
          <w:rFonts w:ascii="Times New Roman" w:hAnsi="Times New Roman"/>
        </w:rPr>
        <w:t>General, dated 29</w:t>
      </w:r>
      <w:r w:rsidR="00217DC9" w:rsidRPr="0093589C">
        <w:rPr>
          <w:rFonts w:ascii="Times New Roman" w:hAnsi="Times New Roman"/>
        </w:rPr>
        <w:t> </w:t>
      </w:r>
      <w:r w:rsidR="00603AA5" w:rsidRPr="0093589C">
        <w:rPr>
          <w:rFonts w:ascii="Times New Roman" w:hAnsi="Times New Roman"/>
        </w:rPr>
        <w:t>October 1897, under cover of which th</w:t>
      </w:r>
      <w:r w:rsidR="00287AE7" w:rsidRPr="0093589C">
        <w:rPr>
          <w:rFonts w:ascii="Times New Roman" w:hAnsi="Times New Roman"/>
        </w:rPr>
        <w:t>at</w:t>
      </w:r>
      <w:r w:rsidR="00603AA5" w:rsidRPr="0093589C">
        <w:rPr>
          <w:rFonts w:ascii="Times New Roman" w:hAnsi="Times New Roman"/>
        </w:rPr>
        <w:t xml:space="preserve"> </w:t>
      </w:r>
      <w:r w:rsidR="00287AE7" w:rsidRPr="0093589C">
        <w:rPr>
          <w:rFonts w:ascii="Times New Roman" w:hAnsi="Times New Roman"/>
        </w:rPr>
        <w:t>d</w:t>
      </w:r>
      <w:r w:rsidR="00603AA5" w:rsidRPr="0093589C">
        <w:rPr>
          <w:rFonts w:ascii="Times New Roman" w:hAnsi="Times New Roman"/>
        </w:rPr>
        <w:t>raft was submitted</w:t>
      </w:r>
      <w:r w:rsidR="00E86F9A" w:rsidRPr="0093589C">
        <w:rPr>
          <w:rFonts w:ascii="Times New Roman" w:hAnsi="Times New Roman"/>
        </w:rPr>
        <w:t>, neither party su</w:t>
      </w:r>
      <w:r w:rsidR="00AF3537" w:rsidRPr="0093589C">
        <w:rPr>
          <w:rFonts w:ascii="Times New Roman" w:hAnsi="Times New Roman"/>
        </w:rPr>
        <w:t>bmitted</w:t>
      </w:r>
      <w:r w:rsidR="00E86F9A" w:rsidRPr="0093589C">
        <w:rPr>
          <w:rFonts w:ascii="Times New Roman" w:hAnsi="Times New Roman"/>
        </w:rPr>
        <w:t xml:space="preserve"> that </w:t>
      </w:r>
      <w:r w:rsidR="0060020F" w:rsidRPr="0093589C">
        <w:rPr>
          <w:rFonts w:ascii="Times New Roman" w:hAnsi="Times New Roman"/>
        </w:rPr>
        <w:t xml:space="preserve">those documents </w:t>
      </w:r>
      <w:r w:rsidR="00FC1B95" w:rsidRPr="0093589C">
        <w:rPr>
          <w:rFonts w:ascii="Times New Roman" w:hAnsi="Times New Roman"/>
        </w:rPr>
        <w:t>bore meaningfully on the construction of s</w:t>
      </w:r>
      <w:r w:rsidR="00217DC9" w:rsidRPr="0093589C">
        <w:rPr>
          <w:rFonts w:ascii="Times New Roman" w:hAnsi="Times New Roman"/>
        </w:rPr>
        <w:t> </w:t>
      </w:r>
      <w:r w:rsidR="00FC1B95" w:rsidRPr="0093589C">
        <w:rPr>
          <w:rFonts w:ascii="Times New Roman" w:hAnsi="Times New Roman"/>
        </w:rPr>
        <w:t>272</w:t>
      </w:r>
      <w:r w:rsidR="00040A56" w:rsidRPr="0093589C">
        <w:rPr>
          <w:rFonts w:ascii="Times New Roman" w:hAnsi="Times New Roman"/>
        </w:rPr>
        <w:t>(2)</w:t>
      </w:r>
      <w:r w:rsidR="00FC1B95" w:rsidRPr="0093589C">
        <w:rPr>
          <w:rFonts w:ascii="Times New Roman" w:hAnsi="Times New Roman"/>
        </w:rPr>
        <w:t>.</w:t>
      </w:r>
    </w:p>
    <w:p w14:paraId="6D870C29" w14:textId="38460EC7" w:rsidR="00040A56" w:rsidRPr="0093589C" w:rsidRDefault="00040A56" w:rsidP="0093589C">
      <w:pPr>
        <w:pStyle w:val="FixListStyle"/>
        <w:spacing w:after="260" w:line="280" w:lineRule="exact"/>
        <w:ind w:right="0"/>
        <w:jc w:val="both"/>
        <w:rPr>
          <w:rFonts w:ascii="Times New Roman" w:hAnsi="Times New Roman"/>
        </w:rPr>
      </w:pPr>
      <w:r w:rsidRPr="0093589C">
        <w:rPr>
          <w:rFonts w:ascii="Times New Roman" w:hAnsi="Times New Roman"/>
        </w:rPr>
        <w:lastRenderedPageBreak/>
        <w:tab/>
        <w:t>The surest guide to the proper construction of s</w:t>
      </w:r>
      <w:r w:rsidR="00A12622" w:rsidRPr="0093589C">
        <w:rPr>
          <w:rFonts w:ascii="Times New Roman" w:hAnsi="Times New Roman"/>
        </w:rPr>
        <w:t> </w:t>
      </w:r>
      <w:r w:rsidRPr="0093589C">
        <w:rPr>
          <w:rFonts w:ascii="Times New Roman" w:hAnsi="Times New Roman"/>
        </w:rPr>
        <w:t xml:space="preserve">272(2) lies in a </w:t>
      </w:r>
      <w:r w:rsidR="007D344E" w:rsidRPr="0093589C">
        <w:rPr>
          <w:rFonts w:ascii="Times New Roman" w:hAnsi="Times New Roman"/>
        </w:rPr>
        <w:t xml:space="preserve">detailed analysis of its text </w:t>
      </w:r>
      <w:r w:rsidR="00275407" w:rsidRPr="0093589C">
        <w:rPr>
          <w:rFonts w:ascii="Times New Roman" w:hAnsi="Times New Roman"/>
        </w:rPr>
        <w:t>in the context of s</w:t>
      </w:r>
      <w:r w:rsidR="00A12622" w:rsidRPr="0093589C">
        <w:rPr>
          <w:rFonts w:ascii="Times New Roman" w:hAnsi="Times New Roman"/>
        </w:rPr>
        <w:t> </w:t>
      </w:r>
      <w:proofErr w:type="gramStart"/>
      <w:r w:rsidR="00BB0F84" w:rsidRPr="0093589C">
        <w:rPr>
          <w:rFonts w:ascii="Times New Roman" w:hAnsi="Times New Roman"/>
        </w:rPr>
        <w:t>272 as a whole</w:t>
      </w:r>
      <w:proofErr w:type="gramEnd"/>
      <w:r w:rsidR="00BB0F84" w:rsidRPr="0093589C">
        <w:rPr>
          <w:rFonts w:ascii="Times New Roman" w:hAnsi="Times New Roman"/>
        </w:rPr>
        <w:t>.</w:t>
      </w:r>
    </w:p>
    <w:p w14:paraId="19D2BA9D" w14:textId="5430F9AF" w:rsidR="00A15046" w:rsidRPr="0093589C" w:rsidRDefault="008A5016"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6323E2" w:rsidRPr="0093589C">
        <w:rPr>
          <w:rFonts w:ascii="Times New Roman" w:hAnsi="Times New Roman"/>
        </w:rPr>
        <w:t xml:space="preserve">Turning first to </w:t>
      </w:r>
      <w:r w:rsidR="007C1601" w:rsidRPr="0093589C">
        <w:rPr>
          <w:rFonts w:ascii="Times New Roman" w:hAnsi="Times New Roman"/>
        </w:rPr>
        <w:t>s 272(1)</w:t>
      </w:r>
      <w:r w:rsidR="00752ABA" w:rsidRPr="0093589C">
        <w:rPr>
          <w:rFonts w:ascii="Times New Roman" w:hAnsi="Times New Roman"/>
        </w:rPr>
        <w:t>, t</w:t>
      </w:r>
      <w:r w:rsidR="005A3845" w:rsidRPr="0093589C">
        <w:rPr>
          <w:rFonts w:ascii="Times New Roman" w:hAnsi="Times New Roman"/>
        </w:rPr>
        <w:t>he defence of self</w:t>
      </w:r>
      <w:r w:rsidR="00FE7B2F" w:rsidRPr="0093589C">
        <w:rPr>
          <w:rFonts w:ascii="Times New Roman" w:hAnsi="Times New Roman"/>
        </w:rPr>
        <w:noBreakHyphen/>
      </w:r>
      <w:r w:rsidR="005A3845" w:rsidRPr="0093589C">
        <w:rPr>
          <w:rFonts w:ascii="Times New Roman" w:hAnsi="Times New Roman"/>
        </w:rPr>
        <w:t xml:space="preserve">defence against provoked assault </w:t>
      </w:r>
      <w:r w:rsidR="00577128" w:rsidRPr="0093589C">
        <w:rPr>
          <w:rFonts w:ascii="Times New Roman" w:hAnsi="Times New Roman"/>
        </w:rPr>
        <w:t>in s</w:t>
      </w:r>
      <w:r w:rsidR="007C1601" w:rsidRPr="0093589C">
        <w:rPr>
          <w:rFonts w:ascii="Times New Roman" w:hAnsi="Times New Roman"/>
        </w:rPr>
        <w:t> </w:t>
      </w:r>
      <w:r w:rsidR="00577128" w:rsidRPr="0093589C">
        <w:rPr>
          <w:rFonts w:ascii="Times New Roman" w:hAnsi="Times New Roman"/>
        </w:rPr>
        <w:t xml:space="preserve">272(1) </w:t>
      </w:r>
      <w:r w:rsidR="005A3845" w:rsidRPr="0093589C">
        <w:rPr>
          <w:rFonts w:ascii="Times New Roman" w:hAnsi="Times New Roman"/>
        </w:rPr>
        <w:t>applies where</w:t>
      </w:r>
      <w:r w:rsidR="00AF3220" w:rsidRPr="0093589C">
        <w:rPr>
          <w:rFonts w:ascii="Times New Roman" w:hAnsi="Times New Roman"/>
        </w:rPr>
        <w:t>:</w:t>
      </w:r>
      <w:r w:rsidR="005A3845" w:rsidRPr="0093589C">
        <w:rPr>
          <w:rFonts w:ascii="Times New Roman" w:hAnsi="Times New Roman"/>
        </w:rPr>
        <w:t xml:space="preserve"> </w:t>
      </w:r>
      <w:r w:rsidR="00A15046" w:rsidRPr="0093589C">
        <w:rPr>
          <w:rFonts w:ascii="Times New Roman" w:hAnsi="Times New Roman"/>
        </w:rPr>
        <w:t>the accused "unlawfully assaulted"</w:t>
      </w:r>
      <w:r w:rsidR="00D6069C" w:rsidRPr="0093589C">
        <w:rPr>
          <w:rFonts w:ascii="Times New Roman" w:hAnsi="Times New Roman"/>
        </w:rPr>
        <w:t>,</w:t>
      </w:r>
      <w:r w:rsidR="00A15046" w:rsidRPr="0093589C">
        <w:rPr>
          <w:rFonts w:ascii="Times New Roman" w:hAnsi="Times New Roman"/>
        </w:rPr>
        <w:t xml:space="preserve"> </w:t>
      </w:r>
      <w:r w:rsidR="00645F5B" w:rsidRPr="0093589C">
        <w:rPr>
          <w:rFonts w:ascii="Times New Roman" w:hAnsi="Times New Roman"/>
        </w:rPr>
        <w:t>or provoked an assault from</w:t>
      </w:r>
      <w:r w:rsidR="00D6069C" w:rsidRPr="0093589C">
        <w:rPr>
          <w:rFonts w:ascii="Times New Roman" w:hAnsi="Times New Roman"/>
        </w:rPr>
        <w:t>,</w:t>
      </w:r>
      <w:r w:rsidR="00645F5B" w:rsidRPr="0093589C">
        <w:rPr>
          <w:rFonts w:ascii="Times New Roman" w:hAnsi="Times New Roman"/>
        </w:rPr>
        <w:t xml:space="preserve"> </w:t>
      </w:r>
      <w:r w:rsidR="00EC0324" w:rsidRPr="0093589C">
        <w:rPr>
          <w:rFonts w:ascii="Times New Roman" w:hAnsi="Times New Roman"/>
        </w:rPr>
        <w:t>another</w:t>
      </w:r>
      <w:r w:rsidR="00D6069C" w:rsidRPr="0093589C">
        <w:rPr>
          <w:rFonts w:ascii="Times New Roman" w:hAnsi="Times New Roman"/>
        </w:rPr>
        <w:t xml:space="preserve"> person</w:t>
      </w:r>
      <w:r w:rsidR="00A15046" w:rsidRPr="0093589C">
        <w:rPr>
          <w:rFonts w:ascii="Times New Roman" w:hAnsi="Times New Roman"/>
        </w:rPr>
        <w:t xml:space="preserve">; </w:t>
      </w:r>
      <w:r w:rsidR="00D6069C" w:rsidRPr="0093589C">
        <w:rPr>
          <w:rFonts w:ascii="Times New Roman" w:hAnsi="Times New Roman"/>
        </w:rPr>
        <w:t xml:space="preserve">that </w:t>
      </w:r>
      <w:r w:rsidR="001F5445" w:rsidRPr="0093589C">
        <w:rPr>
          <w:rFonts w:ascii="Times New Roman" w:hAnsi="Times New Roman"/>
        </w:rPr>
        <w:t xml:space="preserve">other </w:t>
      </w:r>
      <w:r w:rsidR="00D6069C" w:rsidRPr="0093589C">
        <w:rPr>
          <w:rFonts w:ascii="Times New Roman" w:hAnsi="Times New Roman"/>
        </w:rPr>
        <w:t>person responded with</w:t>
      </w:r>
      <w:r w:rsidR="00A15046" w:rsidRPr="0093589C">
        <w:rPr>
          <w:rFonts w:ascii="Times New Roman" w:hAnsi="Times New Roman"/>
        </w:rPr>
        <w:t xml:space="preserve"> such violence as to induce </w:t>
      </w:r>
      <w:r w:rsidR="0068304D" w:rsidRPr="0093589C">
        <w:rPr>
          <w:rFonts w:ascii="Times New Roman" w:hAnsi="Times New Roman"/>
        </w:rPr>
        <w:t xml:space="preserve">in </w:t>
      </w:r>
      <w:r w:rsidR="00A15046" w:rsidRPr="0093589C">
        <w:rPr>
          <w:rFonts w:ascii="Times New Roman" w:hAnsi="Times New Roman"/>
        </w:rPr>
        <w:t xml:space="preserve">the accused </w:t>
      </w:r>
      <w:r w:rsidR="00546438" w:rsidRPr="0093589C">
        <w:rPr>
          <w:rFonts w:ascii="Times New Roman" w:hAnsi="Times New Roman"/>
        </w:rPr>
        <w:t xml:space="preserve">a reasonable apprehension of </w:t>
      </w:r>
      <w:r w:rsidR="00A66DEC" w:rsidRPr="0093589C">
        <w:rPr>
          <w:rFonts w:ascii="Times New Roman" w:hAnsi="Times New Roman"/>
        </w:rPr>
        <w:t>death or grievous bodily harm</w:t>
      </w:r>
      <w:r w:rsidR="00A15046" w:rsidRPr="0093589C">
        <w:rPr>
          <w:rFonts w:ascii="Times New Roman" w:hAnsi="Times New Roman"/>
        </w:rPr>
        <w:t>; and the force used</w:t>
      </w:r>
      <w:r w:rsidR="0068304D" w:rsidRPr="0093589C">
        <w:rPr>
          <w:rFonts w:ascii="Times New Roman" w:hAnsi="Times New Roman"/>
        </w:rPr>
        <w:t xml:space="preserve"> </w:t>
      </w:r>
      <w:r w:rsidR="00842C43" w:rsidRPr="0093589C">
        <w:rPr>
          <w:rFonts w:ascii="Times New Roman" w:hAnsi="Times New Roman"/>
        </w:rPr>
        <w:t>by</w:t>
      </w:r>
      <w:r w:rsidR="0068304D" w:rsidRPr="0093589C">
        <w:rPr>
          <w:rFonts w:ascii="Times New Roman" w:hAnsi="Times New Roman"/>
        </w:rPr>
        <w:t xml:space="preserve"> the accused</w:t>
      </w:r>
      <w:r w:rsidR="00A15046" w:rsidRPr="0093589C">
        <w:rPr>
          <w:rFonts w:ascii="Times New Roman" w:hAnsi="Times New Roman"/>
        </w:rPr>
        <w:t xml:space="preserve"> in retaliation was </w:t>
      </w:r>
      <w:r w:rsidR="0041062D" w:rsidRPr="0093589C">
        <w:rPr>
          <w:rFonts w:ascii="Times New Roman" w:hAnsi="Times New Roman"/>
        </w:rPr>
        <w:t>"</w:t>
      </w:r>
      <w:r w:rsidR="00A15046" w:rsidRPr="0093589C">
        <w:rPr>
          <w:rFonts w:ascii="Times New Roman" w:hAnsi="Times New Roman"/>
        </w:rPr>
        <w:t xml:space="preserve">reasonably necessary for </w:t>
      </w:r>
      <w:r w:rsidR="0041062D" w:rsidRPr="0093589C">
        <w:rPr>
          <w:rFonts w:ascii="Times New Roman" w:hAnsi="Times New Roman"/>
        </w:rPr>
        <w:t xml:space="preserve">such </w:t>
      </w:r>
      <w:r w:rsidR="00A15046" w:rsidRPr="0093589C">
        <w:rPr>
          <w:rFonts w:ascii="Times New Roman" w:hAnsi="Times New Roman"/>
        </w:rPr>
        <w:t xml:space="preserve">preservation </w:t>
      </w:r>
      <w:r w:rsidR="001F5445" w:rsidRPr="0093589C">
        <w:rPr>
          <w:rFonts w:ascii="Times New Roman" w:hAnsi="Times New Roman"/>
        </w:rPr>
        <w:t>[</w:t>
      </w:r>
      <w:r w:rsidR="00A15046" w:rsidRPr="0093589C">
        <w:rPr>
          <w:rFonts w:ascii="Times New Roman" w:hAnsi="Times New Roman"/>
        </w:rPr>
        <w:t>from death or grievous bodily harm</w:t>
      </w:r>
      <w:r w:rsidR="001F5445" w:rsidRPr="0093589C">
        <w:rPr>
          <w:rFonts w:ascii="Times New Roman" w:hAnsi="Times New Roman"/>
        </w:rPr>
        <w:t>]</w:t>
      </w:r>
      <w:r w:rsidR="004D275E" w:rsidRPr="0093589C">
        <w:rPr>
          <w:rFonts w:ascii="Times New Roman" w:hAnsi="Times New Roman"/>
        </w:rPr>
        <w:t>, although such force may cause death or grievous bodily harm</w:t>
      </w:r>
      <w:r w:rsidR="009B3BCF" w:rsidRPr="0093589C">
        <w:rPr>
          <w:rFonts w:ascii="Times New Roman" w:hAnsi="Times New Roman"/>
        </w:rPr>
        <w:t>"</w:t>
      </w:r>
      <w:r w:rsidR="004D275E" w:rsidRPr="0093589C">
        <w:rPr>
          <w:rFonts w:ascii="Times New Roman" w:hAnsi="Times New Roman"/>
        </w:rPr>
        <w:t>.</w:t>
      </w:r>
    </w:p>
    <w:p w14:paraId="27D89613" w14:textId="7CF27E93" w:rsidR="009E4DC6" w:rsidRPr="0093589C" w:rsidRDefault="009E4DC6"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7C1601" w:rsidRPr="0093589C">
        <w:rPr>
          <w:rFonts w:ascii="Times New Roman" w:hAnsi="Times New Roman"/>
        </w:rPr>
        <w:t>T</w:t>
      </w:r>
      <w:r w:rsidR="008B38FE" w:rsidRPr="0093589C">
        <w:rPr>
          <w:rFonts w:ascii="Times New Roman" w:hAnsi="Times New Roman"/>
        </w:rPr>
        <w:t>he protection provided by s</w:t>
      </w:r>
      <w:r w:rsidR="007C1601" w:rsidRPr="0093589C">
        <w:rPr>
          <w:rFonts w:ascii="Times New Roman" w:hAnsi="Times New Roman"/>
        </w:rPr>
        <w:t> </w:t>
      </w:r>
      <w:r w:rsidR="008B38FE" w:rsidRPr="0093589C">
        <w:rPr>
          <w:rFonts w:ascii="Times New Roman" w:hAnsi="Times New Roman"/>
        </w:rPr>
        <w:t xml:space="preserve">272(1) will lead to an accused being </w:t>
      </w:r>
      <w:r w:rsidR="007C1601" w:rsidRPr="0093589C">
        <w:rPr>
          <w:rFonts w:ascii="Times New Roman" w:hAnsi="Times New Roman"/>
        </w:rPr>
        <w:t xml:space="preserve">found </w:t>
      </w:r>
      <w:r w:rsidR="008B38FE" w:rsidRPr="0093589C">
        <w:rPr>
          <w:rFonts w:ascii="Times New Roman" w:hAnsi="Times New Roman"/>
        </w:rPr>
        <w:t xml:space="preserve">not criminally responsible for the infliction of injury, including </w:t>
      </w:r>
      <w:r w:rsidR="007C1601" w:rsidRPr="0093589C">
        <w:rPr>
          <w:rFonts w:ascii="Times New Roman" w:hAnsi="Times New Roman"/>
        </w:rPr>
        <w:t>causing</w:t>
      </w:r>
      <w:r w:rsidR="008B38FE" w:rsidRPr="0093589C">
        <w:rPr>
          <w:rFonts w:ascii="Times New Roman" w:hAnsi="Times New Roman"/>
        </w:rPr>
        <w:t xml:space="preserve"> death or grievous bodily harm. T</w:t>
      </w:r>
      <w:r w:rsidRPr="0093589C">
        <w:rPr>
          <w:rFonts w:ascii="Times New Roman" w:hAnsi="Times New Roman"/>
        </w:rPr>
        <w:t xml:space="preserve">he availability of </w:t>
      </w:r>
      <w:r w:rsidR="00CB545F" w:rsidRPr="0093589C">
        <w:rPr>
          <w:rFonts w:ascii="Times New Roman" w:hAnsi="Times New Roman"/>
        </w:rPr>
        <w:t xml:space="preserve">that protection </w:t>
      </w:r>
      <w:r w:rsidRPr="0093589C">
        <w:rPr>
          <w:rFonts w:ascii="Times New Roman" w:hAnsi="Times New Roman"/>
        </w:rPr>
        <w:t xml:space="preserve">is predicated on the accused demonstrating that their resort to </w:t>
      </w:r>
      <w:r w:rsidR="00E153F6" w:rsidRPr="0093589C">
        <w:rPr>
          <w:rFonts w:ascii="Times New Roman" w:hAnsi="Times New Roman"/>
        </w:rPr>
        <w:t>such</w:t>
      </w:r>
      <w:r w:rsidRPr="0093589C">
        <w:rPr>
          <w:rFonts w:ascii="Times New Roman" w:hAnsi="Times New Roman"/>
        </w:rPr>
        <w:t xml:space="preserve"> force was </w:t>
      </w:r>
      <w:r w:rsidR="00E44339" w:rsidRPr="0093589C">
        <w:rPr>
          <w:rFonts w:ascii="Times New Roman" w:hAnsi="Times New Roman"/>
        </w:rPr>
        <w:t>"reasonably</w:t>
      </w:r>
      <w:r w:rsidR="005B1840" w:rsidRPr="0093589C">
        <w:rPr>
          <w:rFonts w:ascii="Times New Roman" w:hAnsi="Times New Roman"/>
        </w:rPr>
        <w:t> </w:t>
      </w:r>
      <w:r w:rsidR="00E44339" w:rsidRPr="0093589C">
        <w:rPr>
          <w:rFonts w:ascii="Times New Roman" w:hAnsi="Times New Roman"/>
        </w:rPr>
        <w:t>necessary" for self</w:t>
      </w:r>
      <w:r w:rsidR="00A12622" w:rsidRPr="0093589C">
        <w:rPr>
          <w:rFonts w:ascii="Times New Roman" w:hAnsi="Times New Roman"/>
        </w:rPr>
        <w:noBreakHyphen/>
      </w:r>
      <w:r w:rsidR="00E44339" w:rsidRPr="0093589C">
        <w:rPr>
          <w:rFonts w:ascii="Times New Roman" w:hAnsi="Times New Roman"/>
        </w:rPr>
        <w:t>preservation from death or grievous bodily harm. Put another way,</w:t>
      </w:r>
      <w:r w:rsidR="00283894" w:rsidRPr="0093589C">
        <w:rPr>
          <w:rFonts w:ascii="Times New Roman" w:hAnsi="Times New Roman"/>
        </w:rPr>
        <w:t xml:space="preserve"> the protection is designed to excuse an accused from the use of </w:t>
      </w:r>
      <w:r w:rsidR="00E153F6" w:rsidRPr="0093589C">
        <w:rPr>
          <w:rFonts w:ascii="Times New Roman" w:hAnsi="Times New Roman"/>
        </w:rPr>
        <w:t xml:space="preserve">such </w:t>
      </w:r>
      <w:r w:rsidR="00283894" w:rsidRPr="0093589C">
        <w:rPr>
          <w:rFonts w:ascii="Times New Roman" w:hAnsi="Times New Roman"/>
        </w:rPr>
        <w:t>force</w:t>
      </w:r>
      <w:r w:rsidR="001966F9" w:rsidRPr="0093589C">
        <w:rPr>
          <w:rFonts w:ascii="Times New Roman" w:hAnsi="Times New Roman"/>
        </w:rPr>
        <w:t>,</w:t>
      </w:r>
      <w:r w:rsidR="00283894" w:rsidRPr="0093589C">
        <w:rPr>
          <w:rFonts w:ascii="Times New Roman" w:hAnsi="Times New Roman"/>
        </w:rPr>
        <w:t xml:space="preserve"> and the resultant grave consequences, where the need to use such force </w:t>
      </w:r>
      <w:r w:rsidR="0012440F" w:rsidRPr="0093589C">
        <w:rPr>
          <w:rFonts w:ascii="Times New Roman" w:hAnsi="Times New Roman"/>
        </w:rPr>
        <w:t>was</w:t>
      </w:r>
      <w:r w:rsidR="00283894" w:rsidRPr="0093589C">
        <w:rPr>
          <w:rFonts w:ascii="Times New Roman" w:hAnsi="Times New Roman"/>
        </w:rPr>
        <w:t xml:space="preserve"> </w:t>
      </w:r>
      <w:r w:rsidR="001F79BC" w:rsidRPr="0093589C">
        <w:rPr>
          <w:rFonts w:ascii="Times New Roman" w:hAnsi="Times New Roman"/>
        </w:rPr>
        <w:t xml:space="preserve">reasonably </w:t>
      </w:r>
      <w:r w:rsidR="00283894" w:rsidRPr="0093589C">
        <w:rPr>
          <w:rFonts w:ascii="Times New Roman" w:hAnsi="Times New Roman"/>
        </w:rPr>
        <w:t>necessary</w:t>
      </w:r>
      <w:r w:rsidR="00464971" w:rsidRPr="0093589C">
        <w:rPr>
          <w:rFonts w:ascii="Times New Roman" w:hAnsi="Times New Roman"/>
        </w:rPr>
        <w:t xml:space="preserve"> for self</w:t>
      </w:r>
      <w:r w:rsidR="00A12622" w:rsidRPr="0093589C">
        <w:rPr>
          <w:rFonts w:ascii="Times New Roman" w:hAnsi="Times New Roman"/>
        </w:rPr>
        <w:noBreakHyphen/>
      </w:r>
      <w:r w:rsidR="00464971" w:rsidRPr="0093589C">
        <w:rPr>
          <w:rFonts w:ascii="Times New Roman" w:hAnsi="Times New Roman"/>
        </w:rPr>
        <w:t>defence</w:t>
      </w:r>
      <w:r w:rsidR="008D78BD" w:rsidRPr="0093589C">
        <w:rPr>
          <w:rFonts w:ascii="Times New Roman" w:hAnsi="Times New Roman"/>
        </w:rPr>
        <w:t>.</w:t>
      </w:r>
      <w:r w:rsidR="00F456F5" w:rsidRPr="0093589C">
        <w:rPr>
          <w:rFonts w:ascii="Times New Roman" w:hAnsi="Times New Roman"/>
        </w:rPr>
        <w:t xml:space="preserve"> </w:t>
      </w:r>
    </w:p>
    <w:p w14:paraId="07876FD4" w14:textId="4A10EA8F" w:rsidR="0029703D" w:rsidRPr="0093589C" w:rsidRDefault="00327B11"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Turning then to </w:t>
      </w:r>
      <w:r w:rsidR="00DE5EA1" w:rsidRPr="0093589C">
        <w:rPr>
          <w:rFonts w:ascii="Times New Roman" w:hAnsi="Times New Roman"/>
        </w:rPr>
        <w:t>s</w:t>
      </w:r>
      <w:r w:rsidR="0012440F" w:rsidRPr="0093589C">
        <w:rPr>
          <w:rFonts w:ascii="Times New Roman" w:hAnsi="Times New Roman"/>
        </w:rPr>
        <w:t> </w:t>
      </w:r>
      <w:r w:rsidR="00DE5EA1" w:rsidRPr="0093589C">
        <w:rPr>
          <w:rFonts w:ascii="Times New Roman" w:hAnsi="Times New Roman"/>
        </w:rPr>
        <w:t>272(2)</w:t>
      </w:r>
      <w:r w:rsidR="001F79BC" w:rsidRPr="0093589C">
        <w:rPr>
          <w:rFonts w:ascii="Times New Roman" w:hAnsi="Times New Roman"/>
        </w:rPr>
        <w:t>, t</w:t>
      </w:r>
      <w:r w:rsidR="00810711" w:rsidRPr="0093589C">
        <w:rPr>
          <w:rFonts w:ascii="Times New Roman" w:hAnsi="Times New Roman"/>
        </w:rPr>
        <w:t xml:space="preserve">extually, </w:t>
      </w:r>
      <w:r w:rsidR="00BF7354" w:rsidRPr="0093589C">
        <w:rPr>
          <w:rFonts w:ascii="Times New Roman" w:hAnsi="Times New Roman"/>
        </w:rPr>
        <w:t>s</w:t>
      </w:r>
      <w:r w:rsidR="008A3D14" w:rsidRPr="0093589C">
        <w:rPr>
          <w:rFonts w:ascii="Times New Roman" w:hAnsi="Times New Roman"/>
        </w:rPr>
        <w:t>ub</w:t>
      </w:r>
      <w:r w:rsidR="00A12622" w:rsidRPr="0093589C">
        <w:rPr>
          <w:rFonts w:ascii="Times New Roman" w:hAnsi="Times New Roman"/>
        </w:rPr>
        <w:noBreakHyphen/>
      </w:r>
      <w:r w:rsidR="008A3D14" w:rsidRPr="0093589C">
        <w:rPr>
          <w:rFonts w:ascii="Times New Roman" w:hAnsi="Times New Roman"/>
        </w:rPr>
        <w:t>s</w:t>
      </w:r>
      <w:r w:rsidR="00A12622" w:rsidRPr="0093589C">
        <w:rPr>
          <w:rFonts w:ascii="Times New Roman" w:hAnsi="Times New Roman"/>
        </w:rPr>
        <w:t> </w:t>
      </w:r>
      <w:r w:rsidR="00BF7354" w:rsidRPr="0093589C">
        <w:rPr>
          <w:rFonts w:ascii="Times New Roman" w:hAnsi="Times New Roman"/>
        </w:rPr>
        <w:t xml:space="preserve">(2) </w:t>
      </w:r>
      <w:r w:rsidR="00C06406" w:rsidRPr="0093589C">
        <w:rPr>
          <w:rFonts w:ascii="Times New Roman" w:hAnsi="Times New Roman"/>
        </w:rPr>
        <w:t>comprises</w:t>
      </w:r>
      <w:r w:rsidR="005B1840" w:rsidRPr="0093589C">
        <w:rPr>
          <w:rFonts w:ascii="Times New Roman" w:hAnsi="Times New Roman"/>
        </w:rPr>
        <w:t> </w:t>
      </w:r>
      <w:r w:rsidR="00ED654C" w:rsidRPr="0093589C">
        <w:rPr>
          <w:rFonts w:ascii="Times New Roman" w:hAnsi="Times New Roman"/>
        </w:rPr>
        <w:t xml:space="preserve">three </w:t>
      </w:r>
      <w:r w:rsidR="005F28F3" w:rsidRPr="0093589C">
        <w:rPr>
          <w:rFonts w:ascii="Times New Roman" w:hAnsi="Times New Roman"/>
        </w:rPr>
        <w:t xml:space="preserve">distinct </w:t>
      </w:r>
      <w:r w:rsidR="00ED654C" w:rsidRPr="0093589C">
        <w:rPr>
          <w:rFonts w:ascii="Times New Roman" w:hAnsi="Times New Roman"/>
        </w:rPr>
        <w:t>clauses</w:t>
      </w:r>
      <w:r w:rsidR="005F28F3" w:rsidRPr="0093589C">
        <w:rPr>
          <w:rFonts w:ascii="Times New Roman" w:hAnsi="Times New Roman"/>
        </w:rPr>
        <w:t xml:space="preserve">, </w:t>
      </w:r>
      <w:r w:rsidR="004628C7" w:rsidRPr="0093589C">
        <w:rPr>
          <w:rFonts w:ascii="Times New Roman" w:hAnsi="Times New Roman"/>
        </w:rPr>
        <w:t xml:space="preserve">each </w:t>
      </w:r>
      <w:r w:rsidR="005F28F3" w:rsidRPr="0093589C">
        <w:rPr>
          <w:rFonts w:ascii="Times New Roman" w:hAnsi="Times New Roman"/>
        </w:rPr>
        <w:t>demarcated by semi</w:t>
      </w:r>
      <w:r w:rsidR="00A12622" w:rsidRPr="0093589C">
        <w:rPr>
          <w:rFonts w:ascii="Times New Roman" w:hAnsi="Times New Roman"/>
        </w:rPr>
        <w:noBreakHyphen/>
      </w:r>
      <w:r w:rsidR="005F28F3" w:rsidRPr="0093589C">
        <w:rPr>
          <w:rFonts w:ascii="Times New Roman" w:hAnsi="Times New Roman"/>
        </w:rPr>
        <w:t>colons</w:t>
      </w:r>
      <w:r w:rsidR="00ED654C" w:rsidRPr="0093589C">
        <w:rPr>
          <w:rFonts w:ascii="Times New Roman" w:hAnsi="Times New Roman"/>
        </w:rPr>
        <w:t>.</w:t>
      </w:r>
      <w:r w:rsidR="00BF7354" w:rsidRPr="0093589C">
        <w:rPr>
          <w:rFonts w:ascii="Times New Roman" w:hAnsi="Times New Roman"/>
        </w:rPr>
        <w:t xml:space="preserve"> </w:t>
      </w:r>
      <w:r w:rsidR="009A3412" w:rsidRPr="0093589C">
        <w:rPr>
          <w:rFonts w:ascii="Times New Roman" w:hAnsi="Times New Roman"/>
        </w:rPr>
        <w:t>As will be seen, e</w:t>
      </w:r>
      <w:r w:rsidR="00BF7354" w:rsidRPr="0093589C">
        <w:rPr>
          <w:rFonts w:ascii="Times New Roman" w:hAnsi="Times New Roman"/>
        </w:rPr>
        <w:t xml:space="preserve">ach expresses a distinct category of case </w:t>
      </w:r>
      <w:r w:rsidR="00113B65" w:rsidRPr="0093589C">
        <w:rPr>
          <w:rFonts w:ascii="Times New Roman" w:hAnsi="Times New Roman"/>
        </w:rPr>
        <w:t xml:space="preserve">to </w:t>
      </w:r>
      <w:r w:rsidR="00BF7354" w:rsidRPr="0093589C">
        <w:rPr>
          <w:rFonts w:ascii="Times New Roman" w:hAnsi="Times New Roman"/>
        </w:rPr>
        <w:t xml:space="preserve">which the "protection" from criminal responsibility afforded by s 272(1) does </w:t>
      </w:r>
      <w:r w:rsidR="00BF7354" w:rsidRPr="0093589C">
        <w:rPr>
          <w:rFonts w:ascii="Times New Roman" w:hAnsi="Times New Roman"/>
          <w:i/>
          <w:iCs/>
        </w:rPr>
        <w:t>not</w:t>
      </w:r>
      <w:r w:rsidR="00BF7354" w:rsidRPr="0093589C">
        <w:rPr>
          <w:rFonts w:ascii="Times New Roman" w:hAnsi="Times New Roman"/>
        </w:rPr>
        <w:t xml:space="preserve"> "extend".</w:t>
      </w:r>
      <w:r w:rsidR="0029703D" w:rsidRPr="0093589C">
        <w:rPr>
          <w:rFonts w:ascii="Times New Roman" w:hAnsi="Times New Roman"/>
        </w:rPr>
        <w:t xml:space="preserve"> </w:t>
      </w:r>
    </w:p>
    <w:p w14:paraId="0DB53F12" w14:textId="7B569C65" w:rsidR="00150B18" w:rsidRPr="0093589C" w:rsidRDefault="0029703D" w:rsidP="0093589C">
      <w:pPr>
        <w:pStyle w:val="FixListStyle"/>
        <w:spacing w:after="260" w:line="280" w:lineRule="exact"/>
        <w:ind w:right="0"/>
        <w:jc w:val="both"/>
        <w:rPr>
          <w:rFonts w:ascii="Times New Roman" w:hAnsi="Times New Roman"/>
        </w:rPr>
      </w:pPr>
      <w:r w:rsidRPr="0093589C">
        <w:rPr>
          <w:rFonts w:ascii="Times New Roman" w:hAnsi="Times New Roman"/>
        </w:rPr>
        <w:tab/>
        <w:t>The first</w:t>
      </w:r>
      <w:r w:rsidR="00591D55" w:rsidRPr="0093589C" w:rsidDel="0064782E">
        <w:rPr>
          <w:rFonts w:ascii="Times New Roman" w:hAnsi="Times New Roman"/>
        </w:rPr>
        <w:t xml:space="preserve"> </w:t>
      </w:r>
      <w:r w:rsidR="0064782E" w:rsidRPr="0093589C">
        <w:rPr>
          <w:rFonts w:ascii="Times New Roman" w:hAnsi="Times New Roman"/>
        </w:rPr>
        <w:t xml:space="preserve">clause </w:t>
      </w:r>
      <w:r w:rsidRPr="0093589C">
        <w:rPr>
          <w:rFonts w:ascii="Times New Roman" w:hAnsi="Times New Roman"/>
        </w:rPr>
        <w:t xml:space="preserve">provides that "[t]his protection </w:t>
      </w:r>
      <w:r w:rsidR="005F13FA" w:rsidRPr="0093589C">
        <w:rPr>
          <w:rFonts w:ascii="Times New Roman" w:hAnsi="Times New Roman"/>
        </w:rPr>
        <w:t xml:space="preserve">[being the protection </w:t>
      </w:r>
      <w:r w:rsidR="007F4550" w:rsidRPr="0093589C">
        <w:rPr>
          <w:rFonts w:ascii="Times New Roman" w:hAnsi="Times New Roman"/>
        </w:rPr>
        <w:t xml:space="preserve">provided </w:t>
      </w:r>
      <w:r w:rsidR="005F13FA" w:rsidRPr="0093589C">
        <w:rPr>
          <w:rFonts w:ascii="Times New Roman" w:hAnsi="Times New Roman"/>
        </w:rPr>
        <w:t>in sub</w:t>
      </w:r>
      <w:r w:rsidR="001F5445" w:rsidRPr="0093589C">
        <w:rPr>
          <w:rFonts w:ascii="Times New Roman" w:hAnsi="Times New Roman"/>
        </w:rPr>
        <w:noBreakHyphen/>
      </w:r>
      <w:r w:rsidR="005F13FA" w:rsidRPr="0093589C">
        <w:rPr>
          <w:rFonts w:ascii="Times New Roman" w:hAnsi="Times New Roman"/>
        </w:rPr>
        <w:t>s</w:t>
      </w:r>
      <w:r w:rsidR="001F5445" w:rsidRPr="0093589C">
        <w:rPr>
          <w:rFonts w:ascii="Times New Roman" w:hAnsi="Times New Roman"/>
        </w:rPr>
        <w:t> </w:t>
      </w:r>
      <w:r w:rsidR="005F13FA" w:rsidRPr="0093589C">
        <w:rPr>
          <w:rFonts w:ascii="Times New Roman" w:hAnsi="Times New Roman"/>
        </w:rPr>
        <w:t xml:space="preserve">(1)] </w:t>
      </w:r>
      <w:r w:rsidRPr="0093589C">
        <w:rPr>
          <w:rFonts w:ascii="Times New Roman" w:hAnsi="Times New Roman"/>
        </w:rPr>
        <w:t xml:space="preserve">does not extend to a case in which the person using force which causes death or grievous bodily harm first begun the assault with </w:t>
      </w:r>
      <w:r w:rsidRPr="0093589C">
        <w:rPr>
          <w:rFonts w:ascii="Times New Roman" w:hAnsi="Times New Roman"/>
          <w:i/>
          <w:iCs/>
        </w:rPr>
        <w:t>intent</w:t>
      </w:r>
      <w:r w:rsidRPr="0093589C">
        <w:rPr>
          <w:rFonts w:ascii="Times New Roman" w:hAnsi="Times New Roman"/>
        </w:rPr>
        <w:t xml:space="preserve"> to kill or to do grievous bodily harm to some person".</w:t>
      </w:r>
      <w:r w:rsidR="00F45B83" w:rsidRPr="0093589C">
        <w:rPr>
          <w:rStyle w:val="FootnoteReference"/>
          <w:rFonts w:ascii="Times New Roman" w:hAnsi="Times New Roman"/>
          <w:sz w:val="24"/>
        </w:rPr>
        <w:footnoteReference w:id="9"/>
      </w:r>
      <w:r w:rsidRPr="0093589C">
        <w:rPr>
          <w:rFonts w:ascii="Times New Roman" w:hAnsi="Times New Roman"/>
        </w:rPr>
        <w:t xml:space="preserve"> </w:t>
      </w:r>
      <w:r w:rsidR="00D6642D" w:rsidRPr="0093589C">
        <w:rPr>
          <w:rFonts w:ascii="Times New Roman" w:hAnsi="Times New Roman"/>
        </w:rPr>
        <w:t xml:space="preserve">This </w:t>
      </w:r>
      <w:r w:rsidR="00BE5363" w:rsidRPr="0093589C">
        <w:rPr>
          <w:rFonts w:ascii="Times New Roman" w:hAnsi="Times New Roman"/>
        </w:rPr>
        <w:t>clause</w:t>
      </w:r>
      <w:r w:rsidR="009A3412" w:rsidRPr="0093589C">
        <w:rPr>
          <w:rFonts w:ascii="Times New Roman" w:hAnsi="Times New Roman"/>
        </w:rPr>
        <w:t xml:space="preserve"> </w:t>
      </w:r>
      <w:r w:rsidR="006648CA" w:rsidRPr="0093589C">
        <w:rPr>
          <w:rFonts w:ascii="Times New Roman" w:hAnsi="Times New Roman"/>
        </w:rPr>
        <w:t>is self-explanatory</w:t>
      </w:r>
      <w:r w:rsidR="009A3412" w:rsidRPr="0093589C">
        <w:rPr>
          <w:rFonts w:ascii="Times New Roman" w:hAnsi="Times New Roman"/>
        </w:rPr>
        <w:t>.</w:t>
      </w:r>
      <w:r w:rsidR="00365463" w:rsidRPr="0093589C">
        <w:rPr>
          <w:rFonts w:ascii="Times New Roman" w:hAnsi="Times New Roman"/>
        </w:rPr>
        <w:t xml:space="preserve"> The protection does not extend to </w:t>
      </w:r>
      <w:r w:rsidR="00AA41FC" w:rsidRPr="0093589C">
        <w:rPr>
          <w:rFonts w:ascii="Times New Roman" w:hAnsi="Times New Roman"/>
        </w:rPr>
        <w:t>"a case" in which the accused</w:t>
      </w:r>
      <w:r w:rsidR="00365463" w:rsidRPr="0093589C">
        <w:rPr>
          <w:rFonts w:ascii="Times New Roman" w:hAnsi="Times New Roman"/>
        </w:rPr>
        <w:t xml:space="preserve"> </w:t>
      </w:r>
      <w:r w:rsidR="00400FC1" w:rsidRPr="0093589C">
        <w:rPr>
          <w:rFonts w:ascii="Times New Roman" w:hAnsi="Times New Roman"/>
        </w:rPr>
        <w:t xml:space="preserve">causes death or grievous bodily harm and </w:t>
      </w:r>
      <w:r w:rsidR="00231CE5" w:rsidRPr="0093589C">
        <w:rPr>
          <w:rFonts w:ascii="Times New Roman" w:hAnsi="Times New Roman"/>
        </w:rPr>
        <w:t>"</w:t>
      </w:r>
      <w:r w:rsidR="007158F5" w:rsidRPr="0093589C">
        <w:rPr>
          <w:rFonts w:ascii="Times New Roman" w:hAnsi="Times New Roman"/>
        </w:rPr>
        <w:t>first begun</w:t>
      </w:r>
      <w:r w:rsidR="00231CE5" w:rsidRPr="0093589C">
        <w:rPr>
          <w:rFonts w:ascii="Times New Roman" w:hAnsi="Times New Roman"/>
        </w:rPr>
        <w:t>"</w:t>
      </w:r>
      <w:r w:rsidR="007158F5" w:rsidRPr="0093589C">
        <w:rPr>
          <w:rFonts w:ascii="Times New Roman" w:hAnsi="Times New Roman"/>
        </w:rPr>
        <w:t xml:space="preserve"> the assault </w:t>
      </w:r>
      <w:r w:rsidR="00C02185" w:rsidRPr="0093589C">
        <w:rPr>
          <w:rFonts w:ascii="Times New Roman" w:hAnsi="Times New Roman"/>
        </w:rPr>
        <w:t xml:space="preserve">(being the initiating assault described in </w:t>
      </w:r>
      <w:r w:rsidR="00C575B9" w:rsidRPr="0093589C">
        <w:rPr>
          <w:rFonts w:ascii="Times New Roman" w:hAnsi="Times New Roman"/>
        </w:rPr>
        <w:t>s 272</w:t>
      </w:r>
      <w:r w:rsidR="00C02185" w:rsidRPr="0093589C">
        <w:rPr>
          <w:rFonts w:ascii="Times New Roman" w:hAnsi="Times New Roman"/>
        </w:rPr>
        <w:t xml:space="preserve">(1)) </w:t>
      </w:r>
      <w:r w:rsidR="007158F5" w:rsidRPr="0093589C">
        <w:rPr>
          <w:rFonts w:ascii="Times New Roman" w:hAnsi="Times New Roman"/>
          <w:iCs/>
        </w:rPr>
        <w:t>with</w:t>
      </w:r>
      <w:r w:rsidR="007158F5" w:rsidRPr="0093589C">
        <w:rPr>
          <w:rFonts w:ascii="Times New Roman" w:hAnsi="Times New Roman"/>
          <w:i/>
        </w:rPr>
        <w:t xml:space="preserve"> intent</w:t>
      </w:r>
      <w:r w:rsidR="007158F5" w:rsidRPr="0093589C">
        <w:rPr>
          <w:rFonts w:ascii="Times New Roman" w:hAnsi="Times New Roman"/>
        </w:rPr>
        <w:t xml:space="preserve"> to kill or to do grievous bodily harm to some person. </w:t>
      </w:r>
    </w:p>
    <w:p w14:paraId="49BC0D8D" w14:textId="32DD4F45" w:rsidR="0029703D" w:rsidRPr="0093589C" w:rsidRDefault="00150B18"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The second </w:t>
      </w:r>
      <w:r w:rsidR="00317A17" w:rsidRPr="0093589C">
        <w:rPr>
          <w:rFonts w:ascii="Times New Roman" w:hAnsi="Times New Roman"/>
        </w:rPr>
        <w:t xml:space="preserve">clause </w:t>
      </w:r>
      <w:r w:rsidRPr="0093589C">
        <w:rPr>
          <w:rFonts w:ascii="Times New Roman" w:hAnsi="Times New Roman"/>
        </w:rPr>
        <w:t xml:space="preserve">commences with the </w:t>
      </w:r>
      <w:r w:rsidR="00087517" w:rsidRPr="0093589C">
        <w:rPr>
          <w:rFonts w:ascii="Times New Roman" w:hAnsi="Times New Roman"/>
        </w:rPr>
        <w:t xml:space="preserve">phrase </w:t>
      </w:r>
      <w:r w:rsidRPr="0093589C">
        <w:rPr>
          <w:rFonts w:ascii="Times New Roman" w:hAnsi="Times New Roman"/>
        </w:rPr>
        <w:t>"nor</w:t>
      </w:r>
      <w:r w:rsidR="00087517" w:rsidRPr="0093589C">
        <w:rPr>
          <w:rFonts w:ascii="Times New Roman" w:hAnsi="Times New Roman"/>
        </w:rPr>
        <w:t xml:space="preserve"> to a case in which</w:t>
      </w:r>
      <w:r w:rsidRPr="0093589C">
        <w:rPr>
          <w:rFonts w:ascii="Times New Roman" w:hAnsi="Times New Roman"/>
        </w:rPr>
        <w:t xml:space="preserve">". Textually, that </w:t>
      </w:r>
      <w:r w:rsidR="00087517" w:rsidRPr="0093589C">
        <w:rPr>
          <w:rFonts w:ascii="Times New Roman" w:hAnsi="Times New Roman"/>
        </w:rPr>
        <w:t xml:space="preserve">clause </w:t>
      </w:r>
      <w:r w:rsidRPr="0093589C">
        <w:rPr>
          <w:rFonts w:ascii="Times New Roman" w:hAnsi="Times New Roman"/>
        </w:rPr>
        <w:t xml:space="preserve">can </w:t>
      </w:r>
      <w:r w:rsidR="009A3412" w:rsidRPr="0093589C">
        <w:rPr>
          <w:rFonts w:ascii="Times New Roman" w:hAnsi="Times New Roman"/>
        </w:rPr>
        <w:t xml:space="preserve">and should be </w:t>
      </w:r>
      <w:r w:rsidR="00832F06" w:rsidRPr="0093589C">
        <w:rPr>
          <w:rFonts w:ascii="Times New Roman" w:hAnsi="Times New Roman"/>
        </w:rPr>
        <w:t xml:space="preserve">read </w:t>
      </w:r>
      <w:r w:rsidR="003200D9" w:rsidRPr="0093589C">
        <w:rPr>
          <w:rFonts w:ascii="Times New Roman" w:hAnsi="Times New Roman"/>
        </w:rPr>
        <w:t xml:space="preserve">so that </w:t>
      </w:r>
      <w:r w:rsidR="00591D55" w:rsidRPr="0093589C">
        <w:rPr>
          <w:rFonts w:ascii="Times New Roman" w:hAnsi="Times New Roman"/>
        </w:rPr>
        <w:t xml:space="preserve">"nor" </w:t>
      </w:r>
      <w:r w:rsidR="00BD07D3" w:rsidRPr="0093589C">
        <w:rPr>
          <w:rFonts w:ascii="Times New Roman" w:hAnsi="Times New Roman"/>
        </w:rPr>
        <w:t>encompass</w:t>
      </w:r>
      <w:r w:rsidR="00113B65" w:rsidRPr="0093589C">
        <w:rPr>
          <w:rFonts w:ascii="Times New Roman" w:hAnsi="Times New Roman"/>
        </w:rPr>
        <w:t>es</w:t>
      </w:r>
      <w:r w:rsidR="006D6F03" w:rsidRPr="0093589C">
        <w:rPr>
          <w:rFonts w:ascii="Times New Roman" w:hAnsi="Times New Roman"/>
        </w:rPr>
        <w:t xml:space="preserve"> </w:t>
      </w:r>
      <w:r w:rsidR="00591D55" w:rsidRPr="0093589C">
        <w:rPr>
          <w:rFonts w:ascii="Times New Roman" w:hAnsi="Times New Roman"/>
        </w:rPr>
        <w:t xml:space="preserve">the </w:t>
      </w:r>
      <w:r w:rsidR="003200D9" w:rsidRPr="0093589C">
        <w:rPr>
          <w:rFonts w:ascii="Times New Roman" w:hAnsi="Times New Roman"/>
        </w:rPr>
        <w:t>opening phrase of s 272(2) – "</w:t>
      </w:r>
      <w:r w:rsidR="004B16F8" w:rsidRPr="0093589C">
        <w:rPr>
          <w:rFonts w:ascii="Times New Roman" w:hAnsi="Times New Roman"/>
        </w:rPr>
        <w:t>[</w:t>
      </w:r>
      <w:r w:rsidR="003200D9" w:rsidRPr="0093589C">
        <w:rPr>
          <w:rFonts w:ascii="Times New Roman" w:hAnsi="Times New Roman"/>
        </w:rPr>
        <w:t>t</w:t>
      </w:r>
      <w:r w:rsidR="004B16F8" w:rsidRPr="0093589C">
        <w:rPr>
          <w:rFonts w:ascii="Times New Roman" w:hAnsi="Times New Roman"/>
        </w:rPr>
        <w:t>]</w:t>
      </w:r>
      <w:r w:rsidR="003200D9" w:rsidRPr="0093589C">
        <w:rPr>
          <w:rFonts w:ascii="Times New Roman" w:hAnsi="Times New Roman"/>
        </w:rPr>
        <w:t>his protection does not extend</w:t>
      </w:r>
      <w:r w:rsidR="00591D55" w:rsidRPr="0093589C">
        <w:rPr>
          <w:rFonts w:ascii="Times New Roman" w:hAnsi="Times New Roman"/>
        </w:rPr>
        <w:t>". The second</w:t>
      </w:r>
      <w:r w:rsidR="00591D55" w:rsidRPr="0093589C" w:rsidDel="00491EA1">
        <w:rPr>
          <w:rFonts w:ascii="Times New Roman" w:hAnsi="Times New Roman"/>
        </w:rPr>
        <w:t xml:space="preserve"> </w:t>
      </w:r>
      <w:r w:rsidR="00491EA1" w:rsidRPr="0093589C">
        <w:rPr>
          <w:rFonts w:ascii="Times New Roman" w:hAnsi="Times New Roman"/>
        </w:rPr>
        <w:t xml:space="preserve">clause </w:t>
      </w:r>
      <w:r w:rsidR="00591D55" w:rsidRPr="0093589C">
        <w:rPr>
          <w:rFonts w:ascii="Times New Roman" w:hAnsi="Times New Roman"/>
        </w:rPr>
        <w:t>then provide</w:t>
      </w:r>
      <w:r w:rsidR="007C3058" w:rsidRPr="0093589C">
        <w:rPr>
          <w:rFonts w:ascii="Times New Roman" w:hAnsi="Times New Roman"/>
        </w:rPr>
        <w:t>s</w:t>
      </w:r>
      <w:r w:rsidR="00BD07D3" w:rsidRPr="0093589C">
        <w:rPr>
          <w:rFonts w:ascii="Times New Roman" w:hAnsi="Times New Roman"/>
        </w:rPr>
        <w:t>, in effect</w:t>
      </w:r>
      <w:r w:rsidR="007C3058" w:rsidRPr="0093589C">
        <w:rPr>
          <w:rFonts w:ascii="Times New Roman" w:hAnsi="Times New Roman"/>
        </w:rPr>
        <w:t>:</w:t>
      </w:r>
    </w:p>
    <w:p w14:paraId="4034A1F3" w14:textId="77777777" w:rsidR="0093589C" w:rsidRDefault="007C3058" w:rsidP="0093589C">
      <w:pPr>
        <w:pStyle w:val="leftright"/>
        <w:spacing w:before="0" w:after="260" w:line="280" w:lineRule="exact"/>
        <w:ind w:right="0"/>
        <w:jc w:val="both"/>
        <w:rPr>
          <w:rFonts w:ascii="Times New Roman" w:hAnsi="Times New Roman"/>
        </w:rPr>
      </w:pPr>
      <w:r w:rsidRPr="0093589C">
        <w:rPr>
          <w:rFonts w:ascii="Times New Roman" w:hAnsi="Times New Roman"/>
        </w:rPr>
        <w:lastRenderedPageBreak/>
        <w:t>"[This protection does not extend] to a case in which the person using force which causes death or grievous bodily harm endeavoured to kill or to do grievous bodily harm to some person before the necessity of so preserving himself or herself arose"</w:t>
      </w:r>
      <w:r w:rsidR="00B968B6" w:rsidRPr="0093589C">
        <w:rPr>
          <w:rFonts w:ascii="Times New Roman" w:hAnsi="Times New Roman"/>
        </w:rPr>
        <w:t>.</w:t>
      </w:r>
    </w:p>
    <w:p w14:paraId="41D81468" w14:textId="3AE36208" w:rsidR="00365463" w:rsidRPr="0093589C" w:rsidRDefault="006F0111"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7158F5" w:rsidRPr="0093589C">
        <w:rPr>
          <w:rFonts w:ascii="Times New Roman" w:hAnsi="Times New Roman"/>
        </w:rPr>
        <w:t>Again, thi</w:t>
      </w:r>
      <w:r w:rsidR="00FF2E4A" w:rsidRPr="0093589C">
        <w:rPr>
          <w:rFonts w:ascii="Times New Roman" w:hAnsi="Times New Roman"/>
        </w:rPr>
        <w:t xml:space="preserve">s sentence requires </w:t>
      </w:r>
      <w:r w:rsidR="00545EAF" w:rsidRPr="0093589C">
        <w:rPr>
          <w:rFonts w:ascii="Times New Roman" w:hAnsi="Times New Roman"/>
        </w:rPr>
        <w:t>little</w:t>
      </w:r>
      <w:r w:rsidR="00FF2E4A" w:rsidRPr="0093589C">
        <w:rPr>
          <w:rFonts w:ascii="Times New Roman" w:hAnsi="Times New Roman"/>
        </w:rPr>
        <w:t xml:space="preserve"> explanation. It provides that the protection does not extend to </w:t>
      </w:r>
      <w:r w:rsidR="00AA41FC" w:rsidRPr="0093589C">
        <w:rPr>
          <w:rFonts w:ascii="Times New Roman" w:hAnsi="Times New Roman"/>
        </w:rPr>
        <w:t>"a case" in which the accused</w:t>
      </w:r>
      <w:r w:rsidR="00FF2E4A" w:rsidRPr="0093589C">
        <w:rPr>
          <w:rFonts w:ascii="Times New Roman" w:hAnsi="Times New Roman"/>
        </w:rPr>
        <w:t xml:space="preserve"> causes death or grievous bodily harm </w:t>
      </w:r>
      <w:r w:rsidR="009A6929" w:rsidRPr="0093589C">
        <w:rPr>
          <w:rFonts w:ascii="Times New Roman" w:hAnsi="Times New Roman"/>
        </w:rPr>
        <w:t xml:space="preserve">to </w:t>
      </w:r>
      <w:r w:rsidR="007B5879" w:rsidRPr="0093589C">
        <w:rPr>
          <w:rFonts w:ascii="Times New Roman" w:hAnsi="Times New Roman"/>
        </w:rPr>
        <w:t>another</w:t>
      </w:r>
      <w:r w:rsidR="009A6929" w:rsidRPr="0093589C">
        <w:rPr>
          <w:rFonts w:ascii="Times New Roman" w:hAnsi="Times New Roman"/>
        </w:rPr>
        <w:t xml:space="preserve"> </w:t>
      </w:r>
      <w:r w:rsidR="0031471A" w:rsidRPr="0093589C">
        <w:rPr>
          <w:rFonts w:ascii="Times New Roman" w:hAnsi="Times New Roman"/>
        </w:rPr>
        <w:t xml:space="preserve">and endeavoured to </w:t>
      </w:r>
      <w:r w:rsidR="006D1EEC" w:rsidRPr="0093589C">
        <w:rPr>
          <w:rFonts w:ascii="Times New Roman" w:hAnsi="Times New Roman"/>
        </w:rPr>
        <w:t>kill or do such harm</w:t>
      </w:r>
      <w:r w:rsidR="0031471A" w:rsidRPr="0093589C">
        <w:rPr>
          <w:rFonts w:ascii="Times New Roman" w:hAnsi="Times New Roman"/>
        </w:rPr>
        <w:t xml:space="preserve"> </w:t>
      </w:r>
      <w:r w:rsidR="00EF370B" w:rsidRPr="0093589C">
        <w:rPr>
          <w:rFonts w:ascii="Times New Roman" w:hAnsi="Times New Roman"/>
        </w:rPr>
        <w:t>"</w:t>
      </w:r>
      <w:r w:rsidR="009A6929" w:rsidRPr="0093589C">
        <w:rPr>
          <w:rFonts w:ascii="Times New Roman" w:hAnsi="Times New Roman"/>
        </w:rPr>
        <w:t xml:space="preserve">before the necessity </w:t>
      </w:r>
      <w:r w:rsidR="0031471A" w:rsidRPr="0093589C">
        <w:rPr>
          <w:rFonts w:ascii="Times New Roman" w:hAnsi="Times New Roman"/>
        </w:rPr>
        <w:t>of</w:t>
      </w:r>
      <w:r w:rsidR="009A6929" w:rsidRPr="0093589C">
        <w:rPr>
          <w:rFonts w:ascii="Times New Roman" w:hAnsi="Times New Roman"/>
        </w:rPr>
        <w:t xml:space="preserve"> </w:t>
      </w:r>
      <w:r w:rsidR="0031471A" w:rsidRPr="0093589C">
        <w:rPr>
          <w:rFonts w:ascii="Times New Roman" w:hAnsi="Times New Roman"/>
        </w:rPr>
        <w:t xml:space="preserve">so </w:t>
      </w:r>
      <w:r w:rsidR="009A6929" w:rsidRPr="0093589C">
        <w:rPr>
          <w:rFonts w:ascii="Times New Roman" w:hAnsi="Times New Roman"/>
        </w:rPr>
        <w:t>pr</w:t>
      </w:r>
      <w:r w:rsidR="00F931EC" w:rsidRPr="0093589C">
        <w:rPr>
          <w:rFonts w:ascii="Times New Roman" w:hAnsi="Times New Roman"/>
        </w:rPr>
        <w:t>e</w:t>
      </w:r>
      <w:r w:rsidR="00EF370B" w:rsidRPr="0093589C">
        <w:rPr>
          <w:rFonts w:ascii="Times New Roman" w:hAnsi="Times New Roman"/>
        </w:rPr>
        <w:t>serving</w:t>
      </w:r>
      <w:r w:rsidR="009A6929" w:rsidRPr="0093589C">
        <w:rPr>
          <w:rFonts w:ascii="Times New Roman" w:hAnsi="Times New Roman"/>
        </w:rPr>
        <w:t xml:space="preserve"> </w:t>
      </w:r>
      <w:r w:rsidR="00CA6DA4" w:rsidRPr="0093589C">
        <w:rPr>
          <w:rFonts w:ascii="Times New Roman" w:hAnsi="Times New Roman"/>
        </w:rPr>
        <w:t>[</w:t>
      </w:r>
      <w:r w:rsidR="009A6929" w:rsidRPr="0093589C">
        <w:rPr>
          <w:rFonts w:ascii="Times New Roman" w:hAnsi="Times New Roman"/>
        </w:rPr>
        <w:t>themselves</w:t>
      </w:r>
      <w:r w:rsidR="00CA6DA4" w:rsidRPr="0093589C">
        <w:rPr>
          <w:rFonts w:ascii="Times New Roman" w:hAnsi="Times New Roman"/>
        </w:rPr>
        <w:t>]</w:t>
      </w:r>
      <w:r w:rsidR="009A6929" w:rsidRPr="0093589C">
        <w:rPr>
          <w:rFonts w:ascii="Times New Roman" w:hAnsi="Times New Roman"/>
        </w:rPr>
        <w:t xml:space="preserve"> arose</w:t>
      </w:r>
      <w:r w:rsidR="00EF370B" w:rsidRPr="0093589C">
        <w:rPr>
          <w:rFonts w:ascii="Times New Roman" w:hAnsi="Times New Roman"/>
        </w:rPr>
        <w:t>"</w:t>
      </w:r>
      <w:r w:rsidR="009A6929" w:rsidRPr="0093589C">
        <w:rPr>
          <w:rFonts w:ascii="Times New Roman" w:hAnsi="Times New Roman"/>
        </w:rPr>
        <w:t>.</w:t>
      </w:r>
      <w:r w:rsidR="00EF370B" w:rsidRPr="0093589C">
        <w:rPr>
          <w:rFonts w:ascii="Times New Roman" w:hAnsi="Times New Roman"/>
        </w:rPr>
        <w:t xml:space="preserve"> </w:t>
      </w:r>
      <w:r w:rsidR="00C70053" w:rsidRPr="0093589C">
        <w:rPr>
          <w:rFonts w:ascii="Times New Roman" w:hAnsi="Times New Roman"/>
        </w:rPr>
        <w:t>As</w:t>
      </w:r>
      <w:r w:rsidR="007C3AF7" w:rsidRPr="0093589C">
        <w:rPr>
          <w:rFonts w:ascii="Times New Roman" w:hAnsi="Times New Roman"/>
        </w:rPr>
        <w:t xml:space="preserve"> </w:t>
      </w:r>
      <w:r w:rsidR="00C70053" w:rsidRPr="0093589C">
        <w:rPr>
          <w:rFonts w:ascii="Times New Roman" w:hAnsi="Times New Roman"/>
        </w:rPr>
        <w:t>s 272</w:t>
      </w:r>
      <w:r w:rsidR="003549B6" w:rsidRPr="0093589C">
        <w:rPr>
          <w:rFonts w:ascii="Times New Roman" w:hAnsi="Times New Roman"/>
        </w:rPr>
        <w:t>(2)</w:t>
      </w:r>
      <w:r w:rsidR="00C70053" w:rsidRPr="0093589C">
        <w:rPr>
          <w:rFonts w:ascii="Times New Roman" w:hAnsi="Times New Roman"/>
        </w:rPr>
        <w:t xml:space="preserve"> identifies the cases </w:t>
      </w:r>
      <w:r w:rsidR="00B50D91" w:rsidRPr="0093589C">
        <w:rPr>
          <w:rFonts w:ascii="Times New Roman" w:hAnsi="Times New Roman"/>
        </w:rPr>
        <w:t>to</w:t>
      </w:r>
      <w:r w:rsidR="00210AFE" w:rsidRPr="0093589C">
        <w:rPr>
          <w:rFonts w:ascii="Times New Roman" w:hAnsi="Times New Roman"/>
        </w:rPr>
        <w:t xml:space="preserve"> which</w:t>
      </w:r>
      <w:r w:rsidR="00C70053" w:rsidRPr="0093589C">
        <w:rPr>
          <w:rFonts w:ascii="Times New Roman" w:hAnsi="Times New Roman"/>
        </w:rPr>
        <w:t xml:space="preserve"> the protection from criminal responsibility afforded by s 272(1) does not extend, it is apparent that the reference to "necessity" h</w:t>
      </w:r>
      <w:r w:rsidR="00EF370B" w:rsidRPr="0093589C">
        <w:rPr>
          <w:rFonts w:ascii="Times New Roman" w:hAnsi="Times New Roman"/>
        </w:rPr>
        <w:t>ere</w:t>
      </w:r>
      <w:r w:rsidR="00C70053" w:rsidRPr="0093589C">
        <w:rPr>
          <w:rFonts w:ascii="Times New Roman" w:hAnsi="Times New Roman"/>
        </w:rPr>
        <w:t xml:space="preserve"> </w:t>
      </w:r>
      <w:r w:rsidR="00EF370B" w:rsidRPr="0093589C">
        <w:rPr>
          <w:rFonts w:ascii="Times New Roman" w:hAnsi="Times New Roman"/>
        </w:rPr>
        <w:t>picks up the concept of "necessity" that is introduced by, and provides the foundation of, the protection provided by sub</w:t>
      </w:r>
      <w:r w:rsidR="00B50D91" w:rsidRPr="0093589C">
        <w:rPr>
          <w:rFonts w:ascii="Times New Roman" w:hAnsi="Times New Roman"/>
        </w:rPr>
        <w:noBreakHyphen/>
      </w:r>
      <w:r w:rsidR="00EF370B" w:rsidRPr="0093589C">
        <w:rPr>
          <w:rFonts w:ascii="Times New Roman" w:hAnsi="Times New Roman"/>
        </w:rPr>
        <w:t>s</w:t>
      </w:r>
      <w:r w:rsidR="00B50D91" w:rsidRPr="0093589C">
        <w:rPr>
          <w:rFonts w:ascii="Times New Roman" w:hAnsi="Times New Roman"/>
        </w:rPr>
        <w:t> </w:t>
      </w:r>
      <w:r w:rsidR="00EF370B" w:rsidRPr="0093589C">
        <w:rPr>
          <w:rFonts w:ascii="Times New Roman" w:hAnsi="Times New Roman"/>
        </w:rPr>
        <w:t>(1). Understood in this way, the expression "the necessity of so preserving himself or herself" means the necessity of preserving</w:t>
      </w:r>
      <w:r w:rsidR="00840D2F" w:rsidRPr="0093589C">
        <w:rPr>
          <w:rFonts w:ascii="Times New Roman" w:hAnsi="Times New Roman"/>
        </w:rPr>
        <w:t xml:space="preserve"> himself or herself "from death or grievous bodily harm", </w:t>
      </w:r>
      <w:r w:rsidR="0004272A" w:rsidRPr="0093589C">
        <w:rPr>
          <w:rFonts w:ascii="Times New Roman" w:hAnsi="Times New Roman"/>
        </w:rPr>
        <w:t>in</w:t>
      </w:r>
      <w:r w:rsidR="00840D2F" w:rsidRPr="0093589C">
        <w:rPr>
          <w:rFonts w:ascii="Times New Roman" w:hAnsi="Times New Roman"/>
        </w:rPr>
        <w:t xml:space="preserve"> </w:t>
      </w:r>
      <w:r w:rsidR="00C55BC8" w:rsidRPr="0093589C">
        <w:rPr>
          <w:rFonts w:ascii="Times New Roman" w:hAnsi="Times New Roman"/>
        </w:rPr>
        <w:t>s 272</w:t>
      </w:r>
      <w:r w:rsidR="00840D2F" w:rsidRPr="0093589C">
        <w:rPr>
          <w:rFonts w:ascii="Times New Roman" w:hAnsi="Times New Roman"/>
        </w:rPr>
        <w:t>(1).</w:t>
      </w:r>
    </w:p>
    <w:p w14:paraId="50778C8C" w14:textId="202FD18F" w:rsidR="00EF370B" w:rsidRPr="0093589C" w:rsidRDefault="00365463"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905CB8" w:rsidRPr="0093589C">
        <w:rPr>
          <w:rFonts w:ascii="Times New Roman" w:hAnsi="Times New Roman"/>
        </w:rPr>
        <w:t>Two features are c</w:t>
      </w:r>
      <w:r w:rsidR="000C4D8A" w:rsidRPr="0093589C">
        <w:rPr>
          <w:rFonts w:ascii="Times New Roman" w:hAnsi="Times New Roman"/>
        </w:rPr>
        <w:t>ommon to both "cases" described in the first two clauses of s</w:t>
      </w:r>
      <w:r w:rsidR="0084311E" w:rsidRPr="0093589C">
        <w:rPr>
          <w:rFonts w:ascii="Times New Roman" w:hAnsi="Times New Roman"/>
        </w:rPr>
        <w:t> </w:t>
      </w:r>
      <w:r w:rsidR="000C4D8A" w:rsidRPr="0093589C">
        <w:rPr>
          <w:rFonts w:ascii="Times New Roman" w:hAnsi="Times New Roman"/>
        </w:rPr>
        <w:t>272(2)</w:t>
      </w:r>
      <w:r w:rsidR="00905CB8" w:rsidRPr="0093589C">
        <w:rPr>
          <w:rFonts w:ascii="Times New Roman" w:hAnsi="Times New Roman"/>
        </w:rPr>
        <w:t>: first,</w:t>
      </w:r>
      <w:r w:rsidR="000C4D8A" w:rsidRPr="0093589C">
        <w:rPr>
          <w:rFonts w:ascii="Times New Roman" w:hAnsi="Times New Roman"/>
        </w:rPr>
        <w:t xml:space="preserve"> the accused engaged in force</w:t>
      </w:r>
      <w:r w:rsidR="00344081" w:rsidRPr="0093589C">
        <w:rPr>
          <w:rFonts w:ascii="Times New Roman" w:hAnsi="Times New Roman"/>
        </w:rPr>
        <w:t xml:space="preserve"> that caused death or grievous bodily harm</w:t>
      </w:r>
      <w:r w:rsidR="00905CB8" w:rsidRPr="0093589C">
        <w:rPr>
          <w:rFonts w:ascii="Times New Roman" w:hAnsi="Times New Roman"/>
        </w:rPr>
        <w:t>;</w:t>
      </w:r>
      <w:r w:rsidR="00344081" w:rsidRPr="0093589C">
        <w:rPr>
          <w:rFonts w:ascii="Times New Roman" w:hAnsi="Times New Roman"/>
        </w:rPr>
        <w:t xml:space="preserve"> and </w:t>
      </w:r>
      <w:r w:rsidR="00905CB8" w:rsidRPr="0093589C">
        <w:rPr>
          <w:rFonts w:ascii="Times New Roman" w:hAnsi="Times New Roman"/>
        </w:rPr>
        <w:t>second, the</w:t>
      </w:r>
      <w:r w:rsidR="002D492B" w:rsidRPr="0093589C">
        <w:rPr>
          <w:rFonts w:ascii="Times New Roman" w:hAnsi="Times New Roman"/>
        </w:rPr>
        <w:t xml:space="preserve"> accused's use of force </w:t>
      </w:r>
      <w:r w:rsidR="000C4D8A" w:rsidRPr="0093589C">
        <w:rPr>
          <w:rFonts w:ascii="Times New Roman" w:hAnsi="Times New Roman"/>
        </w:rPr>
        <w:t>before it was strictly necessary for self</w:t>
      </w:r>
      <w:r w:rsidR="00A12622" w:rsidRPr="0093589C">
        <w:rPr>
          <w:rFonts w:ascii="Times New Roman" w:hAnsi="Times New Roman"/>
        </w:rPr>
        <w:noBreakHyphen/>
      </w:r>
      <w:r w:rsidR="000C4D8A" w:rsidRPr="0093589C">
        <w:rPr>
          <w:rFonts w:ascii="Times New Roman" w:hAnsi="Times New Roman"/>
        </w:rPr>
        <w:t xml:space="preserve">preservation </w:t>
      </w:r>
      <w:r w:rsidR="00E550BE" w:rsidRPr="0093589C">
        <w:rPr>
          <w:rFonts w:ascii="Times New Roman" w:hAnsi="Times New Roman"/>
        </w:rPr>
        <w:t xml:space="preserve">was accompanied by </w:t>
      </w:r>
      <w:r w:rsidR="00BC5E04" w:rsidRPr="0093589C">
        <w:rPr>
          <w:rFonts w:ascii="Times New Roman" w:hAnsi="Times New Roman"/>
        </w:rPr>
        <w:t>relevant</w:t>
      </w:r>
      <w:r w:rsidR="00F06ADA" w:rsidRPr="0093589C">
        <w:rPr>
          <w:rFonts w:ascii="Times New Roman" w:hAnsi="Times New Roman"/>
        </w:rPr>
        <w:t xml:space="preserve"> </w:t>
      </w:r>
      <w:r w:rsidR="0036005E" w:rsidRPr="0093589C">
        <w:rPr>
          <w:rFonts w:ascii="Times New Roman" w:hAnsi="Times New Roman"/>
        </w:rPr>
        <w:t>intent</w:t>
      </w:r>
      <w:r w:rsidR="00AF7E2A" w:rsidRPr="0093589C">
        <w:rPr>
          <w:rFonts w:ascii="Times New Roman" w:hAnsi="Times New Roman"/>
        </w:rPr>
        <w:t>.</w:t>
      </w:r>
      <w:r w:rsidR="002F51DD" w:rsidRPr="0093589C">
        <w:rPr>
          <w:rFonts w:ascii="Times New Roman" w:hAnsi="Times New Roman"/>
        </w:rPr>
        <w:t xml:space="preserve"> </w:t>
      </w:r>
      <w:r w:rsidR="00344081" w:rsidRPr="0093589C">
        <w:rPr>
          <w:rFonts w:ascii="Times New Roman" w:hAnsi="Times New Roman"/>
        </w:rPr>
        <w:t>In the first scenario, the</w:t>
      </w:r>
      <w:r w:rsidR="005B1840" w:rsidRPr="0093589C">
        <w:rPr>
          <w:rFonts w:ascii="Times New Roman" w:hAnsi="Times New Roman"/>
        </w:rPr>
        <w:t> </w:t>
      </w:r>
      <w:r w:rsidR="00344081" w:rsidRPr="0093589C">
        <w:rPr>
          <w:rFonts w:ascii="Times New Roman" w:hAnsi="Times New Roman"/>
        </w:rPr>
        <w:t>accused "beg</w:t>
      </w:r>
      <w:r w:rsidR="00B50D91" w:rsidRPr="0093589C">
        <w:rPr>
          <w:rFonts w:ascii="Times New Roman" w:hAnsi="Times New Roman"/>
        </w:rPr>
        <w:t>u</w:t>
      </w:r>
      <w:r w:rsidR="00344081" w:rsidRPr="0093589C">
        <w:rPr>
          <w:rFonts w:ascii="Times New Roman" w:hAnsi="Times New Roman"/>
        </w:rPr>
        <w:t xml:space="preserve">n the assault" with </w:t>
      </w:r>
      <w:r w:rsidR="00344081" w:rsidRPr="0093589C">
        <w:rPr>
          <w:rFonts w:ascii="Times New Roman" w:hAnsi="Times New Roman"/>
          <w:i/>
          <w:iCs/>
        </w:rPr>
        <w:t>intent</w:t>
      </w:r>
      <w:r w:rsidR="005B1840" w:rsidRPr="0093589C">
        <w:rPr>
          <w:rFonts w:ascii="Times New Roman" w:hAnsi="Times New Roman"/>
          <w:i/>
          <w:iCs/>
        </w:rPr>
        <w:t xml:space="preserve"> </w:t>
      </w:r>
      <w:r w:rsidR="005B1840" w:rsidRPr="0093589C">
        <w:rPr>
          <w:rFonts w:ascii="Times New Roman" w:hAnsi="Times New Roman"/>
        </w:rPr>
        <w:t xml:space="preserve">to </w:t>
      </w:r>
      <w:r w:rsidR="003C152D" w:rsidRPr="0093589C">
        <w:rPr>
          <w:rFonts w:ascii="Times New Roman" w:hAnsi="Times New Roman"/>
        </w:rPr>
        <w:t xml:space="preserve">kill </w:t>
      </w:r>
      <w:r w:rsidR="005B1840" w:rsidRPr="0093589C">
        <w:rPr>
          <w:rFonts w:ascii="Times New Roman" w:hAnsi="Times New Roman"/>
        </w:rPr>
        <w:t xml:space="preserve">or </w:t>
      </w:r>
      <w:r w:rsidR="00B50D91" w:rsidRPr="0093589C">
        <w:rPr>
          <w:rFonts w:ascii="Times New Roman" w:hAnsi="Times New Roman"/>
        </w:rPr>
        <w:t xml:space="preserve">to </w:t>
      </w:r>
      <w:r w:rsidR="003C152D" w:rsidRPr="0093589C">
        <w:rPr>
          <w:rFonts w:ascii="Times New Roman" w:hAnsi="Times New Roman"/>
        </w:rPr>
        <w:t xml:space="preserve">do </w:t>
      </w:r>
      <w:r w:rsidR="005B1840" w:rsidRPr="0093589C">
        <w:rPr>
          <w:rFonts w:ascii="Times New Roman" w:hAnsi="Times New Roman"/>
        </w:rPr>
        <w:t>grievous bodily harm.</w:t>
      </w:r>
      <w:r w:rsidR="00BB0252" w:rsidRPr="0093589C">
        <w:rPr>
          <w:rFonts w:ascii="Times New Roman" w:hAnsi="Times New Roman"/>
        </w:rPr>
        <w:t xml:space="preserve"> </w:t>
      </w:r>
      <w:r w:rsidR="00344081" w:rsidRPr="0093589C">
        <w:rPr>
          <w:rFonts w:ascii="Times New Roman" w:hAnsi="Times New Roman"/>
        </w:rPr>
        <w:t xml:space="preserve">The corollary is that such force </w:t>
      </w:r>
      <w:r w:rsidR="00DF76DC" w:rsidRPr="0093589C">
        <w:rPr>
          <w:rFonts w:ascii="Times New Roman" w:hAnsi="Times New Roman"/>
        </w:rPr>
        <w:t xml:space="preserve">was </w:t>
      </w:r>
      <w:r w:rsidR="00344081" w:rsidRPr="0093589C">
        <w:rPr>
          <w:rFonts w:ascii="Times New Roman" w:hAnsi="Times New Roman"/>
        </w:rPr>
        <w:t xml:space="preserve">not </w:t>
      </w:r>
      <w:r w:rsidR="00BE2CD4" w:rsidRPr="0093589C">
        <w:rPr>
          <w:rFonts w:ascii="Times New Roman" w:hAnsi="Times New Roman"/>
        </w:rPr>
        <w:t>in service of</w:t>
      </w:r>
      <w:r w:rsidR="00344081" w:rsidRPr="0093589C">
        <w:rPr>
          <w:rFonts w:ascii="Times New Roman" w:hAnsi="Times New Roman"/>
        </w:rPr>
        <w:t>, or necessitated by, self</w:t>
      </w:r>
      <w:r w:rsidR="00344081" w:rsidRPr="0093589C">
        <w:rPr>
          <w:rFonts w:ascii="Times New Roman" w:hAnsi="Times New Roman"/>
        </w:rPr>
        <w:noBreakHyphen/>
        <w:t xml:space="preserve">preservation. In the second scenario, the text is explicit </w:t>
      </w:r>
      <w:r w:rsidR="00D253D3" w:rsidRPr="0093589C">
        <w:rPr>
          <w:rFonts w:ascii="Times New Roman" w:hAnsi="Times New Roman"/>
        </w:rPr>
        <w:t>–</w:t>
      </w:r>
      <w:r w:rsidR="00344081" w:rsidRPr="0093589C">
        <w:rPr>
          <w:rFonts w:ascii="Times New Roman" w:hAnsi="Times New Roman"/>
        </w:rPr>
        <w:t xml:space="preserve"> </w:t>
      </w:r>
      <w:r w:rsidR="003B1646" w:rsidRPr="0093589C">
        <w:rPr>
          <w:rFonts w:ascii="Times New Roman" w:hAnsi="Times New Roman"/>
        </w:rPr>
        <w:t>the</w:t>
      </w:r>
      <w:r w:rsidR="0084311E" w:rsidRPr="0093589C">
        <w:rPr>
          <w:rFonts w:ascii="Times New Roman" w:hAnsi="Times New Roman"/>
        </w:rPr>
        <w:t xml:space="preserve"> </w:t>
      </w:r>
      <w:r w:rsidR="003B1646" w:rsidRPr="0093589C">
        <w:rPr>
          <w:rFonts w:ascii="Times New Roman" w:hAnsi="Times New Roman"/>
        </w:rPr>
        <w:t xml:space="preserve">accused engaged in </w:t>
      </w:r>
      <w:r w:rsidR="00BB0252" w:rsidRPr="0093589C">
        <w:rPr>
          <w:rFonts w:ascii="Times New Roman" w:hAnsi="Times New Roman"/>
        </w:rPr>
        <w:t xml:space="preserve">such </w:t>
      </w:r>
      <w:r w:rsidR="003B1646" w:rsidRPr="0093589C">
        <w:rPr>
          <w:rFonts w:ascii="Times New Roman" w:hAnsi="Times New Roman"/>
        </w:rPr>
        <w:t xml:space="preserve">force </w:t>
      </w:r>
      <w:r w:rsidR="00344081" w:rsidRPr="0093589C">
        <w:rPr>
          <w:rFonts w:ascii="Times New Roman" w:hAnsi="Times New Roman"/>
        </w:rPr>
        <w:t>before the necessity of so</w:t>
      </w:r>
      <w:r w:rsidR="003B1646" w:rsidRPr="0093589C">
        <w:rPr>
          <w:rFonts w:ascii="Times New Roman" w:hAnsi="Times New Roman"/>
        </w:rPr>
        <w:t xml:space="preserve"> doing arose.</w:t>
      </w:r>
      <w:r w:rsidR="00417DFB" w:rsidRPr="0093589C">
        <w:rPr>
          <w:rFonts w:ascii="Times New Roman" w:hAnsi="Times New Roman"/>
        </w:rPr>
        <w:t xml:space="preserve"> While the phrase "death or grievous bodily harm" often </w:t>
      </w:r>
      <w:r w:rsidR="005327BD" w:rsidRPr="0093589C">
        <w:rPr>
          <w:rFonts w:ascii="Times New Roman" w:hAnsi="Times New Roman"/>
        </w:rPr>
        <w:t xml:space="preserve">forms part </w:t>
      </w:r>
      <w:r w:rsidR="00113FEE" w:rsidRPr="0093589C">
        <w:rPr>
          <w:rFonts w:ascii="Times New Roman" w:hAnsi="Times New Roman"/>
        </w:rPr>
        <w:t>of a</w:t>
      </w:r>
      <w:r w:rsidR="00417DFB" w:rsidRPr="0093589C">
        <w:rPr>
          <w:rFonts w:ascii="Times New Roman" w:hAnsi="Times New Roman"/>
        </w:rPr>
        <w:t xml:space="preserve"> composite phrase </w:t>
      </w:r>
      <w:r w:rsidR="008E7199" w:rsidRPr="0093589C">
        <w:rPr>
          <w:rFonts w:ascii="Times New Roman" w:hAnsi="Times New Roman"/>
        </w:rPr>
        <w:t xml:space="preserve">used </w:t>
      </w:r>
      <w:r w:rsidR="00417DFB" w:rsidRPr="0093589C">
        <w:rPr>
          <w:rFonts w:ascii="Times New Roman" w:hAnsi="Times New Roman"/>
        </w:rPr>
        <w:t xml:space="preserve">to describe the mental element </w:t>
      </w:r>
      <w:r w:rsidR="006704B0" w:rsidRPr="0093589C">
        <w:rPr>
          <w:rFonts w:ascii="Times New Roman" w:hAnsi="Times New Roman"/>
        </w:rPr>
        <w:t xml:space="preserve">for the offence of </w:t>
      </w:r>
      <w:r w:rsidR="00417DFB" w:rsidRPr="0093589C">
        <w:rPr>
          <w:rFonts w:ascii="Times New Roman" w:hAnsi="Times New Roman"/>
        </w:rPr>
        <w:t>murder, that is not the sense in which that phrase is used in the first two clauses of s 272(2). Those clauses are directed to whether the accused will or will not be exonerated for two classes of offences (or "cases"), namely those where the accused occasioned death in response to the provoked assault and those where the accused occasioned grievous bodily harm in response to the provoked assault</w:t>
      </w:r>
      <w:r w:rsidR="00CD327C" w:rsidRPr="0093589C">
        <w:rPr>
          <w:rFonts w:ascii="Times New Roman" w:hAnsi="Times New Roman"/>
        </w:rPr>
        <w:t>.</w:t>
      </w:r>
    </w:p>
    <w:p w14:paraId="035AAD5E" w14:textId="7D424852" w:rsidR="00AA73E0" w:rsidRPr="0093589C" w:rsidRDefault="00EF370B"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335291" w:rsidRPr="0093589C">
        <w:rPr>
          <w:rFonts w:ascii="Times New Roman" w:hAnsi="Times New Roman"/>
        </w:rPr>
        <w:t xml:space="preserve">The </w:t>
      </w:r>
      <w:r w:rsidR="002A24B7" w:rsidRPr="0093589C">
        <w:rPr>
          <w:rFonts w:ascii="Times New Roman" w:hAnsi="Times New Roman"/>
        </w:rPr>
        <w:t xml:space="preserve">third </w:t>
      </w:r>
      <w:r w:rsidR="0038322C" w:rsidRPr="0093589C">
        <w:rPr>
          <w:rFonts w:ascii="Times New Roman" w:hAnsi="Times New Roman"/>
        </w:rPr>
        <w:t xml:space="preserve">clause </w:t>
      </w:r>
      <w:r w:rsidR="00D1177A" w:rsidRPr="0093589C">
        <w:rPr>
          <w:rFonts w:ascii="Times New Roman" w:hAnsi="Times New Roman"/>
        </w:rPr>
        <w:t>in</w:t>
      </w:r>
      <w:r w:rsidR="0038322C" w:rsidRPr="0093589C">
        <w:rPr>
          <w:rFonts w:ascii="Times New Roman" w:hAnsi="Times New Roman"/>
        </w:rPr>
        <w:t xml:space="preserve"> s</w:t>
      </w:r>
      <w:r w:rsidR="00C55BC8" w:rsidRPr="0093589C">
        <w:rPr>
          <w:rFonts w:ascii="Times New Roman" w:hAnsi="Times New Roman"/>
        </w:rPr>
        <w:t> </w:t>
      </w:r>
      <w:r w:rsidR="0038322C" w:rsidRPr="0093589C">
        <w:rPr>
          <w:rFonts w:ascii="Times New Roman" w:hAnsi="Times New Roman"/>
        </w:rPr>
        <w:t xml:space="preserve">272(2) </w:t>
      </w:r>
      <w:r w:rsidR="002A24B7" w:rsidRPr="0093589C">
        <w:rPr>
          <w:rFonts w:ascii="Times New Roman" w:hAnsi="Times New Roman"/>
        </w:rPr>
        <w:t>commences with the phrase "nor,</w:t>
      </w:r>
      <w:r w:rsidR="008E0AA7" w:rsidRPr="0093589C">
        <w:rPr>
          <w:rFonts w:ascii="Times New Roman" w:hAnsi="Times New Roman"/>
        </w:rPr>
        <w:t> </w:t>
      </w:r>
      <w:r w:rsidR="002A24B7" w:rsidRPr="0093589C">
        <w:rPr>
          <w:rFonts w:ascii="Times New Roman" w:hAnsi="Times New Roman"/>
        </w:rPr>
        <w:t xml:space="preserve">in either case, unless, </w:t>
      </w:r>
      <w:r w:rsidR="00191DB3" w:rsidRPr="0093589C">
        <w:rPr>
          <w:rFonts w:ascii="Times New Roman" w:hAnsi="Times New Roman"/>
        </w:rPr>
        <w:t xml:space="preserve">before such necessity arose". </w:t>
      </w:r>
      <w:r w:rsidR="00AA73E0" w:rsidRPr="0093589C">
        <w:rPr>
          <w:rFonts w:ascii="Times New Roman" w:hAnsi="Times New Roman"/>
        </w:rPr>
        <w:t>The</w:t>
      </w:r>
      <w:r w:rsidR="00113FEE" w:rsidRPr="0093589C">
        <w:rPr>
          <w:rFonts w:ascii="Times New Roman" w:hAnsi="Times New Roman"/>
        </w:rPr>
        <w:t xml:space="preserve"> </w:t>
      </w:r>
      <w:r w:rsidR="00AA73E0" w:rsidRPr="0093589C">
        <w:rPr>
          <w:rFonts w:ascii="Times New Roman" w:hAnsi="Times New Roman"/>
        </w:rPr>
        <w:t>drafting of the third clause was variously described by the courts below as "peculiar"</w:t>
      </w:r>
      <w:r w:rsidR="00B236DB" w:rsidRPr="0093589C">
        <w:rPr>
          <w:rFonts w:ascii="Times New Roman" w:hAnsi="Times New Roman"/>
        </w:rPr>
        <w:t xml:space="preserve"> </w:t>
      </w:r>
      <w:r w:rsidR="00AA73E0" w:rsidRPr="0093589C">
        <w:rPr>
          <w:rFonts w:ascii="Times New Roman" w:hAnsi="Times New Roman"/>
        </w:rPr>
        <w:t>and difficult</w:t>
      </w:r>
      <w:r w:rsidR="00EF02F0" w:rsidRPr="0093589C">
        <w:rPr>
          <w:rFonts w:ascii="Times New Roman" w:hAnsi="Times New Roman"/>
        </w:rPr>
        <w:t>. The</w:t>
      </w:r>
      <w:r w:rsidR="00075BA5" w:rsidRPr="0093589C">
        <w:rPr>
          <w:rFonts w:ascii="Times New Roman" w:hAnsi="Times New Roman"/>
        </w:rPr>
        <w:t> </w:t>
      </w:r>
      <w:r w:rsidR="00F264CA" w:rsidRPr="0093589C">
        <w:rPr>
          <w:rFonts w:ascii="Times New Roman" w:hAnsi="Times New Roman"/>
        </w:rPr>
        <w:t xml:space="preserve">peculiarity arises </w:t>
      </w:r>
      <w:r w:rsidR="00933757" w:rsidRPr="0093589C">
        <w:rPr>
          <w:rFonts w:ascii="Times New Roman" w:hAnsi="Times New Roman"/>
        </w:rPr>
        <w:t xml:space="preserve">because of the use </w:t>
      </w:r>
      <w:r w:rsidR="00F264CA" w:rsidRPr="0093589C">
        <w:rPr>
          <w:rFonts w:ascii="Times New Roman" w:hAnsi="Times New Roman"/>
        </w:rPr>
        <w:t>of the terms "nor" and</w:t>
      </w:r>
      <w:r w:rsidR="006463A2" w:rsidRPr="0093589C">
        <w:rPr>
          <w:rFonts w:ascii="Times New Roman" w:hAnsi="Times New Roman"/>
        </w:rPr>
        <w:t> </w:t>
      </w:r>
      <w:r w:rsidR="00F264CA" w:rsidRPr="0093589C">
        <w:rPr>
          <w:rFonts w:ascii="Times New Roman" w:hAnsi="Times New Roman"/>
        </w:rPr>
        <w:t>"in</w:t>
      </w:r>
      <w:r w:rsidR="00075BA5" w:rsidRPr="0093589C">
        <w:rPr>
          <w:rFonts w:ascii="Times New Roman" w:hAnsi="Times New Roman"/>
        </w:rPr>
        <w:t> </w:t>
      </w:r>
      <w:r w:rsidR="00F264CA" w:rsidRPr="0093589C">
        <w:rPr>
          <w:rFonts w:ascii="Times New Roman" w:hAnsi="Times New Roman"/>
        </w:rPr>
        <w:t>either case"</w:t>
      </w:r>
      <w:r w:rsidR="00D624F6" w:rsidRPr="0093589C">
        <w:rPr>
          <w:rFonts w:ascii="Times New Roman" w:hAnsi="Times New Roman"/>
        </w:rPr>
        <w:t xml:space="preserve"> in </w:t>
      </w:r>
      <w:r w:rsidR="00396AC1" w:rsidRPr="0093589C">
        <w:rPr>
          <w:rFonts w:ascii="Times New Roman" w:hAnsi="Times New Roman"/>
        </w:rPr>
        <w:t>the opening phrase of the third clause</w:t>
      </w:r>
      <w:r w:rsidR="00F264CA" w:rsidRPr="0093589C">
        <w:rPr>
          <w:rFonts w:ascii="Times New Roman" w:hAnsi="Times New Roman"/>
        </w:rPr>
        <w:t>.</w:t>
      </w:r>
    </w:p>
    <w:p w14:paraId="6F167BDF" w14:textId="363F7A04" w:rsidR="000F16E1" w:rsidRPr="0093589C" w:rsidRDefault="00AA73E0"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49523F" w:rsidRPr="0093589C">
        <w:rPr>
          <w:rFonts w:ascii="Times New Roman" w:hAnsi="Times New Roman"/>
        </w:rPr>
        <w:t>As already noted, "nor"</w:t>
      </w:r>
      <w:r w:rsidR="00AA407B" w:rsidRPr="0093589C">
        <w:rPr>
          <w:rFonts w:ascii="Times New Roman" w:hAnsi="Times New Roman"/>
        </w:rPr>
        <w:t xml:space="preserve"> introduces </w:t>
      </w:r>
      <w:r w:rsidR="004721A5" w:rsidRPr="0093589C">
        <w:rPr>
          <w:rFonts w:ascii="Times New Roman" w:hAnsi="Times New Roman"/>
        </w:rPr>
        <w:t xml:space="preserve">both </w:t>
      </w:r>
      <w:r w:rsidR="00AA407B" w:rsidRPr="0093589C">
        <w:rPr>
          <w:rFonts w:ascii="Times New Roman" w:hAnsi="Times New Roman"/>
        </w:rPr>
        <w:t xml:space="preserve">the second </w:t>
      </w:r>
      <w:r w:rsidR="00037B50" w:rsidRPr="0093589C">
        <w:rPr>
          <w:rFonts w:ascii="Times New Roman" w:hAnsi="Times New Roman"/>
        </w:rPr>
        <w:t xml:space="preserve">and third </w:t>
      </w:r>
      <w:r w:rsidR="00AA407B" w:rsidRPr="0093589C">
        <w:rPr>
          <w:rFonts w:ascii="Times New Roman" w:hAnsi="Times New Roman"/>
        </w:rPr>
        <w:t>clause.</w:t>
      </w:r>
      <w:r w:rsidR="000D0C91" w:rsidRPr="0093589C">
        <w:rPr>
          <w:rFonts w:ascii="Times New Roman" w:hAnsi="Times New Roman"/>
        </w:rPr>
        <w:t xml:space="preserve"> Th</w:t>
      </w:r>
      <w:r w:rsidR="00081A35" w:rsidRPr="0093589C">
        <w:rPr>
          <w:rFonts w:ascii="Times New Roman" w:hAnsi="Times New Roman"/>
        </w:rPr>
        <w:t>is</w:t>
      </w:r>
      <w:r w:rsidR="000D0C91" w:rsidRPr="0093589C">
        <w:rPr>
          <w:rFonts w:ascii="Times New Roman" w:hAnsi="Times New Roman"/>
        </w:rPr>
        <w:t xml:space="preserve"> structure </w:t>
      </w:r>
      <w:r w:rsidR="00081A35" w:rsidRPr="0093589C">
        <w:rPr>
          <w:rFonts w:ascii="Times New Roman" w:hAnsi="Times New Roman"/>
        </w:rPr>
        <w:t xml:space="preserve">provides strong textual support for reading </w:t>
      </w:r>
      <w:r w:rsidR="00090EE3" w:rsidRPr="0093589C">
        <w:rPr>
          <w:rFonts w:ascii="Times New Roman" w:hAnsi="Times New Roman"/>
        </w:rPr>
        <w:t xml:space="preserve">the third clause </w:t>
      </w:r>
      <w:r w:rsidR="00EF02F0" w:rsidRPr="0093589C">
        <w:rPr>
          <w:rFonts w:ascii="Times New Roman" w:hAnsi="Times New Roman"/>
        </w:rPr>
        <w:t>as</w:t>
      </w:r>
      <w:r w:rsidR="00090EE3" w:rsidRPr="0093589C">
        <w:rPr>
          <w:rFonts w:ascii="Times New Roman" w:hAnsi="Times New Roman"/>
        </w:rPr>
        <w:t xml:space="preserve"> </w:t>
      </w:r>
      <w:r w:rsidR="008D005B" w:rsidRPr="0093589C">
        <w:rPr>
          <w:rFonts w:ascii="Times New Roman" w:hAnsi="Times New Roman"/>
        </w:rPr>
        <w:t xml:space="preserve">an additional </w:t>
      </w:r>
      <w:r w:rsidR="00081A35" w:rsidRPr="0093589C">
        <w:rPr>
          <w:rFonts w:ascii="Times New Roman" w:hAnsi="Times New Roman"/>
        </w:rPr>
        <w:t xml:space="preserve">independent </w:t>
      </w:r>
      <w:r w:rsidR="00AD40E6" w:rsidRPr="0093589C">
        <w:rPr>
          <w:rFonts w:ascii="Times New Roman" w:hAnsi="Times New Roman"/>
        </w:rPr>
        <w:t>condition</w:t>
      </w:r>
      <w:r w:rsidR="008D005B" w:rsidRPr="0093589C">
        <w:rPr>
          <w:rFonts w:ascii="Times New Roman" w:hAnsi="Times New Roman"/>
        </w:rPr>
        <w:t xml:space="preserve">, </w:t>
      </w:r>
      <w:r w:rsidR="00090EE3" w:rsidRPr="0093589C">
        <w:rPr>
          <w:rFonts w:ascii="Times New Roman" w:hAnsi="Times New Roman"/>
        </w:rPr>
        <w:t xml:space="preserve">rather than </w:t>
      </w:r>
      <w:r w:rsidR="000812E6" w:rsidRPr="0093589C">
        <w:rPr>
          <w:rFonts w:ascii="Times New Roman" w:hAnsi="Times New Roman"/>
        </w:rPr>
        <w:t xml:space="preserve">as </w:t>
      </w:r>
      <w:r w:rsidR="00090EE3" w:rsidRPr="0093589C">
        <w:rPr>
          <w:rFonts w:ascii="Times New Roman" w:hAnsi="Times New Roman"/>
        </w:rPr>
        <w:t xml:space="preserve">a qualification </w:t>
      </w:r>
      <w:r w:rsidR="008D005B" w:rsidRPr="0093589C">
        <w:rPr>
          <w:rFonts w:ascii="Times New Roman" w:hAnsi="Times New Roman"/>
        </w:rPr>
        <w:t>on the</w:t>
      </w:r>
      <w:r w:rsidR="000812E6" w:rsidRPr="0093589C">
        <w:rPr>
          <w:rFonts w:ascii="Times New Roman" w:hAnsi="Times New Roman"/>
        </w:rPr>
        <w:t xml:space="preserve"> operation of</w:t>
      </w:r>
      <w:r w:rsidR="00081A35" w:rsidRPr="0093589C">
        <w:rPr>
          <w:rFonts w:ascii="Times New Roman" w:hAnsi="Times New Roman"/>
        </w:rPr>
        <w:t xml:space="preserve"> </w:t>
      </w:r>
      <w:r w:rsidR="008E6172" w:rsidRPr="0093589C">
        <w:rPr>
          <w:rFonts w:ascii="Times New Roman" w:hAnsi="Times New Roman"/>
        </w:rPr>
        <w:t xml:space="preserve">the </w:t>
      </w:r>
      <w:r w:rsidR="00081A35" w:rsidRPr="0093589C">
        <w:rPr>
          <w:rFonts w:ascii="Times New Roman" w:hAnsi="Times New Roman"/>
        </w:rPr>
        <w:t>two</w:t>
      </w:r>
      <w:r w:rsidR="008D005B" w:rsidRPr="0093589C">
        <w:rPr>
          <w:rFonts w:ascii="Times New Roman" w:hAnsi="Times New Roman"/>
        </w:rPr>
        <w:t xml:space="preserve"> exclusions </w:t>
      </w:r>
      <w:r w:rsidR="00081A35" w:rsidRPr="0093589C">
        <w:rPr>
          <w:rFonts w:ascii="Times New Roman" w:hAnsi="Times New Roman"/>
        </w:rPr>
        <w:t>set out in</w:t>
      </w:r>
      <w:r w:rsidR="002F019B" w:rsidRPr="0093589C">
        <w:rPr>
          <w:rFonts w:ascii="Times New Roman" w:hAnsi="Times New Roman"/>
        </w:rPr>
        <w:t xml:space="preserve"> the</w:t>
      </w:r>
      <w:r w:rsidR="00081A35" w:rsidRPr="0093589C">
        <w:rPr>
          <w:rFonts w:ascii="Times New Roman" w:hAnsi="Times New Roman"/>
        </w:rPr>
        <w:t xml:space="preserve"> first</w:t>
      </w:r>
      <w:r w:rsidR="008D005B" w:rsidRPr="0093589C">
        <w:rPr>
          <w:rFonts w:ascii="Times New Roman" w:hAnsi="Times New Roman"/>
        </w:rPr>
        <w:t xml:space="preserve"> two clauses</w:t>
      </w:r>
      <w:r w:rsidR="00081A35" w:rsidRPr="0093589C">
        <w:rPr>
          <w:rFonts w:ascii="Times New Roman" w:hAnsi="Times New Roman"/>
        </w:rPr>
        <w:t xml:space="preserve"> of s</w:t>
      </w:r>
      <w:r w:rsidR="00074858" w:rsidRPr="0093589C">
        <w:rPr>
          <w:rFonts w:ascii="Times New Roman" w:hAnsi="Times New Roman"/>
        </w:rPr>
        <w:t> </w:t>
      </w:r>
      <w:r w:rsidR="00081A35" w:rsidRPr="0093589C">
        <w:rPr>
          <w:rFonts w:ascii="Times New Roman" w:hAnsi="Times New Roman"/>
        </w:rPr>
        <w:t>272(2)</w:t>
      </w:r>
      <w:r w:rsidR="008D005B" w:rsidRPr="0093589C">
        <w:rPr>
          <w:rFonts w:ascii="Times New Roman" w:hAnsi="Times New Roman"/>
        </w:rPr>
        <w:t xml:space="preserve">. </w:t>
      </w:r>
      <w:r w:rsidR="004721A5" w:rsidRPr="0093589C">
        <w:rPr>
          <w:rFonts w:ascii="Times New Roman" w:hAnsi="Times New Roman"/>
        </w:rPr>
        <w:t xml:space="preserve">Consistent with that </w:t>
      </w:r>
      <w:r w:rsidR="004721A5" w:rsidRPr="0093589C">
        <w:rPr>
          <w:rFonts w:ascii="Times New Roman" w:hAnsi="Times New Roman"/>
        </w:rPr>
        <w:lastRenderedPageBreak/>
        <w:t>structure</w:t>
      </w:r>
      <w:r w:rsidR="009B35E5" w:rsidRPr="0093589C">
        <w:rPr>
          <w:rFonts w:ascii="Times New Roman" w:hAnsi="Times New Roman"/>
        </w:rPr>
        <w:t xml:space="preserve">, </w:t>
      </w:r>
      <w:r w:rsidR="006061B8" w:rsidRPr="0093589C">
        <w:rPr>
          <w:rFonts w:ascii="Times New Roman" w:hAnsi="Times New Roman"/>
        </w:rPr>
        <w:t xml:space="preserve">reading </w:t>
      </w:r>
      <w:r w:rsidR="00191DB3" w:rsidRPr="0093589C">
        <w:rPr>
          <w:rFonts w:ascii="Times New Roman" w:hAnsi="Times New Roman"/>
        </w:rPr>
        <w:t xml:space="preserve">"nor" </w:t>
      </w:r>
      <w:r w:rsidR="006061B8" w:rsidRPr="0093589C">
        <w:rPr>
          <w:rFonts w:ascii="Times New Roman" w:hAnsi="Times New Roman"/>
        </w:rPr>
        <w:t xml:space="preserve">as encompassing </w:t>
      </w:r>
      <w:r w:rsidR="009B35E5" w:rsidRPr="0093589C">
        <w:rPr>
          <w:rFonts w:ascii="Times New Roman" w:hAnsi="Times New Roman"/>
        </w:rPr>
        <w:t>the opening phrase of s 272(2) –</w:t>
      </w:r>
      <w:r w:rsidR="009B35E5" w:rsidRPr="0093589C" w:rsidDel="00FA2166">
        <w:rPr>
          <w:rFonts w:ascii="Times New Roman" w:hAnsi="Times New Roman"/>
        </w:rPr>
        <w:t xml:space="preserve"> </w:t>
      </w:r>
      <w:r w:rsidR="009B35E5" w:rsidRPr="0093589C">
        <w:rPr>
          <w:rFonts w:ascii="Times New Roman" w:hAnsi="Times New Roman"/>
        </w:rPr>
        <w:t>"</w:t>
      </w:r>
      <w:r w:rsidR="000574B4" w:rsidRPr="0093589C">
        <w:rPr>
          <w:rFonts w:ascii="Times New Roman" w:hAnsi="Times New Roman"/>
        </w:rPr>
        <w:t>[</w:t>
      </w:r>
      <w:r w:rsidR="009B35E5" w:rsidRPr="0093589C">
        <w:rPr>
          <w:rFonts w:ascii="Times New Roman" w:hAnsi="Times New Roman"/>
        </w:rPr>
        <w:t>t</w:t>
      </w:r>
      <w:r w:rsidR="000574B4" w:rsidRPr="0093589C">
        <w:rPr>
          <w:rFonts w:ascii="Times New Roman" w:hAnsi="Times New Roman"/>
        </w:rPr>
        <w:t>]</w:t>
      </w:r>
      <w:r w:rsidR="009B35E5" w:rsidRPr="0093589C">
        <w:rPr>
          <w:rFonts w:ascii="Times New Roman" w:hAnsi="Times New Roman"/>
        </w:rPr>
        <w:t>his protection does not extend" – can</w:t>
      </w:r>
      <w:r w:rsidR="00B22A0B" w:rsidRPr="0093589C">
        <w:rPr>
          <w:rFonts w:ascii="Times New Roman" w:hAnsi="Times New Roman"/>
        </w:rPr>
        <w:t>,</w:t>
      </w:r>
      <w:r w:rsidR="009B35E5" w:rsidRPr="0093589C">
        <w:rPr>
          <w:rFonts w:ascii="Times New Roman" w:hAnsi="Times New Roman"/>
        </w:rPr>
        <w:t xml:space="preserve"> and should</w:t>
      </w:r>
      <w:r w:rsidR="00B22A0B" w:rsidRPr="0093589C">
        <w:rPr>
          <w:rFonts w:ascii="Times New Roman" w:hAnsi="Times New Roman"/>
        </w:rPr>
        <w:t>,</w:t>
      </w:r>
      <w:r w:rsidR="009B35E5" w:rsidRPr="0093589C">
        <w:rPr>
          <w:rFonts w:ascii="Times New Roman" w:hAnsi="Times New Roman"/>
        </w:rPr>
        <w:t xml:space="preserve"> be adopted. </w:t>
      </w:r>
    </w:p>
    <w:p w14:paraId="4909AEEB" w14:textId="3C38BF4C" w:rsidR="00810711" w:rsidRPr="0093589C" w:rsidRDefault="000F16E1"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9B35E5" w:rsidRPr="0093589C">
        <w:rPr>
          <w:rFonts w:ascii="Times New Roman" w:hAnsi="Times New Roman"/>
        </w:rPr>
        <w:t>The next phrase, "in either case," is</w:t>
      </w:r>
      <w:r w:rsidR="003A3A0B" w:rsidRPr="0093589C">
        <w:rPr>
          <w:rFonts w:ascii="Times New Roman" w:hAnsi="Times New Roman"/>
        </w:rPr>
        <w:t xml:space="preserve"> </w:t>
      </w:r>
      <w:r w:rsidR="008C731D" w:rsidRPr="0093589C">
        <w:rPr>
          <w:rFonts w:ascii="Times New Roman" w:hAnsi="Times New Roman"/>
        </w:rPr>
        <w:t xml:space="preserve">to be read </w:t>
      </w:r>
      <w:r w:rsidR="00335291" w:rsidRPr="0093589C">
        <w:rPr>
          <w:rFonts w:ascii="Times New Roman" w:hAnsi="Times New Roman"/>
        </w:rPr>
        <w:t>literally</w:t>
      </w:r>
      <w:r w:rsidR="0099796D" w:rsidRPr="0093589C">
        <w:rPr>
          <w:rFonts w:ascii="Times New Roman" w:hAnsi="Times New Roman"/>
        </w:rPr>
        <w:t>,</w:t>
      </w:r>
      <w:r w:rsidR="00335291" w:rsidRPr="0093589C">
        <w:rPr>
          <w:rFonts w:ascii="Times New Roman" w:hAnsi="Times New Roman"/>
        </w:rPr>
        <w:t xml:space="preserve"> and in context</w:t>
      </w:r>
      <w:r w:rsidR="0099796D" w:rsidRPr="0093589C">
        <w:rPr>
          <w:rFonts w:ascii="Times New Roman" w:hAnsi="Times New Roman"/>
        </w:rPr>
        <w:t>,</w:t>
      </w:r>
      <w:r w:rsidR="00335291" w:rsidRPr="0093589C">
        <w:rPr>
          <w:rFonts w:ascii="Times New Roman" w:hAnsi="Times New Roman"/>
        </w:rPr>
        <w:t xml:space="preserve"> </w:t>
      </w:r>
      <w:r w:rsidR="008C731D" w:rsidRPr="0093589C">
        <w:rPr>
          <w:rFonts w:ascii="Times New Roman" w:hAnsi="Times New Roman"/>
        </w:rPr>
        <w:t xml:space="preserve">as referring to </w:t>
      </w:r>
      <w:r w:rsidR="00D71B49" w:rsidRPr="0093589C">
        <w:rPr>
          <w:rFonts w:ascii="Times New Roman" w:hAnsi="Times New Roman"/>
        </w:rPr>
        <w:t xml:space="preserve">the alternative cases addressed in </w:t>
      </w:r>
      <w:proofErr w:type="gramStart"/>
      <w:r w:rsidR="00335291" w:rsidRPr="0093589C">
        <w:rPr>
          <w:rFonts w:ascii="Times New Roman" w:hAnsi="Times New Roman"/>
        </w:rPr>
        <w:t xml:space="preserve">both of </w:t>
      </w:r>
      <w:r w:rsidR="00D71B49" w:rsidRPr="0093589C">
        <w:rPr>
          <w:rFonts w:ascii="Times New Roman" w:hAnsi="Times New Roman"/>
        </w:rPr>
        <w:t>the first</w:t>
      </w:r>
      <w:proofErr w:type="gramEnd"/>
      <w:r w:rsidR="00D71B49" w:rsidRPr="0093589C">
        <w:rPr>
          <w:rFonts w:ascii="Times New Roman" w:hAnsi="Times New Roman"/>
        </w:rPr>
        <w:t xml:space="preserve"> two </w:t>
      </w:r>
      <w:r w:rsidR="003B125D" w:rsidRPr="0093589C">
        <w:rPr>
          <w:rFonts w:ascii="Times New Roman" w:hAnsi="Times New Roman"/>
        </w:rPr>
        <w:t>clauses of s</w:t>
      </w:r>
      <w:r w:rsidR="001B798A" w:rsidRPr="0093589C">
        <w:rPr>
          <w:rFonts w:ascii="Times New Roman" w:hAnsi="Times New Roman"/>
        </w:rPr>
        <w:t> </w:t>
      </w:r>
      <w:r w:rsidR="003B125D" w:rsidRPr="0093589C">
        <w:rPr>
          <w:rFonts w:ascii="Times New Roman" w:hAnsi="Times New Roman"/>
        </w:rPr>
        <w:t>272(2)</w:t>
      </w:r>
      <w:r w:rsidR="00D71B49" w:rsidRPr="0093589C">
        <w:rPr>
          <w:rFonts w:ascii="Times New Roman" w:hAnsi="Times New Roman"/>
        </w:rPr>
        <w:t xml:space="preserve">, namely </w:t>
      </w:r>
      <w:r w:rsidR="00810711" w:rsidRPr="0093589C">
        <w:rPr>
          <w:rFonts w:ascii="Times New Roman" w:hAnsi="Times New Roman"/>
        </w:rPr>
        <w:t xml:space="preserve">a case in which the </w:t>
      </w:r>
      <w:r w:rsidR="000574B4" w:rsidRPr="0093589C">
        <w:rPr>
          <w:rFonts w:ascii="Times New Roman" w:hAnsi="Times New Roman"/>
        </w:rPr>
        <w:t xml:space="preserve">accused </w:t>
      </w:r>
      <w:r w:rsidR="00810711" w:rsidRPr="0093589C">
        <w:rPr>
          <w:rFonts w:ascii="Times New Roman" w:hAnsi="Times New Roman"/>
        </w:rPr>
        <w:t xml:space="preserve">uses force which causes death </w:t>
      </w:r>
      <w:r w:rsidR="00810711" w:rsidRPr="0093589C">
        <w:rPr>
          <w:rFonts w:ascii="Times New Roman" w:hAnsi="Times New Roman"/>
          <w:i/>
          <w:iCs/>
        </w:rPr>
        <w:t xml:space="preserve">or </w:t>
      </w:r>
      <w:r w:rsidR="00810711" w:rsidRPr="0093589C">
        <w:rPr>
          <w:rFonts w:ascii="Times New Roman" w:hAnsi="Times New Roman"/>
        </w:rPr>
        <w:t xml:space="preserve">a case in which the </w:t>
      </w:r>
      <w:r w:rsidR="000574B4" w:rsidRPr="0093589C">
        <w:rPr>
          <w:rFonts w:ascii="Times New Roman" w:hAnsi="Times New Roman"/>
        </w:rPr>
        <w:t xml:space="preserve">accused </w:t>
      </w:r>
      <w:r w:rsidR="00810711" w:rsidRPr="0093589C">
        <w:rPr>
          <w:rFonts w:ascii="Times New Roman" w:hAnsi="Times New Roman"/>
        </w:rPr>
        <w:t>uses force which causes grievous bodily harm</w:t>
      </w:r>
      <w:r w:rsidR="00D71B49" w:rsidRPr="0093589C">
        <w:rPr>
          <w:rFonts w:ascii="Times New Roman" w:hAnsi="Times New Roman"/>
        </w:rPr>
        <w:t>.</w:t>
      </w:r>
    </w:p>
    <w:p w14:paraId="09B3368E" w14:textId="5797D2EE" w:rsidR="009D5D21" w:rsidRPr="0093589C" w:rsidRDefault="00335291"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067D00" w:rsidRPr="0093589C">
        <w:rPr>
          <w:rFonts w:ascii="Times New Roman" w:hAnsi="Times New Roman"/>
        </w:rPr>
        <w:t>The next limb</w:t>
      </w:r>
      <w:r w:rsidR="00F83EE6" w:rsidRPr="0093589C">
        <w:rPr>
          <w:rFonts w:ascii="Times New Roman" w:hAnsi="Times New Roman"/>
        </w:rPr>
        <w:t xml:space="preserve"> of the </w:t>
      </w:r>
      <w:r w:rsidR="00A32494" w:rsidRPr="0093589C">
        <w:rPr>
          <w:rFonts w:ascii="Times New Roman" w:hAnsi="Times New Roman"/>
        </w:rPr>
        <w:t xml:space="preserve">third </w:t>
      </w:r>
      <w:r w:rsidR="00A73A84" w:rsidRPr="0093589C">
        <w:rPr>
          <w:rFonts w:ascii="Times New Roman" w:hAnsi="Times New Roman"/>
        </w:rPr>
        <w:t xml:space="preserve">clause </w:t>
      </w:r>
      <w:r w:rsidR="00F83EE6" w:rsidRPr="0093589C">
        <w:rPr>
          <w:rFonts w:ascii="Times New Roman" w:hAnsi="Times New Roman"/>
        </w:rPr>
        <w:t xml:space="preserve">is the </w:t>
      </w:r>
      <w:r w:rsidR="00067D00" w:rsidRPr="0093589C">
        <w:rPr>
          <w:rFonts w:ascii="Times New Roman" w:hAnsi="Times New Roman"/>
        </w:rPr>
        <w:t>phrase "</w:t>
      </w:r>
      <w:r w:rsidR="000D6339" w:rsidRPr="0093589C">
        <w:rPr>
          <w:rFonts w:ascii="Times New Roman" w:hAnsi="Times New Roman"/>
        </w:rPr>
        <w:t xml:space="preserve">before </w:t>
      </w:r>
      <w:r w:rsidR="00810711" w:rsidRPr="0093589C">
        <w:rPr>
          <w:rFonts w:ascii="Times New Roman" w:hAnsi="Times New Roman"/>
        </w:rPr>
        <w:t>such necessity</w:t>
      </w:r>
      <w:r w:rsidR="00C759CC" w:rsidRPr="0093589C">
        <w:rPr>
          <w:rFonts w:ascii="Times New Roman" w:hAnsi="Times New Roman"/>
        </w:rPr>
        <w:t xml:space="preserve"> arose</w:t>
      </w:r>
      <w:r w:rsidR="00067D00" w:rsidRPr="0093589C">
        <w:rPr>
          <w:rFonts w:ascii="Times New Roman" w:hAnsi="Times New Roman"/>
        </w:rPr>
        <w:t>"</w:t>
      </w:r>
      <w:r w:rsidR="00F83EE6" w:rsidRPr="0093589C">
        <w:rPr>
          <w:rFonts w:ascii="Times New Roman" w:hAnsi="Times New Roman"/>
        </w:rPr>
        <w:t xml:space="preserve">. </w:t>
      </w:r>
      <w:r w:rsidR="00016FEB" w:rsidRPr="0093589C">
        <w:rPr>
          <w:rFonts w:ascii="Times New Roman" w:hAnsi="Times New Roman"/>
        </w:rPr>
        <w:t xml:space="preserve">As noted above, </w:t>
      </w:r>
      <w:r w:rsidR="00EF50AC" w:rsidRPr="0093589C">
        <w:rPr>
          <w:rFonts w:ascii="Times New Roman" w:hAnsi="Times New Roman"/>
        </w:rPr>
        <w:t xml:space="preserve">consistent with the two preceding clauses, </w:t>
      </w:r>
      <w:r w:rsidR="00810711" w:rsidRPr="0093589C" w:rsidDel="00831B1C">
        <w:rPr>
          <w:rFonts w:ascii="Times New Roman" w:hAnsi="Times New Roman"/>
        </w:rPr>
        <w:t xml:space="preserve">necessity </w:t>
      </w:r>
      <w:r w:rsidR="00831B1C" w:rsidRPr="0093589C">
        <w:rPr>
          <w:rFonts w:ascii="Times New Roman" w:hAnsi="Times New Roman"/>
        </w:rPr>
        <w:t xml:space="preserve">here refers to the </w:t>
      </w:r>
      <w:r w:rsidR="00C8798C" w:rsidRPr="0093589C">
        <w:rPr>
          <w:rFonts w:ascii="Times New Roman" w:hAnsi="Times New Roman"/>
        </w:rPr>
        <w:t xml:space="preserve">use of such </w:t>
      </w:r>
      <w:r w:rsidR="00975378" w:rsidRPr="0093589C">
        <w:rPr>
          <w:rFonts w:ascii="Times New Roman" w:hAnsi="Times New Roman"/>
        </w:rPr>
        <w:t>force</w:t>
      </w:r>
      <w:r w:rsidR="00C8798C" w:rsidRPr="0093589C">
        <w:rPr>
          <w:rFonts w:ascii="Times New Roman" w:hAnsi="Times New Roman"/>
        </w:rPr>
        <w:t xml:space="preserve"> as is</w:t>
      </w:r>
      <w:r w:rsidR="00975378" w:rsidRPr="0093589C">
        <w:rPr>
          <w:rFonts w:ascii="Times New Roman" w:hAnsi="Times New Roman"/>
        </w:rPr>
        <w:t xml:space="preserve"> </w:t>
      </w:r>
      <w:r w:rsidR="00E93F1D" w:rsidRPr="0093589C">
        <w:rPr>
          <w:rFonts w:ascii="Times New Roman" w:hAnsi="Times New Roman"/>
        </w:rPr>
        <w:t xml:space="preserve">"necessary for the </w:t>
      </w:r>
      <w:r w:rsidR="00022A59" w:rsidRPr="0093589C">
        <w:rPr>
          <w:rFonts w:ascii="Times New Roman" w:hAnsi="Times New Roman"/>
        </w:rPr>
        <w:t>person's</w:t>
      </w:r>
      <w:r w:rsidR="00810711" w:rsidRPr="0093589C">
        <w:rPr>
          <w:rFonts w:ascii="Times New Roman" w:hAnsi="Times New Roman"/>
        </w:rPr>
        <w:t xml:space="preserve"> preservation from death or grievous bodily harm</w:t>
      </w:r>
      <w:r w:rsidR="00022A59" w:rsidRPr="0093589C">
        <w:rPr>
          <w:rFonts w:ascii="Times New Roman" w:hAnsi="Times New Roman"/>
        </w:rPr>
        <w:t>"</w:t>
      </w:r>
      <w:r w:rsidR="00C8798C" w:rsidRPr="0093589C">
        <w:rPr>
          <w:rFonts w:ascii="Times New Roman" w:hAnsi="Times New Roman"/>
        </w:rPr>
        <w:t>, even though that force may itself cause death or grievous bodily harm.</w:t>
      </w:r>
      <w:r w:rsidR="00203216" w:rsidRPr="0093589C">
        <w:rPr>
          <w:rFonts w:ascii="Times New Roman" w:hAnsi="Times New Roman"/>
        </w:rPr>
        <w:t xml:space="preserve"> </w:t>
      </w:r>
      <w:r w:rsidR="00352046" w:rsidRPr="0093589C">
        <w:rPr>
          <w:rFonts w:ascii="Times New Roman" w:hAnsi="Times New Roman"/>
        </w:rPr>
        <w:t>Put another way, it is a reference to us</w:t>
      </w:r>
      <w:r w:rsidR="00F421A1" w:rsidRPr="0093589C">
        <w:rPr>
          <w:rFonts w:ascii="Times New Roman" w:hAnsi="Times New Roman"/>
        </w:rPr>
        <w:t>ing</w:t>
      </w:r>
      <w:r w:rsidR="00352046" w:rsidRPr="0093589C">
        <w:rPr>
          <w:rFonts w:ascii="Times New Roman" w:hAnsi="Times New Roman"/>
        </w:rPr>
        <w:t xml:space="preserve"> </w:t>
      </w:r>
      <w:r w:rsidR="00B510D9" w:rsidRPr="0093589C">
        <w:rPr>
          <w:rFonts w:ascii="Times New Roman" w:hAnsi="Times New Roman"/>
        </w:rPr>
        <w:t xml:space="preserve">such </w:t>
      </w:r>
      <w:r w:rsidR="00352046" w:rsidRPr="0093589C">
        <w:rPr>
          <w:rFonts w:ascii="Times New Roman" w:hAnsi="Times New Roman"/>
        </w:rPr>
        <w:t xml:space="preserve">force </w:t>
      </w:r>
      <w:r w:rsidR="00535F71" w:rsidRPr="0093589C">
        <w:rPr>
          <w:rFonts w:ascii="Times New Roman" w:hAnsi="Times New Roman"/>
        </w:rPr>
        <w:t xml:space="preserve">as is </w:t>
      </w:r>
      <w:r w:rsidR="00F421A1" w:rsidRPr="0093589C">
        <w:rPr>
          <w:rFonts w:ascii="Times New Roman" w:hAnsi="Times New Roman"/>
        </w:rPr>
        <w:t xml:space="preserve">reasonably </w:t>
      </w:r>
      <w:r w:rsidR="00535F71" w:rsidRPr="0093589C">
        <w:rPr>
          <w:rFonts w:ascii="Times New Roman" w:hAnsi="Times New Roman"/>
        </w:rPr>
        <w:t xml:space="preserve">necessary </w:t>
      </w:r>
      <w:r w:rsidR="007E6018" w:rsidRPr="0093589C">
        <w:rPr>
          <w:rFonts w:ascii="Times New Roman" w:hAnsi="Times New Roman"/>
        </w:rPr>
        <w:t>for the purposes of</w:t>
      </w:r>
      <w:r w:rsidR="00352046" w:rsidRPr="0093589C">
        <w:rPr>
          <w:rFonts w:ascii="Times New Roman" w:hAnsi="Times New Roman"/>
        </w:rPr>
        <w:t xml:space="preserve"> self</w:t>
      </w:r>
      <w:r w:rsidR="00A12622" w:rsidRPr="0093589C">
        <w:rPr>
          <w:rFonts w:ascii="Times New Roman" w:hAnsi="Times New Roman"/>
        </w:rPr>
        <w:noBreakHyphen/>
      </w:r>
      <w:r w:rsidR="00352046" w:rsidRPr="0093589C">
        <w:rPr>
          <w:rFonts w:ascii="Times New Roman" w:hAnsi="Times New Roman"/>
        </w:rPr>
        <w:t>defence.</w:t>
      </w:r>
      <w:r w:rsidR="00C533D8" w:rsidRPr="0093589C">
        <w:rPr>
          <w:rFonts w:ascii="Times New Roman" w:hAnsi="Times New Roman"/>
        </w:rPr>
        <w:t xml:space="preserve"> </w:t>
      </w:r>
    </w:p>
    <w:p w14:paraId="335A86C4" w14:textId="61F330B7" w:rsidR="00740153" w:rsidRPr="0093589C" w:rsidRDefault="009D5D21"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DF0A61" w:rsidRPr="0093589C">
        <w:rPr>
          <w:rFonts w:ascii="Times New Roman" w:hAnsi="Times New Roman"/>
        </w:rPr>
        <w:t>Finally, the phrase "</w:t>
      </w:r>
      <w:r w:rsidR="00DB16B6" w:rsidRPr="0093589C">
        <w:rPr>
          <w:rFonts w:ascii="Times New Roman" w:hAnsi="Times New Roman"/>
        </w:rPr>
        <w:t>unless</w:t>
      </w:r>
      <w:r w:rsidR="00287AE7" w:rsidRPr="0093589C">
        <w:rPr>
          <w:rFonts w:ascii="Times New Roman" w:hAnsi="Times New Roman"/>
        </w:rPr>
        <w:t> </w:t>
      </w:r>
      <w:r w:rsidR="00DB16B6" w:rsidRPr="0093589C">
        <w:rPr>
          <w:rFonts w:ascii="Times New Roman" w:hAnsi="Times New Roman"/>
        </w:rPr>
        <w:t>...</w:t>
      </w:r>
      <w:r w:rsidR="00287AE7" w:rsidRPr="0093589C">
        <w:rPr>
          <w:rFonts w:ascii="Times New Roman" w:hAnsi="Times New Roman"/>
        </w:rPr>
        <w:t xml:space="preserve"> </w:t>
      </w:r>
      <w:r w:rsidR="00DF0A61" w:rsidRPr="0093589C">
        <w:rPr>
          <w:rFonts w:ascii="Times New Roman" w:hAnsi="Times New Roman"/>
        </w:rPr>
        <w:t xml:space="preserve">the person using such force declined further </w:t>
      </w:r>
      <w:proofErr w:type="gramStart"/>
      <w:r w:rsidR="00DF0A61" w:rsidRPr="0093589C">
        <w:rPr>
          <w:rFonts w:ascii="Times New Roman" w:hAnsi="Times New Roman"/>
        </w:rPr>
        <w:t>conflict, and</w:t>
      </w:r>
      <w:proofErr w:type="gramEnd"/>
      <w:r w:rsidR="00DF0A61" w:rsidRPr="0093589C">
        <w:rPr>
          <w:rFonts w:ascii="Times New Roman" w:hAnsi="Times New Roman"/>
        </w:rPr>
        <w:t xml:space="preserve"> quitted it or retreated from it as far as was practicable" identifies what </w:t>
      </w:r>
      <w:r w:rsidR="00BC1C0C" w:rsidRPr="0093589C">
        <w:rPr>
          <w:rFonts w:ascii="Times New Roman" w:hAnsi="Times New Roman"/>
        </w:rPr>
        <w:t>the accused</w:t>
      </w:r>
      <w:r w:rsidR="00DF0A61" w:rsidRPr="0093589C">
        <w:rPr>
          <w:rFonts w:ascii="Times New Roman" w:hAnsi="Times New Roman"/>
        </w:rPr>
        <w:t xml:space="preserve"> must do before obtaining the protection from criminal responsibility. </w:t>
      </w:r>
      <w:r w:rsidR="00E4129B" w:rsidRPr="0093589C">
        <w:rPr>
          <w:rFonts w:ascii="Times New Roman" w:hAnsi="Times New Roman"/>
        </w:rPr>
        <w:t xml:space="preserve">The </w:t>
      </w:r>
      <w:r w:rsidR="00286C8F" w:rsidRPr="0093589C">
        <w:rPr>
          <w:rFonts w:ascii="Times New Roman" w:hAnsi="Times New Roman"/>
        </w:rPr>
        <w:t xml:space="preserve">phrase </w:t>
      </w:r>
      <w:r w:rsidR="00AD3ED8" w:rsidRPr="0093589C">
        <w:rPr>
          <w:rFonts w:ascii="Times New Roman" w:hAnsi="Times New Roman"/>
        </w:rPr>
        <w:t>"</w:t>
      </w:r>
      <w:r w:rsidR="00286C8F" w:rsidRPr="0093589C">
        <w:rPr>
          <w:rFonts w:ascii="Times New Roman" w:hAnsi="Times New Roman"/>
          <w:bCs/>
        </w:rPr>
        <w:t>the</w:t>
      </w:r>
      <w:r w:rsidR="000F2CC7" w:rsidRPr="0093589C">
        <w:rPr>
          <w:rFonts w:ascii="Times New Roman" w:hAnsi="Times New Roman"/>
          <w:bCs/>
        </w:rPr>
        <w:t xml:space="preserve"> </w:t>
      </w:r>
      <w:r w:rsidR="00286C8F" w:rsidRPr="0093589C">
        <w:rPr>
          <w:rFonts w:ascii="Times New Roman" w:hAnsi="Times New Roman"/>
          <w:bCs/>
        </w:rPr>
        <w:t>person using such force</w:t>
      </w:r>
      <w:r w:rsidR="00AD3ED8" w:rsidRPr="0093589C">
        <w:rPr>
          <w:rFonts w:ascii="Times New Roman" w:hAnsi="Times New Roman"/>
        </w:rPr>
        <w:t>"</w:t>
      </w:r>
      <w:r w:rsidR="00E4129B" w:rsidRPr="0093589C">
        <w:rPr>
          <w:rFonts w:ascii="Times New Roman" w:hAnsi="Times New Roman"/>
        </w:rPr>
        <w:t xml:space="preserve"> </w:t>
      </w:r>
      <w:r w:rsidR="00C533D8" w:rsidRPr="0093589C">
        <w:rPr>
          <w:rFonts w:ascii="Times New Roman" w:hAnsi="Times New Roman"/>
        </w:rPr>
        <w:t xml:space="preserve">is a reference back to </w:t>
      </w:r>
      <w:r w:rsidR="00E4129B" w:rsidRPr="0093589C">
        <w:rPr>
          <w:rFonts w:ascii="Times New Roman" w:hAnsi="Times New Roman"/>
        </w:rPr>
        <w:t>"</w:t>
      </w:r>
      <w:r w:rsidR="00C533D8" w:rsidRPr="0093589C">
        <w:rPr>
          <w:rFonts w:ascii="Times New Roman" w:hAnsi="Times New Roman"/>
        </w:rPr>
        <w:t>the person</w:t>
      </w:r>
      <w:r w:rsidR="00E4129B" w:rsidRPr="0093589C">
        <w:rPr>
          <w:rFonts w:ascii="Times New Roman" w:hAnsi="Times New Roman"/>
        </w:rPr>
        <w:t>"</w:t>
      </w:r>
      <w:r w:rsidR="00C533D8" w:rsidRPr="0093589C">
        <w:rPr>
          <w:rFonts w:ascii="Times New Roman" w:hAnsi="Times New Roman"/>
        </w:rPr>
        <w:t xml:space="preserve"> and the words </w:t>
      </w:r>
      <w:r w:rsidR="00833645" w:rsidRPr="0093589C">
        <w:rPr>
          <w:rFonts w:ascii="Times New Roman" w:hAnsi="Times New Roman"/>
        </w:rPr>
        <w:t>"using force" in both the first and second cases described in s</w:t>
      </w:r>
      <w:r w:rsidR="00C533D8" w:rsidRPr="0093589C">
        <w:rPr>
          <w:rFonts w:ascii="Times New Roman" w:hAnsi="Times New Roman"/>
        </w:rPr>
        <w:t> </w:t>
      </w:r>
      <w:r w:rsidR="00833645" w:rsidRPr="0093589C">
        <w:rPr>
          <w:rFonts w:ascii="Times New Roman" w:hAnsi="Times New Roman"/>
        </w:rPr>
        <w:t xml:space="preserve">272(2). </w:t>
      </w:r>
      <w:r w:rsidR="00FD1003" w:rsidRPr="0093589C">
        <w:rPr>
          <w:rFonts w:ascii="Times New Roman" w:hAnsi="Times New Roman"/>
        </w:rPr>
        <w:t xml:space="preserve">In other words, it refers to an accused who uses force which causes death </w:t>
      </w:r>
      <w:r w:rsidR="00FD1003" w:rsidRPr="0093589C">
        <w:rPr>
          <w:rFonts w:ascii="Times New Roman" w:hAnsi="Times New Roman"/>
          <w:i/>
          <w:iCs/>
        </w:rPr>
        <w:t>or</w:t>
      </w:r>
      <w:r w:rsidR="00FD1003" w:rsidRPr="0093589C">
        <w:rPr>
          <w:rFonts w:ascii="Times New Roman" w:hAnsi="Times New Roman"/>
        </w:rPr>
        <w:t xml:space="preserve"> grievous bodily harm.</w:t>
      </w:r>
    </w:p>
    <w:p w14:paraId="41BAA5A9" w14:textId="5CE5D928" w:rsidR="000E5DC8" w:rsidRPr="0093589C" w:rsidRDefault="00C533D8"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DB5C14" w:rsidRPr="0093589C">
        <w:rPr>
          <w:rFonts w:ascii="Times New Roman" w:hAnsi="Times New Roman"/>
        </w:rPr>
        <w:t>On that construction, t</w:t>
      </w:r>
      <w:r w:rsidR="000E5DC8" w:rsidRPr="0093589C">
        <w:rPr>
          <w:rFonts w:ascii="Times New Roman" w:hAnsi="Times New Roman"/>
        </w:rPr>
        <w:t xml:space="preserve">he </w:t>
      </w:r>
      <w:r w:rsidR="00D13692" w:rsidRPr="0093589C">
        <w:rPr>
          <w:rFonts w:ascii="Times New Roman" w:hAnsi="Times New Roman"/>
        </w:rPr>
        <w:t>third</w:t>
      </w:r>
      <w:r w:rsidR="000E5DC8" w:rsidRPr="0093589C">
        <w:rPr>
          <w:rFonts w:ascii="Times New Roman" w:hAnsi="Times New Roman"/>
        </w:rPr>
        <w:t xml:space="preserve"> </w:t>
      </w:r>
      <w:r w:rsidR="002E108A" w:rsidRPr="0093589C">
        <w:rPr>
          <w:rFonts w:ascii="Times New Roman" w:hAnsi="Times New Roman"/>
        </w:rPr>
        <w:t>clause of</w:t>
      </w:r>
      <w:r w:rsidR="00C12A19" w:rsidRPr="0093589C">
        <w:rPr>
          <w:rFonts w:ascii="Times New Roman" w:hAnsi="Times New Roman"/>
        </w:rPr>
        <w:t xml:space="preserve"> s 272(2) </w:t>
      </w:r>
      <w:r w:rsidR="00E130A0" w:rsidRPr="0093589C">
        <w:rPr>
          <w:rFonts w:ascii="Times New Roman" w:hAnsi="Times New Roman"/>
        </w:rPr>
        <w:t>can be restated in the form of a sentence</w:t>
      </w:r>
      <w:r w:rsidR="00D13692" w:rsidRPr="0093589C">
        <w:rPr>
          <w:rFonts w:ascii="Times New Roman" w:hAnsi="Times New Roman"/>
        </w:rPr>
        <w:t xml:space="preserve">: </w:t>
      </w:r>
    </w:p>
    <w:p w14:paraId="07D77D54" w14:textId="6B660250" w:rsidR="007D2701" w:rsidRPr="0093589C" w:rsidRDefault="00D13692" w:rsidP="0093589C">
      <w:pPr>
        <w:pStyle w:val="leftright"/>
        <w:keepNext/>
        <w:spacing w:before="0" w:after="260" w:line="280" w:lineRule="exact"/>
        <w:ind w:right="0"/>
        <w:jc w:val="both"/>
        <w:rPr>
          <w:rFonts w:ascii="Times New Roman" w:hAnsi="Times New Roman"/>
        </w:rPr>
      </w:pPr>
      <w:r w:rsidRPr="0093589C">
        <w:rPr>
          <w:rFonts w:ascii="Times New Roman" w:hAnsi="Times New Roman"/>
        </w:rPr>
        <w:t xml:space="preserve">This protection </w:t>
      </w:r>
      <w:r w:rsidR="00C12A19" w:rsidRPr="0093589C">
        <w:rPr>
          <w:rFonts w:ascii="Times New Roman" w:hAnsi="Times New Roman"/>
        </w:rPr>
        <w:t xml:space="preserve">in s 272(1) </w:t>
      </w:r>
      <w:r w:rsidRPr="0093589C">
        <w:rPr>
          <w:rFonts w:ascii="Times New Roman" w:hAnsi="Times New Roman"/>
        </w:rPr>
        <w:t>does not extend</w:t>
      </w:r>
      <w:r w:rsidR="00C03708" w:rsidRPr="0093589C">
        <w:rPr>
          <w:rFonts w:ascii="Times New Roman" w:hAnsi="Times New Roman"/>
        </w:rPr>
        <w:t>:</w:t>
      </w:r>
    </w:p>
    <w:p w14:paraId="225F3126" w14:textId="4373A49C" w:rsidR="007D2701" w:rsidRPr="0093589C" w:rsidRDefault="0033620B" w:rsidP="0093589C">
      <w:pPr>
        <w:pStyle w:val="leftright"/>
        <w:spacing w:before="0" w:after="260" w:line="280" w:lineRule="exact"/>
        <w:ind w:left="1440" w:right="0" w:hanging="720"/>
        <w:jc w:val="both"/>
        <w:rPr>
          <w:rFonts w:ascii="Times New Roman" w:hAnsi="Times New Roman"/>
        </w:rPr>
      </w:pPr>
      <w:r w:rsidRPr="0093589C">
        <w:rPr>
          <w:rFonts w:ascii="Times New Roman" w:hAnsi="Times New Roman"/>
        </w:rPr>
        <w:t>•</w:t>
      </w:r>
      <w:r w:rsidR="007D2701" w:rsidRPr="0093589C">
        <w:rPr>
          <w:rFonts w:ascii="Times New Roman" w:hAnsi="Times New Roman"/>
        </w:rPr>
        <w:t xml:space="preserve"> </w:t>
      </w:r>
      <w:r w:rsidRPr="0093589C">
        <w:rPr>
          <w:rFonts w:ascii="Times New Roman" w:hAnsi="Times New Roman"/>
        </w:rPr>
        <w:tab/>
      </w:r>
      <w:r w:rsidR="00C12A19" w:rsidRPr="0093589C">
        <w:rPr>
          <w:rFonts w:ascii="Times New Roman" w:hAnsi="Times New Roman"/>
        </w:rPr>
        <w:t xml:space="preserve">to a case </w:t>
      </w:r>
      <w:r w:rsidR="00D13692" w:rsidRPr="0093589C">
        <w:rPr>
          <w:rFonts w:ascii="Times New Roman" w:hAnsi="Times New Roman"/>
        </w:rPr>
        <w:t>in which the person uses force which causes death</w:t>
      </w:r>
      <w:r w:rsidR="007D2701" w:rsidRPr="0093589C">
        <w:rPr>
          <w:rFonts w:ascii="Times New Roman" w:hAnsi="Times New Roman"/>
        </w:rPr>
        <w:t>;</w:t>
      </w:r>
      <w:r w:rsidR="00BC4904" w:rsidRPr="0093589C">
        <w:rPr>
          <w:rFonts w:ascii="Times New Roman" w:hAnsi="Times New Roman"/>
        </w:rPr>
        <w:t xml:space="preserve"> or</w:t>
      </w:r>
    </w:p>
    <w:p w14:paraId="1EC79CD2" w14:textId="467EBDBA" w:rsidR="007D2701" w:rsidRPr="0093589C" w:rsidRDefault="0033620B" w:rsidP="0093589C">
      <w:pPr>
        <w:pStyle w:val="leftright"/>
        <w:spacing w:before="0" w:after="260" w:line="280" w:lineRule="exact"/>
        <w:ind w:left="1440" w:right="0" w:hanging="720"/>
        <w:jc w:val="both"/>
        <w:rPr>
          <w:rFonts w:ascii="Times New Roman" w:hAnsi="Times New Roman"/>
        </w:rPr>
      </w:pPr>
      <w:r w:rsidRPr="0093589C">
        <w:rPr>
          <w:rFonts w:ascii="Times New Roman" w:hAnsi="Times New Roman"/>
        </w:rPr>
        <w:t>•</w:t>
      </w:r>
      <w:r w:rsidR="00217872" w:rsidRPr="0093589C">
        <w:rPr>
          <w:rFonts w:ascii="Times New Roman" w:hAnsi="Times New Roman"/>
        </w:rPr>
        <w:t xml:space="preserve"> </w:t>
      </w:r>
      <w:r w:rsidRPr="0093589C">
        <w:rPr>
          <w:rFonts w:ascii="Times New Roman" w:hAnsi="Times New Roman"/>
        </w:rPr>
        <w:tab/>
      </w:r>
      <w:r w:rsidR="00D13692" w:rsidRPr="0093589C">
        <w:rPr>
          <w:rFonts w:ascii="Times New Roman" w:hAnsi="Times New Roman"/>
        </w:rPr>
        <w:t>to a case in which the person uses force which causes grievous bodily harm</w:t>
      </w:r>
      <w:r w:rsidR="00217872" w:rsidRPr="0093589C">
        <w:rPr>
          <w:rFonts w:ascii="Times New Roman" w:hAnsi="Times New Roman"/>
        </w:rPr>
        <w:t>,</w:t>
      </w:r>
      <w:r w:rsidR="00D13692" w:rsidRPr="0093589C">
        <w:rPr>
          <w:rFonts w:ascii="Times New Roman" w:hAnsi="Times New Roman"/>
        </w:rPr>
        <w:t xml:space="preserve"> </w:t>
      </w:r>
    </w:p>
    <w:p w14:paraId="302D02D6" w14:textId="77777777" w:rsidR="0093589C" w:rsidRDefault="00D13692" w:rsidP="0093589C">
      <w:pPr>
        <w:pStyle w:val="leftright"/>
        <w:spacing w:before="0" w:after="260" w:line="280" w:lineRule="exact"/>
        <w:ind w:right="0"/>
        <w:jc w:val="both"/>
        <w:rPr>
          <w:rFonts w:ascii="Times New Roman" w:hAnsi="Times New Roman"/>
        </w:rPr>
      </w:pPr>
      <w:r w:rsidRPr="0093589C">
        <w:rPr>
          <w:rFonts w:ascii="Times New Roman" w:hAnsi="Times New Roman"/>
        </w:rPr>
        <w:t xml:space="preserve">unless, before the necessity of </w:t>
      </w:r>
      <w:r w:rsidR="0071524F" w:rsidRPr="0093589C">
        <w:rPr>
          <w:rFonts w:ascii="Times New Roman" w:hAnsi="Times New Roman"/>
        </w:rPr>
        <w:t xml:space="preserve">the person's </w:t>
      </w:r>
      <w:r w:rsidR="000B160E" w:rsidRPr="0093589C">
        <w:rPr>
          <w:rFonts w:ascii="Times New Roman" w:hAnsi="Times New Roman"/>
        </w:rPr>
        <w:t>preservation from death or grievous bodily harm</w:t>
      </w:r>
      <w:r w:rsidR="00DA376F" w:rsidRPr="0093589C">
        <w:rPr>
          <w:rFonts w:ascii="Times New Roman" w:hAnsi="Times New Roman"/>
        </w:rPr>
        <w:t xml:space="preserve"> arose</w:t>
      </w:r>
      <w:r w:rsidRPr="0093589C">
        <w:rPr>
          <w:rFonts w:ascii="Times New Roman" w:hAnsi="Times New Roman"/>
        </w:rPr>
        <w:t>, the person using such force declined further conflict, and quitted it or retreated from it as far as was p</w:t>
      </w:r>
      <w:r w:rsidR="00C62E88" w:rsidRPr="0093589C">
        <w:rPr>
          <w:rFonts w:ascii="Times New Roman" w:hAnsi="Times New Roman"/>
        </w:rPr>
        <w:t>ractica</w:t>
      </w:r>
      <w:r w:rsidRPr="0093589C">
        <w:rPr>
          <w:rFonts w:ascii="Times New Roman" w:hAnsi="Times New Roman"/>
        </w:rPr>
        <w:t>ble.</w:t>
      </w:r>
    </w:p>
    <w:p w14:paraId="2A491814" w14:textId="3E35C756" w:rsidR="002C6A88" w:rsidRPr="0093589C" w:rsidRDefault="001775C0"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A402D6" w:rsidRPr="0093589C">
        <w:rPr>
          <w:rFonts w:ascii="Times New Roman" w:hAnsi="Times New Roman"/>
        </w:rPr>
        <w:t xml:space="preserve">On this construction, </w:t>
      </w:r>
      <w:r w:rsidR="00FD1003" w:rsidRPr="0093589C">
        <w:rPr>
          <w:rFonts w:ascii="Times New Roman" w:hAnsi="Times New Roman"/>
        </w:rPr>
        <w:t>a</w:t>
      </w:r>
      <w:r w:rsidR="00F70881" w:rsidRPr="0093589C">
        <w:rPr>
          <w:rFonts w:ascii="Times New Roman" w:hAnsi="Times New Roman"/>
        </w:rPr>
        <w:t xml:space="preserve">n accused who has instigated conflict </w:t>
      </w:r>
      <w:r w:rsidR="00BE0E28" w:rsidRPr="0093589C">
        <w:rPr>
          <w:rFonts w:ascii="Times New Roman" w:hAnsi="Times New Roman"/>
        </w:rPr>
        <w:t>–</w:t>
      </w:r>
      <w:r w:rsidR="00706466" w:rsidRPr="0093589C">
        <w:rPr>
          <w:rFonts w:ascii="Times New Roman" w:hAnsi="Times New Roman"/>
        </w:rPr>
        <w:t xml:space="preserve"> by assault or provocation </w:t>
      </w:r>
      <w:r w:rsidR="00BE0E28" w:rsidRPr="0093589C">
        <w:rPr>
          <w:rFonts w:ascii="Times New Roman" w:hAnsi="Times New Roman"/>
        </w:rPr>
        <w:t>–</w:t>
      </w:r>
      <w:r w:rsidR="00706466" w:rsidRPr="0093589C">
        <w:rPr>
          <w:rFonts w:ascii="Times New Roman" w:hAnsi="Times New Roman"/>
        </w:rPr>
        <w:t xml:space="preserve"> </w:t>
      </w:r>
      <w:r w:rsidR="00AC28A7" w:rsidRPr="0093589C">
        <w:rPr>
          <w:rFonts w:ascii="Times New Roman" w:hAnsi="Times New Roman"/>
        </w:rPr>
        <w:t>and who caus</w:t>
      </w:r>
      <w:r w:rsidR="0042388B" w:rsidRPr="0093589C">
        <w:rPr>
          <w:rFonts w:ascii="Times New Roman" w:hAnsi="Times New Roman"/>
        </w:rPr>
        <w:t>es</w:t>
      </w:r>
      <w:r w:rsidR="00AC28A7" w:rsidRPr="0093589C">
        <w:rPr>
          <w:rFonts w:ascii="Times New Roman" w:hAnsi="Times New Roman"/>
        </w:rPr>
        <w:t xml:space="preserve"> death or grievous bodily harm cannot avail themselves of the </w:t>
      </w:r>
      <w:r w:rsidR="00A45B34" w:rsidRPr="0093589C">
        <w:rPr>
          <w:rFonts w:ascii="Times New Roman" w:hAnsi="Times New Roman"/>
        </w:rPr>
        <w:t xml:space="preserve">protection </w:t>
      </w:r>
      <w:r w:rsidR="00D60F14" w:rsidRPr="0093589C">
        <w:rPr>
          <w:rFonts w:ascii="Times New Roman" w:hAnsi="Times New Roman"/>
        </w:rPr>
        <w:t>in s</w:t>
      </w:r>
      <w:r w:rsidR="00113FEE" w:rsidRPr="0093589C">
        <w:rPr>
          <w:rFonts w:ascii="Times New Roman" w:hAnsi="Times New Roman"/>
        </w:rPr>
        <w:t> </w:t>
      </w:r>
      <w:r w:rsidR="00D60F14" w:rsidRPr="0093589C">
        <w:rPr>
          <w:rFonts w:ascii="Times New Roman" w:hAnsi="Times New Roman"/>
        </w:rPr>
        <w:t xml:space="preserve">272(1) </w:t>
      </w:r>
      <w:r w:rsidR="00AC28A7" w:rsidRPr="0093589C">
        <w:rPr>
          <w:rFonts w:ascii="Times New Roman" w:hAnsi="Times New Roman"/>
        </w:rPr>
        <w:t>unless</w:t>
      </w:r>
      <w:r w:rsidR="00A45B34" w:rsidRPr="0093589C">
        <w:rPr>
          <w:rFonts w:ascii="Times New Roman" w:hAnsi="Times New Roman"/>
        </w:rPr>
        <w:t xml:space="preserve">, before the </w:t>
      </w:r>
      <w:r w:rsidR="00542896" w:rsidRPr="0093589C">
        <w:rPr>
          <w:rFonts w:ascii="Times New Roman" w:hAnsi="Times New Roman"/>
        </w:rPr>
        <w:t xml:space="preserve">necessity of </w:t>
      </w:r>
      <w:r w:rsidR="001D411E" w:rsidRPr="0093589C">
        <w:rPr>
          <w:rFonts w:ascii="Times New Roman" w:hAnsi="Times New Roman"/>
        </w:rPr>
        <w:t>resorting to</w:t>
      </w:r>
      <w:r w:rsidR="00542896" w:rsidRPr="0093589C">
        <w:rPr>
          <w:rFonts w:ascii="Times New Roman" w:hAnsi="Times New Roman"/>
        </w:rPr>
        <w:t xml:space="preserve"> such force</w:t>
      </w:r>
      <w:r w:rsidR="00F66FAD" w:rsidRPr="0093589C">
        <w:rPr>
          <w:rFonts w:ascii="Times New Roman" w:hAnsi="Times New Roman"/>
        </w:rPr>
        <w:t xml:space="preserve"> arose</w:t>
      </w:r>
      <w:r w:rsidR="00542896" w:rsidRPr="0093589C">
        <w:rPr>
          <w:rFonts w:ascii="Times New Roman" w:hAnsi="Times New Roman"/>
        </w:rPr>
        <w:t>, they first</w:t>
      </w:r>
      <w:r w:rsidR="00AC28A7" w:rsidRPr="0093589C">
        <w:rPr>
          <w:rFonts w:ascii="Times New Roman" w:hAnsi="Times New Roman"/>
        </w:rPr>
        <w:t xml:space="preserve">, </w:t>
      </w:r>
      <w:r w:rsidR="00AE52C5" w:rsidRPr="0093589C">
        <w:rPr>
          <w:rFonts w:ascii="Times New Roman" w:hAnsi="Times New Roman"/>
        </w:rPr>
        <w:t>as</w:t>
      </w:r>
      <w:r w:rsidR="00AC28A7" w:rsidRPr="0093589C">
        <w:rPr>
          <w:rFonts w:ascii="Times New Roman" w:hAnsi="Times New Roman"/>
        </w:rPr>
        <w:t xml:space="preserve"> far as </w:t>
      </w:r>
      <w:r w:rsidR="00A51F21" w:rsidRPr="0093589C">
        <w:rPr>
          <w:rFonts w:ascii="Times New Roman" w:hAnsi="Times New Roman"/>
        </w:rPr>
        <w:t>wa</w:t>
      </w:r>
      <w:r w:rsidR="00774BBA" w:rsidRPr="0093589C">
        <w:rPr>
          <w:rFonts w:ascii="Times New Roman" w:hAnsi="Times New Roman"/>
        </w:rPr>
        <w:t xml:space="preserve">s </w:t>
      </w:r>
      <w:r w:rsidR="00AC28A7" w:rsidRPr="0093589C">
        <w:rPr>
          <w:rFonts w:ascii="Times New Roman" w:hAnsi="Times New Roman"/>
        </w:rPr>
        <w:t xml:space="preserve">practicable, </w:t>
      </w:r>
      <w:r w:rsidR="00BE0E28" w:rsidRPr="0093589C">
        <w:rPr>
          <w:rFonts w:ascii="Times New Roman" w:hAnsi="Times New Roman"/>
        </w:rPr>
        <w:t>s</w:t>
      </w:r>
      <w:r w:rsidR="00A51F21" w:rsidRPr="0093589C">
        <w:rPr>
          <w:rFonts w:ascii="Times New Roman" w:hAnsi="Times New Roman"/>
        </w:rPr>
        <w:t>ought</w:t>
      </w:r>
      <w:r w:rsidR="00BE0E28" w:rsidRPr="0093589C">
        <w:rPr>
          <w:rFonts w:ascii="Times New Roman" w:hAnsi="Times New Roman"/>
        </w:rPr>
        <w:t xml:space="preserve"> to </w:t>
      </w:r>
      <w:r w:rsidR="0064265E" w:rsidRPr="0093589C">
        <w:rPr>
          <w:rFonts w:ascii="Times New Roman" w:hAnsi="Times New Roman"/>
        </w:rPr>
        <w:t>neutralise</w:t>
      </w:r>
      <w:r w:rsidR="00BE0E28" w:rsidRPr="0093589C">
        <w:rPr>
          <w:rFonts w:ascii="Times New Roman" w:hAnsi="Times New Roman"/>
        </w:rPr>
        <w:t xml:space="preserve"> </w:t>
      </w:r>
      <w:r w:rsidR="0064265E" w:rsidRPr="0093589C">
        <w:rPr>
          <w:rFonts w:ascii="Times New Roman" w:hAnsi="Times New Roman"/>
        </w:rPr>
        <w:t>the threat they themselves created.</w:t>
      </w:r>
      <w:r w:rsidR="0076059C" w:rsidRPr="0093589C">
        <w:rPr>
          <w:rFonts w:ascii="Times New Roman" w:hAnsi="Times New Roman"/>
        </w:rPr>
        <w:t xml:space="preserve"> </w:t>
      </w:r>
      <w:r w:rsidR="00F72DCB" w:rsidRPr="0093589C">
        <w:rPr>
          <w:rFonts w:ascii="Times New Roman" w:hAnsi="Times New Roman"/>
        </w:rPr>
        <w:t>The</w:t>
      </w:r>
      <w:r w:rsidR="00AF40D5" w:rsidRPr="0093589C">
        <w:rPr>
          <w:rFonts w:ascii="Times New Roman" w:hAnsi="Times New Roman"/>
        </w:rPr>
        <w:t xml:space="preserve"> </w:t>
      </w:r>
      <w:r w:rsidR="00F72DCB" w:rsidRPr="0093589C">
        <w:rPr>
          <w:rFonts w:ascii="Times New Roman" w:hAnsi="Times New Roman"/>
        </w:rPr>
        <w:t xml:space="preserve">requirement </w:t>
      </w:r>
      <w:r w:rsidR="00BE0E28" w:rsidRPr="0093589C">
        <w:rPr>
          <w:rFonts w:ascii="Times New Roman" w:hAnsi="Times New Roman"/>
        </w:rPr>
        <w:t xml:space="preserve">to decline further conflict and quit or retreat </w:t>
      </w:r>
      <w:r w:rsidR="00F72DCB" w:rsidRPr="0093589C">
        <w:rPr>
          <w:rFonts w:ascii="Times New Roman" w:hAnsi="Times New Roman"/>
        </w:rPr>
        <w:t xml:space="preserve">is </w:t>
      </w:r>
      <w:r w:rsidR="0064265E" w:rsidRPr="0093589C">
        <w:rPr>
          <w:rFonts w:ascii="Times New Roman" w:hAnsi="Times New Roman"/>
        </w:rPr>
        <w:t xml:space="preserve">thus </w:t>
      </w:r>
      <w:r w:rsidR="00F72DCB" w:rsidRPr="0093589C">
        <w:rPr>
          <w:rFonts w:ascii="Times New Roman" w:hAnsi="Times New Roman"/>
        </w:rPr>
        <w:t>one of de</w:t>
      </w:r>
      <w:r w:rsidR="0034655B" w:rsidRPr="0093589C">
        <w:rPr>
          <w:rFonts w:ascii="Times New Roman" w:hAnsi="Times New Roman"/>
        </w:rPr>
        <w:noBreakHyphen/>
      </w:r>
      <w:r w:rsidR="00F72DCB" w:rsidRPr="0093589C">
        <w:rPr>
          <w:rFonts w:ascii="Times New Roman" w:hAnsi="Times New Roman"/>
        </w:rPr>
        <w:t xml:space="preserve">escalation, </w:t>
      </w:r>
      <w:r w:rsidR="002F7A0D" w:rsidRPr="0093589C">
        <w:rPr>
          <w:rFonts w:ascii="Times New Roman" w:hAnsi="Times New Roman"/>
        </w:rPr>
        <w:t>as</w:t>
      </w:r>
      <w:r w:rsidR="00F72DCB" w:rsidRPr="0093589C">
        <w:rPr>
          <w:rFonts w:ascii="Times New Roman" w:hAnsi="Times New Roman"/>
        </w:rPr>
        <w:t xml:space="preserve"> far as is practicable.</w:t>
      </w:r>
      <w:r w:rsidR="00555D06" w:rsidRPr="0093589C">
        <w:rPr>
          <w:rFonts w:ascii="Times New Roman" w:hAnsi="Times New Roman"/>
        </w:rPr>
        <w:t xml:space="preserve"> A</w:t>
      </w:r>
      <w:r w:rsidR="00B91473" w:rsidRPr="0093589C">
        <w:rPr>
          <w:rFonts w:ascii="Times New Roman" w:hAnsi="Times New Roman"/>
        </w:rPr>
        <w:t xml:space="preserve">n accused who creates </w:t>
      </w:r>
      <w:r w:rsidR="00B91473" w:rsidRPr="0093589C">
        <w:rPr>
          <w:rFonts w:ascii="Times New Roman" w:hAnsi="Times New Roman"/>
        </w:rPr>
        <w:lastRenderedPageBreak/>
        <w:t>conflict through a provocative act, and then responds with force that causes death or grievous bodily harm, cannot plead self</w:t>
      </w:r>
      <w:r w:rsidR="00B91473" w:rsidRPr="0093589C">
        <w:rPr>
          <w:rFonts w:ascii="Times New Roman" w:hAnsi="Times New Roman"/>
        </w:rPr>
        <w:noBreakHyphen/>
        <w:t xml:space="preserve">defence without demonstrating that, </w:t>
      </w:r>
      <w:r w:rsidR="002F7A0D" w:rsidRPr="0093589C">
        <w:rPr>
          <w:rFonts w:ascii="Times New Roman" w:hAnsi="Times New Roman"/>
        </w:rPr>
        <w:t>as</w:t>
      </w:r>
      <w:r w:rsidR="00B91473" w:rsidRPr="0093589C">
        <w:rPr>
          <w:rFonts w:ascii="Times New Roman" w:hAnsi="Times New Roman"/>
        </w:rPr>
        <w:t xml:space="preserve"> far as </w:t>
      </w:r>
      <w:r w:rsidR="006D6D82" w:rsidRPr="0093589C">
        <w:rPr>
          <w:rFonts w:ascii="Times New Roman" w:hAnsi="Times New Roman"/>
        </w:rPr>
        <w:t>wa</w:t>
      </w:r>
      <w:r w:rsidR="00B91473" w:rsidRPr="0093589C">
        <w:rPr>
          <w:rFonts w:ascii="Times New Roman" w:hAnsi="Times New Roman"/>
        </w:rPr>
        <w:t>s practicable, they first attempted to de</w:t>
      </w:r>
      <w:r w:rsidR="00A12622" w:rsidRPr="0093589C">
        <w:rPr>
          <w:rFonts w:ascii="Times New Roman" w:hAnsi="Times New Roman"/>
        </w:rPr>
        <w:noBreakHyphen/>
      </w:r>
      <w:r w:rsidR="00B91473" w:rsidRPr="0093589C">
        <w:rPr>
          <w:rFonts w:ascii="Times New Roman" w:hAnsi="Times New Roman"/>
        </w:rPr>
        <w:t>escalate and undo their part in the conflict before resorting to such force</w:t>
      </w:r>
      <w:r w:rsidR="00B91473" w:rsidRPr="0093589C" w:rsidDel="007F3C77">
        <w:rPr>
          <w:rFonts w:ascii="Times New Roman" w:hAnsi="Times New Roman"/>
        </w:rPr>
        <w:t>.</w:t>
      </w:r>
      <w:r w:rsidR="00B91473" w:rsidRPr="0093589C">
        <w:rPr>
          <w:rFonts w:ascii="Times New Roman" w:hAnsi="Times New Roman"/>
        </w:rPr>
        <w:t xml:space="preserve"> That construction is consistent with the principle of necessity that governs the defence in s 272(1) and the exclusions in the first two clauses of s</w:t>
      </w:r>
      <w:r w:rsidR="00113FEE" w:rsidRPr="0093589C">
        <w:rPr>
          <w:rFonts w:ascii="Times New Roman" w:hAnsi="Times New Roman"/>
        </w:rPr>
        <w:t> </w:t>
      </w:r>
      <w:r w:rsidR="00B91473" w:rsidRPr="0093589C">
        <w:rPr>
          <w:rFonts w:ascii="Times New Roman" w:hAnsi="Times New Roman"/>
        </w:rPr>
        <w:t>272(2).</w:t>
      </w:r>
    </w:p>
    <w:p w14:paraId="2CB2F81A" w14:textId="74666086" w:rsidR="00933A07" w:rsidRPr="0093589C" w:rsidRDefault="007D6F9D"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183C28" w:rsidRPr="0093589C">
        <w:rPr>
          <w:rFonts w:ascii="Times New Roman" w:hAnsi="Times New Roman"/>
        </w:rPr>
        <w:t xml:space="preserve">So understood, the </w:t>
      </w:r>
      <w:r w:rsidR="00C866AD" w:rsidRPr="0093589C">
        <w:rPr>
          <w:rFonts w:ascii="Times New Roman" w:hAnsi="Times New Roman"/>
        </w:rPr>
        <w:t xml:space="preserve">third </w:t>
      </w:r>
      <w:r w:rsidR="00183C28" w:rsidRPr="0093589C">
        <w:rPr>
          <w:rFonts w:ascii="Times New Roman" w:hAnsi="Times New Roman"/>
        </w:rPr>
        <w:t>c</w:t>
      </w:r>
      <w:r w:rsidR="0047335A" w:rsidRPr="0093589C">
        <w:rPr>
          <w:rFonts w:ascii="Times New Roman" w:hAnsi="Times New Roman"/>
        </w:rPr>
        <w:t>lause</w:t>
      </w:r>
      <w:r w:rsidR="00183C28" w:rsidRPr="0093589C">
        <w:rPr>
          <w:rFonts w:ascii="Times New Roman" w:hAnsi="Times New Roman"/>
        </w:rPr>
        <w:t xml:space="preserve"> </w:t>
      </w:r>
      <w:r w:rsidR="00686A2B" w:rsidRPr="0093589C">
        <w:rPr>
          <w:rFonts w:ascii="Times New Roman" w:hAnsi="Times New Roman"/>
        </w:rPr>
        <w:t>in s</w:t>
      </w:r>
      <w:r w:rsidR="00113FEE" w:rsidRPr="0093589C">
        <w:rPr>
          <w:rFonts w:ascii="Times New Roman" w:hAnsi="Times New Roman"/>
        </w:rPr>
        <w:t> </w:t>
      </w:r>
      <w:r w:rsidR="00686A2B" w:rsidRPr="0093589C">
        <w:rPr>
          <w:rFonts w:ascii="Times New Roman" w:hAnsi="Times New Roman"/>
        </w:rPr>
        <w:t xml:space="preserve">272(2) </w:t>
      </w:r>
      <w:r w:rsidR="00183C28" w:rsidRPr="0093589C">
        <w:rPr>
          <w:rFonts w:ascii="Times New Roman" w:hAnsi="Times New Roman"/>
        </w:rPr>
        <w:t xml:space="preserve">focuses on </w:t>
      </w:r>
      <w:r w:rsidR="00A86ECB" w:rsidRPr="0093589C">
        <w:rPr>
          <w:rFonts w:ascii="Times New Roman" w:hAnsi="Times New Roman"/>
        </w:rPr>
        <w:t xml:space="preserve">the </w:t>
      </w:r>
      <w:r w:rsidR="00FB266A" w:rsidRPr="0093589C">
        <w:rPr>
          <w:rFonts w:ascii="Times New Roman" w:hAnsi="Times New Roman"/>
        </w:rPr>
        <w:t>accused</w:t>
      </w:r>
      <w:r w:rsidR="00A86ECB" w:rsidRPr="0093589C">
        <w:rPr>
          <w:rFonts w:ascii="Times New Roman" w:hAnsi="Times New Roman"/>
        </w:rPr>
        <w:t xml:space="preserve"> who instigated the conflict </w:t>
      </w:r>
      <w:r w:rsidR="00183C28" w:rsidRPr="0093589C">
        <w:rPr>
          <w:rFonts w:ascii="Times New Roman" w:hAnsi="Times New Roman"/>
        </w:rPr>
        <w:t xml:space="preserve">and </w:t>
      </w:r>
      <w:r w:rsidR="00A86ECB" w:rsidRPr="0093589C">
        <w:rPr>
          <w:rFonts w:ascii="Times New Roman" w:hAnsi="Times New Roman"/>
        </w:rPr>
        <w:t xml:space="preserve">requires </w:t>
      </w:r>
      <w:r w:rsidR="00A6343F" w:rsidRPr="0093589C">
        <w:rPr>
          <w:rFonts w:ascii="Times New Roman" w:hAnsi="Times New Roman"/>
        </w:rPr>
        <w:t xml:space="preserve">that </w:t>
      </w:r>
      <w:r w:rsidR="00183C28" w:rsidRPr="0093589C">
        <w:rPr>
          <w:rFonts w:ascii="Times New Roman" w:hAnsi="Times New Roman"/>
        </w:rPr>
        <w:t>the</w:t>
      </w:r>
      <w:r w:rsidR="00A6343F" w:rsidRPr="0093589C">
        <w:rPr>
          <w:rFonts w:ascii="Times New Roman" w:hAnsi="Times New Roman"/>
        </w:rPr>
        <w:t>y</w:t>
      </w:r>
      <w:r w:rsidR="00183C28" w:rsidRPr="0093589C">
        <w:rPr>
          <w:rFonts w:ascii="Times New Roman" w:hAnsi="Times New Roman"/>
        </w:rPr>
        <w:t xml:space="preserve"> </w:t>
      </w:r>
      <w:r w:rsidR="00B93BFF" w:rsidRPr="0093589C">
        <w:rPr>
          <w:rFonts w:ascii="Times New Roman" w:hAnsi="Times New Roman"/>
        </w:rPr>
        <w:t xml:space="preserve">interrupt or </w:t>
      </w:r>
      <w:r w:rsidR="00183C28" w:rsidRPr="0093589C">
        <w:rPr>
          <w:rFonts w:ascii="Times New Roman" w:hAnsi="Times New Roman"/>
        </w:rPr>
        <w:t>remov</w:t>
      </w:r>
      <w:r w:rsidR="00D042CE" w:rsidRPr="0093589C">
        <w:rPr>
          <w:rFonts w:ascii="Times New Roman" w:hAnsi="Times New Roman"/>
        </w:rPr>
        <w:t>e</w:t>
      </w:r>
      <w:r w:rsidR="006901C2" w:rsidRPr="0093589C">
        <w:rPr>
          <w:rFonts w:ascii="Times New Roman" w:hAnsi="Times New Roman"/>
        </w:rPr>
        <w:t>,</w:t>
      </w:r>
      <w:r w:rsidR="00183C28" w:rsidRPr="0093589C">
        <w:rPr>
          <w:rFonts w:ascii="Times New Roman" w:hAnsi="Times New Roman"/>
        </w:rPr>
        <w:t xml:space="preserve"> </w:t>
      </w:r>
      <w:r w:rsidR="00CA0F18" w:rsidRPr="0093589C">
        <w:rPr>
          <w:rFonts w:ascii="Times New Roman" w:hAnsi="Times New Roman"/>
        </w:rPr>
        <w:t>as</w:t>
      </w:r>
      <w:r w:rsidR="005F039A" w:rsidRPr="0093589C">
        <w:rPr>
          <w:rFonts w:ascii="Times New Roman" w:hAnsi="Times New Roman"/>
        </w:rPr>
        <w:t xml:space="preserve"> far as </w:t>
      </w:r>
      <w:r w:rsidR="00001FD3" w:rsidRPr="0093589C">
        <w:rPr>
          <w:rFonts w:ascii="Times New Roman" w:hAnsi="Times New Roman"/>
        </w:rPr>
        <w:t xml:space="preserve">is </w:t>
      </w:r>
      <w:r w:rsidR="005F039A" w:rsidRPr="0093589C">
        <w:rPr>
          <w:rFonts w:ascii="Times New Roman" w:hAnsi="Times New Roman"/>
        </w:rPr>
        <w:t>practicable</w:t>
      </w:r>
      <w:r w:rsidR="006901C2" w:rsidRPr="0093589C">
        <w:rPr>
          <w:rFonts w:ascii="Times New Roman" w:hAnsi="Times New Roman"/>
        </w:rPr>
        <w:t>, th</w:t>
      </w:r>
      <w:r w:rsidR="00C151E5" w:rsidRPr="0093589C">
        <w:rPr>
          <w:rFonts w:ascii="Times New Roman" w:hAnsi="Times New Roman"/>
        </w:rPr>
        <w:t>eir</w:t>
      </w:r>
      <w:r w:rsidR="00D84249" w:rsidRPr="0093589C">
        <w:rPr>
          <w:rFonts w:ascii="Times New Roman" w:hAnsi="Times New Roman"/>
        </w:rPr>
        <w:t> </w:t>
      </w:r>
      <w:r w:rsidR="00B05CAD" w:rsidRPr="0093589C">
        <w:rPr>
          <w:rFonts w:ascii="Times New Roman" w:hAnsi="Times New Roman"/>
        </w:rPr>
        <w:t xml:space="preserve">role in </w:t>
      </w:r>
      <w:r w:rsidR="008261FB" w:rsidRPr="0093589C">
        <w:rPr>
          <w:rFonts w:ascii="Times New Roman" w:hAnsi="Times New Roman"/>
        </w:rPr>
        <w:t>inciting the conflict</w:t>
      </w:r>
      <w:r w:rsidR="00E25778" w:rsidRPr="0093589C">
        <w:rPr>
          <w:rFonts w:ascii="Times New Roman" w:hAnsi="Times New Roman"/>
        </w:rPr>
        <w:t xml:space="preserve"> and thereby their blameworthiness, </w:t>
      </w:r>
      <w:r w:rsidR="00183C28" w:rsidRPr="0093589C">
        <w:rPr>
          <w:rFonts w:ascii="Times New Roman" w:hAnsi="Times New Roman"/>
        </w:rPr>
        <w:t xml:space="preserve">before the </w:t>
      </w:r>
      <w:r w:rsidR="00B93BFF" w:rsidRPr="0093589C">
        <w:rPr>
          <w:rFonts w:ascii="Times New Roman" w:hAnsi="Times New Roman"/>
        </w:rPr>
        <w:t>necessity</w:t>
      </w:r>
      <w:r w:rsidR="00183C28" w:rsidRPr="0093589C">
        <w:rPr>
          <w:rFonts w:ascii="Times New Roman" w:hAnsi="Times New Roman"/>
        </w:rPr>
        <w:t xml:space="preserve"> to engage in </w:t>
      </w:r>
      <w:r w:rsidR="00AF2079" w:rsidRPr="0093589C">
        <w:rPr>
          <w:rFonts w:ascii="Times New Roman" w:hAnsi="Times New Roman"/>
        </w:rPr>
        <w:t>force</w:t>
      </w:r>
      <w:r w:rsidR="00B84152" w:rsidRPr="0093589C">
        <w:rPr>
          <w:rFonts w:ascii="Times New Roman" w:hAnsi="Times New Roman"/>
        </w:rPr>
        <w:t xml:space="preserve"> </w:t>
      </w:r>
      <w:r w:rsidR="00765351" w:rsidRPr="0093589C">
        <w:rPr>
          <w:rFonts w:ascii="Times New Roman" w:hAnsi="Times New Roman"/>
        </w:rPr>
        <w:t xml:space="preserve">which causes death or grievous bodily harm </w:t>
      </w:r>
      <w:r w:rsidR="00B93BFF" w:rsidRPr="0093589C">
        <w:rPr>
          <w:rFonts w:ascii="Times New Roman" w:hAnsi="Times New Roman"/>
        </w:rPr>
        <w:t>can be relied upon as a defence</w:t>
      </w:r>
      <w:r w:rsidR="00183C28" w:rsidRPr="0093589C">
        <w:rPr>
          <w:rFonts w:ascii="Times New Roman" w:hAnsi="Times New Roman"/>
        </w:rPr>
        <w:t xml:space="preserve">. Thus, </w:t>
      </w:r>
      <w:r w:rsidR="006F6FDF" w:rsidRPr="0093589C">
        <w:rPr>
          <w:rFonts w:ascii="Times New Roman" w:hAnsi="Times New Roman"/>
        </w:rPr>
        <w:t>where the accused could have</w:t>
      </w:r>
      <w:r w:rsidR="00CA0F18" w:rsidRPr="0093589C">
        <w:rPr>
          <w:rFonts w:ascii="Times New Roman" w:hAnsi="Times New Roman"/>
        </w:rPr>
        <w:t xml:space="preserve"> attempted</w:t>
      </w:r>
      <w:r w:rsidR="006F6FDF" w:rsidRPr="0093589C">
        <w:rPr>
          <w:rFonts w:ascii="Times New Roman" w:hAnsi="Times New Roman"/>
        </w:rPr>
        <w:t>, but</w:t>
      </w:r>
      <w:r w:rsidR="00113FEE" w:rsidRPr="0093589C">
        <w:rPr>
          <w:rFonts w:ascii="Times New Roman" w:hAnsi="Times New Roman"/>
        </w:rPr>
        <w:t xml:space="preserve"> </w:t>
      </w:r>
      <w:r w:rsidR="006F6FDF" w:rsidRPr="0093589C">
        <w:rPr>
          <w:rFonts w:ascii="Times New Roman" w:hAnsi="Times New Roman"/>
        </w:rPr>
        <w:t>did not attempt</w:t>
      </w:r>
      <w:r w:rsidR="00CA0F18" w:rsidRPr="0093589C">
        <w:rPr>
          <w:rFonts w:ascii="Times New Roman" w:hAnsi="Times New Roman"/>
        </w:rPr>
        <w:t>,</w:t>
      </w:r>
      <w:r w:rsidR="006F6FDF" w:rsidRPr="0093589C">
        <w:rPr>
          <w:rFonts w:ascii="Times New Roman" w:hAnsi="Times New Roman"/>
        </w:rPr>
        <w:t xml:space="preserve"> to quit </w:t>
      </w:r>
      <w:r w:rsidR="000D7234" w:rsidRPr="0093589C">
        <w:rPr>
          <w:rFonts w:ascii="Times New Roman" w:hAnsi="Times New Roman"/>
        </w:rPr>
        <w:t>the conflict or retreat from it</w:t>
      </w:r>
      <w:r w:rsidR="006F6FDF" w:rsidRPr="0093589C">
        <w:rPr>
          <w:rFonts w:ascii="Times New Roman" w:hAnsi="Times New Roman"/>
        </w:rPr>
        <w:t xml:space="preserve"> before the necessity of resorting to force in self</w:t>
      </w:r>
      <w:r w:rsidR="00953B4F" w:rsidRPr="0093589C">
        <w:rPr>
          <w:rFonts w:ascii="Times New Roman" w:hAnsi="Times New Roman"/>
        </w:rPr>
        <w:noBreakHyphen/>
      </w:r>
      <w:r w:rsidR="006F6FDF" w:rsidRPr="0093589C">
        <w:rPr>
          <w:rFonts w:ascii="Times New Roman" w:hAnsi="Times New Roman"/>
        </w:rPr>
        <w:t>defence arose,</w:t>
      </w:r>
      <w:r w:rsidR="008641B0" w:rsidRPr="0093589C">
        <w:rPr>
          <w:rFonts w:ascii="Times New Roman" w:hAnsi="Times New Roman"/>
        </w:rPr>
        <w:t xml:space="preserve"> </w:t>
      </w:r>
      <w:r w:rsidR="00183C28" w:rsidRPr="0093589C">
        <w:rPr>
          <w:rFonts w:ascii="Times New Roman" w:hAnsi="Times New Roman"/>
        </w:rPr>
        <w:t xml:space="preserve">then </w:t>
      </w:r>
      <w:r w:rsidR="005E0C84" w:rsidRPr="0093589C">
        <w:rPr>
          <w:rFonts w:ascii="Times New Roman" w:hAnsi="Times New Roman"/>
        </w:rPr>
        <w:t xml:space="preserve">their </w:t>
      </w:r>
      <w:r w:rsidR="00183C28" w:rsidRPr="0093589C">
        <w:rPr>
          <w:rFonts w:ascii="Times New Roman" w:hAnsi="Times New Roman"/>
        </w:rPr>
        <w:t>conduct</w:t>
      </w:r>
      <w:r w:rsidR="00183C28" w:rsidRPr="0093589C" w:rsidDel="005E0C84">
        <w:rPr>
          <w:rFonts w:ascii="Times New Roman" w:hAnsi="Times New Roman"/>
        </w:rPr>
        <w:t xml:space="preserve"> </w:t>
      </w:r>
      <w:r w:rsidR="00183C28" w:rsidRPr="0093589C">
        <w:rPr>
          <w:rFonts w:ascii="Times New Roman" w:hAnsi="Times New Roman"/>
        </w:rPr>
        <w:t>which results in grave consequences cannot be excused</w:t>
      </w:r>
      <w:r w:rsidR="00EF651B" w:rsidRPr="0093589C">
        <w:rPr>
          <w:rFonts w:ascii="Times New Roman" w:hAnsi="Times New Roman"/>
        </w:rPr>
        <w:t>,</w:t>
      </w:r>
      <w:r w:rsidR="00183C28" w:rsidRPr="0093589C">
        <w:rPr>
          <w:rFonts w:ascii="Times New Roman" w:hAnsi="Times New Roman"/>
        </w:rPr>
        <w:t xml:space="preserve"> as </w:t>
      </w:r>
      <w:r w:rsidR="000F253D" w:rsidRPr="0093589C">
        <w:rPr>
          <w:rFonts w:ascii="Times New Roman" w:hAnsi="Times New Roman"/>
        </w:rPr>
        <w:t xml:space="preserve">the </w:t>
      </w:r>
      <w:r w:rsidR="00B42128" w:rsidRPr="0093589C">
        <w:rPr>
          <w:rFonts w:ascii="Times New Roman" w:hAnsi="Times New Roman"/>
        </w:rPr>
        <w:t>conflict</w:t>
      </w:r>
      <w:r w:rsidR="000F253D" w:rsidRPr="0093589C">
        <w:rPr>
          <w:rFonts w:ascii="Times New Roman" w:hAnsi="Times New Roman"/>
        </w:rPr>
        <w:t xml:space="preserve"> </w:t>
      </w:r>
      <w:r w:rsidR="00183C28" w:rsidRPr="0093589C">
        <w:rPr>
          <w:rFonts w:ascii="Times New Roman" w:hAnsi="Times New Roman"/>
        </w:rPr>
        <w:t xml:space="preserve">was </w:t>
      </w:r>
      <w:r w:rsidR="00FA0D97" w:rsidRPr="0093589C">
        <w:rPr>
          <w:rFonts w:ascii="Times New Roman" w:hAnsi="Times New Roman"/>
        </w:rPr>
        <w:t>instigated</w:t>
      </w:r>
      <w:r w:rsidR="00183C28" w:rsidRPr="0093589C">
        <w:rPr>
          <w:rFonts w:ascii="Times New Roman" w:hAnsi="Times New Roman"/>
        </w:rPr>
        <w:t xml:space="preserve"> </w:t>
      </w:r>
      <w:r w:rsidR="009B3818" w:rsidRPr="0093589C">
        <w:rPr>
          <w:rFonts w:ascii="Times New Roman" w:hAnsi="Times New Roman"/>
        </w:rPr>
        <w:t xml:space="preserve">and continued </w:t>
      </w:r>
      <w:r w:rsidR="00183C28" w:rsidRPr="0093589C">
        <w:rPr>
          <w:rFonts w:ascii="Times New Roman" w:hAnsi="Times New Roman"/>
        </w:rPr>
        <w:t xml:space="preserve">by them. </w:t>
      </w:r>
    </w:p>
    <w:p w14:paraId="32EC80F2" w14:textId="1F0631C5" w:rsidR="002F088E" w:rsidRPr="0093589C" w:rsidRDefault="00933A07"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916023" w:rsidRPr="0093589C">
        <w:rPr>
          <w:rFonts w:ascii="Times New Roman" w:hAnsi="Times New Roman"/>
        </w:rPr>
        <w:t xml:space="preserve">Put another way, if the accused has engaged in force which has provoked the other person to retaliate with equal force, </w:t>
      </w:r>
      <w:r w:rsidR="00F5632A" w:rsidRPr="0093589C">
        <w:rPr>
          <w:rFonts w:ascii="Times New Roman" w:hAnsi="Times New Roman"/>
        </w:rPr>
        <w:t xml:space="preserve">the accused </w:t>
      </w:r>
      <w:r w:rsidR="00916023" w:rsidRPr="0093589C">
        <w:rPr>
          <w:rFonts w:ascii="Times New Roman" w:hAnsi="Times New Roman"/>
        </w:rPr>
        <w:t>should not get the benefit of self</w:t>
      </w:r>
      <w:r w:rsidR="00A12622" w:rsidRPr="0093589C">
        <w:rPr>
          <w:rFonts w:ascii="Times New Roman" w:hAnsi="Times New Roman"/>
        </w:rPr>
        <w:noBreakHyphen/>
      </w:r>
      <w:r w:rsidR="00916023" w:rsidRPr="0093589C">
        <w:rPr>
          <w:rFonts w:ascii="Times New Roman" w:hAnsi="Times New Roman"/>
        </w:rPr>
        <w:t xml:space="preserve">defence without first retreating. The relevance of retreat, in this context, is that it eliminates the </w:t>
      </w:r>
      <w:r w:rsidR="007257E5" w:rsidRPr="0093589C">
        <w:rPr>
          <w:rFonts w:ascii="Times New Roman" w:hAnsi="Times New Roman"/>
        </w:rPr>
        <w:t xml:space="preserve">accused's </w:t>
      </w:r>
      <w:r w:rsidR="00DD2E36" w:rsidRPr="0093589C">
        <w:rPr>
          <w:rFonts w:ascii="Times New Roman" w:hAnsi="Times New Roman"/>
        </w:rPr>
        <w:t xml:space="preserve">provocation </w:t>
      </w:r>
      <w:r w:rsidR="00603E04" w:rsidRPr="0093589C">
        <w:rPr>
          <w:rFonts w:ascii="Times New Roman" w:hAnsi="Times New Roman"/>
        </w:rPr>
        <w:t>of</w:t>
      </w:r>
      <w:r w:rsidR="00916023" w:rsidRPr="0093589C">
        <w:rPr>
          <w:rFonts w:ascii="Times New Roman" w:hAnsi="Times New Roman"/>
        </w:rPr>
        <w:t xml:space="preserve"> the other person to </w:t>
      </w:r>
      <w:r w:rsidR="00995C25" w:rsidRPr="0093589C">
        <w:rPr>
          <w:rFonts w:ascii="Times New Roman" w:hAnsi="Times New Roman"/>
        </w:rPr>
        <w:t>engage in</w:t>
      </w:r>
      <w:r w:rsidR="002B5C10" w:rsidRPr="0093589C">
        <w:rPr>
          <w:rFonts w:ascii="Times New Roman" w:hAnsi="Times New Roman"/>
        </w:rPr>
        <w:t xml:space="preserve"> such</w:t>
      </w:r>
      <w:r w:rsidR="00404CEF" w:rsidRPr="0093589C">
        <w:rPr>
          <w:rFonts w:ascii="Times New Roman" w:hAnsi="Times New Roman"/>
        </w:rPr>
        <w:t xml:space="preserve"> force</w:t>
      </w:r>
      <w:r w:rsidR="00916023" w:rsidRPr="0093589C">
        <w:rPr>
          <w:rFonts w:ascii="Times New Roman" w:hAnsi="Times New Roman"/>
        </w:rPr>
        <w:t xml:space="preserve">. </w:t>
      </w:r>
      <w:proofErr w:type="gramStart"/>
      <w:r w:rsidR="00916023" w:rsidRPr="0093589C">
        <w:rPr>
          <w:rFonts w:ascii="Times New Roman" w:hAnsi="Times New Roman"/>
        </w:rPr>
        <w:t>In the event that</w:t>
      </w:r>
      <w:proofErr w:type="gramEnd"/>
      <w:r w:rsidR="00916023" w:rsidRPr="0093589C">
        <w:rPr>
          <w:rFonts w:ascii="Times New Roman" w:hAnsi="Times New Roman"/>
        </w:rPr>
        <w:t xml:space="preserve"> </w:t>
      </w:r>
      <w:r w:rsidR="001C1065" w:rsidRPr="0093589C">
        <w:rPr>
          <w:rFonts w:ascii="Times New Roman" w:hAnsi="Times New Roman"/>
        </w:rPr>
        <w:t xml:space="preserve">the other </w:t>
      </w:r>
      <w:r w:rsidR="00916023" w:rsidRPr="0093589C">
        <w:rPr>
          <w:rFonts w:ascii="Times New Roman" w:hAnsi="Times New Roman"/>
        </w:rPr>
        <w:t xml:space="preserve">person nevertheless proceeds to engage in force </w:t>
      </w:r>
      <w:r w:rsidR="00EC754E" w:rsidRPr="0093589C">
        <w:rPr>
          <w:rFonts w:ascii="Times New Roman" w:hAnsi="Times New Roman"/>
        </w:rPr>
        <w:t xml:space="preserve">so </w:t>
      </w:r>
      <w:r w:rsidR="00052BFE" w:rsidRPr="0093589C">
        <w:rPr>
          <w:rFonts w:ascii="Times New Roman" w:hAnsi="Times New Roman"/>
        </w:rPr>
        <w:t xml:space="preserve">as to </w:t>
      </w:r>
      <w:r w:rsidR="002F088E" w:rsidRPr="0093589C">
        <w:rPr>
          <w:rFonts w:ascii="Times New Roman" w:hAnsi="Times New Roman"/>
        </w:rPr>
        <w:t>caus</w:t>
      </w:r>
      <w:r w:rsidR="00052BFE" w:rsidRPr="0093589C">
        <w:rPr>
          <w:rFonts w:ascii="Times New Roman" w:hAnsi="Times New Roman"/>
        </w:rPr>
        <w:t>e</w:t>
      </w:r>
      <w:r w:rsidR="00F02C3E" w:rsidRPr="0093589C">
        <w:rPr>
          <w:rFonts w:ascii="Times New Roman" w:hAnsi="Times New Roman"/>
        </w:rPr>
        <w:t xml:space="preserve"> a reasonable apprehension of </w:t>
      </w:r>
      <w:r w:rsidR="002F088E" w:rsidRPr="0093589C">
        <w:rPr>
          <w:rFonts w:ascii="Times New Roman" w:hAnsi="Times New Roman"/>
        </w:rPr>
        <w:t>death or grievous bodily harm</w:t>
      </w:r>
      <w:r w:rsidR="00203AC0" w:rsidRPr="0093589C">
        <w:rPr>
          <w:rFonts w:ascii="Times New Roman" w:hAnsi="Times New Roman"/>
        </w:rPr>
        <w:t> </w:t>
      </w:r>
      <w:r w:rsidR="002F088E" w:rsidRPr="0093589C">
        <w:rPr>
          <w:rFonts w:ascii="Times New Roman" w:hAnsi="Times New Roman"/>
        </w:rPr>
        <w:t>–</w:t>
      </w:r>
      <w:r w:rsidR="00916023" w:rsidRPr="0093589C">
        <w:rPr>
          <w:rFonts w:ascii="Times New Roman" w:hAnsi="Times New Roman"/>
        </w:rPr>
        <w:t xml:space="preserve"> that is, they re</w:t>
      </w:r>
      <w:r w:rsidR="00A12622" w:rsidRPr="0093589C">
        <w:rPr>
          <w:rFonts w:ascii="Times New Roman" w:hAnsi="Times New Roman"/>
        </w:rPr>
        <w:noBreakHyphen/>
      </w:r>
      <w:r w:rsidR="00916023" w:rsidRPr="0093589C">
        <w:rPr>
          <w:rFonts w:ascii="Times New Roman" w:hAnsi="Times New Roman"/>
        </w:rPr>
        <w:t xml:space="preserve">introduce </w:t>
      </w:r>
      <w:r w:rsidR="00C0670C" w:rsidRPr="0093589C">
        <w:rPr>
          <w:rFonts w:ascii="Times New Roman" w:hAnsi="Times New Roman"/>
        </w:rPr>
        <w:t>conflict</w:t>
      </w:r>
      <w:r w:rsidR="002F088E" w:rsidRPr="0093589C">
        <w:rPr>
          <w:rFonts w:ascii="Times New Roman" w:hAnsi="Times New Roman"/>
        </w:rPr>
        <w:t xml:space="preserve"> –</w:t>
      </w:r>
      <w:r w:rsidR="00916023" w:rsidRPr="0093589C">
        <w:rPr>
          <w:rFonts w:ascii="Times New Roman" w:hAnsi="Times New Roman"/>
        </w:rPr>
        <w:t xml:space="preserve"> they</w:t>
      </w:r>
      <w:r w:rsidR="001E5459" w:rsidRPr="0093589C">
        <w:rPr>
          <w:rFonts w:ascii="Times New Roman" w:hAnsi="Times New Roman"/>
        </w:rPr>
        <w:t> </w:t>
      </w:r>
      <w:r w:rsidR="00916023" w:rsidRPr="0093589C">
        <w:rPr>
          <w:rFonts w:ascii="Times New Roman" w:hAnsi="Times New Roman"/>
        </w:rPr>
        <w:t xml:space="preserve">become the primary aggressor, thereby entitling the accused to resort to such force as is necessary to protect </w:t>
      </w:r>
      <w:r w:rsidR="00D3210E" w:rsidRPr="0093589C">
        <w:rPr>
          <w:rFonts w:ascii="Times New Roman" w:hAnsi="Times New Roman"/>
        </w:rPr>
        <w:t>themselves</w:t>
      </w:r>
      <w:r w:rsidR="00916023" w:rsidRPr="0093589C">
        <w:rPr>
          <w:rFonts w:ascii="Times New Roman" w:hAnsi="Times New Roman"/>
        </w:rPr>
        <w:t xml:space="preserve"> against such escalatory action.</w:t>
      </w:r>
      <w:r w:rsidR="00C0670C" w:rsidRPr="0093589C">
        <w:rPr>
          <w:rFonts w:ascii="Times New Roman" w:hAnsi="Times New Roman"/>
        </w:rPr>
        <w:t xml:space="preserve"> </w:t>
      </w:r>
    </w:p>
    <w:p w14:paraId="2AE14C32" w14:textId="66AB4068" w:rsidR="000961A2" w:rsidRPr="0093589C" w:rsidRDefault="00B019A6" w:rsidP="0093589C">
      <w:pPr>
        <w:pStyle w:val="FixListStyle"/>
        <w:spacing w:after="260" w:line="280" w:lineRule="exact"/>
        <w:ind w:right="0"/>
        <w:jc w:val="both"/>
        <w:rPr>
          <w:rFonts w:ascii="Times New Roman" w:hAnsi="Times New Roman"/>
        </w:rPr>
      </w:pPr>
      <w:r w:rsidRPr="0093589C">
        <w:rPr>
          <w:rFonts w:ascii="Times New Roman" w:hAnsi="Times New Roman"/>
        </w:rPr>
        <w:tab/>
      </w:r>
      <w:r w:rsidR="00856B19" w:rsidRPr="0093589C">
        <w:rPr>
          <w:rFonts w:ascii="Times New Roman" w:hAnsi="Times New Roman"/>
        </w:rPr>
        <w:t xml:space="preserve">As is clear, the retreat requirement is confined in two ways. It applies only to the extent that a retreat is practicable. </w:t>
      </w:r>
      <w:r w:rsidRPr="0093589C">
        <w:rPr>
          <w:rFonts w:ascii="Times New Roman" w:hAnsi="Times New Roman"/>
        </w:rPr>
        <w:t xml:space="preserve">On no view does the third clause </w:t>
      </w:r>
      <w:r w:rsidR="00235F74" w:rsidRPr="0093589C">
        <w:rPr>
          <w:rFonts w:ascii="Times New Roman" w:hAnsi="Times New Roman"/>
        </w:rPr>
        <w:t xml:space="preserve">necessarily </w:t>
      </w:r>
      <w:r w:rsidRPr="0093589C">
        <w:rPr>
          <w:rFonts w:ascii="Times New Roman" w:hAnsi="Times New Roman"/>
        </w:rPr>
        <w:t>require an accused to retreat in the face of a disproportionate lethal response.</w:t>
      </w:r>
      <w:r w:rsidR="0034148F" w:rsidRPr="0093589C">
        <w:rPr>
          <w:rFonts w:ascii="Times New Roman" w:hAnsi="Times New Roman"/>
        </w:rPr>
        <w:t xml:space="preserve"> Further,</w:t>
      </w:r>
      <w:r w:rsidR="00113FEE" w:rsidRPr="0093589C">
        <w:rPr>
          <w:rFonts w:ascii="Times New Roman" w:hAnsi="Times New Roman"/>
        </w:rPr>
        <w:t xml:space="preserve"> </w:t>
      </w:r>
      <w:r w:rsidR="0034148F" w:rsidRPr="0093589C">
        <w:rPr>
          <w:rFonts w:ascii="Times New Roman" w:hAnsi="Times New Roman"/>
        </w:rPr>
        <w:t xml:space="preserve">consistent with the first two clauses in </w:t>
      </w:r>
      <w:r w:rsidR="002C23F4" w:rsidRPr="0093589C">
        <w:rPr>
          <w:rFonts w:ascii="Times New Roman" w:hAnsi="Times New Roman"/>
        </w:rPr>
        <w:t>s 272</w:t>
      </w:r>
      <w:r w:rsidR="0034148F" w:rsidRPr="0093589C">
        <w:rPr>
          <w:rFonts w:ascii="Times New Roman" w:hAnsi="Times New Roman"/>
        </w:rPr>
        <w:t>(2), the</w:t>
      </w:r>
      <w:r w:rsidR="00E62F8A" w:rsidRPr="0093589C">
        <w:rPr>
          <w:rFonts w:ascii="Times New Roman" w:hAnsi="Times New Roman"/>
        </w:rPr>
        <w:t xml:space="preserve"> </w:t>
      </w:r>
      <w:r w:rsidR="0034148F" w:rsidRPr="0093589C">
        <w:rPr>
          <w:rFonts w:ascii="Times New Roman" w:hAnsi="Times New Roman"/>
        </w:rPr>
        <w:t>clause operates only to limit the availability of the protection in</w:t>
      </w:r>
      <w:r w:rsidR="00203AC0" w:rsidRPr="0093589C">
        <w:rPr>
          <w:rFonts w:ascii="Times New Roman" w:hAnsi="Times New Roman"/>
        </w:rPr>
        <w:t xml:space="preserve"> </w:t>
      </w:r>
      <w:r w:rsidR="002C23F4" w:rsidRPr="0093589C">
        <w:rPr>
          <w:rFonts w:ascii="Times New Roman" w:hAnsi="Times New Roman"/>
        </w:rPr>
        <w:t>s</w:t>
      </w:r>
      <w:r w:rsidR="00CD6104" w:rsidRPr="0093589C">
        <w:rPr>
          <w:rFonts w:ascii="Times New Roman" w:hAnsi="Times New Roman"/>
        </w:rPr>
        <w:t> </w:t>
      </w:r>
      <w:r w:rsidR="002C23F4" w:rsidRPr="0093589C">
        <w:rPr>
          <w:rFonts w:ascii="Times New Roman" w:hAnsi="Times New Roman"/>
        </w:rPr>
        <w:t>272</w:t>
      </w:r>
      <w:r w:rsidR="0034148F" w:rsidRPr="0093589C">
        <w:rPr>
          <w:rFonts w:ascii="Times New Roman" w:hAnsi="Times New Roman"/>
        </w:rPr>
        <w:t xml:space="preserve">(1) in the most extreme of cases, where the accused's use of force occasions death or grievous bodily harm. </w:t>
      </w:r>
      <w:r w:rsidR="00A62B27" w:rsidRPr="0093589C">
        <w:rPr>
          <w:rFonts w:ascii="Times New Roman" w:hAnsi="Times New Roman"/>
        </w:rPr>
        <w:t>However, unlike the first two clauses,</w:t>
      </w:r>
      <w:r w:rsidR="00BF63F5" w:rsidRPr="0093589C">
        <w:rPr>
          <w:rFonts w:ascii="Times New Roman" w:hAnsi="Times New Roman"/>
        </w:rPr>
        <w:t xml:space="preserve"> </w:t>
      </w:r>
      <w:r w:rsidR="002C23F4" w:rsidRPr="0093589C">
        <w:rPr>
          <w:rFonts w:ascii="Times New Roman" w:hAnsi="Times New Roman"/>
        </w:rPr>
        <w:t>the third clause</w:t>
      </w:r>
      <w:r w:rsidR="00770C13" w:rsidRPr="0093589C">
        <w:rPr>
          <w:rFonts w:ascii="Times New Roman" w:hAnsi="Times New Roman"/>
        </w:rPr>
        <w:t xml:space="preserve"> </w:t>
      </w:r>
      <w:r w:rsidR="00BF63F5" w:rsidRPr="0093589C">
        <w:rPr>
          <w:rFonts w:ascii="Times New Roman" w:hAnsi="Times New Roman"/>
        </w:rPr>
        <w:t>is not concerned with whether a</w:t>
      </w:r>
      <w:r w:rsidR="002C23F4" w:rsidRPr="0093589C">
        <w:rPr>
          <w:rFonts w:ascii="Times New Roman" w:hAnsi="Times New Roman"/>
        </w:rPr>
        <w:t>n accused</w:t>
      </w:r>
      <w:r w:rsidR="00BF63F5" w:rsidRPr="0093589C">
        <w:rPr>
          <w:rFonts w:ascii="Times New Roman" w:hAnsi="Times New Roman"/>
        </w:rPr>
        <w:t xml:space="preserve"> had or acquired an intention to kill or cause </w:t>
      </w:r>
      <w:r w:rsidR="00CB1841" w:rsidRPr="0093589C">
        <w:rPr>
          <w:rFonts w:ascii="Times New Roman" w:hAnsi="Times New Roman"/>
        </w:rPr>
        <w:t>grievous bodily harm</w:t>
      </w:r>
      <w:r w:rsidR="00D44564" w:rsidRPr="0093589C">
        <w:rPr>
          <w:rFonts w:ascii="Times New Roman" w:hAnsi="Times New Roman"/>
        </w:rPr>
        <w:t xml:space="preserve">. </w:t>
      </w:r>
      <w:r w:rsidR="001D070D" w:rsidRPr="0093589C">
        <w:rPr>
          <w:rFonts w:ascii="Times New Roman" w:hAnsi="Times New Roman"/>
        </w:rPr>
        <w:t xml:space="preserve">Instead, it </w:t>
      </w:r>
      <w:r w:rsidR="00A83497" w:rsidRPr="0093589C">
        <w:rPr>
          <w:rFonts w:ascii="Times New Roman" w:hAnsi="Times New Roman"/>
        </w:rPr>
        <w:t>operates to deny the protection in s</w:t>
      </w:r>
      <w:r w:rsidR="00934586" w:rsidRPr="0093589C">
        <w:rPr>
          <w:rFonts w:ascii="Times New Roman" w:hAnsi="Times New Roman"/>
        </w:rPr>
        <w:t> </w:t>
      </w:r>
      <w:r w:rsidR="00A83497" w:rsidRPr="0093589C">
        <w:rPr>
          <w:rFonts w:ascii="Times New Roman" w:hAnsi="Times New Roman"/>
        </w:rPr>
        <w:t>272(1) in all cases where the accused uses force which causes death or grievous bodily harm, unless the accused first retreated from the conflict before engaging in such force.</w:t>
      </w:r>
    </w:p>
    <w:p w14:paraId="2034ED1D" w14:textId="77777777" w:rsidR="000961A2" w:rsidRPr="0093589C" w:rsidRDefault="000961A2" w:rsidP="0093589C">
      <w:pPr>
        <w:pStyle w:val="HeadingL1"/>
        <w:spacing w:after="260" w:line="280" w:lineRule="exact"/>
        <w:ind w:right="0"/>
        <w:jc w:val="both"/>
        <w:rPr>
          <w:rFonts w:ascii="Times New Roman" w:hAnsi="Times New Roman"/>
        </w:rPr>
      </w:pPr>
      <w:r w:rsidRPr="0093589C">
        <w:rPr>
          <w:rFonts w:ascii="Times New Roman" w:hAnsi="Times New Roman"/>
        </w:rPr>
        <w:t>Conclusion</w:t>
      </w:r>
    </w:p>
    <w:p w14:paraId="0A9B39F6" w14:textId="21C43D70" w:rsidR="00B019A6" w:rsidRPr="0093589C" w:rsidRDefault="000961A2" w:rsidP="0093589C">
      <w:pPr>
        <w:pStyle w:val="FixListStyle"/>
        <w:spacing w:after="260" w:line="280" w:lineRule="exact"/>
        <w:ind w:right="0"/>
        <w:jc w:val="both"/>
        <w:rPr>
          <w:rFonts w:ascii="Times New Roman" w:hAnsi="Times New Roman"/>
        </w:rPr>
      </w:pPr>
      <w:r w:rsidRPr="0093589C">
        <w:rPr>
          <w:rFonts w:ascii="Times New Roman" w:hAnsi="Times New Roman"/>
        </w:rPr>
        <w:tab/>
        <w:t xml:space="preserve">The appeal must be dismissed. </w:t>
      </w:r>
    </w:p>
    <w:sectPr w:rsidR="00B019A6" w:rsidRPr="0093589C" w:rsidSect="006F46D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033D" w14:textId="77777777" w:rsidR="00174689" w:rsidRDefault="00174689">
      <w:pPr>
        <w:spacing w:line="240" w:lineRule="auto"/>
      </w:pPr>
      <w:r>
        <w:separator/>
      </w:r>
    </w:p>
  </w:endnote>
  <w:endnote w:type="continuationSeparator" w:id="0">
    <w:p w14:paraId="3391C8B7" w14:textId="77777777" w:rsidR="00174689" w:rsidRDefault="00174689">
      <w:pPr>
        <w:spacing w:line="240" w:lineRule="auto"/>
      </w:pPr>
      <w:r>
        <w:continuationSeparator/>
      </w:r>
    </w:p>
  </w:endnote>
  <w:endnote w:type="continuationNotice" w:id="1">
    <w:p w14:paraId="479BC437" w14:textId="77777777" w:rsidR="00174689" w:rsidRDefault="00174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23DA" w14:textId="77777777" w:rsidR="006F46DC" w:rsidRDefault="006F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86DD" w14:textId="77777777" w:rsidR="006F46DC" w:rsidRDefault="006F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D277" w14:textId="77777777" w:rsidR="006F46DC" w:rsidRDefault="006F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3160" w14:textId="77777777" w:rsidR="006F46DC" w:rsidRDefault="006F46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8501" w14:textId="77777777" w:rsidR="006F46DC" w:rsidRDefault="006F46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33D9" w14:textId="77777777" w:rsidR="006F46DC" w:rsidRDefault="006F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0A4F" w14:textId="77777777" w:rsidR="00174689" w:rsidRPr="0093589C" w:rsidRDefault="00174689" w:rsidP="0093589C">
      <w:pPr>
        <w:pStyle w:val="Footer"/>
        <w:spacing w:before="120" w:after="20"/>
        <w:ind w:right="0"/>
        <w:rPr>
          <w:rFonts w:ascii="Times New Roman" w:hAnsi="Times New Roman"/>
        </w:rPr>
      </w:pPr>
      <w:r>
        <w:continuationSeparator/>
      </w:r>
    </w:p>
  </w:footnote>
  <w:footnote w:type="continuationSeparator" w:id="0">
    <w:p w14:paraId="733AFA06" w14:textId="77777777" w:rsidR="00174689" w:rsidRPr="0093589C" w:rsidRDefault="00174689" w:rsidP="0093589C">
      <w:pPr>
        <w:pStyle w:val="Footer"/>
        <w:spacing w:before="120" w:after="20"/>
        <w:ind w:right="0"/>
        <w:rPr>
          <w:rFonts w:ascii="Times New Roman" w:hAnsi="Times New Roman"/>
        </w:rPr>
      </w:pPr>
      <w:r w:rsidRPr="0093589C">
        <w:rPr>
          <w:rFonts w:ascii="Times New Roman" w:hAnsi="Times New Roman"/>
        </w:rPr>
        <w:continuationSeparator/>
      </w:r>
    </w:p>
  </w:footnote>
  <w:footnote w:type="continuationNotice" w:id="1">
    <w:p w14:paraId="087FE11D" w14:textId="77777777" w:rsidR="00174689" w:rsidRPr="00A31F58" w:rsidRDefault="00174689">
      <w:pPr>
        <w:jc w:val="right"/>
        <w:rPr>
          <w:rFonts w:ascii="Times New Roman" w:hAnsi="Times New Roman"/>
          <w:sz w:val="24"/>
        </w:rPr>
      </w:pPr>
    </w:p>
  </w:footnote>
  <w:footnote w:id="2">
    <w:p w14:paraId="462CCB3C" w14:textId="59306081" w:rsidR="00753650" w:rsidRPr="0093589C" w:rsidRDefault="00753650" w:rsidP="0093589C">
      <w:pPr>
        <w:pStyle w:val="FootnoteText"/>
        <w:spacing w:line="280" w:lineRule="exact"/>
        <w:ind w:right="0"/>
        <w:jc w:val="both"/>
        <w:rPr>
          <w:rFonts w:ascii="Times New Roman" w:hAnsi="Times New Roman"/>
          <w:sz w:val="24"/>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rPr>
        <w:tab/>
      </w:r>
      <w:r w:rsidR="00636645" w:rsidRPr="0093589C">
        <w:rPr>
          <w:rFonts w:ascii="Times New Roman" w:hAnsi="Times New Roman"/>
          <w:sz w:val="24"/>
          <w:lang w:val="en-US"/>
        </w:rPr>
        <w:t>(2023) 13 QR 650</w:t>
      </w:r>
      <w:r w:rsidRPr="0093589C">
        <w:rPr>
          <w:rFonts w:ascii="Times New Roman" w:hAnsi="Times New Roman"/>
          <w:sz w:val="24"/>
          <w:lang w:val="en-US"/>
        </w:rPr>
        <w:t>.</w:t>
      </w:r>
    </w:p>
  </w:footnote>
  <w:footnote w:id="3">
    <w:p w14:paraId="2B3807B4" w14:textId="2FF324A8" w:rsidR="00F6417B" w:rsidRPr="0093589C" w:rsidRDefault="00F6417B" w:rsidP="0093589C">
      <w:pPr>
        <w:pStyle w:val="FootnoteText"/>
        <w:spacing w:line="280" w:lineRule="exact"/>
        <w:ind w:right="0"/>
        <w:jc w:val="both"/>
        <w:rPr>
          <w:rFonts w:ascii="Times New Roman" w:hAnsi="Times New Roman"/>
          <w:sz w:val="24"/>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rPr>
        <w:tab/>
      </w:r>
      <w:r w:rsidR="00636645" w:rsidRPr="0093589C">
        <w:rPr>
          <w:rFonts w:ascii="Times New Roman" w:hAnsi="Times New Roman"/>
          <w:sz w:val="24"/>
        </w:rPr>
        <w:t>(2020) 10 QR 638</w:t>
      </w:r>
      <w:r w:rsidRPr="0093589C">
        <w:rPr>
          <w:rFonts w:ascii="Times New Roman" w:hAnsi="Times New Roman"/>
          <w:sz w:val="24"/>
          <w:lang w:val="en-US"/>
        </w:rPr>
        <w:t>.</w:t>
      </w:r>
    </w:p>
  </w:footnote>
  <w:footnote w:id="4">
    <w:p w14:paraId="1ABE9203" w14:textId="4FF0CC64" w:rsidR="001C3027" w:rsidRPr="0093589C" w:rsidRDefault="001C3027" w:rsidP="0093589C">
      <w:pPr>
        <w:pStyle w:val="FootnoteText"/>
        <w:spacing w:line="280" w:lineRule="exact"/>
        <w:ind w:right="0"/>
        <w:jc w:val="both"/>
        <w:rPr>
          <w:rFonts w:ascii="Times New Roman" w:hAnsi="Times New Roman"/>
          <w:sz w:val="24"/>
          <w:lang w:val="en-US"/>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lang w:val="en-US"/>
        </w:rPr>
        <w:tab/>
      </w:r>
      <w:r w:rsidR="009B4031" w:rsidRPr="0093589C">
        <w:rPr>
          <w:rFonts w:ascii="Times New Roman" w:hAnsi="Times New Roman"/>
          <w:i/>
          <w:iCs/>
          <w:sz w:val="24"/>
          <w:lang w:val="en-US"/>
        </w:rPr>
        <w:t xml:space="preserve">R v </w:t>
      </w:r>
      <w:proofErr w:type="spellStart"/>
      <w:r w:rsidRPr="0093589C">
        <w:rPr>
          <w:rFonts w:ascii="Times New Roman" w:hAnsi="Times New Roman"/>
          <w:i/>
          <w:iCs/>
          <w:sz w:val="24"/>
          <w:lang w:val="en-US"/>
        </w:rPr>
        <w:t>Dayney</w:t>
      </w:r>
      <w:proofErr w:type="spellEnd"/>
      <w:r w:rsidRPr="0093589C">
        <w:rPr>
          <w:rFonts w:ascii="Times New Roman" w:hAnsi="Times New Roman"/>
          <w:i/>
          <w:iCs/>
          <w:sz w:val="24"/>
          <w:lang w:val="en-US"/>
        </w:rPr>
        <w:t xml:space="preserve"> </w:t>
      </w:r>
      <w:r w:rsidR="000018AF" w:rsidRPr="0093589C">
        <w:rPr>
          <w:rFonts w:ascii="Times New Roman" w:hAnsi="Times New Roman"/>
          <w:i/>
          <w:iCs/>
          <w:sz w:val="24"/>
          <w:lang w:val="en-US"/>
        </w:rPr>
        <w:t>[</w:t>
      </w:r>
      <w:r w:rsidRPr="0093589C">
        <w:rPr>
          <w:rFonts w:ascii="Times New Roman" w:hAnsi="Times New Roman"/>
          <w:i/>
          <w:iCs/>
          <w:sz w:val="24"/>
          <w:lang w:val="en-US"/>
        </w:rPr>
        <w:t>No 1</w:t>
      </w:r>
      <w:r w:rsidR="000018AF" w:rsidRPr="0093589C">
        <w:rPr>
          <w:rFonts w:ascii="Times New Roman" w:hAnsi="Times New Roman"/>
          <w:i/>
          <w:iCs/>
          <w:sz w:val="24"/>
          <w:lang w:val="en-US"/>
        </w:rPr>
        <w:t>]</w:t>
      </w:r>
      <w:r w:rsidRPr="0093589C">
        <w:rPr>
          <w:rFonts w:ascii="Times New Roman" w:hAnsi="Times New Roman"/>
          <w:sz w:val="24"/>
          <w:lang w:val="en-US"/>
        </w:rPr>
        <w:t xml:space="preserve"> </w:t>
      </w:r>
      <w:r w:rsidR="000018AF" w:rsidRPr="0093589C">
        <w:rPr>
          <w:rFonts w:ascii="Times New Roman" w:hAnsi="Times New Roman"/>
          <w:sz w:val="24"/>
        </w:rPr>
        <w:t>(2020) 10 QR 638</w:t>
      </w:r>
      <w:r w:rsidRPr="0093589C">
        <w:rPr>
          <w:rFonts w:ascii="Times New Roman" w:hAnsi="Times New Roman"/>
          <w:sz w:val="24"/>
          <w:lang w:val="en-US"/>
        </w:rPr>
        <w:t xml:space="preserve"> at </w:t>
      </w:r>
      <w:r w:rsidR="000018AF" w:rsidRPr="0093589C">
        <w:rPr>
          <w:rFonts w:ascii="Times New Roman" w:hAnsi="Times New Roman"/>
          <w:sz w:val="24"/>
          <w:lang w:val="en-US"/>
        </w:rPr>
        <w:t>663 </w:t>
      </w:r>
      <w:r w:rsidRPr="0093589C">
        <w:rPr>
          <w:rFonts w:ascii="Times New Roman" w:hAnsi="Times New Roman"/>
          <w:sz w:val="24"/>
          <w:lang w:val="en-US"/>
        </w:rPr>
        <w:t>[100].</w:t>
      </w:r>
    </w:p>
  </w:footnote>
  <w:footnote w:id="5">
    <w:p w14:paraId="43A0C705" w14:textId="63DE07AB" w:rsidR="00463521" w:rsidRPr="0093589C" w:rsidRDefault="00463521" w:rsidP="0093589C">
      <w:pPr>
        <w:pStyle w:val="FootnoteText"/>
        <w:spacing w:line="280" w:lineRule="exact"/>
        <w:ind w:right="0"/>
        <w:jc w:val="both"/>
        <w:rPr>
          <w:rFonts w:ascii="Times New Roman" w:hAnsi="Times New Roman"/>
          <w:sz w:val="24"/>
          <w:lang w:val="en-US"/>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lang w:val="en-US"/>
        </w:rPr>
        <w:tab/>
        <w:t>(1995) 15 WAR 26 at 3</w:t>
      </w:r>
      <w:r w:rsidR="00323A8F" w:rsidRPr="0093589C">
        <w:rPr>
          <w:rFonts w:ascii="Times New Roman" w:hAnsi="Times New Roman"/>
          <w:sz w:val="24"/>
          <w:lang w:val="en-US"/>
        </w:rPr>
        <w:t>6</w:t>
      </w:r>
      <w:r w:rsidR="00A12622" w:rsidRPr="0093589C">
        <w:rPr>
          <w:rFonts w:ascii="Times New Roman" w:hAnsi="Times New Roman"/>
          <w:sz w:val="24"/>
          <w:lang w:val="en-US"/>
        </w:rPr>
        <w:noBreakHyphen/>
      </w:r>
      <w:r w:rsidRPr="0093589C">
        <w:rPr>
          <w:rFonts w:ascii="Times New Roman" w:hAnsi="Times New Roman"/>
          <w:sz w:val="24"/>
          <w:lang w:val="en-US"/>
        </w:rPr>
        <w:t>37</w:t>
      </w:r>
      <w:r w:rsidR="0011340F" w:rsidRPr="0093589C">
        <w:rPr>
          <w:rFonts w:ascii="Times New Roman" w:hAnsi="Times New Roman"/>
          <w:sz w:val="24"/>
          <w:lang w:val="en-US"/>
        </w:rPr>
        <w:t>, 48</w:t>
      </w:r>
      <w:r w:rsidR="00323A8F" w:rsidRPr="0093589C">
        <w:rPr>
          <w:rFonts w:ascii="Times New Roman" w:hAnsi="Times New Roman"/>
          <w:sz w:val="24"/>
          <w:lang w:val="en-US"/>
        </w:rPr>
        <w:t>.</w:t>
      </w:r>
    </w:p>
  </w:footnote>
  <w:footnote w:id="6">
    <w:p w14:paraId="6F7BC435" w14:textId="7EB378A1" w:rsidR="008715D2" w:rsidRPr="0093589C" w:rsidRDefault="008715D2" w:rsidP="0093589C">
      <w:pPr>
        <w:pStyle w:val="FootnoteText"/>
        <w:spacing w:line="280" w:lineRule="exact"/>
        <w:ind w:right="0"/>
        <w:jc w:val="both"/>
        <w:rPr>
          <w:rFonts w:ascii="Times New Roman" w:hAnsi="Times New Roman"/>
          <w:sz w:val="24"/>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00EB6131" w:rsidRPr="0093589C">
        <w:rPr>
          <w:rFonts w:ascii="Times New Roman" w:hAnsi="Times New Roman"/>
          <w:sz w:val="24"/>
        </w:rPr>
        <w:tab/>
      </w:r>
      <w:r w:rsidR="009B4031" w:rsidRPr="0093589C">
        <w:rPr>
          <w:rFonts w:ascii="Times New Roman" w:hAnsi="Times New Roman"/>
          <w:i/>
          <w:iCs/>
          <w:sz w:val="24"/>
        </w:rPr>
        <w:t xml:space="preserve">R v </w:t>
      </w:r>
      <w:proofErr w:type="spellStart"/>
      <w:r w:rsidR="00113FEE" w:rsidRPr="0093589C">
        <w:rPr>
          <w:rFonts w:ascii="Times New Roman" w:hAnsi="Times New Roman"/>
          <w:i/>
          <w:iCs/>
          <w:sz w:val="24"/>
          <w:lang w:val="en-US"/>
        </w:rPr>
        <w:t>Dayney</w:t>
      </w:r>
      <w:proofErr w:type="spellEnd"/>
      <w:r w:rsidR="00113FEE" w:rsidRPr="0093589C">
        <w:rPr>
          <w:rFonts w:ascii="Times New Roman" w:hAnsi="Times New Roman"/>
          <w:i/>
          <w:iCs/>
          <w:sz w:val="24"/>
          <w:lang w:val="en-US"/>
        </w:rPr>
        <w:t xml:space="preserve"> </w:t>
      </w:r>
      <w:r w:rsidR="000018AF" w:rsidRPr="0093589C">
        <w:rPr>
          <w:rFonts w:ascii="Times New Roman" w:hAnsi="Times New Roman"/>
          <w:i/>
          <w:iCs/>
          <w:sz w:val="24"/>
          <w:lang w:val="en-US"/>
        </w:rPr>
        <w:t>[</w:t>
      </w:r>
      <w:r w:rsidR="00113FEE" w:rsidRPr="0093589C">
        <w:rPr>
          <w:rFonts w:ascii="Times New Roman" w:hAnsi="Times New Roman"/>
          <w:i/>
          <w:iCs/>
          <w:sz w:val="24"/>
          <w:lang w:val="en-US"/>
        </w:rPr>
        <w:t>No 1</w:t>
      </w:r>
      <w:r w:rsidR="000018AF" w:rsidRPr="0093589C">
        <w:rPr>
          <w:rFonts w:ascii="Times New Roman" w:hAnsi="Times New Roman"/>
          <w:i/>
          <w:iCs/>
          <w:sz w:val="24"/>
          <w:lang w:val="en-US"/>
        </w:rPr>
        <w:t>]</w:t>
      </w:r>
      <w:r w:rsidR="00113FEE" w:rsidRPr="0093589C">
        <w:rPr>
          <w:rFonts w:ascii="Times New Roman" w:hAnsi="Times New Roman"/>
          <w:sz w:val="24"/>
          <w:lang w:val="en-US"/>
        </w:rPr>
        <w:t xml:space="preserve"> </w:t>
      </w:r>
      <w:r w:rsidR="000018AF" w:rsidRPr="0093589C">
        <w:rPr>
          <w:rFonts w:ascii="Times New Roman" w:hAnsi="Times New Roman"/>
          <w:sz w:val="24"/>
        </w:rPr>
        <w:t>(2020) 10 QR 638</w:t>
      </w:r>
      <w:r w:rsidR="00EB6131" w:rsidRPr="0093589C">
        <w:rPr>
          <w:rFonts w:ascii="Times New Roman" w:hAnsi="Times New Roman"/>
          <w:sz w:val="24"/>
          <w:lang w:val="en-US"/>
        </w:rPr>
        <w:t xml:space="preserve"> at </w:t>
      </w:r>
      <w:r w:rsidR="000018AF" w:rsidRPr="0093589C">
        <w:rPr>
          <w:rFonts w:ascii="Times New Roman" w:hAnsi="Times New Roman"/>
          <w:sz w:val="24"/>
          <w:lang w:val="en-US"/>
        </w:rPr>
        <w:t>653 </w:t>
      </w:r>
      <w:r w:rsidR="00EB6131" w:rsidRPr="0093589C">
        <w:rPr>
          <w:rFonts w:ascii="Times New Roman" w:hAnsi="Times New Roman"/>
          <w:sz w:val="24"/>
          <w:lang w:val="en-US"/>
        </w:rPr>
        <w:t>[51].</w:t>
      </w:r>
    </w:p>
  </w:footnote>
  <w:footnote w:id="7">
    <w:p w14:paraId="0145C45F" w14:textId="52BC8878" w:rsidR="001C3027" w:rsidRPr="0093589C" w:rsidRDefault="001C3027" w:rsidP="0093589C">
      <w:pPr>
        <w:pStyle w:val="FootnoteText"/>
        <w:spacing w:line="280" w:lineRule="exact"/>
        <w:ind w:right="0"/>
        <w:jc w:val="both"/>
        <w:rPr>
          <w:rFonts w:ascii="Times New Roman" w:hAnsi="Times New Roman"/>
          <w:i/>
          <w:iCs/>
          <w:sz w:val="24"/>
          <w:lang w:val="en-US"/>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lang w:val="en-US"/>
        </w:rPr>
        <w:tab/>
      </w:r>
      <w:r w:rsidR="00170498" w:rsidRPr="0093589C">
        <w:rPr>
          <w:rFonts w:ascii="Times New Roman" w:hAnsi="Times New Roman"/>
          <w:sz w:val="24"/>
          <w:lang w:val="en-US"/>
        </w:rPr>
        <w:t xml:space="preserve">(2023) 13 QR 650 </w:t>
      </w:r>
      <w:r w:rsidRPr="0093589C">
        <w:rPr>
          <w:rFonts w:ascii="Times New Roman" w:hAnsi="Times New Roman"/>
          <w:sz w:val="24"/>
          <w:lang w:val="en-US"/>
        </w:rPr>
        <w:t>at</w:t>
      </w:r>
      <w:r w:rsidR="00170498" w:rsidRPr="0093589C">
        <w:rPr>
          <w:rFonts w:ascii="Times New Roman" w:hAnsi="Times New Roman"/>
          <w:sz w:val="24"/>
          <w:lang w:val="en-US"/>
        </w:rPr>
        <w:t xml:space="preserve"> 656</w:t>
      </w:r>
      <w:r w:rsidR="009C346B" w:rsidRPr="0093589C">
        <w:rPr>
          <w:rFonts w:ascii="Times New Roman" w:hAnsi="Times New Roman"/>
          <w:sz w:val="24"/>
          <w:lang w:val="en-US"/>
        </w:rPr>
        <w:t> </w:t>
      </w:r>
      <w:r w:rsidRPr="0093589C">
        <w:rPr>
          <w:rFonts w:ascii="Times New Roman" w:hAnsi="Times New Roman"/>
          <w:sz w:val="24"/>
          <w:lang w:val="en-US"/>
        </w:rPr>
        <w:t>[4].</w:t>
      </w:r>
      <w:r w:rsidRPr="0093589C">
        <w:rPr>
          <w:rFonts w:ascii="Times New Roman" w:hAnsi="Times New Roman"/>
          <w:i/>
          <w:iCs/>
          <w:sz w:val="24"/>
          <w:lang w:val="en-US"/>
        </w:rPr>
        <w:t xml:space="preserve"> </w:t>
      </w:r>
    </w:p>
  </w:footnote>
  <w:footnote w:id="8">
    <w:p w14:paraId="75DF67AE" w14:textId="77777777" w:rsidR="008A5016" w:rsidRPr="0093589C" w:rsidRDefault="008A5016" w:rsidP="0093589C">
      <w:pPr>
        <w:pStyle w:val="FootnoteText"/>
        <w:spacing w:line="280" w:lineRule="exact"/>
        <w:ind w:right="0"/>
        <w:jc w:val="both"/>
        <w:rPr>
          <w:rFonts w:ascii="Times New Roman" w:hAnsi="Times New Roman"/>
          <w:sz w:val="24"/>
          <w:lang w:val="en-US"/>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lang w:val="en-US"/>
        </w:rPr>
        <w:tab/>
      </w:r>
      <w:r w:rsidRPr="0093589C">
        <w:rPr>
          <w:rFonts w:ascii="Times New Roman" w:hAnsi="Times New Roman"/>
          <w:i/>
          <w:iCs/>
          <w:sz w:val="24"/>
          <w:lang w:val="en-US"/>
        </w:rPr>
        <w:t xml:space="preserve">Brennan v The King </w:t>
      </w:r>
      <w:r w:rsidRPr="0093589C">
        <w:rPr>
          <w:rFonts w:ascii="Times New Roman" w:hAnsi="Times New Roman"/>
          <w:sz w:val="24"/>
          <w:lang w:val="en-US"/>
        </w:rPr>
        <w:t xml:space="preserve">(1936) 55 CLR 253 at 263; </w:t>
      </w:r>
      <w:r w:rsidRPr="0093589C">
        <w:rPr>
          <w:rFonts w:ascii="Times New Roman" w:hAnsi="Times New Roman"/>
          <w:i/>
          <w:iCs/>
          <w:sz w:val="24"/>
          <w:lang w:val="en-US"/>
        </w:rPr>
        <w:t xml:space="preserve">Stuart v The Queen </w:t>
      </w:r>
      <w:r w:rsidRPr="0093589C">
        <w:rPr>
          <w:rFonts w:ascii="Times New Roman" w:hAnsi="Times New Roman"/>
          <w:sz w:val="24"/>
          <w:lang w:val="en-US"/>
        </w:rPr>
        <w:t>(1974) 134 CLR 426 at 437.</w:t>
      </w:r>
    </w:p>
  </w:footnote>
  <w:footnote w:id="9">
    <w:p w14:paraId="6EBB74E3" w14:textId="5344C275" w:rsidR="00F45B83" w:rsidRPr="0093589C" w:rsidRDefault="00F45B83" w:rsidP="0093589C">
      <w:pPr>
        <w:pStyle w:val="FootnoteText"/>
        <w:spacing w:line="280" w:lineRule="exact"/>
        <w:ind w:right="0"/>
        <w:jc w:val="both"/>
        <w:rPr>
          <w:rFonts w:ascii="Times New Roman" w:hAnsi="Times New Roman"/>
          <w:sz w:val="24"/>
        </w:rPr>
      </w:pPr>
      <w:r w:rsidRPr="0093589C">
        <w:rPr>
          <w:rStyle w:val="FootnoteReference"/>
          <w:rFonts w:ascii="Times New Roman" w:hAnsi="Times New Roman"/>
          <w:sz w:val="22"/>
          <w:vertAlign w:val="baseline"/>
        </w:rPr>
        <w:footnoteRef/>
      </w:r>
      <w:r w:rsidRPr="0093589C">
        <w:rPr>
          <w:rFonts w:ascii="Times New Roman" w:hAnsi="Times New Roman"/>
          <w:sz w:val="24"/>
        </w:rPr>
        <w:t xml:space="preserve"> </w:t>
      </w:r>
      <w:r w:rsidRPr="0093589C">
        <w:rPr>
          <w:rFonts w:ascii="Times New Roman" w:hAnsi="Times New Roman"/>
          <w:sz w:val="24"/>
        </w:rPr>
        <w:tab/>
        <w:t>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C85E" w14:textId="77777777" w:rsidR="0093589C" w:rsidRPr="006F46DC" w:rsidRDefault="0093589C" w:rsidP="006F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4A9D" w14:textId="036A8711" w:rsidR="0093589C" w:rsidRPr="006F46DC" w:rsidRDefault="006F46DC" w:rsidP="006F46D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59A6" w14:textId="4202DA1F" w:rsidR="00CC03CE" w:rsidRPr="006F46DC" w:rsidRDefault="00CC03CE" w:rsidP="006F4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AB0D" w14:textId="77777777" w:rsidR="006F46DC" w:rsidRPr="0093589C" w:rsidRDefault="006F46DC" w:rsidP="0093589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93589C">
      <w:rPr>
        <w:rFonts w:ascii="Times New Roman" w:hAnsi="Times New Roman"/>
        <w:i/>
        <w:sz w:val="22"/>
      </w:rPr>
      <w:t>Gageler</w:t>
    </w:r>
    <w:proofErr w:type="spellEnd"/>
    <w:r w:rsidRPr="0093589C">
      <w:rPr>
        <w:rFonts w:ascii="Times New Roman" w:hAnsi="Times New Roman"/>
        <w:i/>
        <w:sz w:val="22"/>
      </w:rPr>
      <w:tab/>
      <w:t>CJ</w:t>
    </w:r>
  </w:p>
  <w:p w14:paraId="7BAAFB98" w14:textId="77777777" w:rsidR="006F46DC" w:rsidRPr="0093589C" w:rsidRDefault="006F46DC" w:rsidP="0093589C">
    <w:pPr>
      <w:pStyle w:val="Header"/>
      <w:tabs>
        <w:tab w:val="clear" w:pos="4153"/>
        <w:tab w:val="clear" w:pos="8306"/>
        <w:tab w:val="right" w:pos="1304"/>
      </w:tabs>
      <w:spacing w:line="280" w:lineRule="exact"/>
      <w:ind w:firstLine="0"/>
      <w:rPr>
        <w:rFonts w:ascii="Times New Roman" w:hAnsi="Times New Roman"/>
        <w:i/>
        <w:sz w:val="22"/>
      </w:rPr>
    </w:pPr>
    <w:r w:rsidRPr="0093589C">
      <w:rPr>
        <w:rFonts w:ascii="Times New Roman" w:hAnsi="Times New Roman"/>
        <w:i/>
        <w:sz w:val="22"/>
      </w:rPr>
      <w:t>Gordon</w:t>
    </w:r>
    <w:r w:rsidRPr="0093589C">
      <w:rPr>
        <w:rFonts w:ascii="Times New Roman" w:hAnsi="Times New Roman"/>
        <w:i/>
        <w:sz w:val="22"/>
      </w:rPr>
      <w:tab/>
      <w:t>J</w:t>
    </w:r>
  </w:p>
  <w:p w14:paraId="6982E962" w14:textId="77777777" w:rsidR="006F46DC" w:rsidRPr="0093589C" w:rsidRDefault="006F46DC" w:rsidP="0093589C">
    <w:pPr>
      <w:pStyle w:val="Header"/>
      <w:tabs>
        <w:tab w:val="clear" w:pos="4153"/>
        <w:tab w:val="clear" w:pos="8306"/>
        <w:tab w:val="right" w:pos="1304"/>
      </w:tabs>
      <w:spacing w:line="280" w:lineRule="exact"/>
      <w:ind w:firstLine="0"/>
      <w:rPr>
        <w:rFonts w:ascii="Times New Roman" w:hAnsi="Times New Roman"/>
        <w:i/>
        <w:sz w:val="22"/>
      </w:rPr>
    </w:pPr>
    <w:r w:rsidRPr="0093589C">
      <w:rPr>
        <w:rFonts w:ascii="Times New Roman" w:hAnsi="Times New Roman"/>
        <w:i/>
        <w:sz w:val="22"/>
      </w:rPr>
      <w:t>Gleeson</w:t>
    </w:r>
    <w:r w:rsidRPr="0093589C">
      <w:rPr>
        <w:rFonts w:ascii="Times New Roman" w:hAnsi="Times New Roman"/>
        <w:i/>
        <w:sz w:val="22"/>
      </w:rPr>
      <w:tab/>
      <w:t>J</w:t>
    </w:r>
  </w:p>
  <w:p w14:paraId="5E40357B" w14:textId="77777777" w:rsidR="006F46DC" w:rsidRPr="0093589C" w:rsidRDefault="006F46DC" w:rsidP="0093589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93589C">
      <w:rPr>
        <w:rFonts w:ascii="Times New Roman" w:hAnsi="Times New Roman"/>
        <w:i/>
        <w:sz w:val="22"/>
      </w:rPr>
      <w:t>Jagot</w:t>
    </w:r>
    <w:proofErr w:type="spellEnd"/>
    <w:r w:rsidRPr="0093589C">
      <w:rPr>
        <w:rFonts w:ascii="Times New Roman" w:hAnsi="Times New Roman"/>
        <w:i/>
        <w:sz w:val="22"/>
      </w:rPr>
      <w:tab/>
      <w:t>J</w:t>
    </w:r>
  </w:p>
  <w:p w14:paraId="6050AA90" w14:textId="77777777" w:rsidR="006F46DC" w:rsidRDefault="006F46DC" w:rsidP="0093589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1AC5252" w14:textId="77777777" w:rsidR="006F46DC" w:rsidRDefault="006F46DC" w:rsidP="0093589C">
    <w:pPr>
      <w:pStyle w:val="Header"/>
      <w:tabs>
        <w:tab w:val="clear" w:pos="4153"/>
        <w:tab w:val="clear" w:pos="8306"/>
        <w:tab w:val="right" w:pos="1304"/>
      </w:tabs>
      <w:spacing w:line="280" w:lineRule="exact"/>
      <w:ind w:firstLine="0"/>
      <w:rPr>
        <w:rFonts w:ascii="Times New Roman" w:hAnsi="Times New Roman"/>
        <w:i/>
        <w:sz w:val="22"/>
      </w:rPr>
    </w:pPr>
  </w:p>
  <w:p w14:paraId="1ADEDEDF" w14:textId="77777777" w:rsidR="006F46DC" w:rsidRDefault="006F46DC" w:rsidP="0093589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318C4A2" w14:textId="77777777" w:rsidR="006F46DC" w:rsidRPr="0093589C" w:rsidRDefault="006F46DC" w:rsidP="0093589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B52" w14:textId="77777777" w:rsidR="006F46DC" w:rsidRPr="0093589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r w:rsidRPr="0093589C">
      <w:rPr>
        <w:rFonts w:ascii="Times New Roman" w:hAnsi="Times New Roman"/>
        <w:i/>
        <w:sz w:val="22"/>
      </w:rPr>
      <w:tab/>
    </w:r>
    <w:proofErr w:type="spellStart"/>
    <w:r w:rsidRPr="0093589C">
      <w:rPr>
        <w:rFonts w:ascii="Times New Roman" w:hAnsi="Times New Roman"/>
        <w:i/>
        <w:sz w:val="22"/>
      </w:rPr>
      <w:t>Gageler</w:t>
    </w:r>
    <w:proofErr w:type="spellEnd"/>
    <w:r w:rsidRPr="0093589C">
      <w:rPr>
        <w:rFonts w:ascii="Times New Roman" w:hAnsi="Times New Roman"/>
        <w:i/>
        <w:sz w:val="22"/>
      </w:rPr>
      <w:tab/>
      <w:t>CJ</w:t>
    </w:r>
  </w:p>
  <w:p w14:paraId="19A2AA6C" w14:textId="77777777" w:rsidR="006F46DC" w:rsidRPr="0093589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r w:rsidRPr="0093589C">
      <w:rPr>
        <w:rFonts w:ascii="Times New Roman" w:hAnsi="Times New Roman"/>
        <w:i/>
        <w:sz w:val="22"/>
      </w:rPr>
      <w:tab/>
      <w:t>Gordon</w:t>
    </w:r>
    <w:r w:rsidRPr="0093589C">
      <w:rPr>
        <w:rFonts w:ascii="Times New Roman" w:hAnsi="Times New Roman"/>
        <w:i/>
        <w:sz w:val="22"/>
      </w:rPr>
      <w:tab/>
      <w:t>J</w:t>
    </w:r>
  </w:p>
  <w:p w14:paraId="1070BECA" w14:textId="77777777" w:rsidR="006F46DC" w:rsidRPr="0093589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r w:rsidRPr="0093589C">
      <w:rPr>
        <w:rFonts w:ascii="Times New Roman" w:hAnsi="Times New Roman"/>
        <w:i/>
        <w:sz w:val="22"/>
      </w:rPr>
      <w:tab/>
      <w:t>Gleeson</w:t>
    </w:r>
    <w:r w:rsidRPr="0093589C">
      <w:rPr>
        <w:rFonts w:ascii="Times New Roman" w:hAnsi="Times New Roman"/>
        <w:i/>
        <w:sz w:val="22"/>
      </w:rPr>
      <w:tab/>
      <w:t>J</w:t>
    </w:r>
  </w:p>
  <w:p w14:paraId="5053FEC8" w14:textId="77777777" w:rsidR="006F46DC" w:rsidRPr="0093589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r w:rsidRPr="0093589C">
      <w:rPr>
        <w:rFonts w:ascii="Times New Roman" w:hAnsi="Times New Roman"/>
        <w:i/>
        <w:sz w:val="22"/>
      </w:rPr>
      <w:tab/>
    </w:r>
    <w:proofErr w:type="spellStart"/>
    <w:r w:rsidRPr="0093589C">
      <w:rPr>
        <w:rFonts w:ascii="Times New Roman" w:hAnsi="Times New Roman"/>
        <w:i/>
        <w:sz w:val="22"/>
      </w:rPr>
      <w:t>Jagot</w:t>
    </w:r>
    <w:proofErr w:type="spellEnd"/>
    <w:r w:rsidRPr="0093589C">
      <w:rPr>
        <w:rFonts w:ascii="Times New Roman" w:hAnsi="Times New Roman"/>
        <w:i/>
        <w:sz w:val="22"/>
      </w:rPr>
      <w:tab/>
      <w:t>J</w:t>
    </w:r>
  </w:p>
  <w:p w14:paraId="41622FB9" w14:textId="77777777" w:rsidR="006F46D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ECDA9B7" w14:textId="77777777" w:rsidR="006F46DC" w:rsidRDefault="006F46DC" w:rsidP="0093589C">
    <w:pPr>
      <w:pStyle w:val="Header"/>
      <w:tabs>
        <w:tab w:val="clear" w:pos="4153"/>
        <w:tab w:val="clear" w:pos="8306"/>
        <w:tab w:val="left" w:pos="7200"/>
        <w:tab w:val="right" w:pos="8504"/>
      </w:tabs>
      <w:spacing w:line="280" w:lineRule="exact"/>
      <w:jc w:val="right"/>
      <w:rPr>
        <w:rFonts w:ascii="Times New Roman" w:hAnsi="Times New Roman"/>
        <w:i/>
        <w:sz w:val="22"/>
      </w:rPr>
    </w:pPr>
  </w:p>
  <w:p w14:paraId="62F4C5B1" w14:textId="77777777" w:rsidR="006F46DC" w:rsidRDefault="006F46DC" w:rsidP="0093589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510D03" w14:textId="77777777" w:rsidR="006F46DC" w:rsidRPr="0093589C" w:rsidRDefault="006F46DC" w:rsidP="0093589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1DB8"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5CB9F0F6"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645DF464"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0375972B"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5135033E"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79CA4B52"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60B874E9" w14:textId="77777777" w:rsidR="006F46D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p w14:paraId="1F69ECAF" w14:textId="77777777" w:rsidR="006F46DC" w:rsidRPr="0093589C" w:rsidRDefault="006F46DC" w:rsidP="0093589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B0"/>
    <w:rsid w:val="00000F50"/>
    <w:rsid w:val="000018AF"/>
    <w:rsid w:val="00001E1D"/>
    <w:rsid w:val="00001FD3"/>
    <w:rsid w:val="00002069"/>
    <w:rsid w:val="00002CE6"/>
    <w:rsid w:val="0000316A"/>
    <w:rsid w:val="000049B7"/>
    <w:rsid w:val="00004D4B"/>
    <w:rsid w:val="00005500"/>
    <w:rsid w:val="0000725E"/>
    <w:rsid w:val="00007D96"/>
    <w:rsid w:val="000141CA"/>
    <w:rsid w:val="00014B34"/>
    <w:rsid w:val="00015F30"/>
    <w:rsid w:val="000168C9"/>
    <w:rsid w:val="00016C20"/>
    <w:rsid w:val="00016DBB"/>
    <w:rsid w:val="00016FEB"/>
    <w:rsid w:val="00017144"/>
    <w:rsid w:val="00022A53"/>
    <w:rsid w:val="00022A59"/>
    <w:rsid w:val="00024846"/>
    <w:rsid w:val="000250AF"/>
    <w:rsid w:val="00025490"/>
    <w:rsid w:val="0002561E"/>
    <w:rsid w:val="000260B2"/>
    <w:rsid w:val="000268E1"/>
    <w:rsid w:val="0002742F"/>
    <w:rsid w:val="0002787F"/>
    <w:rsid w:val="00031DCB"/>
    <w:rsid w:val="00034CCD"/>
    <w:rsid w:val="00035354"/>
    <w:rsid w:val="0003575A"/>
    <w:rsid w:val="000360EB"/>
    <w:rsid w:val="000365A8"/>
    <w:rsid w:val="00037A5F"/>
    <w:rsid w:val="00037B50"/>
    <w:rsid w:val="00037D87"/>
    <w:rsid w:val="00040503"/>
    <w:rsid w:val="00040A56"/>
    <w:rsid w:val="00040D31"/>
    <w:rsid w:val="0004272A"/>
    <w:rsid w:val="00042EF3"/>
    <w:rsid w:val="00043D2C"/>
    <w:rsid w:val="00045267"/>
    <w:rsid w:val="00046812"/>
    <w:rsid w:val="0005034F"/>
    <w:rsid w:val="000508A8"/>
    <w:rsid w:val="00052BFE"/>
    <w:rsid w:val="00055ACD"/>
    <w:rsid w:val="00056B5F"/>
    <w:rsid w:val="00056F27"/>
    <w:rsid w:val="000573AF"/>
    <w:rsid w:val="000574B4"/>
    <w:rsid w:val="0006169E"/>
    <w:rsid w:val="000626FD"/>
    <w:rsid w:val="00062CCE"/>
    <w:rsid w:val="0006432B"/>
    <w:rsid w:val="000653D4"/>
    <w:rsid w:val="00067C98"/>
    <w:rsid w:val="00067D00"/>
    <w:rsid w:val="00071C35"/>
    <w:rsid w:val="00074858"/>
    <w:rsid w:val="00075758"/>
    <w:rsid w:val="00075BA5"/>
    <w:rsid w:val="00075F50"/>
    <w:rsid w:val="00076DFF"/>
    <w:rsid w:val="00080D77"/>
    <w:rsid w:val="000812E6"/>
    <w:rsid w:val="00081A35"/>
    <w:rsid w:val="0008406B"/>
    <w:rsid w:val="0008435D"/>
    <w:rsid w:val="0008558C"/>
    <w:rsid w:val="00085F13"/>
    <w:rsid w:val="000861FA"/>
    <w:rsid w:val="000871AE"/>
    <w:rsid w:val="00087517"/>
    <w:rsid w:val="00087DCA"/>
    <w:rsid w:val="00090EE3"/>
    <w:rsid w:val="00091264"/>
    <w:rsid w:val="00094BE3"/>
    <w:rsid w:val="000961A2"/>
    <w:rsid w:val="000A28D4"/>
    <w:rsid w:val="000A2EB4"/>
    <w:rsid w:val="000A32F1"/>
    <w:rsid w:val="000A3DA3"/>
    <w:rsid w:val="000A5B70"/>
    <w:rsid w:val="000A5E1B"/>
    <w:rsid w:val="000A637F"/>
    <w:rsid w:val="000A63C6"/>
    <w:rsid w:val="000B160E"/>
    <w:rsid w:val="000B1D62"/>
    <w:rsid w:val="000B4630"/>
    <w:rsid w:val="000B47BE"/>
    <w:rsid w:val="000B497F"/>
    <w:rsid w:val="000B710D"/>
    <w:rsid w:val="000B7558"/>
    <w:rsid w:val="000B7FBE"/>
    <w:rsid w:val="000C04DC"/>
    <w:rsid w:val="000C0D98"/>
    <w:rsid w:val="000C41AC"/>
    <w:rsid w:val="000C4D8A"/>
    <w:rsid w:val="000C524B"/>
    <w:rsid w:val="000C6778"/>
    <w:rsid w:val="000C75B9"/>
    <w:rsid w:val="000D0C91"/>
    <w:rsid w:val="000D12B7"/>
    <w:rsid w:val="000D25E6"/>
    <w:rsid w:val="000D53C8"/>
    <w:rsid w:val="000D6339"/>
    <w:rsid w:val="000D7234"/>
    <w:rsid w:val="000E0178"/>
    <w:rsid w:val="000E58E2"/>
    <w:rsid w:val="000E5DC8"/>
    <w:rsid w:val="000E65F7"/>
    <w:rsid w:val="000E7342"/>
    <w:rsid w:val="000F0547"/>
    <w:rsid w:val="000F1345"/>
    <w:rsid w:val="000F16E1"/>
    <w:rsid w:val="000F253D"/>
    <w:rsid w:val="000F2CC7"/>
    <w:rsid w:val="000F2D82"/>
    <w:rsid w:val="000F3BB3"/>
    <w:rsid w:val="000F5190"/>
    <w:rsid w:val="000F7A54"/>
    <w:rsid w:val="000F7D65"/>
    <w:rsid w:val="001001B9"/>
    <w:rsid w:val="00101698"/>
    <w:rsid w:val="00102254"/>
    <w:rsid w:val="00106229"/>
    <w:rsid w:val="0010702C"/>
    <w:rsid w:val="00107C78"/>
    <w:rsid w:val="00110970"/>
    <w:rsid w:val="00111568"/>
    <w:rsid w:val="001120C0"/>
    <w:rsid w:val="0011340F"/>
    <w:rsid w:val="00113B65"/>
    <w:rsid w:val="00113FEE"/>
    <w:rsid w:val="001150BF"/>
    <w:rsid w:val="00115EB0"/>
    <w:rsid w:val="001168F2"/>
    <w:rsid w:val="00120207"/>
    <w:rsid w:val="00123C1B"/>
    <w:rsid w:val="0012440F"/>
    <w:rsid w:val="00125E3C"/>
    <w:rsid w:val="00130A5C"/>
    <w:rsid w:val="00133E7E"/>
    <w:rsid w:val="00133FF4"/>
    <w:rsid w:val="0013456F"/>
    <w:rsid w:val="001372D5"/>
    <w:rsid w:val="00140DB1"/>
    <w:rsid w:val="00141C6D"/>
    <w:rsid w:val="00142072"/>
    <w:rsid w:val="001424D1"/>
    <w:rsid w:val="00143FCB"/>
    <w:rsid w:val="00144FEF"/>
    <w:rsid w:val="00145627"/>
    <w:rsid w:val="00146A41"/>
    <w:rsid w:val="0014793A"/>
    <w:rsid w:val="0015031C"/>
    <w:rsid w:val="001503F5"/>
    <w:rsid w:val="00150B18"/>
    <w:rsid w:val="00150D41"/>
    <w:rsid w:val="00151679"/>
    <w:rsid w:val="00151837"/>
    <w:rsid w:val="0015318E"/>
    <w:rsid w:val="001537ED"/>
    <w:rsid w:val="0015437B"/>
    <w:rsid w:val="001560FC"/>
    <w:rsid w:val="00163D92"/>
    <w:rsid w:val="00164144"/>
    <w:rsid w:val="00165331"/>
    <w:rsid w:val="00166A67"/>
    <w:rsid w:val="001675DF"/>
    <w:rsid w:val="00170498"/>
    <w:rsid w:val="001708DE"/>
    <w:rsid w:val="00170DA0"/>
    <w:rsid w:val="00170FCC"/>
    <w:rsid w:val="00172ADE"/>
    <w:rsid w:val="0017358F"/>
    <w:rsid w:val="00174689"/>
    <w:rsid w:val="00175703"/>
    <w:rsid w:val="001758DE"/>
    <w:rsid w:val="00175CBE"/>
    <w:rsid w:val="00176D25"/>
    <w:rsid w:val="001775C0"/>
    <w:rsid w:val="001801EB"/>
    <w:rsid w:val="001817C5"/>
    <w:rsid w:val="00182D2F"/>
    <w:rsid w:val="0018342E"/>
    <w:rsid w:val="0018389B"/>
    <w:rsid w:val="00183C28"/>
    <w:rsid w:val="001840C2"/>
    <w:rsid w:val="0018446C"/>
    <w:rsid w:val="00184B46"/>
    <w:rsid w:val="00185939"/>
    <w:rsid w:val="001874B6"/>
    <w:rsid w:val="001876F6"/>
    <w:rsid w:val="00190735"/>
    <w:rsid w:val="00191176"/>
    <w:rsid w:val="00191B6F"/>
    <w:rsid w:val="00191DB3"/>
    <w:rsid w:val="00191E11"/>
    <w:rsid w:val="00191E23"/>
    <w:rsid w:val="001953B1"/>
    <w:rsid w:val="001963C0"/>
    <w:rsid w:val="001966F9"/>
    <w:rsid w:val="00197613"/>
    <w:rsid w:val="00197956"/>
    <w:rsid w:val="00197B30"/>
    <w:rsid w:val="001A1E5D"/>
    <w:rsid w:val="001A409D"/>
    <w:rsid w:val="001A446E"/>
    <w:rsid w:val="001A77B0"/>
    <w:rsid w:val="001B132D"/>
    <w:rsid w:val="001B1676"/>
    <w:rsid w:val="001B17A8"/>
    <w:rsid w:val="001B55C8"/>
    <w:rsid w:val="001B63C6"/>
    <w:rsid w:val="001B798A"/>
    <w:rsid w:val="001C1065"/>
    <w:rsid w:val="001C3027"/>
    <w:rsid w:val="001C48D4"/>
    <w:rsid w:val="001C6B1C"/>
    <w:rsid w:val="001C7C93"/>
    <w:rsid w:val="001D01A7"/>
    <w:rsid w:val="001D070D"/>
    <w:rsid w:val="001D1AB0"/>
    <w:rsid w:val="001D36CD"/>
    <w:rsid w:val="001D411E"/>
    <w:rsid w:val="001D4F49"/>
    <w:rsid w:val="001D5714"/>
    <w:rsid w:val="001D607C"/>
    <w:rsid w:val="001D7982"/>
    <w:rsid w:val="001D7F7F"/>
    <w:rsid w:val="001E0CD9"/>
    <w:rsid w:val="001E1D3D"/>
    <w:rsid w:val="001E2D2F"/>
    <w:rsid w:val="001E35C3"/>
    <w:rsid w:val="001E3E4F"/>
    <w:rsid w:val="001E47D1"/>
    <w:rsid w:val="001E5459"/>
    <w:rsid w:val="001E6402"/>
    <w:rsid w:val="001E6A64"/>
    <w:rsid w:val="001E75C5"/>
    <w:rsid w:val="001F1B5F"/>
    <w:rsid w:val="001F3C14"/>
    <w:rsid w:val="001F3F2A"/>
    <w:rsid w:val="001F5445"/>
    <w:rsid w:val="001F69C2"/>
    <w:rsid w:val="001F763C"/>
    <w:rsid w:val="001F79BC"/>
    <w:rsid w:val="002008B4"/>
    <w:rsid w:val="00200B34"/>
    <w:rsid w:val="00203216"/>
    <w:rsid w:val="00203AC0"/>
    <w:rsid w:val="002048D1"/>
    <w:rsid w:val="00205148"/>
    <w:rsid w:val="002079CB"/>
    <w:rsid w:val="0021096E"/>
    <w:rsid w:val="00210AFE"/>
    <w:rsid w:val="00210DE8"/>
    <w:rsid w:val="00211D73"/>
    <w:rsid w:val="00212A3E"/>
    <w:rsid w:val="00213442"/>
    <w:rsid w:val="00214BF2"/>
    <w:rsid w:val="00215A7F"/>
    <w:rsid w:val="00216522"/>
    <w:rsid w:val="00217237"/>
    <w:rsid w:val="0021723C"/>
    <w:rsid w:val="00217872"/>
    <w:rsid w:val="00217DC9"/>
    <w:rsid w:val="0022103C"/>
    <w:rsid w:val="00221D19"/>
    <w:rsid w:val="0022666B"/>
    <w:rsid w:val="00227086"/>
    <w:rsid w:val="0022734D"/>
    <w:rsid w:val="0022754E"/>
    <w:rsid w:val="002300AA"/>
    <w:rsid w:val="00231CE5"/>
    <w:rsid w:val="00233CA5"/>
    <w:rsid w:val="0023447F"/>
    <w:rsid w:val="002350B3"/>
    <w:rsid w:val="00235F74"/>
    <w:rsid w:val="0023798E"/>
    <w:rsid w:val="00242EE4"/>
    <w:rsid w:val="0024462E"/>
    <w:rsid w:val="00245B4E"/>
    <w:rsid w:val="002474FA"/>
    <w:rsid w:val="002479A0"/>
    <w:rsid w:val="002529B2"/>
    <w:rsid w:val="00253493"/>
    <w:rsid w:val="00253DE9"/>
    <w:rsid w:val="0025480A"/>
    <w:rsid w:val="0025786D"/>
    <w:rsid w:val="00257AFB"/>
    <w:rsid w:val="0026293D"/>
    <w:rsid w:val="00263F21"/>
    <w:rsid w:val="0026508D"/>
    <w:rsid w:val="00265982"/>
    <w:rsid w:val="0026727F"/>
    <w:rsid w:val="00270154"/>
    <w:rsid w:val="00271F70"/>
    <w:rsid w:val="00273B07"/>
    <w:rsid w:val="0027408B"/>
    <w:rsid w:val="00275407"/>
    <w:rsid w:val="00276B56"/>
    <w:rsid w:val="00277CFA"/>
    <w:rsid w:val="00280F46"/>
    <w:rsid w:val="002817A9"/>
    <w:rsid w:val="002819FD"/>
    <w:rsid w:val="00283894"/>
    <w:rsid w:val="0028583A"/>
    <w:rsid w:val="00285D82"/>
    <w:rsid w:val="00286C8F"/>
    <w:rsid w:val="00287368"/>
    <w:rsid w:val="00287873"/>
    <w:rsid w:val="00287AE7"/>
    <w:rsid w:val="0029044B"/>
    <w:rsid w:val="002916CC"/>
    <w:rsid w:val="0029278C"/>
    <w:rsid w:val="00292E65"/>
    <w:rsid w:val="002936CB"/>
    <w:rsid w:val="0029697C"/>
    <w:rsid w:val="0029703D"/>
    <w:rsid w:val="002979F1"/>
    <w:rsid w:val="00297BF9"/>
    <w:rsid w:val="002A062F"/>
    <w:rsid w:val="002A13E1"/>
    <w:rsid w:val="002A24B7"/>
    <w:rsid w:val="002A3248"/>
    <w:rsid w:val="002B0846"/>
    <w:rsid w:val="002B1304"/>
    <w:rsid w:val="002B5C10"/>
    <w:rsid w:val="002C174A"/>
    <w:rsid w:val="002C186D"/>
    <w:rsid w:val="002C1EDE"/>
    <w:rsid w:val="002C23F4"/>
    <w:rsid w:val="002C2B97"/>
    <w:rsid w:val="002C53F3"/>
    <w:rsid w:val="002C5981"/>
    <w:rsid w:val="002C5F07"/>
    <w:rsid w:val="002C6A88"/>
    <w:rsid w:val="002C7307"/>
    <w:rsid w:val="002D0410"/>
    <w:rsid w:val="002D0899"/>
    <w:rsid w:val="002D1707"/>
    <w:rsid w:val="002D17E2"/>
    <w:rsid w:val="002D1C1E"/>
    <w:rsid w:val="002D3F5B"/>
    <w:rsid w:val="002D492B"/>
    <w:rsid w:val="002D4DA5"/>
    <w:rsid w:val="002D6BB7"/>
    <w:rsid w:val="002E0EC8"/>
    <w:rsid w:val="002E108A"/>
    <w:rsid w:val="002E1E40"/>
    <w:rsid w:val="002E278F"/>
    <w:rsid w:val="002E3B4D"/>
    <w:rsid w:val="002E6921"/>
    <w:rsid w:val="002E72FA"/>
    <w:rsid w:val="002F019B"/>
    <w:rsid w:val="002F0522"/>
    <w:rsid w:val="002F0734"/>
    <w:rsid w:val="002F088E"/>
    <w:rsid w:val="002F2032"/>
    <w:rsid w:val="002F386A"/>
    <w:rsid w:val="002F3C7A"/>
    <w:rsid w:val="002F51DD"/>
    <w:rsid w:val="002F7A0D"/>
    <w:rsid w:val="0030026A"/>
    <w:rsid w:val="00301975"/>
    <w:rsid w:val="0030207E"/>
    <w:rsid w:val="0030248B"/>
    <w:rsid w:val="0030542C"/>
    <w:rsid w:val="003063F0"/>
    <w:rsid w:val="00310418"/>
    <w:rsid w:val="00312846"/>
    <w:rsid w:val="00312FFC"/>
    <w:rsid w:val="0031471A"/>
    <w:rsid w:val="003150BF"/>
    <w:rsid w:val="003150CE"/>
    <w:rsid w:val="00315E92"/>
    <w:rsid w:val="003167AD"/>
    <w:rsid w:val="00317A17"/>
    <w:rsid w:val="003200D9"/>
    <w:rsid w:val="00321F7A"/>
    <w:rsid w:val="00323A85"/>
    <w:rsid w:val="00323A8F"/>
    <w:rsid w:val="00323B9E"/>
    <w:rsid w:val="00327B11"/>
    <w:rsid w:val="00330804"/>
    <w:rsid w:val="00334A6B"/>
    <w:rsid w:val="00335291"/>
    <w:rsid w:val="0033620B"/>
    <w:rsid w:val="003366B2"/>
    <w:rsid w:val="00340066"/>
    <w:rsid w:val="0034122D"/>
    <w:rsid w:val="0034148F"/>
    <w:rsid w:val="0034288B"/>
    <w:rsid w:val="0034332B"/>
    <w:rsid w:val="00343595"/>
    <w:rsid w:val="00344081"/>
    <w:rsid w:val="0034655B"/>
    <w:rsid w:val="0034681C"/>
    <w:rsid w:val="00347F6C"/>
    <w:rsid w:val="00352046"/>
    <w:rsid w:val="00352A14"/>
    <w:rsid w:val="003549B6"/>
    <w:rsid w:val="00357601"/>
    <w:rsid w:val="00357607"/>
    <w:rsid w:val="0036005E"/>
    <w:rsid w:val="003600A8"/>
    <w:rsid w:val="003605EB"/>
    <w:rsid w:val="0036284D"/>
    <w:rsid w:val="00364514"/>
    <w:rsid w:val="00365463"/>
    <w:rsid w:val="00365A67"/>
    <w:rsid w:val="00366524"/>
    <w:rsid w:val="003708A3"/>
    <w:rsid w:val="00372C87"/>
    <w:rsid w:val="00373E58"/>
    <w:rsid w:val="00373F4E"/>
    <w:rsid w:val="00376073"/>
    <w:rsid w:val="00377452"/>
    <w:rsid w:val="00380CC8"/>
    <w:rsid w:val="00381223"/>
    <w:rsid w:val="00381849"/>
    <w:rsid w:val="003823A0"/>
    <w:rsid w:val="0038322C"/>
    <w:rsid w:val="00383A1B"/>
    <w:rsid w:val="00384A47"/>
    <w:rsid w:val="00384F36"/>
    <w:rsid w:val="00385271"/>
    <w:rsid w:val="00386105"/>
    <w:rsid w:val="003904D8"/>
    <w:rsid w:val="003916BB"/>
    <w:rsid w:val="0039226E"/>
    <w:rsid w:val="00392CC8"/>
    <w:rsid w:val="00396AC1"/>
    <w:rsid w:val="00397708"/>
    <w:rsid w:val="003A0671"/>
    <w:rsid w:val="003A1733"/>
    <w:rsid w:val="003A2017"/>
    <w:rsid w:val="003A3A0B"/>
    <w:rsid w:val="003A3F80"/>
    <w:rsid w:val="003A48CC"/>
    <w:rsid w:val="003A72EF"/>
    <w:rsid w:val="003A7E21"/>
    <w:rsid w:val="003B125D"/>
    <w:rsid w:val="003B1646"/>
    <w:rsid w:val="003B4EED"/>
    <w:rsid w:val="003B6B2C"/>
    <w:rsid w:val="003B7088"/>
    <w:rsid w:val="003C03A9"/>
    <w:rsid w:val="003C152D"/>
    <w:rsid w:val="003C266A"/>
    <w:rsid w:val="003C2695"/>
    <w:rsid w:val="003C26F8"/>
    <w:rsid w:val="003C5508"/>
    <w:rsid w:val="003C602A"/>
    <w:rsid w:val="003C7A2E"/>
    <w:rsid w:val="003D0198"/>
    <w:rsid w:val="003D1759"/>
    <w:rsid w:val="003D1896"/>
    <w:rsid w:val="003D3B14"/>
    <w:rsid w:val="003D4192"/>
    <w:rsid w:val="003D4AF2"/>
    <w:rsid w:val="003D62F7"/>
    <w:rsid w:val="003E1035"/>
    <w:rsid w:val="003E17F2"/>
    <w:rsid w:val="003E19F7"/>
    <w:rsid w:val="003E1EB2"/>
    <w:rsid w:val="003E492C"/>
    <w:rsid w:val="003E710D"/>
    <w:rsid w:val="003E7A9C"/>
    <w:rsid w:val="003F217E"/>
    <w:rsid w:val="003F328F"/>
    <w:rsid w:val="003F3485"/>
    <w:rsid w:val="003F531A"/>
    <w:rsid w:val="003F7908"/>
    <w:rsid w:val="003F7C9E"/>
    <w:rsid w:val="00400FC1"/>
    <w:rsid w:val="0040222C"/>
    <w:rsid w:val="0040226F"/>
    <w:rsid w:val="004025E8"/>
    <w:rsid w:val="00402768"/>
    <w:rsid w:val="00404C36"/>
    <w:rsid w:val="00404CEF"/>
    <w:rsid w:val="00406F38"/>
    <w:rsid w:val="00407865"/>
    <w:rsid w:val="0041062D"/>
    <w:rsid w:val="004107CA"/>
    <w:rsid w:val="004111BC"/>
    <w:rsid w:val="004114CB"/>
    <w:rsid w:val="004125F4"/>
    <w:rsid w:val="004126D4"/>
    <w:rsid w:val="004133AB"/>
    <w:rsid w:val="00414703"/>
    <w:rsid w:val="00415D2B"/>
    <w:rsid w:val="0041656A"/>
    <w:rsid w:val="00416C0A"/>
    <w:rsid w:val="00417AE2"/>
    <w:rsid w:val="00417DFB"/>
    <w:rsid w:val="00420337"/>
    <w:rsid w:val="00420D1B"/>
    <w:rsid w:val="004218F9"/>
    <w:rsid w:val="00421941"/>
    <w:rsid w:val="004228B5"/>
    <w:rsid w:val="0042388B"/>
    <w:rsid w:val="00423EA7"/>
    <w:rsid w:val="00424DE2"/>
    <w:rsid w:val="00424FD4"/>
    <w:rsid w:val="00426427"/>
    <w:rsid w:val="00426D3A"/>
    <w:rsid w:val="00432528"/>
    <w:rsid w:val="00432836"/>
    <w:rsid w:val="00434F3E"/>
    <w:rsid w:val="004373D1"/>
    <w:rsid w:val="004376F0"/>
    <w:rsid w:val="0043778D"/>
    <w:rsid w:val="00442812"/>
    <w:rsid w:val="00442A24"/>
    <w:rsid w:val="00443D98"/>
    <w:rsid w:val="004454C2"/>
    <w:rsid w:val="00447347"/>
    <w:rsid w:val="00447F33"/>
    <w:rsid w:val="00450A27"/>
    <w:rsid w:val="00450F75"/>
    <w:rsid w:val="00451EC2"/>
    <w:rsid w:val="00452770"/>
    <w:rsid w:val="004538C5"/>
    <w:rsid w:val="00457E4E"/>
    <w:rsid w:val="004610D5"/>
    <w:rsid w:val="004628C7"/>
    <w:rsid w:val="00463357"/>
    <w:rsid w:val="00463521"/>
    <w:rsid w:val="00463A04"/>
    <w:rsid w:val="00464971"/>
    <w:rsid w:val="00465255"/>
    <w:rsid w:val="0047156B"/>
    <w:rsid w:val="004721A5"/>
    <w:rsid w:val="0047335A"/>
    <w:rsid w:val="00473718"/>
    <w:rsid w:val="00473869"/>
    <w:rsid w:val="00473ADF"/>
    <w:rsid w:val="0047410E"/>
    <w:rsid w:val="00477047"/>
    <w:rsid w:val="004801AE"/>
    <w:rsid w:val="0048054A"/>
    <w:rsid w:val="004818E8"/>
    <w:rsid w:val="00482F67"/>
    <w:rsid w:val="00483006"/>
    <w:rsid w:val="0048413E"/>
    <w:rsid w:val="00484915"/>
    <w:rsid w:val="004853AB"/>
    <w:rsid w:val="00485961"/>
    <w:rsid w:val="00487387"/>
    <w:rsid w:val="00490E50"/>
    <w:rsid w:val="004918AA"/>
    <w:rsid w:val="004919FD"/>
    <w:rsid w:val="00491EA1"/>
    <w:rsid w:val="004934E3"/>
    <w:rsid w:val="0049523F"/>
    <w:rsid w:val="00495B50"/>
    <w:rsid w:val="0049638B"/>
    <w:rsid w:val="004A06FC"/>
    <w:rsid w:val="004A132C"/>
    <w:rsid w:val="004A1767"/>
    <w:rsid w:val="004A41E7"/>
    <w:rsid w:val="004A6A4D"/>
    <w:rsid w:val="004B059C"/>
    <w:rsid w:val="004B16F8"/>
    <w:rsid w:val="004B26D9"/>
    <w:rsid w:val="004B2C5E"/>
    <w:rsid w:val="004B4D5B"/>
    <w:rsid w:val="004B56A0"/>
    <w:rsid w:val="004B58E7"/>
    <w:rsid w:val="004B6BFE"/>
    <w:rsid w:val="004B774B"/>
    <w:rsid w:val="004C4629"/>
    <w:rsid w:val="004C4B71"/>
    <w:rsid w:val="004C7A53"/>
    <w:rsid w:val="004D087E"/>
    <w:rsid w:val="004D0992"/>
    <w:rsid w:val="004D19DB"/>
    <w:rsid w:val="004D1E88"/>
    <w:rsid w:val="004D264F"/>
    <w:rsid w:val="004D275E"/>
    <w:rsid w:val="004D3B8B"/>
    <w:rsid w:val="004D3CD7"/>
    <w:rsid w:val="004D42D1"/>
    <w:rsid w:val="004D5512"/>
    <w:rsid w:val="004D58DE"/>
    <w:rsid w:val="004D63E2"/>
    <w:rsid w:val="004D7B90"/>
    <w:rsid w:val="004E2E4B"/>
    <w:rsid w:val="004E3F30"/>
    <w:rsid w:val="004E46F8"/>
    <w:rsid w:val="004E50C8"/>
    <w:rsid w:val="004E653E"/>
    <w:rsid w:val="004E65F5"/>
    <w:rsid w:val="004E6B47"/>
    <w:rsid w:val="004F0C9A"/>
    <w:rsid w:val="004F1B82"/>
    <w:rsid w:val="004F2D77"/>
    <w:rsid w:val="004F3C00"/>
    <w:rsid w:val="004F3E28"/>
    <w:rsid w:val="004F621F"/>
    <w:rsid w:val="004F7F99"/>
    <w:rsid w:val="00502EAE"/>
    <w:rsid w:val="00503A1B"/>
    <w:rsid w:val="0050500F"/>
    <w:rsid w:val="00505279"/>
    <w:rsid w:val="0050532A"/>
    <w:rsid w:val="005063E1"/>
    <w:rsid w:val="00506B0E"/>
    <w:rsid w:val="00507CC5"/>
    <w:rsid w:val="00510578"/>
    <w:rsid w:val="0051239B"/>
    <w:rsid w:val="00512523"/>
    <w:rsid w:val="00515691"/>
    <w:rsid w:val="00516BBB"/>
    <w:rsid w:val="00517E9C"/>
    <w:rsid w:val="00520A23"/>
    <w:rsid w:val="00523E83"/>
    <w:rsid w:val="005248BB"/>
    <w:rsid w:val="0052760B"/>
    <w:rsid w:val="005308A5"/>
    <w:rsid w:val="005314E9"/>
    <w:rsid w:val="00531723"/>
    <w:rsid w:val="0053275E"/>
    <w:rsid w:val="005327BD"/>
    <w:rsid w:val="0053324F"/>
    <w:rsid w:val="005348BF"/>
    <w:rsid w:val="00535F71"/>
    <w:rsid w:val="00537DF8"/>
    <w:rsid w:val="00541E10"/>
    <w:rsid w:val="00541EF9"/>
    <w:rsid w:val="00542014"/>
    <w:rsid w:val="00542896"/>
    <w:rsid w:val="005431CF"/>
    <w:rsid w:val="00543D0A"/>
    <w:rsid w:val="00544D3A"/>
    <w:rsid w:val="00544EFB"/>
    <w:rsid w:val="005454F3"/>
    <w:rsid w:val="005455E5"/>
    <w:rsid w:val="00545EAF"/>
    <w:rsid w:val="00546438"/>
    <w:rsid w:val="0054681B"/>
    <w:rsid w:val="0054749D"/>
    <w:rsid w:val="0054779A"/>
    <w:rsid w:val="00547BA1"/>
    <w:rsid w:val="00555373"/>
    <w:rsid w:val="00555D06"/>
    <w:rsid w:val="00556101"/>
    <w:rsid w:val="00557CB1"/>
    <w:rsid w:val="0056031E"/>
    <w:rsid w:val="0056072C"/>
    <w:rsid w:val="0056091E"/>
    <w:rsid w:val="00561371"/>
    <w:rsid w:val="0056172D"/>
    <w:rsid w:val="005635F3"/>
    <w:rsid w:val="0056411C"/>
    <w:rsid w:val="00565251"/>
    <w:rsid w:val="00565B4C"/>
    <w:rsid w:val="00565F82"/>
    <w:rsid w:val="005663FF"/>
    <w:rsid w:val="005677E5"/>
    <w:rsid w:val="005701D4"/>
    <w:rsid w:val="00570D24"/>
    <w:rsid w:val="00571208"/>
    <w:rsid w:val="0057124A"/>
    <w:rsid w:val="00574C1A"/>
    <w:rsid w:val="005765B5"/>
    <w:rsid w:val="00577128"/>
    <w:rsid w:val="00577E4E"/>
    <w:rsid w:val="00580EEB"/>
    <w:rsid w:val="00580FCF"/>
    <w:rsid w:val="00581AC3"/>
    <w:rsid w:val="00583369"/>
    <w:rsid w:val="00583673"/>
    <w:rsid w:val="00583D08"/>
    <w:rsid w:val="00585B8F"/>
    <w:rsid w:val="00587BE7"/>
    <w:rsid w:val="00587CBC"/>
    <w:rsid w:val="00591B9C"/>
    <w:rsid w:val="00591D55"/>
    <w:rsid w:val="00595DF1"/>
    <w:rsid w:val="00596524"/>
    <w:rsid w:val="00597C41"/>
    <w:rsid w:val="00597D35"/>
    <w:rsid w:val="005A3845"/>
    <w:rsid w:val="005A4A36"/>
    <w:rsid w:val="005A60B6"/>
    <w:rsid w:val="005A6166"/>
    <w:rsid w:val="005A6D6D"/>
    <w:rsid w:val="005A6F4B"/>
    <w:rsid w:val="005A7264"/>
    <w:rsid w:val="005B0E6D"/>
    <w:rsid w:val="005B1601"/>
    <w:rsid w:val="005B1840"/>
    <w:rsid w:val="005B43BD"/>
    <w:rsid w:val="005B4CFC"/>
    <w:rsid w:val="005B58B0"/>
    <w:rsid w:val="005B6355"/>
    <w:rsid w:val="005B6E0D"/>
    <w:rsid w:val="005C0298"/>
    <w:rsid w:val="005C0769"/>
    <w:rsid w:val="005C1F4F"/>
    <w:rsid w:val="005C275A"/>
    <w:rsid w:val="005C360A"/>
    <w:rsid w:val="005C58CC"/>
    <w:rsid w:val="005C5935"/>
    <w:rsid w:val="005C7EE9"/>
    <w:rsid w:val="005D221C"/>
    <w:rsid w:val="005D2344"/>
    <w:rsid w:val="005D2A43"/>
    <w:rsid w:val="005D42B2"/>
    <w:rsid w:val="005D6EA0"/>
    <w:rsid w:val="005E0C84"/>
    <w:rsid w:val="005E1816"/>
    <w:rsid w:val="005E3188"/>
    <w:rsid w:val="005E493A"/>
    <w:rsid w:val="005E76E2"/>
    <w:rsid w:val="005E7B36"/>
    <w:rsid w:val="005F02E6"/>
    <w:rsid w:val="005F039A"/>
    <w:rsid w:val="005F10F1"/>
    <w:rsid w:val="005F13FA"/>
    <w:rsid w:val="005F1911"/>
    <w:rsid w:val="005F28F3"/>
    <w:rsid w:val="005F2CBA"/>
    <w:rsid w:val="005F3216"/>
    <w:rsid w:val="005F4DFE"/>
    <w:rsid w:val="005F4EF9"/>
    <w:rsid w:val="005F5461"/>
    <w:rsid w:val="005F787B"/>
    <w:rsid w:val="0060020F"/>
    <w:rsid w:val="006015AE"/>
    <w:rsid w:val="006017B1"/>
    <w:rsid w:val="00603AA5"/>
    <w:rsid w:val="00603E04"/>
    <w:rsid w:val="00605331"/>
    <w:rsid w:val="00605DA8"/>
    <w:rsid w:val="006061B8"/>
    <w:rsid w:val="0060685F"/>
    <w:rsid w:val="00607066"/>
    <w:rsid w:val="00607197"/>
    <w:rsid w:val="006076C4"/>
    <w:rsid w:val="00607A16"/>
    <w:rsid w:val="006109F8"/>
    <w:rsid w:val="00614340"/>
    <w:rsid w:val="006147EA"/>
    <w:rsid w:val="006215D8"/>
    <w:rsid w:val="00623075"/>
    <w:rsid w:val="00623910"/>
    <w:rsid w:val="00624A27"/>
    <w:rsid w:val="00624D74"/>
    <w:rsid w:val="00626D0E"/>
    <w:rsid w:val="0062716D"/>
    <w:rsid w:val="00627295"/>
    <w:rsid w:val="00627AF2"/>
    <w:rsid w:val="006323E2"/>
    <w:rsid w:val="00632F94"/>
    <w:rsid w:val="00635037"/>
    <w:rsid w:val="00635546"/>
    <w:rsid w:val="0063632F"/>
    <w:rsid w:val="00636645"/>
    <w:rsid w:val="00636A6B"/>
    <w:rsid w:val="00640C2F"/>
    <w:rsid w:val="00640E38"/>
    <w:rsid w:val="0064265E"/>
    <w:rsid w:val="00645F5B"/>
    <w:rsid w:val="006463A2"/>
    <w:rsid w:val="00646F6A"/>
    <w:rsid w:val="0064782E"/>
    <w:rsid w:val="00650593"/>
    <w:rsid w:val="00650C56"/>
    <w:rsid w:val="00650CA9"/>
    <w:rsid w:val="00650FFC"/>
    <w:rsid w:val="00652858"/>
    <w:rsid w:val="00652A9B"/>
    <w:rsid w:val="006558DC"/>
    <w:rsid w:val="00655BD0"/>
    <w:rsid w:val="00656B27"/>
    <w:rsid w:val="00657F8B"/>
    <w:rsid w:val="00660401"/>
    <w:rsid w:val="006618FC"/>
    <w:rsid w:val="00663B4D"/>
    <w:rsid w:val="00663D00"/>
    <w:rsid w:val="00663E86"/>
    <w:rsid w:val="006648CA"/>
    <w:rsid w:val="006662FA"/>
    <w:rsid w:val="006704B0"/>
    <w:rsid w:val="00671B7E"/>
    <w:rsid w:val="006767BC"/>
    <w:rsid w:val="00681D75"/>
    <w:rsid w:val="0068242E"/>
    <w:rsid w:val="0068304D"/>
    <w:rsid w:val="00684BAF"/>
    <w:rsid w:val="00686A2B"/>
    <w:rsid w:val="00686C26"/>
    <w:rsid w:val="006901C2"/>
    <w:rsid w:val="006908B7"/>
    <w:rsid w:val="0069192A"/>
    <w:rsid w:val="006942E3"/>
    <w:rsid w:val="006966A3"/>
    <w:rsid w:val="00696EBB"/>
    <w:rsid w:val="006A17BF"/>
    <w:rsid w:val="006A18A3"/>
    <w:rsid w:val="006A1F10"/>
    <w:rsid w:val="006A4252"/>
    <w:rsid w:val="006A4D4E"/>
    <w:rsid w:val="006A62FA"/>
    <w:rsid w:val="006A775D"/>
    <w:rsid w:val="006B272D"/>
    <w:rsid w:val="006B4C33"/>
    <w:rsid w:val="006B630A"/>
    <w:rsid w:val="006B7436"/>
    <w:rsid w:val="006B7C24"/>
    <w:rsid w:val="006C0106"/>
    <w:rsid w:val="006C1577"/>
    <w:rsid w:val="006C1A37"/>
    <w:rsid w:val="006C251C"/>
    <w:rsid w:val="006C5ACD"/>
    <w:rsid w:val="006C6300"/>
    <w:rsid w:val="006D1544"/>
    <w:rsid w:val="006D1EEC"/>
    <w:rsid w:val="006D36B7"/>
    <w:rsid w:val="006D3A49"/>
    <w:rsid w:val="006D4AD4"/>
    <w:rsid w:val="006D686D"/>
    <w:rsid w:val="006D6D82"/>
    <w:rsid w:val="006D6F03"/>
    <w:rsid w:val="006D7FF7"/>
    <w:rsid w:val="006E16F1"/>
    <w:rsid w:val="006E25A8"/>
    <w:rsid w:val="006E29A0"/>
    <w:rsid w:val="006E359B"/>
    <w:rsid w:val="006E60EE"/>
    <w:rsid w:val="006E75BF"/>
    <w:rsid w:val="006F0111"/>
    <w:rsid w:val="006F09B5"/>
    <w:rsid w:val="006F1349"/>
    <w:rsid w:val="006F201F"/>
    <w:rsid w:val="006F2C03"/>
    <w:rsid w:val="006F46DC"/>
    <w:rsid w:val="006F48B3"/>
    <w:rsid w:val="006F48B8"/>
    <w:rsid w:val="006F4ACE"/>
    <w:rsid w:val="006F553C"/>
    <w:rsid w:val="006F5924"/>
    <w:rsid w:val="006F6258"/>
    <w:rsid w:val="006F65E1"/>
    <w:rsid w:val="006F6FDF"/>
    <w:rsid w:val="006F7F8E"/>
    <w:rsid w:val="0070052C"/>
    <w:rsid w:val="007009E2"/>
    <w:rsid w:val="00700BCE"/>
    <w:rsid w:val="00701419"/>
    <w:rsid w:val="00701552"/>
    <w:rsid w:val="00704FDE"/>
    <w:rsid w:val="00705448"/>
    <w:rsid w:val="00706466"/>
    <w:rsid w:val="00706D13"/>
    <w:rsid w:val="0070776B"/>
    <w:rsid w:val="00711112"/>
    <w:rsid w:val="007122EC"/>
    <w:rsid w:val="00712476"/>
    <w:rsid w:val="00714504"/>
    <w:rsid w:val="00714537"/>
    <w:rsid w:val="0071524F"/>
    <w:rsid w:val="007158F5"/>
    <w:rsid w:val="00716F04"/>
    <w:rsid w:val="0071742A"/>
    <w:rsid w:val="00721247"/>
    <w:rsid w:val="0072172B"/>
    <w:rsid w:val="00721B5A"/>
    <w:rsid w:val="00722D04"/>
    <w:rsid w:val="00722D6B"/>
    <w:rsid w:val="007257E5"/>
    <w:rsid w:val="00725910"/>
    <w:rsid w:val="00730059"/>
    <w:rsid w:val="00730E8F"/>
    <w:rsid w:val="0073107E"/>
    <w:rsid w:val="00731D48"/>
    <w:rsid w:val="00733D9F"/>
    <w:rsid w:val="00734035"/>
    <w:rsid w:val="00734484"/>
    <w:rsid w:val="0074012B"/>
    <w:rsid w:val="00740153"/>
    <w:rsid w:val="00741CEC"/>
    <w:rsid w:val="00742076"/>
    <w:rsid w:val="00743F5D"/>
    <w:rsid w:val="00745136"/>
    <w:rsid w:val="00745A15"/>
    <w:rsid w:val="00745DD2"/>
    <w:rsid w:val="00746E69"/>
    <w:rsid w:val="00750056"/>
    <w:rsid w:val="00751354"/>
    <w:rsid w:val="00752ABA"/>
    <w:rsid w:val="00753650"/>
    <w:rsid w:val="007548E3"/>
    <w:rsid w:val="0075687E"/>
    <w:rsid w:val="00756909"/>
    <w:rsid w:val="0076059C"/>
    <w:rsid w:val="00760D10"/>
    <w:rsid w:val="00761890"/>
    <w:rsid w:val="00762108"/>
    <w:rsid w:val="0076298A"/>
    <w:rsid w:val="007645A5"/>
    <w:rsid w:val="00765351"/>
    <w:rsid w:val="00767F62"/>
    <w:rsid w:val="00770740"/>
    <w:rsid w:val="00770C13"/>
    <w:rsid w:val="00770E38"/>
    <w:rsid w:val="00774BBA"/>
    <w:rsid w:val="007751DE"/>
    <w:rsid w:val="00776AF1"/>
    <w:rsid w:val="007777D3"/>
    <w:rsid w:val="0078115E"/>
    <w:rsid w:val="0078133D"/>
    <w:rsid w:val="00781E34"/>
    <w:rsid w:val="00785785"/>
    <w:rsid w:val="00791DED"/>
    <w:rsid w:val="00792AA8"/>
    <w:rsid w:val="00793AAE"/>
    <w:rsid w:val="00793B2E"/>
    <w:rsid w:val="00794972"/>
    <w:rsid w:val="007950BF"/>
    <w:rsid w:val="00795C9B"/>
    <w:rsid w:val="00796EE7"/>
    <w:rsid w:val="00797022"/>
    <w:rsid w:val="007A1BCC"/>
    <w:rsid w:val="007A2EF8"/>
    <w:rsid w:val="007A3612"/>
    <w:rsid w:val="007A3ABE"/>
    <w:rsid w:val="007A4CB0"/>
    <w:rsid w:val="007A5B52"/>
    <w:rsid w:val="007A60F8"/>
    <w:rsid w:val="007A62C3"/>
    <w:rsid w:val="007A7CB9"/>
    <w:rsid w:val="007B1AD4"/>
    <w:rsid w:val="007B341B"/>
    <w:rsid w:val="007B402B"/>
    <w:rsid w:val="007B4102"/>
    <w:rsid w:val="007B5879"/>
    <w:rsid w:val="007B5E25"/>
    <w:rsid w:val="007B651A"/>
    <w:rsid w:val="007B6648"/>
    <w:rsid w:val="007B6669"/>
    <w:rsid w:val="007B7FC5"/>
    <w:rsid w:val="007C1601"/>
    <w:rsid w:val="007C2711"/>
    <w:rsid w:val="007C3058"/>
    <w:rsid w:val="007C311B"/>
    <w:rsid w:val="007C3AF7"/>
    <w:rsid w:val="007C462E"/>
    <w:rsid w:val="007C506B"/>
    <w:rsid w:val="007C690A"/>
    <w:rsid w:val="007C77B8"/>
    <w:rsid w:val="007C78C7"/>
    <w:rsid w:val="007C7E60"/>
    <w:rsid w:val="007D0986"/>
    <w:rsid w:val="007D2701"/>
    <w:rsid w:val="007D344E"/>
    <w:rsid w:val="007D59A7"/>
    <w:rsid w:val="007D698B"/>
    <w:rsid w:val="007D6F9D"/>
    <w:rsid w:val="007D7BB6"/>
    <w:rsid w:val="007E0C5B"/>
    <w:rsid w:val="007E1759"/>
    <w:rsid w:val="007E186C"/>
    <w:rsid w:val="007E5D35"/>
    <w:rsid w:val="007E5FEF"/>
    <w:rsid w:val="007E6018"/>
    <w:rsid w:val="007E7270"/>
    <w:rsid w:val="007E75BE"/>
    <w:rsid w:val="007F0319"/>
    <w:rsid w:val="007F4550"/>
    <w:rsid w:val="007F52A6"/>
    <w:rsid w:val="007F5789"/>
    <w:rsid w:val="007F68DA"/>
    <w:rsid w:val="007F7599"/>
    <w:rsid w:val="008004E7"/>
    <w:rsid w:val="00800E12"/>
    <w:rsid w:val="0080276C"/>
    <w:rsid w:val="00802CCB"/>
    <w:rsid w:val="0080566E"/>
    <w:rsid w:val="008060C8"/>
    <w:rsid w:val="00806951"/>
    <w:rsid w:val="008100E4"/>
    <w:rsid w:val="00810711"/>
    <w:rsid w:val="00810F5C"/>
    <w:rsid w:val="008116EB"/>
    <w:rsid w:val="0081247F"/>
    <w:rsid w:val="00812723"/>
    <w:rsid w:val="00813FCE"/>
    <w:rsid w:val="00814A6A"/>
    <w:rsid w:val="00814ED4"/>
    <w:rsid w:val="008152E3"/>
    <w:rsid w:val="0081557C"/>
    <w:rsid w:val="008159B1"/>
    <w:rsid w:val="00820282"/>
    <w:rsid w:val="00820651"/>
    <w:rsid w:val="0082117F"/>
    <w:rsid w:val="008227B5"/>
    <w:rsid w:val="008234EC"/>
    <w:rsid w:val="00824A9D"/>
    <w:rsid w:val="0082619C"/>
    <w:rsid w:val="008261FB"/>
    <w:rsid w:val="00827C79"/>
    <w:rsid w:val="00831A0D"/>
    <w:rsid w:val="00831B1C"/>
    <w:rsid w:val="00832F06"/>
    <w:rsid w:val="008332A1"/>
    <w:rsid w:val="00833645"/>
    <w:rsid w:val="00836AD2"/>
    <w:rsid w:val="008375CC"/>
    <w:rsid w:val="008405D2"/>
    <w:rsid w:val="00840D2F"/>
    <w:rsid w:val="008415CC"/>
    <w:rsid w:val="00842862"/>
    <w:rsid w:val="00842C43"/>
    <w:rsid w:val="0084311E"/>
    <w:rsid w:val="008436CD"/>
    <w:rsid w:val="008440FD"/>
    <w:rsid w:val="008449BB"/>
    <w:rsid w:val="00844A64"/>
    <w:rsid w:val="00845199"/>
    <w:rsid w:val="008460EE"/>
    <w:rsid w:val="00847DFE"/>
    <w:rsid w:val="00850A7F"/>
    <w:rsid w:val="00851111"/>
    <w:rsid w:val="008525CF"/>
    <w:rsid w:val="00852B21"/>
    <w:rsid w:val="00854173"/>
    <w:rsid w:val="008542CC"/>
    <w:rsid w:val="008568C8"/>
    <w:rsid w:val="00856B19"/>
    <w:rsid w:val="00860973"/>
    <w:rsid w:val="00860B77"/>
    <w:rsid w:val="0086183E"/>
    <w:rsid w:val="008641B0"/>
    <w:rsid w:val="008648B5"/>
    <w:rsid w:val="00865506"/>
    <w:rsid w:val="00865642"/>
    <w:rsid w:val="00865A78"/>
    <w:rsid w:val="0086641A"/>
    <w:rsid w:val="00867F68"/>
    <w:rsid w:val="008715D2"/>
    <w:rsid w:val="008737D3"/>
    <w:rsid w:val="00873E0E"/>
    <w:rsid w:val="00877CBF"/>
    <w:rsid w:val="00882D53"/>
    <w:rsid w:val="00883437"/>
    <w:rsid w:val="008834C5"/>
    <w:rsid w:val="00883C24"/>
    <w:rsid w:val="008853F8"/>
    <w:rsid w:val="00885555"/>
    <w:rsid w:val="008877BA"/>
    <w:rsid w:val="008918CE"/>
    <w:rsid w:val="00891CED"/>
    <w:rsid w:val="0089327A"/>
    <w:rsid w:val="008953BD"/>
    <w:rsid w:val="008956D6"/>
    <w:rsid w:val="008A1E3B"/>
    <w:rsid w:val="008A3311"/>
    <w:rsid w:val="008A3B49"/>
    <w:rsid w:val="008A3D14"/>
    <w:rsid w:val="008A3E92"/>
    <w:rsid w:val="008A4628"/>
    <w:rsid w:val="008A5016"/>
    <w:rsid w:val="008A60A9"/>
    <w:rsid w:val="008A6953"/>
    <w:rsid w:val="008A74D1"/>
    <w:rsid w:val="008B170C"/>
    <w:rsid w:val="008B38FE"/>
    <w:rsid w:val="008B3E7F"/>
    <w:rsid w:val="008B47CB"/>
    <w:rsid w:val="008B6A6C"/>
    <w:rsid w:val="008B6D73"/>
    <w:rsid w:val="008C14AF"/>
    <w:rsid w:val="008C157E"/>
    <w:rsid w:val="008C15BB"/>
    <w:rsid w:val="008C1915"/>
    <w:rsid w:val="008C28E5"/>
    <w:rsid w:val="008C29A8"/>
    <w:rsid w:val="008C4E5F"/>
    <w:rsid w:val="008C6886"/>
    <w:rsid w:val="008C6C82"/>
    <w:rsid w:val="008C731D"/>
    <w:rsid w:val="008D005B"/>
    <w:rsid w:val="008D13F0"/>
    <w:rsid w:val="008D15F7"/>
    <w:rsid w:val="008D183D"/>
    <w:rsid w:val="008D1FDE"/>
    <w:rsid w:val="008D351D"/>
    <w:rsid w:val="008D78BD"/>
    <w:rsid w:val="008E0AA7"/>
    <w:rsid w:val="008E1848"/>
    <w:rsid w:val="008E1C45"/>
    <w:rsid w:val="008E242E"/>
    <w:rsid w:val="008E4606"/>
    <w:rsid w:val="008E6172"/>
    <w:rsid w:val="008E647B"/>
    <w:rsid w:val="008E7199"/>
    <w:rsid w:val="008E7B61"/>
    <w:rsid w:val="008F0D5B"/>
    <w:rsid w:val="008F2009"/>
    <w:rsid w:val="008F3AE2"/>
    <w:rsid w:val="008F4A7C"/>
    <w:rsid w:val="008F4B4F"/>
    <w:rsid w:val="008F6221"/>
    <w:rsid w:val="008F6803"/>
    <w:rsid w:val="008F722B"/>
    <w:rsid w:val="008F777B"/>
    <w:rsid w:val="008F7CCE"/>
    <w:rsid w:val="00904A37"/>
    <w:rsid w:val="00905CB8"/>
    <w:rsid w:val="009064E2"/>
    <w:rsid w:val="009065B3"/>
    <w:rsid w:val="009077C7"/>
    <w:rsid w:val="009100DC"/>
    <w:rsid w:val="009112BA"/>
    <w:rsid w:val="0091220E"/>
    <w:rsid w:val="0091465A"/>
    <w:rsid w:val="00916023"/>
    <w:rsid w:val="009200F6"/>
    <w:rsid w:val="00920216"/>
    <w:rsid w:val="00920463"/>
    <w:rsid w:val="00921976"/>
    <w:rsid w:val="00921DE8"/>
    <w:rsid w:val="009231E5"/>
    <w:rsid w:val="009238C7"/>
    <w:rsid w:val="00923D68"/>
    <w:rsid w:val="009245CA"/>
    <w:rsid w:val="00926E4D"/>
    <w:rsid w:val="0093352D"/>
    <w:rsid w:val="00933757"/>
    <w:rsid w:val="00933A07"/>
    <w:rsid w:val="00934586"/>
    <w:rsid w:val="0093589C"/>
    <w:rsid w:val="009376FF"/>
    <w:rsid w:val="00940185"/>
    <w:rsid w:val="00940BCD"/>
    <w:rsid w:val="00940FC8"/>
    <w:rsid w:val="00941279"/>
    <w:rsid w:val="0094289B"/>
    <w:rsid w:val="009462D5"/>
    <w:rsid w:val="0095110E"/>
    <w:rsid w:val="00953B4F"/>
    <w:rsid w:val="00953EB6"/>
    <w:rsid w:val="0095456C"/>
    <w:rsid w:val="009547B3"/>
    <w:rsid w:val="009568B3"/>
    <w:rsid w:val="00956905"/>
    <w:rsid w:val="00956E3F"/>
    <w:rsid w:val="00957BFA"/>
    <w:rsid w:val="009614C6"/>
    <w:rsid w:val="00961DC1"/>
    <w:rsid w:val="00962BFB"/>
    <w:rsid w:val="00962E1C"/>
    <w:rsid w:val="0096349D"/>
    <w:rsid w:val="00964954"/>
    <w:rsid w:val="00966C29"/>
    <w:rsid w:val="00966DEC"/>
    <w:rsid w:val="009727EC"/>
    <w:rsid w:val="00972BF3"/>
    <w:rsid w:val="00973794"/>
    <w:rsid w:val="00975378"/>
    <w:rsid w:val="0097673B"/>
    <w:rsid w:val="00977CDA"/>
    <w:rsid w:val="009809C5"/>
    <w:rsid w:val="00987C7D"/>
    <w:rsid w:val="00990380"/>
    <w:rsid w:val="00990724"/>
    <w:rsid w:val="0099102F"/>
    <w:rsid w:val="009921DB"/>
    <w:rsid w:val="00993C00"/>
    <w:rsid w:val="009940EF"/>
    <w:rsid w:val="00994A8D"/>
    <w:rsid w:val="00994D06"/>
    <w:rsid w:val="00995C25"/>
    <w:rsid w:val="00996C9D"/>
    <w:rsid w:val="0099796D"/>
    <w:rsid w:val="00997CF0"/>
    <w:rsid w:val="009A04BF"/>
    <w:rsid w:val="009A0BBC"/>
    <w:rsid w:val="009A3412"/>
    <w:rsid w:val="009A517D"/>
    <w:rsid w:val="009A5AFD"/>
    <w:rsid w:val="009A5E55"/>
    <w:rsid w:val="009A6929"/>
    <w:rsid w:val="009A6EFD"/>
    <w:rsid w:val="009A778E"/>
    <w:rsid w:val="009B0652"/>
    <w:rsid w:val="009B280D"/>
    <w:rsid w:val="009B35E5"/>
    <w:rsid w:val="009B3818"/>
    <w:rsid w:val="009B39DC"/>
    <w:rsid w:val="009B3A50"/>
    <w:rsid w:val="009B3BCF"/>
    <w:rsid w:val="009B4031"/>
    <w:rsid w:val="009B46FC"/>
    <w:rsid w:val="009B4C1E"/>
    <w:rsid w:val="009B61E7"/>
    <w:rsid w:val="009B6EB1"/>
    <w:rsid w:val="009B7E7B"/>
    <w:rsid w:val="009C0087"/>
    <w:rsid w:val="009C153F"/>
    <w:rsid w:val="009C346B"/>
    <w:rsid w:val="009C6E72"/>
    <w:rsid w:val="009D0C74"/>
    <w:rsid w:val="009D1A55"/>
    <w:rsid w:val="009D20B0"/>
    <w:rsid w:val="009D3C3F"/>
    <w:rsid w:val="009D4D08"/>
    <w:rsid w:val="009D4D67"/>
    <w:rsid w:val="009D5D21"/>
    <w:rsid w:val="009D635B"/>
    <w:rsid w:val="009D66DC"/>
    <w:rsid w:val="009D7F6F"/>
    <w:rsid w:val="009E0393"/>
    <w:rsid w:val="009E07D3"/>
    <w:rsid w:val="009E13B7"/>
    <w:rsid w:val="009E13DF"/>
    <w:rsid w:val="009E1914"/>
    <w:rsid w:val="009E2CD6"/>
    <w:rsid w:val="009E35FE"/>
    <w:rsid w:val="009E3BE0"/>
    <w:rsid w:val="009E4DC6"/>
    <w:rsid w:val="009E5A98"/>
    <w:rsid w:val="009E75F9"/>
    <w:rsid w:val="009F06F2"/>
    <w:rsid w:val="009F5872"/>
    <w:rsid w:val="009F635E"/>
    <w:rsid w:val="009F729A"/>
    <w:rsid w:val="00A011E7"/>
    <w:rsid w:val="00A02A55"/>
    <w:rsid w:val="00A02C5D"/>
    <w:rsid w:val="00A035D4"/>
    <w:rsid w:val="00A0410B"/>
    <w:rsid w:val="00A05374"/>
    <w:rsid w:val="00A061FC"/>
    <w:rsid w:val="00A07664"/>
    <w:rsid w:val="00A11151"/>
    <w:rsid w:val="00A12622"/>
    <w:rsid w:val="00A140D3"/>
    <w:rsid w:val="00A1446B"/>
    <w:rsid w:val="00A15046"/>
    <w:rsid w:val="00A167F2"/>
    <w:rsid w:val="00A17EFE"/>
    <w:rsid w:val="00A20C78"/>
    <w:rsid w:val="00A21FD7"/>
    <w:rsid w:val="00A2312E"/>
    <w:rsid w:val="00A23BF7"/>
    <w:rsid w:val="00A23EF0"/>
    <w:rsid w:val="00A24323"/>
    <w:rsid w:val="00A2512C"/>
    <w:rsid w:val="00A2515B"/>
    <w:rsid w:val="00A2588E"/>
    <w:rsid w:val="00A2633B"/>
    <w:rsid w:val="00A26EDF"/>
    <w:rsid w:val="00A31F58"/>
    <w:rsid w:val="00A32494"/>
    <w:rsid w:val="00A34789"/>
    <w:rsid w:val="00A35656"/>
    <w:rsid w:val="00A3630E"/>
    <w:rsid w:val="00A37BB8"/>
    <w:rsid w:val="00A37D74"/>
    <w:rsid w:val="00A402D6"/>
    <w:rsid w:val="00A41FF8"/>
    <w:rsid w:val="00A42596"/>
    <w:rsid w:val="00A42D87"/>
    <w:rsid w:val="00A4354F"/>
    <w:rsid w:val="00A43919"/>
    <w:rsid w:val="00A44BD3"/>
    <w:rsid w:val="00A4521D"/>
    <w:rsid w:val="00A45B34"/>
    <w:rsid w:val="00A46D6F"/>
    <w:rsid w:val="00A4751C"/>
    <w:rsid w:val="00A51F0A"/>
    <w:rsid w:val="00A51F21"/>
    <w:rsid w:val="00A53A26"/>
    <w:rsid w:val="00A54EF2"/>
    <w:rsid w:val="00A55D48"/>
    <w:rsid w:val="00A57BEB"/>
    <w:rsid w:val="00A604CA"/>
    <w:rsid w:val="00A60940"/>
    <w:rsid w:val="00A61673"/>
    <w:rsid w:val="00A62B27"/>
    <w:rsid w:val="00A6343F"/>
    <w:rsid w:val="00A64926"/>
    <w:rsid w:val="00A66110"/>
    <w:rsid w:val="00A6651D"/>
    <w:rsid w:val="00A665CF"/>
    <w:rsid w:val="00A66B6A"/>
    <w:rsid w:val="00A66DEC"/>
    <w:rsid w:val="00A67CA7"/>
    <w:rsid w:val="00A72084"/>
    <w:rsid w:val="00A7266F"/>
    <w:rsid w:val="00A73989"/>
    <w:rsid w:val="00A73A0B"/>
    <w:rsid w:val="00A73A84"/>
    <w:rsid w:val="00A755B6"/>
    <w:rsid w:val="00A760C5"/>
    <w:rsid w:val="00A7648F"/>
    <w:rsid w:val="00A7752F"/>
    <w:rsid w:val="00A80CB8"/>
    <w:rsid w:val="00A83497"/>
    <w:rsid w:val="00A85C35"/>
    <w:rsid w:val="00A86ECB"/>
    <w:rsid w:val="00A911AF"/>
    <w:rsid w:val="00A9167B"/>
    <w:rsid w:val="00A917A8"/>
    <w:rsid w:val="00A92061"/>
    <w:rsid w:val="00A94249"/>
    <w:rsid w:val="00A94BC9"/>
    <w:rsid w:val="00A959BC"/>
    <w:rsid w:val="00A96420"/>
    <w:rsid w:val="00AA234E"/>
    <w:rsid w:val="00AA2562"/>
    <w:rsid w:val="00AA2ED2"/>
    <w:rsid w:val="00AA3BEF"/>
    <w:rsid w:val="00AA3C60"/>
    <w:rsid w:val="00AA407B"/>
    <w:rsid w:val="00AA4150"/>
    <w:rsid w:val="00AA41FC"/>
    <w:rsid w:val="00AA63AE"/>
    <w:rsid w:val="00AA7092"/>
    <w:rsid w:val="00AA73E0"/>
    <w:rsid w:val="00AB241A"/>
    <w:rsid w:val="00AB26E2"/>
    <w:rsid w:val="00AB2FF4"/>
    <w:rsid w:val="00AB4981"/>
    <w:rsid w:val="00AB4F18"/>
    <w:rsid w:val="00AB5F9C"/>
    <w:rsid w:val="00AC1AD6"/>
    <w:rsid w:val="00AC254D"/>
    <w:rsid w:val="00AC28A7"/>
    <w:rsid w:val="00AC5CE1"/>
    <w:rsid w:val="00AC712D"/>
    <w:rsid w:val="00AD3E46"/>
    <w:rsid w:val="00AD3ED8"/>
    <w:rsid w:val="00AD40E6"/>
    <w:rsid w:val="00AD6072"/>
    <w:rsid w:val="00AD64DF"/>
    <w:rsid w:val="00AE1025"/>
    <w:rsid w:val="00AE3F03"/>
    <w:rsid w:val="00AE52C5"/>
    <w:rsid w:val="00AE64F0"/>
    <w:rsid w:val="00AE6EDF"/>
    <w:rsid w:val="00AF01C9"/>
    <w:rsid w:val="00AF1839"/>
    <w:rsid w:val="00AF2079"/>
    <w:rsid w:val="00AF23C8"/>
    <w:rsid w:val="00AF2AE2"/>
    <w:rsid w:val="00AF3220"/>
    <w:rsid w:val="00AF3537"/>
    <w:rsid w:val="00AF40D5"/>
    <w:rsid w:val="00AF7E2A"/>
    <w:rsid w:val="00B019A6"/>
    <w:rsid w:val="00B01EFE"/>
    <w:rsid w:val="00B0377E"/>
    <w:rsid w:val="00B05CAD"/>
    <w:rsid w:val="00B061FD"/>
    <w:rsid w:val="00B07591"/>
    <w:rsid w:val="00B07BA9"/>
    <w:rsid w:val="00B10055"/>
    <w:rsid w:val="00B1141E"/>
    <w:rsid w:val="00B1278B"/>
    <w:rsid w:val="00B16783"/>
    <w:rsid w:val="00B17295"/>
    <w:rsid w:val="00B215F5"/>
    <w:rsid w:val="00B22836"/>
    <w:rsid w:val="00B22A0B"/>
    <w:rsid w:val="00B236DB"/>
    <w:rsid w:val="00B26B62"/>
    <w:rsid w:val="00B27A54"/>
    <w:rsid w:val="00B30783"/>
    <w:rsid w:val="00B330AC"/>
    <w:rsid w:val="00B34D3B"/>
    <w:rsid w:val="00B36F2E"/>
    <w:rsid w:val="00B41F0F"/>
    <w:rsid w:val="00B42128"/>
    <w:rsid w:val="00B42560"/>
    <w:rsid w:val="00B44D24"/>
    <w:rsid w:val="00B44D3C"/>
    <w:rsid w:val="00B455AA"/>
    <w:rsid w:val="00B45778"/>
    <w:rsid w:val="00B457A1"/>
    <w:rsid w:val="00B4630F"/>
    <w:rsid w:val="00B464B1"/>
    <w:rsid w:val="00B47A4A"/>
    <w:rsid w:val="00B47ADB"/>
    <w:rsid w:val="00B47B99"/>
    <w:rsid w:val="00B506F2"/>
    <w:rsid w:val="00B50D91"/>
    <w:rsid w:val="00B510D9"/>
    <w:rsid w:val="00B510E3"/>
    <w:rsid w:val="00B511F7"/>
    <w:rsid w:val="00B521AC"/>
    <w:rsid w:val="00B52702"/>
    <w:rsid w:val="00B5498D"/>
    <w:rsid w:val="00B5501D"/>
    <w:rsid w:val="00B56589"/>
    <w:rsid w:val="00B5735C"/>
    <w:rsid w:val="00B6151E"/>
    <w:rsid w:val="00B61891"/>
    <w:rsid w:val="00B64903"/>
    <w:rsid w:val="00B64962"/>
    <w:rsid w:val="00B65AD0"/>
    <w:rsid w:val="00B676EC"/>
    <w:rsid w:val="00B7016C"/>
    <w:rsid w:val="00B7039B"/>
    <w:rsid w:val="00B725F6"/>
    <w:rsid w:val="00B7304D"/>
    <w:rsid w:val="00B74D1E"/>
    <w:rsid w:val="00B755A1"/>
    <w:rsid w:val="00B76A18"/>
    <w:rsid w:val="00B806E6"/>
    <w:rsid w:val="00B82B3F"/>
    <w:rsid w:val="00B84152"/>
    <w:rsid w:val="00B84C6C"/>
    <w:rsid w:val="00B90881"/>
    <w:rsid w:val="00B91473"/>
    <w:rsid w:val="00B915F5"/>
    <w:rsid w:val="00B924C0"/>
    <w:rsid w:val="00B92687"/>
    <w:rsid w:val="00B93BFF"/>
    <w:rsid w:val="00B94248"/>
    <w:rsid w:val="00B942A1"/>
    <w:rsid w:val="00B94B4F"/>
    <w:rsid w:val="00B968B6"/>
    <w:rsid w:val="00B97023"/>
    <w:rsid w:val="00B976F6"/>
    <w:rsid w:val="00BA1EA3"/>
    <w:rsid w:val="00BA2297"/>
    <w:rsid w:val="00BA5BAE"/>
    <w:rsid w:val="00BA5F41"/>
    <w:rsid w:val="00BA7385"/>
    <w:rsid w:val="00BB0252"/>
    <w:rsid w:val="00BB0F84"/>
    <w:rsid w:val="00BB187C"/>
    <w:rsid w:val="00BB296B"/>
    <w:rsid w:val="00BB2A9C"/>
    <w:rsid w:val="00BB3622"/>
    <w:rsid w:val="00BB3F4C"/>
    <w:rsid w:val="00BB4596"/>
    <w:rsid w:val="00BB4F06"/>
    <w:rsid w:val="00BB5721"/>
    <w:rsid w:val="00BB682C"/>
    <w:rsid w:val="00BB7CA9"/>
    <w:rsid w:val="00BC10ED"/>
    <w:rsid w:val="00BC1C0C"/>
    <w:rsid w:val="00BC236B"/>
    <w:rsid w:val="00BC2BB4"/>
    <w:rsid w:val="00BC2E0A"/>
    <w:rsid w:val="00BC4904"/>
    <w:rsid w:val="00BC5C59"/>
    <w:rsid w:val="00BC5E04"/>
    <w:rsid w:val="00BC647D"/>
    <w:rsid w:val="00BC65D9"/>
    <w:rsid w:val="00BC7C52"/>
    <w:rsid w:val="00BC7F62"/>
    <w:rsid w:val="00BC7FF4"/>
    <w:rsid w:val="00BD07D3"/>
    <w:rsid w:val="00BD0CF6"/>
    <w:rsid w:val="00BD1471"/>
    <w:rsid w:val="00BD14C5"/>
    <w:rsid w:val="00BD196A"/>
    <w:rsid w:val="00BD2081"/>
    <w:rsid w:val="00BD2311"/>
    <w:rsid w:val="00BD2C2C"/>
    <w:rsid w:val="00BD4A7D"/>
    <w:rsid w:val="00BD6262"/>
    <w:rsid w:val="00BD742D"/>
    <w:rsid w:val="00BD7EED"/>
    <w:rsid w:val="00BE0E28"/>
    <w:rsid w:val="00BE1F4B"/>
    <w:rsid w:val="00BE2CD4"/>
    <w:rsid w:val="00BE4C48"/>
    <w:rsid w:val="00BE5363"/>
    <w:rsid w:val="00BE61C1"/>
    <w:rsid w:val="00BE64AF"/>
    <w:rsid w:val="00BE6717"/>
    <w:rsid w:val="00BE67B0"/>
    <w:rsid w:val="00BE682A"/>
    <w:rsid w:val="00BF0381"/>
    <w:rsid w:val="00BF0E02"/>
    <w:rsid w:val="00BF1CC4"/>
    <w:rsid w:val="00BF22A2"/>
    <w:rsid w:val="00BF24A8"/>
    <w:rsid w:val="00BF446E"/>
    <w:rsid w:val="00BF63F5"/>
    <w:rsid w:val="00BF6E7B"/>
    <w:rsid w:val="00BF7354"/>
    <w:rsid w:val="00C001B1"/>
    <w:rsid w:val="00C01021"/>
    <w:rsid w:val="00C0141F"/>
    <w:rsid w:val="00C01D76"/>
    <w:rsid w:val="00C02185"/>
    <w:rsid w:val="00C03708"/>
    <w:rsid w:val="00C048AF"/>
    <w:rsid w:val="00C05FB0"/>
    <w:rsid w:val="00C06406"/>
    <w:rsid w:val="00C0670C"/>
    <w:rsid w:val="00C06F4B"/>
    <w:rsid w:val="00C077E0"/>
    <w:rsid w:val="00C07DE6"/>
    <w:rsid w:val="00C12A19"/>
    <w:rsid w:val="00C151E5"/>
    <w:rsid w:val="00C15332"/>
    <w:rsid w:val="00C154B5"/>
    <w:rsid w:val="00C15825"/>
    <w:rsid w:val="00C17872"/>
    <w:rsid w:val="00C205E9"/>
    <w:rsid w:val="00C2080B"/>
    <w:rsid w:val="00C212FC"/>
    <w:rsid w:val="00C21AF3"/>
    <w:rsid w:val="00C234BD"/>
    <w:rsid w:val="00C23F48"/>
    <w:rsid w:val="00C24B57"/>
    <w:rsid w:val="00C25CFE"/>
    <w:rsid w:val="00C262BD"/>
    <w:rsid w:val="00C30E04"/>
    <w:rsid w:val="00C310C2"/>
    <w:rsid w:val="00C3134E"/>
    <w:rsid w:val="00C33687"/>
    <w:rsid w:val="00C36337"/>
    <w:rsid w:val="00C36525"/>
    <w:rsid w:val="00C40EB3"/>
    <w:rsid w:val="00C41BD9"/>
    <w:rsid w:val="00C434FD"/>
    <w:rsid w:val="00C4350E"/>
    <w:rsid w:val="00C45F7F"/>
    <w:rsid w:val="00C4688F"/>
    <w:rsid w:val="00C47AC7"/>
    <w:rsid w:val="00C5192E"/>
    <w:rsid w:val="00C520B6"/>
    <w:rsid w:val="00C52DE6"/>
    <w:rsid w:val="00C533D8"/>
    <w:rsid w:val="00C55BC8"/>
    <w:rsid w:val="00C564CB"/>
    <w:rsid w:val="00C575B9"/>
    <w:rsid w:val="00C6016B"/>
    <w:rsid w:val="00C60B6C"/>
    <w:rsid w:val="00C61A80"/>
    <w:rsid w:val="00C62E88"/>
    <w:rsid w:val="00C634A7"/>
    <w:rsid w:val="00C638D4"/>
    <w:rsid w:val="00C638D7"/>
    <w:rsid w:val="00C638DF"/>
    <w:rsid w:val="00C63CD3"/>
    <w:rsid w:val="00C63E77"/>
    <w:rsid w:val="00C64030"/>
    <w:rsid w:val="00C645E7"/>
    <w:rsid w:val="00C64720"/>
    <w:rsid w:val="00C648E6"/>
    <w:rsid w:val="00C6517F"/>
    <w:rsid w:val="00C67BA6"/>
    <w:rsid w:val="00C70053"/>
    <w:rsid w:val="00C70DA3"/>
    <w:rsid w:val="00C71920"/>
    <w:rsid w:val="00C72A63"/>
    <w:rsid w:val="00C72C73"/>
    <w:rsid w:val="00C73CC4"/>
    <w:rsid w:val="00C73ECB"/>
    <w:rsid w:val="00C74001"/>
    <w:rsid w:val="00C7408B"/>
    <w:rsid w:val="00C751E6"/>
    <w:rsid w:val="00C759CC"/>
    <w:rsid w:val="00C772E5"/>
    <w:rsid w:val="00C77A70"/>
    <w:rsid w:val="00C80AE4"/>
    <w:rsid w:val="00C857F1"/>
    <w:rsid w:val="00C866AD"/>
    <w:rsid w:val="00C871C4"/>
    <w:rsid w:val="00C8798C"/>
    <w:rsid w:val="00C90878"/>
    <w:rsid w:val="00C92FB6"/>
    <w:rsid w:val="00C94279"/>
    <w:rsid w:val="00C96E7F"/>
    <w:rsid w:val="00C97301"/>
    <w:rsid w:val="00C978DC"/>
    <w:rsid w:val="00C97CB0"/>
    <w:rsid w:val="00CA0F18"/>
    <w:rsid w:val="00CA1130"/>
    <w:rsid w:val="00CA415F"/>
    <w:rsid w:val="00CA4BBA"/>
    <w:rsid w:val="00CA529D"/>
    <w:rsid w:val="00CA5EA7"/>
    <w:rsid w:val="00CA6313"/>
    <w:rsid w:val="00CA6B7F"/>
    <w:rsid w:val="00CA6DA4"/>
    <w:rsid w:val="00CA7311"/>
    <w:rsid w:val="00CB026C"/>
    <w:rsid w:val="00CB08F5"/>
    <w:rsid w:val="00CB0C97"/>
    <w:rsid w:val="00CB1841"/>
    <w:rsid w:val="00CB2C14"/>
    <w:rsid w:val="00CB545F"/>
    <w:rsid w:val="00CB5A49"/>
    <w:rsid w:val="00CB5C15"/>
    <w:rsid w:val="00CB678B"/>
    <w:rsid w:val="00CC03CE"/>
    <w:rsid w:val="00CC1228"/>
    <w:rsid w:val="00CC1A21"/>
    <w:rsid w:val="00CC66DE"/>
    <w:rsid w:val="00CC7C0C"/>
    <w:rsid w:val="00CD2EEA"/>
    <w:rsid w:val="00CD325D"/>
    <w:rsid w:val="00CD327C"/>
    <w:rsid w:val="00CD5694"/>
    <w:rsid w:val="00CD6104"/>
    <w:rsid w:val="00CD6623"/>
    <w:rsid w:val="00CD75E3"/>
    <w:rsid w:val="00CE09BE"/>
    <w:rsid w:val="00CE183F"/>
    <w:rsid w:val="00CE2627"/>
    <w:rsid w:val="00CE287D"/>
    <w:rsid w:val="00CE2EB2"/>
    <w:rsid w:val="00CE525D"/>
    <w:rsid w:val="00CE5C99"/>
    <w:rsid w:val="00CE6CDD"/>
    <w:rsid w:val="00CE70ED"/>
    <w:rsid w:val="00CF0E01"/>
    <w:rsid w:val="00CF1BEC"/>
    <w:rsid w:val="00CF23EE"/>
    <w:rsid w:val="00CF41D3"/>
    <w:rsid w:val="00CF70CF"/>
    <w:rsid w:val="00D00205"/>
    <w:rsid w:val="00D02EEC"/>
    <w:rsid w:val="00D042CE"/>
    <w:rsid w:val="00D0501B"/>
    <w:rsid w:val="00D07972"/>
    <w:rsid w:val="00D11357"/>
    <w:rsid w:val="00D1177A"/>
    <w:rsid w:val="00D126F7"/>
    <w:rsid w:val="00D129F5"/>
    <w:rsid w:val="00D12ED9"/>
    <w:rsid w:val="00D13692"/>
    <w:rsid w:val="00D141DD"/>
    <w:rsid w:val="00D1494A"/>
    <w:rsid w:val="00D1721C"/>
    <w:rsid w:val="00D21611"/>
    <w:rsid w:val="00D21887"/>
    <w:rsid w:val="00D22642"/>
    <w:rsid w:val="00D24B59"/>
    <w:rsid w:val="00D253D3"/>
    <w:rsid w:val="00D2568D"/>
    <w:rsid w:val="00D266DE"/>
    <w:rsid w:val="00D30139"/>
    <w:rsid w:val="00D31689"/>
    <w:rsid w:val="00D3210E"/>
    <w:rsid w:val="00D325D3"/>
    <w:rsid w:val="00D34819"/>
    <w:rsid w:val="00D355E8"/>
    <w:rsid w:val="00D363A0"/>
    <w:rsid w:val="00D43DD6"/>
    <w:rsid w:val="00D44564"/>
    <w:rsid w:val="00D44B08"/>
    <w:rsid w:val="00D454EC"/>
    <w:rsid w:val="00D45657"/>
    <w:rsid w:val="00D45B90"/>
    <w:rsid w:val="00D51C2C"/>
    <w:rsid w:val="00D52020"/>
    <w:rsid w:val="00D543B0"/>
    <w:rsid w:val="00D55588"/>
    <w:rsid w:val="00D55A36"/>
    <w:rsid w:val="00D55A45"/>
    <w:rsid w:val="00D560D2"/>
    <w:rsid w:val="00D5689A"/>
    <w:rsid w:val="00D57072"/>
    <w:rsid w:val="00D6013B"/>
    <w:rsid w:val="00D6069C"/>
    <w:rsid w:val="00D60F14"/>
    <w:rsid w:val="00D61249"/>
    <w:rsid w:val="00D61AE5"/>
    <w:rsid w:val="00D624F6"/>
    <w:rsid w:val="00D64636"/>
    <w:rsid w:val="00D6642D"/>
    <w:rsid w:val="00D668E4"/>
    <w:rsid w:val="00D67466"/>
    <w:rsid w:val="00D7047B"/>
    <w:rsid w:val="00D70735"/>
    <w:rsid w:val="00D70A85"/>
    <w:rsid w:val="00D7182D"/>
    <w:rsid w:val="00D71B49"/>
    <w:rsid w:val="00D720E5"/>
    <w:rsid w:val="00D729A9"/>
    <w:rsid w:val="00D73B75"/>
    <w:rsid w:val="00D741F4"/>
    <w:rsid w:val="00D74FEC"/>
    <w:rsid w:val="00D75505"/>
    <w:rsid w:val="00D76695"/>
    <w:rsid w:val="00D77DAB"/>
    <w:rsid w:val="00D8029C"/>
    <w:rsid w:val="00D80998"/>
    <w:rsid w:val="00D8228F"/>
    <w:rsid w:val="00D83CB1"/>
    <w:rsid w:val="00D84249"/>
    <w:rsid w:val="00D85112"/>
    <w:rsid w:val="00D8580C"/>
    <w:rsid w:val="00D862DA"/>
    <w:rsid w:val="00D8640C"/>
    <w:rsid w:val="00D86456"/>
    <w:rsid w:val="00D870BD"/>
    <w:rsid w:val="00D90ED8"/>
    <w:rsid w:val="00D936C9"/>
    <w:rsid w:val="00D947F5"/>
    <w:rsid w:val="00DA1496"/>
    <w:rsid w:val="00DA1555"/>
    <w:rsid w:val="00DA2583"/>
    <w:rsid w:val="00DA376F"/>
    <w:rsid w:val="00DA3D7B"/>
    <w:rsid w:val="00DA6721"/>
    <w:rsid w:val="00DA7189"/>
    <w:rsid w:val="00DA7370"/>
    <w:rsid w:val="00DB1190"/>
    <w:rsid w:val="00DB11F8"/>
    <w:rsid w:val="00DB16B6"/>
    <w:rsid w:val="00DB3307"/>
    <w:rsid w:val="00DB3E8E"/>
    <w:rsid w:val="00DB4047"/>
    <w:rsid w:val="00DB4594"/>
    <w:rsid w:val="00DB4AA3"/>
    <w:rsid w:val="00DB5C14"/>
    <w:rsid w:val="00DB68FF"/>
    <w:rsid w:val="00DB7230"/>
    <w:rsid w:val="00DC28D6"/>
    <w:rsid w:val="00DC32BA"/>
    <w:rsid w:val="00DC3B61"/>
    <w:rsid w:val="00DC5FD8"/>
    <w:rsid w:val="00DC61BF"/>
    <w:rsid w:val="00DD20DC"/>
    <w:rsid w:val="00DD2E36"/>
    <w:rsid w:val="00DD60F3"/>
    <w:rsid w:val="00DD6518"/>
    <w:rsid w:val="00DD6537"/>
    <w:rsid w:val="00DD6667"/>
    <w:rsid w:val="00DD667C"/>
    <w:rsid w:val="00DD6C75"/>
    <w:rsid w:val="00DD74A2"/>
    <w:rsid w:val="00DE04F8"/>
    <w:rsid w:val="00DE1873"/>
    <w:rsid w:val="00DE383B"/>
    <w:rsid w:val="00DE47D4"/>
    <w:rsid w:val="00DE49BE"/>
    <w:rsid w:val="00DE5569"/>
    <w:rsid w:val="00DE5EA1"/>
    <w:rsid w:val="00DE6576"/>
    <w:rsid w:val="00DF0A61"/>
    <w:rsid w:val="00DF4614"/>
    <w:rsid w:val="00DF5DD2"/>
    <w:rsid w:val="00DF65FA"/>
    <w:rsid w:val="00DF6D10"/>
    <w:rsid w:val="00DF76DC"/>
    <w:rsid w:val="00DF7B25"/>
    <w:rsid w:val="00E00B67"/>
    <w:rsid w:val="00E00EC3"/>
    <w:rsid w:val="00E021FC"/>
    <w:rsid w:val="00E028AF"/>
    <w:rsid w:val="00E04840"/>
    <w:rsid w:val="00E06569"/>
    <w:rsid w:val="00E130A0"/>
    <w:rsid w:val="00E135A1"/>
    <w:rsid w:val="00E1496E"/>
    <w:rsid w:val="00E153F6"/>
    <w:rsid w:val="00E15CD7"/>
    <w:rsid w:val="00E16EF1"/>
    <w:rsid w:val="00E176E8"/>
    <w:rsid w:val="00E177A0"/>
    <w:rsid w:val="00E17F63"/>
    <w:rsid w:val="00E25778"/>
    <w:rsid w:val="00E2691C"/>
    <w:rsid w:val="00E34FC6"/>
    <w:rsid w:val="00E368C3"/>
    <w:rsid w:val="00E3764A"/>
    <w:rsid w:val="00E4129B"/>
    <w:rsid w:val="00E417DE"/>
    <w:rsid w:val="00E43C06"/>
    <w:rsid w:val="00E44339"/>
    <w:rsid w:val="00E449B1"/>
    <w:rsid w:val="00E44A5B"/>
    <w:rsid w:val="00E47B31"/>
    <w:rsid w:val="00E501F7"/>
    <w:rsid w:val="00E5082D"/>
    <w:rsid w:val="00E54331"/>
    <w:rsid w:val="00E550BE"/>
    <w:rsid w:val="00E574A9"/>
    <w:rsid w:val="00E61355"/>
    <w:rsid w:val="00E613BC"/>
    <w:rsid w:val="00E61F1E"/>
    <w:rsid w:val="00E62530"/>
    <w:rsid w:val="00E62F8A"/>
    <w:rsid w:val="00E63A35"/>
    <w:rsid w:val="00E65DBE"/>
    <w:rsid w:val="00E6653B"/>
    <w:rsid w:val="00E66861"/>
    <w:rsid w:val="00E66E21"/>
    <w:rsid w:val="00E67063"/>
    <w:rsid w:val="00E70F38"/>
    <w:rsid w:val="00E710FC"/>
    <w:rsid w:val="00E71915"/>
    <w:rsid w:val="00E73119"/>
    <w:rsid w:val="00E74841"/>
    <w:rsid w:val="00E77767"/>
    <w:rsid w:val="00E80916"/>
    <w:rsid w:val="00E840DF"/>
    <w:rsid w:val="00E8452A"/>
    <w:rsid w:val="00E8560F"/>
    <w:rsid w:val="00E869E6"/>
    <w:rsid w:val="00E86F9A"/>
    <w:rsid w:val="00E8780A"/>
    <w:rsid w:val="00E90668"/>
    <w:rsid w:val="00E93F1D"/>
    <w:rsid w:val="00E952A7"/>
    <w:rsid w:val="00E957FC"/>
    <w:rsid w:val="00EA0289"/>
    <w:rsid w:val="00EA1E0E"/>
    <w:rsid w:val="00EA2718"/>
    <w:rsid w:val="00EA3CA4"/>
    <w:rsid w:val="00EB0AFB"/>
    <w:rsid w:val="00EB0E5E"/>
    <w:rsid w:val="00EB11D1"/>
    <w:rsid w:val="00EB181B"/>
    <w:rsid w:val="00EB1CA4"/>
    <w:rsid w:val="00EB2DEA"/>
    <w:rsid w:val="00EB60D1"/>
    <w:rsid w:val="00EB6131"/>
    <w:rsid w:val="00EB6374"/>
    <w:rsid w:val="00EC0324"/>
    <w:rsid w:val="00EC341C"/>
    <w:rsid w:val="00EC713D"/>
    <w:rsid w:val="00EC754E"/>
    <w:rsid w:val="00ED1657"/>
    <w:rsid w:val="00ED2984"/>
    <w:rsid w:val="00ED4E4C"/>
    <w:rsid w:val="00ED5637"/>
    <w:rsid w:val="00ED654C"/>
    <w:rsid w:val="00ED6618"/>
    <w:rsid w:val="00EE71C9"/>
    <w:rsid w:val="00EF02F0"/>
    <w:rsid w:val="00EF0A39"/>
    <w:rsid w:val="00EF2691"/>
    <w:rsid w:val="00EF352D"/>
    <w:rsid w:val="00EF370B"/>
    <w:rsid w:val="00EF4AEE"/>
    <w:rsid w:val="00EF50AC"/>
    <w:rsid w:val="00EF651B"/>
    <w:rsid w:val="00EF6E41"/>
    <w:rsid w:val="00F01018"/>
    <w:rsid w:val="00F01A7F"/>
    <w:rsid w:val="00F02C3E"/>
    <w:rsid w:val="00F03BF4"/>
    <w:rsid w:val="00F03F3B"/>
    <w:rsid w:val="00F06ADA"/>
    <w:rsid w:val="00F07468"/>
    <w:rsid w:val="00F11DDC"/>
    <w:rsid w:val="00F1302B"/>
    <w:rsid w:val="00F13F76"/>
    <w:rsid w:val="00F1503E"/>
    <w:rsid w:val="00F153C1"/>
    <w:rsid w:val="00F16AC2"/>
    <w:rsid w:val="00F2056C"/>
    <w:rsid w:val="00F2176B"/>
    <w:rsid w:val="00F217E8"/>
    <w:rsid w:val="00F21F63"/>
    <w:rsid w:val="00F22D82"/>
    <w:rsid w:val="00F22FE8"/>
    <w:rsid w:val="00F23A8E"/>
    <w:rsid w:val="00F264CA"/>
    <w:rsid w:val="00F26D40"/>
    <w:rsid w:val="00F340B6"/>
    <w:rsid w:val="00F348B6"/>
    <w:rsid w:val="00F361B7"/>
    <w:rsid w:val="00F371A1"/>
    <w:rsid w:val="00F37D6A"/>
    <w:rsid w:val="00F40BAE"/>
    <w:rsid w:val="00F40DE1"/>
    <w:rsid w:val="00F41732"/>
    <w:rsid w:val="00F421A1"/>
    <w:rsid w:val="00F456F5"/>
    <w:rsid w:val="00F45B83"/>
    <w:rsid w:val="00F47C36"/>
    <w:rsid w:val="00F52F93"/>
    <w:rsid w:val="00F531ED"/>
    <w:rsid w:val="00F54608"/>
    <w:rsid w:val="00F552F2"/>
    <w:rsid w:val="00F55977"/>
    <w:rsid w:val="00F55E52"/>
    <w:rsid w:val="00F5632A"/>
    <w:rsid w:val="00F56863"/>
    <w:rsid w:val="00F57EF0"/>
    <w:rsid w:val="00F627E2"/>
    <w:rsid w:val="00F62C46"/>
    <w:rsid w:val="00F6417B"/>
    <w:rsid w:val="00F64EFC"/>
    <w:rsid w:val="00F65B4A"/>
    <w:rsid w:val="00F66829"/>
    <w:rsid w:val="00F66DFC"/>
    <w:rsid w:val="00F66EC1"/>
    <w:rsid w:val="00F66FAD"/>
    <w:rsid w:val="00F7058B"/>
    <w:rsid w:val="00F70881"/>
    <w:rsid w:val="00F71520"/>
    <w:rsid w:val="00F72DCB"/>
    <w:rsid w:val="00F73D9A"/>
    <w:rsid w:val="00F7590F"/>
    <w:rsid w:val="00F75FE2"/>
    <w:rsid w:val="00F769BC"/>
    <w:rsid w:val="00F772CC"/>
    <w:rsid w:val="00F7780D"/>
    <w:rsid w:val="00F83EE6"/>
    <w:rsid w:val="00F8569E"/>
    <w:rsid w:val="00F85A14"/>
    <w:rsid w:val="00F90EB0"/>
    <w:rsid w:val="00F913C6"/>
    <w:rsid w:val="00F931EC"/>
    <w:rsid w:val="00F94864"/>
    <w:rsid w:val="00F95B84"/>
    <w:rsid w:val="00F95BDD"/>
    <w:rsid w:val="00F96DD0"/>
    <w:rsid w:val="00F97A16"/>
    <w:rsid w:val="00FA02EE"/>
    <w:rsid w:val="00FA0D97"/>
    <w:rsid w:val="00FA2166"/>
    <w:rsid w:val="00FA33A6"/>
    <w:rsid w:val="00FA58BF"/>
    <w:rsid w:val="00FA70A0"/>
    <w:rsid w:val="00FA7B80"/>
    <w:rsid w:val="00FA7C6E"/>
    <w:rsid w:val="00FB0B18"/>
    <w:rsid w:val="00FB18EA"/>
    <w:rsid w:val="00FB266A"/>
    <w:rsid w:val="00FB2ACA"/>
    <w:rsid w:val="00FB5BF8"/>
    <w:rsid w:val="00FB673E"/>
    <w:rsid w:val="00FB753B"/>
    <w:rsid w:val="00FC1B95"/>
    <w:rsid w:val="00FC3D57"/>
    <w:rsid w:val="00FC3EB4"/>
    <w:rsid w:val="00FC51B8"/>
    <w:rsid w:val="00FC5FD1"/>
    <w:rsid w:val="00FC6C2D"/>
    <w:rsid w:val="00FC6E95"/>
    <w:rsid w:val="00FC739A"/>
    <w:rsid w:val="00FD1003"/>
    <w:rsid w:val="00FD16AB"/>
    <w:rsid w:val="00FD2E3A"/>
    <w:rsid w:val="00FD38DC"/>
    <w:rsid w:val="00FD4B96"/>
    <w:rsid w:val="00FD63B2"/>
    <w:rsid w:val="00FD6457"/>
    <w:rsid w:val="00FD6750"/>
    <w:rsid w:val="00FD7243"/>
    <w:rsid w:val="00FD755E"/>
    <w:rsid w:val="00FD7CD3"/>
    <w:rsid w:val="00FE410C"/>
    <w:rsid w:val="00FE44C5"/>
    <w:rsid w:val="00FE4B1E"/>
    <w:rsid w:val="00FE5C89"/>
    <w:rsid w:val="00FE7B2F"/>
    <w:rsid w:val="00FF1021"/>
    <w:rsid w:val="00FF141F"/>
    <w:rsid w:val="00FF1C3F"/>
    <w:rsid w:val="00FF2E4A"/>
    <w:rsid w:val="00FF406D"/>
    <w:rsid w:val="00FF4C0B"/>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8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D947F5"/>
  </w:style>
  <w:style w:type="character" w:styleId="CommentReference">
    <w:name w:val="annotation reference"/>
    <w:basedOn w:val="DefaultParagraphFont"/>
    <w:uiPriority w:val="99"/>
    <w:semiHidden/>
    <w:unhideWhenUsed/>
    <w:locked/>
    <w:rsid w:val="00067C98"/>
    <w:rPr>
      <w:sz w:val="16"/>
      <w:szCs w:val="16"/>
    </w:rPr>
  </w:style>
  <w:style w:type="paragraph" w:styleId="CommentText">
    <w:name w:val="annotation text"/>
    <w:basedOn w:val="Normal"/>
    <w:link w:val="CommentTextChar"/>
    <w:uiPriority w:val="99"/>
    <w:unhideWhenUsed/>
    <w:locked/>
    <w:rsid w:val="00067C98"/>
    <w:pPr>
      <w:spacing w:line="240" w:lineRule="auto"/>
    </w:pPr>
    <w:rPr>
      <w:sz w:val="20"/>
      <w:szCs w:val="20"/>
    </w:rPr>
  </w:style>
  <w:style w:type="character" w:customStyle="1" w:styleId="CommentTextChar">
    <w:name w:val="Comment Text Char"/>
    <w:basedOn w:val="DefaultParagraphFont"/>
    <w:link w:val="CommentText"/>
    <w:uiPriority w:val="99"/>
    <w:rsid w:val="00067C98"/>
    <w:rPr>
      <w:sz w:val="20"/>
      <w:szCs w:val="20"/>
    </w:rPr>
  </w:style>
  <w:style w:type="paragraph" w:styleId="CommentSubject">
    <w:name w:val="annotation subject"/>
    <w:basedOn w:val="CommentText"/>
    <w:next w:val="CommentText"/>
    <w:link w:val="CommentSubjectChar"/>
    <w:uiPriority w:val="99"/>
    <w:semiHidden/>
    <w:unhideWhenUsed/>
    <w:locked/>
    <w:rsid w:val="00067C98"/>
    <w:rPr>
      <w:b/>
      <w:bCs/>
    </w:rPr>
  </w:style>
  <w:style w:type="character" w:customStyle="1" w:styleId="CommentSubjectChar">
    <w:name w:val="Comment Subject Char"/>
    <w:basedOn w:val="CommentTextChar"/>
    <w:link w:val="CommentSubject"/>
    <w:uiPriority w:val="99"/>
    <w:semiHidden/>
    <w:rsid w:val="00067C98"/>
    <w:rPr>
      <w:b/>
      <w:bCs/>
      <w:sz w:val="20"/>
      <w:szCs w:val="20"/>
    </w:rPr>
  </w:style>
  <w:style w:type="character" w:customStyle="1" w:styleId="FootnoteTextChar">
    <w:name w:val="Footnote Text Char"/>
    <w:basedOn w:val="DefaultParagraphFont"/>
    <w:link w:val="FootnoteText"/>
    <w:uiPriority w:val="53"/>
    <w:rsid w:val="001C3027"/>
  </w:style>
  <w:style w:type="paragraph" w:customStyle="1" w:styleId="Body">
    <w:name w:val="Body"/>
    <w:basedOn w:val="Normal"/>
    <w:qFormat/>
    <w:rsid w:val="006F46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F46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F46D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F46D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F46D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F46DC"/>
    <w:pPr>
      <w:jc w:val="center"/>
    </w:pPr>
    <w:rPr>
      <w:rFonts w:ascii="Times New Roman" w:hAnsi="Times New Roman"/>
      <w:bCs/>
      <w:szCs w:val="20"/>
      <w:lang w:val="en-GB"/>
    </w:rPr>
  </w:style>
  <w:style w:type="paragraph" w:customStyle="1" w:styleId="Default">
    <w:name w:val="Default"/>
    <w:rsid w:val="006F46D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16244de2-3ce9-4538-a991-80b884be5568"/>
    <ds:schemaRef ds:uri="9b759999-630c-45ee-bc6f-d9e065efddb7"/>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10D6EA48-EE63-43F7-8ABE-544C94A4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11</Pages>
  <Words>2706</Words>
  <Characters>15425</Characters>
  <Application>Microsoft Office Word</Application>
  <DocSecurity>0</DocSecurity>
  <Lines>128</Lines>
  <Paragraphs>36</Paragraphs>
  <ScaleCrop>false</ScaleCrop>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2024-06-10T23:34:00Z</dcterms:created>
  <dcterms:modified xsi:type="dcterms:W3CDTF">2024-06-10T23:34:00Z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